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2421">
      <w:pPr>
        <w:pStyle w:val="19"/>
        <w:jc w:val="center"/>
        <w:rPr>
          <w:rFonts w:hint="eastAsia" w:ascii="宋体" w:eastAsia="宋体" w:cs="宋体"/>
          <w:color w:val="auto"/>
          <w:spacing w:val="30"/>
          <w:kern w:val="52"/>
          <w:sz w:val="64"/>
          <w:szCs w:val="64"/>
          <w:highlight w:val="none"/>
          <w:lang w:bidi="ar-SA"/>
        </w:rPr>
      </w:pPr>
      <w:r>
        <w:rPr>
          <w:rFonts w:ascii="宋体" w:eastAsia="宋体" w:cs="宋体"/>
          <w:color w:val="auto"/>
          <w:sz w:val="32"/>
          <w:highlight w:val="none"/>
          <w:lang w:bidi="ar-SA"/>
        </w:rPr>
        <w:drawing>
          <wp:inline distT="0" distB="0" distL="114300" distR="114300">
            <wp:extent cx="1369060" cy="1348105"/>
            <wp:effectExtent l="0" t="0" r="2540" b="8255"/>
            <wp:docPr id="1" name="图片 1" descr="003838bb567ad4db658ca6a05c2e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838bb567ad4db658ca6a05c2e123"/>
                    <pic:cNvPicPr>
                      <a:picLocks noChangeAspect="1"/>
                    </pic:cNvPicPr>
                  </pic:nvPicPr>
                  <pic:blipFill>
                    <a:blip r:embed="rId16"/>
                    <a:stretch>
                      <a:fillRect/>
                    </a:stretch>
                  </pic:blipFill>
                  <pic:spPr>
                    <a:xfrm>
                      <a:off x="0" y="0"/>
                      <a:ext cx="1369060" cy="1348105"/>
                    </a:xfrm>
                    <a:prstGeom prst="rect">
                      <a:avLst/>
                    </a:prstGeom>
                    <a:noFill/>
                    <a:ln>
                      <a:noFill/>
                    </a:ln>
                  </pic:spPr>
                </pic:pic>
              </a:graphicData>
            </a:graphic>
          </wp:inline>
        </w:drawing>
      </w:r>
    </w:p>
    <w:p w14:paraId="624E8A43">
      <w:pPr>
        <w:pStyle w:val="19"/>
        <w:jc w:val="center"/>
        <w:rPr>
          <w:rFonts w:hint="eastAsia" w:ascii="宋体" w:eastAsia="宋体" w:cs="宋体"/>
          <w:color w:val="auto"/>
          <w:spacing w:val="30"/>
          <w:kern w:val="52"/>
          <w:sz w:val="64"/>
          <w:szCs w:val="64"/>
          <w:highlight w:val="none"/>
          <w:lang w:bidi="ar-SA"/>
        </w:rPr>
      </w:pPr>
      <w:r>
        <w:rPr>
          <w:rFonts w:hint="eastAsia" w:ascii="宋体" w:eastAsia="宋体" w:cs="宋体"/>
          <w:color w:val="auto"/>
          <w:spacing w:val="30"/>
          <w:kern w:val="52"/>
          <w:sz w:val="64"/>
          <w:szCs w:val="64"/>
          <w:highlight w:val="none"/>
          <w:lang w:bidi="ar-SA"/>
        </w:rPr>
        <w:t>广西建采项目管理有限公司</w:t>
      </w:r>
    </w:p>
    <w:p w14:paraId="68B57740">
      <w:pPr>
        <w:pStyle w:val="19"/>
        <w:jc w:val="center"/>
        <w:rPr>
          <w:rFonts w:hint="eastAsia" w:ascii="宋体" w:eastAsia="宋体" w:cs="宋体"/>
          <w:b/>
          <w:color w:val="auto"/>
          <w:sz w:val="44"/>
          <w:szCs w:val="44"/>
          <w:highlight w:val="none"/>
          <w:lang w:bidi="ar-SA"/>
        </w:rPr>
      </w:pPr>
    </w:p>
    <w:p w14:paraId="2583D6EA">
      <w:pPr>
        <w:snapToGrid w:val="0"/>
        <w:spacing w:before="156" w:line="360" w:lineRule="auto"/>
        <w:jc w:val="center"/>
        <w:rPr>
          <w:rFonts w:hint="eastAsia" w:ascii="宋体" w:eastAsia="宋体" w:cs="宋体"/>
          <w:color w:val="auto"/>
          <w:sz w:val="120"/>
          <w:szCs w:val="120"/>
          <w:highlight w:val="none"/>
          <w:lang w:bidi="ar-SA"/>
        </w:rPr>
      </w:pPr>
      <w:r>
        <w:rPr>
          <w:rFonts w:hint="eastAsia" w:ascii="宋体" w:eastAsia="宋体" w:cs="宋体"/>
          <w:color w:val="auto"/>
          <w:sz w:val="120"/>
          <w:szCs w:val="120"/>
          <w:highlight w:val="none"/>
          <w:lang w:bidi="ar-SA"/>
        </w:rPr>
        <w:t>竞争性磋商文件</w:t>
      </w:r>
    </w:p>
    <w:p w14:paraId="39897FF9">
      <w:pPr>
        <w:snapToGrid w:val="0"/>
        <w:spacing w:line="360" w:lineRule="auto"/>
        <w:rPr>
          <w:rFonts w:hint="default" w:ascii="宋体" w:eastAsia="宋体" w:cs="宋体"/>
          <w:b/>
          <w:color w:val="auto"/>
          <w:sz w:val="48"/>
          <w:szCs w:val="48"/>
          <w:highlight w:val="none"/>
          <w:lang w:val="en-US" w:eastAsia="zh-CN" w:bidi="ar-SA"/>
        </w:rPr>
      </w:pPr>
      <w:r>
        <w:rPr>
          <w:rFonts w:hint="eastAsia" w:ascii="宋体" w:cs="宋体"/>
          <w:b/>
          <w:color w:val="auto"/>
          <w:sz w:val="48"/>
          <w:szCs w:val="48"/>
          <w:highlight w:val="none"/>
          <w:lang w:val="en-US" w:eastAsia="zh-CN" w:bidi="ar-SA"/>
        </w:rPr>
        <w:t xml:space="preserve">              </w:t>
      </w:r>
    </w:p>
    <w:p w14:paraId="72D93249">
      <w:pPr>
        <w:pStyle w:val="19"/>
        <w:snapToGrid w:val="0"/>
        <w:spacing w:line="360" w:lineRule="auto"/>
        <w:ind w:firstLine="1205" w:firstLineChars="400"/>
        <w:rPr>
          <w:rFonts w:hint="eastAsia" w:ascii="宋体" w:eastAsia="宋体" w:cs="宋体"/>
          <w:b/>
          <w:bCs/>
          <w:color w:val="auto"/>
          <w:sz w:val="30"/>
          <w:szCs w:val="30"/>
          <w:highlight w:val="none"/>
          <w:lang w:bidi="ar-SA"/>
        </w:rPr>
      </w:pPr>
    </w:p>
    <w:p w14:paraId="7D40C364">
      <w:pPr>
        <w:pStyle w:val="19"/>
        <w:snapToGrid w:val="0"/>
        <w:spacing w:line="360" w:lineRule="auto"/>
        <w:rPr>
          <w:rFonts w:hint="eastAsia" w:ascii="宋体" w:eastAsia="宋体" w:cs="宋体"/>
          <w:b/>
          <w:bCs/>
          <w:color w:val="auto"/>
          <w:sz w:val="30"/>
          <w:szCs w:val="30"/>
          <w:highlight w:val="none"/>
          <w:lang w:eastAsia="zh-CN" w:bidi="ar-SA"/>
        </w:rPr>
      </w:pPr>
      <w:r>
        <w:rPr>
          <w:rFonts w:hint="eastAsia" w:ascii="宋体" w:eastAsia="宋体" w:cs="宋体"/>
          <w:b/>
          <w:bCs/>
          <w:color w:val="auto"/>
          <w:sz w:val="30"/>
          <w:szCs w:val="30"/>
          <w:highlight w:val="none"/>
          <w:lang w:bidi="ar-SA"/>
        </w:rPr>
        <w:t>项目</w:t>
      </w:r>
      <w:r>
        <w:rPr>
          <w:rFonts w:hint="eastAsia" w:ascii="宋体" w:eastAsia="宋体" w:cs="宋体"/>
          <w:b/>
          <w:bCs/>
          <w:color w:val="auto"/>
          <w:w w:val="95"/>
          <w:sz w:val="30"/>
          <w:szCs w:val="30"/>
          <w:highlight w:val="none"/>
          <w:lang w:bidi="ar-SA"/>
        </w:rPr>
        <w:t>名称</w:t>
      </w:r>
      <w:r>
        <w:rPr>
          <w:rFonts w:hint="eastAsia" w:ascii="宋体" w:eastAsia="宋体" w:cs="宋体"/>
          <w:b/>
          <w:bCs/>
          <w:color w:val="auto"/>
          <w:sz w:val="30"/>
          <w:szCs w:val="30"/>
          <w:highlight w:val="none"/>
          <w:lang w:bidi="ar-SA"/>
        </w:rPr>
        <w:t>：</w:t>
      </w:r>
      <w:r>
        <w:rPr>
          <w:rFonts w:hint="eastAsia" w:cs="宋体"/>
          <w:b/>
          <w:color w:val="auto"/>
          <w:sz w:val="32"/>
          <w:szCs w:val="32"/>
          <w:highlight w:val="none"/>
          <w:lang w:eastAsia="zh-CN" w:bidi="ar-SA"/>
        </w:rPr>
        <w:t>中医治未病慢病一体化管理服务平台采购项目</w:t>
      </w:r>
    </w:p>
    <w:p w14:paraId="1436C10C">
      <w:pPr>
        <w:pStyle w:val="19"/>
        <w:snapToGrid w:val="0"/>
        <w:spacing w:line="360" w:lineRule="auto"/>
        <w:rPr>
          <w:rFonts w:hint="eastAsia" w:ascii="宋体" w:eastAsia="宋体" w:cs="宋体"/>
          <w:b/>
          <w:bCs/>
          <w:color w:val="auto"/>
          <w:sz w:val="30"/>
          <w:szCs w:val="30"/>
          <w:highlight w:val="none"/>
          <w:lang w:eastAsia="zh-CN" w:bidi="ar-SA"/>
        </w:rPr>
      </w:pPr>
      <w:r>
        <w:rPr>
          <w:rFonts w:hint="eastAsia" w:ascii="宋体" w:eastAsia="宋体" w:cs="宋体"/>
          <w:b/>
          <w:bCs/>
          <w:color w:val="auto"/>
          <w:sz w:val="30"/>
          <w:szCs w:val="30"/>
          <w:highlight w:val="none"/>
          <w:lang w:bidi="ar-SA"/>
        </w:rPr>
        <w:t>项目编号：</w:t>
      </w:r>
      <w:r>
        <w:rPr>
          <w:rFonts w:hint="eastAsia" w:cs="宋体"/>
          <w:b/>
          <w:bCs/>
          <w:color w:val="auto"/>
          <w:sz w:val="30"/>
          <w:szCs w:val="30"/>
          <w:highlight w:val="none"/>
          <w:lang w:eastAsia="zh-CN" w:bidi="ar-SA"/>
        </w:rPr>
        <w:t>HZZC2024-C3-990398-JCXM</w:t>
      </w:r>
    </w:p>
    <w:p w14:paraId="20E84892">
      <w:pPr>
        <w:pStyle w:val="19"/>
        <w:snapToGrid w:val="0"/>
        <w:spacing w:line="360" w:lineRule="auto"/>
        <w:ind w:firstLine="1205" w:firstLineChars="400"/>
        <w:rPr>
          <w:rFonts w:hint="eastAsia" w:ascii="宋体" w:eastAsia="宋体" w:cs="宋体"/>
          <w:b/>
          <w:bCs/>
          <w:color w:val="auto"/>
          <w:sz w:val="30"/>
          <w:szCs w:val="30"/>
          <w:highlight w:val="none"/>
          <w:lang w:bidi="ar-SA"/>
        </w:rPr>
      </w:pPr>
    </w:p>
    <w:p w14:paraId="17550A3F">
      <w:pPr>
        <w:snapToGrid w:val="0"/>
        <w:spacing w:line="360" w:lineRule="auto"/>
        <w:ind w:firstLine="1145" w:firstLineChars="400"/>
        <w:rPr>
          <w:rFonts w:hint="eastAsia" w:ascii="宋体" w:eastAsia="宋体" w:cs="宋体"/>
          <w:b/>
          <w:bCs/>
          <w:color w:val="auto"/>
          <w:w w:val="95"/>
          <w:sz w:val="30"/>
          <w:szCs w:val="30"/>
          <w:highlight w:val="none"/>
          <w:lang w:bidi="ar-SA"/>
        </w:rPr>
      </w:pPr>
    </w:p>
    <w:p w14:paraId="295FEBD1">
      <w:pPr>
        <w:snapToGrid w:val="0"/>
        <w:spacing w:line="360" w:lineRule="auto"/>
        <w:ind w:firstLine="1145" w:firstLineChars="400"/>
        <w:rPr>
          <w:rFonts w:hint="eastAsia" w:ascii="宋体" w:eastAsia="宋体" w:cs="宋体"/>
          <w:b/>
          <w:bCs/>
          <w:color w:val="auto"/>
          <w:w w:val="95"/>
          <w:sz w:val="30"/>
          <w:szCs w:val="30"/>
          <w:highlight w:val="none"/>
          <w:lang w:bidi="ar-SA"/>
        </w:rPr>
      </w:pPr>
    </w:p>
    <w:p w14:paraId="7585CDDF">
      <w:pPr>
        <w:snapToGrid w:val="0"/>
        <w:spacing w:line="360" w:lineRule="auto"/>
        <w:ind w:firstLine="1205" w:firstLineChars="400"/>
        <w:rPr>
          <w:rFonts w:hint="eastAsia" w:ascii="宋体" w:eastAsia="宋体" w:cs="宋体"/>
          <w:color w:val="auto"/>
          <w:sz w:val="30"/>
          <w:szCs w:val="72"/>
          <w:highlight w:val="none"/>
          <w:lang w:bidi="ar-SA"/>
        </w:rPr>
      </w:pPr>
      <w:r>
        <w:rPr>
          <w:rFonts w:hint="eastAsia" w:ascii="宋体" w:eastAsia="宋体" w:cs="宋体"/>
          <w:b/>
          <w:color w:val="auto"/>
          <w:sz w:val="30"/>
          <w:szCs w:val="48"/>
          <w:highlight w:val="none"/>
          <w:lang w:bidi="ar-SA"/>
        </w:rPr>
        <w:t xml:space="preserve"> </w:t>
      </w:r>
    </w:p>
    <w:p w14:paraId="7FF17246">
      <w:pPr>
        <w:pStyle w:val="19"/>
        <w:snapToGrid w:val="0"/>
        <w:spacing w:line="360" w:lineRule="auto"/>
        <w:ind w:firstLine="1125" w:firstLineChars="393"/>
        <w:rPr>
          <w:rFonts w:hint="eastAsia" w:ascii="宋体" w:eastAsia="宋体" w:cs="宋体"/>
          <w:b/>
          <w:bCs/>
          <w:color w:val="auto"/>
          <w:w w:val="95"/>
          <w:sz w:val="30"/>
          <w:szCs w:val="30"/>
          <w:highlight w:val="none"/>
          <w:lang w:eastAsia="zh-CN" w:bidi="ar-SA"/>
        </w:rPr>
      </w:pPr>
      <w:r>
        <w:rPr>
          <w:rFonts w:hint="eastAsia" w:ascii="宋体" w:eastAsia="宋体" w:cs="宋体"/>
          <w:b/>
          <w:bCs/>
          <w:color w:val="auto"/>
          <w:w w:val="95"/>
          <w:sz w:val="30"/>
          <w:szCs w:val="30"/>
          <w:highlight w:val="none"/>
          <w:lang w:bidi="ar-SA"/>
        </w:rPr>
        <w:t>采 购 人：</w:t>
      </w:r>
      <w:r>
        <w:rPr>
          <w:rFonts w:hint="eastAsia" w:cs="宋体"/>
          <w:b/>
          <w:color w:val="auto"/>
          <w:sz w:val="32"/>
          <w:szCs w:val="32"/>
          <w:highlight w:val="none"/>
          <w:lang w:eastAsia="zh-CN" w:bidi="ar-SA"/>
        </w:rPr>
        <w:t>贺州市中医医院</w:t>
      </w:r>
    </w:p>
    <w:p w14:paraId="52B48369">
      <w:pPr>
        <w:pStyle w:val="19"/>
        <w:snapToGrid w:val="0"/>
        <w:spacing w:line="360" w:lineRule="auto"/>
        <w:ind w:firstLine="1125" w:firstLineChars="393"/>
        <w:rPr>
          <w:rFonts w:hint="eastAsia" w:ascii="宋体" w:eastAsia="宋体" w:cs="宋体"/>
          <w:b/>
          <w:bCs/>
          <w:color w:val="auto"/>
          <w:w w:val="95"/>
          <w:sz w:val="30"/>
          <w:szCs w:val="30"/>
          <w:highlight w:val="none"/>
          <w:lang w:bidi="ar-SA"/>
        </w:rPr>
      </w:pPr>
      <w:r>
        <w:rPr>
          <w:rFonts w:hint="eastAsia" w:ascii="宋体" w:eastAsia="宋体" w:cs="宋体"/>
          <w:b/>
          <w:bCs/>
          <w:color w:val="auto"/>
          <w:w w:val="95"/>
          <w:sz w:val="30"/>
          <w:szCs w:val="30"/>
          <w:highlight w:val="none"/>
          <w:lang w:bidi="ar-SA"/>
        </w:rPr>
        <w:t>采购代理机构：</w:t>
      </w:r>
      <w:r>
        <w:rPr>
          <w:rFonts w:hint="eastAsia" w:ascii="宋体" w:eastAsia="宋体" w:cs="宋体"/>
          <w:b/>
          <w:color w:val="auto"/>
          <w:sz w:val="32"/>
          <w:szCs w:val="32"/>
          <w:highlight w:val="none"/>
          <w:lang w:bidi="ar-SA"/>
        </w:rPr>
        <w:t>广西建采项目管理有限公司</w:t>
      </w:r>
    </w:p>
    <w:p w14:paraId="515F8682">
      <w:pPr>
        <w:pStyle w:val="19"/>
        <w:snapToGrid w:val="0"/>
        <w:spacing w:line="360" w:lineRule="auto"/>
        <w:ind w:firstLine="1125" w:firstLineChars="393"/>
        <w:rPr>
          <w:rFonts w:hint="eastAsia" w:ascii="宋体" w:eastAsia="宋体" w:cs="宋体"/>
          <w:b/>
          <w:bCs/>
          <w:color w:val="auto"/>
          <w:w w:val="95"/>
          <w:sz w:val="30"/>
          <w:szCs w:val="30"/>
          <w:highlight w:val="none"/>
          <w:lang w:bidi="ar-SA"/>
        </w:rPr>
      </w:pPr>
    </w:p>
    <w:p w14:paraId="0ED658DF">
      <w:pPr>
        <w:pStyle w:val="19"/>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eastAsia="宋体" w:cs="宋体"/>
          <w:b/>
          <w:bCs/>
          <w:color w:val="auto"/>
          <w:w w:val="95"/>
          <w:sz w:val="30"/>
          <w:szCs w:val="30"/>
          <w:highlight w:val="none"/>
          <w:lang w:eastAsia="zh-CN" w:bidi="ar-SA"/>
        </w:rPr>
      </w:pPr>
      <w:r>
        <w:rPr>
          <w:rFonts w:hint="eastAsia" w:cs="宋体"/>
          <w:b/>
          <w:bCs/>
          <w:color w:val="auto"/>
          <w:w w:val="95"/>
          <w:sz w:val="30"/>
          <w:szCs w:val="30"/>
          <w:highlight w:val="none"/>
          <w:lang w:eastAsia="zh-CN" w:bidi="ar-SA"/>
        </w:rPr>
        <w:t>2024年</w:t>
      </w:r>
      <w:r>
        <w:rPr>
          <w:rFonts w:hint="eastAsia" w:cs="宋体"/>
          <w:b/>
          <w:bCs/>
          <w:color w:val="auto"/>
          <w:w w:val="95"/>
          <w:sz w:val="30"/>
          <w:szCs w:val="30"/>
          <w:highlight w:val="none"/>
          <w:lang w:val="en-US" w:eastAsia="zh-CN" w:bidi="ar-SA"/>
        </w:rPr>
        <w:t>11</w:t>
      </w:r>
      <w:r>
        <w:rPr>
          <w:rFonts w:hint="eastAsia" w:cs="宋体"/>
          <w:b/>
          <w:bCs/>
          <w:color w:val="auto"/>
          <w:w w:val="95"/>
          <w:sz w:val="30"/>
          <w:szCs w:val="30"/>
          <w:highlight w:val="none"/>
          <w:lang w:eastAsia="zh-CN" w:bidi="ar-SA"/>
        </w:rPr>
        <w:t>月</w:t>
      </w:r>
      <w:r>
        <w:rPr>
          <w:rFonts w:hint="eastAsia" w:cs="宋体"/>
          <w:b/>
          <w:bCs/>
          <w:color w:val="auto"/>
          <w:w w:val="95"/>
          <w:sz w:val="30"/>
          <w:szCs w:val="30"/>
          <w:highlight w:val="none"/>
          <w:lang w:val="en-US" w:eastAsia="zh-CN" w:bidi="ar-SA"/>
        </w:rPr>
        <w:t>21</w:t>
      </w:r>
      <w:r>
        <w:rPr>
          <w:rFonts w:hint="eastAsia" w:cs="宋体"/>
          <w:b/>
          <w:bCs/>
          <w:color w:val="auto"/>
          <w:w w:val="95"/>
          <w:sz w:val="30"/>
          <w:szCs w:val="30"/>
          <w:highlight w:val="none"/>
          <w:lang w:eastAsia="zh-CN" w:bidi="ar-SA"/>
        </w:rPr>
        <w:t>日</w:t>
      </w:r>
    </w:p>
    <w:p w14:paraId="58B0064D">
      <w:pPr>
        <w:spacing w:line="360" w:lineRule="auto"/>
        <w:jc w:val="center"/>
        <w:rPr>
          <w:rFonts w:hint="eastAsia" w:ascii="宋体" w:eastAsia="宋体" w:cs="宋体"/>
          <w:b/>
          <w:bCs/>
          <w:color w:val="auto"/>
          <w:kern w:val="0"/>
          <w:sz w:val="32"/>
          <w:szCs w:val="32"/>
          <w:highlight w:val="none"/>
          <w:lang w:bidi="ar-SA"/>
        </w:rPr>
      </w:pPr>
    </w:p>
    <w:p w14:paraId="09481D0B">
      <w:pPr>
        <w:tabs>
          <w:tab w:val="left" w:pos="1080"/>
        </w:tabs>
        <w:spacing w:line="360" w:lineRule="auto"/>
        <w:ind w:firstLine="883" w:firstLineChars="200"/>
        <w:rPr>
          <w:rFonts w:hint="eastAsia" w:ascii="宋体" w:eastAsia="宋体" w:cs="宋体"/>
          <w:b/>
          <w:color w:val="auto"/>
          <w:sz w:val="44"/>
          <w:szCs w:val="44"/>
          <w:highlight w:val="none"/>
          <w:lang w:bidi="ar-SA"/>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0"/>
          <w:cols w:space="0" w:num="1"/>
          <w:titlePg/>
          <w:rtlGutter w:val="0"/>
          <w:docGrid w:type="lines" w:linePitch="312" w:charSpace="0"/>
        </w:sectPr>
      </w:pPr>
    </w:p>
    <w:p w14:paraId="107C67D3">
      <w:pPr>
        <w:pStyle w:val="25"/>
        <w:rPr>
          <w:rFonts w:hint="eastAsia" w:ascii="宋体" w:eastAsia="宋体" w:cs="宋体"/>
          <w:color w:val="auto"/>
          <w:highlight w:val="none"/>
          <w:lang w:bidi="ar-SA"/>
        </w:rPr>
      </w:pPr>
    </w:p>
    <w:p w14:paraId="61EDD633">
      <w:pPr>
        <w:spacing w:line="360" w:lineRule="auto"/>
        <w:jc w:val="center"/>
        <w:rPr>
          <w:rFonts w:hint="eastAsia" w:ascii="宋体" w:eastAsia="宋体" w:cs="宋体"/>
          <w:b/>
          <w:color w:val="auto"/>
          <w:sz w:val="44"/>
          <w:szCs w:val="44"/>
          <w:highlight w:val="none"/>
          <w:lang w:bidi="ar-SA"/>
        </w:rPr>
      </w:pPr>
      <w:r>
        <w:rPr>
          <w:rFonts w:hint="eastAsia" w:ascii="宋体" w:eastAsia="宋体" w:cs="宋体"/>
          <w:b/>
          <w:color w:val="auto"/>
          <w:sz w:val="44"/>
          <w:szCs w:val="44"/>
          <w:highlight w:val="none"/>
          <w:lang w:bidi="ar-SA"/>
        </w:rPr>
        <w:t>目  录</w:t>
      </w:r>
    </w:p>
    <w:p w14:paraId="570E18C6">
      <w:pPr>
        <w:spacing w:line="400" w:lineRule="exact"/>
        <w:jc w:val="center"/>
        <w:rPr>
          <w:rFonts w:hint="eastAsia" w:ascii="宋体" w:eastAsia="宋体" w:cs="宋体"/>
          <w:b/>
          <w:color w:val="auto"/>
          <w:sz w:val="44"/>
          <w:szCs w:val="44"/>
          <w:highlight w:val="none"/>
          <w:lang w:bidi="ar-SA"/>
        </w:rPr>
      </w:pPr>
    </w:p>
    <w:p w14:paraId="3AE43A53">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b/>
          <w:color w:val="auto"/>
          <w:sz w:val="28"/>
          <w:szCs w:val="28"/>
          <w:highlight w:val="none"/>
          <w:lang w:bidi="ar-SA"/>
        </w:rPr>
        <w:fldChar w:fldCharType="begin"/>
      </w:r>
      <w:r>
        <w:rPr>
          <w:rFonts w:hint="eastAsia" w:ascii="宋体" w:eastAsia="宋体" w:cs="宋体"/>
          <w:b/>
          <w:color w:val="auto"/>
          <w:sz w:val="28"/>
          <w:szCs w:val="28"/>
          <w:highlight w:val="none"/>
          <w:lang w:bidi="ar-SA"/>
        </w:rPr>
        <w:instrText xml:space="preserve"> TOC \o "1-3" \h \z \u </w:instrText>
      </w:r>
      <w:r>
        <w:rPr>
          <w:rFonts w:hint="eastAsia" w:ascii="宋体" w:eastAsia="宋体" w:cs="宋体"/>
          <w:b/>
          <w:color w:val="auto"/>
          <w:sz w:val="28"/>
          <w:szCs w:val="28"/>
          <w:highlight w:val="none"/>
          <w:lang w:bidi="ar-SA"/>
        </w:rPr>
        <w:fldChar w:fldCharType="separate"/>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_Toc24743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第一章 竞争性磋商公告</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_Toc24743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1</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235A5E93">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_Toc2599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第二章 供应商须知</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_Toc2599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4</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7482D2C1">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_Toc21585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第三章 采购需求</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_Toc21585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19</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55A79058">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_Toc27589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第四章 评审程序、评审方法和评审标准</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_Toc27589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30</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471820C9">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_Toc9665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第五章 响应文件格式</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_Toc9665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38</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41D3C394">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_Toc4148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第六章 合同文本</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_Toc4148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63</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7107EAFF">
      <w:pPr>
        <w:pStyle w:val="25"/>
        <w:keepNext w:val="0"/>
        <w:keepLines w:val="0"/>
        <w:pageBreakBefore w:val="0"/>
        <w:widowControl w:val="0"/>
        <w:tabs>
          <w:tab w:val="right" w:leader="dot" w:pos="9638"/>
        </w:tabs>
        <w:kinsoku/>
        <w:wordWrap/>
        <w:overflowPunct/>
        <w:topLinePunct w:val="0"/>
        <w:autoSpaceDE/>
        <w:autoSpaceDN/>
        <w:bidi w:val="0"/>
        <w:adjustRightInd/>
        <w:spacing w:line="720" w:lineRule="auto"/>
        <w:textAlignment w:val="auto"/>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HYPERLINK \l _Toc31569 </w:instrText>
      </w:r>
      <w:r>
        <w:rPr>
          <w:rFonts w:hint="eastAsia" w:ascii="宋体" w:eastAsia="宋体" w:cs="宋体"/>
          <w:color w:val="auto"/>
          <w:sz w:val="28"/>
          <w:szCs w:val="28"/>
          <w:highlight w:val="none"/>
          <w:lang w:bidi="ar-SA"/>
        </w:rPr>
        <w:fldChar w:fldCharType="separate"/>
      </w:r>
      <w:r>
        <w:rPr>
          <w:rFonts w:hint="eastAsia" w:ascii="宋体" w:eastAsia="宋体" w:cs="宋体"/>
          <w:bCs/>
          <w:color w:val="auto"/>
          <w:sz w:val="28"/>
          <w:szCs w:val="28"/>
          <w:highlight w:val="none"/>
          <w:lang w:val="en-US" w:eastAsia="zh-CN" w:bidi="ar-SA"/>
        </w:rPr>
        <w:t>第七章</w:t>
      </w:r>
      <w:r>
        <w:rPr>
          <w:rFonts w:hint="eastAsia" w:ascii="宋体" w:eastAsia="宋体" w:cs="宋体"/>
          <w:bCs/>
          <w:color w:val="auto"/>
          <w:sz w:val="28"/>
          <w:szCs w:val="28"/>
          <w:highlight w:val="none"/>
          <w:lang w:bidi="ar-SA"/>
        </w:rPr>
        <w:t>“政采贷”政策告知函</w:t>
      </w:r>
      <w:r>
        <w:rPr>
          <w:rFonts w:hint="eastAsia" w:ascii="宋体" w:eastAsia="宋体" w:cs="宋体"/>
          <w:color w:val="auto"/>
          <w:sz w:val="28"/>
          <w:szCs w:val="28"/>
          <w:highlight w:val="none"/>
          <w:lang w:bidi="ar-SA"/>
        </w:rPr>
        <w:tab/>
      </w:r>
      <w:r>
        <w:rPr>
          <w:rFonts w:hint="eastAsia" w:ascii="宋体" w:eastAsia="宋体" w:cs="宋体"/>
          <w:color w:val="auto"/>
          <w:sz w:val="28"/>
          <w:szCs w:val="28"/>
          <w:highlight w:val="none"/>
          <w:lang w:bidi="ar-SA"/>
        </w:rPr>
        <w:fldChar w:fldCharType="begin"/>
      </w:r>
      <w:r>
        <w:rPr>
          <w:rFonts w:hint="eastAsia" w:ascii="宋体" w:eastAsia="宋体" w:cs="宋体"/>
          <w:color w:val="auto"/>
          <w:sz w:val="28"/>
          <w:szCs w:val="28"/>
          <w:highlight w:val="none"/>
          <w:lang w:bidi="ar-SA"/>
        </w:rPr>
        <w:instrText xml:space="preserve"> PAGEREF _Toc31569 \h </w:instrText>
      </w:r>
      <w:r>
        <w:rPr>
          <w:rFonts w:hint="eastAsia" w:ascii="宋体" w:eastAsia="宋体" w:cs="宋体"/>
          <w:color w:val="auto"/>
          <w:sz w:val="28"/>
          <w:szCs w:val="28"/>
          <w:highlight w:val="none"/>
          <w:lang w:bidi="ar-SA"/>
        </w:rPr>
        <w:fldChar w:fldCharType="separate"/>
      </w:r>
      <w:r>
        <w:rPr>
          <w:rFonts w:hint="eastAsia" w:ascii="宋体" w:eastAsia="宋体" w:cs="宋体"/>
          <w:color w:val="auto"/>
          <w:sz w:val="28"/>
          <w:szCs w:val="28"/>
          <w:highlight w:val="none"/>
          <w:lang w:bidi="ar-SA"/>
        </w:rPr>
        <w:t>69</w:t>
      </w:r>
      <w:r>
        <w:rPr>
          <w:rFonts w:hint="eastAsia" w:ascii="宋体" w:eastAsia="宋体" w:cs="宋体"/>
          <w:color w:val="auto"/>
          <w:sz w:val="28"/>
          <w:szCs w:val="28"/>
          <w:highlight w:val="none"/>
          <w:lang w:bidi="ar-SA"/>
        </w:rPr>
        <w:fldChar w:fldCharType="end"/>
      </w:r>
      <w:r>
        <w:rPr>
          <w:rFonts w:hint="eastAsia" w:ascii="宋体" w:eastAsia="宋体" w:cs="宋体"/>
          <w:color w:val="auto"/>
          <w:sz w:val="28"/>
          <w:szCs w:val="28"/>
          <w:highlight w:val="none"/>
          <w:lang w:bidi="ar-SA"/>
        </w:rPr>
        <w:fldChar w:fldCharType="end"/>
      </w:r>
    </w:p>
    <w:p w14:paraId="27A9D58B">
      <w:pPr>
        <w:pStyle w:val="26"/>
        <w:keepNext w:val="0"/>
        <w:keepLines w:val="0"/>
        <w:pageBreakBefore w:val="0"/>
        <w:widowControl w:val="0"/>
        <w:tabs>
          <w:tab w:val="right" w:leader="dot" w:pos="8931"/>
          <w:tab w:val="clear" w:pos="8296"/>
        </w:tabs>
        <w:kinsoku/>
        <w:wordWrap/>
        <w:overflowPunct/>
        <w:topLinePunct w:val="0"/>
        <w:autoSpaceDE/>
        <w:autoSpaceDN/>
        <w:bidi w:val="0"/>
        <w:adjustRightInd/>
        <w:snapToGrid w:val="0"/>
        <w:spacing w:line="720" w:lineRule="auto"/>
        <w:ind w:left="0" w:leftChars="0"/>
        <w:textAlignment w:val="auto"/>
        <w:rPr>
          <w:rFonts w:hint="eastAsia" w:ascii="宋体" w:eastAsia="宋体" w:cs="宋体"/>
          <w:b/>
          <w:color w:val="auto"/>
          <w:sz w:val="24"/>
          <w:highlight w:val="none"/>
          <w:lang w:bidi="ar-SA"/>
        </w:rPr>
      </w:pPr>
      <w:r>
        <w:rPr>
          <w:rFonts w:hint="eastAsia" w:ascii="宋体" w:eastAsia="宋体" w:cs="宋体"/>
          <w:color w:val="auto"/>
          <w:sz w:val="28"/>
          <w:szCs w:val="28"/>
          <w:highlight w:val="none"/>
          <w:lang w:bidi="ar-SA"/>
        </w:rPr>
        <w:fldChar w:fldCharType="end"/>
      </w:r>
    </w:p>
    <w:p w14:paraId="7FE1DCFB">
      <w:pPr>
        <w:spacing w:line="400" w:lineRule="exact"/>
        <w:jc w:val="left"/>
        <w:rPr>
          <w:rFonts w:hint="eastAsia" w:ascii="宋体" w:eastAsia="宋体" w:cs="宋体"/>
          <w:b/>
          <w:color w:val="auto"/>
          <w:sz w:val="32"/>
          <w:szCs w:val="32"/>
          <w:highlight w:val="none"/>
          <w:lang w:bidi="ar-SA"/>
        </w:rPr>
      </w:pPr>
    </w:p>
    <w:p w14:paraId="1C691CCC">
      <w:pPr>
        <w:spacing w:line="400" w:lineRule="exact"/>
        <w:jc w:val="center"/>
        <w:rPr>
          <w:rFonts w:hint="eastAsia" w:ascii="宋体" w:eastAsia="宋体" w:cs="宋体"/>
          <w:b/>
          <w:color w:val="auto"/>
          <w:sz w:val="32"/>
          <w:szCs w:val="32"/>
          <w:highlight w:val="none"/>
          <w:lang w:bidi="ar-SA"/>
        </w:rPr>
      </w:pPr>
    </w:p>
    <w:p w14:paraId="2AC49D53">
      <w:pPr>
        <w:spacing w:line="400" w:lineRule="exact"/>
        <w:jc w:val="center"/>
        <w:rPr>
          <w:rFonts w:hint="eastAsia" w:ascii="宋体" w:eastAsia="宋体" w:cs="宋体"/>
          <w:b/>
          <w:color w:val="auto"/>
          <w:sz w:val="32"/>
          <w:szCs w:val="32"/>
          <w:highlight w:val="none"/>
          <w:lang w:bidi="ar-SA"/>
        </w:rPr>
      </w:pPr>
    </w:p>
    <w:p w14:paraId="540125CF">
      <w:pPr>
        <w:spacing w:line="400" w:lineRule="exact"/>
        <w:jc w:val="center"/>
        <w:rPr>
          <w:rFonts w:hint="eastAsia" w:ascii="宋体" w:eastAsia="宋体" w:cs="宋体"/>
          <w:b/>
          <w:color w:val="auto"/>
          <w:sz w:val="32"/>
          <w:szCs w:val="32"/>
          <w:highlight w:val="none"/>
          <w:lang w:bidi="ar-SA"/>
        </w:rPr>
      </w:pPr>
    </w:p>
    <w:p w14:paraId="106DE699">
      <w:pPr>
        <w:spacing w:line="400" w:lineRule="exact"/>
        <w:jc w:val="center"/>
        <w:rPr>
          <w:rFonts w:hint="eastAsia" w:ascii="宋体" w:eastAsia="宋体" w:cs="宋体"/>
          <w:b/>
          <w:color w:val="auto"/>
          <w:sz w:val="32"/>
          <w:szCs w:val="32"/>
          <w:highlight w:val="none"/>
          <w:lang w:bidi="ar-SA"/>
        </w:rPr>
      </w:pPr>
    </w:p>
    <w:p w14:paraId="0AB0FB82">
      <w:pPr>
        <w:spacing w:line="400" w:lineRule="exact"/>
        <w:rPr>
          <w:rFonts w:hint="eastAsia" w:ascii="宋体" w:eastAsia="宋体" w:cs="宋体"/>
          <w:b/>
          <w:color w:val="auto"/>
          <w:sz w:val="32"/>
          <w:szCs w:val="32"/>
          <w:highlight w:val="none"/>
          <w:lang w:bidi="ar-SA"/>
        </w:rPr>
        <w:sectPr>
          <w:footerReference r:id="rId8" w:type="first"/>
          <w:footerReference r:id="rId7" w:type="default"/>
          <w:pgSz w:w="11906" w:h="16838"/>
          <w:pgMar w:top="1134" w:right="1134" w:bottom="1134" w:left="1134" w:header="851" w:footer="992" w:gutter="0"/>
          <w:pgNumType w:start="0"/>
          <w:cols w:space="0" w:num="1"/>
          <w:titlePg/>
          <w:rtlGutter w:val="0"/>
          <w:docGrid w:type="lines" w:linePitch="312" w:charSpace="0"/>
        </w:sectPr>
      </w:pPr>
    </w:p>
    <w:p w14:paraId="6588C3BB">
      <w:pPr>
        <w:pStyle w:val="4"/>
        <w:spacing w:before="0" w:after="0" w:line="240" w:lineRule="auto"/>
        <w:jc w:val="center"/>
        <w:rPr>
          <w:rFonts w:hint="eastAsia" w:ascii="宋体" w:eastAsia="宋体" w:cs="宋体"/>
          <w:color w:val="auto"/>
          <w:highlight w:val="none"/>
          <w:lang w:bidi="ar-SA"/>
        </w:rPr>
      </w:pPr>
      <w:bookmarkStart w:id="0" w:name="_Toc24743"/>
      <w:r>
        <w:rPr>
          <w:rFonts w:hint="eastAsia" w:ascii="宋体" w:eastAsia="宋体" w:cs="宋体"/>
          <w:color w:val="auto"/>
          <w:highlight w:val="none"/>
          <w:lang w:bidi="ar-SA"/>
        </w:rPr>
        <w:t>第一章 竞争性磋商公告</w:t>
      </w:r>
      <w:bookmarkEnd w:id="0"/>
    </w:p>
    <w:p w14:paraId="5C06BA74">
      <w:pPr>
        <w:pStyle w:val="19"/>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广西建采项目管理有限公司</w:t>
      </w:r>
    </w:p>
    <w:p w14:paraId="4BF4BFF9">
      <w:pPr>
        <w:jc w:val="center"/>
        <w:rPr>
          <w:rFonts w:hint="eastAsia" w:ascii="宋体" w:eastAsia="宋体" w:cs="宋体"/>
          <w:color w:val="auto"/>
          <w:sz w:val="32"/>
          <w:szCs w:val="32"/>
          <w:highlight w:val="none"/>
          <w:lang w:bidi="ar-SA"/>
        </w:rPr>
      </w:pPr>
      <w:r>
        <w:rPr>
          <w:rFonts w:hint="eastAsia" w:ascii="宋体" w:eastAsia="宋体" w:cs="宋体"/>
          <w:b/>
          <w:color w:val="auto"/>
          <w:sz w:val="32"/>
          <w:szCs w:val="32"/>
          <w:highlight w:val="none"/>
          <w:lang w:bidi="ar-SA"/>
        </w:rPr>
        <w:t>关于</w:t>
      </w:r>
      <w:r>
        <w:rPr>
          <w:rFonts w:hint="eastAsia" w:ascii="宋体" w:cs="宋体"/>
          <w:b/>
          <w:color w:val="auto"/>
          <w:sz w:val="32"/>
          <w:szCs w:val="32"/>
          <w:highlight w:val="none"/>
          <w:lang w:eastAsia="zh-CN" w:bidi="ar-SA"/>
        </w:rPr>
        <w:t>中医治未病慢病一体化管理服务平台采购项目</w:t>
      </w:r>
      <w:r>
        <w:rPr>
          <w:rFonts w:hint="eastAsia" w:ascii="宋体" w:eastAsia="宋体" w:cs="宋体"/>
          <w:b/>
          <w:color w:val="auto"/>
          <w:sz w:val="32"/>
          <w:szCs w:val="32"/>
          <w:highlight w:val="none"/>
          <w:lang w:bidi="ar-SA"/>
        </w:rPr>
        <w:t>（</w:t>
      </w:r>
      <w:r>
        <w:rPr>
          <w:rFonts w:hint="eastAsia" w:ascii="宋体" w:cs="宋体"/>
          <w:b/>
          <w:color w:val="auto"/>
          <w:sz w:val="32"/>
          <w:szCs w:val="32"/>
          <w:highlight w:val="none"/>
          <w:lang w:eastAsia="zh-CN" w:bidi="ar-SA"/>
        </w:rPr>
        <w:t>HZZC2024-C3-990398-JCXM</w:t>
      </w:r>
      <w:r>
        <w:rPr>
          <w:rFonts w:hint="eastAsia" w:ascii="宋体" w:eastAsia="宋体" w:cs="宋体"/>
          <w:b/>
          <w:color w:val="auto"/>
          <w:sz w:val="32"/>
          <w:szCs w:val="32"/>
          <w:highlight w:val="none"/>
          <w:lang w:bidi="ar-SA"/>
        </w:rPr>
        <w:t>）</w:t>
      </w:r>
      <w:r>
        <w:rPr>
          <w:rFonts w:hint="eastAsia" w:ascii="宋体" w:eastAsia="宋体" w:cs="宋体"/>
          <w:b/>
          <w:color w:val="auto"/>
          <w:kern w:val="0"/>
          <w:sz w:val="32"/>
          <w:szCs w:val="32"/>
          <w:highlight w:val="none"/>
          <w:lang w:bidi="ar-SA"/>
        </w:rPr>
        <w:t>竞争性磋商公告（远程异地评标）</w:t>
      </w:r>
    </w:p>
    <w:p w14:paraId="4102935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bookmarkStart w:id="1" w:name="_Hlk37430271"/>
      <w:r>
        <w:rPr>
          <w:rFonts w:hint="eastAsia" w:ascii="宋体" w:eastAsia="宋体" w:cs="宋体"/>
          <w:color w:val="auto"/>
          <w:szCs w:val="21"/>
          <w:highlight w:val="none"/>
          <w:lang w:bidi="ar-SA"/>
        </w:rPr>
        <w:t>项目概况</w:t>
      </w:r>
    </w:p>
    <w:p w14:paraId="52B7211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cs="宋体"/>
          <w:color w:val="auto"/>
          <w:szCs w:val="21"/>
          <w:highlight w:val="none"/>
          <w:lang w:eastAsia="zh-CN" w:bidi="ar-SA"/>
        </w:rPr>
        <w:t>中医治未病慢病一体化管理服务平台采购项目</w:t>
      </w:r>
      <w:r>
        <w:rPr>
          <w:rFonts w:hint="eastAsia" w:ascii="宋体" w:eastAsia="宋体" w:cs="宋体"/>
          <w:color w:val="auto"/>
          <w:szCs w:val="21"/>
          <w:highlight w:val="none"/>
          <w:lang w:bidi="ar-SA"/>
        </w:rPr>
        <w:t>的潜在供应商应在</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（https://login.gcy.zfcg.gxzf.gov.cn/）获取（下载）竞争性磋商文件，并于</w:t>
      </w:r>
      <w:r>
        <w:rPr>
          <w:rFonts w:hint="eastAsia" w:ascii="宋体" w:eastAsia="宋体" w:cs="宋体"/>
          <w:color w:val="auto"/>
          <w:szCs w:val="21"/>
          <w:highlight w:val="none"/>
          <w:lang w:eastAsia="zh-CN" w:bidi="ar-SA"/>
        </w:rPr>
        <w:t>2024年</w:t>
      </w:r>
      <w:r>
        <w:rPr>
          <w:rFonts w:hint="eastAsia" w:ascii="宋体" w:cs="宋体"/>
          <w:color w:val="auto"/>
          <w:szCs w:val="21"/>
          <w:highlight w:val="none"/>
          <w:lang w:val="en-US" w:eastAsia="zh-CN" w:bidi="ar-SA"/>
        </w:rPr>
        <w:t>12月2</w:t>
      </w:r>
      <w:r>
        <w:rPr>
          <w:rFonts w:hint="eastAsia" w:ascii="宋体" w:eastAsia="宋体" w:cs="宋体"/>
          <w:color w:val="auto"/>
          <w:szCs w:val="21"/>
          <w:highlight w:val="none"/>
          <w:lang w:bidi="ar-SA"/>
        </w:rPr>
        <w:t>日</w:t>
      </w:r>
      <w:r>
        <w:rPr>
          <w:rFonts w:hint="eastAsia" w:ascii="宋体" w:eastAsia="宋体" w:cs="宋体"/>
          <w:color w:val="auto"/>
          <w:szCs w:val="21"/>
          <w:highlight w:val="none"/>
          <w:lang w:val="en-US" w:eastAsia="zh-CN" w:bidi="ar-SA"/>
        </w:rPr>
        <w:t>9</w:t>
      </w:r>
      <w:r>
        <w:rPr>
          <w:rFonts w:hint="eastAsia" w:ascii="宋体" w:eastAsia="宋体" w:cs="宋体"/>
          <w:color w:val="auto"/>
          <w:szCs w:val="21"/>
          <w:highlight w:val="none"/>
          <w:lang w:bidi="ar-SA"/>
        </w:rPr>
        <w:t>时00分</w:t>
      </w:r>
      <w:r>
        <w:rPr>
          <w:rFonts w:hint="eastAsia" w:ascii="宋体" w:eastAsia="宋体" w:cs="宋体"/>
          <w:bCs/>
          <w:color w:val="auto"/>
          <w:szCs w:val="21"/>
          <w:highlight w:val="none"/>
          <w:lang w:bidi="ar-SA"/>
        </w:rPr>
        <w:t>（北京时间）前提交响应文件</w:t>
      </w:r>
      <w:r>
        <w:rPr>
          <w:rFonts w:hint="eastAsia" w:ascii="宋体" w:eastAsia="宋体" w:cs="宋体"/>
          <w:color w:val="auto"/>
          <w:szCs w:val="21"/>
          <w:highlight w:val="none"/>
          <w:lang w:bidi="ar-SA"/>
        </w:rPr>
        <w:t>。</w:t>
      </w:r>
    </w:p>
    <w:p w14:paraId="45A76180">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eastAsia="宋体" w:cs="宋体"/>
          <w:b/>
          <w:color w:val="auto"/>
          <w:sz w:val="24"/>
          <w:highlight w:val="none"/>
          <w:lang w:bidi="ar-SA"/>
        </w:rPr>
      </w:pPr>
      <w:bookmarkStart w:id="2" w:name="_Hlk37429674"/>
      <w:bookmarkStart w:id="3" w:name="_Toc35393636"/>
      <w:bookmarkStart w:id="4" w:name="_Toc44229885"/>
      <w:bookmarkStart w:id="5" w:name="_Toc28359095"/>
      <w:bookmarkStart w:id="6" w:name="_Toc35393805"/>
      <w:bookmarkStart w:id="7" w:name="_Toc28359018"/>
      <w:r>
        <w:rPr>
          <w:rFonts w:hint="eastAsia" w:ascii="宋体" w:eastAsia="宋体" w:cs="宋体"/>
          <w:b/>
          <w:color w:val="auto"/>
          <w:sz w:val="24"/>
          <w:highlight w:val="none"/>
          <w:lang w:bidi="ar-SA"/>
        </w:rPr>
        <w:t>一、项目基本情况</w:t>
      </w:r>
    </w:p>
    <w:p w14:paraId="41F6622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项目编号：</w:t>
      </w:r>
      <w:r>
        <w:rPr>
          <w:rFonts w:hint="eastAsia" w:ascii="宋体" w:cs="宋体"/>
          <w:color w:val="auto"/>
          <w:szCs w:val="21"/>
          <w:highlight w:val="none"/>
          <w:lang w:eastAsia="zh-CN" w:bidi="ar-SA"/>
        </w:rPr>
        <w:t>HZZC2024-C3-990398-JCXM</w:t>
      </w:r>
    </w:p>
    <w:p w14:paraId="011C83C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u w:val="single"/>
          <w:lang w:eastAsia="zh-CN" w:bidi="ar-SA"/>
        </w:rPr>
      </w:pPr>
      <w:r>
        <w:rPr>
          <w:rFonts w:hint="eastAsia" w:ascii="宋体" w:eastAsia="宋体" w:cs="宋体"/>
          <w:color w:val="auto"/>
          <w:szCs w:val="21"/>
          <w:highlight w:val="none"/>
          <w:lang w:bidi="ar-SA"/>
        </w:rPr>
        <w:t>项目名称：</w:t>
      </w:r>
      <w:r>
        <w:rPr>
          <w:rFonts w:hint="eastAsia" w:ascii="宋体" w:cs="宋体"/>
          <w:color w:val="auto"/>
          <w:szCs w:val="21"/>
          <w:highlight w:val="none"/>
          <w:lang w:eastAsia="zh-CN" w:bidi="ar-SA"/>
        </w:rPr>
        <w:t>中医治未病慢病一体化管理服务平台采购项目</w:t>
      </w:r>
    </w:p>
    <w:p w14:paraId="09F64F2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采购方式：竞争性磋商</w:t>
      </w:r>
    </w:p>
    <w:p w14:paraId="6FA3D28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bidi="ar-SA"/>
        </w:rPr>
      </w:pPr>
      <w:r>
        <w:rPr>
          <w:rFonts w:hint="eastAsia" w:ascii="宋体" w:eastAsia="宋体" w:cs="宋体"/>
          <w:color w:val="auto"/>
          <w:szCs w:val="21"/>
          <w:highlight w:val="none"/>
          <w:lang w:bidi="ar-SA"/>
        </w:rPr>
        <w:t>预算金额：</w:t>
      </w:r>
      <w:r>
        <w:rPr>
          <w:rFonts w:hint="eastAsia" w:ascii="宋体" w:hAnsi="宋体" w:eastAsia="宋体" w:cs="宋体"/>
          <w:color w:val="auto"/>
          <w:szCs w:val="21"/>
          <w:highlight w:val="none"/>
          <w:lang w:bidi="ar-SA"/>
        </w:rPr>
        <w:t>人民币</w:t>
      </w:r>
      <w:r>
        <w:rPr>
          <w:rFonts w:hint="eastAsia" w:ascii="宋体" w:hAnsi="宋体" w:eastAsia="宋体" w:cs="宋体"/>
          <w:color w:val="auto"/>
          <w:szCs w:val="21"/>
          <w:highlight w:val="none"/>
          <w:lang w:val="en-US" w:eastAsia="zh-CN" w:bidi="ar-SA"/>
        </w:rPr>
        <w:t>壹佰肆拾贰万肆仟壹佰元整（¥1424100.00）</w:t>
      </w:r>
    </w:p>
    <w:p w14:paraId="1635B7A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Cs w:val="21"/>
          <w:highlight w:val="none"/>
          <w:lang w:eastAsia="zh-CN" w:bidi="ar-SA"/>
        </w:rPr>
      </w:pPr>
      <w:r>
        <w:rPr>
          <w:rFonts w:hint="eastAsia" w:ascii="宋体" w:hAnsi="宋体" w:eastAsia="宋体" w:cs="宋体"/>
          <w:color w:val="auto"/>
          <w:szCs w:val="21"/>
          <w:highlight w:val="none"/>
          <w:lang w:bidi="ar-SA"/>
        </w:rPr>
        <w:t>最高限价：人民币壹佰肆拾贰万肆仟壹佰元整（¥1424100.00）</w:t>
      </w:r>
      <w:bookmarkStart w:id="148" w:name="_GoBack"/>
      <w:bookmarkEnd w:id="148"/>
    </w:p>
    <w:p w14:paraId="4E8D27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采购需求：</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4"/>
        <w:gridCol w:w="1888"/>
        <w:gridCol w:w="1470"/>
        <w:gridCol w:w="5642"/>
      </w:tblGrid>
      <w:tr w14:paraId="07CC9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C1A957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序号</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6AFDB9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项目</w:t>
            </w:r>
            <w:r>
              <w:rPr>
                <w:rFonts w:hint="eastAsia" w:ascii="宋体" w:eastAsia="宋体" w:cs="宋体"/>
                <w:color w:val="auto"/>
                <w:szCs w:val="21"/>
                <w:highlight w:val="none"/>
                <w:lang w:bidi="ar-SA"/>
              </w:rPr>
              <w:t>名称</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7051CF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数量及单位</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38FEA7A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简要技术需求或者服务要求</w:t>
            </w:r>
          </w:p>
        </w:tc>
      </w:tr>
      <w:tr w14:paraId="4FB9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9E6160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45C8490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eastAsia="zh-CN" w:bidi="ar-SA"/>
              </w:rPr>
            </w:pPr>
            <w:r>
              <w:rPr>
                <w:rFonts w:hint="eastAsia" w:ascii="宋体" w:cs="宋体"/>
                <w:color w:val="auto"/>
                <w:szCs w:val="21"/>
                <w:highlight w:val="none"/>
                <w:lang w:eastAsia="zh-CN" w:bidi="ar-SA"/>
              </w:rPr>
              <w:t>中医治未病慢病一体化管理服务平台采购项目</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1C1DFB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1项</w:t>
            </w:r>
          </w:p>
        </w:tc>
        <w:tc>
          <w:tcPr>
            <w:tcW w:w="5642" w:type="dxa"/>
            <w:tcBorders>
              <w:top w:val="single" w:color="auto" w:sz="4" w:space="0"/>
              <w:left w:val="single" w:color="auto" w:sz="4" w:space="0"/>
              <w:bottom w:val="single" w:color="auto" w:sz="4" w:space="0"/>
              <w:right w:val="single" w:color="auto" w:sz="4" w:space="0"/>
            </w:tcBorders>
            <w:noWrap w:val="0"/>
            <w:vAlign w:val="center"/>
          </w:tcPr>
          <w:p w14:paraId="6D5425C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eastAsia="宋体" w:cs="宋体"/>
                <w:color w:val="auto"/>
                <w:szCs w:val="21"/>
                <w:highlight w:val="none"/>
                <w:lang w:eastAsia="zh-CN" w:bidi="ar-SA"/>
              </w:rPr>
            </w:pPr>
            <w:r>
              <w:rPr>
                <w:rFonts w:hint="eastAsia" w:ascii="宋体" w:cs="宋体"/>
                <w:color w:val="auto"/>
                <w:szCs w:val="21"/>
                <w:highlight w:val="none"/>
                <w:lang w:eastAsia="zh-CN" w:bidi="ar-SA"/>
              </w:rPr>
              <w:t>中医治未病慢病一体化管理服务平台采购项目</w:t>
            </w:r>
            <w:r>
              <w:rPr>
                <w:rFonts w:hint="eastAsia" w:ascii="宋体" w:eastAsia="宋体" w:cs="宋体"/>
                <w:color w:val="auto"/>
                <w:szCs w:val="21"/>
                <w:highlight w:val="none"/>
                <w:lang w:eastAsia="zh-CN" w:bidi="ar-SA"/>
              </w:rPr>
              <w:t>1项，如需进一步了解详细内容，详见竞争性磋商文件</w:t>
            </w:r>
          </w:p>
        </w:tc>
      </w:tr>
    </w:tbl>
    <w:p w14:paraId="0616224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合同履行期限：</w:t>
      </w:r>
      <w:r>
        <w:rPr>
          <w:rFonts w:hint="eastAsia" w:ascii="宋体" w:eastAsia="宋体" w:cs="宋体"/>
          <w:color w:val="auto"/>
          <w:szCs w:val="21"/>
          <w:highlight w:val="none"/>
          <w:lang w:eastAsia="zh-CN" w:bidi="ar-SA"/>
        </w:rPr>
        <w:t>提交服务成果时间：</w:t>
      </w:r>
      <w:r>
        <w:rPr>
          <w:rFonts w:hint="eastAsia" w:ascii="宋体" w:cs="宋体"/>
          <w:color w:val="auto"/>
          <w:szCs w:val="21"/>
          <w:highlight w:val="none"/>
          <w:lang w:eastAsia="zh-CN" w:bidi="ar-SA"/>
        </w:rPr>
        <w:t>自采购合同签订之日起</w:t>
      </w:r>
      <w:r>
        <w:rPr>
          <w:rFonts w:hint="eastAsia" w:ascii="宋体" w:cs="宋体"/>
          <w:color w:val="auto"/>
          <w:szCs w:val="21"/>
          <w:highlight w:val="none"/>
          <w:lang w:val="en-US" w:eastAsia="zh-CN" w:bidi="ar-SA"/>
        </w:rPr>
        <w:t>90</w:t>
      </w:r>
      <w:r>
        <w:rPr>
          <w:rFonts w:hint="eastAsia" w:ascii="宋体" w:cs="宋体"/>
          <w:color w:val="auto"/>
          <w:szCs w:val="21"/>
          <w:highlight w:val="none"/>
          <w:lang w:eastAsia="zh-CN" w:bidi="ar-SA"/>
        </w:rPr>
        <w:t>日历天内完成并交付使用</w:t>
      </w:r>
      <w:r>
        <w:rPr>
          <w:rFonts w:hint="eastAsia" w:ascii="宋体" w:eastAsia="宋体" w:cs="宋体"/>
          <w:color w:val="auto"/>
          <w:szCs w:val="21"/>
          <w:highlight w:val="none"/>
          <w:lang w:val="en-US" w:eastAsia="zh-CN" w:bidi="ar-SA"/>
        </w:rPr>
        <w:t>。</w:t>
      </w:r>
    </w:p>
    <w:p w14:paraId="0758D29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本项目不接受联合体。</w:t>
      </w:r>
    </w:p>
    <w:p w14:paraId="5E59BBDD">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二、申请人的资格条件：</w:t>
      </w:r>
    </w:p>
    <w:p w14:paraId="71863C8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1、满足《中华人民共和国政府采购法》第二十二条规定。</w:t>
      </w:r>
    </w:p>
    <w:p w14:paraId="7BEC2E6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2、落实政府采购政策需满足的资格要求：无。</w:t>
      </w:r>
    </w:p>
    <w:p w14:paraId="7B9DE28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3、本项目的特定资格要求：</w:t>
      </w:r>
      <w:r>
        <w:rPr>
          <w:rFonts w:hint="eastAsia" w:ascii="宋体" w:cs="宋体"/>
          <w:color w:val="auto"/>
          <w:szCs w:val="21"/>
          <w:highlight w:val="none"/>
          <w:lang w:val="en-US" w:eastAsia="zh-CN" w:bidi="ar-SA"/>
        </w:rPr>
        <w:t>无</w:t>
      </w:r>
      <w:r>
        <w:rPr>
          <w:rFonts w:hint="eastAsia" w:ascii="宋体" w:eastAsia="宋体" w:cs="宋体"/>
          <w:color w:val="auto"/>
          <w:szCs w:val="21"/>
          <w:highlight w:val="none"/>
          <w:lang w:bidi="ar-SA"/>
        </w:rPr>
        <w:t>。</w:t>
      </w:r>
    </w:p>
    <w:p w14:paraId="3081CA96">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三、获取竞争性磋商文件</w:t>
      </w:r>
    </w:p>
    <w:p w14:paraId="4258F23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bCs/>
          <w:color w:val="auto"/>
          <w:kern w:val="0"/>
          <w:szCs w:val="21"/>
          <w:highlight w:val="none"/>
          <w:lang w:bidi="ar-SA"/>
        </w:rPr>
      </w:pPr>
      <w:r>
        <w:rPr>
          <w:rFonts w:hint="eastAsia" w:ascii="宋体" w:eastAsia="宋体" w:cs="宋体"/>
          <w:bCs/>
          <w:color w:val="auto"/>
          <w:kern w:val="0"/>
          <w:szCs w:val="21"/>
          <w:highlight w:val="none"/>
          <w:lang w:bidi="ar-SA"/>
        </w:rPr>
        <w:t>时间：</w:t>
      </w:r>
      <w:r>
        <w:rPr>
          <w:rFonts w:hint="eastAsia" w:ascii="宋体" w:eastAsia="宋体" w:cs="宋体"/>
          <w:color w:val="auto"/>
          <w:highlight w:val="none"/>
          <w:lang w:eastAsia="zh-CN" w:bidi="ar-SA"/>
        </w:rPr>
        <w:t>2024年</w:t>
      </w:r>
      <w:r>
        <w:rPr>
          <w:rFonts w:hint="eastAsia" w:ascii="宋体" w:cs="宋体"/>
          <w:color w:val="auto"/>
          <w:highlight w:val="none"/>
          <w:lang w:val="en-US" w:eastAsia="zh-CN" w:bidi="ar-SA"/>
        </w:rPr>
        <w:t>11月21</w:t>
      </w:r>
      <w:r>
        <w:rPr>
          <w:rFonts w:hint="eastAsia" w:ascii="宋体" w:eastAsia="宋体" w:cs="宋体"/>
          <w:color w:val="auto"/>
          <w:highlight w:val="none"/>
          <w:lang w:bidi="ar-SA"/>
        </w:rPr>
        <w:t>日</w:t>
      </w:r>
      <w:r>
        <w:rPr>
          <w:rFonts w:hint="eastAsia" w:ascii="宋体" w:eastAsia="宋体" w:cs="宋体"/>
          <w:color w:val="auto"/>
          <w:szCs w:val="21"/>
          <w:highlight w:val="none"/>
          <w:lang w:bidi="ar-SA"/>
        </w:rPr>
        <w:t>至</w:t>
      </w:r>
      <w:r>
        <w:rPr>
          <w:rFonts w:hint="eastAsia" w:ascii="宋体" w:eastAsia="宋体" w:cs="宋体"/>
          <w:color w:val="auto"/>
          <w:highlight w:val="none"/>
          <w:lang w:eastAsia="zh-CN" w:bidi="ar-SA"/>
        </w:rPr>
        <w:t>2024年</w:t>
      </w:r>
      <w:r>
        <w:rPr>
          <w:rFonts w:hint="eastAsia" w:ascii="宋体" w:cs="宋体"/>
          <w:color w:val="auto"/>
          <w:highlight w:val="none"/>
          <w:lang w:val="en-US" w:eastAsia="zh-CN" w:bidi="ar-SA"/>
        </w:rPr>
        <w:t>11月28</w:t>
      </w:r>
      <w:r>
        <w:rPr>
          <w:rFonts w:hint="eastAsia" w:ascii="宋体" w:eastAsia="宋体" w:cs="宋体"/>
          <w:color w:val="auto"/>
          <w:highlight w:val="none"/>
          <w:lang w:bidi="ar-SA"/>
        </w:rPr>
        <w:t>日</w:t>
      </w:r>
      <w:r>
        <w:rPr>
          <w:rFonts w:hint="eastAsia" w:ascii="宋体" w:eastAsia="宋体" w:cs="宋体"/>
          <w:color w:val="auto"/>
          <w:szCs w:val="21"/>
          <w:highlight w:val="none"/>
          <w:lang w:bidi="ar-SA"/>
        </w:rPr>
        <w:t>，每天上午00:00-12:00；下午1</w:t>
      </w:r>
      <w:r>
        <w:rPr>
          <w:rFonts w:hint="eastAsia" w:ascii="宋体" w:eastAsia="宋体" w:cs="宋体"/>
          <w:color w:val="auto"/>
          <w:highlight w:val="none"/>
          <w:lang w:bidi="ar-SA"/>
        </w:rPr>
        <w:t>2</w:t>
      </w:r>
      <w:r>
        <w:rPr>
          <w:rFonts w:hint="eastAsia" w:ascii="宋体" w:eastAsia="宋体" w:cs="宋体"/>
          <w:color w:val="auto"/>
          <w:szCs w:val="21"/>
          <w:highlight w:val="none"/>
          <w:lang w:bidi="ar-SA"/>
        </w:rPr>
        <w:t>:</w:t>
      </w:r>
      <w:r>
        <w:rPr>
          <w:rFonts w:hint="eastAsia" w:ascii="宋体" w:eastAsia="宋体" w:cs="宋体"/>
          <w:color w:val="auto"/>
          <w:highlight w:val="none"/>
          <w:lang w:bidi="ar-SA"/>
        </w:rPr>
        <w:t>00</w:t>
      </w:r>
      <w:r>
        <w:rPr>
          <w:rFonts w:hint="eastAsia" w:ascii="宋体" w:eastAsia="宋体" w:cs="宋体"/>
          <w:color w:val="auto"/>
          <w:szCs w:val="21"/>
          <w:highlight w:val="none"/>
          <w:lang w:bidi="ar-SA"/>
        </w:rPr>
        <w:t>-23:</w:t>
      </w:r>
      <w:r>
        <w:rPr>
          <w:rFonts w:hint="eastAsia" w:ascii="宋体" w:eastAsia="宋体" w:cs="宋体"/>
          <w:color w:val="auto"/>
          <w:highlight w:val="none"/>
          <w:lang w:bidi="ar-SA"/>
        </w:rPr>
        <w:t>59</w:t>
      </w:r>
      <w:r>
        <w:rPr>
          <w:rFonts w:hint="eastAsia" w:ascii="宋体" w:eastAsia="宋体" w:cs="宋体"/>
          <w:color w:val="auto"/>
          <w:szCs w:val="21"/>
          <w:highlight w:val="none"/>
          <w:lang w:bidi="ar-SA"/>
        </w:rPr>
        <w:t>（北京时间，法定节假日除外）</w:t>
      </w:r>
      <w:r>
        <w:rPr>
          <w:rFonts w:hint="eastAsia" w:ascii="宋体" w:eastAsia="宋体" w:cs="宋体"/>
          <w:bCs/>
          <w:color w:val="auto"/>
          <w:kern w:val="0"/>
          <w:szCs w:val="21"/>
          <w:highlight w:val="none"/>
          <w:lang w:bidi="ar-SA"/>
        </w:rPr>
        <w:t>。</w:t>
      </w:r>
    </w:p>
    <w:p w14:paraId="2BA7E3F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bCs/>
          <w:color w:val="auto"/>
          <w:kern w:val="0"/>
          <w:szCs w:val="21"/>
          <w:highlight w:val="none"/>
          <w:lang w:bidi="ar-SA"/>
        </w:rPr>
      </w:pPr>
      <w:r>
        <w:rPr>
          <w:rFonts w:hint="eastAsia" w:ascii="宋体" w:eastAsia="宋体" w:cs="宋体"/>
          <w:bCs/>
          <w:color w:val="auto"/>
          <w:kern w:val="0"/>
          <w:szCs w:val="21"/>
          <w:highlight w:val="none"/>
          <w:lang w:bidi="ar-SA"/>
        </w:rPr>
        <w:t>地点：</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（https://login.gcy.zfcg.gxzf.gov.cn/）</w:t>
      </w:r>
    </w:p>
    <w:p w14:paraId="0533AEE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bCs/>
          <w:color w:val="auto"/>
          <w:kern w:val="0"/>
          <w:szCs w:val="21"/>
          <w:highlight w:val="none"/>
          <w:lang w:bidi="ar-SA"/>
        </w:rPr>
      </w:pPr>
      <w:r>
        <w:rPr>
          <w:rFonts w:hint="eastAsia" w:ascii="宋体" w:eastAsia="宋体" w:cs="宋体"/>
          <w:bCs/>
          <w:color w:val="auto"/>
          <w:kern w:val="0"/>
          <w:szCs w:val="21"/>
          <w:highlight w:val="none"/>
          <w:lang w:bidi="ar-SA"/>
        </w:rPr>
        <w:t>方式：网上下载。本项目不发放纸质文件，供应商应自行</w:t>
      </w:r>
      <w:r>
        <w:rPr>
          <w:rFonts w:hint="eastAsia" w:ascii="宋体" w:eastAsia="宋体" w:cs="宋体"/>
          <w:color w:val="auto"/>
          <w:szCs w:val="21"/>
          <w:highlight w:val="none"/>
          <w:lang w:bidi="ar-SA"/>
        </w:rPr>
        <w:t>在</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（https://login.gcy.zfcg.gxzf.gov.cn/）</w:t>
      </w:r>
      <w:r>
        <w:rPr>
          <w:rFonts w:hint="eastAsia" w:ascii="宋体" w:eastAsia="宋体" w:cs="宋体"/>
          <w:bCs/>
          <w:color w:val="auto"/>
          <w:kern w:val="0"/>
          <w:szCs w:val="21"/>
          <w:highlight w:val="none"/>
          <w:lang w:bidi="ar-SA"/>
        </w:rPr>
        <w:t>下载竞争性磋商文件（操作路径：登录</w:t>
      </w:r>
      <w:r>
        <w:rPr>
          <w:rFonts w:hint="eastAsia" w:ascii="宋体" w:eastAsia="宋体" w:cs="宋体"/>
          <w:color w:val="auto"/>
          <w:szCs w:val="21"/>
          <w:highlight w:val="none"/>
          <w:lang w:eastAsia="zh-CN" w:bidi="ar-SA"/>
        </w:rPr>
        <w:t>广西政府采购云平台</w:t>
      </w:r>
      <w:r>
        <w:rPr>
          <w:rFonts w:hint="eastAsia" w:ascii="宋体" w:eastAsia="宋体" w:cs="宋体"/>
          <w:bCs/>
          <w:color w:val="auto"/>
          <w:kern w:val="0"/>
          <w:szCs w:val="21"/>
          <w:highlight w:val="none"/>
          <w:lang w:bidi="ar-SA"/>
        </w:rPr>
        <w:t>-项目采购-获取采购文件-找到本项目-点击“申请获取采购文件”），电子响应文件制作需要基于</w:t>
      </w:r>
      <w:r>
        <w:rPr>
          <w:rFonts w:hint="eastAsia" w:ascii="宋体" w:eastAsia="宋体" w:cs="宋体"/>
          <w:bCs/>
          <w:color w:val="auto"/>
          <w:kern w:val="0"/>
          <w:szCs w:val="21"/>
          <w:highlight w:val="none"/>
          <w:lang w:eastAsia="zh-CN" w:bidi="ar-SA"/>
        </w:rPr>
        <w:t>广西政府采购云平台</w:t>
      </w:r>
      <w:r>
        <w:rPr>
          <w:rFonts w:hint="eastAsia" w:ascii="宋体" w:eastAsia="宋体" w:cs="宋体"/>
          <w:bCs/>
          <w:color w:val="auto"/>
          <w:kern w:val="0"/>
          <w:szCs w:val="21"/>
          <w:highlight w:val="none"/>
          <w:lang w:bidi="ar-SA"/>
        </w:rPr>
        <w:t>获取的竞争性磋商文件编制。</w:t>
      </w:r>
    </w:p>
    <w:p w14:paraId="234F34C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bCs/>
          <w:color w:val="auto"/>
          <w:kern w:val="0"/>
          <w:szCs w:val="21"/>
          <w:highlight w:val="none"/>
          <w:lang w:bidi="ar-SA"/>
        </w:rPr>
        <w:t>售价：0元。</w:t>
      </w:r>
    </w:p>
    <w:p w14:paraId="007C7593">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四、响应文件提交</w:t>
      </w:r>
    </w:p>
    <w:p w14:paraId="137ABB6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1、首次响应文件提交截止时间：</w:t>
      </w:r>
      <w:r>
        <w:rPr>
          <w:rFonts w:hint="eastAsia" w:ascii="宋体" w:eastAsia="宋体" w:cs="宋体"/>
          <w:color w:val="auto"/>
          <w:szCs w:val="21"/>
          <w:highlight w:val="none"/>
          <w:lang w:eastAsia="zh-CN" w:bidi="ar-SA"/>
        </w:rPr>
        <w:t>2024年</w:t>
      </w:r>
      <w:r>
        <w:rPr>
          <w:rFonts w:hint="eastAsia" w:ascii="宋体" w:cs="宋体"/>
          <w:color w:val="auto"/>
          <w:szCs w:val="21"/>
          <w:highlight w:val="none"/>
          <w:lang w:val="en-US" w:eastAsia="zh-CN" w:bidi="ar-SA"/>
        </w:rPr>
        <w:t>12月2</w:t>
      </w:r>
      <w:r>
        <w:rPr>
          <w:rFonts w:hint="eastAsia" w:ascii="宋体" w:eastAsia="宋体" w:cs="宋体"/>
          <w:color w:val="auto"/>
          <w:szCs w:val="21"/>
          <w:highlight w:val="none"/>
          <w:lang w:bidi="ar-SA"/>
        </w:rPr>
        <w:t>日</w:t>
      </w:r>
      <w:r>
        <w:rPr>
          <w:rFonts w:hint="eastAsia" w:ascii="宋体" w:eastAsia="宋体" w:cs="宋体"/>
          <w:color w:val="auto"/>
          <w:szCs w:val="21"/>
          <w:highlight w:val="none"/>
          <w:lang w:val="en-US" w:eastAsia="zh-CN" w:bidi="ar-SA"/>
        </w:rPr>
        <w:t>9</w:t>
      </w:r>
      <w:r>
        <w:rPr>
          <w:rFonts w:hint="eastAsia" w:ascii="宋体" w:eastAsia="宋体" w:cs="宋体"/>
          <w:color w:val="auto"/>
          <w:szCs w:val="21"/>
          <w:highlight w:val="none"/>
          <w:lang w:bidi="ar-SA"/>
        </w:rPr>
        <w:t>时00分</w:t>
      </w:r>
      <w:r>
        <w:rPr>
          <w:rFonts w:hint="eastAsia" w:ascii="宋体" w:eastAsia="宋体" w:cs="宋体"/>
          <w:bCs/>
          <w:color w:val="auto"/>
          <w:kern w:val="0"/>
          <w:szCs w:val="21"/>
          <w:highlight w:val="none"/>
          <w:lang w:bidi="ar-SA"/>
        </w:rPr>
        <w:t>（北京时间）</w:t>
      </w:r>
    </w:p>
    <w:p w14:paraId="7D4450A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SA"/>
        </w:rPr>
      </w:pPr>
      <w:r>
        <w:rPr>
          <w:rFonts w:hint="eastAsia" w:ascii="宋体" w:eastAsia="宋体" w:cs="宋体"/>
          <w:color w:val="auto"/>
          <w:szCs w:val="21"/>
          <w:highlight w:val="none"/>
          <w:lang w:bidi="ar-SA"/>
        </w:rPr>
        <w:t>2、</w:t>
      </w:r>
      <w:r>
        <w:rPr>
          <w:rFonts w:hint="eastAsia" w:ascii="宋体" w:hAnsi="宋体" w:eastAsia="宋体" w:cs="宋体"/>
          <w:color w:val="auto"/>
          <w:szCs w:val="21"/>
          <w:highlight w:val="none"/>
          <w:lang w:bidi="ar-SA"/>
        </w:rPr>
        <w:t>地点：</w:t>
      </w:r>
      <w:r>
        <w:rPr>
          <w:rFonts w:hint="eastAsia" w:ascii="宋体" w:hAnsi="宋体" w:eastAsia="宋体" w:cs="宋体"/>
          <w:color w:val="auto"/>
          <w:szCs w:val="21"/>
          <w:highlight w:val="none"/>
          <w:lang w:bidi="ar"/>
        </w:rPr>
        <w:t>通过</w:t>
      </w:r>
      <w:r>
        <w:rPr>
          <w:rFonts w:hint="eastAsia" w:ascii="宋体" w:hAnsi="宋体" w:eastAsia="宋体" w:cs="宋体"/>
          <w:color w:val="auto"/>
          <w:szCs w:val="21"/>
          <w:highlight w:val="none"/>
          <w:lang w:eastAsia="zh-CN" w:bidi="ar-SA"/>
        </w:rPr>
        <w:t>广西政府采购云平台</w:t>
      </w:r>
      <w:r>
        <w:rPr>
          <w:rFonts w:hint="eastAsia" w:ascii="宋体" w:hAnsi="宋体" w:eastAsia="宋体" w:cs="宋体"/>
          <w:color w:val="auto"/>
          <w:szCs w:val="21"/>
          <w:highlight w:val="none"/>
          <w:lang w:bidi="ar"/>
        </w:rPr>
        <w:t>在线提交</w:t>
      </w:r>
    </w:p>
    <w:p w14:paraId="70D70C32">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五、开启</w:t>
      </w:r>
    </w:p>
    <w:p w14:paraId="5A07066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single"/>
          <w:lang w:bidi="ar-SA"/>
        </w:rPr>
      </w:pPr>
      <w:r>
        <w:rPr>
          <w:rFonts w:hint="eastAsia" w:ascii="宋体" w:hAnsi="宋体" w:eastAsia="宋体" w:cs="宋体"/>
          <w:color w:val="auto"/>
          <w:szCs w:val="21"/>
          <w:highlight w:val="none"/>
          <w:lang w:bidi="ar-SA"/>
        </w:rPr>
        <w:t>1、首次响应文件开启时间：</w:t>
      </w:r>
      <w:r>
        <w:rPr>
          <w:rFonts w:hint="eastAsia" w:ascii="宋体" w:hAnsi="宋体" w:eastAsia="宋体" w:cs="宋体"/>
          <w:color w:val="auto"/>
          <w:szCs w:val="21"/>
          <w:highlight w:val="none"/>
          <w:lang w:eastAsia="zh-CN" w:bidi="ar-SA"/>
        </w:rPr>
        <w:t>2024年</w:t>
      </w:r>
      <w:r>
        <w:rPr>
          <w:rFonts w:hint="eastAsia" w:ascii="宋体" w:hAnsi="宋体" w:eastAsia="宋体" w:cs="宋体"/>
          <w:color w:val="auto"/>
          <w:szCs w:val="21"/>
          <w:highlight w:val="none"/>
          <w:lang w:val="en-US" w:eastAsia="zh-CN" w:bidi="ar-SA"/>
        </w:rPr>
        <w:t>12月2</w:t>
      </w:r>
      <w:r>
        <w:rPr>
          <w:rFonts w:hint="eastAsia" w:ascii="宋体" w:hAnsi="宋体" w:eastAsia="宋体" w:cs="宋体"/>
          <w:color w:val="auto"/>
          <w:szCs w:val="21"/>
          <w:highlight w:val="none"/>
          <w:lang w:bidi="ar-SA"/>
        </w:rPr>
        <w:t>日</w:t>
      </w:r>
      <w:r>
        <w:rPr>
          <w:rFonts w:hint="eastAsia" w:ascii="宋体" w:hAnsi="宋体" w:eastAsia="宋体" w:cs="宋体"/>
          <w:color w:val="auto"/>
          <w:szCs w:val="21"/>
          <w:highlight w:val="none"/>
          <w:lang w:val="en-US" w:eastAsia="zh-CN" w:bidi="ar-SA"/>
        </w:rPr>
        <w:t>9</w:t>
      </w:r>
      <w:r>
        <w:rPr>
          <w:rFonts w:hint="eastAsia" w:ascii="宋体" w:hAnsi="宋体" w:eastAsia="宋体" w:cs="宋体"/>
          <w:color w:val="auto"/>
          <w:szCs w:val="21"/>
          <w:highlight w:val="none"/>
          <w:lang w:bidi="ar-SA"/>
        </w:rPr>
        <w:t>时00分</w:t>
      </w:r>
      <w:r>
        <w:rPr>
          <w:rFonts w:hint="eastAsia" w:ascii="宋体" w:hAnsi="宋体" w:eastAsia="宋体" w:cs="宋体"/>
          <w:bCs/>
          <w:color w:val="auto"/>
          <w:kern w:val="0"/>
          <w:szCs w:val="21"/>
          <w:highlight w:val="none"/>
          <w:lang w:bidi="ar-SA"/>
        </w:rPr>
        <w:t>（北京时间）</w:t>
      </w:r>
    </w:p>
    <w:p w14:paraId="43705C8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2、地点：广西壮族自治区贺州市八步区贺州市平安东路绿洲家园B区B-2栋5号商铺3F广西建采项目管理有限公司-开标室</w:t>
      </w:r>
    </w:p>
    <w:p w14:paraId="5B81CF6A">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六、公告期限</w:t>
      </w:r>
    </w:p>
    <w:p w14:paraId="3AC95F7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lang w:bidi="ar-SA"/>
        </w:rPr>
      </w:pPr>
      <w:r>
        <w:rPr>
          <w:rFonts w:hint="eastAsia" w:ascii="宋体" w:hAnsi="宋体" w:eastAsia="宋体" w:cs="宋体"/>
          <w:color w:val="auto"/>
          <w:kern w:val="0"/>
          <w:szCs w:val="21"/>
          <w:highlight w:val="none"/>
          <w:lang w:bidi="ar-SA"/>
        </w:rPr>
        <w:t>自本公告发布之日起</w:t>
      </w:r>
      <w:r>
        <w:rPr>
          <w:rFonts w:hint="eastAsia" w:ascii="宋体" w:hAnsi="宋体" w:eastAsia="宋体" w:cs="宋体"/>
          <w:color w:val="auto"/>
          <w:kern w:val="0"/>
          <w:szCs w:val="21"/>
          <w:highlight w:val="none"/>
          <w:lang w:val="en-US" w:eastAsia="zh-CN" w:bidi="ar-SA"/>
        </w:rPr>
        <w:t>5</w:t>
      </w:r>
      <w:r>
        <w:rPr>
          <w:rFonts w:hint="eastAsia" w:ascii="宋体" w:hAnsi="宋体" w:eastAsia="宋体" w:cs="宋体"/>
          <w:color w:val="auto"/>
          <w:kern w:val="0"/>
          <w:szCs w:val="21"/>
          <w:highlight w:val="none"/>
          <w:lang w:bidi="ar-SA"/>
        </w:rPr>
        <w:t>个工作日。</w:t>
      </w:r>
    </w:p>
    <w:p w14:paraId="26897606">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hAnsi="宋体" w:eastAsia="宋体" w:cs="宋体"/>
          <w:b/>
          <w:color w:val="auto"/>
          <w:sz w:val="24"/>
          <w:highlight w:val="none"/>
          <w:lang w:bidi="ar-SA"/>
        </w:rPr>
      </w:pPr>
      <w:r>
        <w:rPr>
          <w:rFonts w:hint="eastAsia" w:ascii="宋体" w:hAnsi="宋体" w:eastAsia="宋体" w:cs="宋体"/>
          <w:b/>
          <w:color w:val="auto"/>
          <w:sz w:val="24"/>
          <w:highlight w:val="none"/>
          <w:lang w:bidi="ar-SA"/>
        </w:rPr>
        <w:t>七、其他补充事宜</w:t>
      </w:r>
    </w:p>
    <w:p w14:paraId="6177483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1、磋商保证金（人民币）：</w:t>
      </w:r>
      <w:r>
        <w:rPr>
          <w:rFonts w:hint="eastAsia" w:ascii="宋体" w:hAnsi="宋体" w:eastAsia="宋体" w:cs="宋体"/>
          <w:color w:val="auto"/>
          <w:szCs w:val="21"/>
          <w:highlight w:val="none"/>
          <w:lang w:eastAsia="zh-CN" w:bidi="ar"/>
        </w:rPr>
        <w:t>壹万</w:t>
      </w:r>
      <w:r>
        <w:rPr>
          <w:rFonts w:hint="eastAsia" w:ascii="宋体" w:hAnsi="宋体" w:eastAsia="宋体" w:cs="宋体"/>
          <w:color w:val="auto"/>
          <w:szCs w:val="21"/>
          <w:highlight w:val="none"/>
          <w:lang w:val="en-US" w:eastAsia="zh-CN" w:bidi="ar"/>
        </w:rPr>
        <w:t>肆</w:t>
      </w:r>
      <w:r>
        <w:rPr>
          <w:rFonts w:hint="eastAsia" w:ascii="宋体" w:hAnsi="宋体" w:eastAsia="宋体" w:cs="宋体"/>
          <w:color w:val="auto"/>
          <w:szCs w:val="21"/>
          <w:highlight w:val="none"/>
          <w:lang w:eastAsia="zh-CN" w:bidi="ar"/>
        </w:rPr>
        <w:t>仟元整（¥1</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000.00）</w:t>
      </w:r>
      <w:r>
        <w:rPr>
          <w:rFonts w:hint="eastAsia" w:ascii="宋体" w:hAnsi="宋体" w:eastAsia="宋体" w:cs="宋体"/>
          <w:color w:val="auto"/>
          <w:szCs w:val="21"/>
          <w:highlight w:val="none"/>
          <w:lang w:bidi="ar"/>
        </w:rPr>
        <w:t>（须足额交纳）。</w:t>
      </w:r>
    </w:p>
    <w:p w14:paraId="4673FE9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磋商保证金应以支票、汇票、本票、转账、电汇或者金融机构出具的保函、保险等非现金形式，并于响应文件递交截止时间前交纳并确保到账，以转账、电汇形式的从供应商单位账户交至以下账户：</w:t>
      </w:r>
    </w:p>
    <w:p w14:paraId="05B08E1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账户名称：广西建采项目管理有限公司  </w:t>
      </w:r>
    </w:p>
    <w:p w14:paraId="24AD44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开户银行：中国建设银行贺州城东支行             </w:t>
      </w:r>
    </w:p>
    <w:p w14:paraId="42AF52B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银行账号：45050164740200001325</w:t>
      </w:r>
    </w:p>
    <w:p w14:paraId="18CEEB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注：若成交供应商以电子保函形式提交投标保证金的，推广使用在“广西政府采购金融服务平台”通过在线方式完成保函申请、递交等全流程电子化操作。</w:t>
      </w:r>
    </w:p>
    <w:p w14:paraId="7D2AD9D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98581F">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hAnsi="宋体" w:eastAsia="宋体" w:cs="宋体"/>
          <w:color w:val="auto"/>
          <w:szCs w:val="21"/>
          <w:highlight w:val="none"/>
          <w:lang w:bidi="ar"/>
        </w:rPr>
        <w:t>3、根据财政部《关于在政府采购活动中查询及使用信用记录有关问题的通知》（财库〔2016〕125号）的规定，对在“信用中国”网站(www.creditchina.gov.cn) 、</w:t>
      </w:r>
      <w:r>
        <w:rPr>
          <w:rFonts w:hint="eastAsia" w:ascii="宋体" w:eastAsia="宋体" w:cs="宋体"/>
          <w:color w:val="auto"/>
          <w:szCs w:val="21"/>
          <w:highlight w:val="none"/>
          <w:lang w:bidi="ar"/>
        </w:rPr>
        <w:t>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D5292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4、网上查询地址：中国政府采购网（www.ccgp.gov.cn）、广西政府采购网（zfcg.gxzf.gov.cn）</w:t>
      </w:r>
      <w:r>
        <w:rPr>
          <w:rFonts w:hint="eastAsia" w:ascii="宋体" w:cs="宋体"/>
          <w:color w:val="auto"/>
          <w:szCs w:val="21"/>
          <w:highlight w:val="none"/>
          <w:lang w:eastAsia="zh-CN" w:bidi="ar"/>
        </w:rPr>
        <w:t>、贺州市中医医院官网（http://www.gxhzzyyy.com/）</w:t>
      </w:r>
      <w:r>
        <w:rPr>
          <w:rFonts w:hint="eastAsia" w:ascii="宋体" w:eastAsia="宋体" w:cs="宋体"/>
          <w:color w:val="auto"/>
          <w:szCs w:val="21"/>
          <w:highlight w:val="none"/>
          <w:lang w:bidi="ar"/>
        </w:rPr>
        <w:t>。</w:t>
      </w:r>
    </w:p>
    <w:p w14:paraId="2ABF22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5、本项目需要落实的政府采购政策：</w:t>
      </w:r>
    </w:p>
    <w:p w14:paraId="74E952F4">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（1）政府采购促进中小企业发展。</w:t>
      </w:r>
    </w:p>
    <w:p w14:paraId="670EAF7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（2）政府采购促进残疾人就业政策。</w:t>
      </w:r>
    </w:p>
    <w:p w14:paraId="481F104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（3）政府采购支持监狱企业发展。</w:t>
      </w:r>
    </w:p>
    <w:p w14:paraId="6205F9FF">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bidi="ar"/>
        </w:rPr>
      </w:pPr>
      <w:r>
        <w:rPr>
          <w:rFonts w:hint="eastAsia" w:ascii="宋体" w:eastAsia="宋体" w:cs="宋体"/>
          <w:color w:val="auto"/>
          <w:szCs w:val="21"/>
          <w:highlight w:val="none"/>
          <w:lang w:bidi="ar"/>
        </w:rPr>
        <w:t>6、磋商注意事项：</w:t>
      </w:r>
    </w:p>
    <w:p w14:paraId="2D3812C4">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eastAsia="宋体" w:cs="宋体"/>
          <w:color w:val="auto"/>
          <w:szCs w:val="21"/>
          <w:highlight w:val="none"/>
          <w:lang w:val="en-US" w:eastAsia="zh-CN" w:bidi="ar"/>
        </w:rPr>
        <w:t>（1）本项目实行电子竞标，供应商应按照本项目采购文件和广西政府采购云平台的要求编制、加密并提交响应文件。供应商在使用系统参与竞标过程中遇到涉及平台使用的任何问题，可致电政采云平台技术支持热线咨询，联系方式：95763。</w:t>
      </w:r>
    </w:p>
    <w:p w14:paraId="0510AAD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eastAsia="宋体" w:cs="宋体"/>
          <w:color w:val="auto"/>
          <w:szCs w:val="21"/>
          <w:highlight w:val="none"/>
          <w:lang w:val="en-US" w:eastAsia="zh-CN" w:bidi="ar"/>
        </w:rPr>
        <w:t>（2）供应商应及时熟悉掌握电子标系统操作指南（见政采云电子卖场首页右上角—服务中心—帮助文档—项目采购）：https://service.zcygov.cn/#/knowledges/tree?tag=AG1DtGwBFdiHxlNdhY0r。</w:t>
      </w:r>
    </w:p>
    <w:p w14:paraId="2B216B9F">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eastAsia="宋体" w:cs="宋体"/>
          <w:color w:val="auto"/>
          <w:szCs w:val="21"/>
          <w:highlight w:val="none"/>
          <w:lang w:val="en-US" w:eastAsia="zh-CN" w:bidi="ar"/>
        </w:rPr>
        <w:t>（3）供应商应及时完成CA申领和绑定（见广西壮族自治区政府采购网—办事服务—下载专区-政采云CA证书办理操作指南）。</w:t>
      </w:r>
    </w:p>
    <w:p w14:paraId="2D402F24">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eastAsia="宋体" w:cs="宋体"/>
          <w:color w:val="auto"/>
          <w:szCs w:val="21"/>
          <w:highlight w:val="none"/>
          <w:lang w:val="en-US" w:eastAsia="zh-CN" w:bidi="ar"/>
        </w:rPr>
        <w:t xml:space="preserve">（4）供应商通过广西政府采购云竞标客户端软件制作竞标文件，广西政府采购云竞标客户端软件请供应商自行前往下载并安装（见广西壮族自治区政府采购网—办事服务—下载专区-广西壮族自治区全流程电子招竞标项目管理系统--供应商客户端）。 </w:t>
      </w:r>
    </w:p>
    <w:p w14:paraId="42D00B6F">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eastAsia="宋体" w:cs="宋体"/>
          <w:color w:val="auto"/>
          <w:szCs w:val="21"/>
          <w:highlight w:val="none"/>
          <w:lang w:val="en-US" w:eastAsia="zh-CN" w:bidi="ar"/>
        </w:rPr>
        <w:t xml:space="preserve">（5）因未注册入库、未办理CA数字证书、CA证书故障、操作不当等原因造成无法竞标或竞标失败等后果由供应商自行承担。 </w:t>
      </w:r>
    </w:p>
    <w:p w14:paraId="300B125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cs="宋体"/>
          <w:color w:val="auto"/>
          <w:szCs w:val="21"/>
          <w:highlight w:val="none"/>
          <w:lang w:val="en-US" w:eastAsia="zh-CN" w:bidi="ar"/>
        </w:rPr>
      </w:pPr>
      <w:r>
        <w:rPr>
          <w:rFonts w:hint="eastAsia" w:ascii="宋体" w:eastAsia="宋体" w:cs="宋体"/>
          <w:color w:val="auto"/>
          <w:szCs w:val="21"/>
          <w:highlight w:val="none"/>
          <w:lang w:val="en-US" w:eastAsia="zh-CN" w:bidi="ar"/>
        </w:rPr>
        <w:t>（6）响应文件网上递交截止后，广西政府采购云平台（电子标系统）自动提取所有响应文件，各供应商须在开启程序开始后30分钟内对上传广西政府采购云的响应文件进行解密，所有供应商在规定的解密时限内解密完成或解密时限结束后，我中心开启响应文件；供应商超过解密时限的，系统默认自动放弃。</w:t>
      </w:r>
      <w:r>
        <w:rPr>
          <w:rFonts w:hint="eastAsia" w:ascii="宋体" w:cs="宋体"/>
          <w:color w:val="auto"/>
          <w:szCs w:val="21"/>
          <w:highlight w:val="none"/>
          <w:lang w:val="en-US" w:eastAsia="zh-CN" w:bidi="ar"/>
        </w:rPr>
        <w:t xml:space="preserve">  </w:t>
      </w:r>
    </w:p>
    <w:p w14:paraId="6E0E0B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szCs w:val="21"/>
          <w:highlight w:val="none"/>
          <w:lang w:val="en-US" w:eastAsia="zh-CN" w:bidi="ar"/>
        </w:rPr>
      </w:pPr>
      <w:r>
        <w:rPr>
          <w:rFonts w:hint="eastAsia" w:ascii="宋体" w:cs="宋体"/>
          <w:color w:val="auto"/>
          <w:szCs w:val="21"/>
          <w:highlight w:val="none"/>
          <w:lang w:val="en-US" w:eastAsia="zh-CN" w:bidi="ar"/>
        </w:rPr>
        <w:t>（7）</w:t>
      </w:r>
      <w:r>
        <w:rPr>
          <w:rFonts w:hint="eastAsia" w:ascii="宋体" w:eastAsia="宋体" w:cs="宋体"/>
          <w:color w:val="auto"/>
          <w:szCs w:val="21"/>
          <w:highlight w:val="none"/>
          <w:lang w:val="en-US" w:eastAsia="zh-CN" w:bidi="ar"/>
        </w:rPr>
        <w:t>评标说明注意事项：本项目采用远程异地评标，评标主会场地址：贺州市平安东路绿洲家园B区B-2栋5号商铺</w:t>
      </w:r>
      <w:r>
        <w:rPr>
          <w:rFonts w:hint="eastAsia" w:ascii="宋体" w:cs="宋体"/>
          <w:color w:val="auto"/>
          <w:szCs w:val="21"/>
          <w:highlight w:val="none"/>
          <w:lang w:val="en-US" w:eastAsia="zh-CN" w:bidi="ar"/>
        </w:rPr>
        <w:t>3F</w:t>
      </w:r>
      <w:r>
        <w:rPr>
          <w:rFonts w:hint="eastAsia" w:ascii="宋体" w:eastAsia="宋体" w:cs="宋体"/>
          <w:color w:val="auto"/>
          <w:szCs w:val="21"/>
          <w:highlight w:val="none"/>
          <w:lang w:val="en-US" w:eastAsia="zh-CN" w:bidi="ar"/>
        </w:rPr>
        <w:t xml:space="preserve">；评标副会场地址：青秀区南宁市青秀区竹溪大道36号青湖中心27楼2702号。 </w:t>
      </w:r>
    </w:p>
    <w:p w14:paraId="2882769F">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eastAsia="宋体" w:cs="宋体"/>
          <w:color w:val="auto"/>
          <w:kern w:val="0"/>
          <w:szCs w:val="21"/>
          <w:highlight w:val="none"/>
          <w:lang w:val="en-US" w:eastAsia="zh-CN" w:bidi="ar-SA"/>
        </w:rPr>
      </w:pPr>
      <w:r>
        <w:rPr>
          <w:rFonts w:hint="eastAsia" w:ascii="宋体" w:cs="宋体"/>
          <w:color w:val="auto"/>
          <w:szCs w:val="21"/>
          <w:highlight w:val="none"/>
          <w:lang w:val="en-US" w:eastAsia="zh-CN" w:bidi="ar"/>
        </w:rPr>
        <w:t>7</w:t>
      </w:r>
      <w:r>
        <w:rPr>
          <w:rFonts w:hint="eastAsia" w:ascii="宋体" w:eastAsia="宋体" w:cs="宋体"/>
          <w:color w:val="auto"/>
          <w:szCs w:val="21"/>
          <w:highlight w:val="none"/>
          <w:lang w:bidi="ar"/>
        </w:rPr>
        <w:t>、监督部门：</w:t>
      </w:r>
      <w:r>
        <w:rPr>
          <w:rFonts w:hint="eastAsia" w:ascii="宋体" w:eastAsia="宋体" w:cs="宋体"/>
          <w:color w:val="auto"/>
          <w:kern w:val="0"/>
          <w:szCs w:val="21"/>
          <w:highlight w:val="none"/>
          <w:lang w:bidi="ar-SA"/>
        </w:rPr>
        <w:t>贺州市政府采购监督管理科 0774-5135551</w:t>
      </w:r>
      <w:r>
        <w:rPr>
          <w:rFonts w:hint="eastAsia" w:ascii="宋体" w:eastAsia="宋体" w:cs="宋体"/>
          <w:color w:val="auto"/>
          <w:szCs w:val="21"/>
          <w:highlight w:val="none"/>
          <w:lang w:bidi="ar"/>
        </w:rPr>
        <w:t>。</w:t>
      </w:r>
    </w:p>
    <w:bookmarkEnd w:id="2"/>
    <w:p w14:paraId="3ABEDDB2">
      <w:pPr>
        <w:keepNext w:val="0"/>
        <w:keepLines w:val="0"/>
        <w:pageBreakBefore w:val="0"/>
        <w:kinsoku/>
        <w:wordWrap/>
        <w:overflowPunct/>
        <w:topLinePunct w:val="0"/>
        <w:autoSpaceDE/>
        <w:autoSpaceDN/>
        <w:bidi w:val="0"/>
        <w:adjustRightInd/>
        <w:spacing w:line="400" w:lineRule="exact"/>
        <w:ind w:firstLine="354" w:firstLineChars="147"/>
        <w:textAlignment w:val="auto"/>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八、凡对本次采购提出询问，请按以下方式联系。</w:t>
      </w:r>
      <w:bookmarkEnd w:id="3"/>
      <w:bookmarkEnd w:id="4"/>
      <w:bookmarkEnd w:id="5"/>
      <w:bookmarkEnd w:id="6"/>
      <w:bookmarkEnd w:id="7"/>
    </w:p>
    <w:p w14:paraId="144404AD">
      <w:pPr>
        <w:keepNext w:val="0"/>
        <w:keepLines w:val="0"/>
        <w:pageBreakBefore w:val="0"/>
        <w:kinsoku/>
        <w:wordWrap/>
        <w:overflowPunct/>
        <w:topLinePunct w:val="0"/>
        <w:autoSpaceDE/>
        <w:autoSpaceDN/>
        <w:bidi w:val="0"/>
        <w:adjustRightInd/>
        <w:spacing w:line="400" w:lineRule="exact"/>
        <w:ind w:firstLine="567" w:firstLineChars="270"/>
        <w:jc w:val="left"/>
        <w:textAlignment w:val="auto"/>
        <w:rPr>
          <w:rFonts w:hint="eastAsia" w:ascii="宋体" w:eastAsia="宋体" w:cs="宋体"/>
          <w:color w:val="auto"/>
          <w:szCs w:val="21"/>
          <w:highlight w:val="none"/>
          <w:lang w:bidi="ar-SA"/>
        </w:rPr>
      </w:pPr>
      <w:bookmarkStart w:id="8" w:name="_Toc35393637"/>
      <w:bookmarkStart w:id="9" w:name="_Toc28359019"/>
      <w:bookmarkStart w:id="10" w:name="_Toc35393806"/>
      <w:bookmarkStart w:id="11" w:name="_Toc28359096"/>
      <w:r>
        <w:rPr>
          <w:rFonts w:hint="eastAsia" w:ascii="宋体" w:eastAsia="宋体" w:cs="宋体"/>
          <w:color w:val="auto"/>
          <w:szCs w:val="21"/>
          <w:highlight w:val="none"/>
          <w:lang w:bidi="ar-SA"/>
        </w:rPr>
        <w:t>1.采购人信息</w:t>
      </w:r>
    </w:p>
    <w:p w14:paraId="72C975AD">
      <w:pPr>
        <w:keepNext w:val="0"/>
        <w:keepLines w:val="0"/>
        <w:pageBreakBefore w:val="0"/>
        <w:kinsoku/>
        <w:wordWrap/>
        <w:overflowPunct/>
        <w:topLinePunct w:val="0"/>
        <w:autoSpaceDE/>
        <w:autoSpaceDN/>
        <w:bidi w:val="0"/>
        <w:adjustRightInd/>
        <w:spacing w:line="400" w:lineRule="exact"/>
        <w:ind w:firstLine="567" w:firstLineChars="270"/>
        <w:jc w:val="left"/>
        <w:textAlignment w:val="auto"/>
        <w:rPr>
          <w:rFonts w:hint="eastAsia" w:ascii="宋体" w:eastAsia="宋体" w:cs="宋体"/>
          <w:color w:val="auto"/>
          <w:szCs w:val="21"/>
          <w:highlight w:val="none"/>
          <w:lang w:eastAsia="zh-CN" w:bidi="ar-SA"/>
        </w:rPr>
      </w:pPr>
      <w:bookmarkStart w:id="12" w:name="_Toc28359086"/>
      <w:bookmarkStart w:id="13" w:name="_Toc28359009"/>
      <w:r>
        <w:rPr>
          <w:rFonts w:hint="eastAsia" w:ascii="宋体" w:eastAsia="宋体" w:cs="宋体"/>
          <w:color w:val="auto"/>
          <w:szCs w:val="21"/>
          <w:highlight w:val="none"/>
          <w:lang w:bidi="ar-SA"/>
        </w:rPr>
        <w:t>名   称：</w:t>
      </w:r>
      <w:r>
        <w:rPr>
          <w:rFonts w:hint="eastAsia" w:ascii="宋体" w:cs="宋体"/>
          <w:color w:val="auto"/>
          <w:szCs w:val="21"/>
          <w:highlight w:val="none"/>
          <w:lang w:eastAsia="zh-CN" w:bidi="ar-SA"/>
        </w:rPr>
        <w:t>贺州市中医医院</w:t>
      </w:r>
    </w:p>
    <w:p w14:paraId="2FC412F4">
      <w:pPr>
        <w:keepNext w:val="0"/>
        <w:keepLines w:val="0"/>
        <w:pageBreakBefore w:val="0"/>
        <w:kinsoku/>
        <w:wordWrap/>
        <w:overflowPunct/>
        <w:topLinePunct w:val="0"/>
        <w:autoSpaceDE/>
        <w:autoSpaceDN/>
        <w:bidi w:val="0"/>
        <w:adjustRightInd/>
        <w:spacing w:line="400" w:lineRule="exact"/>
        <w:ind w:firstLine="567" w:firstLineChars="270"/>
        <w:jc w:val="left"/>
        <w:textAlignment w:val="auto"/>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地   址：</w:t>
      </w:r>
      <w:r>
        <w:rPr>
          <w:rFonts w:hint="eastAsia" w:ascii="宋体" w:cs="宋体"/>
          <w:color w:val="auto"/>
          <w:szCs w:val="21"/>
          <w:highlight w:val="none"/>
          <w:lang w:eastAsia="zh-CN" w:bidi="ar-SA"/>
        </w:rPr>
        <w:t>贺州市八步区龙山路48号</w:t>
      </w:r>
      <w:r>
        <w:rPr>
          <w:rFonts w:hint="eastAsia" w:ascii="宋体" w:eastAsia="宋体" w:cs="宋体"/>
          <w:color w:val="auto"/>
          <w:szCs w:val="21"/>
          <w:highlight w:val="none"/>
          <w:lang w:val="en-US" w:eastAsia="zh-CN" w:bidi="ar-SA"/>
        </w:rPr>
        <w:t xml:space="preserve"> </w:t>
      </w:r>
    </w:p>
    <w:p w14:paraId="04D415C0">
      <w:pPr>
        <w:keepNext w:val="0"/>
        <w:keepLines w:val="0"/>
        <w:pageBreakBefore w:val="0"/>
        <w:kinsoku/>
        <w:wordWrap/>
        <w:overflowPunct/>
        <w:topLinePunct w:val="0"/>
        <w:autoSpaceDE/>
        <w:autoSpaceDN/>
        <w:bidi w:val="0"/>
        <w:adjustRightInd/>
        <w:spacing w:line="400" w:lineRule="exact"/>
        <w:ind w:firstLine="567" w:firstLineChars="270"/>
        <w:jc w:val="left"/>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联系</w:t>
      </w:r>
      <w:r>
        <w:rPr>
          <w:rFonts w:hint="eastAsia" w:ascii="宋体" w:eastAsia="宋体" w:cs="宋体"/>
          <w:color w:val="auto"/>
          <w:szCs w:val="21"/>
          <w:highlight w:val="none"/>
          <w:lang w:val="en-US" w:eastAsia="zh-CN" w:bidi="ar-SA"/>
        </w:rPr>
        <w:t>方式</w:t>
      </w:r>
      <w:r>
        <w:rPr>
          <w:rFonts w:hint="eastAsia" w:ascii="宋体" w:eastAsia="宋体" w:cs="宋体"/>
          <w:color w:val="auto"/>
          <w:szCs w:val="21"/>
          <w:highlight w:val="none"/>
          <w:lang w:bidi="ar-SA"/>
        </w:rPr>
        <w:t>：</w:t>
      </w:r>
      <w:r>
        <w:rPr>
          <w:rFonts w:hint="eastAsia" w:ascii="宋体" w:cs="宋体"/>
          <w:color w:val="auto"/>
          <w:szCs w:val="21"/>
          <w:highlight w:val="none"/>
          <w:lang w:eastAsia="zh-CN" w:bidi="ar-SA"/>
        </w:rPr>
        <w:t>0774-5139128</w:t>
      </w:r>
      <w:r>
        <w:rPr>
          <w:rFonts w:hint="eastAsia" w:ascii="宋体" w:eastAsia="宋体" w:cs="宋体"/>
          <w:color w:val="auto"/>
          <w:szCs w:val="21"/>
          <w:highlight w:val="none"/>
          <w:lang w:val="en-US" w:eastAsia="zh-CN" w:bidi="ar-SA"/>
        </w:rPr>
        <w:t xml:space="preserve"> </w:t>
      </w:r>
      <w:r>
        <w:rPr>
          <w:rFonts w:hint="eastAsia" w:ascii="宋体" w:eastAsia="宋体" w:cs="宋体"/>
          <w:color w:val="auto"/>
          <w:szCs w:val="21"/>
          <w:highlight w:val="none"/>
          <w:lang w:bidi="ar-SA"/>
        </w:rPr>
        <w:t xml:space="preserve"> </w:t>
      </w:r>
    </w:p>
    <w:p w14:paraId="6F021C69">
      <w:pPr>
        <w:keepNext w:val="0"/>
        <w:keepLines w:val="0"/>
        <w:pageBreakBefore w:val="0"/>
        <w:kinsoku/>
        <w:wordWrap/>
        <w:overflowPunct/>
        <w:topLinePunct w:val="0"/>
        <w:autoSpaceDE/>
        <w:autoSpaceDN/>
        <w:bidi w:val="0"/>
        <w:adjustRightInd/>
        <w:spacing w:line="400" w:lineRule="exact"/>
        <w:ind w:firstLine="567" w:firstLineChars="270"/>
        <w:jc w:val="left"/>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2.采购代理机构信息</w:t>
      </w:r>
      <w:bookmarkEnd w:id="12"/>
      <w:bookmarkEnd w:id="13"/>
    </w:p>
    <w:p w14:paraId="1825BAC3">
      <w:pPr>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名 </w:t>
      </w:r>
      <w:r>
        <w:rPr>
          <w:rFonts w:hint="eastAsia" w:ascii="宋体" w:eastAsia="宋体" w:cs="宋体"/>
          <w:color w:val="auto"/>
          <w:szCs w:val="21"/>
          <w:highlight w:val="none"/>
          <w:lang w:val="en-US" w:eastAsia="zh-CN" w:bidi="ar-SA"/>
        </w:rPr>
        <w:t xml:space="preserve">  </w:t>
      </w:r>
      <w:r>
        <w:rPr>
          <w:rFonts w:hint="eastAsia" w:ascii="宋体" w:eastAsia="宋体" w:cs="宋体"/>
          <w:color w:val="auto"/>
          <w:szCs w:val="21"/>
          <w:highlight w:val="none"/>
          <w:lang w:bidi="ar-SA"/>
        </w:rPr>
        <w:t>称：广西建采项目管理有限公司</w:t>
      </w:r>
    </w:p>
    <w:p w14:paraId="35641F20">
      <w:pPr>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地　</w:t>
      </w:r>
      <w:r>
        <w:rPr>
          <w:rFonts w:hint="eastAsia" w:ascii="宋体" w:eastAsia="宋体" w:cs="宋体"/>
          <w:color w:val="auto"/>
          <w:szCs w:val="21"/>
          <w:highlight w:val="none"/>
          <w:lang w:val="en-US" w:eastAsia="zh-CN" w:bidi="ar-SA"/>
        </w:rPr>
        <w:t xml:space="preserve"> </w:t>
      </w:r>
      <w:r>
        <w:rPr>
          <w:rFonts w:hint="eastAsia" w:ascii="宋体" w:eastAsia="宋体" w:cs="宋体"/>
          <w:color w:val="auto"/>
          <w:szCs w:val="21"/>
          <w:highlight w:val="none"/>
          <w:lang w:bidi="ar-SA"/>
        </w:rPr>
        <w:t>址：贺州市平安东路绿洲家园B区B-2栋5号商铺</w:t>
      </w:r>
    </w:p>
    <w:p w14:paraId="0F5CD90D">
      <w:pPr>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联系方式：</w:t>
      </w:r>
      <w:bookmarkStart w:id="14" w:name="_Toc28359010"/>
      <w:bookmarkStart w:id="15" w:name="_Toc28359087"/>
      <w:r>
        <w:rPr>
          <w:rFonts w:hint="eastAsia" w:ascii="宋体" w:eastAsia="宋体" w:cs="宋体"/>
          <w:color w:val="auto"/>
          <w:szCs w:val="21"/>
          <w:highlight w:val="none"/>
          <w:lang w:bidi="ar-SA"/>
        </w:rPr>
        <w:t>0774-5081968</w:t>
      </w:r>
    </w:p>
    <w:p w14:paraId="663E2C72">
      <w:pPr>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3.项目联系方式</w:t>
      </w:r>
      <w:bookmarkEnd w:id="14"/>
      <w:bookmarkEnd w:id="15"/>
    </w:p>
    <w:p w14:paraId="64E11E1C">
      <w:pPr>
        <w:pStyle w:val="19"/>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项目联系人：刘宇倩</w:t>
      </w:r>
    </w:p>
    <w:p w14:paraId="3D875C9A">
      <w:pPr>
        <w:keepNext w:val="0"/>
        <w:keepLines w:val="0"/>
        <w:pageBreakBefore w:val="0"/>
        <w:kinsoku/>
        <w:wordWrap/>
        <w:overflowPunct/>
        <w:topLinePunct w:val="0"/>
        <w:autoSpaceDE/>
        <w:autoSpaceDN/>
        <w:bidi w:val="0"/>
        <w:adjustRightInd/>
        <w:spacing w:line="400" w:lineRule="exact"/>
        <w:ind w:firstLine="567" w:firstLineChars="27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电　话：0774-5081968</w:t>
      </w:r>
    </w:p>
    <w:p w14:paraId="54F09F4C">
      <w:pPr>
        <w:keepNext w:val="0"/>
        <w:keepLines w:val="0"/>
        <w:pageBreakBefore w:val="0"/>
        <w:kinsoku/>
        <w:wordWrap/>
        <w:overflowPunct/>
        <w:topLinePunct w:val="0"/>
        <w:autoSpaceDE/>
        <w:autoSpaceDN/>
        <w:bidi w:val="0"/>
        <w:adjustRightInd/>
        <w:spacing w:line="400" w:lineRule="exact"/>
        <w:ind w:firstLine="6195" w:firstLineChars="2950"/>
        <w:textAlignment w:val="auto"/>
        <w:rPr>
          <w:rFonts w:hint="eastAsia" w:ascii="宋体" w:eastAsia="宋体" w:cs="宋体"/>
          <w:color w:val="auto"/>
          <w:szCs w:val="21"/>
          <w:highlight w:val="none"/>
          <w:lang w:bidi="ar-SA"/>
        </w:rPr>
      </w:pPr>
    </w:p>
    <w:p w14:paraId="00EE43AA">
      <w:pPr>
        <w:keepNext w:val="0"/>
        <w:keepLines w:val="0"/>
        <w:pageBreakBefore w:val="0"/>
        <w:kinsoku/>
        <w:wordWrap/>
        <w:overflowPunct/>
        <w:topLinePunct w:val="0"/>
        <w:autoSpaceDE/>
        <w:autoSpaceDN/>
        <w:bidi w:val="0"/>
        <w:adjustRightInd/>
        <w:spacing w:line="400" w:lineRule="exact"/>
        <w:ind w:firstLine="6195" w:firstLineChars="2950"/>
        <w:textAlignment w:val="auto"/>
        <w:rPr>
          <w:rFonts w:hint="eastAsia" w:ascii="宋体" w:eastAsia="宋体" w:cs="宋体"/>
          <w:color w:val="auto"/>
          <w:szCs w:val="21"/>
          <w:highlight w:val="none"/>
          <w:lang w:bidi="ar-SA"/>
        </w:rPr>
      </w:pPr>
    </w:p>
    <w:bookmarkEnd w:id="1"/>
    <w:bookmarkEnd w:id="8"/>
    <w:bookmarkEnd w:id="9"/>
    <w:bookmarkEnd w:id="10"/>
    <w:bookmarkEnd w:id="11"/>
    <w:p w14:paraId="12771C60">
      <w:pPr>
        <w:keepNext w:val="0"/>
        <w:keepLines w:val="0"/>
        <w:pageBreakBefore w:val="0"/>
        <w:kinsoku/>
        <w:wordWrap/>
        <w:overflowPunct/>
        <w:topLinePunct w:val="0"/>
        <w:autoSpaceDE/>
        <w:autoSpaceDN/>
        <w:bidi w:val="0"/>
        <w:adjustRightInd/>
        <w:spacing w:line="400" w:lineRule="exact"/>
        <w:jc w:val="right"/>
        <w:textAlignment w:val="auto"/>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采购人：</w:t>
      </w:r>
      <w:r>
        <w:rPr>
          <w:rFonts w:hint="eastAsia" w:ascii="宋体" w:cs="宋体"/>
          <w:color w:val="auto"/>
          <w:szCs w:val="21"/>
          <w:highlight w:val="none"/>
          <w:lang w:eastAsia="zh-CN" w:bidi="ar-SA"/>
        </w:rPr>
        <w:t>贺州市中医医院</w:t>
      </w:r>
    </w:p>
    <w:p w14:paraId="2BE57DBA">
      <w:pPr>
        <w:keepNext w:val="0"/>
        <w:keepLines w:val="0"/>
        <w:pageBreakBefore w:val="0"/>
        <w:kinsoku/>
        <w:wordWrap/>
        <w:overflowPunct/>
        <w:topLinePunct w:val="0"/>
        <w:autoSpaceDE/>
        <w:autoSpaceDN/>
        <w:bidi w:val="0"/>
        <w:adjustRightInd/>
        <w:spacing w:line="400" w:lineRule="exact"/>
        <w:jc w:val="right"/>
        <w:textAlignment w:val="auto"/>
        <w:rPr>
          <w:rFonts w:hint="eastAsia" w:ascii="宋体" w:eastAsia="宋体" w:cs="宋体"/>
          <w:color w:val="auto"/>
          <w:szCs w:val="21"/>
          <w:highlight w:val="none"/>
          <w:lang w:bidi="ar-SA"/>
        </w:rPr>
      </w:pPr>
    </w:p>
    <w:p w14:paraId="24B6F0DD">
      <w:pPr>
        <w:keepNext w:val="0"/>
        <w:keepLines w:val="0"/>
        <w:pageBreakBefore w:val="0"/>
        <w:kinsoku/>
        <w:wordWrap/>
        <w:overflowPunct/>
        <w:topLinePunct w:val="0"/>
        <w:autoSpaceDE/>
        <w:autoSpaceDN/>
        <w:bidi w:val="0"/>
        <w:adjustRightInd/>
        <w:spacing w:line="400" w:lineRule="exact"/>
        <w:jc w:val="right"/>
        <w:textAlignment w:val="auto"/>
        <w:rPr>
          <w:rFonts w:hint="eastAsia" w:ascii="宋体" w:eastAsia="宋体" w:cs="宋体"/>
          <w:color w:val="auto"/>
          <w:szCs w:val="21"/>
          <w:highlight w:val="none"/>
          <w:lang w:bidi="ar-SA"/>
        </w:rPr>
      </w:pPr>
    </w:p>
    <w:p w14:paraId="09E83A68">
      <w:pPr>
        <w:keepNext w:val="0"/>
        <w:keepLines w:val="0"/>
        <w:pageBreakBefore w:val="0"/>
        <w:kinsoku/>
        <w:wordWrap/>
        <w:overflowPunct/>
        <w:topLinePunct w:val="0"/>
        <w:autoSpaceDE/>
        <w:autoSpaceDN/>
        <w:bidi w:val="0"/>
        <w:adjustRightInd/>
        <w:spacing w:line="400" w:lineRule="exact"/>
        <w:jc w:val="right"/>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采购代理机构：广西建采项目管理有限公司</w:t>
      </w:r>
    </w:p>
    <w:p w14:paraId="2D142387">
      <w:pPr>
        <w:keepNext w:val="0"/>
        <w:keepLines w:val="0"/>
        <w:pageBreakBefore w:val="0"/>
        <w:kinsoku/>
        <w:wordWrap/>
        <w:overflowPunct/>
        <w:topLinePunct w:val="0"/>
        <w:autoSpaceDE/>
        <w:autoSpaceDN/>
        <w:bidi w:val="0"/>
        <w:adjustRightInd/>
        <w:snapToGrid w:val="0"/>
        <w:spacing w:line="400" w:lineRule="exact"/>
        <w:ind w:left="238"/>
        <w:textAlignment w:val="auto"/>
        <w:rPr>
          <w:rFonts w:hint="eastAsia" w:ascii="宋体" w:eastAsia="宋体" w:cs="宋体"/>
          <w:color w:val="auto"/>
          <w:highlight w:val="none"/>
          <w:lang w:bidi="ar-SA"/>
        </w:rPr>
      </w:pPr>
      <w:r>
        <w:rPr>
          <w:rFonts w:hint="eastAsia" w:ascii="宋体" w:eastAsia="宋体" w:cs="宋体"/>
          <w:color w:val="auto"/>
          <w:highlight w:val="none"/>
          <w:lang w:bidi="ar-SA"/>
        </w:rPr>
        <w:t xml:space="preserve">                                                              </w:t>
      </w:r>
    </w:p>
    <w:p w14:paraId="7DF56A59">
      <w:pPr>
        <w:keepNext w:val="0"/>
        <w:keepLines w:val="0"/>
        <w:pageBreakBefore w:val="0"/>
        <w:kinsoku/>
        <w:wordWrap/>
        <w:overflowPunct/>
        <w:topLinePunct w:val="0"/>
        <w:autoSpaceDE/>
        <w:autoSpaceDN/>
        <w:bidi w:val="0"/>
        <w:adjustRightInd/>
        <w:snapToGrid w:val="0"/>
        <w:spacing w:line="400" w:lineRule="exact"/>
        <w:ind w:left="238"/>
        <w:jc w:val="right"/>
        <w:textAlignment w:val="auto"/>
        <w:rPr>
          <w:rFonts w:hint="eastAsia" w:ascii="宋体" w:eastAsia="宋体" w:cs="宋体"/>
          <w:color w:val="auto"/>
          <w:highlight w:val="none"/>
          <w:lang w:bidi="ar-SA"/>
        </w:rPr>
        <w:sectPr>
          <w:footerReference r:id="rId11" w:type="first"/>
          <w:headerReference r:id="rId9" w:type="default"/>
          <w:footerReference r:id="rId10" w:type="default"/>
          <w:pgSz w:w="11906" w:h="16838"/>
          <w:pgMar w:top="1134" w:right="1134" w:bottom="1134" w:left="1134" w:header="851" w:footer="992" w:gutter="0"/>
          <w:pgNumType w:fmt="decimal" w:start="1"/>
          <w:cols w:space="0" w:num="1"/>
          <w:titlePg/>
          <w:rtlGutter w:val="0"/>
          <w:docGrid w:type="lines" w:linePitch="312" w:charSpace="0"/>
        </w:sectPr>
      </w:pPr>
      <w:r>
        <w:rPr>
          <w:rFonts w:hint="eastAsia" w:ascii="宋体" w:eastAsia="宋体" w:cs="宋体"/>
          <w:color w:val="auto"/>
          <w:highlight w:val="none"/>
          <w:lang w:eastAsia="zh-CN" w:bidi="ar-SA"/>
        </w:rPr>
        <w:t>2024年</w:t>
      </w:r>
      <w:r>
        <w:rPr>
          <w:rFonts w:hint="eastAsia" w:ascii="宋体" w:cs="宋体"/>
          <w:color w:val="auto"/>
          <w:highlight w:val="none"/>
          <w:lang w:val="en-US" w:eastAsia="zh-CN" w:bidi="ar-SA"/>
        </w:rPr>
        <w:t>11月21</w:t>
      </w:r>
      <w:r>
        <w:rPr>
          <w:rFonts w:hint="eastAsia" w:ascii="宋体" w:eastAsia="宋体" w:cs="宋体"/>
          <w:color w:val="auto"/>
          <w:highlight w:val="none"/>
          <w:lang w:bidi="ar-SA"/>
        </w:rPr>
        <w:t>日</w:t>
      </w:r>
    </w:p>
    <w:p w14:paraId="2A3AFF0A">
      <w:pPr>
        <w:pStyle w:val="4"/>
        <w:jc w:val="center"/>
        <w:rPr>
          <w:rFonts w:hint="eastAsia" w:ascii="宋体" w:eastAsia="宋体" w:cs="宋体"/>
          <w:color w:val="auto"/>
          <w:highlight w:val="none"/>
          <w:lang w:bidi="ar-SA"/>
        </w:rPr>
      </w:pPr>
      <w:bookmarkStart w:id="16" w:name="_Toc2599"/>
      <w:r>
        <w:rPr>
          <w:rFonts w:hint="eastAsia" w:ascii="宋体" w:eastAsia="宋体" w:cs="宋体"/>
          <w:color w:val="auto"/>
          <w:highlight w:val="none"/>
          <w:lang w:bidi="ar-SA"/>
        </w:rPr>
        <w:t>第二章 供应商须知</w:t>
      </w:r>
      <w:bookmarkEnd w:id="16"/>
    </w:p>
    <w:p w14:paraId="7600B2E9">
      <w:pPr>
        <w:spacing w:line="400" w:lineRule="exact"/>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供应商须知前附表</w:t>
      </w:r>
    </w:p>
    <w:p w14:paraId="5724836C">
      <w:pPr>
        <w:spacing w:line="400" w:lineRule="exact"/>
        <w:jc w:val="center"/>
        <w:rPr>
          <w:rFonts w:hint="eastAsia" w:ascii="宋体" w:eastAsia="宋体" w:cs="宋体"/>
          <w:b/>
          <w:color w:val="auto"/>
          <w:sz w:val="32"/>
          <w:szCs w:val="32"/>
          <w:highlight w:val="none"/>
          <w:lang w:bidi="ar-SA"/>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39EE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36CD0A5A">
            <w:pPr>
              <w:spacing w:line="360" w:lineRule="auto"/>
              <w:jc w:val="center"/>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条款号</w:t>
            </w:r>
          </w:p>
        </w:tc>
        <w:tc>
          <w:tcPr>
            <w:tcW w:w="8627" w:type="dxa"/>
            <w:noWrap w:val="0"/>
            <w:vAlign w:val="top"/>
          </w:tcPr>
          <w:p w14:paraId="1A68C742">
            <w:pPr>
              <w:spacing w:line="360" w:lineRule="auto"/>
              <w:jc w:val="center"/>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内    容</w:t>
            </w:r>
          </w:p>
        </w:tc>
      </w:tr>
      <w:tr w14:paraId="11748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645C8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w:t>
            </w:r>
          </w:p>
        </w:tc>
        <w:tc>
          <w:tcPr>
            <w:tcW w:w="8627" w:type="dxa"/>
            <w:noWrap w:val="0"/>
            <w:vAlign w:val="center"/>
          </w:tcPr>
          <w:p w14:paraId="0359C9C9">
            <w:pPr>
              <w:spacing w:line="360" w:lineRule="auto"/>
              <w:rPr>
                <w:rFonts w:hint="eastAsia" w:ascii="宋体" w:eastAsia="宋体" w:cs="宋体"/>
                <w:color w:val="auto"/>
                <w:szCs w:val="21"/>
                <w:highlight w:val="none"/>
                <w:lang w:bidi="ar-SA"/>
              </w:rPr>
            </w:pPr>
            <w:r>
              <w:rPr>
                <w:rFonts w:hint="eastAsia" w:ascii="宋体" w:eastAsia="宋体" w:cs="宋体"/>
                <w:bCs/>
                <w:color w:val="auto"/>
                <w:szCs w:val="21"/>
                <w:highlight w:val="none"/>
                <w:lang w:bidi="ar-SA"/>
              </w:rPr>
              <w:t>供应商的资格条件</w:t>
            </w:r>
            <w:r>
              <w:rPr>
                <w:rFonts w:hint="eastAsia" w:ascii="宋体" w:eastAsia="宋体" w:cs="宋体"/>
                <w:color w:val="auto"/>
                <w:szCs w:val="21"/>
                <w:highlight w:val="none"/>
                <w:lang w:bidi="ar-SA"/>
              </w:rPr>
              <w:t>：详见竞争性磋商公告。</w:t>
            </w:r>
          </w:p>
        </w:tc>
      </w:tr>
      <w:tr w14:paraId="6EB09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7F1863">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5.1</w:t>
            </w:r>
          </w:p>
        </w:tc>
        <w:tc>
          <w:tcPr>
            <w:tcW w:w="8627" w:type="dxa"/>
            <w:noWrap w:val="0"/>
            <w:vAlign w:val="center"/>
          </w:tcPr>
          <w:p w14:paraId="0F07DF4F">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是否接受联合体竞标：不接受。</w:t>
            </w:r>
          </w:p>
        </w:tc>
      </w:tr>
      <w:tr w14:paraId="2DEB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D56DE6">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6.2</w:t>
            </w:r>
          </w:p>
        </w:tc>
        <w:tc>
          <w:tcPr>
            <w:tcW w:w="8627" w:type="dxa"/>
            <w:noWrap w:val="0"/>
            <w:vAlign w:val="center"/>
          </w:tcPr>
          <w:p w14:paraId="1127BB91">
            <w:pPr>
              <w:pStyle w:val="14"/>
              <w:spacing w:line="400" w:lineRule="exac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本项目不允许分包。</w:t>
            </w:r>
          </w:p>
        </w:tc>
      </w:tr>
      <w:tr w14:paraId="6195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529B2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12.1.1</w:t>
            </w:r>
          </w:p>
        </w:tc>
        <w:tc>
          <w:tcPr>
            <w:tcW w:w="8627" w:type="dxa"/>
            <w:noWrap w:val="0"/>
            <w:vAlign w:val="center"/>
          </w:tcPr>
          <w:p w14:paraId="5AEBFB82">
            <w:pPr>
              <w:snapToGrid w:val="0"/>
              <w:spacing w:line="360" w:lineRule="auto"/>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资格证明文件：</w:t>
            </w:r>
          </w:p>
          <w:p w14:paraId="58FB70F5">
            <w:pPr>
              <w:pStyle w:val="14"/>
              <w:spacing w:line="360" w:lineRule="auto"/>
              <w:rPr>
                <w:rFonts w:hint="eastAsia" w:ascii="宋体" w:eastAsia="宋体" w:cs="宋体"/>
                <w:b/>
                <w:color w:val="auto"/>
                <w:szCs w:val="21"/>
                <w:highlight w:val="none"/>
                <w:lang w:bidi="ar-SA"/>
              </w:rPr>
            </w:pPr>
            <w:r>
              <w:rPr>
                <w:rFonts w:hint="eastAsia" w:ascii="宋体" w:eastAsia="宋体" w:cs="宋体"/>
                <w:color w:val="auto"/>
                <w:szCs w:val="21"/>
                <w:highlight w:val="none"/>
                <w:lang w:bidi="ar-SA"/>
              </w:rPr>
              <w:t>1、贺州市政府采购供应商信用承诺函；（</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32F18BB4">
            <w:pPr>
              <w:snapToGrid w:val="0"/>
              <w:spacing w:line="360" w:lineRule="auto"/>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2、供应商直接控股、管理关系信息表（格式后附）；（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39EEA6A8">
            <w:pPr>
              <w:snapToGrid w:val="0"/>
              <w:spacing w:line="360" w:lineRule="auto"/>
              <w:jc w:val="left"/>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bidi="ar-SA"/>
              </w:rPr>
              <w:t>3、竞标声明（格式后附）；（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13137E15">
            <w:pPr>
              <w:snapToGrid w:val="0"/>
              <w:spacing w:line="360" w:lineRule="auto"/>
              <w:jc w:val="left"/>
              <w:rPr>
                <w:rFonts w:hint="eastAsia" w:ascii="宋体" w:eastAsia="宋体" w:cs="宋体"/>
                <w:color w:val="auto"/>
                <w:szCs w:val="21"/>
                <w:highlight w:val="none"/>
                <w:lang w:eastAsia="zh-CN" w:bidi="ar-SA"/>
              </w:rPr>
            </w:pPr>
            <w:r>
              <w:rPr>
                <w:rFonts w:hint="eastAsia" w:ascii="宋体" w:cs="宋体"/>
                <w:color w:val="auto"/>
                <w:szCs w:val="21"/>
                <w:highlight w:val="none"/>
                <w:lang w:val="en-US" w:eastAsia="zh-CN" w:bidi="ar-SA"/>
              </w:rPr>
              <w:t>4</w:t>
            </w:r>
            <w:r>
              <w:rPr>
                <w:rFonts w:hint="eastAsia" w:ascii="宋体" w:eastAsia="宋体" w:cs="宋体"/>
                <w:color w:val="auto"/>
                <w:szCs w:val="21"/>
                <w:highlight w:val="none"/>
                <w:lang w:bidi="ar-SA"/>
              </w:rPr>
              <w:t>、除磋商文件规定必须提供以外，供应商认为需要提供的其他证明材料</w:t>
            </w:r>
            <w:r>
              <w:rPr>
                <w:rFonts w:hint="eastAsia" w:ascii="宋体" w:cs="宋体"/>
                <w:color w:val="auto"/>
                <w:szCs w:val="21"/>
                <w:highlight w:val="none"/>
                <w:lang w:eastAsia="zh-CN" w:bidi="ar-SA"/>
              </w:rPr>
              <w:t>。</w:t>
            </w:r>
          </w:p>
          <w:p w14:paraId="68E1A9F8">
            <w:pPr>
              <w:snapToGrid w:val="0"/>
              <w:spacing w:line="360" w:lineRule="auto"/>
              <w:ind w:firstLine="422" w:firstLineChars="200"/>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注：</w:t>
            </w:r>
          </w:p>
          <w:p w14:paraId="306AC3EA">
            <w:pPr>
              <w:snapToGrid w:val="0"/>
              <w:spacing w:line="360" w:lineRule="auto"/>
              <w:ind w:firstLine="413" w:firstLineChars="196"/>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1、以上标明“必须提供”的材料属于复印件的，必须加盖供应商公章，否则响应文件按无效响应处理。</w:t>
            </w:r>
          </w:p>
          <w:p w14:paraId="5BB8176F">
            <w:pPr>
              <w:snapToGrid w:val="0"/>
              <w:spacing w:line="360" w:lineRule="auto"/>
              <w:ind w:firstLine="422" w:firstLineChars="200"/>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2、竞标声明必须由法定代表人在规定签章处签字并加盖供应商公章，否则响应文件按无效响应处理。</w:t>
            </w:r>
          </w:p>
          <w:p w14:paraId="1851D6B9">
            <w:pPr>
              <w:snapToGrid w:val="0"/>
              <w:spacing w:line="360" w:lineRule="auto"/>
              <w:ind w:firstLine="422" w:firstLineChars="200"/>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3、供应商直接控股、管理关系信息表必须由法定代表人或者委托代理人在规定签章处签字并加盖供应商公章，否则响应文件按无效响应处理。</w:t>
            </w:r>
          </w:p>
        </w:tc>
      </w:tr>
      <w:tr w14:paraId="0417E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257C6780">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12.1.2</w:t>
            </w:r>
          </w:p>
        </w:tc>
        <w:tc>
          <w:tcPr>
            <w:tcW w:w="8627" w:type="dxa"/>
            <w:noWrap w:val="0"/>
            <w:vAlign w:val="center"/>
          </w:tcPr>
          <w:p w14:paraId="6BF2EFBB">
            <w:pPr>
              <w:spacing w:line="360" w:lineRule="auto"/>
              <w:rPr>
                <w:rFonts w:hint="eastAsia" w:ascii="宋体" w:eastAsia="宋体" w:cs="宋体"/>
                <w:b/>
                <w:bCs/>
                <w:color w:val="auto"/>
                <w:szCs w:val="21"/>
                <w:highlight w:val="none"/>
                <w:lang w:bidi="ar-SA"/>
              </w:rPr>
            </w:pPr>
            <w:r>
              <w:rPr>
                <w:rFonts w:hint="eastAsia" w:ascii="宋体" w:eastAsia="宋体" w:cs="宋体"/>
                <w:b/>
                <w:bCs/>
                <w:color w:val="auto"/>
                <w:szCs w:val="21"/>
                <w:highlight w:val="none"/>
                <w:lang w:bidi="ar-SA"/>
              </w:rPr>
              <w:t>报价文件：</w:t>
            </w:r>
          </w:p>
          <w:p w14:paraId="3625F196">
            <w:pPr>
              <w:spacing w:line="360" w:lineRule="auto"/>
              <w:rPr>
                <w:rFonts w:hint="eastAsia" w:ascii="宋体" w:eastAsia="宋体" w:cs="宋体"/>
                <w:b/>
                <w:bCs/>
                <w:color w:val="auto"/>
                <w:szCs w:val="21"/>
                <w:highlight w:val="none"/>
                <w:lang w:bidi="ar-SA"/>
              </w:rPr>
            </w:pPr>
            <w:r>
              <w:rPr>
                <w:rFonts w:hint="eastAsia" w:ascii="宋体" w:eastAsia="宋体" w:cs="宋体"/>
                <w:color w:val="auto"/>
                <w:szCs w:val="21"/>
                <w:highlight w:val="none"/>
                <w:lang w:bidi="ar-SA"/>
              </w:rPr>
              <w:t>1、竞标报价表（格式后附）；（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2173849D">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2、《中小企业声明函》或《残疾人福利性单位声明函》或属于监狱企业的证明文件（格式后附）。（</w:t>
            </w:r>
            <w:r>
              <w:rPr>
                <w:rFonts w:hint="eastAsia" w:ascii="宋体" w:eastAsia="宋体" w:cs="宋体"/>
                <w:b/>
                <w:color w:val="auto"/>
                <w:szCs w:val="21"/>
                <w:highlight w:val="none"/>
                <w:lang w:bidi="ar-SA"/>
              </w:rPr>
              <w:t>如有，请提供</w:t>
            </w:r>
            <w:r>
              <w:rPr>
                <w:rFonts w:hint="eastAsia" w:ascii="宋体" w:eastAsia="宋体" w:cs="宋体"/>
                <w:color w:val="auto"/>
                <w:szCs w:val="21"/>
                <w:highlight w:val="none"/>
                <w:lang w:bidi="ar-SA"/>
              </w:rPr>
              <w:t>）</w:t>
            </w:r>
          </w:p>
          <w:p w14:paraId="5A241205">
            <w:pPr>
              <w:spacing w:line="360" w:lineRule="auto"/>
              <w:rPr>
                <w:rFonts w:hint="eastAsia" w:ascii="宋体" w:eastAsia="宋体" w:cs="宋体"/>
                <w:b/>
                <w:bCs/>
                <w:color w:val="auto"/>
                <w:szCs w:val="21"/>
                <w:highlight w:val="none"/>
                <w:lang w:bidi="ar-SA"/>
              </w:rPr>
            </w:pPr>
            <w:r>
              <w:rPr>
                <w:rFonts w:hint="eastAsia" w:ascii="宋体" w:eastAsia="宋体" w:cs="宋体"/>
                <w:b/>
                <w:bCs/>
                <w:color w:val="auto"/>
                <w:szCs w:val="21"/>
                <w:highlight w:val="none"/>
                <w:lang w:bidi="ar-SA"/>
              </w:rPr>
              <w:t>商务技术文件：</w:t>
            </w:r>
          </w:p>
          <w:p w14:paraId="439EDC69">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1、无串通竞标行为的承诺函（格式后附）；（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4E23D0A7">
            <w:pPr>
              <w:snapToGrid w:val="0"/>
              <w:spacing w:line="360" w:lineRule="auto"/>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2、法定代表人身份证明及法定代表人有效身份证正反面复印件（格式后附）；（</w:t>
            </w:r>
            <w:r>
              <w:rPr>
                <w:rFonts w:hint="eastAsia" w:ascii="宋体" w:eastAsia="宋体" w:cs="宋体"/>
                <w:b/>
                <w:bCs/>
                <w:color w:val="auto"/>
                <w:szCs w:val="21"/>
                <w:highlight w:val="none"/>
                <w:lang w:bidi="ar-SA"/>
              </w:rPr>
              <w:t>除自然人竞标外</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555EEF37">
            <w:pPr>
              <w:spacing w:line="360" w:lineRule="auto"/>
              <w:rPr>
                <w:rFonts w:hint="eastAsia" w:ascii="宋体" w:eastAsia="宋体" w:cs="宋体"/>
                <w:b/>
                <w:color w:val="auto"/>
                <w:szCs w:val="21"/>
                <w:highlight w:val="none"/>
                <w:lang w:bidi="ar-SA"/>
              </w:rPr>
            </w:pPr>
            <w:r>
              <w:rPr>
                <w:rFonts w:hint="eastAsia" w:ascii="宋体" w:eastAsia="宋体" w:cs="宋体"/>
                <w:color w:val="auto"/>
                <w:szCs w:val="21"/>
                <w:highlight w:val="none"/>
                <w:lang w:bidi="ar-SA"/>
              </w:rPr>
              <w:t>3、授权委托书及委托代理人有效身份证正反面复印件（格式后附）；（</w:t>
            </w:r>
            <w:r>
              <w:rPr>
                <w:rFonts w:hint="eastAsia" w:ascii="宋体" w:eastAsia="宋体" w:cs="宋体"/>
                <w:b/>
                <w:color w:val="auto"/>
                <w:szCs w:val="21"/>
                <w:highlight w:val="none"/>
                <w:lang w:bidi="ar-SA"/>
              </w:rPr>
              <w:t>委托时必须提供，否则响应文件按无效响应处理</w:t>
            </w:r>
            <w:r>
              <w:rPr>
                <w:rFonts w:hint="eastAsia" w:ascii="宋体" w:eastAsia="宋体" w:cs="宋体"/>
                <w:color w:val="auto"/>
                <w:szCs w:val="21"/>
                <w:highlight w:val="none"/>
                <w:lang w:bidi="ar-SA"/>
              </w:rPr>
              <w:t>）</w:t>
            </w:r>
          </w:p>
          <w:p w14:paraId="0A62668D">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4</w:t>
            </w:r>
            <w:r>
              <w:rPr>
                <w:rFonts w:hint="eastAsia" w:ascii="宋体" w:eastAsia="宋体" w:cs="宋体"/>
                <w:color w:val="auto"/>
                <w:szCs w:val="21"/>
                <w:highlight w:val="none"/>
                <w:lang w:bidi="ar-SA"/>
              </w:rPr>
              <w:t>、商务要求偏离表（格式后附）；（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63436095">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5</w:t>
            </w:r>
            <w:r>
              <w:rPr>
                <w:rFonts w:hint="eastAsia" w:ascii="宋体" w:eastAsia="宋体" w:cs="宋体"/>
                <w:color w:val="auto"/>
                <w:szCs w:val="21"/>
                <w:highlight w:val="none"/>
                <w:lang w:bidi="ar-SA"/>
              </w:rPr>
              <w:t>、</w:t>
            </w:r>
            <w:r>
              <w:rPr>
                <w:rFonts w:hint="eastAsia" w:ascii="宋体" w:cs="宋体"/>
                <w:color w:val="auto"/>
                <w:szCs w:val="21"/>
                <w:highlight w:val="none"/>
                <w:lang w:bidi="ar-SA"/>
              </w:rPr>
              <w:t>项目</w:t>
            </w:r>
            <w:r>
              <w:rPr>
                <w:rFonts w:hint="eastAsia" w:ascii="宋体" w:cs="宋体"/>
                <w:color w:val="auto"/>
                <w:szCs w:val="21"/>
                <w:highlight w:val="none"/>
                <w:lang w:val="en-US" w:eastAsia="zh-CN" w:bidi="ar-SA"/>
              </w:rPr>
              <w:t>实施服务</w:t>
            </w:r>
            <w:r>
              <w:rPr>
                <w:rFonts w:hint="eastAsia" w:ascii="宋体" w:cs="宋体"/>
                <w:color w:val="auto"/>
                <w:szCs w:val="21"/>
                <w:highlight w:val="none"/>
                <w:lang w:bidi="ar-SA"/>
              </w:rPr>
              <w:t>方案</w:t>
            </w:r>
            <w:r>
              <w:rPr>
                <w:rFonts w:hint="eastAsia" w:ascii="宋体" w:eastAsia="宋体" w:cs="宋体"/>
                <w:color w:val="auto"/>
                <w:szCs w:val="21"/>
                <w:highlight w:val="none"/>
                <w:lang w:bidi="ar-SA"/>
              </w:rPr>
              <w:t>（格式自拟）；</w:t>
            </w:r>
          </w:p>
          <w:p w14:paraId="1A836543">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6</w:t>
            </w:r>
            <w:r>
              <w:rPr>
                <w:rFonts w:hint="eastAsia" w:ascii="宋体" w:eastAsia="宋体" w:cs="宋体"/>
                <w:color w:val="auto"/>
                <w:szCs w:val="21"/>
                <w:highlight w:val="none"/>
                <w:lang w:bidi="ar-SA"/>
              </w:rPr>
              <w:t>、技术要求偏离表（格式后附）；（（</w:t>
            </w:r>
            <w:r>
              <w:rPr>
                <w:rFonts w:hint="eastAsia" w:ascii="宋体" w:eastAsia="宋体" w:cs="宋体"/>
                <w:b/>
                <w:color w:val="auto"/>
                <w:szCs w:val="21"/>
                <w:highlight w:val="none"/>
                <w:lang w:bidi="ar-SA"/>
              </w:rPr>
              <w:t>必须提供，否则响应文件按无效响应处理</w:t>
            </w:r>
            <w:r>
              <w:rPr>
                <w:rFonts w:hint="eastAsia" w:ascii="宋体" w:eastAsia="宋体" w:cs="宋体"/>
                <w:color w:val="auto"/>
                <w:szCs w:val="21"/>
                <w:highlight w:val="none"/>
                <w:lang w:bidi="ar-SA"/>
              </w:rPr>
              <w:t>）</w:t>
            </w:r>
          </w:p>
          <w:p w14:paraId="3920561B">
            <w:pPr>
              <w:spacing w:line="360" w:lineRule="auto"/>
              <w:rPr>
                <w:rFonts w:hint="default" w:ascii="宋体" w:cs="宋体"/>
                <w:color w:val="auto"/>
                <w:szCs w:val="21"/>
                <w:highlight w:val="none"/>
                <w:lang w:val="en-US" w:eastAsia="zh-CN" w:bidi="ar-SA"/>
              </w:rPr>
            </w:pPr>
            <w:r>
              <w:rPr>
                <w:rFonts w:hint="eastAsia" w:ascii="宋体" w:cs="宋体"/>
                <w:color w:val="auto"/>
                <w:szCs w:val="21"/>
                <w:highlight w:val="none"/>
                <w:lang w:val="en-US" w:eastAsia="zh-CN" w:bidi="ar-SA"/>
              </w:rPr>
              <w:t>8、保证金提交凭证；</w:t>
            </w:r>
            <w:r>
              <w:rPr>
                <w:rFonts w:hint="eastAsia" w:ascii="宋体" w:eastAsia="宋体" w:cs="宋体"/>
                <w:color w:val="auto"/>
                <w:szCs w:val="21"/>
                <w:highlight w:val="none"/>
                <w:lang w:bidi="ar-SA"/>
              </w:rPr>
              <w:t>（</w:t>
            </w:r>
            <w:r>
              <w:rPr>
                <w:rFonts w:hint="eastAsia" w:ascii="宋体" w:hAnsi="宋体" w:eastAsia="宋体" w:cs="宋体"/>
                <w:b/>
                <w:bCs/>
                <w:color w:val="auto"/>
                <w:highlight w:val="none"/>
              </w:rPr>
              <w:t>如要求提交</w:t>
            </w:r>
            <w:r>
              <w:rPr>
                <w:rFonts w:hint="eastAsia" w:ascii="宋体" w:hAnsi="宋体" w:cs="宋体"/>
                <w:b/>
                <w:bCs/>
                <w:color w:val="auto"/>
                <w:highlight w:val="none"/>
                <w:lang w:val="en-US" w:eastAsia="zh-CN"/>
              </w:rPr>
              <w:t>磋商</w:t>
            </w:r>
            <w:r>
              <w:rPr>
                <w:rFonts w:hint="eastAsia" w:ascii="宋体" w:hAnsi="宋体" w:eastAsia="宋体" w:cs="宋体"/>
                <w:b/>
                <w:bCs/>
                <w:color w:val="auto"/>
                <w:highlight w:val="none"/>
              </w:rPr>
              <w:t>保证金的则必须提供</w:t>
            </w:r>
            <w:r>
              <w:rPr>
                <w:rFonts w:hint="eastAsia" w:ascii="宋体" w:eastAsia="宋体" w:cs="宋体"/>
                <w:b/>
                <w:color w:val="auto"/>
                <w:szCs w:val="21"/>
                <w:highlight w:val="none"/>
                <w:lang w:bidi="ar-SA"/>
              </w:rPr>
              <w:t>，否则响应文件按无效响应处理</w:t>
            </w:r>
            <w:r>
              <w:rPr>
                <w:rFonts w:hint="eastAsia" w:ascii="宋体" w:eastAsia="宋体" w:cs="宋体"/>
                <w:color w:val="auto"/>
                <w:szCs w:val="21"/>
                <w:highlight w:val="none"/>
                <w:lang w:bidi="ar-SA"/>
              </w:rPr>
              <w:t>）</w:t>
            </w:r>
          </w:p>
          <w:p w14:paraId="0C6175D5">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7</w:t>
            </w:r>
            <w:r>
              <w:rPr>
                <w:rFonts w:hint="eastAsia" w:ascii="宋体" w:eastAsia="宋体" w:cs="宋体"/>
                <w:color w:val="auto"/>
                <w:szCs w:val="21"/>
                <w:highlight w:val="none"/>
                <w:lang w:bidi="ar-SA"/>
              </w:rPr>
              <w:t xml:space="preserve">、项目实施人员一览表（格式自拟）； </w:t>
            </w:r>
          </w:p>
          <w:p w14:paraId="78CC1FD4">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8</w:t>
            </w:r>
            <w:r>
              <w:rPr>
                <w:rFonts w:hint="eastAsia" w:ascii="宋体" w:eastAsia="宋体" w:cs="宋体"/>
                <w:color w:val="auto"/>
                <w:szCs w:val="21"/>
                <w:highlight w:val="none"/>
                <w:lang w:bidi="ar-SA"/>
              </w:rPr>
              <w:t>、对应采购需求的技术要求、商务要求提供的其他文件资料（</w:t>
            </w:r>
            <w:r>
              <w:rPr>
                <w:rFonts w:hint="eastAsia" w:ascii="宋体" w:eastAsia="宋体" w:cs="宋体"/>
                <w:b/>
                <w:bCs/>
                <w:color w:val="auto"/>
                <w:szCs w:val="21"/>
                <w:highlight w:val="none"/>
                <w:lang w:val="en-US" w:eastAsia="zh-CN" w:bidi="ar-SA"/>
              </w:rPr>
              <w:t>如有要求，</w:t>
            </w:r>
            <w:r>
              <w:rPr>
                <w:rFonts w:hint="eastAsia" w:ascii="宋体" w:eastAsia="宋体" w:cs="宋体"/>
                <w:b/>
                <w:color w:val="auto"/>
                <w:szCs w:val="21"/>
                <w:highlight w:val="none"/>
                <w:lang w:bidi="ar-SA"/>
              </w:rPr>
              <w:t>必须提供，否则响应文件按无效响应处理</w:t>
            </w:r>
            <w:r>
              <w:rPr>
                <w:rFonts w:hint="eastAsia" w:ascii="宋体" w:eastAsia="宋体" w:cs="宋体"/>
                <w:b/>
                <w:color w:val="auto"/>
                <w:szCs w:val="21"/>
                <w:highlight w:val="none"/>
                <w:lang w:eastAsia="zh-CN" w:bidi="ar-SA"/>
              </w:rPr>
              <w:t>，</w:t>
            </w:r>
            <w:r>
              <w:rPr>
                <w:rFonts w:hint="eastAsia" w:ascii="宋体" w:eastAsia="宋体" w:cs="宋体"/>
                <w:b/>
                <w:color w:val="auto"/>
                <w:szCs w:val="21"/>
                <w:highlight w:val="none"/>
                <w:lang w:bidi="ar-SA"/>
              </w:rPr>
              <w:t>格式自拟</w:t>
            </w:r>
            <w:r>
              <w:rPr>
                <w:rFonts w:hint="eastAsia" w:ascii="宋体" w:eastAsia="宋体" w:cs="宋体"/>
                <w:color w:val="auto"/>
                <w:szCs w:val="21"/>
                <w:highlight w:val="none"/>
                <w:lang w:bidi="ar-SA"/>
              </w:rPr>
              <w:t>）；</w:t>
            </w:r>
          </w:p>
          <w:p w14:paraId="021CEB21">
            <w:pPr>
              <w:spacing w:line="360" w:lineRule="auto"/>
              <w:rPr>
                <w:rFonts w:hint="eastAsia" w:ascii="宋体" w:eastAsia="宋体" w:cs="宋体"/>
                <w:color w:val="auto"/>
                <w:szCs w:val="21"/>
                <w:highlight w:val="none"/>
                <w:lang w:bidi="ar-SA"/>
              </w:rPr>
            </w:pPr>
            <w:r>
              <w:rPr>
                <w:rFonts w:hint="eastAsia" w:ascii="宋体" w:cs="宋体"/>
                <w:color w:val="auto"/>
                <w:szCs w:val="21"/>
                <w:highlight w:val="none"/>
                <w:lang w:val="en-US" w:eastAsia="zh-CN" w:bidi="ar-SA"/>
              </w:rPr>
              <w:t>9</w:t>
            </w:r>
            <w:r>
              <w:rPr>
                <w:rFonts w:hint="eastAsia" w:ascii="宋体" w:eastAsia="宋体" w:cs="宋体"/>
                <w:color w:val="auto"/>
                <w:szCs w:val="21"/>
                <w:highlight w:val="none"/>
                <w:lang w:bidi="ar-SA"/>
              </w:rPr>
              <w:t>、供应商认为需要提供的其他有关资料。</w:t>
            </w:r>
          </w:p>
          <w:p w14:paraId="3D9D3584">
            <w:pPr>
              <w:snapToGrid w:val="0"/>
              <w:spacing w:line="360" w:lineRule="auto"/>
              <w:ind w:firstLine="422" w:firstLineChars="200"/>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注：以上标明“必须提供”的材料属于复印件的，必须加盖供应商公章，否则响应文件按无效响应处理。</w:t>
            </w:r>
          </w:p>
        </w:tc>
      </w:tr>
      <w:tr w14:paraId="6C0D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728846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15.2</w:t>
            </w:r>
          </w:p>
        </w:tc>
        <w:tc>
          <w:tcPr>
            <w:tcW w:w="8627" w:type="dxa"/>
            <w:noWrap w:val="0"/>
            <w:vAlign w:val="center"/>
          </w:tcPr>
          <w:p w14:paraId="0221AD64">
            <w:pPr>
              <w:snapToGrid w:val="0"/>
              <w:spacing w:line="360" w:lineRule="auto"/>
              <w:jc w:val="left"/>
              <w:rPr>
                <w:rFonts w:hint="eastAsia" w:ascii="宋体" w:hAnsi="宋体" w:eastAsia="宋体" w:cs="宋体"/>
                <w:color w:val="auto"/>
                <w:szCs w:val="21"/>
                <w:highlight w:val="none"/>
                <w:lang w:eastAsia="zh-CN" w:bidi="ar-SA"/>
              </w:rPr>
            </w:pPr>
            <w:r>
              <w:rPr>
                <w:rFonts w:hint="eastAsia" w:ascii="宋体" w:hAnsi="宋体" w:eastAsia="宋体" w:cs="宋体"/>
                <w:color w:val="auto"/>
                <w:szCs w:val="21"/>
                <w:highlight w:val="none"/>
                <w:lang w:bidi="ar-SA"/>
              </w:rPr>
              <w:t>竞标报价是履行合同的最终价格，即满足全部采购需求所应提供的服务的价格；</w:t>
            </w:r>
            <w:r>
              <w:rPr>
                <w:rFonts w:hint="eastAsia" w:ascii="宋体" w:hAnsi="宋体" w:eastAsia="宋体" w:cs="宋体"/>
                <w:color w:val="auto"/>
                <w:szCs w:val="21"/>
                <w:highlight w:val="none"/>
                <w:lang w:eastAsia="zh-CN" w:bidi="ar-SA"/>
              </w:rPr>
              <w:t>包含满足本项目全部采购需求所应提供的服务，以及伴随的货物和工程（如有）的价格；包含投标服务、货物、工程的成本、运输（含保险）、安装（如有）、调试、检验、技术服务、培训、税费等所有费用。</w:t>
            </w:r>
          </w:p>
        </w:tc>
      </w:tr>
      <w:tr w14:paraId="1E2A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3EE612">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16.2</w:t>
            </w:r>
          </w:p>
        </w:tc>
        <w:tc>
          <w:tcPr>
            <w:tcW w:w="8627" w:type="dxa"/>
            <w:noWrap w:val="0"/>
            <w:vAlign w:val="center"/>
          </w:tcPr>
          <w:p w14:paraId="1DBBF504">
            <w:pPr>
              <w:spacing w:line="360" w:lineRule="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竞标有效期：首次响应文件提交截止之日起60天内。</w:t>
            </w:r>
          </w:p>
        </w:tc>
      </w:tr>
      <w:tr w14:paraId="4CEC9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56F992F">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17.1</w:t>
            </w:r>
          </w:p>
        </w:tc>
        <w:tc>
          <w:tcPr>
            <w:tcW w:w="8627" w:type="dxa"/>
            <w:noWrap w:val="0"/>
            <w:vAlign w:val="center"/>
          </w:tcPr>
          <w:p w14:paraId="02738745">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磋商保证金：壹万</w:t>
            </w:r>
            <w:r>
              <w:rPr>
                <w:rFonts w:hint="eastAsia" w:ascii="宋体" w:hAnsi="宋体" w:eastAsia="宋体" w:cs="宋体"/>
                <w:color w:val="auto"/>
                <w:szCs w:val="21"/>
                <w:highlight w:val="none"/>
                <w:lang w:val="en-US" w:eastAsia="zh-CN" w:bidi="ar-SA"/>
              </w:rPr>
              <w:t>肆</w:t>
            </w:r>
            <w:r>
              <w:rPr>
                <w:rFonts w:hint="eastAsia" w:ascii="宋体" w:hAnsi="宋体" w:eastAsia="宋体" w:cs="宋体"/>
                <w:color w:val="auto"/>
                <w:szCs w:val="21"/>
                <w:highlight w:val="none"/>
                <w:lang w:bidi="ar-SA"/>
              </w:rPr>
              <w:t>仟元整（¥1</w:t>
            </w:r>
            <w:r>
              <w:rPr>
                <w:rFonts w:hint="eastAsia" w:ascii="宋体" w:hAnsi="宋体" w:eastAsia="宋体" w:cs="宋体"/>
                <w:color w:val="auto"/>
                <w:szCs w:val="21"/>
                <w:highlight w:val="none"/>
                <w:lang w:val="en-US" w:eastAsia="zh-CN" w:bidi="ar-SA"/>
              </w:rPr>
              <w:t>4</w:t>
            </w:r>
            <w:r>
              <w:rPr>
                <w:rFonts w:hint="eastAsia" w:ascii="宋体" w:hAnsi="宋体" w:eastAsia="宋体" w:cs="宋体"/>
                <w:color w:val="auto"/>
                <w:szCs w:val="21"/>
                <w:highlight w:val="none"/>
                <w:lang w:bidi="ar-SA"/>
              </w:rPr>
              <w:t>000.00）（须足额交纳）。</w:t>
            </w:r>
          </w:p>
          <w:p w14:paraId="2CF98CB7">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磋商保证金应以支票、汇票、本票、转账、电汇或者金融机构出具的保函、保险等非现金形式，并于响应文件递交截止时间前交纳并确保到账，以转账、电汇形式的从供应商单位账户交至以下账户：</w:t>
            </w:r>
          </w:p>
          <w:p w14:paraId="78A1AF09">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 xml:space="preserve">账户名称：广西建采项目管理有限公司  </w:t>
            </w:r>
          </w:p>
          <w:p w14:paraId="3FDB1AE2">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 xml:space="preserve">开户银行：中国建设银行贺州城东支行             </w:t>
            </w:r>
          </w:p>
          <w:p w14:paraId="5B03EFD3">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银行账号：45050164740200001325</w:t>
            </w:r>
          </w:p>
          <w:p w14:paraId="59B75BDF">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SA"/>
              </w:rPr>
              <w:t>注：</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保证金采用支票、汇票、本票或者金融、担保机构出具的</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保函交纳方式的，投标人应将支票、汇票、本票或者金融、担保机构出具的保函的扫描件作为投标保证金提交凭证，放置于商务</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文件中，</w:t>
            </w:r>
            <w:r>
              <w:rPr>
                <w:rFonts w:hint="eastAsia" w:ascii="宋体" w:hAnsi="宋体" w:eastAsia="宋体" w:cs="宋体"/>
                <w:b w:val="0"/>
                <w:bCs/>
                <w:color w:val="auto"/>
                <w:szCs w:val="21"/>
                <w:highlight w:val="none"/>
              </w:rPr>
              <w:t>否则</w:t>
            </w:r>
            <w:r>
              <w:rPr>
                <w:rFonts w:hint="eastAsia" w:ascii="宋体" w:hAnsi="宋体" w:eastAsia="宋体" w:cs="宋体"/>
                <w:b w:val="0"/>
                <w:bCs/>
                <w:color w:val="auto"/>
                <w:szCs w:val="21"/>
                <w:highlight w:val="none"/>
                <w:lang w:val="en-US" w:eastAsia="zh-CN"/>
              </w:rPr>
              <w:t>竞标</w:t>
            </w:r>
            <w:r>
              <w:rPr>
                <w:rFonts w:hint="eastAsia" w:ascii="宋体" w:hAnsi="宋体" w:eastAsia="宋体" w:cs="宋体"/>
                <w:b w:val="0"/>
                <w:bCs/>
                <w:color w:val="auto"/>
                <w:szCs w:val="21"/>
                <w:highlight w:val="none"/>
              </w:rPr>
              <w:t>无效</w:t>
            </w:r>
            <w:r>
              <w:rPr>
                <w:rFonts w:hint="eastAsia" w:ascii="宋体" w:hAnsi="宋体" w:eastAsia="宋体" w:cs="宋体"/>
                <w:color w:val="auto"/>
                <w:szCs w:val="21"/>
                <w:highlight w:val="none"/>
              </w:rPr>
              <w:t>。</w:t>
            </w:r>
          </w:p>
          <w:p w14:paraId="4FC6B916">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供应商</w:t>
            </w:r>
            <w:r>
              <w:rPr>
                <w:rFonts w:hint="eastAsia" w:ascii="宋体" w:hAnsi="宋体" w:eastAsia="宋体" w:cs="宋体"/>
                <w:b w:val="0"/>
                <w:bCs/>
                <w:color w:val="auto"/>
                <w:szCs w:val="21"/>
                <w:highlight w:val="none"/>
              </w:rPr>
              <w:t>必须在投标截止时间前将支票、汇票、本票或者金融、担保机构出具的</w:t>
            </w:r>
            <w:r>
              <w:rPr>
                <w:rFonts w:hint="eastAsia" w:ascii="宋体" w:hAnsi="宋体" w:eastAsia="宋体" w:cs="宋体"/>
                <w:b w:val="0"/>
                <w:bCs/>
                <w:color w:val="auto"/>
                <w:szCs w:val="21"/>
                <w:highlight w:val="none"/>
                <w:lang w:val="en-US" w:eastAsia="zh-CN"/>
              </w:rPr>
              <w:t>纸质</w:t>
            </w:r>
            <w:r>
              <w:rPr>
                <w:rFonts w:hint="eastAsia" w:ascii="宋体" w:hAnsi="宋体" w:eastAsia="宋体" w:cs="宋体"/>
                <w:b w:val="0"/>
                <w:bCs/>
                <w:color w:val="auto"/>
                <w:szCs w:val="21"/>
                <w:highlight w:val="none"/>
              </w:rPr>
              <w:t>保函原件提交给采购代理机构，由采购代理机构向</w:t>
            </w:r>
            <w:r>
              <w:rPr>
                <w:rFonts w:hint="eastAsia" w:ascii="宋体" w:hAnsi="宋体" w:eastAsia="宋体" w:cs="宋体"/>
                <w:b w:val="0"/>
                <w:bCs/>
                <w:color w:val="auto"/>
                <w:szCs w:val="21"/>
                <w:highlight w:val="none"/>
                <w:lang w:val="en-US" w:eastAsia="zh-CN"/>
              </w:rPr>
              <w:t>供应商</w:t>
            </w:r>
            <w:r>
              <w:rPr>
                <w:rFonts w:hint="eastAsia" w:ascii="宋体" w:hAnsi="宋体" w:eastAsia="宋体" w:cs="宋体"/>
                <w:b w:val="0"/>
                <w:bCs/>
                <w:color w:val="auto"/>
                <w:szCs w:val="21"/>
                <w:highlight w:val="none"/>
              </w:rPr>
              <w:t>出具回执，并妥善保管。</w:t>
            </w:r>
            <w:r>
              <w:rPr>
                <w:rFonts w:hint="eastAsia" w:ascii="宋体" w:hAnsi="宋体" w:eastAsia="宋体" w:cs="宋体"/>
                <w:b w:val="0"/>
                <w:bCs/>
                <w:color w:val="auto"/>
                <w:szCs w:val="21"/>
                <w:highlight w:val="none"/>
                <w:lang w:eastAsia="zh-CN"/>
              </w:rPr>
              <w:t>（</w:t>
            </w:r>
            <w:r>
              <w:rPr>
                <w:rFonts w:hint="eastAsia" w:ascii="宋体" w:hAnsi="宋体" w:eastAsia="宋体" w:cs="宋体"/>
                <w:b/>
                <w:bCs w:val="0"/>
                <w:color w:val="auto"/>
                <w:szCs w:val="21"/>
                <w:highlight w:val="none"/>
              </w:rPr>
              <w:t>支票、汇票、本票</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纸质</w:t>
            </w:r>
            <w:r>
              <w:rPr>
                <w:rFonts w:hint="eastAsia" w:ascii="宋体" w:hAnsi="宋体" w:eastAsia="宋体" w:cs="宋体"/>
                <w:b/>
                <w:bCs w:val="0"/>
                <w:color w:val="auto"/>
                <w:szCs w:val="21"/>
                <w:highlight w:val="none"/>
              </w:rPr>
              <w:t>保函原件</w:t>
            </w:r>
            <w:r>
              <w:rPr>
                <w:rFonts w:hint="eastAsia" w:ascii="宋体" w:hAnsi="宋体" w:eastAsia="宋体" w:cs="宋体"/>
                <w:b/>
                <w:bCs w:val="0"/>
                <w:color w:val="auto"/>
                <w:szCs w:val="21"/>
                <w:highlight w:val="none"/>
                <w:lang w:val="en-US" w:eastAsia="zh-CN"/>
              </w:rPr>
              <w:t>递交地址：贺州市平安东路绿洲家园B区B-2栋5号商铺  联系方式：刘宇倩 0774-5081968</w:t>
            </w:r>
            <w:r>
              <w:rPr>
                <w:rFonts w:hint="eastAsia" w:ascii="宋体" w:hAnsi="宋体" w:eastAsia="宋体" w:cs="宋体"/>
                <w:b w:val="0"/>
                <w:bCs/>
                <w:color w:val="auto"/>
                <w:szCs w:val="21"/>
                <w:highlight w:val="none"/>
                <w:lang w:eastAsia="zh-CN"/>
              </w:rPr>
              <w:t>）</w:t>
            </w:r>
          </w:p>
          <w:p w14:paraId="0F54DBC8">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SA"/>
              </w:rPr>
              <w:t>若供应商以电子保函形式提交</w:t>
            </w:r>
            <w:r>
              <w:rPr>
                <w:rFonts w:hint="eastAsia" w:ascii="宋体" w:hAnsi="宋体" w:eastAsia="宋体" w:cs="宋体"/>
                <w:color w:val="auto"/>
                <w:szCs w:val="21"/>
                <w:highlight w:val="none"/>
                <w:lang w:val="en-US" w:eastAsia="zh-CN" w:bidi="ar-SA"/>
              </w:rPr>
              <w:t>磋商</w:t>
            </w:r>
            <w:r>
              <w:rPr>
                <w:rFonts w:hint="eastAsia" w:ascii="宋体" w:hAnsi="宋体" w:eastAsia="宋体" w:cs="宋体"/>
                <w:color w:val="auto"/>
                <w:szCs w:val="21"/>
                <w:highlight w:val="none"/>
                <w:lang w:bidi="ar-SA"/>
              </w:rPr>
              <w:t>保证金的，推广使用在“广西政府采购金融服务平台”通过在线方式完成保函申请、递交等全流程电子化操作。</w:t>
            </w:r>
          </w:p>
        </w:tc>
      </w:tr>
      <w:tr w14:paraId="735D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noWrap w:val="0"/>
            <w:vAlign w:val="center"/>
          </w:tcPr>
          <w:p w14:paraId="6C4409D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18.2</w:t>
            </w:r>
          </w:p>
        </w:tc>
        <w:tc>
          <w:tcPr>
            <w:tcW w:w="8627" w:type="dxa"/>
            <w:noWrap w:val="0"/>
            <w:vAlign w:val="center"/>
          </w:tcPr>
          <w:p w14:paraId="72DA6AA6">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响应文件应按资格证明文件、报价商务技术文件分别编制，</w:t>
            </w:r>
            <w:r>
              <w:rPr>
                <w:rFonts w:hint="eastAsia" w:ascii="宋体" w:eastAsia="宋体" w:cs="宋体"/>
                <w:color w:val="auto"/>
                <w:szCs w:val="21"/>
                <w:highlight w:val="none"/>
                <w:lang w:bidi="ar"/>
              </w:rPr>
              <w:t>并按</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的要求编制、加密、上传。</w:t>
            </w:r>
          </w:p>
        </w:tc>
      </w:tr>
      <w:tr w14:paraId="0A586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CE56D0">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20.1</w:t>
            </w:r>
          </w:p>
        </w:tc>
        <w:tc>
          <w:tcPr>
            <w:tcW w:w="8627" w:type="dxa"/>
            <w:noWrap w:val="0"/>
            <w:vAlign w:val="center"/>
          </w:tcPr>
          <w:p w14:paraId="2835931F">
            <w:pPr>
              <w:spacing w:line="360" w:lineRule="auto"/>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首次响应文件提交截止时间：详见竞争性磋商公告。</w:t>
            </w:r>
          </w:p>
          <w:p w14:paraId="176DCE86">
            <w:pPr>
              <w:spacing w:line="360" w:lineRule="auto"/>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首次响应文件提交地点：详见竞争性磋商公告。</w:t>
            </w:r>
          </w:p>
        </w:tc>
      </w:tr>
      <w:tr w14:paraId="7128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0FEA16B">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24.1</w:t>
            </w:r>
          </w:p>
        </w:tc>
        <w:tc>
          <w:tcPr>
            <w:tcW w:w="8627" w:type="dxa"/>
            <w:noWrap w:val="0"/>
            <w:vAlign w:val="center"/>
          </w:tcPr>
          <w:p w14:paraId="1AFDF2F3">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磋商小组的人数：3人。其中，采购人代表1人，评审专家2人。</w:t>
            </w:r>
          </w:p>
          <w:p w14:paraId="7B1D683A">
            <w:pPr>
              <w:snapToGrid w:val="0"/>
              <w:spacing w:line="360" w:lineRule="auto"/>
              <w:rPr>
                <w:rFonts w:hint="eastAsia" w:ascii="宋体" w:eastAsia="宋体" w:cs="宋体"/>
                <w:color w:val="auto"/>
                <w:szCs w:val="21"/>
                <w:highlight w:val="none"/>
                <w:lang w:bidi="ar-SA"/>
              </w:rPr>
            </w:pPr>
            <w:r>
              <w:rPr>
                <w:rFonts w:hint="eastAsia" w:ascii="宋体" w:eastAsia="宋体" w:cs="宋体"/>
                <w:b/>
                <w:bCs/>
                <w:color w:val="auto"/>
                <w:szCs w:val="21"/>
                <w:highlight w:val="none"/>
                <w:lang w:bidi="ar-SA"/>
              </w:rPr>
              <w:t>评标专家确定方式</w:t>
            </w:r>
            <w:r>
              <w:rPr>
                <w:rFonts w:hint="eastAsia" w:ascii="宋体" w:eastAsia="宋体" w:cs="宋体"/>
                <w:color w:val="auto"/>
                <w:szCs w:val="21"/>
                <w:highlight w:val="none"/>
                <w:lang w:bidi="ar-SA"/>
              </w:rPr>
              <w:t>：开标前由采购代理机构在广西政府采购云平台评审专家库随机抽取确定。</w:t>
            </w:r>
          </w:p>
          <w:p w14:paraId="2F7D7517">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是否远程抽取评委及远程异地评标：☑是   □否</w:t>
            </w:r>
          </w:p>
          <w:p w14:paraId="2588BD35">
            <w:pPr>
              <w:snapToGrid w:val="0"/>
              <w:spacing w:line="360" w:lineRule="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评</w:t>
            </w:r>
            <w:r>
              <w:rPr>
                <w:rFonts w:hint="eastAsia" w:ascii="宋体" w:eastAsia="宋体" w:cs="宋体"/>
                <w:color w:val="auto"/>
                <w:szCs w:val="21"/>
                <w:highlight w:val="none"/>
                <w:lang w:val="en-US" w:eastAsia="zh-CN" w:bidi="ar-SA"/>
              </w:rPr>
              <w:t>标</w:t>
            </w:r>
            <w:r>
              <w:rPr>
                <w:rFonts w:hint="eastAsia" w:ascii="宋体" w:eastAsia="宋体" w:cs="宋体"/>
                <w:color w:val="auto"/>
                <w:szCs w:val="21"/>
                <w:highlight w:val="none"/>
                <w:lang w:bidi="ar-SA"/>
              </w:rPr>
              <w:t>地址：</w:t>
            </w:r>
            <w:r>
              <w:rPr>
                <w:rFonts w:hint="eastAsia" w:ascii="宋体" w:eastAsia="宋体" w:cs="宋体"/>
                <w:color w:val="auto"/>
                <w:szCs w:val="21"/>
                <w:highlight w:val="none"/>
                <w:lang w:val="en-US" w:eastAsia="zh-CN" w:bidi="ar"/>
              </w:rPr>
              <w:t>评标主会场地址：贺州市平安东路绿洲家园B区B-2栋5号商铺3F；评标副会场地址：青秀区南宁市青秀区竹溪大道36号青湖中心27楼2702号。</w:t>
            </w:r>
          </w:p>
        </w:tc>
      </w:tr>
      <w:tr w14:paraId="70EA5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F9615D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25.2</w:t>
            </w:r>
          </w:p>
        </w:tc>
        <w:tc>
          <w:tcPr>
            <w:tcW w:w="8627" w:type="dxa"/>
            <w:noWrap w:val="0"/>
            <w:vAlign w:val="center"/>
          </w:tcPr>
          <w:p w14:paraId="20A31D03">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采购代理机构将依托电子交易平台发起开始解密指令，</w:t>
            </w:r>
            <w:r>
              <w:rPr>
                <w:rFonts w:hint="eastAsia" w:ascii="宋体" w:eastAsia="宋体" w:cs="宋体"/>
                <w:b/>
                <w:color w:val="auto"/>
                <w:szCs w:val="21"/>
                <w:highlight w:val="none"/>
                <w:lang w:bidi="ar-SA"/>
              </w:rPr>
              <w:t>供应商的法定代表人或其委托代理人须携带加密时所用的CA锁按平台提示和采购文件的规定登录到</w:t>
            </w:r>
            <w:r>
              <w:rPr>
                <w:rFonts w:hint="eastAsia" w:ascii="宋体" w:eastAsia="宋体" w:cs="宋体"/>
                <w:b/>
                <w:color w:val="auto"/>
                <w:szCs w:val="21"/>
                <w:highlight w:val="none"/>
                <w:lang w:eastAsia="zh-CN" w:bidi="ar-SA"/>
              </w:rPr>
              <w:t>广西政府采购云平台</w:t>
            </w:r>
            <w:r>
              <w:rPr>
                <w:rFonts w:hint="eastAsia" w:ascii="宋体" w:eastAsia="宋体" w:cs="宋体"/>
                <w:b/>
                <w:color w:val="auto"/>
                <w:szCs w:val="21"/>
                <w:highlight w:val="none"/>
                <w:lang w:bidi="ar-SA"/>
              </w:rPr>
              <w:t>电子开标大厅签到并在发起解密指令之时起30分钟内完成对电子响应文件在线解密。</w:t>
            </w:r>
            <w:r>
              <w:rPr>
                <w:rFonts w:hint="eastAsia" w:ascii="宋体" w:eastAsia="宋体" w:cs="宋体"/>
                <w:b/>
                <w:bCs/>
                <w:color w:val="auto"/>
                <w:szCs w:val="21"/>
                <w:highlight w:val="none"/>
                <w:lang w:bidi="ar-SA"/>
              </w:rPr>
              <w:t>响应文件未按时解密的，</w:t>
            </w:r>
            <w:r>
              <w:rPr>
                <w:rFonts w:hint="eastAsia" w:ascii="宋体" w:eastAsia="宋体" w:cs="宋体"/>
                <w:b/>
                <w:color w:val="auto"/>
                <w:szCs w:val="21"/>
                <w:highlight w:val="none"/>
                <w:lang w:bidi="ar-SA"/>
              </w:rPr>
              <w:t>视为响应</w:t>
            </w:r>
            <w:r>
              <w:rPr>
                <w:rFonts w:hint="eastAsia" w:ascii="宋体" w:eastAsia="宋体" w:cs="宋体"/>
                <w:b/>
                <w:bCs/>
                <w:color w:val="auto"/>
                <w:szCs w:val="21"/>
                <w:highlight w:val="none"/>
                <w:lang w:bidi="ar-SA"/>
              </w:rPr>
              <w:t>文件无效。</w:t>
            </w:r>
          </w:p>
        </w:tc>
      </w:tr>
      <w:tr w14:paraId="3DA8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644DAEBE">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26</w:t>
            </w:r>
          </w:p>
        </w:tc>
        <w:tc>
          <w:tcPr>
            <w:tcW w:w="8627" w:type="dxa"/>
            <w:noWrap w:val="0"/>
            <w:vAlign w:val="center"/>
          </w:tcPr>
          <w:p w14:paraId="63CC5440">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商务要求评审中允许负偏离的条款数为</w:t>
            </w:r>
            <w:r>
              <w:rPr>
                <w:rFonts w:hint="eastAsia" w:ascii="宋体" w:eastAsia="宋体" w:cs="宋体"/>
                <w:color w:val="auto"/>
                <w:szCs w:val="21"/>
                <w:highlight w:val="none"/>
                <w:u w:val="single"/>
                <w:lang w:bidi="ar-SA"/>
              </w:rPr>
              <w:t xml:space="preserve">  0 </w:t>
            </w:r>
            <w:r>
              <w:rPr>
                <w:rFonts w:hint="eastAsia" w:ascii="宋体" w:eastAsia="宋体" w:cs="宋体"/>
                <w:color w:val="auto"/>
                <w:szCs w:val="21"/>
                <w:highlight w:val="none"/>
                <w:lang w:bidi="ar-SA"/>
              </w:rPr>
              <w:t>项。</w:t>
            </w:r>
          </w:p>
          <w:p w14:paraId="4B3CB9DF">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技术要求评审中允许负偏离的条款</w:t>
            </w:r>
            <w:r>
              <w:rPr>
                <w:rFonts w:hint="eastAsia" w:ascii="宋体" w:cs="宋体"/>
                <w:color w:val="auto"/>
                <w:szCs w:val="21"/>
                <w:highlight w:val="none"/>
                <w:lang w:eastAsia="zh-CN" w:bidi="ar-SA"/>
              </w:rPr>
              <w:t>（</w:t>
            </w:r>
            <w:r>
              <w:rPr>
                <w:rFonts w:hint="eastAsia" w:ascii="宋体" w:cs="宋体"/>
                <w:color w:val="auto"/>
                <w:szCs w:val="21"/>
                <w:highlight w:val="none"/>
                <w:lang w:val="en-US" w:eastAsia="zh-CN" w:bidi="ar-SA"/>
              </w:rPr>
              <w:t>非带“▲”的条款</w:t>
            </w:r>
            <w:r>
              <w:rPr>
                <w:rFonts w:hint="eastAsia" w:ascii="宋体" w:cs="宋体"/>
                <w:color w:val="auto"/>
                <w:szCs w:val="21"/>
                <w:highlight w:val="none"/>
                <w:lang w:eastAsia="zh-CN" w:bidi="ar-SA"/>
              </w:rPr>
              <w:t>）</w:t>
            </w:r>
            <w:r>
              <w:rPr>
                <w:rFonts w:hint="eastAsia" w:ascii="宋体" w:eastAsia="宋体" w:cs="宋体"/>
                <w:color w:val="auto"/>
                <w:szCs w:val="21"/>
                <w:highlight w:val="none"/>
                <w:lang w:bidi="ar-SA"/>
              </w:rPr>
              <w:t>数为</w:t>
            </w:r>
            <w:r>
              <w:rPr>
                <w:rFonts w:hint="eastAsia" w:ascii="宋体" w:eastAsia="宋体" w:cs="宋体"/>
                <w:color w:val="auto"/>
                <w:szCs w:val="21"/>
                <w:highlight w:val="none"/>
                <w:u w:val="single"/>
                <w:lang w:bidi="ar-SA"/>
              </w:rPr>
              <w:t xml:space="preserve"> </w:t>
            </w:r>
            <w:r>
              <w:rPr>
                <w:rFonts w:hint="eastAsia" w:ascii="宋体" w:cs="宋体"/>
                <w:color w:val="auto"/>
                <w:szCs w:val="21"/>
                <w:highlight w:val="none"/>
                <w:u w:val="single"/>
                <w:lang w:val="en-US" w:eastAsia="zh-CN" w:bidi="ar-SA"/>
              </w:rPr>
              <w:t>15</w:t>
            </w:r>
            <w:r>
              <w:rPr>
                <w:rFonts w:hint="eastAsia" w:ascii="宋体" w:eastAsia="宋体" w:cs="宋体"/>
                <w:color w:val="auto"/>
                <w:szCs w:val="21"/>
                <w:highlight w:val="none"/>
                <w:u w:val="single"/>
                <w:lang w:bidi="ar-SA"/>
              </w:rPr>
              <w:t xml:space="preserve"> </w:t>
            </w:r>
            <w:r>
              <w:rPr>
                <w:rFonts w:hint="eastAsia" w:ascii="宋体" w:eastAsia="宋体" w:cs="宋体"/>
                <w:color w:val="auto"/>
                <w:szCs w:val="21"/>
                <w:highlight w:val="none"/>
                <w:lang w:bidi="ar-SA"/>
              </w:rPr>
              <w:t>项。</w:t>
            </w:r>
          </w:p>
        </w:tc>
      </w:tr>
      <w:tr w14:paraId="4DAD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jc w:val="center"/>
        </w:trPr>
        <w:tc>
          <w:tcPr>
            <w:tcW w:w="992" w:type="dxa"/>
            <w:vMerge w:val="continue"/>
            <w:noWrap w:val="0"/>
            <w:vAlign w:val="center"/>
          </w:tcPr>
          <w:p w14:paraId="52BA357C">
            <w:pPr>
              <w:rPr>
                <w:color w:val="auto"/>
                <w:highlight w:val="none"/>
              </w:rPr>
            </w:pPr>
          </w:p>
        </w:tc>
        <w:tc>
          <w:tcPr>
            <w:tcW w:w="8627" w:type="dxa"/>
            <w:noWrap w:val="0"/>
            <w:vAlign w:val="center"/>
          </w:tcPr>
          <w:p w14:paraId="474315BF">
            <w:pPr>
              <w:pStyle w:val="14"/>
              <w:spacing w:line="320" w:lineRule="exact"/>
              <w:jc w:val="both"/>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磋商的顺序：按“</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”系统的编号顺序。</w:t>
            </w:r>
          </w:p>
          <w:p w14:paraId="74688DD8">
            <w:pPr>
              <w:pStyle w:val="14"/>
              <w:spacing w:line="360" w:lineRule="auto"/>
              <w:jc w:val="both"/>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符合磋商资格的供应商必须在接到磋商通知后规定时间内参加磋商，未在规定时间内参加磋商的视同放弃参加磋商权利，其响应文件按无效响应处理。</w:t>
            </w:r>
          </w:p>
        </w:tc>
      </w:tr>
      <w:tr w14:paraId="776E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42DC3C2">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28.1</w:t>
            </w:r>
          </w:p>
        </w:tc>
        <w:tc>
          <w:tcPr>
            <w:tcW w:w="8627" w:type="dxa"/>
            <w:noWrap w:val="0"/>
            <w:vAlign w:val="center"/>
          </w:tcPr>
          <w:p w14:paraId="0392E663">
            <w:pPr>
              <w:autoSpaceDE w:val="0"/>
              <w:autoSpaceDN w:val="0"/>
              <w:snapToGrid w:val="0"/>
              <w:spacing w:line="360" w:lineRule="auto"/>
              <w:textAlignment w:val="bottom"/>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履约保证金：本项目不收取履约保证金。</w:t>
            </w:r>
          </w:p>
        </w:tc>
      </w:tr>
      <w:tr w14:paraId="580E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68F0C51">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29.1</w:t>
            </w:r>
          </w:p>
        </w:tc>
        <w:tc>
          <w:tcPr>
            <w:tcW w:w="8627" w:type="dxa"/>
            <w:noWrap w:val="0"/>
            <w:vAlign w:val="center"/>
          </w:tcPr>
          <w:p w14:paraId="0F576EC6">
            <w:pPr>
              <w:autoSpaceDE w:val="0"/>
              <w:autoSpaceDN w:val="0"/>
              <w:snapToGrid w:val="0"/>
              <w:spacing w:line="360" w:lineRule="auto"/>
              <w:textAlignment w:val="bottom"/>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签订合同携带的证明材料： </w:t>
            </w:r>
          </w:p>
          <w:p w14:paraId="73286566">
            <w:pPr>
              <w:autoSpaceDE w:val="0"/>
              <w:autoSpaceDN w:val="0"/>
              <w:snapToGrid w:val="0"/>
              <w:spacing w:line="360" w:lineRule="auto"/>
              <w:textAlignment w:val="bottom"/>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1、委托代理人负责签订合同的，须携带授权委托书及委托代理人身份证原件等其他资格证件。</w:t>
            </w:r>
          </w:p>
          <w:p w14:paraId="6BF6038E">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2、法定代表人负责签订合同的，须携带法定代表</w:t>
            </w:r>
          </w:p>
          <w:p w14:paraId="2331DEFE">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人身份证明原件及身份证原件等其他证明材料。</w:t>
            </w:r>
          </w:p>
        </w:tc>
      </w:tr>
      <w:tr w14:paraId="3C8A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3D67BD">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31.2</w:t>
            </w:r>
          </w:p>
        </w:tc>
        <w:tc>
          <w:tcPr>
            <w:tcW w:w="8627" w:type="dxa"/>
            <w:noWrap w:val="0"/>
            <w:vAlign w:val="center"/>
          </w:tcPr>
          <w:p w14:paraId="2D8D4B82">
            <w:pPr>
              <w:snapToGrid w:val="0"/>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接收质疑函方式：以书面形式。</w:t>
            </w:r>
          </w:p>
          <w:p w14:paraId="43542791">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kern w:val="2"/>
                <w:sz w:val="21"/>
                <w:highlight w:val="none"/>
                <w:lang w:bidi="ar-SA"/>
              </w:rPr>
              <w:t>质疑联系部门及联系方式：</w:t>
            </w:r>
            <w:r>
              <w:rPr>
                <w:rFonts w:hint="eastAsia" w:ascii="宋体" w:eastAsia="宋体" w:cs="宋体"/>
                <w:color w:val="auto"/>
                <w:sz w:val="21"/>
                <w:highlight w:val="none"/>
                <w:lang w:bidi="ar-SA"/>
              </w:rPr>
              <w:t>广西建采项目管理有限公司，质疑联系人：刘宇倩， 联系电话：0774-5081968，通讯地址：贺州市平安东路绿洲家园B区B-2栋5号商铺。</w:t>
            </w:r>
          </w:p>
          <w:p w14:paraId="3B7B908E">
            <w:pPr>
              <w:pStyle w:val="19"/>
              <w:snapToGrid w:val="0"/>
              <w:spacing w:line="360" w:lineRule="auto"/>
              <w:rPr>
                <w:rFonts w:hint="eastAsia" w:ascii="宋体" w:eastAsia="宋体" w:cs="宋体"/>
                <w:color w:val="auto"/>
                <w:highlight w:val="none"/>
                <w:lang w:bidi="ar-SA"/>
              </w:rPr>
            </w:pPr>
            <w:r>
              <w:rPr>
                <w:rFonts w:hint="eastAsia" w:ascii="宋体" w:eastAsia="宋体" w:cs="宋体"/>
                <w:color w:val="auto"/>
                <w:sz w:val="21"/>
                <w:highlight w:val="none"/>
                <w:lang w:bidi="ar-SA"/>
              </w:rPr>
              <w:t>提交质疑办理业务时间：工作日，上午8:00-12:00；下午15:00-18:00（北京时间）</w:t>
            </w:r>
          </w:p>
        </w:tc>
      </w:tr>
      <w:tr w14:paraId="7DA0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3" w:hRule="atLeast"/>
          <w:jc w:val="center"/>
        </w:trPr>
        <w:tc>
          <w:tcPr>
            <w:tcW w:w="992" w:type="dxa"/>
            <w:noWrap w:val="0"/>
            <w:vAlign w:val="center"/>
          </w:tcPr>
          <w:p w14:paraId="375ECD07">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32.1</w:t>
            </w:r>
          </w:p>
        </w:tc>
        <w:tc>
          <w:tcPr>
            <w:tcW w:w="8627" w:type="dxa"/>
            <w:noWrap w:val="0"/>
            <w:vAlign w:val="center"/>
          </w:tcPr>
          <w:p w14:paraId="71DFA33D">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1、采购代理服务费支付方式：本项目的采购代理服务费按以下收费标准向成交供应商收取，领取成交通知书前，成交供应商应向采购代理机构一次付清采购代理服务费，否则采购代理机构有权不予以办理。</w:t>
            </w:r>
          </w:p>
          <w:p w14:paraId="4871BBB4">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2、采购代理服务费收取标准：</w:t>
            </w:r>
          </w:p>
          <w:p w14:paraId="193E697B">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以分标（成交金额）为计费额，按本须知正文第32.2条规定的收费计算标准（服务类）采用差额定率累进法计算出收费基准价格，采购代理服务费收费以（收费基准价格）收取。</w:t>
            </w:r>
          </w:p>
          <w:p w14:paraId="266D13E1">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 xml:space="preserve">3、采购代理服务费交纳账户： </w:t>
            </w:r>
          </w:p>
          <w:p w14:paraId="074F95D7">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账户名称：广西建采项目管理有限公司</w:t>
            </w:r>
          </w:p>
          <w:p w14:paraId="04829F81">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开户银行：中国建设银行贺州城东支行</w:t>
            </w:r>
          </w:p>
          <w:p w14:paraId="303D0037">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银行账号：45050164740200001325</w:t>
            </w:r>
          </w:p>
        </w:tc>
      </w:tr>
      <w:tr w14:paraId="082B8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1FDD19">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33.1</w:t>
            </w:r>
          </w:p>
        </w:tc>
        <w:tc>
          <w:tcPr>
            <w:tcW w:w="8627" w:type="dxa"/>
            <w:noWrap w:val="0"/>
            <w:vAlign w:val="center"/>
          </w:tcPr>
          <w:p w14:paraId="5D874FC7">
            <w:pPr>
              <w:pStyle w:val="19"/>
              <w:snapToGrid w:val="0"/>
              <w:spacing w:line="360" w:lineRule="auto"/>
              <w:rPr>
                <w:rFonts w:hint="eastAsia" w:ascii="宋体" w:eastAsia="宋体" w:cs="宋体"/>
                <w:color w:val="auto"/>
                <w:kern w:val="2"/>
                <w:sz w:val="21"/>
                <w:highlight w:val="none"/>
                <w:lang w:bidi="ar-SA"/>
              </w:rPr>
            </w:pPr>
            <w:r>
              <w:rPr>
                <w:rFonts w:hint="eastAsia" w:ascii="宋体" w:eastAsia="宋体" w:cs="宋体"/>
                <w:color w:val="auto"/>
                <w:sz w:val="21"/>
                <w:highlight w:val="none"/>
                <w:lang w:bidi="ar-SA"/>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F4A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451AA1C">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33.2</w:t>
            </w:r>
          </w:p>
        </w:tc>
        <w:tc>
          <w:tcPr>
            <w:tcW w:w="8627" w:type="dxa"/>
            <w:noWrap w:val="0"/>
            <w:vAlign w:val="center"/>
          </w:tcPr>
          <w:p w14:paraId="5AB25092">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325C99CF">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2、供应商为其他组织或者自然人时，本磋商文件规定的法定代表人指负责人或者自然人。本磋商文件所称负责人是指参加竞标的其他组织</w:t>
            </w:r>
            <w:r>
              <w:rPr>
                <w:rFonts w:hint="eastAsia" w:ascii="宋体" w:eastAsia="宋体" w:cs="宋体"/>
                <w:bCs/>
                <w:color w:val="auto"/>
                <w:sz w:val="21"/>
                <w:highlight w:val="none"/>
                <w:lang w:bidi="ar-SA"/>
              </w:rPr>
              <w:t>营业执照或者执业许可证等证照上的</w:t>
            </w:r>
            <w:r>
              <w:rPr>
                <w:rFonts w:hint="eastAsia" w:ascii="宋体" w:eastAsia="宋体" w:cs="宋体"/>
                <w:color w:val="auto"/>
                <w:sz w:val="21"/>
                <w:highlight w:val="none"/>
                <w:lang w:bidi="ar-SA"/>
              </w:rPr>
              <w:t>负责人，本磋商文件所称自然人指参与竞标的自然人本人，</w:t>
            </w:r>
            <w:r>
              <w:rPr>
                <w:rFonts w:hint="eastAsia" w:ascii="宋体" w:eastAsia="宋体" w:cs="宋体"/>
                <w:bCs/>
                <w:color w:val="auto"/>
                <w:sz w:val="21"/>
                <w:highlight w:val="none"/>
                <w:lang w:bidi="ar-SA"/>
              </w:rPr>
              <w:t>且应具备独立承担民事责任能力，自然人应当为年满18岁以上成年人（十六周岁以上的未成年人，以自己的劳动收入为主要生活来源的，视为完全民事行为能力人）。</w:t>
            </w:r>
          </w:p>
          <w:p w14:paraId="3547B6E1">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3、本磋商文件中描述供应商的“签字”是指供应商的法定代表人或者委托代理人在文件规定签署处签名（含电子签名）的行为，私章、印鉴等其他形式均不能代替签字。</w:t>
            </w:r>
          </w:p>
          <w:p w14:paraId="5BE83117">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4、自然人竞标的，磋商文件规定盖公章处由自然人摁手指指印。</w:t>
            </w:r>
          </w:p>
          <w:p w14:paraId="5F89C546">
            <w:pPr>
              <w:pStyle w:val="19"/>
              <w:snapToGrid w:val="0"/>
              <w:spacing w:line="360" w:lineRule="auto"/>
              <w:rPr>
                <w:rFonts w:hint="eastAsia" w:ascii="宋体" w:eastAsia="宋体" w:cs="宋体"/>
                <w:color w:val="auto"/>
                <w:sz w:val="21"/>
                <w:highlight w:val="none"/>
                <w:lang w:bidi="ar-SA"/>
              </w:rPr>
            </w:pPr>
            <w:r>
              <w:rPr>
                <w:rFonts w:hint="eastAsia" w:ascii="宋体" w:eastAsia="宋体" w:cs="宋体"/>
                <w:color w:val="auto"/>
                <w:sz w:val="21"/>
                <w:highlight w:val="none"/>
                <w:lang w:bidi="ar-SA"/>
              </w:rPr>
              <w:t>5、本磋商文件所称的“以上”“以下”“以内”“届满”，包括本数；所称的“不满”“超过”“以外”，不包括本数。</w:t>
            </w:r>
          </w:p>
        </w:tc>
      </w:tr>
    </w:tbl>
    <w:p w14:paraId="32F6D3B4">
      <w:pPr>
        <w:spacing w:line="400" w:lineRule="exact"/>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br w:type="page"/>
      </w:r>
      <w:r>
        <w:rPr>
          <w:rFonts w:hint="eastAsia" w:ascii="宋体" w:eastAsia="宋体" w:cs="宋体"/>
          <w:b/>
          <w:color w:val="auto"/>
          <w:sz w:val="32"/>
          <w:szCs w:val="32"/>
          <w:highlight w:val="none"/>
          <w:lang w:bidi="ar-SA"/>
        </w:rPr>
        <w:t>供应商须知正文</w:t>
      </w:r>
    </w:p>
    <w:p w14:paraId="270518B3">
      <w:pPr>
        <w:spacing w:line="400" w:lineRule="exact"/>
        <w:jc w:val="center"/>
        <w:rPr>
          <w:rFonts w:hint="eastAsia" w:ascii="宋体" w:eastAsia="宋体" w:cs="宋体"/>
          <w:b/>
          <w:color w:val="auto"/>
          <w:sz w:val="32"/>
          <w:szCs w:val="32"/>
          <w:highlight w:val="none"/>
          <w:lang w:bidi="ar-SA"/>
        </w:rPr>
      </w:pPr>
    </w:p>
    <w:p w14:paraId="6745034C">
      <w:pPr>
        <w:spacing w:line="360" w:lineRule="auto"/>
        <w:jc w:val="center"/>
        <w:rPr>
          <w:rFonts w:hint="eastAsia" w:ascii="宋体" w:eastAsia="宋体" w:cs="宋体"/>
          <w:b/>
          <w:bCs/>
          <w:color w:val="auto"/>
          <w:sz w:val="32"/>
          <w:szCs w:val="32"/>
          <w:highlight w:val="none"/>
          <w:lang w:bidi="ar-SA"/>
        </w:rPr>
      </w:pPr>
      <w:r>
        <w:rPr>
          <w:rFonts w:hint="eastAsia" w:ascii="宋体" w:eastAsia="宋体" w:cs="宋体"/>
          <w:b/>
          <w:bCs/>
          <w:color w:val="auto"/>
          <w:sz w:val="32"/>
          <w:szCs w:val="32"/>
          <w:highlight w:val="none"/>
          <w:lang w:bidi="ar-SA"/>
        </w:rPr>
        <w:t>一、总则</w:t>
      </w:r>
    </w:p>
    <w:p w14:paraId="6950A409">
      <w:pPr>
        <w:spacing w:line="400" w:lineRule="exact"/>
        <w:rPr>
          <w:rFonts w:hint="eastAsia" w:ascii="宋体" w:eastAsia="宋体" w:cs="宋体"/>
          <w:color w:val="auto"/>
          <w:szCs w:val="21"/>
          <w:highlight w:val="none"/>
          <w:lang w:bidi="ar-SA"/>
        </w:rPr>
      </w:pPr>
    </w:p>
    <w:p w14:paraId="1EC7C4DB">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1.适用范围</w:t>
      </w:r>
    </w:p>
    <w:p w14:paraId="353B6D7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8CFEFF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w:t>
      </w:r>
      <w:r>
        <w:rPr>
          <w:rFonts w:hint="eastAsia" w:ascii="宋体" w:eastAsia="宋体" w:cs="宋体"/>
          <w:color w:val="auto"/>
          <w:spacing w:val="-6"/>
          <w:szCs w:val="21"/>
          <w:highlight w:val="none"/>
          <w:lang w:bidi="ar-SA"/>
        </w:rPr>
        <w:t>本竞争性磋商文件（以下简称磋商文件）适用于本项目的所有采购程序和环节（法律、法规另有规定的，从其规定）。</w:t>
      </w:r>
    </w:p>
    <w:p w14:paraId="094AB90E">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2.定义</w:t>
      </w:r>
    </w:p>
    <w:p w14:paraId="32C2FB36">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2.1“采购人”是指依法进行政府采购的国家机关、事业单位、团体组织。</w:t>
      </w:r>
    </w:p>
    <w:p w14:paraId="35A7123C">
      <w:pPr>
        <w:spacing w:line="360" w:lineRule="auto"/>
        <w:ind w:firstLine="420" w:firstLineChars="200"/>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2.2“采购代理机构”是指政府采购集中采购机构和集中采购机构以外的采购代理机构。</w:t>
      </w:r>
    </w:p>
    <w:p w14:paraId="1DAADD7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2.3“供应商”是指向采购人提供货物、工程或者服务的法人、其他组织或者自然人。</w:t>
      </w:r>
    </w:p>
    <w:p w14:paraId="355ACB6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2.4“服务”是指除货物和工程以外的其他政府采购对象。</w:t>
      </w:r>
    </w:p>
    <w:p w14:paraId="5E8E5FF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2.5“竞标”是指供应商按照本项目竞争性磋商公告或者邀请函规定的方式获取磋商文件、提交响应文件并希望获得标的的行为。</w:t>
      </w:r>
    </w:p>
    <w:p w14:paraId="2BBFE423">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2.6“书面形式”是指合同书、信件和数据电文（包括电报、电传、传真、电子数据交换和电子邮件）等可以有形地表现所载内容的形式。</w:t>
      </w:r>
    </w:p>
    <w:p w14:paraId="3C3C1503">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2.7“响应文件”</w:t>
      </w:r>
      <w:r>
        <w:rPr>
          <w:rFonts w:hint="eastAsia" w:ascii="宋体" w:eastAsia="宋体" w:cs="宋体"/>
          <w:color w:val="auto"/>
          <w:spacing w:val="-6"/>
          <w:szCs w:val="21"/>
          <w:highlight w:val="none"/>
          <w:lang w:bidi="ar-SA"/>
        </w:rPr>
        <w:t>是指：供应商根据本磋商文件要求，编制包含资格证明、报价商务技术等所有内容的文件。</w:t>
      </w:r>
    </w:p>
    <w:p w14:paraId="7A62707B">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2.8“实质性要求”是指磋商文件中已经指明不满足则响应文件按无效响应处理的条款，或者不能负偏离的条款，或者采购需求中带“</w:t>
      </w:r>
      <w:r>
        <w:rPr>
          <w:rFonts w:hint="eastAsia" w:ascii="宋体" w:cs="宋体"/>
          <w:color w:val="auto"/>
          <w:szCs w:val="21"/>
          <w:highlight w:val="none"/>
          <w:lang w:eastAsia="zh-CN" w:bidi="ar-SA"/>
        </w:rPr>
        <w:t>▲</w:t>
      </w:r>
      <w:r>
        <w:rPr>
          <w:rFonts w:hint="eastAsia" w:ascii="宋体" w:eastAsia="宋体" w:cs="宋体"/>
          <w:color w:val="auto"/>
          <w:szCs w:val="21"/>
          <w:highlight w:val="none"/>
          <w:lang w:bidi="ar-SA"/>
        </w:rPr>
        <w:t>”的条款。</w:t>
      </w:r>
    </w:p>
    <w:p w14:paraId="4F4F2DA6">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2.9“正偏离”，是指响应文件对磋商文件“采购需求”中有关条款作出的响应优于条款要求并有利于采购人的情形。</w:t>
      </w:r>
    </w:p>
    <w:p w14:paraId="452ED147">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2.10“负偏离”，是指响应文件对磋商文件“采购需求”中有关条款作出的响应不满足条款要求，导致采购人要求不能得到满足的情形。</w:t>
      </w:r>
    </w:p>
    <w:p w14:paraId="3A845A8D">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2.11“允许负偏离的条款”是指采购需求中的不属于“实质性要求”的条款。</w:t>
      </w:r>
    </w:p>
    <w:p w14:paraId="0958624F">
      <w:pPr>
        <w:spacing w:line="360" w:lineRule="auto"/>
        <w:ind w:firstLine="420" w:firstLineChars="200"/>
        <w:contextualSpacing/>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2.12“首次报价”是指供应商提交的首次响应文件中的报价。</w:t>
      </w:r>
    </w:p>
    <w:p w14:paraId="5557C1AF">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3.供应商的资格条件</w:t>
      </w:r>
    </w:p>
    <w:p w14:paraId="3D5404C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供应商的资格条件详见“供应商须知前附表”。</w:t>
      </w:r>
    </w:p>
    <w:p w14:paraId="0309982B">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4.竞标费用</w:t>
      </w:r>
    </w:p>
    <w:p w14:paraId="79E44FF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供应商应承担参与本次采购活动有关的所有费用，包括但不限于获取磋商文件、勘查现场、编制和提交响应文件、参加磋商与应答、签订合同等，不论竞标结果如何，均应自行承担。</w:t>
      </w:r>
    </w:p>
    <w:p w14:paraId="09DD6435">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5.联合体竞标</w:t>
      </w:r>
    </w:p>
    <w:p w14:paraId="0662B2B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5.1本项目是否接受联合体竞标，详见“供应商须知前附表”。</w:t>
      </w:r>
    </w:p>
    <w:p w14:paraId="32C0FE30">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5.2</w:t>
      </w:r>
      <w:r>
        <w:rPr>
          <w:rFonts w:hint="eastAsia" w:ascii="宋体" w:eastAsia="宋体" w:cs="宋体"/>
          <w:color w:val="auto"/>
          <w:highlight w:val="none"/>
          <w:lang w:bidi="ar-SA"/>
        </w:rPr>
        <w:t>如接受联合体竞标，</w:t>
      </w:r>
      <w:r>
        <w:rPr>
          <w:rFonts w:hint="eastAsia" w:ascii="宋体" w:eastAsia="宋体" w:cs="宋体"/>
          <w:color w:val="auto"/>
          <w:szCs w:val="21"/>
          <w:highlight w:val="none"/>
          <w:lang w:bidi="ar-SA"/>
        </w:rPr>
        <w:t>联合体竞标要求详见“供应商须知前附表”。</w:t>
      </w:r>
    </w:p>
    <w:p w14:paraId="39C9AEE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5.3</w:t>
      </w:r>
      <w:bookmarkStart w:id="17" w:name="_Hlk66782192"/>
      <w:r>
        <w:rPr>
          <w:rFonts w:hint="eastAsia" w:ascii="宋体" w:eastAsia="宋体" w:cs="宋体"/>
          <w:bCs/>
          <w:color w:val="auto"/>
          <w:szCs w:val="21"/>
          <w:highlight w:val="none"/>
          <w:lang w:bidi="ar-SA"/>
        </w:rPr>
        <w:t>根据《关于进一步加大政府采购支持中小企业力度的通知》（财库〔2022〕19号）的规定</w:t>
      </w:r>
      <w:r>
        <w:rPr>
          <w:rFonts w:hint="eastAsia" w:ascii="宋体" w:eastAsia="宋体" w:cs="宋体"/>
          <w:color w:val="auto"/>
          <w:szCs w:val="21"/>
          <w:highlight w:val="none"/>
          <w:lang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7"/>
    </w:p>
    <w:p w14:paraId="26283167">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 xml:space="preserve">6.转包与分包             </w:t>
      </w:r>
    </w:p>
    <w:p w14:paraId="6968D9B2">
      <w:pPr>
        <w:keepNext w:val="0"/>
        <w:keepLines w:val="0"/>
        <w:pageBreakBefore w:val="0"/>
        <w:widowControl w:val="0"/>
        <w:kinsoku/>
        <w:wordWrap/>
        <w:overflowPunct/>
        <w:topLinePunct w:val="0"/>
        <w:autoSpaceDE/>
        <w:autoSpaceDN/>
        <w:bidi w:val="0"/>
        <w:adjustRightInd/>
        <w:snapToGrid/>
        <w:spacing w:before="0" w:after="0" w:line="360" w:lineRule="auto"/>
        <w:ind w:left="420" w:leftChars="200"/>
        <w:textAlignment w:val="auto"/>
        <w:outlineLvl w:val="9"/>
        <w:rPr>
          <w:rFonts w:hint="eastAsia" w:ascii="宋体" w:eastAsia="宋体" w:cs="宋体"/>
          <w:b w:val="0"/>
          <w:color w:val="auto"/>
          <w:sz w:val="21"/>
          <w:szCs w:val="21"/>
          <w:highlight w:val="none"/>
          <w:lang w:bidi="ar-SA"/>
        </w:rPr>
      </w:pPr>
      <w:bookmarkStart w:id="18" w:name="_Toc254970532"/>
      <w:bookmarkStart w:id="19" w:name="_Toc254970673"/>
      <w:r>
        <w:rPr>
          <w:rFonts w:hint="eastAsia" w:ascii="宋体" w:eastAsia="宋体" w:cs="宋体"/>
          <w:b w:val="0"/>
          <w:color w:val="auto"/>
          <w:sz w:val="21"/>
          <w:szCs w:val="21"/>
          <w:highlight w:val="none"/>
          <w:lang w:bidi="ar-SA"/>
        </w:rPr>
        <w:t>6.1本项目不允许转包。</w:t>
      </w:r>
    </w:p>
    <w:p w14:paraId="4C5F63D4">
      <w:pPr>
        <w:keepNext w:val="0"/>
        <w:keepLines w:val="0"/>
        <w:pageBreakBefore w:val="0"/>
        <w:widowControl w:val="0"/>
        <w:kinsoku/>
        <w:wordWrap/>
        <w:overflowPunct/>
        <w:topLinePunct w:val="0"/>
        <w:autoSpaceDE/>
        <w:autoSpaceDN/>
        <w:bidi w:val="0"/>
        <w:adjustRightInd/>
        <w:snapToGrid/>
        <w:spacing w:before="0" w:after="0" w:line="360" w:lineRule="auto"/>
        <w:ind w:firstLine="315" w:firstLineChars="150"/>
        <w:textAlignment w:val="auto"/>
        <w:outlineLvl w:val="9"/>
        <w:rPr>
          <w:rFonts w:hint="eastAsia" w:ascii="宋体" w:eastAsia="宋体" w:cs="宋体"/>
          <w:b w:val="0"/>
          <w:color w:val="auto"/>
          <w:sz w:val="21"/>
          <w:szCs w:val="21"/>
          <w:highlight w:val="none"/>
          <w:lang w:bidi="ar-SA"/>
        </w:rPr>
      </w:pPr>
      <w:r>
        <w:rPr>
          <w:rFonts w:hint="eastAsia" w:ascii="宋体" w:eastAsia="宋体" w:cs="宋体"/>
          <w:b w:val="0"/>
          <w:color w:val="auto"/>
          <w:sz w:val="21"/>
          <w:szCs w:val="21"/>
          <w:highlight w:val="none"/>
          <w:lang w:bidi="ar-SA"/>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52A8B26">
      <w:pPr>
        <w:keepNext w:val="0"/>
        <w:keepLines w:val="0"/>
        <w:pageBreakBefore w:val="0"/>
        <w:widowControl w:val="0"/>
        <w:kinsoku/>
        <w:wordWrap/>
        <w:overflowPunct/>
        <w:topLinePunct w:val="0"/>
        <w:autoSpaceDE/>
        <w:autoSpaceDN/>
        <w:bidi w:val="0"/>
        <w:adjustRightInd/>
        <w:snapToGrid/>
        <w:spacing w:before="0" w:after="0" w:line="360" w:lineRule="auto"/>
        <w:ind w:firstLine="315" w:firstLineChars="150"/>
        <w:textAlignment w:val="auto"/>
        <w:outlineLvl w:val="9"/>
        <w:rPr>
          <w:rFonts w:hint="eastAsia" w:ascii="宋体" w:eastAsia="宋体" w:cs="宋体"/>
          <w:b w:val="0"/>
          <w:color w:val="auto"/>
          <w:sz w:val="21"/>
          <w:szCs w:val="21"/>
          <w:highlight w:val="none"/>
          <w:lang w:bidi="ar-SA"/>
        </w:rPr>
      </w:pPr>
      <w:r>
        <w:rPr>
          <w:rFonts w:hint="eastAsia" w:ascii="宋体" w:eastAsia="宋体" w:cs="宋体"/>
          <w:b w:val="0"/>
          <w:color w:val="auto"/>
          <w:sz w:val="21"/>
          <w:szCs w:val="21"/>
          <w:highlight w:val="none"/>
          <w:lang w:bidi="ar-SA"/>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3B4753F4">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7.特别说明</w:t>
      </w:r>
      <w:bookmarkEnd w:id="18"/>
      <w:bookmarkEnd w:id="19"/>
    </w:p>
    <w:p w14:paraId="1D90DA0A">
      <w:pPr>
        <w:spacing w:line="360" w:lineRule="auto"/>
        <w:ind w:firstLine="420" w:firstLineChars="200"/>
        <w:rPr>
          <w:rFonts w:hint="eastAsia" w:ascii="宋体" w:eastAsia="宋体" w:cs="宋体"/>
          <w:color w:val="auto"/>
          <w:szCs w:val="21"/>
          <w:highlight w:val="none"/>
          <w:lang w:bidi="ar-SA"/>
        </w:rPr>
      </w:pPr>
      <w:bookmarkStart w:id="20" w:name="_8.1提供相同品牌产品且通过资格审查、符合性审查的不同投标人参加同一合"/>
      <w:bookmarkEnd w:id="20"/>
      <w:r>
        <w:rPr>
          <w:rFonts w:hint="eastAsia" w:ascii="宋体" w:eastAsia="宋体" w:cs="宋体"/>
          <w:color w:val="auto"/>
          <w:szCs w:val="21"/>
          <w:highlight w:val="none"/>
          <w:lang w:bidi="ar-SA"/>
        </w:rPr>
        <w:t>7.1</w:t>
      </w:r>
      <w:bookmarkStart w:id="21" w:name="_Hlk65832145"/>
      <w:r>
        <w:rPr>
          <w:rFonts w:hint="eastAsia" w:ascii="宋体" w:eastAsia="宋体" w:cs="宋体"/>
          <w:color w:val="auto"/>
          <w:szCs w:val="21"/>
          <w:highlight w:val="none"/>
          <w:lang w:bidi="ar-SA"/>
        </w:rPr>
        <w:t>如果本磋商文件要求提供供应商或制造商的资格、信誉、荣誉、业绩与企业认证等材料的，资格、信誉、荣誉、业绩与企业认证等必须为供应商或者制造商所拥有或自身获得 。</w:t>
      </w:r>
    </w:p>
    <w:bookmarkEnd w:id="21"/>
    <w:p w14:paraId="5E27439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7.2供应商应仔细阅读磋商文件的所有内容，按照磋商文件的要求提交响应文件，并对所提供的全部资料的真实性承担法律责任。</w:t>
      </w:r>
    </w:p>
    <w:p w14:paraId="3E59DC6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7.3供应商在竞标活动中提供任何疑似虚假材料，将报监管部门查处；签订合同后发现的，成交供应商须依法赔偿采购人，且民事赔偿并不免除违法供应商的行政与刑事责任。</w:t>
      </w:r>
    </w:p>
    <w:p w14:paraId="7735A6F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7.4在政府采购活动中，采购人员及相关人员与供应商有下列利害关系之一的，应当回避：</w:t>
      </w:r>
    </w:p>
    <w:p w14:paraId="00300D2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（1）参加采购活动前3年内与供应商存在劳动关系；</w:t>
      </w:r>
    </w:p>
    <w:p w14:paraId="0E7726E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（2）参加采购活动前3年内担任供应商的董事、监事；</w:t>
      </w:r>
    </w:p>
    <w:p w14:paraId="6058678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（3）参加采购活动前3年内是供应商的控股股东或者实际控制人；</w:t>
      </w:r>
    </w:p>
    <w:p w14:paraId="56FA245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（4）与供应商的法定代表人或者负责人有夫妻、直系血亲、三代以内旁系血亲或者近姻亲关系；</w:t>
      </w:r>
    </w:p>
    <w:p w14:paraId="107CC67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（5）与供应商有其他可能影响政府采购活动公平、公正进行的关系。</w:t>
      </w:r>
    </w:p>
    <w:p w14:paraId="1A7F036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DAB21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7.5有下列情形之一的视为供应商相互串通竞标，响应文件将被视为无效：</w:t>
      </w:r>
    </w:p>
    <w:p w14:paraId="6E3501AB">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（1）不同供应商的响应文件由同一单位或者个人编制； </w:t>
      </w:r>
    </w:p>
    <w:p w14:paraId="766A3BA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（2）不同供应商委托同一单位或者个人办理竞标事宜；</w:t>
      </w:r>
    </w:p>
    <w:p w14:paraId="57539C4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（3）不同的供应商的响应文件载明的项目管理员为同一个人；</w:t>
      </w:r>
    </w:p>
    <w:p w14:paraId="65DF128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（4）不同供应商的响应文件异常一致或者报价呈规律性差异；</w:t>
      </w:r>
    </w:p>
    <w:p w14:paraId="49C3B53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（5）不同供应商的响应文件相互混装；</w:t>
      </w:r>
    </w:p>
    <w:p w14:paraId="7CBB4AA7">
      <w:pPr>
        <w:tabs>
          <w:tab w:val="left" w:pos="6931"/>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（6）不同供应商的磋商保证金从同一单位或者个人账户转出。</w:t>
      </w:r>
      <w:r>
        <w:rPr>
          <w:rFonts w:hint="eastAsia" w:ascii="宋体" w:eastAsia="宋体" w:cs="宋体"/>
          <w:color w:val="auto"/>
          <w:szCs w:val="21"/>
          <w:highlight w:val="none"/>
          <w:lang w:bidi="ar-SA"/>
        </w:rPr>
        <w:tab/>
      </w:r>
    </w:p>
    <w:p w14:paraId="307C77E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7.6供应商有下列情形之一的，属于恶意串通行为，将报同级监督管理部门：</w:t>
      </w:r>
    </w:p>
    <w:p w14:paraId="60D5CCDB">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（1）供应商直接或者间接从采购人或者采购代理机构处获得其他供应商的相关信息并修改其响应文件；</w:t>
      </w:r>
    </w:p>
    <w:p w14:paraId="37EAB55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（2）供应商按照采购人或者采购代理机构的授意撤换、修改响应文件；</w:t>
      </w:r>
    </w:p>
    <w:p w14:paraId="6CED29F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（3）供应商之间协商报价、技术方案等响应文件或者响应文件的实质性内容；</w:t>
      </w:r>
    </w:p>
    <w:p w14:paraId="7368142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（4）属于同一集团、协会、商会等组织成员的供应商按照该组织要求协同参加政府采购活动；</w:t>
      </w:r>
    </w:p>
    <w:p w14:paraId="2E26204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（5）供应商之间事先约定一致抬高或者压低报价，或者在政府采购活动中事先约定轮流以高价位或者低价位成交，或者事先约定由某一特定供应商成交，然后再参加竞标；</w:t>
      </w:r>
    </w:p>
    <w:p w14:paraId="58D6B26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（6）供应商之间商定部分供应商放弃参加政府采购活动或者放弃成交；</w:t>
      </w:r>
    </w:p>
    <w:p w14:paraId="07CBE9B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（7）供应商与采购人或者采购代理机构之间、供应商相互之间，为谋求特定供应商成交或者排斥其他供应商的其他串通行为。</w:t>
      </w:r>
    </w:p>
    <w:p w14:paraId="38F6A4FA">
      <w:pPr>
        <w:spacing w:line="360" w:lineRule="auto"/>
        <w:ind w:firstLine="420" w:firstLineChars="200"/>
        <w:rPr>
          <w:rFonts w:hint="eastAsia" w:ascii="宋体" w:eastAsia="宋体" w:cs="宋体"/>
          <w:color w:val="auto"/>
          <w:szCs w:val="21"/>
          <w:highlight w:val="none"/>
          <w:lang w:bidi="ar-SA"/>
        </w:rPr>
      </w:pPr>
    </w:p>
    <w:p w14:paraId="29D85239">
      <w:pPr>
        <w:spacing w:line="360" w:lineRule="auto"/>
        <w:jc w:val="center"/>
        <w:rPr>
          <w:rFonts w:hint="eastAsia" w:ascii="宋体" w:eastAsia="宋体" w:cs="宋体"/>
          <w:b/>
          <w:bCs/>
          <w:color w:val="auto"/>
          <w:sz w:val="32"/>
          <w:szCs w:val="32"/>
          <w:highlight w:val="none"/>
          <w:lang w:bidi="ar-SA"/>
        </w:rPr>
      </w:pPr>
      <w:bookmarkStart w:id="22" w:name="_Toc254970675"/>
      <w:bookmarkStart w:id="23" w:name="_Toc254970534"/>
      <w:r>
        <w:rPr>
          <w:rFonts w:hint="eastAsia" w:ascii="宋体" w:eastAsia="宋体" w:cs="宋体"/>
          <w:b/>
          <w:bCs/>
          <w:color w:val="auto"/>
          <w:sz w:val="32"/>
          <w:szCs w:val="32"/>
          <w:highlight w:val="none"/>
          <w:lang w:bidi="ar-SA"/>
        </w:rPr>
        <w:t>二、磋商文件</w:t>
      </w:r>
      <w:bookmarkEnd w:id="22"/>
      <w:bookmarkEnd w:id="23"/>
    </w:p>
    <w:p w14:paraId="50E4B41F">
      <w:pPr>
        <w:spacing w:line="360" w:lineRule="auto"/>
        <w:ind w:firstLine="482" w:firstLineChars="200"/>
        <w:rPr>
          <w:rFonts w:hint="eastAsia" w:ascii="宋体" w:eastAsia="宋体" w:cs="宋体"/>
          <w:b/>
          <w:bCs/>
          <w:color w:val="auto"/>
          <w:sz w:val="24"/>
          <w:highlight w:val="none"/>
          <w:lang w:bidi="ar-SA"/>
        </w:rPr>
      </w:pPr>
    </w:p>
    <w:p w14:paraId="353CD1AD">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8.磋商文件的构成</w:t>
      </w:r>
    </w:p>
    <w:p w14:paraId="56D2872D">
      <w:pPr>
        <w:spacing w:line="360" w:lineRule="auto"/>
        <w:ind w:firstLine="420" w:firstLineChars="200"/>
        <w:jc w:val="left"/>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（1）竞争性磋商公告</w:t>
      </w:r>
      <w:r>
        <w:rPr>
          <w:rFonts w:hint="eastAsia" w:ascii="宋体" w:cs="宋体"/>
          <w:color w:val="auto"/>
          <w:szCs w:val="21"/>
          <w:highlight w:val="none"/>
          <w:lang w:eastAsia="zh-CN" w:bidi="ar-SA"/>
        </w:rPr>
        <w:t>；</w:t>
      </w:r>
    </w:p>
    <w:p w14:paraId="76B639F9">
      <w:pPr>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（2）供应商须知； </w:t>
      </w:r>
    </w:p>
    <w:p w14:paraId="488E1FFF">
      <w:pPr>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（3）采购需求；</w:t>
      </w:r>
    </w:p>
    <w:p w14:paraId="5AE6109C">
      <w:pPr>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（4）评审程序、评审方法和评审标准；</w:t>
      </w:r>
    </w:p>
    <w:p w14:paraId="734D85EB">
      <w:pPr>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（5）响应文件格式；</w:t>
      </w:r>
    </w:p>
    <w:p w14:paraId="779568AC">
      <w:pPr>
        <w:spacing w:line="360" w:lineRule="auto"/>
        <w:ind w:firstLine="420" w:firstLineChars="200"/>
        <w:jc w:val="left"/>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（6）合同文本</w:t>
      </w:r>
      <w:r>
        <w:rPr>
          <w:rFonts w:hint="eastAsia" w:ascii="宋体" w:cs="宋体"/>
          <w:color w:val="auto"/>
          <w:szCs w:val="21"/>
          <w:highlight w:val="none"/>
          <w:lang w:eastAsia="zh-CN" w:bidi="ar-SA"/>
        </w:rPr>
        <w:t>；</w:t>
      </w:r>
    </w:p>
    <w:p w14:paraId="2557BE0F">
      <w:pPr>
        <w:spacing w:line="360" w:lineRule="auto"/>
        <w:ind w:firstLine="420" w:firstLineChars="200"/>
        <w:jc w:val="left"/>
        <w:rPr>
          <w:rFonts w:hint="eastAsia" w:ascii="宋体" w:eastAsia="宋体" w:cs="宋体"/>
          <w:color w:val="auto"/>
          <w:szCs w:val="21"/>
          <w:highlight w:val="none"/>
          <w:lang w:bidi="ar-SA"/>
        </w:rPr>
      </w:pPr>
      <w:r>
        <w:rPr>
          <w:rFonts w:hint="eastAsia" w:ascii="宋体" w:cs="宋体"/>
          <w:color w:val="auto"/>
          <w:szCs w:val="21"/>
          <w:highlight w:val="none"/>
          <w:lang w:eastAsia="zh-CN" w:bidi="ar-SA"/>
        </w:rPr>
        <w:t>（</w:t>
      </w:r>
      <w:r>
        <w:rPr>
          <w:rFonts w:hint="eastAsia" w:ascii="宋体" w:cs="宋体"/>
          <w:color w:val="auto"/>
          <w:szCs w:val="21"/>
          <w:highlight w:val="none"/>
          <w:lang w:val="en-US" w:eastAsia="zh-CN" w:bidi="ar-SA"/>
        </w:rPr>
        <w:t>7</w:t>
      </w:r>
      <w:r>
        <w:rPr>
          <w:rFonts w:hint="eastAsia" w:ascii="宋体" w:cs="宋体"/>
          <w:color w:val="auto"/>
          <w:szCs w:val="21"/>
          <w:highlight w:val="none"/>
          <w:lang w:eastAsia="zh-CN" w:bidi="ar-SA"/>
        </w:rPr>
        <w:t>）“政采贷”政策告知函</w:t>
      </w:r>
      <w:r>
        <w:rPr>
          <w:rFonts w:hint="eastAsia" w:ascii="宋体" w:eastAsia="宋体" w:cs="宋体"/>
          <w:color w:val="auto"/>
          <w:szCs w:val="21"/>
          <w:highlight w:val="none"/>
          <w:lang w:bidi="ar-SA"/>
        </w:rPr>
        <w:t>。</w:t>
      </w:r>
    </w:p>
    <w:p w14:paraId="4448DC5C">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9.供应商的询问</w:t>
      </w:r>
    </w:p>
    <w:p w14:paraId="15756C7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7D7FD16F">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10.磋商文件的澄清和修改</w:t>
      </w:r>
    </w:p>
    <w:p w14:paraId="79A75C62">
      <w:pPr>
        <w:spacing w:line="400" w:lineRule="exact"/>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10.1提交首次响应文件截止之日前，采购人、采购代理机构或者磋商小组可以对已发出的磋商文件进行必要的澄清或者修改，澄清或者修改的内容作为磋商文件的组成部分。澄清或者修改将在发布竞争性磋商公告的同一媒体上发布更正公告。澄清或者修改的内容可能影响响应文件编制的，采购人、采购代理机构应当在提交首次响应文件截止时间至少5日前，在发布竞争性磋商公告的同一媒体上发布更正公告；不足5日的，采购人、采购代理机构应当顺延提交首次响应文件截止时间。</w:t>
      </w:r>
    </w:p>
    <w:p w14:paraId="066D6B7C">
      <w:pPr>
        <w:spacing w:line="400" w:lineRule="exact"/>
        <w:ind w:firstLine="420" w:firstLineChars="200"/>
        <w:rPr>
          <w:rFonts w:hint="eastAsia" w:ascii="宋体" w:eastAsia="宋体" w:cs="宋体"/>
          <w:color w:val="auto"/>
          <w:szCs w:val="21"/>
          <w:highlight w:val="none"/>
          <w:lang w:bidi="ar-SA"/>
        </w:rPr>
      </w:pPr>
      <w:r>
        <w:rPr>
          <w:rFonts w:hint="eastAsia" w:ascii="宋体" w:eastAsia="宋体" w:cs="宋体"/>
          <w:color w:val="auto"/>
          <w:highlight w:val="none"/>
          <w:lang w:bidi="ar-SA"/>
        </w:rPr>
        <w:t>10.2采购人和采购代理机构可以视采购具体情况，变更</w:t>
      </w:r>
      <w:r>
        <w:rPr>
          <w:rFonts w:hint="eastAsia" w:ascii="宋体" w:eastAsia="宋体" w:cs="宋体"/>
          <w:color w:val="auto"/>
          <w:szCs w:val="21"/>
          <w:highlight w:val="none"/>
          <w:lang w:bidi="ar-SA"/>
        </w:rPr>
        <w:t>首次响应文件提交截止时间和开启时间</w:t>
      </w:r>
      <w:r>
        <w:rPr>
          <w:rFonts w:hint="eastAsia" w:ascii="宋体" w:eastAsia="宋体" w:cs="宋体"/>
          <w:color w:val="auto"/>
          <w:highlight w:val="none"/>
          <w:lang w:bidi="ar-SA"/>
        </w:rPr>
        <w:t>，并</w:t>
      </w:r>
      <w:r>
        <w:rPr>
          <w:rFonts w:hint="eastAsia" w:ascii="宋体" w:eastAsia="宋体" w:cs="宋体"/>
          <w:color w:val="auto"/>
          <w:szCs w:val="21"/>
          <w:highlight w:val="none"/>
          <w:lang w:bidi="ar-SA"/>
        </w:rPr>
        <w:t>在发布竞争性磋商公告的同一媒体上发布更正公告。</w:t>
      </w:r>
    </w:p>
    <w:p w14:paraId="4573B9E4">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10.3</w:t>
      </w:r>
      <w:r>
        <w:rPr>
          <w:rFonts w:hint="eastAsia" w:ascii="宋体" w:eastAsia="宋体" w:cs="宋体"/>
          <w:color w:val="auto"/>
          <w:szCs w:val="21"/>
          <w:highlight w:val="none"/>
          <w:lang w:bidi="ar-SA"/>
        </w:rPr>
        <w:t>磋商文件澄清、答复、修改、补充的内容为磋商文件的组成部分。</w:t>
      </w:r>
      <w:r>
        <w:rPr>
          <w:rFonts w:hint="eastAsia" w:ascii="宋体" w:eastAsia="宋体" w:cs="宋体"/>
          <w:b/>
          <w:color w:val="auto"/>
          <w:szCs w:val="21"/>
          <w:highlight w:val="none"/>
          <w:lang w:bidi="ar-SA"/>
        </w:rPr>
        <w:t>当磋商文件与磋商文件的澄清、答复、修改、补充通知就同一内容的表述不一致时，以最后发出的文件为准。</w:t>
      </w:r>
    </w:p>
    <w:p w14:paraId="1E8F08CC">
      <w:pPr>
        <w:spacing w:line="400" w:lineRule="exact"/>
        <w:ind w:firstLine="422" w:firstLineChars="200"/>
        <w:rPr>
          <w:rFonts w:hint="eastAsia" w:ascii="宋体" w:eastAsia="宋体" w:cs="宋体"/>
          <w:b/>
          <w:color w:val="auto"/>
          <w:szCs w:val="21"/>
          <w:highlight w:val="none"/>
          <w:lang w:bidi="ar-SA"/>
        </w:rPr>
      </w:pPr>
      <w:r>
        <w:rPr>
          <w:rFonts w:hint="eastAsia" w:ascii="宋体" w:eastAsia="宋体" w:cs="宋体"/>
          <w:b/>
          <w:color w:val="auto"/>
          <w:highlight w:val="none"/>
          <w:lang w:bidi="ar-SA"/>
        </w:rPr>
        <w:t>10.4</w:t>
      </w:r>
      <w:r>
        <w:rPr>
          <w:rFonts w:hint="eastAsia" w:ascii="宋体" w:eastAsia="宋体" w:cs="宋体"/>
          <w:b/>
          <w:color w:val="auto"/>
          <w:szCs w:val="21"/>
          <w:highlight w:val="none"/>
          <w:lang w:bidi="ar-SA"/>
        </w:rPr>
        <w:t>响应文件未按磋商文件的澄清、修改后的内容编制的，其响应文件作无效响应处理。</w:t>
      </w:r>
    </w:p>
    <w:p w14:paraId="27965B35">
      <w:pPr>
        <w:spacing w:line="400" w:lineRule="exact"/>
        <w:ind w:firstLine="422" w:firstLineChars="200"/>
        <w:rPr>
          <w:rFonts w:hint="eastAsia" w:ascii="宋体" w:eastAsia="宋体" w:cs="宋体"/>
          <w:b/>
          <w:color w:val="auto"/>
          <w:szCs w:val="21"/>
          <w:highlight w:val="none"/>
          <w:lang w:bidi="ar-SA"/>
        </w:rPr>
      </w:pPr>
    </w:p>
    <w:p w14:paraId="0B3235E8">
      <w:pPr>
        <w:spacing w:line="360" w:lineRule="auto"/>
        <w:jc w:val="center"/>
        <w:rPr>
          <w:rFonts w:hint="eastAsia" w:ascii="宋体" w:eastAsia="宋体" w:cs="宋体"/>
          <w:b/>
          <w:bCs/>
          <w:color w:val="auto"/>
          <w:sz w:val="32"/>
          <w:szCs w:val="32"/>
          <w:highlight w:val="none"/>
          <w:lang w:bidi="ar-SA"/>
        </w:rPr>
      </w:pPr>
      <w:r>
        <w:rPr>
          <w:rFonts w:hint="eastAsia" w:ascii="宋体" w:eastAsia="宋体" w:cs="宋体"/>
          <w:b/>
          <w:bCs/>
          <w:color w:val="auto"/>
          <w:sz w:val="32"/>
          <w:szCs w:val="32"/>
          <w:highlight w:val="none"/>
          <w:lang w:bidi="ar-SA"/>
        </w:rPr>
        <w:t>三、响应文件的编制</w:t>
      </w:r>
    </w:p>
    <w:p w14:paraId="675A73CA">
      <w:pPr>
        <w:spacing w:line="360" w:lineRule="auto"/>
        <w:ind w:firstLine="482" w:firstLineChars="200"/>
        <w:rPr>
          <w:rFonts w:hint="eastAsia" w:ascii="宋体" w:eastAsia="宋体" w:cs="宋体"/>
          <w:b/>
          <w:bCs/>
          <w:color w:val="auto"/>
          <w:sz w:val="24"/>
          <w:highlight w:val="none"/>
          <w:lang w:bidi="ar-SA"/>
        </w:rPr>
      </w:pPr>
    </w:p>
    <w:p w14:paraId="5EBCC609">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11.响应文件的编制原则</w:t>
      </w:r>
    </w:p>
    <w:p w14:paraId="182DC09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供应商必须按照磋商文件的要求编制响应文件，并对其提交的响应文件的真实性、合法性承担法律责任。响应文件必须对磋商文件作出实质性响应。</w:t>
      </w:r>
    </w:p>
    <w:p w14:paraId="252856B7">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12.响应文件的组成</w:t>
      </w:r>
    </w:p>
    <w:p w14:paraId="6B62B33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12.1响应文件由资格证明文件、报价商务技术文件两部分组成。</w:t>
      </w:r>
    </w:p>
    <w:p w14:paraId="3C16CB55">
      <w:pPr>
        <w:spacing w:line="360" w:lineRule="auto"/>
        <w:ind w:left="840" w:leftChars="200" w:hanging="420" w:hanging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12.1.1资格证明文件：详见须知前附表；</w:t>
      </w:r>
    </w:p>
    <w:p w14:paraId="6295DC49">
      <w:pPr>
        <w:spacing w:line="360" w:lineRule="auto"/>
        <w:ind w:left="840" w:leftChars="200" w:hanging="420" w:hanging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12.1.2报价文件、商务技术文件：详见须知前附表。</w:t>
      </w:r>
    </w:p>
    <w:p w14:paraId="11D893E7">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13.计量单位</w:t>
      </w:r>
    </w:p>
    <w:p w14:paraId="24B5819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磋商文件已有明确规定的，使用磋商文件规定的计量单位；磋商文件没有规定的，应采用中华人民共和国法定计量单位，货币种类为人民币，否则视同未响应。</w:t>
      </w:r>
    </w:p>
    <w:p w14:paraId="19A0D021">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14.竞标的风险</w:t>
      </w:r>
    </w:p>
    <w:p w14:paraId="5F767D6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供应商没有按照磋商文件要求提供全部资料，或者供应商没有对磋商文件在各方面作出实质性响应可能导致其响应无效，是供应商应当考虑的风险。</w:t>
      </w:r>
    </w:p>
    <w:p w14:paraId="1C1D1660">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15.竞标报价</w:t>
      </w:r>
    </w:p>
    <w:p w14:paraId="6138FC7B">
      <w:pPr>
        <w:tabs>
          <w:tab w:val="left" w:pos="2492"/>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15.1竞标报价应按磋商文件中“竞标报价表”格式填写。</w:t>
      </w:r>
    </w:p>
    <w:p w14:paraId="558D8EE5">
      <w:pPr>
        <w:tabs>
          <w:tab w:val="left" w:pos="2492"/>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15.2竞标报价的内容见“供应商须知前附表”。</w:t>
      </w:r>
    </w:p>
    <w:p w14:paraId="3CD18013">
      <w:pPr>
        <w:spacing w:line="360" w:lineRule="auto"/>
        <w:ind w:left="426" w:leftChars="203"/>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15.3竞标报价要求</w:t>
      </w:r>
    </w:p>
    <w:p w14:paraId="1B013596">
      <w:pPr>
        <w:spacing w:line="360" w:lineRule="auto"/>
        <w:ind w:firstLine="422" w:firstLineChars="200"/>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15.3.1供应商的竞标报价应符合以下要求，否则响应文件按无效响应处理：</w:t>
      </w:r>
    </w:p>
    <w:p w14:paraId="0C49C6FA">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（1）供应商必须就“采购需求”中所竞标的每个分标的全部内容分别作完整唯一总价报价，不得存在漏项报价；</w:t>
      </w:r>
    </w:p>
    <w:p w14:paraId="5CD6DE9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（2）供应商必须就所竞标的分标的单项内容作唯一报价。</w:t>
      </w:r>
    </w:p>
    <w:p w14:paraId="34BA1E2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15.3.2最后报价超过所竞标分标规定的采购预算金额或者最高限价的，其响应文件将按无效响应处理。</w:t>
      </w:r>
      <w:bookmarkStart w:id="24" w:name="_Hlk42592874"/>
    </w:p>
    <w:bookmarkEnd w:id="24"/>
    <w:p w14:paraId="66AD819B">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16.竞标有效期</w:t>
      </w:r>
    </w:p>
    <w:p w14:paraId="0CFC631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16.1竞标有效期是指为保证采购人有足够的时间在提交响应文件后完成评审、确定成交供应商、合同签订等工作而要求供应商提交的响应文件在一定时间内保持有效的期限。</w:t>
      </w:r>
    </w:p>
    <w:p w14:paraId="00A64ED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16.2 竞标有效期应由供应商按“供应商须知前附表”规定的期限作出响应。</w:t>
      </w:r>
    </w:p>
    <w:p w14:paraId="4CCC7A9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16.3供应商的响应文件在竞标有效期内均保持有效。</w:t>
      </w:r>
    </w:p>
    <w:p w14:paraId="376C0E02">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17.磋商保证金</w:t>
      </w:r>
    </w:p>
    <w:p w14:paraId="0F1EFF53">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17.1供应商须按“供应商须知前附表”的规定提交磋商保证金。</w:t>
      </w:r>
    </w:p>
    <w:p w14:paraId="1868B95A">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17.2磋商保证金的退还</w:t>
      </w:r>
    </w:p>
    <w:p w14:paraId="62A3FA94">
      <w:pPr>
        <w:spacing w:line="360" w:lineRule="auto"/>
        <w:ind w:firstLine="420" w:firstLineChars="200"/>
        <w:rPr>
          <w:rFonts w:hint="eastAsia" w:ascii="宋体" w:eastAsia="宋体" w:cs="宋体"/>
          <w:color w:val="auto"/>
          <w:szCs w:val="21"/>
          <w:highlight w:val="none"/>
          <w:lang w:bidi="ar-SA"/>
        </w:rPr>
      </w:pPr>
      <w:bookmarkStart w:id="25" w:name="_Hlk66782243"/>
      <w:r>
        <w:rPr>
          <w:rFonts w:hint="eastAsia" w:ascii="宋体" w:eastAsia="宋体" w:cs="宋体"/>
          <w:color w:val="auto"/>
          <w:szCs w:val="21"/>
          <w:highlight w:val="none"/>
          <w:lang w:bidi="ar-SA"/>
        </w:rPr>
        <w:t>未成交供应商的磋商保证金自成交通知书发出之日起</w:t>
      </w:r>
      <w:r>
        <w:rPr>
          <w:rFonts w:hint="eastAsia" w:ascii="宋体" w:cs="宋体"/>
          <w:color w:val="auto"/>
          <w:szCs w:val="21"/>
          <w:highlight w:val="none"/>
          <w:lang w:val="en-US" w:eastAsia="zh-CN" w:bidi="ar-SA"/>
        </w:rPr>
        <w:t>5</w:t>
      </w:r>
      <w:r>
        <w:rPr>
          <w:rFonts w:hint="eastAsia" w:ascii="宋体" w:eastAsia="宋体" w:cs="宋体"/>
          <w:color w:val="auto"/>
          <w:szCs w:val="21"/>
          <w:highlight w:val="none"/>
          <w:lang w:bidi="ar-SA"/>
        </w:rPr>
        <w:t>个工作日内退还；成交供应商的磋商保证金自签订合同之日起</w:t>
      </w:r>
      <w:r>
        <w:rPr>
          <w:rFonts w:hint="eastAsia" w:ascii="宋体" w:cs="宋体"/>
          <w:color w:val="auto"/>
          <w:szCs w:val="21"/>
          <w:highlight w:val="none"/>
          <w:lang w:val="en-US" w:eastAsia="zh-CN" w:bidi="ar-SA"/>
        </w:rPr>
        <w:t>5</w:t>
      </w:r>
      <w:r>
        <w:rPr>
          <w:rFonts w:hint="eastAsia" w:ascii="宋体" w:eastAsia="宋体" w:cs="宋体"/>
          <w:color w:val="auto"/>
          <w:szCs w:val="21"/>
          <w:highlight w:val="none"/>
          <w:lang w:bidi="ar-SA"/>
        </w:rPr>
        <w:t>个工作日内退还。</w:t>
      </w:r>
      <w:bookmarkEnd w:id="25"/>
      <w:r>
        <w:rPr>
          <w:rFonts w:hint="eastAsia" w:ascii="宋体" w:eastAsia="宋体" w:cs="宋体"/>
          <w:color w:val="auto"/>
          <w:szCs w:val="21"/>
          <w:highlight w:val="none"/>
          <w:lang w:bidi="ar-SA"/>
        </w:rPr>
        <w:t xml:space="preserve"> </w:t>
      </w:r>
    </w:p>
    <w:p w14:paraId="171170FE">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17.3磋商保证金不计息。</w:t>
      </w:r>
    </w:p>
    <w:p w14:paraId="7058E240">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17.4供应商有下列情形之一的，磋商保证金将不予退还： </w:t>
      </w:r>
    </w:p>
    <w:p w14:paraId="6EDA5584">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（1）供应商在提交首次响应文件截止时间后撤回响应文件的；</w:t>
      </w:r>
    </w:p>
    <w:p w14:paraId="17F0CE08">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（2）未按规定提交履约保证金的；</w:t>
      </w:r>
    </w:p>
    <w:p w14:paraId="51B825F3">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（3）供应商在响应文件中提供虚假材料的；</w:t>
      </w:r>
    </w:p>
    <w:p w14:paraId="333CCC2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（4）除因不可抗力或者磋商文件认可的情形以外，成交供应商不与采购人签订合同的；</w:t>
      </w:r>
    </w:p>
    <w:p w14:paraId="21BE85F1">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（5）供应商与采购人、其他供应商或者采购代理机构恶意串通的；</w:t>
      </w:r>
    </w:p>
    <w:p w14:paraId="3000A4CB">
      <w:pPr>
        <w:spacing w:line="360" w:lineRule="auto"/>
        <w:ind w:left="420" w:left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（6）法律法规规定的其他情形。</w:t>
      </w:r>
    </w:p>
    <w:p w14:paraId="176F587A">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18.响应文件编制的要求</w:t>
      </w:r>
    </w:p>
    <w:p w14:paraId="76192733">
      <w:pPr>
        <w:spacing w:line="360" w:lineRule="auto"/>
        <w:ind w:firstLine="420" w:firstLineChars="200"/>
        <w:rPr>
          <w:rFonts w:hint="eastAsia" w:ascii="宋体" w:eastAsia="宋体" w:cs="宋体"/>
          <w:color w:val="auto"/>
          <w:spacing w:val="-6"/>
          <w:szCs w:val="21"/>
          <w:highlight w:val="none"/>
          <w:lang w:bidi="ar-SA"/>
        </w:rPr>
      </w:pPr>
      <w:r>
        <w:rPr>
          <w:rFonts w:hint="eastAsia" w:ascii="宋体" w:eastAsia="宋体" w:cs="宋体"/>
          <w:color w:val="auto"/>
          <w:szCs w:val="21"/>
          <w:highlight w:val="none"/>
          <w:lang w:bidi="ar-SA"/>
        </w:rPr>
        <w:t>18.1供应商应按本磋商文件规定的格式和顺序编制响应文件并标注页码，响应文件内容</w:t>
      </w:r>
      <w:r>
        <w:rPr>
          <w:rFonts w:hint="eastAsia" w:ascii="宋体" w:eastAsia="宋体" w:cs="宋体"/>
          <w:color w:val="auto"/>
          <w:spacing w:val="-6"/>
          <w:szCs w:val="21"/>
          <w:highlight w:val="none"/>
          <w:lang w:bidi="ar-SA"/>
        </w:rPr>
        <w:t>不完整、编排混乱导致响应文件被误读、漏读或者查找不到相关内容的，</w:t>
      </w:r>
      <w:r>
        <w:rPr>
          <w:rFonts w:hint="eastAsia" w:ascii="宋体" w:eastAsia="宋体" w:cs="宋体"/>
          <w:color w:val="auto"/>
          <w:highlight w:val="none"/>
          <w:lang w:bidi="ar-SA"/>
        </w:rPr>
        <w:t>由此引发的</w:t>
      </w:r>
      <w:r>
        <w:rPr>
          <w:rFonts w:hint="eastAsia" w:ascii="宋体" w:eastAsia="宋体" w:cs="宋体"/>
          <w:color w:val="auto"/>
          <w:spacing w:val="-6"/>
          <w:szCs w:val="21"/>
          <w:highlight w:val="none"/>
          <w:lang w:bidi="ar-SA"/>
        </w:rPr>
        <w:t>后果由供应商承担。</w:t>
      </w:r>
    </w:p>
    <w:p w14:paraId="05FFB57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18.2响应文件应按资格证明文件、报价商务技术文件分别编制电子文件，</w:t>
      </w:r>
      <w:r>
        <w:rPr>
          <w:rFonts w:hint="eastAsia" w:ascii="宋体" w:eastAsia="宋体" w:cs="宋体"/>
          <w:color w:val="auto"/>
          <w:szCs w:val="21"/>
          <w:highlight w:val="none"/>
          <w:lang w:bidi="ar"/>
        </w:rPr>
        <w:t>并按</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的要求编制、加密、上传。</w:t>
      </w:r>
    </w:p>
    <w:p w14:paraId="42DD8C0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18.</w:t>
      </w:r>
      <w:bookmarkStart w:id="26" w:name="_Hlk65832699"/>
      <w:r>
        <w:rPr>
          <w:rFonts w:hint="eastAsia" w:ascii="宋体" w:eastAsia="宋体" w:cs="宋体"/>
          <w:color w:val="auto"/>
          <w:szCs w:val="21"/>
          <w:highlight w:val="none"/>
          <w:lang w:bidi="ar-SA"/>
        </w:rPr>
        <w:t>3响应文件须由供应商在规定位置盖公章并签字</w:t>
      </w:r>
      <w:bookmarkStart w:id="27" w:name="_Hlk65832569"/>
      <w:r>
        <w:rPr>
          <w:rFonts w:hint="eastAsia" w:ascii="宋体" w:eastAsia="宋体" w:cs="宋体"/>
          <w:color w:val="auto"/>
          <w:szCs w:val="21"/>
          <w:highlight w:val="none"/>
          <w:lang w:bidi="ar-SA"/>
        </w:rPr>
        <w:t>（具体以供应商须知前附表或响应文件格式规定为准）</w:t>
      </w:r>
      <w:bookmarkEnd w:id="26"/>
      <w:bookmarkEnd w:id="27"/>
      <w:r>
        <w:rPr>
          <w:rFonts w:hint="eastAsia" w:ascii="宋体" w:eastAsia="宋体" w:cs="宋体"/>
          <w:color w:val="auto"/>
          <w:szCs w:val="21"/>
          <w:highlight w:val="none"/>
          <w:lang w:bidi="ar-SA"/>
        </w:rPr>
        <w:t>，否则其响应文件按无效响应处理。</w:t>
      </w:r>
    </w:p>
    <w:p w14:paraId="63F8F34B">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18.4响应文件中标注的供应商名称应与营业执照（事业单位法人证书、执业许可证、自然人身份证）及公章一致，否则其响应文件按无效响应处理。</w:t>
      </w:r>
    </w:p>
    <w:p w14:paraId="40B3216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1F4FD62D">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19.响应文件的加密、解密</w:t>
      </w:r>
    </w:p>
    <w:p w14:paraId="062A822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19.1电子响应文件编制完成后，供应商应按</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的要求进行加密，并在规定时间内解密，否则，由此产生的后果由供应商自行负责。</w:t>
      </w:r>
    </w:p>
    <w:p w14:paraId="3FCBF94E">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20.响应文件的提交</w:t>
      </w:r>
    </w:p>
    <w:p w14:paraId="3DC895D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20.1供应商必须在“供应商须知前附表”规定的时间和地点提交响应文件。</w:t>
      </w:r>
    </w:p>
    <w:p w14:paraId="545DF8E8">
      <w:pPr>
        <w:widowControl/>
        <w:spacing w:line="360" w:lineRule="auto"/>
        <w:ind w:firstLine="420" w:firstLineChars="200"/>
        <w:rPr>
          <w:rFonts w:hint="eastAsia" w:ascii="宋体" w:eastAsia="宋体" w:cs="宋体"/>
          <w:b/>
          <w:color w:val="auto"/>
          <w:szCs w:val="21"/>
          <w:highlight w:val="none"/>
          <w:lang w:bidi="ar"/>
        </w:rPr>
      </w:pPr>
      <w:r>
        <w:rPr>
          <w:rFonts w:hint="eastAsia" w:ascii="宋体" w:eastAsia="宋体" w:cs="宋体"/>
          <w:color w:val="auto"/>
          <w:szCs w:val="21"/>
          <w:highlight w:val="none"/>
          <w:lang w:bidi="ar-SA"/>
        </w:rPr>
        <w:t>20.2</w:t>
      </w:r>
      <w:r>
        <w:rPr>
          <w:rFonts w:hint="eastAsia" w:ascii="宋体" w:eastAsia="宋体" w:cs="宋体"/>
          <w:color w:val="auto"/>
          <w:szCs w:val="21"/>
          <w:highlight w:val="none"/>
          <w:lang w:bidi="ar"/>
        </w:rPr>
        <w:t>本项目为全流程电子化政府采购项目，通过</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实行在线电子竞标，供应商应先安装“广西政府采购云平台新版客户端”（请自行前往</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进行下载），并按照本项目竞争性磋商文件和</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的要求编制、加密后在首次响应文件提交截止时间前通过网络上传至</w:t>
      </w:r>
      <w:r>
        <w:rPr>
          <w:rFonts w:hint="eastAsia" w:ascii="宋体" w:eastAsia="宋体" w:cs="宋体"/>
          <w:color w:val="auto"/>
          <w:szCs w:val="21"/>
          <w:highlight w:val="none"/>
          <w:lang w:eastAsia="zh-CN" w:bidi="ar"/>
        </w:rPr>
        <w:t>广西政府采购云平台</w:t>
      </w:r>
      <w:r>
        <w:rPr>
          <w:rFonts w:hint="eastAsia" w:ascii="宋体" w:eastAsia="宋体" w:cs="宋体"/>
          <w:color w:val="auto"/>
          <w:szCs w:val="21"/>
          <w:highlight w:val="none"/>
          <w:lang w:bidi="ar"/>
        </w:rPr>
        <w:t>，</w:t>
      </w:r>
      <w:r>
        <w:rPr>
          <w:rFonts w:hint="eastAsia" w:ascii="宋体" w:eastAsia="宋体" w:cs="宋体"/>
          <w:b/>
          <w:color w:val="auto"/>
          <w:szCs w:val="21"/>
          <w:highlight w:val="none"/>
          <w:lang w:bidi="ar"/>
        </w:rPr>
        <w:t>供应商在</w:t>
      </w:r>
      <w:r>
        <w:rPr>
          <w:rFonts w:hint="eastAsia" w:ascii="宋体" w:eastAsia="宋体" w:cs="宋体"/>
          <w:b/>
          <w:color w:val="auto"/>
          <w:szCs w:val="21"/>
          <w:highlight w:val="none"/>
          <w:lang w:eastAsia="zh-CN" w:bidi="ar"/>
        </w:rPr>
        <w:t>广西政府采购云平台</w:t>
      </w:r>
      <w:r>
        <w:rPr>
          <w:rFonts w:hint="eastAsia" w:ascii="宋体" w:eastAsia="宋体" w:cs="宋体"/>
          <w:b/>
          <w:color w:val="auto"/>
          <w:szCs w:val="21"/>
          <w:highlight w:val="none"/>
          <w:lang w:bidi="ar"/>
        </w:rPr>
        <w:t>提交电子版响应文件时，请填写参加远程开标活动经办人联系方式。</w:t>
      </w:r>
    </w:p>
    <w:p w14:paraId="40F1A1CC">
      <w:pPr>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outlineLvl w:val="9"/>
        <w:rPr>
          <w:rFonts w:hint="eastAsia" w:ascii="宋体" w:eastAsia="宋体" w:cs="宋体"/>
          <w:b w:val="0"/>
          <w:color w:val="auto"/>
          <w:sz w:val="21"/>
          <w:szCs w:val="21"/>
          <w:highlight w:val="none"/>
          <w:lang w:bidi="ar-SA"/>
        </w:rPr>
      </w:pPr>
      <w:r>
        <w:rPr>
          <w:rFonts w:hint="eastAsia" w:ascii="宋体" w:eastAsia="宋体" w:cs="宋体"/>
          <w:b w:val="0"/>
          <w:color w:val="auto"/>
          <w:sz w:val="21"/>
          <w:szCs w:val="21"/>
          <w:highlight w:val="none"/>
          <w:lang w:bidi="ar-SA"/>
        </w:rPr>
        <w:t>20.3未在规定时间内上传或者未按</w:t>
      </w:r>
      <w:r>
        <w:rPr>
          <w:rFonts w:hint="eastAsia" w:ascii="宋体" w:eastAsia="宋体" w:cs="宋体"/>
          <w:b w:val="0"/>
          <w:color w:val="auto"/>
          <w:sz w:val="21"/>
          <w:szCs w:val="21"/>
          <w:highlight w:val="none"/>
          <w:lang w:eastAsia="zh-CN" w:bidi="ar-SA"/>
        </w:rPr>
        <w:t>广西政府采购云平台</w:t>
      </w:r>
      <w:r>
        <w:rPr>
          <w:rFonts w:hint="eastAsia" w:ascii="宋体" w:eastAsia="宋体" w:cs="宋体"/>
          <w:b w:val="0"/>
          <w:color w:val="auto"/>
          <w:sz w:val="21"/>
          <w:szCs w:val="21"/>
          <w:highlight w:val="none"/>
          <w:lang w:bidi="ar-SA"/>
        </w:rPr>
        <w:t>的要求编制、加密的电子响应文件，</w:t>
      </w:r>
      <w:r>
        <w:rPr>
          <w:rFonts w:hint="eastAsia" w:ascii="宋体" w:eastAsia="宋体" w:cs="宋体"/>
          <w:b w:val="0"/>
          <w:color w:val="auto"/>
          <w:sz w:val="21"/>
          <w:szCs w:val="21"/>
          <w:highlight w:val="none"/>
          <w:lang w:eastAsia="zh-CN" w:bidi="ar-SA"/>
        </w:rPr>
        <w:t>广西政府采购云平台</w:t>
      </w:r>
      <w:r>
        <w:rPr>
          <w:rFonts w:hint="eastAsia" w:ascii="宋体" w:eastAsia="宋体" w:cs="宋体"/>
          <w:b w:val="0"/>
          <w:color w:val="auto"/>
          <w:sz w:val="21"/>
          <w:szCs w:val="21"/>
          <w:highlight w:val="none"/>
          <w:lang w:bidi="ar-SA"/>
        </w:rPr>
        <w:t>将拒收。</w:t>
      </w:r>
    </w:p>
    <w:p w14:paraId="66D11E1F">
      <w:pPr>
        <w:pStyle w:val="9"/>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20.4电子响应文件提交方</w:t>
      </w:r>
      <w:r>
        <w:rPr>
          <w:rFonts w:hint="eastAsia" w:ascii="宋体" w:eastAsia="宋体" w:cs="宋体"/>
          <w:bCs/>
          <w:color w:val="auto"/>
          <w:szCs w:val="21"/>
          <w:highlight w:val="none"/>
          <w:lang w:bidi="ar-SA"/>
        </w:rPr>
        <w:t>式见“竞争性磋商公告”</w:t>
      </w:r>
      <w:r>
        <w:rPr>
          <w:rFonts w:hint="eastAsia" w:ascii="宋体" w:eastAsia="宋体" w:cs="宋体"/>
          <w:color w:val="auto"/>
          <w:szCs w:val="21"/>
          <w:highlight w:val="none"/>
          <w:lang w:bidi="ar-SA"/>
        </w:rPr>
        <w:t>中“四、响应文件提交”。</w:t>
      </w:r>
    </w:p>
    <w:p w14:paraId="27FAB450">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21.首次响应文件的补充、修改与撤回</w:t>
      </w:r>
    </w:p>
    <w:p w14:paraId="430BCD64">
      <w:pPr>
        <w:spacing w:line="360" w:lineRule="auto"/>
        <w:ind w:firstLine="420" w:firstLineChars="200"/>
        <w:rPr>
          <w:rFonts w:hint="eastAsia" w:ascii="宋体" w:eastAsia="宋体" w:cs="宋体"/>
          <w:bCs/>
          <w:color w:val="auto"/>
          <w:szCs w:val="21"/>
          <w:highlight w:val="none"/>
          <w:lang w:bidi="ar"/>
        </w:rPr>
      </w:pPr>
      <w:r>
        <w:rPr>
          <w:rFonts w:hint="eastAsia" w:ascii="宋体" w:eastAsia="宋体" w:cs="宋体"/>
          <w:bCs/>
          <w:color w:val="auto"/>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eastAsia="宋体" w:cs="宋体"/>
          <w:bCs/>
          <w:color w:val="auto"/>
          <w:szCs w:val="21"/>
          <w:highlight w:val="none"/>
          <w:lang w:eastAsia="zh-CN" w:bidi="ar"/>
        </w:rPr>
        <w:t>广西政府采购云平台</w:t>
      </w:r>
      <w:r>
        <w:rPr>
          <w:rFonts w:hint="eastAsia" w:ascii="宋体" w:eastAsia="宋体" w:cs="宋体"/>
          <w:bCs/>
          <w:color w:val="auto"/>
          <w:szCs w:val="21"/>
          <w:highlight w:val="none"/>
          <w:lang w:bidi="ar"/>
        </w:rPr>
        <w:t>将予以拒收。</w:t>
      </w:r>
    </w:p>
    <w:p w14:paraId="2CF038F4">
      <w:pPr>
        <w:spacing w:line="360" w:lineRule="auto"/>
        <w:ind w:firstLine="482" w:firstLineChars="200"/>
        <w:rPr>
          <w:rFonts w:hint="eastAsia" w:ascii="宋体" w:eastAsia="宋体" w:cs="宋体"/>
          <w:b/>
          <w:bCs/>
          <w:color w:val="auto"/>
          <w:sz w:val="24"/>
          <w:highlight w:val="none"/>
          <w:lang w:bidi="ar-SA"/>
        </w:rPr>
      </w:pPr>
      <w:bookmarkStart w:id="28" w:name="_Hlk45702405"/>
      <w:r>
        <w:rPr>
          <w:rFonts w:hint="eastAsia" w:ascii="宋体" w:eastAsia="宋体" w:cs="宋体"/>
          <w:b/>
          <w:bCs/>
          <w:color w:val="auto"/>
          <w:sz w:val="24"/>
          <w:highlight w:val="none"/>
          <w:lang w:bidi="ar-SA"/>
        </w:rPr>
        <w:t>22. 首次响应文件的退回</w:t>
      </w:r>
    </w:p>
    <w:p w14:paraId="59A4F861">
      <w:pPr>
        <w:spacing w:line="400" w:lineRule="exact"/>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22.1在首次响应文件提交截止时间止提交响应文件的供应商不足3家时，采购代理机构将根据</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的操作将电子版响应文件退回，除此之外采购人和采购代理机构对已提交的电子响应文件概不退回。</w:t>
      </w:r>
    </w:p>
    <w:p w14:paraId="2FC94329">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23. 截止时间后的撤回</w:t>
      </w:r>
    </w:p>
    <w:p w14:paraId="3816FF30">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23.1供应商在首次响应文件提交截止时间后书面通知采购人、采购代理机构书面撤回响应文件的，将根据本须知正文17.4的规定不予退还其磋商保证金。</w:t>
      </w:r>
    </w:p>
    <w:bookmarkEnd w:id="28"/>
    <w:p w14:paraId="21FB6F2C">
      <w:pPr>
        <w:spacing w:line="360" w:lineRule="auto"/>
        <w:rPr>
          <w:rFonts w:hint="eastAsia" w:ascii="宋体" w:eastAsia="宋体" w:cs="宋体"/>
          <w:color w:val="auto"/>
          <w:szCs w:val="21"/>
          <w:highlight w:val="none"/>
          <w:lang w:bidi="ar-SA"/>
        </w:rPr>
      </w:pPr>
    </w:p>
    <w:p w14:paraId="4ABCB10D">
      <w:pPr>
        <w:spacing w:line="360" w:lineRule="auto"/>
        <w:jc w:val="center"/>
        <w:rPr>
          <w:rFonts w:hint="eastAsia" w:ascii="宋体" w:eastAsia="宋体" w:cs="宋体"/>
          <w:b/>
          <w:bCs/>
          <w:color w:val="auto"/>
          <w:sz w:val="32"/>
          <w:szCs w:val="32"/>
          <w:highlight w:val="none"/>
          <w:lang w:bidi="ar-SA"/>
        </w:rPr>
      </w:pPr>
      <w:r>
        <w:rPr>
          <w:rFonts w:hint="eastAsia" w:ascii="宋体" w:eastAsia="宋体" w:cs="宋体"/>
          <w:b/>
          <w:bCs/>
          <w:color w:val="auto"/>
          <w:sz w:val="32"/>
          <w:szCs w:val="32"/>
          <w:highlight w:val="none"/>
          <w:lang w:bidi="ar-SA"/>
        </w:rPr>
        <w:t>四、评审及磋商</w:t>
      </w:r>
    </w:p>
    <w:p w14:paraId="26C0F99B">
      <w:pPr>
        <w:spacing w:line="360" w:lineRule="auto"/>
        <w:ind w:firstLine="482" w:firstLineChars="200"/>
        <w:rPr>
          <w:rFonts w:hint="eastAsia" w:ascii="宋体" w:eastAsia="宋体" w:cs="宋体"/>
          <w:b/>
          <w:bCs/>
          <w:color w:val="auto"/>
          <w:sz w:val="24"/>
          <w:highlight w:val="none"/>
          <w:lang w:bidi="ar-SA"/>
        </w:rPr>
      </w:pPr>
    </w:p>
    <w:p w14:paraId="253DF964">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24.磋商小组成立</w:t>
      </w:r>
    </w:p>
    <w:p w14:paraId="3C6454CA">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22043AB">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9B1596">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25.首次响应文件的开启</w:t>
      </w:r>
    </w:p>
    <w:p w14:paraId="597CC22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25.1首次响应文件由磋商小组或者采购代理机构在“供应商须知前附表”规定的时间开启。</w:t>
      </w:r>
    </w:p>
    <w:p w14:paraId="3FF9A9E6">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25.2 响应文件解密：采购代理机构将在“供应商须知前附表”规定的时间通过电子交易平台组织响应文件开启，采购代理机构将依托电子交易平台发起开始解密指令，</w:t>
      </w:r>
      <w:r>
        <w:rPr>
          <w:rFonts w:hint="eastAsia" w:ascii="宋体" w:eastAsia="宋体" w:cs="宋体"/>
          <w:b/>
          <w:color w:val="auto"/>
          <w:szCs w:val="21"/>
          <w:highlight w:val="none"/>
          <w:lang w:bidi="ar-SA"/>
        </w:rPr>
        <w:t>供应商的法定代表人或其委托代理人须携带加密时所用的CA锁按平台提示和采购文件的规定登录到</w:t>
      </w:r>
      <w:r>
        <w:rPr>
          <w:rFonts w:hint="eastAsia" w:ascii="宋体" w:eastAsia="宋体" w:cs="宋体"/>
          <w:b/>
          <w:color w:val="auto"/>
          <w:szCs w:val="21"/>
          <w:highlight w:val="none"/>
          <w:lang w:eastAsia="zh-CN" w:bidi="ar-SA"/>
        </w:rPr>
        <w:t>广西政府采购云平台</w:t>
      </w:r>
      <w:r>
        <w:rPr>
          <w:rFonts w:hint="eastAsia" w:ascii="宋体" w:eastAsia="宋体" w:cs="宋体"/>
          <w:b/>
          <w:color w:val="auto"/>
          <w:szCs w:val="21"/>
          <w:highlight w:val="none"/>
          <w:lang w:bidi="ar-SA"/>
        </w:rPr>
        <w:t>电子开标大厅签到并在发起解密指令之时起30分钟内完成对电子响应文件在线解密。</w:t>
      </w:r>
      <w:r>
        <w:rPr>
          <w:rFonts w:hint="eastAsia" w:ascii="宋体" w:eastAsia="宋体" w:cs="宋体"/>
          <w:b/>
          <w:bCs/>
          <w:color w:val="auto"/>
          <w:szCs w:val="21"/>
          <w:highlight w:val="none"/>
          <w:lang w:bidi="ar-SA"/>
        </w:rPr>
        <w:t>响应文件未按时解密的，</w:t>
      </w:r>
      <w:r>
        <w:rPr>
          <w:rFonts w:hint="eastAsia" w:ascii="宋体" w:eastAsia="宋体" w:cs="宋体"/>
          <w:b/>
          <w:color w:val="auto"/>
          <w:szCs w:val="21"/>
          <w:highlight w:val="none"/>
          <w:lang w:bidi="ar-SA"/>
        </w:rPr>
        <w:t>视为响应</w:t>
      </w:r>
      <w:r>
        <w:rPr>
          <w:rFonts w:hint="eastAsia" w:ascii="宋体" w:eastAsia="宋体" w:cs="宋体"/>
          <w:b/>
          <w:bCs/>
          <w:color w:val="auto"/>
          <w:szCs w:val="21"/>
          <w:highlight w:val="none"/>
          <w:lang w:bidi="ar-SA"/>
        </w:rPr>
        <w:t>文件无效。</w:t>
      </w:r>
      <w:r>
        <w:rPr>
          <w:rFonts w:hint="eastAsia" w:ascii="宋体" w:eastAsia="宋体" w:cs="宋体"/>
          <w:color w:val="auto"/>
          <w:szCs w:val="21"/>
          <w:highlight w:val="none"/>
          <w:lang w:bidi="ar-SA"/>
        </w:rPr>
        <w:t>（解密异常情况处理：详见本章26.2电子交易活动的中止。）</w:t>
      </w:r>
    </w:p>
    <w:p w14:paraId="3067844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25.3成功解密响应文件的供应商不足3家的，不得磋商。</w:t>
      </w:r>
    </w:p>
    <w:p w14:paraId="4326EDA8">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26.评审程序、评审方法和评审标准</w:t>
      </w:r>
    </w:p>
    <w:p w14:paraId="7F140FD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26.1磋商小组按照“第四章 评审程序、评审方法和评审标准”规定的方法、评审因素、标准和程序对响应文件进行评审。</w:t>
      </w:r>
    </w:p>
    <w:p w14:paraId="45A91641">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26.2电子交易活动的中止。采购过程中出现以下情形，导致电子交易平台无法正常运行，或者无法保证电子交易的公平、公正和安全时，采购机构可中止电子交易活动：</w:t>
      </w:r>
    </w:p>
    <w:p w14:paraId="3E14C8E6">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 xml:space="preserve">（1）电子交易平台发生故障而无法登录访问的； </w:t>
      </w:r>
    </w:p>
    <w:p w14:paraId="76CCEE25">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（2）电子交易平台应用或数据库出现错误，不能进行正常操作的；</w:t>
      </w:r>
    </w:p>
    <w:p w14:paraId="56C605CC">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（3）电子交易平台发现严重安全漏洞，有潜在泄密危险的；</w:t>
      </w:r>
    </w:p>
    <w:p w14:paraId="0F0FBB0B">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 xml:space="preserve">（4）病毒发作导致不能进行正常操作的； </w:t>
      </w:r>
    </w:p>
    <w:p w14:paraId="3D2BF3CA">
      <w:pPr>
        <w:spacing w:line="400" w:lineRule="exact"/>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（4）其他无法保证电子交易的公平、公正和安全的情况。</w:t>
      </w:r>
    </w:p>
    <w:p w14:paraId="1C7619D1">
      <w:pPr>
        <w:spacing w:line="400" w:lineRule="exact"/>
        <w:ind w:firstLine="420" w:firstLineChars="200"/>
        <w:rPr>
          <w:rFonts w:hint="eastAsia" w:ascii="宋体" w:eastAsia="宋体" w:cs="宋体"/>
          <w:color w:val="auto"/>
          <w:szCs w:val="21"/>
          <w:highlight w:val="none"/>
          <w:lang w:bidi="ar-SA"/>
        </w:rPr>
      </w:pPr>
      <w:r>
        <w:rPr>
          <w:rFonts w:hint="eastAsia" w:ascii="宋体" w:eastAsia="宋体" w:cs="宋体"/>
          <w:color w:val="auto"/>
          <w:highlight w:val="none"/>
          <w:lang w:bidi="ar-SA"/>
        </w:rPr>
        <w:t>26.3出现以上情形，不影响采购公平、公正性的，采购代理机构可以待上述情形消除后继续组织电子交易活动；影响或可能影响采购公平、公正性的，经采购代理机构确认后，应当重新采购。</w:t>
      </w:r>
    </w:p>
    <w:p w14:paraId="7735C932">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27.确定成交供应商及结果公告</w:t>
      </w:r>
    </w:p>
    <w:p w14:paraId="2B70292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27.1</w:t>
      </w:r>
      <w:r>
        <w:rPr>
          <w:rFonts w:hint="eastAsia" w:ascii="宋体" w:eastAsia="宋体" w:cs="宋体"/>
          <w:color w:val="auto"/>
          <w:kern w:val="0"/>
          <w:szCs w:val="21"/>
          <w:highlight w:val="none"/>
          <w:lang w:bidi="ar-SA"/>
        </w:rPr>
        <w:t xml:space="preserve">  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color w:val="auto"/>
          <w:szCs w:val="21"/>
          <w:highlight w:val="none"/>
          <w:lang w:bidi="ar-SA"/>
        </w:rPr>
        <w:t>。</w:t>
      </w:r>
    </w:p>
    <w:p w14:paraId="21C2B3E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27.2采购代理机构应当在</w:t>
      </w:r>
      <w:r>
        <w:rPr>
          <w:rFonts w:hint="eastAsia" w:ascii="宋体" w:eastAsia="宋体" w:cs="宋体"/>
          <w:color w:val="auto"/>
          <w:kern w:val="0"/>
          <w:szCs w:val="21"/>
          <w:highlight w:val="none"/>
          <w:lang w:bidi="ar-SA"/>
        </w:rPr>
        <w:t>成交</w:t>
      </w:r>
      <w:r>
        <w:rPr>
          <w:rFonts w:hint="eastAsia" w:ascii="宋体" w:eastAsia="宋体" w:cs="宋体"/>
          <w:color w:val="auto"/>
          <w:szCs w:val="21"/>
          <w:highlight w:val="none"/>
          <w:lang w:bidi="ar-SA"/>
        </w:rPr>
        <w:t>供应商确定后2个工作日内，在省级以上财政部门指定的媒体上公告成交结果，同时向成交供应商发出成交通知书。</w:t>
      </w:r>
      <w:r>
        <w:rPr>
          <w:rFonts w:hint="eastAsia" w:ascii="宋体" w:eastAsia="宋体" w:cs="宋体"/>
          <w:b/>
          <w:color w:val="auto"/>
          <w:szCs w:val="21"/>
          <w:highlight w:val="none"/>
          <w:lang w:bidi="ar-SA"/>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eastAsia="宋体" w:cs="宋体"/>
          <w:color w:val="auto"/>
          <w:szCs w:val="21"/>
          <w:highlight w:val="none"/>
          <w:lang w:bidi="ar-SA"/>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eastAsia="宋体" w:cs="宋体"/>
          <w:color w:val="auto"/>
          <w:szCs w:val="21"/>
          <w:highlight w:val="none"/>
          <w:lang w:bidi="ar-SA"/>
        </w:rPr>
        <w:t>成交供应商享受《政府采购促进中小企业发展管理办法》（财库〔2020〕46号）规定的中小企业扶持政策的，采购人、采购代理机构应当随成交结果公开成交供应商的《中小企业声明函》。</w:t>
      </w:r>
      <w:bookmarkEnd w:id="29"/>
    </w:p>
    <w:p w14:paraId="24AE763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022BC41D">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28.履约保证金</w:t>
      </w:r>
    </w:p>
    <w:p w14:paraId="0F120057">
      <w:pPr>
        <w:spacing w:line="360" w:lineRule="auto"/>
        <w:ind w:firstLine="424" w:firstLineChars="202"/>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28.1 履约保证金的金额、提交方式、退付的时间和条件详见 “供应商须知前附表”。成交供应商未按规定提交履约保证金的，视为拒绝</w:t>
      </w:r>
      <w:r>
        <w:rPr>
          <w:rFonts w:hint="eastAsia" w:ascii="宋体" w:eastAsia="宋体" w:cs="宋体"/>
          <w:color w:val="auto"/>
          <w:highlight w:val="none"/>
          <w:lang w:bidi="ar-SA"/>
        </w:rPr>
        <w:t>与采购人</w:t>
      </w:r>
      <w:r>
        <w:rPr>
          <w:rFonts w:hint="eastAsia" w:ascii="宋体" w:eastAsia="宋体" w:cs="宋体"/>
          <w:color w:val="auto"/>
          <w:szCs w:val="21"/>
          <w:highlight w:val="none"/>
          <w:lang w:bidi="ar-SA"/>
        </w:rPr>
        <w:t>签订合同。</w:t>
      </w:r>
    </w:p>
    <w:p w14:paraId="454F5E3A">
      <w:pPr>
        <w:spacing w:line="360" w:lineRule="auto"/>
        <w:ind w:firstLine="424" w:firstLineChars="202"/>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28.2在履约保证金退还日期前，若成交供应商的开户名称、开户银行、帐号有变动的，请以书面形式通知履约保证金收取单位，否则由此产生的后果由成交供应商自行承担。</w:t>
      </w:r>
    </w:p>
    <w:p w14:paraId="7652FF06">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29.签订合同</w:t>
      </w:r>
    </w:p>
    <w:p w14:paraId="483562FB">
      <w:pPr>
        <w:spacing w:line="360" w:lineRule="auto"/>
        <w:ind w:firstLine="424" w:firstLineChars="202"/>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21B869F1">
      <w:pPr>
        <w:spacing w:line="360" w:lineRule="auto"/>
        <w:ind w:firstLine="424" w:firstLineChars="202"/>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29.2 签订合同时间：按成交通知书规定的时间与采购人签订政府采购合同（最长不能超过25日）。</w:t>
      </w:r>
    </w:p>
    <w:p w14:paraId="0ABC3CB2">
      <w:pPr>
        <w:spacing w:line="360" w:lineRule="auto"/>
        <w:ind w:firstLine="424" w:firstLineChars="202"/>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29.3成交供应商拒绝与采购人签订合同的，按照本须知正文第27.3条的规定执行。</w:t>
      </w:r>
    </w:p>
    <w:p w14:paraId="202FCC2A">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30.政府采购合同公告</w:t>
      </w:r>
    </w:p>
    <w:p w14:paraId="2CE2ACC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3C1133">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31. 询问、质疑和投诉</w:t>
      </w:r>
    </w:p>
    <w:p w14:paraId="269837C6">
      <w:pPr>
        <w:pStyle w:val="9"/>
        <w:spacing w:line="360" w:lineRule="auto"/>
        <w:rPr>
          <w:rFonts w:hint="eastAsia" w:ascii="宋体" w:eastAsia="宋体" w:cs="宋体"/>
          <w:color w:val="auto"/>
          <w:szCs w:val="21"/>
          <w:highlight w:val="none"/>
          <w:lang w:bidi="ar-SA"/>
        </w:rPr>
      </w:pPr>
      <w:r>
        <w:rPr>
          <w:rFonts w:hint="eastAsia" w:ascii="宋体" w:eastAsia="宋体" w:cs="宋体"/>
          <w:color w:val="auto"/>
          <w:highlight w:val="none"/>
          <w:lang w:bidi="ar-SA"/>
        </w:rPr>
        <w:t>31.1供应商对政府采购活动事项有疑问的，可以向采购人、采购代理机构提出询问，采购人或者采购代理机构应当在3个工作日内对供应商依法提出的询问作出答复，</w:t>
      </w:r>
      <w:r>
        <w:rPr>
          <w:rFonts w:hint="eastAsia" w:ascii="宋体" w:eastAsia="宋体" w:cs="宋体"/>
          <w:color w:val="auto"/>
          <w:szCs w:val="21"/>
          <w:highlight w:val="none"/>
          <w:lang w:bidi="ar-SA"/>
        </w:rPr>
        <w:t>但答复的内容不得涉及商业秘密</w:t>
      </w:r>
      <w:r>
        <w:rPr>
          <w:rFonts w:hint="eastAsia" w:ascii="宋体" w:eastAsia="宋体" w:cs="宋体"/>
          <w:color w:val="auto"/>
          <w:highlight w:val="none"/>
          <w:lang w:bidi="ar-SA"/>
        </w:rPr>
        <w:t>。</w:t>
      </w:r>
    </w:p>
    <w:p w14:paraId="31787BB6">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31.2供应商认为磋商文件、采购过程或者成交结果使自己的合法权益受到损害的，应当在知道或者应知其权益受到损害之日起7个工作日内，以纸质书面形式向采购人、采购代理机构提出质疑，</w:t>
      </w:r>
      <w:r>
        <w:rPr>
          <w:rFonts w:hint="eastAsia" w:ascii="宋体" w:eastAsia="宋体" w:cs="宋体"/>
          <w:color w:val="auto"/>
          <w:highlight w:val="none"/>
          <w:shd w:val="clear" w:color="auto" w:fill="FFFFFF"/>
          <w:lang w:bidi="ar-SA"/>
        </w:rPr>
        <w:t>接收质疑函的方式、联系部门、联系电话和通讯地址等信息详见</w:t>
      </w:r>
      <w:r>
        <w:rPr>
          <w:rFonts w:hint="eastAsia" w:ascii="宋体" w:eastAsia="宋体" w:cs="宋体"/>
          <w:color w:val="auto"/>
          <w:szCs w:val="21"/>
          <w:highlight w:val="none"/>
          <w:lang w:bidi="ar-SA"/>
        </w:rPr>
        <w:t>“供应商须知前附表”</w:t>
      </w:r>
      <w:r>
        <w:rPr>
          <w:rFonts w:hint="eastAsia" w:ascii="宋体" w:eastAsia="宋体" w:cs="宋体"/>
          <w:color w:val="auto"/>
          <w:highlight w:val="none"/>
          <w:lang w:bidi="ar-SA"/>
        </w:rPr>
        <w:t>。具体质疑起算时间如下：</w:t>
      </w:r>
    </w:p>
    <w:p w14:paraId="09F243FD">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（1）对可以质疑的磋商文件提出质疑的，为收到磋商文件之日或者竞争性磋商公告期限届满之日；</w:t>
      </w:r>
    </w:p>
    <w:p w14:paraId="526E98F2">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（2）对采购过程提出质疑的，为各采购程序环节结束之日；</w:t>
      </w:r>
    </w:p>
    <w:p w14:paraId="050A6CEC">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（3）对成交结果提出质疑的，为成交结果公告期限届满之日。</w:t>
      </w:r>
    </w:p>
    <w:p w14:paraId="2AEAB7B0">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EA9E4DC">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31.4 供应商提出质疑应当提交质疑函和必要的证明材料，针对同一采购程序环节的质疑必须在法定质疑期内一次性提出。质疑函应当包括下列内容</w:t>
      </w:r>
      <w:r>
        <w:rPr>
          <w:rFonts w:hint="eastAsia" w:ascii="宋体" w:eastAsia="宋体" w:cs="宋体"/>
          <w:bCs/>
          <w:color w:val="auto"/>
          <w:highlight w:val="none"/>
          <w:lang w:bidi="ar-SA"/>
        </w:rPr>
        <w:t>（质疑函格式后附）</w:t>
      </w:r>
      <w:r>
        <w:rPr>
          <w:rFonts w:hint="eastAsia" w:ascii="宋体" w:eastAsia="宋体" w:cs="宋体"/>
          <w:color w:val="auto"/>
          <w:highlight w:val="none"/>
          <w:lang w:bidi="ar-SA"/>
        </w:rPr>
        <w:t>：</w:t>
      </w:r>
    </w:p>
    <w:p w14:paraId="53AB9F6D">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（1）供应商的姓名或者名称、地址、邮编、联系人及联系电话；</w:t>
      </w:r>
    </w:p>
    <w:p w14:paraId="069E2DAC">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（2）质疑项目的名称、编号；</w:t>
      </w:r>
    </w:p>
    <w:p w14:paraId="6F2612F6">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（3）具体、明确的质疑事项和与质疑事项相关的请求；</w:t>
      </w:r>
    </w:p>
    <w:p w14:paraId="01AB9F74">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（4）事实依据；</w:t>
      </w:r>
    </w:p>
    <w:p w14:paraId="6C213889">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（5）必要的法律依据；</w:t>
      </w:r>
    </w:p>
    <w:p w14:paraId="668A3907">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（6）提出质疑的日期。</w:t>
      </w:r>
    </w:p>
    <w:p w14:paraId="39098FB0">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供应商为自然人的，应当由本人签字；供应商为法人或者其他组织的，应当由法定代表人、主要负责人，或者其委托代理人签字或者盖章，并加盖公章。</w:t>
      </w:r>
    </w:p>
    <w:p w14:paraId="7EE76EB0">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31.5采购人、采购代理机构认为供应商质疑不成立，或者成立但未对成交结果构成影响的，继续开展采购活动；认为供应商质疑成立且影响或者可能影响成交结果的，按照下列情况处理：</w:t>
      </w:r>
    </w:p>
    <w:p w14:paraId="42F3C84A">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（1）对采购文件提出的质疑，依法通过澄清或者修改可以继续开展采购活动的，澄清或者修改采购文件后继续开展采购活动；否则应当修改采购文件后重新开展采购活动。</w:t>
      </w:r>
    </w:p>
    <w:p w14:paraId="30AED511">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（2）对采购过程或者成交结果提出的质疑，合格供应商符合法定数量时，可以从合格的成交候选人中另行确定成交供应商的，应当依法另行确定成交供应商；否则应当重新开展采购活动。</w:t>
      </w:r>
    </w:p>
    <w:p w14:paraId="2F7C04B6">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质疑答复导致成交结果改变的，采购人或者采购代理机构应当将有关情况书面报告本级财政部门。</w:t>
      </w:r>
    </w:p>
    <w:p w14:paraId="412E6E7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highlight w:val="none"/>
          <w:lang w:bidi="ar-SA"/>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FA5ADF7">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32.其他内容</w:t>
      </w:r>
    </w:p>
    <w:p w14:paraId="40E54ABE">
      <w:pPr>
        <w:tabs>
          <w:tab w:val="left" w:pos="2835"/>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32.1代理服务费：代理服务收取标准及缴费账户详见“供应商须知前附表”，供应商为联合体的，可以由联合体中的一方或者多方共同交纳代理服务费。</w:t>
      </w:r>
    </w:p>
    <w:p w14:paraId="478FF487">
      <w:pPr>
        <w:tabs>
          <w:tab w:val="left" w:pos="2835"/>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32.2代理服务费收费计算标准：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04F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2A6419B1">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费率</w:t>
            </w:r>
          </w:p>
          <w:p w14:paraId="507D01D9">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金额</w:t>
            </w:r>
          </w:p>
        </w:tc>
        <w:tc>
          <w:tcPr>
            <w:tcW w:w="1659" w:type="dxa"/>
            <w:noWrap w:val="0"/>
            <w:vAlign w:val="center"/>
          </w:tcPr>
          <w:p w14:paraId="598BB4C6">
            <w:pPr>
              <w:spacing w:line="360" w:lineRule="auto"/>
              <w:ind w:firstLine="105" w:firstLineChars="50"/>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货物类</w:t>
            </w:r>
          </w:p>
        </w:tc>
        <w:tc>
          <w:tcPr>
            <w:tcW w:w="1532" w:type="dxa"/>
            <w:noWrap w:val="0"/>
            <w:vAlign w:val="center"/>
          </w:tcPr>
          <w:p w14:paraId="26AFD908">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服务类</w:t>
            </w:r>
          </w:p>
        </w:tc>
        <w:tc>
          <w:tcPr>
            <w:tcW w:w="1546" w:type="dxa"/>
            <w:noWrap w:val="0"/>
            <w:vAlign w:val="center"/>
          </w:tcPr>
          <w:p w14:paraId="0A359D50">
            <w:pPr>
              <w:spacing w:line="360" w:lineRule="auto"/>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工程类</w:t>
            </w:r>
          </w:p>
        </w:tc>
      </w:tr>
      <w:tr w14:paraId="3C14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3B0F684">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100万元以下</w:t>
            </w:r>
          </w:p>
        </w:tc>
        <w:tc>
          <w:tcPr>
            <w:tcW w:w="1659" w:type="dxa"/>
            <w:noWrap w:val="0"/>
            <w:vAlign w:val="top"/>
          </w:tcPr>
          <w:p w14:paraId="7A84DE49">
            <w:pPr>
              <w:spacing w:line="360" w:lineRule="auto"/>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  1.5%                </w:t>
            </w:r>
          </w:p>
        </w:tc>
        <w:tc>
          <w:tcPr>
            <w:tcW w:w="1532" w:type="dxa"/>
            <w:noWrap w:val="0"/>
            <w:vAlign w:val="top"/>
          </w:tcPr>
          <w:p w14:paraId="09738CB3">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1.5%</w:t>
            </w:r>
          </w:p>
        </w:tc>
        <w:tc>
          <w:tcPr>
            <w:tcW w:w="1546" w:type="dxa"/>
            <w:noWrap w:val="0"/>
            <w:vAlign w:val="top"/>
          </w:tcPr>
          <w:p w14:paraId="7C59E0D2">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1.0% </w:t>
            </w:r>
          </w:p>
        </w:tc>
      </w:tr>
      <w:tr w14:paraId="0066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DF818B5">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100～500万元</w:t>
            </w:r>
          </w:p>
        </w:tc>
        <w:tc>
          <w:tcPr>
            <w:tcW w:w="1659" w:type="dxa"/>
            <w:noWrap w:val="0"/>
            <w:vAlign w:val="top"/>
          </w:tcPr>
          <w:p w14:paraId="0ED92737">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1.1%                 </w:t>
            </w:r>
          </w:p>
        </w:tc>
        <w:tc>
          <w:tcPr>
            <w:tcW w:w="1532" w:type="dxa"/>
            <w:noWrap w:val="0"/>
            <w:vAlign w:val="top"/>
          </w:tcPr>
          <w:p w14:paraId="6B522610">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0.8%</w:t>
            </w:r>
          </w:p>
        </w:tc>
        <w:tc>
          <w:tcPr>
            <w:tcW w:w="1546" w:type="dxa"/>
            <w:noWrap w:val="0"/>
            <w:vAlign w:val="top"/>
          </w:tcPr>
          <w:p w14:paraId="598C3473">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0.7% </w:t>
            </w:r>
          </w:p>
        </w:tc>
      </w:tr>
      <w:tr w14:paraId="11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A1029CC">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500～1000万元</w:t>
            </w:r>
          </w:p>
        </w:tc>
        <w:tc>
          <w:tcPr>
            <w:tcW w:w="1659" w:type="dxa"/>
            <w:noWrap w:val="0"/>
            <w:vAlign w:val="top"/>
          </w:tcPr>
          <w:p w14:paraId="391E006E">
            <w:pPr>
              <w:spacing w:line="360" w:lineRule="auto"/>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  0.8%                </w:t>
            </w:r>
          </w:p>
        </w:tc>
        <w:tc>
          <w:tcPr>
            <w:tcW w:w="1532" w:type="dxa"/>
            <w:noWrap w:val="0"/>
            <w:vAlign w:val="top"/>
          </w:tcPr>
          <w:p w14:paraId="14EF51E9">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0.45%</w:t>
            </w:r>
          </w:p>
        </w:tc>
        <w:tc>
          <w:tcPr>
            <w:tcW w:w="1546" w:type="dxa"/>
            <w:noWrap w:val="0"/>
            <w:vAlign w:val="top"/>
          </w:tcPr>
          <w:p w14:paraId="13FE204C">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0.55%</w:t>
            </w:r>
          </w:p>
        </w:tc>
      </w:tr>
      <w:tr w14:paraId="2B25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D0E0DC2">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1000～5000万元</w:t>
            </w:r>
          </w:p>
        </w:tc>
        <w:tc>
          <w:tcPr>
            <w:tcW w:w="1659" w:type="dxa"/>
            <w:noWrap w:val="0"/>
            <w:vAlign w:val="top"/>
          </w:tcPr>
          <w:p w14:paraId="56A64AF9">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0.5%                </w:t>
            </w:r>
          </w:p>
        </w:tc>
        <w:tc>
          <w:tcPr>
            <w:tcW w:w="1532" w:type="dxa"/>
            <w:noWrap w:val="0"/>
            <w:vAlign w:val="top"/>
          </w:tcPr>
          <w:p w14:paraId="1E9CD985">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0.25%</w:t>
            </w:r>
          </w:p>
        </w:tc>
        <w:tc>
          <w:tcPr>
            <w:tcW w:w="1546" w:type="dxa"/>
            <w:noWrap w:val="0"/>
            <w:vAlign w:val="top"/>
          </w:tcPr>
          <w:p w14:paraId="28D8D306">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0.35% </w:t>
            </w:r>
          </w:p>
        </w:tc>
      </w:tr>
      <w:tr w14:paraId="66BB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9DAD343">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5000万元～1亿元</w:t>
            </w:r>
          </w:p>
        </w:tc>
        <w:tc>
          <w:tcPr>
            <w:tcW w:w="1659" w:type="dxa"/>
            <w:noWrap w:val="0"/>
            <w:vAlign w:val="top"/>
          </w:tcPr>
          <w:p w14:paraId="189F84DC">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 xml:space="preserve">0.25%                 </w:t>
            </w:r>
          </w:p>
        </w:tc>
        <w:tc>
          <w:tcPr>
            <w:tcW w:w="1532" w:type="dxa"/>
            <w:noWrap w:val="0"/>
            <w:vAlign w:val="top"/>
          </w:tcPr>
          <w:p w14:paraId="4AC70A8B">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0.1%</w:t>
            </w:r>
          </w:p>
        </w:tc>
        <w:tc>
          <w:tcPr>
            <w:tcW w:w="1546" w:type="dxa"/>
            <w:noWrap w:val="0"/>
            <w:vAlign w:val="top"/>
          </w:tcPr>
          <w:p w14:paraId="38537093">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0.2%</w:t>
            </w:r>
          </w:p>
        </w:tc>
      </w:tr>
      <w:tr w14:paraId="6E94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11D5A4">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1～5亿元</w:t>
            </w:r>
          </w:p>
        </w:tc>
        <w:tc>
          <w:tcPr>
            <w:tcW w:w="1659" w:type="dxa"/>
            <w:noWrap w:val="0"/>
            <w:vAlign w:val="top"/>
          </w:tcPr>
          <w:p w14:paraId="737E8107">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0.05%</w:t>
            </w:r>
          </w:p>
        </w:tc>
        <w:tc>
          <w:tcPr>
            <w:tcW w:w="1532" w:type="dxa"/>
            <w:noWrap w:val="0"/>
            <w:vAlign w:val="top"/>
          </w:tcPr>
          <w:p w14:paraId="5861E2BE">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0.05%</w:t>
            </w:r>
          </w:p>
        </w:tc>
        <w:tc>
          <w:tcPr>
            <w:tcW w:w="1546" w:type="dxa"/>
            <w:noWrap w:val="0"/>
            <w:vAlign w:val="top"/>
          </w:tcPr>
          <w:p w14:paraId="26BFE3EB">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0.05%</w:t>
            </w:r>
          </w:p>
        </w:tc>
      </w:tr>
      <w:tr w14:paraId="515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E4811A6">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5～10亿元</w:t>
            </w:r>
          </w:p>
        </w:tc>
        <w:tc>
          <w:tcPr>
            <w:tcW w:w="1659" w:type="dxa"/>
            <w:noWrap w:val="0"/>
            <w:vAlign w:val="top"/>
          </w:tcPr>
          <w:p w14:paraId="4EB243AE">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0.035%</w:t>
            </w:r>
          </w:p>
        </w:tc>
        <w:tc>
          <w:tcPr>
            <w:tcW w:w="1532" w:type="dxa"/>
            <w:noWrap w:val="0"/>
            <w:vAlign w:val="top"/>
          </w:tcPr>
          <w:p w14:paraId="3E5C0268">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0.035%</w:t>
            </w:r>
          </w:p>
        </w:tc>
        <w:tc>
          <w:tcPr>
            <w:tcW w:w="1546" w:type="dxa"/>
            <w:noWrap w:val="0"/>
            <w:vAlign w:val="top"/>
          </w:tcPr>
          <w:p w14:paraId="1B7E2DA4">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0.035%</w:t>
            </w:r>
          </w:p>
        </w:tc>
      </w:tr>
      <w:tr w14:paraId="36AA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6DD9F20">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10～50亿元</w:t>
            </w:r>
          </w:p>
        </w:tc>
        <w:tc>
          <w:tcPr>
            <w:tcW w:w="1659" w:type="dxa"/>
            <w:noWrap w:val="0"/>
            <w:vAlign w:val="top"/>
          </w:tcPr>
          <w:p w14:paraId="6AD9E382">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0.008%</w:t>
            </w:r>
          </w:p>
        </w:tc>
        <w:tc>
          <w:tcPr>
            <w:tcW w:w="1532" w:type="dxa"/>
            <w:noWrap w:val="0"/>
            <w:vAlign w:val="top"/>
          </w:tcPr>
          <w:p w14:paraId="6FD286B3">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0.008%</w:t>
            </w:r>
          </w:p>
        </w:tc>
        <w:tc>
          <w:tcPr>
            <w:tcW w:w="1546" w:type="dxa"/>
            <w:noWrap w:val="0"/>
            <w:vAlign w:val="top"/>
          </w:tcPr>
          <w:p w14:paraId="693176A9">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0.008%</w:t>
            </w:r>
          </w:p>
        </w:tc>
      </w:tr>
      <w:tr w14:paraId="4771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34A2403">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50～100亿元</w:t>
            </w:r>
          </w:p>
        </w:tc>
        <w:tc>
          <w:tcPr>
            <w:tcW w:w="1659" w:type="dxa"/>
            <w:noWrap w:val="0"/>
            <w:vAlign w:val="top"/>
          </w:tcPr>
          <w:p w14:paraId="2178D55C">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0.006%</w:t>
            </w:r>
          </w:p>
        </w:tc>
        <w:tc>
          <w:tcPr>
            <w:tcW w:w="1532" w:type="dxa"/>
            <w:noWrap w:val="0"/>
            <w:vAlign w:val="top"/>
          </w:tcPr>
          <w:p w14:paraId="76A0F970">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0.006%</w:t>
            </w:r>
          </w:p>
        </w:tc>
        <w:tc>
          <w:tcPr>
            <w:tcW w:w="1546" w:type="dxa"/>
            <w:noWrap w:val="0"/>
            <w:vAlign w:val="top"/>
          </w:tcPr>
          <w:p w14:paraId="08C17E96">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0.006%</w:t>
            </w:r>
          </w:p>
        </w:tc>
      </w:tr>
      <w:tr w14:paraId="0508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2B58CBF">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100亿以上</w:t>
            </w:r>
          </w:p>
        </w:tc>
        <w:tc>
          <w:tcPr>
            <w:tcW w:w="1659" w:type="dxa"/>
            <w:noWrap w:val="0"/>
            <w:vAlign w:val="top"/>
          </w:tcPr>
          <w:p w14:paraId="0744A74A">
            <w:pPr>
              <w:spacing w:line="360" w:lineRule="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 0.004%</w:t>
            </w:r>
          </w:p>
        </w:tc>
        <w:tc>
          <w:tcPr>
            <w:tcW w:w="1532" w:type="dxa"/>
            <w:noWrap w:val="0"/>
            <w:vAlign w:val="top"/>
          </w:tcPr>
          <w:p w14:paraId="23BC2923">
            <w:pPr>
              <w:spacing w:line="360" w:lineRule="auto"/>
              <w:ind w:firstLine="210" w:firstLineChars="1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0.004%</w:t>
            </w:r>
          </w:p>
        </w:tc>
        <w:tc>
          <w:tcPr>
            <w:tcW w:w="1546" w:type="dxa"/>
            <w:noWrap w:val="0"/>
            <w:vAlign w:val="top"/>
          </w:tcPr>
          <w:p w14:paraId="2FFCACAB">
            <w:pPr>
              <w:spacing w:line="360" w:lineRule="auto"/>
              <w:ind w:firstLine="105" w:firstLineChars="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0.004%</w:t>
            </w:r>
          </w:p>
        </w:tc>
      </w:tr>
    </w:tbl>
    <w:p w14:paraId="42BCEA3C">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注：</w:t>
      </w:r>
    </w:p>
    <w:p w14:paraId="17E6B6D7">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（1）按本表费率计算的收费为采购代理的收费基准价格；</w:t>
      </w:r>
    </w:p>
    <w:p w14:paraId="6FC79534">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（2）采购代理收费按差额定率累进法计算。</w:t>
      </w:r>
    </w:p>
    <w:p w14:paraId="31FA0DBF">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例如：某服务采购代理业务成交金额或者暂定价为150万元，计算采购代理收费额如下：</w:t>
      </w:r>
    </w:p>
    <w:p w14:paraId="4AF30C95">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100 万元 ×l.5 %＝ 1.5 万元</w:t>
      </w:r>
    </w:p>
    <w:p w14:paraId="29FB718B">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 150 － 100 ）万元 ×0.8%＝ 0.4万元</w:t>
      </w:r>
    </w:p>
    <w:p w14:paraId="7A7B6B95">
      <w:pPr>
        <w:spacing w:line="360" w:lineRule="auto"/>
        <w:ind w:firstLine="420" w:firstLineChars="200"/>
        <w:rPr>
          <w:rFonts w:hint="eastAsia" w:ascii="宋体" w:eastAsia="宋体" w:cs="宋体"/>
          <w:color w:val="auto"/>
          <w:highlight w:val="none"/>
          <w:lang w:bidi="ar-SA"/>
        </w:rPr>
      </w:pPr>
      <w:r>
        <w:rPr>
          <w:rFonts w:hint="eastAsia" w:ascii="宋体" w:eastAsia="宋体" w:cs="宋体"/>
          <w:color w:val="auto"/>
          <w:highlight w:val="none"/>
          <w:lang w:bidi="ar-SA"/>
        </w:rPr>
        <w:t>合计收费＝ 1.5 ＋ 0.4＝ 1.9 万元</w:t>
      </w:r>
    </w:p>
    <w:p w14:paraId="749C7D37">
      <w:pPr>
        <w:spacing w:line="360" w:lineRule="auto"/>
        <w:ind w:firstLine="420" w:firstLineChars="200"/>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32.3 代理服务费交纳银行帐号信息详见“供应商须知前附表”。</w:t>
      </w:r>
    </w:p>
    <w:p w14:paraId="19854308">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33.需要补充的其他内容</w:t>
      </w:r>
    </w:p>
    <w:p w14:paraId="063FC2FF">
      <w:pPr>
        <w:pStyle w:val="19"/>
        <w:spacing w:line="360" w:lineRule="auto"/>
        <w:ind w:firstLine="420" w:firstLineChars="200"/>
        <w:textAlignment w:val="center"/>
        <w:rPr>
          <w:rFonts w:hint="eastAsia" w:ascii="宋体" w:eastAsia="宋体" w:cs="宋体"/>
          <w:color w:val="auto"/>
          <w:kern w:val="2"/>
          <w:sz w:val="21"/>
          <w:highlight w:val="none"/>
          <w:lang w:bidi="ar-SA"/>
        </w:rPr>
      </w:pPr>
      <w:r>
        <w:rPr>
          <w:rFonts w:hint="eastAsia" w:ascii="宋体" w:eastAsia="宋体" w:cs="宋体"/>
          <w:color w:val="auto"/>
          <w:kern w:val="2"/>
          <w:sz w:val="21"/>
          <w:highlight w:val="none"/>
          <w:lang w:bidi="ar-SA"/>
        </w:rPr>
        <w:t>33.1本磋商文件解释规则详见“供应商须知前附表”。</w:t>
      </w:r>
    </w:p>
    <w:p w14:paraId="4B3D150D">
      <w:pPr>
        <w:pStyle w:val="19"/>
        <w:spacing w:line="360" w:lineRule="auto"/>
        <w:ind w:firstLine="420" w:firstLineChars="200"/>
        <w:textAlignment w:val="center"/>
        <w:rPr>
          <w:rFonts w:hint="eastAsia" w:ascii="宋体" w:eastAsia="宋体" w:cs="宋体"/>
          <w:color w:val="auto"/>
          <w:kern w:val="2"/>
          <w:sz w:val="21"/>
          <w:highlight w:val="none"/>
          <w:lang w:bidi="ar-SA"/>
        </w:rPr>
      </w:pPr>
      <w:r>
        <w:rPr>
          <w:rFonts w:hint="eastAsia" w:ascii="宋体" w:eastAsia="宋体" w:cs="宋体"/>
          <w:color w:val="auto"/>
          <w:kern w:val="2"/>
          <w:sz w:val="21"/>
          <w:highlight w:val="none"/>
          <w:lang w:bidi="ar-SA"/>
        </w:rPr>
        <w:t>33.2 其他事项详见“供应商须知前附表”。</w:t>
      </w:r>
    </w:p>
    <w:p w14:paraId="0EADAD6D">
      <w:pPr>
        <w:pStyle w:val="19"/>
        <w:spacing w:line="360" w:lineRule="auto"/>
        <w:ind w:firstLine="420" w:firstLineChars="200"/>
        <w:textAlignment w:val="center"/>
        <w:rPr>
          <w:rFonts w:hint="eastAsia" w:ascii="宋体" w:eastAsia="宋体" w:cs="宋体"/>
          <w:color w:val="auto"/>
          <w:kern w:val="2"/>
          <w:sz w:val="21"/>
          <w:highlight w:val="none"/>
          <w:lang w:bidi="ar-SA"/>
        </w:rPr>
      </w:pPr>
      <w:r>
        <w:rPr>
          <w:rFonts w:hint="eastAsia" w:ascii="宋体" w:eastAsia="宋体" w:cs="宋体"/>
          <w:color w:val="auto"/>
          <w:kern w:val="2"/>
          <w:sz w:val="21"/>
          <w:highlight w:val="none"/>
          <w:lang w:bidi="ar-SA"/>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F262E6E">
      <w:pPr>
        <w:pStyle w:val="19"/>
        <w:spacing w:line="360" w:lineRule="auto"/>
        <w:ind w:firstLine="420" w:firstLineChars="200"/>
        <w:contextualSpacing/>
        <w:rPr>
          <w:rFonts w:hint="eastAsia" w:ascii="宋体" w:eastAsia="宋体" w:cs="宋体"/>
          <w:color w:val="auto"/>
          <w:sz w:val="21"/>
          <w:highlight w:val="none"/>
          <w:lang w:bidi="ar-SA"/>
        </w:rPr>
      </w:pPr>
      <w:r>
        <w:rPr>
          <w:rFonts w:hint="eastAsia" w:ascii="宋体" w:eastAsia="宋体" w:cs="宋体"/>
          <w:color w:val="auto"/>
          <w:sz w:val="21"/>
          <w:highlight w:val="none"/>
          <w:lang w:bidi="ar-SA"/>
        </w:rPr>
        <w:t>（1）在货物采购项目中，货物由中小企业制造，即货物由中小企业生产且使用该中小企业商号或者注册商标，不对其中涉及的工程承建商和服务的承接商作出要求；</w:t>
      </w:r>
    </w:p>
    <w:p w14:paraId="2D3F0DEB">
      <w:pPr>
        <w:pStyle w:val="19"/>
        <w:spacing w:line="360" w:lineRule="auto"/>
        <w:ind w:firstLine="420" w:firstLineChars="200"/>
        <w:contextualSpacing/>
        <w:rPr>
          <w:rFonts w:hint="eastAsia" w:ascii="宋体" w:eastAsia="宋体" w:cs="宋体"/>
          <w:color w:val="auto"/>
          <w:sz w:val="21"/>
          <w:highlight w:val="none"/>
          <w:lang w:bidi="ar-SA"/>
        </w:rPr>
      </w:pPr>
      <w:r>
        <w:rPr>
          <w:rFonts w:hint="eastAsia" w:ascii="宋体" w:eastAsia="宋体" w:cs="宋体"/>
          <w:color w:val="auto"/>
          <w:sz w:val="21"/>
          <w:highlight w:val="none"/>
          <w:lang w:bidi="ar-SA"/>
        </w:rPr>
        <w:t>（2）在工程采购项目中，工程由中小企业承建，即工程施工单位为中小企业，不对其中涉及的货物的制造商和服务的承接商作出要求；</w:t>
      </w:r>
    </w:p>
    <w:p w14:paraId="79F4AB78">
      <w:pPr>
        <w:pStyle w:val="19"/>
        <w:spacing w:line="360" w:lineRule="auto"/>
        <w:ind w:firstLine="420" w:firstLineChars="200"/>
        <w:contextualSpacing/>
        <w:rPr>
          <w:rFonts w:hint="eastAsia" w:ascii="宋体" w:eastAsia="宋体" w:cs="宋体"/>
          <w:color w:val="auto"/>
          <w:sz w:val="21"/>
          <w:highlight w:val="none"/>
          <w:lang w:bidi="ar-SA"/>
        </w:rPr>
      </w:pPr>
      <w:r>
        <w:rPr>
          <w:rFonts w:hint="eastAsia" w:ascii="宋体" w:eastAsia="宋体" w:cs="宋体"/>
          <w:color w:val="auto"/>
          <w:sz w:val="21"/>
          <w:highlight w:val="none"/>
          <w:lang w:bidi="ar-SA"/>
        </w:rPr>
        <w:t>（3）在服务采购项目中，服务由中小企业承接，即提供服务的人员为中小企业依照《中华人民共和国劳动合同法》订立劳动合同的从业人员，不对其中涉及的货物的制造商和工程承建商作出要求。</w:t>
      </w:r>
    </w:p>
    <w:p w14:paraId="2A9D3D5F">
      <w:pPr>
        <w:pStyle w:val="19"/>
        <w:spacing w:line="360" w:lineRule="auto"/>
        <w:ind w:firstLine="420" w:firstLineChars="200"/>
        <w:textAlignment w:val="center"/>
        <w:rPr>
          <w:rFonts w:hint="eastAsia" w:ascii="宋体" w:eastAsia="宋体" w:cs="宋体"/>
          <w:color w:val="auto"/>
          <w:kern w:val="2"/>
          <w:sz w:val="21"/>
          <w:highlight w:val="none"/>
          <w:lang w:bidi="ar-SA"/>
        </w:rPr>
      </w:pPr>
      <w:r>
        <w:rPr>
          <w:rFonts w:hint="eastAsia" w:ascii="宋体" w:eastAsia="宋体" w:cs="宋体"/>
          <w:color w:val="auto"/>
          <w:kern w:val="2"/>
          <w:sz w:val="21"/>
          <w:highlight w:val="none"/>
          <w:lang w:bidi="ar-SA"/>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81F6FB5">
      <w:pPr>
        <w:pStyle w:val="19"/>
        <w:spacing w:line="360" w:lineRule="auto"/>
        <w:ind w:firstLine="420" w:firstLineChars="200"/>
        <w:textAlignment w:val="center"/>
        <w:rPr>
          <w:rFonts w:hint="eastAsia" w:ascii="宋体" w:eastAsia="宋体" w:cs="宋体"/>
          <w:color w:val="auto"/>
          <w:kern w:val="2"/>
          <w:sz w:val="21"/>
          <w:highlight w:val="none"/>
          <w:lang w:bidi="ar-SA"/>
        </w:rPr>
      </w:pPr>
      <w:r>
        <w:rPr>
          <w:rFonts w:hint="eastAsia" w:ascii="宋体" w:eastAsia="宋体" w:cs="宋体"/>
          <w:color w:val="auto"/>
          <w:kern w:val="2"/>
          <w:sz w:val="21"/>
          <w:highlight w:val="none"/>
          <w:lang w:bidi="ar-SA"/>
        </w:rPr>
        <w:t>依据本磋商文件规定享受扶持政策获得政府采购合同的，小微企业不得将合同分包给大中型企业，中型企业不得将合同分包给大型企业。</w:t>
      </w:r>
    </w:p>
    <w:p w14:paraId="45954EC7">
      <w:pPr>
        <w:pStyle w:val="19"/>
        <w:snapToGrid w:val="0"/>
        <w:spacing w:before="120" w:after="120"/>
        <w:rPr>
          <w:rFonts w:hint="eastAsia" w:ascii="宋体" w:eastAsia="宋体" w:cs="宋体"/>
          <w:color w:val="auto"/>
          <w:highlight w:val="none"/>
          <w:lang w:bidi="ar-SA"/>
        </w:rPr>
      </w:pPr>
    </w:p>
    <w:p w14:paraId="56D85D85">
      <w:pPr>
        <w:jc w:val="left"/>
        <w:rPr>
          <w:rFonts w:hint="eastAsia" w:ascii="宋体" w:eastAsia="宋体" w:cs="宋体"/>
          <w:b/>
          <w:color w:val="auto"/>
          <w:sz w:val="32"/>
          <w:szCs w:val="32"/>
          <w:highlight w:val="none"/>
          <w:lang w:bidi="ar-SA"/>
        </w:rPr>
      </w:pPr>
    </w:p>
    <w:p w14:paraId="5206AD12">
      <w:pPr>
        <w:pStyle w:val="4"/>
        <w:spacing w:line="360" w:lineRule="auto"/>
        <w:jc w:val="center"/>
        <w:rPr>
          <w:rFonts w:hint="eastAsia" w:ascii="宋体" w:eastAsia="宋体" w:cs="宋体"/>
          <w:b w:val="0"/>
          <w:color w:val="auto"/>
          <w:sz w:val="32"/>
          <w:szCs w:val="32"/>
          <w:highlight w:val="none"/>
          <w:lang w:bidi="ar-SA"/>
        </w:rPr>
      </w:pPr>
      <w:r>
        <w:rPr>
          <w:rFonts w:hint="eastAsia" w:ascii="宋体" w:eastAsia="宋体" w:cs="宋体"/>
          <w:color w:val="auto"/>
          <w:highlight w:val="none"/>
          <w:lang w:bidi="ar-SA"/>
        </w:rPr>
        <w:br w:type="page"/>
      </w:r>
      <w:bookmarkStart w:id="30" w:name="_Toc21585"/>
      <w:r>
        <w:rPr>
          <w:rFonts w:hint="eastAsia" w:ascii="宋体" w:eastAsia="宋体" w:cs="宋体"/>
          <w:color w:val="auto"/>
          <w:highlight w:val="none"/>
          <w:lang w:bidi="ar-SA"/>
        </w:rPr>
        <w:t>第三章 采购需求</w:t>
      </w:r>
      <w:bookmarkEnd w:id="30"/>
    </w:p>
    <w:p w14:paraId="1A85D5AD">
      <w:pPr>
        <w:spacing w:line="360" w:lineRule="auto"/>
        <w:jc w:val="left"/>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说明：</w:t>
      </w:r>
    </w:p>
    <w:p w14:paraId="066699FA">
      <w:pPr>
        <w:spacing w:line="360" w:lineRule="exact"/>
        <w:ind w:left="-10" w:leftChars="-5" w:right="2" w:rightChars="1" w:firstLine="422" w:firstLineChars="200"/>
        <w:rPr>
          <w:rFonts w:hint="eastAsia" w:ascii="宋体" w:eastAsia="宋体" w:cs="宋体"/>
          <w:b/>
          <w:bCs/>
          <w:color w:val="auto"/>
          <w:highlight w:val="none"/>
          <w:lang w:bidi="ar-SA"/>
        </w:rPr>
      </w:pPr>
      <w:r>
        <w:rPr>
          <w:rFonts w:hint="eastAsia" w:ascii="宋体" w:eastAsia="宋体" w:cs="宋体"/>
          <w:b/>
          <w:bCs/>
          <w:color w:val="auto"/>
          <w:highlight w:val="none"/>
          <w:lang w:bidi="ar-SA"/>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41FA24EA">
      <w:pPr>
        <w:spacing w:line="360" w:lineRule="exact"/>
        <w:ind w:left="-10" w:leftChars="-5" w:right="2" w:rightChars="1" w:firstLine="422" w:firstLineChars="200"/>
        <w:rPr>
          <w:rFonts w:hint="eastAsia" w:ascii="宋体" w:eastAsia="宋体" w:cs="宋体"/>
          <w:b/>
          <w:bCs/>
          <w:color w:val="auto"/>
          <w:highlight w:val="none"/>
          <w:lang w:bidi="ar-SA"/>
        </w:rPr>
      </w:pPr>
      <w:r>
        <w:rPr>
          <w:rFonts w:hint="eastAsia" w:ascii="宋体" w:eastAsia="宋体" w:cs="宋体"/>
          <w:b/>
          <w:bCs/>
          <w:color w:val="auto"/>
          <w:highlight w:val="none"/>
          <w:lang w:bidi="ar-SA"/>
        </w:rPr>
        <w:t>2、如供应商竞标产品存在侵犯他人的知识产权或者专利成果行为的，由供应商自行承担相应法律责任。</w:t>
      </w:r>
    </w:p>
    <w:p w14:paraId="08E073D2">
      <w:pPr>
        <w:spacing w:line="360" w:lineRule="exact"/>
        <w:ind w:left="-10" w:leftChars="-5" w:right="2" w:rightChars="1" w:firstLine="422" w:firstLineChars="200"/>
        <w:rPr>
          <w:rFonts w:hint="eastAsia" w:ascii="宋体" w:eastAsia="宋体" w:cs="宋体"/>
          <w:b/>
          <w:bCs/>
          <w:color w:val="auto"/>
          <w:highlight w:val="none"/>
          <w:lang w:bidi="ar-SA"/>
        </w:rPr>
      </w:pPr>
      <w:r>
        <w:rPr>
          <w:rFonts w:hint="eastAsia" w:ascii="宋体" w:eastAsia="宋体" w:cs="宋体"/>
          <w:b/>
          <w:bCs/>
          <w:color w:val="auto"/>
          <w:highlight w:val="none"/>
          <w:lang w:bidi="ar-SA"/>
        </w:rPr>
        <w:t>3、“实质性要求”是指竞争性磋商文件中已经指明不满足则响应无效的条款，或者不能负偏离的条款，或者采购需求中带“</w:t>
      </w:r>
      <w:r>
        <w:rPr>
          <w:rFonts w:hint="eastAsia" w:ascii="宋体" w:cs="宋体"/>
          <w:b/>
          <w:bCs/>
          <w:color w:val="auto"/>
          <w:highlight w:val="none"/>
          <w:lang w:eastAsia="zh-CN" w:bidi="ar-SA"/>
        </w:rPr>
        <w:t>▲</w:t>
      </w:r>
      <w:r>
        <w:rPr>
          <w:rFonts w:hint="eastAsia" w:ascii="宋体" w:eastAsia="宋体" w:cs="宋体"/>
          <w:b/>
          <w:bCs/>
          <w:color w:val="auto"/>
          <w:highlight w:val="none"/>
          <w:lang w:bidi="ar-SA"/>
        </w:rPr>
        <w:t>”的条款。</w:t>
      </w:r>
    </w:p>
    <w:p w14:paraId="57B17B82">
      <w:pPr>
        <w:spacing w:line="360" w:lineRule="exact"/>
        <w:ind w:left="-10" w:leftChars="-5" w:right="2" w:rightChars="1" w:firstLine="422" w:firstLineChars="200"/>
        <w:rPr>
          <w:rFonts w:hint="eastAsia" w:ascii="宋体" w:eastAsia="宋体" w:cs="宋体"/>
          <w:b/>
          <w:bCs/>
          <w:color w:val="auto"/>
          <w:highlight w:val="none"/>
          <w:lang w:bidi="ar-SA"/>
        </w:rPr>
      </w:pPr>
      <w:r>
        <w:rPr>
          <w:rFonts w:hint="eastAsia" w:ascii="宋体" w:cs="宋体"/>
          <w:b/>
          <w:bCs/>
          <w:color w:val="auto"/>
          <w:highlight w:val="none"/>
          <w:lang w:val="en-US" w:eastAsia="zh-CN" w:bidi="ar-SA"/>
        </w:rPr>
        <w:t>4、</w:t>
      </w:r>
      <w:r>
        <w:rPr>
          <w:rFonts w:hint="eastAsia" w:ascii="宋体" w:hAnsi="宋体" w:eastAsia="宋体" w:cs="宋体"/>
          <w:b/>
          <w:bCs/>
          <w:color w:val="auto"/>
          <w:sz w:val="21"/>
          <w:szCs w:val="21"/>
          <w:highlight w:val="none"/>
          <w:lang w:eastAsia="zh-CN"/>
        </w:rPr>
        <w:t>注意：供应商填写中小企业声明函时，标的</w:t>
      </w:r>
      <w:r>
        <w:rPr>
          <w:rFonts w:hint="eastAsia" w:ascii="宋体" w:hAnsi="宋体" w:cs="宋体"/>
          <w:b/>
          <w:bCs/>
          <w:color w:val="auto"/>
          <w:sz w:val="21"/>
          <w:szCs w:val="21"/>
          <w:highlight w:val="none"/>
          <w:lang w:val="en-US" w:eastAsia="zh-CN"/>
        </w:rPr>
        <w:t>序号1-4项</w:t>
      </w:r>
      <w:r>
        <w:rPr>
          <w:rFonts w:hint="eastAsia" w:ascii="宋体" w:hAnsi="宋体" w:eastAsia="宋体" w:cs="宋体"/>
          <w:b/>
          <w:bCs/>
          <w:color w:val="auto"/>
          <w:sz w:val="21"/>
          <w:szCs w:val="21"/>
          <w:highlight w:val="none"/>
          <w:lang w:eastAsia="zh-CN"/>
        </w:rPr>
        <w:t>填写至中小企业声明函（服务）中，其余标的</w:t>
      </w:r>
      <w:r>
        <w:rPr>
          <w:rFonts w:hint="eastAsia" w:ascii="宋体" w:hAnsi="宋体" w:cs="宋体"/>
          <w:b/>
          <w:bCs/>
          <w:color w:val="auto"/>
          <w:sz w:val="21"/>
          <w:szCs w:val="21"/>
          <w:highlight w:val="none"/>
          <w:lang w:val="en-US" w:eastAsia="zh-CN"/>
        </w:rPr>
        <w:t>项</w:t>
      </w:r>
      <w:r>
        <w:rPr>
          <w:rFonts w:hint="eastAsia" w:ascii="宋体" w:hAnsi="宋体" w:eastAsia="宋体" w:cs="宋体"/>
          <w:b/>
          <w:bCs/>
          <w:color w:val="auto"/>
          <w:sz w:val="21"/>
          <w:szCs w:val="21"/>
          <w:highlight w:val="none"/>
          <w:lang w:eastAsia="zh-CN"/>
        </w:rPr>
        <w:t>填写至中小企业声明函（货物）中。</w:t>
      </w:r>
    </w:p>
    <w:tbl>
      <w:tblPr>
        <w:tblStyle w:val="31"/>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061"/>
        <w:gridCol w:w="689"/>
        <w:gridCol w:w="754"/>
        <w:gridCol w:w="6637"/>
      </w:tblGrid>
      <w:tr w14:paraId="2C7D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66" w:type="dxa"/>
            <w:gridSpan w:val="5"/>
            <w:tcBorders>
              <w:top w:val="single" w:color="auto" w:sz="4" w:space="0"/>
              <w:left w:val="single" w:color="auto" w:sz="4" w:space="0"/>
              <w:bottom w:val="single" w:color="auto" w:sz="4" w:space="0"/>
              <w:right w:val="single" w:color="auto" w:sz="4" w:space="0"/>
            </w:tcBorders>
            <w:noWrap w:val="0"/>
            <w:vAlign w:val="center"/>
          </w:tcPr>
          <w:p w14:paraId="25752348">
            <w:pPr>
              <w:spacing w:line="360" w:lineRule="auto"/>
              <w:ind w:firstLine="27" w:firstLineChars="13"/>
              <w:jc w:val="left"/>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bidi="ar-SA"/>
              </w:rPr>
              <w:t>一、</w:t>
            </w:r>
            <w:r>
              <w:rPr>
                <w:rFonts w:hint="eastAsia" w:ascii="宋体" w:hAnsi="宋体" w:eastAsia="宋体" w:cs="宋体"/>
                <w:b w:val="0"/>
                <w:bCs/>
                <w:color w:val="auto"/>
                <w:sz w:val="21"/>
                <w:szCs w:val="21"/>
                <w:highlight w:val="none"/>
                <w:lang w:val="en-US" w:eastAsia="zh-CN" w:bidi="ar-SA"/>
              </w:rPr>
              <w:t>采购需求一栏表</w:t>
            </w:r>
          </w:p>
        </w:tc>
      </w:tr>
      <w:tr w14:paraId="39E1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159B82F">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序号</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F09BBCA">
            <w:pPr>
              <w:spacing w:line="360" w:lineRule="auto"/>
              <w:ind w:firstLine="27" w:firstLineChars="13"/>
              <w:jc w:val="center"/>
              <w:rPr>
                <w:rFonts w:hint="eastAsia" w:ascii="宋体" w:hAnsi="宋体" w:eastAsia="宋体" w:cs="宋体"/>
                <w:b w:val="0"/>
                <w:bCs/>
                <w:color w:val="auto"/>
                <w:sz w:val="21"/>
                <w:szCs w:val="21"/>
                <w:highlight w:val="none"/>
                <w:lang w:bidi="ar-SA"/>
              </w:rPr>
            </w:pPr>
            <w:r>
              <w:rPr>
                <w:rFonts w:hint="eastAsia" w:ascii="宋体" w:hAnsi="宋体" w:eastAsia="宋体" w:cs="宋体"/>
                <w:b w:val="0"/>
                <w:bCs/>
                <w:color w:val="auto"/>
                <w:sz w:val="21"/>
                <w:szCs w:val="21"/>
                <w:highlight w:val="none"/>
                <w:lang w:val="en-US" w:eastAsia="zh-CN" w:bidi="ar-SA"/>
              </w:rPr>
              <w:t>标的的</w:t>
            </w:r>
            <w:r>
              <w:rPr>
                <w:rFonts w:hint="eastAsia" w:ascii="宋体" w:hAnsi="宋体" w:eastAsia="宋体" w:cs="宋体"/>
                <w:b w:val="0"/>
                <w:bCs/>
                <w:color w:val="auto"/>
                <w:sz w:val="21"/>
                <w:szCs w:val="21"/>
                <w:highlight w:val="none"/>
                <w:lang w:bidi="ar-SA"/>
              </w:rPr>
              <w:t>名称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26FDF55">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所属行业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1054B93E">
            <w:pPr>
              <w:spacing w:line="360" w:lineRule="auto"/>
              <w:ind w:firstLine="27" w:firstLineChars="13"/>
              <w:jc w:val="center"/>
              <w:rPr>
                <w:rFonts w:hint="eastAsia" w:ascii="宋体" w:hAnsi="宋体" w:eastAsia="宋体" w:cs="宋体"/>
                <w:b w:val="0"/>
                <w:bCs/>
                <w:color w:val="auto"/>
                <w:sz w:val="21"/>
                <w:szCs w:val="21"/>
                <w:highlight w:val="none"/>
                <w:lang w:bidi="ar-SA"/>
              </w:rPr>
            </w:pPr>
            <w:r>
              <w:rPr>
                <w:rFonts w:hint="eastAsia" w:ascii="宋体" w:hAnsi="宋体" w:eastAsia="宋体" w:cs="宋体"/>
                <w:b w:val="0"/>
                <w:bCs/>
                <w:color w:val="auto"/>
                <w:sz w:val="21"/>
                <w:szCs w:val="21"/>
                <w:highlight w:val="none"/>
                <w:lang w:bidi="ar-SA"/>
              </w:rPr>
              <w:t>数量</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05953BC5">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技术要求</w:t>
            </w:r>
          </w:p>
        </w:tc>
      </w:tr>
      <w:tr w14:paraId="2E57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66AE9DE">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4F201CAA">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中医治未病管理平台开发建设</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D049541">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7E9992FC">
            <w:pPr>
              <w:spacing w:line="360" w:lineRule="auto"/>
              <w:ind w:firstLine="27" w:firstLineChars="13"/>
              <w:jc w:val="center"/>
              <w:rPr>
                <w:rFonts w:hint="eastAsia" w:ascii="宋体" w:hAnsi="宋体" w:eastAsia="宋体" w:cs="宋体"/>
                <w:b w:val="0"/>
                <w:bCs/>
                <w:color w:val="auto"/>
                <w:sz w:val="21"/>
                <w:szCs w:val="21"/>
                <w:highlight w:val="none"/>
                <w:lang w:bidi="ar-SA"/>
              </w:rPr>
            </w:pPr>
            <w:r>
              <w:rPr>
                <w:rFonts w:hint="eastAsia" w:ascii="宋体" w:hAnsi="宋体" w:eastAsia="宋体" w:cs="宋体"/>
                <w:b w:val="0"/>
                <w:bCs/>
                <w:color w:val="auto"/>
                <w:sz w:val="21"/>
                <w:szCs w:val="21"/>
                <w:highlight w:val="none"/>
                <w:lang w:bidi="ar-SA"/>
              </w:rPr>
              <w:t>1项</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45159209">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rPr>
              <w:t>推荐管理系统</w:t>
            </w:r>
          </w:p>
          <w:p w14:paraId="1665A61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自我评估推荐针对尚未加入治未病管理服务的患者或亚健康人群，通过常用的健康宣教手段提供推荐服务，引导患者或亚健康人群加入治未病健康管理。</w:t>
            </w:r>
          </w:p>
          <w:p w14:paraId="3C18DC21">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院内系统推荐患者或亚健康人群通过医院内部系统（如门诊）的手动推荐、移动端（APP 和小程序）/院内终端通过普适性问卷调查填表后的自动推荐等方式进入推荐列表。</w:t>
            </w:r>
          </w:p>
          <w:p w14:paraId="65E8534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治未病纳入管理进入推荐列表后的患者或亚健康人士，医护人员对其详细了解之后，可根据情况纳入治未病管理。</w:t>
            </w:r>
          </w:p>
          <w:p w14:paraId="5D1948B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档案管理系统</w:t>
            </w:r>
          </w:p>
          <w:p w14:paraId="54ECA00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患者信息管理提供对治未病患者的档案管理。支持基于外部接口的快速导入建档功能。</w:t>
            </w:r>
          </w:p>
          <w:p w14:paraId="6AFB29C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标签化管理提供患者标签化管理。医生可以自定义标签类型，方便医生管理。</w:t>
            </w:r>
          </w:p>
          <w:p w14:paraId="276C483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指标趋势查看通过图标查看和了解患者的阶段性各类指标的变化趋势，以及疗效判定。支持检验检查指标、问卷调查指标、中医设备检测指标的趋势变化查看。</w:t>
            </w:r>
          </w:p>
          <w:p w14:paraId="1E19C22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服务记录管理为医护人员提供的随时记录患者随访信息工具，避免碎片化的临时随访的信息丢失。</w:t>
            </w:r>
          </w:p>
          <w:p w14:paraId="67B3679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风险评估系统</w:t>
            </w:r>
          </w:p>
          <w:p w14:paraId="5BEE0B4D">
            <w:pPr>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风险评估提供对治未病患者的健康风险评估。支持按中医体质测评、常规疾病测评、心理测评、精神压力测评、常见慢性疾病测评、特殊人群测评（如老年人测评）等分类进行测评并出具相应的风险评估报告</w:t>
            </w:r>
            <w:r>
              <w:rPr>
                <w:rFonts w:hint="eastAsia" w:ascii="宋体" w:hAnsi="宋体" w:eastAsia="宋体" w:cs="宋体"/>
                <w:b w:val="0"/>
                <w:bCs/>
                <w:color w:val="auto"/>
                <w:sz w:val="21"/>
                <w:szCs w:val="21"/>
                <w:highlight w:val="none"/>
                <w:lang w:eastAsia="zh-CN"/>
              </w:rPr>
              <w:t>。</w:t>
            </w:r>
          </w:p>
          <w:p w14:paraId="0F7021B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调养方案管理系统</w:t>
            </w:r>
          </w:p>
          <w:p w14:paraId="5FB28393">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养方案提供通过中医体质辨识及特征的判定标准进行体质辨识，并依据体质调理方案，提供如生活方式、饮食、情志、运动调养、自我保健功法、中医技术治疗等多维度宣教和干预（保健）方案，从而满足各类体质的健康调理需求</w:t>
            </w:r>
            <w:r>
              <w:rPr>
                <w:rFonts w:hint="eastAsia" w:ascii="宋体" w:hAnsi="宋体" w:eastAsia="宋体" w:cs="宋体"/>
                <w:b w:val="0"/>
                <w:bCs/>
                <w:color w:val="auto"/>
                <w:sz w:val="21"/>
                <w:szCs w:val="21"/>
                <w:highlight w:val="none"/>
                <w:lang w:eastAsia="zh-CN"/>
              </w:rPr>
              <w:t>。</w:t>
            </w:r>
          </w:p>
          <w:p w14:paraId="006A332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随访联动根据治未病调养方案，通过移动端与患者产生联动，以实现方案任务的统一化管理。</w:t>
            </w:r>
          </w:p>
          <w:p w14:paraId="2E047C3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rPr>
              <w:t>预约管理系统</w:t>
            </w:r>
          </w:p>
          <w:p w14:paraId="4D22EF60">
            <w:pP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设备测评与干预治疗预约管理提供对设备测评（辨识）、干预治疗类调养任务的预约和执行管理。实现科室设备测评、干预治疗执行类服务的信息化管理和工作量统计</w:t>
            </w:r>
            <w:r>
              <w:rPr>
                <w:rFonts w:hint="eastAsia" w:ascii="宋体" w:hAnsi="宋体" w:eastAsia="宋体" w:cs="宋体"/>
                <w:b w:val="0"/>
                <w:bCs/>
                <w:color w:val="auto"/>
                <w:sz w:val="21"/>
                <w:szCs w:val="21"/>
                <w:highlight w:val="none"/>
                <w:lang w:eastAsia="zh-CN"/>
              </w:rPr>
              <w:t>。</w:t>
            </w:r>
          </w:p>
          <w:p w14:paraId="435F857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就诊前后任务维护自定义就诊前后的信息反馈和宣教内容，以便将体质辨识测评(通过线上量表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、消息通知等放到诊前的预约环节，养生宣教、用药提醒等放到诊后的居家进行，以提高诊中服务效率，并可通过移动端自助反馈信息。</w:t>
            </w:r>
          </w:p>
          <w:p w14:paraId="6582294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医生门诊预登记提供医生门诊预登记服务，帮助医生对依从性好的患者提供一些多余号源的预登记，为医生更好地管理患者提供支撑。</w:t>
            </w:r>
          </w:p>
          <w:p w14:paraId="113D144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rPr>
              <w:t>治疗管理系统</w:t>
            </w:r>
          </w:p>
          <w:p w14:paraId="2815729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治疗管理提供基于门诊缴费信息完成治未病科治疗管理，实现治未病治疗的电子化管理。</w:t>
            </w:r>
          </w:p>
          <w:p w14:paraId="70E58E8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扫码执行确认支持医护人员通过扫描缴费单快速完成设备测评（辨识）和健康干预（治疗）类任务的执行确认。</w:t>
            </w:r>
          </w:p>
          <w:p w14:paraId="67EF688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治疗服务统计提供科室治疗服务管理工作绩效统计表。</w:t>
            </w:r>
          </w:p>
          <w:p w14:paraId="6E336C4F">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量表管理系统</w:t>
            </w:r>
          </w:p>
          <w:p w14:paraId="52B2633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动态量表管理提供基于动态设计的量表管理功能，支撑医生在临床研究时的数据采集需要，来满足治未病临床管理和中医特色服务内涵的多变性。</w:t>
            </w:r>
          </w:p>
          <w:p w14:paraId="1FC6F63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量表推送管理提供基于患者标签分类、指定患者、或全员推送特定量表，并支持按特定推送量表的数据导出或查看，实现特定需求的精准数据采集功能。</w:t>
            </w:r>
          </w:p>
          <w:p w14:paraId="4FDC6EC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量表数据管理提供数据填写管理、数据查看管理、数据导出管理等功能。</w:t>
            </w:r>
          </w:p>
          <w:p w14:paraId="7A185BF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rPr>
              <w:t>健康报告系统</w:t>
            </w:r>
          </w:p>
          <w:p w14:paraId="658E1A59">
            <w:pPr>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设备测评报告查看支持对接科室的检测设备和数据，实现设备检测报告的查看。</w:t>
            </w:r>
          </w:p>
          <w:p w14:paraId="484720B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综合评估报告支持医护人员定期对患者进行阶段性综合评估，生成包含中医测评、实验室检验检查、综合评估、指导建议等在内的综合评估报告，并支持推送到用户移动端。 </w:t>
            </w:r>
          </w:p>
          <w:p w14:paraId="33E2789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自我健康报告根据临床医生自定义的患者日常健康数据收集方案，生成自我健康报告。</w:t>
            </w:r>
          </w:p>
          <w:p w14:paraId="793488A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医生意见反馈基于非必选的日常数据反馈，医生可以帮患者主动生成日常自我健康报告并提出健康管理意见，推送给患者。</w:t>
            </w:r>
          </w:p>
          <w:p w14:paraId="0A25C04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rPr>
              <w:t>服务方案管理系统</w:t>
            </w:r>
          </w:p>
          <w:p w14:paraId="4004B318">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服务包配置提供包含问卷量表、功能测评、健康干预、健康宣教等服务项目自有组合的标准化服务包配置管理和对服务包进行标签管理。</w:t>
            </w:r>
          </w:p>
          <w:p w14:paraId="7322A230">
            <w:pPr>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治未病特色干预方案具有治未病特色干预方案（体质调理方案、疲劳人群的健康管理方案、睡眠不良人群的健康管理方案、腰腿不适人群的健康管理方案、血脂偏高状态人群的健康管理方案、易感冒人群的健康管理方案、老年人健康管理方案、0-6岁儿童健康管理方案、孕产妇健康管理方案）。</w:t>
            </w:r>
            <w:r>
              <w:rPr>
                <w:rFonts w:hint="eastAsia" w:ascii="宋体" w:hAnsi="宋体" w:eastAsia="宋体" w:cs="宋体"/>
                <w:b w:val="0"/>
                <w:bCs/>
                <w:color w:val="auto"/>
                <w:sz w:val="21"/>
                <w:szCs w:val="21"/>
                <w:highlight w:val="none"/>
                <w:lang w:eastAsia="zh-CN"/>
              </w:rPr>
              <w:t>（提供系统截图）</w:t>
            </w:r>
          </w:p>
          <w:p w14:paraId="6FAFA0E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慢病管理方案具有常见慢性疾病的管理方案。如糖尿病的健康管理方案、高血压的健康管理方案。</w:t>
            </w:r>
          </w:p>
          <w:p w14:paraId="119996D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（十）</w:t>
            </w:r>
            <w:r>
              <w:rPr>
                <w:rFonts w:hint="eastAsia" w:ascii="宋体" w:hAnsi="宋体" w:eastAsia="宋体" w:cs="宋体"/>
                <w:b w:val="0"/>
                <w:bCs/>
                <w:color w:val="auto"/>
                <w:sz w:val="21"/>
                <w:szCs w:val="21"/>
                <w:highlight w:val="none"/>
              </w:rPr>
              <w:t>健康宣教管理系统</w:t>
            </w:r>
          </w:p>
          <w:p w14:paraId="6C8800F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健康宣教提供支持上传图片、音频、视频等健康教育资源，支持宣教可以推送到移动端查看学习。</w:t>
            </w:r>
          </w:p>
          <w:p w14:paraId="1A5412A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宣教收费端口预留宣教资源的收费端口，方便系统后续扩展。</w:t>
            </w:r>
          </w:p>
          <w:p w14:paraId="61C692B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十一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报告模板管理系统</w:t>
            </w:r>
          </w:p>
          <w:p w14:paraId="6598868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问卷和设备报告模板管理提供支持问卷数据和仪器测评数据的功能测评报告模板的维护管理功能。</w:t>
            </w:r>
          </w:p>
          <w:p w14:paraId="1FE0C2C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调养建议配置可基于问卷结果或仪器测评结果来产生对应的饮食、运动等方面的调养建议。</w:t>
            </w:r>
          </w:p>
          <w:p w14:paraId="5D66C51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日常报告模板管理提供基于服务方案模式的日常报告模板管理。</w:t>
            </w:r>
          </w:p>
          <w:p w14:paraId="624C0CAF">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图表报告展示配置支持可基于患者日常反馈数据的进行图表报告展示配置。</w:t>
            </w:r>
          </w:p>
          <w:p w14:paraId="08B932C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十二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通用管理系统</w:t>
            </w:r>
          </w:p>
          <w:p w14:paraId="4ADDAA9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统计与评估管理提供常用的报表功能，支持根据不同的条件对患者信息归类查询和统计、对患者的就诊情况进行记录和统计，并支持统计数据导出。</w:t>
            </w:r>
          </w:p>
          <w:p w14:paraId="175BDF9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养生药膳推送管理提供基于二十四节气的养生药膳推送功能。</w:t>
            </w:r>
          </w:p>
          <w:p w14:paraId="63C705CF">
            <w:pP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用户权限管理提供通用的多角色用户权限管理，对包括患者、护士、医生、科主任、系统管理员等不同角色用户提供不同的功能。</w:t>
            </w:r>
          </w:p>
        </w:tc>
      </w:tr>
      <w:tr w14:paraId="05CE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792C187">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EDDD556">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中西医结合慢病管理平台开发建设</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4A91588">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0CEFA6A2">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1项</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5440C20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慢病临床管理系统</w:t>
            </w:r>
          </w:p>
          <w:p w14:paraId="75E2FF9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1)待筛选患者显示从门诊、住院、体检推送到慢门的患者清单。</w:t>
            </w:r>
          </w:p>
          <w:p w14:paraId="55F0F3E6">
            <w:pPr>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2)就诊患者护士工作台模式，查看当日就诊患者列表，以及最近就诊情况、预约情况，以及未按时就诊患者跟踪。</w:t>
            </w:r>
          </w:p>
          <w:p w14:paraId="2A4D16D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3)就诊清单医生工作台模式，查看当天就诊的患者及患者状态信息列表。</w:t>
            </w:r>
          </w:p>
          <w:p w14:paraId="28B5848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4)医护日程从医护视角，以日历方式查看患者任务排期、任务完成情况。</w:t>
            </w:r>
          </w:p>
          <w:p w14:paraId="4B7442B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患者信息管理系统</w:t>
            </w:r>
          </w:p>
          <w:p w14:paraId="04EDBF1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主索引维护患者管理过程中产生的信息，具体包括创建、修改、删除、数据列表浏览、导出、查看详细内容和查询。其中查询包括患者信息标识简单查询和高级复合查询。支持医护人员根据医院唯一编号为患者导入基本信息进行建档。支持患者建档时按照诊疗计划模板生成对应患者诊疗计划。</w:t>
            </w:r>
          </w:p>
          <w:p w14:paraId="6A196D7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患者诊疗计划以全病程的角度查看患者诊疗计划详细信息和执行情况。</w:t>
            </w:r>
          </w:p>
          <w:p w14:paraId="76C0035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预约管理系统</w:t>
            </w:r>
          </w:p>
          <w:p w14:paraId="2153716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患者预约以日历形式查看各医生排班情况、患者预约信息，支持医护人员为患者进行预约或取消预约，并能根据短信模板产生短信通知患者。</w:t>
            </w:r>
          </w:p>
          <w:p w14:paraId="60D8C4A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预约通知批量发送预约短信到患者，支持医护人员查看发送短信状态、患者反馈短信列表。</w:t>
            </w:r>
          </w:p>
          <w:p w14:paraId="290A12D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量表管理系统</w:t>
            </w:r>
          </w:p>
          <w:p w14:paraId="6350730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模版管理用于医护人员根据科室需求快速创建定制化的量表模板、问卷模板。支持模板使用一般组件、逻辑组件、第三方系统组件进行配置。支持组件个性化配置，使结构化数据能以现实观感呈现。支持组件规范化配置，做到符合规范数据才可录入系统。</w:t>
            </w:r>
          </w:p>
          <w:p w14:paraId="691D7603">
            <w:pPr>
              <w:rPr>
                <w:rFonts w:hint="eastAsia" w:ascii="宋体" w:hAnsi="宋体" w:eastAsia="宋体" w:cs="宋体"/>
                <w:b w:val="0"/>
                <w:bCs/>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量表数据管理用于医护人员使用量表模板、问卷模板登记疾病过程中产生的数据。支持医护人员对数据进行增删改等基本操作。支持医护人员使用多种格式导出数据。</w:t>
            </w:r>
          </w:p>
          <w:p w14:paraId="20C2311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诊疗计划管理系统</w:t>
            </w:r>
          </w:p>
          <w:p w14:paraId="4596917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日程管理对管理患者过程中产生的日程任务进行数据列表浏览、修改、删除等操作。支持医护人员批量处理日程任务。</w:t>
            </w:r>
          </w:p>
          <w:p w14:paraId="1DB2B14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诊疗计划模板管理使用“时点×任务”的管理理念制定和修改专科诊疗计划模板，包含对计划的时点和任务的制定</w:t>
            </w:r>
            <w:r>
              <w:rPr>
                <w:rFonts w:hint="eastAsia" w:ascii="宋体" w:hAnsi="宋体" w:eastAsia="宋体" w:cs="宋体"/>
                <w:b w:val="0"/>
                <w:bCs/>
                <w:color w:val="auto"/>
                <w:sz w:val="21"/>
                <w:szCs w:val="21"/>
                <w:highlight w:val="none"/>
                <w:lang w:eastAsia="zh-CN"/>
              </w:rPr>
              <w:t>，。</w:t>
            </w:r>
          </w:p>
          <w:p w14:paraId="199E271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诊疗计划数据管理对系统生成患者诊疗计划任务信息进行管理，具体包括创建、修改、删除、数据列表浏览、查看详细内容和查询，其中查询包括诊疗计划标识的简单查询和高级复合查询。</w:t>
            </w:r>
          </w:p>
          <w:p w14:paraId="05A2384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宣教管理系统</w:t>
            </w:r>
          </w:p>
          <w:p w14:paraId="035B414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宣教内容管理宣教资料管理，包含题目内容附件等。宣教内容支持文字、图片、视频、音频和pdf附件。</w:t>
            </w:r>
          </w:p>
          <w:p w14:paraId="00ACEC5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七</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人员权限管理系统</w:t>
            </w:r>
          </w:p>
          <w:p w14:paraId="3A8F3BF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用户管理可以对用户人员进行管理和维护。</w:t>
            </w:r>
          </w:p>
          <w:p w14:paraId="23676A9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角色管理可以对角色进行管理和维护。</w:t>
            </w:r>
          </w:p>
          <w:p w14:paraId="53B0E0B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安全审计管理对系统进行安全审计，使用日志对进入系统的用户操作进行记录。记录每个账号的系统操作日记，包括操作员、IP地址、时间、功能ID等。</w:t>
            </w:r>
          </w:p>
          <w:p w14:paraId="161CD07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科室病种队列管理对科室、病种、队列的信息及对应角色进行管理和维护。支持多层级的病种队列配置。</w:t>
            </w:r>
          </w:p>
          <w:p w14:paraId="675CE9D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职称管理对职称的信息进行管理和维护。</w:t>
            </w:r>
          </w:p>
          <w:p w14:paraId="758773F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职务管理对职务的信息及对应角色进行管理和维护。</w:t>
            </w:r>
          </w:p>
          <w:p w14:paraId="4FBE92D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患者来源管理对患者来源进行配置。支持自定义各种来源类型。</w:t>
            </w:r>
          </w:p>
          <w:p w14:paraId="636D6E6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专科诊断关系管理对疾病分类进行管理和维护，确保诊断数据符合医学标准。</w:t>
            </w:r>
          </w:p>
          <w:p w14:paraId="7729A6C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登录用户管理提供登录/注销/退出用户、用户面板/用户常用功能菜单/密码设置/微信绑定等功能。</w:t>
            </w:r>
          </w:p>
          <w:p w14:paraId="257B186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八</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管理看板系统</w:t>
            </w:r>
          </w:p>
          <w:p w14:paraId="3FFFFEBF">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科室管理看板以图表形式显示系统登陆后起始页的统计分析图表报告。</w:t>
            </w:r>
          </w:p>
          <w:p w14:paraId="39A1BCF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九</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慢病绩效管理月报</w:t>
            </w:r>
          </w:p>
          <w:p w14:paraId="7F81159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管理量汇总呈现各科有效管理的患者总数、各科有效管理超半年的患者总数、各科数据汇总。</w:t>
            </w:r>
          </w:p>
          <w:p w14:paraId="41ED6A3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建档管理超半年呈现科室病种队列下，建档超半年的患者管理情况。</w:t>
            </w:r>
          </w:p>
          <w:p w14:paraId="21E3C0E5">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当月连续管理呈现科室病种队列下，当月和历月的患者管理情况。</w:t>
            </w:r>
          </w:p>
          <w:p w14:paraId="3EED2E5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多年连续管理呈现科室病种队列下，已建档多年的患者管理数据统计结果。</w:t>
            </w:r>
          </w:p>
          <w:p w14:paraId="467A452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脱落原因分析呈现科室病种队列下，已脱落的患者情况分析。</w:t>
            </w:r>
          </w:p>
          <w:p w14:paraId="3BA91FB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脱落数据汇总呈现科室病种队列下，已脱落的患者数据汇总。</w:t>
            </w:r>
          </w:p>
        </w:tc>
      </w:tr>
      <w:tr w14:paraId="221A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93382E1">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793EBD65">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健康管理移动端开发建设</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24A4D5E">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65071480">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1项</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71DDA0E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患者移动端（APP、小程序、公众号）</w:t>
            </w:r>
          </w:p>
          <w:p w14:paraId="565B5EA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患者首页</w:t>
            </w:r>
          </w:p>
          <w:p w14:paraId="1E24F757">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资讯：显示系统推送给患者的慢病门诊相关科室及医院的资讯。</w:t>
            </w:r>
          </w:p>
          <w:p w14:paraId="7E286CF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我的消息：显示系统推送给患者的消息通知。</w:t>
            </w:r>
          </w:p>
          <w:p w14:paraId="53B97F3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③</w:t>
            </w:r>
            <w:r>
              <w:rPr>
                <w:rFonts w:hint="eastAsia" w:ascii="宋体" w:hAnsi="宋体" w:eastAsia="宋体" w:cs="宋体"/>
                <w:b w:val="0"/>
                <w:bCs/>
                <w:color w:val="auto"/>
                <w:sz w:val="21"/>
                <w:szCs w:val="21"/>
                <w:highlight w:val="none"/>
              </w:rPr>
              <w:t>健康宣教：显示系统推送给患者的宣教资料。</w:t>
            </w:r>
          </w:p>
          <w:p w14:paraId="2190D77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④</w:t>
            </w:r>
            <w:r>
              <w:rPr>
                <w:rFonts w:hint="eastAsia" w:ascii="宋体" w:hAnsi="宋体" w:eastAsia="宋体" w:cs="宋体"/>
                <w:b w:val="0"/>
                <w:bCs/>
                <w:color w:val="auto"/>
                <w:sz w:val="21"/>
                <w:szCs w:val="21"/>
                <w:highlight w:val="none"/>
              </w:rPr>
              <w:t>我的预约：显示患者预约的慢病门诊挂号信息。</w:t>
            </w:r>
          </w:p>
          <w:p w14:paraId="63EE05AD">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⑤</w:t>
            </w:r>
            <w:r>
              <w:rPr>
                <w:rFonts w:hint="eastAsia" w:ascii="宋体" w:hAnsi="宋体" w:eastAsia="宋体" w:cs="宋体"/>
                <w:b w:val="0"/>
                <w:bCs/>
                <w:color w:val="auto"/>
                <w:sz w:val="21"/>
                <w:szCs w:val="21"/>
                <w:highlight w:val="none"/>
              </w:rPr>
              <w:t>扫码报到：针对已预约的辨识与干预治疗项目，患者自行扫码报到。</w:t>
            </w:r>
          </w:p>
          <w:p w14:paraId="6D9DF8F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患者日程</w:t>
            </w:r>
          </w:p>
          <w:p w14:paraId="524DA72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月视图：以月历形式显示患者每天应完成的任务，可快速切换到年-月视图并支持农历显示。</w:t>
            </w:r>
          </w:p>
          <w:p w14:paraId="0C56341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预约情况：以月历形式显示患者的预约挂号情况。</w:t>
            </w:r>
          </w:p>
          <w:p w14:paraId="529DCDC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③</w:t>
            </w:r>
            <w:r>
              <w:rPr>
                <w:rFonts w:hint="eastAsia" w:ascii="宋体" w:hAnsi="宋体" w:eastAsia="宋体" w:cs="宋体"/>
                <w:b w:val="0"/>
                <w:bCs/>
                <w:color w:val="auto"/>
                <w:sz w:val="21"/>
                <w:szCs w:val="21"/>
                <w:highlight w:val="none"/>
              </w:rPr>
              <w:t>量表情况：以月历形式显示患者的量表问卷填写情况。</w:t>
            </w:r>
          </w:p>
          <w:p w14:paraId="686C9A2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④</w:t>
            </w:r>
            <w:r>
              <w:rPr>
                <w:rFonts w:hint="eastAsia" w:ascii="宋体" w:hAnsi="宋体" w:eastAsia="宋体" w:cs="宋体"/>
                <w:b w:val="0"/>
                <w:bCs/>
                <w:color w:val="auto"/>
                <w:sz w:val="21"/>
                <w:szCs w:val="21"/>
                <w:highlight w:val="none"/>
              </w:rPr>
              <w:t>宣教情况：以月历形式显示患者的宣教资料阅读情况。</w:t>
            </w:r>
          </w:p>
          <w:p w14:paraId="2C5A4A6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医患交流</w:t>
            </w:r>
          </w:p>
          <w:p w14:paraId="25FA205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对话列表：显示患者与医护的对话列表。</w:t>
            </w:r>
          </w:p>
          <w:p w14:paraId="2223AD4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对话窗口：显示患者与医护的对话详情，支持文字、图片、语音留言交流。</w:t>
            </w:r>
          </w:p>
          <w:p w14:paraId="2ECD100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个人中心</w:t>
            </w:r>
          </w:p>
          <w:p w14:paraId="42A0DE9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我的信息：查看修改患者的个人信息。</w:t>
            </w:r>
          </w:p>
          <w:p w14:paraId="4195AE4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我的量表：查看患者填写过的的所有量表问卷，可按问卷名称进行分类查看。</w:t>
            </w:r>
          </w:p>
          <w:p w14:paraId="5F7405B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③</w:t>
            </w:r>
            <w:r>
              <w:rPr>
                <w:rFonts w:hint="eastAsia" w:ascii="宋体" w:hAnsi="宋体" w:eastAsia="宋体" w:cs="宋体"/>
                <w:b w:val="0"/>
                <w:bCs/>
                <w:color w:val="auto"/>
                <w:sz w:val="21"/>
                <w:szCs w:val="21"/>
                <w:highlight w:val="none"/>
              </w:rPr>
              <w:t>我的预约：查看患者的预约情况。</w:t>
            </w:r>
          </w:p>
          <w:p w14:paraId="442AD25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④</w:t>
            </w:r>
            <w:r>
              <w:rPr>
                <w:rFonts w:hint="eastAsia" w:ascii="宋体" w:hAnsi="宋体" w:eastAsia="宋体" w:cs="宋体"/>
                <w:b w:val="0"/>
                <w:bCs/>
                <w:color w:val="auto"/>
                <w:sz w:val="21"/>
                <w:szCs w:val="21"/>
                <w:highlight w:val="none"/>
              </w:rPr>
              <w:t>我的宣教：按时间倒序列出患者的所有宣教课程，方便再次学习查看。</w:t>
            </w:r>
          </w:p>
          <w:p w14:paraId="42CE79D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⑤</w:t>
            </w:r>
            <w:r>
              <w:rPr>
                <w:rFonts w:hint="eastAsia" w:ascii="宋体" w:hAnsi="宋体" w:eastAsia="宋体" w:cs="宋体"/>
                <w:b w:val="0"/>
                <w:bCs/>
                <w:color w:val="auto"/>
                <w:sz w:val="21"/>
                <w:szCs w:val="21"/>
                <w:highlight w:val="none"/>
              </w:rPr>
              <w:t>我的收藏：显示患者收藏的量表、体检、宣教、资讯等信息。</w:t>
            </w:r>
          </w:p>
          <w:p w14:paraId="1429A0B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⑥</w:t>
            </w:r>
            <w:r>
              <w:rPr>
                <w:rFonts w:hint="eastAsia" w:ascii="宋体" w:hAnsi="宋体" w:eastAsia="宋体" w:cs="宋体"/>
                <w:b w:val="0"/>
                <w:bCs/>
                <w:color w:val="auto"/>
                <w:sz w:val="21"/>
                <w:szCs w:val="21"/>
                <w:highlight w:val="none"/>
              </w:rPr>
              <w:t>我的设备：对接和管理患者居家监测设备（血压计、血糖仪等）。</w:t>
            </w:r>
          </w:p>
          <w:p w14:paraId="12FE8DF2">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⑦</w:t>
            </w:r>
            <w:r>
              <w:rPr>
                <w:rFonts w:hint="eastAsia" w:ascii="宋体" w:hAnsi="宋体" w:eastAsia="宋体" w:cs="宋体"/>
                <w:b w:val="0"/>
                <w:bCs/>
                <w:color w:val="auto"/>
                <w:sz w:val="21"/>
                <w:szCs w:val="21"/>
                <w:highlight w:val="none"/>
              </w:rPr>
              <w:t>我的报告：显示患者年度个人健康报告，包含患者基本信息、专病关键指标变化、医生阶段性疾病评估及预测（如有）等内容。支持按时间倒序列出患者的检验检查报告，支持多次报告数据横向对比，报告内容均经过脱敏和水印处理。</w:t>
            </w:r>
          </w:p>
          <w:p w14:paraId="27A8933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医护移动端（APP、小程序、公众号）</w:t>
            </w:r>
          </w:p>
          <w:p w14:paraId="66D453B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健康宣教</w:t>
            </w:r>
          </w:p>
          <w:p w14:paraId="3DFAF644">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通用宣教（时令文章按时推送）：显示在患者首页的通用宣教材料。</w:t>
            </w:r>
          </w:p>
          <w:p w14:paraId="09CE8CB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队列宣教（精准宣教）：按照诊疗计划推送给患者的疾病队列宣教材料。</w:t>
            </w:r>
          </w:p>
          <w:p w14:paraId="117FFED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医患交流</w:t>
            </w:r>
          </w:p>
          <w:p w14:paraId="1A8B19D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通讯录：查询患者对应的医护人员信息、添加好友。</w:t>
            </w:r>
          </w:p>
          <w:p w14:paraId="07B917BA">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对话列表：显示与自己负责的患者的对话列表。</w:t>
            </w:r>
          </w:p>
          <w:p w14:paraId="77314A1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③</w:t>
            </w:r>
            <w:r>
              <w:rPr>
                <w:rFonts w:hint="eastAsia" w:ascii="宋体" w:hAnsi="宋体" w:eastAsia="宋体" w:cs="宋体"/>
                <w:b w:val="0"/>
                <w:bCs/>
                <w:color w:val="auto"/>
                <w:sz w:val="21"/>
                <w:szCs w:val="21"/>
                <w:highlight w:val="none"/>
              </w:rPr>
              <w:t>对话窗口：显示与自己负责的患者的对话详情，支持文字、图片、语音留言交流。</w:t>
            </w:r>
          </w:p>
          <w:p w14:paraId="61765CFE">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扫码登录</w:t>
            </w:r>
          </w:p>
          <w:p w14:paraId="08377E6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扫码登录：用于医护扫码绑定微信、授权登录慢病系统。</w:t>
            </w:r>
          </w:p>
          <w:p w14:paraId="117141A4">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慢病门诊工作</w:t>
            </w:r>
          </w:p>
          <w:p w14:paraId="37CBD70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待接收清单：快速添加患者到慢病系统待筛选清单（门诊系统提供诊疗卡号相关接口）。</w:t>
            </w:r>
          </w:p>
          <w:p w14:paraId="1578A699">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就诊清单：查看从门诊、住院、移动端推送到慢门的患者清单。</w:t>
            </w:r>
          </w:p>
          <w:p w14:paraId="7AB898C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查看从院内其他系统筛选出的近期就诊患者，可以按照条件查询后，纳入慢病系统。</w:t>
            </w:r>
          </w:p>
          <w:p w14:paraId="317F9B71">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③</w:t>
            </w:r>
            <w:r>
              <w:rPr>
                <w:rFonts w:hint="eastAsia" w:ascii="宋体" w:hAnsi="宋体" w:eastAsia="宋体" w:cs="宋体"/>
                <w:b w:val="0"/>
                <w:bCs/>
                <w:color w:val="auto"/>
                <w:sz w:val="21"/>
                <w:szCs w:val="21"/>
                <w:highlight w:val="none"/>
              </w:rPr>
              <w:t>加入队列：生成队列二维码，用以方便患者通过微信扫码的方式，就能申请加入该队列的管理。</w:t>
            </w:r>
          </w:p>
          <w:p w14:paraId="5E155CE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④</w:t>
            </w:r>
            <w:r>
              <w:rPr>
                <w:rFonts w:hint="eastAsia" w:ascii="宋体" w:hAnsi="宋体" w:eastAsia="宋体" w:cs="宋体"/>
                <w:b w:val="0"/>
                <w:bCs/>
                <w:color w:val="auto"/>
                <w:sz w:val="21"/>
                <w:szCs w:val="21"/>
                <w:highlight w:val="none"/>
              </w:rPr>
              <w:t>公告管理：管理慢病团队对患者广播的信息。公告类型有三种，分别是纯文字、视频、图文宣教资料。公告推送对象也分三种，分别是公开、部分科室、患者。</w:t>
            </w:r>
          </w:p>
          <w:p w14:paraId="6041A723">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⑤</w:t>
            </w:r>
            <w:r>
              <w:rPr>
                <w:rFonts w:hint="eastAsia" w:ascii="宋体" w:hAnsi="宋体" w:eastAsia="宋体" w:cs="宋体"/>
                <w:b w:val="0"/>
                <w:bCs/>
                <w:color w:val="auto"/>
                <w:sz w:val="21"/>
                <w:szCs w:val="21"/>
                <w:highlight w:val="none"/>
              </w:rPr>
              <w:t>医护日程：以月历形式展示，查看就诊患者信息，可以将未建档的患者纳入慢病系统。</w:t>
            </w:r>
          </w:p>
          <w:p w14:paraId="10CEA136">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患者管理</w:t>
            </w:r>
          </w:p>
          <w:p w14:paraId="12ECEC3B">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我的患者列表：管理科室患者信息。包括日程信息管理、穿戴设备管理。</w:t>
            </w:r>
          </w:p>
          <w:p w14:paraId="52ADCD7C">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我的患者详情：查看患者在患者端上传的健康数据，同时以图表的方式展示，包括血压、血糖、计步、照片问诊等信息。</w:t>
            </w:r>
          </w:p>
          <w:p w14:paraId="5E54E1F0">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统计分析</w:t>
            </w:r>
          </w:p>
          <w:p w14:paraId="59711A9F">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①</w:t>
            </w:r>
            <w:r>
              <w:rPr>
                <w:rFonts w:hint="eastAsia" w:ascii="宋体" w:hAnsi="宋体" w:eastAsia="宋体" w:cs="宋体"/>
                <w:b w:val="0"/>
                <w:bCs/>
                <w:color w:val="auto"/>
                <w:sz w:val="21"/>
                <w:szCs w:val="21"/>
                <w:highlight w:val="none"/>
              </w:rPr>
              <w:t>患者数据分析：汇总科室患者管理量等数据，包括患者总数、活跃患者数、已结案总数。</w:t>
            </w:r>
          </w:p>
          <w:p w14:paraId="2A11B4E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患者排行榜：汇总患者排行榜信息，包括患者活跃度排名、聊天排名、宣教浏览情况排名、宣教完成情况排名。</w:t>
            </w:r>
          </w:p>
          <w:p w14:paraId="4E6FDA27">
            <w:pPr>
              <w:rPr>
                <w:rFonts w:hint="eastAsia" w:ascii="宋体" w:hAnsi="宋体" w:eastAsia="宋体" w:cs="宋体"/>
                <w:b w:val="0"/>
                <w:bCs/>
                <w:color w:val="auto"/>
                <w:sz w:val="21"/>
                <w:szCs w:val="21"/>
                <w:highlight w:val="none"/>
              </w:rPr>
            </w:pPr>
          </w:p>
        </w:tc>
      </w:tr>
      <w:tr w14:paraId="105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0E5B032">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BD8DD5B">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接口对接服务</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6C5631F">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信息传输业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16E6BA49">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1项</w:t>
            </w:r>
          </w:p>
        </w:tc>
        <w:tc>
          <w:tcPr>
            <w:tcW w:w="6637" w:type="dxa"/>
            <w:tcBorders>
              <w:top w:val="single" w:color="auto" w:sz="4" w:space="0"/>
              <w:left w:val="single" w:color="auto" w:sz="4" w:space="0"/>
              <w:bottom w:val="single" w:color="auto" w:sz="4" w:space="0"/>
              <w:right w:val="single" w:color="auto" w:sz="4" w:space="0"/>
            </w:tcBorders>
            <w:noWrap w:val="0"/>
            <w:vAlign w:val="center"/>
          </w:tcPr>
          <w:p w14:paraId="3BBFAD38">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eastAsia="zh-CN"/>
              </w:rPr>
              <w:t>）第三方系统对接服务</w:t>
            </w:r>
          </w:p>
          <w:p w14:paraId="558AABBE">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EMPI患者主索引</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获取患者主索引信息</w:t>
            </w:r>
            <w:r>
              <w:rPr>
                <w:rFonts w:hint="eastAsia" w:ascii="宋体" w:hAnsi="宋体" w:eastAsia="宋体" w:cs="宋体"/>
                <w:b w:val="0"/>
                <w:bCs/>
                <w:color w:val="auto"/>
                <w:sz w:val="21"/>
                <w:szCs w:val="21"/>
                <w:highlight w:val="none"/>
                <w:lang w:eastAsia="zh-CN"/>
              </w:rPr>
              <w:t>。</w:t>
            </w:r>
          </w:p>
          <w:p w14:paraId="1DBBB2E3">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门诊病历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获取患者就诊记录</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获取患者病史信息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获取门诊诊断信息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获取门诊缴费信息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获取患者是否已接收慢病管理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获取患者符合的慢病专科信息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推送患者到慢病系统</w:t>
            </w:r>
            <w:r>
              <w:rPr>
                <w:rFonts w:hint="eastAsia" w:ascii="宋体" w:hAnsi="宋体" w:eastAsia="宋体" w:cs="宋体"/>
                <w:b w:val="0"/>
                <w:bCs/>
                <w:color w:val="auto"/>
                <w:sz w:val="21"/>
                <w:szCs w:val="21"/>
                <w:highlight w:val="none"/>
                <w:lang w:eastAsia="zh-CN"/>
              </w:rPr>
              <w:t>。</w:t>
            </w:r>
          </w:p>
          <w:p w14:paraId="3DC3585C">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住院病历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获取病案首页内容（含费用信息）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获取住院诊断信息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获取住院转科信息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获取住院手术信息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获取患者是否已接收慢病管理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获取患者符合的慢病专科信息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推送患者到慢病系统</w:t>
            </w:r>
            <w:r>
              <w:rPr>
                <w:rFonts w:hint="eastAsia" w:ascii="宋体" w:hAnsi="宋体" w:eastAsia="宋体" w:cs="宋体"/>
                <w:b w:val="0"/>
                <w:bCs/>
                <w:color w:val="auto"/>
                <w:sz w:val="21"/>
                <w:szCs w:val="21"/>
                <w:highlight w:val="none"/>
                <w:lang w:eastAsia="zh-CN"/>
              </w:rPr>
              <w:t>。</w:t>
            </w:r>
          </w:p>
          <w:p w14:paraId="2FDEDC3C">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检验检查</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获取患者检验报告列表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获取患者检验报告详情</w:t>
            </w:r>
            <w:r>
              <w:rPr>
                <w:rFonts w:hint="eastAsia" w:ascii="宋体" w:hAnsi="宋体" w:eastAsia="宋体" w:cs="宋体"/>
                <w:b w:val="0"/>
                <w:bCs/>
                <w:color w:val="auto"/>
                <w:sz w:val="21"/>
                <w:szCs w:val="21"/>
                <w:highlight w:val="none"/>
                <w:lang w:eastAsia="zh-CN"/>
              </w:rPr>
              <w:t>。</w:t>
            </w:r>
          </w:p>
          <w:p w14:paraId="2431404B">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医学影像</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获取患者检查报告列表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获取患者检查报告详情</w:t>
            </w:r>
            <w:r>
              <w:rPr>
                <w:rFonts w:hint="eastAsia" w:ascii="宋体" w:hAnsi="宋体" w:eastAsia="宋体" w:cs="宋体"/>
                <w:b w:val="0"/>
                <w:bCs/>
                <w:color w:val="auto"/>
                <w:sz w:val="21"/>
                <w:szCs w:val="21"/>
                <w:highlight w:val="none"/>
                <w:lang w:eastAsia="zh-CN"/>
              </w:rPr>
              <w:t>。</w:t>
            </w:r>
          </w:p>
          <w:p w14:paraId="67976B91">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心电系统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获取患者心电图报告列表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获取患者心电图报告详情</w:t>
            </w:r>
            <w:r>
              <w:rPr>
                <w:rFonts w:hint="eastAsia" w:ascii="宋体" w:hAnsi="宋体" w:eastAsia="宋体" w:cs="宋体"/>
                <w:b w:val="0"/>
                <w:bCs/>
                <w:color w:val="auto"/>
                <w:sz w:val="21"/>
                <w:szCs w:val="21"/>
                <w:highlight w:val="none"/>
                <w:lang w:eastAsia="zh-CN"/>
              </w:rPr>
              <w:t>。</w:t>
            </w:r>
          </w:p>
          <w:p w14:paraId="011327A2">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体检系统</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获取体检套餐项目配置</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获取符合条件的体检人员列表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获取体检报告详情</w:t>
            </w:r>
            <w:r>
              <w:rPr>
                <w:rFonts w:hint="eastAsia" w:ascii="宋体" w:hAnsi="宋体" w:eastAsia="宋体" w:cs="宋体"/>
                <w:b w:val="0"/>
                <w:bCs/>
                <w:color w:val="auto"/>
                <w:sz w:val="21"/>
                <w:szCs w:val="21"/>
                <w:highlight w:val="none"/>
                <w:lang w:eastAsia="zh-CN"/>
              </w:rPr>
              <w:t>。</w:t>
            </w:r>
          </w:p>
          <w:p w14:paraId="2C59FDB0">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短信网关</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发送短信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查询短信发送状态</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获取短信回复</w:t>
            </w:r>
            <w:r>
              <w:rPr>
                <w:rFonts w:hint="eastAsia" w:ascii="宋体" w:hAnsi="宋体" w:eastAsia="宋体" w:cs="宋体"/>
                <w:b w:val="0"/>
                <w:bCs/>
                <w:color w:val="auto"/>
                <w:sz w:val="21"/>
                <w:szCs w:val="21"/>
                <w:highlight w:val="none"/>
                <w:lang w:eastAsia="zh-CN"/>
              </w:rPr>
              <w:t>。</w:t>
            </w:r>
          </w:p>
          <w:p w14:paraId="14822C96">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eastAsia="zh-CN"/>
              </w:rPr>
              <w:t>）第三方设备对接服务</w:t>
            </w:r>
          </w:p>
          <w:p w14:paraId="07B396DD">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中医经络检测仪：获取患者的中医经络四诊仪报告。</w:t>
            </w:r>
          </w:p>
          <w:p w14:paraId="430B3ABD">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中医红外热成像分析仪：获取患者的中医红外热成像分析报告。</w:t>
            </w:r>
          </w:p>
          <w:p w14:paraId="2BE6C3A9">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中医四诊仪：获取患者的中医四诊仪测评报告。</w:t>
            </w:r>
          </w:p>
          <w:p w14:paraId="0986341B">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身体成分分析仪：获取患者的身体成分分析报告。</w:t>
            </w:r>
          </w:p>
          <w:p w14:paraId="5830481D">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（三）集成服务（含5G+A8 系统网物联网应用等设计服务， 提供1条 5G 快线（300G 档）使用期 1 年）</w:t>
            </w:r>
          </w:p>
        </w:tc>
      </w:tr>
      <w:tr w14:paraId="7D42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10B7F41">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5</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2D1F57C">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超融合一体机</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778D8A7">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工业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36624BF3">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3台</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597D8100">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1、规格：2U的机架式服务器，可以放入42U标准机柜。含2个万兆光模块，1根万兆光纤。</w:t>
            </w:r>
          </w:p>
          <w:p w14:paraId="68C7AE03">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2、处理器：配置≥2颗 CPU（16C），主频≥2.9GHz。</w:t>
            </w:r>
          </w:p>
          <w:p w14:paraId="206FB165">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3、内存：配置≥256GB 3200MHz DDR4内存；内存插槽数量≥32个，最大内存可扩展至2048GB；具备内存回收机制，实现内存资源的动态复用，保障服务器的性能。</w:t>
            </w:r>
          </w:p>
          <w:p w14:paraId="02DCBF81">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 xml:space="preserve">4、硬盘：配置≥4块3.5寸4T 机械硬盘、≥2块240G SSD系统盘（不占用前置硬盘槽）、≥2块960G SSD缓存盘，支持热插拔SAS/SATA硬盘，兼容2.5英寸和3.5英寸硬盘，配备≥12个2.5/3.5寸硬盘槽； </w:t>
            </w:r>
          </w:p>
          <w:p w14:paraId="630EA68E">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5、设备最多支持≥3个PCIe扩展插槽，配备≥4个GE端口和2个10GE端口；配置冗余电源。</w:t>
            </w:r>
          </w:p>
          <w:p w14:paraId="1A7F9953">
            <w:pP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6、RAID功能：提供raid 0/1/10并支持JBOD直通。</w:t>
            </w:r>
          </w:p>
          <w:p w14:paraId="74A6FF59">
            <w:pP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7、</w:t>
            </w:r>
            <w:r>
              <w:rPr>
                <w:rFonts w:hint="eastAsia" w:ascii="宋体" w:hAnsi="宋体" w:eastAsia="宋体" w:cs="宋体"/>
                <w:b w:val="0"/>
                <w:bCs/>
                <w:color w:val="auto"/>
                <w:sz w:val="21"/>
                <w:szCs w:val="21"/>
                <w:highlight w:val="none"/>
                <w:lang w:val="en-US" w:eastAsia="zh-CN"/>
              </w:rPr>
              <w:t>质保：</w:t>
            </w:r>
            <w:r>
              <w:rPr>
                <w:rFonts w:hint="eastAsia" w:ascii="宋体" w:hAnsi="宋体" w:eastAsia="宋体" w:cs="宋体"/>
                <w:b w:val="0"/>
                <w:bCs/>
                <w:color w:val="auto"/>
                <w:sz w:val="21"/>
                <w:szCs w:val="21"/>
                <w:highlight w:val="none"/>
                <w:lang w:eastAsia="zh-CN"/>
              </w:rPr>
              <w:t>3年硬件保修服务。</w:t>
            </w:r>
          </w:p>
        </w:tc>
      </w:tr>
      <w:tr w14:paraId="740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8B66D28">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6</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70D1B8E">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超融合软件（1）</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99CA323">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329904C2">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6套</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36B9C3D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1.虚拟机可以实现物理机的全部功能，如具有自己的资源（内存、CPU、网卡、存储），可以指定单独的MAC地址等。</w:t>
            </w:r>
          </w:p>
          <w:p w14:paraId="70BCFFF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2.虚拟化内核基于KVM底层开发，支持并配置动态资源扩展功能，系统将自动评估虚拟机的性能情况，当虚拟机性能不足时自动为虚拟机添加CPU和内存资源，确保业务持续高效运行。</w:t>
            </w:r>
          </w:p>
          <w:p w14:paraId="17FBB955">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3.支持配置内存回收机制，实现虚拟化平台内存资源的动态复用，保障虚拟机的性能。</w:t>
            </w:r>
          </w:p>
          <w:p w14:paraId="3DE1D79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4.支持UPS QoS（UPS联动），为尽可能保障数据中心断电场景下的业务，可在市电断电时通过UPS临时供应电量，当UPS电量过低时，按照虚拟机优先级先将不重要的虚拟机进行软关机，</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7093E21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5.支持IO重试，当存储出现故障，导致虚拟机无法读取存储数据时，自动挂起虚拟机，避免业务故障。</w:t>
            </w:r>
          </w:p>
          <w:p w14:paraId="45249721">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6.可以支持扩展同一品牌的存储虚拟化、网络功能虚拟化、虚拟应用防火墙、虚拟应用交付、SSL VPN软件、数据库审计软件等功能组件的，并支持统一管理，以保障平台的扩展性和兼容性</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74C987C5">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7. 虚拟化管理平台具备监控功能，对资源池中CPU、网络、磁盘使用率等指标进行实时的数据统计。</w:t>
            </w:r>
          </w:p>
          <w:p w14:paraId="3847B4B0">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8.支持在线的带存储的虚拟机迁移功能，可以在不停机状态下和非共享存储的环境中，实现虚拟机在集群内的不同物理机和上迁移，保障业务连续性。</w:t>
            </w:r>
          </w:p>
          <w:p w14:paraId="472249A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9.支持虚拟机的HA功能。当物理服务器发生故障时，该物理服务器上的所有虚拟机，可以在集群之内的其它物理服务器上重新启动，保障业务连续性。</w:t>
            </w:r>
          </w:p>
          <w:p w14:paraId="489DCD0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10.当扫描到物理主机的内存条出现ECC CE和UE错误时，能够将对应内存空间进行隔离并定位故障内存的槽位，减少硬件问题对业务的影响；</w:t>
            </w:r>
          </w:p>
          <w:p w14:paraId="71FC50ED">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11. 支持在管理界面提供基础的命令行功能，通过命令行可以进行基础的排障操作，简化用户运维操作</w:t>
            </w:r>
          </w:p>
          <w:p w14:paraId="5FDF8636">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12.支持一键还原已删除的虚拟机，可恢复30天内已删除的虚拟机</w:t>
            </w:r>
          </w:p>
          <w:p w14:paraId="167C157E">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 xml:space="preserve">13.采用分布式管理架构，去中心化，管理平台不依赖于某一个虚拟机或物理机部署，采用分布式架构保障平台更可靠。 </w:t>
            </w:r>
          </w:p>
          <w:p w14:paraId="7D35F50C">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14.为避免主机假死导致系列问题发生，支持识别假死主机并标签化为亚健康主机，通过邮件或短信告警提醒用户进行处理，并限制重要业务在亚健康主机上运行，规避风险，</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6E0EFAE0">
            <w:pPr>
              <w:widowControl/>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15. 提供基于PowerShell的CLI命令行功能，通过PowerShell脚本可简化用户运维操作。</w:t>
            </w:r>
          </w:p>
        </w:tc>
      </w:tr>
      <w:tr w14:paraId="29F4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B69EAEF">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7</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6CDC6B4">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超融合软件（2）</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85A5075">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0B537284">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6套</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423869C2">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1.支持启动聚合副本后，将会有1个副本聚合在一台主机，虚拟机会优先在聚合主机运行，实现数据的本地读取，降低网络开销。</w:t>
            </w:r>
          </w:p>
          <w:p w14:paraId="103FB282">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2.采用分布式架构设计，由多台物理服务器组成分布式存储集群，通过新增物理服务器可以实现存储容量和性能的横向扩展（Scale-Out架构），扩容过程保证业务零中断。</w:t>
            </w:r>
          </w:p>
          <w:p w14:paraId="61669705">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★3.支持数据重建智能保护业务性能，可以对数据重建速度进行智能限速，避免数据重建过程中IO性能占用导致对业务的性能造成影响，</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7A0A091E">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4.虚拟存储集群支持iSCSI接口的访问，允许外部物理主机通过标准的iSCSI接口访问虚拟存储，实现Server SAN和IP SAN的融合，能够使存储资源的利用率发挥到最大价值。</w:t>
            </w:r>
          </w:p>
          <w:p w14:paraId="1E60EADF">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5.支持多副本冗余功能，支持2个或以上副本，副本互斥地保存在集群的不同节点，单个主机或者磁盘故障，确保数据依旧正常访问。</w:t>
            </w:r>
          </w:p>
          <w:p w14:paraId="5F34AC49">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6.支持呈现硬盘的状态，提供隔离硬盘、替换硬盘功能，消除硬盘异常对业务的影响。</w:t>
            </w:r>
          </w:p>
          <w:p w14:paraId="47F9347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7.在可视化的WEB管理平台上，可以查看虚拟分布式存储对应的容量大小、容量使用率、实时的IOPS读写次数、IOPS读写数据量等信息，方便为IT管理做为有效的决策依据。</w:t>
            </w:r>
          </w:p>
          <w:p w14:paraId="60009403">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8.支持数据写入优化机制，将高速SSD作为写缓存，数据先写到SSD，再回写到机械硬盘，提升写IO性能。</w:t>
            </w:r>
          </w:p>
          <w:p w14:paraId="29F1FDC0">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★9.支持选择多种克隆方式，包括快速全量克隆、全量克隆和链接克隆，可查看通过链接克隆的虚拟机是否运行正常，可以设置克隆完成后自动启动克隆虚拟机操作，</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16D15EC7">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10.支持数据重建优先级调整，可以查看数据重建任务列表信息，包括对象名称、对象类型、数据量和优先级等信息，可以点击操作中的优先级对数据重建进行优先重建，保证重要的业务优先恢复数据的安全性。</w:t>
            </w:r>
          </w:p>
          <w:p w14:paraId="5B3BC738">
            <w:pPr>
              <w:widowControl/>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11.为了便于部署关键业务系统，虚拟存储可支持Oracle RAC，支持共享盘，及共享块设备，支持向导式安装，降低部署复杂度。</w:t>
            </w:r>
          </w:p>
        </w:tc>
      </w:tr>
      <w:tr w14:paraId="524D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2D47610B">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8</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093993CD">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超融合软件（3）</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9D22349">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软件和信息技术服务业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05FBE47">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6套</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3C1C6B0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1.在管理平台上可以通过拖拽虚拟设备图标和连线就能完成网络拓扑的构建，快速的实现整个业务逻辑，支持对整个平台虚拟设备实现统一的管理，提升运维管理的工作效率，</w:t>
            </w:r>
            <w:r>
              <w:rPr>
                <w:rFonts w:hint="eastAsia" w:ascii="宋体" w:hAnsi="宋体" w:eastAsia="宋体" w:cs="宋体"/>
                <w:b w:val="0"/>
                <w:bCs/>
                <w:color w:val="auto"/>
                <w:kern w:val="0"/>
                <w:sz w:val="21"/>
                <w:szCs w:val="21"/>
                <w:highlight w:val="none"/>
                <w:lang w:val="en-US" w:eastAsia="zh-CN"/>
              </w:rPr>
              <w:t>响应文件中提供相应功能截图，未提供视为负偏离</w:t>
            </w:r>
            <w:r>
              <w:rPr>
                <w:rFonts w:hint="eastAsia" w:ascii="宋体" w:hAnsi="宋体" w:eastAsia="宋体" w:cs="宋体"/>
                <w:b w:val="0"/>
                <w:bCs/>
                <w:color w:val="auto"/>
                <w:kern w:val="0"/>
                <w:sz w:val="21"/>
                <w:szCs w:val="21"/>
                <w:highlight w:val="none"/>
              </w:rPr>
              <w:t>。</w:t>
            </w:r>
          </w:p>
          <w:p w14:paraId="75429869">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2.提供虚拟机报表功能，可以导出TOPN的虚拟机进行1年以内的性能分析与趋势分析报表。</w:t>
            </w:r>
          </w:p>
          <w:p w14:paraId="4BF39619">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3.分布式防火墙能够基于虚拟机进行3-4层安全防护，以虚拟机为单位的安全策略部署，即使改变虚拟机的IP地址信息，安全策略依然生效。</w:t>
            </w:r>
          </w:p>
          <w:p w14:paraId="78B15C64">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4.支持创建分布式虚拟防火墙，可基于虚拟机、虚拟机组、虚拟机标签、IP、IP范围、IP组构建安全防火墙，当虚拟机在不同的物理节点之间迁移时，安全策略随之移动。</w:t>
            </w:r>
          </w:p>
          <w:p w14:paraId="41640EEB">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5.支持跳转连通性探测页面，可以设置探测对象信息，包括网口、对象类型、IP地址，可以点击开始探测按钮查看探测页面信息，可以在网络连通性探测页面查看网络探测是否成功。</w:t>
            </w:r>
          </w:p>
          <w:p w14:paraId="347BF125">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6.虚拟路由器支持HA功能，当虚拟路由器运行的主机出现故障时，可以实现故障自动恢复，保障业务的高可靠性。</w:t>
            </w:r>
          </w:p>
          <w:p w14:paraId="10F0339F">
            <w:pPr>
              <w:widowControl/>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7.超融合需提供网络可视化组件，可在图形化界面上观察到所有虚拟机的流量走向与访问关系，包括源IP、目的IP、访问次数、服务类型等。</w:t>
            </w:r>
          </w:p>
        </w:tc>
      </w:tr>
      <w:tr w14:paraId="247D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1103D60">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9</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FFBB0ED">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服务器（1）</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56780AE">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工业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5BBC4B91">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6F041616">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2U机架式服务器</w:t>
            </w:r>
          </w:p>
          <w:p w14:paraId="7D8887BE">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CPU：2x(16C,135W,2.4GHz)处理器，最多支持2颗处理器。</w:t>
            </w:r>
          </w:p>
          <w:p w14:paraId="67A7A14D">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内存：4x 32GB TruDDR4 3200MHz(2 列 x4 1.2V)RDIMM，最多支持≥32 个 DDR4 内存插槽；最多 4Tb，使用 32 个 128GB LRDIMM；最多支持 16 个持久内存 200 系列模块 (PMem）</w:t>
            </w:r>
          </w:p>
          <w:p w14:paraId="301F0273">
            <w:pPr>
              <w:widowControl/>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硬盘：2x 480G SSD，3x 8TB SATA 7.2K 企业级硬盘，标配支持8个3.5硬盘插槽，最多 14 个 3.5 英寸或 28 个 2.5 英寸驱动器；最多 28 个 NVMe 驱动器；2 个 M.2 SSD；后端 2 个 7mm SSD。</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 xml:space="preserve">RAID卡：5350-8i 适配器，支持raid0.1.5.10                                                                                                                                           </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网卡与HBA卡：板载4个 1GbE 端口，1 个 1GbE 专用管理</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 xml:space="preserve">GPU：最多 8 个单宽或 3 个双宽 </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电源：2x 800W热插拔电源模块</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lang w:val="en-US" w:eastAsia="zh-CN"/>
              </w:rPr>
              <w:t>质保</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lang w:eastAsia="zh-CN"/>
              </w:rPr>
              <w:t>3年保修服务</w:t>
            </w:r>
            <w:r>
              <w:rPr>
                <w:rFonts w:hint="eastAsia" w:ascii="宋体" w:hAnsi="宋体" w:eastAsia="宋体" w:cs="宋体"/>
                <w:b w:val="0"/>
                <w:bCs/>
                <w:color w:val="auto"/>
                <w:kern w:val="0"/>
                <w:sz w:val="21"/>
                <w:szCs w:val="21"/>
                <w:highlight w:val="none"/>
              </w:rPr>
              <w:t xml:space="preserve">  </w:t>
            </w:r>
          </w:p>
        </w:tc>
      </w:tr>
      <w:tr w14:paraId="407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3FB9256">
            <w:pPr>
              <w:widowControl/>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10</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9571FEE">
            <w:pPr>
              <w:widowControl/>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服务器</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B4A8397">
            <w:pPr>
              <w:spacing w:line="360" w:lineRule="auto"/>
              <w:ind w:firstLine="27" w:firstLineChars="13"/>
              <w:jc w:val="center"/>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工业</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5800CAA0">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bidi="ar-SA"/>
              </w:rPr>
            </w:pPr>
            <w:r>
              <w:rPr>
                <w:rFonts w:hint="eastAsia" w:ascii="宋体" w:hAnsi="宋体" w:eastAsia="宋体" w:cs="宋体"/>
                <w:b w:val="0"/>
                <w:bCs/>
                <w:i w:val="0"/>
                <w:iCs w:val="0"/>
                <w:color w:val="auto"/>
                <w:kern w:val="0"/>
                <w:sz w:val="21"/>
                <w:szCs w:val="21"/>
                <w:highlight w:val="none"/>
                <w:u w:val="none"/>
                <w:lang w:val="en-US" w:eastAsia="zh-CN" w:bidi="ar"/>
              </w:rPr>
              <w:t>1台</w:t>
            </w:r>
          </w:p>
        </w:tc>
        <w:tc>
          <w:tcPr>
            <w:tcW w:w="6637" w:type="dxa"/>
            <w:tcBorders>
              <w:top w:val="single" w:color="auto" w:sz="4" w:space="0"/>
              <w:left w:val="single" w:color="auto" w:sz="4" w:space="0"/>
              <w:bottom w:val="single" w:color="auto" w:sz="4" w:space="0"/>
              <w:right w:val="single" w:color="auto" w:sz="4" w:space="0"/>
            </w:tcBorders>
            <w:noWrap w:val="0"/>
            <w:vAlign w:val="top"/>
          </w:tcPr>
          <w:p w14:paraId="17CBEE87">
            <w:pPr>
              <w:widowControl/>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2U机架式服务器</w:t>
            </w:r>
          </w:p>
          <w:p w14:paraId="77037FFF">
            <w:pPr>
              <w:widowControl/>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CPU：2x(2.1GHz/24核/36MB/165W)处理器，最多支持2颗处理器。</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内存：4x 32GB TruDDR4 3200MHz(2 列 x4 1.2V)RDIMM，最多支持≥32 个 DDR4 内存插槽；最多 4Tb，使用 32 个 128GB LRDIMM；最多支持 16 个持久内存 200 系列模块 (PMem）</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硬盘：2块480G 企业级SSD+4x 3.84TB SATA SSD企业级硬盘，标配支持8个3.5硬盘插槽，最多 14 个 3.5 英寸或 28 个 2.5 英寸驱动器；最多 28 个 NVMe 驱动器；2 个 M.2 SSD；后端 2 个 7mm SSD。</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 xml:space="preserve">RAID卡：9350-8i 2G 缓存适配器，支持raid0.1.5.10                                                                                                                                  </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网卡与HBA卡：4个 1GbE 端口，1 个 1GbE 专用管理</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 xml:space="preserve">GPU：最多 8 个单宽或 3 个双宽 </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rPr>
              <w:t>电源：2x 800W热插拔电源模块</w:t>
            </w:r>
            <w:r>
              <w:rPr>
                <w:rFonts w:hint="eastAsia" w:ascii="宋体" w:hAnsi="宋体" w:eastAsia="宋体" w:cs="宋体"/>
                <w:b w:val="0"/>
                <w:bCs/>
                <w:color w:val="auto"/>
                <w:kern w:val="0"/>
                <w:sz w:val="21"/>
                <w:szCs w:val="21"/>
                <w:highlight w:val="none"/>
              </w:rPr>
              <w:br w:type="textWrapping"/>
            </w:r>
            <w:r>
              <w:rPr>
                <w:rFonts w:hint="eastAsia" w:ascii="宋体" w:hAnsi="宋体" w:eastAsia="宋体" w:cs="宋体"/>
                <w:b w:val="0"/>
                <w:bCs/>
                <w:color w:val="auto"/>
                <w:kern w:val="0"/>
                <w:sz w:val="21"/>
                <w:szCs w:val="21"/>
                <w:highlight w:val="none"/>
                <w:lang w:val="en-US" w:eastAsia="zh-CN"/>
              </w:rPr>
              <w:t>质保</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lang w:eastAsia="zh-CN"/>
              </w:rPr>
              <w:t>3年保修服务</w:t>
            </w:r>
            <w:r>
              <w:rPr>
                <w:rFonts w:hint="eastAsia" w:ascii="宋体" w:hAnsi="宋体" w:eastAsia="宋体" w:cs="宋体"/>
                <w:b w:val="0"/>
                <w:bCs/>
                <w:color w:val="auto"/>
                <w:kern w:val="0"/>
                <w:sz w:val="21"/>
                <w:szCs w:val="21"/>
                <w:highlight w:val="none"/>
              </w:rPr>
              <w:t xml:space="preserve">  </w:t>
            </w:r>
          </w:p>
        </w:tc>
      </w:tr>
    </w:tbl>
    <w:p w14:paraId="5F1BCB1F">
      <w:pPr>
        <w:rPr>
          <w:color w:val="auto"/>
          <w:highlight w:val="none"/>
        </w:rPr>
      </w:pP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7745"/>
      </w:tblGrid>
      <w:tr w14:paraId="4776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54" w:type="dxa"/>
            <w:gridSpan w:val="2"/>
            <w:tcBorders>
              <w:top w:val="single" w:color="auto" w:sz="4" w:space="0"/>
              <w:left w:val="single" w:color="auto" w:sz="4" w:space="0"/>
              <w:bottom w:val="single" w:color="auto" w:sz="4" w:space="0"/>
              <w:right w:val="single" w:color="auto" w:sz="4" w:space="0"/>
            </w:tcBorders>
            <w:noWrap w:val="0"/>
            <w:vAlign w:val="center"/>
          </w:tcPr>
          <w:p w14:paraId="1F878B98">
            <w:pPr>
              <w:spacing w:line="360" w:lineRule="exact"/>
              <w:jc w:val="left"/>
              <w:textAlignment w:val="center"/>
              <w:rPr>
                <w:rFonts w:hint="eastAsia" w:ascii="宋体" w:eastAsia="宋体" w:cs="宋体"/>
                <w:color w:val="auto"/>
                <w:szCs w:val="21"/>
                <w:highlight w:val="none"/>
                <w:lang w:bidi="ar-SA"/>
              </w:rPr>
            </w:pPr>
            <w:r>
              <w:rPr>
                <w:rFonts w:hint="eastAsia" w:ascii="宋体" w:eastAsia="宋体" w:cs="宋体"/>
                <w:b/>
                <w:color w:val="auto"/>
                <w:szCs w:val="21"/>
                <w:highlight w:val="none"/>
                <w:lang w:val="en-US" w:eastAsia="zh-CN" w:bidi="ar-SA"/>
              </w:rPr>
              <w:t>二、</w:t>
            </w:r>
            <w:r>
              <w:rPr>
                <w:rFonts w:hint="eastAsia" w:ascii="宋体" w:cs="宋体"/>
                <w:b/>
                <w:bCs/>
                <w:color w:val="auto"/>
                <w:highlight w:val="none"/>
                <w:lang w:eastAsia="zh-CN" w:bidi="ar-SA"/>
              </w:rPr>
              <w:t>▲</w:t>
            </w:r>
            <w:r>
              <w:rPr>
                <w:rFonts w:hint="eastAsia" w:ascii="宋体" w:eastAsia="宋体" w:cs="宋体"/>
                <w:b/>
                <w:color w:val="auto"/>
                <w:szCs w:val="21"/>
                <w:highlight w:val="none"/>
                <w:lang w:bidi="ar-SA"/>
              </w:rPr>
              <w:t>商务要求</w:t>
            </w:r>
          </w:p>
        </w:tc>
      </w:tr>
      <w:tr w14:paraId="0F45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76047BC8">
            <w:pPr>
              <w:keepNext w:val="0"/>
              <w:keepLines w:val="0"/>
              <w:pageBreakBefore w:val="0"/>
              <w:widowControl w:val="0"/>
              <w:kinsoku/>
              <w:wordWrap/>
              <w:overflowPunct/>
              <w:topLinePunct w:val="0"/>
              <w:autoSpaceDE/>
              <w:autoSpaceDN/>
              <w:bidi w:val="0"/>
              <w:adjustRightInd/>
              <w:snapToGrid/>
              <w:spacing w:line="400" w:lineRule="exact"/>
              <w:ind w:firstLine="27" w:firstLineChars="13"/>
              <w:jc w:val="center"/>
              <w:textAlignment w:val="auto"/>
              <w:rPr>
                <w:rFonts w:hint="eastAsia" w:ascii="宋体" w:eastAsia="宋体" w:cs="宋体"/>
                <w:color w:val="auto"/>
                <w:highlight w:val="none"/>
                <w:lang w:eastAsia="zh-CN" w:bidi="ar-SA"/>
              </w:rPr>
            </w:pPr>
            <w:r>
              <w:rPr>
                <w:rFonts w:hint="eastAsia" w:ascii="宋体" w:eastAsia="宋体" w:cs="宋体"/>
                <w:color w:val="auto"/>
                <w:highlight w:val="none"/>
                <w:lang w:bidi="ar-SA"/>
              </w:rPr>
              <w:t>合同签订期</w:t>
            </w:r>
            <w:r>
              <w:rPr>
                <w:rFonts w:hint="eastAsia" w:ascii="宋体" w:eastAsia="宋体" w:cs="宋体"/>
                <w:color w:val="auto"/>
                <w:highlight w:val="none"/>
                <w:lang w:eastAsia="zh-CN" w:bidi="ar-SA"/>
              </w:rPr>
              <w:t>限</w:t>
            </w:r>
          </w:p>
        </w:tc>
        <w:tc>
          <w:tcPr>
            <w:tcW w:w="7745" w:type="dxa"/>
            <w:tcBorders>
              <w:top w:val="single" w:color="auto" w:sz="4" w:space="0"/>
              <w:bottom w:val="single" w:color="auto" w:sz="4" w:space="0"/>
              <w:right w:val="single" w:color="auto" w:sz="4" w:space="0"/>
            </w:tcBorders>
            <w:noWrap w:val="0"/>
            <w:vAlign w:val="center"/>
          </w:tcPr>
          <w:p w14:paraId="2DD43889">
            <w:pPr>
              <w:keepNext w:val="0"/>
              <w:keepLines w:val="0"/>
              <w:pageBreakBefore w:val="0"/>
              <w:widowControl w:val="0"/>
              <w:kinsoku/>
              <w:wordWrap/>
              <w:overflowPunct/>
              <w:topLinePunct w:val="0"/>
              <w:autoSpaceDE/>
              <w:autoSpaceDN/>
              <w:bidi w:val="0"/>
              <w:adjustRightInd/>
              <w:snapToGrid/>
              <w:spacing w:line="400" w:lineRule="exact"/>
              <w:ind w:firstLine="27" w:firstLineChars="13"/>
              <w:jc w:val="left"/>
              <w:textAlignment w:val="auto"/>
              <w:rPr>
                <w:rFonts w:hint="eastAsia" w:ascii="宋体" w:eastAsia="宋体" w:cs="宋体"/>
                <w:color w:val="auto"/>
                <w:szCs w:val="21"/>
                <w:highlight w:val="none"/>
                <w:lang w:bidi="ar-SA"/>
              </w:rPr>
            </w:pPr>
            <w:r>
              <w:rPr>
                <w:rFonts w:hint="eastAsia" w:ascii="宋体" w:eastAsia="宋体" w:cs="宋体"/>
                <w:color w:val="auto"/>
                <w:highlight w:val="none"/>
                <w:lang w:bidi="ar-SA"/>
              </w:rPr>
              <w:t>自</w:t>
            </w:r>
            <w:r>
              <w:rPr>
                <w:rFonts w:hint="eastAsia" w:ascii="宋体" w:eastAsia="宋体" w:cs="宋体"/>
                <w:color w:val="auto"/>
                <w:highlight w:val="none"/>
                <w:lang w:val="en-US" w:eastAsia="zh-CN" w:bidi="ar-SA"/>
              </w:rPr>
              <w:t>成交</w:t>
            </w:r>
            <w:r>
              <w:rPr>
                <w:rFonts w:hint="eastAsia" w:ascii="宋体" w:eastAsia="宋体" w:cs="宋体"/>
                <w:color w:val="auto"/>
                <w:highlight w:val="none"/>
                <w:lang w:bidi="ar-SA"/>
              </w:rPr>
              <w:t>通知书发出之日起</w:t>
            </w:r>
            <w:r>
              <w:rPr>
                <w:rFonts w:hint="eastAsia" w:ascii="宋体" w:cs="宋体"/>
                <w:color w:val="auto"/>
                <w:highlight w:val="none"/>
                <w:lang w:val="en-US" w:eastAsia="zh-CN" w:bidi="ar-SA"/>
              </w:rPr>
              <w:t>15</w:t>
            </w:r>
            <w:r>
              <w:rPr>
                <w:rFonts w:hint="eastAsia" w:ascii="宋体" w:eastAsia="宋体" w:cs="宋体"/>
                <w:color w:val="auto"/>
                <w:highlight w:val="none"/>
                <w:lang w:bidi="ar-SA"/>
              </w:rPr>
              <w:t>日内。</w:t>
            </w:r>
          </w:p>
        </w:tc>
      </w:tr>
      <w:tr w14:paraId="2485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5FACC60E">
            <w:pPr>
              <w:keepNext w:val="0"/>
              <w:keepLines w:val="0"/>
              <w:pageBreakBefore w:val="0"/>
              <w:widowControl w:val="0"/>
              <w:kinsoku/>
              <w:wordWrap/>
              <w:overflowPunct/>
              <w:topLinePunct w:val="0"/>
              <w:autoSpaceDE/>
              <w:autoSpaceDN/>
              <w:bidi w:val="0"/>
              <w:adjustRightInd/>
              <w:snapToGrid/>
              <w:spacing w:line="400" w:lineRule="exact"/>
              <w:ind w:firstLine="27" w:firstLineChars="13"/>
              <w:jc w:val="center"/>
              <w:textAlignment w:val="auto"/>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eastAsia="zh-CN" w:bidi="ar-SA"/>
              </w:rPr>
              <w:t>提交服务成果时间、</w:t>
            </w:r>
            <w:r>
              <w:rPr>
                <w:rFonts w:hint="eastAsia" w:ascii="宋体" w:cs="宋体"/>
                <w:color w:val="auto"/>
                <w:highlight w:val="none"/>
                <w:lang w:val="en-US" w:eastAsia="zh-CN" w:bidi="ar-SA"/>
              </w:rPr>
              <w:t>交付</w:t>
            </w:r>
            <w:r>
              <w:rPr>
                <w:rFonts w:hint="eastAsia" w:ascii="宋体" w:eastAsia="宋体" w:cs="宋体"/>
                <w:color w:val="auto"/>
                <w:highlight w:val="none"/>
                <w:lang w:bidi="ar-SA"/>
              </w:rPr>
              <w:t>地点</w:t>
            </w:r>
            <w:r>
              <w:rPr>
                <w:rFonts w:hint="eastAsia" w:ascii="宋体" w:eastAsia="宋体" w:cs="宋体"/>
                <w:color w:val="auto"/>
                <w:highlight w:val="none"/>
                <w:lang w:val="en-US" w:eastAsia="zh-CN" w:bidi="ar-SA"/>
              </w:rPr>
              <w:t>及交付方式</w:t>
            </w:r>
          </w:p>
        </w:tc>
        <w:tc>
          <w:tcPr>
            <w:tcW w:w="7745" w:type="dxa"/>
            <w:tcBorders>
              <w:top w:val="single" w:color="auto" w:sz="4" w:space="0"/>
              <w:bottom w:val="single" w:color="auto" w:sz="4" w:space="0"/>
              <w:right w:val="single" w:color="auto" w:sz="4" w:space="0"/>
            </w:tcBorders>
            <w:noWrap w:val="0"/>
            <w:vAlign w:val="center"/>
          </w:tcPr>
          <w:p w14:paraId="78CCF943">
            <w:pPr>
              <w:keepNext w:val="0"/>
              <w:keepLines w:val="0"/>
              <w:pageBreakBefore w:val="0"/>
              <w:widowControl w:val="0"/>
              <w:kinsoku/>
              <w:wordWrap/>
              <w:overflowPunct/>
              <w:topLinePunct w:val="0"/>
              <w:autoSpaceDE/>
              <w:autoSpaceDN/>
              <w:bidi w:val="0"/>
              <w:adjustRightInd/>
              <w:snapToGrid/>
              <w:spacing w:line="400" w:lineRule="exact"/>
              <w:ind w:firstLine="27" w:firstLineChars="13"/>
              <w:jc w:val="left"/>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1.提交服务成果时间</w:t>
            </w:r>
            <w:r>
              <w:rPr>
                <w:rFonts w:hint="eastAsia" w:ascii="宋体" w:eastAsia="宋体" w:cs="宋体"/>
                <w:color w:val="auto"/>
                <w:highlight w:val="none"/>
                <w:shd w:val="clear" w:color="auto" w:fill="auto"/>
                <w:lang w:bidi="ar-SA"/>
              </w:rPr>
              <w:t>：</w:t>
            </w:r>
            <w:r>
              <w:rPr>
                <w:rFonts w:hint="eastAsia" w:ascii="宋体" w:cs="宋体"/>
                <w:color w:val="auto"/>
                <w:highlight w:val="none"/>
                <w:shd w:val="clear" w:color="auto" w:fill="auto"/>
                <w:lang w:eastAsia="zh-CN" w:bidi="ar-SA"/>
              </w:rPr>
              <w:t>自采购合同签订之日起</w:t>
            </w:r>
            <w:r>
              <w:rPr>
                <w:rFonts w:hint="eastAsia" w:ascii="宋体" w:cs="宋体"/>
                <w:color w:val="auto"/>
                <w:highlight w:val="none"/>
                <w:shd w:val="clear" w:color="auto" w:fill="auto"/>
                <w:lang w:val="en-US" w:eastAsia="zh-CN" w:bidi="ar-SA"/>
              </w:rPr>
              <w:t>90</w:t>
            </w:r>
            <w:r>
              <w:rPr>
                <w:rFonts w:hint="eastAsia" w:ascii="宋体" w:cs="宋体"/>
                <w:color w:val="auto"/>
                <w:highlight w:val="none"/>
                <w:shd w:val="clear" w:color="auto" w:fill="auto"/>
                <w:lang w:eastAsia="zh-CN" w:bidi="ar-SA"/>
              </w:rPr>
              <w:t>日历天内完成并交付使用</w:t>
            </w:r>
            <w:r>
              <w:rPr>
                <w:rFonts w:hint="eastAsia" w:ascii="宋体" w:eastAsia="宋体" w:cs="宋体"/>
                <w:color w:val="auto"/>
                <w:highlight w:val="none"/>
                <w:shd w:val="clear" w:color="auto" w:fill="auto"/>
                <w:lang w:bidi="ar-SA"/>
              </w:rPr>
              <w:t>。</w:t>
            </w:r>
          </w:p>
          <w:p w14:paraId="0AADF5E6">
            <w:pPr>
              <w:keepNext w:val="0"/>
              <w:keepLines w:val="0"/>
              <w:pageBreakBefore w:val="0"/>
              <w:widowControl w:val="0"/>
              <w:kinsoku/>
              <w:wordWrap/>
              <w:overflowPunct/>
              <w:topLinePunct w:val="0"/>
              <w:autoSpaceDE/>
              <w:autoSpaceDN/>
              <w:bidi w:val="0"/>
              <w:adjustRightInd/>
              <w:snapToGrid/>
              <w:spacing w:line="400" w:lineRule="exact"/>
              <w:ind w:firstLine="27" w:firstLineChars="13"/>
              <w:jc w:val="left"/>
              <w:textAlignment w:val="auto"/>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val="en-US" w:eastAsia="zh-CN" w:bidi="ar-SA"/>
              </w:rPr>
              <w:t>2.</w:t>
            </w:r>
            <w:r>
              <w:rPr>
                <w:rFonts w:hint="eastAsia" w:ascii="宋体" w:cs="宋体"/>
                <w:color w:val="auto"/>
                <w:highlight w:val="none"/>
                <w:lang w:val="en-US" w:eastAsia="zh-CN" w:bidi="ar-SA"/>
              </w:rPr>
              <w:t>交付</w:t>
            </w:r>
            <w:r>
              <w:rPr>
                <w:rFonts w:hint="eastAsia" w:ascii="宋体" w:eastAsia="宋体" w:cs="宋体"/>
                <w:color w:val="auto"/>
                <w:highlight w:val="none"/>
                <w:lang w:bidi="ar-SA"/>
              </w:rPr>
              <w:t>地点：</w:t>
            </w:r>
            <w:r>
              <w:rPr>
                <w:rFonts w:hint="eastAsia" w:ascii="宋体" w:eastAsia="宋体" w:cs="宋体"/>
                <w:color w:val="auto"/>
                <w:szCs w:val="21"/>
                <w:highlight w:val="none"/>
                <w:lang w:val="en-US" w:eastAsia="zh-CN" w:bidi="ar-SA"/>
              </w:rPr>
              <w:t>采购人</w:t>
            </w:r>
            <w:r>
              <w:rPr>
                <w:rFonts w:hint="eastAsia" w:ascii="宋体" w:eastAsia="宋体" w:cs="宋体"/>
                <w:color w:val="auto"/>
                <w:szCs w:val="21"/>
                <w:highlight w:val="none"/>
                <w:lang w:bidi="ar-SA"/>
              </w:rPr>
              <w:t>指定地点。</w:t>
            </w:r>
          </w:p>
          <w:p w14:paraId="41E4271B">
            <w:pPr>
              <w:keepNext w:val="0"/>
              <w:keepLines w:val="0"/>
              <w:pageBreakBefore w:val="0"/>
              <w:widowControl w:val="0"/>
              <w:kinsoku/>
              <w:wordWrap/>
              <w:overflowPunct/>
              <w:topLinePunct w:val="0"/>
              <w:autoSpaceDE/>
              <w:autoSpaceDN/>
              <w:bidi w:val="0"/>
              <w:adjustRightInd/>
              <w:snapToGrid/>
              <w:spacing w:line="400" w:lineRule="exact"/>
              <w:ind w:firstLine="27" w:firstLineChars="13"/>
              <w:jc w:val="left"/>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val="en-US" w:eastAsia="zh-CN" w:bidi="ar-SA"/>
              </w:rPr>
              <w:t>3</w:t>
            </w:r>
            <w:r>
              <w:rPr>
                <w:rFonts w:hint="eastAsia" w:ascii="宋体" w:eastAsia="宋体" w:cs="宋体"/>
                <w:color w:val="auto"/>
                <w:szCs w:val="21"/>
                <w:highlight w:val="none"/>
                <w:lang w:bidi="ar-SA"/>
              </w:rPr>
              <w:t>.交付方式：现场交付。</w:t>
            </w:r>
          </w:p>
        </w:tc>
      </w:tr>
      <w:tr w14:paraId="5D6E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1191D286">
            <w:pPr>
              <w:keepNext w:val="0"/>
              <w:keepLines w:val="0"/>
              <w:pageBreakBefore w:val="0"/>
              <w:widowControl w:val="0"/>
              <w:kinsoku/>
              <w:wordWrap/>
              <w:overflowPunct/>
              <w:topLinePunct w:val="0"/>
              <w:autoSpaceDE/>
              <w:autoSpaceDN/>
              <w:bidi w:val="0"/>
              <w:adjustRightInd/>
              <w:snapToGrid/>
              <w:spacing w:line="400" w:lineRule="exact"/>
              <w:ind w:firstLine="27" w:firstLineChars="13"/>
              <w:jc w:val="center"/>
              <w:textAlignment w:val="auto"/>
              <w:rPr>
                <w:rFonts w:hint="eastAsia" w:ascii="宋体" w:eastAsia="宋体" w:cs="宋体"/>
                <w:color w:val="auto"/>
                <w:highlight w:val="none"/>
                <w:lang w:bidi="ar-SA"/>
              </w:rPr>
            </w:pPr>
            <w:r>
              <w:rPr>
                <w:rFonts w:hint="eastAsia" w:ascii="宋体" w:eastAsia="宋体" w:cs="宋体"/>
                <w:color w:val="auto"/>
                <w:highlight w:val="none"/>
                <w:lang w:bidi="ar-SA"/>
              </w:rPr>
              <w:t>售后服务要求</w:t>
            </w:r>
          </w:p>
        </w:tc>
        <w:tc>
          <w:tcPr>
            <w:tcW w:w="7745" w:type="dxa"/>
            <w:tcBorders>
              <w:top w:val="single" w:color="auto" w:sz="4" w:space="0"/>
              <w:bottom w:val="single" w:color="auto" w:sz="4" w:space="0"/>
              <w:right w:val="single" w:color="auto" w:sz="4" w:space="0"/>
            </w:tcBorders>
            <w:noWrap w:val="0"/>
            <w:vAlign w:val="center"/>
          </w:tcPr>
          <w:p w14:paraId="3DB683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s="宋体"/>
                <w:color w:val="auto"/>
                <w:highlight w:val="none"/>
                <w:lang w:bidi="ar-SA"/>
              </w:rPr>
            </w:pPr>
            <w:r>
              <w:rPr>
                <w:rFonts w:hint="eastAsia" w:ascii="宋体" w:eastAsia="宋体" w:cs="宋体"/>
                <w:color w:val="auto"/>
                <w:highlight w:val="none"/>
                <w:lang w:val="en-US" w:eastAsia="zh-CN" w:bidi="ar-SA"/>
              </w:rPr>
              <w:t>1.按国家有关产品“三包”规定执行“三包”，自交货验收合格之日起所有软硬件设备</w:t>
            </w:r>
            <w:r>
              <w:rPr>
                <w:rFonts w:hint="eastAsia" w:ascii="宋体" w:cs="宋体"/>
                <w:color w:val="auto"/>
                <w:highlight w:val="none"/>
                <w:lang w:val="en-US" w:eastAsia="zh-CN" w:bidi="ar-SA"/>
              </w:rPr>
              <w:t>（包括系统维护、跟踪检测）</w:t>
            </w:r>
            <w:r>
              <w:rPr>
                <w:rFonts w:hint="eastAsia" w:ascii="宋体" w:eastAsia="宋体" w:cs="宋体"/>
                <w:color w:val="auto"/>
                <w:highlight w:val="none"/>
                <w:lang w:val="en-US" w:eastAsia="zh-CN" w:bidi="ar-SA"/>
              </w:rPr>
              <w:t>、配件提供壹年的免费质保及软件免费升级服务（</w:t>
            </w:r>
            <w:r>
              <w:rPr>
                <w:rFonts w:hint="eastAsia" w:ascii="宋体" w:cs="宋体"/>
                <w:color w:val="auto"/>
                <w:highlight w:val="none"/>
                <w:lang w:val="en-US" w:eastAsia="zh-CN" w:bidi="ar-SA"/>
              </w:rPr>
              <w:t>采购需求一栏表</w:t>
            </w:r>
            <w:r>
              <w:rPr>
                <w:rFonts w:hint="eastAsia" w:ascii="宋体" w:eastAsia="宋体" w:cs="宋体"/>
                <w:color w:val="auto"/>
                <w:highlight w:val="none"/>
                <w:lang w:val="en-US" w:eastAsia="zh-CN" w:bidi="ar-SA"/>
              </w:rPr>
              <w:t>中有特别注明的，按特别注明的执行）</w:t>
            </w:r>
            <w:r>
              <w:rPr>
                <w:rFonts w:hint="eastAsia" w:ascii="宋体" w:eastAsia="宋体" w:cs="宋体"/>
                <w:color w:val="auto"/>
                <w:highlight w:val="none"/>
                <w:lang w:bidi="ar-SA"/>
              </w:rPr>
              <w:t>。</w:t>
            </w:r>
            <w:r>
              <w:rPr>
                <w:rFonts w:hint="eastAsia" w:ascii="宋体" w:hAnsi="宋体" w:eastAsia="宋体" w:cs="宋体"/>
                <w:color w:val="auto"/>
                <w:highlight w:val="none"/>
              </w:rPr>
              <w:t>质保期内所有由于质量问题导致的软、硬件产品故障以免费保修、免费人工及免费更换备件标准上门服务，并提供终身维护。</w:t>
            </w:r>
          </w:p>
          <w:p w14:paraId="3ECC97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s="宋体"/>
                <w:color w:val="auto"/>
                <w:highlight w:val="none"/>
                <w:lang w:val="en-US" w:eastAsia="zh-CN" w:bidi="ar-SA"/>
              </w:rPr>
            </w:pPr>
            <w:r>
              <w:rPr>
                <w:rFonts w:hint="eastAsia" w:ascii="宋体" w:cs="宋体"/>
                <w:color w:val="auto"/>
                <w:highlight w:val="none"/>
                <w:lang w:val="en-US" w:eastAsia="zh-CN" w:bidi="ar-SA"/>
              </w:rPr>
              <w:t>2.</w:t>
            </w:r>
            <w:r>
              <w:rPr>
                <w:rFonts w:hint="eastAsia" w:ascii="宋体" w:eastAsia="宋体" w:cs="宋体"/>
                <w:color w:val="auto"/>
                <w:highlight w:val="none"/>
                <w:lang w:val="en-US" w:eastAsia="zh-CN" w:bidi="ar-SA"/>
              </w:rPr>
              <w:t>结合</w:t>
            </w:r>
            <w:r>
              <w:rPr>
                <w:rFonts w:hint="eastAsia" w:ascii="宋体" w:cs="宋体"/>
                <w:color w:val="auto"/>
                <w:highlight w:val="none"/>
                <w:lang w:val="en-US" w:eastAsia="zh-CN" w:bidi="ar-SA"/>
              </w:rPr>
              <w:t>采购人</w:t>
            </w:r>
            <w:r>
              <w:rPr>
                <w:rFonts w:hint="eastAsia" w:ascii="宋体" w:eastAsia="宋体" w:cs="宋体"/>
                <w:color w:val="auto"/>
                <w:highlight w:val="none"/>
                <w:lang w:val="en-US" w:eastAsia="zh-CN" w:bidi="ar-SA"/>
              </w:rPr>
              <w:t>实际情况，拟定详细的系统实施计划，含客户化修改、测试、试运行、培训及上线计划。承诺保证在合同规定时间内上线及上线系统的基本平稳。</w:t>
            </w:r>
          </w:p>
          <w:p w14:paraId="1A7A08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s="宋体"/>
                <w:color w:val="auto"/>
                <w:highlight w:val="none"/>
                <w:lang w:val="en-US" w:eastAsia="zh-CN" w:bidi="ar-SA"/>
              </w:rPr>
            </w:pPr>
            <w:r>
              <w:rPr>
                <w:rFonts w:hint="eastAsia" w:ascii="宋体" w:cs="宋体"/>
                <w:color w:val="auto"/>
                <w:highlight w:val="none"/>
                <w:lang w:val="en-US" w:eastAsia="zh-CN" w:bidi="ar-SA"/>
              </w:rPr>
              <w:t>3.</w:t>
            </w:r>
            <w:r>
              <w:rPr>
                <w:rFonts w:hint="eastAsia" w:ascii="宋体" w:eastAsia="宋体" w:cs="宋体"/>
                <w:color w:val="auto"/>
                <w:highlight w:val="none"/>
                <w:lang w:val="en-US" w:eastAsia="zh-CN" w:bidi="ar-SA"/>
              </w:rPr>
              <w:t xml:space="preserve">培训：培训对象包括系统管理员、管理人员、操作员，系统管理人员培训内容为系统中涉及的相关技术内容；管理人员培训内容为系统流程和相关管理思想；操作员为系统的操作培训。 </w:t>
            </w:r>
          </w:p>
          <w:p w14:paraId="5AAF9C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eastAsia="宋体" w:cs="宋体"/>
                <w:color w:val="auto"/>
                <w:szCs w:val="21"/>
                <w:highlight w:val="none"/>
                <w:lang w:bidi="ar-SA"/>
              </w:rPr>
            </w:pPr>
            <w:r>
              <w:rPr>
                <w:rFonts w:hint="eastAsia" w:ascii="宋体" w:cs="宋体"/>
                <w:color w:val="auto"/>
                <w:highlight w:val="none"/>
                <w:lang w:val="en-US" w:eastAsia="zh-CN" w:bidi="ar-SA"/>
              </w:rPr>
              <w:t>4.</w:t>
            </w:r>
            <w:r>
              <w:rPr>
                <w:rFonts w:hint="eastAsia" w:ascii="宋体" w:eastAsia="宋体" w:cs="宋体"/>
                <w:color w:val="auto"/>
                <w:highlight w:val="none"/>
                <w:lang w:val="en-US" w:eastAsia="zh-CN" w:bidi="ar-SA"/>
              </w:rPr>
              <w:t>对于系统发生故障或问题时，中标人应提供5×8小时系统故障修复服务，工程师需在4小时内对用户所提出的维修要求做出响应，积极排查故障原因并予以修复。</w:t>
            </w:r>
          </w:p>
        </w:tc>
      </w:tr>
      <w:tr w14:paraId="0DD8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6EEF4219">
            <w:pPr>
              <w:spacing w:line="360" w:lineRule="auto"/>
              <w:ind w:firstLine="27" w:firstLineChars="13"/>
              <w:jc w:val="center"/>
              <w:rPr>
                <w:rFonts w:hint="eastAsia" w:ascii="宋体" w:eastAsia="宋体" w:cs="宋体"/>
                <w:color w:val="auto"/>
                <w:szCs w:val="21"/>
                <w:highlight w:val="none"/>
                <w:lang w:bidi="ar-SA"/>
              </w:rPr>
            </w:pPr>
            <w:r>
              <w:rPr>
                <w:rFonts w:hint="eastAsia" w:ascii="宋体" w:eastAsia="宋体" w:cs="宋体"/>
                <w:color w:val="auto"/>
                <w:szCs w:val="21"/>
                <w:highlight w:val="none"/>
                <w:lang w:val="en-US" w:eastAsia="zh-CN" w:bidi="ar-SA"/>
              </w:rPr>
              <w:t>报价要求</w:t>
            </w:r>
          </w:p>
        </w:tc>
        <w:tc>
          <w:tcPr>
            <w:tcW w:w="7745" w:type="dxa"/>
            <w:tcBorders>
              <w:top w:val="single" w:color="auto" w:sz="4" w:space="0"/>
              <w:bottom w:val="single" w:color="auto" w:sz="4" w:space="0"/>
              <w:right w:val="single" w:color="auto" w:sz="4" w:space="0"/>
            </w:tcBorders>
            <w:noWrap w:val="0"/>
            <w:vAlign w:val="center"/>
          </w:tcPr>
          <w:p w14:paraId="140BF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val="en-US" w:eastAsia="zh-CN" w:bidi="ar-SA"/>
              </w:rPr>
            </w:pPr>
            <w:r>
              <w:rPr>
                <w:rFonts w:hint="eastAsia" w:ascii="宋体" w:hAnsi="宋体" w:eastAsia="宋体" w:cs="宋体"/>
                <w:color w:val="auto"/>
                <w:szCs w:val="21"/>
                <w:highlight w:val="none"/>
              </w:rPr>
              <w:t>报价包含</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完成本项目所有内容及其他相关服务的投入、系统实施(含咨询）、软件开发、集成安装、与医院业务所需所有系统的接口对接费用、项目整体验收前所有医院在用设备的接入和对外连接接口对接或开发费用、</w:t>
            </w:r>
            <w:r>
              <w:rPr>
                <w:rFonts w:hint="eastAsia" w:ascii="宋体" w:hAnsi="宋体" w:eastAsia="宋体" w:cs="宋体"/>
                <w:color w:val="auto"/>
                <w:szCs w:val="21"/>
                <w:highlight w:val="none"/>
                <w:lang w:val="en-US" w:eastAsia="zh-CN"/>
              </w:rPr>
              <w:t>设备及安装调试费用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项目验收费、附加培训、售后服务、税金、利润及其他所有可能发生的一切费用。项目实施过程中，采购人不再支付任何费用。</w:t>
            </w:r>
          </w:p>
        </w:tc>
      </w:tr>
      <w:tr w14:paraId="5AB3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06EC4627">
            <w:pPr>
              <w:spacing w:line="360" w:lineRule="auto"/>
              <w:ind w:firstLine="27" w:firstLineChars="13"/>
              <w:jc w:val="center"/>
              <w:rPr>
                <w:rFonts w:hint="eastAsia" w:ascii="宋体" w:eastAsia="宋体" w:cs="宋体"/>
                <w:color w:val="auto"/>
                <w:szCs w:val="21"/>
                <w:highlight w:val="none"/>
                <w:lang w:eastAsia="zh-CN" w:bidi="ar-SA"/>
              </w:rPr>
            </w:pPr>
            <w:r>
              <w:rPr>
                <w:rFonts w:hint="eastAsia" w:ascii="宋体" w:eastAsia="宋体" w:cs="宋体"/>
                <w:color w:val="auto"/>
                <w:szCs w:val="21"/>
                <w:highlight w:val="none"/>
                <w:lang w:bidi="ar-SA"/>
              </w:rPr>
              <w:t>付款</w:t>
            </w:r>
            <w:r>
              <w:rPr>
                <w:rFonts w:hint="eastAsia" w:ascii="宋体" w:eastAsia="宋体" w:cs="宋体"/>
                <w:color w:val="auto"/>
                <w:szCs w:val="21"/>
                <w:highlight w:val="none"/>
                <w:lang w:val="en-US" w:eastAsia="zh-CN" w:bidi="ar-SA"/>
              </w:rPr>
              <w:t>方式</w:t>
            </w:r>
          </w:p>
        </w:tc>
        <w:tc>
          <w:tcPr>
            <w:tcW w:w="7745" w:type="dxa"/>
            <w:tcBorders>
              <w:top w:val="single" w:color="auto" w:sz="4" w:space="0"/>
              <w:bottom w:val="single" w:color="auto" w:sz="4" w:space="0"/>
              <w:right w:val="single" w:color="auto" w:sz="4" w:space="0"/>
            </w:tcBorders>
            <w:noWrap w:val="0"/>
            <w:vAlign w:val="center"/>
          </w:tcPr>
          <w:p w14:paraId="2BCA3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分三次支付合同款，具体情况如下：</w:t>
            </w:r>
          </w:p>
          <w:p w14:paraId="25975A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1.第一次付款：签订合同后10个工作日内，支付合同金额的30%；</w:t>
            </w:r>
          </w:p>
          <w:p w14:paraId="171731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2.第二次付款：项目验收后10个工作日内，支付合同金额的60%；</w:t>
            </w:r>
          </w:p>
          <w:p w14:paraId="796847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3.第三次付款：项目验收完成满一年后，支付合同金额的10%；</w:t>
            </w:r>
          </w:p>
          <w:p w14:paraId="1089D5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（采购人收到发票后10个工作日内支付资金，使用财政专项资金，按财政批准同意支付时间为准）</w:t>
            </w:r>
          </w:p>
        </w:tc>
      </w:tr>
      <w:tr w14:paraId="13E5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09" w:type="dxa"/>
            <w:tcBorders>
              <w:top w:val="single" w:color="auto" w:sz="4" w:space="0"/>
              <w:left w:val="single" w:color="auto" w:sz="4" w:space="0"/>
              <w:bottom w:val="single" w:color="auto" w:sz="4" w:space="0"/>
              <w:right w:val="single" w:color="auto" w:sz="4" w:space="0"/>
            </w:tcBorders>
            <w:noWrap w:val="0"/>
            <w:vAlign w:val="center"/>
          </w:tcPr>
          <w:p w14:paraId="364323EF">
            <w:pPr>
              <w:spacing w:line="360" w:lineRule="exact"/>
              <w:rPr>
                <w:rFonts w:hint="eastAsia" w:ascii="宋体" w:eastAsia="宋体" w:cs="宋体"/>
                <w:color w:val="auto"/>
                <w:szCs w:val="21"/>
                <w:highlight w:val="none"/>
                <w:lang w:bidi="ar-SA"/>
              </w:rPr>
            </w:pPr>
            <w:r>
              <w:rPr>
                <w:rFonts w:hint="eastAsia" w:ascii="宋体" w:hAnsi="宋体" w:eastAsia="宋体" w:cs="宋体"/>
                <w:color w:val="auto"/>
                <w:szCs w:val="21"/>
                <w:highlight w:val="none"/>
              </w:rPr>
              <w:t>验收标准、验收方法及方案</w:t>
            </w:r>
          </w:p>
        </w:tc>
        <w:tc>
          <w:tcPr>
            <w:tcW w:w="7745" w:type="dxa"/>
            <w:tcBorders>
              <w:top w:val="single" w:color="auto" w:sz="4" w:space="0"/>
              <w:bottom w:val="single" w:color="auto" w:sz="4" w:space="0"/>
              <w:right w:val="single" w:color="auto" w:sz="4" w:space="0"/>
            </w:tcBorders>
            <w:noWrap w:val="0"/>
            <w:vAlign w:val="center"/>
          </w:tcPr>
          <w:p w14:paraId="522C0918">
            <w:pPr>
              <w:spacing w:line="36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（一）</w:t>
            </w:r>
            <w:r>
              <w:rPr>
                <w:rFonts w:hint="eastAsia" w:ascii="宋体" w:hAnsi="宋体" w:eastAsia="宋体" w:cs="宋体"/>
                <w:bCs/>
                <w:color w:val="auto"/>
                <w:szCs w:val="21"/>
                <w:highlight w:val="none"/>
                <w:lang w:val="en-US" w:eastAsia="zh-CN"/>
              </w:rPr>
              <w:t>软件部分：</w:t>
            </w:r>
          </w:p>
          <w:p w14:paraId="2DB7459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为了确保系统未来稳定运行，</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根据采购</w:t>
            </w:r>
            <w:r>
              <w:rPr>
                <w:rFonts w:hint="eastAsia" w:ascii="宋体" w:hAnsi="宋体" w:cs="宋体"/>
                <w:color w:val="auto"/>
                <w:szCs w:val="21"/>
                <w:highlight w:val="none"/>
                <w:lang w:val="en-US" w:eastAsia="zh-CN"/>
              </w:rPr>
              <w:t>文件的</w:t>
            </w:r>
            <w:r>
              <w:rPr>
                <w:rFonts w:hint="eastAsia" w:ascii="宋体" w:hAnsi="宋体" w:cs="宋体"/>
                <w:color w:val="auto"/>
                <w:szCs w:val="21"/>
                <w:highlight w:val="none"/>
              </w:rPr>
              <w:t>要求</w:t>
            </w:r>
            <w:r>
              <w:rPr>
                <w:rFonts w:hint="eastAsia" w:ascii="宋体" w:hAnsi="宋体" w:cs="宋体"/>
                <w:color w:val="auto"/>
                <w:szCs w:val="21"/>
                <w:highlight w:val="none"/>
                <w:lang w:val="en-US" w:eastAsia="zh-CN"/>
              </w:rPr>
              <w:t>及成交供应商响应文件的响应内容</w:t>
            </w:r>
            <w:r>
              <w:rPr>
                <w:rFonts w:hint="eastAsia" w:ascii="宋体" w:hAnsi="宋体" w:cs="宋体"/>
                <w:color w:val="auto"/>
                <w:szCs w:val="21"/>
                <w:highlight w:val="none"/>
              </w:rPr>
              <w:t>进行检测验收，确保项目满足国家标准、行业标准及上述要求。从系统的实用性、稳定性、可维护性、可操作性及系统文档、规范及注释说明等方面，具体验收按照</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列出</w:t>
            </w:r>
            <w:r>
              <w:rPr>
                <w:rFonts w:hint="eastAsia" w:ascii="宋体" w:hAnsi="宋体" w:cs="宋体"/>
                <w:color w:val="auto"/>
                <w:szCs w:val="21"/>
                <w:highlight w:val="none"/>
              </w:rPr>
              <w:t>的系统</w:t>
            </w:r>
            <w:r>
              <w:rPr>
                <w:rFonts w:hint="eastAsia" w:ascii="宋体" w:hAnsi="宋体" w:cs="宋体"/>
                <w:color w:val="auto"/>
                <w:szCs w:val="21"/>
                <w:highlight w:val="none"/>
                <w:lang w:val="en-US" w:eastAsia="zh-CN"/>
              </w:rPr>
              <w:t>功能进行</w:t>
            </w:r>
            <w:r>
              <w:rPr>
                <w:rFonts w:hint="eastAsia" w:ascii="宋体" w:hAnsi="宋体" w:cs="宋体"/>
                <w:color w:val="auto"/>
                <w:szCs w:val="21"/>
                <w:highlight w:val="none"/>
              </w:rPr>
              <w:t>验收</w:t>
            </w:r>
            <w:r>
              <w:rPr>
                <w:rFonts w:hint="eastAsia" w:ascii="宋体" w:hAnsi="宋体" w:cs="宋体"/>
                <w:color w:val="auto"/>
                <w:szCs w:val="21"/>
                <w:highlight w:val="none"/>
                <w:lang w:eastAsia="zh-CN"/>
              </w:rPr>
              <w:t>。</w:t>
            </w:r>
          </w:p>
          <w:p w14:paraId="603B14EC">
            <w:pPr>
              <w:spacing w:line="360" w:lineRule="exac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（二）硬件部分：</w:t>
            </w:r>
          </w:p>
          <w:p w14:paraId="05B27F51">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1.采购人对成交人提交的货物依据采购文件上的技术规格要求和国家有关质量标准进行现场签收，外观、说明书符合采购文件技术要求的，给予签收，不合格的不予签收。</w:t>
            </w:r>
          </w:p>
          <w:p w14:paraId="1B5DD560">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成交人交货前应对产品作出全面检查和对验收文件进行整理，并列出清单，作为采购人收货验收和使用的技术条件依据，检验的结果应随货物交采购人。成交人不能完整交付货物及本款规定的单证和工具的，必须负责补齐，否则视为未按合同约定交货。</w:t>
            </w:r>
          </w:p>
          <w:p w14:paraId="1F9AB94E">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成交人需负责安装、调试，并培训采购人的使用操作人员，直到设备运行符合技术要求，采购人方可验收。</w:t>
            </w:r>
          </w:p>
          <w:p w14:paraId="5A341CC9">
            <w:pPr>
              <w:spacing w:line="360" w:lineRule="exact"/>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验收方案:</w:t>
            </w:r>
          </w:p>
          <w:p w14:paraId="25F84A5C">
            <w:pPr>
              <w:spacing w:line="36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）在项目完成且收到供应商验收申请后5个工作日内组织开展履约验收。</w:t>
            </w:r>
          </w:p>
          <w:p w14:paraId="5F432D2F">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）验收过程中所产生的一切费用均由成交人承担，报价时应考虑相关费用。</w:t>
            </w:r>
          </w:p>
          <w:p w14:paraId="2050C9A7">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）由验收小组对照</w:t>
            </w:r>
            <w:r>
              <w:rPr>
                <w:rFonts w:hint="eastAsia" w:ascii="宋体" w:hAnsi="宋体" w:cs="宋体"/>
                <w:bCs/>
                <w:color w:val="auto"/>
                <w:szCs w:val="21"/>
                <w:highlight w:val="none"/>
                <w:lang w:val="en-US" w:eastAsia="zh-CN"/>
              </w:rPr>
              <w:t>采购</w:t>
            </w:r>
            <w:r>
              <w:rPr>
                <w:rFonts w:hint="eastAsia" w:ascii="宋体" w:hAnsi="宋体" w:eastAsia="宋体" w:cs="宋体"/>
                <w:bCs/>
                <w:color w:val="auto"/>
                <w:szCs w:val="21"/>
                <w:highlight w:val="none"/>
              </w:rPr>
              <w:t>文件的技术参数要求核对检验，如不符合</w:t>
            </w:r>
            <w:r>
              <w:rPr>
                <w:rFonts w:hint="eastAsia" w:ascii="宋体" w:hAnsi="宋体" w:cs="宋体"/>
                <w:bCs/>
                <w:color w:val="auto"/>
                <w:szCs w:val="21"/>
                <w:highlight w:val="none"/>
                <w:lang w:val="en-US" w:eastAsia="zh-CN"/>
              </w:rPr>
              <w:t>采购</w:t>
            </w:r>
            <w:r>
              <w:rPr>
                <w:rFonts w:hint="eastAsia" w:ascii="宋体" w:hAnsi="宋体" w:eastAsia="宋体" w:cs="宋体"/>
                <w:bCs/>
                <w:color w:val="auto"/>
                <w:szCs w:val="21"/>
                <w:highlight w:val="none"/>
              </w:rPr>
              <w:t>文件的技术参数要求的，按合同约定执行，成交人承担所有责任和费用。采购人保留进一步追究责任的权利。</w:t>
            </w:r>
          </w:p>
          <w:p w14:paraId="4C7BB10B">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a.验收活动开始前，成交人应对货物作出全面检查和对验收文件进行整理，并列出清单，作为采购人收货验收和使用的技术条件依据。</w:t>
            </w:r>
          </w:p>
          <w:p w14:paraId="7555FC5C">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b.因验收不合格的，需要再次组织验收的，由此产生相关成本费用由成交人承担。</w:t>
            </w:r>
          </w:p>
          <w:p w14:paraId="7F423234">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）项目验收过程中，需委托第三方检测机构介入的，费用由成交人另行承担。</w:t>
            </w:r>
          </w:p>
          <w:p w14:paraId="03D7C5FA">
            <w:pPr>
              <w:spacing w:line="360" w:lineRule="exact"/>
              <w:rPr>
                <w:rFonts w:hint="eastAsia" w:ascii="宋体" w:eastAsia="宋体" w:cs="宋体"/>
                <w:color w:val="auto"/>
                <w:highlight w:val="none"/>
                <w:lang w:val="en-US" w:eastAsia="zh-CN" w:bidi="ar-SA"/>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四</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tc>
      </w:tr>
    </w:tbl>
    <w:p w14:paraId="494FEEAE">
      <w:pPr>
        <w:spacing w:line="360" w:lineRule="auto"/>
        <w:jc w:val="left"/>
        <w:rPr>
          <w:rFonts w:hint="eastAsia" w:ascii="宋体" w:eastAsia="宋体" w:cs="宋体"/>
          <w:bCs/>
          <w:color w:val="auto"/>
          <w:szCs w:val="21"/>
          <w:highlight w:val="none"/>
          <w:u w:val="single"/>
          <w:lang w:bidi="ar-SA"/>
        </w:rPr>
      </w:pPr>
    </w:p>
    <w:p w14:paraId="2E486CA4">
      <w:pPr>
        <w:pStyle w:val="16"/>
        <w:jc w:val="center"/>
        <w:rPr>
          <w:rFonts w:hint="eastAsia" w:ascii="宋体" w:eastAsia="宋体" w:cs="宋体"/>
          <w:bCs/>
          <w:color w:val="auto"/>
          <w:szCs w:val="21"/>
          <w:highlight w:val="none"/>
          <w:u w:val="single"/>
          <w:lang w:bidi="ar-SA"/>
        </w:rPr>
        <w:sectPr>
          <w:pgSz w:w="11906" w:h="16838"/>
          <w:pgMar w:top="1134" w:right="1134" w:bottom="1134" w:left="1134" w:header="851" w:footer="992" w:gutter="0"/>
          <w:pgNumType w:fmt="decimal"/>
          <w:cols w:space="0" w:num="1"/>
          <w:titlePg/>
          <w:rtlGutter w:val="0"/>
          <w:docGrid w:type="lines" w:linePitch="312" w:charSpace="0"/>
        </w:sectPr>
      </w:pPr>
    </w:p>
    <w:p w14:paraId="2A606FEC">
      <w:pPr>
        <w:pStyle w:val="4"/>
        <w:jc w:val="center"/>
        <w:rPr>
          <w:rFonts w:hint="eastAsia" w:ascii="宋体" w:eastAsia="宋体" w:cs="宋体"/>
          <w:color w:val="auto"/>
          <w:highlight w:val="none"/>
          <w:lang w:bidi="ar-SA"/>
        </w:rPr>
      </w:pPr>
      <w:bookmarkStart w:id="31" w:name="_Toc27589"/>
      <w:r>
        <w:rPr>
          <w:rFonts w:hint="eastAsia" w:ascii="宋体" w:eastAsia="宋体" w:cs="宋体"/>
          <w:color w:val="auto"/>
          <w:highlight w:val="none"/>
          <w:lang w:bidi="ar-SA"/>
        </w:rPr>
        <w:t>第四章 评审程序、评审方法和评审标准</w:t>
      </w:r>
      <w:bookmarkEnd w:id="31"/>
    </w:p>
    <w:p w14:paraId="4774D62D">
      <w:pPr>
        <w:spacing w:line="360" w:lineRule="auto"/>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一、评审程序和评审方法</w:t>
      </w:r>
    </w:p>
    <w:p w14:paraId="33A2BD21">
      <w:pPr>
        <w:spacing w:line="360" w:lineRule="auto"/>
        <w:ind w:firstLine="482" w:firstLineChars="200"/>
        <w:rPr>
          <w:rFonts w:hint="eastAsia" w:ascii="宋体" w:eastAsia="宋体" w:cs="宋体"/>
          <w:b/>
          <w:bCs/>
          <w:color w:val="auto"/>
          <w:sz w:val="24"/>
          <w:highlight w:val="none"/>
          <w:lang w:bidi="ar-SA"/>
        </w:rPr>
      </w:pPr>
    </w:p>
    <w:p w14:paraId="6DBE6BD6">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1.资格审查</w:t>
      </w:r>
    </w:p>
    <w:p w14:paraId="7914ABFD">
      <w:pPr>
        <w:snapToGrid w:val="0"/>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1.1响应文件开启后，磋商小组依法对供应商的资格证明文件进行审查。</w:t>
      </w:r>
    </w:p>
    <w:p w14:paraId="7A1A2558">
      <w:pPr>
        <w:snapToGrid w:val="0"/>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（1）查询渠道：“信用中国”网站（www.creditchina.gov.cn）、中国政府采购网（</w:t>
      </w:r>
      <w:r>
        <w:rPr>
          <w:rFonts w:hint="eastAsia" w:ascii="宋体" w:eastAsia="宋体" w:cs="宋体"/>
          <w:color w:val="auto"/>
          <w:highlight w:val="none"/>
          <w:lang w:bidi="ar-SA"/>
        </w:rPr>
        <w:fldChar w:fldCharType="begin"/>
      </w:r>
      <w:r>
        <w:rPr>
          <w:rFonts w:hint="eastAsia" w:ascii="宋体" w:eastAsia="宋体" w:cs="宋体"/>
          <w:color w:val="auto"/>
          <w:highlight w:val="none"/>
          <w:lang w:bidi="ar-SA"/>
        </w:rPr>
        <w:instrText xml:space="preserve">HYPERLINK "http://www.ccgp.gov.cn"</w:instrText>
      </w:r>
      <w:r>
        <w:rPr>
          <w:rFonts w:hint="eastAsia" w:ascii="宋体" w:eastAsia="宋体" w:cs="宋体"/>
          <w:color w:val="auto"/>
          <w:highlight w:val="none"/>
          <w:lang w:bidi="ar-SA"/>
        </w:rPr>
        <w:fldChar w:fldCharType="separate"/>
      </w:r>
      <w:r>
        <w:rPr>
          <w:rFonts w:hint="eastAsia" w:ascii="宋体" w:eastAsia="宋体" w:cs="宋体"/>
          <w:color w:val="auto"/>
          <w:highlight w:val="none"/>
          <w:lang w:bidi="ar-SA"/>
        </w:rPr>
        <w:t>www.ccgp.gov.cn</w:t>
      </w:r>
      <w:r>
        <w:rPr>
          <w:rFonts w:hint="eastAsia" w:ascii="宋体" w:eastAsia="宋体" w:cs="宋体"/>
          <w:color w:val="auto"/>
          <w:szCs w:val="21"/>
          <w:highlight w:val="none"/>
          <w:lang w:bidi="ar-SA"/>
        </w:rPr>
        <w:fldChar w:fldCharType="end"/>
      </w:r>
      <w:r>
        <w:rPr>
          <w:rFonts w:hint="eastAsia" w:ascii="宋体" w:eastAsia="宋体" w:cs="宋体"/>
          <w:color w:val="auto"/>
          <w:szCs w:val="21"/>
          <w:highlight w:val="none"/>
          <w:lang w:bidi="ar-SA"/>
        </w:rPr>
        <w:t>）</w:t>
      </w:r>
    </w:p>
    <w:p w14:paraId="37D8D9DC">
      <w:pPr>
        <w:snapToGrid w:val="0"/>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（2）信用查询截止时点：资格审查结束前</w:t>
      </w:r>
    </w:p>
    <w:p w14:paraId="4DF2AD5B">
      <w:pPr>
        <w:snapToGrid w:val="0"/>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（3）查询记录和证据留存方式：通过</w:t>
      </w:r>
      <w:r>
        <w:rPr>
          <w:rFonts w:hint="eastAsia" w:ascii="宋体" w:eastAsia="宋体" w:cs="宋体"/>
          <w:color w:val="auto"/>
          <w:szCs w:val="21"/>
          <w:highlight w:val="none"/>
          <w:lang w:eastAsia="zh-CN" w:bidi="ar-SA"/>
        </w:rPr>
        <w:t>广西政府采购云平台</w:t>
      </w:r>
      <w:r>
        <w:rPr>
          <w:rFonts w:hint="eastAsia" w:ascii="宋体" w:eastAsia="宋体" w:cs="宋体"/>
          <w:color w:val="auto"/>
          <w:szCs w:val="21"/>
          <w:highlight w:val="none"/>
          <w:lang w:bidi="ar-SA"/>
        </w:rPr>
        <w:t>链接到相关查询网站进行查询及记录。</w:t>
      </w:r>
    </w:p>
    <w:p w14:paraId="7883D177">
      <w:pPr>
        <w:snapToGrid w:val="0"/>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0DB95F3">
      <w:pPr>
        <w:snapToGrid w:val="0"/>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1.2资格审查标准为本磋商文件中载明对供应商资格要求的条件。资格审查采用合格制，凡符合磋商文件规定的供应商资格要求的响应文件均通过资格审查。</w:t>
      </w:r>
    </w:p>
    <w:p w14:paraId="497381B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1.3供应商有下列情形之一的，资格审查不通过，其响应文件按无效响应处理：</w:t>
      </w:r>
    </w:p>
    <w:p w14:paraId="405708B6">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（1）不具备磋商文件中规定的资格要求的；</w:t>
      </w:r>
    </w:p>
    <w:p w14:paraId="6401E94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（2）响应文件的资格证明文件缺少任一项“供应商须知前附表”资格证明文件规定的“必须提供”的文件资料的；</w:t>
      </w:r>
    </w:p>
    <w:p w14:paraId="4F70BA1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（3）响应文件中的资格证明文件出现任一项不符合“供应商须知前附表”资格证明文件规定的“必须提供”的文件资料要求或者无效的；</w:t>
      </w:r>
    </w:p>
    <w:p w14:paraId="141FC85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（4）同一合同项下的不同供应商，单位负责人为同一人或者存在直接控股、管理关系的；为本项目提供过整体设计、规范编制或者项目管理、监理、检测等服务的供应商，再参加该采购项目的其他采购活动的。</w:t>
      </w:r>
    </w:p>
    <w:p w14:paraId="62E3BABA">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1.4通过资格审查的合格供应商不足3家的，不得进入符合性审查环节，采购人或者采购代理机构应当重新开展采购活动。</w:t>
      </w:r>
    </w:p>
    <w:p w14:paraId="0C78009B">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2.符合性审查</w:t>
      </w:r>
    </w:p>
    <w:p w14:paraId="011737C3">
      <w:pPr>
        <w:spacing w:line="360" w:lineRule="auto"/>
        <w:ind w:firstLine="420" w:firstLineChars="200"/>
        <w:rPr>
          <w:rFonts w:hint="eastAsia" w:ascii="宋体" w:eastAsia="宋体" w:cs="宋体"/>
          <w:color w:val="auto"/>
          <w:szCs w:val="21"/>
          <w:highlight w:val="none"/>
          <w:lang w:bidi="ar-SA"/>
        </w:rPr>
      </w:pPr>
      <w:bookmarkStart w:id="32" w:name="_Hlk42528882"/>
      <w:r>
        <w:rPr>
          <w:rFonts w:hint="eastAsia" w:ascii="宋体" w:eastAsia="宋体" w:cs="宋体"/>
          <w:color w:val="auto"/>
          <w:szCs w:val="21"/>
          <w:highlight w:val="none"/>
          <w:lang w:bidi="ar-SA"/>
        </w:rPr>
        <w:t>2.1由磋商小组对资格审查的合格供应商的响应文件的竞标报价、商务、技术等实质性要求进行符合性审查，以确定其是否满足磋商文件的实质性要求。</w:t>
      </w:r>
    </w:p>
    <w:bookmarkEnd w:id="32"/>
    <w:p w14:paraId="7053E16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F39A01">
      <w:pPr>
        <w:spacing w:line="360" w:lineRule="auto"/>
        <w:ind w:firstLine="420" w:firstLineChars="200"/>
        <w:rPr>
          <w:rFonts w:hint="eastAsia" w:ascii="宋体" w:eastAsia="宋体" w:cs="宋体"/>
          <w:color w:val="auto"/>
          <w:spacing w:val="-6"/>
          <w:szCs w:val="21"/>
          <w:highlight w:val="none"/>
          <w:lang w:bidi="ar-SA"/>
        </w:rPr>
      </w:pPr>
      <w:r>
        <w:rPr>
          <w:rFonts w:hint="eastAsia" w:ascii="宋体" w:eastAsia="宋体" w:cs="宋体"/>
          <w:color w:val="auto"/>
          <w:szCs w:val="21"/>
          <w:highlight w:val="none"/>
          <w:lang w:bidi="ar-SA"/>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eastAsia="宋体" w:cs="宋体"/>
          <w:color w:val="auto"/>
          <w:spacing w:val="-6"/>
          <w:szCs w:val="21"/>
          <w:highlight w:val="none"/>
          <w:lang w:bidi="ar-SA"/>
        </w:rPr>
        <w:t>。供应商为自然人的，必须由本人签字并附身份证明。</w:t>
      </w:r>
    </w:p>
    <w:p w14:paraId="4410067F">
      <w:pPr>
        <w:spacing w:line="360" w:lineRule="auto"/>
        <w:ind w:firstLine="396" w:firstLineChars="200"/>
        <w:rPr>
          <w:rFonts w:hint="eastAsia" w:ascii="宋体" w:eastAsia="宋体" w:cs="宋体"/>
          <w:color w:val="auto"/>
          <w:szCs w:val="21"/>
          <w:highlight w:val="none"/>
          <w:lang w:bidi="ar-SA"/>
        </w:rPr>
      </w:pPr>
      <w:r>
        <w:rPr>
          <w:rFonts w:hint="eastAsia" w:ascii="宋体" w:eastAsia="宋体" w:cs="宋体"/>
          <w:color w:val="auto"/>
          <w:spacing w:val="-6"/>
          <w:szCs w:val="21"/>
          <w:highlight w:val="none"/>
          <w:lang w:bidi="ar-SA"/>
        </w:rPr>
        <w:t>2.4</w:t>
      </w:r>
      <w:r>
        <w:rPr>
          <w:rFonts w:hint="eastAsia" w:ascii="宋体" w:eastAsia="宋体" w:cs="宋体"/>
          <w:color w:val="auto"/>
          <w:szCs w:val="21"/>
          <w:highlight w:val="none"/>
          <w:lang w:bidi="ar-SA"/>
        </w:rPr>
        <w:t xml:space="preserve">首次响应文件报价出现前后不一致的，按照下列规定修正： </w:t>
      </w:r>
    </w:p>
    <w:p w14:paraId="29E4522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（1）响应文件中报价表内容与响应文件中相应内容不一致的，以报价表为准；</w:t>
      </w:r>
    </w:p>
    <w:p w14:paraId="4E44DEC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（2）大写金额和小写金额不一致的，以大写金额为准；</w:t>
      </w:r>
    </w:p>
    <w:p w14:paraId="3DE636C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（3）单价金额小数点或者百分比有明显错位的，以报价表的总价为准，并修改单价；</w:t>
      </w:r>
    </w:p>
    <w:p w14:paraId="1F5B688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（4）总价金额与按单价汇总金额不一致的，以单价金额计算结果为准。</w:t>
      </w:r>
    </w:p>
    <w:p w14:paraId="4F404B59">
      <w:pPr>
        <w:spacing w:line="360" w:lineRule="auto"/>
        <w:ind w:firstLine="420" w:firstLineChars="200"/>
        <w:rPr>
          <w:rFonts w:hint="eastAsia" w:ascii="宋体" w:eastAsia="宋体" w:cs="宋体"/>
          <w:color w:val="auto"/>
          <w:szCs w:val="21"/>
          <w:highlight w:val="none"/>
          <w:lang w:val="en-US" w:eastAsia="zh-CN" w:bidi="ar-SA"/>
        </w:rPr>
      </w:pPr>
      <w:r>
        <w:rPr>
          <w:rFonts w:hint="eastAsia" w:ascii="宋体" w:eastAsia="宋体" w:cs="宋体"/>
          <w:color w:val="auto"/>
          <w:szCs w:val="21"/>
          <w:highlight w:val="none"/>
          <w:lang w:bidi="ar-SA"/>
        </w:rPr>
        <w:t>同时出现两种以上不一致的，按照以上（1）-（4）规定的顺序逐条进行修正。修正后的报价经供应商确认后产生约束力，供应商不确认的，其响应文件按无效响应处理。</w:t>
      </w:r>
      <w:r>
        <w:rPr>
          <w:rFonts w:hint="eastAsia" w:ascii="宋体" w:eastAsia="宋体" w:cs="宋体"/>
          <w:color w:val="auto"/>
          <w:szCs w:val="21"/>
          <w:highlight w:val="none"/>
          <w:lang w:val="en-US" w:eastAsia="zh-CN" w:bidi="ar-SA"/>
        </w:rPr>
        <w:t>报价保留小数点后两位。</w:t>
      </w:r>
    </w:p>
    <w:p w14:paraId="3AFA835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2.5商务技术报价评审</w:t>
      </w:r>
    </w:p>
    <w:p w14:paraId="61768FB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在评审时，如发现下列情形之一的，将被视为响应文件无效响应处理：</w:t>
      </w:r>
    </w:p>
    <w:p w14:paraId="1157210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（1）商务技术评审</w:t>
      </w:r>
    </w:p>
    <w:p w14:paraId="51F5E91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1）响应文件未按磋商文件要求签署、盖章；</w:t>
      </w:r>
    </w:p>
    <w:p w14:paraId="69A81F3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2）委托代理人未能出具有效身份证或者出具的身份证与授权委托书中的信息不符的； </w:t>
      </w:r>
    </w:p>
    <w:p w14:paraId="1C2E820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3）提交的磋商保证金无效的或者未按照磋商文件的规定提交磋商保证金；</w:t>
      </w:r>
    </w:p>
    <w:p w14:paraId="5B83E2B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4）响应文件中的报价商务技术文件出现任一项不符合“供应商须知前附表”中“必须提供”或者“委托时必须提供”文件资料要求的规定或者提供的报价商务技术文件无效。</w:t>
      </w:r>
    </w:p>
    <w:p w14:paraId="54BA4BF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5）商务条款中标“</w:t>
      </w:r>
      <w:r>
        <w:rPr>
          <w:rFonts w:hint="eastAsia" w:ascii="宋体" w:cs="宋体"/>
          <w:color w:val="auto"/>
          <w:szCs w:val="21"/>
          <w:highlight w:val="none"/>
          <w:lang w:eastAsia="zh-CN" w:bidi="ar-SA"/>
        </w:rPr>
        <w:t>▲</w:t>
      </w:r>
      <w:r>
        <w:rPr>
          <w:rFonts w:hint="eastAsia" w:ascii="宋体" w:eastAsia="宋体" w:cs="宋体"/>
          <w:color w:val="auto"/>
          <w:szCs w:val="21"/>
          <w:highlight w:val="none"/>
          <w:lang w:bidi="ar-SA"/>
        </w:rPr>
        <w:t>”的条款发生负偏离或者允许负偏离的条款数超过“供应商须知前附表”规定项数的；</w:t>
      </w:r>
    </w:p>
    <w:p w14:paraId="2EE00D1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6）未对竞标有效期作出响应或者响应文件承诺的竞标有效期不满足磋商文件要求；</w:t>
      </w:r>
    </w:p>
    <w:p w14:paraId="3ED067CC">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7）响应文件的实质性内容未使用中文表述、使用计量单位不符合磋商文件要求；</w:t>
      </w:r>
    </w:p>
    <w:p w14:paraId="51F5859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8）响应文件中的文件资料因填写不齐全或者内容虚假或者出现其他情形而导致被磋商小组认定无效；</w:t>
      </w:r>
    </w:p>
    <w:p w14:paraId="69D10CD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9）响应文件含有采购人不能接受的附加条件；</w:t>
      </w:r>
    </w:p>
    <w:p w14:paraId="5C91903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10）属于“供应商须知正文”第7.5条情形；</w:t>
      </w:r>
    </w:p>
    <w:p w14:paraId="61BCFB2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11）技术要求中标“</w:t>
      </w:r>
      <w:r>
        <w:rPr>
          <w:rFonts w:hint="eastAsia" w:ascii="宋体" w:cs="宋体"/>
          <w:color w:val="auto"/>
          <w:szCs w:val="21"/>
          <w:highlight w:val="none"/>
          <w:lang w:eastAsia="zh-CN" w:bidi="ar-SA"/>
        </w:rPr>
        <w:t>▲</w:t>
      </w:r>
      <w:r>
        <w:rPr>
          <w:rFonts w:hint="eastAsia" w:ascii="宋体" w:eastAsia="宋体" w:cs="宋体"/>
          <w:color w:val="auto"/>
          <w:szCs w:val="21"/>
          <w:highlight w:val="none"/>
          <w:lang w:bidi="ar-SA"/>
        </w:rPr>
        <w:t>”的条款发生负偏离或允许负偏离的条款数超过“供应商须知前附表”规定项数的；</w:t>
      </w:r>
    </w:p>
    <w:p w14:paraId="3BB5FFE1">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12）虚假竞标，或者出现其他情形而导致被磋商小组认定无效；</w:t>
      </w:r>
    </w:p>
    <w:p w14:paraId="01FEA17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13）</w:t>
      </w:r>
      <w:bookmarkStart w:id="33" w:name="_Hlk71704147"/>
      <w:r>
        <w:rPr>
          <w:rFonts w:hint="eastAsia" w:ascii="宋体" w:eastAsia="宋体" w:cs="宋体"/>
          <w:color w:val="auto"/>
          <w:szCs w:val="21"/>
          <w:highlight w:val="none"/>
          <w:lang w:bidi="ar-SA"/>
        </w:rPr>
        <w:t>磋商文件未载明允许提供备选（替代）竞标方案或明确不允许提供备选（替代）竞标方案时，供应商提供了备选（替代）竞标方案的；</w:t>
      </w:r>
      <w:bookmarkEnd w:id="33"/>
    </w:p>
    <w:p w14:paraId="69FE3CD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14）响应文件标注的项目名称或者项目编号与磋商文件标注的项目名称或者项目编号不一致的；</w:t>
      </w:r>
    </w:p>
    <w:p w14:paraId="1CA4250E">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15）竞争性磋商文件明确不允许分包，响应文件拟分包的；</w:t>
      </w:r>
    </w:p>
    <w:p w14:paraId="3517E740">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16）未响应磋商文件实质性要求；</w:t>
      </w:r>
    </w:p>
    <w:p w14:paraId="620D8A7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17）法律、法规和磋商文件规定的其他无效情形。</w:t>
      </w:r>
    </w:p>
    <w:p w14:paraId="52B6ED5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（2）报价评审</w:t>
      </w:r>
    </w:p>
    <w:p w14:paraId="3B8CE15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 响应文件未提供“供应商须知前附表” 报价商务技术文件中规定的“竞标报价表”；</w:t>
      </w:r>
    </w:p>
    <w:p w14:paraId="19F29DA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2）未采用人民币报价或者未按照磋商文件标明的币种报价；</w:t>
      </w:r>
    </w:p>
    <w:p w14:paraId="05D5166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464323A">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4）最后报价超过所竞标分标规定的采购预算金额或者最高限价的（如本项目公布了最高限价）；</w:t>
      </w:r>
      <w:bookmarkStart w:id="34" w:name="_Hlk42596405"/>
      <w:r>
        <w:rPr>
          <w:rFonts w:hint="eastAsia" w:ascii="宋体" w:eastAsia="宋体" w:cs="宋体"/>
          <w:color w:val="auto"/>
          <w:szCs w:val="21"/>
          <w:highlight w:val="none"/>
          <w:lang w:bidi="ar-SA"/>
        </w:rPr>
        <w:t xml:space="preserve"> </w:t>
      </w:r>
      <w:bookmarkEnd w:id="34"/>
    </w:p>
    <w:p w14:paraId="427BD78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5）修正后的报价，供应商不确认的；或者经供应商确认修正后的最后报价超过所竞标分标规定的采购预算金额或者最高限价（如本项目公布了最高限价）；</w:t>
      </w:r>
    </w:p>
    <w:p w14:paraId="3503622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6）响应文件响应的标的数量及单位与竞争性磋商文件要求实质性不一致的。</w:t>
      </w:r>
    </w:p>
    <w:p w14:paraId="00FAD17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047E8FF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D3BE415">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3.磋商程序</w:t>
      </w:r>
    </w:p>
    <w:p w14:paraId="4364A12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3.1磋商小组按照“供应商须知前附表”</w:t>
      </w:r>
      <w:r>
        <w:rPr>
          <w:rFonts w:hint="eastAsia" w:ascii="宋体" w:eastAsia="宋体" w:cs="宋体"/>
          <w:color w:val="auto"/>
          <w:szCs w:val="21"/>
          <w:highlight w:val="none"/>
          <w:lang w:bidi="ar-SA"/>
        </w:rPr>
        <w:t xml:space="preserve"> </w:t>
      </w:r>
      <w:r>
        <w:rPr>
          <w:rFonts w:hint="eastAsia" w:ascii="宋体" w:eastAsia="宋体" w:cs="宋体"/>
          <w:color w:val="auto"/>
          <w:kern w:val="0"/>
          <w:szCs w:val="21"/>
          <w:highlight w:val="none"/>
          <w:lang w:bidi="ar-SA"/>
        </w:rPr>
        <w:t>确定的</w:t>
      </w:r>
      <w:r>
        <w:rPr>
          <w:rFonts w:hint="eastAsia" w:ascii="宋体" w:eastAsia="宋体" w:cs="宋体"/>
          <w:color w:val="auto"/>
          <w:szCs w:val="21"/>
          <w:highlight w:val="none"/>
          <w:lang w:bidi="ar-SA"/>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B62E85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B23895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3.3对磋商文件作出的实质性变动是磋商文件的有效组成部分，由磋商小组及时以电子磋商记录形式同时通知所有参加磋商的供应商。</w:t>
      </w:r>
    </w:p>
    <w:p w14:paraId="4FA7426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4EE156C2">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3.5磋商中，</w:t>
      </w:r>
      <w:r>
        <w:rPr>
          <w:rFonts w:hint="eastAsia" w:ascii="宋体" w:eastAsia="宋体" w:cs="宋体"/>
          <w:color w:val="auto"/>
          <w:spacing w:val="-6"/>
          <w:szCs w:val="21"/>
          <w:highlight w:val="none"/>
          <w:lang w:bidi="ar-SA"/>
        </w:rPr>
        <w:t>磋商的任何一方不得透露与磋商有关的其他供应商的技术资料、价格和其他信息。</w:t>
      </w:r>
    </w:p>
    <w:p w14:paraId="32537CAC">
      <w:pPr>
        <w:tabs>
          <w:tab w:val="left" w:pos="2835"/>
        </w:tabs>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3.6对磋商过程提交的响应文件进行有效性、完整性和响应程度审查，通过审查的合格供应商不足3家的，采购人或者采购代理机构应当重新开展采购活动。</w:t>
      </w:r>
    </w:p>
    <w:p w14:paraId="0F56FCF3">
      <w:pPr>
        <w:widowControl/>
        <w:tabs>
          <w:tab w:val="left" w:pos="540"/>
        </w:tabs>
        <w:spacing w:line="360" w:lineRule="auto"/>
        <w:ind w:firstLine="420" w:firstLineChars="200"/>
        <w:jc w:val="left"/>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3.7</w:t>
      </w:r>
      <w:r>
        <w:rPr>
          <w:rFonts w:hint="eastAsia" w:ascii="宋体" w:eastAsia="宋体" w:cs="宋体"/>
          <w:color w:val="auto"/>
          <w:highlight w:val="none"/>
          <w:lang w:bidi="ar-SA"/>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F726A42">
      <w:pPr>
        <w:spacing w:line="360" w:lineRule="auto"/>
        <w:ind w:firstLine="482" w:firstLineChars="200"/>
        <w:rPr>
          <w:rFonts w:hint="eastAsia" w:ascii="宋体" w:eastAsia="宋体" w:cs="宋体"/>
          <w:color w:val="auto"/>
          <w:szCs w:val="21"/>
          <w:highlight w:val="none"/>
          <w:lang w:bidi="ar-SA"/>
        </w:rPr>
      </w:pPr>
      <w:r>
        <w:rPr>
          <w:rFonts w:hint="eastAsia" w:ascii="宋体" w:eastAsia="宋体" w:cs="宋体"/>
          <w:b/>
          <w:bCs/>
          <w:color w:val="auto"/>
          <w:sz w:val="24"/>
          <w:highlight w:val="none"/>
          <w:lang w:bidi="ar-SA"/>
        </w:rPr>
        <w:t>4. 最后报价</w:t>
      </w:r>
    </w:p>
    <w:p w14:paraId="64D57EA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4.1磋商文件能够详细列明采购标的的技术、服务要求的，磋商结束后，由磋商小组要求所有继续参加磋商的供应商在规定时间内以电子文件形式提交最后报价，除本章第2.7、3.7、4.3条外，提交最后报价的供应商不得少于3家，否则必须重新采购。</w:t>
      </w:r>
    </w:p>
    <w:p w14:paraId="565AAFEB">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2B29000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eastAsia="宋体" w:cs="宋体"/>
          <w:color w:val="auto"/>
          <w:highlight w:val="none"/>
          <w:lang w:bidi="ar-SA"/>
        </w:rPr>
        <w:t>本章第3.7条情形的，</w:t>
      </w:r>
      <w:r>
        <w:rPr>
          <w:rFonts w:hint="eastAsia" w:ascii="宋体" w:eastAsia="宋体" w:cs="宋体"/>
          <w:color w:val="auto"/>
          <w:szCs w:val="21"/>
          <w:highlight w:val="none"/>
          <w:lang w:bidi="ar-SA"/>
        </w:rPr>
        <w:t>提交最后报价的供应商可以为2家。</w:t>
      </w:r>
    </w:p>
    <w:p w14:paraId="485A642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4.4已经提交响应文件的供应商，在提交最后报价之前，可以根据磋商情况退出磋商，退出磋商的供应商的响应文件按无效响应处理。采购人、采购代理机构将退还退出磋商的供应商的保证金。</w:t>
      </w:r>
    </w:p>
    <w:p w14:paraId="75B28CD4">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4.5供应商未在规定时间内提交最后报价的，视同退出磋商。</w:t>
      </w:r>
    </w:p>
    <w:p w14:paraId="533C07D6">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4.6磋商小组收齐某一分标最后报价后或达到规定时间后统一开启，磋商小组对最后报价进行有效性、完整性和响应程度的审查。</w:t>
      </w:r>
    </w:p>
    <w:p w14:paraId="1BFF8E1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 xml:space="preserve">4.7响应文件最后报价出现前后不一致的，按照本章第2.4条的规定修正。 </w:t>
      </w:r>
    </w:p>
    <w:p w14:paraId="2C0821E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4.8经供应商确认修正后的最后报价作为评审及签订合同的依据。</w:t>
      </w:r>
    </w:p>
    <w:p w14:paraId="3B3F7BF5">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4.9供应商出现最后报价按无效响应处理或者响应文件按无效响应处理时</w:t>
      </w:r>
      <w:r>
        <w:rPr>
          <w:rFonts w:hint="eastAsia" w:ascii="宋体" w:eastAsia="宋体" w:cs="宋体"/>
          <w:color w:val="auto"/>
          <w:sz w:val="22"/>
          <w:szCs w:val="22"/>
          <w:highlight w:val="none"/>
          <w:lang w:bidi="ar-SA"/>
        </w:rPr>
        <w:t>，磋商小组应当告知有关供应商</w:t>
      </w:r>
      <w:r>
        <w:rPr>
          <w:rFonts w:hint="eastAsia" w:ascii="宋体" w:eastAsia="宋体" w:cs="宋体"/>
          <w:color w:val="auto"/>
          <w:szCs w:val="21"/>
          <w:highlight w:val="none"/>
          <w:lang w:bidi="ar-SA"/>
        </w:rPr>
        <w:t>。</w:t>
      </w:r>
    </w:p>
    <w:p w14:paraId="3EB06373">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4.10最后报价结束后，磋商小组不得再与供应商进行任何形式的商谈。</w:t>
      </w:r>
    </w:p>
    <w:p w14:paraId="63D2D74C">
      <w:pPr>
        <w:spacing w:line="360" w:lineRule="auto"/>
        <w:ind w:firstLine="482" w:firstLineChars="200"/>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5.比较与评价</w:t>
      </w:r>
    </w:p>
    <w:p w14:paraId="300E19F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5.1评审方法：综合评分法。</w:t>
      </w:r>
    </w:p>
    <w:p w14:paraId="6FE5EDCD">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5.2经磋商确定最终采购需求和提交最后报价的供应商后，由磋商小组采用综合评分法对提交最后报价的供应商的响应文件和最后报价进行综合评分。</w:t>
      </w:r>
    </w:p>
    <w:p w14:paraId="5947E628">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5.3评审时，磋商小组各成员应当独立对每个有效响应的文件进行评价、打分，然后汇总每个供应商每项评分因素的得分。</w:t>
      </w:r>
    </w:p>
    <w:p w14:paraId="1E417719">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（1）磋商小组按照磋商文件中规定的评审标准计算各供应商的报价得分。项目评审过程中，不得去掉最后报价中的最高报价和最低报价。</w:t>
      </w:r>
    </w:p>
    <w:p w14:paraId="54C1A200">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（2）各供应商的得分为磋商小组所有成员的有效评分的算术平均数。</w:t>
      </w:r>
    </w:p>
    <w:p w14:paraId="1D50DE77">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5.4评标价为供应商的最后报价进行政策性扣除后的价格，评标价只是作为评审时使用。最终成交供应商的成交金额等于最后报价（如有修正，以确认修正后的最后报价为准）。</w:t>
      </w:r>
    </w:p>
    <w:p w14:paraId="63152790">
      <w:pPr>
        <w:spacing w:line="360" w:lineRule="auto"/>
        <w:ind w:firstLine="420" w:firstLineChars="200"/>
        <w:rPr>
          <w:rFonts w:hint="eastAsia" w:ascii="宋体" w:eastAsia="宋体" w:cs="宋体"/>
          <w:color w:val="auto"/>
          <w:kern w:val="0"/>
          <w:szCs w:val="21"/>
          <w:highlight w:val="none"/>
          <w:lang w:bidi="ar-SA"/>
        </w:rPr>
      </w:pPr>
      <w:r>
        <w:rPr>
          <w:rFonts w:hint="eastAsia" w:ascii="宋体" w:eastAsia="宋体" w:cs="宋体"/>
          <w:color w:val="auto"/>
          <w:szCs w:val="21"/>
          <w:highlight w:val="none"/>
          <w:lang w:bidi="ar-SA"/>
        </w:rPr>
        <w:t>5.5由磋商小组根据综合评分情况，按照评审得分由高到低顺序推荐3名以上成交候选供应商，并编写评</w:t>
      </w:r>
      <w:r>
        <w:rPr>
          <w:rFonts w:hint="eastAsia" w:ascii="宋体" w:eastAsia="宋体" w:cs="宋体"/>
          <w:color w:val="auto"/>
          <w:kern w:val="0"/>
          <w:szCs w:val="21"/>
          <w:highlight w:val="none"/>
          <w:lang w:bidi="ar-SA"/>
        </w:rPr>
        <w:t>审报告。符合本章第</w:t>
      </w:r>
      <w:r>
        <w:rPr>
          <w:rFonts w:hint="eastAsia" w:ascii="宋体" w:eastAsia="宋体" w:cs="宋体"/>
          <w:color w:val="auto"/>
          <w:szCs w:val="21"/>
          <w:highlight w:val="none"/>
          <w:lang w:bidi="ar-SA"/>
        </w:rPr>
        <w:t>2.7、3.7、4.3</w:t>
      </w:r>
      <w:r>
        <w:rPr>
          <w:rFonts w:hint="eastAsia" w:ascii="宋体" w:eastAsia="宋体" w:cs="宋体"/>
          <w:color w:val="auto"/>
          <w:kern w:val="0"/>
          <w:szCs w:val="21"/>
          <w:highlight w:val="none"/>
          <w:lang w:bidi="ar-SA"/>
        </w:rPr>
        <w:t>条情形的，可以推荐2家成交候选供应商。评审得分相同的，按照最后报价由低到高的顺序推荐。评审得分且最后报价相同的，按照技术指标优劣顺序推荐。</w:t>
      </w:r>
      <w:r>
        <w:rPr>
          <w:rFonts w:hint="eastAsia" w:ascii="宋体" w:cs="宋体"/>
          <w:color w:val="auto"/>
          <w:szCs w:val="21"/>
          <w:highlight w:val="none"/>
          <w:lang w:val="en-US" w:eastAsia="zh-CN" w:bidi="ar-SA"/>
        </w:rPr>
        <w:t>本项目采购人授权磋商小组直接确定成交供应商</w:t>
      </w:r>
      <w:r>
        <w:rPr>
          <w:rFonts w:hint="eastAsia" w:cs="宋体"/>
          <w:color w:val="auto"/>
          <w:szCs w:val="21"/>
          <w:highlight w:val="none"/>
          <w:lang w:bidi="ar-SA"/>
        </w:rPr>
        <w:t>，评审报告提出的排序第一的供应商为成交供应商。</w:t>
      </w:r>
    </w:p>
    <w:p w14:paraId="520042AF">
      <w:pPr>
        <w:spacing w:line="360" w:lineRule="auto"/>
        <w:ind w:firstLine="420" w:firstLineChars="200"/>
        <w:rPr>
          <w:rFonts w:hint="eastAsia" w:ascii="宋体" w:eastAsia="宋体" w:cs="宋体"/>
          <w:color w:val="auto"/>
          <w:szCs w:val="21"/>
          <w:highlight w:val="none"/>
          <w:lang w:bidi="ar-SA"/>
        </w:rPr>
      </w:pPr>
      <w:r>
        <w:rPr>
          <w:rFonts w:hint="eastAsia" w:ascii="宋体" w:eastAsia="宋体" w:cs="宋体"/>
          <w:color w:val="auto"/>
          <w:kern w:val="0"/>
          <w:szCs w:val="21"/>
          <w:highlight w:val="none"/>
          <w:lang w:bidi="ar-SA"/>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E9ED5C">
      <w:pPr>
        <w:spacing w:line="360" w:lineRule="auto"/>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br w:type="page"/>
      </w:r>
      <w:r>
        <w:rPr>
          <w:rFonts w:hint="eastAsia" w:ascii="宋体" w:eastAsia="宋体" w:cs="宋体"/>
          <w:b/>
          <w:color w:val="auto"/>
          <w:sz w:val="32"/>
          <w:szCs w:val="32"/>
          <w:highlight w:val="none"/>
          <w:lang w:bidi="ar-SA"/>
        </w:rPr>
        <w:t>二、评审标准</w:t>
      </w:r>
    </w:p>
    <w:p w14:paraId="76AB8ADA">
      <w:pPr>
        <w:spacing w:line="360" w:lineRule="auto"/>
        <w:ind w:firstLine="420" w:firstLineChars="200"/>
        <w:rPr>
          <w:rFonts w:hint="eastAsia" w:ascii="宋体" w:eastAsia="宋体" w:cs="宋体"/>
          <w:bCs/>
          <w:color w:val="auto"/>
          <w:szCs w:val="21"/>
          <w:highlight w:val="none"/>
          <w:lang w:bidi="ar-SA"/>
        </w:rPr>
      </w:pPr>
      <w:r>
        <w:rPr>
          <w:rFonts w:hint="eastAsia" w:ascii="宋体" w:eastAsia="宋体" w:cs="宋体"/>
          <w:bCs/>
          <w:color w:val="auto"/>
          <w:szCs w:val="21"/>
          <w:highlight w:val="none"/>
          <w:lang w:bidi="ar-SA"/>
        </w:rPr>
        <w:t>6.评审依据：磋商小组将以磋商响应文件为评审依据，对供应商的报价、技术、商务等方面内容按百分制打分。（计分方法按四舍五入取至百分位）</w:t>
      </w:r>
    </w:p>
    <w:p w14:paraId="31AF6459">
      <w:pPr>
        <w:rPr>
          <w:rFonts w:hint="eastAsia" w:ascii="宋体" w:eastAsia="宋体" w:cs="宋体"/>
          <w:color w:val="auto"/>
          <w:highlight w:val="none"/>
          <w:lang w:bidi="ar-SA"/>
        </w:rPr>
      </w:pPr>
    </w:p>
    <w:tbl>
      <w:tblPr>
        <w:tblStyle w:val="31"/>
        <w:tblpPr w:leftFromText="180" w:rightFromText="180" w:vertAnchor="text" w:horzAnchor="page" w:tblpX="1149" w:tblpY="359"/>
        <w:tblOverlap w:val="never"/>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48"/>
        <w:gridCol w:w="1529"/>
        <w:gridCol w:w="6583"/>
      </w:tblGrid>
      <w:tr w14:paraId="6798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1" w:type="pct"/>
            <w:shd w:val="clear" w:color="auto" w:fill="E6E6E6"/>
            <w:noWrap w:val="0"/>
            <w:vAlign w:val="center"/>
          </w:tcPr>
          <w:p w14:paraId="28B097D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312" w:type="pct"/>
            <w:gridSpan w:val="2"/>
            <w:shd w:val="clear" w:color="auto" w:fill="E6E6E6"/>
            <w:noWrap w:val="0"/>
            <w:vAlign w:val="center"/>
          </w:tcPr>
          <w:p w14:paraId="66C966F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3355" w:type="pct"/>
            <w:shd w:val="clear" w:color="auto" w:fill="E6E6E6"/>
            <w:noWrap w:val="0"/>
            <w:vAlign w:val="top"/>
          </w:tcPr>
          <w:p w14:paraId="780F845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14:paraId="661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31" w:type="pct"/>
            <w:noWrap w:val="0"/>
            <w:vAlign w:val="center"/>
          </w:tcPr>
          <w:p w14:paraId="796F4FC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33" w:type="pct"/>
            <w:noWrap w:val="0"/>
            <w:vAlign w:val="center"/>
          </w:tcPr>
          <w:p w14:paraId="24FC1F04">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详细评审内容</w:t>
            </w:r>
          </w:p>
        </w:tc>
        <w:tc>
          <w:tcPr>
            <w:tcW w:w="779" w:type="pct"/>
            <w:noWrap w:val="0"/>
            <w:vAlign w:val="center"/>
          </w:tcPr>
          <w:p w14:paraId="0F44FC4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分值构成（总分100分）</w:t>
            </w:r>
          </w:p>
        </w:tc>
        <w:tc>
          <w:tcPr>
            <w:tcW w:w="3355" w:type="pct"/>
            <w:noWrap w:val="0"/>
            <w:vAlign w:val="top"/>
          </w:tcPr>
          <w:p w14:paraId="2762CED3">
            <w:pPr>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lang w:eastAsia="zh-CN"/>
              </w:rPr>
              <w:t>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p w14:paraId="0C6CF4D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商务分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2A6F5CF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r>
      <w:tr w14:paraId="59BF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31" w:type="pct"/>
            <w:noWrap w:val="0"/>
            <w:vAlign w:val="center"/>
          </w:tcPr>
          <w:p w14:paraId="55B7E88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533" w:type="pct"/>
            <w:noWrap w:val="0"/>
            <w:vAlign w:val="center"/>
          </w:tcPr>
          <w:p w14:paraId="16617BE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有效报价范围</w:t>
            </w:r>
          </w:p>
        </w:tc>
        <w:tc>
          <w:tcPr>
            <w:tcW w:w="4134" w:type="pct"/>
            <w:gridSpan w:val="2"/>
            <w:noWrap w:val="0"/>
            <w:vAlign w:val="top"/>
          </w:tcPr>
          <w:p w14:paraId="1E75501F">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（1）有效报价范围：磋商报价低于或等于采购最高限价，通过资格评审及符合性审查，经磋商小组审定不存在严重不平衡、不合理、不低于其企业成本的供应商报价。</w:t>
            </w:r>
          </w:p>
          <w:p w14:paraId="2989A427">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为了避免价格的恶性竞争，保证整体项目的质量和确保服务质量，评审时，磋商小组在评标过程中认为竞标人的报价明显低于其他通过符合性审查供应商的报价，有可能影响产品质量或者不能诚信履约的，应当要求其在评标现场合理的时间内提供书面说明，必要时将要求该竞标人在规定的时间内出具本项目详细的成本计算清单（加盖竞标人单位公章）并提供相关证明材料（相关证明材料包括但不限于：①成本构成。包含服务的主要成本、销售费用、管理费用、财务费用、履约费用、计划利润、税金及附加等成本；②与本次采购规模、服务参数类似的业绩（提供合同复印件以及采购联系人、联系电话，）；③较其他供应商且自己报更低价格的优势说明）。竞标人在规定的时间内不能出具详细的成本计算清单或不能提供相关证明材料的，视作该竞标人以低于成本报价竞标，其响应文件应作废标处理。</w:t>
            </w:r>
          </w:p>
          <w:p w14:paraId="31FDE8D4">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（3）落实的政府采购政策</w:t>
            </w:r>
          </w:p>
          <w:p w14:paraId="4A051FB5">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落实强制采购节能产品、鼓励节能政策：对国家公布的节能产品政府采购品目清单（财库〔2019〕19号）中属于强制采购的品目，予以强制采购节能产品。属于非强制采购的品目，在技术、服务等指标同等条件下，予以优先采购节能产品。</w:t>
            </w:r>
          </w:p>
          <w:p w14:paraId="00E3A6C7">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1.2鼓励环保政策：在性能、技术、服务等指标同等条件下，对国家公布的环境标志产品政府采购品目清单（财库〔2019〕18号）内的，实行优先采购环境标志产品。</w:t>
            </w:r>
          </w:p>
          <w:p w14:paraId="10F041F6">
            <w:pPr>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1.3扶持中小企业政策：评审时小型、微型企业产品的价格给予20%的扣除。监狱企业、残疾人福利性单位视同小型、微型企业，其产品在评审时给予相同的价格扣除。</w:t>
            </w:r>
          </w:p>
        </w:tc>
      </w:tr>
      <w:tr w14:paraId="0EB6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31" w:type="pct"/>
            <w:vMerge w:val="restart"/>
            <w:noWrap w:val="0"/>
            <w:vAlign w:val="center"/>
          </w:tcPr>
          <w:p w14:paraId="5D95EC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533" w:type="pct"/>
            <w:vMerge w:val="restart"/>
            <w:noWrap w:val="0"/>
            <w:vAlign w:val="center"/>
          </w:tcPr>
          <w:p w14:paraId="51494E2C">
            <w:pPr>
              <w:spacing w:line="240" w:lineRule="auto"/>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技术</w:t>
            </w:r>
            <w:r>
              <w:rPr>
                <w:rFonts w:hint="eastAsia" w:ascii="宋体" w:hAnsi="宋体" w:eastAsia="宋体" w:cs="宋体"/>
                <w:bCs/>
                <w:color w:val="auto"/>
                <w:kern w:val="0"/>
                <w:szCs w:val="21"/>
                <w:highlight w:val="none"/>
              </w:rPr>
              <w:t>分</w:t>
            </w:r>
            <w:r>
              <w:rPr>
                <w:rFonts w:hint="eastAsia" w:ascii="宋体" w:hAnsi="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60</w:t>
            </w:r>
            <w:r>
              <w:rPr>
                <w:rFonts w:hint="eastAsia" w:ascii="宋体" w:hAnsi="宋体" w:eastAsia="宋体" w:cs="宋体"/>
                <w:bCs/>
                <w:color w:val="auto"/>
                <w:kern w:val="0"/>
                <w:szCs w:val="21"/>
                <w:highlight w:val="none"/>
                <w:lang w:eastAsia="zh-CN"/>
              </w:rPr>
              <w:t>分）</w:t>
            </w:r>
          </w:p>
        </w:tc>
        <w:tc>
          <w:tcPr>
            <w:tcW w:w="779" w:type="pct"/>
            <w:noWrap w:val="0"/>
            <w:vAlign w:val="center"/>
          </w:tcPr>
          <w:p w14:paraId="50CEDA5B">
            <w:pPr>
              <w:spacing w:line="24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技术要求分（10分）</w:t>
            </w:r>
          </w:p>
        </w:tc>
        <w:tc>
          <w:tcPr>
            <w:tcW w:w="3355" w:type="pct"/>
            <w:noWrap w:val="0"/>
            <w:vAlign w:val="top"/>
          </w:tcPr>
          <w:p w14:paraId="19E00A70">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完全满足采购需求中“技术要求”的得10分。带★项参数每负偏离（漏项）一项扣1分，非带★项参数每负偏离（漏项）一项扣</w:t>
            </w:r>
            <w:r>
              <w:rPr>
                <w:rFonts w:hint="default" w:ascii="宋体" w:hAnsi="宋体" w:cs="宋体"/>
                <w:color w:val="auto"/>
                <w:szCs w:val="21"/>
                <w:highlight w:val="none"/>
                <w:lang w:val="en-US" w:eastAsia="zh-CN"/>
              </w:rPr>
              <w:t>0.5</w:t>
            </w:r>
            <w:r>
              <w:rPr>
                <w:rFonts w:hint="eastAsia" w:ascii="宋体" w:hAnsi="宋体" w:eastAsia="宋体" w:cs="宋体"/>
                <w:color w:val="auto"/>
                <w:szCs w:val="21"/>
                <w:highlight w:val="none"/>
                <w:lang w:val="en-US" w:eastAsia="zh-CN"/>
              </w:rPr>
              <w:t>分，扣完为止，不计负分。</w:t>
            </w:r>
          </w:p>
        </w:tc>
      </w:tr>
      <w:tr w14:paraId="4B63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31" w:type="pct"/>
            <w:vMerge w:val="continue"/>
            <w:noWrap w:val="0"/>
            <w:vAlign w:val="center"/>
          </w:tcPr>
          <w:p w14:paraId="40BEFA26">
            <w:pPr>
              <w:spacing w:line="240" w:lineRule="auto"/>
              <w:jc w:val="center"/>
              <w:rPr>
                <w:rFonts w:hint="eastAsia" w:ascii="宋体" w:hAnsi="宋体" w:eastAsia="宋体" w:cs="宋体"/>
                <w:color w:val="auto"/>
                <w:szCs w:val="21"/>
                <w:highlight w:val="none"/>
              </w:rPr>
            </w:pPr>
          </w:p>
        </w:tc>
        <w:tc>
          <w:tcPr>
            <w:tcW w:w="533" w:type="pct"/>
            <w:vMerge w:val="continue"/>
            <w:noWrap w:val="0"/>
            <w:vAlign w:val="center"/>
          </w:tcPr>
          <w:p w14:paraId="496060F3">
            <w:pPr>
              <w:spacing w:line="240" w:lineRule="auto"/>
              <w:jc w:val="center"/>
              <w:rPr>
                <w:rFonts w:hint="eastAsia" w:ascii="宋体" w:hAnsi="宋体" w:eastAsia="宋体" w:cs="宋体"/>
                <w:bCs/>
                <w:color w:val="auto"/>
                <w:kern w:val="0"/>
                <w:szCs w:val="21"/>
                <w:highlight w:val="none"/>
                <w:lang w:val="en-US" w:eastAsia="zh-CN"/>
              </w:rPr>
            </w:pPr>
          </w:p>
        </w:tc>
        <w:tc>
          <w:tcPr>
            <w:tcW w:w="779" w:type="pct"/>
            <w:noWrap w:val="0"/>
            <w:vAlign w:val="center"/>
          </w:tcPr>
          <w:p w14:paraId="35192296">
            <w:pPr>
              <w:spacing w:line="24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技术</w:t>
            </w:r>
            <w:r>
              <w:rPr>
                <w:rFonts w:hint="eastAsia" w:ascii="宋体" w:hAnsi="宋体" w:cs="宋体"/>
                <w:bCs/>
                <w:color w:val="auto"/>
                <w:szCs w:val="21"/>
                <w:highlight w:val="none"/>
              </w:rPr>
              <w:t>方案分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20</w:t>
            </w:r>
            <w:r>
              <w:rPr>
                <w:rFonts w:hint="eastAsia" w:ascii="宋体" w:hAnsi="宋体" w:cs="宋体"/>
                <w:color w:val="auto"/>
                <w:highlight w:val="none"/>
              </w:rPr>
              <w:t>分</w:t>
            </w:r>
            <w:r>
              <w:rPr>
                <w:rFonts w:hint="eastAsia" w:ascii="宋体" w:hAnsi="宋体" w:cs="宋体"/>
                <w:color w:val="auto"/>
                <w:highlight w:val="none"/>
                <w:lang w:eastAsia="zh-CN"/>
              </w:rPr>
              <w:t>）</w:t>
            </w:r>
          </w:p>
        </w:tc>
        <w:tc>
          <w:tcPr>
            <w:tcW w:w="3355" w:type="pct"/>
            <w:noWrap w:val="0"/>
            <w:vAlign w:val="top"/>
          </w:tcPr>
          <w:p w14:paraId="0AB70055">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磋商小组成员根据各供应商的技术方案内容进行独立评审并独立打分。</w:t>
            </w:r>
          </w:p>
          <w:p w14:paraId="4070B6E4">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一档（7分）：基本理解本项目的建设背景、现有基础、存在问题，并提出基本可行的架构设计思路，方案较为完整。</w:t>
            </w:r>
          </w:p>
          <w:p w14:paraId="592D91B6">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14分)：准确理解本项目的建设背景、现有基础、存在问题，基本把握本项目的技术路线诉求，提供具体的技术路线方案，并给出针对本项目的总体设计方案和总体架构以及详细的建设方案，方案表述清晰、完整，满足招标文件要求。</w:t>
            </w:r>
            <w:r>
              <w:rPr>
                <w:rFonts w:hint="eastAsia" w:ascii="宋体" w:hAnsi="宋体" w:cs="宋体"/>
                <w:color w:val="auto"/>
                <w:szCs w:val="21"/>
                <w:highlight w:val="none"/>
              </w:rPr>
              <w:t>拟投入本项目</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具备高级信息系统项目管理师证书</w:t>
            </w:r>
            <w:r>
              <w:rPr>
                <w:rFonts w:hint="eastAsia" w:ascii="宋体" w:hAnsi="宋体" w:cs="宋体"/>
                <w:color w:val="auto"/>
                <w:szCs w:val="21"/>
                <w:highlight w:val="none"/>
                <w:lang w:val="en-US" w:eastAsia="zh-CN"/>
              </w:rPr>
              <w:t>及中级或以上职称（</w:t>
            </w:r>
            <w:r>
              <w:rPr>
                <w:rFonts w:hint="eastAsia" w:ascii="宋体" w:hAnsi="宋体" w:eastAsia="宋体" w:cs="宋体"/>
                <w:color w:val="auto"/>
                <w:szCs w:val="21"/>
                <w:highlight w:val="none"/>
                <w:lang w:val="en-US" w:eastAsia="zh-CN"/>
              </w:rPr>
              <w:t>计算机、信息工程等相关专业</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除项目经理外</w:t>
            </w:r>
            <w:r>
              <w:rPr>
                <w:rFonts w:hint="eastAsia" w:ascii="宋体" w:hAnsi="宋体" w:cs="宋体"/>
                <w:color w:val="auto"/>
                <w:szCs w:val="21"/>
                <w:highlight w:val="none"/>
              </w:rPr>
              <w:t>拟投入</w:t>
            </w:r>
            <w:r>
              <w:rPr>
                <w:rFonts w:hint="eastAsia" w:ascii="宋体" w:hAnsi="宋体" w:eastAsia="宋体" w:cs="宋体"/>
                <w:color w:val="auto"/>
                <w:szCs w:val="21"/>
                <w:highlight w:val="none"/>
                <w:lang w:val="en-US" w:eastAsia="zh-CN"/>
              </w:rPr>
              <w:t>本项目实施人员不少于</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人，其中具备注册信息安全工程师（CISP）证书不少于1人。</w:t>
            </w:r>
          </w:p>
          <w:p w14:paraId="7B3B82DA">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20分）：完全理解本项目的建设背景，对现有基础和存在问题有着充分的认识与理解，技术方案论述准确，系统功能配置齐全，系统设计能紧密结合项目要求，分析项目建设内容、建设原则和技术需求，详细阐述系统的业务架构、技术架构、部署结构，完全满足本次项目要求。方案完全满足招标文件要求，方案整体性、可靠性、先进性、兼容性、可扩展性、可维护性、安全性完全满足项目需求且可行合理。</w:t>
            </w:r>
            <w:r>
              <w:rPr>
                <w:rFonts w:hint="eastAsia" w:ascii="宋体" w:hAnsi="宋体" w:cs="宋体"/>
                <w:color w:val="auto"/>
                <w:szCs w:val="21"/>
                <w:highlight w:val="none"/>
              </w:rPr>
              <w:t>拟投入本项目</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具备高级信息系统项目管理师证书</w:t>
            </w:r>
            <w:r>
              <w:rPr>
                <w:rFonts w:hint="eastAsia" w:ascii="宋体" w:hAnsi="宋体" w:cs="宋体"/>
                <w:color w:val="auto"/>
                <w:szCs w:val="21"/>
                <w:highlight w:val="none"/>
                <w:lang w:val="en-US" w:eastAsia="zh-CN"/>
              </w:rPr>
              <w:t>及高级职称（</w:t>
            </w:r>
            <w:r>
              <w:rPr>
                <w:rFonts w:hint="eastAsia" w:ascii="宋体" w:hAnsi="宋体" w:eastAsia="宋体" w:cs="宋体"/>
                <w:color w:val="auto"/>
                <w:szCs w:val="21"/>
                <w:highlight w:val="none"/>
                <w:lang w:val="en-US" w:eastAsia="zh-CN"/>
              </w:rPr>
              <w:t>计算机、信息工程等相关专业</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除项目经理外</w:t>
            </w:r>
            <w:r>
              <w:rPr>
                <w:rFonts w:hint="eastAsia" w:ascii="宋体" w:hAnsi="宋体" w:cs="宋体"/>
                <w:color w:val="auto"/>
                <w:szCs w:val="21"/>
                <w:highlight w:val="none"/>
              </w:rPr>
              <w:t>拟投入</w:t>
            </w:r>
            <w:r>
              <w:rPr>
                <w:rFonts w:hint="eastAsia" w:ascii="宋体" w:hAnsi="宋体" w:eastAsia="宋体" w:cs="宋体"/>
                <w:color w:val="auto"/>
                <w:szCs w:val="21"/>
                <w:highlight w:val="none"/>
                <w:lang w:val="en-US" w:eastAsia="zh-CN"/>
              </w:rPr>
              <w:t>本项目实施人员不少于10人，其中具备注册信息安全工程师（CISP）证书不少于2人。</w:t>
            </w:r>
          </w:p>
          <w:p w14:paraId="4A3821D3">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提供上述人员的相关证书复印件以及供应商2024年4月以来任意一个月为其缴纳的社会保险证明材料，否则不予计分。</w:t>
            </w:r>
          </w:p>
          <w:p w14:paraId="4777406F">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不满足最低入档要求的不得分。项目实施人员与售后运维服务人员不重复计分。</w:t>
            </w:r>
          </w:p>
        </w:tc>
      </w:tr>
      <w:tr w14:paraId="30BD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 w:type="pct"/>
            <w:vMerge w:val="continue"/>
            <w:noWrap w:val="0"/>
            <w:vAlign w:val="center"/>
          </w:tcPr>
          <w:p w14:paraId="26CBD312">
            <w:pPr>
              <w:spacing w:line="240" w:lineRule="auto"/>
              <w:jc w:val="center"/>
              <w:rPr>
                <w:rFonts w:hint="eastAsia" w:ascii="宋体" w:hAnsi="宋体" w:eastAsia="宋体" w:cs="宋体"/>
                <w:color w:val="auto"/>
                <w:szCs w:val="21"/>
                <w:highlight w:val="none"/>
              </w:rPr>
            </w:pPr>
          </w:p>
        </w:tc>
        <w:tc>
          <w:tcPr>
            <w:tcW w:w="533" w:type="pct"/>
            <w:vMerge w:val="continue"/>
            <w:noWrap w:val="0"/>
            <w:vAlign w:val="center"/>
          </w:tcPr>
          <w:p w14:paraId="395864A2">
            <w:pPr>
              <w:adjustRightInd w:val="0"/>
              <w:snapToGrid w:val="0"/>
              <w:spacing w:line="240" w:lineRule="auto"/>
              <w:ind w:firstLine="105" w:firstLineChars="50"/>
              <w:rPr>
                <w:rFonts w:hint="eastAsia" w:ascii="宋体" w:hAnsi="宋体" w:eastAsia="宋体" w:cs="宋体"/>
                <w:color w:val="auto"/>
                <w:szCs w:val="21"/>
                <w:highlight w:val="none"/>
              </w:rPr>
            </w:pPr>
          </w:p>
        </w:tc>
        <w:tc>
          <w:tcPr>
            <w:tcW w:w="779" w:type="pct"/>
            <w:noWrap w:val="0"/>
            <w:vAlign w:val="center"/>
          </w:tcPr>
          <w:p w14:paraId="3C5E0E76">
            <w:pPr>
              <w:adjustRightInd w:val="0"/>
              <w:snapToGrid w:val="0"/>
              <w:spacing w:line="240" w:lineRule="auto"/>
              <w:ind w:firstLine="105" w:firstLineChars="50"/>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项目实施方案分（10分）</w:t>
            </w:r>
          </w:p>
        </w:tc>
        <w:tc>
          <w:tcPr>
            <w:tcW w:w="3355" w:type="pct"/>
            <w:noWrap w:val="0"/>
            <w:vAlign w:val="center"/>
          </w:tcPr>
          <w:p w14:paraId="00B7835B">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磋商小组成员根据各供应商的项目实施方案内容进行独立评审并独立打分。</w:t>
            </w:r>
          </w:p>
          <w:p w14:paraId="215EDCB8">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一档（3分）：提供有项目实施方案，提供项目总体建设实施计划及项目实施流程，就相关实施流程和功能需求提出简要的系统设计方案，内容基本符合项目实际情况，基本满足项目需求。</w:t>
            </w:r>
          </w:p>
          <w:p w14:paraId="5C756D1C">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6分）：提供有效的项目实施方案，方案内容包含对本项目系统的建设目标、建设内容、建设需求进行分析，能够针对相关实施流程和功能需求提出合理的系统设计方案，对系统建设软、硬件部署、项目计划、功能方面测试方案、试运行方案及验收方案等有基本描述，满足项目实际需求。</w:t>
            </w:r>
          </w:p>
          <w:p w14:paraId="3B323E39">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10分）：在满足二档的基础上，对项目管理、质量管理和实施能力有合理的措施及在进度计划及工期保证措施（有项目整体实施进度计划横道图或网络图）、有项目管理组织机构框架图，对质量保证措施、风险管理措施等有详细描述，方案总体思路清晰、合理，完全满足项目实际需求。</w:t>
            </w:r>
          </w:p>
          <w:p w14:paraId="5DD115A7">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不满足最低入档要求的不得分。</w:t>
            </w:r>
          </w:p>
        </w:tc>
      </w:tr>
      <w:tr w14:paraId="029B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1" w:type="pct"/>
            <w:vMerge w:val="continue"/>
            <w:noWrap w:val="0"/>
            <w:vAlign w:val="center"/>
          </w:tcPr>
          <w:p w14:paraId="71A95F49">
            <w:pPr>
              <w:spacing w:line="240" w:lineRule="auto"/>
              <w:jc w:val="center"/>
              <w:rPr>
                <w:rFonts w:hint="eastAsia" w:ascii="宋体" w:hAnsi="宋体" w:eastAsia="宋体" w:cs="宋体"/>
                <w:color w:val="auto"/>
                <w:szCs w:val="21"/>
                <w:highlight w:val="none"/>
              </w:rPr>
            </w:pPr>
          </w:p>
        </w:tc>
        <w:tc>
          <w:tcPr>
            <w:tcW w:w="533" w:type="pct"/>
            <w:vMerge w:val="continue"/>
            <w:noWrap w:val="0"/>
            <w:vAlign w:val="center"/>
          </w:tcPr>
          <w:p w14:paraId="56B397C0">
            <w:pPr>
              <w:adjustRightInd w:val="0"/>
              <w:snapToGrid w:val="0"/>
              <w:spacing w:line="240" w:lineRule="auto"/>
              <w:ind w:firstLine="105" w:firstLineChars="50"/>
              <w:rPr>
                <w:rFonts w:hint="eastAsia" w:ascii="宋体" w:hAnsi="宋体" w:eastAsia="宋体" w:cs="宋体"/>
                <w:color w:val="auto"/>
                <w:szCs w:val="21"/>
                <w:highlight w:val="none"/>
              </w:rPr>
            </w:pPr>
          </w:p>
        </w:tc>
        <w:tc>
          <w:tcPr>
            <w:tcW w:w="779" w:type="pct"/>
            <w:noWrap w:val="0"/>
            <w:vAlign w:val="center"/>
          </w:tcPr>
          <w:p w14:paraId="023C2471">
            <w:pPr>
              <w:adjustRightInd w:val="0"/>
              <w:snapToGrid w:val="0"/>
              <w:spacing w:line="240" w:lineRule="auto"/>
              <w:ind w:firstLine="105" w:firstLineChars="50"/>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培训方案分（10分）</w:t>
            </w:r>
          </w:p>
        </w:tc>
        <w:tc>
          <w:tcPr>
            <w:tcW w:w="3355" w:type="pct"/>
            <w:noWrap w:val="0"/>
            <w:vAlign w:val="center"/>
          </w:tcPr>
          <w:p w14:paraId="7365D8AC">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磋商小组成员根据各供应商提交的培训方案内容进行独立打分。</w:t>
            </w:r>
          </w:p>
          <w:p w14:paraId="787DD75B">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一档（3分）：有培训目标但不明确，方案内容齐全，满足采购需求；有培训措施但无可行性或可行性较差，无培训内容；</w:t>
            </w:r>
          </w:p>
          <w:p w14:paraId="01E19DC4">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二档（6分）：培训目标明确，方案内容齐全，满足采购需求，措施阐述有可行性，培训人员安排明确，有培训内容；</w:t>
            </w:r>
          </w:p>
          <w:p w14:paraId="36C79E7A">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10分）：培训目标明确，方案内容齐全，满足采购需求，措施阐述清晰有条理，措施可行性强，培训人员安排明确，培训内容充实，能体现项目特点、难点，能高效地使采购人使用人员迅速掌握本系统，培训计划完全符合本项目的要求。</w:t>
            </w:r>
          </w:p>
          <w:p w14:paraId="17AE0CAD">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不满足最低入档要求的不得分。</w:t>
            </w:r>
          </w:p>
        </w:tc>
      </w:tr>
      <w:tr w14:paraId="3F2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31" w:type="pct"/>
            <w:vMerge w:val="continue"/>
            <w:noWrap w:val="0"/>
            <w:vAlign w:val="center"/>
          </w:tcPr>
          <w:p w14:paraId="661C7F1E">
            <w:pPr>
              <w:spacing w:line="240" w:lineRule="auto"/>
              <w:jc w:val="center"/>
              <w:rPr>
                <w:rFonts w:hint="eastAsia" w:ascii="宋体" w:hAnsi="宋体" w:eastAsia="宋体" w:cs="宋体"/>
                <w:color w:val="auto"/>
                <w:szCs w:val="21"/>
                <w:highlight w:val="none"/>
              </w:rPr>
            </w:pPr>
          </w:p>
        </w:tc>
        <w:tc>
          <w:tcPr>
            <w:tcW w:w="533" w:type="pct"/>
            <w:vMerge w:val="continue"/>
            <w:noWrap w:val="0"/>
            <w:vAlign w:val="center"/>
          </w:tcPr>
          <w:p w14:paraId="01DD9040">
            <w:pPr>
              <w:adjustRightInd w:val="0"/>
              <w:snapToGrid w:val="0"/>
              <w:spacing w:line="240" w:lineRule="auto"/>
              <w:ind w:firstLine="105" w:firstLineChars="50"/>
              <w:rPr>
                <w:rFonts w:hint="eastAsia" w:ascii="宋体" w:hAnsi="宋体" w:eastAsia="宋体" w:cs="宋体"/>
                <w:color w:val="auto"/>
                <w:szCs w:val="21"/>
                <w:highlight w:val="none"/>
              </w:rPr>
            </w:pPr>
          </w:p>
        </w:tc>
        <w:tc>
          <w:tcPr>
            <w:tcW w:w="779" w:type="pct"/>
            <w:noWrap w:val="0"/>
            <w:vAlign w:val="center"/>
          </w:tcPr>
          <w:p w14:paraId="6D5F1343">
            <w:pPr>
              <w:adjustRightInd w:val="0"/>
              <w:snapToGrid w:val="0"/>
              <w:spacing w:line="240" w:lineRule="auto"/>
              <w:ind w:firstLine="105" w:firstLineChars="50"/>
              <w:jc w:val="center"/>
              <w:rPr>
                <w:rFonts w:hint="eastAsia" w:ascii="宋体" w:hAnsi="宋体" w:eastAsia="宋体" w:cs="宋体"/>
                <w:bCs/>
                <w:color w:val="auto"/>
                <w:highlight w:val="none"/>
                <w:lang w:eastAsia="zh-CN"/>
              </w:rPr>
            </w:pPr>
            <w:r>
              <w:rPr>
                <w:rFonts w:hint="eastAsia" w:ascii="宋体" w:hAnsi="宋体"/>
                <w:bCs/>
                <w:color w:val="auto"/>
                <w:szCs w:val="21"/>
                <w:highlight w:val="none"/>
                <w:lang w:val="en-US" w:eastAsia="zh-CN"/>
              </w:rPr>
              <w:t>售后</w:t>
            </w:r>
            <w:r>
              <w:rPr>
                <w:rFonts w:hint="eastAsia" w:ascii="宋体" w:hAnsi="宋体"/>
                <w:bCs/>
                <w:color w:val="auto"/>
                <w:szCs w:val="21"/>
                <w:highlight w:val="none"/>
              </w:rPr>
              <w:t>服务</w:t>
            </w:r>
            <w:r>
              <w:rPr>
                <w:rFonts w:hint="eastAsia" w:ascii="宋体" w:hAnsi="宋体"/>
                <w:bCs/>
                <w:color w:val="auto"/>
                <w:szCs w:val="21"/>
                <w:highlight w:val="none"/>
                <w:lang w:val="en-US" w:eastAsia="zh-CN"/>
              </w:rPr>
              <w:t>方案</w:t>
            </w:r>
            <w:r>
              <w:rPr>
                <w:rFonts w:hint="eastAsia" w:ascii="宋体" w:hAnsi="宋体"/>
                <w:bCs/>
                <w:color w:val="auto"/>
                <w:szCs w:val="21"/>
                <w:highlight w:val="none"/>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c>
          <w:tcPr>
            <w:tcW w:w="3355" w:type="pct"/>
            <w:noWrap w:val="0"/>
            <w:vAlign w:val="center"/>
          </w:tcPr>
          <w:p w14:paraId="2358BC87">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磋商小组成员根据各供应商提交的售后服务方案内容进行独立打分。</w:t>
            </w:r>
          </w:p>
          <w:p w14:paraId="1B214039">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一档（3分）：售后服务方案较简单，仅对采购单位提出的要求进行了部分细化，售后服务承诺书中各项措施缺乏针对性，对采购单位使用需求响应的具体措施缺乏充分的合理性，效率响应要求难以充分保障。</w:t>
            </w:r>
          </w:p>
          <w:p w14:paraId="7D3A0874">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二档（6分）：售后服务方案具体细致，对采购文件的基本要求均进行了符合履约需求的细化，各项措施针对采购单位需求提出，拟投入售后服务人员2人以上，考虑到了项目实际需求、设置合理。</w:t>
            </w:r>
          </w:p>
          <w:p w14:paraId="73BA2584">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10分）：在满足二档要求的情况下，售后服务方案周密详尽，售后服务承诺书条款对采购单位、采购项目的特点均有针对性，服务宗旨明确、服务方案的设计充分合理、效率充分满足使用需求，后续跟踪服务具体到位。拟投入本项目售后运维负责人同时具备高级信息系统项目管理师证书及高级职称</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计算机、信息工程等相关专业</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，除售后运维负责人外，拟投入本项目售后运维服务团队不少于</w:t>
            </w: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人，其中具备注册信息安全工程师（CISP）证书不少于1人。</w:t>
            </w:r>
          </w:p>
          <w:p w14:paraId="77D50801">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提供上述人员的相关证书复印件以及供应商2024年4月以来任意一个月为其缴纳的社会保险证明材料，否则不予计分。</w:t>
            </w:r>
          </w:p>
          <w:p w14:paraId="6C4E9157">
            <w:pPr>
              <w:spacing w:line="240" w:lineRule="auto"/>
              <w:ind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不满足最低入档要求的不得分。售后运维服务人员与项目实施人员不重复计分。</w:t>
            </w:r>
          </w:p>
        </w:tc>
      </w:tr>
      <w:tr w14:paraId="359A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1" w:type="pct"/>
            <w:vMerge w:val="restart"/>
            <w:noWrap w:val="0"/>
            <w:vAlign w:val="center"/>
          </w:tcPr>
          <w:p w14:paraId="5542223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533" w:type="pct"/>
            <w:vMerge w:val="restart"/>
            <w:noWrap w:val="0"/>
            <w:vAlign w:val="center"/>
          </w:tcPr>
          <w:p w14:paraId="768C21B8">
            <w:pPr>
              <w:adjustRightInd w:val="0"/>
              <w:snapToGrid w:val="0"/>
              <w:spacing w:line="240" w:lineRule="auto"/>
              <w:ind w:firstLine="105" w:firstLineChars="50"/>
              <w:jc w:val="center"/>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t>商务分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eastAsia="zh-CN"/>
              </w:rPr>
              <w:t>分）</w:t>
            </w:r>
          </w:p>
        </w:tc>
        <w:tc>
          <w:tcPr>
            <w:tcW w:w="779" w:type="pct"/>
            <w:noWrap w:val="0"/>
            <w:vAlign w:val="center"/>
          </w:tcPr>
          <w:p w14:paraId="4D4CC804">
            <w:pPr>
              <w:widowControl/>
              <w:spacing w:line="240" w:lineRule="auto"/>
              <w:jc w:val="center"/>
              <w:rPr>
                <w:rFonts w:hint="eastAsia" w:eastAsia="宋体"/>
                <w:color w:val="auto"/>
                <w:highlight w:val="none"/>
                <w:lang w:val="en-US" w:eastAsia="zh-CN"/>
              </w:rPr>
            </w:pPr>
            <w:r>
              <w:rPr>
                <w:rFonts w:hint="eastAsia" w:ascii="宋体" w:hAnsi="宋体" w:eastAsia="宋体" w:cs="宋体"/>
                <w:color w:val="auto"/>
                <w:szCs w:val="21"/>
                <w:highlight w:val="none"/>
                <w:lang w:val="en-US" w:eastAsia="zh-CN"/>
              </w:rPr>
              <w:t>信誉实力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分）</w:t>
            </w:r>
          </w:p>
        </w:tc>
        <w:tc>
          <w:tcPr>
            <w:tcW w:w="3355" w:type="pct"/>
            <w:noWrap w:val="0"/>
            <w:vAlign w:val="top"/>
          </w:tcPr>
          <w:p w14:paraId="41527AB6">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供应商具有有效期内ISO9001、ISO14001、ISO45001、ISO20000和ISO27001体系认证证书的，每提供一项得1分，满分5分。</w:t>
            </w:r>
          </w:p>
          <w:p w14:paraId="794B5E9B">
            <w:p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供应商具有数据管理能力成熟度4级及以上证书（GB/T 36073-2018）的，得1分，满分1分。</w:t>
            </w:r>
          </w:p>
        </w:tc>
      </w:tr>
      <w:tr w14:paraId="408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31" w:type="pct"/>
            <w:vMerge w:val="continue"/>
            <w:noWrap w:val="0"/>
            <w:vAlign w:val="center"/>
          </w:tcPr>
          <w:p w14:paraId="122E6DBB">
            <w:pPr>
              <w:spacing w:line="240" w:lineRule="auto"/>
              <w:jc w:val="center"/>
              <w:rPr>
                <w:rFonts w:hint="eastAsia" w:ascii="宋体" w:hAnsi="宋体" w:eastAsia="宋体" w:cs="宋体"/>
                <w:color w:val="auto"/>
                <w:szCs w:val="21"/>
                <w:highlight w:val="none"/>
              </w:rPr>
            </w:pPr>
          </w:p>
        </w:tc>
        <w:tc>
          <w:tcPr>
            <w:tcW w:w="533" w:type="pct"/>
            <w:vMerge w:val="continue"/>
            <w:noWrap w:val="0"/>
            <w:vAlign w:val="center"/>
          </w:tcPr>
          <w:p w14:paraId="0BCAC6EB">
            <w:pPr>
              <w:adjustRightInd w:val="0"/>
              <w:snapToGrid w:val="0"/>
              <w:spacing w:line="240" w:lineRule="auto"/>
              <w:ind w:firstLine="105" w:firstLineChars="50"/>
              <w:jc w:val="center"/>
              <w:rPr>
                <w:rFonts w:hint="eastAsia" w:ascii="宋体" w:hAnsi="宋体" w:eastAsia="宋体" w:cs="宋体"/>
                <w:bCs/>
                <w:color w:val="auto"/>
                <w:szCs w:val="21"/>
                <w:highlight w:val="none"/>
              </w:rPr>
            </w:pPr>
          </w:p>
        </w:tc>
        <w:tc>
          <w:tcPr>
            <w:tcW w:w="779" w:type="pct"/>
            <w:noWrap w:val="0"/>
            <w:vAlign w:val="center"/>
          </w:tcPr>
          <w:p w14:paraId="59D23D8F">
            <w:pPr>
              <w:widowControl/>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业绩（4分）</w:t>
            </w:r>
          </w:p>
        </w:tc>
        <w:tc>
          <w:tcPr>
            <w:tcW w:w="3355" w:type="pct"/>
            <w:noWrap w:val="0"/>
            <w:vAlign w:val="top"/>
          </w:tcPr>
          <w:p w14:paraId="4D417D71">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年1月1日以来，供应商具有</w:t>
            </w:r>
            <w:r>
              <w:rPr>
                <w:rFonts w:hint="eastAsia" w:ascii="宋体" w:hAnsi="宋体" w:eastAsia="宋体" w:cs="宋体"/>
                <w:color w:val="auto"/>
                <w:szCs w:val="21"/>
                <w:highlight w:val="none"/>
                <w:lang w:eastAsia="zh-CN"/>
              </w:rPr>
              <w:t>类似</w:t>
            </w:r>
            <w:r>
              <w:rPr>
                <w:rFonts w:hint="eastAsia" w:ascii="宋体" w:hAnsi="宋体" w:eastAsia="宋体" w:cs="宋体"/>
                <w:color w:val="auto"/>
                <w:szCs w:val="21"/>
                <w:highlight w:val="none"/>
              </w:rPr>
              <w:t>项目业绩</w:t>
            </w:r>
            <w:r>
              <w:rPr>
                <w:rFonts w:hint="eastAsia" w:ascii="宋体" w:hAnsi="宋体" w:cs="宋体"/>
                <w:color w:val="auto"/>
                <w:kern w:val="0"/>
                <w:szCs w:val="21"/>
                <w:highlight w:val="none"/>
              </w:rPr>
              <w:t>（医疗行业的信息系统集成</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软件开发类项目</w:t>
            </w:r>
            <w:r>
              <w:rPr>
                <w:rFonts w:hint="eastAsia" w:ascii="宋体" w:hAnsi="宋体" w:cs="宋体"/>
                <w:color w:val="auto"/>
                <w:kern w:val="0"/>
                <w:szCs w:val="21"/>
                <w:highlight w:val="none"/>
                <w:lang w:val="en-US" w:eastAsia="zh-CN"/>
              </w:rPr>
              <w:t>等</w:t>
            </w:r>
            <w:r>
              <w:rPr>
                <w:rFonts w:hint="eastAsia" w:ascii="宋体" w:hAnsi="宋体" w:cs="宋体"/>
                <w:color w:val="auto"/>
                <w:kern w:val="0"/>
                <w:szCs w:val="21"/>
                <w:highlight w:val="none"/>
              </w:rPr>
              <w:t>）</w:t>
            </w:r>
            <w:r>
              <w:rPr>
                <w:rFonts w:hint="eastAsia" w:ascii="宋体" w:hAnsi="宋体" w:eastAsia="宋体" w:cs="宋体"/>
                <w:color w:val="auto"/>
                <w:szCs w:val="21"/>
                <w:highlight w:val="none"/>
              </w:rPr>
              <w:t>，每项得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分。（以合同或者中标（成交）通知书复印件为准，并加盖供应商公章）</w:t>
            </w:r>
          </w:p>
        </w:tc>
      </w:tr>
      <w:tr w14:paraId="66FE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31" w:type="pct"/>
            <w:noWrap w:val="0"/>
            <w:vAlign w:val="center"/>
          </w:tcPr>
          <w:p w14:paraId="4912361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533" w:type="pct"/>
            <w:noWrap w:val="0"/>
            <w:vAlign w:val="center"/>
          </w:tcPr>
          <w:p w14:paraId="4BEB32E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4134" w:type="pct"/>
            <w:gridSpan w:val="2"/>
            <w:noWrap w:val="0"/>
            <w:vAlign w:val="center"/>
          </w:tcPr>
          <w:p w14:paraId="59DCD85C">
            <w:pPr>
              <w:spacing w:line="240" w:lineRule="auto"/>
              <w:ind w:right="105" w:rightChars="50"/>
              <w:jc w:val="left"/>
              <w:rPr>
                <w:rFonts w:hint="eastAsia" w:ascii="宋体" w:hAnsi="宋体" w:eastAsia="宋体" w:cs="宋体"/>
                <w:color w:val="auto"/>
                <w:highlight w:val="none"/>
              </w:rPr>
            </w:pPr>
            <w:r>
              <w:rPr>
                <w:rFonts w:hint="eastAsia" w:ascii="宋体" w:hAnsi="宋体" w:eastAsia="宋体" w:cs="宋体"/>
                <w:color w:val="auto"/>
                <w:highlight w:val="none"/>
              </w:rPr>
              <w:t>（1）以进入详评的且最后报价最</w:t>
            </w:r>
            <w:r>
              <w:rPr>
                <w:rFonts w:hint="eastAsia" w:ascii="宋体" w:hAnsi="宋体" w:eastAsia="宋体" w:cs="宋体"/>
                <w:color w:val="auto"/>
                <w:highlight w:val="none"/>
                <w:lang w:eastAsia="zh-CN"/>
              </w:rPr>
              <w:t>低</w:t>
            </w:r>
            <w:r>
              <w:rPr>
                <w:rFonts w:hint="eastAsia" w:ascii="宋体" w:hAnsi="宋体" w:eastAsia="宋体" w:cs="宋体"/>
                <w:color w:val="auto"/>
                <w:highlight w:val="none"/>
              </w:rPr>
              <w:t>的供应商的价格为磋商基准价，其价格分为</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p>
          <w:p w14:paraId="21D57DED">
            <w:pPr>
              <w:spacing w:line="240" w:lineRule="auto"/>
              <w:ind w:right="105" w:rightChars="50"/>
              <w:jc w:val="left"/>
              <w:rPr>
                <w:rFonts w:hint="eastAsia" w:ascii="宋体" w:hAnsi="宋体" w:eastAsia="宋体" w:cs="宋体"/>
                <w:color w:val="auto"/>
                <w:highlight w:val="none"/>
              </w:rPr>
            </w:pPr>
            <w:r>
              <w:rPr>
                <w:rFonts w:hint="eastAsia" w:ascii="宋体" w:hAnsi="宋体" w:eastAsia="宋体" w:cs="宋体"/>
                <w:color w:val="auto"/>
                <w:highlight w:val="none"/>
              </w:rPr>
              <w:t>（2）某供应商磋商报价得分=（磋商基准价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某供应商最终磋商报价）×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w:t>
            </w:r>
          </w:p>
        </w:tc>
      </w:tr>
      <w:tr w14:paraId="4265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5" w:type="pct"/>
            <w:gridSpan w:val="2"/>
            <w:noWrap w:val="0"/>
            <w:vAlign w:val="center"/>
          </w:tcPr>
          <w:p w14:paraId="4DCC16F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竞标人汇总得分</w:t>
            </w:r>
          </w:p>
        </w:tc>
        <w:tc>
          <w:tcPr>
            <w:tcW w:w="4134" w:type="pct"/>
            <w:gridSpan w:val="2"/>
            <w:noWrap w:val="0"/>
            <w:vAlign w:val="center"/>
          </w:tcPr>
          <w:p w14:paraId="2F744EC8">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竞标人汇总得分=</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商务</w:t>
            </w:r>
            <w:r>
              <w:rPr>
                <w:rFonts w:hint="eastAsia" w:ascii="宋体" w:hAnsi="宋体" w:eastAsia="宋体" w:cs="宋体"/>
                <w:color w:val="auto"/>
                <w:szCs w:val="21"/>
                <w:highlight w:val="none"/>
              </w:rPr>
              <w:t>分+价格分，</w:t>
            </w:r>
            <w:r>
              <w:rPr>
                <w:rFonts w:hint="eastAsia" w:ascii="宋体" w:hAnsi="宋体" w:eastAsia="宋体" w:cs="宋体"/>
                <w:bCs/>
                <w:color w:val="auto"/>
                <w:szCs w:val="21"/>
                <w:highlight w:val="none"/>
              </w:rPr>
              <w:t>按四舍五入取至小数点后二位。</w:t>
            </w:r>
          </w:p>
        </w:tc>
      </w:tr>
    </w:tbl>
    <w:p w14:paraId="36C10817">
      <w:pPr>
        <w:spacing w:line="360" w:lineRule="auto"/>
        <w:ind w:firstLine="420" w:firstLineChars="200"/>
        <w:rPr>
          <w:rFonts w:hint="eastAsia" w:ascii="宋体" w:eastAsia="宋体" w:cs="宋体"/>
          <w:bCs/>
          <w:color w:val="auto"/>
          <w:szCs w:val="21"/>
          <w:highlight w:val="none"/>
          <w:lang w:bidi="ar-SA"/>
        </w:rPr>
      </w:pPr>
    </w:p>
    <w:p w14:paraId="6C287D48">
      <w:pPr>
        <w:spacing w:line="360" w:lineRule="auto"/>
        <w:ind w:firstLine="420" w:firstLineChars="200"/>
        <w:rPr>
          <w:rFonts w:hint="eastAsia" w:ascii="宋体" w:eastAsia="宋体" w:cs="宋体"/>
          <w:snapToGrid w:val="0"/>
          <w:color w:val="auto"/>
          <w:kern w:val="0"/>
          <w:sz w:val="24"/>
          <w:highlight w:val="none"/>
          <w:lang w:eastAsia="zh-CN" w:bidi="ar-SA"/>
        </w:rPr>
      </w:pPr>
      <w:r>
        <w:rPr>
          <w:rFonts w:hint="eastAsia" w:ascii="宋体" w:eastAsia="宋体" w:cs="宋体"/>
          <w:bCs/>
          <w:color w:val="auto"/>
          <w:szCs w:val="21"/>
          <w:highlight w:val="none"/>
          <w:lang w:bidi="ar-SA"/>
        </w:rPr>
        <w:t>7.由磋商小组根据综合评分情况，按照评审得分由高到低顺序推荐3名以上成交候选供应商，并编写评审报告。符合本章第</w:t>
      </w:r>
      <w:r>
        <w:rPr>
          <w:rFonts w:hint="eastAsia" w:ascii="宋体" w:eastAsia="宋体" w:cs="宋体"/>
          <w:color w:val="auto"/>
          <w:szCs w:val="21"/>
          <w:highlight w:val="none"/>
          <w:lang w:bidi="ar-SA"/>
        </w:rPr>
        <w:t>2.7、3.7、4.3</w:t>
      </w:r>
      <w:r>
        <w:rPr>
          <w:rFonts w:hint="eastAsia" w:ascii="宋体" w:eastAsia="宋体" w:cs="宋体"/>
          <w:bCs/>
          <w:color w:val="auto"/>
          <w:szCs w:val="21"/>
          <w:highlight w:val="none"/>
          <w:lang w:bidi="ar-SA"/>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eastAsia="宋体" w:cs="宋体"/>
          <w:color w:val="auto"/>
          <w:szCs w:val="21"/>
          <w:highlight w:val="none"/>
          <w:lang w:bidi="ar-SA"/>
        </w:rPr>
        <w:t>按综合评分中技术分、商务分得分高低依次确定</w:t>
      </w:r>
      <w:r>
        <w:rPr>
          <w:rFonts w:hint="eastAsia" w:ascii="宋体" w:eastAsia="宋体" w:cs="宋体"/>
          <w:bCs/>
          <w:color w:val="auto"/>
          <w:szCs w:val="21"/>
          <w:highlight w:val="none"/>
          <w:lang w:bidi="ar-SA"/>
        </w:rPr>
        <w:t>）。</w:t>
      </w:r>
      <w:r>
        <w:rPr>
          <w:rFonts w:hint="eastAsia" w:ascii="宋体" w:cs="宋体"/>
          <w:color w:val="auto"/>
          <w:szCs w:val="21"/>
          <w:highlight w:val="none"/>
          <w:lang w:val="en-US" w:eastAsia="zh-CN" w:bidi="ar-SA"/>
        </w:rPr>
        <w:t>本项目采购人授权磋商小组直接确定成交供应商</w:t>
      </w:r>
      <w:r>
        <w:rPr>
          <w:rFonts w:hint="eastAsia" w:cs="宋体"/>
          <w:color w:val="auto"/>
          <w:szCs w:val="21"/>
          <w:highlight w:val="none"/>
          <w:lang w:bidi="ar-SA"/>
        </w:rPr>
        <w:t>，评审报告提出的排序第一的供应商为成交供应商</w:t>
      </w:r>
      <w:r>
        <w:rPr>
          <w:rFonts w:hint="eastAsia" w:cs="宋体"/>
          <w:color w:val="auto"/>
          <w:szCs w:val="21"/>
          <w:highlight w:val="none"/>
          <w:lang w:eastAsia="zh-CN" w:bidi="ar-SA"/>
        </w:rPr>
        <w:t>。</w:t>
      </w:r>
    </w:p>
    <w:p w14:paraId="1754C16C">
      <w:pPr>
        <w:spacing w:line="400" w:lineRule="exact"/>
        <w:ind w:firstLine="420" w:firstLineChars="200"/>
        <w:rPr>
          <w:rFonts w:hint="eastAsia" w:ascii="宋体" w:eastAsia="宋体" w:cs="宋体"/>
          <w:color w:val="auto"/>
          <w:highlight w:val="none"/>
          <w:lang w:bidi="ar-SA"/>
        </w:rPr>
      </w:pPr>
    </w:p>
    <w:p w14:paraId="68C25447">
      <w:pPr>
        <w:spacing w:line="400" w:lineRule="exact"/>
        <w:ind w:firstLine="420" w:firstLineChars="200"/>
        <w:rPr>
          <w:rFonts w:hint="eastAsia" w:ascii="宋体" w:eastAsia="宋体" w:cs="宋体"/>
          <w:color w:val="auto"/>
          <w:highlight w:val="none"/>
          <w:lang w:bidi="ar-SA"/>
        </w:rPr>
      </w:pPr>
    </w:p>
    <w:p w14:paraId="4B3F94AB">
      <w:pPr>
        <w:rPr>
          <w:rFonts w:hint="eastAsia" w:ascii="宋体" w:eastAsia="宋体" w:cs="宋体"/>
          <w:color w:val="auto"/>
          <w:highlight w:val="none"/>
          <w:lang w:bidi="ar-SA"/>
        </w:rPr>
      </w:pPr>
    </w:p>
    <w:p w14:paraId="087A578B">
      <w:pPr>
        <w:rPr>
          <w:rFonts w:hint="eastAsia" w:ascii="宋体" w:eastAsia="宋体" w:cs="宋体"/>
          <w:color w:val="auto"/>
          <w:highlight w:val="none"/>
          <w:lang w:bidi="ar-SA"/>
        </w:rPr>
      </w:pPr>
    </w:p>
    <w:p w14:paraId="5D9AB2EF">
      <w:pPr>
        <w:rPr>
          <w:rFonts w:hint="eastAsia" w:ascii="宋体" w:eastAsia="宋体" w:cs="宋体"/>
          <w:color w:val="auto"/>
          <w:highlight w:val="none"/>
          <w:lang w:bidi="ar-SA"/>
        </w:rPr>
      </w:pPr>
    </w:p>
    <w:p w14:paraId="7AF33FB5">
      <w:pPr>
        <w:rPr>
          <w:rFonts w:hint="eastAsia" w:ascii="宋体" w:eastAsia="宋体" w:cs="宋体"/>
          <w:color w:val="auto"/>
          <w:highlight w:val="none"/>
          <w:lang w:bidi="ar-SA"/>
        </w:rPr>
      </w:pPr>
    </w:p>
    <w:p w14:paraId="4863116F">
      <w:pPr>
        <w:rPr>
          <w:rFonts w:hint="eastAsia" w:ascii="宋体" w:eastAsia="宋体" w:cs="宋体"/>
          <w:color w:val="auto"/>
          <w:highlight w:val="none"/>
          <w:lang w:bidi="ar-SA"/>
        </w:rPr>
      </w:pPr>
    </w:p>
    <w:p w14:paraId="28CA7104">
      <w:pPr>
        <w:rPr>
          <w:rFonts w:hint="eastAsia" w:ascii="宋体" w:eastAsia="宋体" w:cs="宋体"/>
          <w:color w:val="auto"/>
          <w:highlight w:val="none"/>
          <w:lang w:bidi="ar-SA"/>
        </w:rPr>
      </w:pPr>
    </w:p>
    <w:p w14:paraId="743A1DEF">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33B47355">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42B8EA39">
      <w:pPr>
        <w:keepNext/>
        <w:keepLines/>
        <w:pageBreakBefore w:val="0"/>
        <w:widowControl w:val="0"/>
        <w:kinsoku/>
        <w:wordWrap/>
        <w:overflowPunct/>
        <w:topLinePunct w:val="0"/>
        <w:autoSpaceDE/>
        <w:autoSpaceDN/>
        <w:bidi w:val="0"/>
        <w:adjustRightInd/>
        <w:snapToGrid/>
        <w:spacing w:line="579" w:lineRule="auto"/>
        <w:jc w:val="both"/>
        <w:textAlignment w:val="auto"/>
        <w:outlineLvl w:val="9"/>
        <w:rPr>
          <w:rFonts w:hint="eastAsia" w:ascii="宋体" w:eastAsia="宋体" w:cs="宋体"/>
          <w:color w:val="auto"/>
          <w:highlight w:val="none"/>
          <w:lang w:bidi="ar-SA"/>
        </w:rPr>
      </w:pPr>
    </w:p>
    <w:p w14:paraId="61B553E9">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47BF692F">
      <w:pPr>
        <w:pStyle w:val="2"/>
        <w:rPr>
          <w:rFonts w:hint="eastAsia" w:ascii="宋体" w:eastAsia="宋体" w:cs="宋体"/>
          <w:color w:val="auto"/>
          <w:highlight w:val="none"/>
          <w:lang w:bidi="ar-SA"/>
        </w:rPr>
      </w:pPr>
    </w:p>
    <w:p w14:paraId="016657ED">
      <w:pPr>
        <w:pStyle w:val="3"/>
        <w:rPr>
          <w:rFonts w:hint="eastAsia" w:ascii="宋体" w:eastAsia="宋体" w:cs="宋体"/>
          <w:color w:val="auto"/>
          <w:highlight w:val="none"/>
          <w:lang w:bidi="ar-SA"/>
        </w:rPr>
      </w:pPr>
    </w:p>
    <w:p w14:paraId="41FC417C">
      <w:pPr>
        <w:rPr>
          <w:rFonts w:hint="eastAsia" w:ascii="宋体" w:eastAsia="宋体" w:cs="宋体"/>
          <w:color w:val="auto"/>
          <w:highlight w:val="none"/>
          <w:lang w:bidi="ar-SA"/>
        </w:rPr>
      </w:pPr>
    </w:p>
    <w:p w14:paraId="64581804">
      <w:pPr>
        <w:pStyle w:val="2"/>
        <w:rPr>
          <w:rFonts w:hint="eastAsia" w:ascii="宋体" w:eastAsia="宋体" w:cs="宋体"/>
          <w:color w:val="auto"/>
          <w:highlight w:val="none"/>
          <w:lang w:bidi="ar-SA"/>
        </w:rPr>
      </w:pPr>
    </w:p>
    <w:p w14:paraId="1D0E7631">
      <w:pPr>
        <w:pStyle w:val="3"/>
        <w:rPr>
          <w:rFonts w:hint="eastAsia"/>
          <w:highlight w:val="none"/>
        </w:rPr>
      </w:pPr>
    </w:p>
    <w:p w14:paraId="54C20193">
      <w:pPr>
        <w:pStyle w:val="4"/>
        <w:jc w:val="center"/>
        <w:rPr>
          <w:rFonts w:hint="eastAsia" w:ascii="宋体" w:eastAsia="宋体" w:cs="宋体"/>
          <w:color w:val="auto"/>
          <w:highlight w:val="none"/>
          <w:lang w:bidi="ar-SA"/>
        </w:rPr>
      </w:pPr>
      <w:bookmarkStart w:id="35" w:name="_Toc9665"/>
      <w:r>
        <w:rPr>
          <w:rFonts w:hint="eastAsia" w:ascii="宋体" w:eastAsia="宋体" w:cs="宋体"/>
          <w:color w:val="auto"/>
          <w:highlight w:val="none"/>
          <w:lang w:bidi="ar-SA"/>
        </w:rPr>
        <w:t>第五章 响应文件格式</w:t>
      </w:r>
      <w:bookmarkEnd w:id="35"/>
    </w:p>
    <w:p w14:paraId="7D234C3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7226FC7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7B939B1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5EA537BE">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7392ED2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0E7A0D1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5B70D5C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1099A27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7893ADE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
          <w:color w:val="auto"/>
          <w:sz w:val="32"/>
          <w:szCs w:val="32"/>
          <w:highlight w:val="none"/>
          <w:lang w:bidi="ar-SA"/>
        </w:rPr>
      </w:pPr>
    </w:p>
    <w:p w14:paraId="3DDA4C5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eastAsia="宋体" w:cs="宋体"/>
          <w:bCs/>
          <w:color w:val="auto"/>
          <w:sz w:val="32"/>
          <w:szCs w:val="32"/>
          <w:highlight w:val="none"/>
          <w:lang w:bidi="ar-SA"/>
        </w:rPr>
      </w:pPr>
    </w:p>
    <w:p w14:paraId="49ABC3CF">
      <w:pPr>
        <w:keepNext w:val="0"/>
        <w:keepLines w:val="0"/>
        <w:pageBreakBefore w:val="0"/>
        <w:widowControl w:val="0"/>
        <w:kinsoku/>
        <w:wordWrap/>
        <w:overflowPunct/>
        <w:topLinePunct w:val="0"/>
        <w:autoSpaceDE/>
        <w:autoSpaceDN/>
        <w:bidi w:val="0"/>
        <w:adjustRightInd/>
        <w:snapToGrid/>
        <w:textAlignment w:val="auto"/>
        <w:rPr>
          <w:rFonts w:hint="eastAsia" w:ascii="宋体" w:eastAsia="宋体" w:cs="宋体"/>
          <w:b/>
          <w:color w:val="auto"/>
          <w:sz w:val="32"/>
          <w:szCs w:val="32"/>
          <w:highlight w:val="none"/>
          <w:lang w:bidi="ar-SA"/>
        </w:rPr>
      </w:pPr>
      <w:bookmarkStart w:id="36" w:name="_Toc35611438"/>
      <w:bookmarkStart w:id="37" w:name="_Toc31728084"/>
      <w:bookmarkStart w:id="38" w:name="_Toc71365925"/>
      <w:bookmarkStart w:id="39" w:name="_Toc44229899"/>
      <w:bookmarkStart w:id="40" w:name="_Toc35611516"/>
      <w:bookmarkStart w:id="41" w:name="_Toc31723070"/>
      <w:r>
        <w:rPr>
          <w:rFonts w:hint="eastAsia" w:ascii="宋体" w:eastAsia="宋体" w:cs="宋体"/>
          <w:b/>
          <w:color w:val="auto"/>
          <w:sz w:val="32"/>
          <w:szCs w:val="32"/>
          <w:highlight w:val="none"/>
          <w:lang w:bidi="ar-SA"/>
        </w:rPr>
        <w:br w:type="page"/>
      </w:r>
      <w:r>
        <w:rPr>
          <w:rFonts w:hint="eastAsia" w:ascii="宋体" w:eastAsia="宋体" w:cs="宋体"/>
          <w:b/>
          <w:color w:val="auto"/>
          <w:sz w:val="32"/>
          <w:szCs w:val="32"/>
          <w:highlight w:val="none"/>
          <w:lang w:bidi="ar-SA"/>
        </w:rPr>
        <w:t>一、资格证明文件格式</w:t>
      </w:r>
      <w:bookmarkEnd w:id="36"/>
      <w:bookmarkEnd w:id="37"/>
      <w:bookmarkEnd w:id="38"/>
      <w:bookmarkEnd w:id="39"/>
      <w:bookmarkEnd w:id="40"/>
      <w:bookmarkEnd w:id="41"/>
    </w:p>
    <w:p w14:paraId="28E395B2">
      <w:pPr>
        <w:snapToGrid w:val="0"/>
        <w:spacing w:before="156" w:after="50" w:line="360" w:lineRule="auto"/>
        <w:jc w:val="left"/>
        <w:rPr>
          <w:rFonts w:hint="eastAsia" w:ascii="宋体" w:eastAsia="宋体" w:cs="宋体"/>
          <w:b/>
          <w:color w:val="auto"/>
          <w:sz w:val="24"/>
          <w:highlight w:val="none"/>
          <w:lang w:bidi="ar-SA"/>
        </w:rPr>
      </w:pPr>
      <w:r>
        <w:rPr>
          <w:rFonts w:hint="eastAsia" w:ascii="宋体" w:eastAsia="宋体" w:cs="宋体"/>
          <w:b/>
          <w:color w:val="auto"/>
          <w:sz w:val="32"/>
          <w:szCs w:val="32"/>
          <w:highlight w:val="none"/>
          <w:lang w:bidi="ar-SA"/>
        </w:rPr>
        <w:t>1.资格证明文件封面格式：</w:t>
      </w:r>
      <w:r>
        <w:rPr>
          <w:rFonts w:hint="eastAsia" w:ascii="宋体" w:eastAsia="宋体" w:cs="宋体"/>
          <w:b/>
          <w:color w:val="auto"/>
          <w:sz w:val="24"/>
          <w:highlight w:val="none"/>
          <w:lang w:bidi="ar-SA"/>
        </w:rPr>
        <w:t xml:space="preserve"> </w:t>
      </w:r>
    </w:p>
    <w:p w14:paraId="34D95AA6">
      <w:pPr>
        <w:snapToGrid w:val="0"/>
        <w:spacing w:before="156" w:after="50"/>
        <w:rPr>
          <w:rFonts w:hint="eastAsia" w:ascii="宋体" w:eastAsia="宋体" w:cs="宋体"/>
          <w:bCs/>
          <w:color w:val="auto"/>
          <w:sz w:val="32"/>
          <w:szCs w:val="20"/>
          <w:highlight w:val="none"/>
          <w:lang w:bidi="ar-SA"/>
        </w:rPr>
      </w:pPr>
      <w:r>
        <w:rPr>
          <w:rFonts w:hint="eastAsia" w:ascii="宋体" w:eastAsia="宋体" w:cs="宋体"/>
          <w:color w:val="auto"/>
          <w:sz w:val="24"/>
          <w:highlight w:val="none"/>
          <w:lang w:bidi="ar-SA"/>
        </w:rPr>
        <w:t xml:space="preserve">                                                    </w:t>
      </w:r>
    </w:p>
    <w:p w14:paraId="518E6449">
      <w:pPr>
        <w:snapToGrid w:val="0"/>
        <w:spacing w:before="156" w:after="50"/>
        <w:rPr>
          <w:rFonts w:hint="eastAsia" w:ascii="宋体" w:eastAsia="宋体" w:cs="宋体"/>
          <w:color w:val="auto"/>
          <w:sz w:val="24"/>
          <w:szCs w:val="20"/>
          <w:highlight w:val="none"/>
          <w:lang w:bidi="ar-SA"/>
        </w:rPr>
      </w:pPr>
    </w:p>
    <w:p w14:paraId="0D63D44F">
      <w:pPr>
        <w:snapToGrid w:val="0"/>
        <w:spacing w:before="156" w:after="50"/>
        <w:jc w:val="center"/>
        <w:rPr>
          <w:rFonts w:hint="eastAsia" w:ascii="宋体" w:eastAsia="宋体" w:cs="宋体"/>
          <w:bCs/>
          <w:color w:val="auto"/>
          <w:sz w:val="84"/>
          <w:szCs w:val="84"/>
          <w:highlight w:val="none"/>
          <w:lang w:bidi="ar-SA"/>
        </w:rPr>
      </w:pPr>
      <w:r>
        <w:rPr>
          <w:rFonts w:hint="eastAsia" w:ascii="宋体" w:eastAsia="宋体" w:cs="宋体"/>
          <w:bCs/>
          <w:color w:val="auto"/>
          <w:sz w:val="84"/>
          <w:szCs w:val="84"/>
          <w:highlight w:val="none"/>
          <w:lang w:bidi="ar-SA"/>
        </w:rPr>
        <w:t>响  应  文  件</w:t>
      </w:r>
    </w:p>
    <w:p w14:paraId="493182BB">
      <w:pPr>
        <w:snapToGrid w:val="0"/>
        <w:spacing w:before="156" w:after="50"/>
        <w:jc w:val="center"/>
        <w:rPr>
          <w:rFonts w:hint="eastAsia" w:ascii="宋体" w:eastAsia="宋体" w:cs="宋体"/>
          <w:bCs/>
          <w:color w:val="auto"/>
          <w:sz w:val="44"/>
          <w:szCs w:val="44"/>
          <w:highlight w:val="none"/>
          <w:lang w:bidi="ar-SA"/>
        </w:rPr>
      </w:pPr>
    </w:p>
    <w:p w14:paraId="6035E44F">
      <w:pPr>
        <w:snapToGrid w:val="0"/>
        <w:spacing w:before="156" w:after="50"/>
        <w:jc w:val="center"/>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资  格  证  明  文  件</w:t>
      </w:r>
    </w:p>
    <w:p w14:paraId="21F75E9A">
      <w:pPr>
        <w:snapToGrid w:val="0"/>
        <w:spacing w:before="156" w:after="50"/>
        <w:rPr>
          <w:rFonts w:hint="eastAsia" w:ascii="宋体" w:eastAsia="宋体" w:cs="宋体"/>
          <w:bCs/>
          <w:color w:val="auto"/>
          <w:sz w:val="24"/>
          <w:szCs w:val="20"/>
          <w:highlight w:val="none"/>
          <w:lang w:bidi="ar-SA"/>
        </w:rPr>
      </w:pPr>
    </w:p>
    <w:p w14:paraId="753D27AC">
      <w:pPr>
        <w:snapToGrid w:val="0"/>
        <w:spacing w:before="156" w:after="50"/>
        <w:rPr>
          <w:rFonts w:hint="eastAsia" w:ascii="宋体" w:eastAsia="宋体" w:cs="宋体"/>
          <w:bCs/>
          <w:color w:val="auto"/>
          <w:sz w:val="24"/>
          <w:szCs w:val="20"/>
          <w:highlight w:val="none"/>
          <w:lang w:bidi="ar-SA"/>
        </w:rPr>
      </w:pPr>
    </w:p>
    <w:p w14:paraId="1561B381">
      <w:pPr>
        <w:snapToGrid w:val="0"/>
        <w:spacing w:before="156" w:after="50"/>
        <w:rPr>
          <w:rFonts w:hint="eastAsia" w:ascii="宋体" w:eastAsia="宋体" w:cs="宋体"/>
          <w:bCs/>
          <w:color w:val="auto"/>
          <w:sz w:val="24"/>
          <w:szCs w:val="20"/>
          <w:highlight w:val="none"/>
          <w:lang w:bidi="ar-SA"/>
        </w:rPr>
      </w:pPr>
    </w:p>
    <w:p w14:paraId="7EB6CC5E">
      <w:pPr>
        <w:snapToGrid w:val="0"/>
        <w:spacing w:before="156" w:after="50"/>
        <w:ind w:firstLine="640" w:firstLineChars="200"/>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项目名称：</w:t>
      </w:r>
    </w:p>
    <w:p w14:paraId="003CDAA4">
      <w:pPr>
        <w:snapToGrid w:val="0"/>
        <w:spacing w:before="156" w:after="50"/>
        <w:ind w:firstLine="720" w:firstLineChars="225"/>
        <w:rPr>
          <w:rFonts w:hint="eastAsia" w:ascii="宋体" w:eastAsia="宋体" w:cs="宋体"/>
          <w:bCs/>
          <w:color w:val="auto"/>
          <w:sz w:val="32"/>
          <w:szCs w:val="32"/>
          <w:highlight w:val="none"/>
          <w:lang w:bidi="ar-SA"/>
        </w:rPr>
      </w:pPr>
    </w:p>
    <w:p w14:paraId="074633C6">
      <w:pPr>
        <w:snapToGrid w:val="0"/>
        <w:spacing w:before="156" w:after="50"/>
        <w:ind w:firstLine="720" w:firstLineChars="225"/>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项目编号：</w:t>
      </w:r>
    </w:p>
    <w:p w14:paraId="3B7C2C39">
      <w:pPr>
        <w:snapToGrid w:val="0"/>
        <w:spacing w:before="156" w:after="50"/>
        <w:ind w:firstLine="720" w:firstLineChars="225"/>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 xml:space="preserve"> </w:t>
      </w:r>
    </w:p>
    <w:p w14:paraId="566BA6A9">
      <w:pPr>
        <w:snapToGrid w:val="0"/>
        <w:spacing w:before="156" w:after="50"/>
        <w:ind w:firstLine="720" w:firstLineChars="225"/>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供应商名称：</w:t>
      </w:r>
    </w:p>
    <w:p w14:paraId="1A2C4D8B">
      <w:pPr>
        <w:snapToGrid w:val="0"/>
        <w:spacing w:before="156" w:after="50"/>
        <w:ind w:firstLine="720" w:firstLineChars="225"/>
        <w:rPr>
          <w:rFonts w:hint="eastAsia" w:ascii="宋体" w:eastAsia="宋体" w:cs="宋体"/>
          <w:bCs/>
          <w:color w:val="auto"/>
          <w:sz w:val="32"/>
          <w:szCs w:val="32"/>
          <w:highlight w:val="none"/>
          <w:lang w:bidi="ar-SA"/>
        </w:rPr>
      </w:pPr>
    </w:p>
    <w:p w14:paraId="5F6D1BD3">
      <w:pPr>
        <w:pStyle w:val="9"/>
        <w:snapToGrid w:val="0"/>
        <w:spacing w:before="50" w:after="50"/>
        <w:ind w:firstLine="720" w:firstLineChars="225"/>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供应商地址：</w:t>
      </w:r>
    </w:p>
    <w:p w14:paraId="2BD5E8B2">
      <w:pPr>
        <w:pStyle w:val="9"/>
        <w:snapToGrid w:val="0"/>
        <w:spacing w:before="50" w:after="50"/>
        <w:ind w:firstLine="720" w:firstLineChars="225"/>
        <w:rPr>
          <w:rFonts w:hint="eastAsia" w:ascii="宋体" w:eastAsia="宋体" w:cs="宋体"/>
          <w:bCs/>
          <w:color w:val="auto"/>
          <w:sz w:val="32"/>
          <w:szCs w:val="32"/>
          <w:highlight w:val="none"/>
          <w:lang w:bidi="ar-SA"/>
        </w:rPr>
      </w:pPr>
    </w:p>
    <w:p w14:paraId="045BB0C4">
      <w:pPr>
        <w:pStyle w:val="9"/>
        <w:snapToGrid w:val="0"/>
        <w:spacing w:before="50" w:after="50"/>
        <w:ind w:firstLine="720" w:firstLineChars="225"/>
        <w:rPr>
          <w:rFonts w:hint="eastAsia" w:ascii="宋体" w:eastAsia="宋体" w:cs="宋体"/>
          <w:bCs/>
          <w:color w:val="auto"/>
          <w:sz w:val="32"/>
          <w:szCs w:val="32"/>
          <w:highlight w:val="none"/>
          <w:lang w:bidi="ar-SA"/>
        </w:rPr>
      </w:pPr>
    </w:p>
    <w:p w14:paraId="07B4D03E">
      <w:pPr>
        <w:pStyle w:val="9"/>
        <w:snapToGrid w:val="0"/>
        <w:spacing w:before="50" w:after="50"/>
        <w:ind w:firstLine="1280" w:firstLineChars="400"/>
        <w:rPr>
          <w:rFonts w:hint="eastAsia" w:ascii="宋体" w:eastAsia="宋体" w:cs="宋体"/>
          <w:bCs/>
          <w:color w:val="auto"/>
          <w:sz w:val="32"/>
          <w:szCs w:val="32"/>
          <w:highlight w:val="none"/>
          <w:lang w:bidi="ar-SA"/>
        </w:rPr>
      </w:pPr>
    </w:p>
    <w:p w14:paraId="07F9BA02">
      <w:pPr>
        <w:snapToGrid w:val="0"/>
        <w:spacing w:before="156" w:after="50"/>
        <w:jc w:val="center"/>
        <w:rPr>
          <w:rFonts w:hint="eastAsia" w:ascii="宋体" w:eastAsia="宋体" w:cs="宋体"/>
          <w:color w:val="auto"/>
          <w:sz w:val="32"/>
          <w:szCs w:val="32"/>
          <w:highlight w:val="none"/>
          <w:lang w:bidi="ar-SA"/>
        </w:rPr>
      </w:pPr>
      <w:r>
        <w:rPr>
          <w:rFonts w:hint="eastAsia" w:ascii="宋体" w:eastAsia="宋体" w:cs="宋体"/>
          <w:color w:val="auto"/>
          <w:sz w:val="32"/>
          <w:szCs w:val="32"/>
          <w:highlight w:val="none"/>
          <w:lang w:bidi="ar-SA"/>
        </w:rPr>
        <w:t>年    月    日</w:t>
      </w:r>
    </w:p>
    <w:p w14:paraId="4C297A92">
      <w:pPr>
        <w:snapToGrid w:val="0"/>
        <w:spacing w:before="156" w:after="50" w:line="360" w:lineRule="auto"/>
        <w:ind w:left="142"/>
        <w:jc w:val="left"/>
        <w:rPr>
          <w:rFonts w:hint="eastAsia" w:ascii="宋体" w:eastAsia="宋体" w:cs="宋体"/>
          <w:b/>
          <w:bCs/>
          <w:color w:val="auto"/>
          <w:sz w:val="32"/>
          <w:szCs w:val="32"/>
          <w:highlight w:val="none"/>
          <w:lang w:bidi="ar-SA"/>
        </w:rPr>
      </w:pPr>
      <w:r>
        <w:rPr>
          <w:rFonts w:hint="eastAsia" w:ascii="宋体" w:eastAsia="宋体" w:cs="宋体"/>
          <w:color w:val="auto"/>
          <w:sz w:val="24"/>
          <w:highlight w:val="none"/>
          <w:lang w:bidi="ar-SA"/>
        </w:rPr>
        <w:br w:type="page"/>
      </w:r>
      <w:r>
        <w:rPr>
          <w:rFonts w:hint="eastAsia" w:ascii="宋体" w:eastAsia="宋体" w:cs="宋体"/>
          <w:b/>
          <w:bCs/>
          <w:color w:val="auto"/>
          <w:sz w:val="32"/>
          <w:szCs w:val="32"/>
          <w:highlight w:val="none"/>
          <w:lang w:bidi="ar-SA"/>
        </w:rPr>
        <w:t>2.资格证明文件目录</w:t>
      </w:r>
    </w:p>
    <w:p w14:paraId="73C35A52">
      <w:pPr>
        <w:snapToGrid w:val="0"/>
        <w:spacing w:before="156" w:after="50" w:line="360" w:lineRule="auto"/>
        <w:ind w:firstLine="645"/>
        <w:rPr>
          <w:rFonts w:hint="eastAsia" w:ascii="宋体" w:eastAsia="宋体" w:cs="宋体"/>
          <w:color w:val="auto"/>
          <w:sz w:val="32"/>
          <w:szCs w:val="32"/>
          <w:highlight w:val="none"/>
          <w:lang w:bidi="ar-SA"/>
        </w:rPr>
        <w:sectPr>
          <w:pgSz w:w="11906" w:h="16838"/>
          <w:pgMar w:top="1134" w:right="1134" w:bottom="1134" w:left="1134" w:header="851" w:footer="992" w:gutter="0"/>
          <w:pgNumType w:fmt="decimal"/>
          <w:cols w:space="0" w:num="1"/>
          <w:titlePg/>
          <w:rtlGutter w:val="0"/>
          <w:docGrid w:type="lines" w:linePitch="312" w:charSpace="0"/>
        </w:sectPr>
      </w:pPr>
      <w:r>
        <w:rPr>
          <w:rFonts w:hint="eastAsia" w:ascii="宋体" w:eastAsia="宋体" w:cs="宋体"/>
          <w:color w:val="auto"/>
          <w:sz w:val="32"/>
          <w:szCs w:val="32"/>
          <w:highlight w:val="none"/>
          <w:lang w:bidi="ar-SA"/>
        </w:rPr>
        <w:t>根据磋商文件规定及供应商提供的材料自行编写目录（部分格式后附）。</w:t>
      </w:r>
    </w:p>
    <w:p w14:paraId="4DA3B4EE">
      <w:pPr>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 xml:space="preserve"> </w:t>
      </w:r>
    </w:p>
    <w:p w14:paraId="3119C0B6">
      <w:pPr>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val="en-US" w:eastAsia="zh-CN" w:bidi="ar-SA"/>
        </w:rPr>
        <w:t>贺州市</w:t>
      </w:r>
      <w:r>
        <w:rPr>
          <w:rFonts w:hint="eastAsia" w:ascii="宋体" w:eastAsia="宋体" w:cs="宋体"/>
          <w:b/>
          <w:color w:val="auto"/>
          <w:sz w:val="32"/>
          <w:szCs w:val="32"/>
          <w:highlight w:val="none"/>
          <w:lang w:bidi="ar-SA"/>
        </w:rPr>
        <w:t>政府采购供应商信用承诺函(格式)</w:t>
      </w:r>
    </w:p>
    <w:p w14:paraId="34CF5400">
      <w:pPr>
        <w:spacing w:line="360" w:lineRule="auto"/>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致(采购人或采购代理机构):</w:t>
      </w:r>
    </w:p>
    <w:p w14:paraId="70E711FC">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供应商名称:</w:t>
      </w:r>
    </w:p>
    <w:p w14:paraId="4A512EC9">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统一社会信用代码:</w:t>
      </w:r>
    </w:p>
    <w:p w14:paraId="30492D36">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供应商地址:</w:t>
      </w:r>
    </w:p>
    <w:p w14:paraId="58D686AB">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9DD3E5A">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1.我单位具有符合采购文件资格要求独立承担民事责任的能力。</w:t>
      </w:r>
    </w:p>
    <w:p w14:paraId="6B9A8CC8">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2.我单位具有符合采购文件资格要求的财务状况报告。</w:t>
      </w:r>
    </w:p>
    <w:p w14:paraId="75B9B21F">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3.我单位具有符合采购文件资格要求的依法缴纳税收和社会保障记录的良好记录。</w:t>
      </w:r>
    </w:p>
    <w:p w14:paraId="762CB3F1">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4.我单位具有符合采购文件资格要求履行合同所必需的设备和专业技术能力。</w:t>
      </w:r>
    </w:p>
    <w:p w14:paraId="4D9B4A18">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5.参加政府采购活动前三年内，在经营活动中没有重大违法记录。</w:t>
      </w:r>
    </w:p>
    <w:p w14:paraId="660C36B4">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若我单位承诺不实，自愿承担提供虚假材料谋取中标、成交的法律责任。</w:t>
      </w:r>
    </w:p>
    <w:p w14:paraId="11B225E3">
      <w:pPr>
        <w:spacing w:line="360" w:lineRule="auto"/>
        <w:ind w:firstLine="480" w:firstLineChars="200"/>
        <w:jc w:val="left"/>
        <w:rPr>
          <w:rFonts w:hint="eastAsia" w:ascii="宋体" w:eastAsia="宋体" w:cs="宋体"/>
          <w:color w:val="auto"/>
          <w:sz w:val="24"/>
          <w:highlight w:val="none"/>
          <w:lang w:bidi="ar-SA"/>
        </w:rPr>
      </w:pPr>
    </w:p>
    <w:p w14:paraId="7232055E">
      <w:pPr>
        <w:spacing w:line="360" w:lineRule="auto"/>
        <w:ind w:firstLine="480" w:firstLineChars="200"/>
        <w:jc w:val="left"/>
        <w:rPr>
          <w:rFonts w:hint="eastAsia" w:ascii="宋体" w:eastAsia="宋体" w:cs="宋体"/>
          <w:color w:val="auto"/>
          <w:sz w:val="24"/>
          <w:highlight w:val="none"/>
          <w:lang w:bidi="ar-SA"/>
        </w:rPr>
      </w:pPr>
    </w:p>
    <w:p w14:paraId="62F277DC">
      <w:pPr>
        <w:spacing w:line="360" w:lineRule="auto"/>
        <w:ind w:firstLine="2400" w:firstLineChars="10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供应商名称（盖公章）:</w:t>
      </w:r>
    </w:p>
    <w:p w14:paraId="1BDA5DA2">
      <w:pPr>
        <w:spacing w:line="360" w:lineRule="auto"/>
        <w:ind w:firstLine="1440" w:firstLineChars="6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法定代表人或授权代表（签字）:</w:t>
      </w:r>
    </w:p>
    <w:p w14:paraId="1AE7D79E">
      <w:pPr>
        <w:spacing w:line="360" w:lineRule="auto"/>
        <w:ind w:firstLine="2880" w:firstLineChars="1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日期:  年  月  日</w:t>
      </w:r>
    </w:p>
    <w:p w14:paraId="784B177C">
      <w:pPr>
        <w:spacing w:line="360" w:lineRule="auto"/>
        <w:ind w:firstLine="480" w:firstLineChars="200"/>
        <w:jc w:val="left"/>
        <w:rPr>
          <w:rFonts w:hint="eastAsia" w:ascii="宋体" w:eastAsia="宋体" w:cs="宋体"/>
          <w:color w:val="auto"/>
          <w:sz w:val="24"/>
          <w:highlight w:val="none"/>
          <w:lang w:bidi="ar-SA"/>
        </w:rPr>
      </w:pPr>
    </w:p>
    <w:p w14:paraId="33B00742">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 1.供应商须在投标(响应)文件中按此模板提供承诺函，未提供视为未实质性响应招标(采购)文件要求，按无效投标(响应)处理。</w:t>
      </w:r>
    </w:p>
    <w:p w14:paraId="03A5BB05">
      <w:pPr>
        <w:numPr>
          <w:ilvl w:val="0"/>
          <w:numId w:val="1"/>
        </w:numPr>
        <w:snapToGrid w:val="0"/>
        <w:spacing w:before="156" w:after="50"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供应商的法定代表人(其他组织的为负责人)或者授权代表的签名或盖章应真实、有效，如由授权代表签名或盖章的，应提供“法定代表人授权书”。</w:t>
      </w:r>
    </w:p>
    <w:p w14:paraId="7073B40B">
      <w:pPr>
        <w:pStyle w:val="68"/>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eastAsia="宋体" w:cs="宋体"/>
          <w:color w:val="auto"/>
          <w:highlight w:val="none"/>
          <w:lang w:bidi="ar-SA"/>
        </w:rPr>
      </w:pPr>
    </w:p>
    <w:p w14:paraId="3F469145">
      <w:pPr>
        <w:jc w:val="center"/>
        <w:rPr>
          <w:rFonts w:hint="eastAsia" w:ascii="宋体" w:eastAsia="宋体" w:cs="宋体"/>
          <w:b/>
          <w:color w:val="auto"/>
          <w:sz w:val="32"/>
          <w:szCs w:val="32"/>
          <w:highlight w:val="none"/>
          <w:lang w:bidi="ar-SA"/>
        </w:rPr>
      </w:pPr>
    </w:p>
    <w:p w14:paraId="41F79A68">
      <w:pPr>
        <w:jc w:val="center"/>
        <w:rPr>
          <w:rFonts w:hint="eastAsia" w:ascii="宋体" w:eastAsia="宋体" w:cs="宋体"/>
          <w:b/>
          <w:color w:val="auto"/>
          <w:sz w:val="32"/>
          <w:szCs w:val="32"/>
          <w:highlight w:val="none"/>
          <w:lang w:bidi="ar-SA"/>
        </w:rPr>
      </w:pPr>
    </w:p>
    <w:p w14:paraId="4EBEAB43">
      <w:pPr>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供应商直接控股、管理关系信息表</w:t>
      </w:r>
    </w:p>
    <w:p w14:paraId="03D7C386">
      <w:pPr>
        <w:snapToGrid w:val="0"/>
        <w:spacing w:before="156" w:after="50" w:line="360" w:lineRule="auto"/>
        <w:jc w:val="center"/>
        <w:rPr>
          <w:rFonts w:hint="eastAsia" w:ascii="宋体" w:eastAsia="宋体" w:cs="宋体"/>
          <w:b/>
          <w:color w:val="auto"/>
          <w:sz w:val="24"/>
          <w:highlight w:val="none"/>
          <w:lang w:bidi="ar-SA"/>
        </w:rPr>
      </w:pPr>
    </w:p>
    <w:p w14:paraId="7BCAD6B9">
      <w:pPr>
        <w:spacing w:line="360" w:lineRule="auto"/>
        <w:contextualSpacing/>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供应商直接控股股东信息表</w:t>
      </w:r>
    </w:p>
    <w:p w14:paraId="42C77A11">
      <w:pPr>
        <w:spacing w:line="360" w:lineRule="auto"/>
        <w:contextualSpacing/>
        <w:jc w:val="center"/>
        <w:rPr>
          <w:rFonts w:hint="eastAsia" w:ascii="宋体" w:eastAsia="宋体" w:cs="宋体"/>
          <w:b/>
          <w:color w:val="auto"/>
          <w:sz w:val="24"/>
          <w:highlight w:val="none"/>
          <w:lang w:bidi="ar-SA"/>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9C297B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42B5EB">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F74086">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98B904">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21710B">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6D1A4F">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备注</w:t>
            </w:r>
          </w:p>
        </w:tc>
      </w:tr>
      <w:tr w14:paraId="6C626ED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2F248C">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4974E">
            <w:pPr>
              <w:widowControl/>
              <w:spacing w:line="360" w:lineRule="auto"/>
              <w:contextualSpacing/>
              <w:jc w:val="center"/>
              <w:rPr>
                <w:rFonts w:hint="eastAsia" w:ascii="宋体" w:eastAsia="宋体" w:cs="宋体"/>
                <w:color w:val="auto"/>
                <w:kern w:val="0"/>
                <w:sz w:val="24"/>
                <w:highlight w:val="none"/>
                <w:lang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00B69">
            <w:pPr>
              <w:widowControl/>
              <w:spacing w:line="360" w:lineRule="auto"/>
              <w:contextualSpacing/>
              <w:jc w:val="center"/>
              <w:rPr>
                <w:rFonts w:hint="eastAsia" w:ascii="宋体" w:eastAsia="宋体" w:cs="宋体"/>
                <w:color w:val="auto"/>
                <w:kern w:val="0"/>
                <w:sz w:val="24"/>
                <w:highlight w:val="none"/>
                <w:lang w:bidi="ar-SA"/>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51805">
            <w:pPr>
              <w:widowControl/>
              <w:spacing w:line="360" w:lineRule="auto"/>
              <w:contextualSpacing/>
              <w:jc w:val="center"/>
              <w:rPr>
                <w:rFonts w:hint="eastAsia" w:ascii="宋体" w:eastAsia="宋体" w:cs="宋体"/>
                <w:color w:val="auto"/>
                <w:kern w:val="0"/>
                <w:sz w:val="24"/>
                <w:highlight w:val="none"/>
                <w:lang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B2F485">
            <w:pPr>
              <w:widowControl/>
              <w:spacing w:line="360" w:lineRule="auto"/>
              <w:contextualSpacing/>
              <w:jc w:val="center"/>
              <w:rPr>
                <w:rFonts w:hint="eastAsia" w:ascii="宋体" w:eastAsia="宋体" w:cs="宋体"/>
                <w:color w:val="auto"/>
                <w:kern w:val="0"/>
                <w:sz w:val="24"/>
                <w:highlight w:val="none"/>
                <w:lang w:bidi="ar-SA"/>
              </w:rPr>
            </w:pPr>
          </w:p>
        </w:tc>
      </w:tr>
      <w:tr w14:paraId="0DD8631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B9DF4">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0FD0B9">
            <w:pPr>
              <w:widowControl/>
              <w:spacing w:line="360" w:lineRule="auto"/>
              <w:contextualSpacing/>
              <w:jc w:val="center"/>
              <w:rPr>
                <w:rFonts w:hint="eastAsia" w:ascii="宋体" w:eastAsia="宋体" w:cs="宋体"/>
                <w:color w:val="auto"/>
                <w:kern w:val="0"/>
                <w:sz w:val="24"/>
                <w:highlight w:val="none"/>
                <w:lang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ADE5D0">
            <w:pPr>
              <w:widowControl/>
              <w:spacing w:line="360" w:lineRule="auto"/>
              <w:contextualSpacing/>
              <w:jc w:val="center"/>
              <w:rPr>
                <w:rFonts w:hint="eastAsia" w:ascii="宋体" w:eastAsia="宋体" w:cs="宋体"/>
                <w:color w:val="auto"/>
                <w:kern w:val="0"/>
                <w:sz w:val="24"/>
                <w:highlight w:val="none"/>
                <w:lang w:bidi="ar-SA"/>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741401">
            <w:pPr>
              <w:widowControl/>
              <w:spacing w:line="360" w:lineRule="auto"/>
              <w:contextualSpacing/>
              <w:jc w:val="center"/>
              <w:rPr>
                <w:rFonts w:hint="eastAsia" w:ascii="宋体" w:eastAsia="宋体" w:cs="宋体"/>
                <w:color w:val="auto"/>
                <w:kern w:val="0"/>
                <w:sz w:val="24"/>
                <w:highlight w:val="none"/>
                <w:lang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69DE62">
            <w:pPr>
              <w:widowControl/>
              <w:spacing w:line="360" w:lineRule="auto"/>
              <w:contextualSpacing/>
              <w:jc w:val="center"/>
              <w:rPr>
                <w:rFonts w:hint="eastAsia" w:ascii="宋体" w:eastAsia="宋体" w:cs="宋体"/>
                <w:color w:val="auto"/>
                <w:kern w:val="0"/>
                <w:sz w:val="24"/>
                <w:highlight w:val="none"/>
                <w:lang w:bidi="ar-SA"/>
              </w:rPr>
            </w:pPr>
          </w:p>
        </w:tc>
      </w:tr>
      <w:tr w14:paraId="0EF90F8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BFB66">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6936C5">
            <w:pPr>
              <w:widowControl/>
              <w:spacing w:line="360" w:lineRule="auto"/>
              <w:contextualSpacing/>
              <w:jc w:val="center"/>
              <w:rPr>
                <w:rFonts w:hint="eastAsia" w:ascii="宋体" w:eastAsia="宋体" w:cs="宋体"/>
                <w:color w:val="auto"/>
                <w:kern w:val="0"/>
                <w:sz w:val="24"/>
                <w:highlight w:val="none"/>
                <w:lang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631FB2">
            <w:pPr>
              <w:widowControl/>
              <w:spacing w:line="360" w:lineRule="auto"/>
              <w:contextualSpacing/>
              <w:jc w:val="center"/>
              <w:rPr>
                <w:rFonts w:hint="eastAsia" w:ascii="宋体" w:eastAsia="宋体" w:cs="宋体"/>
                <w:color w:val="auto"/>
                <w:kern w:val="0"/>
                <w:sz w:val="24"/>
                <w:highlight w:val="none"/>
                <w:lang w:bidi="ar-SA"/>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4473DD">
            <w:pPr>
              <w:widowControl/>
              <w:spacing w:line="360" w:lineRule="auto"/>
              <w:contextualSpacing/>
              <w:jc w:val="center"/>
              <w:rPr>
                <w:rFonts w:hint="eastAsia" w:ascii="宋体" w:eastAsia="宋体" w:cs="宋体"/>
                <w:color w:val="auto"/>
                <w:kern w:val="0"/>
                <w:sz w:val="24"/>
                <w:highlight w:val="none"/>
                <w:lang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9EFC65">
            <w:pPr>
              <w:widowControl/>
              <w:spacing w:line="360" w:lineRule="auto"/>
              <w:contextualSpacing/>
              <w:jc w:val="center"/>
              <w:rPr>
                <w:rFonts w:hint="eastAsia" w:ascii="宋体" w:eastAsia="宋体" w:cs="宋体"/>
                <w:color w:val="auto"/>
                <w:kern w:val="0"/>
                <w:sz w:val="24"/>
                <w:highlight w:val="none"/>
                <w:lang w:bidi="ar-SA"/>
              </w:rPr>
            </w:pPr>
          </w:p>
        </w:tc>
      </w:tr>
      <w:tr w14:paraId="4C2AAD3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5B774A">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842998">
            <w:pPr>
              <w:widowControl/>
              <w:spacing w:line="360" w:lineRule="auto"/>
              <w:contextualSpacing/>
              <w:jc w:val="center"/>
              <w:rPr>
                <w:rFonts w:hint="eastAsia" w:ascii="宋体" w:eastAsia="宋体" w:cs="宋体"/>
                <w:color w:val="auto"/>
                <w:kern w:val="0"/>
                <w:sz w:val="24"/>
                <w:highlight w:val="none"/>
                <w:lang w:bidi="ar-SA"/>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532D58">
            <w:pPr>
              <w:widowControl/>
              <w:spacing w:line="360" w:lineRule="auto"/>
              <w:contextualSpacing/>
              <w:jc w:val="center"/>
              <w:rPr>
                <w:rFonts w:hint="eastAsia" w:ascii="宋体" w:eastAsia="宋体" w:cs="宋体"/>
                <w:color w:val="auto"/>
                <w:kern w:val="0"/>
                <w:sz w:val="24"/>
                <w:highlight w:val="none"/>
                <w:lang w:bidi="ar-SA"/>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B037AD">
            <w:pPr>
              <w:widowControl/>
              <w:spacing w:line="360" w:lineRule="auto"/>
              <w:contextualSpacing/>
              <w:jc w:val="center"/>
              <w:rPr>
                <w:rFonts w:hint="eastAsia" w:ascii="宋体" w:eastAsia="宋体" w:cs="宋体"/>
                <w:color w:val="auto"/>
                <w:kern w:val="0"/>
                <w:sz w:val="24"/>
                <w:highlight w:val="none"/>
                <w:lang w:bidi="ar-SA"/>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453A70">
            <w:pPr>
              <w:widowControl/>
              <w:spacing w:line="360" w:lineRule="auto"/>
              <w:contextualSpacing/>
              <w:jc w:val="center"/>
              <w:rPr>
                <w:rFonts w:hint="eastAsia" w:ascii="宋体" w:eastAsia="宋体" w:cs="宋体"/>
                <w:color w:val="auto"/>
                <w:kern w:val="0"/>
                <w:sz w:val="24"/>
                <w:highlight w:val="none"/>
                <w:lang w:bidi="ar-SA"/>
              </w:rPr>
            </w:pPr>
          </w:p>
        </w:tc>
      </w:tr>
    </w:tbl>
    <w:p w14:paraId="3D1D6C8F">
      <w:pPr>
        <w:spacing w:line="360" w:lineRule="auto"/>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w:t>
      </w:r>
    </w:p>
    <w:p w14:paraId="5A0AD580">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0B1551">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2.本表所指的控股关系仅限于直接控股关系，不包括间接的控股关系。公司实际控制人与公司之间的关系不属于本表所指的直接控股关系。</w:t>
      </w:r>
    </w:p>
    <w:p w14:paraId="2696352A">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3.供应商不存在直接控股股东的，则填“无”。</w:t>
      </w:r>
    </w:p>
    <w:p w14:paraId="224DF91D">
      <w:pPr>
        <w:spacing w:line="360" w:lineRule="auto"/>
        <w:ind w:firstLine="482" w:firstLineChars="200"/>
        <w:contextualSpacing/>
        <w:jc w:val="left"/>
        <w:rPr>
          <w:rFonts w:hint="eastAsia" w:ascii="宋体" w:eastAsia="宋体" w:cs="宋体"/>
          <w:color w:val="auto"/>
          <w:sz w:val="24"/>
          <w:highlight w:val="none"/>
          <w:lang w:bidi="ar-SA"/>
        </w:rPr>
      </w:pPr>
      <w:r>
        <w:rPr>
          <w:rFonts w:hint="eastAsia" w:ascii="宋体" w:eastAsia="宋体" w:cs="宋体"/>
          <w:b/>
          <w:bCs/>
          <w:color w:val="auto"/>
          <w:sz w:val="24"/>
          <w:highlight w:val="none"/>
          <w:lang w:bidi="ar-SA"/>
        </w:rPr>
        <w:t>4.联合体竞标时，联合体各方均必须分别提供本表，联合体各方分别盖章和签字，否则响应文件按无效响应处理</w:t>
      </w:r>
      <w:r>
        <w:rPr>
          <w:rFonts w:hint="eastAsia" w:ascii="宋体" w:eastAsia="宋体" w:cs="宋体"/>
          <w:color w:val="auto"/>
          <w:sz w:val="24"/>
          <w:highlight w:val="none"/>
          <w:lang w:bidi="ar-SA"/>
        </w:rPr>
        <w:t>。</w:t>
      </w:r>
    </w:p>
    <w:p w14:paraId="59F9DED2">
      <w:pPr>
        <w:snapToGrid w:val="0"/>
        <w:spacing w:line="360" w:lineRule="auto"/>
        <w:jc w:val="left"/>
        <w:rPr>
          <w:rFonts w:hint="eastAsia" w:ascii="宋体" w:eastAsia="宋体" w:cs="宋体"/>
          <w:color w:val="auto"/>
          <w:sz w:val="24"/>
          <w:highlight w:val="none"/>
          <w:lang w:bidi="ar-SA"/>
        </w:rPr>
      </w:pPr>
    </w:p>
    <w:p w14:paraId="4D5DDFE2">
      <w:pPr>
        <w:snapToGrid w:val="0"/>
        <w:spacing w:line="360" w:lineRule="auto"/>
        <w:jc w:val="left"/>
        <w:rPr>
          <w:rFonts w:hint="eastAsia" w:ascii="宋体" w:eastAsia="宋体" w:cs="宋体"/>
          <w:color w:val="auto"/>
          <w:sz w:val="24"/>
          <w:highlight w:val="none"/>
          <w:lang w:bidi="ar-SA"/>
        </w:rPr>
      </w:pPr>
    </w:p>
    <w:p w14:paraId="032BD9F1">
      <w:pPr>
        <w:snapToGrid w:val="0"/>
        <w:spacing w:before="156" w:line="360" w:lineRule="auto"/>
        <w:ind w:right="480" w:firstLine="2160" w:firstLineChars="900"/>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法定代表人（签字或盖章）或者委托代理人（签字）：</w:t>
      </w:r>
      <w:r>
        <w:rPr>
          <w:rFonts w:hint="eastAsia" w:ascii="宋体" w:eastAsia="宋体" w:cs="宋体"/>
          <w:color w:val="auto"/>
          <w:sz w:val="24"/>
          <w:highlight w:val="none"/>
          <w:u w:val="single"/>
          <w:lang w:bidi="ar-SA"/>
        </w:rPr>
        <w:t xml:space="preserve">                </w:t>
      </w:r>
    </w:p>
    <w:p w14:paraId="40BB4268">
      <w:pPr>
        <w:snapToGrid w:val="0"/>
        <w:spacing w:before="156" w:after="50" w:line="360" w:lineRule="auto"/>
        <w:ind w:right="480" w:firstLine="3480" w:firstLineChars="1450"/>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供应商（盖公章）：</w:t>
      </w:r>
      <w:r>
        <w:rPr>
          <w:rFonts w:hint="eastAsia" w:ascii="宋体" w:eastAsia="宋体" w:cs="宋体"/>
          <w:color w:val="auto"/>
          <w:sz w:val="24"/>
          <w:highlight w:val="none"/>
          <w:u w:val="single"/>
          <w:lang w:bidi="ar-SA"/>
        </w:rPr>
        <w:t xml:space="preserve">                           </w:t>
      </w:r>
    </w:p>
    <w:p w14:paraId="669FE1F6">
      <w:pPr>
        <w:snapToGrid w:val="0"/>
        <w:spacing w:before="156" w:after="50" w:line="360" w:lineRule="auto"/>
        <w:ind w:right="480" w:firstLine="5280" w:firstLineChars="2200"/>
        <w:rPr>
          <w:rFonts w:hint="eastAsia" w:ascii="宋体" w:eastAsia="宋体" w:cs="宋体"/>
          <w:color w:val="auto"/>
          <w:sz w:val="28"/>
          <w:szCs w:val="28"/>
          <w:highlight w:val="none"/>
          <w:lang w:bidi="ar-SA"/>
        </w:rPr>
      </w:pPr>
      <w:r>
        <w:rPr>
          <w:rFonts w:hint="eastAsia" w:ascii="宋体" w:eastAsia="宋体" w:cs="宋体"/>
          <w:color w:val="auto"/>
          <w:sz w:val="24"/>
          <w:highlight w:val="none"/>
          <w:lang w:bidi="ar-SA"/>
        </w:rPr>
        <w:t>年    月    日</w:t>
      </w:r>
    </w:p>
    <w:p w14:paraId="1281AEF6">
      <w:pPr>
        <w:snapToGrid w:val="0"/>
        <w:jc w:val="center"/>
        <w:rPr>
          <w:rFonts w:hint="eastAsia" w:ascii="宋体" w:eastAsia="宋体" w:cs="宋体"/>
          <w:b/>
          <w:color w:val="auto"/>
          <w:sz w:val="28"/>
          <w:szCs w:val="28"/>
          <w:highlight w:val="none"/>
          <w:lang w:bidi="ar-SA"/>
        </w:rPr>
        <w:sectPr>
          <w:footerReference r:id="rId12" w:type="default"/>
          <w:pgSz w:w="11906" w:h="16838"/>
          <w:pgMar w:top="1134" w:right="1134" w:bottom="1134" w:left="1134" w:header="851" w:footer="992" w:gutter="0"/>
          <w:pgNumType w:fmt="decimal"/>
          <w:cols w:space="0" w:num="1"/>
          <w:titlePg/>
          <w:rtlGutter w:val="0"/>
          <w:docGrid w:type="lines" w:linePitch="312" w:charSpace="0"/>
        </w:sectPr>
      </w:pPr>
    </w:p>
    <w:p w14:paraId="795E8384">
      <w:pPr>
        <w:pStyle w:val="25"/>
        <w:rPr>
          <w:rFonts w:hint="eastAsia"/>
          <w:color w:val="auto"/>
          <w:highlight w:val="none"/>
        </w:rPr>
      </w:pPr>
    </w:p>
    <w:p w14:paraId="74DAFA5A">
      <w:pPr>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供应商直接管理关系信息表</w:t>
      </w:r>
    </w:p>
    <w:p w14:paraId="21630353">
      <w:pPr>
        <w:snapToGrid w:val="0"/>
        <w:spacing w:line="360" w:lineRule="auto"/>
        <w:jc w:val="center"/>
        <w:rPr>
          <w:rFonts w:hint="eastAsia" w:ascii="宋体" w:eastAsia="宋体" w:cs="宋体"/>
          <w:b/>
          <w:color w:val="auto"/>
          <w:sz w:val="24"/>
          <w:highlight w:val="none"/>
          <w:lang w:bidi="ar-SA"/>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A298F2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07D033">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485367">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569F4A">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98137">
            <w:pPr>
              <w:widowControl/>
              <w:spacing w:line="360" w:lineRule="auto"/>
              <w:contextualSpacing/>
              <w:jc w:val="center"/>
              <w:rPr>
                <w:rFonts w:hint="eastAsia" w:ascii="宋体" w:eastAsia="宋体" w:cs="宋体"/>
                <w:b/>
                <w:bCs/>
                <w:color w:val="auto"/>
                <w:kern w:val="0"/>
                <w:sz w:val="24"/>
                <w:highlight w:val="none"/>
                <w:lang w:bidi="ar-SA"/>
              </w:rPr>
            </w:pPr>
            <w:r>
              <w:rPr>
                <w:rFonts w:hint="eastAsia" w:ascii="宋体" w:eastAsia="宋体" w:cs="宋体"/>
                <w:b/>
                <w:bCs/>
                <w:color w:val="auto"/>
                <w:kern w:val="0"/>
                <w:sz w:val="24"/>
                <w:highlight w:val="none"/>
                <w:lang w:bidi="ar-SA"/>
              </w:rPr>
              <w:t>备注</w:t>
            </w:r>
          </w:p>
        </w:tc>
      </w:tr>
      <w:tr w14:paraId="7690D86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FAE91E">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7B8C9D">
            <w:pPr>
              <w:widowControl/>
              <w:spacing w:line="360" w:lineRule="auto"/>
              <w:contextualSpacing/>
              <w:jc w:val="center"/>
              <w:rPr>
                <w:rFonts w:hint="eastAsia" w:ascii="宋体" w:eastAsia="宋体" w:cs="宋体"/>
                <w:color w:val="auto"/>
                <w:kern w:val="0"/>
                <w:sz w:val="24"/>
                <w:highlight w:val="none"/>
                <w:lang w:bidi="ar-SA"/>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81BB1F">
            <w:pPr>
              <w:widowControl/>
              <w:spacing w:line="360" w:lineRule="auto"/>
              <w:contextualSpacing/>
              <w:jc w:val="center"/>
              <w:rPr>
                <w:rFonts w:hint="eastAsia" w:ascii="宋体" w:eastAsia="宋体" w:cs="宋体"/>
                <w:color w:val="auto"/>
                <w:kern w:val="0"/>
                <w:sz w:val="24"/>
                <w:highlight w:val="none"/>
                <w:lang w:bidi="ar-SA"/>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223A4A">
            <w:pPr>
              <w:widowControl/>
              <w:spacing w:line="360" w:lineRule="auto"/>
              <w:contextualSpacing/>
              <w:jc w:val="center"/>
              <w:rPr>
                <w:rFonts w:hint="eastAsia" w:ascii="宋体" w:eastAsia="宋体" w:cs="宋体"/>
                <w:color w:val="auto"/>
                <w:kern w:val="0"/>
                <w:sz w:val="24"/>
                <w:highlight w:val="none"/>
                <w:lang w:bidi="ar-SA"/>
              </w:rPr>
            </w:pPr>
          </w:p>
        </w:tc>
      </w:tr>
      <w:tr w14:paraId="2A1CFC1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527B5C">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5E53FD">
            <w:pPr>
              <w:widowControl/>
              <w:spacing w:line="360" w:lineRule="auto"/>
              <w:contextualSpacing/>
              <w:jc w:val="center"/>
              <w:rPr>
                <w:rFonts w:hint="eastAsia" w:ascii="宋体" w:eastAsia="宋体" w:cs="宋体"/>
                <w:color w:val="auto"/>
                <w:kern w:val="0"/>
                <w:sz w:val="24"/>
                <w:highlight w:val="none"/>
                <w:lang w:bidi="ar-SA"/>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B9DD4B">
            <w:pPr>
              <w:widowControl/>
              <w:spacing w:line="360" w:lineRule="auto"/>
              <w:contextualSpacing/>
              <w:jc w:val="center"/>
              <w:rPr>
                <w:rFonts w:hint="eastAsia" w:ascii="宋体" w:eastAsia="宋体" w:cs="宋体"/>
                <w:color w:val="auto"/>
                <w:kern w:val="0"/>
                <w:sz w:val="24"/>
                <w:highlight w:val="none"/>
                <w:lang w:bidi="ar-SA"/>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F768BF">
            <w:pPr>
              <w:widowControl/>
              <w:spacing w:line="360" w:lineRule="auto"/>
              <w:contextualSpacing/>
              <w:jc w:val="center"/>
              <w:rPr>
                <w:rFonts w:hint="eastAsia" w:ascii="宋体" w:eastAsia="宋体" w:cs="宋体"/>
                <w:color w:val="auto"/>
                <w:kern w:val="0"/>
                <w:sz w:val="24"/>
                <w:highlight w:val="none"/>
                <w:lang w:bidi="ar-SA"/>
              </w:rPr>
            </w:pPr>
          </w:p>
        </w:tc>
      </w:tr>
      <w:tr w14:paraId="013F769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1DE9CE">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638210">
            <w:pPr>
              <w:widowControl/>
              <w:spacing w:line="360" w:lineRule="auto"/>
              <w:contextualSpacing/>
              <w:jc w:val="center"/>
              <w:rPr>
                <w:rFonts w:hint="eastAsia" w:ascii="宋体" w:eastAsia="宋体" w:cs="宋体"/>
                <w:color w:val="auto"/>
                <w:kern w:val="0"/>
                <w:sz w:val="24"/>
                <w:highlight w:val="none"/>
                <w:lang w:bidi="ar-SA"/>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017AF3">
            <w:pPr>
              <w:widowControl/>
              <w:spacing w:line="360" w:lineRule="auto"/>
              <w:contextualSpacing/>
              <w:jc w:val="center"/>
              <w:rPr>
                <w:rFonts w:hint="eastAsia" w:ascii="宋体" w:eastAsia="宋体" w:cs="宋体"/>
                <w:color w:val="auto"/>
                <w:kern w:val="0"/>
                <w:sz w:val="24"/>
                <w:highlight w:val="none"/>
                <w:lang w:bidi="ar-SA"/>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A86C0D">
            <w:pPr>
              <w:widowControl/>
              <w:spacing w:line="360" w:lineRule="auto"/>
              <w:contextualSpacing/>
              <w:jc w:val="center"/>
              <w:rPr>
                <w:rFonts w:hint="eastAsia" w:ascii="宋体" w:eastAsia="宋体" w:cs="宋体"/>
                <w:color w:val="auto"/>
                <w:kern w:val="0"/>
                <w:sz w:val="24"/>
                <w:highlight w:val="none"/>
                <w:lang w:bidi="ar-SA"/>
              </w:rPr>
            </w:pPr>
          </w:p>
        </w:tc>
      </w:tr>
      <w:tr w14:paraId="35DBB06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D32122">
            <w:pPr>
              <w:widowControl/>
              <w:spacing w:line="360" w:lineRule="auto"/>
              <w:contextualSpacing/>
              <w:jc w:val="center"/>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B9D818">
            <w:pPr>
              <w:widowControl/>
              <w:spacing w:line="360" w:lineRule="auto"/>
              <w:contextualSpacing/>
              <w:jc w:val="center"/>
              <w:rPr>
                <w:rFonts w:hint="eastAsia" w:ascii="宋体" w:eastAsia="宋体" w:cs="宋体"/>
                <w:color w:val="auto"/>
                <w:kern w:val="0"/>
                <w:sz w:val="24"/>
                <w:highlight w:val="none"/>
                <w:lang w:bidi="ar-SA"/>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0CF67">
            <w:pPr>
              <w:widowControl/>
              <w:spacing w:line="360" w:lineRule="auto"/>
              <w:contextualSpacing/>
              <w:jc w:val="center"/>
              <w:rPr>
                <w:rFonts w:hint="eastAsia" w:ascii="宋体" w:eastAsia="宋体" w:cs="宋体"/>
                <w:color w:val="auto"/>
                <w:kern w:val="0"/>
                <w:sz w:val="24"/>
                <w:highlight w:val="none"/>
                <w:lang w:bidi="ar-SA"/>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0E756">
            <w:pPr>
              <w:widowControl/>
              <w:spacing w:line="360" w:lineRule="auto"/>
              <w:contextualSpacing/>
              <w:jc w:val="center"/>
              <w:rPr>
                <w:rFonts w:hint="eastAsia" w:ascii="宋体" w:eastAsia="宋体" w:cs="宋体"/>
                <w:color w:val="auto"/>
                <w:kern w:val="0"/>
                <w:sz w:val="24"/>
                <w:highlight w:val="none"/>
                <w:lang w:bidi="ar-SA"/>
              </w:rPr>
            </w:pPr>
          </w:p>
        </w:tc>
      </w:tr>
    </w:tbl>
    <w:p w14:paraId="5975664F">
      <w:pPr>
        <w:spacing w:line="360" w:lineRule="auto"/>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w:t>
      </w:r>
    </w:p>
    <w:p w14:paraId="66BF7669">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1.管理关系：是指不具有出资持股关系的其他单位之间存在的管理与被管理关系，如一些上下级关系的事业单位和团体组织。</w:t>
      </w:r>
    </w:p>
    <w:p w14:paraId="01D7A202">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w:t>
      </w:r>
      <w:r>
        <w:rPr>
          <w:rFonts w:hint="eastAsia" w:ascii="宋体" w:eastAsia="宋体" w:cs="宋体"/>
          <w:color w:val="auto"/>
          <w:spacing w:val="-6"/>
          <w:sz w:val="24"/>
          <w:highlight w:val="none"/>
          <w:lang w:bidi="ar-SA"/>
        </w:rPr>
        <w:t>本表所指的管理关系仅限于直接管理关系，不包括间接的管理关系。</w:t>
      </w:r>
    </w:p>
    <w:p w14:paraId="40334D87">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3.供应商不存在直接管理关系的，则填“无”。</w:t>
      </w:r>
    </w:p>
    <w:p w14:paraId="7EC3DA6F">
      <w:pPr>
        <w:spacing w:line="360" w:lineRule="auto"/>
        <w:ind w:firstLine="482" w:firstLineChars="200"/>
        <w:contextualSpacing/>
        <w:jc w:val="left"/>
        <w:rPr>
          <w:rFonts w:hint="eastAsia" w:ascii="宋体" w:eastAsia="宋体" w:cs="宋体"/>
          <w:color w:val="auto"/>
          <w:sz w:val="24"/>
          <w:highlight w:val="none"/>
          <w:lang w:bidi="ar-SA"/>
        </w:rPr>
      </w:pPr>
      <w:r>
        <w:rPr>
          <w:rFonts w:hint="eastAsia" w:ascii="宋体" w:eastAsia="宋体" w:cs="宋体"/>
          <w:b/>
          <w:bCs/>
          <w:color w:val="auto"/>
          <w:sz w:val="24"/>
          <w:highlight w:val="none"/>
          <w:lang w:bidi="ar-SA"/>
        </w:rPr>
        <w:t>4.联合体竞标时，联合体各方均必须分别提供本表，联合体各方分别盖章和签字，否则响应文件按无效响应处理</w:t>
      </w:r>
      <w:r>
        <w:rPr>
          <w:rFonts w:hint="eastAsia" w:ascii="宋体" w:eastAsia="宋体" w:cs="宋体"/>
          <w:color w:val="auto"/>
          <w:sz w:val="24"/>
          <w:highlight w:val="none"/>
          <w:lang w:bidi="ar-SA"/>
        </w:rPr>
        <w:t>。</w:t>
      </w:r>
    </w:p>
    <w:p w14:paraId="6CDDB357">
      <w:pPr>
        <w:spacing w:line="360" w:lineRule="auto"/>
        <w:contextualSpacing/>
        <w:jc w:val="left"/>
        <w:rPr>
          <w:rFonts w:hint="eastAsia" w:ascii="宋体" w:eastAsia="宋体" w:cs="宋体"/>
          <w:color w:val="auto"/>
          <w:sz w:val="24"/>
          <w:highlight w:val="none"/>
          <w:lang w:bidi="ar-SA"/>
        </w:rPr>
      </w:pPr>
    </w:p>
    <w:p w14:paraId="602915E2">
      <w:pPr>
        <w:spacing w:line="360" w:lineRule="auto"/>
        <w:contextualSpacing/>
        <w:jc w:val="left"/>
        <w:rPr>
          <w:rFonts w:hint="eastAsia" w:ascii="宋体" w:eastAsia="宋体" w:cs="宋体"/>
          <w:color w:val="auto"/>
          <w:sz w:val="24"/>
          <w:highlight w:val="none"/>
          <w:lang w:bidi="ar-SA"/>
        </w:rPr>
      </w:pPr>
    </w:p>
    <w:p w14:paraId="70E8E796">
      <w:pPr>
        <w:spacing w:line="360" w:lineRule="auto"/>
        <w:contextualSpacing/>
        <w:jc w:val="left"/>
        <w:rPr>
          <w:rFonts w:hint="eastAsia" w:ascii="宋体" w:eastAsia="宋体" w:cs="宋体"/>
          <w:color w:val="auto"/>
          <w:sz w:val="24"/>
          <w:highlight w:val="none"/>
          <w:lang w:bidi="ar-SA"/>
        </w:rPr>
      </w:pPr>
    </w:p>
    <w:p w14:paraId="1040390A">
      <w:pPr>
        <w:spacing w:line="360" w:lineRule="auto"/>
        <w:contextualSpacing/>
        <w:jc w:val="left"/>
        <w:rPr>
          <w:rFonts w:hint="eastAsia" w:ascii="宋体" w:eastAsia="宋体" w:cs="宋体"/>
          <w:color w:val="auto"/>
          <w:sz w:val="24"/>
          <w:highlight w:val="none"/>
          <w:lang w:bidi="ar-SA"/>
        </w:rPr>
      </w:pPr>
    </w:p>
    <w:p w14:paraId="788A0B22">
      <w:pPr>
        <w:spacing w:line="360" w:lineRule="auto"/>
        <w:contextualSpacing/>
        <w:jc w:val="left"/>
        <w:rPr>
          <w:rFonts w:hint="eastAsia" w:ascii="宋体" w:eastAsia="宋体" w:cs="宋体"/>
          <w:color w:val="auto"/>
          <w:sz w:val="24"/>
          <w:highlight w:val="none"/>
          <w:lang w:bidi="ar-SA"/>
        </w:rPr>
      </w:pPr>
    </w:p>
    <w:p w14:paraId="327FB2D8">
      <w:pPr>
        <w:spacing w:line="360" w:lineRule="auto"/>
        <w:contextualSpacing/>
        <w:jc w:val="left"/>
        <w:rPr>
          <w:rFonts w:hint="eastAsia" w:ascii="宋体" w:eastAsia="宋体" w:cs="宋体"/>
          <w:color w:val="auto"/>
          <w:sz w:val="24"/>
          <w:highlight w:val="none"/>
          <w:lang w:bidi="ar-SA"/>
        </w:rPr>
      </w:pPr>
    </w:p>
    <w:p w14:paraId="4EAFC014">
      <w:pPr>
        <w:spacing w:line="360" w:lineRule="auto"/>
        <w:ind w:right="480" w:firstLine="2160" w:firstLineChars="900"/>
        <w:contextualSpacing/>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法定代表人（签字或盖章）或者委托代理人（签字）：</w:t>
      </w:r>
      <w:r>
        <w:rPr>
          <w:rFonts w:hint="eastAsia" w:ascii="宋体" w:eastAsia="宋体" w:cs="宋体"/>
          <w:color w:val="auto"/>
          <w:sz w:val="24"/>
          <w:highlight w:val="none"/>
          <w:u w:val="single"/>
          <w:lang w:bidi="ar-SA"/>
        </w:rPr>
        <w:t xml:space="preserve">               </w:t>
      </w:r>
    </w:p>
    <w:p w14:paraId="11A27866">
      <w:pPr>
        <w:spacing w:line="360" w:lineRule="auto"/>
        <w:ind w:right="480" w:firstLine="3360" w:firstLineChars="14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供应商（盖公章）：</w:t>
      </w:r>
      <w:r>
        <w:rPr>
          <w:rFonts w:hint="eastAsia" w:ascii="宋体" w:eastAsia="宋体" w:cs="宋体"/>
          <w:color w:val="auto"/>
          <w:sz w:val="24"/>
          <w:highlight w:val="none"/>
          <w:u w:val="single"/>
          <w:lang w:bidi="ar-SA"/>
        </w:rPr>
        <w:t xml:space="preserve">                </w:t>
      </w:r>
    </w:p>
    <w:p w14:paraId="1AC5E564">
      <w:pPr>
        <w:spacing w:line="360" w:lineRule="auto"/>
        <w:ind w:right="480" w:firstLine="240" w:firstLineChars="100"/>
        <w:contextualSpacing/>
        <w:jc w:val="center"/>
        <w:rPr>
          <w:rFonts w:hint="eastAsia" w:ascii="宋体" w:eastAsia="宋体" w:cs="宋体"/>
          <w:color w:val="auto"/>
          <w:sz w:val="28"/>
          <w:szCs w:val="28"/>
          <w:highlight w:val="none"/>
          <w:lang w:bidi="ar-SA"/>
        </w:rPr>
      </w:pPr>
      <w:r>
        <w:rPr>
          <w:rFonts w:hint="eastAsia" w:ascii="宋体" w:eastAsia="宋体" w:cs="宋体"/>
          <w:color w:val="auto"/>
          <w:sz w:val="24"/>
          <w:highlight w:val="none"/>
          <w:lang w:bidi="ar-SA"/>
        </w:rPr>
        <w:t xml:space="preserve">                                        年    月    日</w:t>
      </w:r>
    </w:p>
    <w:p w14:paraId="11B0BF1E">
      <w:pPr>
        <w:spacing w:line="320" w:lineRule="exact"/>
        <w:jc w:val="center"/>
        <w:rPr>
          <w:rFonts w:hint="eastAsia" w:ascii="宋体" w:eastAsia="宋体" w:cs="宋体"/>
          <w:b/>
          <w:color w:val="auto"/>
          <w:sz w:val="32"/>
          <w:szCs w:val="32"/>
          <w:highlight w:val="none"/>
          <w:lang w:bidi="ar-SA"/>
        </w:rPr>
      </w:pPr>
      <w:r>
        <w:rPr>
          <w:rFonts w:hint="eastAsia" w:ascii="宋体" w:eastAsia="宋体" w:cs="宋体"/>
          <w:color w:val="auto"/>
          <w:sz w:val="28"/>
          <w:szCs w:val="28"/>
          <w:highlight w:val="none"/>
          <w:lang w:bidi="ar-SA"/>
        </w:rPr>
        <w:br w:type="page"/>
      </w:r>
      <w:r>
        <w:rPr>
          <w:rFonts w:hint="eastAsia" w:ascii="宋体" w:eastAsia="宋体" w:cs="宋体"/>
          <w:b/>
          <w:color w:val="auto"/>
          <w:sz w:val="32"/>
          <w:szCs w:val="32"/>
          <w:highlight w:val="none"/>
          <w:lang w:bidi="ar-SA"/>
        </w:rPr>
        <w:t>竞标声明</w:t>
      </w:r>
    </w:p>
    <w:p w14:paraId="67E70C16">
      <w:pPr>
        <w:spacing w:line="320" w:lineRule="exact"/>
        <w:jc w:val="center"/>
        <w:rPr>
          <w:rFonts w:hint="eastAsia" w:ascii="宋体" w:eastAsia="宋体" w:cs="宋体"/>
          <w:color w:val="auto"/>
          <w:sz w:val="24"/>
          <w:szCs w:val="20"/>
          <w:highlight w:val="none"/>
          <w:lang w:bidi="ar-SA"/>
        </w:rPr>
      </w:pPr>
    </w:p>
    <w:p w14:paraId="25229CF5">
      <w:pPr>
        <w:spacing w:line="360" w:lineRule="auto"/>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致：</w:t>
      </w:r>
      <w:r>
        <w:rPr>
          <w:rFonts w:hint="eastAsia" w:ascii="宋体" w:eastAsia="宋体" w:cs="宋体"/>
          <w:color w:val="auto"/>
          <w:sz w:val="24"/>
          <w:highlight w:val="none"/>
          <w:u w:val="single"/>
          <w:lang w:bidi="ar-SA"/>
        </w:rPr>
        <w:t>（采购人名称）</w:t>
      </w:r>
      <w:r>
        <w:rPr>
          <w:rFonts w:hint="eastAsia" w:ascii="宋体" w:eastAsia="宋体" w:cs="宋体"/>
          <w:color w:val="auto"/>
          <w:sz w:val="24"/>
          <w:highlight w:val="none"/>
          <w:lang w:bidi="ar-SA"/>
        </w:rPr>
        <w:t>：</w:t>
      </w:r>
    </w:p>
    <w:p w14:paraId="1AC6B805">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u w:val="single"/>
          <w:lang w:bidi="ar-SA"/>
        </w:rPr>
        <w:t>（供应商名称）</w:t>
      </w:r>
      <w:r>
        <w:rPr>
          <w:rFonts w:hint="eastAsia" w:ascii="宋体" w:eastAsia="宋体" w:cs="宋体"/>
          <w:color w:val="auto"/>
          <w:sz w:val="24"/>
          <w:highlight w:val="none"/>
          <w:lang w:bidi="ar-SA"/>
        </w:rPr>
        <w:t>系中华人民共和国合法供应商，经营地址</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w:t>
      </w:r>
    </w:p>
    <w:p w14:paraId="0A6CE123">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我方愿意参加贵方组织的</w:t>
      </w:r>
      <w:r>
        <w:rPr>
          <w:rFonts w:hint="eastAsia" w:ascii="宋体" w:eastAsia="宋体" w:cs="宋体"/>
          <w:color w:val="auto"/>
          <w:sz w:val="24"/>
          <w:highlight w:val="none"/>
          <w:u w:val="single"/>
          <w:lang w:bidi="ar-SA"/>
        </w:rPr>
        <w:t>（项目名称）</w:t>
      </w:r>
      <w:r>
        <w:rPr>
          <w:rFonts w:hint="eastAsia" w:ascii="宋体" w:eastAsia="宋体" w:cs="宋体"/>
          <w:color w:val="auto"/>
          <w:sz w:val="24"/>
          <w:highlight w:val="none"/>
          <w:lang w:bidi="ar-SA"/>
        </w:rPr>
        <w:t>项目的竞标，为便于贵方公正、择优地确定成交供应商及其竞标产品和服务，我方就本次竞标有关事项郑重声明如下：</w:t>
      </w:r>
    </w:p>
    <w:p w14:paraId="77B21C36">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1.我方向贵方提交的所有响应文件、资料都是准确的和真实的。</w:t>
      </w:r>
    </w:p>
    <w:p w14:paraId="443E0FE9">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2.我方不是为本次采购项目提供整体设计、规范编制或者项目管理、监理、检测等服务的供应商。</w:t>
      </w:r>
    </w:p>
    <w:p w14:paraId="180C82FE">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3.在此，我方宣布同意如下：</w:t>
      </w:r>
    </w:p>
    <w:p w14:paraId="4DD80230">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（1）将按磋商文件的约定履行合同责任和义务；</w:t>
      </w:r>
    </w:p>
    <w:p w14:paraId="3AE9F4E3">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（2）已详细审查全部磋商文件，包括澄清或者更正公告（如有）；</w:t>
      </w:r>
    </w:p>
    <w:p w14:paraId="719FA3F1">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（3）同意提供按照贵方可能要求的与磋商有关的一切数据或者资料；</w:t>
      </w:r>
    </w:p>
    <w:p w14:paraId="246519F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（4）响应磋商文件规定的竞标有效期。</w:t>
      </w:r>
    </w:p>
    <w:p w14:paraId="28F6C88C">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4.我方承诺符合《中华人民共和国政府采购法》第二十二条规定：</w:t>
      </w:r>
    </w:p>
    <w:p w14:paraId="34DB9CE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（1）具有独立承担民事责任的能力；</w:t>
      </w:r>
    </w:p>
    <w:p w14:paraId="2ED08FC9">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（2）具有良好的商业信誉和健全的财务会计制度；</w:t>
      </w:r>
    </w:p>
    <w:p w14:paraId="08B5523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（3）具有履行合同所必需的设备和专业技术能力；</w:t>
      </w:r>
    </w:p>
    <w:p w14:paraId="3BCC9A34">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（4）有依法缴纳税收和社会保障资金的良好记录；</w:t>
      </w:r>
    </w:p>
    <w:p w14:paraId="04B66A9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（5）参加政府采购活动前三年内，在经营活动中没有重大违法记录；</w:t>
      </w:r>
    </w:p>
    <w:p w14:paraId="044ED8B1">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（6）法律、行政法规规定的其他条件。</w:t>
      </w:r>
    </w:p>
    <w:p w14:paraId="515768C8">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6D67826">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9E3C1A5">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□我方本次响应文件</w:t>
      </w:r>
      <w:r>
        <w:rPr>
          <w:rFonts w:hint="eastAsia" w:ascii="宋体" w:eastAsia="宋体" w:cs="宋体"/>
          <w:color w:val="auto"/>
          <w:kern w:val="0"/>
          <w:sz w:val="24"/>
          <w:highlight w:val="none"/>
          <w:lang w:bidi="ar-SA"/>
        </w:rPr>
        <w:t>内容中</w:t>
      </w:r>
      <w:r>
        <w:rPr>
          <w:rFonts w:hint="eastAsia" w:ascii="宋体" w:eastAsia="宋体" w:cs="宋体"/>
          <w:color w:val="auto"/>
          <w:sz w:val="24"/>
          <w:highlight w:val="none"/>
          <w:lang w:bidi="ar-SA"/>
        </w:rPr>
        <w:t>未</w:t>
      </w:r>
      <w:r>
        <w:rPr>
          <w:rFonts w:hint="eastAsia" w:ascii="宋体" w:eastAsia="宋体" w:cs="宋体"/>
          <w:color w:val="auto"/>
          <w:kern w:val="0"/>
          <w:sz w:val="24"/>
          <w:highlight w:val="none"/>
          <w:lang w:bidi="ar-SA"/>
        </w:rPr>
        <w:t>涉及商业秘密；</w:t>
      </w:r>
    </w:p>
    <w:p w14:paraId="7726A0E3">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□我方本次响应文件</w:t>
      </w:r>
      <w:r>
        <w:rPr>
          <w:rFonts w:hint="eastAsia" w:ascii="宋体" w:eastAsia="宋体" w:cs="宋体"/>
          <w:color w:val="auto"/>
          <w:kern w:val="0"/>
          <w:sz w:val="24"/>
          <w:highlight w:val="none"/>
          <w:lang w:bidi="ar-SA"/>
        </w:rPr>
        <w:t>涉及商业秘密的内容有：</w:t>
      </w:r>
      <w:r>
        <w:rPr>
          <w:rFonts w:hint="eastAsia" w:ascii="宋体" w:eastAsia="宋体" w:cs="宋体"/>
          <w:color w:val="auto"/>
          <w:kern w:val="0"/>
          <w:sz w:val="24"/>
          <w:highlight w:val="none"/>
          <w:u w:val="single"/>
          <w:lang w:bidi="ar-SA"/>
        </w:rPr>
        <w:t xml:space="preserve">                         </w:t>
      </w:r>
      <w:r>
        <w:rPr>
          <w:rFonts w:hint="eastAsia" w:ascii="宋体" w:eastAsia="宋体" w:cs="宋体"/>
          <w:color w:val="auto"/>
          <w:kern w:val="0"/>
          <w:sz w:val="24"/>
          <w:highlight w:val="none"/>
          <w:lang w:bidi="ar-SA"/>
        </w:rPr>
        <w:t>；</w:t>
      </w:r>
    </w:p>
    <w:p w14:paraId="4CC499BB">
      <w:pPr>
        <w:pStyle w:val="19"/>
        <w:spacing w:line="360" w:lineRule="auto"/>
        <w:ind w:firstLine="480" w:firstLineChars="200"/>
        <w:contextualSpacing/>
        <w:rPr>
          <w:rFonts w:hint="eastAsia" w:ascii="宋体" w:eastAsia="宋体" w:cs="宋体"/>
          <w:color w:val="auto"/>
          <w:sz w:val="24"/>
          <w:szCs w:val="24"/>
          <w:highlight w:val="none"/>
          <w:u w:val="single"/>
          <w:lang w:bidi="ar-SA"/>
        </w:rPr>
      </w:pPr>
      <w:r>
        <w:rPr>
          <w:rFonts w:hint="eastAsia" w:ascii="宋体" w:eastAsia="宋体" w:cs="宋体"/>
          <w:color w:val="auto"/>
          <w:sz w:val="24"/>
          <w:szCs w:val="24"/>
          <w:highlight w:val="none"/>
          <w:lang w:bidi="ar-SA"/>
        </w:rPr>
        <w:t>7.与本磋商有关的一切正式往来信函请寄：</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邮政编号：</w:t>
      </w:r>
      <w:r>
        <w:rPr>
          <w:rFonts w:hint="eastAsia" w:ascii="宋体" w:eastAsia="宋体" w:cs="宋体"/>
          <w:color w:val="auto"/>
          <w:sz w:val="24"/>
          <w:szCs w:val="24"/>
          <w:highlight w:val="none"/>
          <w:u w:val="single"/>
          <w:lang w:bidi="ar-SA"/>
        </w:rPr>
        <w:t xml:space="preserve">        </w:t>
      </w:r>
    </w:p>
    <w:p w14:paraId="47453C04">
      <w:pPr>
        <w:pStyle w:val="19"/>
        <w:spacing w:line="360" w:lineRule="auto"/>
        <w:ind w:firstLine="480" w:firstLineChars="20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电话/传真：</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 xml:space="preserve"> 电子函件：</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 xml:space="preserve">    </w:t>
      </w:r>
    </w:p>
    <w:p w14:paraId="1EEB860A">
      <w:pPr>
        <w:pStyle w:val="18"/>
        <w:tabs>
          <w:tab w:val="left" w:pos="939"/>
        </w:tabs>
        <w:spacing w:line="360" w:lineRule="auto"/>
        <w:ind w:left="141" w:leftChars="67" w:firstLine="360" w:firstLineChars="15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开户银行：</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 xml:space="preserve">  帐号：</w:t>
      </w:r>
      <w:r>
        <w:rPr>
          <w:rFonts w:hint="eastAsia" w:ascii="宋体" w:eastAsia="宋体" w:cs="宋体"/>
          <w:color w:val="auto"/>
          <w:sz w:val="24"/>
          <w:highlight w:val="none"/>
          <w:u w:val="single"/>
          <w:lang w:bidi="ar-SA"/>
        </w:rPr>
        <w:t xml:space="preserve">                               </w:t>
      </w:r>
    </w:p>
    <w:p w14:paraId="5C8CC6C7">
      <w:pPr>
        <w:pStyle w:val="18"/>
        <w:tabs>
          <w:tab w:val="left" w:pos="939"/>
        </w:tabs>
        <w:spacing w:line="360" w:lineRule="auto"/>
        <w:ind w:left="0" w:leftChars="0" w:firstLine="480" w:firstLineChars="20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8.以上事项如有虚假或者隐瞒，我方愿意承担一切后果，并不再寻求任何旨在减轻或者免除法律责任的辩解。</w:t>
      </w:r>
    </w:p>
    <w:p w14:paraId="3F0DAF25">
      <w:pPr>
        <w:pStyle w:val="18"/>
        <w:tabs>
          <w:tab w:val="left" w:pos="939"/>
        </w:tabs>
        <w:spacing w:line="360" w:lineRule="auto"/>
        <w:ind w:left="141" w:leftChars="67" w:firstLine="360" w:firstLineChars="15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特此承诺。</w:t>
      </w:r>
    </w:p>
    <w:p w14:paraId="544086B9">
      <w:pPr>
        <w:pStyle w:val="18"/>
        <w:tabs>
          <w:tab w:val="left" w:pos="939"/>
        </w:tabs>
        <w:spacing w:line="360" w:lineRule="auto"/>
        <w:ind w:left="0" w:leftChars="0" w:firstLine="482" w:firstLineChars="200"/>
        <w:rPr>
          <w:rFonts w:hint="eastAsia" w:ascii="宋体" w:eastAsia="宋体" w:cs="宋体"/>
          <w:b/>
          <w:color w:val="auto"/>
          <w:sz w:val="24"/>
          <w:highlight w:val="none"/>
          <w:lang w:bidi="ar-SA"/>
        </w:rPr>
      </w:pPr>
      <w:r>
        <w:rPr>
          <w:rFonts w:hint="eastAsia" w:ascii="宋体" w:eastAsia="宋体" w:cs="宋体"/>
          <w:b/>
          <w:color w:val="auto"/>
          <w:sz w:val="24"/>
          <w:highlight w:val="none"/>
          <w:lang w:bidi="ar-SA"/>
        </w:rPr>
        <w:t>注：如为联合体竞标，盖章处须加盖联合体牵头人公章并由联合体牵头人法定代表人签署，否则其响应文件按无效响应处理。</w:t>
      </w:r>
    </w:p>
    <w:p w14:paraId="238A57E8">
      <w:pPr>
        <w:pStyle w:val="18"/>
        <w:tabs>
          <w:tab w:val="left" w:pos="939"/>
        </w:tabs>
        <w:spacing w:line="360" w:lineRule="auto"/>
        <w:ind w:left="0" w:leftChars="0" w:firstLine="480" w:firstLineChars="200"/>
        <w:rPr>
          <w:rFonts w:hint="eastAsia" w:ascii="宋体" w:eastAsia="宋体" w:cs="宋体"/>
          <w:color w:val="auto"/>
          <w:sz w:val="24"/>
          <w:highlight w:val="none"/>
          <w:lang w:bidi="ar-SA"/>
        </w:rPr>
      </w:pPr>
    </w:p>
    <w:p w14:paraId="3B6E5390">
      <w:pPr>
        <w:spacing w:line="360" w:lineRule="auto"/>
        <w:ind w:firstLine="4320" w:firstLineChars="18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法定代表人（签字或盖章）：</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 xml:space="preserve">                                     </w:t>
      </w:r>
    </w:p>
    <w:p w14:paraId="51ED8C11">
      <w:pPr>
        <w:spacing w:line="360" w:lineRule="auto"/>
        <w:ind w:firstLine="4320" w:firstLineChars="1800"/>
        <w:contextualSpacing/>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供应商（盖公章）：</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 xml:space="preserve">           </w:t>
      </w:r>
    </w:p>
    <w:p w14:paraId="64094F8B">
      <w:pPr>
        <w:spacing w:line="360" w:lineRule="auto"/>
        <w:ind w:right="480" w:firstLine="240" w:firstLineChars="100"/>
        <w:contextualSpacing/>
        <w:jc w:val="center"/>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年    月    日</w:t>
      </w:r>
    </w:p>
    <w:p w14:paraId="450B3B0A">
      <w:pPr>
        <w:snapToGrid w:val="0"/>
        <w:spacing w:before="156" w:after="50" w:line="360" w:lineRule="auto"/>
        <w:ind w:right="480"/>
        <w:rPr>
          <w:rFonts w:hint="eastAsia" w:ascii="宋体" w:eastAsia="宋体" w:cs="宋体"/>
          <w:b/>
          <w:color w:val="auto"/>
          <w:sz w:val="32"/>
          <w:szCs w:val="32"/>
          <w:highlight w:val="none"/>
          <w:lang w:bidi="ar-SA"/>
        </w:rPr>
      </w:pPr>
      <w:r>
        <w:rPr>
          <w:rFonts w:hint="eastAsia" w:ascii="宋体" w:eastAsia="宋体" w:cs="宋体"/>
          <w:color w:val="auto"/>
          <w:sz w:val="24"/>
          <w:highlight w:val="none"/>
          <w:lang w:bidi="ar-SA"/>
        </w:rPr>
        <w:br w:type="page"/>
      </w:r>
      <w:r>
        <w:rPr>
          <w:rFonts w:hint="eastAsia" w:ascii="宋体" w:eastAsia="宋体" w:cs="宋体"/>
          <w:b/>
          <w:bCs/>
          <w:color w:val="auto"/>
          <w:sz w:val="32"/>
          <w:szCs w:val="32"/>
          <w:highlight w:val="none"/>
          <w:lang w:bidi="ar-SA"/>
        </w:rPr>
        <w:t>二、</w:t>
      </w:r>
      <w:r>
        <w:rPr>
          <w:rFonts w:hint="eastAsia" w:ascii="宋体" w:eastAsia="宋体" w:cs="宋体"/>
          <w:b/>
          <w:color w:val="auto"/>
          <w:sz w:val="32"/>
          <w:szCs w:val="32"/>
          <w:highlight w:val="none"/>
          <w:lang w:bidi="ar-SA"/>
        </w:rPr>
        <w:t>报价商务技术文件格式</w:t>
      </w:r>
    </w:p>
    <w:p w14:paraId="1FBAE1CF">
      <w:pPr>
        <w:snapToGrid w:val="0"/>
        <w:spacing w:before="156" w:after="50" w:line="360" w:lineRule="auto"/>
        <w:jc w:val="left"/>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1.报价商务技术文件封面格式</w:t>
      </w:r>
    </w:p>
    <w:p w14:paraId="56D434AD">
      <w:pPr>
        <w:snapToGrid w:val="0"/>
        <w:spacing w:before="156" w:after="50"/>
        <w:rPr>
          <w:rFonts w:hint="eastAsia" w:ascii="宋体" w:eastAsia="宋体" w:cs="宋体"/>
          <w:bCs/>
          <w:color w:val="auto"/>
          <w:sz w:val="32"/>
          <w:szCs w:val="20"/>
          <w:highlight w:val="none"/>
          <w:lang w:bidi="ar-SA"/>
        </w:rPr>
      </w:pPr>
      <w:r>
        <w:rPr>
          <w:rFonts w:hint="eastAsia" w:ascii="宋体" w:eastAsia="宋体" w:cs="宋体"/>
          <w:color w:val="auto"/>
          <w:sz w:val="24"/>
          <w:highlight w:val="none"/>
          <w:lang w:bidi="ar-SA"/>
        </w:rPr>
        <w:t xml:space="preserve">                                                   </w:t>
      </w:r>
    </w:p>
    <w:p w14:paraId="064DFCA9">
      <w:pPr>
        <w:snapToGrid w:val="0"/>
        <w:spacing w:before="156" w:after="50"/>
        <w:rPr>
          <w:rFonts w:hint="eastAsia" w:ascii="宋体" w:eastAsia="宋体" w:cs="宋体"/>
          <w:color w:val="auto"/>
          <w:sz w:val="24"/>
          <w:szCs w:val="20"/>
          <w:highlight w:val="none"/>
          <w:lang w:bidi="ar-SA"/>
        </w:rPr>
      </w:pPr>
    </w:p>
    <w:p w14:paraId="7835EC4E">
      <w:pPr>
        <w:snapToGrid w:val="0"/>
        <w:spacing w:before="156" w:after="50"/>
        <w:jc w:val="center"/>
        <w:rPr>
          <w:rFonts w:hint="eastAsia" w:ascii="宋体" w:eastAsia="宋体" w:cs="宋体"/>
          <w:bCs/>
          <w:color w:val="auto"/>
          <w:sz w:val="84"/>
          <w:szCs w:val="84"/>
          <w:highlight w:val="none"/>
          <w:lang w:bidi="ar-SA"/>
        </w:rPr>
      </w:pPr>
      <w:r>
        <w:rPr>
          <w:rFonts w:hint="eastAsia" w:ascii="宋体" w:eastAsia="宋体" w:cs="宋体"/>
          <w:bCs/>
          <w:color w:val="auto"/>
          <w:sz w:val="84"/>
          <w:szCs w:val="84"/>
          <w:highlight w:val="none"/>
          <w:lang w:bidi="ar-SA"/>
        </w:rPr>
        <w:t>响  应  文  件</w:t>
      </w:r>
    </w:p>
    <w:p w14:paraId="7AD1BBB3">
      <w:pPr>
        <w:snapToGrid w:val="0"/>
        <w:spacing w:before="156" w:after="50"/>
        <w:jc w:val="center"/>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报  价  商  务  技  术  文  件</w:t>
      </w:r>
    </w:p>
    <w:p w14:paraId="60DC3B89">
      <w:pPr>
        <w:snapToGrid w:val="0"/>
        <w:spacing w:before="156" w:after="50"/>
        <w:rPr>
          <w:rFonts w:hint="eastAsia" w:ascii="宋体" w:eastAsia="宋体" w:cs="宋体"/>
          <w:bCs/>
          <w:color w:val="auto"/>
          <w:sz w:val="24"/>
          <w:szCs w:val="20"/>
          <w:highlight w:val="none"/>
          <w:lang w:bidi="ar-SA"/>
        </w:rPr>
      </w:pPr>
    </w:p>
    <w:p w14:paraId="531BA4AD">
      <w:pPr>
        <w:snapToGrid w:val="0"/>
        <w:spacing w:before="156" w:after="50"/>
        <w:rPr>
          <w:rFonts w:hint="eastAsia" w:ascii="宋体" w:eastAsia="宋体" w:cs="宋体"/>
          <w:bCs/>
          <w:color w:val="auto"/>
          <w:sz w:val="24"/>
          <w:szCs w:val="20"/>
          <w:highlight w:val="none"/>
          <w:lang w:bidi="ar-SA"/>
        </w:rPr>
      </w:pPr>
    </w:p>
    <w:p w14:paraId="5A43A049">
      <w:pPr>
        <w:snapToGrid w:val="0"/>
        <w:spacing w:before="156" w:after="50"/>
        <w:rPr>
          <w:rFonts w:hint="eastAsia" w:ascii="宋体" w:eastAsia="宋体" w:cs="宋体"/>
          <w:bCs/>
          <w:color w:val="auto"/>
          <w:sz w:val="24"/>
          <w:szCs w:val="20"/>
          <w:highlight w:val="none"/>
          <w:lang w:bidi="ar-SA"/>
        </w:rPr>
      </w:pPr>
    </w:p>
    <w:p w14:paraId="3F896D3F">
      <w:pPr>
        <w:snapToGrid w:val="0"/>
        <w:spacing w:before="156" w:after="50"/>
        <w:rPr>
          <w:rFonts w:hint="eastAsia" w:ascii="宋体" w:eastAsia="宋体" w:cs="宋体"/>
          <w:bCs/>
          <w:color w:val="auto"/>
          <w:sz w:val="24"/>
          <w:szCs w:val="20"/>
          <w:highlight w:val="none"/>
          <w:lang w:bidi="ar-SA"/>
        </w:rPr>
      </w:pPr>
    </w:p>
    <w:p w14:paraId="0BACD132">
      <w:pPr>
        <w:snapToGrid w:val="0"/>
        <w:spacing w:before="156" w:after="50"/>
        <w:rPr>
          <w:rFonts w:hint="eastAsia" w:ascii="宋体" w:eastAsia="宋体" w:cs="宋体"/>
          <w:bCs/>
          <w:color w:val="auto"/>
          <w:sz w:val="24"/>
          <w:szCs w:val="20"/>
          <w:highlight w:val="none"/>
          <w:lang w:bidi="ar-SA"/>
        </w:rPr>
      </w:pPr>
    </w:p>
    <w:p w14:paraId="3163AFFA">
      <w:pPr>
        <w:snapToGrid w:val="0"/>
        <w:spacing w:before="156" w:after="50"/>
        <w:ind w:firstLine="640" w:firstLineChars="200"/>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项目名称：</w:t>
      </w:r>
    </w:p>
    <w:p w14:paraId="7000E9FE">
      <w:pPr>
        <w:snapToGrid w:val="0"/>
        <w:spacing w:before="156" w:after="50"/>
        <w:ind w:firstLine="720" w:firstLineChars="225"/>
        <w:rPr>
          <w:rFonts w:hint="eastAsia" w:ascii="宋体" w:eastAsia="宋体" w:cs="宋体"/>
          <w:bCs/>
          <w:color w:val="auto"/>
          <w:sz w:val="32"/>
          <w:szCs w:val="32"/>
          <w:highlight w:val="none"/>
          <w:lang w:bidi="ar-SA"/>
        </w:rPr>
      </w:pPr>
    </w:p>
    <w:p w14:paraId="1FE1D59B">
      <w:pPr>
        <w:snapToGrid w:val="0"/>
        <w:spacing w:before="156" w:after="50"/>
        <w:ind w:firstLine="640" w:firstLineChars="200"/>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项目编号：</w:t>
      </w:r>
    </w:p>
    <w:p w14:paraId="35BF0727">
      <w:pPr>
        <w:snapToGrid w:val="0"/>
        <w:spacing w:before="156" w:after="50"/>
        <w:ind w:firstLine="720" w:firstLineChars="225"/>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 xml:space="preserve"> </w:t>
      </w:r>
    </w:p>
    <w:p w14:paraId="353941F2">
      <w:pPr>
        <w:snapToGrid w:val="0"/>
        <w:spacing w:before="156" w:after="50"/>
        <w:ind w:firstLine="640" w:firstLineChars="200"/>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供应商名称：</w:t>
      </w:r>
    </w:p>
    <w:p w14:paraId="2944D675">
      <w:pPr>
        <w:snapToGrid w:val="0"/>
        <w:spacing w:before="156" w:after="50"/>
        <w:ind w:firstLine="720" w:firstLineChars="225"/>
        <w:rPr>
          <w:rFonts w:hint="eastAsia" w:ascii="宋体" w:eastAsia="宋体" w:cs="宋体"/>
          <w:bCs/>
          <w:color w:val="auto"/>
          <w:sz w:val="32"/>
          <w:szCs w:val="32"/>
          <w:highlight w:val="none"/>
          <w:lang w:bidi="ar-SA"/>
        </w:rPr>
      </w:pPr>
    </w:p>
    <w:p w14:paraId="09C32520">
      <w:pPr>
        <w:pStyle w:val="9"/>
        <w:snapToGrid w:val="0"/>
        <w:spacing w:before="50" w:after="50"/>
        <w:ind w:firstLine="640" w:firstLineChars="200"/>
        <w:rPr>
          <w:rFonts w:hint="eastAsia" w:ascii="宋体" w:eastAsia="宋体" w:cs="宋体"/>
          <w:bCs/>
          <w:color w:val="auto"/>
          <w:sz w:val="32"/>
          <w:szCs w:val="32"/>
          <w:highlight w:val="none"/>
          <w:lang w:bidi="ar-SA"/>
        </w:rPr>
      </w:pPr>
      <w:r>
        <w:rPr>
          <w:rFonts w:hint="eastAsia" w:ascii="宋体" w:eastAsia="宋体" w:cs="宋体"/>
          <w:bCs/>
          <w:color w:val="auto"/>
          <w:sz w:val="32"/>
          <w:szCs w:val="32"/>
          <w:highlight w:val="none"/>
          <w:lang w:bidi="ar-SA"/>
        </w:rPr>
        <w:t>供应商地址：</w:t>
      </w:r>
    </w:p>
    <w:p w14:paraId="41D25F46">
      <w:pPr>
        <w:pStyle w:val="9"/>
        <w:snapToGrid w:val="0"/>
        <w:spacing w:before="50" w:after="50"/>
        <w:ind w:firstLine="720" w:firstLineChars="225"/>
        <w:rPr>
          <w:rFonts w:hint="eastAsia" w:ascii="宋体" w:eastAsia="宋体" w:cs="宋体"/>
          <w:bCs/>
          <w:color w:val="auto"/>
          <w:sz w:val="32"/>
          <w:szCs w:val="32"/>
          <w:highlight w:val="none"/>
          <w:lang w:bidi="ar-SA"/>
        </w:rPr>
      </w:pPr>
    </w:p>
    <w:p w14:paraId="42DC2CE8">
      <w:pPr>
        <w:pStyle w:val="9"/>
        <w:snapToGrid w:val="0"/>
        <w:spacing w:before="50" w:after="50"/>
        <w:ind w:firstLine="720" w:firstLineChars="225"/>
        <w:rPr>
          <w:rFonts w:hint="eastAsia" w:ascii="宋体" w:eastAsia="宋体" w:cs="宋体"/>
          <w:bCs/>
          <w:color w:val="auto"/>
          <w:sz w:val="32"/>
          <w:szCs w:val="32"/>
          <w:highlight w:val="none"/>
          <w:lang w:bidi="ar-SA"/>
        </w:rPr>
      </w:pPr>
    </w:p>
    <w:p w14:paraId="672DC415">
      <w:pPr>
        <w:pStyle w:val="9"/>
        <w:snapToGrid w:val="0"/>
        <w:spacing w:before="50" w:after="50"/>
        <w:ind w:firstLine="1280" w:firstLineChars="400"/>
        <w:rPr>
          <w:rFonts w:hint="eastAsia" w:ascii="宋体" w:eastAsia="宋体" w:cs="宋体"/>
          <w:bCs/>
          <w:color w:val="auto"/>
          <w:sz w:val="32"/>
          <w:szCs w:val="32"/>
          <w:highlight w:val="none"/>
          <w:lang w:bidi="ar-SA"/>
        </w:rPr>
      </w:pPr>
    </w:p>
    <w:p w14:paraId="367A4726">
      <w:pPr>
        <w:snapToGrid w:val="0"/>
        <w:spacing w:before="156" w:after="50"/>
        <w:jc w:val="center"/>
        <w:rPr>
          <w:rFonts w:hint="eastAsia" w:ascii="宋体" w:eastAsia="宋体" w:cs="宋体"/>
          <w:color w:val="auto"/>
          <w:sz w:val="32"/>
          <w:szCs w:val="32"/>
          <w:highlight w:val="none"/>
          <w:lang w:bidi="ar-SA"/>
        </w:rPr>
      </w:pPr>
      <w:r>
        <w:rPr>
          <w:rFonts w:hint="eastAsia" w:ascii="宋体" w:eastAsia="宋体" w:cs="宋体"/>
          <w:color w:val="auto"/>
          <w:sz w:val="32"/>
          <w:szCs w:val="32"/>
          <w:highlight w:val="none"/>
          <w:lang w:bidi="ar-SA"/>
        </w:rPr>
        <w:t>年    月    日</w:t>
      </w:r>
    </w:p>
    <w:p w14:paraId="610CB6BB">
      <w:pPr>
        <w:snapToGrid w:val="0"/>
        <w:spacing w:before="156" w:after="50" w:line="360" w:lineRule="auto"/>
        <w:ind w:left="142"/>
        <w:jc w:val="left"/>
        <w:rPr>
          <w:rFonts w:hint="eastAsia" w:ascii="宋体" w:eastAsia="宋体" w:cs="宋体"/>
          <w:b/>
          <w:bCs/>
          <w:color w:val="auto"/>
          <w:sz w:val="24"/>
          <w:highlight w:val="none"/>
          <w:lang w:bidi="ar-SA"/>
        </w:rPr>
      </w:pPr>
      <w:r>
        <w:rPr>
          <w:rFonts w:hint="eastAsia" w:ascii="宋体" w:eastAsia="宋体" w:cs="宋体"/>
          <w:color w:val="auto"/>
          <w:sz w:val="24"/>
          <w:highlight w:val="none"/>
          <w:lang w:bidi="ar-SA"/>
        </w:rPr>
        <w:br w:type="page"/>
      </w:r>
      <w:r>
        <w:rPr>
          <w:rFonts w:hint="eastAsia" w:ascii="宋体" w:eastAsia="宋体" w:cs="宋体"/>
          <w:b/>
          <w:bCs/>
          <w:color w:val="auto"/>
          <w:sz w:val="32"/>
          <w:szCs w:val="32"/>
          <w:highlight w:val="none"/>
          <w:lang w:bidi="ar-SA"/>
        </w:rPr>
        <w:t>2.报价商务技术文件目录</w:t>
      </w:r>
    </w:p>
    <w:p w14:paraId="42D204FF">
      <w:pPr>
        <w:snapToGrid w:val="0"/>
        <w:spacing w:before="156" w:after="50" w:line="360" w:lineRule="auto"/>
        <w:ind w:firstLine="640" w:firstLineChars="200"/>
        <w:rPr>
          <w:rFonts w:hint="eastAsia" w:ascii="宋体" w:eastAsia="宋体" w:cs="宋体"/>
          <w:color w:val="auto"/>
          <w:sz w:val="32"/>
          <w:szCs w:val="32"/>
          <w:highlight w:val="none"/>
          <w:lang w:bidi="ar-SA"/>
        </w:rPr>
      </w:pPr>
      <w:r>
        <w:rPr>
          <w:rFonts w:hint="eastAsia" w:ascii="宋体" w:eastAsia="宋体" w:cs="宋体"/>
          <w:color w:val="auto"/>
          <w:sz w:val="32"/>
          <w:szCs w:val="32"/>
          <w:highlight w:val="none"/>
          <w:lang w:bidi="ar-SA"/>
        </w:rPr>
        <w:t>根据磋商文件规定及供应商提供的材料自行编写目录（部分格式后附）。</w:t>
      </w:r>
    </w:p>
    <w:p w14:paraId="0BB3F2F4">
      <w:pPr>
        <w:spacing w:line="400" w:lineRule="exact"/>
        <w:rPr>
          <w:rFonts w:hint="eastAsia" w:ascii="宋体" w:eastAsia="宋体" w:cs="宋体"/>
          <w:color w:val="auto"/>
          <w:sz w:val="32"/>
          <w:szCs w:val="32"/>
          <w:highlight w:val="none"/>
          <w:lang w:bidi="ar-SA"/>
        </w:rPr>
      </w:pPr>
    </w:p>
    <w:p w14:paraId="3AAF1CEC">
      <w:pPr>
        <w:spacing w:line="520" w:lineRule="exact"/>
        <w:jc w:val="center"/>
        <w:rPr>
          <w:rFonts w:hint="eastAsia" w:ascii="宋体" w:eastAsia="宋体" w:cs="宋体"/>
          <w:color w:val="auto"/>
          <w:sz w:val="32"/>
          <w:szCs w:val="32"/>
          <w:highlight w:val="none"/>
          <w:lang w:bidi="ar-SA"/>
        </w:rPr>
      </w:pPr>
      <w:r>
        <w:rPr>
          <w:rFonts w:hint="eastAsia" w:ascii="宋体" w:eastAsia="宋体" w:cs="宋体"/>
          <w:color w:val="auto"/>
          <w:sz w:val="44"/>
          <w:szCs w:val="44"/>
          <w:highlight w:val="none"/>
          <w:lang w:bidi="ar-SA"/>
        </w:rPr>
        <w:br w:type="page"/>
      </w:r>
      <w:r>
        <w:rPr>
          <w:rFonts w:hint="eastAsia" w:ascii="宋体" w:eastAsia="宋体" w:cs="宋体"/>
          <w:color w:val="auto"/>
          <w:sz w:val="44"/>
          <w:szCs w:val="44"/>
          <w:highlight w:val="none"/>
          <w:lang w:bidi="ar-SA"/>
        </w:rPr>
        <w:t>无串通竞标行为的承诺函</w:t>
      </w:r>
    </w:p>
    <w:p w14:paraId="04716E98">
      <w:pPr>
        <w:spacing w:line="360" w:lineRule="auto"/>
        <w:ind w:firstLine="640" w:firstLineChars="200"/>
        <w:contextualSpacing/>
        <w:rPr>
          <w:rFonts w:hint="eastAsia" w:ascii="宋体" w:eastAsia="宋体" w:cs="宋体"/>
          <w:color w:val="auto"/>
          <w:sz w:val="32"/>
          <w:szCs w:val="32"/>
          <w:highlight w:val="none"/>
          <w:lang w:bidi="ar-SA"/>
        </w:rPr>
      </w:pPr>
    </w:p>
    <w:p w14:paraId="70C56466">
      <w:pPr>
        <w:spacing w:line="360" w:lineRule="auto"/>
        <w:ind w:firstLine="482" w:firstLineChars="200"/>
        <w:contextualSpacing/>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一、我方承诺无下列相互串通竞标的情形：</w:t>
      </w:r>
    </w:p>
    <w:p w14:paraId="74A77D7F">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1.不同供应商的响应文件由同一单位或者个人编制； </w:t>
      </w:r>
    </w:p>
    <w:p w14:paraId="38B8D33F">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2.不同供应商委托同一单位或者个人办理竞标事宜；</w:t>
      </w:r>
    </w:p>
    <w:p w14:paraId="77150FB7">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3.不同供应商的响应文件载明的项目管理员为同一个人；</w:t>
      </w:r>
    </w:p>
    <w:p w14:paraId="44415DD9">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4.不</w:t>
      </w:r>
      <w:r>
        <w:rPr>
          <w:rFonts w:hint="eastAsia" w:ascii="宋体" w:eastAsia="宋体" w:cs="宋体"/>
          <w:color w:val="auto"/>
          <w:spacing w:val="-6"/>
          <w:sz w:val="24"/>
          <w:highlight w:val="none"/>
          <w:lang w:bidi="ar-SA"/>
        </w:rPr>
        <w:t>同供应商的响应文件异常一致或者竞标报价呈规律性差异；</w:t>
      </w:r>
    </w:p>
    <w:p w14:paraId="6E04A23C">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5.不同供应商的响应文件相互混装；</w:t>
      </w:r>
    </w:p>
    <w:p w14:paraId="3B8F2739">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6.不同供应商的磋商保证金从同一单位或者个人账户转出。</w:t>
      </w:r>
    </w:p>
    <w:p w14:paraId="4AA60309">
      <w:pPr>
        <w:spacing w:line="360" w:lineRule="auto"/>
        <w:ind w:firstLine="482" w:firstLineChars="200"/>
        <w:contextualSpacing/>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二、我方承诺无下列恶意串通的情形：</w:t>
      </w:r>
    </w:p>
    <w:p w14:paraId="07DFA3D9">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1.供应商直接或者间接从采购人或者采购代理机构处获得其他供应商的相关信息并修改其响应文件；</w:t>
      </w:r>
    </w:p>
    <w:p w14:paraId="7F2FD4CF">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2.供应商按照采购人或者采购代理机构的授意撤换、修改响应文件；</w:t>
      </w:r>
    </w:p>
    <w:p w14:paraId="167A82B6">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3.供</w:t>
      </w:r>
      <w:r>
        <w:rPr>
          <w:rFonts w:hint="eastAsia" w:ascii="宋体" w:eastAsia="宋体" w:cs="宋体"/>
          <w:color w:val="auto"/>
          <w:spacing w:val="-6"/>
          <w:sz w:val="24"/>
          <w:highlight w:val="none"/>
          <w:lang w:bidi="ar-SA"/>
        </w:rPr>
        <w:t>应商之间协商报价、技术方案等响应文件的实质性内容；</w:t>
      </w:r>
    </w:p>
    <w:p w14:paraId="4BC523F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4.属于同一集团、协会、商会等组织成员的供应商按照该组织要求协同参加政府采购活动；</w:t>
      </w:r>
    </w:p>
    <w:p w14:paraId="7C0FEF1A">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5.供应商之间事先约定一致抬高或者压低竞标报价，或者在竞争性磋商项目中事先约定轮流以高价位或者低价位成交，或者事先约定由某一特定供应商成交，然后再参加竞标；</w:t>
      </w:r>
    </w:p>
    <w:p w14:paraId="050AF2D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6.供应商之间商定部分供应商放弃参加政府采购活动或者放弃成交；</w:t>
      </w:r>
    </w:p>
    <w:p w14:paraId="39B69CBC">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7.供应商与采购人或者采购代理机构之间、供应商相互之间，为</w:t>
      </w:r>
      <w:r>
        <w:rPr>
          <w:rFonts w:hint="eastAsia" w:ascii="宋体" w:eastAsia="宋体" w:cs="宋体"/>
          <w:color w:val="auto"/>
          <w:spacing w:val="-6"/>
          <w:sz w:val="24"/>
          <w:highlight w:val="none"/>
          <w:lang w:bidi="ar-SA"/>
        </w:rPr>
        <w:t>谋求特定供应商成交或者排斥其他供应商的其他串通行为。</w:t>
      </w:r>
    </w:p>
    <w:p w14:paraId="5F6128C8">
      <w:pPr>
        <w:spacing w:line="360" w:lineRule="auto"/>
        <w:ind w:firstLine="482" w:firstLineChars="200"/>
        <w:contextualSpacing/>
        <w:rPr>
          <w:rFonts w:hint="eastAsia" w:ascii="宋体" w:eastAsia="宋体" w:cs="宋体"/>
          <w:b/>
          <w:bCs/>
          <w:color w:val="auto"/>
          <w:sz w:val="24"/>
          <w:highlight w:val="none"/>
          <w:lang w:bidi="ar-SA"/>
        </w:rPr>
      </w:pPr>
      <w:r>
        <w:rPr>
          <w:rFonts w:hint="eastAsia" w:ascii="宋体" w:eastAsia="宋体" w:cs="宋体"/>
          <w:b/>
          <w:bCs/>
          <w:color w:val="auto"/>
          <w:sz w:val="24"/>
          <w:highlight w:val="none"/>
          <w:lang w:bidi="ar-SA"/>
        </w:rPr>
        <w:t>以上情形一经核查属实，我方愿意承担一切后果，并不再寻求任何旨在减轻或者免除法律责任的辩解。</w:t>
      </w:r>
    </w:p>
    <w:p w14:paraId="54405F2A">
      <w:pPr>
        <w:spacing w:line="360" w:lineRule="auto"/>
        <w:ind w:firstLine="482" w:firstLineChars="200"/>
        <w:contextualSpacing/>
        <w:rPr>
          <w:rFonts w:hint="eastAsia" w:ascii="宋体" w:eastAsia="宋体" w:cs="宋体"/>
          <w:b/>
          <w:bCs/>
          <w:color w:val="auto"/>
          <w:sz w:val="24"/>
          <w:highlight w:val="none"/>
          <w:lang w:bidi="ar-SA"/>
        </w:rPr>
      </w:pPr>
      <w:r>
        <w:rPr>
          <w:rFonts w:hint="eastAsia" w:ascii="宋体" w:eastAsia="宋体" w:cs="宋体"/>
          <w:b/>
          <w:color w:val="auto"/>
          <w:sz w:val="24"/>
          <w:highlight w:val="none"/>
          <w:lang w:bidi="ar-SA"/>
        </w:rPr>
        <w:t>注：如为联合体竞标，盖章处须加盖联合体牵头人公章，否则其响应文件按无效响应处理</w:t>
      </w:r>
      <w:r>
        <w:rPr>
          <w:rFonts w:hint="eastAsia" w:ascii="宋体" w:eastAsia="宋体" w:cs="宋体"/>
          <w:b/>
          <w:bCs/>
          <w:color w:val="auto"/>
          <w:sz w:val="24"/>
          <w:highlight w:val="none"/>
          <w:lang w:bidi="ar-SA"/>
        </w:rPr>
        <w:t>。</w:t>
      </w:r>
    </w:p>
    <w:p w14:paraId="5C69B974">
      <w:pPr>
        <w:spacing w:line="360" w:lineRule="auto"/>
        <w:contextualSpacing/>
        <w:rPr>
          <w:rFonts w:hint="eastAsia" w:ascii="宋体" w:eastAsia="宋体" w:cs="宋体"/>
          <w:color w:val="auto"/>
          <w:sz w:val="24"/>
          <w:highlight w:val="none"/>
          <w:lang w:bidi="ar-SA"/>
        </w:rPr>
      </w:pPr>
    </w:p>
    <w:p w14:paraId="693F9763">
      <w:pPr>
        <w:spacing w:line="360" w:lineRule="auto"/>
        <w:ind w:firstLine="3600" w:firstLineChars="15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供应商（盖公章）：</w:t>
      </w:r>
    </w:p>
    <w:p w14:paraId="57EE092E">
      <w:pPr>
        <w:spacing w:line="360" w:lineRule="auto"/>
        <w:ind w:firstLine="480" w:firstLineChars="200"/>
        <w:contextualSpacing/>
        <w:jc w:val="center"/>
        <w:rPr>
          <w:rFonts w:hint="eastAsia" w:ascii="宋体" w:eastAsia="宋体" w:cs="宋体"/>
          <w:color w:val="auto"/>
          <w:sz w:val="32"/>
          <w:szCs w:val="32"/>
          <w:highlight w:val="none"/>
          <w:lang w:bidi="ar-SA"/>
        </w:rPr>
      </w:pPr>
      <w:r>
        <w:rPr>
          <w:rFonts w:hint="eastAsia" w:ascii="宋体" w:eastAsia="宋体" w:cs="宋体"/>
          <w:color w:val="auto"/>
          <w:sz w:val="24"/>
          <w:highlight w:val="none"/>
          <w:lang w:bidi="ar-SA"/>
        </w:rPr>
        <w:t xml:space="preserve">                               年   月   日</w:t>
      </w:r>
    </w:p>
    <w:p w14:paraId="027B3A04">
      <w:pPr>
        <w:spacing w:line="520" w:lineRule="exact"/>
        <w:jc w:val="center"/>
        <w:rPr>
          <w:rFonts w:hint="eastAsia" w:ascii="宋体" w:eastAsia="宋体" w:cs="宋体"/>
          <w:bCs/>
          <w:color w:val="auto"/>
          <w:sz w:val="32"/>
          <w:szCs w:val="32"/>
          <w:highlight w:val="none"/>
          <w:lang w:bidi="ar-SA"/>
        </w:rPr>
      </w:pPr>
      <w:r>
        <w:rPr>
          <w:rFonts w:hint="eastAsia" w:ascii="宋体" w:eastAsia="宋体" w:cs="宋体"/>
          <w:bCs/>
          <w:color w:val="auto"/>
          <w:sz w:val="44"/>
          <w:szCs w:val="44"/>
          <w:highlight w:val="none"/>
          <w:lang w:bidi="ar-SA"/>
        </w:rPr>
        <w:br w:type="page"/>
      </w:r>
      <w:r>
        <w:rPr>
          <w:rFonts w:hint="eastAsia" w:ascii="宋体" w:eastAsia="宋体" w:cs="宋体"/>
          <w:bCs/>
          <w:color w:val="auto"/>
          <w:sz w:val="44"/>
          <w:szCs w:val="44"/>
          <w:highlight w:val="none"/>
          <w:lang w:bidi="ar-SA"/>
        </w:rPr>
        <w:t>竞  标  报  价  表</w:t>
      </w:r>
    </w:p>
    <w:p w14:paraId="352A7185">
      <w:pPr>
        <w:spacing w:line="440" w:lineRule="exact"/>
        <w:jc w:val="center"/>
        <w:rPr>
          <w:rFonts w:hint="eastAsia" w:ascii="宋体" w:eastAsia="宋体" w:cs="宋体"/>
          <w:bCs/>
          <w:color w:val="auto"/>
          <w:sz w:val="32"/>
          <w:szCs w:val="32"/>
          <w:highlight w:val="none"/>
          <w:lang w:bidi="ar-SA"/>
        </w:rPr>
      </w:pPr>
    </w:p>
    <w:p w14:paraId="58034F1B">
      <w:pPr>
        <w:spacing w:line="360" w:lineRule="auto"/>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项目名称：</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项目编号：</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 xml:space="preserve">     </w:t>
      </w:r>
    </w:p>
    <w:p w14:paraId="3B497E9C">
      <w:pPr>
        <w:spacing w:line="360" w:lineRule="auto"/>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供应商名称：</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 xml:space="preserve">   </w:t>
      </w:r>
    </w:p>
    <w:p w14:paraId="10C2190C">
      <w:pPr>
        <w:spacing w:line="360" w:lineRule="auto"/>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w:t>
      </w:r>
    </w:p>
    <w:tbl>
      <w:tblPr>
        <w:tblStyle w:val="31"/>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6"/>
        <w:gridCol w:w="2371"/>
        <w:gridCol w:w="2244"/>
        <w:gridCol w:w="629"/>
        <w:gridCol w:w="904"/>
        <w:gridCol w:w="869"/>
        <w:gridCol w:w="960"/>
        <w:gridCol w:w="1089"/>
      </w:tblGrid>
      <w:tr w14:paraId="52EFC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4" w:type="pct"/>
            <w:noWrap w:val="0"/>
            <w:vAlign w:val="center"/>
          </w:tcPr>
          <w:p w14:paraId="5CA58127">
            <w:pPr>
              <w:keepNext w:val="0"/>
              <w:keepLines w:val="0"/>
              <w:pageBreakBefore w:val="0"/>
              <w:widowControl w:val="0"/>
              <w:kinsoku/>
              <w:wordWrap/>
              <w:overflowPunct/>
              <w:topLinePunct w:val="0"/>
              <w:autoSpaceDE/>
              <w:autoSpaceDN/>
              <w:bidi w:val="0"/>
              <w:adjustRightInd/>
              <w:snapToGrid/>
              <w:spacing w:line="23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序号</w:t>
            </w:r>
          </w:p>
        </w:tc>
        <w:tc>
          <w:tcPr>
            <w:tcW w:w="1228" w:type="pct"/>
            <w:noWrap w:val="0"/>
            <w:vAlign w:val="center"/>
          </w:tcPr>
          <w:p w14:paraId="31A3E6B0">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标的的名称</w:t>
            </w:r>
          </w:p>
        </w:tc>
        <w:tc>
          <w:tcPr>
            <w:tcW w:w="1162" w:type="pct"/>
            <w:noWrap w:val="0"/>
            <w:vAlign w:val="center"/>
          </w:tcPr>
          <w:p w14:paraId="5E435B24">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pacing w:val="7"/>
                <w:sz w:val="24"/>
                <w:highlight w:val="none"/>
              </w:rPr>
            </w:pPr>
            <w:r>
              <w:rPr>
                <w:rFonts w:hint="eastAsia" w:ascii="宋体" w:hAnsi="宋体" w:eastAsia="宋体" w:cs="宋体"/>
                <w:color w:val="auto"/>
                <w:spacing w:val="7"/>
                <w:sz w:val="24"/>
                <w:highlight w:val="none"/>
              </w:rPr>
              <w:t>生产厂家/服务商</w:t>
            </w:r>
          </w:p>
        </w:tc>
        <w:tc>
          <w:tcPr>
            <w:tcW w:w="326" w:type="pct"/>
            <w:noWrap w:val="0"/>
            <w:vAlign w:val="center"/>
          </w:tcPr>
          <w:p w14:paraId="3B8CF78B">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pacing w:val="7"/>
                <w:sz w:val="24"/>
                <w:highlight w:val="none"/>
              </w:rPr>
            </w:pPr>
            <w:r>
              <w:rPr>
                <w:rFonts w:hint="eastAsia" w:ascii="宋体" w:hAnsi="宋体" w:eastAsia="宋体" w:cs="宋体"/>
                <w:color w:val="auto"/>
                <w:spacing w:val="7"/>
                <w:sz w:val="24"/>
                <w:highlight w:val="none"/>
              </w:rPr>
              <w:t>规格型号</w:t>
            </w:r>
          </w:p>
        </w:tc>
        <w:tc>
          <w:tcPr>
            <w:tcW w:w="468" w:type="pct"/>
            <w:noWrap w:val="0"/>
            <w:vAlign w:val="center"/>
          </w:tcPr>
          <w:p w14:paraId="704360C2">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单位</w:t>
            </w:r>
          </w:p>
        </w:tc>
        <w:tc>
          <w:tcPr>
            <w:tcW w:w="450" w:type="pct"/>
            <w:noWrap w:val="0"/>
            <w:vAlign w:val="center"/>
          </w:tcPr>
          <w:p w14:paraId="510EBEC5">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数量</w:t>
            </w:r>
          </w:p>
        </w:tc>
        <w:tc>
          <w:tcPr>
            <w:tcW w:w="497" w:type="pct"/>
            <w:noWrap w:val="0"/>
            <w:vAlign w:val="center"/>
          </w:tcPr>
          <w:p w14:paraId="756C4055">
            <w:pPr>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单</w:t>
            </w:r>
            <w:r>
              <w:rPr>
                <w:rFonts w:hint="eastAsia" w:ascii="宋体" w:hAnsi="宋体" w:eastAsia="宋体" w:cs="宋体"/>
                <w:color w:val="auto"/>
                <w:spacing w:val="7"/>
                <w:sz w:val="24"/>
                <w:highlight w:val="none"/>
              </w:rPr>
              <w:t>价</w:t>
            </w:r>
            <w:r>
              <w:rPr>
                <w:rFonts w:hint="eastAsia" w:ascii="宋体" w:hAnsi="宋体" w:eastAsia="宋体" w:cs="宋体"/>
                <w:color w:val="auto"/>
                <w:spacing w:val="34"/>
                <w:sz w:val="24"/>
                <w:highlight w:val="none"/>
              </w:rPr>
              <w:t>(元</w:t>
            </w:r>
            <w:r>
              <w:rPr>
                <w:rFonts w:hint="eastAsia" w:ascii="宋体" w:hAnsi="宋体" w:eastAsia="宋体" w:cs="宋体"/>
                <w:color w:val="auto"/>
                <w:spacing w:val="33"/>
                <w:sz w:val="24"/>
                <w:highlight w:val="none"/>
              </w:rPr>
              <w:t>)</w:t>
            </w:r>
          </w:p>
        </w:tc>
        <w:tc>
          <w:tcPr>
            <w:tcW w:w="562" w:type="pct"/>
            <w:noWrap w:val="0"/>
            <w:vAlign w:val="center"/>
          </w:tcPr>
          <w:p w14:paraId="64A6BD00">
            <w:pPr>
              <w:keepNext w:val="0"/>
              <w:keepLines w:val="0"/>
              <w:pageBreakBefore w:val="0"/>
              <w:widowControl w:val="0"/>
              <w:kinsoku/>
              <w:wordWrap/>
              <w:overflowPunct/>
              <w:topLinePunct w:val="0"/>
              <w:autoSpaceDE/>
              <w:autoSpaceDN/>
              <w:bidi w:val="0"/>
              <w:adjustRightInd/>
              <w:snapToGrid/>
              <w:spacing w:line="271" w:lineRule="exact"/>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6"/>
                <w:position w:val="4"/>
                <w:sz w:val="24"/>
                <w:highlight w:val="none"/>
              </w:rPr>
              <w:t>总</w:t>
            </w:r>
            <w:r>
              <w:rPr>
                <w:rFonts w:hint="eastAsia" w:ascii="宋体" w:hAnsi="宋体" w:eastAsia="宋体" w:cs="宋体"/>
                <w:color w:val="auto"/>
                <w:spacing w:val="5"/>
                <w:position w:val="4"/>
                <w:sz w:val="24"/>
                <w:highlight w:val="none"/>
              </w:rPr>
              <w:t>价</w:t>
            </w:r>
          </w:p>
          <w:p w14:paraId="52F3AF25">
            <w:pPr>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34"/>
                <w:sz w:val="24"/>
                <w:highlight w:val="none"/>
              </w:rPr>
              <w:t>(元</w:t>
            </w:r>
            <w:r>
              <w:rPr>
                <w:rFonts w:hint="eastAsia" w:ascii="宋体" w:hAnsi="宋体" w:eastAsia="宋体" w:cs="宋体"/>
                <w:color w:val="auto"/>
                <w:spacing w:val="33"/>
                <w:sz w:val="24"/>
                <w:highlight w:val="none"/>
              </w:rPr>
              <w:t>)</w:t>
            </w:r>
          </w:p>
        </w:tc>
      </w:tr>
      <w:tr w14:paraId="681EB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04" w:type="pct"/>
            <w:noWrap w:val="0"/>
            <w:vAlign w:val="center"/>
          </w:tcPr>
          <w:p w14:paraId="76BF882D">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28" w:type="pct"/>
            <w:noWrap w:val="0"/>
            <w:vAlign w:val="center"/>
          </w:tcPr>
          <w:p w14:paraId="7A7A345C">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p>
        </w:tc>
        <w:tc>
          <w:tcPr>
            <w:tcW w:w="1162" w:type="pct"/>
            <w:noWrap w:val="0"/>
            <w:vAlign w:val="center"/>
          </w:tcPr>
          <w:p w14:paraId="3F74B854">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p>
        </w:tc>
        <w:tc>
          <w:tcPr>
            <w:tcW w:w="326" w:type="pct"/>
            <w:noWrap w:val="0"/>
            <w:vAlign w:val="center"/>
          </w:tcPr>
          <w:p w14:paraId="3741FC8A">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p>
        </w:tc>
        <w:tc>
          <w:tcPr>
            <w:tcW w:w="468" w:type="pct"/>
            <w:noWrap w:val="0"/>
            <w:vAlign w:val="center"/>
          </w:tcPr>
          <w:p w14:paraId="79E32910">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p>
        </w:tc>
        <w:tc>
          <w:tcPr>
            <w:tcW w:w="450" w:type="pct"/>
            <w:noWrap w:val="0"/>
            <w:vAlign w:val="center"/>
          </w:tcPr>
          <w:p w14:paraId="36137990">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z w:val="24"/>
                <w:highlight w:val="none"/>
              </w:rPr>
            </w:pPr>
          </w:p>
        </w:tc>
        <w:tc>
          <w:tcPr>
            <w:tcW w:w="497" w:type="pct"/>
            <w:noWrap w:val="0"/>
            <w:vAlign w:val="center"/>
          </w:tcPr>
          <w:p w14:paraId="74D214C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c>
          <w:tcPr>
            <w:tcW w:w="562" w:type="pct"/>
            <w:noWrap w:val="0"/>
            <w:vAlign w:val="center"/>
          </w:tcPr>
          <w:p w14:paraId="187B51F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r>
      <w:tr w14:paraId="2E69F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04" w:type="pct"/>
            <w:noWrap w:val="0"/>
            <w:vAlign w:val="center"/>
          </w:tcPr>
          <w:p w14:paraId="5FBF4110">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w:t>
            </w:r>
          </w:p>
        </w:tc>
        <w:tc>
          <w:tcPr>
            <w:tcW w:w="1228" w:type="pct"/>
            <w:noWrap w:val="0"/>
            <w:vAlign w:val="center"/>
          </w:tcPr>
          <w:p w14:paraId="58A89D60">
            <w:pPr>
              <w:keepNext w:val="0"/>
              <w:keepLines w:val="0"/>
              <w:pageBreakBefore w:val="0"/>
              <w:widowControl w:val="0"/>
              <w:kinsoku/>
              <w:wordWrap/>
              <w:overflowPunct/>
              <w:topLinePunct w:val="0"/>
              <w:autoSpaceDE/>
              <w:autoSpaceDN/>
              <w:bidi w:val="0"/>
              <w:adjustRightInd/>
              <w:snapToGrid/>
              <w:spacing w:line="274" w:lineRule="exact"/>
              <w:ind w:left="0"/>
              <w:jc w:val="center"/>
              <w:textAlignment w:val="auto"/>
              <w:rPr>
                <w:rFonts w:hint="eastAsia" w:ascii="宋体" w:hAnsi="宋体" w:eastAsia="宋体" w:cs="宋体"/>
                <w:color w:val="auto"/>
                <w:spacing w:val="18"/>
                <w:sz w:val="24"/>
                <w:highlight w:val="none"/>
              </w:rPr>
            </w:pPr>
            <w:r>
              <w:rPr>
                <w:rFonts w:hint="eastAsia" w:ascii="宋体" w:hAnsi="宋体" w:eastAsia="宋体" w:cs="宋体"/>
                <w:color w:val="auto"/>
                <w:spacing w:val="18"/>
                <w:sz w:val="24"/>
                <w:highlight w:val="none"/>
              </w:rPr>
              <w:t>……</w:t>
            </w:r>
          </w:p>
        </w:tc>
        <w:tc>
          <w:tcPr>
            <w:tcW w:w="1162" w:type="pct"/>
            <w:noWrap w:val="0"/>
            <w:vAlign w:val="center"/>
          </w:tcPr>
          <w:p w14:paraId="5624636F">
            <w:pPr>
              <w:keepNext w:val="0"/>
              <w:keepLines w:val="0"/>
              <w:pageBreakBefore w:val="0"/>
              <w:widowControl w:val="0"/>
              <w:kinsoku/>
              <w:wordWrap/>
              <w:overflowPunct/>
              <w:topLinePunct w:val="0"/>
              <w:autoSpaceDE/>
              <w:autoSpaceDN/>
              <w:bidi w:val="0"/>
              <w:adjustRightInd/>
              <w:snapToGrid/>
              <w:spacing w:line="274" w:lineRule="exact"/>
              <w:ind w:left="0" w:firstLine="1932" w:firstLineChars="700"/>
              <w:jc w:val="center"/>
              <w:textAlignment w:val="auto"/>
              <w:rPr>
                <w:rFonts w:hint="eastAsia" w:ascii="宋体" w:hAnsi="宋体" w:eastAsia="宋体" w:cs="宋体"/>
                <w:color w:val="auto"/>
                <w:spacing w:val="18"/>
                <w:sz w:val="24"/>
                <w:highlight w:val="none"/>
              </w:rPr>
            </w:pPr>
          </w:p>
        </w:tc>
        <w:tc>
          <w:tcPr>
            <w:tcW w:w="326" w:type="pct"/>
            <w:noWrap w:val="0"/>
            <w:vAlign w:val="center"/>
          </w:tcPr>
          <w:p w14:paraId="4F9F315E">
            <w:pPr>
              <w:keepNext w:val="0"/>
              <w:keepLines w:val="0"/>
              <w:pageBreakBefore w:val="0"/>
              <w:widowControl w:val="0"/>
              <w:kinsoku/>
              <w:wordWrap/>
              <w:overflowPunct/>
              <w:topLinePunct w:val="0"/>
              <w:autoSpaceDE/>
              <w:autoSpaceDN/>
              <w:bidi w:val="0"/>
              <w:adjustRightInd/>
              <w:snapToGrid/>
              <w:spacing w:line="274" w:lineRule="exact"/>
              <w:ind w:left="0" w:firstLine="1932" w:firstLineChars="700"/>
              <w:jc w:val="center"/>
              <w:textAlignment w:val="auto"/>
              <w:rPr>
                <w:rFonts w:hint="eastAsia" w:ascii="宋体" w:hAnsi="宋体" w:eastAsia="宋体" w:cs="宋体"/>
                <w:color w:val="auto"/>
                <w:spacing w:val="18"/>
                <w:sz w:val="24"/>
                <w:highlight w:val="none"/>
              </w:rPr>
            </w:pPr>
          </w:p>
        </w:tc>
        <w:tc>
          <w:tcPr>
            <w:tcW w:w="468" w:type="pct"/>
            <w:noWrap w:val="0"/>
            <w:vAlign w:val="center"/>
          </w:tcPr>
          <w:p w14:paraId="1507929D">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z w:val="24"/>
                <w:highlight w:val="none"/>
              </w:rPr>
            </w:pPr>
          </w:p>
        </w:tc>
        <w:tc>
          <w:tcPr>
            <w:tcW w:w="450" w:type="pct"/>
            <w:noWrap w:val="0"/>
            <w:vAlign w:val="center"/>
          </w:tcPr>
          <w:p w14:paraId="14516CB1">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z w:val="24"/>
                <w:highlight w:val="none"/>
              </w:rPr>
            </w:pPr>
          </w:p>
        </w:tc>
        <w:tc>
          <w:tcPr>
            <w:tcW w:w="497" w:type="pct"/>
            <w:noWrap w:val="0"/>
            <w:vAlign w:val="center"/>
          </w:tcPr>
          <w:p w14:paraId="1FF9FF1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c>
          <w:tcPr>
            <w:tcW w:w="562" w:type="pct"/>
            <w:noWrap w:val="0"/>
            <w:vAlign w:val="center"/>
          </w:tcPr>
          <w:p w14:paraId="37E106F0">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r>
      <w:tr w14:paraId="6528A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304" w:type="pct"/>
            <w:noWrap w:val="0"/>
            <w:vAlign w:val="center"/>
          </w:tcPr>
          <w:p w14:paraId="34A3A962">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n</w:t>
            </w:r>
          </w:p>
        </w:tc>
        <w:tc>
          <w:tcPr>
            <w:tcW w:w="1228" w:type="pct"/>
            <w:noWrap w:val="0"/>
            <w:vAlign w:val="center"/>
          </w:tcPr>
          <w:p w14:paraId="5F9EB585">
            <w:pPr>
              <w:keepNext w:val="0"/>
              <w:keepLines w:val="0"/>
              <w:pageBreakBefore w:val="0"/>
              <w:widowControl w:val="0"/>
              <w:kinsoku/>
              <w:wordWrap/>
              <w:overflowPunct/>
              <w:topLinePunct w:val="0"/>
              <w:autoSpaceDE/>
              <w:autoSpaceDN/>
              <w:bidi w:val="0"/>
              <w:adjustRightInd/>
              <w:snapToGrid/>
              <w:spacing w:line="274" w:lineRule="exact"/>
              <w:ind w:left="0"/>
              <w:jc w:val="center"/>
              <w:textAlignment w:val="auto"/>
              <w:rPr>
                <w:rFonts w:hint="eastAsia" w:ascii="宋体" w:hAnsi="宋体" w:eastAsia="宋体" w:cs="宋体"/>
                <w:color w:val="auto"/>
                <w:spacing w:val="18"/>
                <w:sz w:val="24"/>
                <w:highlight w:val="none"/>
              </w:rPr>
            </w:pPr>
            <w:r>
              <w:rPr>
                <w:rFonts w:hint="eastAsia" w:ascii="宋体" w:hAnsi="宋体" w:eastAsia="宋体" w:cs="宋体"/>
                <w:color w:val="auto"/>
                <w:spacing w:val="18"/>
                <w:sz w:val="24"/>
                <w:highlight w:val="none"/>
              </w:rPr>
              <w:t>……</w:t>
            </w:r>
          </w:p>
        </w:tc>
        <w:tc>
          <w:tcPr>
            <w:tcW w:w="1162" w:type="pct"/>
            <w:noWrap w:val="0"/>
            <w:vAlign w:val="center"/>
          </w:tcPr>
          <w:p w14:paraId="31248E56">
            <w:pPr>
              <w:keepNext w:val="0"/>
              <w:keepLines w:val="0"/>
              <w:pageBreakBefore w:val="0"/>
              <w:widowControl w:val="0"/>
              <w:kinsoku/>
              <w:wordWrap/>
              <w:overflowPunct/>
              <w:topLinePunct w:val="0"/>
              <w:autoSpaceDE/>
              <w:autoSpaceDN/>
              <w:bidi w:val="0"/>
              <w:adjustRightInd/>
              <w:snapToGrid/>
              <w:spacing w:line="274" w:lineRule="exact"/>
              <w:ind w:left="0" w:firstLine="1932" w:firstLineChars="700"/>
              <w:jc w:val="center"/>
              <w:textAlignment w:val="auto"/>
              <w:rPr>
                <w:rFonts w:hint="eastAsia" w:ascii="宋体" w:hAnsi="宋体" w:eastAsia="宋体" w:cs="宋体"/>
                <w:color w:val="auto"/>
                <w:spacing w:val="18"/>
                <w:sz w:val="24"/>
                <w:highlight w:val="none"/>
              </w:rPr>
            </w:pPr>
          </w:p>
        </w:tc>
        <w:tc>
          <w:tcPr>
            <w:tcW w:w="326" w:type="pct"/>
            <w:noWrap w:val="0"/>
            <w:vAlign w:val="center"/>
          </w:tcPr>
          <w:p w14:paraId="48D9E34E">
            <w:pPr>
              <w:keepNext w:val="0"/>
              <w:keepLines w:val="0"/>
              <w:pageBreakBefore w:val="0"/>
              <w:widowControl w:val="0"/>
              <w:kinsoku/>
              <w:wordWrap/>
              <w:overflowPunct/>
              <w:topLinePunct w:val="0"/>
              <w:autoSpaceDE/>
              <w:autoSpaceDN/>
              <w:bidi w:val="0"/>
              <w:adjustRightInd/>
              <w:snapToGrid/>
              <w:spacing w:line="274" w:lineRule="exact"/>
              <w:ind w:left="0" w:firstLine="1932" w:firstLineChars="700"/>
              <w:jc w:val="center"/>
              <w:textAlignment w:val="auto"/>
              <w:rPr>
                <w:rFonts w:hint="eastAsia" w:ascii="宋体" w:hAnsi="宋体" w:eastAsia="宋体" w:cs="宋体"/>
                <w:color w:val="auto"/>
                <w:spacing w:val="18"/>
                <w:sz w:val="24"/>
                <w:highlight w:val="none"/>
              </w:rPr>
            </w:pPr>
          </w:p>
        </w:tc>
        <w:tc>
          <w:tcPr>
            <w:tcW w:w="468" w:type="pct"/>
            <w:noWrap w:val="0"/>
            <w:vAlign w:val="center"/>
          </w:tcPr>
          <w:p w14:paraId="14CCFDC5">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color w:val="auto"/>
                <w:sz w:val="24"/>
                <w:highlight w:val="none"/>
              </w:rPr>
            </w:pPr>
          </w:p>
        </w:tc>
        <w:tc>
          <w:tcPr>
            <w:tcW w:w="450" w:type="pct"/>
            <w:noWrap w:val="0"/>
            <w:vAlign w:val="center"/>
          </w:tcPr>
          <w:p w14:paraId="5655CE28">
            <w:pPr>
              <w:keepNext w:val="0"/>
              <w:keepLines w:val="0"/>
              <w:pageBreakBefore w:val="0"/>
              <w:widowControl w:val="0"/>
              <w:kinsoku/>
              <w:wordWrap/>
              <w:overflowPunct/>
              <w:topLinePunct w:val="0"/>
              <w:autoSpaceDE/>
              <w:autoSpaceDN/>
              <w:bidi w:val="0"/>
              <w:adjustRightInd/>
              <w:snapToGrid/>
              <w:spacing w:line="195" w:lineRule="auto"/>
              <w:ind w:left="0"/>
              <w:jc w:val="center"/>
              <w:textAlignment w:val="auto"/>
              <w:rPr>
                <w:rFonts w:hint="eastAsia" w:ascii="宋体" w:hAnsi="宋体" w:eastAsia="宋体" w:cs="宋体"/>
                <w:color w:val="auto"/>
                <w:sz w:val="24"/>
                <w:highlight w:val="none"/>
              </w:rPr>
            </w:pPr>
          </w:p>
        </w:tc>
        <w:tc>
          <w:tcPr>
            <w:tcW w:w="497" w:type="pct"/>
            <w:noWrap w:val="0"/>
            <w:vAlign w:val="center"/>
          </w:tcPr>
          <w:p w14:paraId="61A5E7E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c>
          <w:tcPr>
            <w:tcW w:w="562" w:type="pct"/>
            <w:noWrap w:val="0"/>
            <w:vAlign w:val="center"/>
          </w:tcPr>
          <w:p w14:paraId="0424CEA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4"/>
                <w:highlight w:val="none"/>
              </w:rPr>
            </w:pPr>
          </w:p>
        </w:tc>
      </w:tr>
      <w:tr w14:paraId="75E1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32" w:type="pct"/>
            <w:gridSpan w:val="2"/>
            <w:noWrap w:val="0"/>
            <w:vAlign w:val="center"/>
          </w:tcPr>
          <w:p w14:paraId="545DAF12">
            <w:pPr>
              <w:keepNext w:val="0"/>
              <w:keepLines w:val="0"/>
              <w:pageBreakBefore w:val="0"/>
              <w:widowControl w:val="0"/>
              <w:kinsoku/>
              <w:wordWrap/>
              <w:overflowPunct/>
              <w:topLinePunct w:val="0"/>
              <w:autoSpaceDE/>
              <w:autoSpaceDN/>
              <w:bidi w:val="0"/>
              <w:adjustRightInd/>
              <w:snapToGrid/>
              <w:spacing w:line="275" w:lineRule="exact"/>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pacing w:val="12"/>
                <w:position w:val="1"/>
                <w:sz w:val="24"/>
                <w:highlight w:val="none"/>
              </w:rPr>
              <w:t>投</w:t>
            </w:r>
            <w:r>
              <w:rPr>
                <w:rFonts w:hint="eastAsia" w:ascii="宋体" w:hAnsi="宋体" w:eastAsia="宋体" w:cs="宋体"/>
                <w:color w:val="auto"/>
                <w:spacing w:val="11"/>
                <w:position w:val="1"/>
                <w:sz w:val="24"/>
                <w:highlight w:val="none"/>
              </w:rPr>
              <w:t>标</w:t>
            </w:r>
            <w:r>
              <w:rPr>
                <w:rFonts w:hint="eastAsia" w:ascii="宋体" w:hAnsi="宋体" w:eastAsia="宋体" w:cs="宋体"/>
                <w:color w:val="auto"/>
                <w:spacing w:val="6"/>
                <w:position w:val="1"/>
                <w:sz w:val="24"/>
                <w:highlight w:val="none"/>
              </w:rPr>
              <w:t xml:space="preserve">报价总计 </w:t>
            </w:r>
          </w:p>
        </w:tc>
        <w:tc>
          <w:tcPr>
            <w:tcW w:w="3467" w:type="pct"/>
            <w:gridSpan w:val="6"/>
            <w:noWrap w:val="0"/>
            <w:vAlign w:val="center"/>
          </w:tcPr>
          <w:p w14:paraId="0E8BC21A">
            <w:pPr>
              <w:keepNext w:val="0"/>
              <w:keepLines w:val="0"/>
              <w:pageBreakBefore w:val="0"/>
              <w:widowControl w:val="0"/>
              <w:tabs>
                <w:tab w:val="left" w:pos="1711"/>
              </w:tabs>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r>
    </w:tbl>
    <w:p w14:paraId="00669B2B">
      <w:pPr>
        <w:spacing w:line="360" w:lineRule="auto"/>
        <w:contextualSpacing/>
        <w:jc w:val="left"/>
        <w:rPr>
          <w:rFonts w:hint="eastAsia" w:ascii="宋体" w:eastAsia="宋体" w:cs="宋体"/>
          <w:color w:val="auto"/>
          <w:sz w:val="24"/>
          <w:highlight w:val="none"/>
          <w:lang w:bidi="ar-SA"/>
        </w:rPr>
      </w:pPr>
    </w:p>
    <w:p w14:paraId="3DC40CEF">
      <w:pPr>
        <w:spacing w:line="360" w:lineRule="auto"/>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注: </w:t>
      </w:r>
    </w:p>
    <w:p w14:paraId="2A6396BF">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1.供应商的报价表必须加盖供应商公章并由法定代表人签字或盖章或者委托代理人签字，</w:t>
      </w:r>
      <w:r>
        <w:rPr>
          <w:rFonts w:hint="eastAsia" w:ascii="宋体" w:eastAsia="宋体" w:cs="宋体"/>
          <w:b/>
          <w:color w:val="auto"/>
          <w:sz w:val="24"/>
          <w:highlight w:val="none"/>
          <w:lang w:bidi="ar-SA"/>
        </w:rPr>
        <w:t>否则其响应文件按无效响应处理</w:t>
      </w:r>
      <w:r>
        <w:rPr>
          <w:rFonts w:hint="eastAsia" w:ascii="宋体" w:eastAsia="宋体" w:cs="宋体"/>
          <w:color w:val="auto"/>
          <w:sz w:val="24"/>
          <w:highlight w:val="none"/>
          <w:lang w:bidi="ar-SA"/>
        </w:rPr>
        <w:t>。</w:t>
      </w:r>
    </w:p>
    <w:p w14:paraId="7740BEDC">
      <w:pPr>
        <w:spacing w:line="360" w:lineRule="auto"/>
        <w:ind w:firstLine="480" w:firstLineChars="200"/>
        <w:contextualSpacing/>
        <w:jc w:val="left"/>
        <w:rPr>
          <w:rFonts w:hint="eastAsia" w:ascii="宋体" w:eastAsia="宋体" w:cs="宋体"/>
          <w:b/>
          <w:color w:val="auto"/>
          <w:sz w:val="24"/>
          <w:highlight w:val="none"/>
          <w:lang w:bidi="ar-SA"/>
        </w:rPr>
      </w:pPr>
      <w:r>
        <w:rPr>
          <w:rFonts w:hint="eastAsia" w:ascii="宋体" w:eastAsia="宋体" w:cs="宋体"/>
          <w:bCs/>
          <w:color w:val="auto"/>
          <w:sz w:val="24"/>
          <w:highlight w:val="none"/>
          <w:lang w:bidi="ar-SA"/>
        </w:rPr>
        <w:t>2.</w:t>
      </w:r>
      <w:r>
        <w:rPr>
          <w:rFonts w:hint="eastAsia" w:ascii="宋体" w:eastAsia="宋体" w:cs="宋体"/>
          <w:color w:val="auto"/>
          <w:sz w:val="24"/>
          <w:highlight w:val="none"/>
          <w:lang w:bidi="ar-SA"/>
        </w:rPr>
        <w:t>报价一经涂改，应在涂改处加盖供应商公章或者由法定代表人签字或盖章或者委托代理人签字</w:t>
      </w:r>
      <w:r>
        <w:rPr>
          <w:rFonts w:hint="eastAsia" w:ascii="宋体" w:eastAsia="宋体" w:cs="宋体"/>
          <w:b/>
          <w:color w:val="auto"/>
          <w:sz w:val="24"/>
          <w:highlight w:val="none"/>
          <w:lang w:bidi="ar-SA"/>
        </w:rPr>
        <w:t>，否则其响应文件按无效响应处理。</w:t>
      </w:r>
    </w:p>
    <w:p w14:paraId="67278811">
      <w:pPr>
        <w:spacing w:line="360" w:lineRule="auto"/>
        <w:ind w:firstLine="480" w:firstLineChars="200"/>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3.如为联合体竞标，“供应商名称”处必须列明联合体各方名称，</w:t>
      </w:r>
      <w:r>
        <w:rPr>
          <w:rFonts w:hint="eastAsia" w:ascii="宋体" w:eastAsia="宋体" w:cs="宋体"/>
          <w:b/>
          <w:color w:val="auto"/>
          <w:sz w:val="24"/>
          <w:highlight w:val="none"/>
          <w:lang w:bidi="ar-SA"/>
        </w:rPr>
        <w:t>否则其响应文件按无效响应处理。</w:t>
      </w:r>
    </w:p>
    <w:p w14:paraId="32BFBEC8">
      <w:pPr>
        <w:spacing w:line="360" w:lineRule="auto"/>
        <w:ind w:firstLine="480" w:firstLineChars="200"/>
        <w:contextualSpacing/>
        <w:rPr>
          <w:rFonts w:hint="eastAsia" w:ascii="宋体" w:eastAsia="宋体" w:cs="宋体"/>
          <w:b/>
          <w:color w:val="auto"/>
          <w:spacing w:val="-6"/>
          <w:sz w:val="24"/>
          <w:highlight w:val="none"/>
          <w:lang w:bidi="ar-SA"/>
        </w:rPr>
      </w:pPr>
      <w:r>
        <w:rPr>
          <w:rFonts w:hint="eastAsia" w:ascii="宋体" w:eastAsia="宋体" w:cs="宋体"/>
          <w:color w:val="auto"/>
          <w:sz w:val="24"/>
          <w:highlight w:val="none"/>
          <w:lang w:bidi="ar-SA"/>
        </w:rPr>
        <w:t>4.如为联合体竞标，盖章处须加盖联合体牵头人公章并由联合体牵头人法定代表人或其委托代理人签署，</w:t>
      </w:r>
      <w:bookmarkStart w:id="42" w:name="_Hlk65851776"/>
      <w:r>
        <w:rPr>
          <w:rFonts w:hint="eastAsia" w:ascii="宋体" w:eastAsia="宋体" w:cs="宋体"/>
          <w:b/>
          <w:color w:val="auto"/>
          <w:sz w:val="24"/>
          <w:highlight w:val="none"/>
          <w:lang w:bidi="ar-SA"/>
        </w:rPr>
        <w:t>否则其响应文件按无效响应处理</w:t>
      </w:r>
      <w:bookmarkEnd w:id="42"/>
      <w:r>
        <w:rPr>
          <w:rFonts w:hint="eastAsia" w:ascii="宋体" w:eastAsia="宋体" w:cs="宋体"/>
          <w:b/>
          <w:color w:val="auto"/>
          <w:spacing w:val="-6"/>
          <w:sz w:val="24"/>
          <w:highlight w:val="none"/>
          <w:lang w:bidi="ar-SA"/>
        </w:rPr>
        <w:t>。</w:t>
      </w:r>
    </w:p>
    <w:p w14:paraId="19DC82EA">
      <w:pPr>
        <w:spacing w:line="360" w:lineRule="auto"/>
        <w:ind w:firstLine="458" w:firstLineChars="200"/>
        <w:contextualSpacing/>
        <w:rPr>
          <w:rFonts w:hint="default" w:ascii="宋体" w:eastAsia="宋体" w:cs="宋体"/>
          <w:color w:val="auto"/>
          <w:sz w:val="24"/>
          <w:highlight w:val="none"/>
          <w:lang w:val="en-US" w:eastAsia="zh-CN" w:bidi="ar-SA"/>
        </w:rPr>
      </w:pPr>
      <w:r>
        <w:rPr>
          <w:rFonts w:hint="eastAsia" w:ascii="宋体" w:cs="宋体"/>
          <w:b/>
          <w:color w:val="auto"/>
          <w:spacing w:val="-6"/>
          <w:sz w:val="24"/>
          <w:highlight w:val="none"/>
          <w:lang w:val="en-US" w:eastAsia="zh-CN" w:bidi="ar-SA"/>
        </w:rPr>
        <w:t>5.</w:t>
      </w:r>
      <w:r>
        <w:rPr>
          <w:rFonts w:hint="eastAsia" w:ascii="宋体" w:hAnsi="宋体" w:eastAsia="宋体" w:cs="宋体"/>
          <w:color w:val="auto"/>
          <w:sz w:val="24"/>
          <w:highlight w:val="none"/>
        </w:rPr>
        <w:t>如标的属于服务类的，规格型号可填写为“定制”，如标的属于货物类的，规格型号按实际填写。</w:t>
      </w:r>
    </w:p>
    <w:p w14:paraId="69F6DA58">
      <w:pPr>
        <w:spacing w:line="360" w:lineRule="auto"/>
        <w:ind w:right="-817" w:rightChars="-389"/>
        <w:contextualSpacing/>
        <w:rPr>
          <w:rFonts w:hint="eastAsia" w:ascii="宋体" w:eastAsia="宋体" w:cs="宋体"/>
          <w:color w:val="auto"/>
          <w:sz w:val="24"/>
          <w:highlight w:val="none"/>
          <w:lang w:bidi="ar-SA"/>
        </w:rPr>
      </w:pPr>
    </w:p>
    <w:p w14:paraId="6DBA0138">
      <w:pPr>
        <w:spacing w:line="360" w:lineRule="auto"/>
        <w:ind w:right="-817" w:rightChars="-389" w:firstLine="2640" w:firstLineChars="11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法定代表人（签字或盖章）或者委托代理人（签字）：                    </w:t>
      </w:r>
    </w:p>
    <w:p w14:paraId="3BC812AC">
      <w:pPr>
        <w:spacing w:line="360" w:lineRule="auto"/>
        <w:ind w:right="-817" w:rightChars="-389" w:firstLine="2640" w:firstLineChars="11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供应商（盖公章）：      </w:t>
      </w:r>
    </w:p>
    <w:p w14:paraId="0FEAB93F">
      <w:pPr>
        <w:spacing w:line="360" w:lineRule="auto"/>
        <w:ind w:right="-817" w:rightChars="-389" w:firstLine="4080" w:firstLineChars="1700"/>
        <w:contextualSpacing/>
        <w:rPr>
          <w:rFonts w:hint="eastAsia" w:ascii="宋体" w:eastAsia="宋体" w:cs="宋体"/>
          <w:b/>
          <w:color w:val="auto"/>
          <w:sz w:val="24"/>
          <w:highlight w:val="none"/>
          <w:lang w:bidi="ar-SA"/>
        </w:rPr>
      </w:pPr>
      <w:r>
        <w:rPr>
          <w:rFonts w:hint="eastAsia" w:ascii="宋体" w:eastAsia="宋体" w:cs="宋体"/>
          <w:color w:val="auto"/>
          <w:sz w:val="24"/>
          <w:highlight w:val="none"/>
          <w:lang w:bidi="ar-SA"/>
        </w:rPr>
        <w:t>日期：   年   月   日</w:t>
      </w:r>
    </w:p>
    <w:p w14:paraId="74A7A9E7">
      <w:pPr>
        <w:snapToGrid w:val="0"/>
        <w:spacing w:before="50" w:after="50"/>
        <w:jc w:val="center"/>
        <w:rPr>
          <w:rFonts w:hint="eastAsia" w:ascii="宋体" w:eastAsia="宋体" w:cs="宋体"/>
          <w:b/>
          <w:color w:val="auto"/>
          <w:sz w:val="30"/>
          <w:highlight w:val="none"/>
          <w:lang w:bidi="ar-SA"/>
        </w:rPr>
      </w:pPr>
    </w:p>
    <w:p w14:paraId="2A097219">
      <w:pPr>
        <w:pStyle w:val="30"/>
        <w:rPr>
          <w:rFonts w:hint="eastAsia" w:ascii="宋体" w:eastAsia="宋体" w:cs="宋体"/>
          <w:b/>
          <w:color w:val="auto"/>
          <w:sz w:val="30"/>
          <w:highlight w:val="none"/>
          <w:lang w:bidi="ar-SA"/>
        </w:rPr>
      </w:pPr>
    </w:p>
    <w:p w14:paraId="3B6C76EC">
      <w:pPr>
        <w:rPr>
          <w:rFonts w:hint="eastAsia" w:ascii="宋体" w:eastAsia="宋体" w:cs="宋体"/>
          <w:b/>
          <w:color w:val="auto"/>
          <w:sz w:val="30"/>
          <w:highlight w:val="none"/>
          <w:lang w:bidi="ar-SA"/>
        </w:rPr>
      </w:pPr>
    </w:p>
    <w:p w14:paraId="58206B88">
      <w:pPr>
        <w:pStyle w:val="30"/>
        <w:rPr>
          <w:rFonts w:hint="eastAsia" w:ascii="宋体" w:eastAsia="宋体" w:cs="宋体"/>
          <w:b/>
          <w:color w:val="auto"/>
          <w:sz w:val="30"/>
          <w:highlight w:val="none"/>
          <w:lang w:bidi="ar-SA"/>
        </w:rPr>
      </w:pPr>
    </w:p>
    <w:p w14:paraId="7C841501">
      <w:pPr>
        <w:rPr>
          <w:rFonts w:hint="eastAsia"/>
          <w:color w:val="auto"/>
          <w:highlight w:val="none"/>
        </w:rPr>
      </w:pPr>
    </w:p>
    <w:p w14:paraId="7F41742D">
      <w:pPr>
        <w:spacing w:before="312" w:after="156" w:line="520" w:lineRule="exact"/>
        <w:ind w:left="540"/>
        <w:jc w:val="center"/>
        <w:rPr>
          <w:rFonts w:hint="eastAsia" w:ascii="宋体" w:eastAsia="宋体" w:cs="宋体"/>
          <w:color w:val="auto"/>
          <w:sz w:val="32"/>
          <w:szCs w:val="32"/>
          <w:highlight w:val="none"/>
          <w:lang w:bidi="ar-SA"/>
        </w:rPr>
      </w:pPr>
      <w:r>
        <w:rPr>
          <w:rFonts w:hint="eastAsia" w:ascii="宋体" w:eastAsia="宋体" w:cs="宋体"/>
          <w:bCs/>
          <w:color w:val="auto"/>
          <w:sz w:val="44"/>
          <w:szCs w:val="44"/>
          <w:highlight w:val="none"/>
          <w:lang w:bidi="ar-SA"/>
        </w:rPr>
        <w:t>法定代表人身份证明</w:t>
      </w:r>
    </w:p>
    <w:p w14:paraId="2B2DA913">
      <w:pPr>
        <w:spacing w:line="360" w:lineRule="auto"/>
        <w:ind w:left="540"/>
        <w:contextualSpacing/>
        <w:rPr>
          <w:rFonts w:hint="eastAsia" w:ascii="宋体" w:eastAsia="宋体" w:cs="宋体"/>
          <w:color w:val="auto"/>
          <w:sz w:val="32"/>
          <w:szCs w:val="32"/>
          <w:highlight w:val="none"/>
          <w:lang w:bidi="ar-SA"/>
        </w:rPr>
      </w:pPr>
    </w:p>
    <w:p w14:paraId="48F9F0E0">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供应商名称：</w:t>
      </w:r>
      <w:r>
        <w:rPr>
          <w:rFonts w:hint="eastAsia" w:ascii="宋体" w:eastAsia="宋体" w:cs="宋体"/>
          <w:color w:val="auto"/>
          <w:sz w:val="24"/>
          <w:highlight w:val="none"/>
          <w:u w:val="single"/>
          <w:lang w:bidi="ar-SA"/>
        </w:rPr>
        <w:t xml:space="preserve">                                                        </w:t>
      </w:r>
    </w:p>
    <w:p w14:paraId="0177592F">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地    址：</w:t>
      </w:r>
      <w:r>
        <w:rPr>
          <w:rFonts w:hint="eastAsia" w:ascii="宋体" w:eastAsia="宋体" w:cs="宋体"/>
          <w:color w:val="auto"/>
          <w:sz w:val="24"/>
          <w:highlight w:val="none"/>
          <w:u w:val="single"/>
          <w:lang w:bidi="ar-SA"/>
        </w:rPr>
        <w:t xml:space="preserve">                                                        </w:t>
      </w:r>
    </w:p>
    <w:p w14:paraId="49EE75A4">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姓    名：</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性     别：</w:t>
      </w:r>
      <w:r>
        <w:rPr>
          <w:rFonts w:hint="eastAsia" w:ascii="宋体" w:eastAsia="宋体" w:cs="宋体"/>
          <w:color w:val="auto"/>
          <w:sz w:val="24"/>
          <w:highlight w:val="none"/>
          <w:u w:val="single"/>
          <w:lang w:bidi="ar-SA"/>
        </w:rPr>
        <w:t xml:space="preserve">                </w:t>
      </w:r>
    </w:p>
    <w:p w14:paraId="120337CB">
      <w:pPr>
        <w:spacing w:line="360" w:lineRule="auto"/>
        <w:ind w:left="540"/>
        <w:contextualSpacing/>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年    龄：</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职     务：</w:t>
      </w:r>
      <w:r>
        <w:rPr>
          <w:rFonts w:hint="eastAsia" w:ascii="宋体" w:eastAsia="宋体" w:cs="宋体"/>
          <w:color w:val="auto"/>
          <w:sz w:val="24"/>
          <w:highlight w:val="none"/>
          <w:u w:val="single"/>
          <w:lang w:bidi="ar-SA"/>
        </w:rPr>
        <w:t xml:space="preserve">                </w:t>
      </w:r>
    </w:p>
    <w:p w14:paraId="6704D0B0">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身份证号码：</w:t>
      </w:r>
      <w:r>
        <w:rPr>
          <w:rFonts w:hint="eastAsia" w:ascii="宋体" w:eastAsia="宋体" w:cs="宋体"/>
          <w:color w:val="auto"/>
          <w:sz w:val="24"/>
          <w:highlight w:val="none"/>
          <w:u w:val="single"/>
          <w:lang w:bidi="ar-SA"/>
        </w:rPr>
        <w:t xml:space="preserve">                                        </w:t>
      </w:r>
    </w:p>
    <w:p w14:paraId="0085AC4D">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系</w:t>
      </w:r>
      <w:r>
        <w:rPr>
          <w:rFonts w:hint="eastAsia" w:ascii="宋体" w:eastAsia="宋体" w:cs="宋体"/>
          <w:color w:val="auto"/>
          <w:sz w:val="24"/>
          <w:highlight w:val="none"/>
          <w:u w:val="single"/>
          <w:lang w:bidi="ar-SA"/>
        </w:rPr>
        <w:t>（供应商名称）</w:t>
      </w:r>
      <w:r>
        <w:rPr>
          <w:rFonts w:hint="eastAsia" w:ascii="宋体" w:eastAsia="宋体" w:cs="宋体"/>
          <w:color w:val="auto"/>
          <w:sz w:val="24"/>
          <w:highlight w:val="none"/>
          <w:lang w:bidi="ar-SA"/>
        </w:rPr>
        <w:t>的法定代表人。</w:t>
      </w:r>
    </w:p>
    <w:p w14:paraId="71092B62">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特此证明。</w:t>
      </w:r>
    </w:p>
    <w:p w14:paraId="220C6B82">
      <w:pPr>
        <w:spacing w:line="360" w:lineRule="auto"/>
        <w:ind w:left="540"/>
        <w:contextualSpacing/>
        <w:rPr>
          <w:rFonts w:hint="eastAsia" w:ascii="宋体" w:eastAsia="宋体" w:cs="宋体"/>
          <w:color w:val="auto"/>
          <w:sz w:val="24"/>
          <w:highlight w:val="none"/>
          <w:lang w:bidi="ar-SA"/>
        </w:rPr>
      </w:pPr>
    </w:p>
    <w:p w14:paraId="4C431F32">
      <w:pPr>
        <w:spacing w:line="360" w:lineRule="auto"/>
        <w:ind w:left="540"/>
        <w:contextualSpacing/>
        <w:rPr>
          <w:rFonts w:hint="eastAsia" w:ascii="宋体" w:eastAsia="宋体" w:cs="宋体"/>
          <w:color w:val="auto"/>
          <w:sz w:val="24"/>
          <w:highlight w:val="none"/>
          <w:lang w:bidi="ar-SA"/>
        </w:rPr>
      </w:pPr>
    </w:p>
    <w:p w14:paraId="0B0155FC">
      <w:pPr>
        <w:spacing w:line="360" w:lineRule="auto"/>
        <w:ind w:left="540"/>
        <w:contextualSpacing/>
        <w:rPr>
          <w:rFonts w:hint="eastAsia" w:ascii="宋体" w:eastAsia="宋体" w:cs="宋体"/>
          <w:color w:val="auto"/>
          <w:sz w:val="24"/>
          <w:highlight w:val="none"/>
          <w:lang w:bidi="ar-SA"/>
        </w:rPr>
      </w:pPr>
    </w:p>
    <w:p w14:paraId="3696A81B">
      <w:pPr>
        <w:spacing w:line="360" w:lineRule="auto"/>
        <w:ind w:left="54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附件：法定代表人有效身份证正反面复印件</w:t>
      </w:r>
    </w:p>
    <w:p w14:paraId="64E56F03">
      <w:pPr>
        <w:spacing w:line="360" w:lineRule="auto"/>
        <w:ind w:left="540"/>
        <w:contextualSpacing/>
        <w:rPr>
          <w:rFonts w:hint="eastAsia" w:ascii="宋体" w:eastAsia="宋体" w:cs="宋体"/>
          <w:color w:val="auto"/>
          <w:sz w:val="24"/>
          <w:highlight w:val="none"/>
          <w:lang w:bidi="ar-SA"/>
        </w:rPr>
      </w:pPr>
    </w:p>
    <w:p w14:paraId="014C7DB2">
      <w:pPr>
        <w:spacing w:line="360" w:lineRule="auto"/>
        <w:ind w:left="540"/>
        <w:contextualSpacing/>
        <w:jc w:val="righ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供应商（盖公章）：</w:t>
      </w:r>
      <w:r>
        <w:rPr>
          <w:rFonts w:hint="eastAsia" w:ascii="宋体" w:eastAsia="宋体" w:cs="宋体"/>
          <w:color w:val="auto"/>
          <w:sz w:val="24"/>
          <w:highlight w:val="none"/>
          <w:u w:val="single"/>
          <w:lang w:bidi="ar-SA"/>
        </w:rPr>
        <w:t xml:space="preserve">               </w:t>
      </w:r>
    </w:p>
    <w:p w14:paraId="5DAFDADF">
      <w:pPr>
        <w:spacing w:line="360" w:lineRule="auto"/>
        <w:ind w:firstLine="6720" w:firstLineChars="2800"/>
        <w:contextualSpacing/>
        <w:rPr>
          <w:rFonts w:hint="eastAsia" w:ascii="宋体" w:eastAsia="宋体" w:cs="宋体"/>
          <w:color w:val="auto"/>
          <w:sz w:val="24"/>
          <w:highlight w:val="none"/>
          <w:lang w:bidi="ar-SA"/>
        </w:rPr>
      </w:pP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年</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月</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日</w:t>
      </w:r>
    </w:p>
    <w:p w14:paraId="656580D9">
      <w:pPr>
        <w:spacing w:line="360" w:lineRule="auto"/>
        <w:contextualSpacing/>
        <w:jc w:val="center"/>
        <w:rPr>
          <w:rFonts w:hint="eastAsia" w:ascii="宋体" w:eastAsia="宋体" w:cs="宋体"/>
          <w:b/>
          <w:color w:val="auto"/>
          <w:sz w:val="24"/>
          <w:highlight w:val="none"/>
          <w:lang w:bidi="ar-SA"/>
        </w:rPr>
      </w:pPr>
    </w:p>
    <w:p w14:paraId="3E4B358E">
      <w:pPr>
        <w:spacing w:line="360" w:lineRule="auto"/>
        <w:contextualSpacing/>
        <w:jc w:val="left"/>
        <w:rPr>
          <w:rFonts w:hint="eastAsia" w:ascii="宋体" w:eastAsia="宋体" w:cs="宋体"/>
          <w:color w:val="auto"/>
          <w:sz w:val="24"/>
          <w:highlight w:val="none"/>
          <w:lang w:bidi="ar-SA"/>
        </w:rPr>
      </w:pPr>
    </w:p>
    <w:p w14:paraId="12CE68BF">
      <w:pPr>
        <w:spacing w:line="360" w:lineRule="auto"/>
        <w:contextualSpacing/>
        <w:jc w:val="left"/>
        <w:rPr>
          <w:rFonts w:hint="eastAsia" w:ascii="宋体" w:eastAsia="宋体" w:cs="宋体"/>
          <w:color w:val="auto"/>
          <w:sz w:val="24"/>
          <w:highlight w:val="none"/>
          <w:lang w:bidi="ar-SA"/>
        </w:rPr>
      </w:pPr>
      <w:r>
        <w:rPr>
          <w:rFonts w:hint="eastAsia" w:ascii="宋体" w:eastAsia="宋体" w:cs="宋体"/>
          <w:b/>
          <w:bCs/>
          <w:color w:val="auto"/>
          <w:sz w:val="24"/>
          <w:highlight w:val="none"/>
          <w:lang w:bidi="ar-SA"/>
        </w:rPr>
        <w:t>注：自然人竞标的无需提供，联合体竞标的只需牵头人出具</w:t>
      </w:r>
      <w:r>
        <w:rPr>
          <w:rFonts w:hint="eastAsia" w:ascii="宋体" w:eastAsia="宋体" w:cs="宋体"/>
          <w:color w:val="auto"/>
          <w:sz w:val="24"/>
          <w:highlight w:val="none"/>
          <w:lang w:bidi="ar-SA"/>
        </w:rPr>
        <w:t>。</w:t>
      </w:r>
    </w:p>
    <w:p w14:paraId="73D8C652">
      <w:pPr>
        <w:adjustRightInd w:val="0"/>
        <w:snapToGrid w:val="0"/>
        <w:spacing w:line="300" w:lineRule="auto"/>
        <w:jc w:val="left"/>
        <w:rPr>
          <w:rFonts w:hint="eastAsia" w:ascii="宋体" w:eastAsia="宋体" w:cs="宋体"/>
          <w:b/>
          <w:color w:val="auto"/>
          <w:szCs w:val="21"/>
          <w:highlight w:val="none"/>
          <w:lang w:bidi="ar-SA"/>
        </w:rPr>
      </w:pPr>
    </w:p>
    <w:p w14:paraId="08FFF63E">
      <w:pPr>
        <w:spacing w:line="500" w:lineRule="exact"/>
        <w:jc w:val="center"/>
        <w:rPr>
          <w:rFonts w:hint="eastAsia" w:ascii="宋体" w:eastAsia="宋体" w:cs="宋体"/>
          <w:color w:val="auto"/>
          <w:sz w:val="44"/>
          <w:szCs w:val="44"/>
          <w:highlight w:val="none"/>
          <w:lang w:bidi="ar-SA"/>
        </w:rPr>
      </w:pPr>
      <w:r>
        <w:rPr>
          <w:rFonts w:hint="eastAsia" w:ascii="宋体" w:eastAsia="宋体" w:cs="宋体"/>
          <w:color w:val="auto"/>
          <w:sz w:val="44"/>
          <w:szCs w:val="44"/>
          <w:highlight w:val="none"/>
          <w:lang w:bidi="ar-SA"/>
        </w:rPr>
        <w:br w:type="page"/>
      </w:r>
      <w:r>
        <w:rPr>
          <w:rFonts w:hint="eastAsia" w:ascii="宋体" w:eastAsia="宋体" w:cs="宋体"/>
          <w:color w:val="auto"/>
          <w:sz w:val="44"/>
          <w:szCs w:val="44"/>
          <w:highlight w:val="none"/>
          <w:lang w:bidi="ar-SA"/>
        </w:rPr>
        <w:t xml:space="preserve"> </w:t>
      </w:r>
    </w:p>
    <w:p w14:paraId="3842B112">
      <w:pPr>
        <w:spacing w:line="520" w:lineRule="exact"/>
        <w:jc w:val="center"/>
        <w:rPr>
          <w:rFonts w:hint="eastAsia" w:ascii="宋体" w:eastAsia="宋体" w:cs="宋体"/>
          <w:color w:val="auto"/>
          <w:sz w:val="44"/>
          <w:szCs w:val="44"/>
          <w:highlight w:val="none"/>
          <w:lang w:bidi="ar-SA"/>
        </w:rPr>
      </w:pPr>
      <w:bookmarkStart w:id="43" w:name="_Hlk65853643"/>
      <w:r>
        <w:rPr>
          <w:rFonts w:hint="eastAsia" w:ascii="宋体" w:eastAsia="宋体" w:cs="宋体"/>
          <w:color w:val="auto"/>
          <w:sz w:val="44"/>
          <w:szCs w:val="44"/>
          <w:highlight w:val="none"/>
          <w:lang w:bidi="ar-SA"/>
        </w:rPr>
        <w:t>授权委托书</w:t>
      </w:r>
    </w:p>
    <w:p w14:paraId="3D167610">
      <w:pPr>
        <w:spacing w:line="520" w:lineRule="exact"/>
        <w:jc w:val="center"/>
        <w:rPr>
          <w:rFonts w:hint="eastAsia" w:ascii="宋体" w:eastAsia="宋体" w:cs="宋体"/>
          <w:color w:val="auto"/>
          <w:sz w:val="44"/>
          <w:szCs w:val="44"/>
          <w:highlight w:val="none"/>
          <w:lang w:bidi="ar-SA"/>
        </w:rPr>
      </w:pPr>
      <w:r>
        <w:rPr>
          <w:rFonts w:hint="eastAsia" w:ascii="宋体" w:eastAsia="宋体" w:cs="宋体"/>
          <w:color w:val="auto"/>
          <w:sz w:val="32"/>
          <w:szCs w:val="32"/>
          <w:highlight w:val="none"/>
          <w:lang w:bidi="ar-SA"/>
        </w:rPr>
        <w:t>（如有委托时）</w:t>
      </w:r>
    </w:p>
    <w:p w14:paraId="531AA8F6">
      <w:pPr>
        <w:spacing w:line="520" w:lineRule="exact"/>
        <w:rPr>
          <w:rFonts w:hint="eastAsia" w:ascii="宋体" w:eastAsia="宋体" w:cs="宋体"/>
          <w:color w:val="auto"/>
          <w:sz w:val="32"/>
          <w:szCs w:val="32"/>
          <w:highlight w:val="none"/>
          <w:lang w:bidi="ar-SA"/>
        </w:rPr>
      </w:pPr>
    </w:p>
    <w:p w14:paraId="0D2295F0">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致：</w:t>
      </w:r>
      <w:r>
        <w:rPr>
          <w:rFonts w:hint="eastAsia" w:ascii="宋体" w:eastAsia="宋体" w:cs="宋体"/>
          <w:color w:val="auto"/>
          <w:sz w:val="24"/>
          <w:highlight w:val="none"/>
          <w:u w:val="single"/>
          <w:lang w:bidi="ar-SA"/>
        </w:rPr>
        <w:t>（采购人名称）</w:t>
      </w:r>
      <w:r>
        <w:rPr>
          <w:rFonts w:hint="eastAsia" w:ascii="宋体" w:eastAsia="宋体" w:cs="宋体"/>
          <w:color w:val="auto"/>
          <w:sz w:val="24"/>
          <w:highlight w:val="none"/>
          <w:lang w:bidi="ar-SA"/>
        </w:rPr>
        <w:t>：</w:t>
      </w:r>
    </w:p>
    <w:p w14:paraId="12E9F33E">
      <w:pPr>
        <w:spacing w:line="360" w:lineRule="auto"/>
        <w:ind w:firstLine="480" w:firstLineChars="20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我</w:t>
      </w:r>
      <w:r>
        <w:rPr>
          <w:rFonts w:hint="eastAsia" w:ascii="宋体" w:eastAsia="宋体" w:cs="宋体"/>
          <w:color w:val="auto"/>
          <w:sz w:val="24"/>
          <w:highlight w:val="none"/>
          <w:u w:val="single"/>
          <w:lang w:bidi="ar-SA"/>
        </w:rPr>
        <w:t xml:space="preserve">  （姓名）  </w:t>
      </w:r>
      <w:r>
        <w:rPr>
          <w:rFonts w:hint="eastAsia" w:ascii="宋体" w:eastAsia="宋体" w:cs="宋体"/>
          <w:color w:val="auto"/>
          <w:sz w:val="24"/>
          <w:highlight w:val="none"/>
          <w:lang w:bidi="ar-SA"/>
        </w:rPr>
        <w:t>系</w:t>
      </w:r>
      <w:r>
        <w:rPr>
          <w:rFonts w:hint="eastAsia" w:ascii="宋体" w:eastAsia="宋体" w:cs="宋体"/>
          <w:color w:val="auto"/>
          <w:sz w:val="24"/>
          <w:highlight w:val="none"/>
          <w:u w:val="single"/>
          <w:lang w:bidi="ar-SA"/>
        </w:rPr>
        <w:t xml:space="preserve">  （供应商名称）  </w:t>
      </w:r>
      <w:r>
        <w:rPr>
          <w:rFonts w:hint="eastAsia" w:ascii="宋体" w:eastAsia="宋体" w:cs="宋体"/>
          <w:color w:val="auto"/>
          <w:sz w:val="24"/>
          <w:highlight w:val="none"/>
          <w:lang w:bidi="ar-SA"/>
        </w:rPr>
        <w:t>的（</w:t>
      </w:r>
      <w:r>
        <w:rPr>
          <w:rFonts w:hint="eastAsia" w:ascii="宋体" w:eastAsia="宋体" w:cs="宋体"/>
          <w:color w:val="auto"/>
          <w:sz w:val="24"/>
          <w:highlight w:val="none"/>
          <w:u w:val="single"/>
          <w:lang w:bidi="ar-SA"/>
        </w:rPr>
        <w:t>法定代表人/负责人/自然人本人</w:t>
      </w:r>
      <w:r>
        <w:rPr>
          <w:rFonts w:hint="eastAsia" w:ascii="宋体" w:eastAsia="宋体" w:cs="宋体"/>
          <w:color w:val="auto"/>
          <w:sz w:val="24"/>
          <w:highlight w:val="none"/>
          <w:lang w:bidi="ar-SA"/>
        </w:rPr>
        <w:t>），现授权</w:t>
      </w:r>
      <w:r>
        <w:rPr>
          <w:rFonts w:hint="eastAsia" w:ascii="宋体" w:eastAsia="宋体" w:cs="宋体"/>
          <w:color w:val="auto"/>
          <w:sz w:val="24"/>
          <w:highlight w:val="none"/>
          <w:u w:val="single"/>
          <w:lang w:bidi="ar-SA"/>
        </w:rPr>
        <w:t xml:space="preserve"> （姓名） </w:t>
      </w:r>
      <w:r>
        <w:rPr>
          <w:rFonts w:hint="eastAsia" w:ascii="宋体" w:eastAsia="宋体" w:cs="宋体"/>
          <w:color w:val="auto"/>
          <w:sz w:val="24"/>
          <w:highlight w:val="none"/>
          <w:lang w:bidi="ar-SA"/>
        </w:rPr>
        <w:t>以我方的名义参加</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项目的竞标活动，并代表我方全权办理针对上述项目的所有采购程序和环节的具体事务和签署相关文件。</w:t>
      </w:r>
    </w:p>
    <w:p w14:paraId="69D172BC">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我方对委托代理人的签字事项负全部责任。</w:t>
      </w:r>
    </w:p>
    <w:p w14:paraId="5A02F184">
      <w:pPr>
        <w:spacing w:line="360" w:lineRule="auto"/>
        <w:ind w:firstLine="480" w:firstLineChars="20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本授权书自签署之日起生效，在撤销授权的书面通知以前，本授权书一直有效。委托代理人在授权书有效期内签署的所有文件不因授权的撤销而失效。</w:t>
      </w:r>
    </w:p>
    <w:p w14:paraId="2706AB36">
      <w:pPr>
        <w:spacing w:line="360" w:lineRule="auto"/>
        <w:ind w:firstLine="480" w:firstLineChars="20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委托代理人无转委托权，特此委托。</w:t>
      </w:r>
    </w:p>
    <w:p w14:paraId="1B32847D">
      <w:pPr>
        <w:spacing w:line="360" w:lineRule="auto"/>
        <w:ind w:firstLine="480" w:firstLineChars="200"/>
        <w:rPr>
          <w:rFonts w:hint="eastAsia" w:ascii="宋体" w:eastAsia="宋体" w:cs="宋体"/>
          <w:color w:val="auto"/>
          <w:sz w:val="24"/>
          <w:highlight w:val="none"/>
          <w:lang w:bidi="ar-SA"/>
        </w:rPr>
      </w:pPr>
      <w:r>
        <w:rPr>
          <w:rFonts w:hint="eastAsia" w:ascii="宋体" w:eastAsia="宋体" w:cs="宋体"/>
          <w:color w:val="auto"/>
          <w:sz w:val="24"/>
          <w:highlight w:val="none"/>
          <w:lang w:bidi="ar-SA"/>
        </w:rPr>
        <w:t>附：法定代表人身份证明及委托代理人有效身份证正反面复印件</w:t>
      </w:r>
    </w:p>
    <w:p w14:paraId="780C3A43">
      <w:pPr>
        <w:spacing w:line="360" w:lineRule="auto"/>
        <w:rPr>
          <w:rFonts w:hint="eastAsia" w:ascii="宋体" w:eastAsia="宋体" w:cs="宋体"/>
          <w:color w:val="auto"/>
          <w:sz w:val="24"/>
          <w:highlight w:val="none"/>
          <w:lang w:bidi="ar-SA"/>
        </w:rPr>
      </w:pPr>
    </w:p>
    <w:p w14:paraId="3F4B55D5">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委托代理人（签字）：         法定代表人（签字或者盖章）：                    </w:t>
      </w:r>
    </w:p>
    <w:p w14:paraId="625E9746">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委托代理人身份证号码：                              </w:t>
      </w:r>
    </w:p>
    <w:p w14:paraId="1694E565">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w:t>
      </w:r>
    </w:p>
    <w:p w14:paraId="0FA508FD">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供应商（盖公章）：                      </w:t>
      </w:r>
    </w:p>
    <w:p w14:paraId="4F345993">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                                         年    月    日</w:t>
      </w:r>
    </w:p>
    <w:p w14:paraId="13D79CD6">
      <w:pPr>
        <w:spacing w:line="360" w:lineRule="auto"/>
        <w:rPr>
          <w:rFonts w:hint="eastAsia" w:ascii="宋体" w:eastAsia="宋体" w:cs="宋体"/>
          <w:color w:val="auto"/>
          <w:sz w:val="24"/>
          <w:highlight w:val="none"/>
          <w:lang w:bidi="ar-SA"/>
        </w:rPr>
      </w:pPr>
    </w:p>
    <w:p w14:paraId="506EC102">
      <w:pPr>
        <w:spacing w:line="360" w:lineRule="auto"/>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注：1. 法定代表人必须在授权委托书上亲笔签字或者盖章，委托代理人必须在授权委托书上亲笔签字，</w:t>
      </w:r>
      <w:r>
        <w:rPr>
          <w:rFonts w:hint="eastAsia" w:ascii="宋体" w:eastAsia="宋体" w:cs="宋体"/>
          <w:b/>
          <w:color w:val="auto"/>
          <w:sz w:val="24"/>
          <w:highlight w:val="none"/>
          <w:lang w:bidi="ar-SA"/>
        </w:rPr>
        <w:t>否则其响应文件按无效响应处理。</w:t>
      </w:r>
    </w:p>
    <w:p w14:paraId="6190E609">
      <w:pPr>
        <w:spacing w:line="360" w:lineRule="auto"/>
        <w:ind w:firstLine="480" w:firstLineChars="200"/>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2.</w:t>
      </w:r>
      <w:bookmarkStart w:id="44" w:name="_Hlk65853109"/>
      <w:bookmarkStart w:id="45" w:name="_Hlk65853542"/>
      <w:r>
        <w:rPr>
          <w:rFonts w:hint="eastAsia" w:ascii="宋体" w:eastAsia="宋体" w:cs="宋体"/>
          <w:color w:val="auto"/>
          <w:sz w:val="24"/>
          <w:highlight w:val="none"/>
          <w:lang w:bidi="ar-SA"/>
        </w:rPr>
        <w:t>法人、其他组织竞标时“我方”是指“我单位”，自然人竞标时“我方”是指“本人”。</w:t>
      </w:r>
      <w:bookmarkEnd w:id="44"/>
    </w:p>
    <w:bookmarkEnd w:id="45"/>
    <w:p w14:paraId="31CBD209">
      <w:pPr>
        <w:spacing w:line="360" w:lineRule="auto"/>
        <w:ind w:firstLine="420" w:firstLineChars="200"/>
        <w:jc w:val="left"/>
        <w:rPr>
          <w:rFonts w:hint="eastAsia" w:ascii="宋体" w:eastAsia="宋体" w:cs="宋体"/>
          <w:color w:val="auto"/>
          <w:szCs w:val="21"/>
          <w:highlight w:val="none"/>
          <w:lang w:bidi="ar-SA"/>
        </w:rPr>
      </w:pPr>
    </w:p>
    <w:p w14:paraId="5A27A1CF">
      <w:pPr>
        <w:spacing w:line="360" w:lineRule="auto"/>
        <w:ind w:firstLine="2730" w:firstLineChars="1300"/>
        <w:rPr>
          <w:rFonts w:hint="eastAsia" w:ascii="宋体" w:eastAsia="宋体" w:cs="宋体"/>
          <w:color w:val="auto"/>
          <w:sz w:val="24"/>
          <w:highlight w:val="none"/>
          <w:lang w:bidi="ar-SA"/>
        </w:rPr>
      </w:pPr>
      <w:r>
        <w:rPr>
          <w:rFonts w:hint="eastAsia" w:ascii="宋体" w:eastAsia="宋体" w:cs="宋体"/>
          <w:color w:val="auto"/>
          <w:szCs w:val="21"/>
          <w:highlight w:val="none"/>
          <w:lang w:bidi="ar-SA"/>
        </w:rPr>
        <w:br w:type="page"/>
      </w:r>
    </w:p>
    <w:bookmarkEnd w:id="43"/>
    <w:p w14:paraId="15B4DA5D">
      <w:pPr>
        <w:spacing w:line="500" w:lineRule="exact"/>
        <w:jc w:val="center"/>
        <w:rPr>
          <w:rFonts w:hint="eastAsia" w:ascii="宋体" w:eastAsia="宋体" w:cs="宋体"/>
          <w:bCs/>
          <w:color w:val="auto"/>
          <w:sz w:val="44"/>
          <w:szCs w:val="44"/>
          <w:highlight w:val="none"/>
          <w:lang w:bidi="ar-SA"/>
        </w:rPr>
      </w:pPr>
      <w:r>
        <w:rPr>
          <w:rFonts w:hint="eastAsia" w:ascii="宋体" w:eastAsia="宋体" w:cs="宋体"/>
          <w:bCs/>
          <w:color w:val="auto"/>
          <w:sz w:val="44"/>
          <w:szCs w:val="44"/>
          <w:highlight w:val="none"/>
          <w:lang w:bidi="ar-SA"/>
        </w:rPr>
        <w:t>商务要求偏离表</w:t>
      </w:r>
    </w:p>
    <w:p w14:paraId="29D5D68E">
      <w:pPr>
        <w:spacing w:line="360" w:lineRule="auto"/>
        <w:contextualSpacing/>
        <w:rPr>
          <w:rFonts w:hint="eastAsia" w:ascii="宋体" w:eastAsia="宋体" w:cs="宋体"/>
          <w:color w:val="auto"/>
          <w:sz w:val="24"/>
          <w:highlight w:val="none"/>
          <w:u w:val="single"/>
          <w:lang w:bidi="ar-SA"/>
        </w:rPr>
      </w:pPr>
    </w:p>
    <w:p w14:paraId="59DF6200">
      <w:pPr>
        <w:spacing w:line="360" w:lineRule="auto"/>
        <w:contextualSpacing/>
        <w:jc w:val="left"/>
        <w:rPr>
          <w:rFonts w:hint="eastAsia" w:ascii="宋体" w:eastAsia="宋体" w:cs="宋体"/>
          <w:color w:val="auto"/>
          <w:sz w:val="24"/>
          <w:highlight w:val="none"/>
          <w:u w:val="single"/>
          <w:lang w:bidi="ar-SA"/>
        </w:rPr>
      </w:pPr>
    </w:p>
    <w:tbl>
      <w:tblPr>
        <w:tblStyle w:val="31"/>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608C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554C953">
            <w:pPr>
              <w:spacing w:line="360" w:lineRule="auto"/>
              <w:contextualSpacing/>
              <w:jc w:val="center"/>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3312B52">
            <w:pPr>
              <w:spacing w:line="360" w:lineRule="auto"/>
              <w:contextualSpacing/>
              <w:jc w:val="center"/>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AB4C214">
            <w:pPr>
              <w:spacing w:line="360" w:lineRule="auto"/>
              <w:contextualSpacing/>
              <w:jc w:val="center"/>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FB6C8A0">
            <w:pPr>
              <w:spacing w:line="360" w:lineRule="auto"/>
              <w:contextualSpacing/>
              <w:jc w:val="center"/>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偏离说明</w:t>
            </w:r>
          </w:p>
        </w:tc>
      </w:tr>
      <w:tr w14:paraId="6BEA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03C7E8A">
            <w:pPr>
              <w:keepNext w:val="0"/>
              <w:keepLines w:val="0"/>
              <w:pageBreakBefore w:val="0"/>
              <w:widowControl w:val="0"/>
              <w:kinsoku/>
              <w:wordWrap/>
              <w:overflowPunct/>
              <w:topLinePunct w:val="0"/>
              <w:autoSpaceDE/>
              <w:autoSpaceDN/>
              <w:bidi w:val="0"/>
              <w:adjustRightInd/>
              <w:snapToGrid/>
              <w:spacing w:line="400" w:lineRule="exact"/>
              <w:ind w:firstLine="31" w:firstLineChars="13"/>
              <w:jc w:val="center"/>
              <w:textAlignment w:val="auto"/>
              <w:rPr>
                <w:rFonts w:hint="eastAsia" w:ascii="宋体" w:eastAsia="宋体" w:cs="宋体"/>
                <w:color w:val="auto"/>
                <w:kern w:val="2"/>
                <w:sz w:val="24"/>
                <w:szCs w:val="24"/>
                <w:highlight w:val="none"/>
                <w:lang w:val="en-US" w:eastAsia="zh-CN" w:bidi="ar-SA"/>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3B50F5E">
            <w:pPr>
              <w:spacing w:line="360" w:lineRule="auto"/>
              <w:contextualSpacing/>
              <w:jc w:val="center"/>
              <w:rPr>
                <w:rFonts w:hint="eastAsia" w:ascii="宋体" w:eastAsia="宋体" w:cs="宋体"/>
                <w:color w:val="auto"/>
                <w:sz w:val="24"/>
                <w:szCs w:val="24"/>
                <w:highlight w:val="none"/>
                <w:lang w:bidi="ar-SA"/>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2FA4537">
            <w:pPr>
              <w:spacing w:line="360" w:lineRule="auto"/>
              <w:contextualSpacing/>
              <w:jc w:val="center"/>
              <w:rPr>
                <w:rFonts w:hint="eastAsia" w:ascii="宋体" w:eastAsia="宋体" w:cs="宋体"/>
                <w:color w:val="auto"/>
                <w:sz w:val="24"/>
                <w:szCs w:val="24"/>
                <w:highlight w:val="none"/>
                <w:lang w:bidi="ar-SA"/>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7C6A73F">
            <w:pPr>
              <w:spacing w:line="360" w:lineRule="auto"/>
              <w:contextualSpacing/>
              <w:jc w:val="center"/>
              <w:rPr>
                <w:rFonts w:hint="eastAsia" w:ascii="宋体" w:eastAsia="宋体" w:cs="宋体"/>
                <w:color w:val="auto"/>
                <w:sz w:val="24"/>
                <w:szCs w:val="24"/>
                <w:highlight w:val="none"/>
                <w:lang w:bidi="ar-SA"/>
              </w:rPr>
            </w:pPr>
          </w:p>
        </w:tc>
      </w:tr>
      <w:tr w14:paraId="5174B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7C7D7E1">
            <w:pPr>
              <w:keepNext w:val="0"/>
              <w:keepLines w:val="0"/>
              <w:pageBreakBefore w:val="0"/>
              <w:widowControl w:val="0"/>
              <w:kinsoku/>
              <w:wordWrap/>
              <w:overflowPunct/>
              <w:topLinePunct w:val="0"/>
              <w:autoSpaceDE/>
              <w:autoSpaceDN/>
              <w:bidi w:val="0"/>
              <w:adjustRightInd/>
              <w:snapToGrid/>
              <w:spacing w:line="400" w:lineRule="exact"/>
              <w:ind w:firstLine="31" w:firstLineChars="13"/>
              <w:jc w:val="center"/>
              <w:textAlignment w:val="auto"/>
              <w:rPr>
                <w:rFonts w:hint="eastAsia" w:ascii="宋体" w:eastAsia="宋体" w:cs="宋体"/>
                <w:color w:val="auto"/>
                <w:kern w:val="2"/>
                <w:sz w:val="24"/>
                <w:szCs w:val="24"/>
                <w:highlight w:val="none"/>
                <w:lang w:val="en-US" w:eastAsia="zh-CN" w:bidi="ar-SA"/>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AAC38B2">
            <w:pPr>
              <w:spacing w:line="360" w:lineRule="auto"/>
              <w:contextualSpacing/>
              <w:jc w:val="center"/>
              <w:rPr>
                <w:rFonts w:hint="eastAsia" w:ascii="宋体" w:eastAsia="宋体" w:cs="宋体"/>
                <w:color w:val="auto"/>
                <w:sz w:val="24"/>
                <w:szCs w:val="24"/>
                <w:highlight w:val="none"/>
                <w:lang w:bidi="ar-SA"/>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19270E9">
            <w:pPr>
              <w:spacing w:line="360" w:lineRule="auto"/>
              <w:ind w:left="43"/>
              <w:contextualSpacing/>
              <w:jc w:val="center"/>
              <w:rPr>
                <w:rFonts w:hint="eastAsia" w:ascii="宋体" w:eastAsia="宋体" w:cs="宋体"/>
                <w:color w:val="auto"/>
                <w:sz w:val="24"/>
                <w:szCs w:val="24"/>
                <w:highlight w:val="none"/>
                <w:lang w:bidi="ar-SA"/>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CE048EF">
            <w:pPr>
              <w:spacing w:line="360" w:lineRule="auto"/>
              <w:ind w:left="43"/>
              <w:contextualSpacing/>
              <w:jc w:val="center"/>
              <w:rPr>
                <w:rFonts w:hint="eastAsia" w:ascii="宋体" w:eastAsia="宋体" w:cs="宋体"/>
                <w:color w:val="auto"/>
                <w:sz w:val="24"/>
                <w:szCs w:val="24"/>
                <w:highlight w:val="none"/>
                <w:lang w:bidi="ar-SA"/>
              </w:rPr>
            </w:pPr>
          </w:p>
        </w:tc>
      </w:tr>
      <w:tr w14:paraId="13D20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BCB9CB2">
            <w:pPr>
              <w:spacing w:line="360" w:lineRule="auto"/>
              <w:contextualSpacing/>
              <w:jc w:val="center"/>
              <w:rPr>
                <w:rFonts w:hint="eastAsia" w:ascii="宋体" w:eastAsia="宋体" w:cs="宋体"/>
                <w:color w:val="auto"/>
                <w:sz w:val="24"/>
                <w:szCs w:val="24"/>
                <w:highlight w:val="none"/>
                <w:lang w:bidi="ar-SA"/>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53FD6C2">
            <w:pPr>
              <w:spacing w:line="360" w:lineRule="auto"/>
              <w:contextualSpacing/>
              <w:jc w:val="center"/>
              <w:rPr>
                <w:rFonts w:hint="eastAsia" w:ascii="宋体" w:eastAsia="宋体" w:cs="宋体"/>
                <w:color w:val="auto"/>
                <w:sz w:val="24"/>
                <w:szCs w:val="24"/>
                <w:highlight w:val="none"/>
                <w:lang w:bidi="ar-SA"/>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C4E750B">
            <w:pPr>
              <w:spacing w:line="360" w:lineRule="auto"/>
              <w:contextualSpacing/>
              <w:jc w:val="center"/>
              <w:rPr>
                <w:rFonts w:hint="eastAsia" w:ascii="宋体" w:eastAsia="宋体" w:cs="宋体"/>
                <w:color w:val="auto"/>
                <w:sz w:val="24"/>
                <w:szCs w:val="24"/>
                <w:highlight w:val="none"/>
                <w:lang w:bidi="ar-SA"/>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D122666">
            <w:pPr>
              <w:spacing w:line="360" w:lineRule="auto"/>
              <w:contextualSpacing/>
              <w:jc w:val="center"/>
              <w:rPr>
                <w:rFonts w:hint="eastAsia" w:ascii="宋体" w:eastAsia="宋体" w:cs="宋体"/>
                <w:color w:val="auto"/>
                <w:sz w:val="24"/>
                <w:szCs w:val="24"/>
                <w:highlight w:val="none"/>
                <w:lang w:bidi="ar-SA"/>
              </w:rPr>
            </w:pPr>
          </w:p>
        </w:tc>
      </w:tr>
    </w:tbl>
    <w:p w14:paraId="7D77A0FF">
      <w:pPr>
        <w:pStyle w:val="15"/>
        <w:spacing w:after="0" w:line="360" w:lineRule="auto"/>
        <w:contextualSpacing/>
        <w:rPr>
          <w:rFonts w:hint="eastAsia" w:ascii="宋体" w:eastAsia="宋体" w:cs="宋体"/>
          <w:color w:val="auto"/>
          <w:kern w:val="0"/>
          <w:sz w:val="24"/>
          <w:szCs w:val="24"/>
          <w:highlight w:val="none"/>
          <w:lang w:bidi="ar-SA"/>
        </w:rPr>
      </w:pPr>
      <w:r>
        <w:rPr>
          <w:rFonts w:hint="eastAsia" w:ascii="宋体" w:eastAsia="宋体" w:cs="宋体"/>
          <w:color w:val="auto"/>
          <w:kern w:val="0"/>
          <w:sz w:val="24"/>
          <w:szCs w:val="24"/>
          <w:highlight w:val="none"/>
          <w:lang w:bidi="ar-SA"/>
        </w:rPr>
        <w:t>注：</w:t>
      </w:r>
    </w:p>
    <w:p w14:paraId="062FFC56">
      <w:pPr>
        <w:pStyle w:val="15"/>
        <w:spacing w:after="0" w:line="360" w:lineRule="auto"/>
        <w:contextualSpacing/>
        <w:rPr>
          <w:rFonts w:hint="eastAsia" w:ascii="宋体" w:eastAsia="宋体" w:cs="宋体"/>
          <w:color w:val="auto"/>
          <w:kern w:val="0"/>
          <w:sz w:val="24"/>
          <w:szCs w:val="24"/>
          <w:highlight w:val="none"/>
          <w:lang w:bidi="ar-SA"/>
        </w:rPr>
      </w:pPr>
      <w:r>
        <w:rPr>
          <w:rFonts w:hint="eastAsia" w:ascii="宋体" w:eastAsia="宋体" w:cs="宋体"/>
          <w:color w:val="auto"/>
          <w:kern w:val="0"/>
          <w:sz w:val="24"/>
          <w:szCs w:val="24"/>
          <w:highlight w:val="none"/>
          <w:lang w:bidi="ar-SA"/>
        </w:rPr>
        <w:t>1. 说明：应对照磋商文件“第三章 采购需求”中的商务条款要求逐条作出明确响应，并作出偏离说明。</w:t>
      </w:r>
    </w:p>
    <w:p w14:paraId="54D6CBC8">
      <w:pPr>
        <w:spacing w:line="360" w:lineRule="auto"/>
        <w:contextualSpacing/>
        <w:jc w:val="left"/>
        <w:rPr>
          <w:rFonts w:hint="eastAsia" w:ascii="宋体" w:eastAsia="宋体" w:cs="宋体"/>
          <w:color w:val="auto"/>
          <w:kern w:val="0"/>
          <w:sz w:val="24"/>
          <w:highlight w:val="none"/>
          <w:lang w:bidi="ar-SA"/>
        </w:rPr>
      </w:pPr>
      <w:r>
        <w:rPr>
          <w:rFonts w:hint="eastAsia" w:ascii="宋体" w:eastAsia="宋体" w:cs="宋体"/>
          <w:color w:val="auto"/>
          <w:kern w:val="0"/>
          <w:sz w:val="24"/>
          <w:highlight w:val="none"/>
          <w:lang w:bidi="ar-SA"/>
        </w:rPr>
        <w:t>2.供应商应根据自身的承诺，对照磋商文件要求在“偏离说明”中注明“正偏离”、“负偏离”或者“无偏离”。既不属于“正偏离”也不属于“负偏离”即为“无偏离”。</w:t>
      </w:r>
    </w:p>
    <w:p w14:paraId="516B9924">
      <w:pPr>
        <w:spacing w:line="360" w:lineRule="auto"/>
        <w:contextualSpacing/>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3.如为联合体竞标，“供应商名称”处必须列明联合体各方名称，</w:t>
      </w:r>
      <w:r>
        <w:rPr>
          <w:rFonts w:hint="eastAsia" w:ascii="宋体" w:eastAsia="宋体" w:cs="宋体"/>
          <w:b/>
          <w:color w:val="auto"/>
          <w:sz w:val="24"/>
          <w:highlight w:val="none"/>
          <w:lang w:bidi="ar-SA"/>
        </w:rPr>
        <w:t>否则其响应文件按无效响应处理。</w:t>
      </w:r>
    </w:p>
    <w:p w14:paraId="7DAABB1F">
      <w:pPr>
        <w:spacing w:line="360" w:lineRule="auto"/>
        <w:contextualSpacing/>
        <w:jc w:val="left"/>
        <w:rPr>
          <w:rFonts w:hint="eastAsia" w:ascii="宋体" w:eastAsia="宋体" w:cs="宋体"/>
          <w:color w:val="auto"/>
          <w:sz w:val="24"/>
          <w:highlight w:val="none"/>
          <w:u w:val="single"/>
          <w:lang w:bidi="ar-SA"/>
        </w:rPr>
      </w:pPr>
      <w:r>
        <w:rPr>
          <w:rFonts w:hint="eastAsia" w:ascii="宋体" w:eastAsia="宋体" w:cs="宋体"/>
          <w:color w:val="auto"/>
          <w:sz w:val="24"/>
          <w:highlight w:val="none"/>
          <w:lang w:bidi="ar-SA"/>
        </w:rPr>
        <w:t>4.如为联合体竞标，盖章处须加盖联合体牵头人公章并由联合体牵头人法定代表人或其委托代理人签署，</w:t>
      </w:r>
      <w:r>
        <w:rPr>
          <w:rFonts w:hint="eastAsia" w:ascii="宋体" w:eastAsia="宋体" w:cs="宋体"/>
          <w:b/>
          <w:color w:val="auto"/>
          <w:sz w:val="24"/>
          <w:highlight w:val="none"/>
          <w:lang w:bidi="ar-SA"/>
        </w:rPr>
        <w:t>否则其响应文件按无效响应处理</w:t>
      </w:r>
      <w:r>
        <w:rPr>
          <w:rFonts w:hint="eastAsia" w:ascii="宋体" w:eastAsia="宋体" w:cs="宋体"/>
          <w:color w:val="auto"/>
          <w:kern w:val="0"/>
          <w:sz w:val="24"/>
          <w:highlight w:val="none"/>
          <w:lang w:bidi="ar-SA"/>
        </w:rPr>
        <w:t>。</w:t>
      </w:r>
    </w:p>
    <w:p w14:paraId="1ABBFE9C">
      <w:pPr>
        <w:spacing w:line="360" w:lineRule="auto"/>
        <w:ind w:right="-817" w:rightChars="-389"/>
        <w:contextualSpacing/>
        <w:rPr>
          <w:rFonts w:hint="eastAsia" w:ascii="宋体" w:eastAsia="宋体" w:cs="宋体"/>
          <w:color w:val="auto"/>
          <w:sz w:val="24"/>
          <w:highlight w:val="none"/>
          <w:lang w:bidi="ar-SA"/>
        </w:rPr>
      </w:pPr>
    </w:p>
    <w:p w14:paraId="3D8DBBDA">
      <w:pPr>
        <w:spacing w:line="360" w:lineRule="auto"/>
        <w:ind w:right="-817" w:rightChars="-389" w:firstLine="960" w:firstLineChars="4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法定代表人（签字或盖章）或者委托代理人（签字）：                    </w:t>
      </w:r>
    </w:p>
    <w:p w14:paraId="3D4F8FC5">
      <w:pPr>
        <w:spacing w:line="360" w:lineRule="auto"/>
        <w:ind w:right="-817" w:rightChars="-389" w:firstLine="2640" w:firstLineChars="11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供应商（盖公章）：      </w:t>
      </w:r>
    </w:p>
    <w:p w14:paraId="2840B566">
      <w:pPr>
        <w:spacing w:line="360" w:lineRule="auto"/>
        <w:ind w:right="-817" w:rightChars="-389" w:firstLine="4080" w:firstLineChars="1700"/>
        <w:contextualSpacing/>
        <w:rPr>
          <w:rFonts w:hint="eastAsia" w:ascii="宋体" w:eastAsia="宋体" w:cs="宋体"/>
          <w:b/>
          <w:color w:val="auto"/>
          <w:sz w:val="32"/>
          <w:szCs w:val="32"/>
          <w:highlight w:val="none"/>
          <w:lang w:bidi="ar-SA"/>
        </w:rPr>
      </w:pPr>
      <w:r>
        <w:rPr>
          <w:rFonts w:hint="eastAsia" w:ascii="宋体" w:eastAsia="宋体" w:cs="宋体"/>
          <w:color w:val="auto"/>
          <w:sz w:val="24"/>
          <w:highlight w:val="none"/>
          <w:lang w:bidi="ar-SA"/>
        </w:rPr>
        <w:t>日期：   年   月   日</w:t>
      </w:r>
    </w:p>
    <w:p w14:paraId="583FA473">
      <w:pPr>
        <w:adjustRightInd w:val="0"/>
        <w:snapToGrid w:val="0"/>
        <w:spacing w:line="520" w:lineRule="exact"/>
        <w:ind w:firstLine="7040" w:firstLineChars="1600"/>
        <w:jc w:val="center"/>
        <w:rPr>
          <w:rFonts w:hint="eastAsia" w:ascii="宋体" w:eastAsia="宋体" w:cs="宋体"/>
          <w:bCs/>
          <w:color w:val="auto"/>
          <w:sz w:val="44"/>
          <w:szCs w:val="44"/>
          <w:highlight w:val="none"/>
          <w:lang w:bidi="ar-SA"/>
        </w:rPr>
      </w:pPr>
    </w:p>
    <w:p w14:paraId="7557F424">
      <w:pPr>
        <w:adjustRightInd w:val="0"/>
        <w:snapToGrid w:val="0"/>
        <w:spacing w:line="520" w:lineRule="exact"/>
        <w:ind w:firstLine="7040" w:firstLineChars="1600"/>
        <w:jc w:val="center"/>
        <w:rPr>
          <w:rFonts w:hint="eastAsia" w:ascii="宋体" w:eastAsia="宋体" w:cs="宋体"/>
          <w:bCs/>
          <w:color w:val="auto"/>
          <w:sz w:val="44"/>
          <w:szCs w:val="44"/>
          <w:highlight w:val="none"/>
          <w:lang w:bidi="ar-SA"/>
        </w:rPr>
      </w:pPr>
    </w:p>
    <w:p w14:paraId="76F6EAAB">
      <w:pPr>
        <w:adjustRightInd w:val="0"/>
        <w:snapToGrid w:val="0"/>
        <w:spacing w:line="520" w:lineRule="exact"/>
        <w:ind w:firstLine="7040" w:firstLineChars="1600"/>
        <w:jc w:val="center"/>
        <w:rPr>
          <w:rFonts w:hint="eastAsia" w:ascii="宋体" w:eastAsia="宋体" w:cs="宋体"/>
          <w:bCs/>
          <w:color w:val="auto"/>
          <w:sz w:val="44"/>
          <w:szCs w:val="44"/>
          <w:highlight w:val="none"/>
          <w:lang w:bidi="ar-SA"/>
        </w:rPr>
      </w:pPr>
    </w:p>
    <w:p w14:paraId="7AF39922">
      <w:pPr>
        <w:adjustRightInd w:val="0"/>
        <w:snapToGrid w:val="0"/>
        <w:spacing w:line="520" w:lineRule="exact"/>
        <w:ind w:firstLine="7040" w:firstLineChars="1600"/>
        <w:jc w:val="center"/>
        <w:rPr>
          <w:rFonts w:hint="eastAsia" w:ascii="宋体" w:eastAsia="宋体" w:cs="宋体"/>
          <w:bCs/>
          <w:color w:val="auto"/>
          <w:sz w:val="44"/>
          <w:szCs w:val="44"/>
          <w:highlight w:val="none"/>
          <w:lang w:bidi="ar-SA"/>
        </w:rPr>
      </w:pPr>
    </w:p>
    <w:p w14:paraId="7FA06BE7">
      <w:pPr>
        <w:adjustRightInd w:val="0"/>
        <w:snapToGrid w:val="0"/>
        <w:spacing w:line="520" w:lineRule="exact"/>
        <w:rPr>
          <w:rFonts w:hint="eastAsia" w:ascii="宋体" w:eastAsia="宋体" w:cs="宋体"/>
          <w:color w:val="auto"/>
          <w:szCs w:val="21"/>
          <w:highlight w:val="none"/>
          <w:u w:val="single"/>
          <w:lang w:bidi="ar-SA"/>
        </w:rPr>
      </w:pPr>
    </w:p>
    <w:p w14:paraId="287FDC86">
      <w:pPr>
        <w:adjustRightInd w:val="0"/>
        <w:snapToGrid w:val="0"/>
        <w:spacing w:line="300" w:lineRule="auto"/>
        <w:jc w:val="center"/>
        <w:rPr>
          <w:rFonts w:hint="eastAsia" w:ascii="宋体" w:eastAsia="宋体" w:cs="宋体"/>
          <w:bCs/>
          <w:color w:val="auto"/>
          <w:sz w:val="44"/>
          <w:szCs w:val="44"/>
          <w:highlight w:val="none"/>
          <w:lang w:bidi="ar-SA"/>
        </w:rPr>
      </w:pPr>
      <w:r>
        <w:rPr>
          <w:rFonts w:hint="eastAsia" w:ascii="宋体" w:eastAsia="宋体" w:cs="宋体"/>
          <w:bCs/>
          <w:color w:val="auto"/>
          <w:sz w:val="44"/>
          <w:szCs w:val="44"/>
          <w:highlight w:val="none"/>
          <w:lang w:bidi="ar-SA"/>
        </w:rPr>
        <w:br w:type="page"/>
      </w:r>
      <w:r>
        <w:rPr>
          <w:rFonts w:hint="eastAsia" w:ascii="宋体" w:eastAsia="宋体" w:cs="宋体"/>
          <w:bCs/>
          <w:color w:val="auto"/>
          <w:sz w:val="44"/>
          <w:szCs w:val="44"/>
          <w:highlight w:val="none"/>
          <w:lang w:bidi="ar-SA"/>
        </w:rPr>
        <w:t>技术要求偏离表</w:t>
      </w:r>
    </w:p>
    <w:p w14:paraId="2F94D9B3">
      <w:pPr>
        <w:spacing w:line="520" w:lineRule="exact"/>
        <w:rPr>
          <w:rFonts w:hint="eastAsia" w:ascii="宋体" w:eastAsia="宋体" w:cs="宋体"/>
          <w:color w:val="auto"/>
          <w:sz w:val="32"/>
          <w:szCs w:val="32"/>
          <w:highlight w:val="none"/>
          <w:lang w:bidi="ar-SA"/>
        </w:rPr>
      </w:pPr>
    </w:p>
    <w:p w14:paraId="02ACF816">
      <w:pPr>
        <w:spacing w:line="360" w:lineRule="auto"/>
        <w:contextualSpacing/>
        <w:rPr>
          <w:rFonts w:hint="eastAsia" w:ascii="宋体" w:eastAsia="宋体" w:cs="宋体"/>
          <w:color w:val="auto"/>
          <w:sz w:val="24"/>
          <w:highlight w:val="none"/>
          <w:u w:val="single"/>
          <w:lang w:bidi="ar-SA"/>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0B4172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0B02AE5E">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46" w:name="_Toc373333689"/>
            <w:bookmarkStart w:id="47" w:name="_Toc295404981"/>
            <w:bookmarkStart w:id="48" w:name="_Toc297193185"/>
            <w:bookmarkStart w:id="49" w:name="_Toc383699906"/>
            <w:bookmarkStart w:id="50" w:name="_Toc173066401"/>
            <w:bookmarkStart w:id="51" w:name="_Toc173211900"/>
            <w:bookmarkStart w:id="52" w:name="_Toc254970729"/>
            <w:bookmarkStart w:id="53" w:name="_Toc301781611"/>
            <w:bookmarkStart w:id="54" w:name="_Toc254970588"/>
            <w:r>
              <w:rPr>
                <w:rFonts w:hint="eastAsia" w:ascii="宋体" w:eastAsia="宋体" w:cs="宋体"/>
                <w:color w:val="auto"/>
                <w:kern w:val="2"/>
                <w:sz w:val="24"/>
                <w:szCs w:val="24"/>
                <w:highlight w:val="none"/>
                <w:lang w:bidi="ar-SA"/>
              </w:rPr>
              <w:t>序号</w:t>
            </w:r>
            <w:bookmarkEnd w:id="46"/>
            <w:bookmarkEnd w:id="47"/>
            <w:bookmarkEnd w:id="48"/>
            <w:bookmarkEnd w:id="49"/>
            <w:bookmarkEnd w:id="50"/>
            <w:bookmarkEnd w:id="51"/>
            <w:bookmarkEnd w:id="52"/>
            <w:bookmarkEnd w:id="53"/>
            <w:bookmarkEnd w:id="54"/>
          </w:p>
        </w:tc>
        <w:tc>
          <w:tcPr>
            <w:tcW w:w="992" w:type="dxa"/>
            <w:tcBorders>
              <w:right w:val="single" w:color="auto" w:sz="4" w:space="0"/>
            </w:tcBorders>
            <w:noWrap w:val="0"/>
            <w:vAlign w:val="center"/>
          </w:tcPr>
          <w:p w14:paraId="74FB61A5">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r>
              <w:rPr>
                <w:rFonts w:hint="eastAsia" w:ascii="宋体" w:eastAsia="宋体" w:cs="宋体"/>
                <w:color w:val="auto"/>
                <w:kern w:val="2"/>
                <w:sz w:val="24"/>
                <w:szCs w:val="24"/>
                <w:highlight w:val="none"/>
                <w:lang w:bidi="ar-SA"/>
              </w:rPr>
              <w:t>名称</w:t>
            </w:r>
          </w:p>
        </w:tc>
        <w:tc>
          <w:tcPr>
            <w:tcW w:w="3292" w:type="dxa"/>
            <w:tcBorders>
              <w:left w:val="single" w:color="auto" w:sz="4" w:space="0"/>
            </w:tcBorders>
            <w:noWrap w:val="0"/>
            <w:vAlign w:val="center"/>
          </w:tcPr>
          <w:p w14:paraId="29969778">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r>
              <w:rPr>
                <w:rFonts w:hint="eastAsia" w:ascii="宋体" w:eastAsia="宋体" w:cs="宋体"/>
                <w:color w:val="auto"/>
                <w:kern w:val="2"/>
                <w:sz w:val="24"/>
                <w:szCs w:val="24"/>
                <w:highlight w:val="none"/>
                <w:lang w:bidi="ar-SA"/>
              </w:rPr>
              <w:t>磋商文件服务需求及技术要求</w:t>
            </w:r>
          </w:p>
        </w:tc>
        <w:tc>
          <w:tcPr>
            <w:tcW w:w="2963" w:type="dxa"/>
            <w:noWrap w:val="0"/>
            <w:vAlign w:val="center"/>
          </w:tcPr>
          <w:p w14:paraId="3BE09783">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55" w:name="_Toc301781613"/>
            <w:bookmarkStart w:id="56" w:name="_Toc373333691"/>
            <w:bookmarkStart w:id="57" w:name="_Toc173211902"/>
            <w:bookmarkStart w:id="58" w:name="_Toc173066403"/>
            <w:bookmarkStart w:id="59" w:name="_Toc297193187"/>
            <w:bookmarkStart w:id="60" w:name="_Toc254970731"/>
            <w:bookmarkStart w:id="61" w:name="_Toc295404983"/>
            <w:bookmarkStart w:id="62" w:name="_Toc383699908"/>
            <w:bookmarkStart w:id="63" w:name="_Toc254970590"/>
            <w:r>
              <w:rPr>
                <w:rFonts w:hint="eastAsia" w:ascii="宋体" w:eastAsia="宋体" w:cs="宋体"/>
                <w:color w:val="auto"/>
                <w:kern w:val="2"/>
                <w:sz w:val="24"/>
                <w:szCs w:val="24"/>
                <w:highlight w:val="none"/>
                <w:lang w:bidi="ar-SA"/>
              </w:rPr>
              <w:t>竞标响应</w:t>
            </w:r>
            <w:bookmarkEnd w:id="55"/>
            <w:bookmarkEnd w:id="56"/>
            <w:bookmarkEnd w:id="57"/>
            <w:bookmarkEnd w:id="58"/>
            <w:bookmarkEnd w:id="59"/>
            <w:bookmarkEnd w:id="60"/>
            <w:bookmarkEnd w:id="61"/>
            <w:bookmarkEnd w:id="62"/>
            <w:bookmarkEnd w:id="63"/>
          </w:p>
        </w:tc>
        <w:tc>
          <w:tcPr>
            <w:tcW w:w="1616" w:type="dxa"/>
            <w:noWrap w:val="0"/>
            <w:vAlign w:val="center"/>
          </w:tcPr>
          <w:p w14:paraId="7A05C20F">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64" w:name="_Toc373333692"/>
            <w:bookmarkStart w:id="65" w:name="_Toc295404984"/>
            <w:bookmarkStart w:id="66" w:name="_Toc254970732"/>
            <w:bookmarkStart w:id="67" w:name="_Toc383699909"/>
            <w:bookmarkStart w:id="68" w:name="_Toc254970591"/>
            <w:bookmarkStart w:id="69" w:name="_Toc301781614"/>
            <w:bookmarkStart w:id="70" w:name="_Toc173066404"/>
            <w:bookmarkStart w:id="71" w:name="_Toc297193188"/>
            <w:bookmarkStart w:id="72" w:name="_Toc173211903"/>
            <w:r>
              <w:rPr>
                <w:rFonts w:hint="eastAsia" w:ascii="宋体" w:eastAsia="宋体" w:cs="宋体"/>
                <w:color w:val="auto"/>
                <w:kern w:val="2"/>
                <w:sz w:val="24"/>
                <w:szCs w:val="24"/>
                <w:highlight w:val="none"/>
                <w:lang w:bidi="ar-SA"/>
              </w:rPr>
              <w:t>偏离</w:t>
            </w:r>
            <w:bookmarkEnd w:id="64"/>
            <w:bookmarkEnd w:id="65"/>
            <w:bookmarkEnd w:id="66"/>
            <w:bookmarkEnd w:id="67"/>
            <w:bookmarkEnd w:id="68"/>
            <w:bookmarkEnd w:id="69"/>
            <w:bookmarkEnd w:id="70"/>
            <w:bookmarkEnd w:id="71"/>
            <w:bookmarkEnd w:id="72"/>
            <w:bookmarkStart w:id="73" w:name="_Toc173066405"/>
            <w:bookmarkStart w:id="74" w:name="_Toc254970592"/>
            <w:bookmarkStart w:id="75" w:name="_Toc383699910"/>
            <w:bookmarkStart w:id="76" w:name="_Toc297193189"/>
            <w:bookmarkStart w:id="77" w:name="_Toc301781615"/>
            <w:bookmarkStart w:id="78" w:name="_Toc373333693"/>
            <w:bookmarkStart w:id="79" w:name="_Toc295404985"/>
            <w:bookmarkStart w:id="80" w:name="_Toc254970733"/>
            <w:bookmarkStart w:id="81" w:name="_Toc173211904"/>
            <w:r>
              <w:rPr>
                <w:rFonts w:hint="eastAsia" w:ascii="宋体" w:eastAsia="宋体" w:cs="宋体"/>
                <w:color w:val="auto"/>
                <w:kern w:val="2"/>
                <w:sz w:val="24"/>
                <w:szCs w:val="24"/>
                <w:highlight w:val="none"/>
                <w:lang w:bidi="ar-SA"/>
              </w:rPr>
              <w:t>说明</w:t>
            </w:r>
            <w:bookmarkEnd w:id="73"/>
            <w:bookmarkEnd w:id="74"/>
            <w:bookmarkEnd w:id="75"/>
            <w:bookmarkEnd w:id="76"/>
            <w:bookmarkEnd w:id="77"/>
            <w:bookmarkEnd w:id="78"/>
            <w:bookmarkEnd w:id="79"/>
            <w:bookmarkEnd w:id="80"/>
            <w:bookmarkEnd w:id="81"/>
          </w:p>
        </w:tc>
      </w:tr>
      <w:tr w14:paraId="448736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21557765">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82" w:name="_Toc254970734"/>
            <w:bookmarkStart w:id="83" w:name="_Toc301781616"/>
            <w:bookmarkStart w:id="84" w:name="_Toc373333694"/>
            <w:bookmarkStart w:id="85" w:name="_Toc295404986"/>
            <w:bookmarkStart w:id="86" w:name="_Toc173066406"/>
            <w:bookmarkStart w:id="87" w:name="_Toc173211905"/>
            <w:bookmarkStart w:id="88" w:name="_Toc254970593"/>
            <w:bookmarkStart w:id="89" w:name="_Toc383699911"/>
            <w:bookmarkStart w:id="90" w:name="_Toc297193190"/>
            <w:r>
              <w:rPr>
                <w:rFonts w:hint="eastAsia" w:ascii="宋体" w:eastAsia="宋体" w:cs="宋体"/>
                <w:color w:val="auto"/>
                <w:kern w:val="2"/>
                <w:sz w:val="24"/>
                <w:szCs w:val="24"/>
                <w:highlight w:val="none"/>
                <w:lang w:bidi="ar-SA"/>
              </w:rPr>
              <w:t>1</w:t>
            </w:r>
            <w:bookmarkEnd w:id="82"/>
            <w:bookmarkEnd w:id="83"/>
            <w:bookmarkEnd w:id="84"/>
            <w:bookmarkEnd w:id="85"/>
            <w:bookmarkEnd w:id="86"/>
            <w:bookmarkEnd w:id="87"/>
            <w:bookmarkEnd w:id="88"/>
            <w:bookmarkEnd w:id="89"/>
            <w:bookmarkEnd w:id="90"/>
          </w:p>
        </w:tc>
        <w:tc>
          <w:tcPr>
            <w:tcW w:w="992" w:type="dxa"/>
            <w:tcBorders>
              <w:right w:val="single" w:color="auto" w:sz="4" w:space="0"/>
            </w:tcBorders>
            <w:noWrap w:val="0"/>
            <w:vAlign w:val="center"/>
          </w:tcPr>
          <w:p w14:paraId="4E95CA2A">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4AF39FFF">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14183B65">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noWrap w:val="0"/>
            <w:vAlign w:val="center"/>
          </w:tcPr>
          <w:p w14:paraId="0485160D">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r w14:paraId="1DD5B5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6D64DC5D">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91" w:name="_Toc301781617"/>
            <w:bookmarkStart w:id="92" w:name="_Toc295404987"/>
            <w:bookmarkStart w:id="93" w:name="_Toc254970735"/>
            <w:bookmarkStart w:id="94" w:name="_Toc383699912"/>
            <w:bookmarkStart w:id="95" w:name="_Toc254970594"/>
            <w:bookmarkStart w:id="96" w:name="_Toc297193191"/>
            <w:bookmarkStart w:id="97" w:name="_Toc373333695"/>
            <w:bookmarkStart w:id="98" w:name="_Toc173211906"/>
            <w:bookmarkStart w:id="99" w:name="_Toc173066407"/>
            <w:r>
              <w:rPr>
                <w:rFonts w:hint="eastAsia" w:ascii="宋体" w:eastAsia="宋体" w:cs="宋体"/>
                <w:color w:val="auto"/>
                <w:kern w:val="2"/>
                <w:sz w:val="24"/>
                <w:szCs w:val="24"/>
                <w:highlight w:val="none"/>
                <w:lang w:bidi="ar-SA"/>
              </w:rPr>
              <w:t>2</w:t>
            </w:r>
            <w:bookmarkEnd w:id="91"/>
            <w:bookmarkEnd w:id="92"/>
            <w:bookmarkEnd w:id="93"/>
            <w:bookmarkEnd w:id="94"/>
            <w:bookmarkEnd w:id="95"/>
            <w:bookmarkEnd w:id="96"/>
            <w:bookmarkEnd w:id="97"/>
            <w:bookmarkEnd w:id="98"/>
            <w:bookmarkEnd w:id="99"/>
          </w:p>
        </w:tc>
        <w:tc>
          <w:tcPr>
            <w:tcW w:w="992" w:type="dxa"/>
            <w:tcBorders>
              <w:right w:val="single" w:color="auto" w:sz="4" w:space="0"/>
            </w:tcBorders>
            <w:noWrap w:val="0"/>
            <w:vAlign w:val="center"/>
          </w:tcPr>
          <w:p w14:paraId="1D539979">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3A86E17C">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52E138F0">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noWrap w:val="0"/>
            <w:vAlign w:val="center"/>
          </w:tcPr>
          <w:p w14:paraId="21BA6212">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r w14:paraId="27D51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479DFE81">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100" w:name="_Toc373333696"/>
            <w:bookmarkStart w:id="101" w:name="_Toc173066408"/>
            <w:bookmarkStart w:id="102" w:name="_Toc297193192"/>
            <w:bookmarkStart w:id="103" w:name="_Toc295404988"/>
            <w:bookmarkStart w:id="104" w:name="_Toc383699913"/>
            <w:bookmarkStart w:id="105" w:name="_Toc301781618"/>
            <w:bookmarkStart w:id="106" w:name="_Toc173211907"/>
            <w:bookmarkStart w:id="107" w:name="_Toc254970736"/>
            <w:bookmarkStart w:id="108" w:name="_Toc254970595"/>
            <w:r>
              <w:rPr>
                <w:rFonts w:hint="eastAsia" w:ascii="宋体" w:eastAsia="宋体" w:cs="宋体"/>
                <w:color w:val="auto"/>
                <w:kern w:val="2"/>
                <w:sz w:val="24"/>
                <w:szCs w:val="24"/>
                <w:highlight w:val="none"/>
                <w:lang w:bidi="ar-SA"/>
              </w:rPr>
              <w:t>3</w:t>
            </w:r>
            <w:bookmarkEnd w:id="100"/>
            <w:bookmarkEnd w:id="101"/>
            <w:bookmarkEnd w:id="102"/>
            <w:bookmarkEnd w:id="103"/>
            <w:bookmarkEnd w:id="104"/>
            <w:bookmarkEnd w:id="105"/>
            <w:bookmarkEnd w:id="106"/>
            <w:bookmarkEnd w:id="107"/>
            <w:bookmarkEnd w:id="108"/>
          </w:p>
        </w:tc>
        <w:tc>
          <w:tcPr>
            <w:tcW w:w="992" w:type="dxa"/>
            <w:tcBorders>
              <w:right w:val="single" w:color="auto" w:sz="4" w:space="0"/>
            </w:tcBorders>
            <w:noWrap w:val="0"/>
            <w:vAlign w:val="center"/>
          </w:tcPr>
          <w:p w14:paraId="04FD85DD">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633D2C72">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5DD56711">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noWrap w:val="0"/>
            <w:vAlign w:val="center"/>
          </w:tcPr>
          <w:p w14:paraId="61BF94A3">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r w14:paraId="363BA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42C4EEB3">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109" w:name="_Toc297193193"/>
            <w:bookmarkStart w:id="110" w:name="_Toc373333697"/>
            <w:bookmarkStart w:id="111" w:name="_Toc383699914"/>
            <w:bookmarkStart w:id="112" w:name="_Toc254970737"/>
            <w:bookmarkStart w:id="113" w:name="_Toc254970596"/>
            <w:bookmarkStart w:id="114" w:name="_Toc295404989"/>
            <w:bookmarkStart w:id="115" w:name="_Toc173066409"/>
            <w:bookmarkStart w:id="116" w:name="_Toc301781619"/>
            <w:bookmarkStart w:id="117" w:name="_Toc173211908"/>
            <w:r>
              <w:rPr>
                <w:rFonts w:hint="eastAsia" w:ascii="宋体" w:eastAsia="宋体" w:cs="宋体"/>
                <w:color w:val="auto"/>
                <w:kern w:val="2"/>
                <w:sz w:val="24"/>
                <w:szCs w:val="24"/>
                <w:highlight w:val="none"/>
                <w:lang w:bidi="ar-SA"/>
              </w:rPr>
              <w:t>4</w:t>
            </w:r>
            <w:bookmarkEnd w:id="109"/>
            <w:bookmarkEnd w:id="110"/>
            <w:bookmarkEnd w:id="111"/>
            <w:bookmarkEnd w:id="112"/>
            <w:bookmarkEnd w:id="113"/>
            <w:bookmarkEnd w:id="114"/>
            <w:bookmarkEnd w:id="115"/>
            <w:bookmarkEnd w:id="116"/>
            <w:bookmarkEnd w:id="117"/>
          </w:p>
        </w:tc>
        <w:tc>
          <w:tcPr>
            <w:tcW w:w="992" w:type="dxa"/>
            <w:tcBorders>
              <w:right w:val="single" w:color="auto" w:sz="4" w:space="0"/>
            </w:tcBorders>
            <w:noWrap w:val="0"/>
            <w:vAlign w:val="center"/>
          </w:tcPr>
          <w:p w14:paraId="19C8A9E6">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60E85EC2">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6EA54834">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noWrap w:val="0"/>
            <w:vAlign w:val="center"/>
          </w:tcPr>
          <w:p w14:paraId="634ED7B9">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r w14:paraId="02353C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noWrap w:val="0"/>
            <w:vAlign w:val="center"/>
          </w:tcPr>
          <w:p w14:paraId="4A2D2604">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118" w:name="_Toc254970738"/>
            <w:bookmarkStart w:id="119" w:name="_Toc383699915"/>
            <w:bookmarkStart w:id="120" w:name="_Toc173066410"/>
            <w:bookmarkStart w:id="121" w:name="_Toc173211909"/>
            <w:bookmarkStart w:id="122" w:name="_Toc373333698"/>
            <w:bookmarkStart w:id="123" w:name="_Toc301781620"/>
            <w:bookmarkStart w:id="124" w:name="_Toc297193194"/>
            <w:bookmarkStart w:id="125" w:name="_Toc254970597"/>
            <w:bookmarkStart w:id="126" w:name="_Toc295404990"/>
            <w:r>
              <w:rPr>
                <w:rFonts w:hint="eastAsia" w:ascii="宋体" w:eastAsia="宋体" w:cs="宋体"/>
                <w:color w:val="auto"/>
                <w:kern w:val="2"/>
                <w:sz w:val="24"/>
                <w:szCs w:val="24"/>
                <w:highlight w:val="none"/>
                <w:lang w:bidi="ar-SA"/>
              </w:rPr>
              <w:t>5</w:t>
            </w:r>
            <w:bookmarkEnd w:id="118"/>
            <w:bookmarkEnd w:id="119"/>
            <w:bookmarkEnd w:id="120"/>
            <w:bookmarkEnd w:id="121"/>
            <w:bookmarkEnd w:id="122"/>
            <w:bookmarkEnd w:id="123"/>
            <w:bookmarkEnd w:id="124"/>
            <w:bookmarkEnd w:id="125"/>
            <w:bookmarkEnd w:id="126"/>
          </w:p>
        </w:tc>
        <w:tc>
          <w:tcPr>
            <w:tcW w:w="992" w:type="dxa"/>
            <w:tcBorders>
              <w:right w:val="single" w:color="auto" w:sz="4" w:space="0"/>
            </w:tcBorders>
            <w:noWrap w:val="0"/>
            <w:vAlign w:val="center"/>
          </w:tcPr>
          <w:p w14:paraId="2A9819F1">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77D6EBFA">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5CE6840B">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noWrap w:val="0"/>
            <w:vAlign w:val="center"/>
          </w:tcPr>
          <w:p w14:paraId="005DDC18">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r w14:paraId="0906C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noWrap w:val="0"/>
            <w:vAlign w:val="center"/>
          </w:tcPr>
          <w:p w14:paraId="7DE4B412">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bookmarkStart w:id="127" w:name="_Toc254970602"/>
            <w:bookmarkStart w:id="128" w:name="_Toc173066415"/>
            <w:bookmarkStart w:id="129" w:name="_Toc301781621"/>
            <w:bookmarkStart w:id="130" w:name="_Toc373333699"/>
            <w:bookmarkStart w:id="131" w:name="_Toc254970743"/>
            <w:bookmarkStart w:id="132" w:name="_Toc383699916"/>
            <w:bookmarkStart w:id="133" w:name="_Toc295404991"/>
            <w:bookmarkStart w:id="134" w:name="_Toc173211914"/>
            <w:bookmarkStart w:id="135" w:name="_Toc297193195"/>
            <w:r>
              <w:rPr>
                <w:rFonts w:hint="eastAsia" w:ascii="宋体" w:eastAsia="宋体" w:cs="宋体"/>
                <w:color w:val="auto"/>
                <w:kern w:val="2"/>
                <w:sz w:val="24"/>
                <w:szCs w:val="24"/>
                <w:highlight w:val="none"/>
                <w:lang w:bidi="ar-SA"/>
              </w:rPr>
              <w:t>…</w:t>
            </w:r>
            <w:bookmarkEnd w:id="127"/>
            <w:bookmarkEnd w:id="128"/>
            <w:bookmarkEnd w:id="129"/>
            <w:bookmarkEnd w:id="130"/>
            <w:bookmarkEnd w:id="131"/>
            <w:bookmarkEnd w:id="132"/>
            <w:bookmarkEnd w:id="133"/>
            <w:bookmarkEnd w:id="134"/>
            <w:bookmarkEnd w:id="135"/>
          </w:p>
        </w:tc>
        <w:tc>
          <w:tcPr>
            <w:tcW w:w="992" w:type="dxa"/>
            <w:tcBorders>
              <w:right w:val="single" w:color="auto" w:sz="4" w:space="0"/>
            </w:tcBorders>
            <w:noWrap w:val="0"/>
            <w:vAlign w:val="center"/>
          </w:tcPr>
          <w:p w14:paraId="0A85B154">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3292" w:type="dxa"/>
            <w:tcBorders>
              <w:left w:val="single" w:color="auto" w:sz="4" w:space="0"/>
            </w:tcBorders>
            <w:noWrap w:val="0"/>
            <w:vAlign w:val="center"/>
          </w:tcPr>
          <w:p w14:paraId="0C44E413">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2963" w:type="dxa"/>
            <w:noWrap w:val="0"/>
            <w:vAlign w:val="center"/>
          </w:tcPr>
          <w:p w14:paraId="400FCC2B">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c>
          <w:tcPr>
            <w:tcW w:w="1616" w:type="dxa"/>
            <w:tcBorders>
              <w:right w:val="single" w:color="auto" w:sz="4" w:space="0"/>
            </w:tcBorders>
            <w:noWrap w:val="0"/>
            <w:vAlign w:val="center"/>
          </w:tcPr>
          <w:p w14:paraId="6A4EBB3A">
            <w:pPr>
              <w:pStyle w:val="17"/>
              <w:spacing w:line="360" w:lineRule="auto"/>
              <w:ind w:firstLine="0" w:firstLineChars="0"/>
              <w:contextualSpacing/>
              <w:jc w:val="center"/>
              <w:rPr>
                <w:rFonts w:hint="eastAsia" w:ascii="宋体" w:eastAsia="宋体" w:cs="宋体"/>
                <w:color w:val="auto"/>
                <w:kern w:val="2"/>
                <w:sz w:val="24"/>
                <w:szCs w:val="24"/>
                <w:highlight w:val="none"/>
                <w:lang w:bidi="ar-SA"/>
              </w:rPr>
            </w:pPr>
          </w:p>
        </w:tc>
      </w:tr>
    </w:tbl>
    <w:p w14:paraId="2EC7AE61">
      <w:pPr>
        <w:adjustRightInd w:val="0"/>
        <w:spacing w:line="360" w:lineRule="auto"/>
        <w:contextualSpacing/>
        <w:rPr>
          <w:rFonts w:hint="eastAsia" w:ascii="宋体" w:eastAsia="宋体" w:cs="宋体"/>
          <w:color w:val="auto"/>
          <w:sz w:val="24"/>
          <w:highlight w:val="none"/>
          <w:lang w:bidi="ar-SA"/>
        </w:rPr>
      </w:pPr>
    </w:p>
    <w:p w14:paraId="785436E0">
      <w:pPr>
        <w:pStyle w:val="17"/>
        <w:spacing w:line="360" w:lineRule="auto"/>
        <w:ind w:firstLine="0" w:firstLineChars="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注：</w:t>
      </w:r>
    </w:p>
    <w:p w14:paraId="1C490DA8">
      <w:pPr>
        <w:pStyle w:val="17"/>
        <w:spacing w:line="360" w:lineRule="auto"/>
        <w:ind w:firstLine="0" w:firstLineChars="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 说明：应对照磋商文件“第三章 采购需求”中的服务需求及技术要求逐条作出明确响应，并作出偏离说明。</w:t>
      </w:r>
    </w:p>
    <w:p w14:paraId="489D3F67">
      <w:pPr>
        <w:pStyle w:val="17"/>
        <w:spacing w:line="360" w:lineRule="auto"/>
        <w:ind w:firstLine="0" w:firstLineChars="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2.供应商应根据自身的承诺，对照磋商文件要求，在“偏离说明”中注明“正偏离”、“负偏离”或者“无偏离”。既不属于“正偏离”也不属于“负偏离”即为“无偏离”。</w:t>
      </w:r>
    </w:p>
    <w:p w14:paraId="555AD28D">
      <w:pPr>
        <w:pStyle w:val="17"/>
        <w:spacing w:line="360" w:lineRule="auto"/>
        <w:ind w:firstLine="0" w:firstLineChars="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3.如为联合体竞标，“供应商名称”处必须列明联合体各方名称，</w:t>
      </w:r>
      <w:r>
        <w:rPr>
          <w:rFonts w:hint="eastAsia" w:ascii="宋体" w:eastAsia="宋体" w:cs="宋体"/>
          <w:b/>
          <w:bCs/>
          <w:color w:val="auto"/>
          <w:sz w:val="24"/>
          <w:szCs w:val="24"/>
          <w:highlight w:val="none"/>
          <w:lang w:bidi="ar-SA"/>
        </w:rPr>
        <w:t>否则其响应文件按无效响应处理</w:t>
      </w:r>
      <w:r>
        <w:rPr>
          <w:rFonts w:hint="eastAsia" w:ascii="宋体" w:eastAsia="宋体" w:cs="宋体"/>
          <w:color w:val="auto"/>
          <w:sz w:val="24"/>
          <w:szCs w:val="24"/>
          <w:highlight w:val="none"/>
          <w:lang w:bidi="ar-SA"/>
        </w:rPr>
        <w:t>。</w:t>
      </w:r>
    </w:p>
    <w:p w14:paraId="68424A05">
      <w:pPr>
        <w:pStyle w:val="17"/>
        <w:spacing w:line="360" w:lineRule="auto"/>
        <w:ind w:firstLine="0" w:firstLineChars="0"/>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4.如为联合体竞标，盖章处须加盖联合体牵头人公章并由联合体牵头人法定代表人或其委托代理人签署，</w:t>
      </w:r>
      <w:r>
        <w:rPr>
          <w:rFonts w:hint="eastAsia" w:ascii="宋体" w:eastAsia="宋体" w:cs="宋体"/>
          <w:b/>
          <w:bCs/>
          <w:color w:val="auto"/>
          <w:sz w:val="24"/>
          <w:szCs w:val="24"/>
          <w:highlight w:val="none"/>
          <w:lang w:bidi="ar-SA"/>
        </w:rPr>
        <w:t>否则其响应文件按无效响应处理</w:t>
      </w:r>
      <w:r>
        <w:rPr>
          <w:rFonts w:hint="eastAsia" w:ascii="宋体" w:eastAsia="宋体" w:cs="宋体"/>
          <w:color w:val="auto"/>
          <w:sz w:val="24"/>
          <w:szCs w:val="24"/>
          <w:highlight w:val="none"/>
          <w:lang w:bidi="ar-SA"/>
        </w:rPr>
        <w:t>。</w:t>
      </w:r>
    </w:p>
    <w:p w14:paraId="2A3978B6">
      <w:pPr>
        <w:spacing w:line="360" w:lineRule="auto"/>
        <w:ind w:right="-817" w:rightChars="-389"/>
        <w:contextualSpacing/>
        <w:rPr>
          <w:rFonts w:hint="eastAsia" w:ascii="宋体" w:eastAsia="宋体" w:cs="宋体"/>
          <w:color w:val="auto"/>
          <w:sz w:val="24"/>
          <w:highlight w:val="none"/>
          <w:lang w:bidi="ar-SA"/>
        </w:rPr>
      </w:pPr>
    </w:p>
    <w:p w14:paraId="541167F9">
      <w:pPr>
        <w:spacing w:line="360" w:lineRule="auto"/>
        <w:ind w:right="-817" w:rightChars="-389" w:firstLine="960" w:firstLineChars="4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法定代表人（签字或盖章）或者委托代理人（签字）：                    </w:t>
      </w:r>
    </w:p>
    <w:p w14:paraId="3742FDBD">
      <w:pPr>
        <w:spacing w:line="360" w:lineRule="auto"/>
        <w:ind w:right="-817" w:rightChars="-389" w:firstLine="2640" w:firstLineChars="11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供应商（盖公章）：      </w:t>
      </w:r>
    </w:p>
    <w:p w14:paraId="12219992">
      <w:pPr>
        <w:spacing w:line="360" w:lineRule="auto"/>
        <w:ind w:right="-817" w:rightChars="-389" w:firstLine="4080" w:firstLineChars="17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日期：   年   月   日</w:t>
      </w:r>
    </w:p>
    <w:p w14:paraId="385EB8B4">
      <w:pPr>
        <w:snapToGrid w:val="0"/>
        <w:spacing w:before="156" w:after="50"/>
        <w:ind w:left="142"/>
        <w:jc w:val="left"/>
        <w:rPr>
          <w:rFonts w:hint="eastAsia" w:ascii="宋体" w:eastAsia="宋体" w:cs="宋体"/>
          <w:b/>
          <w:color w:val="auto"/>
          <w:sz w:val="24"/>
          <w:highlight w:val="none"/>
          <w:lang w:bidi="ar-SA"/>
        </w:rPr>
      </w:pPr>
      <w:r>
        <w:rPr>
          <w:rFonts w:hint="eastAsia" w:ascii="宋体" w:eastAsia="宋体" w:cs="宋体"/>
          <w:color w:val="auto"/>
          <w:sz w:val="24"/>
          <w:highlight w:val="none"/>
          <w:lang w:bidi="ar-SA"/>
        </w:rPr>
        <w:br w:type="page"/>
      </w:r>
      <w:r>
        <w:rPr>
          <w:rFonts w:hint="eastAsia" w:ascii="宋体" w:eastAsia="宋体" w:cs="宋体"/>
          <w:b/>
          <w:color w:val="auto"/>
          <w:sz w:val="24"/>
          <w:highlight w:val="none"/>
          <w:lang w:bidi="ar-SA"/>
        </w:rPr>
        <w:t>项目实施人员一览表格式</w:t>
      </w:r>
    </w:p>
    <w:p w14:paraId="7FAE8E0A">
      <w:pPr>
        <w:snapToGrid w:val="0"/>
        <w:spacing w:before="156" w:after="50"/>
        <w:ind w:left="142"/>
        <w:jc w:val="left"/>
        <w:rPr>
          <w:rFonts w:hint="eastAsia" w:ascii="宋体" w:eastAsia="宋体" w:cs="宋体"/>
          <w:b/>
          <w:color w:val="auto"/>
          <w:sz w:val="24"/>
          <w:highlight w:val="none"/>
          <w:lang w:bidi="ar-SA"/>
        </w:rPr>
      </w:pPr>
    </w:p>
    <w:p w14:paraId="7772E6C7">
      <w:pPr>
        <w:spacing w:line="360" w:lineRule="auto"/>
        <w:ind w:left="142"/>
        <w:contextualSpacing/>
        <w:jc w:val="center"/>
        <w:rPr>
          <w:rFonts w:hint="eastAsia" w:ascii="宋体" w:eastAsia="宋体" w:cs="宋体"/>
          <w:b/>
          <w:color w:val="auto"/>
          <w:sz w:val="32"/>
          <w:szCs w:val="32"/>
          <w:highlight w:val="none"/>
          <w:lang w:bidi="ar-SA"/>
        </w:rPr>
      </w:pPr>
      <w:r>
        <w:rPr>
          <w:rFonts w:hint="eastAsia" w:ascii="宋体" w:eastAsia="宋体" w:cs="宋体"/>
          <w:b/>
          <w:color w:val="auto"/>
          <w:sz w:val="32"/>
          <w:szCs w:val="32"/>
          <w:highlight w:val="none"/>
          <w:lang w:bidi="ar-SA"/>
        </w:rPr>
        <w:t>项目实施人员一览表</w:t>
      </w:r>
    </w:p>
    <w:p w14:paraId="74B57BCA">
      <w:pPr>
        <w:pStyle w:val="19"/>
        <w:spacing w:line="360" w:lineRule="auto"/>
        <w:contextualSpacing/>
        <w:rPr>
          <w:rFonts w:hint="eastAsia" w:ascii="宋体" w:eastAsia="宋体" w:cs="宋体"/>
          <w:color w:val="auto"/>
          <w:sz w:val="24"/>
          <w:szCs w:val="24"/>
          <w:highlight w:val="none"/>
          <w:lang w:bidi="ar-SA"/>
        </w:rPr>
      </w:pP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100"/>
        <w:gridCol w:w="2641"/>
        <w:gridCol w:w="2205"/>
        <w:gridCol w:w="2637"/>
      </w:tblGrid>
      <w:tr w14:paraId="0364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14:paraId="0169B131">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姓名</w:t>
            </w:r>
          </w:p>
        </w:tc>
        <w:tc>
          <w:tcPr>
            <w:tcW w:w="1100" w:type="dxa"/>
            <w:noWrap w:val="0"/>
            <w:vAlign w:val="center"/>
          </w:tcPr>
          <w:p w14:paraId="77FF0D14">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拟在本项目担任的岗位</w:t>
            </w:r>
          </w:p>
        </w:tc>
        <w:tc>
          <w:tcPr>
            <w:tcW w:w="2641" w:type="dxa"/>
            <w:noWrap w:val="0"/>
            <w:vAlign w:val="center"/>
          </w:tcPr>
          <w:p w14:paraId="7B932C97">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专业技术资格（职称）或者职业资格或者执业资格证或者其他证书</w:t>
            </w:r>
          </w:p>
        </w:tc>
        <w:tc>
          <w:tcPr>
            <w:tcW w:w="2205" w:type="dxa"/>
            <w:noWrap w:val="0"/>
            <w:vAlign w:val="center"/>
          </w:tcPr>
          <w:p w14:paraId="32176FB7">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证书编号</w:t>
            </w:r>
          </w:p>
        </w:tc>
        <w:tc>
          <w:tcPr>
            <w:tcW w:w="2637" w:type="dxa"/>
            <w:noWrap w:val="0"/>
            <w:vAlign w:val="center"/>
          </w:tcPr>
          <w:p w14:paraId="71AEB68C">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参加本单位</w:t>
            </w:r>
          </w:p>
          <w:p w14:paraId="3FB70CF7">
            <w:pPr>
              <w:spacing w:line="360" w:lineRule="auto"/>
              <w:contextualSpacing/>
              <w:jc w:val="center"/>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工作时间</w:t>
            </w:r>
          </w:p>
        </w:tc>
      </w:tr>
      <w:tr w14:paraId="25A2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14:paraId="2AE70A1A">
            <w:pPr>
              <w:spacing w:line="360" w:lineRule="auto"/>
              <w:contextualSpacing/>
              <w:jc w:val="center"/>
              <w:rPr>
                <w:rFonts w:hint="eastAsia" w:ascii="宋体" w:eastAsia="宋体" w:cs="宋体"/>
                <w:color w:val="auto"/>
                <w:sz w:val="24"/>
                <w:szCs w:val="20"/>
                <w:highlight w:val="none"/>
                <w:lang w:bidi="ar-SA"/>
              </w:rPr>
            </w:pPr>
          </w:p>
        </w:tc>
        <w:tc>
          <w:tcPr>
            <w:tcW w:w="1100" w:type="dxa"/>
            <w:noWrap w:val="0"/>
            <w:vAlign w:val="center"/>
          </w:tcPr>
          <w:p w14:paraId="4147C40F">
            <w:pPr>
              <w:spacing w:line="360" w:lineRule="auto"/>
              <w:contextualSpacing/>
              <w:jc w:val="center"/>
              <w:rPr>
                <w:rFonts w:hint="eastAsia" w:ascii="宋体" w:eastAsia="宋体" w:cs="宋体"/>
                <w:color w:val="auto"/>
                <w:sz w:val="24"/>
                <w:szCs w:val="20"/>
                <w:highlight w:val="none"/>
                <w:lang w:bidi="ar-SA"/>
              </w:rPr>
            </w:pPr>
          </w:p>
        </w:tc>
        <w:tc>
          <w:tcPr>
            <w:tcW w:w="2641" w:type="dxa"/>
            <w:noWrap w:val="0"/>
            <w:vAlign w:val="center"/>
          </w:tcPr>
          <w:p w14:paraId="7B595DB1">
            <w:pPr>
              <w:spacing w:line="360" w:lineRule="auto"/>
              <w:contextualSpacing/>
              <w:jc w:val="center"/>
              <w:rPr>
                <w:rFonts w:hint="eastAsia" w:ascii="宋体" w:eastAsia="宋体" w:cs="宋体"/>
                <w:color w:val="auto"/>
                <w:sz w:val="24"/>
                <w:szCs w:val="20"/>
                <w:highlight w:val="none"/>
                <w:lang w:bidi="ar-SA"/>
              </w:rPr>
            </w:pPr>
          </w:p>
        </w:tc>
        <w:tc>
          <w:tcPr>
            <w:tcW w:w="2205" w:type="dxa"/>
            <w:noWrap w:val="0"/>
            <w:vAlign w:val="center"/>
          </w:tcPr>
          <w:p w14:paraId="2ABE1C9D">
            <w:pPr>
              <w:spacing w:line="360" w:lineRule="auto"/>
              <w:contextualSpacing/>
              <w:jc w:val="center"/>
              <w:rPr>
                <w:rFonts w:hint="eastAsia" w:ascii="宋体" w:eastAsia="宋体" w:cs="宋体"/>
                <w:color w:val="auto"/>
                <w:sz w:val="24"/>
                <w:szCs w:val="20"/>
                <w:highlight w:val="none"/>
                <w:lang w:bidi="ar-SA"/>
              </w:rPr>
            </w:pPr>
          </w:p>
        </w:tc>
        <w:tc>
          <w:tcPr>
            <w:tcW w:w="2637" w:type="dxa"/>
            <w:noWrap w:val="0"/>
            <w:vAlign w:val="center"/>
          </w:tcPr>
          <w:p w14:paraId="4EC93F9D">
            <w:pPr>
              <w:spacing w:line="360" w:lineRule="auto"/>
              <w:contextualSpacing/>
              <w:jc w:val="center"/>
              <w:rPr>
                <w:rFonts w:hint="eastAsia" w:ascii="宋体" w:eastAsia="宋体" w:cs="宋体"/>
                <w:color w:val="auto"/>
                <w:sz w:val="24"/>
                <w:szCs w:val="20"/>
                <w:highlight w:val="none"/>
                <w:lang w:bidi="ar-SA"/>
              </w:rPr>
            </w:pPr>
          </w:p>
        </w:tc>
      </w:tr>
      <w:tr w14:paraId="44B2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14:paraId="0CEC886D">
            <w:pPr>
              <w:spacing w:line="360" w:lineRule="auto"/>
              <w:contextualSpacing/>
              <w:jc w:val="center"/>
              <w:rPr>
                <w:rFonts w:hint="eastAsia" w:ascii="宋体" w:eastAsia="宋体" w:cs="宋体"/>
                <w:color w:val="auto"/>
                <w:sz w:val="24"/>
                <w:szCs w:val="20"/>
                <w:highlight w:val="none"/>
                <w:lang w:bidi="ar-SA"/>
              </w:rPr>
            </w:pPr>
          </w:p>
        </w:tc>
        <w:tc>
          <w:tcPr>
            <w:tcW w:w="1100" w:type="dxa"/>
            <w:noWrap w:val="0"/>
            <w:vAlign w:val="center"/>
          </w:tcPr>
          <w:p w14:paraId="052C79D8">
            <w:pPr>
              <w:spacing w:line="360" w:lineRule="auto"/>
              <w:contextualSpacing/>
              <w:jc w:val="center"/>
              <w:rPr>
                <w:rFonts w:hint="eastAsia" w:ascii="宋体" w:eastAsia="宋体" w:cs="宋体"/>
                <w:color w:val="auto"/>
                <w:sz w:val="24"/>
                <w:szCs w:val="20"/>
                <w:highlight w:val="none"/>
                <w:lang w:bidi="ar-SA"/>
              </w:rPr>
            </w:pPr>
          </w:p>
        </w:tc>
        <w:tc>
          <w:tcPr>
            <w:tcW w:w="2641" w:type="dxa"/>
            <w:noWrap w:val="0"/>
            <w:vAlign w:val="center"/>
          </w:tcPr>
          <w:p w14:paraId="56C16FE8">
            <w:pPr>
              <w:spacing w:line="360" w:lineRule="auto"/>
              <w:contextualSpacing/>
              <w:jc w:val="center"/>
              <w:rPr>
                <w:rFonts w:hint="eastAsia" w:ascii="宋体" w:eastAsia="宋体" w:cs="宋体"/>
                <w:color w:val="auto"/>
                <w:sz w:val="24"/>
                <w:szCs w:val="20"/>
                <w:highlight w:val="none"/>
                <w:lang w:bidi="ar-SA"/>
              </w:rPr>
            </w:pPr>
          </w:p>
        </w:tc>
        <w:tc>
          <w:tcPr>
            <w:tcW w:w="2205" w:type="dxa"/>
            <w:noWrap w:val="0"/>
            <w:vAlign w:val="center"/>
          </w:tcPr>
          <w:p w14:paraId="212E08D0">
            <w:pPr>
              <w:spacing w:line="360" w:lineRule="auto"/>
              <w:contextualSpacing/>
              <w:jc w:val="center"/>
              <w:rPr>
                <w:rFonts w:hint="eastAsia" w:ascii="宋体" w:eastAsia="宋体" w:cs="宋体"/>
                <w:color w:val="auto"/>
                <w:sz w:val="24"/>
                <w:szCs w:val="20"/>
                <w:highlight w:val="none"/>
                <w:lang w:bidi="ar-SA"/>
              </w:rPr>
            </w:pPr>
          </w:p>
        </w:tc>
        <w:tc>
          <w:tcPr>
            <w:tcW w:w="2637" w:type="dxa"/>
            <w:noWrap w:val="0"/>
            <w:vAlign w:val="center"/>
          </w:tcPr>
          <w:p w14:paraId="6A48C2BC">
            <w:pPr>
              <w:spacing w:line="360" w:lineRule="auto"/>
              <w:contextualSpacing/>
              <w:jc w:val="center"/>
              <w:rPr>
                <w:rFonts w:hint="eastAsia" w:ascii="宋体" w:eastAsia="宋体" w:cs="宋体"/>
                <w:color w:val="auto"/>
                <w:sz w:val="24"/>
                <w:szCs w:val="20"/>
                <w:highlight w:val="none"/>
                <w:lang w:bidi="ar-SA"/>
              </w:rPr>
            </w:pPr>
          </w:p>
        </w:tc>
      </w:tr>
      <w:tr w14:paraId="0D1E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noWrap w:val="0"/>
            <w:vAlign w:val="center"/>
          </w:tcPr>
          <w:p w14:paraId="36997465">
            <w:pPr>
              <w:spacing w:line="360" w:lineRule="auto"/>
              <w:contextualSpacing/>
              <w:jc w:val="center"/>
              <w:rPr>
                <w:rFonts w:hint="eastAsia" w:ascii="宋体" w:eastAsia="宋体" w:cs="宋体"/>
                <w:color w:val="auto"/>
                <w:sz w:val="24"/>
                <w:szCs w:val="20"/>
                <w:highlight w:val="none"/>
                <w:lang w:bidi="ar-SA"/>
              </w:rPr>
            </w:pPr>
          </w:p>
        </w:tc>
        <w:tc>
          <w:tcPr>
            <w:tcW w:w="1100" w:type="dxa"/>
            <w:noWrap w:val="0"/>
            <w:vAlign w:val="center"/>
          </w:tcPr>
          <w:p w14:paraId="28A488C2">
            <w:pPr>
              <w:spacing w:line="360" w:lineRule="auto"/>
              <w:contextualSpacing/>
              <w:jc w:val="center"/>
              <w:rPr>
                <w:rFonts w:hint="eastAsia" w:ascii="宋体" w:eastAsia="宋体" w:cs="宋体"/>
                <w:color w:val="auto"/>
                <w:sz w:val="24"/>
                <w:szCs w:val="20"/>
                <w:highlight w:val="none"/>
                <w:lang w:bidi="ar-SA"/>
              </w:rPr>
            </w:pPr>
          </w:p>
        </w:tc>
        <w:tc>
          <w:tcPr>
            <w:tcW w:w="2641" w:type="dxa"/>
            <w:noWrap w:val="0"/>
            <w:vAlign w:val="center"/>
          </w:tcPr>
          <w:p w14:paraId="26D4D59F">
            <w:pPr>
              <w:spacing w:line="360" w:lineRule="auto"/>
              <w:contextualSpacing/>
              <w:jc w:val="center"/>
              <w:rPr>
                <w:rFonts w:hint="eastAsia" w:ascii="宋体" w:eastAsia="宋体" w:cs="宋体"/>
                <w:color w:val="auto"/>
                <w:sz w:val="24"/>
                <w:szCs w:val="20"/>
                <w:highlight w:val="none"/>
                <w:lang w:bidi="ar-SA"/>
              </w:rPr>
            </w:pPr>
          </w:p>
        </w:tc>
        <w:tc>
          <w:tcPr>
            <w:tcW w:w="2205" w:type="dxa"/>
            <w:noWrap w:val="0"/>
            <w:vAlign w:val="center"/>
          </w:tcPr>
          <w:p w14:paraId="57A7E892">
            <w:pPr>
              <w:spacing w:line="360" w:lineRule="auto"/>
              <w:contextualSpacing/>
              <w:jc w:val="center"/>
              <w:rPr>
                <w:rFonts w:hint="eastAsia" w:ascii="宋体" w:eastAsia="宋体" w:cs="宋体"/>
                <w:color w:val="auto"/>
                <w:sz w:val="24"/>
                <w:szCs w:val="20"/>
                <w:highlight w:val="none"/>
                <w:lang w:bidi="ar-SA"/>
              </w:rPr>
            </w:pPr>
          </w:p>
        </w:tc>
        <w:tc>
          <w:tcPr>
            <w:tcW w:w="2637" w:type="dxa"/>
            <w:noWrap w:val="0"/>
            <w:vAlign w:val="center"/>
          </w:tcPr>
          <w:p w14:paraId="74E7B12F">
            <w:pPr>
              <w:spacing w:line="360" w:lineRule="auto"/>
              <w:contextualSpacing/>
              <w:jc w:val="center"/>
              <w:rPr>
                <w:rFonts w:hint="eastAsia" w:ascii="宋体" w:eastAsia="宋体" w:cs="宋体"/>
                <w:color w:val="auto"/>
                <w:sz w:val="24"/>
                <w:szCs w:val="20"/>
                <w:highlight w:val="none"/>
                <w:lang w:bidi="ar-SA"/>
              </w:rPr>
            </w:pPr>
          </w:p>
        </w:tc>
      </w:tr>
    </w:tbl>
    <w:p w14:paraId="073A25BA">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注：</w:t>
      </w:r>
    </w:p>
    <w:p w14:paraId="25FDB6F5">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1.</w:t>
      </w:r>
      <w:r>
        <w:rPr>
          <w:rFonts w:hint="eastAsia" w:ascii="宋体" w:eastAsia="宋体" w:cs="宋体"/>
          <w:b/>
          <w:bCs/>
          <w:color w:val="auto"/>
          <w:sz w:val="24"/>
          <w:szCs w:val="20"/>
          <w:highlight w:val="none"/>
          <w:lang w:bidi="ar-SA"/>
        </w:rPr>
        <w:t>在填写时，如本表格不适合供应商的实际情况，可根据本表格式自行制表填写</w:t>
      </w:r>
      <w:r>
        <w:rPr>
          <w:rFonts w:hint="eastAsia" w:ascii="宋体" w:eastAsia="宋体" w:cs="宋体"/>
          <w:color w:val="auto"/>
          <w:sz w:val="24"/>
          <w:szCs w:val="20"/>
          <w:highlight w:val="none"/>
          <w:lang w:bidi="ar-SA"/>
        </w:rPr>
        <w:t>。</w:t>
      </w:r>
    </w:p>
    <w:p w14:paraId="367E35AE">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2.供应商应当附本表所列证书的复印件并加盖供应商公章。</w:t>
      </w:r>
    </w:p>
    <w:p w14:paraId="4A20B30B">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3.如为联合体竞标，“供应商名称”处必须列明联合体各方名称，</w:t>
      </w:r>
      <w:r>
        <w:rPr>
          <w:rFonts w:hint="eastAsia" w:ascii="宋体" w:eastAsia="宋体" w:cs="宋体"/>
          <w:b/>
          <w:bCs/>
          <w:color w:val="auto"/>
          <w:sz w:val="24"/>
          <w:szCs w:val="20"/>
          <w:highlight w:val="none"/>
          <w:lang w:bidi="ar-SA"/>
        </w:rPr>
        <w:t>否则其响应文件按无效响应处理</w:t>
      </w:r>
      <w:r>
        <w:rPr>
          <w:rFonts w:hint="eastAsia" w:ascii="宋体" w:eastAsia="宋体" w:cs="宋体"/>
          <w:color w:val="auto"/>
          <w:sz w:val="24"/>
          <w:szCs w:val="20"/>
          <w:highlight w:val="none"/>
          <w:lang w:bidi="ar-SA"/>
        </w:rPr>
        <w:t>。</w:t>
      </w:r>
    </w:p>
    <w:p w14:paraId="5B059574">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z w:val="24"/>
          <w:szCs w:val="20"/>
          <w:highlight w:val="none"/>
          <w:lang w:bidi="ar-SA"/>
        </w:rPr>
        <w:t>4.如为联合体竞标，盖章处须加盖联合体牵头人公章并由联合体牵头人法定代表人或其委托代理人签署，</w:t>
      </w:r>
      <w:r>
        <w:rPr>
          <w:rFonts w:hint="eastAsia" w:ascii="宋体" w:eastAsia="宋体" w:cs="宋体"/>
          <w:b/>
          <w:bCs/>
          <w:color w:val="auto"/>
          <w:sz w:val="24"/>
          <w:szCs w:val="20"/>
          <w:highlight w:val="none"/>
          <w:lang w:bidi="ar-SA"/>
        </w:rPr>
        <w:t>否则其响应文件按无效响应处理</w:t>
      </w:r>
      <w:r>
        <w:rPr>
          <w:rFonts w:hint="eastAsia" w:ascii="宋体" w:eastAsia="宋体" w:cs="宋体"/>
          <w:color w:val="auto"/>
          <w:sz w:val="24"/>
          <w:szCs w:val="20"/>
          <w:highlight w:val="none"/>
          <w:lang w:bidi="ar-SA"/>
        </w:rPr>
        <w:t>。</w:t>
      </w:r>
    </w:p>
    <w:p w14:paraId="794CF524">
      <w:pPr>
        <w:spacing w:line="360" w:lineRule="auto"/>
        <w:contextualSpacing/>
        <w:rPr>
          <w:rFonts w:hint="eastAsia" w:ascii="宋体" w:eastAsia="宋体" w:cs="宋体"/>
          <w:color w:val="auto"/>
          <w:sz w:val="24"/>
          <w:highlight w:val="none"/>
          <w:lang w:bidi="ar-SA"/>
        </w:rPr>
      </w:pPr>
    </w:p>
    <w:p w14:paraId="1DF526A7">
      <w:pPr>
        <w:spacing w:line="360" w:lineRule="auto"/>
        <w:contextualSpacing/>
        <w:rPr>
          <w:rFonts w:hint="eastAsia" w:ascii="宋体" w:eastAsia="宋体" w:cs="宋体"/>
          <w:color w:val="auto"/>
          <w:sz w:val="24"/>
          <w:highlight w:val="none"/>
          <w:lang w:bidi="ar-SA"/>
        </w:rPr>
      </w:pPr>
    </w:p>
    <w:p w14:paraId="6C7C5672">
      <w:pPr>
        <w:spacing w:line="360" w:lineRule="auto"/>
        <w:contextualSpacing/>
        <w:rPr>
          <w:rFonts w:hint="eastAsia" w:ascii="宋体" w:eastAsia="宋体" w:cs="宋体"/>
          <w:color w:val="auto"/>
          <w:spacing w:val="20"/>
          <w:sz w:val="24"/>
          <w:szCs w:val="20"/>
          <w:highlight w:val="none"/>
          <w:u w:val="single"/>
          <w:lang w:bidi="ar-SA"/>
        </w:rPr>
      </w:pPr>
      <w:r>
        <w:rPr>
          <w:rFonts w:hint="eastAsia" w:ascii="宋体" w:eastAsia="宋体" w:cs="宋体"/>
          <w:color w:val="auto"/>
          <w:sz w:val="24"/>
          <w:highlight w:val="none"/>
          <w:lang w:bidi="ar-SA"/>
        </w:rPr>
        <w:t>法定代表人（签字或盖章）或者委托代理人（签字）</w:t>
      </w:r>
      <w:r>
        <w:rPr>
          <w:rFonts w:hint="eastAsia" w:ascii="宋体" w:eastAsia="宋体" w:cs="宋体"/>
          <w:color w:val="auto"/>
          <w:spacing w:val="20"/>
          <w:sz w:val="24"/>
          <w:highlight w:val="none"/>
          <w:lang w:bidi="ar-SA"/>
        </w:rPr>
        <w:t>：</w:t>
      </w:r>
      <w:r>
        <w:rPr>
          <w:rFonts w:hint="eastAsia" w:ascii="宋体" w:eastAsia="宋体" w:cs="宋体"/>
          <w:color w:val="auto"/>
          <w:spacing w:val="20"/>
          <w:sz w:val="24"/>
          <w:highlight w:val="none"/>
          <w:u w:val="single"/>
          <w:lang w:bidi="ar-SA"/>
        </w:rPr>
        <w:t xml:space="preserve">        </w:t>
      </w:r>
    </w:p>
    <w:p w14:paraId="0C59A4B0">
      <w:pPr>
        <w:spacing w:line="360" w:lineRule="auto"/>
        <w:contextualSpacing/>
        <w:jc w:val="left"/>
        <w:rPr>
          <w:rFonts w:hint="eastAsia" w:ascii="宋体" w:eastAsia="宋体" w:cs="宋体"/>
          <w:color w:val="auto"/>
          <w:sz w:val="24"/>
          <w:szCs w:val="20"/>
          <w:highlight w:val="none"/>
          <w:lang w:bidi="ar-SA"/>
        </w:rPr>
      </w:pPr>
      <w:r>
        <w:rPr>
          <w:rFonts w:hint="eastAsia" w:ascii="宋体" w:eastAsia="宋体" w:cs="宋体"/>
          <w:color w:val="auto"/>
          <w:spacing w:val="20"/>
          <w:sz w:val="24"/>
          <w:highlight w:val="none"/>
          <w:lang w:bidi="ar-SA"/>
        </w:rPr>
        <w:t>供应商（盖公章）：</w:t>
      </w:r>
      <w:r>
        <w:rPr>
          <w:rFonts w:hint="eastAsia" w:ascii="宋体" w:eastAsia="宋体" w:cs="宋体"/>
          <w:color w:val="auto"/>
          <w:spacing w:val="20"/>
          <w:sz w:val="24"/>
          <w:highlight w:val="none"/>
          <w:u w:val="single"/>
          <w:lang w:bidi="ar-SA"/>
        </w:rPr>
        <w:t xml:space="preserve">            </w:t>
      </w:r>
      <w:r>
        <w:rPr>
          <w:rFonts w:hint="eastAsia" w:ascii="宋体" w:eastAsia="宋体" w:cs="宋体"/>
          <w:color w:val="auto"/>
          <w:spacing w:val="20"/>
          <w:sz w:val="24"/>
          <w:highlight w:val="none"/>
          <w:lang w:bidi="ar-SA"/>
        </w:rPr>
        <w:t xml:space="preserve">              日 期：</w:t>
      </w:r>
      <w:r>
        <w:rPr>
          <w:rFonts w:hint="eastAsia" w:ascii="宋体" w:eastAsia="宋体" w:cs="宋体"/>
          <w:color w:val="auto"/>
          <w:spacing w:val="20"/>
          <w:sz w:val="24"/>
          <w:highlight w:val="none"/>
          <w:u w:val="single"/>
          <w:lang w:bidi="ar-SA"/>
        </w:rPr>
        <w:t xml:space="preserve">         </w:t>
      </w:r>
    </w:p>
    <w:p w14:paraId="22E7293D">
      <w:pPr>
        <w:snapToGrid w:val="0"/>
        <w:spacing w:before="50" w:after="156"/>
        <w:jc w:val="left"/>
        <w:rPr>
          <w:rFonts w:hint="eastAsia" w:ascii="宋体" w:eastAsia="宋体" w:cs="宋体"/>
          <w:color w:val="auto"/>
          <w:sz w:val="24"/>
          <w:szCs w:val="20"/>
          <w:highlight w:val="none"/>
          <w:lang w:bidi="ar-SA"/>
        </w:rPr>
      </w:pPr>
    </w:p>
    <w:p w14:paraId="6404C88E">
      <w:pPr>
        <w:snapToGrid w:val="0"/>
        <w:spacing w:before="50" w:after="50" w:line="360" w:lineRule="auto"/>
        <w:ind w:right="-817" w:rightChars="-389" w:firstLine="5461" w:firstLineChars="1700"/>
        <w:rPr>
          <w:rFonts w:hint="eastAsia" w:ascii="宋体" w:eastAsia="宋体" w:cs="宋体"/>
          <w:b/>
          <w:color w:val="auto"/>
          <w:sz w:val="32"/>
          <w:szCs w:val="32"/>
          <w:highlight w:val="none"/>
          <w:lang w:bidi="ar-SA"/>
        </w:rPr>
      </w:pPr>
    </w:p>
    <w:p w14:paraId="074ABECF">
      <w:pPr>
        <w:spacing w:line="300" w:lineRule="auto"/>
        <w:rPr>
          <w:rFonts w:hint="eastAsia" w:ascii="宋体" w:eastAsia="宋体" w:cs="宋体"/>
          <w:color w:val="auto"/>
          <w:szCs w:val="21"/>
          <w:highlight w:val="none"/>
          <w:lang w:bidi="ar-SA"/>
        </w:rPr>
      </w:pPr>
      <w:r>
        <w:rPr>
          <w:rFonts w:hint="eastAsia" w:ascii="宋体" w:eastAsia="宋体" w:cs="宋体"/>
          <w:b/>
          <w:bCs/>
          <w:color w:val="auto"/>
          <w:sz w:val="24"/>
          <w:highlight w:val="none"/>
          <w:lang w:bidi="ar-SA"/>
        </w:rPr>
        <w:br w:type="page"/>
      </w:r>
      <w:r>
        <w:rPr>
          <w:rFonts w:hint="eastAsia" w:ascii="宋体" w:eastAsia="宋体" w:cs="宋体"/>
          <w:b/>
          <w:bCs/>
          <w:color w:val="auto"/>
          <w:sz w:val="24"/>
          <w:highlight w:val="none"/>
          <w:lang w:bidi="ar-SA"/>
        </w:rPr>
        <w:t>其他文书、文件格式</w:t>
      </w:r>
    </w:p>
    <w:p w14:paraId="6DA460EC">
      <w:pPr>
        <w:jc w:val="center"/>
        <w:rPr>
          <w:rFonts w:hint="eastAsia" w:ascii="宋体" w:hAnsi="宋体" w:cs="宋体"/>
          <w:color w:val="auto"/>
          <w:sz w:val="44"/>
          <w:szCs w:val="44"/>
          <w:highlight w:val="none"/>
        </w:rPr>
      </w:pPr>
      <w:bookmarkStart w:id="136" w:name="_Toc71365926"/>
      <w:r>
        <w:rPr>
          <w:rFonts w:hint="eastAsia" w:ascii="宋体" w:hAnsi="宋体" w:cs="宋体"/>
          <w:color w:val="auto"/>
          <w:sz w:val="44"/>
          <w:szCs w:val="44"/>
          <w:highlight w:val="none"/>
        </w:rPr>
        <w:t>中小企业声明函（货物）</w:t>
      </w:r>
    </w:p>
    <w:p w14:paraId="4D1398EF">
      <w:pPr>
        <w:spacing w:before="2" w:line="500" w:lineRule="exact"/>
        <w:rPr>
          <w:rFonts w:hint="eastAsia" w:ascii="宋体" w:hAnsi="宋体" w:cs="宋体"/>
          <w:b/>
          <w:bCs/>
          <w:color w:val="auto"/>
          <w:sz w:val="27"/>
          <w:szCs w:val="27"/>
          <w:highlight w:val="none"/>
        </w:rPr>
      </w:pPr>
    </w:p>
    <w:p w14:paraId="1E983DD4">
      <w:pPr>
        <w:pStyle w:val="16"/>
        <w:spacing w:line="360" w:lineRule="auto"/>
        <w:ind w:left="-426" w:leftChars="-203" w:right="142" w:firstLine="480" w:firstLineChars="200"/>
        <w:contextualSpacing/>
        <w:rPr>
          <w:rFonts w:hint="eastAsia" w:ascii="宋体" w:hAnsi="宋体" w:cs="宋体"/>
          <w:color w:val="auto"/>
          <w:kern w:val="24"/>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17DB74BD">
      <w:pPr>
        <w:tabs>
          <w:tab w:val="left" w:pos="1384"/>
          <w:tab w:val="left" w:pos="4562"/>
          <w:tab w:val="left" w:pos="6803"/>
        </w:tabs>
        <w:spacing w:line="360" w:lineRule="auto"/>
        <w:ind w:left="-426" w:right="-58" w:firstLine="655"/>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1.</w:t>
      </w:r>
      <w:r>
        <w:rPr>
          <w:rFonts w:hint="eastAsia" w:ascii="宋体" w:hAnsi="宋体" w:cs="宋体"/>
          <w:color w:val="auto"/>
          <w:kern w:val="24"/>
          <w:sz w:val="24"/>
          <w:szCs w:val="24"/>
          <w:highlight w:val="none"/>
          <w:u w:val="single"/>
        </w:rPr>
        <w:t>（标的名称）</w:t>
      </w:r>
      <w:r>
        <w:rPr>
          <w:rFonts w:hint="eastAsia" w:ascii="宋体" w:hAnsi="宋体" w:cs="宋体"/>
          <w:color w:val="auto"/>
          <w:kern w:val="24"/>
          <w:sz w:val="24"/>
          <w:szCs w:val="24"/>
          <w:highlight w:val="none"/>
        </w:rPr>
        <w:t>，属于</w:t>
      </w:r>
      <w:r>
        <w:rPr>
          <w:rFonts w:hint="eastAsia" w:ascii="宋体" w:hAnsi="宋体" w:cs="宋体"/>
          <w:color w:val="auto"/>
          <w:kern w:val="24"/>
          <w:sz w:val="24"/>
          <w:szCs w:val="24"/>
          <w:highlight w:val="none"/>
          <w:u w:val="single"/>
        </w:rPr>
        <w:t>（采购文件中明确的所属行业）</w:t>
      </w:r>
      <w:r>
        <w:rPr>
          <w:rFonts w:hint="eastAsia" w:ascii="宋体" w:hAnsi="宋体" w:cs="宋体"/>
          <w:color w:val="auto"/>
          <w:kern w:val="24"/>
          <w:sz w:val="24"/>
          <w:szCs w:val="24"/>
          <w:highlight w:val="none"/>
        </w:rPr>
        <w:t>行业；制造商为</w:t>
      </w:r>
      <w:r>
        <w:rPr>
          <w:rFonts w:hint="eastAsia" w:ascii="宋体" w:hAnsi="宋体" w:cs="宋体"/>
          <w:color w:val="auto"/>
          <w:kern w:val="24"/>
          <w:sz w:val="24"/>
          <w:szCs w:val="24"/>
          <w:highlight w:val="none"/>
          <w:u w:val="single"/>
        </w:rPr>
        <w:t>（企业名称）</w:t>
      </w:r>
      <w:r>
        <w:rPr>
          <w:rFonts w:hint="eastAsia" w:ascii="宋体" w:hAnsi="宋体" w:cs="宋体"/>
          <w:color w:val="auto"/>
          <w:kern w:val="24"/>
          <w:sz w:val="24"/>
          <w:szCs w:val="24"/>
          <w:highlight w:val="none"/>
        </w:rPr>
        <w:t>，从业人员</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人，营业收入为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万元，资产总额为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万元，属于</w:t>
      </w:r>
      <w:r>
        <w:rPr>
          <w:rFonts w:hint="eastAsia" w:ascii="宋体" w:hAnsi="宋体" w:cs="宋体"/>
          <w:color w:val="auto"/>
          <w:kern w:val="24"/>
          <w:sz w:val="24"/>
          <w:szCs w:val="24"/>
          <w:highlight w:val="none"/>
          <w:u w:val="single"/>
        </w:rPr>
        <w:t>（中型企业、小型企业、微型企业）</w:t>
      </w:r>
      <w:r>
        <w:rPr>
          <w:rFonts w:hint="eastAsia" w:ascii="宋体" w:hAnsi="宋体" w:cs="宋体"/>
          <w:color w:val="auto"/>
          <w:kern w:val="24"/>
          <w:sz w:val="24"/>
          <w:szCs w:val="24"/>
          <w:highlight w:val="none"/>
        </w:rPr>
        <w:t>；</w:t>
      </w:r>
    </w:p>
    <w:p w14:paraId="2F36A6F3">
      <w:pPr>
        <w:tabs>
          <w:tab w:val="left" w:pos="1065"/>
          <w:tab w:val="left" w:pos="6477"/>
        </w:tabs>
        <w:spacing w:line="360" w:lineRule="auto"/>
        <w:ind w:left="-426" w:right="-58" w:firstLine="655"/>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2.</w:t>
      </w:r>
      <w:r>
        <w:rPr>
          <w:rFonts w:hint="eastAsia" w:ascii="宋体" w:hAnsi="宋体" w:cs="宋体"/>
          <w:color w:val="auto"/>
          <w:kern w:val="24"/>
          <w:sz w:val="24"/>
          <w:szCs w:val="24"/>
          <w:highlight w:val="none"/>
          <w:u w:val="single"/>
        </w:rPr>
        <w:t>（标的名称）</w:t>
      </w:r>
      <w:r>
        <w:rPr>
          <w:rFonts w:hint="eastAsia" w:ascii="宋体" w:hAnsi="宋体" w:cs="宋体"/>
          <w:color w:val="auto"/>
          <w:kern w:val="24"/>
          <w:sz w:val="24"/>
          <w:szCs w:val="24"/>
          <w:highlight w:val="none"/>
        </w:rPr>
        <w:t>，属于</w:t>
      </w:r>
      <w:r>
        <w:rPr>
          <w:rFonts w:hint="eastAsia" w:ascii="宋体" w:hAnsi="宋体" w:cs="宋体"/>
          <w:color w:val="auto"/>
          <w:kern w:val="24"/>
          <w:sz w:val="24"/>
          <w:szCs w:val="24"/>
          <w:highlight w:val="none"/>
          <w:u w:val="single"/>
        </w:rPr>
        <w:t>（采购文件中明确的所属行业）</w:t>
      </w:r>
      <w:r>
        <w:rPr>
          <w:rFonts w:hint="eastAsia" w:ascii="宋体" w:hAnsi="宋体" w:cs="宋体"/>
          <w:color w:val="auto"/>
          <w:kern w:val="24"/>
          <w:sz w:val="24"/>
          <w:szCs w:val="24"/>
          <w:highlight w:val="none"/>
        </w:rPr>
        <w:t>行业；制造商为</w:t>
      </w:r>
      <w:r>
        <w:rPr>
          <w:rFonts w:hint="eastAsia" w:ascii="宋体" w:hAnsi="宋体" w:cs="宋体"/>
          <w:color w:val="auto"/>
          <w:kern w:val="24"/>
          <w:sz w:val="24"/>
          <w:szCs w:val="24"/>
          <w:highlight w:val="none"/>
          <w:u w:val="single"/>
        </w:rPr>
        <w:t>（企业名称）</w:t>
      </w:r>
      <w:r>
        <w:rPr>
          <w:rFonts w:hint="eastAsia" w:ascii="宋体" w:hAnsi="宋体" w:cs="宋体"/>
          <w:color w:val="auto"/>
          <w:kern w:val="24"/>
          <w:sz w:val="24"/>
          <w:szCs w:val="24"/>
          <w:highlight w:val="none"/>
        </w:rPr>
        <w:t>，从业人员</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人，营业收入为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万元，资产总额为</w:t>
      </w:r>
      <w:r>
        <w:rPr>
          <w:rFonts w:hint="eastAsia" w:ascii="宋体" w:hAnsi="宋体" w:cs="宋体"/>
          <w:color w:val="auto"/>
          <w:kern w:val="24"/>
          <w:sz w:val="24"/>
          <w:szCs w:val="24"/>
          <w:highlight w:val="none"/>
          <w:u w:val="single"/>
        </w:rPr>
        <w:t xml:space="preserve">      </w:t>
      </w:r>
      <w:r>
        <w:rPr>
          <w:rFonts w:hint="eastAsia" w:ascii="宋体" w:hAnsi="宋体" w:cs="宋体"/>
          <w:color w:val="auto"/>
          <w:kern w:val="24"/>
          <w:sz w:val="24"/>
          <w:szCs w:val="24"/>
          <w:highlight w:val="none"/>
        </w:rPr>
        <w:t>万元，属于</w:t>
      </w:r>
      <w:r>
        <w:rPr>
          <w:rFonts w:hint="eastAsia" w:ascii="宋体" w:hAnsi="宋体" w:cs="宋体"/>
          <w:color w:val="auto"/>
          <w:kern w:val="24"/>
          <w:sz w:val="24"/>
          <w:szCs w:val="24"/>
          <w:highlight w:val="none"/>
          <w:u w:val="single"/>
        </w:rPr>
        <w:t>（中型企业、小型企业、微型企业）</w:t>
      </w:r>
      <w:r>
        <w:rPr>
          <w:rFonts w:hint="eastAsia" w:ascii="宋体" w:hAnsi="宋体" w:cs="宋体"/>
          <w:color w:val="auto"/>
          <w:kern w:val="24"/>
          <w:sz w:val="24"/>
          <w:szCs w:val="24"/>
          <w:highlight w:val="none"/>
        </w:rPr>
        <w:t>；</w:t>
      </w:r>
    </w:p>
    <w:p w14:paraId="56FB0011">
      <w:pPr>
        <w:pStyle w:val="16"/>
        <w:spacing w:line="360" w:lineRule="auto"/>
        <w:ind w:left="142" w:right="142"/>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 xml:space="preserve">…… </w:t>
      </w:r>
    </w:p>
    <w:p w14:paraId="05878154">
      <w:pPr>
        <w:pStyle w:val="16"/>
        <w:spacing w:line="360" w:lineRule="auto"/>
        <w:ind w:left="-405" w:leftChars="-193" w:right="142" w:firstLine="453" w:firstLineChars="189"/>
        <w:contextualSpacing/>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以上企业，不属于大企业的分支机构，不存在控股股东为大企业的情形，也不存在与大企业的负责人为同一人的情形。</w:t>
      </w:r>
    </w:p>
    <w:p w14:paraId="1117C31B">
      <w:pPr>
        <w:jc w:val="left"/>
        <w:rPr>
          <w:rFonts w:hint="eastAsia" w:ascii="宋体" w:hAnsi="宋体" w:cs="宋体"/>
          <w:color w:val="auto"/>
          <w:kern w:val="24"/>
          <w:sz w:val="24"/>
          <w:szCs w:val="24"/>
          <w:highlight w:val="none"/>
        </w:rPr>
      </w:pPr>
      <w:r>
        <w:rPr>
          <w:rFonts w:hint="eastAsia" w:ascii="宋体" w:hAnsi="宋体" w:cs="宋体"/>
          <w:color w:val="auto"/>
          <w:kern w:val="24"/>
          <w:sz w:val="24"/>
          <w:szCs w:val="24"/>
          <w:highlight w:val="none"/>
        </w:rPr>
        <w:t>本企业对上述声明内容的真实性负责。如有虚假，将依法承担相应责任。</w:t>
      </w:r>
    </w:p>
    <w:p w14:paraId="09725588">
      <w:pPr>
        <w:jc w:val="center"/>
        <w:rPr>
          <w:rFonts w:hint="eastAsia" w:ascii="宋体" w:hAnsi="宋体" w:cs="宋体"/>
          <w:color w:val="auto"/>
          <w:kern w:val="24"/>
          <w:highlight w:val="none"/>
        </w:rPr>
      </w:pPr>
    </w:p>
    <w:p w14:paraId="4F652334">
      <w:pPr>
        <w:jc w:val="center"/>
        <w:rPr>
          <w:rFonts w:hint="eastAsia" w:ascii="宋体" w:hAnsi="宋体" w:cs="宋体"/>
          <w:color w:val="auto"/>
          <w:kern w:val="24"/>
          <w:highlight w:val="none"/>
        </w:rPr>
      </w:pPr>
    </w:p>
    <w:p w14:paraId="421EC851">
      <w:pPr>
        <w:jc w:val="center"/>
        <w:rPr>
          <w:rFonts w:hint="eastAsia" w:ascii="宋体" w:hAnsi="宋体" w:cs="宋体"/>
          <w:color w:val="auto"/>
          <w:kern w:val="24"/>
          <w:highlight w:val="none"/>
        </w:rPr>
      </w:pPr>
    </w:p>
    <w:p w14:paraId="7EC1D894">
      <w:pPr>
        <w:jc w:val="center"/>
        <w:rPr>
          <w:rFonts w:hint="eastAsia" w:ascii="宋体" w:hAnsi="宋体" w:cs="宋体"/>
          <w:color w:val="auto"/>
          <w:kern w:val="24"/>
          <w:highlight w:val="none"/>
        </w:rPr>
      </w:pPr>
    </w:p>
    <w:p w14:paraId="587BC95E">
      <w:pPr>
        <w:jc w:val="center"/>
        <w:rPr>
          <w:rFonts w:hint="eastAsia" w:ascii="宋体" w:hAnsi="宋体" w:cs="宋体"/>
          <w:color w:val="auto"/>
          <w:kern w:val="24"/>
          <w:highlight w:val="none"/>
        </w:rPr>
      </w:pPr>
    </w:p>
    <w:p w14:paraId="3CBC7EC6">
      <w:pPr>
        <w:jc w:val="center"/>
        <w:rPr>
          <w:rFonts w:hint="eastAsia" w:ascii="宋体" w:hAnsi="宋体" w:cs="宋体"/>
          <w:color w:val="auto"/>
          <w:kern w:val="24"/>
          <w:highlight w:val="none"/>
        </w:rPr>
      </w:pPr>
    </w:p>
    <w:p w14:paraId="2DC7FF0B">
      <w:pPr>
        <w:jc w:val="center"/>
        <w:rPr>
          <w:rFonts w:hint="eastAsia" w:ascii="宋体" w:hAnsi="宋体" w:cs="宋体"/>
          <w:color w:val="auto"/>
          <w:kern w:val="24"/>
          <w:highlight w:val="none"/>
        </w:rPr>
      </w:pPr>
    </w:p>
    <w:p w14:paraId="0843B2A0">
      <w:pPr>
        <w:jc w:val="center"/>
        <w:rPr>
          <w:rFonts w:hint="eastAsia" w:ascii="宋体" w:hAnsi="宋体" w:cs="宋体"/>
          <w:color w:val="auto"/>
          <w:kern w:val="24"/>
          <w:highlight w:val="none"/>
        </w:rPr>
      </w:pPr>
    </w:p>
    <w:p w14:paraId="5E959E41">
      <w:pPr>
        <w:jc w:val="center"/>
        <w:rPr>
          <w:rFonts w:hint="eastAsia" w:ascii="宋体" w:hAnsi="宋体" w:cs="宋体"/>
          <w:color w:val="auto"/>
          <w:kern w:val="24"/>
          <w:highlight w:val="none"/>
        </w:rPr>
      </w:pPr>
    </w:p>
    <w:p w14:paraId="4B3D6CE9">
      <w:pPr>
        <w:jc w:val="center"/>
        <w:rPr>
          <w:rFonts w:hint="eastAsia" w:ascii="宋体" w:hAnsi="宋体" w:cs="宋体"/>
          <w:color w:val="auto"/>
          <w:kern w:val="24"/>
          <w:highlight w:val="none"/>
        </w:rPr>
      </w:pPr>
    </w:p>
    <w:p w14:paraId="4C478A4E">
      <w:pPr>
        <w:jc w:val="center"/>
        <w:rPr>
          <w:rFonts w:hint="eastAsia" w:ascii="宋体" w:hAnsi="宋体" w:cs="宋体"/>
          <w:color w:val="auto"/>
          <w:kern w:val="24"/>
          <w:highlight w:val="none"/>
        </w:rPr>
      </w:pPr>
    </w:p>
    <w:p w14:paraId="5CBE4793">
      <w:pPr>
        <w:jc w:val="center"/>
        <w:rPr>
          <w:rFonts w:hint="eastAsia" w:ascii="宋体" w:hAnsi="宋体" w:cs="宋体"/>
          <w:color w:val="auto"/>
          <w:kern w:val="24"/>
          <w:highlight w:val="none"/>
        </w:rPr>
      </w:pPr>
    </w:p>
    <w:p w14:paraId="6B15DD76">
      <w:pPr>
        <w:jc w:val="center"/>
        <w:rPr>
          <w:rFonts w:hint="eastAsia" w:ascii="宋体" w:hAnsi="宋体" w:cs="宋体"/>
          <w:color w:val="auto"/>
          <w:kern w:val="24"/>
          <w:highlight w:val="none"/>
        </w:rPr>
      </w:pPr>
    </w:p>
    <w:p w14:paraId="1374989B">
      <w:pPr>
        <w:jc w:val="center"/>
        <w:rPr>
          <w:rFonts w:hint="eastAsia" w:ascii="宋体" w:hAnsi="宋体" w:cs="宋体"/>
          <w:color w:val="auto"/>
          <w:kern w:val="24"/>
          <w:highlight w:val="none"/>
        </w:rPr>
      </w:pPr>
    </w:p>
    <w:p w14:paraId="71912F62">
      <w:pPr>
        <w:jc w:val="center"/>
        <w:rPr>
          <w:rFonts w:hint="eastAsia" w:ascii="宋体" w:hAnsi="宋体" w:cs="宋体"/>
          <w:color w:val="auto"/>
          <w:kern w:val="24"/>
          <w:highlight w:val="none"/>
        </w:rPr>
      </w:pPr>
    </w:p>
    <w:p w14:paraId="748D1752">
      <w:pPr>
        <w:jc w:val="center"/>
        <w:rPr>
          <w:rFonts w:hint="eastAsia" w:ascii="宋体" w:hAnsi="宋体" w:cs="宋体"/>
          <w:color w:val="auto"/>
          <w:kern w:val="24"/>
          <w:highlight w:val="none"/>
        </w:rPr>
      </w:pPr>
    </w:p>
    <w:p w14:paraId="5FAF3EE6">
      <w:pPr>
        <w:jc w:val="center"/>
        <w:rPr>
          <w:rFonts w:hint="eastAsia" w:ascii="宋体" w:hAnsi="宋体" w:cs="宋体"/>
          <w:color w:val="auto"/>
          <w:kern w:val="24"/>
          <w:highlight w:val="none"/>
        </w:rPr>
      </w:pPr>
    </w:p>
    <w:p w14:paraId="0CC860E4">
      <w:pPr>
        <w:jc w:val="center"/>
        <w:rPr>
          <w:rFonts w:hint="eastAsia" w:ascii="宋体" w:hAnsi="宋体" w:cs="宋体"/>
          <w:color w:val="auto"/>
          <w:kern w:val="24"/>
          <w:highlight w:val="none"/>
        </w:rPr>
      </w:pPr>
    </w:p>
    <w:p w14:paraId="4DB58B0C">
      <w:pPr>
        <w:jc w:val="center"/>
        <w:rPr>
          <w:rFonts w:hint="eastAsia" w:ascii="宋体" w:hAnsi="宋体" w:cs="宋体"/>
          <w:color w:val="auto"/>
          <w:kern w:val="24"/>
          <w:highlight w:val="none"/>
        </w:rPr>
      </w:pPr>
    </w:p>
    <w:p w14:paraId="70AE785B">
      <w:pPr>
        <w:jc w:val="center"/>
        <w:rPr>
          <w:rFonts w:hint="eastAsia" w:ascii="宋体" w:hAnsi="宋体" w:cs="宋体"/>
          <w:color w:val="auto"/>
          <w:kern w:val="24"/>
          <w:highlight w:val="none"/>
        </w:rPr>
      </w:pPr>
    </w:p>
    <w:p w14:paraId="6310103E">
      <w:pPr>
        <w:jc w:val="center"/>
        <w:rPr>
          <w:rFonts w:hint="eastAsia" w:ascii="宋体" w:hAnsi="宋体" w:cs="宋体"/>
          <w:color w:val="auto"/>
          <w:kern w:val="24"/>
          <w:highlight w:val="none"/>
        </w:rPr>
      </w:pPr>
    </w:p>
    <w:p w14:paraId="495BCFF6">
      <w:pPr>
        <w:jc w:val="center"/>
        <w:rPr>
          <w:rFonts w:hint="eastAsia" w:ascii="宋体" w:eastAsia="宋体" w:cs="宋体"/>
          <w:color w:val="auto"/>
          <w:sz w:val="44"/>
          <w:szCs w:val="44"/>
          <w:highlight w:val="none"/>
          <w:lang w:bidi="ar-SA"/>
        </w:rPr>
      </w:pPr>
      <w:r>
        <w:rPr>
          <w:rFonts w:hint="eastAsia" w:ascii="宋体" w:eastAsia="宋体" w:cs="宋体"/>
          <w:color w:val="auto"/>
          <w:sz w:val="44"/>
          <w:szCs w:val="44"/>
          <w:highlight w:val="none"/>
          <w:lang w:bidi="ar-SA"/>
        </w:rPr>
        <w:t>中小企业声明函（服务）</w:t>
      </w:r>
      <w:bookmarkEnd w:id="136"/>
    </w:p>
    <w:p w14:paraId="71B9833E">
      <w:pPr>
        <w:spacing w:before="2" w:line="500" w:lineRule="exact"/>
        <w:ind w:firstLine="708" w:firstLineChars="294"/>
        <w:rPr>
          <w:rFonts w:hint="eastAsia" w:ascii="宋体" w:eastAsia="宋体" w:cs="宋体"/>
          <w:b/>
          <w:bCs/>
          <w:color w:val="auto"/>
          <w:sz w:val="24"/>
          <w:highlight w:val="none"/>
          <w:lang w:bidi="ar-SA"/>
        </w:rPr>
      </w:pPr>
    </w:p>
    <w:p w14:paraId="6A317A33">
      <w:pPr>
        <w:pStyle w:val="19"/>
        <w:spacing w:line="400" w:lineRule="exact"/>
        <w:ind w:firstLine="480" w:firstLineChars="200"/>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本公司郑重声明，根据《政府采购促进中小企业发展管理办法》（财库﹝2020﹞46 号）的规定，本公司参加</w:t>
      </w:r>
      <w:r>
        <w:rPr>
          <w:rFonts w:hint="eastAsia" w:ascii="宋体" w:eastAsia="宋体" w:cs="宋体"/>
          <w:color w:val="auto"/>
          <w:sz w:val="24"/>
          <w:szCs w:val="24"/>
          <w:highlight w:val="none"/>
          <w:u w:val="single"/>
          <w:lang w:bidi="ar-SA"/>
        </w:rPr>
        <w:t xml:space="preserve">    （单位名称）    </w:t>
      </w:r>
      <w:r>
        <w:rPr>
          <w:rFonts w:hint="eastAsia" w:ascii="宋体" w:eastAsia="宋体" w:cs="宋体"/>
          <w:color w:val="auto"/>
          <w:sz w:val="24"/>
          <w:szCs w:val="24"/>
          <w:highlight w:val="none"/>
          <w:lang w:bidi="ar-SA"/>
        </w:rPr>
        <w:t>的</w:t>
      </w:r>
      <w:r>
        <w:rPr>
          <w:rFonts w:hint="eastAsia" w:ascii="宋体" w:eastAsia="宋体" w:cs="宋体"/>
          <w:color w:val="auto"/>
          <w:sz w:val="24"/>
          <w:szCs w:val="24"/>
          <w:highlight w:val="none"/>
          <w:u w:val="single"/>
          <w:lang w:bidi="ar-SA"/>
        </w:rPr>
        <w:t xml:space="preserve">      （项目名称）     </w:t>
      </w:r>
      <w:r>
        <w:rPr>
          <w:rFonts w:hint="eastAsia" w:ascii="宋体" w:eastAsia="宋体" w:cs="宋体"/>
          <w:color w:val="auto"/>
          <w:sz w:val="24"/>
          <w:szCs w:val="24"/>
          <w:highlight w:val="none"/>
          <w:lang w:bidi="ar-SA"/>
        </w:rPr>
        <w:t>采购活动，提供的服务全部由符合政策要求的中小企业承接。相关企业的具体情况如下：</w:t>
      </w:r>
    </w:p>
    <w:p w14:paraId="1EE95B3A">
      <w:pPr>
        <w:pStyle w:val="19"/>
        <w:spacing w:line="400" w:lineRule="exact"/>
        <w:ind w:firstLine="480" w:firstLineChars="200"/>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1.</w:t>
      </w:r>
      <w:r>
        <w:rPr>
          <w:rFonts w:hint="eastAsia" w:ascii="宋体" w:eastAsia="宋体" w:cs="宋体"/>
          <w:color w:val="auto"/>
          <w:sz w:val="24"/>
          <w:szCs w:val="24"/>
          <w:highlight w:val="none"/>
          <w:u w:val="single"/>
          <w:lang w:bidi="ar-SA"/>
        </w:rPr>
        <w:t xml:space="preserve">  （标的名称）   </w:t>
      </w:r>
      <w:r>
        <w:rPr>
          <w:rFonts w:hint="eastAsia" w:ascii="宋体" w:eastAsia="宋体" w:cs="宋体"/>
          <w:color w:val="auto"/>
          <w:sz w:val="24"/>
          <w:szCs w:val="24"/>
          <w:highlight w:val="none"/>
          <w:lang w:bidi="ar-SA"/>
        </w:rPr>
        <w:t>，属于</w:t>
      </w:r>
      <w:r>
        <w:rPr>
          <w:rFonts w:hint="eastAsia" w:ascii="宋体" w:eastAsia="宋体" w:cs="宋体"/>
          <w:color w:val="auto"/>
          <w:sz w:val="24"/>
          <w:szCs w:val="24"/>
          <w:highlight w:val="none"/>
          <w:u w:val="single"/>
          <w:lang w:bidi="ar-SA"/>
        </w:rPr>
        <w:t>（采购文件中明确的所属行业）</w:t>
      </w:r>
      <w:r>
        <w:rPr>
          <w:rFonts w:hint="eastAsia" w:ascii="宋体" w:eastAsia="宋体" w:cs="宋体"/>
          <w:color w:val="auto"/>
          <w:sz w:val="24"/>
          <w:szCs w:val="24"/>
          <w:highlight w:val="none"/>
          <w:lang w:bidi="ar-SA"/>
        </w:rPr>
        <w:t>行业；承接企业为</w:t>
      </w:r>
      <w:r>
        <w:rPr>
          <w:rFonts w:hint="eastAsia" w:ascii="宋体" w:eastAsia="宋体" w:cs="宋体"/>
          <w:color w:val="auto"/>
          <w:sz w:val="24"/>
          <w:szCs w:val="24"/>
          <w:highlight w:val="none"/>
          <w:u w:val="single"/>
          <w:lang w:bidi="ar-SA"/>
        </w:rPr>
        <w:t xml:space="preserve">  （企业名称）   </w:t>
      </w:r>
      <w:r>
        <w:rPr>
          <w:rFonts w:hint="eastAsia" w:ascii="宋体" w:eastAsia="宋体" w:cs="宋体"/>
          <w:color w:val="auto"/>
          <w:sz w:val="24"/>
          <w:szCs w:val="24"/>
          <w:highlight w:val="none"/>
          <w:lang w:bidi="ar-SA"/>
        </w:rPr>
        <w:t>，从业人员</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人，营业收入为</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万元，资产总额为</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万元，属于</w:t>
      </w:r>
      <w:r>
        <w:rPr>
          <w:rFonts w:hint="eastAsia" w:ascii="宋体" w:eastAsia="宋体" w:cs="宋体"/>
          <w:color w:val="auto"/>
          <w:sz w:val="24"/>
          <w:szCs w:val="24"/>
          <w:highlight w:val="none"/>
          <w:u w:val="single"/>
          <w:lang w:bidi="ar-SA"/>
        </w:rPr>
        <w:t>（中型企业、小型企业或微型企业）</w:t>
      </w:r>
      <w:r>
        <w:rPr>
          <w:rFonts w:hint="eastAsia" w:ascii="宋体" w:eastAsia="宋体" w:cs="宋体"/>
          <w:color w:val="auto"/>
          <w:sz w:val="24"/>
          <w:szCs w:val="24"/>
          <w:highlight w:val="none"/>
          <w:lang w:bidi="ar-SA"/>
        </w:rPr>
        <w:t>；</w:t>
      </w:r>
    </w:p>
    <w:p w14:paraId="4E829CC9">
      <w:pPr>
        <w:pStyle w:val="19"/>
        <w:spacing w:line="400" w:lineRule="exact"/>
        <w:ind w:firstLine="480" w:firstLineChars="200"/>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以上企业，不属于大企业的分支机构，不存在控股股东为大企业的情形，也不存在与大企业的负责人为同一人的情形。</w:t>
      </w:r>
    </w:p>
    <w:p w14:paraId="55CAECD5">
      <w:pPr>
        <w:pStyle w:val="19"/>
        <w:spacing w:line="400" w:lineRule="exact"/>
        <w:ind w:firstLine="480" w:firstLineChars="200"/>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本企业对上述声明内容的真实性负责。如有虚假，将依法承担相应责任。</w:t>
      </w:r>
    </w:p>
    <w:p w14:paraId="628039F9">
      <w:pPr>
        <w:pStyle w:val="16"/>
        <w:spacing w:before="25" w:line="500" w:lineRule="exact"/>
        <w:ind w:right="142" w:firstLine="705" w:firstLineChars="294"/>
        <w:rPr>
          <w:rFonts w:hint="eastAsia" w:ascii="宋体" w:eastAsia="宋体" w:cs="宋体"/>
          <w:color w:val="auto"/>
          <w:sz w:val="24"/>
          <w:highlight w:val="none"/>
          <w:lang w:bidi="ar-SA"/>
        </w:rPr>
      </w:pPr>
    </w:p>
    <w:p w14:paraId="1B24E98A">
      <w:pPr>
        <w:pStyle w:val="16"/>
        <w:spacing w:before="56" w:line="500" w:lineRule="exact"/>
        <w:ind w:right="1808" w:firstLine="705" w:firstLineChars="294"/>
        <w:rPr>
          <w:rFonts w:hint="eastAsia" w:ascii="宋体" w:eastAsia="宋体" w:cs="宋体"/>
          <w:color w:val="auto"/>
          <w:sz w:val="24"/>
          <w:highlight w:val="none"/>
          <w:lang w:bidi="ar-SA"/>
        </w:rPr>
      </w:pPr>
    </w:p>
    <w:p w14:paraId="20B5C82A">
      <w:pPr>
        <w:pStyle w:val="16"/>
        <w:spacing w:before="56" w:line="500" w:lineRule="exact"/>
        <w:ind w:right="650" w:firstLine="5625" w:firstLineChars="2344"/>
        <w:rPr>
          <w:rFonts w:hint="eastAsia" w:ascii="宋体" w:eastAsia="宋体" w:cs="宋体"/>
          <w:color w:val="auto"/>
          <w:sz w:val="24"/>
          <w:highlight w:val="none"/>
          <w:lang w:bidi="ar-SA"/>
        </w:rPr>
      </w:pPr>
      <w:r>
        <w:rPr>
          <w:rFonts w:hint="eastAsia" w:ascii="宋体" w:eastAsia="宋体" w:cs="宋体"/>
          <w:color w:val="auto"/>
          <w:sz w:val="24"/>
          <w:highlight w:val="none"/>
          <w:lang w:bidi="ar-SA"/>
        </w:rPr>
        <w:t xml:space="preserve">企业名称（章）： </w:t>
      </w:r>
    </w:p>
    <w:p w14:paraId="42316A5D">
      <w:pPr>
        <w:pStyle w:val="16"/>
        <w:spacing w:before="56" w:line="500" w:lineRule="exact"/>
        <w:ind w:right="1808" w:firstLine="5625" w:firstLineChars="2344"/>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日 期：</w:t>
      </w:r>
    </w:p>
    <w:p w14:paraId="2E229CA6">
      <w:pPr>
        <w:spacing w:line="520" w:lineRule="exact"/>
        <w:jc w:val="left"/>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7C6E75">
      <w:pPr>
        <w:spacing w:line="520" w:lineRule="exact"/>
        <w:jc w:val="center"/>
        <w:rPr>
          <w:rFonts w:hint="eastAsia" w:ascii="宋体" w:eastAsia="宋体" w:cs="宋体"/>
          <w:color w:val="auto"/>
          <w:sz w:val="24"/>
          <w:highlight w:val="none"/>
          <w:lang w:bidi="ar-SA"/>
        </w:rPr>
      </w:pPr>
    </w:p>
    <w:p w14:paraId="517A7A41">
      <w:pPr>
        <w:pStyle w:val="19"/>
        <w:jc w:val="left"/>
        <w:rPr>
          <w:rFonts w:hint="eastAsia" w:ascii="宋体" w:eastAsia="宋体" w:cs="宋体"/>
          <w:color w:val="auto"/>
          <w:sz w:val="32"/>
          <w:szCs w:val="32"/>
          <w:highlight w:val="none"/>
          <w:lang w:bidi="ar-SA"/>
        </w:rPr>
      </w:pPr>
      <w:r>
        <w:rPr>
          <w:rFonts w:hint="eastAsia" w:ascii="宋体" w:eastAsia="宋体" w:cs="宋体"/>
          <w:color w:val="auto"/>
          <w:sz w:val="24"/>
          <w:highlight w:val="none"/>
          <w:lang w:bidi="ar-SA"/>
        </w:rPr>
        <w:br w:type="page"/>
      </w:r>
      <w:r>
        <w:rPr>
          <w:rFonts w:hint="eastAsia" w:ascii="宋体" w:eastAsia="宋体" w:cs="宋体"/>
          <w:color w:val="auto"/>
          <w:sz w:val="32"/>
          <w:szCs w:val="32"/>
          <w:highlight w:val="none"/>
          <w:lang w:bidi="ar-SA"/>
        </w:rPr>
        <w:t>附：</w:t>
      </w:r>
    </w:p>
    <w:p w14:paraId="7D417B1E">
      <w:pPr>
        <w:jc w:val="center"/>
        <w:rPr>
          <w:rFonts w:hint="eastAsia" w:ascii="宋体" w:eastAsia="宋体" w:cs="宋体"/>
          <w:color w:val="auto"/>
          <w:sz w:val="44"/>
          <w:szCs w:val="44"/>
          <w:highlight w:val="none"/>
          <w:lang w:bidi="ar-SA"/>
        </w:rPr>
      </w:pPr>
      <w:r>
        <w:rPr>
          <w:rFonts w:hint="eastAsia" w:ascii="宋体" w:eastAsia="宋体" w:cs="宋体"/>
          <w:color w:val="auto"/>
          <w:sz w:val="44"/>
          <w:szCs w:val="44"/>
          <w:highlight w:val="none"/>
          <w:lang w:bidi="ar-SA"/>
        </w:rPr>
        <w:t>中小微企业划型标准</w:t>
      </w:r>
    </w:p>
    <w:p w14:paraId="3C2355E3">
      <w:pPr>
        <w:ind w:left="1871"/>
        <w:rPr>
          <w:rFonts w:hint="eastAsia" w:ascii="宋体" w:eastAsia="宋体" w:cs="宋体"/>
          <w:color w:val="auto"/>
          <w:szCs w:val="21"/>
          <w:highlight w:val="none"/>
          <w:lang w:bidi="ar-SA"/>
        </w:rPr>
      </w:pPr>
    </w:p>
    <w:tbl>
      <w:tblPr>
        <w:tblStyle w:val="31"/>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4EE3F4C">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E7E3492">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行业名称</w:t>
            </w:r>
          </w:p>
        </w:tc>
        <w:tc>
          <w:tcPr>
            <w:tcW w:w="1384" w:type="dxa"/>
            <w:tcBorders>
              <w:top w:val="single" w:color="auto" w:sz="4" w:space="0"/>
              <w:left w:val="nil"/>
              <w:bottom w:val="single" w:color="auto" w:sz="4" w:space="0"/>
              <w:right w:val="single" w:color="auto" w:sz="4" w:space="0"/>
            </w:tcBorders>
            <w:noWrap w:val="0"/>
            <w:vAlign w:val="center"/>
          </w:tcPr>
          <w:p w14:paraId="1B2A03D6">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指标名称</w:t>
            </w:r>
          </w:p>
        </w:tc>
        <w:tc>
          <w:tcPr>
            <w:tcW w:w="913" w:type="dxa"/>
            <w:tcBorders>
              <w:top w:val="single" w:color="auto" w:sz="4" w:space="0"/>
              <w:left w:val="nil"/>
              <w:bottom w:val="single" w:color="auto" w:sz="4" w:space="0"/>
              <w:right w:val="single" w:color="auto" w:sz="4" w:space="0"/>
            </w:tcBorders>
            <w:noWrap w:val="0"/>
            <w:vAlign w:val="center"/>
          </w:tcPr>
          <w:p w14:paraId="1587C6AA">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计量单位</w:t>
            </w:r>
          </w:p>
        </w:tc>
        <w:tc>
          <w:tcPr>
            <w:tcW w:w="1620" w:type="dxa"/>
            <w:tcBorders>
              <w:top w:val="single" w:color="auto" w:sz="4" w:space="0"/>
              <w:left w:val="nil"/>
              <w:bottom w:val="single" w:color="auto" w:sz="4" w:space="0"/>
              <w:right w:val="single" w:color="auto" w:sz="4" w:space="0"/>
            </w:tcBorders>
            <w:noWrap w:val="0"/>
            <w:vAlign w:val="center"/>
          </w:tcPr>
          <w:p w14:paraId="40DD13E9">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中型</w:t>
            </w:r>
          </w:p>
        </w:tc>
        <w:tc>
          <w:tcPr>
            <w:tcW w:w="1440" w:type="dxa"/>
            <w:tcBorders>
              <w:top w:val="single" w:color="auto" w:sz="4" w:space="0"/>
              <w:left w:val="nil"/>
              <w:bottom w:val="single" w:color="auto" w:sz="4" w:space="0"/>
              <w:right w:val="single" w:color="auto" w:sz="4" w:space="0"/>
            </w:tcBorders>
            <w:noWrap w:val="0"/>
            <w:vAlign w:val="center"/>
          </w:tcPr>
          <w:p w14:paraId="7EAC74AE">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小型</w:t>
            </w:r>
          </w:p>
        </w:tc>
        <w:tc>
          <w:tcPr>
            <w:tcW w:w="925" w:type="dxa"/>
            <w:tcBorders>
              <w:top w:val="single" w:color="auto" w:sz="4" w:space="0"/>
              <w:left w:val="nil"/>
              <w:bottom w:val="single" w:color="auto" w:sz="4" w:space="0"/>
              <w:right w:val="single" w:color="auto" w:sz="4" w:space="0"/>
            </w:tcBorders>
            <w:noWrap w:val="0"/>
            <w:vAlign w:val="center"/>
          </w:tcPr>
          <w:p w14:paraId="787D0891">
            <w:pPr>
              <w:widowControl/>
              <w:jc w:val="left"/>
              <w:rPr>
                <w:rFonts w:hint="eastAsia" w:ascii="宋体" w:eastAsia="宋体" w:cs="宋体"/>
                <w:b/>
                <w:color w:val="auto"/>
                <w:kern w:val="0"/>
                <w:sz w:val="24"/>
                <w:highlight w:val="none"/>
                <w:lang w:bidi="ar-SA"/>
              </w:rPr>
            </w:pPr>
            <w:r>
              <w:rPr>
                <w:rFonts w:hint="eastAsia" w:ascii="宋体" w:eastAsia="宋体" w:cs="宋体"/>
                <w:b/>
                <w:color w:val="auto"/>
                <w:kern w:val="0"/>
                <w:sz w:val="24"/>
                <w:highlight w:val="none"/>
                <w:lang w:bidi="ar-SA"/>
              </w:rPr>
              <w:t>微型</w:t>
            </w:r>
          </w:p>
        </w:tc>
      </w:tr>
      <w:tr w14:paraId="75E340F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52D66DC4">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农、林、牧、渔</w:t>
            </w:r>
          </w:p>
        </w:tc>
        <w:tc>
          <w:tcPr>
            <w:tcW w:w="1384" w:type="dxa"/>
            <w:tcBorders>
              <w:top w:val="nil"/>
              <w:left w:val="nil"/>
              <w:bottom w:val="single" w:color="auto" w:sz="4" w:space="0"/>
              <w:right w:val="single" w:color="auto" w:sz="4" w:space="0"/>
            </w:tcBorders>
            <w:noWrap w:val="0"/>
            <w:vAlign w:val="center"/>
          </w:tcPr>
          <w:p w14:paraId="458556C6">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85B5FC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BC858E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500≤Y＜20000</w:t>
            </w:r>
          </w:p>
        </w:tc>
        <w:tc>
          <w:tcPr>
            <w:tcW w:w="1440" w:type="dxa"/>
            <w:tcBorders>
              <w:top w:val="nil"/>
              <w:left w:val="nil"/>
              <w:bottom w:val="single" w:color="auto" w:sz="4" w:space="0"/>
              <w:right w:val="single" w:color="auto" w:sz="4" w:space="0"/>
            </w:tcBorders>
            <w:noWrap w:val="0"/>
            <w:vAlign w:val="center"/>
          </w:tcPr>
          <w:p w14:paraId="31B9F12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50≤Y＜500</w:t>
            </w:r>
          </w:p>
        </w:tc>
        <w:tc>
          <w:tcPr>
            <w:tcW w:w="925" w:type="dxa"/>
            <w:tcBorders>
              <w:top w:val="nil"/>
              <w:left w:val="nil"/>
              <w:bottom w:val="single" w:color="auto" w:sz="4" w:space="0"/>
              <w:right w:val="single" w:color="auto" w:sz="4" w:space="0"/>
            </w:tcBorders>
            <w:noWrap w:val="0"/>
            <w:vAlign w:val="center"/>
          </w:tcPr>
          <w:p w14:paraId="6E6EBDA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Y＜50</w:t>
            </w:r>
          </w:p>
        </w:tc>
      </w:tr>
      <w:tr w14:paraId="0EAA0A9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55D61DF1">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工业</w:t>
            </w:r>
          </w:p>
        </w:tc>
        <w:tc>
          <w:tcPr>
            <w:tcW w:w="1384" w:type="dxa"/>
            <w:tcBorders>
              <w:top w:val="nil"/>
              <w:left w:val="nil"/>
              <w:bottom w:val="single" w:color="auto" w:sz="4" w:space="0"/>
              <w:right w:val="single" w:color="auto" w:sz="4" w:space="0"/>
            </w:tcBorders>
            <w:noWrap w:val="0"/>
            <w:vAlign w:val="center"/>
          </w:tcPr>
          <w:p w14:paraId="4C97FAE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7D54BAB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7D28FD8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300≤X＜1000</w:t>
            </w:r>
          </w:p>
        </w:tc>
        <w:tc>
          <w:tcPr>
            <w:tcW w:w="1440" w:type="dxa"/>
            <w:tcBorders>
              <w:top w:val="nil"/>
              <w:left w:val="nil"/>
              <w:bottom w:val="single" w:color="auto" w:sz="4" w:space="0"/>
              <w:right w:val="single" w:color="auto" w:sz="4" w:space="0"/>
            </w:tcBorders>
            <w:noWrap w:val="0"/>
            <w:vAlign w:val="center"/>
          </w:tcPr>
          <w:p w14:paraId="44268C1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20≤X＜300</w:t>
            </w:r>
          </w:p>
        </w:tc>
        <w:tc>
          <w:tcPr>
            <w:tcW w:w="925" w:type="dxa"/>
            <w:tcBorders>
              <w:top w:val="nil"/>
              <w:left w:val="nil"/>
              <w:bottom w:val="single" w:color="auto" w:sz="4" w:space="0"/>
              <w:right w:val="single" w:color="auto" w:sz="4" w:space="0"/>
            </w:tcBorders>
            <w:noWrap w:val="0"/>
            <w:vAlign w:val="center"/>
          </w:tcPr>
          <w:p w14:paraId="3696494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X＜20</w:t>
            </w:r>
          </w:p>
        </w:tc>
      </w:tr>
      <w:tr w14:paraId="7DDD1D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4CF0D2C">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63EDE8C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CA3650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186395E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2000≤Y＜40000</w:t>
            </w:r>
          </w:p>
        </w:tc>
        <w:tc>
          <w:tcPr>
            <w:tcW w:w="1440" w:type="dxa"/>
            <w:tcBorders>
              <w:top w:val="nil"/>
              <w:left w:val="nil"/>
              <w:bottom w:val="single" w:color="auto" w:sz="4" w:space="0"/>
              <w:right w:val="single" w:color="auto" w:sz="4" w:space="0"/>
            </w:tcBorders>
            <w:noWrap w:val="0"/>
            <w:vAlign w:val="center"/>
          </w:tcPr>
          <w:p w14:paraId="6FEB380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300≤Y＜2000</w:t>
            </w:r>
          </w:p>
        </w:tc>
        <w:tc>
          <w:tcPr>
            <w:tcW w:w="925" w:type="dxa"/>
            <w:tcBorders>
              <w:top w:val="nil"/>
              <w:left w:val="nil"/>
              <w:bottom w:val="single" w:color="auto" w:sz="4" w:space="0"/>
              <w:right w:val="single" w:color="auto" w:sz="4" w:space="0"/>
            </w:tcBorders>
            <w:noWrap w:val="0"/>
            <w:vAlign w:val="center"/>
          </w:tcPr>
          <w:p w14:paraId="580D914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Y＜300</w:t>
            </w:r>
          </w:p>
        </w:tc>
      </w:tr>
      <w:tr w14:paraId="7C24385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39D8ABF">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建筑业</w:t>
            </w:r>
          </w:p>
        </w:tc>
        <w:tc>
          <w:tcPr>
            <w:tcW w:w="1384" w:type="dxa"/>
            <w:tcBorders>
              <w:top w:val="nil"/>
              <w:left w:val="nil"/>
              <w:bottom w:val="single" w:color="auto" w:sz="4" w:space="0"/>
              <w:right w:val="single" w:color="auto" w:sz="4" w:space="0"/>
            </w:tcBorders>
            <w:noWrap w:val="0"/>
            <w:vAlign w:val="center"/>
          </w:tcPr>
          <w:p w14:paraId="0757A57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23336A4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78AD6B0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6000≤Y＜80000</w:t>
            </w:r>
          </w:p>
        </w:tc>
        <w:tc>
          <w:tcPr>
            <w:tcW w:w="1440" w:type="dxa"/>
            <w:tcBorders>
              <w:top w:val="nil"/>
              <w:left w:val="nil"/>
              <w:bottom w:val="single" w:color="auto" w:sz="4" w:space="0"/>
              <w:right w:val="single" w:color="auto" w:sz="4" w:space="0"/>
            </w:tcBorders>
            <w:noWrap w:val="0"/>
            <w:vAlign w:val="center"/>
          </w:tcPr>
          <w:p w14:paraId="2C1002E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300≤Y＜6000</w:t>
            </w:r>
          </w:p>
        </w:tc>
        <w:tc>
          <w:tcPr>
            <w:tcW w:w="925" w:type="dxa"/>
            <w:tcBorders>
              <w:top w:val="nil"/>
              <w:left w:val="nil"/>
              <w:bottom w:val="single" w:color="auto" w:sz="4" w:space="0"/>
              <w:right w:val="single" w:color="auto" w:sz="4" w:space="0"/>
            </w:tcBorders>
            <w:noWrap w:val="0"/>
            <w:vAlign w:val="center"/>
          </w:tcPr>
          <w:p w14:paraId="5034062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Y＜300</w:t>
            </w:r>
          </w:p>
        </w:tc>
      </w:tr>
      <w:tr w14:paraId="46BDAFC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EEB9B79">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7829022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资产总额（Z）</w:t>
            </w:r>
          </w:p>
        </w:tc>
        <w:tc>
          <w:tcPr>
            <w:tcW w:w="913" w:type="dxa"/>
            <w:tcBorders>
              <w:top w:val="nil"/>
              <w:left w:val="nil"/>
              <w:bottom w:val="single" w:color="auto" w:sz="4" w:space="0"/>
              <w:right w:val="single" w:color="auto" w:sz="4" w:space="0"/>
            </w:tcBorders>
            <w:noWrap w:val="0"/>
            <w:vAlign w:val="center"/>
          </w:tcPr>
          <w:p w14:paraId="55A64EC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C5AC9F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5000≤Z＜80000</w:t>
            </w:r>
          </w:p>
        </w:tc>
        <w:tc>
          <w:tcPr>
            <w:tcW w:w="1440" w:type="dxa"/>
            <w:tcBorders>
              <w:top w:val="nil"/>
              <w:left w:val="nil"/>
              <w:bottom w:val="single" w:color="auto" w:sz="4" w:space="0"/>
              <w:right w:val="single" w:color="auto" w:sz="4" w:space="0"/>
            </w:tcBorders>
            <w:noWrap w:val="0"/>
            <w:vAlign w:val="center"/>
          </w:tcPr>
          <w:p w14:paraId="3843106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300≤Z＜5000</w:t>
            </w:r>
          </w:p>
        </w:tc>
        <w:tc>
          <w:tcPr>
            <w:tcW w:w="925" w:type="dxa"/>
            <w:tcBorders>
              <w:top w:val="nil"/>
              <w:left w:val="nil"/>
              <w:bottom w:val="single" w:color="auto" w:sz="4" w:space="0"/>
              <w:right w:val="single" w:color="auto" w:sz="4" w:space="0"/>
            </w:tcBorders>
            <w:noWrap w:val="0"/>
            <w:vAlign w:val="center"/>
          </w:tcPr>
          <w:p w14:paraId="7E36A3E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Z＜300</w:t>
            </w:r>
          </w:p>
        </w:tc>
      </w:tr>
      <w:tr w14:paraId="03DD65B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0E2AF85">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批发业</w:t>
            </w:r>
          </w:p>
        </w:tc>
        <w:tc>
          <w:tcPr>
            <w:tcW w:w="1384" w:type="dxa"/>
            <w:tcBorders>
              <w:top w:val="nil"/>
              <w:left w:val="nil"/>
              <w:bottom w:val="single" w:color="auto" w:sz="4" w:space="0"/>
              <w:right w:val="single" w:color="auto" w:sz="4" w:space="0"/>
            </w:tcBorders>
            <w:noWrap w:val="0"/>
            <w:vAlign w:val="center"/>
          </w:tcPr>
          <w:p w14:paraId="3D753E0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7E58845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473A9FC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20≤X＜200</w:t>
            </w:r>
          </w:p>
        </w:tc>
        <w:tc>
          <w:tcPr>
            <w:tcW w:w="1440" w:type="dxa"/>
            <w:tcBorders>
              <w:top w:val="nil"/>
              <w:left w:val="nil"/>
              <w:bottom w:val="single" w:color="auto" w:sz="4" w:space="0"/>
              <w:right w:val="single" w:color="auto" w:sz="4" w:space="0"/>
            </w:tcBorders>
            <w:noWrap w:val="0"/>
            <w:vAlign w:val="center"/>
          </w:tcPr>
          <w:p w14:paraId="364999F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5≤X＜20</w:t>
            </w:r>
          </w:p>
        </w:tc>
        <w:tc>
          <w:tcPr>
            <w:tcW w:w="925" w:type="dxa"/>
            <w:tcBorders>
              <w:top w:val="nil"/>
              <w:left w:val="nil"/>
              <w:bottom w:val="single" w:color="auto" w:sz="4" w:space="0"/>
              <w:right w:val="single" w:color="auto" w:sz="4" w:space="0"/>
            </w:tcBorders>
            <w:noWrap w:val="0"/>
            <w:vAlign w:val="center"/>
          </w:tcPr>
          <w:p w14:paraId="300F83E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X＜5</w:t>
            </w:r>
          </w:p>
        </w:tc>
      </w:tr>
      <w:tr w14:paraId="27CE435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81CEC04">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76F0136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CEABA8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21FAA5E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5000≤Y＜40000</w:t>
            </w:r>
          </w:p>
        </w:tc>
        <w:tc>
          <w:tcPr>
            <w:tcW w:w="1440" w:type="dxa"/>
            <w:tcBorders>
              <w:top w:val="nil"/>
              <w:left w:val="nil"/>
              <w:bottom w:val="single" w:color="auto" w:sz="4" w:space="0"/>
              <w:right w:val="single" w:color="auto" w:sz="4" w:space="0"/>
            </w:tcBorders>
            <w:noWrap w:val="0"/>
            <w:vAlign w:val="center"/>
          </w:tcPr>
          <w:p w14:paraId="79AE955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1000≤Y＜5000</w:t>
            </w:r>
          </w:p>
        </w:tc>
        <w:tc>
          <w:tcPr>
            <w:tcW w:w="925" w:type="dxa"/>
            <w:tcBorders>
              <w:top w:val="nil"/>
              <w:left w:val="nil"/>
              <w:bottom w:val="single" w:color="auto" w:sz="4" w:space="0"/>
              <w:right w:val="single" w:color="auto" w:sz="4" w:space="0"/>
            </w:tcBorders>
            <w:noWrap w:val="0"/>
            <w:vAlign w:val="center"/>
          </w:tcPr>
          <w:p w14:paraId="2BE71AF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Y＜1000</w:t>
            </w:r>
          </w:p>
        </w:tc>
      </w:tr>
      <w:tr w14:paraId="6AB8C3D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5CE8595">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零售业</w:t>
            </w:r>
          </w:p>
        </w:tc>
        <w:tc>
          <w:tcPr>
            <w:tcW w:w="1384" w:type="dxa"/>
            <w:tcBorders>
              <w:top w:val="nil"/>
              <w:left w:val="nil"/>
              <w:bottom w:val="single" w:color="auto" w:sz="4" w:space="0"/>
              <w:right w:val="single" w:color="auto" w:sz="4" w:space="0"/>
            </w:tcBorders>
            <w:noWrap w:val="0"/>
            <w:vAlign w:val="center"/>
          </w:tcPr>
          <w:p w14:paraId="435E92B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31C4931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71E83AC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50≤X＜300</w:t>
            </w:r>
          </w:p>
        </w:tc>
        <w:tc>
          <w:tcPr>
            <w:tcW w:w="1440" w:type="dxa"/>
            <w:tcBorders>
              <w:top w:val="nil"/>
              <w:left w:val="nil"/>
              <w:bottom w:val="single" w:color="auto" w:sz="4" w:space="0"/>
              <w:right w:val="single" w:color="auto" w:sz="4" w:space="0"/>
            </w:tcBorders>
            <w:noWrap w:val="0"/>
            <w:vAlign w:val="center"/>
          </w:tcPr>
          <w:p w14:paraId="543B853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10≤X＜50</w:t>
            </w:r>
          </w:p>
        </w:tc>
        <w:tc>
          <w:tcPr>
            <w:tcW w:w="925" w:type="dxa"/>
            <w:tcBorders>
              <w:top w:val="nil"/>
              <w:left w:val="nil"/>
              <w:bottom w:val="single" w:color="auto" w:sz="4" w:space="0"/>
              <w:right w:val="single" w:color="auto" w:sz="4" w:space="0"/>
            </w:tcBorders>
            <w:noWrap w:val="0"/>
            <w:vAlign w:val="center"/>
          </w:tcPr>
          <w:p w14:paraId="7615004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45B82A2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B5BB3EE">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5C3207A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7AB390A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8751D7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500≤Y＜20000</w:t>
            </w:r>
          </w:p>
        </w:tc>
        <w:tc>
          <w:tcPr>
            <w:tcW w:w="1440" w:type="dxa"/>
            <w:tcBorders>
              <w:top w:val="nil"/>
              <w:left w:val="nil"/>
              <w:bottom w:val="single" w:color="auto" w:sz="4" w:space="0"/>
              <w:right w:val="single" w:color="auto" w:sz="4" w:space="0"/>
            </w:tcBorders>
            <w:noWrap w:val="0"/>
            <w:vAlign w:val="center"/>
          </w:tcPr>
          <w:p w14:paraId="1D51C3A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100≤Y＜500</w:t>
            </w:r>
          </w:p>
        </w:tc>
        <w:tc>
          <w:tcPr>
            <w:tcW w:w="925" w:type="dxa"/>
            <w:tcBorders>
              <w:top w:val="nil"/>
              <w:left w:val="nil"/>
              <w:bottom w:val="single" w:color="auto" w:sz="4" w:space="0"/>
              <w:right w:val="single" w:color="auto" w:sz="4" w:space="0"/>
            </w:tcBorders>
            <w:noWrap w:val="0"/>
            <w:vAlign w:val="center"/>
          </w:tcPr>
          <w:p w14:paraId="72BBF07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062A2CD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239999C">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交通运输业</w:t>
            </w:r>
          </w:p>
        </w:tc>
        <w:tc>
          <w:tcPr>
            <w:tcW w:w="1384" w:type="dxa"/>
            <w:tcBorders>
              <w:top w:val="nil"/>
              <w:left w:val="nil"/>
              <w:bottom w:val="single" w:color="auto" w:sz="4" w:space="0"/>
              <w:right w:val="single" w:color="auto" w:sz="4" w:space="0"/>
            </w:tcBorders>
            <w:noWrap w:val="0"/>
            <w:vAlign w:val="center"/>
          </w:tcPr>
          <w:p w14:paraId="264C594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2C04FDC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2723CAB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300≤X＜1000</w:t>
            </w:r>
          </w:p>
        </w:tc>
        <w:tc>
          <w:tcPr>
            <w:tcW w:w="1440" w:type="dxa"/>
            <w:tcBorders>
              <w:top w:val="nil"/>
              <w:left w:val="nil"/>
              <w:bottom w:val="single" w:color="auto" w:sz="4" w:space="0"/>
              <w:right w:val="single" w:color="auto" w:sz="4" w:space="0"/>
            </w:tcBorders>
            <w:noWrap w:val="0"/>
            <w:vAlign w:val="center"/>
          </w:tcPr>
          <w:p w14:paraId="7A0A0D4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20≤X＜300</w:t>
            </w:r>
          </w:p>
        </w:tc>
        <w:tc>
          <w:tcPr>
            <w:tcW w:w="925" w:type="dxa"/>
            <w:tcBorders>
              <w:top w:val="nil"/>
              <w:left w:val="nil"/>
              <w:bottom w:val="single" w:color="auto" w:sz="4" w:space="0"/>
              <w:right w:val="single" w:color="auto" w:sz="4" w:space="0"/>
            </w:tcBorders>
            <w:noWrap w:val="0"/>
            <w:vAlign w:val="center"/>
          </w:tcPr>
          <w:p w14:paraId="3A34CDC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X＜20</w:t>
            </w:r>
          </w:p>
        </w:tc>
      </w:tr>
      <w:tr w14:paraId="2907329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29C56E6">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26A205A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F3BB9B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48FF132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3000≤Y＜30000</w:t>
            </w:r>
          </w:p>
        </w:tc>
        <w:tc>
          <w:tcPr>
            <w:tcW w:w="1440" w:type="dxa"/>
            <w:tcBorders>
              <w:top w:val="nil"/>
              <w:left w:val="nil"/>
              <w:bottom w:val="single" w:color="auto" w:sz="4" w:space="0"/>
              <w:right w:val="single" w:color="auto" w:sz="4" w:space="0"/>
            </w:tcBorders>
            <w:noWrap w:val="0"/>
            <w:vAlign w:val="center"/>
          </w:tcPr>
          <w:p w14:paraId="77B59E96">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200≤Y＜3000</w:t>
            </w:r>
          </w:p>
        </w:tc>
        <w:tc>
          <w:tcPr>
            <w:tcW w:w="925" w:type="dxa"/>
            <w:tcBorders>
              <w:top w:val="nil"/>
              <w:left w:val="nil"/>
              <w:bottom w:val="single" w:color="auto" w:sz="4" w:space="0"/>
              <w:right w:val="single" w:color="auto" w:sz="4" w:space="0"/>
            </w:tcBorders>
            <w:noWrap w:val="0"/>
            <w:vAlign w:val="center"/>
          </w:tcPr>
          <w:p w14:paraId="3D7C8D1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Y＜200</w:t>
            </w:r>
          </w:p>
        </w:tc>
      </w:tr>
      <w:tr w14:paraId="43C546F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A2FE0B7">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仓储业</w:t>
            </w:r>
          </w:p>
        </w:tc>
        <w:tc>
          <w:tcPr>
            <w:tcW w:w="1384" w:type="dxa"/>
            <w:tcBorders>
              <w:top w:val="nil"/>
              <w:left w:val="nil"/>
              <w:bottom w:val="single" w:color="auto" w:sz="4" w:space="0"/>
              <w:right w:val="single" w:color="auto" w:sz="4" w:space="0"/>
            </w:tcBorders>
            <w:noWrap w:val="0"/>
            <w:vAlign w:val="center"/>
          </w:tcPr>
          <w:p w14:paraId="12C0488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7DA84CE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1D5BB57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100≤X＜200</w:t>
            </w:r>
          </w:p>
        </w:tc>
        <w:tc>
          <w:tcPr>
            <w:tcW w:w="1440" w:type="dxa"/>
            <w:tcBorders>
              <w:top w:val="nil"/>
              <w:left w:val="nil"/>
              <w:bottom w:val="single" w:color="auto" w:sz="4" w:space="0"/>
              <w:right w:val="single" w:color="auto" w:sz="4" w:space="0"/>
            </w:tcBorders>
            <w:noWrap w:val="0"/>
            <w:vAlign w:val="center"/>
          </w:tcPr>
          <w:p w14:paraId="103CCD6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20≤X＜100</w:t>
            </w:r>
          </w:p>
        </w:tc>
        <w:tc>
          <w:tcPr>
            <w:tcW w:w="925" w:type="dxa"/>
            <w:tcBorders>
              <w:top w:val="nil"/>
              <w:left w:val="nil"/>
              <w:bottom w:val="single" w:color="auto" w:sz="4" w:space="0"/>
              <w:right w:val="single" w:color="auto" w:sz="4" w:space="0"/>
            </w:tcBorders>
            <w:noWrap w:val="0"/>
            <w:vAlign w:val="center"/>
          </w:tcPr>
          <w:p w14:paraId="41E7350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X＜20</w:t>
            </w:r>
          </w:p>
        </w:tc>
      </w:tr>
      <w:tr w14:paraId="30C5769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63F0297">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7CA1828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720F389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1D419E4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1000≤Y＜30000</w:t>
            </w:r>
          </w:p>
        </w:tc>
        <w:tc>
          <w:tcPr>
            <w:tcW w:w="1440" w:type="dxa"/>
            <w:tcBorders>
              <w:top w:val="nil"/>
              <w:left w:val="nil"/>
              <w:bottom w:val="single" w:color="auto" w:sz="4" w:space="0"/>
              <w:right w:val="single" w:color="auto" w:sz="4" w:space="0"/>
            </w:tcBorders>
            <w:noWrap w:val="0"/>
            <w:vAlign w:val="center"/>
          </w:tcPr>
          <w:p w14:paraId="358026E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100≤Y＜1000</w:t>
            </w:r>
          </w:p>
        </w:tc>
        <w:tc>
          <w:tcPr>
            <w:tcW w:w="925" w:type="dxa"/>
            <w:tcBorders>
              <w:top w:val="nil"/>
              <w:left w:val="nil"/>
              <w:bottom w:val="single" w:color="auto" w:sz="4" w:space="0"/>
              <w:right w:val="single" w:color="auto" w:sz="4" w:space="0"/>
            </w:tcBorders>
            <w:noWrap w:val="0"/>
            <w:vAlign w:val="center"/>
          </w:tcPr>
          <w:p w14:paraId="4EA40DC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33DBCA9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E886B00">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邮政业</w:t>
            </w:r>
          </w:p>
        </w:tc>
        <w:tc>
          <w:tcPr>
            <w:tcW w:w="1384" w:type="dxa"/>
            <w:tcBorders>
              <w:top w:val="nil"/>
              <w:left w:val="nil"/>
              <w:bottom w:val="single" w:color="auto" w:sz="4" w:space="0"/>
              <w:right w:val="single" w:color="auto" w:sz="4" w:space="0"/>
            </w:tcBorders>
            <w:noWrap w:val="0"/>
            <w:vAlign w:val="center"/>
          </w:tcPr>
          <w:p w14:paraId="3AA2AD4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0991925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154B524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300≤X＜1000</w:t>
            </w:r>
          </w:p>
        </w:tc>
        <w:tc>
          <w:tcPr>
            <w:tcW w:w="1440" w:type="dxa"/>
            <w:tcBorders>
              <w:top w:val="nil"/>
              <w:left w:val="nil"/>
              <w:bottom w:val="single" w:color="auto" w:sz="4" w:space="0"/>
              <w:right w:val="single" w:color="auto" w:sz="4" w:space="0"/>
            </w:tcBorders>
            <w:noWrap w:val="0"/>
            <w:vAlign w:val="center"/>
          </w:tcPr>
          <w:p w14:paraId="5C9E796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20≤X＜300</w:t>
            </w:r>
          </w:p>
        </w:tc>
        <w:tc>
          <w:tcPr>
            <w:tcW w:w="925" w:type="dxa"/>
            <w:tcBorders>
              <w:top w:val="nil"/>
              <w:left w:val="nil"/>
              <w:bottom w:val="single" w:color="auto" w:sz="4" w:space="0"/>
              <w:right w:val="single" w:color="auto" w:sz="4" w:space="0"/>
            </w:tcBorders>
            <w:noWrap w:val="0"/>
            <w:vAlign w:val="center"/>
          </w:tcPr>
          <w:p w14:paraId="5025402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X＜20</w:t>
            </w:r>
          </w:p>
        </w:tc>
      </w:tr>
      <w:tr w14:paraId="36A2569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192C15A6">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3975476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3A24721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69E44E6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2000≤Y＜30000</w:t>
            </w:r>
          </w:p>
        </w:tc>
        <w:tc>
          <w:tcPr>
            <w:tcW w:w="1440" w:type="dxa"/>
            <w:tcBorders>
              <w:top w:val="nil"/>
              <w:left w:val="nil"/>
              <w:bottom w:val="single" w:color="auto" w:sz="4" w:space="0"/>
              <w:right w:val="single" w:color="auto" w:sz="4" w:space="0"/>
            </w:tcBorders>
            <w:noWrap w:val="0"/>
            <w:vAlign w:val="center"/>
          </w:tcPr>
          <w:p w14:paraId="3F56C32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100≤Y＜2000</w:t>
            </w:r>
          </w:p>
        </w:tc>
        <w:tc>
          <w:tcPr>
            <w:tcW w:w="925" w:type="dxa"/>
            <w:tcBorders>
              <w:top w:val="nil"/>
              <w:left w:val="nil"/>
              <w:bottom w:val="single" w:color="auto" w:sz="4" w:space="0"/>
              <w:right w:val="single" w:color="auto" w:sz="4" w:space="0"/>
            </w:tcBorders>
            <w:noWrap w:val="0"/>
            <w:vAlign w:val="center"/>
          </w:tcPr>
          <w:p w14:paraId="0157BFE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71A0C1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F055FA4">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住宿业</w:t>
            </w:r>
          </w:p>
        </w:tc>
        <w:tc>
          <w:tcPr>
            <w:tcW w:w="1384" w:type="dxa"/>
            <w:tcBorders>
              <w:top w:val="nil"/>
              <w:left w:val="nil"/>
              <w:bottom w:val="single" w:color="auto" w:sz="4" w:space="0"/>
              <w:right w:val="single" w:color="auto" w:sz="4" w:space="0"/>
            </w:tcBorders>
            <w:noWrap w:val="0"/>
            <w:vAlign w:val="center"/>
          </w:tcPr>
          <w:p w14:paraId="20E0DCF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270D7C9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6DF41EE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1440" w:type="dxa"/>
            <w:tcBorders>
              <w:top w:val="nil"/>
              <w:left w:val="nil"/>
              <w:bottom w:val="single" w:color="auto" w:sz="4" w:space="0"/>
              <w:right w:val="single" w:color="auto" w:sz="4" w:space="0"/>
            </w:tcBorders>
            <w:noWrap w:val="0"/>
            <w:vAlign w:val="center"/>
          </w:tcPr>
          <w:p w14:paraId="6898E1E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5F356F4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4CBEB27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771BFE1">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518C264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4200281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010AB0C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2000≤Y＜10000</w:t>
            </w:r>
          </w:p>
        </w:tc>
        <w:tc>
          <w:tcPr>
            <w:tcW w:w="1440" w:type="dxa"/>
            <w:tcBorders>
              <w:top w:val="nil"/>
              <w:left w:val="nil"/>
              <w:bottom w:val="single" w:color="auto" w:sz="4" w:space="0"/>
              <w:right w:val="single" w:color="auto" w:sz="4" w:space="0"/>
            </w:tcBorders>
            <w:noWrap w:val="0"/>
            <w:vAlign w:val="center"/>
          </w:tcPr>
          <w:p w14:paraId="0D1610D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100≤Y＜2000</w:t>
            </w:r>
          </w:p>
        </w:tc>
        <w:tc>
          <w:tcPr>
            <w:tcW w:w="925" w:type="dxa"/>
            <w:tcBorders>
              <w:top w:val="nil"/>
              <w:left w:val="nil"/>
              <w:bottom w:val="single" w:color="auto" w:sz="4" w:space="0"/>
              <w:right w:val="single" w:color="auto" w:sz="4" w:space="0"/>
            </w:tcBorders>
            <w:noWrap w:val="0"/>
            <w:vAlign w:val="center"/>
          </w:tcPr>
          <w:p w14:paraId="16E34BE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0A083F1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6C0A03BD">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餐饮业</w:t>
            </w:r>
          </w:p>
        </w:tc>
        <w:tc>
          <w:tcPr>
            <w:tcW w:w="1384" w:type="dxa"/>
            <w:tcBorders>
              <w:top w:val="nil"/>
              <w:left w:val="nil"/>
              <w:bottom w:val="single" w:color="auto" w:sz="4" w:space="0"/>
              <w:right w:val="single" w:color="auto" w:sz="4" w:space="0"/>
            </w:tcBorders>
            <w:noWrap w:val="0"/>
            <w:vAlign w:val="center"/>
          </w:tcPr>
          <w:p w14:paraId="1D21102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67A369A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26D8180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1440" w:type="dxa"/>
            <w:tcBorders>
              <w:top w:val="nil"/>
              <w:left w:val="nil"/>
              <w:bottom w:val="single" w:color="auto" w:sz="4" w:space="0"/>
              <w:right w:val="single" w:color="auto" w:sz="4" w:space="0"/>
            </w:tcBorders>
            <w:noWrap w:val="0"/>
            <w:vAlign w:val="center"/>
          </w:tcPr>
          <w:p w14:paraId="5D3BA80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2EA34BD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64A21E0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6844A78A">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6069418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1CC869B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1E97E29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2000≤Y＜10000</w:t>
            </w:r>
          </w:p>
        </w:tc>
        <w:tc>
          <w:tcPr>
            <w:tcW w:w="1440" w:type="dxa"/>
            <w:tcBorders>
              <w:top w:val="nil"/>
              <w:left w:val="nil"/>
              <w:bottom w:val="single" w:color="auto" w:sz="4" w:space="0"/>
              <w:right w:val="single" w:color="auto" w:sz="4" w:space="0"/>
            </w:tcBorders>
            <w:noWrap w:val="0"/>
            <w:vAlign w:val="center"/>
          </w:tcPr>
          <w:p w14:paraId="2169850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100≤Y＜2000</w:t>
            </w:r>
          </w:p>
        </w:tc>
        <w:tc>
          <w:tcPr>
            <w:tcW w:w="925" w:type="dxa"/>
            <w:tcBorders>
              <w:top w:val="nil"/>
              <w:left w:val="nil"/>
              <w:bottom w:val="single" w:color="auto" w:sz="4" w:space="0"/>
              <w:right w:val="single" w:color="auto" w:sz="4" w:space="0"/>
            </w:tcBorders>
            <w:noWrap w:val="0"/>
            <w:vAlign w:val="center"/>
          </w:tcPr>
          <w:p w14:paraId="5E27440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2AB5C82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3BB08D3">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信息传输业</w:t>
            </w:r>
          </w:p>
        </w:tc>
        <w:tc>
          <w:tcPr>
            <w:tcW w:w="1384" w:type="dxa"/>
            <w:tcBorders>
              <w:top w:val="nil"/>
              <w:left w:val="nil"/>
              <w:bottom w:val="single" w:color="auto" w:sz="4" w:space="0"/>
              <w:right w:val="single" w:color="auto" w:sz="4" w:space="0"/>
            </w:tcBorders>
            <w:noWrap w:val="0"/>
            <w:vAlign w:val="center"/>
          </w:tcPr>
          <w:p w14:paraId="183FFAE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3AD8180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776AFDD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100≤X＜2000</w:t>
            </w:r>
          </w:p>
        </w:tc>
        <w:tc>
          <w:tcPr>
            <w:tcW w:w="1440" w:type="dxa"/>
            <w:tcBorders>
              <w:top w:val="nil"/>
              <w:left w:val="nil"/>
              <w:bottom w:val="single" w:color="auto" w:sz="4" w:space="0"/>
              <w:right w:val="single" w:color="auto" w:sz="4" w:space="0"/>
            </w:tcBorders>
            <w:noWrap w:val="0"/>
            <w:vAlign w:val="center"/>
          </w:tcPr>
          <w:p w14:paraId="0703657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4F8C26F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1961712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54C620CE">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22E4959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34AB48D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1E465A2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1000≤Y＜100000</w:t>
            </w:r>
          </w:p>
        </w:tc>
        <w:tc>
          <w:tcPr>
            <w:tcW w:w="1440" w:type="dxa"/>
            <w:tcBorders>
              <w:top w:val="nil"/>
              <w:left w:val="nil"/>
              <w:bottom w:val="single" w:color="auto" w:sz="4" w:space="0"/>
              <w:right w:val="single" w:color="auto" w:sz="4" w:space="0"/>
            </w:tcBorders>
            <w:noWrap w:val="0"/>
            <w:vAlign w:val="center"/>
          </w:tcPr>
          <w:p w14:paraId="36AF8C6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100≤Y＜1000</w:t>
            </w:r>
          </w:p>
        </w:tc>
        <w:tc>
          <w:tcPr>
            <w:tcW w:w="925" w:type="dxa"/>
            <w:tcBorders>
              <w:top w:val="nil"/>
              <w:left w:val="nil"/>
              <w:bottom w:val="single" w:color="auto" w:sz="4" w:space="0"/>
              <w:right w:val="single" w:color="auto" w:sz="4" w:space="0"/>
            </w:tcBorders>
            <w:noWrap w:val="0"/>
            <w:vAlign w:val="center"/>
          </w:tcPr>
          <w:p w14:paraId="5FC0B34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640FA2C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1C235A59">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软件和信息技术服务业</w:t>
            </w:r>
          </w:p>
        </w:tc>
        <w:tc>
          <w:tcPr>
            <w:tcW w:w="1384" w:type="dxa"/>
            <w:tcBorders>
              <w:top w:val="nil"/>
              <w:left w:val="nil"/>
              <w:bottom w:val="single" w:color="auto" w:sz="4" w:space="0"/>
              <w:right w:val="single" w:color="auto" w:sz="4" w:space="0"/>
            </w:tcBorders>
            <w:noWrap w:val="0"/>
            <w:vAlign w:val="center"/>
          </w:tcPr>
          <w:p w14:paraId="40EF8C2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0D5223E2">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3CECF39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1440" w:type="dxa"/>
            <w:tcBorders>
              <w:top w:val="nil"/>
              <w:left w:val="nil"/>
              <w:bottom w:val="single" w:color="auto" w:sz="4" w:space="0"/>
              <w:right w:val="single" w:color="auto" w:sz="4" w:space="0"/>
            </w:tcBorders>
            <w:noWrap w:val="0"/>
            <w:vAlign w:val="center"/>
          </w:tcPr>
          <w:p w14:paraId="50FDBA96">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6123C45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7230ED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4AE2BD4C">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383A445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026CB24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B11A33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1000≤Y＜10000</w:t>
            </w:r>
          </w:p>
        </w:tc>
        <w:tc>
          <w:tcPr>
            <w:tcW w:w="1440" w:type="dxa"/>
            <w:tcBorders>
              <w:top w:val="nil"/>
              <w:left w:val="nil"/>
              <w:bottom w:val="single" w:color="auto" w:sz="4" w:space="0"/>
              <w:right w:val="single" w:color="auto" w:sz="4" w:space="0"/>
            </w:tcBorders>
            <w:noWrap w:val="0"/>
            <w:vAlign w:val="center"/>
          </w:tcPr>
          <w:p w14:paraId="4D2889B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50≤Y＜1000</w:t>
            </w:r>
          </w:p>
        </w:tc>
        <w:tc>
          <w:tcPr>
            <w:tcW w:w="925" w:type="dxa"/>
            <w:tcBorders>
              <w:top w:val="nil"/>
              <w:left w:val="nil"/>
              <w:bottom w:val="single" w:color="auto" w:sz="4" w:space="0"/>
              <w:right w:val="single" w:color="auto" w:sz="4" w:space="0"/>
            </w:tcBorders>
            <w:noWrap w:val="0"/>
            <w:vAlign w:val="center"/>
          </w:tcPr>
          <w:p w14:paraId="72324D4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Y＜50</w:t>
            </w:r>
          </w:p>
        </w:tc>
      </w:tr>
      <w:tr w14:paraId="09E2B49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3EA8764B">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房地产开发经营</w:t>
            </w:r>
          </w:p>
        </w:tc>
        <w:tc>
          <w:tcPr>
            <w:tcW w:w="1384" w:type="dxa"/>
            <w:tcBorders>
              <w:top w:val="nil"/>
              <w:left w:val="nil"/>
              <w:bottom w:val="single" w:color="auto" w:sz="4" w:space="0"/>
              <w:right w:val="single" w:color="auto" w:sz="4" w:space="0"/>
            </w:tcBorders>
            <w:noWrap w:val="0"/>
            <w:vAlign w:val="center"/>
          </w:tcPr>
          <w:p w14:paraId="33FA4D4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4D8786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1200841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1000≤Y＜200000</w:t>
            </w:r>
          </w:p>
        </w:tc>
        <w:tc>
          <w:tcPr>
            <w:tcW w:w="1440" w:type="dxa"/>
            <w:tcBorders>
              <w:top w:val="nil"/>
              <w:left w:val="nil"/>
              <w:bottom w:val="single" w:color="auto" w:sz="4" w:space="0"/>
              <w:right w:val="single" w:color="auto" w:sz="4" w:space="0"/>
            </w:tcBorders>
            <w:noWrap w:val="0"/>
            <w:vAlign w:val="center"/>
          </w:tcPr>
          <w:p w14:paraId="73433C2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100≤X＜1000</w:t>
            </w:r>
          </w:p>
        </w:tc>
        <w:tc>
          <w:tcPr>
            <w:tcW w:w="925" w:type="dxa"/>
            <w:tcBorders>
              <w:top w:val="nil"/>
              <w:left w:val="nil"/>
              <w:bottom w:val="single" w:color="auto" w:sz="4" w:space="0"/>
              <w:right w:val="single" w:color="auto" w:sz="4" w:space="0"/>
            </w:tcBorders>
            <w:noWrap w:val="0"/>
            <w:vAlign w:val="center"/>
          </w:tcPr>
          <w:p w14:paraId="55F0431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X＜100</w:t>
            </w:r>
          </w:p>
        </w:tc>
      </w:tr>
      <w:tr w14:paraId="4951CD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3B0E50C3">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6369D2B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资产总额（Z）</w:t>
            </w:r>
          </w:p>
        </w:tc>
        <w:tc>
          <w:tcPr>
            <w:tcW w:w="913" w:type="dxa"/>
            <w:tcBorders>
              <w:top w:val="nil"/>
              <w:left w:val="nil"/>
              <w:bottom w:val="single" w:color="auto" w:sz="4" w:space="0"/>
              <w:right w:val="single" w:color="auto" w:sz="4" w:space="0"/>
            </w:tcBorders>
            <w:noWrap w:val="0"/>
            <w:vAlign w:val="center"/>
          </w:tcPr>
          <w:p w14:paraId="09FBC59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75D72F3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5000≤Z＜10000</w:t>
            </w:r>
          </w:p>
        </w:tc>
        <w:tc>
          <w:tcPr>
            <w:tcW w:w="1440" w:type="dxa"/>
            <w:tcBorders>
              <w:top w:val="nil"/>
              <w:left w:val="nil"/>
              <w:bottom w:val="single" w:color="auto" w:sz="4" w:space="0"/>
              <w:right w:val="single" w:color="auto" w:sz="4" w:space="0"/>
            </w:tcBorders>
            <w:noWrap w:val="0"/>
            <w:vAlign w:val="center"/>
          </w:tcPr>
          <w:p w14:paraId="2F854A70">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2000≤Y＜5000</w:t>
            </w:r>
          </w:p>
        </w:tc>
        <w:tc>
          <w:tcPr>
            <w:tcW w:w="925" w:type="dxa"/>
            <w:tcBorders>
              <w:top w:val="nil"/>
              <w:left w:val="nil"/>
              <w:bottom w:val="single" w:color="auto" w:sz="4" w:space="0"/>
              <w:right w:val="single" w:color="auto" w:sz="4" w:space="0"/>
            </w:tcBorders>
            <w:noWrap w:val="0"/>
            <w:vAlign w:val="center"/>
          </w:tcPr>
          <w:p w14:paraId="3F1B87C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Y＜2000</w:t>
            </w:r>
          </w:p>
        </w:tc>
      </w:tr>
      <w:tr w14:paraId="5DEE646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7089282E">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物业管理</w:t>
            </w:r>
          </w:p>
        </w:tc>
        <w:tc>
          <w:tcPr>
            <w:tcW w:w="1384" w:type="dxa"/>
            <w:tcBorders>
              <w:top w:val="nil"/>
              <w:left w:val="nil"/>
              <w:bottom w:val="single" w:color="auto" w:sz="4" w:space="0"/>
              <w:right w:val="single" w:color="auto" w:sz="4" w:space="0"/>
            </w:tcBorders>
            <w:noWrap w:val="0"/>
            <w:vAlign w:val="center"/>
          </w:tcPr>
          <w:p w14:paraId="03A1CA5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2399783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6E06210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300≤X＜1000</w:t>
            </w:r>
          </w:p>
        </w:tc>
        <w:tc>
          <w:tcPr>
            <w:tcW w:w="1440" w:type="dxa"/>
            <w:tcBorders>
              <w:top w:val="nil"/>
              <w:left w:val="nil"/>
              <w:bottom w:val="single" w:color="auto" w:sz="4" w:space="0"/>
              <w:right w:val="single" w:color="auto" w:sz="4" w:space="0"/>
            </w:tcBorders>
            <w:noWrap w:val="0"/>
            <w:vAlign w:val="center"/>
          </w:tcPr>
          <w:p w14:paraId="0788AE47">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925" w:type="dxa"/>
            <w:tcBorders>
              <w:top w:val="nil"/>
              <w:left w:val="nil"/>
              <w:bottom w:val="single" w:color="auto" w:sz="4" w:space="0"/>
              <w:right w:val="single" w:color="auto" w:sz="4" w:space="0"/>
            </w:tcBorders>
            <w:noWrap w:val="0"/>
            <w:vAlign w:val="center"/>
          </w:tcPr>
          <w:p w14:paraId="40CBD7E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X＜100</w:t>
            </w:r>
          </w:p>
        </w:tc>
      </w:tr>
      <w:tr w14:paraId="5894C60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0B25C483">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158B4FD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营业收入（Y）</w:t>
            </w:r>
          </w:p>
        </w:tc>
        <w:tc>
          <w:tcPr>
            <w:tcW w:w="913" w:type="dxa"/>
            <w:tcBorders>
              <w:top w:val="nil"/>
              <w:left w:val="nil"/>
              <w:bottom w:val="single" w:color="auto" w:sz="4" w:space="0"/>
              <w:right w:val="single" w:color="auto" w:sz="4" w:space="0"/>
            </w:tcBorders>
            <w:noWrap w:val="0"/>
            <w:vAlign w:val="center"/>
          </w:tcPr>
          <w:p w14:paraId="540A371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32904F4">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1000≤Y＜5000</w:t>
            </w:r>
          </w:p>
        </w:tc>
        <w:tc>
          <w:tcPr>
            <w:tcW w:w="1440" w:type="dxa"/>
            <w:tcBorders>
              <w:top w:val="nil"/>
              <w:left w:val="nil"/>
              <w:bottom w:val="single" w:color="auto" w:sz="4" w:space="0"/>
              <w:right w:val="single" w:color="auto" w:sz="4" w:space="0"/>
            </w:tcBorders>
            <w:noWrap w:val="0"/>
            <w:vAlign w:val="center"/>
          </w:tcPr>
          <w:p w14:paraId="3AC0469A">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500≤Y＜1000</w:t>
            </w:r>
          </w:p>
        </w:tc>
        <w:tc>
          <w:tcPr>
            <w:tcW w:w="925" w:type="dxa"/>
            <w:tcBorders>
              <w:top w:val="nil"/>
              <w:left w:val="nil"/>
              <w:bottom w:val="single" w:color="auto" w:sz="4" w:space="0"/>
              <w:right w:val="single" w:color="auto" w:sz="4" w:space="0"/>
            </w:tcBorders>
            <w:noWrap w:val="0"/>
            <w:vAlign w:val="center"/>
          </w:tcPr>
          <w:p w14:paraId="4D5EBD9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Y＜500</w:t>
            </w:r>
          </w:p>
        </w:tc>
      </w:tr>
      <w:tr w14:paraId="4D19B0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0"/>
            <w:vAlign w:val="bottom"/>
          </w:tcPr>
          <w:p w14:paraId="426D76C3">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租赁和商务服务业</w:t>
            </w:r>
          </w:p>
        </w:tc>
        <w:tc>
          <w:tcPr>
            <w:tcW w:w="1384" w:type="dxa"/>
            <w:tcBorders>
              <w:top w:val="nil"/>
              <w:left w:val="nil"/>
              <w:bottom w:val="single" w:color="auto" w:sz="4" w:space="0"/>
              <w:right w:val="single" w:color="auto" w:sz="4" w:space="0"/>
            </w:tcBorders>
            <w:noWrap w:val="0"/>
            <w:vAlign w:val="center"/>
          </w:tcPr>
          <w:p w14:paraId="33179188">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58CEE4D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6B97753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1440" w:type="dxa"/>
            <w:tcBorders>
              <w:top w:val="nil"/>
              <w:left w:val="nil"/>
              <w:bottom w:val="single" w:color="auto" w:sz="4" w:space="0"/>
              <w:right w:val="single" w:color="auto" w:sz="4" w:space="0"/>
            </w:tcBorders>
            <w:noWrap w:val="0"/>
            <w:vAlign w:val="center"/>
          </w:tcPr>
          <w:p w14:paraId="5A044871">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59CA4E4E">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r w14:paraId="51841A7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2B3EBB4B">
            <w:pPr>
              <w:rPr>
                <w:color w:val="auto"/>
                <w:highlight w:val="none"/>
              </w:rPr>
            </w:pPr>
          </w:p>
        </w:tc>
        <w:tc>
          <w:tcPr>
            <w:tcW w:w="1384" w:type="dxa"/>
            <w:tcBorders>
              <w:top w:val="nil"/>
              <w:left w:val="nil"/>
              <w:bottom w:val="single" w:color="auto" w:sz="4" w:space="0"/>
              <w:right w:val="single" w:color="auto" w:sz="4" w:space="0"/>
            </w:tcBorders>
            <w:noWrap w:val="0"/>
            <w:vAlign w:val="center"/>
          </w:tcPr>
          <w:p w14:paraId="3C8BFAF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资产总额（Z）</w:t>
            </w:r>
          </w:p>
        </w:tc>
        <w:tc>
          <w:tcPr>
            <w:tcW w:w="913" w:type="dxa"/>
            <w:tcBorders>
              <w:top w:val="nil"/>
              <w:left w:val="nil"/>
              <w:bottom w:val="single" w:color="auto" w:sz="4" w:space="0"/>
              <w:right w:val="single" w:color="auto" w:sz="4" w:space="0"/>
            </w:tcBorders>
            <w:noWrap w:val="0"/>
            <w:vAlign w:val="center"/>
          </w:tcPr>
          <w:p w14:paraId="7B340933">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万元</w:t>
            </w:r>
          </w:p>
        </w:tc>
        <w:tc>
          <w:tcPr>
            <w:tcW w:w="1620" w:type="dxa"/>
            <w:tcBorders>
              <w:top w:val="nil"/>
              <w:left w:val="nil"/>
              <w:bottom w:val="single" w:color="auto" w:sz="4" w:space="0"/>
              <w:right w:val="single" w:color="auto" w:sz="4" w:space="0"/>
            </w:tcBorders>
            <w:noWrap w:val="0"/>
            <w:vAlign w:val="center"/>
          </w:tcPr>
          <w:p w14:paraId="38F4EE9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8000≤Z＜120000</w:t>
            </w:r>
          </w:p>
        </w:tc>
        <w:tc>
          <w:tcPr>
            <w:tcW w:w="1440" w:type="dxa"/>
            <w:tcBorders>
              <w:top w:val="nil"/>
              <w:left w:val="nil"/>
              <w:bottom w:val="single" w:color="auto" w:sz="4" w:space="0"/>
              <w:right w:val="single" w:color="auto" w:sz="4" w:space="0"/>
            </w:tcBorders>
            <w:noWrap w:val="0"/>
            <w:vAlign w:val="center"/>
          </w:tcPr>
          <w:p w14:paraId="009AD27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100≤Z＜8000</w:t>
            </w:r>
          </w:p>
        </w:tc>
        <w:tc>
          <w:tcPr>
            <w:tcW w:w="925" w:type="dxa"/>
            <w:tcBorders>
              <w:top w:val="nil"/>
              <w:left w:val="nil"/>
              <w:bottom w:val="single" w:color="auto" w:sz="4" w:space="0"/>
              <w:right w:val="single" w:color="auto" w:sz="4" w:space="0"/>
            </w:tcBorders>
            <w:noWrap w:val="0"/>
            <w:vAlign w:val="center"/>
          </w:tcPr>
          <w:p w14:paraId="47E0548C">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Y＜100</w:t>
            </w:r>
          </w:p>
        </w:tc>
      </w:tr>
      <w:tr w14:paraId="71AC8FE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0"/>
            <w:vAlign w:val="bottom"/>
          </w:tcPr>
          <w:p w14:paraId="082F0DA0">
            <w:pPr>
              <w:widowControl/>
              <w:jc w:val="center"/>
              <w:rPr>
                <w:rFonts w:hint="eastAsia" w:ascii="宋体" w:eastAsia="宋体" w:cs="宋体"/>
                <w:b/>
                <w:bCs/>
                <w:color w:val="auto"/>
                <w:kern w:val="0"/>
                <w:sz w:val="18"/>
                <w:szCs w:val="18"/>
                <w:highlight w:val="none"/>
                <w:lang w:bidi="ar-SA"/>
              </w:rPr>
            </w:pPr>
            <w:r>
              <w:rPr>
                <w:rFonts w:hint="eastAsia" w:ascii="宋体" w:eastAsia="宋体" w:cs="宋体"/>
                <w:b/>
                <w:bCs/>
                <w:color w:val="auto"/>
                <w:kern w:val="0"/>
                <w:sz w:val="18"/>
                <w:szCs w:val="18"/>
                <w:highlight w:val="none"/>
                <w:lang w:bidi="ar-SA"/>
              </w:rPr>
              <w:t>其他未列明行业</w:t>
            </w:r>
          </w:p>
        </w:tc>
        <w:tc>
          <w:tcPr>
            <w:tcW w:w="1384" w:type="dxa"/>
            <w:tcBorders>
              <w:top w:val="nil"/>
              <w:left w:val="nil"/>
              <w:bottom w:val="single" w:color="auto" w:sz="4" w:space="0"/>
              <w:right w:val="single" w:color="auto" w:sz="4" w:space="0"/>
            </w:tcBorders>
            <w:noWrap w:val="0"/>
            <w:vAlign w:val="center"/>
          </w:tcPr>
          <w:p w14:paraId="7AF1B51B">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从业人员（X）</w:t>
            </w:r>
          </w:p>
        </w:tc>
        <w:tc>
          <w:tcPr>
            <w:tcW w:w="913" w:type="dxa"/>
            <w:tcBorders>
              <w:top w:val="nil"/>
              <w:left w:val="nil"/>
              <w:bottom w:val="single" w:color="auto" w:sz="4" w:space="0"/>
              <w:right w:val="single" w:color="auto" w:sz="4" w:space="0"/>
            </w:tcBorders>
            <w:noWrap w:val="0"/>
            <w:vAlign w:val="center"/>
          </w:tcPr>
          <w:p w14:paraId="1016FE8D">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人</w:t>
            </w:r>
          </w:p>
        </w:tc>
        <w:tc>
          <w:tcPr>
            <w:tcW w:w="1620" w:type="dxa"/>
            <w:tcBorders>
              <w:top w:val="nil"/>
              <w:left w:val="nil"/>
              <w:bottom w:val="single" w:color="auto" w:sz="4" w:space="0"/>
              <w:right w:val="single" w:color="auto" w:sz="4" w:space="0"/>
            </w:tcBorders>
            <w:noWrap w:val="0"/>
            <w:vAlign w:val="center"/>
          </w:tcPr>
          <w:p w14:paraId="7C313C55">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100≤X＜300</w:t>
            </w:r>
          </w:p>
        </w:tc>
        <w:tc>
          <w:tcPr>
            <w:tcW w:w="1440" w:type="dxa"/>
            <w:tcBorders>
              <w:top w:val="nil"/>
              <w:left w:val="nil"/>
              <w:bottom w:val="single" w:color="auto" w:sz="4" w:space="0"/>
              <w:right w:val="single" w:color="auto" w:sz="4" w:space="0"/>
            </w:tcBorders>
            <w:noWrap w:val="0"/>
            <w:vAlign w:val="center"/>
          </w:tcPr>
          <w:p w14:paraId="20903399">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10≤X＜100</w:t>
            </w:r>
          </w:p>
        </w:tc>
        <w:tc>
          <w:tcPr>
            <w:tcW w:w="925" w:type="dxa"/>
            <w:tcBorders>
              <w:top w:val="nil"/>
              <w:left w:val="nil"/>
              <w:bottom w:val="single" w:color="auto" w:sz="4" w:space="0"/>
              <w:right w:val="single" w:color="auto" w:sz="4" w:space="0"/>
            </w:tcBorders>
            <w:noWrap w:val="0"/>
            <w:vAlign w:val="center"/>
          </w:tcPr>
          <w:p w14:paraId="241EDDEF">
            <w:pPr>
              <w:widowControl/>
              <w:jc w:val="left"/>
              <w:rPr>
                <w:rFonts w:hint="eastAsia" w:ascii="宋体" w:eastAsia="宋体" w:cs="宋体"/>
                <w:color w:val="auto"/>
                <w:kern w:val="0"/>
                <w:sz w:val="18"/>
                <w:szCs w:val="18"/>
                <w:highlight w:val="none"/>
                <w:lang w:bidi="ar-SA"/>
              </w:rPr>
            </w:pPr>
            <w:r>
              <w:rPr>
                <w:rFonts w:hint="eastAsia" w:ascii="宋体" w:eastAsia="宋体" w:cs="宋体"/>
                <w:color w:val="auto"/>
                <w:kern w:val="0"/>
                <w:sz w:val="18"/>
                <w:szCs w:val="18"/>
                <w:highlight w:val="none"/>
                <w:lang w:bidi="ar-SA"/>
              </w:rPr>
              <w:t>X＜10</w:t>
            </w:r>
          </w:p>
        </w:tc>
      </w:tr>
    </w:tbl>
    <w:p w14:paraId="5C06C465">
      <w:pPr>
        <w:spacing w:line="360" w:lineRule="auto"/>
        <w:ind w:firstLine="525" w:firstLineChars="250"/>
        <w:rPr>
          <w:rFonts w:hint="eastAsia" w:ascii="宋体" w:eastAsia="宋体" w:cs="宋体"/>
          <w:color w:val="auto"/>
          <w:szCs w:val="21"/>
          <w:highlight w:val="none"/>
          <w:lang w:bidi="ar-SA"/>
        </w:rPr>
      </w:pPr>
    </w:p>
    <w:p w14:paraId="3EB59533">
      <w:pPr>
        <w:spacing w:line="360" w:lineRule="auto"/>
        <w:ind w:firstLine="525" w:firstLineChars="250"/>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说明：上述标准参照《关于印发中小企业划型标准规定的通知》（工信部联企业[2011]300号），大型、中型和小型企业须同时满足所列指标的下限，否则下划一档；微型企业只须满足所列指标中的一项即可。</w:t>
      </w:r>
    </w:p>
    <w:p w14:paraId="15114B28">
      <w:pPr>
        <w:spacing w:line="520" w:lineRule="exact"/>
        <w:jc w:val="center"/>
        <w:rPr>
          <w:rFonts w:hint="eastAsia" w:ascii="宋体" w:eastAsia="宋体" w:cs="宋体"/>
          <w:color w:val="auto"/>
          <w:sz w:val="32"/>
          <w:szCs w:val="32"/>
          <w:highlight w:val="none"/>
          <w:lang w:bidi="ar-SA"/>
        </w:rPr>
      </w:pPr>
      <w:r>
        <w:rPr>
          <w:rFonts w:hint="eastAsia" w:ascii="宋体" w:eastAsia="宋体" w:cs="宋体"/>
          <w:color w:val="auto"/>
          <w:sz w:val="24"/>
          <w:highlight w:val="none"/>
          <w:lang w:bidi="ar-SA"/>
        </w:rPr>
        <w:br w:type="page"/>
      </w:r>
      <w:r>
        <w:rPr>
          <w:rFonts w:hint="eastAsia" w:ascii="宋体" w:eastAsia="宋体" w:cs="宋体"/>
          <w:color w:val="auto"/>
          <w:sz w:val="44"/>
          <w:szCs w:val="44"/>
          <w:highlight w:val="none"/>
          <w:lang w:bidi="ar-SA"/>
        </w:rPr>
        <w:t>残疾人福利性单位声明函</w:t>
      </w:r>
    </w:p>
    <w:p w14:paraId="401B84D3">
      <w:pPr>
        <w:spacing w:line="360" w:lineRule="auto"/>
        <w:contextualSpacing/>
        <w:rPr>
          <w:rFonts w:hint="eastAsia" w:ascii="宋体" w:eastAsia="宋体" w:cs="宋体"/>
          <w:color w:val="auto"/>
          <w:sz w:val="32"/>
          <w:szCs w:val="32"/>
          <w:highlight w:val="none"/>
          <w:lang w:bidi="ar-SA"/>
        </w:rPr>
      </w:pPr>
    </w:p>
    <w:p w14:paraId="0EC6BDFB">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单位的</w:t>
      </w:r>
      <w:r>
        <w:rPr>
          <w:rFonts w:hint="eastAsia" w:ascii="宋体" w:eastAsia="宋体" w:cs="宋体"/>
          <w:color w:val="auto"/>
          <w:sz w:val="24"/>
          <w:highlight w:val="none"/>
          <w:u w:val="single"/>
          <w:lang w:bidi="ar-SA"/>
        </w:rPr>
        <w:t xml:space="preserve">        </w:t>
      </w:r>
      <w:r>
        <w:rPr>
          <w:rFonts w:hint="eastAsia" w:ascii="宋体" w:eastAsia="宋体" w:cs="宋体"/>
          <w:color w:val="auto"/>
          <w:sz w:val="24"/>
          <w:highlight w:val="none"/>
          <w:lang w:bidi="ar-SA"/>
        </w:rPr>
        <w:t>项目采购活动提供本单位制造的货物（由本单位承担工程/提供服务），或者提供其他残疾人福利性单位制造的货物（不包括使用非残疾人福利性单位注册商标的货物）。</w:t>
      </w:r>
    </w:p>
    <w:p w14:paraId="7993995C">
      <w:pPr>
        <w:spacing w:line="360" w:lineRule="auto"/>
        <w:ind w:firstLine="480" w:firstLineChars="2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本单位对上述声明的真实性负责。如有虚假，将依法承担相应责任。</w:t>
      </w:r>
    </w:p>
    <w:p w14:paraId="5CDEE7A1">
      <w:pPr>
        <w:spacing w:line="360" w:lineRule="auto"/>
        <w:contextualSpacing/>
        <w:rPr>
          <w:rFonts w:hint="eastAsia" w:ascii="宋体" w:eastAsia="宋体" w:cs="宋体"/>
          <w:color w:val="auto"/>
          <w:sz w:val="24"/>
          <w:highlight w:val="none"/>
          <w:lang w:bidi="ar-SA"/>
        </w:rPr>
      </w:pPr>
    </w:p>
    <w:p w14:paraId="0E563BAD">
      <w:pPr>
        <w:spacing w:line="360" w:lineRule="auto"/>
        <w:contextualSpacing/>
        <w:rPr>
          <w:rFonts w:hint="eastAsia" w:ascii="宋体" w:eastAsia="宋体" w:cs="宋体"/>
          <w:color w:val="auto"/>
          <w:sz w:val="24"/>
          <w:highlight w:val="none"/>
          <w:lang w:bidi="ar-SA"/>
        </w:rPr>
      </w:pPr>
    </w:p>
    <w:p w14:paraId="15351A03">
      <w:pPr>
        <w:spacing w:line="360" w:lineRule="auto"/>
        <w:contextualSpacing/>
        <w:rPr>
          <w:rFonts w:hint="eastAsia" w:ascii="宋体" w:eastAsia="宋体" w:cs="宋体"/>
          <w:color w:val="auto"/>
          <w:sz w:val="24"/>
          <w:highlight w:val="none"/>
          <w:lang w:bidi="ar-SA"/>
        </w:rPr>
      </w:pPr>
    </w:p>
    <w:p w14:paraId="3F64DBF4">
      <w:pPr>
        <w:spacing w:line="360" w:lineRule="auto"/>
        <w:ind w:firstLine="2400" w:firstLineChars="10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单位名称（盖章）：</w:t>
      </w:r>
    </w:p>
    <w:p w14:paraId="37428055">
      <w:pPr>
        <w:spacing w:line="360" w:lineRule="auto"/>
        <w:ind w:firstLine="3600" w:firstLineChars="1500"/>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日  期：</w:t>
      </w:r>
    </w:p>
    <w:p w14:paraId="0E71BAA8">
      <w:pPr>
        <w:spacing w:line="360" w:lineRule="auto"/>
        <w:contextualSpacing/>
        <w:rPr>
          <w:rFonts w:hint="eastAsia" w:ascii="宋体" w:eastAsia="宋体" w:cs="宋体"/>
          <w:color w:val="auto"/>
          <w:sz w:val="24"/>
          <w:highlight w:val="none"/>
          <w:lang w:bidi="ar-SA"/>
        </w:rPr>
      </w:pPr>
    </w:p>
    <w:p w14:paraId="2652D7B6">
      <w:pPr>
        <w:spacing w:line="360" w:lineRule="auto"/>
        <w:contextualSpacing/>
        <w:rPr>
          <w:rFonts w:hint="eastAsia" w:ascii="宋体" w:eastAsia="宋体" w:cs="宋体"/>
          <w:color w:val="auto"/>
          <w:sz w:val="24"/>
          <w:highlight w:val="none"/>
          <w:lang w:bidi="ar-SA"/>
        </w:rPr>
      </w:pPr>
    </w:p>
    <w:p w14:paraId="446AF6F8">
      <w:pPr>
        <w:spacing w:line="360" w:lineRule="auto"/>
        <w:contextualSpacing/>
        <w:rPr>
          <w:rFonts w:hint="eastAsia" w:ascii="宋体" w:eastAsia="宋体" w:cs="宋体"/>
          <w:color w:val="auto"/>
          <w:sz w:val="24"/>
          <w:highlight w:val="none"/>
          <w:lang w:bidi="ar-SA"/>
        </w:rPr>
      </w:pPr>
    </w:p>
    <w:p w14:paraId="66510588">
      <w:pPr>
        <w:spacing w:line="360" w:lineRule="auto"/>
        <w:contextualSpacing/>
        <w:rPr>
          <w:rFonts w:hint="eastAsia" w:ascii="宋体" w:eastAsia="宋体" w:cs="宋体"/>
          <w:color w:val="auto"/>
          <w:sz w:val="24"/>
          <w:highlight w:val="none"/>
          <w:lang w:bidi="ar-SA"/>
        </w:rPr>
      </w:pPr>
      <w:r>
        <w:rPr>
          <w:rFonts w:hint="eastAsia" w:ascii="宋体" w:eastAsia="宋体" w:cs="宋体"/>
          <w:color w:val="auto"/>
          <w:sz w:val="24"/>
          <w:highlight w:val="none"/>
          <w:lang w:bidi="ar-SA"/>
        </w:rPr>
        <w:t>注：请根据自己的真实情况出具《残疾人福利性单位声明函》。依法享受中小企业优惠政策的，采购人或者采购代理机构在公告中标结果时，同时公告其《残疾人福利性单位声明函》，接受社会监督。</w:t>
      </w:r>
    </w:p>
    <w:p w14:paraId="63566803">
      <w:pPr>
        <w:spacing w:line="360" w:lineRule="auto"/>
        <w:jc w:val="center"/>
        <w:rPr>
          <w:rFonts w:hint="eastAsia" w:ascii="宋体" w:eastAsia="宋体" w:cs="宋体"/>
          <w:color w:val="auto"/>
          <w:sz w:val="24"/>
          <w:highlight w:val="none"/>
          <w:lang w:bidi="ar-SA"/>
        </w:rPr>
      </w:pPr>
      <w:r>
        <w:rPr>
          <w:rFonts w:hint="eastAsia" w:ascii="宋体" w:eastAsia="宋体" w:cs="宋体"/>
          <w:color w:val="auto"/>
          <w:sz w:val="24"/>
          <w:highlight w:val="none"/>
          <w:lang w:bidi="ar-SA"/>
        </w:rPr>
        <w:br w:type="page"/>
      </w:r>
    </w:p>
    <w:p w14:paraId="487BBD07">
      <w:pPr>
        <w:spacing w:line="360" w:lineRule="auto"/>
        <w:jc w:val="center"/>
        <w:rPr>
          <w:rFonts w:hint="eastAsia" w:ascii="宋体" w:eastAsia="宋体" w:cs="宋体"/>
          <w:b/>
          <w:bCs/>
          <w:color w:val="auto"/>
          <w:sz w:val="32"/>
          <w:szCs w:val="32"/>
          <w:highlight w:val="none"/>
          <w:lang w:bidi="ar-SA"/>
        </w:rPr>
      </w:pPr>
      <w:r>
        <w:rPr>
          <w:rFonts w:hint="eastAsia" w:ascii="宋体" w:eastAsia="宋体" w:cs="宋体"/>
          <w:color w:val="auto"/>
          <w:sz w:val="44"/>
          <w:szCs w:val="44"/>
          <w:highlight w:val="none"/>
          <w:lang w:bidi="ar-SA"/>
        </w:rPr>
        <w:t>质疑函</w:t>
      </w:r>
      <w:r>
        <w:rPr>
          <w:rFonts w:hint="eastAsia" w:ascii="宋体" w:eastAsia="宋体" w:cs="宋体"/>
          <w:color w:val="auto"/>
          <w:sz w:val="28"/>
          <w:szCs w:val="28"/>
          <w:highlight w:val="none"/>
          <w:lang w:bidi="ar-SA"/>
        </w:rPr>
        <w:t>（格式）</w:t>
      </w:r>
    </w:p>
    <w:p w14:paraId="1640B5D4">
      <w:pPr>
        <w:pStyle w:val="19"/>
        <w:spacing w:line="360" w:lineRule="auto"/>
        <w:ind w:firstLine="482" w:firstLineChars="200"/>
        <w:contextualSpacing/>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一、质疑供应商基本信息：</w:t>
      </w:r>
    </w:p>
    <w:p w14:paraId="61D33B1B">
      <w:pPr>
        <w:pStyle w:val="19"/>
        <w:spacing w:line="360" w:lineRule="auto"/>
        <w:ind w:firstLine="480" w:firstLineChars="200"/>
        <w:contextualSpacing/>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质疑供应商：</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0EC85E5A">
      <w:pPr>
        <w:pStyle w:val="19"/>
        <w:spacing w:line="360" w:lineRule="auto"/>
        <w:ind w:firstLine="480" w:firstLineChars="200"/>
        <w:contextualSpacing/>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1A02DA4F">
      <w:pPr>
        <w:pStyle w:val="19"/>
        <w:spacing w:line="360" w:lineRule="auto"/>
        <w:ind w:firstLine="480" w:firstLineChars="200"/>
        <w:contextualSpacing/>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联系人：</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p>
    <w:p w14:paraId="776861C9">
      <w:pPr>
        <w:pStyle w:val="19"/>
        <w:spacing w:line="360" w:lineRule="auto"/>
        <w:ind w:firstLine="480" w:firstLineChars="200"/>
        <w:contextualSpacing/>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授权代表：</w:t>
      </w:r>
      <w:r>
        <w:rPr>
          <w:rFonts w:hint="eastAsia" w:ascii="宋体" w:eastAsia="宋体" w:cs="宋体"/>
          <w:bCs/>
          <w:color w:val="auto"/>
          <w:sz w:val="24"/>
          <w:szCs w:val="24"/>
          <w:highlight w:val="none"/>
          <w:u w:val="single"/>
          <w:lang w:bidi="ar-SA"/>
        </w:rPr>
        <w:t xml:space="preserve">                      </w:t>
      </w:r>
    </w:p>
    <w:p w14:paraId="016F4C9B">
      <w:pPr>
        <w:pStyle w:val="19"/>
        <w:spacing w:line="360" w:lineRule="auto"/>
        <w:ind w:firstLine="480" w:firstLineChars="200"/>
        <w:contextualSpacing/>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p>
    <w:p w14:paraId="334B0180">
      <w:pPr>
        <w:pStyle w:val="19"/>
        <w:spacing w:line="360" w:lineRule="auto"/>
        <w:ind w:firstLine="480" w:firstLineChars="200"/>
        <w:contextualSpacing/>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24D4FC3E">
      <w:pPr>
        <w:pStyle w:val="19"/>
        <w:spacing w:line="360" w:lineRule="auto"/>
        <w:ind w:firstLine="482" w:firstLineChars="200"/>
        <w:contextualSpacing/>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二、质疑项目基本情况：</w:t>
      </w:r>
    </w:p>
    <w:p w14:paraId="11FA5D70">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lang w:bidi="ar-SA"/>
        </w:rPr>
        <w:t>质疑</w:t>
      </w:r>
      <w:r>
        <w:rPr>
          <w:rFonts w:hint="eastAsia" w:ascii="宋体" w:eastAsia="宋体" w:cs="宋体"/>
          <w:color w:val="auto"/>
          <w:sz w:val="24"/>
          <w:szCs w:val="24"/>
          <w:highlight w:val="none"/>
          <w:lang w:bidi="ar-SA"/>
        </w:rPr>
        <w:t>项目的名称：</w:t>
      </w:r>
      <w:r>
        <w:rPr>
          <w:rFonts w:hint="eastAsia" w:ascii="宋体" w:eastAsia="宋体" w:cs="宋体"/>
          <w:bCs/>
          <w:color w:val="auto"/>
          <w:sz w:val="24"/>
          <w:szCs w:val="24"/>
          <w:highlight w:val="none"/>
          <w:u w:val="single"/>
          <w:lang w:bidi="ar-SA"/>
        </w:rPr>
        <w:t xml:space="preserve">                                     </w:t>
      </w:r>
    </w:p>
    <w:p w14:paraId="77D2516F">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lang w:bidi="ar-SA"/>
        </w:rPr>
        <w:t>质疑</w:t>
      </w:r>
      <w:r>
        <w:rPr>
          <w:rFonts w:hint="eastAsia" w:ascii="宋体" w:eastAsia="宋体" w:cs="宋体"/>
          <w:color w:val="auto"/>
          <w:sz w:val="24"/>
          <w:szCs w:val="24"/>
          <w:highlight w:val="none"/>
          <w:lang w:bidi="ar-SA"/>
        </w:rPr>
        <w:t>项目的编号：</w:t>
      </w:r>
      <w:r>
        <w:rPr>
          <w:rFonts w:hint="eastAsia" w:ascii="宋体" w:eastAsia="宋体" w:cs="宋体"/>
          <w:bCs/>
          <w:color w:val="auto"/>
          <w:sz w:val="24"/>
          <w:szCs w:val="24"/>
          <w:highlight w:val="none"/>
          <w:u w:val="single"/>
          <w:lang w:bidi="ar-SA"/>
        </w:rPr>
        <w:t xml:space="preserve">                                     </w:t>
      </w:r>
    </w:p>
    <w:p w14:paraId="5B1B4AD8">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采购人名称：</w:t>
      </w:r>
      <w:r>
        <w:rPr>
          <w:rFonts w:hint="eastAsia" w:ascii="宋体" w:eastAsia="宋体" w:cs="宋体"/>
          <w:bCs/>
          <w:color w:val="auto"/>
          <w:sz w:val="24"/>
          <w:szCs w:val="24"/>
          <w:highlight w:val="none"/>
          <w:u w:val="single"/>
          <w:lang w:bidi="ar-SA"/>
        </w:rPr>
        <w:t xml:space="preserve">                                         </w:t>
      </w:r>
    </w:p>
    <w:p w14:paraId="022D0A36">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质疑事项：</w:t>
      </w:r>
    </w:p>
    <w:p w14:paraId="343B9975">
      <w:pPr>
        <w:pStyle w:val="19"/>
        <w:spacing w:line="360" w:lineRule="auto"/>
        <w:ind w:left="25" w:leftChars="12" w:firstLine="352" w:firstLineChars="14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□采购文件   采购文件获取日期：</w:t>
      </w:r>
      <w:r>
        <w:rPr>
          <w:rFonts w:hint="eastAsia" w:ascii="宋体" w:eastAsia="宋体" w:cs="宋体"/>
          <w:bCs/>
          <w:color w:val="auto"/>
          <w:sz w:val="24"/>
          <w:szCs w:val="24"/>
          <w:highlight w:val="none"/>
          <w:u w:val="single"/>
          <w:lang w:bidi="ar-SA"/>
        </w:rPr>
        <w:t xml:space="preserve">                                   </w:t>
      </w:r>
    </w:p>
    <w:p w14:paraId="7165F001">
      <w:pPr>
        <w:pStyle w:val="19"/>
        <w:spacing w:line="360" w:lineRule="auto"/>
        <w:ind w:left="25" w:leftChars="12" w:firstLine="352" w:firstLineChars="14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 xml:space="preserve">□采购过程   </w:t>
      </w:r>
    </w:p>
    <w:p w14:paraId="743E9E14">
      <w:pPr>
        <w:pStyle w:val="19"/>
        <w:spacing w:line="360" w:lineRule="auto"/>
        <w:ind w:left="25" w:leftChars="12" w:firstLine="352" w:firstLineChars="147"/>
        <w:contextualSpacing/>
        <w:rPr>
          <w:rFonts w:hint="eastAsia" w:ascii="宋体" w:eastAsia="宋体" w:cs="宋体"/>
          <w:bCs/>
          <w:color w:val="auto"/>
          <w:sz w:val="24"/>
          <w:szCs w:val="24"/>
          <w:highlight w:val="none"/>
          <w:u w:val="single"/>
          <w:lang w:bidi="ar-SA"/>
        </w:rPr>
      </w:pPr>
      <w:r>
        <w:rPr>
          <w:rFonts w:hint="eastAsia" w:ascii="宋体" w:eastAsia="宋体" w:cs="宋体"/>
          <w:color w:val="auto"/>
          <w:sz w:val="24"/>
          <w:szCs w:val="24"/>
          <w:highlight w:val="none"/>
          <w:lang w:bidi="ar-SA"/>
        </w:rPr>
        <w:t xml:space="preserve">□成交结果   </w:t>
      </w:r>
    </w:p>
    <w:p w14:paraId="4E8C3A5F">
      <w:pPr>
        <w:pStyle w:val="19"/>
        <w:spacing w:line="360" w:lineRule="auto"/>
        <w:ind w:left="25" w:leftChars="12" w:firstLine="472" w:firstLineChars="196"/>
        <w:contextualSpacing/>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三、质疑事项具体内容</w:t>
      </w:r>
    </w:p>
    <w:p w14:paraId="2DA8CE34">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质疑事项1：</w:t>
      </w:r>
      <w:r>
        <w:rPr>
          <w:rFonts w:hint="eastAsia" w:ascii="宋体" w:eastAsia="宋体" w:cs="宋体"/>
          <w:bCs/>
          <w:color w:val="auto"/>
          <w:sz w:val="24"/>
          <w:szCs w:val="24"/>
          <w:highlight w:val="none"/>
          <w:u w:val="single"/>
          <w:lang w:bidi="ar-SA"/>
        </w:rPr>
        <w:t xml:space="preserve">                                                                    </w:t>
      </w:r>
    </w:p>
    <w:p w14:paraId="4256E32A">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事实依据：</w:t>
      </w:r>
      <w:r>
        <w:rPr>
          <w:rFonts w:hint="eastAsia" w:ascii="宋体" w:eastAsia="宋体" w:cs="宋体"/>
          <w:bCs/>
          <w:color w:val="auto"/>
          <w:sz w:val="24"/>
          <w:szCs w:val="24"/>
          <w:highlight w:val="none"/>
          <w:u w:val="single"/>
          <w:lang w:bidi="ar-SA"/>
        </w:rPr>
        <w:t xml:space="preserve">                                                                      </w:t>
      </w:r>
    </w:p>
    <w:p w14:paraId="2E22CDE4">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法律依据：</w:t>
      </w:r>
      <w:r>
        <w:rPr>
          <w:rFonts w:hint="eastAsia" w:ascii="宋体" w:eastAsia="宋体" w:cs="宋体"/>
          <w:color w:val="auto"/>
          <w:sz w:val="24"/>
          <w:szCs w:val="24"/>
          <w:highlight w:val="none"/>
          <w:u w:val="single"/>
          <w:lang w:bidi="ar-SA"/>
        </w:rPr>
        <w:t xml:space="preserve">                                                        </w:t>
      </w:r>
      <w:r>
        <w:rPr>
          <w:rFonts w:hint="eastAsia" w:ascii="宋体" w:eastAsia="宋体" w:cs="宋体"/>
          <w:bCs/>
          <w:color w:val="auto"/>
          <w:sz w:val="24"/>
          <w:szCs w:val="24"/>
          <w:highlight w:val="none"/>
          <w:u w:val="single"/>
          <w:lang w:bidi="ar-SA"/>
        </w:rPr>
        <w:t xml:space="preserve">               </w:t>
      </w:r>
    </w:p>
    <w:p w14:paraId="50C5147A">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质疑事项2</w:t>
      </w:r>
    </w:p>
    <w:p w14:paraId="34BBF9BC">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w:t>
      </w:r>
    </w:p>
    <w:p w14:paraId="2F35A1E2">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四、与质疑事项相关的质疑请求：</w:t>
      </w:r>
    </w:p>
    <w:p w14:paraId="1B036615">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请求：</w:t>
      </w:r>
      <w:r>
        <w:rPr>
          <w:rFonts w:hint="eastAsia" w:ascii="宋体" w:eastAsia="宋体" w:cs="宋体"/>
          <w:bCs/>
          <w:color w:val="auto"/>
          <w:sz w:val="24"/>
          <w:szCs w:val="24"/>
          <w:highlight w:val="none"/>
          <w:u w:val="single"/>
          <w:lang w:bidi="ar-SA"/>
        </w:rPr>
        <w:t xml:space="preserve">                                                                </w:t>
      </w:r>
    </w:p>
    <w:p w14:paraId="7659D205">
      <w:pPr>
        <w:pStyle w:val="19"/>
        <w:spacing w:line="360" w:lineRule="auto"/>
        <w:ind w:left="25" w:leftChars="12" w:firstLine="352" w:firstLineChars="147"/>
        <w:contextualSpacing/>
        <w:rPr>
          <w:rFonts w:hint="eastAsia" w:ascii="宋体" w:eastAsia="宋体" w:cs="宋体"/>
          <w:color w:val="auto"/>
          <w:sz w:val="24"/>
          <w:szCs w:val="24"/>
          <w:highlight w:val="none"/>
          <w:lang w:bidi="ar-SA"/>
        </w:rPr>
      </w:pPr>
    </w:p>
    <w:p w14:paraId="4CA7A33B">
      <w:pPr>
        <w:pStyle w:val="19"/>
        <w:spacing w:line="360" w:lineRule="auto"/>
        <w:ind w:left="25" w:leftChars="12" w:firstLine="472" w:firstLineChars="197"/>
        <w:contextualSpacing/>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签字（签章）：                                       公章：</w:t>
      </w:r>
    </w:p>
    <w:p w14:paraId="78F8A5ED">
      <w:pPr>
        <w:pStyle w:val="19"/>
        <w:spacing w:line="360" w:lineRule="auto"/>
        <w:ind w:firstLine="480" w:firstLineChars="200"/>
        <w:contextualSpacing/>
        <w:rPr>
          <w:rFonts w:hint="eastAsia" w:ascii="宋体" w:eastAsia="宋体" w:cs="宋体"/>
          <w:b/>
          <w:color w:val="auto"/>
          <w:sz w:val="24"/>
          <w:szCs w:val="24"/>
          <w:highlight w:val="none"/>
          <w:lang w:bidi="ar-SA"/>
        </w:rPr>
      </w:pPr>
      <w:r>
        <w:rPr>
          <w:rFonts w:hint="eastAsia" w:ascii="宋体" w:eastAsia="宋体" w:cs="宋体"/>
          <w:color w:val="auto"/>
          <w:sz w:val="24"/>
          <w:szCs w:val="24"/>
          <w:highlight w:val="none"/>
          <w:lang w:bidi="ar-SA"/>
        </w:rPr>
        <w:t>日期：</w:t>
      </w:r>
    </w:p>
    <w:p w14:paraId="37C8B115">
      <w:pPr>
        <w:pStyle w:val="19"/>
        <w:spacing w:line="360" w:lineRule="auto"/>
        <w:contextualSpacing/>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说明：</w:t>
      </w:r>
    </w:p>
    <w:p w14:paraId="442AC558">
      <w:pPr>
        <w:pStyle w:val="19"/>
        <w:spacing w:line="360" w:lineRule="auto"/>
        <w:ind w:left="25" w:leftChars="12" w:firstLine="354" w:firstLineChars="147"/>
        <w:contextualSpacing/>
        <w:rPr>
          <w:rFonts w:hint="eastAsia" w:ascii="宋体" w:eastAsia="宋体" w:cs="宋体"/>
          <w:b/>
          <w:bCs/>
          <w:color w:val="auto"/>
          <w:sz w:val="24"/>
          <w:szCs w:val="24"/>
          <w:highlight w:val="none"/>
          <w:lang w:bidi="ar-SA"/>
        </w:rPr>
      </w:pPr>
      <w:r>
        <w:rPr>
          <w:rFonts w:hint="eastAsia" w:ascii="宋体" w:eastAsia="宋体" w:cs="宋体"/>
          <w:b/>
          <w:color w:val="auto"/>
          <w:sz w:val="24"/>
          <w:szCs w:val="24"/>
          <w:highlight w:val="none"/>
          <w:lang w:bidi="ar-SA"/>
        </w:rPr>
        <w:t>1.供应商提出质疑时，应提交质疑函和必要的证明材料</w:t>
      </w:r>
      <w:r>
        <w:rPr>
          <w:rFonts w:hint="eastAsia" w:ascii="宋体" w:eastAsia="宋体" w:cs="宋体"/>
          <w:b/>
          <w:bCs/>
          <w:color w:val="auto"/>
          <w:sz w:val="24"/>
          <w:szCs w:val="24"/>
          <w:highlight w:val="none"/>
          <w:lang w:bidi="ar-SA"/>
        </w:rPr>
        <w:t>。</w:t>
      </w:r>
    </w:p>
    <w:p w14:paraId="748AECE9">
      <w:pPr>
        <w:pStyle w:val="19"/>
        <w:spacing w:line="360" w:lineRule="auto"/>
        <w:ind w:left="25" w:leftChars="12" w:firstLine="354" w:firstLineChars="147"/>
        <w:contextualSpacing/>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346C2B">
      <w:pPr>
        <w:pStyle w:val="19"/>
        <w:spacing w:line="360" w:lineRule="auto"/>
        <w:ind w:left="25" w:leftChars="12" w:firstLine="354" w:firstLineChars="147"/>
        <w:contextualSpacing/>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3.质疑函的质疑事项应具体、明确，并有必要的事实依据和法律依据。</w:t>
      </w:r>
    </w:p>
    <w:p w14:paraId="76E8F3F5">
      <w:pPr>
        <w:pStyle w:val="19"/>
        <w:spacing w:line="360" w:lineRule="auto"/>
        <w:ind w:left="25" w:leftChars="12" w:firstLine="354" w:firstLineChars="147"/>
        <w:contextualSpacing/>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4.质疑函的质疑请求应与质疑事项相关。</w:t>
      </w:r>
    </w:p>
    <w:p w14:paraId="480C8AB0">
      <w:pPr>
        <w:pStyle w:val="19"/>
        <w:spacing w:line="360" w:lineRule="auto"/>
        <w:ind w:left="25" w:leftChars="12" w:firstLine="354" w:firstLineChars="147"/>
        <w:contextualSpacing/>
        <w:rPr>
          <w:rFonts w:hint="eastAsia" w:ascii="宋体" w:eastAsia="宋体" w:cs="宋体"/>
          <w:b/>
          <w:color w:val="auto"/>
          <w:highlight w:val="none"/>
          <w:lang w:bidi="ar-SA"/>
        </w:rPr>
      </w:pPr>
      <w:r>
        <w:rPr>
          <w:rFonts w:hint="eastAsia" w:ascii="宋体" w:eastAsia="宋体" w:cs="宋体"/>
          <w:b/>
          <w:color w:val="auto"/>
          <w:sz w:val="24"/>
          <w:szCs w:val="24"/>
          <w:highlight w:val="none"/>
          <w:lang w:bidi="ar-SA"/>
        </w:rPr>
        <w:t>5.质疑供应商为法人或者其他组织的，质疑函应由法定代表人、主要负责人，或者其授权代表签字或者盖章，并加盖公章。</w:t>
      </w:r>
    </w:p>
    <w:p w14:paraId="069C832C">
      <w:pPr>
        <w:pStyle w:val="19"/>
        <w:snapToGrid w:val="0"/>
        <w:rPr>
          <w:rFonts w:hint="eastAsia" w:ascii="宋体" w:eastAsia="宋体" w:cs="宋体"/>
          <w:b/>
          <w:color w:val="auto"/>
          <w:sz w:val="24"/>
          <w:szCs w:val="24"/>
          <w:highlight w:val="none"/>
          <w:lang w:bidi="ar-SA"/>
        </w:rPr>
      </w:pPr>
    </w:p>
    <w:p w14:paraId="628858F7">
      <w:pPr>
        <w:rPr>
          <w:rFonts w:hint="eastAsia" w:ascii="宋体" w:eastAsia="宋体" w:cs="宋体"/>
          <w:color w:val="auto"/>
          <w:sz w:val="32"/>
          <w:szCs w:val="40"/>
          <w:highlight w:val="none"/>
          <w:lang w:bidi="ar-SA"/>
        </w:rPr>
      </w:pPr>
    </w:p>
    <w:p w14:paraId="0D4F0F57">
      <w:pPr>
        <w:rPr>
          <w:rFonts w:hint="eastAsia" w:ascii="宋体" w:eastAsia="宋体" w:cs="宋体"/>
          <w:color w:val="auto"/>
          <w:sz w:val="32"/>
          <w:szCs w:val="40"/>
          <w:highlight w:val="none"/>
          <w:lang w:bidi="ar-SA"/>
        </w:rPr>
      </w:pPr>
    </w:p>
    <w:p w14:paraId="7310EF16">
      <w:pPr>
        <w:rPr>
          <w:rFonts w:hint="eastAsia" w:ascii="宋体" w:eastAsia="宋体" w:cs="宋体"/>
          <w:color w:val="auto"/>
          <w:sz w:val="32"/>
          <w:szCs w:val="40"/>
          <w:highlight w:val="none"/>
          <w:lang w:bidi="ar-SA"/>
        </w:rPr>
      </w:pPr>
    </w:p>
    <w:p w14:paraId="50125226">
      <w:pPr>
        <w:rPr>
          <w:rFonts w:hint="eastAsia" w:ascii="宋体" w:eastAsia="宋体" w:cs="宋体"/>
          <w:color w:val="auto"/>
          <w:sz w:val="32"/>
          <w:szCs w:val="40"/>
          <w:highlight w:val="none"/>
          <w:lang w:bidi="ar-SA"/>
        </w:rPr>
      </w:pPr>
    </w:p>
    <w:p w14:paraId="2AB4C9B1">
      <w:pPr>
        <w:rPr>
          <w:rFonts w:hint="eastAsia" w:ascii="宋体" w:eastAsia="宋体" w:cs="宋体"/>
          <w:color w:val="auto"/>
          <w:sz w:val="32"/>
          <w:szCs w:val="40"/>
          <w:highlight w:val="none"/>
          <w:lang w:bidi="ar-SA"/>
        </w:rPr>
      </w:pPr>
    </w:p>
    <w:p w14:paraId="32F6DABC">
      <w:pPr>
        <w:rPr>
          <w:rFonts w:hint="eastAsia" w:ascii="宋体" w:eastAsia="宋体" w:cs="宋体"/>
          <w:color w:val="auto"/>
          <w:sz w:val="32"/>
          <w:szCs w:val="40"/>
          <w:highlight w:val="none"/>
          <w:lang w:bidi="ar-SA"/>
        </w:rPr>
      </w:pPr>
    </w:p>
    <w:p w14:paraId="2680DAF0">
      <w:pPr>
        <w:rPr>
          <w:rFonts w:hint="eastAsia" w:ascii="宋体" w:eastAsia="宋体" w:cs="宋体"/>
          <w:color w:val="auto"/>
          <w:sz w:val="32"/>
          <w:szCs w:val="40"/>
          <w:highlight w:val="none"/>
          <w:lang w:bidi="ar-SA"/>
        </w:rPr>
      </w:pPr>
    </w:p>
    <w:p w14:paraId="4C4FB262">
      <w:pPr>
        <w:rPr>
          <w:rFonts w:hint="eastAsia" w:ascii="宋体" w:eastAsia="宋体" w:cs="宋体"/>
          <w:color w:val="auto"/>
          <w:sz w:val="32"/>
          <w:szCs w:val="40"/>
          <w:highlight w:val="none"/>
          <w:lang w:bidi="ar-SA"/>
        </w:rPr>
      </w:pPr>
    </w:p>
    <w:p w14:paraId="57D3179F">
      <w:pPr>
        <w:rPr>
          <w:rFonts w:hint="eastAsia" w:ascii="宋体" w:eastAsia="宋体" w:cs="宋体"/>
          <w:color w:val="auto"/>
          <w:sz w:val="32"/>
          <w:szCs w:val="40"/>
          <w:highlight w:val="none"/>
          <w:lang w:bidi="ar-SA"/>
        </w:rPr>
      </w:pPr>
    </w:p>
    <w:p w14:paraId="27E9AA86">
      <w:pPr>
        <w:rPr>
          <w:rFonts w:hint="eastAsia" w:ascii="宋体" w:eastAsia="宋体" w:cs="宋体"/>
          <w:color w:val="auto"/>
          <w:sz w:val="32"/>
          <w:szCs w:val="40"/>
          <w:highlight w:val="none"/>
          <w:lang w:bidi="ar-SA"/>
        </w:rPr>
      </w:pPr>
    </w:p>
    <w:p w14:paraId="3422A017">
      <w:pPr>
        <w:rPr>
          <w:rFonts w:hint="eastAsia" w:ascii="宋体" w:eastAsia="宋体" w:cs="宋体"/>
          <w:color w:val="auto"/>
          <w:sz w:val="32"/>
          <w:szCs w:val="40"/>
          <w:highlight w:val="none"/>
          <w:lang w:bidi="ar-SA"/>
        </w:rPr>
      </w:pPr>
    </w:p>
    <w:p w14:paraId="53B8EED6">
      <w:pPr>
        <w:rPr>
          <w:rFonts w:hint="eastAsia" w:ascii="宋体" w:eastAsia="宋体" w:cs="宋体"/>
          <w:color w:val="auto"/>
          <w:sz w:val="32"/>
          <w:szCs w:val="40"/>
          <w:highlight w:val="none"/>
          <w:lang w:bidi="ar-SA"/>
        </w:rPr>
      </w:pPr>
    </w:p>
    <w:p w14:paraId="5110D704">
      <w:pPr>
        <w:rPr>
          <w:rFonts w:hint="eastAsia" w:ascii="宋体" w:eastAsia="宋体" w:cs="宋体"/>
          <w:color w:val="auto"/>
          <w:sz w:val="32"/>
          <w:szCs w:val="40"/>
          <w:highlight w:val="none"/>
          <w:lang w:bidi="ar-SA"/>
        </w:rPr>
      </w:pPr>
    </w:p>
    <w:p w14:paraId="78FEC915">
      <w:pPr>
        <w:rPr>
          <w:rFonts w:hint="eastAsia" w:ascii="宋体" w:eastAsia="宋体" w:cs="宋体"/>
          <w:color w:val="auto"/>
          <w:sz w:val="32"/>
          <w:szCs w:val="40"/>
          <w:highlight w:val="none"/>
          <w:lang w:bidi="ar-SA"/>
        </w:rPr>
      </w:pPr>
    </w:p>
    <w:p w14:paraId="2CB5E7BA">
      <w:pPr>
        <w:spacing w:line="360" w:lineRule="auto"/>
        <w:jc w:val="center"/>
        <w:rPr>
          <w:rFonts w:hint="eastAsia" w:ascii="宋体" w:eastAsia="宋体" w:cs="宋体"/>
          <w:color w:val="auto"/>
          <w:sz w:val="24"/>
          <w:highlight w:val="none"/>
          <w:lang w:bidi="ar-SA"/>
        </w:rPr>
      </w:pPr>
      <w:r>
        <w:rPr>
          <w:rFonts w:hint="eastAsia" w:ascii="宋体" w:eastAsia="宋体" w:cs="宋体"/>
          <w:color w:val="auto"/>
          <w:sz w:val="44"/>
          <w:szCs w:val="44"/>
          <w:highlight w:val="none"/>
          <w:lang w:bidi="ar-SA"/>
        </w:rPr>
        <w:br w:type="page"/>
      </w:r>
      <w:r>
        <w:rPr>
          <w:rFonts w:hint="eastAsia" w:ascii="宋体" w:eastAsia="宋体" w:cs="宋体"/>
          <w:color w:val="auto"/>
          <w:sz w:val="44"/>
          <w:szCs w:val="44"/>
          <w:highlight w:val="none"/>
          <w:lang w:bidi="ar-SA"/>
        </w:rPr>
        <w:t>投诉书</w:t>
      </w:r>
      <w:r>
        <w:rPr>
          <w:rFonts w:hint="eastAsia" w:ascii="宋体" w:eastAsia="宋体" w:cs="宋体"/>
          <w:color w:val="auto"/>
          <w:sz w:val="28"/>
          <w:szCs w:val="28"/>
          <w:highlight w:val="none"/>
          <w:lang w:bidi="ar-SA"/>
        </w:rPr>
        <w:t>（格式）</w:t>
      </w:r>
    </w:p>
    <w:p w14:paraId="606180A2">
      <w:pPr>
        <w:pStyle w:val="19"/>
        <w:snapToGrid w:val="0"/>
        <w:spacing w:line="360" w:lineRule="auto"/>
        <w:ind w:firstLine="482" w:firstLineChars="200"/>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一、投诉相关主体基本情况：</w:t>
      </w:r>
    </w:p>
    <w:p w14:paraId="0C4DC32B">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供应商：</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216FDB5A">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362415F9">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法定代表人/主要负责人：</w:t>
      </w:r>
      <w:r>
        <w:rPr>
          <w:rFonts w:hint="eastAsia" w:ascii="宋体" w:eastAsia="宋体" w:cs="宋体"/>
          <w:bCs/>
          <w:color w:val="auto"/>
          <w:sz w:val="24"/>
          <w:szCs w:val="24"/>
          <w:highlight w:val="none"/>
          <w:u w:val="single"/>
          <w:lang w:bidi="ar-SA"/>
        </w:rPr>
        <w:t xml:space="preserve">                                                         </w:t>
      </w:r>
    </w:p>
    <w:p w14:paraId="2BF852A5">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p>
    <w:p w14:paraId="1A2A09D3">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授权代表：</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p>
    <w:p w14:paraId="1F9FA85A">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p>
    <w:p w14:paraId="108B018B">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07DB575D">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被投诉人1：</w:t>
      </w:r>
    </w:p>
    <w:p w14:paraId="540346E5">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p>
    <w:p w14:paraId="57D89098">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2C2DE885">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联系人：</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p>
    <w:p w14:paraId="654F41C2">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被投诉人2：</w:t>
      </w:r>
    </w:p>
    <w:p w14:paraId="5812103C">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w:t>
      </w:r>
    </w:p>
    <w:p w14:paraId="0DEA5597">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相关供应商：</w:t>
      </w:r>
      <w:r>
        <w:rPr>
          <w:rFonts w:hint="eastAsia" w:ascii="宋体" w:eastAsia="宋体" w:cs="宋体"/>
          <w:bCs/>
          <w:color w:val="auto"/>
          <w:sz w:val="24"/>
          <w:szCs w:val="24"/>
          <w:highlight w:val="none"/>
          <w:u w:val="single"/>
          <w:lang w:bidi="ar-SA"/>
        </w:rPr>
        <w:t xml:space="preserve">                                                                       </w:t>
      </w:r>
    </w:p>
    <w:p w14:paraId="32228692">
      <w:pPr>
        <w:pStyle w:val="19"/>
        <w:snapToGrid w:val="0"/>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地址：</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邮编：</w:t>
      </w:r>
      <w:r>
        <w:rPr>
          <w:rFonts w:hint="eastAsia" w:ascii="宋体" w:eastAsia="宋体" w:cs="宋体"/>
          <w:bCs/>
          <w:color w:val="auto"/>
          <w:sz w:val="24"/>
          <w:szCs w:val="24"/>
          <w:highlight w:val="none"/>
          <w:u w:val="single"/>
          <w:lang w:bidi="ar-SA"/>
        </w:rPr>
        <w:t xml:space="preserve">                         </w:t>
      </w:r>
    </w:p>
    <w:p w14:paraId="004D5208">
      <w:pPr>
        <w:pStyle w:val="19"/>
        <w:snapToGrid w:val="0"/>
        <w:spacing w:line="360" w:lineRule="auto"/>
        <w:ind w:firstLine="480" w:firstLineChars="200"/>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联系人：</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联系电话：</w:t>
      </w:r>
      <w:r>
        <w:rPr>
          <w:rFonts w:hint="eastAsia" w:ascii="宋体" w:eastAsia="宋体" w:cs="宋体"/>
          <w:bCs/>
          <w:color w:val="auto"/>
          <w:sz w:val="24"/>
          <w:szCs w:val="24"/>
          <w:highlight w:val="none"/>
          <w:u w:val="single"/>
          <w:lang w:bidi="ar-SA"/>
        </w:rPr>
        <w:t xml:space="preserve">                     </w:t>
      </w:r>
      <w:r>
        <w:rPr>
          <w:rFonts w:hint="eastAsia" w:ascii="宋体" w:eastAsia="宋体" w:cs="宋体"/>
          <w:bCs/>
          <w:color w:val="auto"/>
          <w:sz w:val="24"/>
          <w:szCs w:val="24"/>
          <w:highlight w:val="none"/>
          <w:lang w:bidi="ar-SA"/>
        </w:rPr>
        <w:t xml:space="preserve">                </w:t>
      </w:r>
    </w:p>
    <w:p w14:paraId="5D06D005">
      <w:pPr>
        <w:pStyle w:val="19"/>
        <w:snapToGrid w:val="0"/>
        <w:spacing w:line="360" w:lineRule="auto"/>
        <w:ind w:firstLine="482" w:firstLineChars="200"/>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二、投诉项目基本情况：</w:t>
      </w:r>
    </w:p>
    <w:p w14:paraId="489A664C">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lang w:bidi="ar-SA"/>
        </w:rPr>
        <w:t>采购</w:t>
      </w:r>
      <w:r>
        <w:rPr>
          <w:rFonts w:hint="eastAsia" w:ascii="宋体" w:eastAsia="宋体" w:cs="宋体"/>
          <w:color w:val="auto"/>
          <w:sz w:val="24"/>
          <w:szCs w:val="24"/>
          <w:highlight w:val="none"/>
          <w:lang w:bidi="ar-SA"/>
        </w:rPr>
        <w:t>项目的名称：</w:t>
      </w:r>
      <w:r>
        <w:rPr>
          <w:rFonts w:hint="eastAsia" w:ascii="宋体" w:eastAsia="宋体" w:cs="宋体"/>
          <w:bCs/>
          <w:color w:val="auto"/>
          <w:sz w:val="24"/>
          <w:szCs w:val="24"/>
          <w:highlight w:val="none"/>
          <w:u w:val="single"/>
          <w:lang w:bidi="ar-SA"/>
        </w:rPr>
        <w:t xml:space="preserve">                                                                   </w:t>
      </w:r>
    </w:p>
    <w:p w14:paraId="3AC3C0D0">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lang w:bidi="ar-SA"/>
        </w:rPr>
        <w:t>采购</w:t>
      </w:r>
      <w:r>
        <w:rPr>
          <w:rFonts w:hint="eastAsia" w:ascii="宋体" w:eastAsia="宋体" w:cs="宋体"/>
          <w:color w:val="auto"/>
          <w:sz w:val="24"/>
          <w:szCs w:val="24"/>
          <w:highlight w:val="none"/>
          <w:lang w:bidi="ar-SA"/>
        </w:rPr>
        <w:t>项目的编号：</w:t>
      </w:r>
      <w:r>
        <w:rPr>
          <w:rFonts w:hint="eastAsia" w:ascii="宋体" w:eastAsia="宋体" w:cs="宋体"/>
          <w:bCs/>
          <w:color w:val="auto"/>
          <w:sz w:val="24"/>
          <w:szCs w:val="24"/>
          <w:highlight w:val="none"/>
          <w:u w:val="single"/>
          <w:lang w:bidi="ar-SA"/>
        </w:rPr>
        <w:t xml:space="preserve">                                          </w:t>
      </w:r>
    </w:p>
    <w:p w14:paraId="1C1DBAA7">
      <w:pPr>
        <w:pStyle w:val="19"/>
        <w:spacing w:line="360" w:lineRule="auto"/>
        <w:ind w:left="25" w:leftChars="12" w:firstLine="472" w:firstLineChars="197"/>
        <w:rPr>
          <w:rFonts w:hint="eastAsia" w:ascii="宋体" w:eastAsia="宋体" w:cs="宋体"/>
          <w:bCs/>
          <w:color w:val="auto"/>
          <w:sz w:val="24"/>
          <w:szCs w:val="24"/>
          <w:highlight w:val="none"/>
          <w:u w:val="single"/>
          <w:lang w:bidi="ar-SA"/>
        </w:rPr>
      </w:pPr>
      <w:r>
        <w:rPr>
          <w:rFonts w:hint="eastAsia" w:ascii="宋体" w:eastAsia="宋体" w:cs="宋体"/>
          <w:color w:val="auto"/>
          <w:sz w:val="24"/>
          <w:szCs w:val="24"/>
          <w:highlight w:val="none"/>
          <w:lang w:bidi="ar-SA"/>
        </w:rPr>
        <w:t>采购人名称：</w:t>
      </w:r>
      <w:r>
        <w:rPr>
          <w:rFonts w:hint="eastAsia" w:ascii="宋体" w:eastAsia="宋体" w:cs="宋体"/>
          <w:bCs/>
          <w:color w:val="auto"/>
          <w:sz w:val="24"/>
          <w:szCs w:val="24"/>
          <w:highlight w:val="none"/>
          <w:u w:val="single"/>
          <w:lang w:bidi="ar-SA"/>
        </w:rPr>
        <w:t xml:space="preserve">                                                                        </w:t>
      </w:r>
    </w:p>
    <w:p w14:paraId="736EC1BE">
      <w:pPr>
        <w:pStyle w:val="19"/>
        <w:spacing w:line="360" w:lineRule="auto"/>
        <w:ind w:left="25" w:leftChars="12" w:firstLine="472" w:firstLineChars="197"/>
        <w:rPr>
          <w:rFonts w:hint="eastAsia" w:ascii="宋体" w:eastAsia="宋体" w:cs="宋体"/>
          <w:bCs/>
          <w:color w:val="auto"/>
          <w:sz w:val="24"/>
          <w:szCs w:val="24"/>
          <w:highlight w:val="none"/>
          <w:u w:val="single"/>
          <w:lang w:bidi="ar-SA"/>
        </w:rPr>
      </w:pPr>
      <w:r>
        <w:rPr>
          <w:rFonts w:hint="eastAsia" w:ascii="宋体" w:eastAsia="宋体" w:cs="宋体"/>
          <w:color w:val="auto"/>
          <w:sz w:val="24"/>
          <w:szCs w:val="24"/>
          <w:highlight w:val="none"/>
          <w:lang w:bidi="ar-SA"/>
        </w:rPr>
        <w:t>代理机构名称：</w:t>
      </w:r>
      <w:r>
        <w:rPr>
          <w:rFonts w:hint="eastAsia" w:ascii="宋体" w:eastAsia="宋体" w:cs="宋体"/>
          <w:bCs/>
          <w:color w:val="auto"/>
          <w:sz w:val="24"/>
          <w:szCs w:val="24"/>
          <w:highlight w:val="none"/>
          <w:u w:val="single"/>
          <w:lang w:bidi="ar-SA"/>
        </w:rPr>
        <w:t xml:space="preserve">                                                                      </w:t>
      </w:r>
    </w:p>
    <w:p w14:paraId="41B34A39">
      <w:pPr>
        <w:pStyle w:val="19"/>
        <w:spacing w:line="360" w:lineRule="auto"/>
        <w:ind w:left="25" w:leftChars="12" w:firstLine="472" w:firstLineChars="197"/>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竞争性磋商文件公告：</w:t>
      </w:r>
      <w:r>
        <w:rPr>
          <w:rFonts w:hint="eastAsia" w:ascii="宋体" w:eastAsia="宋体" w:cs="宋体"/>
          <w:bCs/>
          <w:color w:val="auto"/>
          <w:sz w:val="24"/>
          <w:szCs w:val="24"/>
          <w:highlight w:val="none"/>
          <w:u w:val="single"/>
          <w:lang w:bidi="ar-SA"/>
        </w:rPr>
        <w:t>是/否</w:t>
      </w:r>
      <w:r>
        <w:rPr>
          <w:rFonts w:hint="eastAsia" w:ascii="宋体" w:eastAsia="宋体" w:cs="宋体"/>
          <w:bCs/>
          <w:color w:val="auto"/>
          <w:sz w:val="24"/>
          <w:szCs w:val="24"/>
          <w:highlight w:val="none"/>
          <w:lang w:bidi="ar-SA"/>
        </w:rPr>
        <w:t>公告期限：</w:t>
      </w:r>
      <w:r>
        <w:rPr>
          <w:rFonts w:hint="eastAsia" w:ascii="宋体" w:eastAsia="宋体" w:cs="宋体"/>
          <w:bCs/>
          <w:color w:val="auto"/>
          <w:sz w:val="24"/>
          <w:szCs w:val="24"/>
          <w:highlight w:val="none"/>
          <w:u w:val="single"/>
          <w:lang w:bidi="ar-SA"/>
        </w:rPr>
        <w:t xml:space="preserve">                                                       </w:t>
      </w:r>
    </w:p>
    <w:p w14:paraId="13526F0E">
      <w:pPr>
        <w:pStyle w:val="19"/>
        <w:spacing w:line="360" w:lineRule="auto"/>
        <w:ind w:left="25" w:leftChars="12" w:firstLine="472" w:firstLineChars="197"/>
        <w:rPr>
          <w:rFonts w:hint="eastAsia" w:ascii="宋体" w:eastAsia="宋体" w:cs="宋体"/>
          <w:b/>
          <w:color w:val="auto"/>
          <w:sz w:val="24"/>
          <w:szCs w:val="24"/>
          <w:highlight w:val="none"/>
          <w:lang w:bidi="ar-SA"/>
        </w:rPr>
      </w:pPr>
      <w:r>
        <w:rPr>
          <w:rFonts w:hint="eastAsia" w:ascii="宋体" w:eastAsia="宋体" w:cs="宋体"/>
          <w:bCs/>
          <w:color w:val="auto"/>
          <w:sz w:val="24"/>
          <w:szCs w:val="24"/>
          <w:highlight w:val="none"/>
          <w:lang w:bidi="ar-SA"/>
        </w:rPr>
        <w:t>采购结果公告：</w:t>
      </w:r>
      <w:r>
        <w:rPr>
          <w:rFonts w:hint="eastAsia" w:ascii="宋体" w:eastAsia="宋体" w:cs="宋体"/>
          <w:bCs/>
          <w:color w:val="auto"/>
          <w:sz w:val="24"/>
          <w:szCs w:val="24"/>
          <w:highlight w:val="none"/>
          <w:u w:val="single"/>
          <w:lang w:bidi="ar-SA"/>
        </w:rPr>
        <w:t>是/否</w:t>
      </w:r>
      <w:r>
        <w:rPr>
          <w:rFonts w:hint="eastAsia" w:ascii="宋体" w:eastAsia="宋体" w:cs="宋体"/>
          <w:bCs/>
          <w:color w:val="auto"/>
          <w:sz w:val="24"/>
          <w:szCs w:val="24"/>
          <w:highlight w:val="none"/>
          <w:lang w:bidi="ar-SA"/>
        </w:rPr>
        <w:t>公告期限：</w:t>
      </w:r>
      <w:r>
        <w:rPr>
          <w:rFonts w:hint="eastAsia" w:ascii="宋体" w:eastAsia="宋体" w:cs="宋体"/>
          <w:bCs/>
          <w:color w:val="auto"/>
          <w:sz w:val="24"/>
          <w:szCs w:val="24"/>
          <w:highlight w:val="none"/>
          <w:u w:val="single"/>
          <w:lang w:bidi="ar-SA"/>
        </w:rPr>
        <w:t xml:space="preserve">                                                       </w:t>
      </w:r>
    </w:p>
    <w:p w14:paraId="5CB28463">
      <w:pPr>
        <w:pStyle w:val="19"/>
        <w:spacing w:line="360" w:lineRule="auto"/>
        <w:ind w:left="25" w:leftChars="12" w:firstLine="472" w:firstLineChars="196"/>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三、质疑基本情况</w:t>
      </w:r>
    </w:p>
    <w:p w14:paraId="0DA4A39B">
      <w:pPr>
        <w:pStyle w:val="19"/>
        <w:spacing w:line="360" w:lineRule="auto"/>
        <w:ind w:firstLine="480" w:firstLineChars="200"/>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投诉人于</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年</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月</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日，向</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提出质疑，质疑事项为：</w:t>
      </w:r>
    </w:p>
    <w:p w14:paraId="659BC696">
      <w:pPr>
        <w:pStyle w:val="19"/>
        <w:spacing w:line="360" w:lineRule="auto"/>
        <w:ind w:firstLine="241"/>
        <w:rPr>
          <w:rFonts w:hint="eastAsia" w:ascii="宋体" w:eastAsia="宋体" w:cs="宋体"/>
          <w:bCs/>
          <w:color w:val="auto"/>
          <w:sz w:val="24"/>
          <w:szCs w:val="24"/>
          <w:highlight w:val="none"/>
          <w:u w:val="single"/>
          <w:lang w:bidi="ar-SA"/>
        </w:rPr>
      </w:pPr>
      <w:r>
        <w:rPr>
          <w:rFonts w:hint="eastAsia" w:ascii="宋体" w:eastAsia="宋体" w:cs="宋体"/>
          <w:color w:val="auto"/>
          <w:sz w:val="24"/>
          <w:szCs w:val="24"/>
          <w:highlight w:val="none"/>
          <w:lang w:bidi="ar-SA"/>
        </w:rPr>
        <w:t xml:space="preserve">    </w:t>
      </w:r>
      <w:r>
        <w:rPr>
          <w:rFonts w:hint="eastAsia" w:ascii="宋体" w:eastAsia="宋体" w:cs="宋体"/>
          <w:bCs/>
          <w:color w:val="auto"/>
          <w:sz w:val="24"/>
          <w:szCs w:val="24"/>
          <w:highlight w:val="none"/>
          <w:u w:val="single"/>
          <w:lang w:bidi="ar-SA"/>
        </w:rPr>
        <w:t xml:space="preserve">                                                                                      </w:t>
      </w:r>
    </w:p>
    <w:p w14:paraId="0900E49F">
      <w:pPr>
        <w:pStyle w:val="19"/>
        <w:spacing w:line="360" w:lineRule="auto"/>
        <w:ind w:firstLine="241"/>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 xml:space="preserve">    </w:t>
      </w:r>
      <w:r>
        <w:rPr>
          <w:rFonts w:hint="eastAsia" w:ascii="宋体" w:eastAsia="宋体" w:cs="宋体"/>
          <w:bCs/>
          <w:color w:val="auto"/>
          <w:sz w:val="24"/>
          <w:szCs w:val="24"/>
          <w:highlight w:val="none"/>
          <w:u w:val="single"/>
          <w:lang w:bidi="ar-SA"/>
        </w:rPr>
        <w:t xml:space="preserve">                                                                                      </w:t>
      </w:r>
    </w:p>
    <w:p w14:paraId="5A7218D4">
      <w:pPr>
        <w:pStyle w:val="19"/>
        <w:spacing w:line="360" w:lineRule="auto"/>
        <w:ind w:firstLine="480" w:firstLineChars="200"/>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u w:val="single"/>
          <w:lang w:bidi="ar-SA"/>
        </w:rPr>
        <w:t>采购人/代理机构</w:t>
      </w:r>
      <w:r>
        <w:rPr>
          <w:rFonts w:hint="eastAsia" w:ascii="宋体" w:eastAsia="宋体" w:cs="宋体"/>
          <w:bCs/>
          <w:color w:val="auto"/>
          <w:sz w:val="24"/>
          <w:szCs w:val="24"/>
          <w:highlight w:val="none"/>
          <w:lang w:bidi="ar-SA"/>
        </w:rPr>
        <w:t>于</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年</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月</w:t>
      </w:r>
      <w:r>
        <w:rPr>
          <w:rFonts w:hint="eastAsia" w:ascii="宋体" w:eastAsia="宋体" w:cs="宋体"/>
          <w:color w:val="auto"/>
          <w:sz w:val="24"/>
          <w:szCs w:val="24"/>
          <w:highlight w:val="none"/>
          <w:u w:val="single"/>
          <w:lang w:bidi="ar-SA"/>
        </w:rPr>
        <w:t xml:space="preserve">   </w:t>
      </w:r>
      <w:r>
        <w:rPr>
          <w:rFonts w:hint="eastAsia" w:ascii="宋体" w:eastAsia="宋体" w:cs="宋体"/>
          <w:color w:val="auto"/>
          <w:sz w:val="24"/>
          <w:szCs w:val="24"/>
          <w:highlight w:val="none"/>
          <w:lang w:bidi="ar-SA"/>
        </w:rPr>
        <w:t>日，</w:t>
      </w:r>
      <w:r>
        <w:rPr>
          <w:rFonts w:hint="eastAsia" w:ascii="宋体" w:eastAsia="宋体" w:cs="宋体"/>
          <w:bCs/>
          <w:color w:val="auto"/>
          <w:sz w:val="24"/>
          <w:szCs w:val="24"/>
          <w:highlight w:val="none"/>
          <w:lang w:bidi="ar-SA"/>
        </w:rPr>
        <w:t xml:space="preserve">就质疑事项作出了答复/没有在法定期限内作出答复。                                                                                             </w:t>
      </w:r>
    </w:p>
    <w:p w14:paraId="159F9872">
      <w:pPr>
        <w:pStyle w:val="19"/>
        <w:spacing w:line="360" w:lineRule="auto"/>
        <w:ind w:left="25" w:leftChars="12" w:firstLine="472" w:firstLineChars="196"/>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四、投诉事项具体内容</w:t>
      </w:r>
    </w:p>
    <w:p w14:paraId="2227D4D9">
      <w:pPr>
        <w:pStyle w:val="19"/>
        <w:spacing w:line="360" w:lineRule="auto"/>
        <w:ind w:left="25" w:leftChars="12" w:firstLine="472" w:firstLineChars="197"/>
        <w:rPr>
          <w:rFonts w:hint="eastAsia" w:ascii="宋体" w:eastAsia="宋体" w:cs="宋体"/>
          <w:bCs/>
          <w:color w:val="auto"/>
          <w:sz w:val="24"/>
          <w:szCs w:val="24"/>
          <w:highlight w:val="none"/>
          <w:u w:val="single"/>
          <w:lang w:bidi="ar-SA"/>
        </w:rPr>
      </w:pPr>
      <w:r>
        <w:rPr>
          <w:rFonts w:hint="eastAsia" w:ascii="宋体" w:eastAsia="宋体" w:cs="宋体"/>
          <w:color w:val="auto"/>
          <w:sz w:val="24"/>
          <w:szCs w:val="24"/>
          <w:highlight w:val="none"/>
          <w:lang w:bidi="ar-SA"/>
        </w:rPr>
        <w:t>投诉事项1：</w:t>
      </w:r>
      <w:r>
        <w:rPr>
          <w:rFonts w:hint="eastAsia" w:ascii="宋体" w:eastAsia="宋体" w:cs="宋体"/>
          <w:bCs/>
          <w:color w:val="auto"/>
          <w:sz w:val="24"/>
          <w:szCs w:val="24"/>
          <w:highlight w:val="none"/>
          <w:u w:val="single"/>
          <w:lang w:bidi="ar-SA"/>
        </w:rPr>
        <w:t xml:space="preserve">                                                                           </w:t>
      </w:r>
    </w:p>
    <w:p w14:paraId="414B8F13">
      <w:pPr>
        <w:pStyle w:val="19"/>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事实依据：</w:t>
      </w:r>
      <w:r>
        <w:rPr>
          <w:rFonts w:hint="eastAsia" w:ascii="宋体" w:eastAsia="宋体" w:cs="宋体"/>
          <w:color w:val="auto"/>
          <w:sz w:val="24"/>
          <w:szCs w:val="24"/>
          <w:highlight w:val="none"/>
          <w:lang w:bidi="ar-SA"/>
        </w:rPr>
        <w:t xml:space="preserve"> </w:t>
      </w:r>
      <w:r>
        <w:rPr>
          <w:rFonts w:hint="eastAsia" w:ascii="宋体" w:eastAsia="宋体" w:cs="宋体"/>
          <w:bCs/>
          <w:color w:val="auto"/>
          <w:sz w:val="24"/>
          <w:szCs w:val="24"/>
          <w:highlight w:val="none"/>
          <w:u w:val="single"/>
          <w:lang w:bidi="ar-SA"/>
        </w:rPr>
        <w:t xml:space="preserve">                                                                                      </w:t>
      </w:r>
    </w:p>
    <w:p w14:paraId="426E0628">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bCs/>
          <w:color w:val="auto"/>
          <w:sz w:val="24"/>
          <w:szCs w:val="24"/>
          <w:highlight w:val="none"/>
          <w:u w:val="single"/>
          <w:lang w:bidi="ar-SA"/>
        </w:rPr>
        <w:t xml:space="preserve">                                                                                        </w:t>
      </w:r>
    </w:p>
    <w:p w14:paraId="1FC6AA32">
      <w:pPr>
        <w:pStyle w:val="19"/>
        <w:spacing w:line="360" w:lineRule="auto"/>
        <w:ind w:firstLine="480" w:firstLineChars="200"/>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法律依据：</w:t>
      </w:r>
      <w:r>
        <w:rPr>
          <w:rFonts w:hint="eastAsia" w:ascii="宋体" w:eastAsia="宋体" w:cs="宋体"/>
          <w:color w:val="auto"/>
          <w:sz w:val="24"/>
          <w:szCs w:val="24"/>
          <w:highlight w:val="none"/>
          <w:lang w:bidi="ar-SA"/>
        </w:rPr>
        <w:t xml:space="preserve"> </w:t>
      </w:r>
      <w:r>
        <w:rPr>
          <w:rFonts w:hint="eastAsia" w:ascii="宋体" w:eastAsia="宋体" w:cs="宋体"/>
          <w:bCs/>
          <w:color w:val="auto"/>
          <w:sz w:val="24"/>
          <w:szCs w:val="24"/>
          <w:highlight w:val="none"/>
          <w:u w:val="single"/>
          <w:lang w:bidi="ar-SA"/>
        </w:rPr>
        <w:t xml:space="preserve">                                                                                      </w:t>
      </w:r>
    </w:p>
    <w:p w14:paraId="6265C53B">
      <w:pPr>
        <w:pStyle w:val="19"/>
        <w:spacing w:line="360" w:lineRule="auto"/>
        <w:ind w:left="25" w:leftChars="12" w:firstLine="352" w:firstLineChars="147"/>
        <w:rPr>
          <w:rFonts w:hint="eastAsia" w:ascii="宋体" w:eastAsia="宋体" w:cs="宋体"/>
          <w:bCs/>
          <w:color w:val="auto"/>
          <w:sz w:val="24"/>
          <w:szCs w:val="24"/>
          <w:highlight w:val="none"/>
          <w:u w:val="single"/>
          <w:lang w:bidi="ar-SA"/>
        </w:rPr>
      </w:pPr>
      <w:r>
        <w:rPr>
          <w:rFonts w:hint="eastAsia" w:ascii="宋体" w:eastAsia="宋体" w:cs="宋体"/>
          <w:bCs/>
          <w:color w:val="auto"/>
          <w:sz w:val="24"/>
          <w:szCs w:val="24"/>
          <w:highlight w:val="none"/>
          <w:lang w:bidi="ar-SA"/>
        </w:rPr>
        <w:t xml:space="preserve"> </w:t>
      </w:r>
      <w:r>
        <w:rPr>
          <w:rFonts w:hint="eastAsia" w:ascii="宋体" w:eastAsia="宋体" w:cs="宋体"/>
          <w:bCs/>
          <w:color w:val="auto"/>
          <w:sz w:val="24"/>
          <w:szCs w:val="24"/>
          <w:highlight w:val="none"/>
          <w:u w:val="single"/>
          <w:lang w:bidi="ar-SA"/>
        </w:rPr>
        <w:t xml:space="preserve">                                                                                        </w:t>
      </w:r>
    </w:p>
    <w:p w14:paraId="682507F1">
      <w:pPr>
        <w:pStyle w:val="19"/>
        <w:spacing w:line="360" w:lineRule="auto"/>
        <w:ind w:left="25" w:leftChars="12" w:firstLine="472" w:firstLineChars="197"/>
        <w:rPr>
          <w:rFonts w:hint="eastAsia" w:ascii="宋体" w:eastAsia="宋体" w:cs="宋体"/>
          <w:bCs/>
          <w:color w:val="auto"/>
          <w:sz w:val="24"/>
          <w:szCs w:val="24"/>
          <w:highlight w:val="none"/>
          <w:lang w:bidi="ar-SA"/>
        </w:rPr>
      </w:pPr>
      <w:r>
        <w:rPr>
          <w:rFonts w:hint="eastAsia" w:ascii="宋体" w:eastAsia="宋体" w:cs="宋体"/>
          <w:color w:val="auto"/>
          <w:sz w:val="24"/>
          <w:szCs w:val="24"/>
          <w:highlight w:val="none"/>
          <w:lang w:bidi="ar-SA"/>
        </w:rPr>
        <w:t xml:space="preserve">投诉事项2  </w:t>
      </w:r>
      <w:r>
        <w:rPr>
          <w:rFonts w:hint="eastAsia" w:ascii="宋体" w:eastAsia="宋体" w:cs="宋体"/>
          <w:bCs/>
          <w:color w:val="auto"/>
          <w:sz w:val="24"/>
          <w:szCs w:val="24"/>
          <w:highlight w:val="none"/>
          <w:lang w:bidi="ar-SA"/>
        </w:rPr>
        <w:t xml:space="preserve">   </w:t>
      </w:r>
    </w:p>
    <w:p w14:paraId="2373096B">
      <w:pPr>
        <w:pStyle w:val="19"/>
        <w:spacing w:line="360" w:lineRule="auto"/>
        <w:ind w:left="25" w:leftChars="12" w:firstLine="472" w:firstLineChars="197"/>
        <w:rPr>
          <w:rFonts w:hint="eastAsia" w:ascii="宋体" w:eastAsia="宋体" w:cs="宋体"/>
          <w:bCs/>
          <w:color w:val="auto"/>
          <w:sz w:val="24"/>
          <w:szCs w:val="24"/>
          <w:highlight w:val="none"/>
          <w:lang w:bidi="ar-SA"/>
        </w:rPr>
      </w:pPr>
      <w:r>
        <w:rPr>
          <w:rFonts w:hint="eastAsia" w:ascii="宋体" w:eastAsia="宋体" w:cs="宋体"/>
          <w:bCs/>
          <w:color w:val="auto"/>
          <w:sz w:val="24"/>
          <w:szCs w:val="24"/>
          <w:highlight w:val="none"/>
          <w:lang w:bidi="ar-SA"/>
        </w:rPr>
        <w:t>……</w:t>
      </w:r>
    </w:p>
    <w:p w14:paraId="254D258A">
      <w:pPr>
        <w:pStyle w:val="19"/>
        <w:spacing w:line="360" w:lineRule="auto"/>
        <w:ind w:left="25" w:leftChars="12" w:firstLine="472" w:firstLineChars="196"/>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五、与投诉事项相关的投诉请求：</w:t>
      </w:r>
    </w:p>
    <w:p w14:paraId="24C610F0">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请求：</w:t>
      </w:r>
      <w:r>
        <w:rPr>
          <w:rFonts w:hint="eastAsia" w:ascii="宋体" w:eastAsia="宋体" w:cs="宋体"/>
          <w:bCs/>
          <w:color w:val="auto"/>
          <w:sz w:val="24"/>
          <w:szCs w:val="24"/>
          <w:highlight w:val="none"/>
          <w:u w:val="single"/>
          <w:lang w:bidi="ar-SA"/>
        </w:rPr>
        <w:t xml:space="preserve">                                                                                 </w:t>
      </w:r>
    </w:p>
    <w:p w14:paraId="665DD3AE">
      <w:pPr>
        <w:pStyle w:val="19"/>
        <w:spacing w:line="360" w:lineRule="auto"/>
        <w:ind w:left="25" w:leftChars="12" w:firstLine="352" w:firstLineChars="147"/>
        <w:rPr>
          <w:rFonts w:hint="eastAsia" w:ascii="宋体" w:eastAsia="宋体" w:cs="宋体"/>
          <w:color w:val="auto"/>
          <w:sz w:val="24"/>
          <w:szCs w:val="24"/>
          <w:highlight w:val="none"/>
          <w:lang w:bidi="ar-SA"/>
        </w:rPr>
      </w:pPr>
    </w:p>
    <w:p w14:paraId="7FC74B5F">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签字（签章）：                                       公章：</w:t>
      </w:r>
    </w:p>
    <w:p w14:paraId="5CECBE81">
      <w:pPr>
        <w:pStyle w:val="19"/>
        <w:spacing w:line="360" w:lineRule="auto"/>
        <w:ind w:left="25" w:leftChars="12" w:firstLine="352" w:firstLineChars="147"/>
        <w:rPr>
          <w:rFonts w:hint="eastAsia" w:ascii="宋体" w:eastAsia="宋体" w:cs="宋体"/>
          <w:color w:val="auto"/>
          <w:sz w:val="24"/>
          <w:szCs w:val="24"/>
          <w:highlight w:val="none"/>
          <w:lang w:bidi="ar-SA"/>
        </w:rPr>
      </w:pPr>
    </w:p>
    <w:p w14:paraId="2393DC3D">
      <w:pPr>
        <w:pStyle w:val="19"/>
        <w:spacing w:line="360" w:lineRule="auto"/>
        <w:ind w:left="25" w:leftChars="12" w:firstLine="472" w:firstLineChars="197"/>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日期：</w:t>
      </w:r>
    </w:p>
    <w:p w14:paraId="0EE1553C">
      <w:pPr>
        <w:pStyle w:val="19"/>
        <w:spacing w:line="360" w:lineRule="auto"/>
        <w:ind w:left="25" w:leftChars="12" w:firstLine="472" w:firstLineChars="197"/>
        <w:rPr>
          <w:rFonts w:hint="eastAsia" w:ascii="宋体" w:eastAsia="宋体" w:cs="宋体"/>
          <w:b/>
          <w:color w:val="auto"/>
          <w:sz w:val="24"/>
          <w:szCs w:val="24"/>
          <w:highlight w:val="none"/>
          <w:lang w:bidi="ar-SA"/>
        </w:rPr>
      </w:pPr>
      <w:r>
        <w:rPr>
          <w:rFonts w:hint="eastAsia" w:ascii="宋体" w:eastAsia="宋体" w:cs="宋体"/>
          <w:bCs/>
          <w:color w:val="auto"/>
          <w:sz w:val="24"/>
          <w:szCs w:val="24"/>
          <w:highlight w:val="none"/>
          <w:lang w:bidi="ar-SA"/>
        </w:rPr>
        <w:t xml:space="preserve">                                                                                 </w:t>
      </w:r>
    </w:p>
    <w:p w14:paraId="0FB3CBF7">
      <w:pPr>
        <w:pStyle w:val="19"/>
        <w:snapToGrid w:val="0"/>
        <w:spacing w:line="360" w:lineRule="auto"/>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说明：</w:t>
      </w:r>
    </w:p>
    <w:p w14:paraId="04170976">
      <w:pPr>
        <w:pStyle w:val="19"/>
        <w:spacing w:line="360" w:lineRule="auto"/>
        <w:ind w:left="25" w:leftChars="12" w:firstLine="354" w:firstLineChars="147"/>
        <w:rPr>
          <w:rFonts w:hint="eastAsia" w:ascii="宋体" w:eastAsia="宋体" w:cs="宋体"/>
          <w:b/>
          <w:bCs/>
          <w:color w:val="auto"/>
          <w:sz w:val="24"/>
          <w:szCs w:val="24"/>
          <w:highlight w:val="none"/>
          <w:lang w:bidi="ar-SA"/>
        </w:rPr>
      </w:pPr>
      <w:r>
        <w:rPr>
          <w:rFonts w:hint="eastAsia" w:ascii="宋体" w:eastAsia="宋体" w:cs="宋体"/>
          <w:b/>
          <w:color w:val="auto"/>
          <w:sz w:val="24"/>
          <w:szCs w:val="24"/>
          <w:highlight w:val="none"/>
          <w:lang w:bidi="ar-SA"/>
        </w:rPr>
        <w:t>1.投诉人提起投诉时，应当提交投诉书和必要的证明材料，并按照被投诉人和与投诉事项有关的供应商数量提供投诉书副本</w:t>
      </w:r>
      <w:r>
        <w:rPr>
          <w:rFonts w:hint="eastAsia" w:ascii="宋体" w:eastAsia="宋体" w:cs="宋体"/>
          <w:b/>
          <w:bCs/>
          <w:color w:val="auto"/>
          <w:sz w:val="24"/>
          <w:szCs w:val="24"/>
          <w:highlight w:val="none"/>
          <w:lang w:bidi="ar-SA"/>
        </w:rPr>
        <w:t>。</w:t>
      </w:r>
    </w:p>
    <w:p w14:paraId="760F81E0">
      <w:pPr>
        <w:pStyle w:val="19"/>
        <w:spacing w:line="360" w:lineRule="auto"/>
        <w:ind w:left="25" w:leftChars="12" w:firstLine="354" w:firstLineChars="147"/>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9873F8">
      <w:pPr>
        <w:pStyle w:val="19"/>
        <w:spacing w:line="360" w:lineRule="auto"/>
        <w:ind w:left="25" w:leftChars="12" w:firstLine="354" w:firstLineChars="147"/>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3.投诉书应简要列明质疑事项，质疑函、质疑答复等作为附件材料提供。</w:t>
      </w:r>
    </w:p>
    <w:p w14:paraId="25F7131D">
      <w:pPr>
        <w:pStyle w:val="19"/>
        <w:spacing w:line="360" w:lineRule="auto"/>
        <w:ind w:left="25" w:leftChars="12" w:firstLine="354" w:firstLineChars="147"/>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4.投诉书的投诉事项应具体、明确，并有必要的事实依据和法律依据。</w:t>
      </w:r>
    </w:p>
    <w:p w14:paraId="262A251F">
      <w:pPr>
        <w:pStyle w:val="19"/>
        <w:spacing w:line="360" w:lineRule="auto"/>
        <w:ind w:left="25" w:leftChars="12" w:firstLine="354" w:firstLineChars="147"/>
        <w:rPr>
          <w:rFonts w:hint="eastAsia" w:ascii="宋体" w:eastAsia="宋体" w:cs="宋体"/>
          <w:b/>
          <w:color w:val="auto"/>
          <w:sz w:val="24"/>
          <w:szCs w:val="24"/>
          <w:highlight w:val="none"/>
          <w:lang w:bidi="ar-SA"/>
        </w:rPr>
      </w:pPr>
      <w:r>
        <w:rPr>
          <w:rFonts w:hint="eastAsia" w:ascii="宋体" w:eastAsia="宋体" w:cs="宋体"/>
          <w:b/>
          <w:color w:val="auto"/>
          <w:sz w:val="24"/>
          <w:szCs w:val="24"/>
          <w:highlight w:val="none"/>
          <w:lang w:bidi="ar-SA"/>
        </w:rPr>
        <w:t>5.投诉书的投诉请求应与投诉事项相关。</w:t>
      </w:r>
    </w:p>
    <w:p w14:paraId="3895BE2A">
      <w:pPr>
        <w:pStyle w:val="19"/>
        <w:spacing w:line="360" w:lineRule="auto"/>
        <w:ind w:left="25" w:leftChars="12" w:firstLine="354" w:firstLineChars="147"/>
        <w:rPr>
          <w:rFonts w:hint="eastAsia" w:ascii="宋体" w:eastAsia="宋体" w:cs="宋体"/>
          <w:b/>
          <w:color w:val="auto"/>
          <w:highlight w:val="none"/>
          <w:lang w:bidi="ar-SA"/>
        </w:rPr>
      </w:pPr>
      <w:r>
        <w:rPr>
          <w:rFonts w:hint="eastAsia" w:ascii="宋体" w:eastAsia="宋体" w:cs="宋体"/>
          <w:b/>
          <w:color w:val="auto"/>
          <w:sz w:val="24"/>
          <w:szCs w:val="24"/>
          <w:highlight w:val="none"/>
          <w:lang w:bidi="ar-SA"/>
        </w:rPr>
        <w:t>6.投诉人为法人或者其他组织的，投诉书应由法定代表人、主要负责人，或者其授权代表签字或者盖章，并加盖公章。</w:t>
      </w:r>
    </w:p>
    <w:p w14:paraId="2B73FEBA">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34A3994E">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3E505F10">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66C71891">
      <w:pPr>
        <w:pStyle w:val="2"/>
        <w:rPr>
          <w:rFonts w:hint="eastAsia" w:ascii="宋体" w:eastAsia="宋体" w:cs="宋体"/>
          <w:color w:val="auto"/>
          <w:highlight w:val="none"/>
          <w:lang w:bidi="ar-SA"/>
        </w:rPr>
      </w:pPr>
    </w:p>
    <w:p w14:paraId="6F929CC7">
      <w:pPr>
        <w:pStyle w:val="3"/>
        <w:rPr>
          <w:rFonts w:hint="eastAsia" w:ascii="宋体" w:eastAsia="宋体" w:cs="宋体"/>
          <w:color w:val="auto"/>
          <w:highlight w:val="none"/>
          <w:lang w:bidi="ar-SA"/>
        </w:rPr>
      </w:pPr>
    </w:p>
    <w:p w14:paraId="046F9C74">
      <w:pPr>
        <w:rPr>
          <w:rFonts w:hint="eastAsia"/>
          <w:highlight w:val="none"/>
        </w:rPr>
      </w:pPr>
    </w:p>
    <w:p w14:paraId="7136C9F8">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eastAsia="宋体" w:cs="宋体"/>
          <w:color w:val="auto"/>
          <w:highlight w:val="none"/>
          <w:lang w:bidi="ar-SA"/>
        </w:rPr>
      </w:pPr>
    </w:p>
    <w:p w14:paraId="4F1C29D5">
      <w:pPr>
        <w:pStyle w:val="4"/>
        <w:jc w:val="center"/>
        <w:rPr>
          <w:rFonts w:hint="eastAsia" w:ascii="宋体" w:eastAsia="宋体" w:cs="宋体"/>
          <w:color w:val="auto"/>
          <w:highlight w:val="none"/>
          <w:lang w:bidi="ar-SA"/>
        </w:rPr>
      </w:pPr>
      <w:bookmarkStart w:id="137" w:name="_Toc4148"/>
      <w:r>
        <w:rPr>
          <w:rFonts w:hint="eastAsia" w:ascii="宋体" w:eastAsia="宋体" w:cs="宋体"/>
          <w:color w:val="auto"/>
          <w:highlight w:val="none"/>
          <w:lang w:bidi="ar-SA"/>
        </w:rPr>
        <w:t>第六章 合同文本</w:t>
      </w:r>
      <w:bookmarkEnd w:id="137"/>
    </w:p>
    <w:p w14:paraId="5F237202">
      <w:pPr>
        <w:spacing w:line="520" w:lineRule="exact"/>
        <w:rPr>
          <w:rFonts w:hint="eastAsia" w:ascii="宋体" w:eastAsia="宋体" w:cs="宋体"/>
          <w:b/>
          <w:color w:val="auto"/>
          <w:sz w:val="32"/>
          <w:szCs w:val="32"/>
          <w:highlight w:val="none"/>
          <w:lang w:bidi="ar-SA"/>
        </w:rPr>
      </w:pPr>
    </w:p>
    <w:p w14:paraId="3AD84C77">
      <w:pPr>
        <w:spacing w:before="4"/>
        <w:rPr>
          <w:rFonts w:hint="eastAsia" w:ascii="宋体" w:eastAsia="宋体" w:cs="宋体"/>
          <w:color w:val="auto"/>
          <w:sz w:val="6"/>
          <w:szCs w:val="6"/>
          <w:highlight w:val="none"/>
          <w:lang w:bidi="ar-SA"/>
        </w:rPr>
      </w:pPr>
    </w:p>
    <w:p w14:paraId="7C1BD6EC">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jc w:val="center"/>
        <w:textAlignment w:val="auto"/>
        <w:outlineLvl w:val="9"/>
        <w:rPr>
          <w:rFonts w:hint="eastAsia" w:ascii="宋体" w:cs="宋体"/>
          <w:color w:val="auto"/>
          <w:sz w:val="30"/>
          <w:szCs w:val="30"/>
          <w:highlight w:val="none"/>
          <w:lang w:bidi="ar-SA"/>
        </w:rPr>
      </w:pPr>
      <w:r>
        <w:rPr>
          <w:rFonts w:hint="eastAsia" w:ascii="宋体" w:eastAsia="宋体" w:cs="宋体"/>
          <w:color w:val="auto"/>
          <w:highlight w:val="none"/>
          <w:lang w:bidi="ar-SA"/>
        </w:rPr>
        <w:br w:type="page"/>
      </w:r>
      <w:bookmarkStart w:id="138" w:name="_Toc389065255"/>
      <w:bookmarkStart w:id="139" w:name="_Toc351203480"/>
      <w:bookmarkStart w:id="140" w:name="_Toc373227552"/>
      <w:bookmarkStart w:id="141" w:name="_Toc6276"/>
      <w:bookmarkStart w:id="142" w:name="_Toc373478199"/>
      <w:bookmarkStart w:id="143" w:name="_Toc407135191"/>
      <w:bookmarkStart w:id="144" w:name="_Toc12609346"/>
      <w:bookmarkStart w:id="145" w:name="_Toc296503025"/>
      <w:bookmarkStart w:id="146" w:name="_Toc296890982"/>
      <w:r>
        <w:rPr>
          <w:rFonts w:hint="eastAsia" w:ascii="宋体" w:eastAsia="宋体" w:cs="宋体"/>
          <w:b/>
          <w:bCs/>
          <w:color w:val="auto"/>
          <w:sz w:val="30"/>
          <w:szCs w:val="30"/>
          <w:highlight w:val="none"/>
          <w:lang w:bidi="ar-SA"/>
        </w:rPr>
        <w:t>第一部分</w:t>
      </w:r>
      <w:r>
        <w:rPr>
          <w:rFonts w:hint="eastAsia" w:ascii="宋体" w:cs="宋体"/>
          <w:b/>
          <w:bCs/>
          <w:color w:val="auto"/>
          <w:highlight w:val="none"/>
          <w:lang w:val="en-US" w:eastAsia="zh-CN" w:bidi="ar-SA"/>
        </w:rPr>
        <w:t xml:space="preserve"> </w:t>
      </w:r>
      <w:r>
        <w:rPr>
          <w:rFonts w:hint="eastAsia" w:ascii="宋体" w:cs="宋体"/>
          <w:b/>
          <w:bCs/>
          <w:color w:val="auto"/>
          <w:sz w:val="30"/>
          <w:szCs w:val="30"/>
          <w:highlight w:val="none"/>
          <w:lang w:bidi="ar-SA"/>
        </w:rPr>
        <w:t>合同协议书</w:t>
      </w:r>
      <w:bookmarkEnd w:id="138"/>
      <w:bookmarkEnd w:id="139"/>
      <w:bookmarkEnd w:id="140"/>
      <w:bookmarkEnd w:id="141"/>
      <w:bookmarkEnd w:id="142"/>
      <w:bookmarkEnd w:id="143"/>
      <w:bookmarkEnd w:id="144"/>
      <w:bookmarkEnd w:id="145"/>
      <w:bookmarkEnd w:id="146"/>
    </w:p>
    <w:p w14:paraId="7DA2D634">
      <w:pPr>
        <w:rPr>
          <w:color w:val="auto"/>
          <w:highlight w:val="none"/>
        </w:rPr>
      </w:pPr>
    </w:p>
    <w:p w14:paraId="2D828C51">
      <w:pPr>
        <w:spacing w:line="384" w:lineRule="auto"/>
        <w:ind w:right="800"/>
        <w:rPr>
          <w:rFonts w:hint="eastAsia" w:ascii="宋体" w:cs="宋体"/>
          <w:bCs/>
          <w:color w:val="auto"/>
          <w:highlight w:val="none"/>
          <w:u w:val="single"/>
          <w:lang w:eastAsia="zh-CN" w:bidi="ar-SA"/>
        </w:rPr>
      </w:pPr>
      <w:r>
        <w:rPr>
          <w:rFonts w:hint="eastAsia" w:ascii="宋体" w:cs="宋体"/>
          <w:color w:val="auto"/>
          <w:highlight w:val="none"/>
          <w:lang w:eastAsia="zh-CN" w:bidi="ar-SA"/>
        </w:rPr>
        <w:t>采购计划号：</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w:t>
      </w:r>
      <w:r>
        <w:rPr>
          <w:rFonts w:hint="eastAsia" w:ascii="宋体" w:cs="宋体"/>
          <w:bCs/>
          <w:color w:val="auto"/>
          <w:highlight w:val="none"/>
          <w:lang w:eastAsia="zh-CN" w:bidi="ar-SA"/>
        </w:rPr>
        <w:t>合同编号：</w:t>
      </w:r>
      <w:r>
        <w:rPr>
          <w:rFonts w:hint="eastAsia" w:ascii="宋体" w:cs="宋体"/>
          <w:color w:val="auto"/>
          <w:highlight w:val="none"/>
          <w:u w:val="single"/>
          <w:lang w:eastAsia="zh-CN" w:bidi="ar-SA"/>
        </w:rPr>
        <w:t xml:space="preserve">                  </w:t>
      </w:r>
    </w:p>
    <w:p w14:paraId="45230F8D">
      <w:pPr>
        <w:spacing w:line="384" w:lineRule="auto"/>
        <w:rPr>
          <w:rFonts w:hint="eastAsia" w:ascii="宋体" w:cs="宋体"/>
          <w:color w:val="auto"/>
          <w:highlight w:val="none"/>
          <w:u w:val="single"/>
          <w:lang w:eastAsia="zh-CN" w:bidi="ar-SA"/>
        </w:rPr>
      </w:pPr>
      <w:r>
        <w:rPr>
          <w:rFonts w:hint="eastAsia" w:ascii="宋体" w:cs="宋体"/>
          <w:color w:val="auto"/>
          <w:highlight w:val="none"/>
          <w:lang w:eastAsia="zh-CN" w:bidi="ar-SA"/>
        </w:rPr>
        <w:t>招标人（甲方）：</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供应商（乙方）：</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w:t>
      </w:r>
    </w:p>
    <w:p w14:paraId="249B0F67">
      <w:pPr>
        <w:spacing w:line="384" w:lineRule="auto"/>
        <w:rPr>
          <w:rFonts w:hint="eastAsia" w:ascii="宋体" w:cs="宋体"/>
          <w:color w:val="auto"/>
          <w:highlight w:val="none"/>
          <w:u w:val="single"/>
          <w:lang w:eastAsia="zh-CN" w:bidi="ar-SA"/>
        </w:rPr>
      </w:pPr>
      <w:r>
        <w:rPr>
          <w:rFonts w:hint="eastAsia" w:ascii="宋体" w:cs="宋体"/>
          <w:color w:val="auto"/>
          <w:highlight w:val="none"/>
          <w:lang w:eastAsia="zh-CN" w:bidi="ar-SA"/>
        </w:rPr>
        <w:t>项目名称：</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项目编号：</w:t>
      </w:r>
      <w:r>
        <w:rPr>
          <w:rFonts w:hint="eastAsia" w:ascii="宋体" w:cs="宋体"/>
          <w:color w:val="auto"/>
          <w:highlight w:val="none"/>
          <w:u w:val="single"/>
          <w:lang w:eastAsia="zh-CN" w:bidi="ar-SA"/>
        </w:rPr>
        <w:t xml:space="preserve">                          </w:t>
      </w:r>
    </w:p>
    <w:p w14:paraId="757BC916">
      <w:pPr>
        <w:spacing w:line="384" w:lineRule="auto"/>
        <w:rPr>
          <w:rFonts w:hint="eastAsia" w:ascii="宋体" w:cs="宋体"/>
          <w:color w:val="auto"/>
          <w:highlight w:val="none"/>
          <w:u w:val="single"/>
          <w:lang w:eastAsia="zh-CN" w:bidi="ar-SA"/>
        </w:rPr>
      </w:pPr>
      <w:r>
        <w:rPr>
          <w:rFonts w:hint="eastAsia" w:ascii="宋体" w:cs="宋体"/>
          <w:color w:val="auto"/>
          <w:highlight w:val="none"/>
          <w:lang w:eastAsia="zh-CN" w:bidi="ar-SA"/>
        </w:rPr>
        <w:t>签订地点：</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签订时间：</w:t>
      </w:r>
      <w:r>
        <w:rPr>
          <w:rFonts w:hint="eastAsia" w:ascii="宋体" w:cs="宋体"/>
          <w:color w:val="auto"/>
          <w:highlight w:val="none"/>
          <w:u w:val="single"/>
          <w:lang w:eastAsia="zh-CN" w:bidi="ar-SA"/>
        </w:rPr>
        <w:t xml:space="preserve">                        </w:t>
      </w:r>
    </w:p>
    <w:p w14:paraId="72562DA3">
      <w:pPr>
        <w:spacing w:line="384" w:lineRule="auto"/>
        <w:rPr>
          <w:rFonts w:hint="eastAsia" w:ascii="宋体" w:cs="宋体"/>
          <w:color w:val="auto"/>
          <w:highlight w:val="none"/>
          <w:lang w:eastAsia="zh-CN" w:bidi="ar-SA"/>
        </w:rPr>
      </w:pPr>
      <w:r>
        <w:rPr>
          <w:rFonts w:hint="eastAsia" w:ascii="宋体" w:cs="宋体"/>
          <w:color w:val="auto"/>
          <w:highlight w:val="none"/>
          <w:lang w:eastAsia="zh-CN" w:bidi="ar-SA"/>
        </w:rPr>
        <w:t>本合同为中小企业预留合同：</w:t>
      </w:r>
      <w:r>
        <w:rPr>
          <w:rFonts w:hint="eastAsia" w:ascii="宋体" w:cs="宋体"/>
          <w:color w:val="auto"/>
          <w:highlight w:val="none"/>
          <w:u w:val="single"/>
          <w:lang w:eastAsia="zh-CN" w:bidi="ar-SA"/>
        </w:rPr>
        <w:t>（是/否）</w:t>
      </w:r>
      <w:r>
        <w:rPr>
          <w:rFonts w:hint="eastAsia" w:ascii="宋体" w:cs="宋体"/>
          <w:color w:val="auto"/>
          <w:highlight w:val="none"/>
          <w:lang w:eastAsia="zh-CN" w:bidi="ar-SA"/>
        </w:rPr>
        <w:t>。</w:t>
      </w:r>
    </w:p>
    <w:p w14:paraId="3E50A813">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根据《中华人民共和国政府采购法》、《中华人民共和国民法典》等法律、法规规定，按照</w:t>
      </w:r>
      <w:r>
        <w:rPr>
          <w:rFonts w:hint="eastAsia" w:ascii="宋体"/>
          <w:color w:val="auto"/>
          <w:highlight w:val="none"/>
          <w:lang w:eastAsia="zh-CN"/>
        </w:rPr>
        <w:t>招标文件规定条款和乙方</w:t>
      </w:r>
      <w:r>
        <w:rPr>
          <w:rFonts w:hint="eastAsia" w:ascii="宋体" w:eastAsia="宋体"/>
          <w:color w:val="auto"/>
          <w:highlight w:val="none"/>
          <w:lang w:eastAsia="zh-CN"/>
        </w:rPr>
        <w:t>竞标</w:t>
      </w:r>
      <w:r>
        <w:rPr>
          <w:rFonts w:hint="eastAsia" w:ascii="宋体"/>
          <w:color w:val="auto"/>
          <w:highlight w:val="none"/>
          <w:lang w:eastAsia="zh-CN"/>
        </w:rPr>
        <w:t>文件及其承诺，甲乙双方签订本合同，</w:t>
      </w:r>
      <w:r>
        <w:rPr>
          <w:rFonts w:hint="eastAsia" w:ascii="宋体"/>
          <w:color w:val="auto"/>
          <w:highlight w:val="none"/>
          <w:lang w:val="en-US" w:eastAsia="zh-CN"/>
        </w:rPr>
        <w:t>本合同未明确的则按招标文件规定条款和乙方竞标文件及其承诺执行</w:t>
      </w:r>
      <w:r>
        <w:rPr>
          <w:rFonts w:hint="eastAsia" w:ascii="宋体"/>
          <w:color w:val="auto"/>
          <w:highlight w:val="none"/>
          <w:lang w:eastAsia="zh-CN"/>
        </w:rPr>
        <w:t>。</w:t>
      </w:r>
    </w:p>
    <w:p w14:paraId="627FA5CE">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第一条　合同标的</w:t>
      </w:r>
    </w:p>
    <w:p w14:paraId="0A7AD681">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30"/>
        <w:gridCol w:w="2387"/>
        <w:gridCol w:w="1616"/>
        <w:gridCol w:w="1207"/>
      </w:tblGrid>
      <w:tr w14:paraId="6590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F0C22AF">
            <w:pPr>
              <w:spacing w:line="384" w:lineRule="auto"/>
              <w:jc w:val="center"/>
              <w:rPr>
                <w:rFonts w:hint="eastAsia" w:ascii="宋体" w:cs="宋体"/>
                <w:color w:val="auto"/>
                <w:highlight w:val="none"/>
                <w:lang w:bidi="ar-SA"/>
              </w:rPr>
            </w:pPr>
            <w:r>
              <w:rPr>
                <w:rFonts w:hint="eastAsia" w:ascii="宋体" w:cs="宋体"/>
                <w:color w:val="auto"/>
                <w:highlight w:val="none"/>
                <w:lang w:bidi="ar-SA"/>
              </w:rPr>
              <w:t>序号</w:t>
            </w:r>
          </w:p>
        </w:tc>
        <w:tc>
          <w:tcPr>
            <w:tcW w:w="3430" w:type="dxa"/>
            <w:tcBorders>
              <w:top w:val="single" w:color="auto" w:sz="4" w:space="0"/>
              <w:left w:val="single" w:color="auto" w:sz="4" w:space="0"/>
              <w:bottom w:val="single" w:color="auto" w:sz="4" w:space="0"/>
              <w:right w:val="single" w:color="auto" w:sz="4" w:space="0"/>
            </w:tcBorders>
            <w:noWrap w:val="0"/>
            <w:vAlign w:val="center"/>
          </w:tcPr>
          <w:p w14:paraId="3A50A070">
            <w:pPr>
              <w:spacing w:line="384" w:lineRule="auto"/>
              <w:jc w:val="center"/>
              <w:rPr>
                <w:rFonts w:hint="eastAsia" w:ascii="宋体" w:cs="宋体"/>
                <w:color w:val="auto"/>
                <w:highlight w:val="none"/>
                <w:lang w:bidi="ar-SA"/>
              </w:rPr>
            </w:pPr>
            <w:r>
              <w:rPr>
                <w:rFonts w:hint="eastAsia" w:ascii="宋体" w:cs="宋体"/>
                <w:color w:val="auto"/>
                <w:highlight w:val="none"/>
                <w:lang w:bidi="ar-SA"/>
              </w:rPr>
              <w:t>标的名称</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3C7C0530">
            <w:pPr>
              <w:spacing w:line="384" w:lineRule="auto"/>
              <w:jc w:val="center"/>
              <w:rPr>
                <w:rFonts w:hint="eastAsia" w:ascii="宋体" w:cs="宋体"/>
                <w:color w:val="auto"/>
                <w:highlight w:val="none"/>
                <w:lang w:bidi="ar-SA"/>
              </w:rPr>
            </w:pPr>
            <w:r>
              <w:rPr>
                <w:rFonts w:hint="eastAsia" w:ascii="宋体" w:cs="宋体"/>
                <w:color w:val="auto"/>
                <w:highlight w:val="none"/>
                <w:lang w:bidi="ar-SA"/>
              </w:rPr>
              <w:t>数量及单位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63D92CC">
            <w:pPr>
              <w:spacing w:line="384" w:lineRule="auto"/>
              <w:jc w:val="center"/>
              <w:rPr>
                <w:rFonts w:hint="eastAsia" w:ascii="宋体" w:eastAsia="宋体" w:cs="宋体"/>
                <w:color w:val="auto"/>
                <w:highlight w:val="none"/>
                <w:lang w:eastAsia="zh-CN" w:bidi="ar-SA"/>
              </w:rPr>
            </w:pPr>
            <w:r>
              <w:rPr>
                <w:rFonts w:hint="eastAsia" w:ascii="宋体" w:cs="宋体"/>
                <w:color w:val="auto"/>
                <w:highlight w:val="none"/>
                <w:lang w:eastAsia="zh-CN" w:bidi="ar-SA"/>
              </w:rPr>
              <w:t>提交服务成果时间</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8FB6699">
            <w:pPr>
              <w:spacing w:line="384" w:lineRule="auto"/>
              <w:jc w:val="center"/>
              <w:rPr>
                <w:rFonts w:hint="eastAsia" w:ascii="宋体" w:cs="宋体"/>
                <w:color w:val="auto"/>
                <w:highlight w:val="none"/>
                <w:lang w:bidi="ar-SA"/>
              </w:rPr>
            </w:pPr>
            <w:r>
              <w:rPr>
                <w:rFonts w:hint="eastAsia" w:ascii="宋体" w:eastAsia="宋体" w:cs="宋体"/>
                <w:color w:val="auto"/>
                <w:highlight w:val="none"/>
                <w:lang w:eastAsia="zh-CN" w:bidi="ar-SA"/>
              </w:rPr>
              <w:t>竞标</w:t>
            </w:r>
            <w:r>
              <w:rPr>
                <w:rFonts w:hint="eastAsia" w:ascii="宋体" w:cs="宋体"/>
                <w:color w:val="auto"/>
                <w:highlight w:val="none"/>
                <w:lang w:bidi="ar-SA"/>
              </w:rPr>
              <w:t>报价</w:t>
            </w:r>
          </w:p>
        </w:tc>
      </w:tr>
      <w:tr w14:paraId="5FC6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5"/>
            <w:tcBorders>
              <w:top w:val="single" w:color="auto" w:sz="4" w:space="0"/>
              <w:left w:val="single" w:color="auto" w:sz="4" w:space="0"/>
              <w:bottom w:val="single" w:color="auto" w:sz="4" w:space="0"/>
              <w:right w:val="single" w:color="auto" w:sz="4" w:space="0"/>
            </w:tcBorders>
            <w:noWrap w:val="0"/>
            <w:vAlign w:val="center"/>
          </w:tcPr>
          <w:p w14:paraId="7433C1A5">
            <w:pPr>
              <w:spacing w:line="384" w:lineRule="auto"/>
              <w:jc w:val="center"/>
              <w:rPr>
                <w:rFonts w:hint="eastAsia" w:ascii="宋体" w:eastAsia="宋体" w:cs="宋体"/>
                <w:color w:val="auto"/>
                <w:highlight w:val="none"/>
                <w:lang w:eastAsia="zh-CN" w:bidi="ar-SA"/>
              </w:rPr>
            </w:pPr>
            <w:r>
              <w:rPr>
                <w:rFonts w:hint="eastAsia" w:ascii="宋体" w:cs="宋体"/>
                <w:color w:val="auto"/>
                <w:highlight w:val="none"/>
                <w:lang w:bidi="ar-SA"/>
              </w:rPr>
              <w:t>详见</w:t>
            </w:r>
            <w:r>
              <w:rPr>
                <w:rFonts w:hint="eastAsia" w:ascii="宋体" w:eastAsia="宋体" w:cs="宋体"/>
                <w:color w:val="auto"/>
                <w:highlight w:val="none"/>
                <w:lang w:eastAsia="zh-CN" w:bidi="ar-SA"/>
              </w:rPr>
              <w:t>响应报价表</w:t>
            </w:r>
          </w:p>
        </w:tc>
      </w:tr>
      <w:tr w14:paraId="6685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5"/>
            <w:tcBorders>
              <w:top w:val="single" w:color="auto" w:sz="4" w:space="0"/>
              <w:left w:val="single" w:color="auto" w:sz="4" w:space="0"/>
              <w:bottom w:val="single" w:color="auto" w:sz="4" w:space="0"/>
              <w:right w:val="single" w:color="auto" w:sz="4" w:space="0"/>
            </w:tcBorders>
            <w:noWrap w:val="0"/>
            <w:vAlign w:val="center"/>
          </w:tcPr>
          <w:p w14:paraId="03811DA2">
            <w:pPr>
              <w:spacing w:line="384" w:lineRule="auto"/>
              <w:rPr>
                <w:rFonts w:hint="eastAsia" w:ascii="宋体" w:cs="宋体"/>
                <w:color w:val="auto"/>
                <w:highlight w:val="none"/>
                <w:lang w:eastAsia="zh-CN" w:bidi="ar-SA"/>
              </w:rPr>
            </w:pPr>
            <w:r>
              <w:rPr>
                <w:rFonts w:hint="eastAsia" w:ascii="宋体" w:cs="宋体"/>
                <w:color w:val="auto"/>
                <w:highlight w:val="none"/>
                <w:lang w:eastAsia="zh-CN" w:bidi="ar-SA"/>
              </w:rPr>
              <w:t>人民币合计金额（大写）：</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元整（¥</w:t>
            </w:r>
            <w:r>
              <w:rPr>
                <w:rFonts w:hint="eastAsia" w:ascii="宋体" w:cs="宋体"/>
                <w:color w:val="auto"/>
                <w:highlight w:val="none"/>
                <w:u w:val="single"/>
                <w:lang w:eastAsia="zh-CN" w:bidi="ar-SA"/>
              </w:rPr>
              <w:t xml:space="preserve">      </w:t>
            </w:r>
            <w:r>
              <w:rPr>
                <w:rFonts w:hint="eastAsia" w:ascii="宋体" w:cs="宋体"/>
                <w:color w:val="auto"/>
                <w:highlight w:val="none"/>
                <w:u w:val="single"/>
                <w:lang w:val="en-US" w:eastAsia="zh-CN" w:bidi="ar-SA"/>
              </w:rPr>
              <w:t xml:space="preserve">    </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 xml:space="preserve">）              </w:t>
            </w:r>
          </w:p>
        </w:tc>
      </w:tr>
    </w:tbl>
    <w:p w14:paraId="03C9B5A0">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2、合同合计金额包括但不限于满足本次</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全部采购需求所应提供的服务，以及伴随的货物和工程（如有）的价格；包含</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服务、货物、工程的成本、运输（含保险）、安装（如有）、调试、检验、技术服务、培训、税费等所有费用。如招标文件对其另有规定的，从其规定。</w:t>
      </w:r>
    </w:p>
    <w:p w14:paraId="28881877">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第二条　质量保证</w:t>
      </w:r>
    </w:p>
    <w:p w14:paraId="1DBE4C81">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乙方所提供的服务及服务内容必须与</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文件承诺相一致，有国家强制性标准的，还必须符合国家强制性标准的规定，没有国家强制性标准但有其他强制性标准的，必须符合其他强制性标准的规定。</w:t>
      </w:r>
    </w:p>
    <w:p w14:paraId="1E5A80E3">
      <w:pPr>
        <w:spacing w:line="384" w:lineRule="auto"/>
        <w:ind w:firstLine="422" w:firstLineChars="200"/>
        <w:rPr>
          <w:rFonts w:hint="eastAsia" w:ascii="宋体" w:cs="宋体"/>
          <w:color w:val="auto"/>
          <w:highlight w:val="none"/>
          <w:lang w:eastAsia="zh-CN" w:bidi="ar-SA"/>
        </w:rPr>
      </w:pPr>
      <w:r>
        <w:rPr>
          <w:rFonts w:hint="eastAsia" w:ascii="宋体" w:cs="宋体"/>
          <w:b/>
          <w:color w:val="auto"/>
          <w:highlight w:val="none"/>
          <w:lang w:eastAsia="zh-CN" w:bidi="ar-SA"/>
        </w:rPr>
        <w:t>第三条　权利保证</w:t>
      </w:r>
    </w:p>
    <w:p w14:paraId="5E1358AA">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1、乙方应保证所提供服务在使用时不会侵犯任何第三方的专利权、商标权、工业设计权等知识产权及其他合法权利，且所有权、处分权等没有受到任何限制。</w:t>
      </w:r>
    </w:p>
    <w:p w14:paraId="6D63CF66">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F93E55E">
      <w:pPr>
        <w:spacing w:line="384" w:lineRule="auto"/>
        <w:ind w:firstLine="422" w:firstLineChars="200"/>
        <w:rPr>
          <w:rFonts w:hint="eastAsia" w:ascii="宋体" w:cs="宋体"/>
          <w:color w:val="auto"/>
          <w:highlight w:val="none"/>
          <w:lang w:eastAsia="zh-CN" w:bidi="ar-SA"/>
        </w:rPr>
      </w:pPr>
      <w:r>
        <w:rPr>
          <w:rFonts w:hint="eastAsia" w:ascii="宋体" w:cs="宋体"/>
          <w:b/>
          <w:color w:val="auto"/>
          <w:highlight w:val="none"/>
          <w:lang w:eastAsia="zh-CN" w:bidi="ar-SA"/>
        </w:rPr>
        <w:t>第四条　交付和验收</w:t>
      </w:r>
    </w:p>
    <w:p w14:paraId="350E5625">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1、提交服务成果时间：</w:t>
      </w:r>
      <w:r>
        <w:rPr>
          <w:rFonts w:hint="eastAsia" w:ascii="宋体" w:cs="宋体"/>
          <w:color w:val="auto"/>
          <w:highlight w:val="none"/>
          <w:u w:val="single"/>
          <w:lang w:eastAsia="zh-CN" w:bidi="ar-SA"/>
        </w:rPr>
        <w:t xml:space="preserve">           </w:t>
      </w:r>
      <w:r>
        <w:rPr>
          <w:rFonts w:hint="eastAsia" w:ascii="宋体" w:cs="宋体"/>
          <w:color w:val="auto"/>
          <w:highlight w:val="none"/>
          <w:u w:val="single"/>
          <w:lang w:val="en-US" w:eastAsia="zh-CN" w:bidi="ar-SA"/>
        </w:rPr>
        <w:t xml:space="preserve"> </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，提交服务成果地点：</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w:t>
      </w:r>
    </w:p>
    <w:p w14:paraId="56EE0777">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2、乙方应按</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文件的承诺向甲方提供相应的服务，并提供所服务内容的相关技术资料。</w:t>
      </w:r>
    </w:p>
    <w:p w14:paraId="5DF53CA6">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3、乙方提供不符合</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文件和本合同规定的服务成果，甲方有权拒绝接受。</w:t>
      </w:r>
    </w:p>
    <w:p w14:paraId="6BE235E6">
      <w:pPr>
        <w:spacing w:line="384" w:lineRule="auto"/>
        <w:ind w:firstLine="420" w:firstLineChars="200"/>
        <w:rPr>
          <w:rFonts w:hint="eastAsia" w:ascii="宋体"/>
          <w:color w:val="auto"/>
          <w:highlight w:val="none"/>
          <w:lang w:eastAsia="zh-CN"/>
        </w:rPr>
      </w:pPr>
      <w:r>
        <w:rPr>
          <w:rFonts w:hint="eastAsia" w:ascii="宋体"/>
          <w:color w:val="auto"/>
          <w:highlight w:val="none"/>
          <w:lang w:eastAsia="zh-CN"/>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55ACC83E">
      <w:pPr>
        <w:spacing w:line="384" w:lineRule="auto"/>
        <w:ind w:firstLine="420" w:firstLineChars="200"/>
        <w:rPr>
          <w:rFonts w:hint="eastAsia" w:ascii="宋体"/>
          <w:color w:val="auto"/>
          <w:highlight w:val="none"/>
          <w:lang w:eastAsia="zh-CN"/>
        </w:rPr>
      </w:pPr>
      <w:r>
        <w:rPr>
          <w:rFonts w:hint="eastAsia" w:ascii="宋体" w:cs="宋体"/>
          <w:color w:val="auto"/>
          <w:highlight w:val="none"/>
          <w:lang w:eastAsia="zh-CN" w:bidi="ar-SA"/>
        </w:rPr>
        <w:t>5、甲乙双方应按照《广西壮族自治区政府采购项目履约验收管理办法》、双方合同、</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文件验收。</w:t>
      </w:r>
    </w:p>
    <w:p w14:paraId="36FDE4B8">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6、甲方在初步验收或者最终验收过程中如发现乙方提供的服务成果不满足</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文件及本合同规定的，可暂缓向乙方付款，直到乙方及时完善并提交相应的服务成果且经甲方验收合格后，方可办理付款。</w:t>
      </w:r>
    </w:p>
    <w:p w14:paraId="10712264">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7、甲方验收时以书面形式提出异议的，乙方应自收到甲方书面异议后五个工作日内及时予以解决，否则甲方有权不出具服务验收合格单。</w:t>
      </w:r>
    </w:p>
    <w:p w14:paraId="2B583705">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第五条  售后服务及培训</w:t>
      </w:r>
    </w:p>
    <w:p w14:paraId="31262156">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1、乙方应按照国家有关法律法规和本合同所附的《售后服务承诺》要求为甲方提供相应的售后服务。</w:t>
      </w:r>
    </w:p>
    <w:p w14:paraId="5D4A572A">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2、甲方应提供必要测试条件（如场地、电源、水源等）。</w:t>
      </w:r>
    </w:p>
    <w:p w14:paraId="6D538F18">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3、乙方负责甲方有关人员的培训。培训时间、地点：</w:t>
      </w:r>
      <w:r>
        <w:rPr>
          <w:rFonts w:hint="eastAsia" w:ascii="宋体" w:cs="宋体"/>
          <w:color w:val="auto"/>
          <w:highlight w:val="none"/>
          <w:u w:val="single"/>
          <w:lang w:eastAsia="zh-CN" w:bidi="ar-SA"/>
        </w:rPr>
        <w:t xml:space="preserve">                    </w:t>
      </w:r>
      <w:r>
        <w:rPr>
          <w:rFonts w:hint="eastAsia" w:ascii="宋体" w:cs="宋体"/>
          <w:color w:val="auto"/>
          <w:highlight w:val="none"/>
          <w:lang w:eastAsia="zh-CN" w:bidi="ar-SA"/>
        </w:rPr>
        <w:t>。</w:t>
      </w:r>
    </w:p>
    <w:p w14:paraId="1146FAB8">
      <w:pPr>
        <w:spacing w:line="384" w:lineRule="auto"/>
        <w:ind w:firstLine="422" w:firstLineChars="200"/>
        <w:rPr>
          <w:rFonts w:hint="eastAsia" w:ascii="宋体" w:cs="宋体"/>
          <w:color w:val="auto"/>
          <w:highlight w:val="none"/>
          <w:u w:val="single"/>
          <w:lang w:eastAsia="zh-CN" w:bidi="ar-SA"/>
        </w:rPr>
      </w:pPr>
      <w:r>
        <w:rPr>
          <w:rFonts w:hint="eastAsia" w:ascii="宋体" w:cs="宋体"/>
          <w:b/>
          <w:color w:val="auto"/>
          <w:highlight w:val="none"/>
          <w:lang w:eastAsia="zh-CN" w:bidi="ar-SA"/>
        </w:rPr>
        <w:t>第六条　付款方式</w:t>
      </w:r>
    </w:p>
    <w:p w14:paraId="6A7BA581">
      <w:pPr>
        <w:spacing w:line="384" w:lineRule="auto"/>
        <w:ind w:firstLine="420" w:firstLineChars="200"/>
        <w:rPr>
          <w:rFonts w:hint="eastAsia" w:ascii="宋体" w:cs="宋体"/>
          <w:color w:val="auto"/>
          <w:highlight w:val="none"/>
          <w:lang w:eastAsia="zh-CN" w:bidi="ar-SA"/>
        </w:rPr>
      </w:pPr>
    </w:p>
    <w:p w14:paraId="339E28DB">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第七条　履约保证金</w:t>
      </w:r>
    </w:p>
    <w:p w14:paraId="08FFDCCF">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本项目不收取</w:t>
      </w:r>
    </w:p>
    <w:p w14:paraId="5660DE28">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第八条  税费</w:t>
      </w:r>
    </w:p>
    <w:p w14:paraId="1482DF17">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本合同执行中相关的一切税费均由乙方负担，合同另有约定的除外。</w:t>
      </w:r>
    </w:p>
    <w:p w14:paraId="5AF1BAF7">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第九条　违约责任</w:t>
      </w:r>
    </w:p>
    <w:p w14:paraId="26F63837">
      <w:pPr>
        <w:spacing w:line="384" w:lineRule="auto"/>
        <w:ind w:firstLine="420" w:firstLineChars="200"/>
        <w:rPr>
          <w:rFonts w:hint="eastAsia" w:ascii="宋体"/>
          <w:color w:val="auto"/>
          <w:highlight w:val="none"/>
          <w:lang w:eastAsia="zh-CN"/>
        </w:rPr>
      </w:pPr>
      <w:r>
        <w:rPr>
          <w:rFonts w:hint="eastAsia" w:ascii="宋体"/>
          <w:color w:val="auto"/>
          <w:highlight w:val="none"/>
          <w:lang w:eastAsia="zh-CN"/>
        </w:rPr>
        <w:t>1、除不可抗力及甲方违约原因外，乙方没有按照合同约定的时间提供服务成果的，乙方每延误一天，按合同金额的</w:t>
      </w:r>
      <w:r>
        <w:rPr>
          <w:rFonts w:hint="eastAsia" w:ascii="宋体"/>
          <w:color w:val="auto"/>
          <w:highlight w:val="none"/>
          <w:lang w:val="en-US" w:eastAsia="zh-CN"/>
        </w:rPr>
        <w:t>3</w:t>
      </w:r>
      <w:r>
        <w:rPr>
          <w:rFonts w:hint="eastAsia" w:ascii="宋体"/>
          <w:color w:val="auto"/>
          <w:highlight w:val="none"/>
          <w:lang w:eastAsia="zh-CN"/>
        </w:rPr>
        <w:t>‰向甲方支付违约金，违约金不得超过合同金额的10%。逾期达30日及以上的，甲方有权解除合同，并要求乙方全额退还已支付的合同款项。</w:t>
      </w:r>
    </w:p>
    <w:p w14:paraId="5029CE14">
      <w:pPr>
        <w:spacing w:line="384" w:lineRule="auto"/>
        <w:ind w:firstLine="420" w:firstLineChars="200"/>
        <w:rPr>
          <w:rFonts w:hint="default" w:ascii="宋体"/>
          <w:color w:val="auto"/>
          <w:highlight w:val="none"/>
          <w:lang w:val="en-US" w:eastAsia="zh-CN"/>
        </w:rPr>
      </w:pPr>
      <w:r>
        <w:rPr>
          <w:rFonts w:hint="eastAsia" w:ascii="宋体"/>
          <w:color w:val="auto"/>
          <w:highlight w:val="none"/>
          <w:lang w:val="en-US" w:eastAsia="zh-CN"/>
        </w:rPr>
        <w:t>2、乙方将合同项目转包、分包给任何第三人的，视为乙方违约，甲方有权解除本合同，</w:t>
      </w:r>
      <w:r>
        <w:rPr>
          <w:rFonts w:hint="eastAsia" w:ascii="宋体"/>
          <w:color w:val="auto"/>
          <w:highlight w:val="none"/>
          <w:lang w:eastAsia="zh-CN"/>
        </w:rPr>
        <w:t>要求乙方全额退还已支付的合同款项，并要求乙方支付合同总金额</w:t>
      </w:r>
      <w:r>
        <w:rPr>
          <w:rFonts w:hint="eastAsia" w:ascii="宋体"/>
          <w:color w:val="auto"/>
          <w:highlight w:val="none"/>
          <w:lang w:val="en-US" w:eastAsia="zh-CN"/>
        </w:rPr>
        <w:t>10%</w:t>
      </w:r>
      <w:r>
        <w:rPr>
          <w:rFonts w:hint="eastAsia" w:ascii="宋体"/>
          <w:color w:val="auto"/>
          <w:highlight w:val="none"/>
          <w:lang w:eastAsia="zh-CN"/>
        </w:rPr>
        <w:t>的违约金。甲方同意继续履行合同的，不免除乙方的违约责任。</w:t>
      </w:r>
    </w:p>
    <w:p w14:paraId="3EA19E24">
      <w:pPr>
        <w:spacing w:line="384" w:lineRule="auto"/>
        <w:ind w:firstLine="420" w:firstLineChars="200"/>
        <w:rPr>
          <w:rFonts w:hint="eastAsia" w:ascii="宋体"/>
          <w:color w:val="auto"/>
          <w:highlight w:val="none"/>
          <w:lang w:eastAsia="zh-CN"/>
        </w:rPr>
      </w:pPr>
      <w:r>
        <w:rPr>
          <w:rFonts w:hint="eastAsia" w:ascii="宋体"/>
          <w:color w:val="auto"/>
          <w:highlight w:val="none"/>
          <w:lang w:val="en-US" w:eastAsia="zh-CN"/>
        </w:rPr>
        <w:t>3</w:t>
      </w:r>
      <w:r>
        <w:rPr>
          <w:rFonts w:hint="eastAsia" w:ascii="宋体"/>
          <w:color w:val="auto"/>
          <w:highlight w:val="none"/>
          <w:lang w:eastAsia="zh-CN"/>
        </w:rPr>
        <w:t>、乙方提供的成果质量不符合技术规范要求不通过专家评审的，应根据专家意见在规定的期限内补充修改完善，直至通过评审，因此产生的返工费用由乙方自负。</w:t>
      </w:r>
    </w:p>
    <w:p w14:paraId="4A469BDD">
      <w:pPr>
        <w:spacing w:line="384" w:lineRule="auto"/>
        <w:ind w:firstLine="420" w:firstLineChars="200"/>
        <w:rPr>
          <w:rFonts w:hint="eastAsia" w:ascii="宋体"/>
          <w:color w:val="auto"/>
          <w:highlight w:val="none"/>
          <w:lang w:eastAsia="zh-CN"/>
        </w:rPr>
      </w:pPr>
      <w:r>
        <w:rPr>
          <w:rFonts w:hint="eastAsia" w:ascii="宋体"/>
          <w:color w:val="auto"/>
          <w:highlight w:val="none"/>
          <w:lang w:val="en-US" w:eastAsia="zh-CN"/>
        </w:rPr>
        <w:t>4</w:t>
      </w:r>
      <w:r>
        <w:rPr>
          <w:rFonts w:hint="eastAsia" w:ascii="宋体"/>
          <w:color w:val="auto"/>
          <w:highlight w:val="none"/>
          <w:lang w:eastAsia="zh-CN"/>
        </w:rPr>
        <w:t>、乙方提供的服务如因乙方单方面原因侵犯了第三方合法权益而引发的任何纠纷或者诉讼，均由乙方负责交涉并承担全部责任。</w:t>
      </w:r>
    </w:p>
    <w:p w14:paraId="5766EC1C">
      <w:pPr>
        <w:spacing w:line="384" w:lineRule="auto"/>
        <w:ind w:firstLine="420" w:firstLineChars="200"/>
        <w:rPr>
          <w:rFonts w:hint="eastAsia" w:ascii="宋体"/>
          <w:color w:val="auto"/>
          <w:highlight w:val="none"/>
          <w:lang w:eastAsia="zh-CN"/>
        </w:rPr>
      </w:pPr>
      <w:r>
        <w:rPr>
          <w:rFonts w:hint="eastAsia" w:ascii="宋体"/>
          <w:color w:val="auto"/>
          <w:highlight w:val="none"/>
          <w:lang w:val="en-US" w:eastAsia="zh-CN"/>
        </w:rPr>
        <w:t>5</w:t>
      </w:r>
      <w:r>
        <w:rPr>
          <w:rFonts w:hint="eastAsia" w:ascii="宋体"/>
          <w:color w:val="auto"/>
          <w:highlight w:val="none"/>
          <w:lang w:eastAsia="zh-CN"/>
        </w:rPr>
        <w:t>、甲方未按合同约定延期付款的，每天向乙方偿付延期款额3‰滞纳金，但滞纳金累计不得超过合同金额的10%。甲方延期付款的超过30日，乙方有权停工，因此停工造成的损失由甲方承担。</w:t>
      </w:r>
    </w:p>
    <w:p w14:paraId="68C23AFA">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第十条  不可抗力事件处理</w:t>
      </w:r>
    </w:p>
    <w:p w14:paraId="1438B5A6">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1、在合同有效期内，任何一方因不可抗力事件导致不能履行合同，则合同履行期可延长，其延长期与不可抗力影响期相同。</w:t>
      </w:r>
    </w:p>
    <w:p w14:paraId="654106A2">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2、不可抗力事件发生后，应立即通知对方，并寄送有关权威机构出具的证明。</w:t>
      </w:r>
    </w:p>
    <w:p w14:paraId="2BE31DAC">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3、不可抗力事件延续一百二十天以上，双方应通过友好协商，确定是否继续履行合同。</w:t>
      </w:r>
    </w:p>
    <w:p w14:paraId="1C72EA47">
      <w:pPr>
        <w:spacing w:line="384" w:lineRule="auto"/>
        <w:ind w:firstLine="422" w:firstLineChars="200"/>
        <w:rPr>
          <w:rFonts w:hint="eastAsia" w:ascii="宋体" w:cs="宋体"/>
          <w:color w:val="auto"/>
          <w:highlight w:val="none"/>
          <w:lang w:eastAsia="zh-CN" w:bidi="ar-SA"/>
        </w:rPr>
      </w:pPr>
      <w:r>
        <w:rPr>
          <w:rFonts w:hint="eastAsia" w:ascii="宋体" w:cs="宋体"/>
          <w:b/>
          <w:color w:val="auto"/>
          <w:highlight w:val="none"/>
          <w:lang w:eastAsia="zh-CN" w:bidi="ar-SA"/>
        </w:rPr>
        <w:t>第十一条  合同争议解决</w:t>
      </w:r>
    </w:p>
    <w:p w14:paraId="55BFABFC">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1、因服务质量问题发生争议的，应邀请国家认可的质量检测机构进行鉴定。服务符合标准的，鉴定费由甲方承担；服务不符合标准的，鉴定费由乙方承担。</w:t>
      </w:r>
    </w:p>
    <w:p w14:paraId="7899DFB3">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2、因履行本合同引起的或者与本合同有关的争议，甲乙双方应首先通过友好协商解决，如果协商不能解决，可向甲方所在地有管辖权人民法院提起诉讼。</w:t>
      </w:r>
    </w:p>
    <w:p w14:paraId="3FA0E1A6">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3、诉讼期间，本合同继续履行。</w:t>
      </w:r>
    </w:p>
    <w:p w14:paraId="15F1141D">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第十二条  合同生效及其它</w:t>
      </w:r>
    </w:p>
    <w:p w14:paraId="09577829">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1、合同经双方法定代表人或者授权代表签字并加盖单位公章后生效（委托代理人签字的需后附法定代表人授权委托书，格式自拟）。</w:t>
      </w:r>
    </w:p>
    <w:p w14:paraId="58906AA2">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2、合同执行中涉及采购资金和采购内容修改或者补充的，须经财政部门审批，并签书面补充协议报财政部门备案，方可作为主合同不可分割的一部分。</w:t>
      </w:r>
    </w:p>
    <w:p w14:paraId="43B98F51">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3、本合同未尽事宜，遵照《中华人民共和国民法典》有关条文执行。</w:t>
      </w:r>
    </w:p>
    <w:p w14:paraId="3F135C4F">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第十三条　合同的变更、终止与转让</w:t>
      </w:r>
    </w:p>
    <w:p w14:paraId="3F609149">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1、除《中华人民共和国政府采购法》第五十条规定的情形外，本合同一经签订，甲乙双方不得擅自变更、中止或者终止。</w:t>
      </w:r>
    </w:p>
    <w:p w14:paraId="71B975F4">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2、乙方不得擅自转让其应履行的合同义务。</w:t>
      </w:r>
    </w:p>
    <w:p w14:paraId="727756F8">
      <w:pPr>
        <w:spacing w:line="384" w:lineRule="auto"/>
        <w:ind w:firstLine="422" w:firstLineChars="200"/>
        <w:rPr>
          <w:rFonts w:hint="eastAsia" w:ascii="宋体" w:cs="宋体"/>
          <w:b/>
          <w:color w:val="auto"/>
          <w:highlight w:val="none"/>
          <w:lang w:eastAsia="zh-CN" w:bidi="ar-SA"/>
        </w:rPr>
      </w:pPr>
      <w:r>
        <w:rPr>
          <w:rFonts w:hint="eastAsia" w:ascii="宋体" w:cs="宋体"/>
          <w:b/>
          <w:color w:val="auto"/>
          <w:highlight w:val="none"/>
          <w:lang w:eastAsia="zh-CN" w:bidi="ar-SA"/>
        </w:rPr>
        <w:t>第十四条　签订本合同依据</w:t>
      </w:r>
    </w:p>
    <w:p w14:paraId="42D814AD">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1、</w:t>
      </w:r>
      <w:r>
        <w:rPr>
          <w:rFonts w:hint="eastAsia" w:ascii="宋体"/>
          <w:color w:val="auto"/>
          <w:highlight w:val="none"/>
          <w:lang w:eastAsia="zh-CN"/>
        </w:rPr>
        <w:t>成交通知书</w:t>
      </w:r>
      <w:r>
        <w:rPr>
          <w:rFonts w:hint="eastAsia" w:ascii="宋体" w:cs="宋体"/>
          <w:color w:val="auto"/>
          <w:highlight w:val="none"/>
          <w:lang w:eastAsia="zh-CN" w:bidi="ar-SA"/>
        </w:rPr>
        <w:t>；</w:t>
      </w:r>
    </w:p>
    <w:p w14:paraId="5F8E380D">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2、</w:t>
      </w:r>
      <w:r>
        <w:rPr>
          <w:rFonts w:hint="eastAsia" w:ascii="宋体" w:eastAsia="宋体" w:cs="宋体"/>
          <w:color w:val="auto"/>
          <w:highlight w:val="none"/>
          <w:lang w:eastAsia="zh-CN" w:bidi="ar-SA"/>
        </w:rPr>
        <w:t>响应报价表</w:t>
      </w:r>
      <w:r>
        <w:rPr>
          <w:rFonts w:hint="eastAsia" w:ascii="宋体" w:cs="宋体"/>
          <w:color w:val="auto"/>
          <w:highlight w:val="none"/>
          <w:lang w:eastAsia="zh-CN" w:bidi="ar-SA"/>
        </w:rPr>
        <w:t>；</w:t>
      </w:r>
    </w:p>
    <w:p w14:paraId="7EBE607D">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3、商务条款偏离表和服务需求偏离表；</w:t>
      </w:r>
    </w:p>
    <w:p w14:paraId="090F8B52">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4、服务方案；</w:t>
      </w:r>
    </w:p>
    <w:p w14:paraId="35DF91DD">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5、</w:t>
      </w:r>
      <w:r>
        <w:rPr>
          <w:rFonts w:hint="eastAsia" w:ascii="宋体" w:eastAsia="宋体" w:cs="宋体"/>
          <w:color w:val="auto"/>
          <w:highlight w:val="none"/>
          <w:lang w:eastAsia="zh-CN" w:bidi="ar-SA"/>
        </w:rPr>
        <w:t>竞标</w:t>
      </w:r>
      <w:r>
        <w:rPr>
          <w:rFonts w:hint="eastAsia" w:ascii="宋体" w:cs="宋体"/>
          <w:color w:val="auto"/>
          <w:highlight w:val="none"/>
          <w:lang w:eastAsia="zh-CN" w:bidi="ar-SA"/>
        </w:rPr>
        <w:t>文件中的其他相关文件。</w:t>
      </w:r>
    </w:p>
    <w:p w14:paraId="71051E8F">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6、上述合同文件互相补充和解释。如果合同文件之间存在矛盾或者不一致之处，以上述文件的排列顺序在先者为准。</w:t>
      </w:r>
    </w:p>
    <w:p w14:paraId="11C70F7B">
      <w:pPr>
        <w:spacing w:line="384" w:lineRule="auto"/>
        <w:ind w:firstLine="422" w:firstLineChars="200"/>
        <w:rPr>
          <w:rFonts w:hint="eastAsia" w:ascii="宋体" w:cs="宋体"/>
          <w:color w:val="auto"/>
          <w:highlight w:val="none"/>
          <w:lang w:eastAsia="zh-CN" w:bidi="ar-SA"/>
        </w:rPr>
      </w:pPr>
      <w:r>
        <w:rPr>
          <w:rFonts w:hint="eastAsia" w:ascii="宋体" w:cs="宋体"/>
          <w:b/>
          <w:color w:val="auto"/>
          <w:highlight w:val="none"/>
          <w:lang w:eastAsia="zh-CN" w:bidi="ar-SA"/>
        </w:rPr>
        <w:t>第十五条　</w:t>
      </w:r>
      <w:r>
        <w:rPr>
          <w:rFonts w:hint="eastAsia" w:ascii="宋体" w:cs="宋体"/>
          <w:color w:val="auto"/>
          <w:highlight w:val="none"/>
          <w:lang w:eastAsia="zh-CN" w:bidi="ar-SA"/>
        </w:rPr>
        <w:t>本合同一式四份，具有同等法律效力，财政部门（政府采购监管部门）、采购代理机构各一份，甲乙双方各一份（可根据需要另增加）。</w:t>
      </w:r>
    </w:p>
    <w:p w14:paraId="79A41DA2">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本合同甲乙双方签字盖章后生效，自签订之日起七个工作日内，甲方应当将合同副本报同级财政部门备案。</w:t>
      </w:r>
    </w:p>
    <w:p w14:paraId="1E277239">
      <w:pPr>
        <w:spacing w:line="384" w:lineRule="auto"/>
        <w:ind w:firstLine="420" w:firstLineChars="200"/>
        <w:rPr>
          <w:rFonts w:hint="eastAsia" w:ascii="宋体" w:cs="宋体"/>
          <w:color w:val="auto"/>
          <w:highlight w:val="none"/>
          <w:lang w:eastAsia="zh-CN" w:bidi="ar-SA"/>
        </w:rPr>
      </w:pPr>
      <w:r>
        <w:rPr>
          <w:rFonts w:hint="eastAsia" w:ascii="宋体" w:cs="宋体"/>
          <w:color w:val="auto"/>
          <w:highlight w:val="none"/>
          <w:lang w:eastAsia="zh-CN" w:bidi="ar-SA"/>
        </w:rPr>
        <w:t>本合同自签订之日起2个工作日内，甲方应当将采购合同在广西壮族自治区财政厅指定的媒体上公告。</w:t>
      </w:r>
    </w:p>
    <w:tbl>
      <w:tblPr>
        <w:tblStyle w:val="31"/>
        <w:tblpPr w:leftFromText="180" w:rightFromText="180" w:vertAnchor="text" w:horzAnchor="page" w:tblpX="1337" w:tblpY="2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D7B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D42B803">
            <w:pPr>
              <w:spacing w:line="360" w:lineRule="auto"/>
              <w:rPr>
                <w:rFonts w:hint="eastAsia" w:ascii="宋体" w:cs="宋体"/>
                <w:color w:val="auto"/>
                <w:highlight w:val="none"/>
                <w:lang w:bidi="ar-SA"/>
              </w:rPr>
            </w:pPr>
            <w:r>
              <w:rPr>
                <w:rFonts w:hint="eastAsia" w:ascii="宋体" w:cs="宋体"/>
                <w:color w:val="auto"/>
                <w:highlight w:val="none"/>
                <w:lang w:bidi="ar-SA"/>
              </w:rPr>
              <w:t>甲方：（章）</w:t>
            </w:r>
          </w:p>
          <w:p w14:paraId="5A39DC9E">
            <w:pPr>
              <w:spacing w:line="360" w:lineRule="auto"/>
              <w:rPr>
                <w:rFonts w:hint="eastAsia" w:ascii="宋体" w:cs="宋体"/>
                <w:color w:val="auto"/>
                <w:highlight w:val="none"/>
                <w:lang w:bidi="ar-SA"/>
              </w:rPr>
            </w:pPr>
          </w:p>
          <w:p w14:paraId="5AEA7945">
            <w:pPr>
              <w:spacing w:line="360" w:lineRule="auto"/>
              <w:rPr>
                <w:rFonts w:hint="eastAsia" w:ascii="宋体" w:cs="宋体"/>
                <w:color w:val="auto"/>
                <w:highlight w:val="none"/>
                <w:lang w:bidi="ar-SA"/>
              </w:rPr>
            </w:pPr>
          </w:p>
          <w:p w14:paraId="0A5033EC">
            <w:pPr>
              <w:spacing w:line="360" w:lineRule="auto"/>
              <w:ind w:firstLine="945" w:firstLineChars="450"/>
              <w:jc w:val="right"/>
              <w:rPr>
                <w:rFonts w:hint="eastAsia" w:ascii="宋体" w:cs="宋体"/>
                <w:color w:val="auto"/>
                <w:highlight w:val="none"/>
                <w:lang w:bidi="ar-SA"/>
              </w:rPr>
            </w:pPr>
          </w:p>
          <w:p w14:paraId="63E38CEC">
            <w:pPr>
              <w:spacing w:line="360" w:lineRule="auto"/>
              <w:ind w:firstLine="945" w:firstLineChars="450"/>
              <w:jc w:val="right"/>
              <w:rPr>
                <w:rFonts w:hint="eastAsia" w:ascii="宋体" w:cs="宋体"/>
                <w:color w:val="auto"/>
                <w:highlight w:val="none"/>
                <w:lang w:bidi="ar-SA"/>
              </w:rPr>
            </w:pPr>
            <w:r>
              <w:rPr>
                <w:rFonts w:hint="eastAsia" w:ascii="宋体" w:cs="宋体"/>
                <w:color w:val="auto"/>
                <w:highlight w:val="none"/>
                <w:lang w:bidi="ar-SA"/>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BABB226">
            <w:pPr>
              <w:spacing w:line="360" w:lineRule="auto"/>
              <w:rPr>
                <w:rFonts w:hint="eastAsia" w:ascii="宋体" w:cs="宋体"/>
                <w:color w:val="auto"/>
                <w:highlight w:val="none"/>
                <w:lang w:bidi="ar-SA"/>
              </w:rPr>
            </w:pPr>
            <w:r>
              <w:rPr>
                <w:rFonts w:hint="eastAsia" w:ascii="宋体" w:cs="宋体"/>
                <w:color w:val="auto"/>
                <w:highlight w:val="none"/>
                <w:lang w:bidi="ar-SA"/>
              </w:rPr>
              <w:t xml:space="preserve">乙方：（章）       </w:t>
            </w:r>
          </w:p>
          <w:p w14:paraId="45855DE7">
            <w:pPr>
              <w:spacing w:line="360" w:lineRule="auto"/>
              <w:rPr>
                <w:rFonts w:hint="eastAsia" w:ascii="宋体" w:cs="宋体"/>
                <w:color w:val="auto"/>
                <w:highlight w:val="none"/>
                <w:lang w:bidi="ar-SA"/>
              </w:rPr>
            </w:pPr>
          </w:p>
          <w:p w14:paraId="5C468B67">
            <w:pPr>
              <w:spacing w:line="360" w:lineRule="auto"/>
              <w:rPr>
                <w:rFonts w:hint="eastAsia" w:ascii="宋体" w:cs="宋体"/>
                <w:color w:val="auto"/>
                <w:highlight w:val="none"/>
                <w:lang w:bidi="ar-SA"/>
              </w:rPr>
            </w:pPr>
            <w:r>
              <w:rPr>
                <w:rFonts w:hint="eastAsia" w:ascii="宋体" w:cs="宋体"/>
                <w:color w:val="auto"/>
                <w:highlight w:val="none"/>
                <w:lang w:bidi="ar-SA"/>
              </w:rPr>
              <w:t xml:space="preserve">       </w:t>
            </w:r>
          </w:p>
          <w:p w14:paraId="04A3A017">
            <w:pPr>
              <w:spacing w:line="360" w:lineRule="auto"/>
              <w:jc w:val="right"/>
              <w:rPr>
                <w:rFonts w:hint="eastAsia" w:ascii="宋体" w:cs="宋体"/>
                <w:color w:val="auto"/>
                <w:highlight w:val="none"/>
                <w:lang w:bidi="ar-SA"/>
              </w:rPr>
            </w:pPr>
          </w:p>
          <w:p w14:paraId="5613DA67">
            <w:pPr>
              <w:spacing w:line="360" w:lineRule="auto"/>
              <w:jc w:val="right"/>
              <w:rPr>
                <w:rFonts w:hint="eastAsia" w:ascii="宋体" w:cs="宋体"/>
                <w:color w:val="auto"/>
                <w:highlight w:val="none"/>
                <w:lang w:bidi="ar-SA"/>
              </w:rPr>
            </w:pPr>
            <w:r>
              <w:rPr>
                <w:rFonts w:hint="eastAsia" w:ascii="宋体" w:cs="宋体"/>
                <w:color w:val="auto"/>
                <w:highlight w:val="none"/>
                <w:lang w:bidi="ar-SA"/>
              </w:rPr>
              <w:t xml:space="preserve"> 年   月   日</w:t>
            </w:r>
          </w:p>
        </w:tc>
      </w:tr>
      <w:tr w14:paraId="15D5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7DBF376">
            <w:pPr>
              <w:spacing w:before="120" w:line="360" w:lineRule="auto"/>
              <w:rPr>
                <w:rFonts w:hint="eastAsia" w:ascii="宋体" w:cs="宋体"/>
                <w:color w:val="auto"/>
                <w:highlight w:val="none"/>
                <w:lang w:bidi="ar-SA"/>
              </w:rPr>
            </w:pPr>
            <w:r>
              <w:rPr>
                <w:rFonts w:hint="eastAsia" w:ascii="宋体" w:cs="宋体"/>
                <w:color w:val="auto"/>
                <w:highlight w:val="none"/>
                <w:lang w:bidi="ar-SA"/>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B67C7A">
            <w:pPr>
              <w:spacing w:before="120" w:line="360" w:lineRule="auto"/>
              <w:rPr>
                <w:rFonts w:hint="eastAsia" w:ascii="宋体" w:cs="宋体"/>
                <w:color w:val="auto"/>
                <w:highlight w:val="none"/>
                <w:lang w:bidi="ar-SA"/>
              </w:rPr>
            </w:pPr>
            <w:r>
              <w:rPr>
                <w:rFonts w:hint="eastAsia" w:ascii="宋体" w:cs="宋体"/>
                <w:color w:val="auto"/>
                <w:highlight w:val="none"/>
                <w:lang w:bidi="ar-SA"/>
              </w:rPr>
              <w:t xml:space="preserve">单位地址： </w:t>
            </w:r>
          </w:p>
        </w:tc>
      </w:tr>
      <w:tr w14:paraId="4DD7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A39E484">
            <w:pPr>
              <w:spacing w:before="120" w:line="360" w:lineRule="auto"/>
              <w:rPr>
                <w:rFonts w:hint="eastAsia" w:ascii="宋体" w:cs="宋体"/>
                <w:color w:val="auto"/>
                <w:highlight w:val="none"/>
                <w:lang w:bidi="ar-SA"/>
              </w:rPr>
            </w:pPr>
            <w:r>
              <w:rPr>
                <w:rFonts w:hint="eastAsia" w:ascii="宋体" w:cs="宋体"/>
                <w:color w:val="auto"/>
                <w:highlight w:val="none"/>
                <w:lang w:bidi="ar-SA"/>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970C77E">
            <w:pPr>
              <w:spacing w:before="120" w:line="360" w:lineRule="auto"/>
              <w:rPr>
                <w:rFonts w:hint="eastAsia" w:ascii="宋体" w:cs="宋体"/>
                <w:color w:val="auto"/>
                <w:highlight w:val="none"/>
                <w:lang w:bidi="ar-SA"/>
              </w:rPr>
            </w:pPr>
            <w:r>
              <w:rPr>
                <w:rFonts w:hint="eastAsia" w:ascii="宋体" w:cs="宋体"/>
                <w:color w:val="auto"/>
                <w:highlight w:val="none"/>
                <w:lang w:bidi="ar-SA"/>
              </w:rPr>
              <w:t>法定代表人：</w:t>
            </w:r>
          </w:p>
        </w:tc>
      </w:tr>
      <w:tr w14:paraId="0F3D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698C080">
            <w:pPr>
              <w:spacing w:before="120" w:line="360" w:lineRule="auto"/>
              <w:rPr>
                <w:rFonts w:hint="eastAsia" w:ascii="宋体" w:cs="宋体"/>
                <w:color w:val="auto"/>
                <w:highlight w:val="none"/>
                <w:lang w:bidi="ar-SA"/>
              </w:rPr>
            </w:pPr>
            <w:r>
              <w:rPr>
                <w:rFonts w:hint="eastAsia" w:ascii="宋体" w:cs="宋体"/>
                <w:color w:val="auto"/>
                <w:highlight w:val="none"/>
                <w:lang w:bidi="ar-SA"/>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A97931B">
            <w:pPr>
              <w:spacing w:before="120" w:line="360" w:lineRule="auto"/>
              <w:rPr>
                <w:rFonts w:hint="eastAsia" w:ascii="宋体" w:cs="宋体"/>
                <w:color w:val="auto"/>
                <w:highlight w:val="none"/>
                <w:lang w:bidi="ar-SA"/>
              </w:rPr>
            </w:pPr>
            <w:r>
              <w:rPr>
                <w:rFonts w:hint="eastAsia" w:ascii="宋体" w:cs="宋体"/>
                <w:color w:val="auto"/>
                <w:highlight w:val="none"/>
                <w:lang w:bidi="ar-SA"/>
              </w:rPr>
              <w:t>委托代理人：</w:t>
            </w:r>
          </w:p>
        </w:tc>
      </w:tr>
      <w:tr w14:paraId="5953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B3A2D6D">
            <w:pPr>
              <w:spacing w:before="120" w:line="360" w:lineRule="auto"/>
              <w:rPr>
                <w:rFonts w:hint="eastAsia" w:ascii="宋体" w:cs="宋体"/>
                <w:color w:val="auto"/>
                <w:highlight w:val="none"/>
                <w:lang w:bidi="ar-SA"/>
              </w:rPr>
            </w:pPr>
            <w:r>
              <w:rPr>
                <w:rFonts w:hint="eastAsia" w:ascii="宋体" w:cs="宋体"/>
                <w:color w:val="auto"/>
                <w:highlight w:val="none"/>
                <w:lang w:bidi="ar-SA"/>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DFD709">
            <w:pPr>
              <w:spacing w:before="120" w:line="360" w:lineRule="auto"/>
              <w:rPr>
                <w:rFonts w:hint="eastAsia" w:ascii="宋体" w:cs="宋体"/>
                <w:color w:val="auto"/>
                <w:highlight w:val="none"/>
                <w:lang w:bidi="ar-SA"/>
              </w:rPr>
            </w:pPr>
            <w:r>
              <w:rPr>
                <w:rFonts w:hint="eastAsia" w:ascii="宋体" w:cs="宋体"/>
                <w:color w:val="auto"/>
                <w:highlight w:val="none"/>
                <w:lang w:bidi="ar-SA"/>
              </w:rPr>
              <w:t>电话：</w:t>
            </w:r>
          </w:p>
        </w:tc>
      </w:tr>
      <w:tr w14:paraId="0B83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AD655A7">
            <w:pPr>
              <w:spacing w:before="120" w:line="360" w:lineRule="auto"/>
              <w:rPr>
                <w:rFonts w:hint="eastAsia" w:ascii="宋体" w:cs="宋体"/>
                <w:color w:val="auto"/>
                <w:highlight w:val="none"/>
                <w:lang w:bidi="ar-SA"/>
              </w:rPr>
            </w:pPr>
            <w:r>
              <w:rPr>
                <w:rFonts w:hint="eastAsia" w:ascii="宋体" w:cs="宋体"/>
                <w:color w:val="auto"/>
                <w:highlight w:val="none"/>
                <w:lang w:bidi="ar-SA"/>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7FF2CD0">
            <w:pPr>
              <w:spacing w:before="120" w:line="360" w:lineRule="auto"/>
              <w:rPr>
                <w:rFonts w:hint="eastAsia" w:ascii="宋体" w:cs="宋体"/>
                <w:color w:val="auto"/>
                <w:highlight w:val="none"/>
                <w:lang w:bidi="ar-SA"/>
              </w:rPr>
            </w:pPr>
            <w:r>
              <w:rPr>
                <w:rFonts w:hint="eastAsia" w:ascii="宋体" w:cs="宋体"/>
                <w:color w:val="auto"/>
                <w:highlight w:val="none"/>
                <w:lang w:bidi="ar-SA"/>
              </w:rPr>
              <w:t xml:space="preserve">开户银行： </w:t>
            </w:r>
          </w:p>
        </w:tc>
      </w:tr>
      <w:tr w14:paraId="61A7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7DFB84">
            <w:pPr>
              <w:spacing w:before="120" w:line="360" w:lineRule="auto"/>
              <w:rPr>
                <w:rFonts w:hint="eastAsia" w:ascii="宋体" w:cs="宋体"/>
                <w:color w:val="auto"/>
                <w:highlight w:val="none"/>
                <w:lang w:bidi="ar-SA"/>
              </w:rPr>
            </w:pPr>
            <w:r>
              <w:rPr>
                <w:rFonts w:hint="eastAsia" w:ascii="宋体" w:cs="宋体"/>
                <w:color w:val="auto"/>
                <w:highlight w:val="none"/>
                <w:lang w:bidi="ar-SA"/>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2B78DEF">
            <w:pPr>
              <w:spacing w:before="120" w:line="360" w:lineRule="auto"/>
              <w:rPr>
                <w:rFonts w:hint="eastAsia" w:ascii="宋体" w:cs="宋体"/>
                <w:color w:val="auto"/>
                <w:highlight w:val="none"/>
                <w:lang w:bidi="ar-SA"/>
              </w:rPr>
            </w:pPr>
            <w:r>
              <w:rPr>
                <w:rFonts w:hint="eastAsia" w:ascii="宋体" w:cs="宋体"/>
                <w:color w:val="auto"/>
                <w:highlight w:val="none"/>
                <w:lang w:bidi="ar-SA"/>
              </w:rPr>
              <w:t>账号：</w:t>
            </w:r>
          </w:p>
        </w:tc>
      </w:tr>
      <w:tr w14:paraId="4455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FD0FCF0">
            <w:pPr>
              <w:spacing w:before="120" w:line="360" w:lineRule="auto"/>
              <w:rPr>
                <w:rFonts w:hint="eastAsia" w:ascii="宋体" w:cs="宋体"/>
                <w:color w:val="auto"/>
                <w:highlight w:val="none"/>
                <w:lang w:bidi="ar-SA"/>
              </w:rPr>
            </w:pPr>
            <w:r>
              <w:rPr>
                <w:rFonts w:hint="eastAsia" w:ascii="宋体" w:cs="宋体"/>
                <w:color w:val="auto"/>
                <w:highlight w:val="none"/>
                <w:lang w:bidi="ar-SA"/>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A4FE9A9">
            <w:pPr>
              <w:spacing w:before="120" w:line="360" w:lineRule="auto"/>
              <w:rPr>
                <w:rFonts w:hint="eastAsia" w:ascii="宋体" w:cs="宋体"/>
                <w:color w:val="auto"/>
                <w:highlight w:val="none"/>
                <w:lang w:bidi="ar-SA"/>
              </w:rPr>
            </w:pPr>
            <w:r>
              <w:rPr>
                <w:rFonts w:hint="eastAsia" w:ascii="宋体" w:cs="宋体"/>
                <w:color w:val="auto"/>
                <w:highlight w:val="none"/>
                <w:lang w:bidi="ar-SA"/>
              </w:rPr>
              <w:t>邮政编码：</w:t>
            </w:r>
          </w:p>
        </w:tc>
      </w:tr>
    </w:tbl>
    <w:p w14:paraId="3057C4AF">
      <w:pPr>
        <w:rPr>
          <w:color w:val="auto"/>
          <w:sz w:val="24"/>
          <w:szCs w:val="24"/>
          <w:highlight w:val="none"/>
        </w:rPr>
      </w:pPr>
      <w:r>
        <w:rPr>
          <w:rFonts w:hint="default" w:ascii="Arial" w:hAnsi="Arial" w:cs="Arial"/>
          <w:b/>
          <w:bCs/>
          <w:color w:val="auto"/>
          <w:szCs w:val="21"/>
          <w:highlight w:val="none"/>
          <w:lang w:bidi="ar-SA"/>
        </w:rPr>
        <w:br w:type="page"/>
      </w:r>
      <w:r>
        <w:rPr>
          <w:rFonts w:hint="eastAsia"/>
          <w:color w:val="auto"/>
          <w:sz w:val="28"/>
          <w:szCs w:val="28"/>
          <w:highlight w:val="none"/>
        </w:rPr>
        <w:t>附件一</w:t>
      </w:r>
    </w:p>
    <w:p w14:paraId="52262801">
      <w:pPr>
        <w:spacing w:line="360" w:lineRule="auto"/>
        <w:jc w:val="center"/>
        <w:rPr>
          <w:rFonts w:hint="eastAsia" w:ascii="宋体"/>
          <w:b/>
          <w:color w:val="auto"/>
          <w:sz w:val="28"/>
          <w:szCs w:val="28"/>
          <w:highlight w:val="none"/>
        </w:rPr>
      </w:pPr>
      <w:r>
        <w:rPr>
          <w:rFonts w:hint="eastAsia" w:ascii="宋体"/>
          <w:b/>
          <w:color w:val="auto"/>
          <w:sz w:val="28"/>
          <w:szCs w:val="28"/>
          <w:highlight w:val="none"/>
        </w:rPr>
        <w:t>合 同 附 件</w:t>
      </w:r>
    </w:p>
    <w:p w14:paraId="52FC519C">
      <w:pPr>
        <w:spacing w:line="360" w:lineRule="auto"/>
        <w:rPr>
          <w:rFonts w:hint="eastAsia" w:ascii="宋体"/>
          <w:color w:val="auto"/>
          <w:sz w:val="22"/>
          <w:szCs w:val="22"/>
          <w:highlight w:val="none"/>
        </w:rPr>
      </w:pPr>
      <w:r>
        <w:rPr>
          <w:rFonts w:hint="eastAsia" w:ascii="宋体"/>
          <w:color w:val="auto"/>
          <w:sz w:val="22"/>
          <w:szCs w:val="22"/>
          <w:highlight w:val="none"/>
        </w:rPr>
        <w:t>一般服务类</w:t>
      </w:r>
    </w:p>
    <w:tbl>
      <w:tblPr>
        <w:tblStyle w:val="31"/>
        <w:tblW w:w="0" w:type="auto"/>
        <w:tblInd w:w="453" w:type="dxa"/>
        <w:tblLayout w:type="fixed"/>
        <w:tblCellMar>
          <w:top w:w="0" w:type="dxa"/>
          <w:left w:w="108" w:type="dxa"/>
          <w:bottom w:w="0" w:type="dxa"/>
          <w:right w:w="108" w:type="dxa"/>
        </w:tblCellMar>
      </w:tblPr>
      <w:tblGrid>
        <w:gridCol w:w="5010"/>
        <w:gridCol w:w="4380"/>
      </w:tblGrid>
      <w:tr w14:paraId="47F0B71D">
        <w:tblPrEx>
          <w:tblCellMar>
            <w:top w:w="0" w:type="dxa"/>
            <w:left w:w="108" w:type="dxa"/>
            <w:bottom w:w="0" w:type="dxa"/>
            <w:right w:w="108" w:type="dxa"/>
          </w:tblCellMar>
        </w:tblPrEx>
        <w:trPr>
          <w:trHeight w:val="1226" w:hRule="atLeast"/>
        </w:trPr>
        <w:tc>
          <w:tcPr>
            <w:tcW w:w="9390" w:type="dxa"/>
            <w:gridSpan w:val="2"/>
            <w:tcBorders>
              <w:top w:val="single" w:color="auto" w:sz="4" w:space="0"/>
              <w:left w:val="single" w:color="auto" w:sz="4" w:space="0"/>
              <w:bottom w:val="nil"/>
              <w:right w:val="single" w:color="auto" w:sz="4" w:space="0"/>
            </w:tcBorders>
            <w:noWrap w:val="0"/>
            <w:vAlign w:val="top"/>
          </w:tcPr>
          <w:p w14:paraId="2D1D5F06">
            <w:pPr>
              <w:spacing w:line="360" w:lineRule="auto"/>
              <w:rPr>
                <w:rFonts w:hint="eastAsia" w:ascii="宋体"/>
                <w:b/>
                <w:color w:val="auto"/>
                <w:sz w:val="24"/>
                <w:highlight w:val="none"/>
                <w:lang w:eastAsia="zh-CN"/>
              </w:rPr>
            </w:pPr>
            <w:r>
              <w:rPr>
                <w:rFonts w:hint="eastAsia" w:ascii="宋体"/>
                <w:b/>
                <w:color w:val="auto"/>
                <w:sz w:val="24"/>
                <w:highlight w:val="none"/>
                <w:lang w:eastAsia="zh-CN"/>
              </w:rPr>
              <w:t>1.供应商承诺具体事项：</w:t>
            </w:r>
          </w:p>
        </w:tc>
      </w:tr>
      <w:tr w14:paraId="2410C866">
        <w:tblPrEx>
          <w:tblCellMar>
            <w:top w:w="0" w:type="dxa"/>
            <w:left w:w="108" w:type="dxa"/>
            <w:bottom w:w="0" w:type="dxa"/>
            <w:right w:w="108" w:type="dxa"/>
          </w:tblCellMar>
        </w:tblPrEx>
        <w:trPr>
          <w:trHeight w:val="1228" w:hRule="atLeast"/>
        </w:trPr>
        <w:tc>
          <w:tcPr>
            <w:tcW w:w="9390" w:type="dxa"/>
            <w:gridSpan w:val="2"/>
            <w:tcBorders>
              <w:top w:val="single" w:color="auto" w:sz="4" w:space="0"/>
              <w:left w:val="single" w:color="auto" w:sz="4" w:space="0"/>
              <w:bottom w:val="nil"/>
              <w:right w:val="single" w:color="auto" w:sz="4" w:space="0"/>
            </w:tcBorders>
            <w:noWrap w:val="0"/>
            <w:vAlign w:val="top"/>
          </w:tcPr>
          <w:p w14:paraId="52827BCE">
            <w:pPr>
              <w:spacing w:line="360" w:lineRule="auto"/>
              <w:rPr>
                <w:rFonts w:hint="eastAsia" w:ascii="宋体"/>
                <w:b/>
                <w:color w:val="auto"/>
                <w:sz w:val="24"/>
                <w:highlight w:val="none"/>
              </w:rPr>
            </w:pPr>
            <w:r>
              <w:rPr>
                <w:rFonts w:hint="eastAsia" w:ascii="宋体"/>
                <w:b/>
                <w:color w:val="auto"/>
                <w:sz w:val="24"/>
                <w:highlight w:val="none"/>
              </w:rPr>
              <w:t>2.售后服务具体事项：</w:t>
            </w:r>
          </w:p>
        </w:tc>
      </w:tr>
      <w:tr w14:paraId="6F4D402B">
        <w:tblPrEx>
          <w:tblCellMar>
            <w:top w:w="0" w:type="dxa"/>
            <w:left w:w="108" w:type="dxa"/>
            <w:bottom w:w="0" w:type="dxa"/>
            <w:right w:w="108" w:type="dxa"/>
          </w:tblCellMar>
        </w:tblPrEx>
        <w:trPr>
          <w:trHeight w:val="1088" w:hRule="atLeast"/>
        </w:trPr>
        <w:tc>
          <w:tcPr>
            <w:tcW w:w="9390" w:type="dxa"/>
            <w:gridSpan w:val="2"/>
            <w:tcBorders>
              <w:top w:val="single" w:color="auto" w:sz="4" w:space="0"/>
              <w:left w:val="single" w:color="auto" w:sz="4" w:space="0"/>
              <w:bottom w:val="nil"/>
              <w:right w:val="single" w:color="auto" w:sz="4" w:space="0"/>
            </w:tcBorders>
            <w:noWrap w:val="0"/>
            <w:vAlign w:val="top"/>
          </w:tcPr>
          <w:p w14:paraId="752414B7">
            <w:pPr>
              <w:spacing w:line="360" w:lineRule="auto"/>
              <w:rPr>
                <w:rFonts w:hint="eastAsia" w:ascii="宋体"/>
                <w:b/>
                <w:color w:val="auto"/>
                <w:sz w:val="24"/>
                <w:highlight w:val="none"/>
              </w:rPr>
            </w:pPr>
            <w:r>
              <w:rPr>
                <w:rFonts w:hint="eastAsia" w:ascii="宋体"/>
                <w:b/>
                <w:color w:val="auto"/>
                <w:sz w:val="24"/>
                <w:highlight w:val="none"/>
              </w:rPr>
              <w:t>3.保修期责任：</w:t>
            </w:r>
          </w:p>
        </w:tc>
      </w:tr>
      <w:tr w14:paraId="4602757C">
        <w:tblPrEx>
          <w:tblCellMar>
            <w:top w:w="0" w:type="dxa"/>
            <w:left w:w="108" w:type="dxa"/>
            <w:bottom w:w="0" w:type="dxa"/>
            <w:right w:w="108" w:type="dxa"/>
          </w:tblCellMar>
        </w:tblPrEx>
        <w:trPr>
          <w:trHeight w:val="1360" w:hRule="atLeast"/>
        </w:trPr>
        <w:tc>
          <w:tcPr>
            <w:tcW w:w="9390" w:type="dxa"/>
            <w:gridSpan w:val="2"/>
            <w:tcBorders>
              <w:top w:val="single" w:color="auto" w:sz="4" w:space="0"/>
              <w:left w:val="single" w:color="auto" w:sz="4" w:space="0"/>
              <w:bottom w:val="nil"/>
              <w:right w:val="single" w:color="auto" w:sz="4" w:space="0"/>
            </w:tcBorders>
            <w:noWrap w:val="0"/>
            <w:vAlign w:val="top"/>
          </w:tcPr>
          <w:p w14:paraId="0C6043F0">
            <w:pPr>
              <w:spacing w:line="360" w:lineRule="auto"/>
              <w:rPr>
                <w:rFonts w:hint="eastAsia" w:ascii="宋体"/>
                <w:b/>
                <w:color w:val="auto"/>
                <w:sz w:val="24"/>
                <w:highlight w:val="none"/>
              </w:rPr>
            </w:pPr>
            <w:r>
              <w:rPr>
                <w:rFonts w:hint="eastAsia" w:ascii="宋体"/>
                <w:b/>
                <w:color w:val="auto"/>
                <w:sz w:val="24"/>
                <w:highlight w:val="none"/>
              </w:rPr>
              <w:t>4.其他具体事项：</w:t>
            </w:r>
          </w:p>
        </w:tc>
      </w:tr>
      <w:tr w14:paraId="3F70327C">
        <w:tblPrEx>
          <w:tblCellMar>
            <w:top w:w="0" w:type="dxa"/>
            <w:left w:w="108" w:type="dxa"/>
            <w:bottom w:w="0" w:type="dxa"/>
            <w:right w:w="108" w:type="dxa"/>
          </w:tblCellMar>
        </w:tblPrEx>
        <w:trPr>
          <w:trHeight w:val="1703"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14:paraId="633B4E9F">
            <w:pPr>
              <w:spacing w:line="360" w:lineRule="auto"/>
              <w:ind w:firstLine="422" w:firstLineChars="200"/>
              <w:rPr>
                <w:rFonts w:hint="eastAsia" w:ascii="宋体"/>
                <w:b/>
                <w:color w:val="auto"/>
                <w:highlight w:val="none"/>
              </w:rPr>
            </w:pPr>
            <w:r>
              <w:rPr>
                <w:rFonts w:hint="eastAsia" w:ascii="宋体"/>
                <w:b/>
                <w:color w:val="auto"/>
                <w:highlight w:val="none"/>
              </w:rPr>
              <w:t>甲方（章）</w:t>
            </w:r>
          </w:p>
          <w:p w14:paraId="4B5E1FF0">
            <w:pPr>
              <w:spacing w:line="360" w:lineRule="auto"/>
              <w:ind w:firstLine="422" w:firstLineChars="200"/>
              <w:rPr>
                <w:rFonts w:hint="eastAsia" w:ascii="宋体"/>
                <w:b/>
                <w:color w:val="auto"/>
                <w:highlight w:val="none"/>
              </w:rPr>
            </w:pPr>
          </w:p>
          <w:p w14:paraId="67205B7A">
            <w:pPr>
              <w:spacing w:line="360" w:lineRule="auto"/>
              <w:rPr>
                <w:rFonts w:hint="eastAsia" w:ascii="宋体"/>
                <w:b/>
                <w:color w:val="auto"/>
                <w:highlight w:val="none"/>
              </w:rPr>
            </w:pPr>
          </w:p>
          <w:p w14:paraId="54A57BD1">
            <w:pPr>
              <w:spacing w:line="360" w:lineRule="auto"/>
              <w:ind w:firstLine="422" w:firstLineChars="200"/>
              <w:rPr>
                <w:rFonts w:hint="eastAsia" w:ascii="宋体"/>
                <w:b/>
                <w:color w:val="auto"/>
                <w:highlight w:val="none"/>
              </w:rPr>
            </w:pPr>
            <w:r>
              <w:rPr>
                <w:rFonts w:hint="eastAsia" w:ascii="宋体"/>
                <w:b/>
                <w:color w:val="auto"/>
                <w:highlight w:val="none"/>
              </w:rPr>
              <w:t xml:space="preserve">                 年   月   日 </w:t>
            </w:r>
          </w:p>
        </w:tc>
        <w:tc>
          <w:tcPr>
            <w:tcW w:w="4380" w:type="dxa"/>
            <w:tcBorders>
              <w:top w:val="single" w:color="auto" w:sz="4" w:space="0"/>
              <w:left w:val="single" w:color="auto" w:sz="4" w:space="0"/>
              <w:bottom w:val="single" w:color="auto" w:sz="4" w:space="0"/>
              <w:right w:val="single" w:color="auto" w:sz="4" w:space="0"/>
            </w:tcBorders>
            <w:noWrap w:val="0"/>
            <w:vAlign w:val="center"/>
          </w:tcPr>
          <w:p w14:paraId="00AD24F4">
            <w:pPr>
              <w:spacing w:line="360" w:lineRule="auto"/>
              <w:ind w:firstLine="422" w:firstLineChars="200"/>
              <w:rPr>
                <w:rFonts w:hint="eastAsia" w:ascii="宋体"/>
                <w:b/>
                <w:color w:val="auto"/>
                <w:highlight w:val="none"/>
              </w:rPr>
            </w:pPr>
            <w:r>
              <w:rPr>
                <w:rFonts w:hint="eastAsia" w:ascii="宋体"/>
                <w:b/>
                <w:color w:val="auto"/>
                <w:highlight w:val="none"/>
              </w:rPr>
              <w:t>乙方（章）</w:t>
            </w:r>
          </w:p>
          <w:p w14:paraId="6DD1C959">
            <w:pPr>
              <w:spacing w:line="360" w:lineRule="auto"/>
              <w:ind w:firstLine="422" w:firstLineChars="200"/>
              <w:rPr>
                <w:rFonts w:hint="eastAsia" w:ascii="宋体"/>
                <w:b/>
                <w:color w:val="auto"/>
                <w:highlight w:val="none"/>
              </w:rPr>
            </w:pPr>
          </w:p>
          <w:p w14:paraId="679DED9F">
            <w:pPr>
              <w:spacing w:line="360" w:lineRule="auto"/>
              <w:rPr>
                <w:rFonts w:hint="eastAsia" w:ascii="宋体"/>
                <w:b/>
                <w:color w:val="auto"/>
                <w:highlight w:val="none"/>
              </w:rPr>
            </w:pPr>
          </w:p>
          <w:p w14:paraId="435EAC7C">
            <w:pPr>
              <w:spacing w:line="360" w:lineRule="auto"/>
              <w:ind w:firstLine="422" w:firstLineChars="200"/>
              <w:rPr>
                <w:rFonts w:hint="eastAsia" w:ascii="宋体"/>
                <w:b/>
                <w:color w:val="auto"/>
                <w:highlight w:val="none"/>
              </w:rPr>
            </w:pPr>
            <w:r>
              <w:rPr>
                <w:rFonts w:hint="eastAsia" w:ascii="宋体"/>
                <w:b/>
                <w:color w:val="auto"/>
                <w:highlight w:val="none"/>
              </w:rPr>
              <w:t xml:space="preserve">                年   月   日</w:t>
            </w:r>
          </w:p>
        </w:tc>
      </w:tr>
    </w:tbl>
    <w:p w14:paraId="5B8F2D75">
      <w:pPr>
        <w:spacing w:line="360" w:lineRule="auto"/>
        <w:rPr>
          <w:rFonts w:hint="eastAsia" w:ascii="宋体"/>
          <w:color w:val="auto"/>
          <w:highlight w:val="none"/>
          <w:lang w:eastAsia="zh-CN"/>
        </w:rPr>
      </w:pPr>
      <w:r>
        <w:rPr>
          <w:rFonts w:hint="eastAsia" w:ascii="宋体"/>
          <w:color w:val="auto"/>
          <w:highlight w:val="none"/>
          <w:lang w:eastAsia="zh-CN"/>
        </w:rPr>
        <w:t xml:space="preserve">   </w:t>
      </w:r>
      <w:r>
        <w:rPr>
          <w:rFonts w:hint="eastAsia" w:ascii="宋体"/>
          <w:color w:val="auto"/>
          <w:sz w:val="22"/>
          <w:szCs w:val="22"/>
          <w:highlight w:val="none"/>
          <w:lang w:eastAsia="zh-CN"/>
        </w:rPr>
        <w:t>注：售后服务事项填不下时可另加附页</w:t>
      </w:r>
    </w:p>
    <w:p w14:paraId="64DADC7C">
      <w:pPr>
        <w:rPr>
          <w:rFonts w:hint="default" w:ascii="Arial" w:hAnsi="Arial" w:cs="Arial"/>
          <w:b/>
          <w:bCs/>
          <w:color w:val="auto"/>
          <w:szCs w:val="21"/>
          <w:highlight w:val="none"/>
          <w:lang w:bidi="ar-SA"/>
        </w:rPr>
        <w:sectPr>
          <w:footerReference r:id="rId14" w:type="first"/>
          <w:footerReference r:id="rId13" w:type="default"/>
          <w:pgSz w:w="11906" w:h="16838"/>
          <w:pgMar w:top="1134" w:right="1134" w:bottom="1134" w:left="1134" w:header="851" w:footer="992" w:gutter="0"/>
          <w:pgNumType w:fmt="decimal"/>
          <w:cols w:space="0" w:num="1"/>
          <w:titlePg/>
          <w:rtlGutter w:val="0"/>
          <w:docGrid w:type="lines" w:linePitch="312" w:charSpace="0"/>
        </w:sectPr>
      </w:pPr>
    </w:p>
    <w:p w14:paraId="62D6D9DF">
      <w:pPr>
        <w:pStyle w:val="25"/>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color w:val="auto"/>
          <w:sz w:val="44"/>
          <w:szCs w:val="44"/>
          <w:highlight w:val="none"/>
        </w:rPr>
      </w:pPr>
      <w:bookmarkStart w:id="147" w:name="_Toc31569"/>
      <w:r>
        <w:rPr>
          <w:rFonts w:hint="eastAsia"/>
          <w:b/>
          <w:bCs/>
          <w:color w:val="auto"/>
          <w:sz w:val="44"/>
          <w:szCs w:val="44"/>
          <w:highlight w:val="none"/>
          <w:lang w:val="en-US" w:eastAsia="zh-CN"/>
        </w:rPr>
        <w:t>第七章</w:t>
      </w:r>
      <w:r>
        <w:rPr>
          <w:rFonts w:hint="eastAsia"/>
          <w:b/>
          <w:bCs/>
          <w:color w:val="auto"/>
          <w:sz w:val="44"/>
          <w:szCs w:val="44"/>
          <w:highlight w:val="none"/>
        </w:rPr>
        <w:t>“政采贷”政策告知函</w:t>
      </w:r>
      <w:bookmarkEnd w:id="147"/>
    </w:p>
    <w:p w14:paraId="5A87306F">
      <w:pPr>
        <w:keepNext w:val="0"/>
        <w:keepLines w:val="0"/>
        <w:pageBreakBefore w:val="0"/>
        <w:widowControl w:val="0"/>
        <w:kinsoku/>
        <w:wordWrap/>
        <w:overflowPunct/>
        <w:topLinePunct w:val="0"/>
        <w:autoSpaceDE/>
        <w:autoSpaceDN/>
        <w:bidi w:val="0"/>
        <w:spacing w:line="460" w:lineRule="exact"/>
        <w:jc w:val="both"/>
        <w:outlineLvl w:val="9"/>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各供应商:</w:t>
      </w:r>
    </w:p>
    <w:p w14:paraId="60164579">
      <w:pPr>
        <w:keepNext w:val="0"/>
        <w:keepLines w:val="0"/>
        <w:pageBreakBefore w:val="0"/>
        <w:widowControl w:val="0"/>
        <w:kinsoku/>
        <w:wordWrap/>
        <w:overflowPunct/>
        <w:topLinePunct w:val="0"/>
        <w:autoSpaceDE/>
        <w:autoSpaceDN/>
        <w:bidi w:val="0"/>
        <w:spacing w:line="460" w:lineRule="exact"/>
        <w:ind w:firstLine="420" w:firstLineChars="200"/>
        <w:jc w:val="both"/>
        <w:outlineLvl w:val="9"/>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欢迎贵公司参与贺州市政府采购活动!</w:t>
      </w:r>
    </w:p>
    <w:p w14:paraId="5E8DF064">
      <w:pPr>
        <w:keepNext w:val="0"/>
        <w:keepLines w:val="0"/>
        <w:pageBreakBefore w:val="0"/>
        <w:widowControl/>
        <w:kinsoku/>
        <w:wordWrap/>
        <w:overflowPunct/>
        <w:topLinePunct w:val="0"/>
        <w:autoSpaceDE/>
        <w:autoSpaceDN/>
        <w:bidi w:val="0"/>
        <w:adjustRightInd w:val="0"/>
        <w:snapToGrid w:val="0"/>
        <w:spacing w:after="0" w:line="460" w:lineRule="exact"/>
        <w:ind w:left="0" w:right="0" w:firstLine="420" w:firstLineChars="200"/>
        <w:jc w:val="both"/>
        <w:textAlignment w:val="auto"/>
        <w:outlineLvl w:val="9"/>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eastAsia="宋体" w:cs="宋体"/>
          <w:color w:val="auto"/>
          <w:sz w:val="21"/>
          <w:szCs w:val="21"/>
          <w:highlight w:val="none"/>
          <w:lang w:eastAsia="zh-CN" w:bidi="ar-SA"/>
        </w:rPr>
        <w:t>等相关材料</w:t>
      </w:r>
      <w:r>
        <w:rPr>
          <w:rFonts w:hint="eastAsia" w:ascii="宋体" w:eastAsia="宋体" w:cs="宋体"/>
          <w:color w:val="auto"/>
          <w:sz w:val="21"/>
          <w:szCs w:val="21"/>
          <w:highlight w:val="none"/>
          <w:lang w:bidi="ar-SA"/>
        </w:rPr>
        <w:t>向金融机构申请贷款，金融机构核实信息，按照双方自愿的原则提供便捷、优惠的贷款服务。</w:t>
      </w:r>
    </w:p>
    <w:p w14:paraId="53324306">
      <w:pPr>
        <w:keepNext w:val="0"/>
        <w:keepLines w:val="0"/>
        <w:pageBreakBefore w:val="0"/>
        <w:widowControl/>
        <w:kinsoku/>
        <w:wordWrap/>
        <w:overflowPunct/>
        <w:topLinePunct w:val="0"/>
        <w:autoSpaceDE/>
        <w:autoSpaceDN/>
        <w:bidi w:val="0"/>
        <w:adjustRightInd w:val="0"/>
        <w:snapToGrid w:val="0"/>
        <w:spacing w:after="0" w:line="460" w:lineRule="exact"/>
        <w:ind w:left="0" w:right="0" w:firstLine="420" w:firstLineChars="200"/>
        <w:jc w:val="both"/>
        <w:textAlignment w:val="auto"/>
        <w:outlineLvl w:val="9"/>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一、“政采贷”操作流程</w:t>
      </w:r>
    </w:p>
    <w:p w14:paraId="1798D7F3">
      <w:pPr>
        <w:keepNext w:val="0"/>
        <w:keepLines w:val="0"/>
        <w:pageBreakBefore w:val="0"/>
        <w:widowControl/>
        <w:kinsoku/>
        <w:wordWrap/>
        <w:overflowPunct/>
        <w:topLinePunct w:val="0"/>
        <w:autoSpaceDE/>
        <w:autoSpaceDN/>
        <w:bidi w:val="0"/>
        <w:adjustRightInd w:val="0"/>
        <w:snapToGrid w:val="0"/>
        <w:spacing w:after="0" w:line="460" w:lineRule="exact"/>
        <w:ind w:right="0" w:firstLine="420" w:firstLineChars="200"/>
        <w:jc w:val="both"/>
        <w:textAlignment w:val="auto"/>
        <w:outlineLvl w:val="9"/>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进入“广西政府采购网”（</w:t>
      </w:r>
      <w:r>
        <w:rPr>
          <w:rStyle w:val="34"/>
          <w:rFonts w:hint="eastAsia" w:ascii="宋体" w:eastAsia="宋体" w:cs="宋体"/>
          <w:color w:val="auto"/>
          <w:sz w:val="21"/>
          <w:szCs w:val="21"/>
          <w:highlight w:val="none"/>
          <w:lang w:eastAsia="zh-CN" w:bidi="ar-SA"/>
        </w:rPr>
        <w:fldChar w:fldCharType="begin"/>
      </w:r>
      <w:r>
        <w:rPr>
          <w:rStyle w:val="34"/>
          <w:rFonts w:hint="eastAsia" w:ascii="宋体" w:eastAsia="宋体" w:cs="宋体"/>
          <w:color w:val="auto"/>
          <w:sz w:val="21"/>
          <w:szCs w:val="21"/>
          <w:highlight w:val="none"/>
          <w:lang w:eastAsia="zh-CN" w:bidi="ar-SA"/>
        </w:rPr>
        <w:instrText xml:space="preserve">HYPERLINK "http://zfcg.gxzf.gov.cn/"</w:instrText>
      </w:r>
      <w:r>
        <w:rPr>
          <w:rStyle w:val="34"/>
          <w:rFonts w:hint="eastAsia" w:ascii="宋体" w:eastAsia="宋体" w:cs="宋体"/>
          <w:color w:val="auto"/>
          <w:sz w:val="21"/>
          <w:szCs w:val="21"/>
          <w:highlight w:val="none"/>
          <w:lang w:eastAsia="zh-CN" w:bidi="ar-SA"/>
        </w:rPr>
        <w:fldChar w:fldCharType="separate"/>
      </w:r>
      <w:r>
        <w:rPr>
          <w:rStyle w:val="34"/>
          <w:rFonts w:hint="eastAsia" w:ascii="宋体" w:eastAsia="宋体" w:cs="宋体"/>
          <w:color w:val="auto"/>
          <w:sz w:val="21"/>
          <w:szCs w:val="21"/>
          <w:highlight w:val="none"/>
          <w:lang w:eastAsia="zh-CN" w:bidi="ar-SA"/>
        </w:rPr>
        <w:t>http://zfcg.gxzf.gov.cn/</w:t>
      </w:r>
      <w:r>
        <w:rPr>
          <w:rFonts w:hint="eastAsia" w:ascii="宋体" w:eastAsia="宋体" w:cs="宋体"/>
          <w:color w:val="auto"/>
          <w:sz w:val="21"/>
          <w:szCs w:val="21"/>
          <w:highlight w:val="none"/>
          <w:lang w:eastAsia="zh-CN" w:bidi="ar-SA"/>
        </w:rPr>
        <w:fldChar w:fldCharType="end"/>
      </w:r>
      <w:r>
        <w:rPr>
          <w:rFonts w:hint="eastAsia" w:ascii="宋体" w:eastAsia="宋体" w:cs="宋体"/>
          <w:color w:val="auto"/>
          <w:sz w:val="21"/>
          <w:szCs w:val="21"/>
          <w:highlight w:val="none"/>
          <w:lang w:eastAsia="zh-CN" w:bidi="ar-SA"/>
        </w:rPr>
        <w:t>）“办事指南”专栏找到“金融融资”板块，进入“广西政府采购金融服务平台”登录，选择试点银行机构进行合同融资预申请。</w:t>
      </w:r>
    </w:p>
    <w:p w14:paraId="7C3FFA23">
      <w:pPr>
        <w:keepNext w:val="0"/>
        <w:keepLines w:val="0"/>
        <w:pageBreakBefore w:val="0"/>
        <w:widowControl/>
        <w:kinsoku/>
        <w:wordWrap/>
        <w:overflowPunct/>
        <w:topLinePunct w:val="0"/>
        <w:autoSpaceDE/>
        <w:autoSpaceDN/>
        <w:bidi w:val="0"/>
        <w:adjustRightInd w:val="0"/>
        <w:snapToGrid w:val="0"/>
        <w:spacing w:after="0" w:line="460" w:lineRule="exact"/>
        <w:ind w:left="0" w:right="0" w:firstLine="420" w:firstLineChars="200"/>
        <w:jc w:val="both"/>
        <w:textAlignment w:val="auto"/>
        <w:outlineLvl w:val="9"/>
        <w:rPr>
          <w:rFonts w:hint="eastAsia" w:ascii="宋体" w:eastAsia="宋体" w:cs="宋体"/>
          <w:color w:val="auto"/>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二、</w:t>
      </w:r>
      <w:r>
        <w:rPr>
          <w:rFonts w:hint="eastAsia" w:ascii="宋体" w:eastAsia="宋体" w:cs="宋体"/>
          <w:color w:val="auto"/>
          <w:sz w:val="21"/>
          <w:szCs w:val="21"/>
          <w:highlight w:val="none"/>
          <w:lang w:val="en-US" w:eastAsia="zh-CN" w:bidi="ar-SA"/>
        </w:rPr>
        <w:t>承接银行联系方式</w:t>
      </w:r>
    </w:p>
    <w:p w14:paraId="797A6739">
      <w:pPr>
        <w:keepNext w:val="0"/>
        <w:keepLines w:val="0"/>
        <w:pageBreakBefore w:val="0"/>
        <w:widowControl/>
        <w:kinsoku/>
        <w:wordWrap/>
        <w:overflowPunct/>
        <w:topLinePunct w:val="0"/>
        <w:autoSpaceDE/>
        <w:autoSpaceDN/>
        <w:bidi w:val="0"/>
        <w:adjustRightInd w:val="0"/>
        <w:snapToGrid w:val="0"/>
        <w:spacing w:after="0" w:line="460" w:lineRule="exact"/>
        <w:ind w:left="0" w:right="0" w:firstLine="420" w:firstLineChars="200"/>
        <w:jc w:val="both"/>
        <w:textAlignment w:val="auto"/>
        <w:outlineLvl w:val="9"/>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1.中国建设银行贺州分行</w:t>
      </w:r>
      <w:r>
        <w:rPr>
          <w:rFonts w:hint="eastAsia" w:ascii="宋体" w:eastAsia="宋体" w:cs="宋体"/>
          <w:color w:val="auto"/>
          <w:sz w:val="21"/>
          <w:szCs w:val="21"/>
          <w:highlight w:val="none"/>
          <w:lang w:val="en-US" w:eastAsia="zh-CN" w:bidi="ar-SA"/>
        </w:rPr>
        <w:tab/>
      </w:r>
    </w:p>
    <w:tbl>
      <w:tblPr>
        <w:tblStyle w:val="31"/>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042"/>
        <w:gridCol w:w="1267"/>
        <w:gridCol w:w="1416"/>
        <w:gridCol w:w="3169"/>
      </w:tblGrid>
      <w:tr w14:paraId="0DC0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60" w:type="dxa"/>
            <w:gridSpan w:val="5"/>
            <w:noWrap w:val="0"/>
            <w:vAlign w:val="bottom"/>
          </w:tcPr>
          <w:p w14:paraId="4EFC80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中国建设银行贺州分行   总协调人：杨宏毅    职务：公司业务部副总经理  手机号码：18077397188</w:t>
            </w:r>
          </w:p>
        </w:tc>
      </w:tr>
      <w:tr w14:paraId="3668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noWrap w:val="0"/>
            <w:vAlign w:val="center"/>
          </w:tcPr>
          <w:p w14:paraId="2729B0A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金融机构</w:t>
            </w:r>
          </w:p>
        </w:tc>
        <w:tc>
          <w:tcPr>
            <w:tcW w:w="1042" w:type="dxa"/>
            <w:noWrap w:val="0"/>
            <w:vAlign w:val="center"/>
          </w:tcPr>
          <w:p w14:paraId="38D2BE8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联系人</w:t>
            </w:r>
          </w:p>
        </w:tc>
        <w:tc>
          <w:tcPr>
            <w:tcW w:w="1267" w:type="dxa"/>
            <w:noWrap w:val="0"/>
            <w:vAlign w:val="center"/>
          </w:tcPr>
          <w:p w14:paraId="6C7080B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职务</w:t>
            </w:r>
          </w:p>
        </w:tc>
        <w:tc>
          <w:tcPr>
            <w:tcW w:w="1416" w:type="dxa"/>
            <w:noWrap w:val="0"/>
            <w:vAlign w:val="center"/>
          </w:tcPr>
          <w:p w14:paraId="4957C0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手机号码</w:t>
            </w:r>
          </w:p>
        </w:tc>
        <w:tc>
          <w:tcPr>
            <w:tcW w:w="3169" w:type="dxa"/>
            <w:noWrap w:val="0"/>
            <w:vAlign w:val="center"/>
          </w:tcPr>
          <w:p w14:paraId="59B1B7C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银行地址</w:t>
            </w:r>
          </w:p>
        </w:tc>
      </w:tr>
      <w:tr w14:paraId="119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286709E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中国建设银行贺州分行营业部</w:t>
            </w:r>
          </w:p>
        </w:tc>
        <w:tc>
          <w:tcPr>
            <w:tcW w:w="1042" w:type="dxa"/>
            <w:noWrap w:val="0"/>
            <w:vAlign w:val="center"/>
          </w:tcPr>
          <w:p w14:paraId="682CF422">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刘雍</w:t>
            </w:r>
          </w:p>
        </w:tc>
        <w:tc>
          <w:tcPr>
            <w:tcW w:w="1267" w:type="dxa"/>
            <w:noWrap w:val="0"/>
            <w:vAlign w:val="center"/>
          </w:tcPr>
          <w:p w14:paraId="3E20252A">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44D89948">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18778943521</w:t>
            </w:r>
          </w:p>
        </w:tc>
        <w:tc>
          <w:tcPr>
            <w:tcW w:w="3169" w:type="dxa"/>
            <w:noWrap w:val="0"/>
            <w:vAlign w:val="center"/>
          </w:tcPr>
          <w:p w14:paraId="5E7EE503">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kern w:val="0"/>
                <w:sz w:val="21"/>
                <w:szCs w:val="21"/>
                <w:highlight w:val="none"/>
                <w:u w:val="none"/>
                <w:lang w:val="en-US" w:eastAsia="zh-CN" w:bidi="ar"/>
              </w:rPr>
              <w:t>贺州市八步区建设中路1号</w:t>
            </w:r>
          </w:p>
        </w:tc>
      </w:tr>
      <w:tr w14:paraId="5E86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0382BB9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中国建设银行城东支行</w:t>
            </w:r>
          </w:p>
        </w:tc>
        <w:tc>
          <w:tcPr>
            <w:tcW w:w="1042" w:type="dxa"/>
            <w:noWrap w:val="0"/>
            <w:vAlign w:val="center"/>
          </w:tcPr>
          <w:p w14:paraId="20C51B8C">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刘昭勇</w:t>
            </w:r>
          </w:p>
        </w:tc>
        <w:tc>
          <w:tcPr>
            <w:tcW w:w="1267" w:type="dxa"/>
            <w:noWrap w:val="0"/>
            <w:vAlign w:val="center"/>
          </w:tcPr>
          <w:p w14:paraId="088067F5">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3B7BB26D">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18877499257</w:t>
            </w:r>
          </w:p>
        </w:tc>
        <w:tc>
          <w:tcPr>
            <w:tcW w:w="3169" w:type="dxa"/>
            <w:noWrap w:val="0"/>
            <w:vAlign w:val="center"/>
          </w:tcPr>
          <w:p w14:paraId="22F11BBA">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贺州市八步区平安西路266号贺州广场购物中心1号楼一层东面</w:t>
            </w:r>
          </w:p>
        </w:tc>
      </w:tr>
      <w:tr w14:paraId="209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3046A23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中国建设银行城西支行</w:t>
            </w:r>
          </w:p>
        </w:tc>
        <w:tc>
          <w:tcPr>
            <w:tcW w:w="1042" w:type="dxa"/>
            <w:noWrap w:val="0"/>
            <w:vAlign w:val="center"/>
          </w:tcPr>
          <w:p w14:paraId="7F85AF8C">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于丛家</w:t>
            </w:r>
          </w:p>
        </w:tc>
        <w:tc>
          <w:tcPr>
            <w:tcW w:w="1267" w:type="dxa"/>
            <w:noWrap w:val="0"/>
            <w:vAlign w:val="center"/>
          </w:tcPr>
          <w:p w14:paraId="1B9BE8FC">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1C8096C8">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15177666737</w:t>
            </w:r>
          </w:p>
        </w:tc>
        <w:tc>
          <w:tcPr>
            <w:tcW w:w="3169" w:type="dxa"/>
            <w:noWrap w:val="0"/>
            <w:vAlign w:val="center"/>
          </w:tcPr>
          <w:p w14:paraId="0302B80B">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贺州市八步区八达西路689号1栋11商铺</w:t>
            </w:r>
          </w:p>
        </w:tc>
      </w:tr>
      <w:tr w14:paraId="4404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6A4C2C27">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中国建设银行贺州平桂支行</w:t>
            </w:r>
          </w:p>
        </w:tc>
        <w:tc>
          <w:tcPr>
            <w:tcW w:w="1042" w:type="dxa"/>
            <w:noWrap w:val="0"/>
            <w:vAlign w:val="center"/>
          </w:tcPr>
          <w:p w14:paraId="248A6EB0">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kern w:val="0"/>
                <w:sz w:val="21"/>
                <w:szCs w:val="21"/>
                <w:highlight w:val="none"/>
                <w:u w:val="none"/>
                <w:lang w:val="en-US" w:eastAsia="zh-CN" w:bidi="ar"/>
              </w:rPr>
              <w:t>邱伟</w:t>
            </w:r>
          </w:p>
        </w:tc>
        <w:tc>
          <w:tcPr>
            <w:tcW w:w="1267" w:type="dxa"/>
            <w:noWrap w:val="0"/>
            <w:vAlign w:val="center"/>
          </w:tcPr>
          <w:p w14:paraId="67D63DD0">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2322C3F9">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kern w:val="0"/>
                <w:sz w:val="21"/>
                <w:szCs w:val="21"/>
                <w:highlight w:val="none"/>
                <w:u w:val="none"/>
                <w:lang w:val="en-US" w:eastAsia="zh-CN" w:bidi="ar"/>
              </w:rPr>
              <w:t>18007840720</w:t>
            </w:r>
          </w:p>
        </w:tc>
        <w:tc>
          <w:tcPr>
            <w:tcW w:w="3169" w:type="dxa"/>
            <w:noWrap w:val="0"/>
            <w:vAlign w:val="center"/>
          </w:tcPr>
          <w:p w14:paraId="7C38BB16">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贺州市平桂区平桂大道15号富旺小区1号楼105号商铺</w:t>
            </w:r>
          </w:p>
        </w:tc>
      </w:tr>
      <w:tr w14:paraId="7ABD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268080E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中国建设银行钟山支行</w:t>
            </w:r>
          </w:p>
        </w:tc>
        <w:tc>
          <w:tcPr>
            <w:tcW w:w="1042" w:type="dxa"/>
            <w:noWrap w:val="0"/>
            <w:vAlign w:val="center"/>
          </w:tcPr>
          <w:p w14:paraId="3E14BC17">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张文韬</w:t>
            </w:r>
          </w:p>
        </w:tc>
        <w:tc>
          <w:tcPr>
            <w:tcW w:w="1267" w:type="dxa"/>
            <w:noWrap w:val="0"/>
            <w:vAlign w:val="center"/>
          </w:tcPr>
          <w:p w14:paraId="1EC3CDAB">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056F1D94">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13047836009</w:t>
            </w:r>
          </w:p>
        </w:tc>
        <w:tc>
          <w:tcPr>
            <w:tcW w:w="3169" w:type="dxa"/>
            <w:noWrap w:val="0"/>
            <w:vAlign w:val="center"/>
          </w:tcPr>
          <w:p w14:paraId="13BA47E4">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贺州市钟山县城书香西路南侧</w:t>
            </w:r>
          </w:p>
        </w:tc>
      </w:tr>
      <w:tr w14:paraId="4A95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1ACB8D8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中国建设银行富川支行</w:t>
            </w:r>
          </w:p>
        </w:tc>
        <w:tc>
          <w:tcPr>
            <w:tcW w:w="1042" w:type="dxa"/>
            <w:noWrap w:val="0"/>
            <w:vAlign w:val="center"/>
          </w:tcPr>
          <w:p w14:paraId="2855B81B">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邓李杰</w:t>
            </w:r>
          </w:p>
        </w:tc>
        <w:tc>
          <w:tcPr>
            <w:tcW w:w="1267" w:type="dxa"/>
            <w:noWrap w:val="0"/>
            <w:vAlign w:val="center"/>
          </w:tcPr>
          <w:p w14:paraId="6D997DC8">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营业室总经理</w:t>
            </w:r>
          </w:p>
        </w:tc>
        <w:tc>
          <w:tcPr>
            <w:tcW w:w="1416" w:type="dxa"/>
            <w:noWrap w:val="0"/>
            <w:vAlign w:val="center"/>
          </w:tcPr>
          <w:p w14:paraId="67B99914">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18276498401</w:t>
            </w:r>
          </w:p>
        </w:tc>
        <w:tc>
          <w:tcPr>
            <w:tcW w:w="3169" w:type="dxa"/>
            <w:noWrap w:val="0"/>
            <w:vAlign w:val="center"/>
          </w:tcPr>
          <w:p w14:paraId="2FBA9D70">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贺州市富川瑶族自治县富阳镇凤凰路汇龙华府第13号楼</w:t>
            </w:r>
          </w:p>
        </w:tc>
      </w:tr>
      <w:tr w14:paraId="0DDE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66" w:type="dxa"/>
            <w:noWrap w:val="0"/>
            <w:vAlign w:val="center"/>
          </w:tcPr>
          <w:p w14:paraId="58112BD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中国建设银行昭平支行</w:t>
            </w:r>
          </w:p>
        </w:tc>
        <w:tc>
          <w:tcPr>
            <w:tcW w:w="1042" w:type="dxa"/>
            <w:noWrap w:val="0"/>
            <w:vAlign w:val="center"/>
          </w:tcPr>
          <w:p w14:paraId="23FCAEC4">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u w:val="none"/>
                <w:lang w:val="en-US" w:eastAsia="zh-CN" w:bidi="ar-SA"/>
              </w:rPr>
            </w:pPr>
            <w:r>
              <w:rPr>
                <w:rFonts w:hint="eastAsia" w:ascii="宋体" w:eastAsia="宋体" w:cs="宋体"/>
                <w:color w:val="auto"/>
                <w:sz w:val="21"/>
                <w:szCs w:val="21"/>
                <w:highlight w:val="none"/>
                <w:u w:val="none"/>
                <w:lang w:val="en-US" w:eastAsia="zh-CN" w:bidi="ar-SA"/>
              </w:rPr>
              <w:t>贝晟延</w:t>
            </w:r>
          </w:p>
        </w:tc>
        <w:tc>
          <w:tcPr>
            <w:tcW w:w="1267" w:type="dxa"/>
            <w:noWrap w:val="0"/>
            <w:vAlign w:val="center"/>
          </w:tcPr>
          <w:p w14:paraId="0F9E0316">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客户经理</w:t>
            </w:r>
          </w:p>
        </w:tc>
        <w:tc>
          <w:tcPr>
            <w:tcW w:w="1416" w:type="dxa"/>
            <w:noWrap w:val="0"/>
            <w:vAlign w:val="center"/>
          </w:tcPr>
          <w:p w14:paraId="58B6A2AA">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15676427374</w:t>
            </w:r>
          </w:p>
        </w:tc>
        <w:tc>
          <w:tcPr>
            <w:tcW w:w="3169" w:type="dxa"/>
            <w:noWrap w:val="0"/>
            <w:vAlign w:val="center"/>
          </w:tcPr>
          <w:p w14:paraId="282C51EE">
            <w:pPr>
              <w:keepNext w:val="0"/>
              <w:keepLines w:val="0"/>
              <w:pageBreakBefore w:val="0"/>
              <w:widowControl/>
              <w:suppressLineNumbers w:val="0"/>
              <w:kinsoku/>
              <w:wordWrap/>
              <w:overflowPunct/>
              <w:topLinePunct w:val="0"/>
              <w:autoSpaceDE/>
              <w:autoSpaceDN/>
              <w:bidi w:val="0"/>
              <w:spacing w:line="460" w:lineRule="exact"/>
              <w:jc w:val="center"/>
              <w:textAlignment w:val="center"/>
              <w:outlineLvl w:val="9"/>
              <w:rPr>
                <w:rFonts w:hint="eastAsia" w:ascii="宋体" w:eastAsia="宋体" w:cs="宋体"/>
                <w:color w:val="auto"/>
                <w:kern w:val="0"/>
                <w:sz w:val="21"/>
                <w:szCs w:val="21"/>
                <w:highlight w:val="none"/>
                <w:u w:val="none"/>
                <w:lang w:val="en-US" w:eastAsia="zh-CN" w:bidi="ar"/>
              </w:rPr>
            </w:pPr>
            <w:r>
              <w:rPr>
                <w:rFonts w:hint="eastAsia" w:ascii="宋体" w:eastAsia="宋体" w:cs="宋体"/>
                <w:color w:val="auto"/>
                <w:kern w:val="0"/>
                <w:sz w:val="21"/>
                <w:szCs w:val="21"/>
                <w:highlight w:val="none"/>
                <w:u w:val="none"/>
                <w:lang w:val="en-US" w:eastAsia="zh-CN" w:bidi="ar"/>
              </w:rPr>
              <w:t>贺州市昭平县昭平镇东宁中路19号</w:t>
            </w:r>
          </w:p>
        </w:tc>
      </w:tr>
    </w:tbl>
    <w:p w14:paraId="5C8B765B">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2.广西北部湾银行</w:t>
      </w:r>
    </w:p>
    <w:tbl>
      <w:tblPr>
        <w:tblStyle w:val="31"/>
        <w:tblW w:w="933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1059"/>
        <w:gridCol w:w="1275"/>
        <w:gridCol w:w="1375"/>
        <w:gridCol w:w="3072"/>
      </w:tblGrid>
      <w:tr w14:paraId="29FF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30" w:type="dxa"/>
            <w:gridSpan w:val="5"/>
            <w:noWrap w:val="0"/>
            <w:vAlign w:val="bottom"/>
          </w:tcPr>
          <w:p w14:paraId="6300CC9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广西北部湾银行贺州分行   总协调人：杨政    职务：普惠金融部总经理  手机号码：18978413000</w:t>
            </w:r>
          </w:p>
        </w:tc>
      </w:tr>
      <w:tr w14:paraId="35BE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549" w:type="dxa"/>
            <w:noWrap w:val="0"/>
            <w:vAlign w:val="center"/>
          </w:tcPr>
          <w:p w14:paraId="466F13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金融机构</w:t>
            </w:r>
          </w:p>
        </w:tc>
        <w:tc>
          <w:tcPr>
            <w:tcW w:w="1059" w:type="dxa"/>
            <w:noWrap w:val="0"/>
            <w:vAlign w:val="center"/>
          </w:tcPr>
          <w:p w14:paraId="34D8A57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联系人</w:t>
            </w:r>
          </w:p>
        </w:tc>
        <w:tc>
          <w:tcPr>
            <w:tcW w:w="1275" w:type="dxa"/>
            <w:noWrap w:val="0"/>
            <w:vAlign w:val="center"/>
          </w:tcPr>
          <w:p w14:paraId="2AFDCF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职务</w:t>
            </w:r>
          </w:p>
        </w:tc>
        <w:tc>
          <w:tcPr>
            <w:tcW w:w="1375" w:type="dxa"/>
            <w:noWrap w:val="0"/>
            <w:vAlign w:val="center"/>
          </w:tcPr>
          <w:p w14:paraId="50A95E6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手机号码</w:t>
            </w:r>
          </w:p>
        </w:tc>
        <w:tc>
          <w:tcPr>
            <w:tcW w:w="3072" w:type="dxa"/>
            <w:noWrap w:val="0"/>
            <w:vAlign w:val="center"/>
          </w:tcPr>
          <w:p w14:paraId="3E9271D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银行地址</w:t>
            </w:r>
          </w:p>
        </w:tc>
      </w:tr>
      <w:tr w14:paraId="7611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9" w:type="dxa"/>
            <w:noWrap w:val="0"/>
            <w:vAlign w:val="center"/>
          </w:tcPr>
          <w:p w14:paraId="003B240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广西北部湾银行贺州分行</w:t>
            </w:r>
          </w:p>
        </w:tc>
        <w:tc>
          <w:tcPr>
            <w:tcW w:w="1059" w:type="dxa"/>
            <w:noWrap w:val="0"/>
            <w:vAlign w:val="center"/>
          </w:tcPr>
          <w:p w14:paraId="4DC1DC4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黄剑锐</w:t>
            </w:r>
          </w:p>
        </w:tc>
        <w:tc>
          <w:tcPr>
            <w:tcW w:w="1275" w:type="dxa"/>
            <w:noWrap w:val="0"/>
            <w:vAlign w:val="center"/>
          </w:tcPr>
          <w:p w14:paraId="368DB8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个人金融部副经理</w:t>
            </w:r>
          </w:p>
        </w:tc>
        <w:tc>
          <w:tcPr>
            <w:tcW w:w="1375" w:type="dxa"/>
            <w:noWrap w:val="0"/>
            <w:vAlign w:val="center"/>
          </w:tcPr>
          <w:p w14:paraId="4CCE2C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15507848190</w:t>
            </w:r>
          </w:p>
        </w:tc>
        <w:tc>
          <w:tcPr>
            <w:tcW w:w="3072" w:type="dxa"/>
            <w:noWrap w:val="0"/>
            <w:vAlign w:val="center"/>
          </w:tcPr>
          <w:p w14:paraId="5D34587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贺州市八步区太白西路153号8号楼</w:t>
            </w:r>
          </w:p>
        </w:tc>
      </w:tr>
      <w:tr w14:paraId="57D1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9" w:type="dxa"/>
            <w:noWrap w:val="0"/>
            <w:vAlign w:val="center"/>
          </w:tcPr>
          <w:p w14:paraId="1A9ED2E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广西北部湾银行贺州市平桂支行</w:t>
            </w:r>
          </w:p>
        </w:tc>
        <w:tc>
          <w:tcPr>
            <w:tcW w:w="1059" w:type="dxa"/>
            <w:noWrap w:val="0"/>
            <w:vAlign w:val="center"/>
          </w:tcPr>
          <w:p w14:paraId="2CCD273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刘乐</w:t>
            </w:r>
          </w:p>
        </w:tc>
        <w:tc>
          <w:tcPr>
            <w:tcW w:w="1275" w:type="dxa"/>
            <w:noWrap w:val="0"/>
            <w:vAlign w:val="center"/>
          </w:tcPr>
          <w:p w14:paraId="032DB15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公司客户经理</w:t>
            </w:r>
          </w:p>
        </w:tc>
        <w:tc>
          <w:tcPr>
            <w:tcW w:w="1375" w:type="dxa"/>
            <w:noWrap w:val="0"/>
            <w:vAlign w:val="center"/>
          </w:tcPr>
          <w:p w14:paraId="2C3789B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13036871008</w:t>
            </w:r>
          </w:p>
        </w:tc>
        <w:tc>
          <w:tcPr>
            <w:tcW w:w="3072" w:type="dxa"/>
            <w:noWrap w:val="0"/>
            <w:vAlign w:val="center"/>
          </w:tcPr>
          <w:p w14:paraId="4DBC18B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贺州市平桂区平桂大道4号3号楼103号商铺</w:t>
            </w:r>
          </w:p>
        </w:tc>
      </w:tr>
      <w:tr w14:paraId="52B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9" w:type="dxa"/>
            <w:noWrap w:val="0"/>
            <w:vAlign w:val="center"/>
          </w:tcPr>
          <w:p w14:paraId="5B5BA6E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广西北部湾银行钟山支行</w:t>
            </w:r>
          </w:p>
        </w:tc>
        <w:tc>
          <w:tcPr>
            <w:tcW w:w="1059" w:type="dxa"/>
            <w:noWrap w:val="0"/>
            <w:vAlign w:val="center"/>
          </w:tcPr>
          <w:p w14:paraId="5ECBC1D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唐振豪</w:t>
            </w:r>
          </w:p>
        </w:tc>
        <w:tc>
          <w:tcPr>
            <w:tcW w:w="1275" w:type="dxa"/>
            <w:noWrap w:val="0"/>
            <w:vAlign w:val="center"/>
          </w:tcPr>
          <w:p w14:paraId="6E064F5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公司客户经理</w:t>
            </w:r>
          </w:p>
        </w:tc>
        <w:tc>
          <w:tcPr>
            <w:tcW w:w="1375" w:type="dxa"/>
            <w:noWrap w:val="0"/>
            <w:vAlign w:val="center"/>
          </w:tcPr>
          <w:p w14:paraId="52F5C97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18878480702</w:t>
            </w:r>
          </w:p>
        </w:tc>
        <w:tc>
          <w:tcPr>
            <w:tcW w:w="3072" w:type="dxa"/>
            <w:noWrap w:val="0"/>
            <w:vAlign w:val="center"/>
          </w:tcPr>
          <w:p w14:paraId="1A82C2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贺州市钟山县广场西路南侧悦城壹号院B区1#楼B09-13号商铺</w:t>
            </w:r>
          </w:p>
        </w:tc>
      </w:tr>
      <w:tr w14:paraId="384C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9" w:type="dxa"/>
            <w:noWrap w:val="0"/>
            <w:vAlign w:val="center"/>
          </w:tcPr>
          <w:p w14:paraId="34413BF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广西北部湾银行富川支行</w:t>
            </w:r>
          </w:p>
        </w:tc>
        <w:tc>
          <w:tcPr>
            <w:tcW w:w="1059" w:type="dxa"/>
            <w:noWrap w:val="0"/>
            <w:vAlign w:val="center"/>
          </w:tcPr>
          <w:p w14:paraId="5FF1B5B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秦明龙</w:t>
            </w:r>
          </w:p>
        </w:tc>
        <w:tc>
          <w:tcPr>
            <w:tcW w:w="1275" w:type="dxa"/>
            <w:noWrap w:val="0"/>
            <w:vAlign w:val="center"/>
          </w:tcPr>
          <w:p w14:paraId="590979E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业务发展部经理</w:t>
            </w:r>
          </w:p>
        </w:tc>
        <w:tc>
          <w:tcPr>
            <w:tcW w:w="1375" w:type="dxa"/>
            <w:noWrap w:val="0"/>
            <w:vAlign w:val="center"/>
          </w:tcPr>
          <w:p w14:paraId="26067E2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17776119667</w:t>
            </w:r>
          </w:p>
        </w:tc>
        <w:tc>
          <w:tcPr>
            <w:tcW w:w="3072" w:type="dxa"/>
            <w:noWrap w:val="0"/>
            <w:vAlign w:val="center"/>
          </w:tcPr>
          <w:p w14:paraId="119C30E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kern w:val="0"/>
                <w:sz w:val="21"/>
                <w:szCs w:val="21"/>
                <w:highlight w:val="none"/>
                <w:u w:val="none"/>
                <w:lang w:val="en-US" w:eastAsia="zh-CN" w:bidi="ar"/>
              </w:rPr>
              <w:t>贺州市富川瑶族自治县富阳镇凤凰路121号</w:t>
            </w:r>
          </w:p>
        </w:tc>
      </w:tr>
      <w:tr w14:paraId="24B3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9" w:type="dxa"/>
            <w:noWrap w:val="0"/>
            <w:vAlign w:val="center"/>
          </w:tcPr>
          <w:p w14:paraId="6FE5F67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广西北部湾银行昭平支行</w:t>
            </w:r>
          </w:p>
        </w:tc>
        <w:tc>
          <w:tcPr>
            <w:tcW w:w="1059" w:type="dxa"/>
            <w:noWrap w:val="0"/>
            <w:vAlign w:val="center"/>
          </w:tcPr>
          <w:p w14:paraId="165FEAD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邱俊豪</w:t>
            </w:r>
          </w:p>
        </w:tc>
        <w:tc>
          <w:tcPr>
            <w:tcW w:w="1275" w:type="dxa"/>
            <w:noWrap w:val="0"/>
            <w:vAlign w:val="center"/>
          </w:tcPr>
          <w:p w14:paraId="0484E34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综合客户经理</w:t>
            </w:r>
          </w:p>
        </w:tc>
        <w:tc>
          <w:tcPr>
            <w:tcW w:w="1375" w:type="dxa"/>
            <w:noWrap w:val="0"/>
            <w:vAlign w:val="center"/>
          </w:tcPr>
          <w:p w14:paraId="09277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18107842696</w:t>
            </w:r>
          </w:p>
        </w:tc>
        <w:tc>
          <w:tcPr>
            <w:tcW w:w="3072" w:type="dxa"/>
            <w:noWrap w:val="0"/>
            <w:vAlign w:val="center"/>
          </w:tcPr>
          <w:p w14:paraId="67484077">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贺州市昭平县昭平镇河西东路（江湾一号）101-103铺面</w:t>
            </w:r>
          </w:p>
        </w:tc>
      </w:tr>
    </w:tbl>
    <w:p w14:paraId="6D8E1C8E">
      <w:pPr>
        <w:keepNext w:val="0"/>
        <w:keepLines w:val="0"/>
        <w:pageBreakBefore w:val="0"/>
        <w:widowControl/>
        <w:kinsoku/>
        <w:wordWrap/>
        <w:overflowPunct/>
        <w:topLinePunct w:val="0"/>
        <w:autoSpaceDE/>
        <w:autoSpaceDN/>
        <w:bidi w:val="0"/>
        <w:adjustRightInd w:val="0"/>
        <w:snapToGrid w:val="0"/>
        <w:spacing w:after="0" w:line="460" w:lineRule="exact"/>
        <w:ind w:firstLine="420" w:firstLineChars="200"/>
        <w:jc w:val="both"/>
        <w:textAlignment w:val="auto"/>
        <w:outlineLvl w:val="9"/>
        <w:rPr>
          <w:rFonts w:hint="eastAsia"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3.广西贺州桂东农村合作银行</w:t>
      </w:r>
    </w:p>
    <w:tbl>
      <w:tblPr>
        <w:tblStyle w:val="31"/>
        <w:tblW w:w="933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1108"/>
        <w:gridCol w:w="1234"/>
        <w:gridCol w:w="1416"/>
        <w:gridCol w:w="3056"/>
      </w:tblGrid>
      <w:tr w14:paraId="0846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5"/>
            <w:noWrap w:val="0"/>
            <w:vAlign w:val="top"/>
          </w:tcPr>
          <w:p w14:paraId="110BE34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广西贺州桂东农村合作银行  总协调人：卢士强  职务：授信审批部总经理 手机号码：18077409115</w:t>
            </w:r>
          </w:p>
        </w:tc>
      </w:tr>
      <w:tr w14:paraId="708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14:paraId="73739EC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金融机构</w:t>
            </w:r>
          </w:p>
        </w:tc>
        <w:tc>
          <w:tcPr>
            <w:tcW w:w="1108" w:type="dxa"/>
            <w:noWrap w:val="0"/>
            <w:vAlign w:val="center"/>
          </w:tcPr>
          <w:p w14:paraId="102C587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联系人</w:t>
            </w:r>
          </w:p>
        </w:tc>
        <w:tc>
          <w:tcPr>
            <w:tcW w:w="1234" w:type="dxa"/>
            <w:noWrap w:val="0"/>
            <w:vAlign w:val="center"/>
          </w:tcPr>
          <w:p w14:paraId="7FD3B96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职务</w:t>
            </w:r>
          </w:p>
        </w:tc>
        <w:tc>
          <w:tcPr>
            <w:tcW w:w="1416" w:type="dxa"/>
            <w:noWrap w:val="0"/>
            <w:vAlign w:val="center"/>
          </w:tcPr>
          <w:p w14:paraId="798A5DE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手机号码</w:t>
            </w:r>
          </w:p>
        </w:tc>
        <w:tc>
          <w:tcPr>
            <w:tcW w:w="3056" w:type="dxa"/>
            <w:noWrap w:val="0"/>
            <w:vAlign w:val="center"/>
          </w:tcPr>
          <w:p w14:paraId="64425D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银行地址</w:t>
            </w:r>
          </w:p>
        </w:tc>
      </w:tr>
      <w:tr w14:paraId="746C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14:paraId="521E7F2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广西贺州桂东农村合作银行</w:t>
            </w:r>
          </w:p>
        </w:tc>
        <w:tc>
          <w:tcPr>
            <w:tcW w:w="1108" w:type="dxa"/>
            <w:noWrap w:val="0"/>
            <w:vAlign w:val="center"/>
          </w:tcPr>
          <w:p w14:paraId="1983A5F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黄腾</w:t>
            </w:r>
          </w:p>
        </w:tc>
        <w:tc>
          <w:tcPr>
            <w:tcW w:w="1234" w:type="dxa"/>
            <w:noWrap w:val="0"/>
            <w:vAlign w:val="center"/>
          </w:tcPr>
          <w:p w14:paraId="114BED3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授信审批部审查员</w:t>
            </w:r>
          </w:p>
        </w:tc>
        <w:tc>
          <w:tcPr>
            <w:tcW w:w="1416" w:type="dxa"/>
            <w:noWrap w:val="0"/>
            <w:vAlign w:val="center"/>
          </w:tcPr>
          <w:p w14:paraId="7C91E1F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15078333887</w:t>
            </w:r>
          </w:p>
        </w:tc>
        <w:tc>
          <w:tcPr>
            <w:tcW w:w="3056" w:type="dxa"/>
            <w:noWrap w:val="0"/>
            <w:vAlign w:val="center"/>
          </w:tcPr>
          <w:p w14:paraId="48C60BF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贺州市八步区建设东路6号</w:t>
            </w:r>
          </w:p>
        </w:tc>
      </w:tr>
      <w:tr w14:paraId="05F6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14:paraId="3117B30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广西贺州桂东农村合作银行营业部</w:t>
            </w:r>
          </w:p>
        </w:tc>
        <w:tc>
          <w:tcPr>
            <w:tcW w:w="1108" w:type="dxa"/>
            <w:noWrap w:val="0"/>
            <w:vAlign w:val="center"/>
          </w:tcPr>
          <w:p w14:paraId="6C87E9C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刘瑜</w:t>
            </w:r>
          </w:p>
        </w:tc>
        <w:tc>
          <w:tcPr>
            <w:tcW w:w="1234" w:type="dxa"/>
            <w:noWrap w:val="0"/>
            <w:vAlign w:val="center"/>
          </w:tcPr>
          <w:p w14:paraId="34060E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营业部副总经理</w:t>
            </w:r>
          </w:p>
        </w:tc>
        <w:tc>
          <w:tcPr>
            <w:tcW w:w="1416" w:type="dxa"/>
            <w:noWrap w:val="0"/>
            <w:vAlign w:val="center"/>
          </w:tcPr>
          <w:p w14:paraId="45F80B7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18007843000</w:t>
            </w:r>
          </w:p>
        </w:tc>
        <w:tc>
          <w:tcPr>
            <w:tcW w:w="3056" w:type="dxa"/>
            <w:noWrap w:val="0"/>
            <w:vAlign w:val="center"/>
          </w:tcPr>
          <w:p w14:paraId="403E93D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贺州市八步区建设东路6号</w:t>
            </w:r>
          </w:p>
        </w:tc>
      </w:tr>
      <w:tr w14:paraId="2C6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14:paraId="173E553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广西贺州桂东农村合作银行八步支行</w:t>
            </w:r>
          </w:p>
        </w:tc>
        <w:tc>
          <w:tcPr>
            <w:tcW w:w="1108" w:type="dxa"/>
            <w:noWrap w:val="0"/>
            <w:vAlign w:val="center"/>
          </w:tcPr>
          <w:p w14:paraId="3E761B3B">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谢地恩</w:t>
            </w:r>
          </w:p>
        </w:tc>
        <w:tc>
          <w:tcPr>
            <w:tcW w:w="1234" w:type="dxa"/>
            <w:noWrap w:val="0"/>
            <w:vAlign w:val="center"/>
          </w:tcPr>
          <w:p w14:paraId="28CD817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信贷副行长</w:t>
            </w:r>
          </w:p>
        </w:tc>
        <w:tc>
          <w:tcPr>
            <w:tcW w:w="1416" w:type="dxa"/>
            <w:noWrap w:val="0"/>
            <w:vAlign w:val="center"/>
          </w:tcPr>
          <w:p w14:paraId="4A37C82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both"/>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18007840168</w:t>
            </w:r>
          </w:p>
        </w:tc>
        <w:tc>
          <w:tcPr>
            <w:tcW w:w="3056" w:type="dxa"/>
            <w:noWrap w:val="0"/>
            <w:vAlign w:val="center"/>
          </w:tcPr>
          <w:p w14:paraId="4333AD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贺州市八步区八达西路652-1号</w:t>
            </w:r>
          </w:p>
        </w:tc>
      </w:tr>
      <w:tr w14:paraId="39E4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14:paraId="507FDD0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kern w:val="2"/>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广西贺州桂东农村合作银行平桂支行</w:t>
            </w:r>
          </w:p>
        </w:tc>
        <w:tc>
          <w:tcPr>
            <w:tcW w:w="1108" w:type="dxa"/>
            <w:noWrap w:val="0"/>
            <w:vAlign w:val="center"/>
          </w:tcPr>
          <w:p w14:paraId="35067AE7">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outlineLvl w:val="9"/>
              <w:rPr>
                <w:rFonts w:hint="eastAsia" w:ascii="宋体" w:eastAsia="宋体" w:cs="宋体"/>
                <w:color w:val="auto"/>
                <w:kern w:val="2"/>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古睿</w:t>
            </w:r>
          </w:p>
        </w:tc>
        <w:tc>
          <w:tcPr>
            <w:tcW w:w="1234" w:type="dxa"/>
            <w:noWrap w:val="0"/>
            <w:vAlign w:val="center"/>
          </w:tcPr>
          <w:p w14:paraId="42546A1D">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kern w:val="2"/>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信贷副行长</w:t>
            </w:r>
          </w:p>
        </w:tc>
        <w:tc>
          <w:tcPr>
            <w:tcW w:w="1416" w:type="dxa"/>
            <w:noWrap w:val="0"/>
            <w:vAlign w:val="center"/>
          </w:tcPr>
          <w:p w14:paraId="6C990E7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both"/>
              <w:textAlignment w:val="auto"/>
              <w:outlineLvl w:val="9"/>
              <w:rPr>
                <w:rFonts w:hint="eastAsia" w:ascii="宋体" w:eastAsia="宋体" w:cs="宋体"/>
                <w:color w:val="auto"/>
                <w:kern w:val="2"/>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18007840375</w:t>
            </w:r>
          </w:p>
        </w:tc>
        <w:tc>
          <w:tcPr>
            <w:tcW w:w="3056" w:type="dxa"/>
            <w:noWrap w:val="0"/>
            <w:vAlign w:val="center"/>
          </w:tcPr>
          <w:p w14:paraId="4CA0BFA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firstLine="0"/>
              <w:jc w:val="center"/>
              <w:textAlignment w:val="auto"/>
              <w:outlineLvl w:val="9"/>
              <w:rPr>
                <w:rFonts w:hint="eastAsia" w:ascii="宋体" w:eastAsia="宋体" w:cs="宋体"/>
                <w:color w:val="auto"/>
                <w:kern w:val="2"/>
                <w:sz w:val="21"/>
                <w:szCs w:val="21"/>
                <w:highlight w:val="none"/>
                <w:vertAlign w:val="baseline"/>
                <w:lang w:val="en-US" w:eastAsia="zh-CN" w:bidi="ar-SA"/>
              </w:rPr>
            </w:pPr>
            <w:r>
              <w:rPr>
                <w:rFonts w:hint="eastAsia" w:ascii="宋体" w:eastAsia="宋体" w:cs="宋体"/>
                <w:color w:val="auto"/>
                <w:sz w:val="21"/>
                <w:szCs w:val="21"/>
                <w:highlight w:val="none"/>
                <w:vertAlign w:val="baseline"/>
                <w:lang w:val="en-US" w:eastAsia="zh-CN" w:bidi="ar-SA"/>
              </w:rPr>
              <w:t>贺州市平桂区平桂大道财政局一楼</w:t>
            </w:r>
          </w:p>
        </w:tc>
      </w:tr>
    </w:tbl>
    <w:p w14:paraId="60BABA18">
      <w:pPr>
        <w:tabs>
          <w:tab w:val="left" w:pos="906"/>
        </w:tabs>
        <w:bidi w:val="0"/>
        <w:jc w:val="left"/>
        <w:rPr>
          <w:rFonts w:hint="eastAsia"/>
          <w:color w:val="auto"/>
          <w:highlight w:val="none"/>
          <w:lang w:val="en-US" w:eastAsia="zh-CN"/>
        </w:rPr>
      </w:pPr>
    </w:p>
    <w:p w14:paraId="072A6EC8">
      <w:pPr>
        <w:rPr>
          <w:rFonts w:hint="eastAsia"/>
          <w:color w:val="auto"/>
          <w:highlight w:val="none"/>
        </w:rPr>
      </w:pPr>
    </w:p>
    <w:sectPr>
      <w:pgSz w:w="11906" w:h="16838"/>
      <w:pgMar w:top="1134" w:right="1134" w:bottom="1134" w:left="1134"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9D5F">
    <w:pPr>
      <w:pStyle w:val="23"/>
      <w:tabs>
        <w:tab w:val="center" w:pos="4439"/>
        <w:tab w:val="clear" w:pos="4153"/>
      </w:tabs>
      <w:jc w:val="both"/>
    </w:pPr>
  </w:p>
  <w:p w14:paraId="14726A79">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6EB8">
    <w:pPr>
      <w:pStyle w:val="23"/>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25" cy="153670"/>
              <wp:effectExtent l="0" t="0" r="0" b="0"/>
              <wp:wrapNone/>
              <wp:docPr id="2" name="文本框 5124"/>
              <wp:cNvGraphicFramePr/>
              <a:graphic xmlns:a="http://schemas.openxmlformats.org/drawingml/2006/main">
                <a:graphicData uri="http://schemas.microsoft.com/office/word/2010/wordprocessingShape">
                  <wps:wsp>
                    <wps:cNvSpPr txBox="1"/>
                    <wps:spPr>
                      <a:xfrm>
                        <a:off x="0" y="0"/>
                        <a:ext cx="9525" cy="153670"/>
                      </a:xfrm>
                      <a:prstGeom prst="rect">
                        <a:avLst/>
                      </a:prstGeom>
                      <a:noFill/>
                      <a:ln>
                        <a:noFill/>
                      </a:ln>
                    </wps:spPr>
                    <wps:txbx>
                      <w:txbxContent>
                        <w:p w14:paraId="54B4D84D"/>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1pt;width:0.75pt;mso-position-horizontal:center;mso-position-horizontal-relative:margin;mso-wrap-style:none;z-index:251659264;mso-width-relative:page;mso-height-relative:page;" filled="f" stroked="f" coordsize="21600,21600" o:gfxdata="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blRY0AAAAAIBAAAPAAAAAAAAAAEAIAAAACIAAABkcnMvZG93&#10;bnJldi54bWxQSwECFAAUAAAACACHTuJAVMe5as8BAACYAwAADgAAAAAAAAABACAAAAAfAQAAZHJz&#10;L2Uyb0RvYy54bWxQSwUGAAAAAAYABgBZAQAAYAUAAAAA&#10;">
              <v:fill on="f" focussize="0,0"/>
              <v:stroke on="f"/>
              <v:imagedata o:title=""/>
              <o:lock v:ext="edit" aspectratio="f"/>
              <v:textbox inset="0mm,0mm,0mm,0mm" style="mso-fit-shape-to-text:t;">
                <w:txbxContent>
                  <w:p w14:paraId="54B4D84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24A9">
    <w:pPr>
      <w:pStyle w:val="23"/>
      <w:tabs>
        <w:tab w:val="center" w:pos="4439"/>
        <w:tab w:val="clear" w:pos="4153"/>
      </w:tabs>
      <w:jc w:val="both"/>
    </w:pPr>
  </w:p>
  <w:p w14:paraId="148F6838">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C6C7">
    <w:pPr>
      <w:pStyle w:val="23"/>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153670"/>
              <wp:effectExtent l="0" t="0" r="0" b="0"/>
              <wp:wrapNone/>
              <wp:docPr id="3" name="文本框 5126"/>
              <wp:cNvGraphicFramePr/>
              <a:graphic xmlns:a="http://schemas.openxmlformats.org/drawingml/2006/main">
                <a:graphicData uri="http://schemas.microsoft.com/office/word/2010/wordprocessingShape">
                  <wps:wsp>
                    <wps:cNvSpPr txBox="1"/>
                    <wps:spPr>
                      <a:xfrm>
                        <a:off x="0" y="0"/>
                        <a:ext cx="9525" cy="153670"/>
                      </a:xfrm>
                      <a:prstGeom prst="rect">
                        <a:avLst/>
                      </a:prstGeom>
                      <a:noFill/>
                      <a:ln>
                        <a:noFill/>
                      </a:ln>
                    </wps:spPr>
                    <wps:txbx>
                      <w:txbxContent>
                        <w:p w14:paraId="59D5D46A"/>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2.1pt;width:0.75pt;mso-position-horizontal:center;mso-position-horizontal-relative:margin;mso-wrap-style:none;z-index:251660288;mso-width-relative:page;mso-height-relative:page;" filled="f" stroked="f" coordsize="21600,21600" o:gfxdata="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5UWNAAAAACAQAADwAAAAAAAAABACAAAAAiAAAAZHJzL2Rv&#10;d25yZXYueG1sUEsBAhQAFAAAAAgAh07iQLUp5YDQAQAAmAMAAA4AAAAAAAAAAQAgAAAAHwEAAGRy&#10;cy9lMm9Eb2MueG1sUEsFBgAAAAAGAAYAWQEAAGEFAAAAAA==&#10;">
              <v:fill on="f" focussize="0,0"/>
              <v:stroke on="f"/>
              <v:imagedata o:title=""/>
              <o:lock v:ext="edit" aspectratio="f"/>
              <v:textbox inset="0mm,0mm,0mm,0mm" style="mso-fit-shape-to-text:t;">
                <w:txbxContent>
                  <w:p w14:paraId="59D5D46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63AE">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BB275">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85BB275">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3E8C">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0EF5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50EF5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7D8D">
    <w:pPr>
      <w:pStyle w:val="23"/>
      <w:wordWrap w:val="0"/>
      <w:jc w:val="right"/>
      <w:rPr>
        <w:rFonts w:hint="eastAsia" w:ascii="宋体"/>
        <w:sz w:val="28"/>
        <w:szCs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758BA">
                          <w:pPr>
                            <w:pStyle w:val="2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A758BA">
                    <w:pPr>
                      <w:pStyle w:val="2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04305">
    <w:pPr>
      <w:pStyle w:val="23"/>
      <w:rPr>
        <w:rFonts w:hint="eastAsia" w:ascii="宋体"/>
        <w:sz w:val="28"/>
        <w:szCs w:val="28"/>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67FB9">
                          <w:pPr>
                            <w:pStyle w:val="2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E967FB9">
                    <w:pPr>
                      <w:pStyle w:val="2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2422">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7F505">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97F505">
                    <w:pPr>
                      <w:pStyle w:val="2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292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3EB1">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43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B633E"/>
    <w:multiLevelType w:val="singleLevel"/>
    <w:tmpl w:val="229B633E"/>
    <w:lvl w:ilvl="0" w:tentative="0">
      <w:start w:val="2"/>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WQwNTVjZjk5N2RhZTVjOWRhMWIyMTcxMzQ2NTEifQ=="/>
    <w:docVar w:name="KSO_WPS_MARK_KEY" w:val="deb2cdb6-82da-4061-8060-61c62443d8a7"/>
  </w:docVars>
  <w:rsids>
    <w:rsidRoot w:val="00172A27"/>
    <w:rsid w:val="00784DBD"/>
    <w:rsid w:val="00BC57CD"/>
    <w:rsid w:val="012D5FC4"/>
    <w:rsid w:val="072D4C26"/>
    <w:rsid w:val="08E86D26"/>
    <w:rsid w:val="090549A5"/>
    <w:rsid w:val="09F71624"/>
    <w:rsid w:val="0A4F320E"/>
    <w:rsid w:val="0A9D2580"/>
    <w:rsid w:val="0B867103"/>
    <w:rsid w:val="0CAF268A"/>
    <w:rsid w:val="0D73544A"/>
    <w:rsid w:val="0DA8151C"/>
    <w:rsid w:val="0EFD34B8"/>
    <w:rsid w:val="0F156BDF"/>
    <w:rsid w:val="0F5D017B"/>
    <w:rsid w:val="0F9D2C6D"/>
    <w:rsid w:val="101D5EE1"/>
    <w:rsid w:val="11466566"/>
    <w:rsid w:val="11492393"/>
    <w:rsid w:val="1205460B"/>
    <w:rsid w:val="128F1124"/>
    <w:rsid w:val="14DA657B"/>
    <w:rsid w:val="15B108BE"/>
    <w:rsid w:val="169F376F"/>
    <w:rsid w:val="17916E96"/>
    <w:rsid w:val="17F230C8"/>
    <w:rsid w:val="182F2542"/>
    <w:rsid w:val="19765C47"/>
    <w:rsid w:val="1AB175CD"/>
    <w:rsid w:val="1D071594"/>
    <w:rsid w:val="1D15243C"/>
    <w:rsid w:val="1DDF7A40"/>
    <w:rsid w:val="1E641BF9"/>
    <w:rsid w:val="20220259"/>
    <w:rsid w:val="208953E6"/>
    <w:rsid w:val="23452FA8"/>
    <w:rsid w:val="2346744C"/>
    <w:rsid w:val="23724656"/>
    <w:rsid w:val="2389558B"/>
    <w:rsid w:val="23BE0FA1"/>
    <w:rsid w:val="256E3189"/>
    <w:rsid w:val="261A0C2B"/>
    <w:rsid w:val="26F176CF"/>
    <w:rsid w:val="27CD0D2A"/>
    <w:rsid w:val="28331124"/>
    <w:rsid w:val="2969299F"/>
    <w:rsid w:val="2AE7041B"/>
    <w:rsid w:val="2B76547C"/>
    <w:rsid w:val="2BD7710D"/>
    <w:rsid w:val="2D340315"/>
    <w:rsid w:val="2E61338C"/>
    <w:rsid w:val="2FAA48BF"/>
    <w:rsid w:val="308C1BC4"/>
    <w:rsid w:val="3224010A"/>
    <w:rsid w:val="322C5A5F"/>
    <w:rsid w:val="342030CB"/>
    <w:rsid w:val="359B5E74"/>
    <w:rsid w:val="36280219"/>
    <w:rsid w:val="36595CD9"/>
    <w:rsid w:val="3719686B"/>
    <w:rsid w:val="375D66BB"/>
    <w:rsid w:val="375F172E"/>
    <w:rsid w:val="38785BF3"/>
    <w:rsid w:val="3CE65032"/>
    <w:rsid w:val="3FD414E4"/>
    <w:rsid w:val="403E0013"/>
    <w:rsid w:val="42120EDA"/>
    <w:rsid w:val="429C2C27"/>
    <w:rsid w:val="42F0627D"/>
    <w:rsid w:val="456918B8"/>
    <w:rsid w:val="45847C92"/>
    <w:rsid w:val="46F648FA"/>
    <w:rsid w:val="492C50A5"/>
    <w:rsid w:val="4C5B491A"/>
    <w:rsid w:val="4D0C70AF"/>
    <w:rsid w:val="4F9806F6"/>
    <w:rsid w:val="51134562"/>
    <w:rsid w:val="5221616D"/>
    <w:rsid w:val="529A7148"/>
    <w:rsid w:val="53585496"/>
    <w:rsid w:val="53B10062"/>
    <w:rsid w:val="549F7EBB"/>
    <w:rsid w:val="54C96F5C"/>
    <w:rsid w:val="551B02B3"/>
    <w:rsid w:val="55E37428"/>
    <w:rsid w:val="55E9681E"/>
    <w:rsid w:val="56837DBC"/>
    <w:rsid w:val="58320A3B"/>
    <w:rsid w:val="58FA1B64"/>
    <w:rsid w:val="5AE91E90"/>
    <w:rsid w:val="5BA719CE"/>
    <w:rsid w:val="5C4E644E"/>
    <w:rsid w:val="5CA624CF"/>
    <w:rsid w:val="5D2D1041"/>
    <w:rsid w:val="5E0302CC"/>
    <w:rsid w:val="5E241400"/>
    <w:rsid w:val="5E432F68"/>
    <w:rsid w:val="5F2C67EF"/>
    <w:rsid w:val="5FEB1311"/>
    <w:rsid w:val="60844E7D"/>
    <w:rsid w:val="60A056E7"/>
    <w:rsid w:val="60E26544"/>
    <w:rsid w:val="64335342"/>
    <w:rsid w:val="64CA1C60"/>
    <w:rsid w:val="655343CB"/>
    <w:rsid w:val="69390486"/>
    <w:rsid w:val="69427472"/>
    <w:rsid w:val="6C143602"/>
    <w:rsid w:val="6C1B20C5"/>
    <w:rsid w:val="6D190628"/>
    <w:rsid w:val="6D3D4786"/>
    <w:rsid w:val="6F701013"/>
    <w:rsid w:val="700E441B"/>
    <w:rsid w:val="702160BA"/>
    <w:rsid w:val="70BD748F"/>
    <w:rsid w:val="743B76B6"/>
    <w:rsid w:val="7451463C"/>
    <w:rsid w:val="74E24209"/>
    <w:rsid w:val="754962E3"/>
    <w:rsid w:val="75680129"/>
    <w:rsid w:val="769F401E"/>
    <w:rsid w:val="7820387C"/>
    <w:rsid w:val="79147A06"/>
    <w:rsid w:val="793019C8"/>
    <w:rsid w:val="7CBB1486"/>
    <w:rsid w:val="7DA95783"/>
    <w:rsid w:val="7DB44496"/>
    <w:rsid w:val="7E097FCF"/>
    <w:rsid w:val="7E45533B"/>
    <w:rsid w:val="7E493F0F"/>
    <w:rsid w:val="7E8C6DAC"/>
    <w:rsid w:val="7F284D0C"/>
    <w:rsid w:val="7FA77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hAnsi="Arial" w:eastAsia="黑体" w:cs="Times New Roman"/>
      <w:kern w:val="0"/>
      <w:sz w:val="28"/>
      <w:szCs w:val="20"/>
      <w:lang w:bidi="ar-SA"/>
    </w:rPr>
  </w:style>
  <w:style w:type="paragraph" w:styleId="8">
    <w:name w:val="heading 5"/>
    <w:basedOn w:val="1"/>
    <w:next w:val="9"/>
    <w:qFormat/>
    <w:uiPriority w:val="0"/>
    <w:pPr>
      <w:keepNext/>
      <w:keepLines/>
      <w:widowControl w:val="0"/>
      <w:spacing w:before="280" w:after="290" w:line="376" w:lineRule="auto"/>
      <w:outlineLvl w:val="4"/>
    </w:pPr>
    <w:rPr>
      <w:b/>
      <w:bCs/>
      <w:sz w:val="28"/>
      <w:szCs w:val="28"/>
    </w:rPr>
  </w:style>
  <w:style w:type="paragraph" w:styleId="10">
    <w:name w:val="heading 7"/>
    <w:basedOn w:val="1"/>
    <w:next w:val="1"/>
    <w:qFormat/>
    <w:uiPriority w:val="0"/>
    <w:pPr>
      <w:keepNext/>
      <w:keepLines/>
      <w:widowControl w:val="0"/>
      <w:spacing w:before="240" w:after="64" w:line="319" w:lineRule="auto"/>
      <w:outlineLvl w:val="6"/>
    </w:pPr>
    <w:rPr>
      <w:b/>
      <w:bCs/>
      <w:sz w:val="24"/>
    </w:rPr>
  </w:style>
  <w:style w:type="paragraph" w:styleId="11">
    <w:name w:val="heading 8"/>
    <w:basedOn w:val="1"/>
    <w:next w:val="1"/>
    <w:qFormat/>
    <w:uiPriority w:val="0"/>
    <w:pPr>
      <w:keepNext/>
      <w:keepLines/>
      <w:widowControl w:val="0"/>
      <w:spacing w:before="240" w:after="64" w:line="319" w:lineRule="auto"/>
      <w:outlineLvl w:val="7"/>
    </w:pPr>
    <w:rPr>
      <w:rFonts w:ascii="等线 Light" w:eastAsia="等线 Light"/>
      <w:sz w:val="24"/>
    </w:rPr>
  </w:style>
  <w:style w:type="character" w:default="1" w:styleId="32">
    <w:name w:val="Default Paragraph Font"/>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Normal Indent"/>
    <w:basedOn w:val="1"/>
    <w:next w:val="1"/>
    <w:qFormat/>
    <w:uiPriority w:val="0"/>
    <w:pPr>
      <w:ind w:firstLine="420"/>
    </w:pPr>
    <w:rPr>
      <w:szCs w:val="20"/>
    </w:rPr>
  </w:style>
  <w:style w:type="paragraph" w:styleId="12">
    <w:name w:val="index 8"/>
    <w:basedOn w:val="1"/>
    <w:next w:val="1"/>
    <w:qFormat/>
    <w:uiPriority w:val="0"/>
    <w:pPr>
      <w:ind w:left="1400" w:leftChars="1400"/>
    </w:pPr>
    <w:rPr>
      <w:rFonts w:ascii="Times New Roman" w:hAnsi="Times New Roman" w:eastAsia="宋体" w:cs="Times New Roman"/>
      <w:lang w:bidi="ar-SA"/>
    </w:rPr>
  </w:style>
  <w:style w:type="paragraph" w:styleId="13">
    <w:name w:val="List Number"/>
    <w:basedOn w:val="1"/>
    <w:qFormat/>
    <w:uiPriority w:val="0"/>
    <w:pPr>
      <w:widowControl/>
      <w:tabs>
        <w:tab w:val="left" w:pos="454"/>
        <w:tab w:val="left" w:pos="720"/>
        <w:tab w:val="left" w:pos="840"/>
      </w:tabs>
      <w:spacing w:after="50"/>
      <w:ind w:left="454" w:hanging="284"/>
      <w:jc w:val="left"/>
    </w:pPr>
    <w:rPr>
      <w:kern w:val="0"/>
      <w:sz w:val="24"/>
      <w:szCs w:val="20"/>
    </w:rPr>
  </w:style>
  <w:style w:type="paragraph" w:styleId="14">
    <w:name w:val="annotation text"/>
    <w:basedOn w:val="1"/>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next w:val="1"/>
    <w:qFormat/>
    <w:uiPriority w:val="0"/>
    <w:pPr>
      <w:spacing w:after="120"/>
    </w:pPr>
  </w:style>
  <w:style w:type="paragraph" w:styleId="17">
    <w:name w:val="Body Text Indent"/>
    <w:basedOn w:val="1"/>
    <w:next w:val="1"/>
    <w:qFormat/>
    <w:uiPriority w:val="0"/>
    <w:pPr>
      <w:ind w:firstLine="352" w:firstLineChars="352"/>
    </w:pPr>
    <w:rPr>
      <w:rFonts w:ascii="仿宋_GB2312" w:eastAsia="仿宋_GB2312"/>
      <w:kern w:val="0"/>
      <w:sz w:val="32"/>
      <w:szCs w:val="20"/>
    </w:rPr>
  </w:style>
  <w:style w:type="paragraph" w:styleId="18">
    <w:name w:val="List 2"/>
    <w:basedOn w:val="1"/>
    <w:qFormat/>
    <w:uiPriority w:val="0"/>
    <w:pPr>
      <w:ind w:left="400" w:leftChars="200" w:hanging="200" w:hangingChars="200"/>
      <w:contextualSpacing/>
    </w:pPr>
  </w:style>
  <w:style w:type="paragraph" w:styleId="19">
    <w:name w:val="Plain Text"/>
    <w:basedOn w:val="1"/>
    <w:next w:val="20"/>
    <w:qFormat/>
    <w:uiPriority w:val="0"/>
    <w:rPr>
      <w:rFonts w:ascii="宋体"/>
      <w:kern w:val="0"/>
      <w:sz w:val="20"/>
      <w:szCs w:val="21"/>
    </w:rPr>
  </w:style>
  <w:style w:type="paragraph" w:styleId="20">
    <w:name w:val="Intense Quote"/>
    <w:basedOn w:val="1"/>
    <w:next w:val="1"/>
    <w:qFormat/>
    <w:uiPriority w:val="30"/>
    <w:pPr>
      <w:framePr w:wrap="around" w:vAnchor="margin" w:hAnchor="text" w:y="1"/>
      <w:widowControl/>
      <w:pBdr>
        <w:top w:val="single" w:color="4F81BD" w:sz="4" w:space="10"/>
        <w:bottom w:val="single" w:color="4F81BD" w:sz="4" w:space="10"/>
      </w:pBdr>
      <w:spacing w:before="360" w:after="360"/>
      <w:ind w:left="864" w:right="864"/>
      <w:jc w:val="center"/>
    </w:pPr>
    <w:rPr>
      <w:rFonts w:eastAsia="Arial Unicode MS"/>
      <w:i/>
      <w:iCs/>
      <w:color w:val="4F81BD"/>
      <w:kern w:val="0"/>
      <w:sz w:val="24"/>
      <w:lang w:eastAsia="en-US"/>
    </w:rPr>
  </w:style>
  <w:style w:type="paragraph" w:styleId="21">
    <w:name w:val="Date"/>
    <w:basedOn w:val="1"/>
    <w:next w:val="1"/>
    <w:qFormat/>
    <w:uiPriority w:val="0"/>
    <w:pPr>
      <w:ind w:left="2500" w:leftChars="2500"/>
    </w:p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kern w:val="0"/>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0"/>
  </w:style>
  <w:style w:type="paragraph" w:styleId="26">
    <w:name w:val="toc 2"/>
    <w:basedOn w:val="1"/>
    <w:next w:val="1"/>
    <w:qFormat/>
    <w:uiPriority w:val="0"/>
    <w:pPr>
      <w:tabs>
        <w:tab w:val="right" w:leader="dot" w:pos="8296"/>
      </w:tabs>
      <w:ind w:left="200" w:leftChars="200"/>
    </w:pPr>
  </w:style>
  <w:style w:type="paragraph" w:styleId="27">
    <w:name w:val="Body Text 2"/>
    <w:basedOn w:val="1"/>
    <w:qFormat/>
    <w:uiPriority w:val="0"/>
    <w:pPr>
      <w:spacing w:after="120" w:line="480" w:lineRule="auto"/>
    </w:pPr>
  </w:style>
  <w:style w:type="paragraph" w:styleId="28">
    <w:name w:val="Normal (Web)"/>
    <w:basedOn w:val="1"/>
    <w:qFormat/>
    <w:uiPriority w:val="0"/>
    <w:pPr>
      <w:spacing w:before="0" w:beforeAutospacing="0" w:after="0" w:afterAutospacing="0"/>
      <w:ind w:left="0" w:right="0"/>
      <w:jc w:val="both"/>
    </w:pPr>
    <w:rPr>
      <w:rFonts w:ascii="Calibri" w:hAnsi="Calibri" w:cs="Calibri"/>
      <w:kern w:val="0"/>
      <w:sz w:val="24"/>
      <w:szCs w:val="24"/>
      <w:lang w:val="en-US" w:eastAsia="zh-CN" w:bidi="ar"/>
    </w:rPr>
  </w:style>
  <w:style w:type="paragraph" w:styleId="29">
    <w:name w:val="annotation subject"/>
    <w:basedOn w:val="14"/>
    <w:next w:val="14"/>
    <w:qFormat/>
    <w:uiPriority w:val="0"/>
    <w:rPr>
      <w:b/>
      <w:bCs/>
    </w:rPr>
  </w:style>
  <w:style w:type="paragraph" w:styleId="30">
    <w:name w:val="Body Text First Indent 2"/>
    <w:basedOn w:val="17"/>
    <w:next w:val="1"/>
    <w:qFormat/>
    <w:uiPriority w:val="0"/>
  </w:style>
  <w:style w:type="character" w:styleId="33">
    <w:name w:val="endnote reference"/>
    <w:qFormat/>
    <w:uiPriority w:val="0"/>
    <w:rPr>
      <w:vertAlign w:val="superscript"/>
    </w:rPr>
  </w:style>
  <w:style w:type="character" w:styleId="34">
    <w:name w:val="Hyperlink"/>
    <w:basedOn w:val="32"/>
    <w:qFormat/>
    <w:uiPriority w:val="0"/>
    <w:rPr>
      <w:color w:val="0000FF"/>
      <w:u w:val="single"/>
    </w:rPr>
  </w:style>
  <w:style w:type="character" w:styleId="35">
    <w:name w:val="annotation reference"/>
    <w:qFormat/>
    <w:uiPriority w:val="0"/>
    <w:rPr>
      <w:sz w:val="21"/>
      <w:szCs w:val="21"/>
    </w:rPr>
  </w:style>
  <w:style w:type="character" w:customStyle="1" w:styleId="36">
    <w:name w:val="font31"/>
    <w:qFormat/>
    <w:uiPriority w:val="0"/>
    <w:rPr>
      <w:rFonts w:ascii="宋体" w:eastAsia="宋体" w:cs="宋体"/>
      <w:color w:val="000000"/>
      <w:sz w:val="36"/>
      <w:szCs w:val="36"/>
      <w:u w:val="none"/>
      <w:lang w:bidi="ar-SA"/>
    </w:rPr>
  </w:style>
  <w:style w:type="character" w:customStyle="1" w:styleId="37">
    <w:name w:val="标题 1 字符1"/>
    <w:qFormat/>
    <w:uiPriority w:val="0"/>
    <w:rPr>
      <w:b/>
      <w:bCs/>
      <w:kern w:val="44"/>
      <w:sz w:val="44"/>
      <w:szCs w:val="44"/>
    </w:rPr>
  </w:style>
  <w:style w:type="character" w:customStyle="1" w:styleId="38">
    <w:name w:val="标题 2 Char"/>
    <w:qFormat/>
    <w:uiPriority w:val="0"/>
    <w:rPr>
      <w:rFonts w:ascii="Cambria" w:hAnsi="Cambria" w:eastAsia="宋体" w:cs="Times New Roman"/>
      <w:b/>
      <w:bCs/>
      <w:kern w:val="2"/>
      <w:sz w:val="32"/>
      <w:szCs w:val="32"/>
      <w:lang w:bidi="ar-SA"/>
    </w:rPr>
  </w:style>
  <w:style w:type="character" w:customStyle="1" w:styleId="39">
    <w:name w:val="正文文本 Char"/>
    <w:qFormat/>
    <w:uiPriority w:val="0"/>
    <w:rPr>
      <w:rFonts w:ascii="Times New Roman" w:hAnsi="Times New Roman"/>
      <w:kern w:val="2"/>
      <w:sz w:val="21"/>
      <w:szCs w:val="24"/>
    </w:rPr>
  </w:style>
  <w:style w:type="character" w:customStyle="1" w:styleId="40">
    <w:name w:val="批注文字 Char"/>
    <w:qFormat/>
    <w:uiPriority w:val="0"/>
    <w:rPr>
      <w:rFonts w:ascii="Times New Roman" w:hAnsi="Times New Roman"/>
      <w:kern w:val="2"/>
      <w:sz w:val="21"/>
      <w:szCs w:val="24"/>
    </w:rPr>
  </w:style>
  <w:style w:type="character" w:customStyle="1" w:styleId="41">
    <w:name w:val="textcontents"/>
    <w:qFormat/>
    <w:uiPriority w:val="0"/>
  </w:style>
  <w:style w:type="character" w:customStyle="1" w:styleId="42">
    <w:name w:val="批注文字 Char2"/>
    <w:qFormat/>
    <w:uiPriority w:val="0"/>
    <w:rPr>
      <w:rFonts w:ascii="Times New Roman" w:hAnsi="Times New Roman"/>
      <w:kern w:val="2"/>
      <w:sz w:val="21"/>
      <w:szCs w:val="24"/>
    </w:rPr>
  </w:style>
  <w:style w:type="character" w:customStyle="1" w:styleId="43">
    <w:name w:val="纯文本 字符1"/>
    <w:qFormat/>
    <w:uiPriority w:val="0"/>
    <w:rPr>
      <w:rFonts w:ascii="宋体"/>
    </w:rPr>
  </w:style>
  <w:style w:type="character" w:customStyle="1" w:styleId="44">
    <w:name w:val="font41"/>
    <w:qFormat/>
    <w:uiPriority w:val="0"/>
    <w:rPr>
      <w:rFonts w:ascii="宋体" w:eastAsia="宋体" w:cs="宋体"/>
      <w:color w:val="000000"/>
      <w:sz w:val="36"/>
      <w:szCs w:val="36"/>
      <w:u w:val="single"/>
      <w:lang w:bidi="ar-SA"/>
    </w:rPr>
  </w:style>
  <w:style w:type="character" w:customStyle="1" w:styleId="45">
    <w:name w:val="apple-style-span"/>
    <w:qFormat/>
    <w:uiPriority w:val="0"/>
  </w:style>
  <w:style w:type="character" w:customStyle="1" w:styleId="46">
    <w:name w:val="标题 8 Char"/>
    <w:qFormat/>
    <w:uiPriority w:val="0"/>
    <w:rPr>
      <w:rFonts w:ascii="Arial" w:hAnsi="Arial" w:eastAsia="黑体"/>
      <w:kern w:val="2"/>
      <w:sz w:val="24"/>
      <w:szCs w:val="24"/>
    </w:rPr>
  </w:style>
  <w:style w:type="character" w:customStyle="1" w:styleId="47">
    <w:name w:val="正文文本 字符"/>
    <w:qFormat/>
    <w:uiPriority w:val="0"/>
    <w:rPr>
      <w:rFonts w:ascii="Times New Roman" w:hAnsi="Times New Roman"/>
      <w:kern w:val="2"/>
      <w:sz w:val="21"/>
      <w:szCs w:val="24"/>
    </w:rPr>
  </w:style>
  <w:style w:type="character" w:customStyle="1" w:styleId="48">
    <w:name w:val="批注文字 字符"/>
    <w:qFormat/>
    <w:uiPriority w:val="0"/>
    <w:rPr>
      <w:rFonts w:ascii="Times New Roman" w:hAnsi="Times New Roman"/>
      <w:kern w:val="2"/>
      <w:sz w:val="21"/>
      <w:szCs w:val="24"/>
    </w:rPr>
  </w:style>
  <w:style w:type="character" w:customStyle="1" w:styleId="49">
    <w:name w:val="正文文本 (26) + 间距 0 pt"/>
    <w:qFormat/>
    <w:uiPriority w:val="0"/>
    <w:rPr>
      <w:rFonts w:ascii="宋体" w:eastAsia="宋体" w:cs="宋体"/>
      <w:color w:val="000000"/>
      <w:spacing w:val="0"/>
      <w:w w:val="100"/>
      <w:position w:val="0"/>
      <w:sz w:val="22"/>
      <w:szCs w:val="22"/>
      <w:u w:val="none"/>
      <w:lang w:val="zh-CN" w:eastAsia="zh-CN" w:bidi="zh-CN"/>
    </w:rPr>
  </w:style>
  <w:style w:type="character" w:customStyle="1" w:styleId="50">
    <w:name w:val="纯文本 字符"/>
    <w:qFormat/>
    <w:uiPriority w:val="0"/>
    <w:rPr>
      <w:rFonts w:ascii="宋体" w:eastAsia="宋体" w:cs="Courier New"/>
      <w:szCs w:val="21"/>
      <w:lang w:bidi="ar-SA"/>
    </w:rPr>
  </w:style>
  <w:style w:type="character" w:customStyle="1" w:styleId="51">
    <w:name w:val="纯文本 Char"/>
    <w:qFormat/>
    <w:uiPriority w:val="0"/>
    <w:rPr>
      <w:rFonts w:ascii="宋体" w:eastAsia="宋体" w:cs="Courier New"/>
      <w:szCs w:val="21"/>
      <w:lang w:bidi="ar-SA"/>
    </w:rPr>
  </w:style>
  <w:style w:type="character" w:customStyle="1" w:styleId="52">
    <w:name w:val="纯文本 字符2"/>
    <w:qFormat/>
    <w:uiPriority w:val="0"/>
    <w:rPr>
      <w:rFonts w:ascii="宋体" w:eastAsia="宋体" w:cs="Courier New"/>
      <w:szCs w:val="21"/>
      <w:lang w:bidi="ar-SA"/>
    </w:rPr>
  </w:style>
  <w:style w:type="character" w:customStyle="1" w:styleId="53">
    <w:name w:val="批注文字 字符1"/>
    <w:qFormat/>
    <w:uiPriority w:val="0"/>
    <w:rPr>
      <w:rFonts w:ascii="Times New Roman" w:hAnsi="Times New Roman"/>
      <w:kern w:val="2"/>
      <w:sz w:val="21"/>
      <w:szCs w:val="24"/>
    </w:rPr>
  </w:style>
  <w:style w:type="character" w:customStyle="1" w:styleId="54">
    <w:name w:val="NormalCharacter"/>
    <w:qFormat/>
    <w:uiPriority w:val="0"/>
  </w:style>
  <w:style w:type="paragraph" w:customStyle="1" w:styleId="55">
    <w:name w:val="正文1"/>
    <w:basedOn w:val="1"/>
    <w:next w:val="56"/>
    <w:qFormat/>
    <w:uiPriority w:val="0"/>
    <w:pPr>
      <w:adjustRightInd w:val="0"/>
      <w:spacing w:line="318" w:lineRule="atLeast"/>
      <w:ind w:left="369" w:firstLine="369"/>
      <w:textAlignment w:val="baseline"/>
    </w:pPr>
    <w:rPr>
      <w:rFonts w:ascii="宋体"/>
      <w:szCs w:val="20"/>
    </w:rPr>
  </w:style>
  <w:style w:type="paragraph" w:customStyle="1" w:styleId="56">
    <w:name w:val="目录 11"/>
    <w:basedOn w:val="55"/>
    <w:next w:val="55"/>
    <w:qFormat/>
    <w:uiPriority w:val="0"/>
    <w:pPr>
      <w:spacing w:before="120" w:after="120"/>
      <w:jc w:val="left"/>
    </w:pPr>
    <w:rPr>
      <w:rFonts w:ascii="Calibri" w:hAnsi="Calibri"/>
      <w:b/>
      <w:bCs/>
      <w:caps/>
      <w:sz w:val="20"/>
    </w:rPr>
  </w:style>
  <w:style w:type="paragraph" w:customStyle="1" w:styleId="57">
    <w:name w:val="Table Paragraph"/>
    <w:basedOn w:val="1"/>
    <w:qFormat/>
    <w:uiPriority w:val="0"/>
    <w:pPr>
      <w:jc w:val="left"/>
    </w:pPr>
    <w:rPr>
      <w:rFonts w:ascii="Calibri" w:hAnsi="Calibri"/>
      <w:kern w:val="0"/>
      <w:sz w:val="22"/>
      <w:szCs w:val="22"/>
    </w:rPr>
  </w:style>
  <w:style w:type="paragraph" w:styleId="58">
    <w:name w:val="List Paragraph"/>
    <w:basedOn w:val="1"/>
    <w:qFormat/>
    <w:uiPriority w:val="0"/>
    <w:pPr>
      <w:ind w:firstLine="200" w:firstLineChars="200"/>
    </w:pPr>
  </w:style>
  <w:style w:type="paragraph" w:customStyle="1" w:styleId="59">
    <w:name w:val="TOC 标题2"/>
    <w:next w:val="1"/>
    <w:qFormat/>
    <w:uiPriority w:val="0"/>
    <w:pPr>
      <w:wordWrap w:val="0"/>
    </w:pPr>
    <w:rPr>
      <w:rFonts w:ascii="Times New Roman" w:hAnsi="Times New Roman" w:eastAsia="宋体" w:cs="Times New Roman"/>
      <w:sz w:val="32"/>
      <w:szCs w:val="22"/>
      <w:lang w:val="en-US" w:eastAsia="zh-CN" w:bidi="ar-SA"/>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表内文字"/>
    <w:basedOn w:val="1"/>
    <w:qFormat/>
    <w:uiPriority w:val="0"/>
    <w:pPr>
      <w:snapToGrid w:val="0"/>
      <w:spacing w:before="50" w:after="50"/>
      <w:jc w:val="center"/>
    </w:pPr>
    <w:rPr>
      <w:rFonts w:ascii="仿宋_GB2312" w:eastAsia="仿宋_GB2312"/>
      <w:b/>
      <w:color w:val="000000"/>
      <w:sz w:val="32"/>
      <w:szCs w:val="32"/>
    </w:rPr>
  </w:style>
  <w:style w:type="paragraph" w:customStyle="1" w:styleId="62">
    <w:name w:val="p0"/>
    <w:basedOn w:val="1"/>
    <w:qFormat/>
    <w:uiPriority w:val="0"/>
    <w:pPr>
      <w:widowControl/>
    </w:pPr>
    <w:rPr>
      <w:kern w:val="0"/>
      <w:szCs w:val="21"/>
    </w:rPr>
  </w:style>
  <w:style w:type="paragraph" w:customStyle="1" w:styleId="63">
    <w:name w:val="Table Text"/>
    <w:basedOn w:val="1"/>
    <w:qFormat/>
    <w:uiPriority w:val="0"/>
    <w:rPr>
      <w:rFonts w:ascii="宋体" w:eastAsia="宋体" w:cs="宋体"/>
      <w:sz w:val="20"/>
      <w:szCs w:val="20"/>
      <w:lang w:bidi="ar-SA"/>
    </w:rPr>
  </w:style>
  <w:style w:type="paragraph" w:customStyle="1" w:styleId="64">
    <w:name w:val="_Style 63"/>
    <w:qFormat/>
    <w:uiPriority w:val="0"/>
    <w:rPr>
      <w:rFonts w:ascii="Times New Roman" w:hAnsi="Times New Roman" w:eastAsia="宋体" w:cs="Times New Roman"/>
      <w:kern w:val="2"/>
      <w:sz w:val="21"/>
      <w:szCs w:val="24"/>
      <w:lang w:val="en-US" w:eastAsia="zh-CN" w:bidi="ar-SA"/>
    </w:rPr>
  </w:style>
  <w:style w:type="paragraph" w:customStyle="1" w:styleId="65">
    <w:name w:val="Title1"/>
    <w:basedOn w:val="1"/>
    <w:next w:val="1"/>
    <w:qFormat/>
    <w:uiPriority w:val="0"/>
    <w:pPr>
      <w:jc w:val="center"/>
      <w:outlineLvl w:val="0"/>
    </w:pPr>
    <w:rPr>
      <w:rFonts w:ascii="Calibri Light" w:hAnsi="Calibri Light" w:eastAsia="Arial Unicode MS"/>
      <w:b/>
    </w:rPr>
  </w:style>
  <w:style w:type="paragraph" w:customStyle="1" w:styleId="66">
    <w:name w:val="正文-公1"/>
    <w:basedOn w:val="1"/>
    <w:qFormat/>
    <w:uiPriority w:val="0"/>
    <w:pPr>
      <w:ind w:firstLine="200" w:firstLineChars="200"/>
      <w:jc w:val="left"/>
    </w:pPr>
    <w:rPr>
      <w:rFonts w:eastAsia="仿宋_GB2312"/>
    </w:rPr>
  </w:style>
  <w:style w:type="paragraph" w:customStyle="1" w:styleId="67">
    <w:name w:val="首行缩进"/>
    <w:basedOn w:val="1"/>
    <w:qFormat/>
    <w:uiPriority w:val="0"/>
    <w:pPr>
      <w:ind w:firstLine="200" w:firstLineChars="200"/>
    </w:pPr>
  </w:style>
  <w:style w:type="paragraph" w:customStyle="1" w:styleId="68">
    <w:name w:val="样式 标题 2 + 宋体"/>
    <w:basedOn w:val="5"/>
    <w:qFormat/>
    <w:uiPriority w:val="0"/>
    <w:rPr>
      <w:rFonts w:ascii="宋体"/>
      <w:sz w:val="30"/>
    </w:rPr>
  </w:style>
  <w:style w:type="paragraph" w:customStyle="1" w:styleId="69">
    <w:name w:val="段"/>
    <w:next w:val="1"/>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kern w:val="2"/>
      <w:sz w:val="21"/>
      <w:szCs w:val="22"/>
      <w:lang w:val="en-US" w:eastAsia="zh-CN" w:bidi="ar-SA"/>
    </w:rPr>
  </w:style>
  <w:style w:type="table" w:customStyle="1" w:styleId="7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广西国泰招标</Company>
  <Pages>72</Pages>
  <Words>10212</Words>
  <Characters>11068</Characters>
  <TotalTime>37</TotalTime>
  <ScaleCrop>false</ScaleCrop>
  <LinksUpToDate>false</LinksUpToDate>
  <CharactersWithSpaces>11257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2021-11-29T01:43:00Z</dcterms:created>
  <dc:creator>广西国泰招标</dc:creator>
  <cp:lastModifiedBy>0000</cp:lastModifiedBy>
  <cp:lastPrinted>2024-11-07T09:31:00Z</cp:lastPrinted>
  <dcterms:modified xsi:type="dcterms:W3CDTF">2024-11-21T08:28:30Z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B4EB2A0CBB4D4CEBB1B3ABC9DFAE6D25</vt:lpwstr>
  </property>
</Properties>
</file>