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4F7A9">
      <w:pPr>
        <w:rPr>
          <w:rFonts w:hAnsi="宋体"/>
          <w:b/>
          <w:color w:val="auto"/>
          <w:kern w:val="2"/>
          <w:sz w:val="40"/>
          <w:szCs w:val="44"/>
          <w:highlight w:val="none"/>
        </w:rPr>
      </w:pPr>
      <w:bookmarkStart w:id="0" w:name="_Toc533781553"/>
    </w:p>
    <w:p w14:paraId="5F3D9D1A">
      <w:pPr>
        <w:ind w:right="-304" w:rightChars="-145"/>
        <w:jc w:val="center"/>
        <w:rPr>
          <w:rFonts w:hint="eastAsia" w:hAnsi="宋体"/>
          <w:b/>
          <w:bCs/>
          <w:color w:val="auto"/>
          <w:kern w:val="2"/>
          <w:sz w:val="21"/>
          <w:szCs w:val="21"/>
          <w:highlight w:val="none"/>
          <w:lang w:val="en-US" w:eastAsia="zh-CN"/>
        </w:rPr>
      </w:pPr>
    </w:p>
    <w:p w14:paraId="215BDA67">
      <w:pPr>
        <w:keepNext w:val="0"/>
        <w:keepLines w:val="0"/>
        <w:pageBreakBefore w:val="0"/>
        <w:widowControl w:val="0"/>
        <w:kinsoku/>
        <w:wordWrap/>
        <w:overflowPunct/>
        <w:topLinePunct w:val="0"/>
        <w:autoSpaceDE/>
        <w:autoSpaceDN/>
        <w:bidi w:val="0"/>
        <w:snapToGrid/>
        <w:spacing w:line="360" w:lineRule="auto"/>
        <w:ind w:right="-304" w:rightChars="-145" w:firstLine="442" w:firstLineChars="100"/>
        <w:jc w:val="center"/>
        <w:rPr>
          <w:rFonts w:hint="eastAsia" w:hAnsi="宋体"/>
          <w:b/>
          <w:bCs/>
          <w:color w:val="auto"/>
          <w:kern w:val="2"/>
          <w:sz w:val="44"/>
          <w:szCs w:val="44"/>
          <w:highlight w:val="none"/>
          <w:lang w:val="en-US" w:eastAsia="zh-CN"/>
        </w:rPr>
      </w:pPr>
      <w:r>
        <w:rPr>
          <w:rFonts w:hint="eastAsia" w:hAnsi="宋体"/>
          <w:b/>
          <w:bCs/>
          <w:color w:val="auto"/>
          <w:kern w:val="2"/>
          <w:sz w:val="44"/>
          <w:szCs w:val="44"/>
          <w:highlight w:val="none"/>
          <w:lang w:val="en-US" w:eastAsia="zh-CN"/>
        </w:rPr>
        <w:t>贺州江氏客家围屋--北二横屋、北牲畜房保护</w:t>
      </w:r>
    </w:p>
    <w:p w14:paraId="68B86430">
      <w:pPr>
        <w:keepNext w:val="0"/>
        <w:keepLines w:val="0"/>
        <w:pageBreakBefore w:val="0"/>
        <w:widowControl w:val="0"/>
        <w:kinsoku/>
        <w:wordWrap/>
        <w:overflowPunct/>
        <w:topLinePunct w:val="0"/>
        <w:autoSpaceDE/>
        <w:autoSpaceDN/>
        <w:bidi w:val="0"/>
        <w:snapToGrid/>
        <w:spacing w:line="360" w:lineRule="auto"/>
        <w:ind w:right="-304" w:rightChars="-145" w:firstLine="442" w:firstLineChars="100"/>
        <w:jc w:val="center"/>
        <w:rPr>
          <w:rFonts w:hAnsi="宋体"/>
          <w:b/>
          <w:bCs/>
          <w:color w:val="auto"/>
          <w:kern w:val="2"/>
          <w:sz w:val="44"/>
          <w:szCs w:val="44"/>
          <w:highlight w:val="none"/>
        </w:rPr>
      </w:pPr>
      <w:r>
        <w:rPr>
          <w:rFonts w:hint="eastAsia" w:hAnsi="宋体"/>
          <w:b/>
          <w:bCs/>
          <w:color w:val="auto"/>
          <w:kern w:val="2"/>
          <w:sz w:val="44"/>
          <w:szCs w:val="44"/>
          <w:highlight w:val="none"/>
          <w:lang w:val="en-US" w:eastAsia="zh-CN"/>
        </w:rPr>
        <w:t>修缮工程</w:t>
      </w:r>
    </w:p>
    <w:p w14:paraId="234D57F9">
      <w:pPr>
        <w:pStyle w:val="2"/>
        <w:keepNext w:val="0"/>
        <w:keepLines w:val="0"/>
        <w:pageBreakBefore w:val="0"/>
        <w:widowControl w:val="0"/>
        <w:kinsoku/>
        <w:wordWrap/>
        <w:overflowPunct/>
        <w:topLinePunct w:val="0"/>
        <w:autoSpaceDE/>
        <w:autoSpaceDN/>
        <w:bidi w:val="0"/>
        <w:snapToGrid/>
        <w:spacing w:line="360" w:lineRule="auto"/>
        <w:ind w:left="63" w:right="63"/>
        <w:jc w:val="center"/>
        <w:rPr>
          <w:color w:val="auto"/>
          <w:sz w:val="44"/>
          <w:szCs w:val="44"/>
          <w:highlight w:val="none"/>
        </w:rPr>
      </w:pPr>
    </w:p>
    <w:p w14:paraId="47BABB16">
      <w:pPr>
        <w:jc w:val="center"/>
        <w:rPr>
          <w:rFonts w:hint="eastAsia" w:hAnsi="宋体"/>
          <w:b/>
          <w:bCs/>
          <w:color w:val="auto"/>
          <w:kern w:val="2"/>
          <w:sz w:val="72"/>
          <w:szCs w:val="72"/>
          <w:highlight w:val="none"/>
        </w:rPr>
      </w:pPr>
    </w:p>
    <w:p w14:paraId="28299189">
      <w:pPr>
        <w:pStyle w:val="2"/>
        <w:ind w:left="0" w:leftChars="0" w:firstLine="0" w:firstLineChars="0"/>
        <w:jc w:val="both"/>
        <w:rPr>
          <w:rFonts w:hint="eastAsia" w:hAnsi="宋体"/>
          <w:b/>
          <w:bCs/>
          <w:color w:val="auto"/>
          <w:kern w:val="2"/>
          <w:sz w:val="30"/>
          <w:szCs w:val="30"/>
          <w:highlight w:val="none"/>
        </w:rPr>
      </w:pPr>
    </w:p>
    <w:p w14:paraId="09C1665C">
      <w:pPr>
        <w:pStyle w:val="2"/>
        <w:rPr>
          <w:rFonts w:hint="eastAsia" w:hAnsi="宋体"/>
          <w:b/>
          <w:bCs/>
          <w:color w:val="auto"/>
          <w:kern w:val="2"/>
          <w:sz w:val="30"/>
          <w:szCs w:val="30"/>
          <w:highlight w:val="none"/>
        </w:rPr>
      </w:pPr>
    </w:p>
    <w:p w14:paraId="64824D8C">
      <w:pPr>
        <w:jc w:val="center"/>
        <w:rPr>
          <w:rFonts w:hAnsi="宋体"/>
          <w:b/>
          <w:bCs/>
          <w:color w:val="auto"/>
          <w:kern w:val="2"/>
          <w:sz w:val="72"/>
          <w:szCs w:val="72"/>
          <w:highlight w:val="none"/>
        </w:rPr>
      </w:pPr>
      <w:r>
        <w:rPr>
          <w:rFonts w:hint="eastAsia" w:hAnsi="宋体"/>
          <w:b/>
          <w:bCs/>
          <w:color w:val="auto"/>
          <w:kern w:val="2"/>
          <w:sz w:val="72"/>
          <w:szCs w:val="72"/>
          <w:highlight w:val="none"/>
        </w:rPr>
        <w:t>竞争性磋商文件</w:t>
      </w:r>
    </w:p>
    <w:p w14:paraId="22423C3F">
      <w:pPr>
        <w:rPr>
          <w:rFonts w:hAnsi="宋体"/>
          <w:color w:val="auto"/>
          <w:kern w:val="2"/>
          <w:szCs w:val="20"/>
          <w:highlight w:val="none"/>
        </w:rPr>
      </w:pPr>
    </w:p>
    <w:p w14:paraId="04DBC0B9">
      <w:pPr>
        <w:rPr>
          <w:rFonts w:hAnsi="宋体"/>
          <w:color w:val="auto"/>
          <w:kern w:val="2"/>
          <w:szCs w:val="20"/>
          <w:highlight w:val="none"/>
        </w:rPr>
      </w:pPr>
    </w:p>
    <w:p w14:paraId="4BB85E5E">
      <w:pPr>
        <w:rPr>
          <w:rFonts w:hAnsi="宋体"/>
          <w:color w:val="auto"/>
          <w:kern w:val="2"/>
          <w:szCs w:val="20"/>
          <w:highlight w:val="none"/>
        </w:rPr>
      </w:pPr>
    </w:p>
    <w:p w14:paraId="1B5CF023">
      <w:pPr>
        <w:pStyle w:val="2"/>
        <w:rPr>
          <w:color w:val="auto"/>
          <w:highlight w:val="none"/>
        </w:rPr>
      </w:pPr>
    </w:p>
    <w:p w14:paraId="75A4FBA6">
      <w:pPr>
        <w:rPr>
          <w:rFonts w:hAnsi="宋体"/>
          <w:color w:val="auto"/>
          <w:kern w:val="2"/>
          <w:szCs w:val="20"/>
          <w:highlight w:val="none"/>
        </w:rPr>
      </w:pPr>
    </w:p>
    <w:p w14:paraId="5F666302">
      <w:pPr>
        <w:ind w:firstLine="1606" w:firstLineChars="500"/>
        <w:jc w:val="both"/>
        <w:rPr>
          <w:rFonts w:hint="eastAsia" w:hAnsi="宋体" w:eastAsia="宋体"/>
          <w:b/>
          <w:color w:val="auto"/>
          <w:kern w:val="2"/>
          <w:sz w:val="32"/>
          <w:szCs w:val="32"/>
          <w:highlight w:val="none"/>
          <w:u w:val="single"/>
          <w:lang w:eastAsia="zh-CN"/>
        </w:rPr>
      </w:pPr>
      <w:r>
        <w:rPr>
          <w:rFonts w:hint="eastAsia" w:hAnsi="宋体"/>
          <w:b/>
          <w:color w:val="auto"/>
          <w:kern w:val="2"/>
          <w:sz w:val="32"/>
          <w:szCs w:val="32"/>
          <w:highlight w:val="none"/>
          <w:lang w:eastAsia="zh-CN"/>
        </w:rPr>
        <w:t>项目编号:HZZC2025-C2-020017-QHZX</w:t>
      </w:r>
    </w:p>
    <w:p w14:paraId="6726D802">
      <w:pPr>
        <w:ind w:firstLine="1340" w:firstLineChars="445"/>
        <w:rPr>
          <w:rFonts w:hAnsi="宋体"/>
          <w:b/>
          <w:color w:val="auto"/>
          <w:kern w:val="2"/>
          <w:sz w:val="30"/>
          <w:szCs w:val="30"/>
          <w:highlight w:val="none"/>
        </w:rPr>
      </w:pPr>
    </w:p>
    <w:p w14:paraId="289CF0A8">
      <w:pPr>
        <w:rPr>
          <w:rFonts w:hAnsi="宋体"/>
          <w:b/>
          <w:color w:val="auto"/>
          <w:kern w:val="2"/>
          <w:sz w:val="30"/>
          <w:szCs w:val="30"/>
          <w:highlight w:val="none"/>
        </w:rPr>
      </w:pPr>
    </w:p>
    <w:p w14:paraId="16FC6163">
      <w:pPr>
        <w:tabs>
          <w:tab w:val="left" w:pos="5869"/>
        </w:tabs>
        <w:rPr>
          <w:rFonts w:hAnsi="宋体"/>
          <w:b/>
          <w:color w:val="auto"/>
          <w:kern w:val="2"/>
          <w:sz w:val="30"/>
          <w:szCs w:val="30"/>
          <w:highlight w:val="none"/>
        </w:rPr>
      </w:pPr>
      <w:r>
        <w:rPr>
          <w:rFonts w:hAnsi="宋体"/>
          <w:b/>
          <w:color w:val="auto"/>
          <w:kern w:val="2"/>
          <w:sz w:val="30"/>
          <w:szCs w:val="30"/>
          <w:highlight w:val="none"/>
        </w:rPr>
        <w:tab/>
      </w:r>
    </w:p>
    <w:p w14:paraId="6663B3CF">
      <w:pPr>
        <w:rPr>
          <w:rFonts w:hAnsi="宋体"/>
          <w:b/>
          <w:color w:val="auto"/>
          <w:kern w:val="2"/>
          <w:sz w:val="30"/>
          <w:szCs w:val="30"/>
          <w:highlight w:val="none"/>
        </w:rPr>
      </w:pPr>
    </w:p>
    <w:p w14:paraId="7EAE1585">
      <w:pPr>
        <w:pStyle w:val="2"/>
        <w:ind w:left="0" w:leftChars="0" w:firstLine="0" w:firstLineChars="0"/>
        <w:jc w:val="both"/>
        <w:rPr>
          <w:color w:val="auto"/>
          <w:highlight w:val="none"/>
        </w:rPr>
      </w:pPr>
    </w:p>
    <w:p w14:paraId="5FA60F2E">
      <w:pPr>
        <w:spacing w:line="360" w:lineRule="auto"/>
        <w:ind w:left="12294" w:leftChars="775" w:right="265" w:rightChars="126" w:hanging="10666" w:hangingChars="3320"/>
        <w:rPr>
          <w:rFonts w:hAnsi="宋体"/>
          <w:b/>
          <w:color w:val="auto"/>
          <w:kern w:val="2"/>
          <w:sz w:val="32"/>
          <w:szCs w:val="32"/>
          <w:highlight w:val="none"/>
        </w:rPr>
      </w:pPr>
      <w:r>
        <w:rPr>
          <w:rFonts w:hint="eastAsia" w:hAnsi="宋体"/>
          <w:b/>
          <w:color w:val="auto"/>
          <w:kern w:val="2"/>
          <w:sz w:val="32"/>
          <w:szCs w:val="32"/>
          <w:highlight w:val="none"/>
        </w:rPr>
        <w:t>采</w:t>
      </w:r>
      <w:r>
        <w:rPr>
          <w:rFonts w:hAnsi="宋体"/>
          <w:b/>
          <w:color w:val="auto"/>
          <w:kern w:val="2"/>
          <w:sz w:val="32"/>
          <w:szCs w:val="32"/>
          <w:highlight w:val="none"/>
        </w:rPr>
        <w:t xml:space="preserve">  </w:t>
      </w:r>
      <w:r>
        <w:rPr>
          <w:rFonts w:hint="eastAsia" w:hAnsi="宋体"/>
          <w:b/>
          <w:color w:val="auto"/>
          <w:kern w:val="2"/>
          <w:sz w:val="32"/>
          <w:szCs w:val="32"/>
          <w:highlight w:val="none"/>
        </w:rPr>
        <w:t>购</w:t>
      </w:r>
      <w:r>
        <w:rPr>
          <w:rFonts w:hAnsi="宋体"/>
          <w:b/>
          <w:color w:val="auto"/>
          <w:kern w:val="2"/>
          <w:sz w:val="32"/>
          <w:szCs w:val="32"/>
          <w:highlight w:val="none"/>
        </w:rPr>
        <w:t xml:space="preserve">  </w:t>
      </w:r>
      <w:r>
        <w:rPr>
          <w:rFonts w:hint="eastAsia" w:hAnsi="宋体"/>
          <w:b/>
          <w:color w:val="auto"/>
          <w:kern w:val="2"/>
          <w:sz w:val="32"/>
          <w:szCs w:val="32"/>
          <w:highlight w:val="none"/>
        </w:rPr>
        <w:t>人：</w:t>
      </w:r>
      <w:r>
        <w:rPr>
          <w:rFonts w:hint="eastAsia" w:hAnsi="宋体"/>
          <w:b/>
          <w:color w:val="auto"/>
          <w:kern w:val="2"/>
          <w:sz w:val="32"/>
          <w:szCs w:val="32"/>
          <w:highlight w:val="none"/>
          <w:lang w:eastAsia="zh-CN"/>
        </w:rPr>
        <w:t xml:space="preserve">八步区文物管理所 </w:t>
      </w:r>
      <w:r>
        <w:rPr>
          <w:rFonts w:hint="eastAsia" w:hAnsi="宋体"/>
          <w:b/>
          <w:color w:val="auto"/>
          <w:kern w:val="2"/>
          <w:sz w:val="32"/>
          <w:szCs w:val="32"/>
          <w:highlight w:val="none"/>
        </w:rPr>
        <w:t xml:space="preserve"> </w:t>
      </w:r>
    </w:p>
    <w:p w14:paraId="06FFDC98">
      <w:pPr>
        <w:spacing w:line="360" w:lineRule="auto"/>
        <w:ind w:left="12272" w:right="265" w:rightChars="126" w:hanging="12272" w:hangingChars="3820"/>
        <w:rPr>
          <w:rFonts w:hAnsi="宋体"/>
          <w:b/>
          <w:color w:val="auto"/>
          <w:kern w:val="2"/>
          <w:sz w:val="32"/>
          <w:szCs w:val="32"/>
          <w:highlight w:val="none"/>
        </w:rPr>
      </w:pPr>
    </w:p>
    <w:p w14:paraId="378EF671">
      <w:pPr>
        <w:spacing w:line="360" w:lineRule="auto"/>
        <w:ind w:left="12272" w:right="265" w:rightChars="126" w:hanging="12272" w:hangingChars="3820"/>
        <w:rPr>
          <w:rFonts w:hAnsi="宋体"/>
          <w:b/>
          <w:color w:val="auto"/>
          <w:kern w:val="2"/>
          <w:sz w:val="32"/>
          <w:szCs w:val="32"/>
          <w:highlight w:val="none"/>
        </w:rPr>
      </w:pPr>
    </w:p>
    <w:p w14:paraId="3C511F48">
      <w:pPr>
        <w:keepNext w:val="0"/>
        <w:keepLines w:val="0"/>
        <w:pageBreakBefore w:val="0"/>
        <w:widowControl w:val="0"/>
        <w:kinsoku/>
        <w:wordWrap/>
        <w:overflowPunct/>
        <w:topLinePunct w:val="0"/>
        <w:autoSpaceDE/>
        <w:autoSpaceDN/>
        <w:bidi w:val="0"/>
        <w:adjustRightInd/>
        <w:snapToGrid/>
        <w:spacing w:line="480" w:lineRule="auto"/>
        <w:ind w:right="265" w:rightChars="126"/>
        <w:jc w:val="center"/>
        <w:textAlignment w:val="auto"/>
        <w:rPr>
          <w:rFonts w:hAnsi="宋体"/>
          <w:b/>
          <w:color w:val="auto"/>
          <w:kern w:val="2"/>
          <w:sz w:val="32"/>
          <w:szCs w:val="32"/>
          <w:highlight w:val="none"/>
        </w:rPr>
      </w:pPr>
      <w:r>
        <w:rPr>
          <w:rFonts w:hint="eastAsia" w:hAnsi="宋体"/>
          <w:b/>
          <w:color w:val="auto"/>
          <w:kern w:val="2"/>
          <w:sz w:val="32"/>
          <w:szCs w:val="32"/>
          <w:highlight w:val="none"/>
        </w:rPr>
        <w:t>采购代理机构：广西启航工程咨询有限公司</w:t>
      </w:r>
    </w:p>
    <w:p w14:paraId="4B15188C">
      <w:pPr>
        <w:keepNext w:val="0"/>
        <w:keepLines w:val="0"/>
        <w:pageBreakBefore w:val="0"/>
        <w:widowControl w:val="0"/>
        <w:kinsoku/>
        <w:wordWrap/>
        <w:overflowPunct/>
        <w:topLinePunct w:val="0"/>
        <w:autoSpaceDE/>
        <w:autoSpaceDN/>
        <w:bidi w:val="0"/>
        <w:adjustRightInd/>
        <w:snapToGrid/>
        <w:spacing w:line="480" w:lineRule="auto"/>
        <w:ind w:left="0" w:leftChars="0" w:right="265" w:rightChars="126" w:firstLine="1484" w:firstLineChars="462"/>
        <w:jc w:val="both"/>
        <w:textAlignment w:val="auto"/>
        <w:rPr>
          <w:rFonts w:hAnsi="宋体"/>
          <w:b/>
          <w:color w:val="auto"/>
          <w:kern w:val="2"/>
          <w:sz w:val="32"/>
          <w:szCs w:val="32"/>
          <w:highlight w:val="none"/>
        </w:rPr>
        <w:sectPr>
          <w:headerReference r:id="rId3" w:type="default"/>
          <w:footerReference r:id="rId5" w:type="default"/>
          <w:headerReference r:id="rId4" w:type="even"/>
          <w:footerReference r:id="rId6" w:type="even"/>
          <w:pgSz w:w="12240" w:h="15840"/>
          <w:pgMar w:top="1135" w:right="1467" w:bottom="993" w:left="1418" w:header="454" w:footer="397" w:gutter="0"/>
          <w:pgNumType w:fmt="upperRoman" w:start="1"/>
          <w:cols w:equalWidth="0" w:num="1">
            <w:col w:w="9355"/>
          </w:cols>
          <w:titlePg/>
          <w:docGrid w:linePitch="286" w:charSpace="0"/>
        </w:sectPr>
      </w:pPr>
      <w:r>
        <w:rPr>
          <w:rFonts w:hint="eastAsia" w:hAnsi="宋体"/>
          <w:b/>
          <w:color w:val="auto"/>
          <w:kern w:val="2"/>
          <w:sz w:val="32"/>
          <w:szCs w:val="32"/>
          <w:highlight w:val="none"/>
          <w:lang w:val="en-US" w:eastAsia="zh-CN"/>
        </w:rPr>
        <w:t>日       期：</w:t>
      </w:r>
      <w:r>
        <w:rPr>
          <w:rFonts w:hAnsi="宋体"/>
          <w:b/>
          <w:color w:val="auto"/>
          <w:kern w:val="2"/>
          <w:sz w:val="32"/>
          <w:szCs w:val="32"/>
          <w:highlight w:val="none"/>
        </w:rPr>
        <w:t xml:space="preserve"> 202</w:t>
      </w:r>
      <w:r>
        <w:rPr>
          <w:rFonts w:hint="eastAsia" w:hAnsi="宋体"/>
          <w:b/>
          <w:color w:val="auto"/>
          <w:kern w:val="2"/>
          <w:sz w:val="32"/>
          <w:szCs w:val="32"/>
          <w:highlight w:val="none"/>
          <w:lang w:val="en-US" w:eastAsia="zh-CN"/>
        </w:rPr>
        <w:t>5</w:t>
      </w:r>
      <w:r>
        <w:rPr>
          <w:rFonts w:hAnsi="宋体"/>
          <w:b/>
          <w:color w:val="auto"/>
          <w:kern w:val="2"/>
          <w:sz w:val="32"/>
          <w:szCs w:val="32"/>
          <w:highlight w:val="none"/>
        </w:rPr>
        <w:t>年</w:t>
      </w:r>
      <w:r>
        <w:rPr>
          <w:rFonts w:hint="eastAsia" w:hAnsi="宋体"/>
          <w:b/>
          <w:color w:val="auto"/>
          <w:kern w:val="2"/>
          <w:sz w:val="32"/>
          <w:szCs w:val="32"/>
          <w:highlight w:val="none"/>
          <w:lang w:val="en-US" w:eastAsia="zh-CN"/>
        </w:rPr>
        <w:t>4</w:t>
      </w:r>
      <w:r>
        <w:rPr>
          <w:rFonts w:hAnsi="宋体"/>
          <w:b/>
          <w:color w:val="auto"/>
          <w:kern w:val="2"/>
          <w:sz w:val="32"/>
          <w:szCs w:val="32"/>
          <w:highlight w:val="none"/>
        </w:rPr>
        <w:t>月</w:t>
      </w:r>
      <w:r>
        <w:rPr>
          <w:rFonts w:hint="eastAsia" w:hAnsi="宋体"/>
          <w:b/>
          <w:color w:val="auto"/>
          <w:kern w:val="2"/>
          <w:sz w:val="32"/>
          <w:szCs w:val="32"/>
          <w:highlight w:val="none"/>
          <w:lang w:val="en-US" w:eastAsia="zh-CN"/>
        </w:rPr>
        <w:t>30</w:t>
      </w:r>
      <w:r>
        <w:rPr>
          <w:rFonts w:hAnsi="宋体"/>
          <w:b/>
          <w:color w:val="auto"/>
          <w:kern w:val="2"/>
          <w:sz w:val="32"/>
          <w:szCs w:val="32"/>
          <w:highlight w:val="none"/>
        </w:rPr>
        <w:t>日</w:t>
      </w:r>
    </w:p>
    <w:p w14:paraId="110108D7">
      <w:pPr>
        <w:pStyle w:val="32"/>
        <w:tabs>
          <w:tab w:val="right" w:leader="dot" w:pos="9283"/>
        </w:tabs>
        <w:spacing w:line="360" w:lineRule="auto"/>
        <w:jc w:val="center"/>
        <w:rPr>
          <w:rFonts w:ascii="宋体"/>
          <w:color w:val="auto"/>
          <w:sz w:val="36"/>
          <w:szCs w:val="36"/>
          <w:highlight w:val="none"/>
        </w:rPr>
      </w:pPr>
      <w:r>
        <w:rPr>
          <w:rFonts w:hint="eastAsia" w:ascii="宋体" w:hAnsi="宋体"/>
          <w:color w:val="auto"/>
          <w:sz w:val="36"/>
          <w:szCs w:val="36"/>
          <w:highlight w:val="none"/>
        </w:rPr>
        <w:t>目</w:t>
      </w:r>
      <w:r>
        <w:rPr>
          <w:rFonts w:ascii="宋体" w:hAnsi="宋体"/>
          <w:color w:val="auto"/>
          <w:sz w:val="36"/>
          <w:szCs w:val="36"/>
          <w:highlight w:val="none"/>
        </w:rPr>
        <w:t xml:space="preserve">    </w:t>
      </w:r>
      <w:r>
        <w:rPr>
          <w:rFonts w:hint="eastAsia" w:ascii="宋体" w:hAnsi="宋体"/>
          <w:color w:val="auto"/>
          <w:sz w:val="36"/>
          <w:szCs w:val="36"/>
          <w:highlight w:val="none"/>
        </w:rPr>
        <w:t>录</w:t>
      </w:r>
    </w:p>
    <w:p w14:paraId="79A90649">
      <w:pPr>
        <w:rPr>
          <w:rFonts w:hAnsi="宋体"/>
          <w:color w:val="auto"/>
          <w:highlight w:val="none"/>
        </w:rPr>
      </w:pPr>
    </w:p>
    <w:p w14:paraId="5261B1FF">
      <w:pPr>
        <w:rPr>
          <w:rFonts w:hAnsi="宋体"/>
          <w:color w:val="auto"/>
          <w:highlight w:val="none"/>
        </w:rPr>
      </w:pPr>
    </w:p>
    <w:p w14:paraId="26AAA1BA">
      <w:pPr>
        <w:pStyle w:val="32"/>
        <w:tabs>
          <w:tab w:val="right" w:leader="dot" w:pos="9746"/>
        </w:tabs>
        <w:spacing w:line="480" w:lineRule="auto"/>
        <w:rPr>
          <w:color w:val="auto"/>
          <w:sz w:val="24"/>
          <w:szCs w:val="24"/>
          <w:highlight w:val="none"/>
        </w:rPr>
      </w:pP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TOC \o "1-2" \h \z \u </w:instrText>
      </w:r>
      <w:r>
        <w:rPr>
          <w:rFonts w:ascii="宋体" w:hAnsi="宋体"/>
          <w:b w:val="0"/>
          <w:color w:val="auto"/>
          <w:sz w:val="24"/>
          <w:szCs w:val="24"/>
          <w:highlight w:val="none"/>
        </w:rPr>
        <w:fldChar w:fldCharType="separate"/>
      </w:r>
      <w:r>
        <w:rPr>
          <w:color w:val="auto"/>
          <w:highlight w:val="none"/>
        </w:rPr>
        <w:fldChar w:fldCharType="begin"/>
      </w:r>
      <w:r>
        <w:rPr>
          <w:color w:val="auto"/>
          <w:highlight w:val="none"/>
        </w:rPr>
        <w:instrText xml:space="preserve"> HYPERLINK \l "_Toc2677" </w:instrText>
      </w:r>
      <w:r>
        <w:rPr>
          <w:color w:val="auto"/>
          <w:highlight w:val="none"/>
        </w:rPr>
        <w:fldChar w:fldCharType="separate"/>
      </w:r>
      <w:r>
        <w:rPr>
          <w:rFonts w:hint="eastAsia" w:ascii="宋体" w:hAnsi="宋体"/>
          <w:color w:val="auto"/>
          <w:sz w:val="24"/>
          <w:szCs w:val="24"/>
          <w:highlight w:val="none"/>
        </w:rPr>
        <w:t>第一章</w:t>
      </w:r>
      <w:r>
        <w:rPr>
          <w:rFonts w:ascii="宋体" w:hAnsi="宋体"/>
          <w:color w:val="auto"/>
          <w:sz w:val="24"/>
          <w:szCs w:val="24"/>
          <w:highlight w:val="none"/>
        </w:rPr>
        <w:t xml:space="preserve">  </w:t>
      </w:r>
      <w:r>
        <w:rPr>
          <w:rFonts w:hint="eastAsia" w:ascii="宋体" w:hAnsi="宋体"/>
          <w:color w:val="auto"/>
          <w:sz w:val="24"/>
          <w:szCs w:val="24"/>
          <w:highlight w:val="none"/>
        </w:rPr>
        <w:t>竞争性磋商公告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_Toc2677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color w:val="auto"/>
          <w:sz w:val="24"/>
          <w:szCs w:val="24"/>
          <w:highlight w:val="none"/>
        </w:rPr>
        <w:fldChar w:fldCharType="end"/>
      </w:r>
    </w:p>
    <w:p w14:paraId="66E5409C">
      <w:pPr>
        <w:pStyle w:val="32"/>
        <w:tabs>
          <w:tab w:val="right" w:leader="dot" w:pos="9746"/>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"_Toc13248" </w:instrText>
      </w:r>
      <w:r>
        <w:rPr>
          <w:color w:val="auto"/>
          <w:highlight w:val="none"/>
        </w:rPr>
        <w:fldChar w:fldCharType="separate"/>
      </w:r>
      <w:r>
        <w:rPr>
          <w:rFonts w:hint="eastAsia" w:ascii="宋体" w:hAnsi="宋体"/>
          <w:color w:val="auto"/>
          <w:sz w:val="24"/>
          <w:szCs w:val="24"/>
          <w:highlight w:val="none"/>
        </w:rPr>
        <w:t>第二章</w:t>
      </w:r>
      <w:r>
        <w:rPr>
          <w:rFonts w:ascii="宋体" w:hAnsi="宋体"/>
          <w:color w:val="auto"/>
          <w:sz w:val="24"/>
          <w:szCs w:val="24"/>
          <w:highlight w:val="none"/>
        </w:rPr>
        <w:t xml:space="preserve">  </w:t>
      </w:r>
      <w:r>
        <w:rPr>
          <w:rFonts w:hint="eastAsia" w:ascii="宋体" w:hAnsi="宋体"/>
          <w:color w:val="auto"/>
          <w:sz w:val="24"/>
          <w:szCs w:val="24"/>
          <w:highlight w:val="none"/>
        </w:rPr>
        <w:t>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_Toc13248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color w:val="auto"/>
          <w:sz w:val="24"/>
          <w:szCs w:val="24"/>
          <w:highlight w:val="none"/>
        </w:rPr>
        <w:fldChar w:fldCharType="end"/>
      </w:r>
    </w:p>
    <w:p w14:paraId="59AAD7CD">
      <w:pPr>
        <w:pStyle w:val="38"/>
        <w:tabs>
          <w:tab w:val="right" w:leader="dot" w:pos="9746"/>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"_Toc32650" </w:instrText>
      </w:r>
      <w:r>
        <w:rPr>
          <w:color w:val="auto"/>
          <w:highlight w:val="none"/>
        </w:rPr>
        <w:fldChar w:fldCharType="separate"/>
      </w:r>
      <w:r>
        <w:rPr>
          <w:rFonts w:hint="eastAsia" w:ascii="宋体" w:hAnsi="宋体"/>
          <w:color w:val="auto"/>
          <w:sz w:val="24"/>
          <w:szCs w:val="24"/>
          <w:highlight w:val="none"/>
        </w:rPr>
        <w:t>供应商须知前附表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_Toc32650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color w:val="auto"/>
          <w:sz w:val="24"/>
          <w:szCs w:val="24"/>
          <w:highlight w:val="none"/>
        </w:rPr>
        <w:fldChar w:fldCharType="end"/>
      </w:r>
    </w:p>
    <w:p w14:paraId="61BAC444">
      <w:pPr>
        <w:pStyle w:val="38"/>
        <w:tabs>
          <w:tab w:val="right" w:leader="dot" w:pos="9746"/>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"_Toc23263" </w:instrText>
      </w:r>
      <w:r>
        <w:rPr>
          <w:color w:val="auto"/>
          <w:highlight w:val="none"/>
        </w:rPr>
        <w:fldChar w:fldCharType="separate"/>
      </w:r>
      <w:r>
        <w:rPr>
          <w:rFonts w:hint="eastAsia" w:ascii="宋体" w:hAnsi="宋体"/>
          <w:color w:val="auto"/>
          <w:kern w:val="2"/>
          <w:sz w:val="24"/>
          <w:szCs w:val="24"/>
          <w:highlight w:val="none"/>
        </w:rPr>
        <w:t>供应商须知正文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_Toc23263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color w:val="auto"/>
          <w:sz w:val="24"/>
          <w:szCs w:val="24"/>
          <w:highlight w:val="none"/>
        </w:rPr>
        <w:fldChar w:fldCharType="end"/>
      </w:r>
    </w:p>
    <w:p w14:paraId="1088BD68">
      <w:pPr>
        <w:pStyle w:val="32"/>
        <w:tabs>
          <w:tab w:val="right" w:leader="dot" w:pos="9746"/>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"_Toc2997" </w:instrText>
      </w:r>
      <w:r>
        <w:rPr>
          <w:color w:val="auto"/>
          <w:highlight w:val="none"/>
        </w:rPr>
        <w:fldChar w:fldCharType="separate"/>
      </w:r>
      <w:r>
        <w:rPr>
          <w:rFonts w:hint="eastAsia" w:ascii="宋体" w:hAnsi="宋体"/>
          <w:color w:val="auto"/>
          <w:sz w:val="24"/>
          <w:szCs w:val="24"/>
          <w:highlight w:val="none"/>
        </w:rPr>
        <w:t>第三章</w:t>
      </w:r>
      <w:r>
        <w:rPr>
          <w:rFonts w:ascii="宋体" w:hAnsi="宋体"/>
          <w:color w:val="auto"/>
          <w:sz w:val="24"/>
          <w:szCs w:val="24"/>
          <w:highlight w:val="none"/>
        </w:rPr>
        <w:t xml:space="preserve">  </w:t>
      </w:r>
      <w:r>
        <w:rPr>
          <w:rFonts w:hint="eastAsia" w:ascii="宋体" w:hAnsi="宋体"/>
          <w:color w:val="auto"/>
          <w:sz w:val="24"/>
          <w:szCs w:val="24"/>
          <w:highlight w:val="none"/>
        </w:rPr>
        <w:t>评标办法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_Toc2997 \h </w:instrText>
      </w:r>
      <w:r>
        <w:rPr>
          <w:color w:val="auto"/>
          <w:sz w:val="24"/>
          <w:szCs w:val="24"/>
          <w:highlight w:val="none"/>
        </w:rPr>
        <w:fldChar w:fldCharType="separate"/>
      </w:r>
      <w:r>
        <w:rPr>
          <w:color w:val="auto"/>
          <w:sz w:val="24"/>
          <w:szCs w:val="24"/>
          <w:highlight w:val="none"/>
        </w:rPr>
        <w:t>25</w:t>
      </w:r>
      <w:r>
        <w:rPr>
          <w:color w:val="auto"/>
          <w:sz w:val="24"/>
          <w:szCs w:val="24"/>
          <w:highlight w:val="none"/>
        </w:rPr>
        <w:fldChar w:fldCharType="end"/>
      </w:r>
      <w:r>
        <w:rPr>
          <w:color w:val="auto"/>
          <w:sz w:val="24"/>
          <w:szCs w:val="24"/>
          <w:highlight w:val="none"/>
        </w:rPr>
        <w:fldChar w:fldCharType="end"/>
      </w:r>
    </w:p>
    <w:p w14:paraId="26754023">
      <w:pPr>
        <w:pStyle w:val="38"/>
        <w:tabs>
          <w:tab w:val="right" w:leader="dot" w:pos="9746"/>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"_Toc29663" </w:instrText>
      </w:r>
      <w:r>
        <w:rPr>
          <w:color w:val="auto"/>
          <w:highlight w:val="none"/>
        </w:rPr>
        <w:fldChar w:fldCharType="separate"/>
      </w:r>
      <w:r>
        <w:rPr>
          <w:rFonts w:hint="eastAsia" w:ascii="宋体" w:hAnsi="宋体"/>
          <w:color w:val="auto"/>
          <w:sz w:val="24"/>
          <w:szCs w:val="24"/>
          <w:highlight w:val="none"/>
        </w:rPr>
        <w:t>评标办法前附表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_Toc29663 \h </w:instrText>
      </w:r>
      <w:r>
        <w:rPr>
          <w:color w:val="auto"/>
          <w:sz w:val="24"/>
          <w:szCs w:val="24"/>
          <w:highlight w:val="none"/>
        </w:rPr>
        <w:fldChar w:fldCharType="separate"/>
      </w:r>
      <w:r>
        <w:rPr>
          <w:color w:val="auto"/>
          <w:sz w:val="24"/>
          <w:szCs w:val="24"/>
          <w:highlight w:val="none"/>
        </w:rPr>
        <w:t>25</w:t>
      </w:r>
      <w:r>
        <w:rPr>
          <w:color w:val="auto"/>
          <w:sz w:val="24"/>
          <w:szCs w:val="24"/>
          <w:highlight w:val="none"/>
        </w:rPr>
        <w:fldChar w:fldCharType="end"/>
      </w:r>
      <w:r>
        <w:rPr>
          <w:color w:val="auto"/>
          <w:sz w:val="24"/>
          <w:szCs w:val="24"/>
          <w:highlight w:val="none"/>
        </w:rPr>
        <w:fldChar w:fldCharType="end"/>
      </w:r>
    </w:p>
    <w:p w14:paraId="281AF1BE">
      <w:pPr>
        <w:pStyle w:val="38"/>
        <w:tabs>
          <w:tab w:val="right" w:leader="dot" w:pos="9746"/>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"_Toc16848" </w:instrText>
      </w:r>
      <w:r>
        <w:rPr>
          <w:color w:val="auto"/>
          <w:highlight w:val="none"/>
        </w:rPr>
        <w:fldChar w:fldCharType="separate"/>
      </w:r>
      <w:r>
        <w:rPr>
          <w:rFonts w:hint="eastAsia" w:ascii="宋体" w:hAnsi="宋体"/>
          <w:color w:val="auto"/>
          <w:sz w:val="24"/>
          <w:szCs w:val="24"/>
          <w:highlight w:val="none"/>
        </w:rPr>
        <w:t>评标办法正文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_Toc16848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color w:val="auto"/>
          <w:sz w:val="24"/>
          <w:szCs w:val="24"/>
          <w:highlight w:val="none"/>
        </w:rPr>
        <w:fldChar w:fldCharType="end"/>
      </w:r>
    </w:p>
    <w:p w14:paraId="4F6F9D6D">
      <w:pPr>
        <w:pStyle w:val="32"/>
        <w:tabs>
          <w:tab w:val="right" w:leader="dot" w:pos="9746"/>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"_Toc8543" </w:instrText>
      </w:r>
      <w:r>
        <w:rPr>
          <w:color w:val="auto"/>
          <w:highlight w:val="none"/>
        </w:rPr>
        <w:fldChar w:fldCharType="separate"/>
      </w:r>
      <w:r>
        <w:rPr>
          <w:rFonts w:hint="eastAsia" w:ascii="宋体" w:hAnsi="宋体"/>
          <w:color w:val="auto"/>
          <w:sz w:val="24"/>
          <w:szCs w:val="24"/>
          <w:highlight w:val="none"/>
          <w:lang w:val="zh-CN"/>
        </w:rPr>
        <w:t>第四章</w:t>
      </w:r>
      <w:r>
        <w:rPr>
          <w:rFonts w:ascii="宋体" w:hAnsi="宋体"/>
          <w:color w:val="auto"/>
          <w:sz w:val="24"/>
          <w:szCs w:val="24"/>
          <w:highlight w:val="none"/>
          <w:lang w:val="zh-CN"/>
        </w:rPr>
        <w:t xml:space="preserve">  </w:t>
      </w:r>
      <w:r>
        <w:rPr>
          <w:rFonts w:hint="eastAsia" w:ascii="宋体" w:hAnsi="宋体"/>
          <w:color w:val="auto"/>
          <w:sz w:val="24"/>
          <w:szCs w:val="24"/>
          <w:highlight w:val="none"/>
          <w:lang w:val="zh-CN"/>
        </w:rPr>
        <w:t>合同条款及格式</w:t>
      </w:r>
      <w:bookmarkStart w:id="2279" w:name="_GoBack"/>
      <w:bookmarkEnd w:id="2279"/>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_Toc8543 \h </w:instrText>
      </w:r>
      <w:r>
        <w:rPr>
          <w:color w:val="auto"/>
          <w:sz w:val="24"/>
          <w:szCs w:val="24"/>
          <w:highlight w:val="none"/>
        </w:rPr>
        <w:fldChar w:fldCharType="separate"/>
      </w:r>
      <w:r>
        <w:rPr>
          <w:color w:val="auto"/>
          <w:sz w:val="24"/>
          <w:szCs w:val="24"/>
          <w:highlight w:val="none"/>
        </w:rPr>
        <w:t>34</w:t>
      </w:r>
      <w:r>
        <w:rPr>
          <w:color w:val="auto"/>
          <w:sz w:val="24"/>
          <w:szCs w:val="24"/>
          <w:highlight w:val="none"/>
        </w:rPr>
        <w:fldChar w:fldCharType="end"/>
      </w:r>
      <w:r>
        <w:rPr>
          <w:color w:val="auto"/>
          <w:sz w:val="24"/>
          <w:szCs w:val="24"/>
          <w:highlight w:val="none"/>
        </w:rPr>
        <w:fldChar w:fldCharType="end"/>
      </w:r>
    </w:p>
    <w:p w14:paraId="1546FDF3">
      <w:pPr>
        <w:pStyle w:val="32"/>
        <w:tabs>
          <w:tab w:val="right" w:leader="dot" w:pos="9746"/>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"_Toc10396" </w:instrText>
      </w:r>
      <w:r>
        <w:rPr>
          <w:color w:val="auto"/>
          <w:highlight w:val="none"/>
        </w:rPr>
        <w:fldChar w:fldCharType="separate"/>
      </w:r>
      <w:r>
        <w:rPr>
          <w:rFonts w:hint="eastAsia" w:ascii="宋体" w:hAnsi="宋体"/>
          <w:color w:val="auto"/>
          <w:sz w:val="24"/>
          <w:szCs w:val="24"/>
          <w:highlight w:val="none"/>
        </w:rPr>
        <w:t>第六章</w:t>
      </w:r>
      <w:r>
        <w:rPr>
          <w:rFonts w:ascii="宋体" w:hAnsi="宋体"/>
          <w:color w:val="auto"/>
          <w:sz w:val="24"/>
          <w:szCs w:val="24"/>
          <w:highlight w:val="none"/>
        </w:rPr>
        <w:t xml:space="preserve">  </w:t>
      </w:r>
      <w:r>
        <w:rPr>
          <w:rFonts w:hint="eastAsia" w:ascii="宋体" w:hAnsi="宋体"/>
          <w:color w:val="auto"/>
          <w:sz w:val="24"/>
          <w:szCs w:val="24"/>
          <w:highlight w:val="none"/>
        </w:rPr>
        <w:t>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_Toc10396 \h </w:instrText>
      </w:r>
      <w:r>
        <w:rPr>
          <w:color w:val="auto"/>
          <w:sz w:val="24"/>
          <w:szCs w:val="24"/>
          <w:highlight w:val="none"/>
        </w:rPr>
        <w:fldChar w:fldCharType="separate"/>
      </w:r>
      <w:r>
        <w:rPr>
          <w:color w:val="auto"/>
          <w:sz w:val="24"/>
          <w:szCs w:val="24"/>
          <w:highlight w:val="none"/>
        </w:rPr>
        <w:t>128</w:t>
      </w:r>
      <w:r>
        <w:rPr>
          <w:color w:val="auto"/>
          <w:sz w:val="24"/>
          <w:szCs w:val="24"/>
          <w:highlight w:val="none"/>
        </w:rPr>
        <w:fldChar w:fldCharType="end"/>
      </w:r>
      <w:r>
        <w:rPr>
          <w:color w:val="auto"/>
          <w:sz w:val="24"/>
          <w:szCs w:val="24"/>
          <w:highlight w:val="none"/>
        </w:rPr>
        <w:fldChar w:fldCharType="end"/>
      </w:r>
    </w:p>
    <w:p w14:paraId="388A462E">
      <w:pPr>
        <w:pStyle w:val="32"/>
        <w:tabs>
          <w:tab w:val="right" w:leader="dot" w:pos="9746"/>
        </w:tabs>
        <w:spacing w:line="480" w:lineRule="auto"/>
        <w:rPr>
          <w:color w:val="auto"/>
          <w:highlight w:val="none"/>
        </w:rPr>
      </w:pPr>
      <w:r>
        <w:rPr>
          <w:color w:val="auto"/>
          <w:highlight w:val="none"/>
        </w:rPr>
        <w:fldChar w:fldCharType="begin"/>
      </w:r>
      <w:r>
        <w:rPr>
          <w:color w:val="auto"/>
          <w:highlight w:val="none"/>
        </w:rPr>
        <w:instrText xml:space="preserve"> HYPERLINK \l "_Toc2371" </w:instrText>
      </w:r>
      <w:r>
        <w:rPr>
          <w:color w:val="auto"/>
          <w:highlight w:val="none"/>
        </w:rPr>
        <w:fldChar w:fldCharType="separate"/>
      </w:r>
      <w:r>
        <w:rPr>
          <w:rFonts w:hint="eastAsia" w:ascii="宋体" w:hAnsi="宋体"/>
          <w:color w:val="auto"/>
          <w:sz w:val="24"/>
          <w:szCs w:val="24"/>
          <w:highlight w:val="none"/>
        </w:rPr>
        <w:t>第七章</w:t>
      </w:r>
      <w:r>
        <w:rPr>
          <w:rFonts w:ascii="宋体" w:hAnsi="宋体"/>
          <w:color w:val="auto"/>
          <w:sz w:val="24"/>
          <w:szCs w:val="24"/>
          <w:highlight w:val="none"/>
        </w:rPr>
        <w:t xml:space="preserve">  </w:t>
      </w:r>
      <w:r>
        <w:rPr>
          <w:rFonts w:hint="eastAsia" w:ascii="宋体" w:hAnsi="宋体"/>
          <w:color w:val="auto"/>
          <w:sz w:val="24"/>
          <w:szCs w:val="24"/>
          <w:highlight w:val="none"/>
        </w:rPr>
        <w:t>工程量清单（附后）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_Toc2371 \h </w:instrText>
      </w:r>
      <w:r>
        <w:rPr>
          <w:color w:val="auto"/>
          <w:sz w:val="24"/>
          <w:szCs w:val="24"/>
          <w:highlight w:val="none"/>
        </w:rPr>
        <w:fldChar w:fldCharType="separate"/>
      </w:r>
      <w:r>
        <w:rPr>
          <w:color w:val="auto"/>
          <w:sz w:val="24"/>
          <w:szCs w:val="24"/>
          <w:highlight w:val="none"/>
        </w:rPr>
        <w:t>151</w:t>
      </w:r>
      <w:r>
        <w:rPr>
          <w:color w:val="auto"/>
          <w:sz w:val="24"/>
          <w:szCs w:val="24"/>
          <w:highlight w:val="none"/>
        </w:rPr>
        <w:fldChar w:fldCharType="end"/>
      </w:r>
      <w:r>
        <w:rPr>
          <w:color w:val="auto"/>
          <w:sz w:val="24"/>
          <w:szCs w:val="24"/>
          <w:highlight w:val="none"/>
        </w:rPr>
        <w:fldChar w:fldCharType="end"/>
      </w:r>
    </w:p>
    <w:p w14:paraId="3F724EC1">
      <w:pPr>
        <w:spacing w:line="360" w:lineRule="auto"/>
        <w:rPr>
          <w:rFonts w:hAnsi="宋体"/>
          <w:color w:val="auto"/>
          <w:sz w:val="32"/>
          <w:szCs w:val="44"/>
          <w:highlight w:val="none"/>
        </w:rPr>
        <w:sectPr>
          <w:headerReference r:id="rId8" w:type="first"/>
          <w:footerReference r:id="rId9" w:type="first"/>
          <w:headerReference r:id="rId7" w:type="default"/>
          <w:pgSz w:w="12240" w:h="15840"/>
          <w:pgMar w:top="1135" w:right="1247" w:bottom="993" w:left="1247" w:header="454" w:footer="397" w:gutter="0"/>
          <w:pgNumType w:fmt="upperRoman" w:start="1"/>
          <w:cols w:equalWidth="0" w:num="1">
            <w:col w:w="9293"/>
          </w:cols>
          <w:titlePg/>
          <w:docGrid w:linePitch="286" w:charSpace="0"/>
        </w:sectPr>
      </w:pPr>
      <w:r>
        <w:rPr>
          <w:rFonts w:hAnsi="宋体"/>
          <w:b/>
          <w:color w:val="auto"/>
          <w:sz w:val="24"/>
          <w:szCs w:val="24"/>
          <w:highlight w:val="none"/>
        </w:rPr>
        <w:fldChar w:fldCharType="end"/>
      </w:r>
    </w:p>
    <w:p w14:paraId="48FB0B17">
      <w:pPr>
        <w:pStyle w:val="3"/>
        <w:jc w:val="center"/>
        <w:rPr>
          <w:rFonts w:ascii="宋体" w:hAnsi="宋体" w:eastAsia="宋体"/>
          <w:color w:val="auto"/>
          <w:kern w:val="0"/>
          <w:highlight w:val="none"/>
        </w:rPr>
      </w:pPr>
      <w:bookmarkStart w:id="1" w:name="_Toc2677"/>
      <w:bookmarkStart w:id="2" w:name="_Toc533783505"/>
      <w:r>
        <w:rPr>
          <w:rFonts w:hint="eastAsia" w:ascii="宋体" w:hAnsi="宋体" w:eastAsia="宋体" w:cs="宋体"/>
          <w:color w:val="auto"/>
          <w:kern w:val="0"/>
          <w:highlight w:val="none"/>
        </w:rPr>
        <w:t>第一章</w:t>
      </w:r>
      <w:r>
        <w:rPr>
          <w:rFonts w:ascii="宋体" w:hAnsi="宋体" w:eastAsia="宋体" w:cs="宋体"/>
          <w:color w:val="auto"/>
          <w:kern w:val="0"/>
          <w:highlight w:val="none"/>
        </w:rPr>
        <w:t xml:space="preserve">  </w:t>
      </w:r>
      <w:r>
        <w:rPr>
          <w:rFonts w:hint="eastAsia" w:ascii="宋体" w:hAnsi="宋体" w:eastAsia="宋体" w:cs="宋体"/>
          <w:color w:val="auto"/>
          <w:kern w:val="0"/>
          <w:highlight w:val="none"/>
        </w:rPr>
        <w:t>竞争性磋商公告</w:t>
      </w:r>
      <w:bookmarkEnd w:id="0"/>
      <w:bookmarkEnd w:id="1"/>
      <w:bookmarkEnd w:id="2"/>
    </w:p>
    <w:p w14:paraId="0C6CDD16">
      <w:pPr>
        <w:keepNext w:val="0"/>
        <w:keepLines w:val="0"/>
        <w:widowControl w:val="0"/>
        <w:suppressLineNumbers w:val="0"/>
        <w:spacing w:before="0" w:beforeAutospacing="0" w:after="0" w:afterAutospacing="0"/>
        <w:ind w:left="360" w:right="0"/>
        <w:jc w:val="center"/>
        <w:rPr>
          <w:rFonts w:hint="eastAsia" w:ascii="Times New Roman" w:hAnsi="宋体" w:cs="宋体"/>
          <w:b/>
          <w:bCs w:val="0"/>
          <w:color w:val="auto"/>
          <w:kern w:val="2"/>
          <w:sz w:val="24"/>
          <w:szCs w:val="24"/>
          <w:highlight w:val="none"/>
          <w:lang w:val="en-US" w:eastAsia="zh-CN" w:bidi="ar"/>
        </w:rPr>
      </w:pPr>
      <w:r>
        <w:rPr>
          <w:rFonts w:hint="eastAsia" w:ascii="Times New Roman" w:hAnsi="宋体" w:eastAsia="宋体" w:cs="宋体"/>
          <w:b/>
          <w:bCs w:val="0"/>
          <w:color w:val="auto"/>
          <w:kern w:val="2"/>
          <w:sz w:val="24"/>
          <w:szCs w:val="24"/>
          <w:highlight w:val="none"/>
          <w:lang w:val="en-US" w:eastAsia="zh-CN" w:bidi="ar"/>
        </w:rPr>
        <w:t>广西启航工程咨询有限公司关于</w:t>
      </w:r>
      <w:r>
        <w:rPr>
          <w:rFonts w:hint="eastAsia" w:ascii="Times New Roman" w:hAnsi="宋体" w:cs="宋体"/>
          <w:b/>
          <w:bCs w:val="0"/>
          <w:color w:val="auto"/>
          <w:kern w:val="2"/>
          <w:sz w:val="24"/>
          <w:szCs w:val="24"/>
          <w:highlight w:val="none"/>
          <w:lang w:val="en-US" w:eastAsia="zh-CN" w:bidi="ar"/>
        </w:rPr>
        <w:t>贺州江氏客家围屋--北二横屋、北牲畜房保护修缮工程</w:t>
      </w:r>
    </w:p>
    <w:p w14:paraId="779C0DDE">
      <w:pPr>
        <w:keepNext w:val="0"/>
        <w:keepLines w:val="0"/>
        <w:widowControl w:val="0"/>
        <w:suppressLineNumbers w:val="0"/>
        <w:spacing w:before="0" w:beforeAutospacing="0" w:after="0" w:afterAutospacing="0"/>
        <w:ind w:left="360" w:right="0"/>
        <w:jc w:val="center"/>
        <w:rPr>
          <w:rFonts w:hAnsi="宋体"/>
          <w:b/>
          <w:bCs w:val="0"/>
          <w:color w:val="auto"/>
          <w:sz w:val="24"/>
          <w:szCs w:val="24"/>
          <w:highlight w:val="none"/>
          <w:lang w:val="en-US"/>
        </w:rPr>
      </w:pPr>
      <w:r>
        <w:rPr>
          <w:rFonts w:hint="eastAsia" w:ascii="Times New Roman" w:hAnsi="宋体" w:eastAsia="宋体" w:cs="宋体"/>
          <w:b/>
          <w:bCs w:val="0"/>
          <w:color w:val="auto"/>
          <w:kern w:val="2"/>
          <w:sz w:val="24"/>
          <w:szCs w:val="24"/>
          <w:highlight w:val="none"/>
          <w:lang w:val="en-US" w:eastAsia="zh-CN" w:bidi="ar"/>
        </w:rPr>
        <w:t>（</w:t>
      </w:r>
      <w:r>
        <w:rPr>
          <w:rFonts w:hint="eastAsia" w:ascii="Times New Roman" w:hAnsi="宋体" w:cs="宋体"/>
          <w:b/>
          <w:bCs w:val="0"/>
          <w:color w:val="auto"/>
          <w:kern w:val="2"/>
          <w:sz w:val="24"/>
          <w:szCs w:val="24"/>
          <w:highlight w:val="none"/>
          <w:lang w:val="en-US" w:eastAsia="zh-CN" w:bidi="ar"/>
        </w:rPr>
        <w:t>项目编号:HZZC2025-C2-020017-QHZX</w:t>
      </w:r>
      <w:r>
        <w:rPr>
          <w:rFonts w:hint="eastAsia" w:ascii="Times New Roman" w:hAnsi="宋体" w:eastAsia="宋体" w:cs="宋体"/>
          <w:b/>
          <w:bCs w:val="0"/>
          <w:color w:val="auto"/>
          <w:kern w:val="2"/>
          <w:sz w:val="24"/>
          <w:szCs w:val="24"/>
          <w:highlight w:val="none"/>
          <w:lang w:val="en-US" w:eastAsia="zh-CN" w:bidi="ar"/>
        </w:rPr>
        <w:t>）</w:t>
      </w:r>
      <w:r>
        <w:rPr>
          <w:rFonts w:hint="eastAsia" w:ascii="Times New Roman" w:hAnsi="宋体" w:eastAsia="宋体" w:cs="宋体"/>
          <w:b/>
          <w:bCs w:val="0"/>
          <w:color w:val="auto"/>
          <w:kern w:val="2"/>
          <w:sz w:val="24"/>
          <w:szCs w:val="24"/>
          <w:highlight w:val="none"/>
          <w:lang w:val="en-US" w:eastAsia="zh-CN" w:bidi="ar"/>
        </w:rPr>
        <w:t>竞争性磋商公告</w:t>
      </w:r>
      <w:bookmarkStart w:id="3" w:name="OLE_LINK3"/>
      <w:r>
        <w:rPr>
          <w:rFonts w:hint="eastAsia" w:ascii="宋体" w:hAnsi="宋体" w:eastAsia="宋体" w:cs="Times New Roman"/>
          <w:b/>
          <w:bCs w:val="0"/>
          <w:color w:val="auto"/>
          <w:kern w:val="2"/>
          <w:sz w:val="24"/>
          <w:szCs w:val="24"/>
          <w:highlight w:val="none"/>
          <w:lang w:val="en-US" w:eastAsia="zh-CN" w:bidi="ar"/>
        </w:rPr>
        <w:t>(远程异地评标）</w:t>
      </w:r>
      <w:bookmarkEnd w:id="3"/>
    </w:p>
    <w:p w14:paraId="5941CF9D">
      <w:pPr>
        <w:keepNext w:val="0"/>
        <w:keepLines w:val="0"/>
        <w:pageBreakBefore w:val="0"/>
        <w:widowControl w:val="0"/>
        <w:suppressLineNumbers w:val="0"/>
        <w:pBdr>
          <w:top w:val="single" w:color="auto" w:sz="4" w:space="2"/>
          <w:left w:val="single" w:color="auto" w:sz="4" w:space="4"/>
          <w:bottom w:val="single" w:color="auto" w:sz="4" w:space="1"/>
          <w:right w:val="single" w:color="auto" w:sz="4" w:space="4"/>
        </w:pBdr>
        <w:kinsoku/>
        <w:wordWrap/>
        <w:overflowPunct/>
        <w:topLinePunct w:val="0"/>
        <w:autoSpaceDN/>
        <w:bidi w:val="0"/>
        <w:snapToGrid/>
        <w:spacing w:before="0" w:beforeAutospacing="0" w:after="0" w:afterAutospacing="0" w:line="414" w:lineRule="exact"/>
        <w:ind w:left="0" w:right="0"/>
        <w:jc w:val="both"/>
        <w:rPr>
          <w:rFonts w:hint="eastAsia" w:ascii="宋体" w:hAnsi="宋体" w:eastAsia="宋体" w:cs="宋体"/>
          <w:b/>
          <w:bCs w:val="0"/>
          <w:color w:val="auto"/>
          <w:szCs w:val="21"/>
          <w:highlight w:val="none"/>
          <w:lang w:val="en-US"/>
        </w:rPr>
      </w:pPr>
      <w:r>
        <w:rPr>
          <w:rFonts w:hint="eastAsia" w:ascii="宋体" w:hAnsi="宋体" w:eastAsia="宋体" w:cs="宋体"/>
          <w:b/>
          <w:bCs w:val="0"/>
          <w:color w:val="auto"/>
          <w:kern w:val="2"/>
          <w:sz w:val="21"/>
          <w:szCs w:val="24"/>
          <w:highlight w:val="none"/>
          <w:lang w:val="en-US" w:eastAsia="zh-CN" w:bidi="ar"/>
        </w:rPr>
        <w:t>项目概况</w:t>
      </w:r>
    </w:p>
    <w:p w14:paraId="73129B33">
      <w:pPr>
        <w:keepNext w:val="0"/>
        <w:keepLines w:val="0"/>
        <w:pageBreakBefore w:val="0"/>
        <w:widowControl w:val="0"/>
        <w:suppressLineNumbers w:val="0"/>
        <w:pBdr>
          <w:top w:val="single" w:color="auto" w:sz="4" w:space="2"/>
          <w:left w:val="single" w:color="auto" w:sz="4" w:space="4"/>
          <w:bottom w:val="single" w:color="auto" w:sz="4" w:space="1"/>
          <w:right w:val="single" w:color="auto" w:sz="4" w:space="4"/>
        </w:pBdr>
        <w:kinsoku/>
        <w:wordWrap/>
        <w:overflowPunct/>
        <w:topLinePunct w:val="0"/>
        <w:autoSpaceDN/>
        <w:bidi w:val="0"/>
        <w:snapToGrid/>
        <w:spacing w:before="0" w:beforeAutospacing="0" w:after="0" w:afterAutospacing="0" w:line="414" w:lineRule="exact"/>
        <w:ind w:left="0" w:right="0" w:firstLine="420"/>
        <w:jc w:val="both"/>
        <w:rPr>
          <w:rFonts w:hint="eastAsia" w:ascii="宋体" w:hAnsi="宋体" w:eastAsia="宋体" w:cs="宋体"/>
          <w:color w:val="auto"/>
          <w:sz w:val="28"/>
          <w:szCs w:val="28"/>
          <w:highlight w:val="none"/>
          <w:lang w:val="en-US"/>
        </w:rPr>
      </w:pPr>
      <w:r>
        <w:rPr>
          <w:rFonts w:hint="eastAsia" w:hAnsi="宋体" w:cs="宋体"/>
          <w:color w:val="auto"/>
          <w:kern w:val="2"/>
          <w:sz w:val="21"/>
          <w:szCs w:val="24"/>
          <w:highlight w:val="none"/>
          <w:u w:val="single"/>
          <w:lang w:val="en-US" w:eastAsia="zh-CN" w:bidi="ar"/>
        </w:rPr>
        <w:t>贺州江氏客家围屋--北二横屋、北牲畜房保护修缮工程</w:t>
      </w:r>
      <w:r>
        <w:rPr>
          <w:rFonts w:hint="eastAsia" w:ascii="宋体" w:hAnsi="宋体" w:eastAsia="宋体" w:cs="宋体"/>
          <w:color w:val="auto"/>
          <w:kern w:val="2"/>
          <w:sz w:val="21"/>
          <w:szCs w:val="24"/>
          <w:highlight w:val="none"/>
          <w:lang w:val="en-US" w:eastAsia="zh-CN" w:bidi="ar"/>
        </w:rPr>
        <w:t>采购项目的潜在供应商应在广西政府采购云平台</w:t>
      </w:r>
      <w:r>
        <w:rPr>
          <w:rFonts w:hint="eastAsia" w:hAnsi="宋体" w:cs="宋体"/>
          <w:color w:val="auto"/>
          <w:kern w:val="2"/>
          <w:sz w:val="21"/>
          <w:szCs w:val="24"/>
          <w:highlight w:val="none"/>
          <w:lang w:val="en-US" w:eastAsia="zh-CN" w:bidi="ar"/>
        </w:rPr>
        <w:t>(</w:t>
      </w:r>
      <w:r>
        <w:rPr>
          <w:rFonts w:hint="eastAsia" w:ascii="宋体" w:hAnsi="宋体" w:eastAsia="宋体" w:cs="宋体"/>
          <w:color w:val="auto"/>
          <w:kern w:val="2"/>
          <w:sz w:val="21"/>
          <w:szCs w:val="24"/>
          <w:highlight w:val="none"/>
          <w:lang w:val="en-US" w:eastAsia="zh-CN" w:bidi="ar"/>
        </w:rPr>
        <w:t>https://www.gcy.zfcg.gxzf.gov.cn/</w:t>
      </w:r>
      <w:r>
        <w:rPr>
          <w:rFonts w:hint="eastAsia" w:hAnsi="宋体" w:cs="宋体"/>
          <w:color w:val="auto"/>
          <w:kern w:val="2"/>
          <w:sz w:val="21"/>
          <w:szCs w:val="24"/>
          <w:highlight w:val="none"/>
          <w:lang w:val="en-US" w:eastAsia="zh-CN" w:bidi="ar"/>
        </w:rPr>
        <w:t>)</w:t>
      </w:r>
      <w:r>
        <w:rPr>
          <w:rFonts w:hint="eastAsia" w:ascii="宋体" w:hAnsi="宋体" w:eastAsia="宋体" w:cs="宋体"/>
          <w:color w:val="auto"/>
          <w:kern w:val="2"/>
          <w:sz w:val="21"/>
          <w:szCs w:val="24"/>
          <w:highlight w:val="none"/>
          <w:lang w:val="en-US" w:eastAsia="zh-CN" w:bidi="ar"/>
        </w:rPr>
        <w:t>获取采购文件，并于202</w:t>
      </w:r>
      <w:r>
        <w:rPr>
          <w:rFonts w:hint="eastAsia" w:hAnsi="宋体" w:cs="宋体"/>
          <w:color w:val="auto"/>
          <w:kern w:val="2"/>
          <w:sz w:val="21"/>
          <w:szCs w:val="24"/>
          <w:highlight w:val="none"/>
          <w:lang w:val="en-US" w:eastAsia="zh-CN" w:bidi="ar"/>
        </w:rPr>
        <w:t>5</w:t>
      </w:r>
      <w:r>
        <w:rPr>
          <w:rFonts w:hint="eastAsia" w:ascii="宋体" w:hAnsi="宋体" w:eastAsia="宋体" w:cs="宋体"/>
          <w:color w:val="auto"/>
          <w:kern w:val="2"/>
          <w:sz w:val="21"/>
          <w:szCs w:val="24"/>
          <w:highlight w:val="none"/>
          <w:lang w:val="en-US" w:eastAsia="zh-CN" w:bidi="ar"/>
        </w:rPr>
        <w:t>年</w:t>
      </w:r>
      <w:r>
        <w:rPr>
          <w:rFonts w:hint="eastAsia" w:hAnsi="宋体" w:cs="宋体"/>
          <w:color w:val="auto"/>
          <w:kern w:val="2"/>
          <w:sz w:val="21"/>
          <w:szCs w:val="24"/>
          <w:highlight w:val="none"/>
          <w:lang w:val="en-US" w:eastAsia="zh-CN" w:bidi="ar"/>
        </w:rPr>
        <w:t>5</w:t>
      </w:r>
      <w:r>
        <w:rPr>
          <w:rFonts w:hint="eastAsia" w:ascii="宋体" w:hAnsi="宋体" w:eastAsia="宋体" w:cs="宋体"/>
          <w:color w:val="auto"/>
          <w:kern w:val="2"/>
          <w:sz w:val="21"/>
          <w:szCs w:val="24"/>
          <w:highlight w:val="none"/>
          <w:lang w:val="en-US" w:eastAsia="zh-CN" w:bidi="ar"/>
        </w:rPr>
        <w:t>月</w:t>
      </w:r>
      <w:r>
        <w:rPr>
          <w:rFonts w:hint="eastAsia" w:hAnsi="宋体" w:cs="宋体"/>
          <w:color w:val="auto"/>
          <w:kern w:val="2"/>
          <w:sz w:val="21"/>
          <w:szCs w:val="24"/>
          <w:highlight w:val="none"/>
          <w:lang w:val="en-US" w:eastAsia="zh-CN" w:bidi="ar"/>
        </w:rPr>
        <w:t>15</w:t>
      </w:r>
      <w:r>
        <w:rPr>
          <w:rFonts w:hint="eastAsia" w:ascii="宋体" w:hAnsi="宋体" w:eastAsia="宋体" w:cs="宋体"/>
          <w:color w:val="auto"/>
          <w:kern w:val="2"/>
          <w:sz w:val="21"/>
          <w:szCs w:val="24"/>
          <w:highlight w:val="none"/>
          <w:lang w:val="en-US" w:eastAsia="zh-CN" w:bidi="ar"/>
        </w:rPr>
        <w:t>日</w:t>
      </w:r>
      <w:r>
        <w:rPr>
          <w:rFonts w:hint="eastAsia" w:hAnsi="宋体" w:cs="宋体"/>
          <w:color w:val="auto"/>
          <w:kern w:val="2"/>
          <w:sz w:val="21"/>
          <w:szCs w:val="24"/>
          <w:highlight w:val="none"/>
          <w:lang w:val="en-US" w:eastAsia="zh-CN" w:bidi="ar"/>
        </w:rPr>
        <w:t xml:space="preserve">9 </w:t>
      </w:r>
      <w:r>
        <w:rPr>
          <w:rFonts w:hint="eastAsia" w:ascii="宋体" w:hAnsi="宋体" w:eastAsia="宋体" w:cs="宋体"/>
          <w:color w:val="auto"/>
          <w:kern w:val="2"/>
          <w:sz w:val="21"/>
          <w:szCs w:val="24"/>
          <w:highlight w:val="none"/>
          <w:lang w:val="en-US" w:eastAsia="zh-CN" w:bidi="ar"/>
        </w:rPr>
        <w:t>时</w:t>
      </w:r>
      <w:r>
        <w:rPr>
          <w:rFonts w:hint="eastAsia" w:hAnsi="宋体" w:cs="宋体"/>
          <w:color w:val="auto"/>
          <w:kern w:val="2"/>
          <w:sz w:val="21"/>
          <w:szCs w:val="24"/>
          <w:highlight w:val="none"/>
          <w:lang w:val="en-US" w:eastAsia="zh-CN" w:bidi="ar"/>
        </w:rPr>
        <w:t>00</w:t>
      </w:r>
      <w:r>
        <w:rPr>
          <w:rFonts w:hint="eastAsia" w:ascii="宋体" w:hAnsi="宋体" w:eastAsia="宋体" w:cs="宋体"/>
          <w:color w:val="auto"/>
          <w:kern w:val="2"/>
          <w:sz w:val="21"/>
          <w:szCs w:val="24"/>
          <w:highlight w:val="none"/>
          <w:lang w:val="en-US" w:eastAsia="zh-CN" w:bidi="ar"/>
        </w:rPr>
        <w:t>分</w:t>
      </w:r>
      <w:r>
        <w:rPr>
          <w:rFonts w:hint="eastAsia" w:ascii="宋体" w:hAnsi="宋体" w:eastAsia="宋体" w:cs="宋体"/>
          <w:bCs/>
          <w:color w:val="auto"/>
          <w:kern w:val="2"/>
          <w:sz w:val="21"/>
          <w:szCs w:val="24"/>
          <w:highlight w:val="none"/>
          <w:lang w:val="en-US" w:eastAsia="zh-CN" w:bidi="ar"/>
        </w:rPr>
        <w:t>（北京时间）前提交响应文件</w:t>
      </w:r>
      <w:r>
        <w:rPr>
          <w:rFonts w:hint="eastAsia" w:ascii="宋体" w:hAnsi="宋体" w:eastAsia="宋体" w:cs="宋体"/>
          <w:color w:val="auto"/>
          <w:kern w:val="2"/>
          <w:sz w:val="21"/>
          <w:szCs w:val="24"/>
          <w:highlight w:val="none"/>
          <w:lang w:val="en-US" w:eastAsia="zh-CN" w:bidi="ar"/>
        </w:rPr>
        <w:t>。</w:t>
      </w:r>
    </w:p>
    <w:p w14:paraId="26062DD2">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jc w:val="both"/>
        <w:rPr>
          <w:rFonts w:hint="eastAsia" w:ascii="宋体" w:hAnsi="宋体" w:eastAsia="宋体" w:cs="宋体"/>
          <w:b/>
          <w:bCs w:val="0"/>
          <w:color w:val="auto"/>
          <w:szCs w:val="21"/>
          <w:highlight w:val="none"/>
          <w:lang w:val="en-US"/>
        </w:rPr>
      </w:pPr>
      <w:r>
        <w:rPr>
          <w:rFonts w:hint="eastAsia" w:ascii="宋体" w:hAnsi="宋体" w:eastAsia="宋体" w:cs="宋体"/>
          <w:b/>
          <w:bCs w:val="0"/>
          <w:color w:val="auto"/>
          <w:kern w:val="2"/>
          <w:sz w:val="21"/>
          <w:szCs w:val="24"/>
          <w:highlight w:val="none"/>
          <w:lang w:val="en-US" w:eastAsia="zh-CN" w:bidi="ar"/>
        </w:rPr>
        <w:t>一、项目基本情况</w:t>
      </w:r>
    </w:p>
    <w:p w14:paraId="76D41A42">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 xml:space="preserve">1.项目编号:HZZC2025-C2-020017-QHZX  </w:t>
      </w:r>
    </w:p>
    <w:p w14:paraId="15F25F1A">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2.项目名称</w:t>
      </w:r>
      <w:r>
        <w:rPr>
          <w:rFonts w:hint="eastAsia" w:hAnsi="宋体" w:cs="宋体"/>
          <w:color w:val="auto"/>
          <w:kern w:val="2"/>
          <w:sz w:val="21"/>
          <w:szCs w:val="24"/>
          <w:highlight w:val="none"/>
          <w:lang w:val="en-US" w:eastAsia="zh-CN" w:bidi="ar"/>
        </w:rPr>
        <w:t>:贺州江氏客家围屋--北二横屋、北牲畜房保护修缮工程</w:t>
      </w:r>
    </w:p>
    <w:p w14:paraId="4E3559F1">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3.采购方式</w:t>
      </w:r>
      <w:r>
        <w:rPr>
          <w:rFonts w:hint="eastAsia" w:hAnsi="宋体" w:cs="宋体"/>
          <w:color w:val="auto"/>
          <w:kern w:val="2"/>
          <w:sz w:val="21"/>
          <w:szCs w:val="24"/>
          <w:highlight w:val="none"/>
          <w:lang w:val="en-US" w:eastAsia="zh-CN" w:bidi="ar"/>
        </w:rPr>
        <w:t>:</w:t>
      </w:r>
      <w:r>
        <w:rPr>
          <w:rFonts w:hint="eastAsia" w:ascii="宋体" w:hAnsi="宋体" w:eastAsia="宋体" w:cs="宋体"/>
          <w:color w:val="auto"/>
          <w:kern w:val="2"/>
          <w:sz w:val="21"/>
          <w:szCs w:val="24"/>
          <w:highlight w:val="none"/>
          <w:lang w:val="en-US" w:eastAsia="zh-CN" w:bidi="ar"/>
        </w:rPr>
        <w:t>竞争性磋商</w:t>
      </w:r>
    </w:p>
    <w:p w14:paraId="7866E70D">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kern w:val="2"/>
          <w:sz w:val="21"/>
          <w:szCs w:val="24"/>
          <w:highlight w:val="none"/>
          <w:lang w:val="en-US" w:eastAsia="zh-CN" w:bidi="ar"/>
        </w:rPr>
      </w:pPr>
      <w:r>
        <w:rPr>
          <w:rFonts w:hint="eastAsia" w:ascii="宋体" w:hAnsi="宋体" w:eastAsia="宋体" w:cs="宋体"/>
          <w:color w:val="auto"/>
          <w:kern w:val="2"/>
          <w:sz w:val="21"/>
          <w:szCs w:val="24"/>
          <w:highlight w:val="none"/>
          <w:lang w:val="en-US" w:eastAsia="zh-CN" w:bidi="ar"/>
        </w:rPr>
        <w:t>4.预算金额:</w:t>
      </w:r>
      <w:r>
        <w:rPr>
          <w:rFonts w:hint="eastAsia" w:ascii="宋体" w:hAnsi="宋体" w:eastAsia="宋体" w:cs="Times New Roman"/>
          <w:color w:val="auto"/>
          <w:kern w:val="2"/>
          <w:sz w:val="21"/>
          <w:szCs w:val="24"/>
          <w:highlight w:val="none"/>
          <w:lang w:val="en-US" w:eastAsia="zh-CN" w:bidi="ar"/>
        </w:rPr>
        <w:t>3320330.94元</w:t>
      </w:r>
      <w:r>
        <w:rPr>
          <w:rFonts w:hint="eastAsia" w:ascii="宋体" w:hAnsi="宋体" w:eastAsia="宋体" w:cs="宋体"/>
          <w:color w:val="auto"/>
          <w:kern w:val="2"/>
          <w:sz w:val="21"/>
          <w:szCs w:val="24"/>
          <w:highlight w:val="none"/>
          <w:lang w:val="en-US" w:eastAsia="zh-CN" w:bidi="ar"/>
        </w:rPr>
        <w:t>；</w:t>
      </w:r>
    </w:p>
    <w:p w14:paraId="09488C25">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kern w:val="2"/>
          <w:sz w:val="21"/>
          <w:szCs w:val="24"/>
          <w:highlight w:val="none"/>
          <w:lang w:val="en-US" w:eastAsia="zh-CN" w:bidi="ar"/>
        </w:rPr>
      </w:pPr>
      <w:r>
        <w:rPr>
          <w:rFonts w:hint="eastAsia" w:ascii="宋体" w:hAnsi="宋体" w:eastAsia="宋体" w:cs="宋体"/>
          <w:color w:val="auto"/>
          <w:kern w:val="2"/>
          <w:sz w:val="21"/>
          <w:szCs w:val="24"/>
          <w:highlight w:val="none"/>
          <w:lang w:val="en-US" w:eastAsia="zh-CN" w:bidi="ar"/>
        </w:rPr>
        <w:t>5.最高限价:</w:t>
      </w:r>
      <w:r>
        <w:rPr>
          <w:rFonts w:hint="eastAsia" w:ascii="宋体" w:hAnsi="宋体" w:eastAsia="宋体" w:cs="Times New Roman"/>
          <w:color w:val="auto"/>
          <w:kern w:val="2"/>
          <w:sz w:val="21"/>
          <w:szCs w:val="24"/>
          <w:highlight w:val="none"/>
          <w:lang w:val="en-US" w:eastAsia="zh-CN" w:bidi="ar"/>
        </w:rPr>
        <w:t>3320330.94元</w:t>
      </w:r>
      <w:r>
        <w:rPr>
          <w:rFonts w:hint="eastAsia" w:ascii="宋体" w:hAnsi="宋体" w:eastAsia="宋体" w:cs="宋体"/>
          <w:color w:val="auto"/>
          <w:kern w:val="2"/>
          <w:sz w:val="21"/>
          <w:szCs w:val="24"/>
          <w:highlight w:val="none"/>
          <w:lang w:val="en-US" w:eastAsia="zh-CN" w:bidi="ar"/>
        </w:rPr>
        <w:t>；</w:t>
      </w:r>
    </w:p>
    <w:p w14:paraId="72252B59">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
        </w:rPr>
        <w:t>6.采购需求</w:t>
      </w:r>
      <w:r>
        <w:rPr>
          <w:rFonts w:hint="eastAsia" w:ascii="Times New Roman" w:hAnsi="Times New Roman" w:eastAsia="宋体" w:cs="宋体"/>
          <w:color w:val="auto"/>
          <w:kern w:val="2"/>
          <w:sz w:val="21"/>
          <w:szCs w:val="24"/>
          <w:highlight w:val="none"/>
          <w:lang w:val="en-US" w:eastAsia="zh-CN" w:bidi="ar"/>
        </w:rPr>
        <w:t>：</w:t>
      </w:r>
    </w:p>
    <w:p w14:paraId="258EC744">
      <w:pPr>
        <w:keepNext w:val="0"/>
        <w:keepLines w:val="0"/>
        <w:widowControl w:val="0"/>
        <w:suppressLineNumbers w:val="0"/>
        <w:autoSpaceDE w:val="0"/>
        <w:autoSpaceDN/>
        <w:spacing w:before="0" w:beforeAutospacing="0" w:after="0" w:afterAutospacing="0" w:line="414" w:lineRule="exact"/>
        <w:ind w:left="0" w:right="0" w:firstLine="424" w:firstLineChars="202"/>
        <w:jc w:val="both"/>
        <w:rPr>
          <w:rFonts w:hint="eastAsia" w:ascii="宋体" w:hAnsi="宋体" w:eastAsia="宋体" w:cs="宋体"/>
          <w:color w:val="auto"/>
          <w:kern w:val="2"/>
          <w:sz w:val="21"/>
          <w:szCs w:val="24"/>
          <w:highlight w:val="none"/>
          <w:lang w:val="en-US" w:eastAsia="zh-CN" w:bidi="ar"/>
        </w:rPr>
      </w:pPr>
      <w:r>
        <w:rPr>
          <w:rFonts w:hint="eastAsia" w:ascii="宋体" w:hAnsi="宋体" w:eastAsia="宋体" w:cs="宋体"/>
          <w:color w:val="auto"/>
          <w:kern w:val="2"/>
          <w:sz w:val="21"/>
          <w:szCs w:val="24"/>
          <w:highlight w:val="none"/>
          <w:lang w:val="en-US" w:eastAsia="zh-CN" w:bidi="ar"/>
        </w:rPr>
        <w:t>6.1项目规模及建设内容：本次修缮范围为北二横屋及其附属腋房、北牲畜房，修缮占地面积1071.9平方米，建筑面积为1561.3平方米。主要修缮内容为屋面、梁架、木基层、墙体、木装修、地面、油饰等项目。</w:t>
      </w:r>
    </w:p>
    <w:p w14:paraId="6477D97B">
      <w:pPr>
        <w:keepNext w:val="0"/>
        <w:keepLines w:val="0"/>
        <w:widowControl w:val="0"/>
        <w:suppressLineNumbers w:val="0"/>
        <w:autoSpaceDE w:val="0"/>
        <w:autoSpaceDN/>
        <w:spacing w:before="0" w:beforeAutospacing="0" w:after="0" w:afterAutospacing="0" w:line="414"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 xml:space="preserve">6.2采购范围：修缮工程等工程量清单及施工图纸范围内的施工。 </w:t>
      </w:r>
    </w:p>
    <w:p w14:paraId="71057B8B">
      <w:pPr>
        <w:keepNext w:val="0"/>
        <w:keepLines w:val="0"/>
        <w:widowControl w:val="0"/>
        <w:suppressLineNumbers w:val="0"/>
        <w:autoSpaceDE w:val="0"/>
        <w:autoSpaceDN/>
        <w:spacing w:before="0" w:beforeAutospacing="0" w:after="0" w:afterAutospacing="0" w:line="414" w:lineRule="exact"/>
        <w:ind w:left="0" w:right="0" w:firstLine="420" w:firstLineChars="200"/>
        <w:jc w:val="both"/>
        <w:rPr>
          <w:rFonts w:hint="eastAsia" w:ascii="宋体" w:hAnsi="宋体" w:eastAsia="宋体" w:cs="宋体"/>
          <w:color w:val="auto"/>
          <w:kern w:val="0"/>
          <w:highlight w:val="none"/>
          <w:lang w:val="en-US"/>
        </w:rPr>
      </w:pPr>
      <w:r>
        <w:rPr>
          <w:rFonts w:hint="eastAsia" w:ascii="宋体" w:hAnsi="宋体" w:eastAsia="宋体" w:cs="宋体"/>
          <w:color w:val="auto"/>
          <w:kern w:val="2"/>
          <w:sz w:val="21"/>
          <w:szCs w:val="24"/>
          <w:highlight w:val="none"/>
          <w:lang w:val="en-US" w:eastAsia="zh-CN" w:bidi="ar"/>
        </w:rPr>
        <w:t>6.3</w:t>
      </w:r>
      <w:r>
        <w:rPr>
          <w:rFonts w:hint="eastAsia" w:ascii="宋体" w:hAnsi="宋体" w:eastAsia="宋体" w:cs="宋体"/>
          <w:bCs/>
          <w:color w:val="auto"/>
          <w:kern w:val="2"/>
          <w:sz w:val="21"/>
          <w:szCs w:val="24"/>
          <w:highlight w:val="none"/>
          <w:lang w:val="en-US" w:eastAsia="zh-CN" w:bidi="ar"/>
        </w:rPr>
        <w:t>质量要求：</w:t>
      </w:r>
      <w:r>
        <w:rPr>
          <w:rFonts w:hint="eastAsia" w:ascii="宋体" w:hAnsi="宋体" w:eastAsia="宋体" w:cs="宋体"/>
          <w:color w:val="auto"/>
          <w:kern w:val="2"/>
          <w:sz w:val="21"/>
          <w:szCs w:val="24"/>
          <w:highlight w:val="none"/>
          <w:lang w:val="en-US" w:eastAsia="zh-CN" w:bidi="ar"/>
        </w:rPr>
        <w:t>达到国家施工验收规范合格标准</w:t>
      </w:r>
      <w:r>
        <w:rPr>
          <w:rFonts w:hint="eastAsia" w:ascii="宋体" w:hAnsi="宋体" w:eastAsia="宋体" w:cs="宋体"/>
          <w:bCs/>
          <w:color w:val="auto"/>
          <w:kern w:val="2"/>
          <w:sz w:val="21"/>
          <w:szCs w:val="24"/>
          <w:highlight w:val="none"/>
          <w:lang w:val="en-US" w:eastAsia="zh-CN" w:bidi="ar"/>
        </w:rPr>
        <w:t>；</w:t>
      </w:r>
    </w:p>
    <w:p w14:paraId="2ABD312E">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414" w:lineRule="exact"/>
        <w:ind w:left="0" w:right="27" w:rightChars="13" w:firstLine="424" w:firstLineChars="202"/>
        <w:jc w:val="both"/>
        <w:rPr>
          <w:rFonts w:hint="eastAsia" w:ascii="宋体" w:hAnsi="宋体" w:eastAsia="宋体" w:cs="宋体"/>
          <w:bCs/>
          <w:color w:val="auto"/>
          <w:highlight w:val="none"/>
          <w:lang w:val="en-US"/>
        </w:rPr>
      </w:pPr>
      <w:r>
        <w:rPr>
          <w:rFonts w:hint="eastAsia" w:ascii="宋体" w:hAnsi="宋体" w:eastAsia="宋体" w:cs="宋体"/>
          <w:bCs/>
          <w:color w:val="auto"/>
          <w:kern w:val="2"/>
          <w:sz w:val="21"/>
          <w:szCs w:val="24"/>
          <w:highlight w:val="none"/>
          <w:lang w:val="en-US" w:eastAsia="zh-CN" w:bidi="ar"/>
        </w:rPr>
        <w:t>7.</w:t>
      </w:r>
      <w:r>
        <w:rPr>
          <w:rFonts w:hint="eastAsia" w:ascii="宋体" w:hAnsi="宋体" w:eastAsia="宋体" w:cs="宋体"/>
          <w:color w:val="auto"/>
          <w:kern w:val="2"/>
          <w:sz w:val="21"/>
          <w:szCs w:val="24"/>
          <w:highlight w:val="none"/>
          <w:lang w:val="en-US" w:eastAsia="zh-CN" w:bidi="ar"/>
        </w:rPr>
        <w:t>工期</w:t>
      </w:r>
      <w:r>
        <w:rPr>
          <w:rFonts w:hint="eastAsia" w:ascii="宋体" w:hAnsi="宋体" w:eastAsia="宋体" w:cs="宋体"/>
          <w:bCs/>
          <w:color w:val="auto"/>
          <w:kern w:val="2"/>
          <w:sz w:val="21"/>
          <w:szCs w:val="24"/>
          <w:highlight w:val="none"/>
          <w:lang w:val="en-US" w:eastAsia="zh-CN" w:bidi="ar"/>
        </w:rPr>
        <w:t>：</w:t>
      </w:r>
      <w:r>
        <w:rPr>
          <w:rFonts w:hint="eastAsia" w:hAnsi="宋体" w:cs="宋体"/>
          <w:bCs/>
          <w:color w:val="auto"/>
          <w:kern w:val="2"/>
          <w:sz w:val="21"/>
          <w:szCs w:val="24"/>
          <w:highlight w:val="none"/>
          <w:lang w:val="en-US" w:eastAsia="zh-CN" w:bidi="ar"/>
        </w:rPr>
        <w:t>24</w:t>
      </w:r>
      <w:r>
        <w:rPr>
          <w:rFonts w:hint="eastAsia" w:hAnsi="宋体" w:cs="宋体"/>
          <w:color w:val="auto"/>
          <w:kern w:val="2"/>
          <w:sz w:val="21"/>
          <w:szCs w:val="24"/>
          <w:highlight w:val="none"/>
          <w:lang w:val="en-US" w:eastAsia="zh-CN" w:bidi="ar"/>
        </w:rPr>
        <w:t>0</w:t>
      </w:r>
      <w:r>
        <w:rPr>
          <w:rFonts w:hint="eastAsia" w:ascii="宋体" w:hAnsi="宋体" w:eastAsia="宋体" w:cs="宋体"/>
          <w:color w:val="auto"/>
          <w:kern w:val="2"/>
          <w:sz w:val="21"/>
          <w:szCs w:val="24"/>
          <w:highlight w:val="none"/>
          <w:lang w:val="en-US" w:eastAsia="zh-CN" w:bidi="ar"/>
        </w:rPr>
        <w:t>日历天</w:t>
      </w:r>
      <w:r>
        <w:rPr>
          <w:rFonts w:hint="eastAsia" w:ascii="宋体" w:hAnsi="宋体" w:eastAsia="宋体" w:cs="宋体"/>
          <w:bCs/>
          <w:color w:val="auto"/>
          <w:kern w:val="2"/>
          <w:sz w:val="21"/>
          <w:szCs w:val="24"/>
          <w:highlight w:val="none"/>
          <w:lang w:val="en-US" w:eastAsia="zh-CN" w:bidi="ar"/>
        </w:rPr>
        <w:t>；</w:t>
      </w:r>
    </w:p>
    <w:p w14:paraId="5F8DF0F1">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414" w:lineRule="exact"/>
        <w:ind w:left="0" w:right="0" w:firstLine="411" w:firstLineChars="196"/>
        <w:jc w:val="both"/>
        <w:rPr>
          <w:rFonts w:hint="eastAsia" w:ascii="宋体" w:hAnsi="宋体" w:eastAsia="宋体" w:cs="宋体"/>
          <w:bCs/>
          <w:color w:val="auto"/>
          <w:highlight w:val="none"/>
          <w:lang w:val="en-US"/>
        </w:rPr>
      </w:pPr>
      <w:r>
        <w:rPr>
          <w:rFonts w:hint="eastAsia" w:ascii="宋体" w:hAnsi="宋体" w:eastAsia="宋体" w:cs="宋体"/>
          <w:bCs/>
          <w:color w:val="auto"/>
          <w:kern w:val="2"/>
          <w:sz w:val="21"/>
          <w:szCs w:val="24"/>
          <w:highlight w:val="none"/>
          <w:lang w:val="en-US" w:eastAsia="zh-CN" w:bidi="ar"/>
        </w:rPr>
        <w:t>8.本项目（不接受）联合体。</w:t>
      </w:r>
    </w:p>
    <w:p w14:paraId="0CF3F3D2">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1"/>
          <w:szCs w:val="24"/>
          <w:highlight w:val="none"/>
          <w:lang w:val="en-US" w:eastAsia="zh-CN" w:bidi="ar"/>
        </w:rPr>
        <w:t>二、申请人的资格要求：</w:t>
      </w:r>
    </w:p>
    <w:p w14:paraId="01DEA84A">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1.满足《中华人民共和国政府采购法》第二十二条规定；</w:t>
      </w:r>
    </w:p>
    <w:p w14:paraId="3B3197FF">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2.落实政府采购政策需满足的资格要求：专门面向中小企业采购的项目（供应商应为中小微企业或监狱企业或残疾人福利性单位)；</w:t>
      </w:r>
    </w:p>
    <w:p w14:paraId="066FD862">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3.本项目的特定资格要求：</w:t>
      </w:r>
    </w:p>
    <w:p w14:paraId="54CEAECF">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3.1资质条件：具有独立法人资格，具备文物保护工程施工一级资质（业务范围包含</w:t>
      </w:r>
      <w:r>
        <w:rPr>
          <w:rFonts w:hint="eastAsia" w:hAnsi="宋体" w:cs="宋体"/>
          <w:color w:val="auto"/>
          <w:kern w:val="2"/>
          <w:sz w:val="21"/>
          <w:szCs w:val="24"/>
          <w:highlight w:val="none"/>
          <w:lang w:val="en-US" w:eastAsia="zh-CN" w:bidi="ar"/>
        </w:rPr>
        <w:t>:</w:t>
      </w:r>
      <w:r>
        <w:rPr>
          <w:rFonts w:hint="eastAsia" w:ascii="宋体" w:hAnsi="宋体" w:eastAsia="宋体" w:cs="宋体"/>
          <w:color w:val="auto"/>
          <w:kern w:val="2"/>
          <w:sz w:val="21"/>
          <w:szCs w:val="24"/>
          <w:highlight w:val="none"/>
          <w:lang w:val="en-US" w:eastAsia="zh-CN" w:bidi="ar"/>
        </w:rPr>
        <w:t>古建筑或古建筑维修保护）；</w:t>
      </w:r>
      <w:r>
        <w:rPr>
          <w:rFonts w:hint="eastAsia"/>
          <w:color w:val="auto"/>
          <w:highlight w:val="none"/>
        </w:rPr>
        <w:t>具有省级</w:t>
      </w:r>
      <w:r>
        <w:rPr>
          <w:rFonts w:hint="eastAsia"/>
          <w:color w:val="auto"/>
          <w:highlight w:val="none"/>
          <w:lang w:eastAsia="zh-CN"/>
        </w:rPr>
        <w:t>或</w:t>
      </w:r>
      <w:r>
        <w:rPr>
          <w:rFonts w:hint="eastAsia"/>
          <w:color w:val="auto"/>
          <w:highlight w:val="none"/>
        </w:rPr>
        <w:t>以上建设行政主管部门颁发的安全生产许可证</w:t>
      </w:r>
      <w:r>
        <w:rPr>
          <w:rFonts w:hint="eastAsia"/>
          <w:color w:val="auto"/>
          <w:highlight w:val="none"/>
          <w:lang w:eastAsia="zh-CN"/>
        </w:rPr>
        <w:t>，</w:t>
      </w:r>
      <w:r>
        <w:rPr>
          <w:rFonts w:hint="eastAsia" w:ascii="宋体" w:hAnsi="宋体" w:eastAsia="宋体" w:cs="宋体"/>
          <w:color w:val="auto"/>
          <w:kern w:val="2"/>
          <w:sz w:val="21"/>
          <w:szCs w:val="24"/>
          <w:highlight w:val="none"/>
          <w:lang w:val="en-US" w:eastAsia="zh-CN" w:bidi="ar"/>
        </w:rPr>
        <w:t>并在人员、设备、资金等方面具备相应的施工能力；</w:t>
      </w:r>
    </w:p>
    <w:p w14:paraId="447D0A4B">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3.2人员要求：拟投入本项目的项目经理、技术负责人、专职安全员等主要现场管理人员必须是本单位的在岗人员，对相关人员的具体条件要求如下：</w:t>
      </w:r>
    </w:p>
    <w:p w14:paraId="55AB92D3">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3.2.1项目经理：具有中国古迹遗址保护协会颁发的文物保护责任工程师证书</w:t>
      </w:r>
      <w:r>
        <w:rPr>
          <w:rFonts w:hint="eastAsia" w:ascii="宋体" w:hAnsi="宋体" w:eastAsia="宋体" w:cs="宋体"/>
          <w:color w:val="auto"/>
          <w:kern w:val="2"/>
          <w:sz w:val="21"/>
          <w:szCs w:val="24"/>
          <w:highlight w:val="none"/>
          <w:lang w:val="en-US" w:eastAsia="zh-CN" w:bidi="ar"/>
        </w:rPr>
        <w:t>及中级以上（含中级）技术职称</w:t>
      </w:r>
      <w:r>
        <w:rPr>
          <w:rFonts w:hint="eastAsia" w:hAnsi="宋体" w:cs="宋体"/>
          <w:color w:val="auto"/>
          <w:kern w:val="2"/>
          <w:sz w:val="21"/>
          <w:szCs w:val="24"/>
          <w:highlight w:val="none"/>
          <w:lang w:val="en-US" w:eastAsia="zh-CN" w:bidi="ar"/>
        </w:rPr>
        <w:t>；</w:t>
      </w:r>
    </w:p>
    <w:p w14:paraId="24D3D37A">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3.2.2技术负责人：具有中国古迹遗址保护协会颁发的文物保护责任工程师证书</w:t>
      </w:r>
      <w:r>
        <w:rPr>
          <w:rFonts w:hint="eastAsia" w:ascii="宋体" w:hAnsi="宋体" w:eastAsia="宋体" w:cs="宋体"/>
          <w:color w:val="auto"/>
          <w:kern w:val="2"/>
          <w:sz w:val="21"/>
          <w:szCs w:val="24"/>
          <w:highlight w:val="none"/>
          <w:lang w:val="en-US" w:eastAsia="zh-CN" w:bidi="ar"/>
        </w:rPr>
        <w:t>及中级以上（含中级）技术职称</w:t>
      </w:r>
      <w:r>
        <w:rPr>
          <w:rFonts w:hint="eastAsia" w:hAnsi="宋体" w:cs="宋体"/>
          <w:color w:val="auto"/>
          <w:kern w:val="2"/>
          <w:sz w:val="21"/>
          <w:szCs w:val="24"/>
          <w:highlight w:val="none"/>
          <w:lang w:val="en-US" w:eastAsia="zh-CN" w:bidi="ar"/>
        </w:rPr>
        <w:t>；</w:t>
      </w:r>
    </w:p>
    <w:p w14:paraId="025AB7C9">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3.2.3专职安全员：具有有效的安全生产考核合格证书（C类），人数不少于1人。</w:t>
      </w:r>
    </w:p>
    <w:p w14:paraId="66F8859B">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1"/>
          <w:szCs w:val="24"/>
          <w:highlight w:val="none"/>
          <w:lang w:val="en-US" w:eastAsia="zh-CN" w:bidi="ar"/>
        </w:rPr>
        <w:t>三、获取采购文件</w:t>
      </w:r>
    </w:p>
    <w:p w14:paraId="75CDCFC2">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1.时间：</w:t>
      </w:r>
      <w:r>
        <w:rPr>
          <w:rFonts w:hint="eastAsia" w:ascii="宋体" w:hAnsi="宋体" w:eastAsia="宋体" w:cs="Times New Roman"/>
          <w:color w:val="auto"/>
          <w:kern w:val="2"/>
          <w:sz w:val="21"/>
          <w:szCs w:val="24"/>
          <w:lang w:val="en-US" w:eastAsia="zh-CN" w:bidi="ar"/>
        </w:rPr>
        <w:t>2025年4月30日</w:t>
      </w:r>
      <w:r>
        <w:rPr>
          <w:rFonts w:hint="eastAsia" w:ascii="宋体" w:hAnsi="宋体" w:eastAsia="宋体" w:cs="宋体"/>
          <w:color w:val="auto"/>
          <w:kern w:val="2"/>
          <w:sz w:val="21"/>
          <w:szCs w:val="24"/>
          <w:highlight w:val="none"/>
          <w:lang w:val="en-US" w:eastAsia="zh-CN" w:bidi="ar"/>
        </w:rPr>
        <w:t>至202</w:t>
      </w:r>
      <w:r>
        <w:rPr>
          <w:rFonts w:hint="eastAsia" w:hAnsi="宋体" w:cs="宋体"/>
          <w:color w:val="auto"/>
          <w:kern w:val="2"/>
          <w:sz w:val="21"/>
          <w:szCs w:val="24"/>
          <w:highlight w:val="none"/>
          <w:lang w:val="en-US" w:eastAsia="zh-CN" w:bidi="ar"/>
        </w:rPr>
        <w:t>5</w:t>
      </w:r>
      <w:r>
        <w:rPr>
          <w:rFonts w:hint="eastAsia" w:ascii="宋体" w:hAnsi="宋体" w:eastAsia="宋体" w:cs="宋体"/>
          <w:color w:val="auto"/>
          <w:kern w:val="2"/>
          <w:sz w:val="21"/>
          <w:szCs w:val="24"/>
          <w:highlight w:val="none"/>
          <w:lang w:val="en-US" w:eastAsia="zh-CN" w:bidi="ar"/>
        </w:rPr>
        <w:t>年</w:t>
      </w:r>
      <w:r>
        <w:rPr>
          <w:rFonts w:hint="eastAsia" w:hAnsi="宋体" w:cs="宋体"/>
          <w:color w:val="auto"/>
          <w:kern w:val="2"/>
          <w:sz w:val="21"/>
          <w:szCs w:val="24"/>
          <w:highlight w:val="none"/>
          <w:lang w:val="en-US" w:eastAsia="zh-CN" w:bidi="ar"/>
        </w:rPr>
        <w:t>5</w:t>
      </w:r>
      <w:r>
        <w:rPr>
          <w:rFonts w:hint="eastAsia" w:ascii="宋体" w:hAnsi="宋体" w:eastAsia="宋体" w:cs="宋体"/>
          <w:color w:val="auto"/>
          <w:kern w:val="2"/>
          <w:sz w:val="21"/>
          <w:szCs w:val="24"/>
          <w:highlight w:val="none"/>
          <w:lang w:val="en-US" w:eastAsia="zh-CN" w:bidi="ar"/>
        </w:rPr>
        <w:t>月</w:t>
      </w:r>
      <w:r>
        <w:rPr>
          <w:rFonts w:hint="eastAsia" w:hAnsi="宋体" w:cs="宋体"/>
          <w:color w:val="auto"/>
          <w:kern w:val="2"/>
          <w:sz w:val="21"/>
          <w:szCs w:val="24"/>
          <w:highlight w:val="none"/>
          <w:lang w:val="en-US" w:eastAsia="zh-CN" w:bidi="ar"/>
        </w:rPr>
        <w:t>12</w:t>
      </w:r>
      <w:r>
        <w:rPr>
          <w:rFonts w:hint="eastAsia" w:ascii="宋体" w:hAnsi="宋体" w:eastAsia="宋体" w:cs="宋体"/>
          <w:color w:val="auto"/>
          <w:kern w:val="2"/>
          <w:sz w:val="21"/>
          <w:szCs w:val="24"/>
          <w:highlight w:val="none"/>
          <w:lang w:val="en-US" w:eastAsia="zh-CN" w:bidi="ar"/>
        </w:rPr>
        <w:t>日</w:t>
      </w:r>
      <w:r>
        <w:rPr>
          <w:rFonts w:hint="eastAsia" w:ascii="宋体" w:hAnsi="宋体" w:eastAsia="宋体" w:cs="宋体"/>
          <w:color w:val="auto"/>
          <w:kern w:val="2"/>
          <w:sz w:val="21"/>
          <w:szCs w:val="24"/>
          <w:highlight w:val="none"/>
          <w:lang w:val="en-US" w:eastAsia="zh-CN" w:bidi="ar"/>
        </w:rPr>
        <w:t>，每天上午00:00至12:00，下午12:00至23:59（北京时间，法定节假日除外）。</w:t>
      </w:r>
    </w:p>
    <w:p w14:paraId="62497128">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2.地点：广西政府采购云平台</w:t>
      </w:r>
      <w:r>
        <w:rPr>
          <w:rFonts w:hint="eastAsia" w:hAnsi="宋体" w:cs="宋体"/>
          <w:color w:val="auto"/>
          <w:kern w:val="2"/>
          <w:sz w:val="21"/>
          <w:szCs w:val="24"/>
          <w:highlight w:val="none"/>
          <w:lang w:val="en-US" w:eastAsia="zh-CN" w:bidi="ar"/>
        </w:rPr>
        <w:t>（</w:t>
      </w:r>
      <w:r>
        <w:rPr>
          <w:rFonts w:hint="eastAsia" w:ascii="宋体" w:hAnsi="宋体" w:eastAsia="宋体" w:cs="宋体"/>
          <w:color w:val="auto"/>
          <w:kern w:val="2"/>
          <w:sz w:val="21"/>
          <w:szCs w:val="24"/>
          <w:highlight w:val="none"/>
          <w:lang w:val="en-US" w:eastAsia="zh-CN" w:bidi="ar"/>
        </w:rPr>
        <w:t>https://www.gcy.zfcg.gxzf.gov.cn/</w:t>
      </w:r>
      <w:r>
        <w:rPr>
          <w:rFonts w:hint="eastAsia" w:hAnsi="宋体" w:cs="宋体"/>
          <w:color w:val="auto"/>
          <w:kern w:val="2"/>
          <w:sz w:val="21"/>
          <w:szCs w:val="24"/>
          <w:highlight w:val="none"/>
          <w:lang w:val="en-US" w:eastAsia="zh-CN" w:bidi="ar"/>
        </w:rPr>
        <w:t>）</w:t>
      </w:r>
      <w:r>
        <w:rPr>
          <w:rFonts w:hint="eastAsia" w:ascii="宋体" w:hAnsi="宋体" w:eastAsia="宋体" w:cs="宋体"/>
          <w:color w:val="auto"/>
          <w:kern w:val="2"/>
          <w:sz w:val="21"/>
          <w:szCs w:val="24"/>
          <w:highlight w:val="none"/>
          <w:lang w:val="en-US" w:eastAsia="zh-CN" w:bidi="ar"/>
        </w:rPr>
        <w:t>；</w:t>
      </w:r>
    </w:p>
    <w:p w14:paraId="42D47A86">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3.方式：网上下载。本项目不发放纸质文件，潜在供应商自行登录广西政府采购云平台</w:t>
      </w:r>
      <w:r>
        <w:rPr>
          <w:rFonts w:hint="eastAsia" w:hAnsi="宋体" w:cs="宋体"/>
          <w:color w:val="auto"/>
          <w:kern w:val="2"/>
          <w:sz w:val="21"/>
          <w:szCs w:val="24"/>
          <w:highlight w:val="none"/>
          <w:lang w:val="en-US" w:eastAsia="zh-CN" w:bidi="ar"/>
        </w:rPr>
        <w:t>（</w:t>
      </w:r>
      <w:r>
        <w:rPr>
          <w:rFonts w:hint="eastAsia" w:ascii="宋体" w:hAnsi="宋体" w:eastAsia="宋体" w:cs="宋体"/>
          <w:color w:val="auto"/>
          <w:kern w:val="2"/>
          <w:sz w:val="21"/>
          <w:szCs w:val="24"/>
          <w:highlight w:val="none"/>
          <w:lang w:val="en-US" w:eastAsia="zh-CN" w:bidi="ar"/>
        </w:rPr>
        <w:t>https://www.gcy.zfcg.gxzf.gov.cn/</w:t>
      </w:r>
      <w:r>
        <w:rPr>
          <w:rFonts w:hint="eastAsia" w:hAnsi="宋体" w:cs="宋体"/>
          <w:color w:val="auto"/>
          <w:kern w:val="2"/>
          <w:sz w:val="21"/>
          <w:szCs w:val="24"/>
          <w:highlight w:val="none"/>
          <w:lang w:val="en-US" w:eastAsia="zh-CN" w:bidi="ar"/>
        </w:rPr>
        <w:t>）</w:t>
      </w:r>
      <w:r>
        <w:rPr>
          <w:rFonts w:hint="eastAsia" w:ascii="宋体" w:hAnsi="宋体" w:eastAsia="宋体" w:cs="宋体"/>
          <w:color w:val="auto"/>
          <w:kern w:val="2"/>
          <w:sz w:val="21"/>
          <w:szCs w:val="24"/>
          <w:highlight w:val="none"/>
          <w:lang w:val="en-US" w:eastAsia="zh-CN" w:bidi="ar"/>
        </w:rPr>
        <w:t>在线申请获取采购文件（进入“项目采购”应用，在获取采购文件菜单中选择项目，申请获取采购文件）；</w:t>
      </w:r>
    </w:p>
    <w:p w14:paraId="1F1F336C">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4.售价：0元。</w:t>
      </w:r>
    </w:p>
    <w:p w14:paraId="2FE3BFAD">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1"/>
          <w:szCs w:val="24"/>
          <w:highlight w:val="none"/>
          <w:lang w:val="en-US" w:eastAsia="zh-CN" w:bidi="ar"/>
        </w:rPr>
        <w:t>四、响应文件提交</w:t>
      </w:r>
    </w:p>
    <w:p w14:paraId="516D6D0B">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1.截止时间：202</w:t>
      </w:r>
      <w:r>
        <w:rPr>
          <w:rFonts w:hint="eastAsia" w:hAnsi="宋体" w:cs="宋体"/>
          <w:color w:val="auto"/>
          <w:kern w:val="2"/>
          <w:sz w:val="21"/>
          <w:szCs w:val="24"/>
          <w:highlight w:val="none"/>
          <w:lang w:val="en-US" w:eastAsia="zh-CN" w:bidi="ar"/>
        </w:rPr>
        <w:t>5</w:t>
      </w:r>
      <w:r>
        <w:rPr>
          <w:rFonts w:hint="eastAsia" w:ascii="宋体" w:hAnsi="宋体" w:eastAsia="宋体" w:cs="宋体"/>
          <w:color w:val="auto"/>
          <w:kern w:val="2"/>
          <w:sz w:val="21"/>
          <w:szCs w:val="24"/>
          <w:highlight w:val="none"/>
          <w:lang w:val="en-US" w:eastAsia="zh-CN" w:bidi="ar"/>
        </w:rPr>
        <w:t>年</w:t>
      </w:r>
      <w:r>
        <w:rPr>
          <w:rFonts w:hint="eastAsia" w:hAnsi="宋体" w:cs="宋体"/>
          <w:color w:val="auto"/>
          <w:kern w:val="2"/>
          <w:sz w:val="21"/>
          <w:szCs w:val="24"/>
          <w:highlight w:val="none"/>
          <w:lang w:val="en-US" w:eastAsia="zh-CN" w:bidi="ar"/>
        </w:rPr>
        <w:t>5</w:t>
      </w:r>
      <w:r>
        <w:rPr>
          <w:rFonts w:hint="eastAsia" w:ascii="宋体" w:hAnsi="宋体" w:eastAsia="宋体" w:cs="宋体"/>
          <w:color w:val="auto"/>
          <w:kern w:val="2"/>
          <w:sz w:val="21"/>
          <w:szCs w:val="24"/>
          <w:highlight w:val="none"/>
          <w:lang w:val="en-US" w:eastAsia="zh-CN" w:bidi="ar"/>
        </w:rPr>
        <w:t>月</w:t>
      </w:r>
      <w:r>
        <w:rPr>
          <w:rFonts w:hint="eastAsia" w:hAnsi="宋体" w:cs="宋体"/>
          <w:color w:val="auto"/>
          <w:kern w:val="2"/>
          <w:sz w:val="21"/>
          <w:szCs w:val="24"/>
          <w:highlight w:val="none"/>
          <w:lang w:val="en-US" w:eastAsia="zh-CN" w:bidi="ar"/>
        </w:rPr>
        <w:t>15</w:t>
      </w:r>
      <w:r>
        <w:rPr>
          <w:rFonts w:hint="eastAsia" w:ascii="宋体" w:hAnsi="宋体" w:eastAsia="宋体" w:cs="宋体"/>
          <w:color w:val="auto"/>
          <w:kern w:val="2"/>
          <w:sz w:val="21"/>
          <w:szCs w:val="24"/>
          <w:highlight w:val="none"/>
          <w:lang w:val="en-US" w:eastAsia="zh-CN" w:bidi="ar"/>
        </w:rPr>
        <w:t>日</w:t>
      </w:r>
      <w:r>
        <w:rPr>
          <w:rFonts w:hint="eastAsia" w:hAnsi="宋体" w:cs="宋体"/>
          <w:color w:val="auto"/>
          <w:kern w:val="2"/>
          <w:sz w:val="21"/>
          <w:szCs w:val="24"/>
          <w:highlight w:val="none"/>
          <w:lang w:val="en-US" w:eastAsia="zh-CN" w:bidi="ar"/>
        </w:rPr>
        <w:t xml:space="preserve">9 </w:t>
      </w:r>
      <w:r>
        <w:rPr>
          <w:rFonts w:hint="eastAsia" w:ascii="宋体" w:hAnsi="宋体" w:eastAsia="宋体" w:cs="宋体"/>
          <w:color w:val="auto"/>
          <w:kern w:val="2"/>
          <w:sz w:val="21"/>
          <w:szCs w:val="24"/>
          <w:highlight w:val="none"/>
          <w:lang w:val="en-US" w:eastAsia="zh-CN" w:bidi="ar"/>
        </w:rPr>
        <w:t>时</w:t>
      </w:r>
      <w:r>
        <w:rPr>
          <w:rFonts w:hint="eastAsia" w:hAnsi="宋体" w:cs="宋体"/>
          <w:color w:val="auto"/>
          <w:kern w:val="2"/>
          <w:sz w:val="21"/>
          <w:szCs w:val="24"/>
          <w:highlight w:val="none"/>
          <w:lang w:val="en-US" w:eastAsia="zh-CN" w:bidi="ar"/>
        </w:rPr>
        <w:t>00</w:t>
      </w:r>
      <w:r>
        <w:rPr>
          <w:rFonts w:hint="eastAsia" w:ascii="宋体" w:hAnsi="宋体" w:eastAsia="宋体" w:cs="宋体"/>
          <w:color w:val="auto"/>
          <w:kern w:val="2"/>
          <w:sz w:val="21"/>
          <w:szCs w:val="24"/>
          <w:highlight w:val="none"/>
          <w:lang w:val="en-US" w:eastAsia="zh-CN" w:bidi="ar"/>
        </w:rPr>
        <w:t>分（北京时间）</w:t>
      </w:r>
    </w:p>
    <w:p w14:paraId="04E10544">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2.地点：通过广西政府采购云平台电子在线投标响应。</w:t>
      </w:r>
    </w:p>
    <w:p w14:paraId="5FB149A8">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1"/>
          <w:szCs w:val="24"/>
          <w:highlight w:val="none"/>
          <w:lang w:val="en-US" w:eastAsia="zh-CN" w:bidi="ar"/>
        </w:rPr>
        <w:t>五、开启</w:t>
      </w:r>
    </w:p>
    <w:p w14:paraId="55B442A8">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1.时间：202</w:t>
      </w:r>
      <w:r>
        <w:rPr>
          <w:rFonts w:hint="eastAsia" w:hAnsi="宋体" w:cs="宋体"/>
          <w:color w:val="auto"/>
          <w:kern w:val="2"/>
          <w:sz w:val="21"/>
          <w:szCs w:val="24"/>
          <w:highlight w:val="none"/>
          <w:lang w:val="en-US" w:eastAsia="zh-CN" w:bidi="ar"/>
        </w:rPr>
        <w:t>5</w:t>
      </w:r>
      <w:r>
        <w:rPr>
          <w:rFonts w:hint="eastAsia" w:ascii="宋体" w:hAnsi="宋体" w:eastAsia="宋体" w:cs="宋体"/>
          <w:color w:val="auto"/>
          <w:kern w:val="2"/>
          <w:sz w:val="21"/>
          <w:szCs w:val="24"/>
          <w:highlight w:val="none"/>
          <w:lang w:val="en-US" w:eastAsia="zh-CN" w:bidi="ar"/>
        </w:rPr>
        <w:t>年</w:t>
      </w:r>
      <w:r>
        <w:rPr>
          <w:rFonts w:hint="eastAsia" w:hAnsi="宋体" w:cs="宋体"/>
          <w:color w:val="auto"/>
          <w:kern w:val="2"/>
          <w:sz w:val="21"/>
          <w:szCs w:val="24"/>
          <w:highlight w:val="none"/>
          <w:lang w:val="en-US" w:eastAsia="zh-CN" w:bidi="ar"/>
        </w:rPr>
        <w:t>5</w:t>
      </w:r>
      <w:r>
        <w:rPr>
          <w:rFonts w:hint="eastAsia" w:ascii="宋体" w:hAnsi="宋体" w:eastAsia="宋体" w:cs="宋体"/>
          <w:color w:val="auto"/>
          <w:kern w:val="2"/>
          <w:sz w:val="21"/>
          <w:szCs w:val="24"/>
          <w:highlight w:val="none"/>
          <w:lang w:val="en-US" w:eastAsia="zh-CN" w:bidi="ar"/>
        </w:rPr>
        <w:t>月</w:t>
      </w:r>
      <w:r>
        <w:rPr>
          <w:rFonts w:hint="eastAsia" w:hAnsi="宋体" w:cs="宋体"/>
          <w:color w:val="auto"/>
          <w:kern w:val="2"/>
          <w:sz w:val="21"/>
          <w:szCs w:val="24"/>
          <w:highlight w:val="none"/>
          <w:lang w:val="en-US" w:eastAsia="zh-CN" w:bidi="ar"/>
        </w:rPr>
        <w:t>15</w:t>
      </w:r>
      <w:r>
        <w:rPr>
          <w:rFonts w:hint="eastAsia" w:ascii="宋体" w:hAnsi="宋体" w:eastAsia="宋体" w:cs="宋体"/>
          <w:color w:val="auto"/>
          <w:kern w:val="2"/>
          <w:sz w:val="21"/>
          <w:szCs w:val="24"/>
          <w:highlight w:val="none"/>
          <w:lang w:val="en-US" w:eastAsia="zh-CN" w:bidi="ar"/>
        </w:rPr>
        <w:t>日</w:t>
      </w:r>
      <w:r>
        <w:rPr>
          <w:rFonts w:hint="eastAsia" w:hAnsi="宋体" w:cs="宋体"/>
          <w:color w:val="auto"/>
          <w:kern w:val="2"/>
          <w:sz w:val="21"/>
          <w:szCs w:val="24"/>
          <w:highlight w:val="none"/>
          <w:lang w:val="en-US" w:eastAsia="zh-CN" w:bidi="ar"/>
        </w:rPr>
        <w:t xml:space="preserve">9 </w:t>
      </w:r>
      <w:r>
        <w:rPr>
          <w:rFonts w:hint="eastAsia" w:ascii="宋体" w:hAnsi="宋体" w:eastAsia="宋体" w:cs="宋体"/>
          <w:color w:val="auto"/>
          <w:kern w:val="2"/>
          <w:sz w:val="21"/>
          <w:szCs w:val="24"/>
          <w:highlight w:val="none"/>
          <w:lang w:val="en-US" w:eastAsia="zh-CN" w:bidi="ar"/>
        </w:rPr>
        <w:t>时</w:t>
      </w:r>
      <w:r>
        <w:rPr>
          <w:rFonts w:hint="eastAsia" w:hAnsi="宋体" w:cs="宋体"/>
          <w:color w:val="auto"/>
          <w:kern w:val="2"/>
          <w:sz w:val="21"/>
          <w:szCs w:val="24"/>
          <w:highlight w:val="none"/>
          <w:lang w:val="en-US" w:eastAsia="zh-CN" w:bidi="ar"/>
        </w:rPr>
        <w:t>00</w:t>
      </w:r>
      <w:r>
        <w:rPr>
          <w:rFonts w:hint="eastAsia" w:ascii="宋体" w:hAnsi="宋体" w:eastAsia="宋体" w:cs="宋体"/>
          <w:color w:val="auto"/>
          <w:kern w:val="2"/>
          <w:sz w:val="21"/>
          <w:szCs w:val="24"/>
          <w:highlight w:val="none"/>
          <w:lang w:val="en-US" w:eastAsia="zh-CN" w:bidi="ar"/>
        </w:rPr>
        <w:t>分（北京时间）</w:t>
      </w:r>
    </w:p>
    <w:p w14:paraId="0653FB11">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2.地点：通过广西政府采购云平台实行在线解密开启。（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14:paraId="579CE4D1">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1"/>
          <w:szCs w:val="24"/>
          <w:highlight w:val="none"/>
          <w:lang w:val="en-US" w:eastAsia="zh-CN" w:bidi="ar"/>
        </w:rPr>
        <w:t>六、公告期限</w:t>
      </w:r>
    </w:p>
    <w:p w14:paraId="503667C9">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自本公告发布之日起5个工作日。</w:t>
      </w:r>
    </w:p>
    <w:p w14:paraId="7F717823">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1"/>
          <w:szCs w:val="24"/>
          <w:highlight w:val="none"/>
          <w:lang w:val="en-US" w:eastAsia="zh-CN" w:bidi="ar"/>
        </w:rPr>
        <w:t>七、其他补充事宜</w:t>
      </w:r>
    </w:p>
    <w:p w14:paraId="22AE3628">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27" w:rightChars="13" w:firstLine="424" w:firstLineChars="202"/>
        <w:jc w:val="both"/>
        <w:rPr>
          <w:rFonts w:hint="eastAsia" w:ascii="宋体" w:hAnsi="宋体" w:eastAsia="宋体" w:cs="宋体"/>
          <w:color w:val="auto"/>
          <w:highlight w:val="none"/>
          <w:lang w:val="en-US"/>
        </w:rPr>
      </w:pPr>
      <w:r>
        <w:rPr>
          <w:rFonts w:hint="eastAsia" w:ascii="宋体" w:hAnsi="宋体" w:eastAsia="宋体" w:cs="宋体"/>
          <w:bCs/>
          <w:color w:val="auto"/>
          <w:kern w:val="2"/>
          <w:sz w:val="21"/>
          <w:szCs w:val="24"/>
          <w:highlight w:val="none"/>
          <w:lang w:val="en-US" w:eastAsia="zh-CN" w:bidi="ar"/>
        </w:rPr>
        <w:t>1.本项目需要落实的政府采购政策：</w:t>
      </w:r>
      <w:r>
        <w:rPr>
          <w:rFonts w:hint="eastAsia" w:ascii="宋体" w:hAnsi="宋体" w:eastAsia="宋体" w:cs="宋体"/>
          <w:color w:val="auto"/>
          <w:kern w:val="2"/>
          <w:sz w:val="21"/>
          <w:szCs w:val="24"/>
          <w:highlight w:val="none"/>
          <w:lang w:val="en-US" w:eastAsia="zh-CN" w:bidi="ar"/>
        </w:rPr>
        <w:t>《政府采购促进中小企业发展管理办法（财库〔2020〕46号）》、《关于政府采购支持监狱企业发展有关问题的通知（财库〔2014〕68号）》、《关于促进残疾人就业政府采购政策的通知（财库〔2017〕141号）》。</w:t>
      </w:r>
    </w:p>
    <w:p w14:paraId="7ACBEE30">
      <w:pPr>
        <w:spacing w:after="0" w:line="414" w:lineRule="exact"/>
        <w:ind w:left="0" w:right="27" w:rightChars="13"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4"/>
          <w:highlight w:val="none"/>
          <w:lang w:val="en-US" w:eastAsia="zh-CN" w:bidi="ar"/>
        </w:rPr>
        <w:t>2.未被列入失信被执行人、重大税收违法案件当事人名单、政府采购严重违法失信行为记录名单（以评审阶段通过“信用中国”网站(www.creditchina.gov.cn)、中国政府采购网(www.ccgp.gov.cn)查询的结果为准）。</w:t>
      </w:r>
    </w:p>
    <w:p w14:paraId="681106C3">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0" w:firstLineChars="200"/>
        <w:jc w:val="both"/>
        <w:rPr>
          <w:rFonts w:hint="eastAsia" w:ascii="宋体" w:hAnsi="宋体" w:eastAsia="宋体" w:cs="宋体"/>
          <w:bCs/>
          <w:color w:val="auto"/>
          <w:highlight w:val="none"/>
          <w:lang w:val="en-US"/>
        </w:rPr>
      </w:pPr>
      <w:r>
        <w:rPr>
          <w:rFonts w:hint="eastAsia" w:hAnsi="宋体" w:cs="宋体"/>
          <w:color w:val="auto"/>
          <w:kern w:val="2"/>
          <w:sz w:val="21"/>
          <w:szCs w:val="24"/>
          <w:highlight w:val="none"/>
          <w:lang w:val="en-US" w:eastAsia="zh-CN" w:bidi="ar"/>
        </w:rPr>
        <w:t>3</w:t>
      </w:r>
      <w:r>
        <w:rPr>
          <w:rFonts w:hint="eastAsia" w:ascii="宋体" w:hAnsi="宋体" w:eastAsia="宋体" w:cs="宋体"/>
          <w:color w:val="auto"/>
          <w:kern w:val="2"/>
          <w:sz w:val="21"/>
          <w:szCs w:val="24"/>
          <w:highlight w:val="none"/>
          <w:lang w:val="en-US" w:eastAsia="zh-CN" w:bidi="ar"/>
        </w:rPr>
        <w:t>.磋商保证金：</w:t>
      </w:r>
      <w:r>
        <w:rPr>
          <w:rFonts w:hint="eastAsia" w:ascii="宋体" w:hAnsi="宋体" w:eastAsia="宋体" w:cs="宋体"/>
          <w:bCs/>
          <w:color w:val="auto"/>
          <w:kern w:val="2"/>
          <w:sz w:val="21"/>
          <w:szCs w:val="24"/>
          <w:highlight w:val="none"/>
          <w:lang w:val="en-US" w:eastAsia="zh-CN" w:bidi="ar"/>
        </w:rPr>
        <w:t>本项目为专门面向中小企业采购的项目，无须缴纳磋商保证金。</w:t>
      </w:r>
    </w:p>
    <w:p w14:paraId="34D59B61">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0" w:firstLineChars="200"/>
        <w:jc w:val="both"/>
        <w:rPr>
          <w:rFonts w:hint="eastAsia" w:ascii="宋体" w:hAnsi="宋体" w:eastAsia="宋体" w:cs="宋体"/>
          <w:color w:val="auto"/>
          <w:kern w:val="2"/>
          <w:sz w:val="21"/>
          <w:szCs w:val="24"/>
          <w:highlight w:val="none"/>
          <w:lang w:val="en-US" w:eastAsia="zh-CN" w:bidi="ar"/>
        </w:rPr>
      </w:pPr>
      <w:r>
        <w:rPr>
          <w:rFonts w:hint="eastAsia" w:hAnsi="宋体" w:cs="宋体"/>
          <w:color w:val="auto"/>
          <w:kern w:val="2"/>
          <w:sz w:val="21"/>
          <w:szCs w:val="24"/>
          <w:highlight w:val="none"/>
          <w:lang w:val="en-US" w:eastAsia="zh-CN" w:bidi="ar"/>
        </w:rPr>
        <w:t>4</w:t>
      </w:r>
      <w:r>
        <w:rPr>
          <w:rFonts w:hint="eastAsia" w:ascii="宋体" w:hAnsi="宋体" w:eastAsia="宋体" w:cs="宋体"/>
          <w:color w:val="auto"/>
          <w:kern w:val="2"/>
          <w:sz w:val="21"/>
          <w:szCs w:val="24"/>
          <w:highlight w:val="none"/>
          <w:lang w:val="en-US" w:eastAsia="zh-CN" w:bidi="ar"/>
        </w:rPr>
        <w:t>.公告发布媒介：本次竞争性磋商公告同时在中国政府采购网、广西壮族自治区政府采购网发布；</w:t>
      </w:r>
    </w:p>
    <w:p w14:paraId="0ED3FB59">
      <w:pPr>
        <w:pStyle w:val="2"/>
        <w:keepNext w:val="0"/>
        <w:keepLines w:val="0"/>
        <w:pageBreakBefore w:val="0"/>
        <w:widowControl w:val="0"/>
        <w:kinsoku/>
        <w:wordWrap/>
        <w:overflowPunct/>
        <w:topLinePunct w:val="0"/>
        <w:autoSpaceDE/>
        <w:autoSpaceDN/>
        <w:bidi w:val="0"/>
        <w:snapToGrid/>
        <w:spacing w:line="414" w:lineRule="exact"/>
        <w:jc w:val="left"/>
        <w:rPr>
          <w:rFonts w:hint="eastAsia" w:ascii="宋体" w:hAnsi="宋体" w:eastAsia="宋体" w:cs="宋体"/>
          <w:color w:val="auto"/>
          <w:highlight w:val="none"/>
          <w:lang w:val="en-US"/>
        </w:rPr>
      </w:pPr>
      <w:r>
        <w:rPr>
          <w:rFonts w:hint="eastAsia"/>
          <w:color w:val="auto"/>
          <w:highlight w:val="none"/>
          <w:lang w:val="en-US" w:eastAsia="zh-CN"/>
        </w:rPr>
        <w:t xml:space="preserve">  </w:t>
      </w:r>
      <w:r>
        <w:rPr>
          <w:rFonts w:hint="eastAsia" w:ascii="宋体" w:hAnsi="宋体" w:eastAsia="宋体" w:cs="宋体"/>
          <w:color w:val="auto"/>
          <w:kern w:val="2"/>
          <w:sz w:val="21"/>
          <w:szCs w:val="24"/>
          <w:highlight w:val="none"/>
          <w:lang w:val="en-US" w:eastAsia="zh-CN" w:bidi="ar"/>
        </w:rPr>
        <w:t xml:space="preserve"> </w:t>
      </w:r>
      <w:r>
        <w:rPr>
          <w:rFonts w:hint="eastAsia" w:ascii="宋体" w:hAnsi="宋体" w:cs="宋体"/>
          <w:color w:val="auto"/>
          <w:kern w:val="2"/>
          <w:sz w:val="21"/>
          <w:szCs w:val="24"/>
          <w:highlight w:val="none"/>
          <w:lang w:val="en-US" w:eastAsia="zh-CN" w:bidi="ar"/>
        </w:rPr>
        <w:t>5</w:t>
      </w:r>
      <w:r>
        <w:rPr>
          <w:rFonts w:hint="eastAsia" w:ascii="宋体" w:hAnsi="宋体" w:eastAsia="宋体" w:cs="宋体"/>
          <w:color w:val="auto"/>
          <w:kern w:val="2"/>
          <w:sz w:val="21"/>
          <w:szCs w:val="24"/>
          <w:highlight w:val="none"/>
          <w:lang w:val="en-US" w:eastAsia="zh-CN" w:bidi="ar"/>
        </w:rPr>
        <w:t>.本项</w:t>
      </w:r>
      <w:r>
        <w:rPr>
          <w:rFonts w:hint="eastAsia" w:ascii="宋体" w:hAnsi="宋体" w:eastAsia="宋体" w:cs="宋体"/>
          <w:color w:val="auto"/>
          <w:highlight w:val="none"/>
          <w:lang w:val="en-US"/>
        </w:rPr>
        <w:t>目采用远程异地评标，评标主会场地址：广西启航工程咨询有限公司（贺州市八步区灵峰社区公安局东南面搬迁规划编号17号二层评标室），评标副会场地址：广西弘达建设工程咨询有限公司</w:t>
      </w:r>
      <w:r>
        <w:rPr>
          <w:rFonts w:hint="eastAsia" w:ascii="宋体" w:hAnsi="宋体" w:cs="宋体"/>
          <w:color w:val="auto"/>
          <w:highlight w:val="none"/>
          <w:lang w:val="en-US" w:eastAsia="zh-CN"/>
        </w:rPr>
        <w:t xml:space="preserve"> (百色市右江区城乡路123号二楼)。 </w:t>
      </w:r>
    </w:p>
    <w:p w14:paraId="0DB00EF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14" w:lineRule="exact"/>
        <w:ind w:left="0" w:right="27" w:rightChars="13" w:firstLine="420"/>
        <w:jc w:val="both"/>
        <w:rPr>
          <w:rFonts w:hint="eastAsia" w:ascii="宋体" w:hAnsi="宋体" w:eastAsia="宋体" w:cs="宋体"/>
          <w:color w:val="auto"/>
          <w:highlight w:val="none"/>
          <w:lang w:val="en-US"/>
        </w:rPr>
      </w:pPr>
      <w:r>
        <w:rPr>
          <w:rFonts w:hint="eastAsia" w:hAnsi="宋体" w:cs="宋体"/>
          <w:color w:val="auto"/>
          <w:kern w:val="2"/>
          <w:sz w:val="21"/>
          <w:szCs w:val="24"/>
          <w:highlight w:val="none"/>
          <w:lang w:val="en-US" w:eastAsia="zh-CN" w:bidi="ar"/>
        </w:rPr>
        <w:t>6</w:t>
      </w:r>
      <w:r>
        <w:rPr>
          <w:rFonts w:hint="eastAsia" w:ascii="宋体" w:hAnsi="宋体" w:eastAsia="宋体" w:cs="宋体"/>
          <w:color w:val="auto"/>
          <w:kern w:val="2"/>
          <w:sz w:val="21"/>
          <w:szCs w:val="24"/>
          <w:highlight w:val="none"/>
          <w:lang w:val="en-US" w:eastAsia="zh-CN" w:bidi="ar"/>
        </w:rPr>
        <w:t>.监督部门：贺州市八步区政府采购服务中心，电话传真：0774-5281873。</w:t>
      </w:r>
    </w:p>
    <w:p w14:paraId="7CC19EBC">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27" w:rightChars="13" w:firstLine="420"/>
        <w:jc w:val="both"/>
        <w:rPr>
          <w:rFonts w:hint="eastAsia" w:ascii="宋体" w:hAnsi="宋体" w:eastAsia="宋体" w:cs="宋体"/>
          <w:color w:val="auto"/>
          <w:highlight w:val="none"/>
          <w:lang w:val="en-US"/>
        </w:rPr>
      </w:pPr>
      <w:r>
        <w:rPr>
          <w:rFonts w:hint="eastAsia" w:hAnsi="宋体" w:cs="宋体"/>
          <w:color w:val="auto"/>
          <w:kern w:val="2"/>
          <w:sz w:val="21"/>
          <w:szCs w:val="24"/>
          <w:highlight w:val="none"/>
          <w:lang w:val="en-US" w:eastAsia="zh-CN" w:bidi="ar"/>
        </w:rPr>
        <w:t>7</w:t>
      </w:r>
      <w:r>
        <w:rPr>
          <w:rFonts w:hint="eastAsia" w:ascii="宋体" w:hAnsi="宋体" w:eastAsia="宋体" w:cs="宋体"/>
          <w:color w:val="auto"/>
          <w:kern w:val="2"/>
          <w:sz w:val="21"/>
          <w:szCs w:val="24"/>
          <w:highlight w:val="none"/>
          <w:lang w:val="en-US" w:eastAsia="zh-CN" w:bidi="ar"/>
        </w:rPr>
        <w:t>.在线投标响应（电子投标）说明：</w:t>
      </w:r>
    </w:p>
    <w:p w14:paraId="7058F7A7">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27" w:rightChars="13" w:firstLine="42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（1）供应商应为广西政府采购云平台正式入驻供应商，并在投标前完成CA数字证书办理；</w:t>
      </w:r>
    </w:p>
    <w:p w14:paraId="29820544">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27" w:rightChars="13" w:firstLine="42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（2）供应商应安装“广西政府采购云平台投标客户端”；</w:t>
      </w:r>
    </w:p>
    <w:p w14:paraId="1282596C">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27" w:rightChars="13" w:firstLine="42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电子交易具体流程详见操作指南：以供应商身份登录广西政府采购云平台，通过广西政府采购云平台页面右侧的采小蜜-帮助文档，搜索条内搜索“政府采购项目电子交易管理操作指南-供应商”，或者进入项目采购模块-操作流程-电子招投标，点击查看“政府采购项目电子交易管理操作指南-供应商”进行全流程学习；</w:t>
      </w:r>
    </w:p>
    <w:p w14:paraId="2AF758DB">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27" w:rightChars="13" w:firstLine="42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（4）如有疑问，可致电政府采购云平台技术支持热线咨询，联系方式：95763。</w:t>
      </w:r>
    </w:p>
    <w:p w14:paraId="4592D243">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jc w:val="both"/>
        <w:rPr>
          <w:rFonts w:hint="eastAsia" w:ascii="宋体" w:hAnsi="宋体" w:eastAsia="宋体" w:cs="宋体"/>
          <w:b/>
          <w:bCs w:val="0"/>
          <w:color w:val="auto"/>
          <w:kern w:val="0"/>
          <w:highlight w:val="none"/>
          <w:lang w:val="en-US"/>
        </w:rPr>
      </w:pPr>
      <w:r>
        <w:rPr>
          <w:rFonts w:hint="eastAsia" w:ascii="宋体" w:hAnsi="宋体" w:eastAsia="宋体" w:cs="宋体"/>
          <w:b/>
          <w:bCs w:val="0"/>
          <w:color w:val="auto"/>
          <w:kern w:val="2"/>
          <w:sz w:val="21"/>
          <w:szCs w:val="24"/>
          <w:highlight w:val="none"/>
          <w:lang w:val="en-US" w:eastAsia="zh-CN" w:bidi="ar"/>
        </w:rPr>
        <w:t>八、凡对本次采购提出询问，请按以下方式联系。</w:t>
      </w:r>
    </w:p>
    <w:p w14:paraId="2755FC7F">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1.采购人信息：</w:t>
      </w:r>
    </w:p>
    <w:p w14:paraId="67E0D831">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名称：</w:t>
      </w:r>
      <w:r>
        <w:rPr>
          <w:rFonts w:hint="eastAsia" w:hAnsi="宋体" w:cs="宋体"/>
          <w:color w:val="auto"/>
          <w:kern w:val="2"/>
          <w:sz w:val="21"/>
          <w:szCs w:val="24"/>
          <w:highlight w:val="none"/>
          <w:lang w:val="en-US" w:eastAsia="zh-CN" w:bidi="ar"/>
        </w:rPr>
        <w:t xml:space="preserve">八步区文物管理所 </w:t>
      </w:r>
      <w:r>
        <w:rPr>
          <w:rFonts w:hint="eastAsia" w:ascii="宋体" w:hAnsi="宋体" w:eastAsia="宋体" w:cs="宋体"/>
          <w:color w:val="auto"/>
          <w:kern w:val="2"/>
          <w:sz w:val="21"/>
          <w:szCs w:val="24"/>
          <w:highlight w:val="none"/>
          <w:lang w:val="en-US" w:eastAsia="zh-CN" w:bidi="ar"/>
        </w:rPr>
        <w:t xml:space="preserve">  </w:t>
      </w:r>
    </w:p>
    <w:p w14:paraId="5D8B5062">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地址：</w:t>
      </w:r>
      <w:r>
        <w:rPr>
          <w:rFonts w:hint="eastAsia" w:ascii="宋体" w:hAnsi="宋体" w:eastAsia="宋体" w:cs="Times New Roman"/>
          <w:color w:val="auto"/>
          <w:kern w:val="2"/>
          <w:sz w:val="21"/>
          <w:szCs w:val="24"/>
          <w:highlight w:val="none"/>
          <w:lang w:val="en-US" w:eastAsia="zh-CN" w:bidi="ar"/>
        </w:rPr>
        <w:t>贺州市八步区人民路15号</w:t>
      </w:r>
      <w:r>
        <w:rPr>
          <w:rFonts w:hint="eastAsia" w:ascii="宋体" w:hAnsi="宋体" w:eastAsia="宋体" w:cs="宋体"/>
          <w:color w:val="auto"/>
          <w:kern w:val="2"/>
          <w:sz w:val="21"/>
          <w:szCs w:val="24"/>
          <w:highlight w:val="none"/>
          <w:lang w:val="en-US" w:eastAsia="zh-CN" w:bidi="ar"/>
        </w:rPr>
        <w:t xml:space="preserve"> </w:t>
      </w:r>
    </w:p>
    <w:p w14:paraId="6B947167">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
        </w:rPr>
        <w:t>项目联系人：</w:t>
      </w:r>
      <w:r>
        <w:rPr>
          <w:rFonts w:hint="eastAsia" w:ascii="宋体" w:hAnsi="宋体" w:eastAsia="宋体" w:cs="Times New Roman"/>
          <w:color w:val="auto"/>
          <w:kern w:val="2"/>
          <w:sz w:val="21"/>
          <w:szCs w:val="24"/>
          <w:highlight w:val="none"/>
          <w:lang w:val="en-US" w:eastAsia="zh-CN" w:bidi="ar"/>
        </w:rPr>
        <w:t>黄成周</w:t>
      </w:r>
    </w:p>
    <w:p w14:paraId="5416D275">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40" w:firstLineChars="200"/>
        <w:jc w:val="both"/>
        <w:rPr>
          <w:rFonts w:hint="eastAsia" w:ascii="宋体" w:hAnsi="宋体" w:eastAsia="宋体" w:cs="宋体"/>
          <w:color w:val="auto"/>
          <w:highlight w:val="none"/>
          <w:lang w:val="en-US"/>
        </w:rPr>
      </w:pPr>
      <w:r>
        <w:rPr>
          <w:rFonts w:hint="eastAsia" w:ascii="宋体" w:hAnsi="宋体" w:eastAsia="宋体" w:cs="Times New Roman"/>
          <w:color w:val="auto"/>
          <w:kern w:val="2"/>
          <w:sz w:val="22"/>
          <w:szCs w:val="22"/>
          <w:highlight w:val="none"/>
          <w:lang w:val="en-US" w:eastAsia="zh-CN" w:bidi="ar"/>
        </w:rPr>
        <w:t>项目</w:t>
      </w:r>
      <w:r>
        <w:rPr>
          <w:rFonts w:hint="eastAsia" w:ascii="宋体" w:hAnsi="宋体" w:eastAsia="宋体" w:cs="Times New Roman"/>
          <w:color w:val="auto"/>
          <w:kern w:val="2"/>
          <w:sz w:val="21"/>
          <w:szCs w:val="24"/>
          <w:highlight w:val="none"/>
          <w:lang w:val="en-US" w:eastAsia="zh-CN" w:bidi="ar"/>
        </w:rPr>
        <w:t>联系方式</w:t>
      </w:r>
      <w:r>
        <w:rPr>
          <w:rFonts w:hint="eastAsia" w:ascii="宋体" w:hAnsi="宋体" w:eastAsia="宋体" w:cs="宋体"/>
          <w:color w:val="auto"/>
          <w:kern w:val="2"/>
          <w:sz w:val="21"/>
          <w:szCs w:val="24"/>
          <w:highlight w:val="none"/>
          <w:lang w:val="en-US" w:eastAsia="zh-CN" w:bidi="ar"/>
        </w:rPr>
        <w:t>：</w:t>
      </w:r>
      <w:r>
        <w:rPr>
          <w:rFonts w:hint="eastAsia" w:ascii="宋体" w:hAnsi="宋体" w:eastAsia="宋体" w:cs="Times New Roman"/>
          <w:color w:val="auto"/>
          <w:kern w:val="2"/>
          <w:sz w:val="21"/>
          <w:szCs w:val="24"/>
          <w:highlight w:val="none"/>
          <w:lang w:val="en-US" w:eastAsia="zh-CN" w:bidi="ar"/>
        </w:rPr>
        <w:t>0774-5286085</w:t>
      </w:r>
      <w:r>
        <w:rPr>
          <w:rFonts w:hint="eastAsia" w:hAnsi="宋体" w:cs="Times New Roman"/>
          <w:color w:val="auto"/>
          <w:kern w:val="2"/>
          <w:sz w:val="21"/>
          <w:szCs w:val="24"/>
          <w:highlight w:val="none"/>
          <w:lang w:val="en-US" w:eastAsia="zh-CN" w:bidi="ar"/>
        </w:rPr>
        <w:t xml:space="preserve"> </w:t>
      </w:r>
      <w:r>
        <w:rPr>
          <w:rFonts w:hint="eastAsia" w:ascii="宋体" w:hAnsi="宋体" w:eastAsia="宋体" w:cs="Times New Roman"/>
          <w:color w:val="auto"/>
          <w:kern w:val="2"/>
          <w:sz w:val="21"/>
          <w:szCs w:val="24"/>
          <w:highlight w:val="none"/>
          <w:lang w:val="en-US" w:eastAsia="zh-CN" w:bidi="ar"/>
        </w:rPr>
        <w:t xml:space="preserve"> </w:t>
      </w:r>
      <w:r>
        <w:rPr>
          <w:rFonts w:hint="eastAsia" w:hAnsi="宋体" w:cs="宋体"/>
          <w:color w:val="auto"/>
          <w:kern w:val="2"/>
          <w:sz w:val="21"/>
          <w:szCs w:val="24"/>
          <w:highlight w:val="none"/>
          <w:lang w:val="en-US" w:eastAsia="zh-CN" w:bidi="ar"/>
        </w:rPr>
        <w:t xml:space="preserve"> </w:t>
      </w:r>
    </w:p>
    <w:p w14:paraId="706ECD3A">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2.采购代理机构信息</w:t>
      </w:r>
    </w:p>
    <w:p w14:paraId="3E2028A1">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名    称：广西启航工程咨询有限公司</w:t>
      </w:r>
    </w:p>
    <w:p w14:paraId="4D2F0912">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地    址：贺州市公安局东南面搬迁用地17号二层</w:t>
      </w:r>
    </w:p>
    <w:p w14:paraId="38F8DD58">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项目联系人：胡丽荣</w:t>
      </w:r>
    </w:p>
    <w:p w14:paraId="37932095">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40" w:firstLineChars="200"/>
        <w:jc w:val="both"/>
        <w:rPr>
          <w:rFonts w:hint="eastAsia" w:ascii="宋体" w:hAnsi="宋体" w:eastAsia="宋体" w:cs="宋体"/>
          <w:color w:val="auto"/>
          <w:highlight w:val="none"/>
          <w:lang w:val="en-US"/>
        </w:rPr>
      </w:pPr>
      <w:r>
        <w:rPr>
          <w:rFonts w:hint="eastAsia" w:ascii="宋体" w:hAnsi="宋体" w:eastAsia="宋体" w:cs="Times New Roman"/>
          <w:color w:val="auto"/>
          <w:kern w:val="2"/>
          <w:sz w:val="22"/>
          <w:szCs w:val="22"/>
          <w:highlight w:val="none"/>
          <w:lang w:val="en-US" w:eastAsia="zh-CN" w:bidi="ar"/>
        </w:rPr>
        <w:t>项目</w:t>
      </w:r>
      <w:r>
        <w:rPr>
          <w:rFonts w:hint="eastAsia" w:ascii="宋体" w:hAnsi="宋体" w:eastAsia="宋体" w:cs="Times New Roman"/>
          <w:color w:val="auto"/>
          <w:kern w:val="2"/>
          <w:sz w:val="21"/>
          <w:szCs w:val="24"/>
          <w:highlight w:val="none"/>
          <w:lang w:val="en-US" w:eastAsia="zh-CN" w:bidi="ar"/>
        </w:rPr>
        <w:t>联系方式</w:t>
      </w:r>
      <w:r>
        <w:rPr>
          <w:rFonts w:hint="eastAsia" w:ascii="宋体" w:hAnsi="宋体" w:eastAsia="宋体" w:cs="宋体"/>
          <w:color w:val="auto"/>
          <w:kern w:val="2"/>
          <w:sz w:val="21"/>
          <w:szCs w:val="24"/>
          <w:highlight w:val="none"/>
          <w:lang w:val="en-US" w:eastAsia="zh-CN" w:bidi="ar"/>
        </w:rPr>
        <w:t>：0774-5139676</w:t>
      </w:r>
    </w:p>
    <w:p w14:paraId="04289612">
      <w:pPr>
        <w:keepNext w:val="0"/>
        <w:keepLines w:val="0"/>
        <w:pageBreakBefore w:val="0"/>
        <w:widowControl/>
        <w:suppressLineNumbers w:val="0"/>
        <w:kinsoku/>
        <w:wordWrap/>
        <w:overflowPunct/>
        <w:topLinePunct w:val="0"/>
        <w:autoSpaceDE/>
        <w:autoSpaceDN/>
        <w:bidi w:val="0"/>
        <w:adjustRightInd/>
        <w:snapToGrid/>
        <w:spacing w:line="414" w:lineRule="exact"/>
        <w:ind w:firstLine="420" w:firstLineChars="200"/>
        <w:jc w:val="left"/>
        <w:textAlignment w:val="auto"/>
        <w:rPr>
          <w:rFonts w:hint="eastAsia" w:hAnsi="宋体"/>
          <w:color w:val="auto"/>
          <w:highlight w:val="none"/>
          <w:lang w:val="en-US" w:eastAsia="zh-CN"/>
        </w:rPr>
      </w:pPr>
      <w:r>
        <w:rPr>
          <w:rFonts w:hint="eastAsia" w:hAnsi="宋体"/>
          <w:color w:val="auto"/>
          <w:highlight w:val="none"/>
          <w:lang w:val="en-US" w:eastAsia="zh-CN"/>
        </w:rPr>
        <w:t xml:space="preserve">                                   </w:t>
      </w:r>
    </w:p>
    <w:p w14:paraId="7721D9C0">
      <w:pPr>
        <w:spacing w:line="360" w:lineRule="auto"/>
        <w:ind w:right="29"/>
        <w:jc w:val="center"/>
        <w:rPr>
          <w:rFonts w:hint="eastAsia" w:hAnsi="宋体"/>
          <w:color w:val="auto"/>
          <w:highlight w:val="none"/>
          <w:lang w:val="en-US" w:eastAsia="zh-CN"/>
        </w:rPr>
      </w:pPr>
      <w:r>
        <w:rPr>
          <w:rFonts w:hint="eastAsia" w:hAnsi="宋体"/>
          <w:color w:val="auto"/>
          <w:highlight w:val="none"/>
          <w:lang w:val="en-US" w:eastAsia="zh-CN"/>
        </w:rPr>
        <w:t xml:space="preserve">                                                  </w:t>
      </w:r>
    </w:p>
    <w:p w14:paraId="4B7692C9">
      <w:pPr>
        <w:spacing w:line="360" w:lineRule="auto"/>
        <w:ind w:right="29"/>
        <w:jc w:val="center"/>
        <w:rPr>
          <w:rFonts w:hint="eastAsia" w:hAnsi="宋体"/>
          <w:color w:val="auto"/>
          <w:highlight w:val="none"/>
          <w:lang w:val="en-US" w:eastAsia="zh-CN"/>
        </w:rPr>
      </w:pPr>
      <w:r>
        <w:rPr>
          <w:rFonts w:hint="eastAsia" w:hAnsi="宋体"/>
          <w:color w:val="auto"/>
          <w:highlight w:val="none"/>
          <w:lang w:val="en-US" w:eastAsia="zh-CN"/>
        </w:rPr>
        <w:t xml:space="preserve">                                           </w:t>
      </w:r>
    </w:p>
    <w:p w14:paraId="7FE0FD45">
      <w:pPr>
        <w:spacing w:line="360" w:lineRule="auto"/>
        <w:ind w:right="29"/>
        <w:jc w:val="center"/>
        <w:rPr>
          <w:rFonts w:hAnsi="宋体"/>
          <w:color w:val="auto"/>
          <w:highlight w:val="none"/>
        </w:rPr>
      </w:pPr>
      <w:r>
        <w:rPr>
          <w:rFonts w:hint="eastAsia" w:hAnsi="宋体"/>
          <w:color w:val="auto"/>
          <w:highlight w:val="none"/>
          <w:lang w:val="en-US" w:eastAsia="zh-CN"/>
        </w:rPr>
        <w:t xml:space="preserve">                                      </w:t>
      </w:r>
      <w:r>
        <w:rPr>
          <w:rFonts w:hint="eastAsia" w:hAnsi="宋体"/>
          <w:color w:val="auto"/>
          <w:highlight w:val="none"/>
        </w:rPr>
        <w:t>采购人：</w:t>
      </w:r>
      <w:r>
        <w:rPr>
          <w:rFonts w:hint="eastAsia" w:hAnsi="宋体"/>
          <w:color w:val="auto"/>
          <w:highlight w:val="none"/>
          <w:lang w:eastAsia="zh-CN"/>
        </w:rPr>
        <w:t xml:space="preserve">八步区文物管理所 </w:t>
      </w:r>
      <w:r>
        <w:rPr>
          <w:rFonts w:hint="eastAsia" w:hAnsi="宋体"/>
          <w:color w:val="auto"/>
          <w:highlight w:val="none"/>
        </w:rPr>
        <w:t xml:space="preserve"> </w:t>
      </w:r>
      <w:r>
        <w:rPr>
          <w:rFonts w:hAnsi="宋体"/>
          <w:color w:val="auto"/>
          <w:highlight w:val="none"/>
        </w:rPr>
        <w:t xml:space="preserve">           </w:t>
      </w:r>
    </w:p>
    <w:p w14:paraId="1CF4A41C">
      <w:pPr>
        <w:widowControl/>
        <w:spacing w:line="360" w:lineRule="auto"/>
        <w:jc w:val="center"/>
        <w:rPr>
          <w:rFonts w:hAnsi="宋体"/>
          <w:color w:val="auto"/>
          <w:highlight w:val="none"/>
        </w:rPr>
      </w:pPr>
      <w:r>
        <w:rPr>
          <w:rFonts w:hAnsi="宋体"/>
          <w:color w:val="auto"/>
          <w:highlight w:val="none"/>
        </w:rPr>
        <w:t xml:space="preserve">                                         </w:t>
      </w:r>
    </w:p>
    <w:p w14:paraId="2276C11C">
      <w:pPr>
        <w:widowControl/>
        <w:spacing w:line="360" w:lineRule="auto"/>
        <w:jc w:val="center"/>
        <w:rPr>
          <w:rFonts w:hAnsi="宋体"/>
          <w:color w:val="auto"/>
          <w:highlight w:val="none"/>
        </w:rPr>
      </w:pPr>
      <w:r>
        <w:rPr>
          <w:rFonts w:hint="eastAsia" w:hAnsi="宋体"/>
          <w:color w:val="auto"/>
          <w:highlight w:val="none"/>
          <w:lang w:val="en-US" w:eastAsia="zh-CN"/>
        </w:rPr>
        <w:t xml:space="preserve">                                                  </w:t>
      </w:r>
      <w:r>
        <w:rPr>
          <w:rFonts w:hAnsi="宋体"/>
          <w:color w:val="auto"/>
          <w:highlight w:val="none"/>
        </w:rPr>
        <w:t xml:space="preserve"> </w:t>
      </w:r>
      <w:r>
        <w:rPr>
          <w:rFonts w:hint="eastAsia" w:hAnsi="宋体"/>
          <w:color w:val="auto"/>
          <w:highlight w:val="none"/>
        </w:rPr>
        <w:t>采购代理机构：广西启航工程咨询有限公司</w:t>
      </w:r>
    </w:p>
    <w:p w14:paraId="5B071E08">
      <w:pPr>
        <w:widowControl/>
        <w:wordWrap w:val="0"/>
        <w:spacing w:line="360" w:lineRule="auto"/>
        <w:jc w:val="center"/>
        <w:rPr>
          <w:rFonts w:hAnsi="宋体"/>
          <w:color w:val="auto"/>
          <w:highlight w:val="none"/>
        </w:rPr>
      </w:pPr>
      <w:r>
        <w:rPr>
          <w:rFonts w:hAnsi="宋体"/>
          <w:color w:val="auto"/>
          <w:highlight w:val="none"/>
        </w:rPr>
        <w:t xml:space="preserve">                                                 </w:t>
      </w:r>
      <w:r>
        <w:rPr>
          <w:rFonts w:hint="eastAsia" w:hAnsi="宋体"/>
          <w:color w:val="auto"/>
          <w:highlight w:val="none"/>
          <w:lang w:val="en-US" w:eastAsia="zh-CN"/>
        </w:rPr>
        <w:t xml:space="preserve"> </w:t>
      </w:r>
      <w:r>
        <w:rPr>
          <w:rFonts w:hint="eastAsia" w:hAnsi="宋体"/>
          <w:color w:val="auto"/>
          <w:highlight w:val="none"/>
        </w:rPr>
        <w:t>项目负责人：</w:t>
      </w:r>
      <w:r>
        <w:rPr>
          <w:rFonts w:hAnsi="宋体"/>
          <w:color w:val="auto"/>
          <w:highlight w:val="none"/>
        </w:rPr>
        <w:t xml:space="preserve">                        </w:t>
      </w:r>
    </w:p>
    <w:p w14:paraId="51EE3438">
      <w:pPr>
        <w:spacing w:line="360" w:lineRule="auto"/>
        <w:ind w:firstLine="420"/>
        <w:jc w:val="center"/>
        <w:rPr>
          <w:rFonts w:hAnsi="宋体"/>
          <w:b/>
          <w:color w:val="auto"/>
          <w:highlight w:val="none"/>
        </w:rPr>
      </w:pPr>
      <w:r>
        <w:rPr>
          <w:rFonts w:hAnsi="宋体"/>
          <w:color w:val="auto"/>
          <w:highlight w:val="none"/>
        </w:rPr>
        <w:t xml:space="preserve">                                                   202</w:t>
      </w:r>
      <w:r>
        <w:rPr>
          <w:rFonts w:hint="eastAsia" w:hAnsi="宋体"/>
          <w:color w:val="auto"/>
          <w:highlight w:val="none"/>
          <w:lang w:val="en-US" w:eastAsia="zh-CN"/>
        </w:rPr>
        <w:t>5</w:t>
      </w:r>
      <w:r>
        <w:rPr>
          <w:rFonts w:hAnsi="宋体"/>
          <w:color w:val="auto"/>
          <w:highlight w:val="none"/>
        </w:rPr>
        <w:t>年</w:t>
      </w:r>
      <w:r>
        <w:rPr>
          <w:rFonts w:hint="eastAsia" w:hAnsi="宋体"/>
          <w:color w:val="auto"/>
          <w:highlight w:val="none"/>
          <w:lang w:val="en-US" w:eastAsia="zh-CN"/>
        </w:rPr>
        <w:t>4</w:t>
      </w:r>
      <w:r>
        <w:rPr>
          <w:rFonts w:hAnsi="宋体"/>
          <w:color w:val="auto"/>
          <w:highlight w:val="none"/>
        </w:rPr>
        <w:t>月</w:t>
      </w:r>
      <w:r>
        <w:rPr>
          <w:rFonts w:hint="eastAsia" w:hAnsi="宋体"/>
          <w:color w:val="auto"/>
          <w:highlight w:val="none"/>
          <w:lang w:val="en-US" w:eastAsia="zh-CN"/>
        </w:rPr>
        <w:t xml:space="preserve">30 </w:t>
      </w:r>
      <w:r>
        <w:rPr>
          <w:rFonts w:hAnsi="宋体"/>
          <w:color w:val="auto"/>
          <w:highlight w:val="none"/>
        </w:rPr>
        <w:t xml:space="preserve">日 </w:t>
      </w:r>
      <w:r>
        <w:rPr>
          <w:rFonts w:hAnsi="宋体"/>
          <w:b/>
          <w:color w:val="auto"/>
          <w:highlight w:val="none"/>
        </w:rPr>
        <w:br w:type="page"/>
      </w:r>
    </w:p>
    <w:p w14:paraId="493AB968">
      <w:pPr>
        <w:spacing w:line="360" w:lineRule="auto"/>
        <w:ind w:firstLine="420" w:firstLineChars="200"/>
        <w:jc w:val="right"/>
        <w:rPr>
          <w:rFonts w:hAnsi="宋体"/>
          <w:color w:val="auto"/>
          <w:highlight w:val="none"/>
        </w:rPr>
      </w:pPr>
    </w:p>
    <w:p w14:paraId="683BC19B">
      <w:pPr>
        <w:pStyle w:val="3"/>
        <w:jc w:val="center"/>
        <w:rPr>
          <w:rFonts w:ascii="宋体" w:hAnsi="宋体" w:eastAsia="宋体"/>
          <w:color w:val="auto"/>
          <w:highlight w:val="none"/>
        </w:rPr>
      </w:pPr>
      <w:bookmarkStart w:id="4" w:name="_Toc533781554"/>
      <w:bookmarkStart w:id="5" w:name="_Toc533783506"/>
      <w:bookmarkStart w:id="6" w:name="_Toc13248"/>
      <w:bookmarkStart w:id="7" w:name="_Toc533781568"/>
      <w:bookmarkStart w:id="8" w:name="_Toc533783520"/>
      <w:r>
        <w:rPr>
          <w:rFonts w:hint="eastAsia" w:ascii="宋体" w:hAnsi="宋体" w:eastAsia="宋体" w:cs="宋体"/>
          <w:color w:val="auto"/>
          <w:highlight w:val="none"/>
        </w:rPr>
        <w:t>第二章</w:t>
      </w:r>
      <w:r>
        <w:rPr>
          <w:rFonts w:ascii="宋体" w:hAnsi="宋体" w:eastAsia="宋体" w:cs="宋体"/>
          <w:color w:val="auto"/>
          <w:highlight w:val="none"/>
        </w:rPr>
        <w:t xml:space="preserve">  </w:t>
      </w:r>
      <w:r>
        <w:rPr>
          <w:rFonts w:hint="eastAsia" w:ascii="宋体" w:hAnsi="宋体" w:eastAsia="宋体" w:cs="宋体"/>
          <w:color w:val="auto"/>
          <w:highlight w:val="none"/>
        </w:rPr>
        <w:t>供应商须知</w:t>
      </w:r>
      <w:bookmarkEnd w:id="4"/>
      <w:bookmarkEnd w:id="5"/>
      <w:bookmarkEnd w:id="6"/>
    </w:p>
    <w:p w14:paraId="5B360292">
      <w:pPr>
        <w:pStyle w:val="4"/>
        <w:ind w:firstLine="420"/>
        <w:rPr>
          <w:rFonts w:ascii="宋体"/>
          <w:color w:val="auto"/>
          <w:highlight w:val="none"/>
        </w:rPr>
      </w:pPr>
      <w:bookmarkStart w:id="9" w:name="_Toc533781555"/>
      <w:bookmarkStart w:id="10" w:name="_Toc32650"/>
      <w:bookmarkStart w:id="11" w:name="_Toc533783507"/>
      <w:r>
        <w:rPr>
          <w:rFonts w:hint="eastAsia" w:ascii="宋体" w:hAnsi="宋体" w:cs="宋体"/>
          <w:color w:val="auto"/>
          <w:highlight w:val="none"/>
        </w:rPr>
        <w:t>供应商须知前附表</w:t>
      </w:r>
      <w:bookmarkEnd w:id="9"/>
      <w:bookmarkEnd w:id="10"/>
      <w:bookmarkEnd w:id="11"/>
    </w:p>
    <w:tbl>
      <w:tblPr>
        <w:tblStyle w:val="47"/>
        <w:tblW w:w="44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450"/>
        <w:gridCol w:w="30"/>
        <w:gridCol w:w="6312"/>
      </w:tblGrid>
      <w:tr w14:paraId="5FD7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923" w:type="dxa"/>
            <w:shd w:val="clear" w:color="auto" w:fill="E7E6E6"/>
            <w:vAlign w:val="center"/>
          </w:tcPr>
          <w:p w14:paraId="14368AF9">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条款号</w:t>
            </w:r>
          </w:p>
        </w:tc>
        <w:tc>
          <w:tcPr>
            <w:tcW w:w="1481" w:type="dxa"/>
            <w:gridSpan w:val="2"/>
            <w:shd w:val="clear" w:color="auto" w:fill="E7E6E6"/>
            <w:vAlign w:val="center"/>
          </w:tcPr>
          <w:p w14:paraId="4B48F751">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条款名称</w:t>
            </w:r>
          </w:p>
        </w:tc>
        <w:tc>
          <w:tcPr>
            <w:tcW w:w="6310" w:type="dxa"/>
            <w:shd w:val="clear" w:color="auto" w:fill="E7E6E6"/>
            <w:vAlign w:val="center"/>
          </w:tcPr>
          <w:p w14:paraId="44C2B675">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内容</w:t>
            </w:r>
          </w:p>
        </w:tc>
      </w:tr>
      <w:tr w14:paraId="241C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923" w:type="dxa"/>
            <w:vAlign w:val="center"/>
          </w:tcPr>
          <w:p w14:paraId="31A834CA">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1.1.2</w:t>
            </w:r>
          </w:p>
        </w:tc>
        <w:tc>
          <w:tcPr>
            <w:tcW w:w="1481" w:type="dxa"/>
            <w:gridSpan w:val="2"/>
            <w:vAlign w:val="center"/>
          </w:tcPr>
          <w:p w14:paraId="773CE1BE">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采购人</w:t>
            </w:r>
          </w:p>
        </w:tc>
        <w:tc>
          <w:tcPr>
            <w:tcW w:w="6310" w:type="dxa"/>
            <w:vAlign w:val="center"/>
          </w:tcPr>
          <w:p w14:paraId="2DADDD55">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采购人名称：</w:t>
            </w:r>
            <w:r>
              <w:rPr>
                <w:rFonts w:hint="eastAsia" w:hAnsi="宋体"/>
                <w:color w:val="auto"/>
                <w:highlight w:val="none"/>
                <w:lang w:eastAsia="zh-CN"/>
              </w:rPr>
              <w:t xml:space="preserve">八步区文物管理所 </w:t>
            </w:r>
            <w:r>
              <w:rPr>
                <w:rFonts w:hint="eastAsia" w:hAnsi="宋体"/>
                <w:color w:val="auto"/>
                <w:highlight w:val="none"/>
              </w:rPr>
              <w:t xml:space="preserve"> </w:t>
            </w:r>
            <w:r>
              <w:rPr>
                <w:rFonts w:hint="default" w:hAnsi="宋体"/>
                <w:color w:val="auto"/>
                <w:highlight w:val="none"/>
              </w:rPr>
              <w:t xml:space="preserve">  </w:t>
            </w:r>
          </w:p>
          <w:p w14:paraId="1D97CB5A">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地址：</w:t>
            </w:r>
            <w:r>
              <w:rPr>
                <w:rFonts w:hint="eastAsia" w:ascii="宋体" w:hAnsi="宋体" w:eastAsia="宋体" w:cs="Times New Roman"/>
                <w:color w:val="auto"/>
                <w:kern w:val="2"/>
                <w:sz w:val="21"/>
                <w:szCs w:val="24"/>
                <w:highlight w:val="none"/>
                <w:lang w:val="en-US" w:eastAsia="zh-CN" w:bidi="ar"/>
              </w:rPr>
              <w:t>贺州市八步区人民路15号</w:t>
            </w:r>
            <w:r>
              <w:rPr>
                <w:rFonts w:hint="eastAsia" w:ascii="宋体" w:hAnsi="宋体" w:eastAsia="宋体" w:cs="宋体"/>
                <w:color w:val="auto"/>
                <w:kern w:val="2"/>
                <w:sz w:val="21"/>
                <w:szCs w:val="24"/>
                <w:highlight w:val="none"/>
                <w:lang w:val="en-US" w:eastAsia="zh-CN" w:bidi="ar"/>
              </w:rPr>
              <w:t xml:space="preserve"> </w:t>
            </w:r>
          </w:p>
          <w:p w14:paraId="6F26AF50">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
              </w:rPr>
              <w:t>联系人：</w:t>
            </w:r>
            <w:r>
              <w:rPr>
                <w:rFonts w:hint="eastAsia" w:ascii="宋体" w:hAnsi="宋体" w:eastAsia="宋体" w:cs="Times New Roman"/>
                <w:color w:val="auto"/>
                <w:kern w:val="2"/>
                <w:sz w:val="21"/>
                <w:szCs w:val="24"/>
                <w:highlight w:val="none"/>
                <w:lang w:val="en-US" w:eastAsia="zh-CN" w:bidi="ar"/>
              </w:rPr>
              <w:t>黄成周</w:t>
            </w:r>
          </w:p>
          <w:p w14:paraId="039D7F0C">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ascii="宋体" w:hAnsi="宋体" w:eastAsia="宋体" w:cs="宋体"/>
                <w:color w:val="auto"/>
                <w:kern w:val="2"/>
                <w:sz w:val="21"/>
                <w:szCs w:val="24"/>
                <w:highlight w:val="none"/>
                <w:lang w:val="en-US" w:eastAsia="zh-CN" w:bidi="ar"/>
              </w:rPr>
              <w:t>联系方式：</w:t>
            </w:r>
            <w:r>
              <w:rPr>
                <w:rFonts w:hint="eastAsia" w:ascii="宋体" w:hAnsi="宋体" w:eastAsia="宋体" w:cs="Times New Roman"/>
                <w:color w:val="auto"/>
                <w:kern w:val="2"/>
                <w:sz w:val="21"/>
                <w:szCs w:val="24"/>
                <w:highlight w:val="none"/>
                <w:lang w:val="en-US" w:eastAsia="zh-CN" w:bidi="ar"/>
              </w:rPr>
              <w:t>0774-5286085</w:t>
            </w:r>
          </w:p>
        </w:tc>
      </w:tr>
      <w:tr w14:paraId="616B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17245714">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1.1.3</w:t>
            </w:r>
          </w:p>
        </w:tc>
        <w:tc>
          <w:tcPr>
            <w:tcW w:w="1481" w:type="dxa"/>
            <w:gridSpan w:val="2"/>
            <w:vAlign w:val="center"/>
          </w:tcPr>
          <w:p w14:paraId="1A8DC524">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采购代理机构</w:t>
            </w:r>
          </w:p>
        </w:tc>
        <w:tc>
          <w:tcPr>
            <w:tcW w:w="6310" w:type="dxa"/>
            <w:vAlign w:val="center"/>
          </w:tcPr>
          <w:p w14:paraId="19736EAB">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采购代理机构名称：广西启航工程咨询有限公司</w:t>
            </w:r>
          </w:p>
          <w:p w14:paraId="0D948465">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地址：贺州市公安局东南面搬迁用地</w:t>
            </w:r>
            <w:r>
              <w:rPr>
                <w:rFonts w:hint="default" w:hAnsi="宋体"/>
                <w:color w:val="auto"/>
                <w:highlight w:val="none"/>
              </w:rPr>
              <w:t>17</w:t>
            </w:r>
            <w:r>
              <w:rPr>
                <w:rFonts w:hint="eastAsia" w:hAnsi="宋体"/>
                <w:color w:val="auto"/>
                <w:highlight w:val="none"/>
              </w:rPr>
              <w:t>号二层</w:t>
            </w:r>
          </w:p>
          <w:p w14:paraId="45B4B482">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项目联系人：</w:t>
            </w:r>
            <w:r>
              <w:rPr>
                <w:rFonts w:hint="eastAsia" w:hAnsi="宋体"/>
                <w:color w:val="auto"/>
                <w:highlight w:val="none"/>
                <w:lang w:eastAsia="zh-CN"/>
              </w:rPr>
              <w:t>胡丽荣</w:t>
            </w:r>
          </w:p>
          <w:p w14:paraId="66F3F396">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联系电话：</w:t>
            </w:r>
            <w:r>
              <w:rPr>
                <w:rFonts w:hint="eastAsia" w:ascii="宋体" w:hAnsi="宋体" w:eastAsia="宋体" w:cs="宋体"/>
                <w:color w:val="auto"/>
                <w:kern w:val="2"/>
                <w:sz w:val="21"/>
                <w:szCs w:val="24"/>
                <w:highlight w:val="none"/>
                <w:lang w:val="en-US" w:eastAsia="zh-CN" w:bidi="ar"/>
              </w:rPr>
              <w:t>0774-5282236</w:t>
            </w:r>
          </w:p>
        </w:tc>
      </w:tr>
      <w:tr w14:paraId="7800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923" w:type="dxa"/>
            <w:vAlign w:val="center"/>
          </w:tcPr>
          <w:p w14:paraId="4B47393C">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1.1.4</w:t>
            </w:r>
          </w:p>
        </w:tc>
        <w:tc>
          <w:tcPr>
            <w:tcW w:w="1481" w:type="dxa"/>
            <w:gridSpan w:val="2"/>
            <w:vAlign w:val="center"/>
          </w:tcPr>
          <w:p w14:paraId="2662FB52">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项目名称及编号</w:t>
            </w:r>
          </w:p>
        </w:tc>
        <w:tc>
          <w:tcPr>
            <w:tcW w:w="6310" w:type="dxa"/>
            <w:vAlign w:val="center"/>
          </w:tcPr>
          <w:p w14:paraId="6EA3C165">
            <w:pPr>
              <w:keepNext w:val="0"/>
              <w:keepLines w:val="0"/>
              <w:suppressLineNumbers w:val="0"/>
              <w:spacing w:before="0" w:beforeAutospacing="0" w:after="0" w:afterAutospacing="0" w:line="400" w:lineRule="exact"/>
              <w:ind w:left="0" w:right="0"/>
              <w:rPr>
                <w:rFonts w:hint="eastAsia" w:hAnsi="宋体" w:eastAsia="宋体"/>
                <w:color w:val="auto"/>
                <w:highlight w:val="none"/>
                <w:lang w:eastAsia="zh-CN"/>
              </w:rPr>
            </w:pPr>
            <w:r>
              <w:rPr>
                <w:rFonts w:hint="eastAsia" w:hAnsi="宋体"/>
                <w:color w:val="auto"/>
                <w:highlight w:val="none"/>
              </w:rPr>
              <w:t>项目名称：</w:t>
            </w:r>
            <w:r>
              <w:rPr>
                <w:rFonts w:hint="eastAsia" w:hAnsi="宋体"/>
                <w:color w:val="auto"/>
                <w:highlight w:val="none"/>
                <w:lang w:eastAsia="zh-CN"/>
              </w:rPr>
              <w:t>贺州江氏客家围屋--北二横屋、北牲畜房保护修缮工程</w:t>
            </w:r>
          </w:p>
          <w:p w14:paraId="18E20B8F">
            <w:pPr>
              <w:keepNext w:val="0"/>
              <w:keepLines w:val="0"/>
              <w:suppressLineNumbers w:val="0"/>
              <w:spacing w:before="0" w:beforeAutospacing="0" w:after="0" w:afterAutospacing="0" w:line="400" w:lineRule="exact"/>
              <w:ind w:left="0" w:right="0"/>
              <w:rPr>
                <w:rFonts w:hint="eastAsia" w:hAnsi="宋体" w:eastAsia="宋体"/>
                <w:color w:val="auto"/>
                <w:highlight w:val="none"/>
                <w:lang w:eastAsia="zh-CN"/>
              </w:rPr>
            </w:pPr>
            <w:r>
              <w:rPr>
                <w:rFonts w:hint="eastAsia" w:hAnsi="宋体"/>
                <w:color w:val="auto"/>
                <w:highlight w:val="none"/>
                <w:lang w:eastAsia="zh-CN"/>
              </w:rPr>
              <w:t>项目编号:</w:t>
            </w:r>
            <w:r>
              <w:rPr>
                <w:rFonts w:hint="eastAsia" w:hAnsi="宋体"/>
                <w:color w:val="auto"/>
                <w:highlight w:val="none"/>
                <w:lang w:eastAsia="zh-CN"/>
              </w:rPr>
              <w:t xml:space="preserve"> HZZC2025-C2-020017-QHZX</w:t>
            </w:r>
          </w:p>
        </w:tc>
      </w:tr>
      <w:tr w14:paraId="2A67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2A951162">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1.1.5</w:t>
            </w:r>
          </w:p>
        </w:tc>
        <w:tc>
          <w:tcPr>
            <w:tcW w:w="1481" w:type="dxa"/>
            <w:gridSpan w:val="2"/>
            <w:vAlign w:val="center"/>
          </w:tcPr>
          <w:p w14:paraId="405A8960">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项目基本情况</w:t>
            </w:r>
          </w:p>
        </w:tc>
        <w:tc>
          <w:tcPr>
            <w:tcW w:w="6310" w:type="dxa"/>
            <w:vAlign w:val="center"/>
          </w:tcPr>
          <w:p w14:paraId="54791CD8">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建设地点：</w:t>
            </w:r>
            <w:r>
              <w:rPr>
                <w:rFonts w:hint="eastAsia" w:ascii="宋体" w:hAnsi="宋体" w:eastAsia="宋体" w:cs="宋体"/>
                <w:color w:val="auto"/>
                <w:highlight w:val="none"/>
                <w:lang w:val="en-US" w:eastAsia="zh-CN"/>
              </w:rPr>
              <w:t>贺州市八步区莲塘镇仁冲村</w:t>
            </w:r>
            <w:r>
              <w:rPr>
                <w:rFonts w:hint="eastAsia" w:ascii="宋体" w:hAnsi="宋体" w:eastAsia="宋体" w:cs="宋体"/>
                <w:color w:val="auto"/>
                <w:highlight w:val="none"/>
              </w:rPr>
              <w:t>；</w:t>
            </w:r>
          </w:p>
          <w:p w14:paraId="67EABA7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color w:val="auto"/>
                <w:highlight w:val="none"/>
              </w:rPr>
            </w:pPr>
            <w:r>
              <w:rPr>
                <w:rFonts w:hint="eastAsia" w:ascii="宋体" w:hAnsi="宋体" w:eastAsia="宋体" w:cs="宋体"/>
                <w:color w:val="auto"/>
                <w:highlight w:val="none"/>
              </w:rPr>
              <w:t>（</w:t>
            </w:r>
            <w:r>
              <w:rPr>
                <w:rFonts w:hint="eastAsia"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kern w:val="2"/>
                <w:sz w:val="21"/>
                <w:szCs w:val="24"/>
                <w:highlight w:val="none"/>
                <w:lang w:val="en-US" w:eastAsia="zh-CN" w:bidi="ar"/>
              </w:rPr>
              <w:t>项目规模及建设内容：</w:t>
            </w:r>
            <w:r>
              <w:rPr>
                <w:rFonts w:hint="eastAsia" w:ascii="宋体" w:hAnsi="宋体" w:eastAsia="宋体" w:cs="宋体"/>
                <w:color w:val="auto"/>
                <w:kern w:val="2"/>
                <w:sz w:val="21"/>
                <w:szCs w:val="21"/>
                <w:highlight w:val="none"/>
                <w:lang w:val="en-US" w:eastAsia="zh-CN" w:bidi="ar"/>
              </w:rPr>
              <w:t>本次修缮范围为北二横屋及其附属腋房、北牲畜房，修缮占地面积1071.9平方米，建筑面积为1561.3平方米。主要修缮内容为屋面、梁架、木基层、墙体、木装修、地面、油饰等项目</w:t>
            </w:r>
            <w:r>
              <w:rPr>
                <w:rFonts w:hint="eastAsia" w:ascii="宋体" w:hAnsi="宋体" w:eastAsia="宋体" w:cs="宋体"/>
                <w:color w:val="auto"/>
                <w:kern w:val="2"/>
                <w:sz w:val="21"/>
                <w:szCs w:val="24"/>
                <w:highlight w:val="none"/>
                <w:lang w:val="en-US" w:eastAsia="zh-CN" w:bidi="ar"/>
              </w:rPr>
              <w:t>。</w:t>
            </w:r>
          </w:p>
          <w:p w14:paraId="08A388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hAnsi="宋体" w:cs="宋体"/>
                <w:color w:val="auto"/>
                <w:highlight w:val="none"/>
                <w:lang w:val="en-US" w:eastAsia="zh-CN"/>
              </w:rPr>
              <w:t>3</w:t>
            </w:r>
            <w:r>
              <w:rPr>
                <w:rFonts w:hint="eastAsia" w:ascii="宋体" w:hAnsi="宋体" w:eastAsia="宋体" w:cs="宋体"/>
                <w:color w:val="auto"/>
                <w:highlight w:val="none"/>
              </w:rPr>
              <w:t>）采购范围：</w:t>
            </w:r>
            <w:r>
              <w:rPr>
                <w:rFonts w:hint="eastAsia" w:ascii="宋体" w:hAnsi="宋体" w:eastAsia="宋体" w:cs="宋体"/>
                <w:color w:val="auto"/>
                <w:kern w:val="2"/>
                <w:sz w:val="21"/>
                <w:szCs w:val="21"/>
                <w:highlight w:val="none"/>
                <w:lang w:val="en-US" w:eastAsia="zh-CN" w:bidi="ar"/>
              </w:rPr>
              <w:t>修缮工程等工程量清单及施工图纸范围内的施工</w:t>
            </w:r>
            <w:r>
              <w:rPr>
                <w:rFonts w:hint="eastAsia" w:ascii="宋体" w:hAnsi="宋体" w:eastAsia="宋体" w:cs="宋体"/>
                <w:color w:val="auto"/>
                <w:highlight w:val="none"/>
              </w:rPr>
              <w:t>；</w:t>
            </w:r>
          </w:p>
          <w:p w14:paraId="678ACE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hAnsi="宋体" w:cs="宋体"/>
                <w:color w:val="auto"/>
                <w:highlight w:val="none"/>
                <w:lang w:val="en-US" w:eastAsia="zh-CN"/>
              </w:rPr>
              <w:t>4</w:t>
            </w:r>
            <w:r>
              <w:rPr>
                <w:rFonts w:hint="eastAsia" w:ascii="宋体" w:hAnsi="宋体" w:eastAsia="宋体" w:cs="宋体"/>
                <w:color w:val="auto"/>
                <w:highlight w:val="none"/>
              </w:rPr>
              <w:t>）工期：</w:t>
            </w:r>
            <w:r>
              <w:rPr>
                <w:rFonts w:hint="eastAsia" w:hAnsi="宋体" w:cs="宋体"/>
                <w:color w:val="auto"/>
                <w:highlight w:val="none"/>
                <w:lang w:val="en-US" w:eastAsia="zh-CN"/>
              </w:rPr>
              <w:t>240</w:t>
            </w:r>
            <w:r>
              <w:rPr>
                <w:rFonts w:hint="eastAsia" w:ascii="宋体" w:hAnsi="宋体" w:eastAsia="宋体" w:cs="宋体"/>
                <w:color w:val="auto"/>
                <w:highlight w:val="none"/>
              </w:rPr>
              <w:t>日历天；</w:t>
            </w:r>
          </w:p>
          <w:p w14:paraId="090037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highlight w:val="none"/>
              </w:rPr>
            </w:pPr>
            <w:r>
              <w:rPr>
                <w:rFonts w:hint="eastAsia" w:ascii="宋体" w:hAnsi="宋体" w:eastAsia="宋体" w:cs="宋体"/>
                <w:color w:val="auto"/>
                <w:highlight w:val="none"/>
              </w:rPr>
              <w:t>（</w:t>
            </w:r>
            <w:r>
              <w:rPr>
                <w:rFonts w:hint="eastAsia" w:hAnsi="宋体" w:cs="宋体"/>
                <w:color w:val="auto"/>
                <w:highlight w:val="none"/>
                <w:lang w:val="en-US" w:eastAsia="zh-CN"/>
              </w:rPr>
              <w:t>5</w:t>
            </w:r>
            <w:r>
              <w:rPr>
                <w:rFonts w:hint="eastAsia" w:ascii="宋体" w:hAnsi="宋体" w:eastAsia="宋体" w:cs="宋体"/>
                <w:color w:val="auto"/>
                <w:highlight w:val="none"/>
              </w:rPr>
              <w:t>）质量要求：</w:t>
            </w:r>
            <w:r>
              <w:rPr>
                <w:rFonts w:hint="eastAsia" w:ascii="宋体" w:hAnsi="宋体" w:eastAsia="宋体" w:cs="宋体"/>
                <w:color w:val="auto"/>
                <w:highlight w:val="none"/>
                <w:lang w:val="en-US" w:eastAsia="zh-CN"/>
              </w:rPr>
              <w:t>达到国家施工验收规范合格标准</w:t>
            </w:r>
            <w:r>
              <w:rPr>
                <w:rFonts w:hint="eastAsia"/>
                <w:color w:val="auto"/>
                <w:highlight w:val="none"/>
              </w:rPr>
              <w:t>。</w:t>
            </w:r>
          </w:p>
        </w:tc>
      </w:tr>
      <w:tr w14:paraId="5302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Align w:val="center"/>
          </w:tcPr>
          <w:p w14:paraId="61FCAF3A">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1.2.1</w:t>
            </w:r>
          </w:p>
        </w:tc>
        <w:tc>
          <w:tcPr>
            <w:tcW w:w="1481" w:type="dxa"/>
            <w:gridSpan w:val="2"/>
            <w:vAlign w:val="center"/>
          </w:tcPr>
          <w:p w14:paraId="0CDD7F6E">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资金来源、落实情况</w:t>
            </w:r>
          </w:p>
        </w:tc>
        <w:tc>
          <w:tcPr>
            <w:tcW w:w="6310" w:type="dxa"/>
            <w:vAlign w:val="center"/>
          </w:tcPr>
          <w:p w14:paraId="3942B987">
            <w:pPr>
              <w:keepNext w:val="0"/>
              <w:keepLines w:val="0"/>
              <w:suppressLineNumbers w:val="0"/>
              <w:spacing w:before="0" w:beforeAutospacing="0" w:after="0" w:afterAutospacing="0" w:line="400" w:lineRule="exact"/>
              <w:ind w:left="0" w:right="0"/>
              <w:rPr>
                <w:rFonts w:hint="default" w:hAnsi="宋体"/>
                <w:color w:val="auto"/>
                <w:szCs w:val="22"/>
                <w:highlight w:val="none"/>
              </w:rPr>
            </w:pPr>
            <w:r>
              <w:rPr>
                <w:rFonts w:hint="eastAsia" w:hAnsi="宋体"/>
                <w:color w:val="auto"/>
                <w:szCs w:val="22"/>
                <w:highlight w:val="none"/>
                <w:lang w:val="en-US" w:eastAsia="zh-CN"/>
              </w:rPr>
              <w:t>财政资金</w:t>
            </w:r>
            <w:r>
              <w:rPr>
                <w:rFonts w:hint="eastAsia" w:hAnsi="宋体"/>
                <w:color w:val="auto"/>
                <w:szCs w:val="22"/>
                <w:highlight w:val="none"/>
              </w:rPr>
              <w:t>，已落实。</w:t>
            </w:r>
          </w:p>
        </w:tc>
      </w:tr>
      <w:tr w14:paraId="3195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09106A02">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1.2.2</w:t>
            </w:r>
          </w:p>
        </w:tc>
        <w:tc>
          <w:tcPr>
            <w:tcW w:w="1481" w:type="dxa"/>
            <w:gridSpan w:val="2"/>
            <w:vAlign w:val="center"/>
          </w:tcPr>
          <w:p w14:paraId="0AA255AF">
            <w:pPr>
              <w:keepNext w:val="0"/>
              <w:keepLines w:val="0"/>
              <w:suppressLineNumbers w:val="0"/>
              <w:spacing w:before="0" w:beforeAutospacing="0" w:after="0" w:afterAutospacing="0" w:line="400" w:lineRule="exact"/>
              <w:ind w:left="0" w:right="0"/>
              <w:jc w:val="center"/>
              <w:rPr>
                <w:rFonts w:hint="eastAsia" w:hAnsi="宋体"/>
                <w:color w:val="auto"/>
                <w:highlight w:val="none"/>
              </w:rPr>
            </w:pPr>
            <w:r>
              <w:rPr>
                <w:rFonts w:hint="eastAsia" w:hAnsi="宋体"/>
                <w:color w:val="auto"/>
                <w:highlight w:val="none"/>
              </w:rPr>
              <w:t>增值税计税</w:t>
            </w:r>
          </w:p>
          <w:p w14:paraId="0BCC6C94">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方法</w:t>
            </w:r>
          </w:p>
        </w:tc>
        <w:tc>
          <w:tcPr>
            <w:tcW w:w="6310" w:type="dxa"/>
            <w:vAlign w:val="center"/>
          </w:tcPr>
          <w:p w14:paraId="70F0B690">
            <w:pPr>
              <w:keepNext w:val="0"/>
              <w:keepLines w:val="0"/>
              <w:suppressLineNumbers w:val="0"/>
              <w:spacing w:before="0" w:beforeAutospacing="0" w:after="0" w:afterAutospacing="0" w:line="400" w:lineRule="exact"/>
              <w:ind w:left="0" w:right="0"/>
              <w:rPr>
                <w:rFonts w:hint="default" w:hAnsi="宋体"/>
                <w:color w:val="auto"/>
                <w:szCs w:val="22"/>
                <w:highlight w:val="none"/>
              </w:rPr>
            </w:pPr>
            <w:r>
              <w:rPr>
                <w:rFonts w:hint="eastAsia" w:hAnsi="宋体"/>
                <w:color w:val="auto"/>
                <w:szCs w:val="22"/>
                <w:highlight w:val="none"/>
                <w:lang w:val="en-US" w:eastAsia="zh-CN"/>
              </w:rPr>
              <w:t>简易</w:t>
            </w:r>
            <w:r>
              <w:rPr>
                <w:rFonts w:hint="eastAsia" w:hAnsi="宋体"/>
                <w:color w:val="auto"/>
                <w:szCs w:val="22"/>
                <w:highlight w:val="none"/>
              </w:rPr>
              <w:t>计税法</w:t>
            </w:r>
          </w:p>
        </w:tc>
      </w:tr>
      <w:tr w14:paraId="5C2B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0250A91C">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1.3.1</w:t>
            </w:r>
          </w:p>
        </w:tc>
        <w:tc>
          <w:tcPr>
            <w:tcW w:w="1481" w:type="dxa"/>
            <w:gridSpan w:val="2"/>
            <w:vAlign w:val="center"/>
          </w:tcPr>
          <w:p w14:paraId="67B9A6C6">
            <w:pPr>
              <w:keepNext w:val="0"/>
              <w:keepLines w:val="0"/>
              <w:suppressLineNumbers w:val="0"/>
              <w:spacing w:before="0" w:beforeAutospacing="0" w:after="0" w:afterAutospacing="0" w:line="400" w:lineRule="exact"/>
              <w:ind w:left="0" w:right="0"/>
              <w:jc w:val="center"/>
              <w:rPr>
                <w:rFonts w:hint="eastAsia" w:hAnsi="宋体"/>
                <w:color w:val="auto"/>
                <w:highlight w:val="none"/>
              </w:rPr>
            </w:pPr>
            <w:r>
              <w:rPr>
                <w:rFonts w:hint="eastAsia" w:hAnsi="宋体"/>
                <w:color w:val="auto"/>
                <w:highlight w:val="none"/>
              </w:rPr>
              <w:t>供应商资格</w:t>
            </w:r>
          </w:p>
          <w:p w14:paraId="7B019D1D">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要求</w:t>
            </w:r>
          </w:p>
        </w:tc>
        <w:tc>
          <w:tcPr>
            <w:tcW w:w="6310" w:type="dxa"/>
            <w:vAlign w:val="center"/>
          </w:tcPr>
          <w:p w14:paraId="70A3F84A">
            <w:pPr>
              <w:keepNext w:val="0"/>
              <w:keepLines w:val="0"/>
              <w:suppressLineNumbers w:val="0"/>
              <w:spacing w:before="0" w:beforeAutospacing="0" w:after="0" w:afterAutospacing="0" w:line="440" w:lineRule="exact"/>
              <w:ind w:left="0" w:right="0"/>
              <w:rPr>
                <w:rFonts w:hint="default" w:hAnsi="宋体"/>
                <w:color w:val="auto"/>
                <w:highlight w:val="none"/>
              </w:rPr>
            </w:pPr>
            <w:r>
              <w:rPr>
                <w:rFonts w:hint="default" w:hAnsi="宋体"/>
                <w:color w:val="auto"/>
                <w:highlight w:val="none"/>
              </w:rPr>
              <w:t>1.</w:t>
            </w:r>
            <w:r>
              <w:rPr>
                <w:rFonts w:hint="eastAsia" w:hAnsi="宋体"/>
                <w:color w:val="auto"/>
                <w:highlight w:val="none"/>
              </w:rPr>
              <w:t>满足《中华人民共和国政府采购法》第二十二条规定；</w:t>
            </w:r>
          </w:p>
          <w:p w14:paraId="7CAEE37B">
            <w:pPr>
              <w:keepNext w:val="0"/>
              <w:keepLines w:val="0"/>
              <w:suppressLineNumbers w:val="0"/>
              <w:spacing w:before="0" w:beforeAutospacing="0" w:after="0" w:afterAutospacing="0" w:line="440" w:lineRule="exact"/>
              <w:ind w:left="0" w:right="0"/>
              <w:rPr>
                <w:rFonts w:hint="default" w:hAnsi="宋体"/>
                <w:color w:val="auto"/>
                <w:highlight w:val="none"/>
              </w:rPr>
            </w:pPr>
            <w:r>
              <w:rPr>
                <w:rFonts w:hint="default" w:hAnsi="宋体"/>
                <w:color w:val="auto"/>
                <w:highlight w:val="none"/>
              </w:rPr>
              <w:t>2.</w:t>
            </w:r>
            <w:r>
              <w:rPr>
                <w:rFonts w:hint="eastAsia" w:hAnsi="宋体"/>
                <w:color w:val="auto"/>
                <w:highlight w:val="none"/>
              </w:rPr>
              <w:t>落实政府采购政策需满足的资格要求：</w:t>
            </w:r>
            <w:r>
              <w:rPr>
                <w:rFonts w:hint="eastAsia"/>
                <w:color w:val="auto"/>
                <w:highlight w:val="none"/>
              </w:rPr>
              <w:t>专门面向中小企业采购的项目（供应商应为中小微企业或监狱企业或残疾人福利性单位)</w:t>
            </w:r>
            <w:r>
              <w:rPr>
                <w:rFonts w:hint="eastAsia" w:hAnsi="宋体"/>
                <w:color w:val="auto"/>
                <w:highlight w:val="none"/>
              </w:rPr>
              <w:t>；</w:t>
            </w:r>
          </w:p>
          <w:p w14:paraId="426E0DBD">
            <w:pPr>
              <w:keepNext w:val="0"/>
              <w:keepLines w:val="0"/>
              <w:suppressLineNumbers w:val="0"/>
              <w:spacing w:before="0" w:beforeAutospacing="0" w:after="0" w:afterAutospacing="0" w:line="440" w:lineRule="exact"/>
              <w:ind w:left="0" w:right="0"/>
              <w:rPr>
                <w:rFonts w:hint="default" w:hAnsi="宋体"/>
                <w:color w:val="auto"/>
                <w:highlight w:val="none"/>
              </w:rPr>
            </w:pPr>
            <w:r>
              <w:rPr>
                <w:rFonts w:hint="default" w:hAnsi="宋体"/>
                <w:color w:val="auto"/>
                <w:highlight w:val="none"/>
              </w:rPr>
              <w:t>3.</w:t>
            </w:r>
            <w:r>
              <w:rPr>
                <w:rFonts w:hint="eastAsia" w:hAnsi="宋体"/>
                <w:color w:val="auto"/>
                <w:highlight w:val="none"/>
              </w:rPr>
              <w:t>本项目的特定资格要求：</w:t>
            </w:r>
          </w:p>
          <w:p w14:paraId="466F2CCD">
            <w:pPr>
              <w:keepNext w:val="0"/>
              <w:keepLines w:val="0"/>
              <w:suppressLineNumbers w:val="0"/>
              <w:spacing w:before="0" w:beforeAutospacing="0" w:after="0" w:afterAutospacing="0" w:line="440" w:lineRule="exact"/>
              <w:ind w:left="0" w:right="0"/>
              <w:rPr>
                <w:rFonts w:hint="default" w:hAnsi="宋体"/>
                <w:color w:val="auto"/>
                <w:highlight w:val="none"/>
              </w:rPr>
            </w:pPr>
            <w:r>
              <w:rPr>
                <w:rFonts w:hint="default" w:hAnsi="宋体"/>
                <w:color w:val="auto"/>
                <w:highlight w:val="none"/>
              </w:rPr>
              <w:t>3.1</w:t>
            </w:r>
            <w:r>
              <w:rPr>
                <w:rFonts w:hint="eastAsia" w:hAnsi="宋体"/>
                <w:color w:val="auto"/>
                <w:highlight w:val="none"/>
              </w:rPr>
              <w:t>资质条件：</w:t>
            </w:r>
            <w:r>
              <w:rPr>
                <w:rFonts w:hint="eastAsia" w:ascii="宋体" w:hAnsi="宋体" w:eastAsia="宋体" w:cs="宋体"/>
                <w:color w:val="auto"/>
                <w:sz w:val="21"/>
                <w:szCs w:val="21"/>
                <w:highlight w:val="none"/>
                <w:lang w:val="en-US" w:eastAsia="zh-CN" w:bidi="ar"/>
              </w:rPr>
              <w:t>具有独立法人资格，</w:t>
            </w:r>
            <w:r>
              <w:rPr>
                <w:rFonts w:hint="eastAsia" w:ascii="宋体" w:hAnsi="宋体" w:eastAsia="宋体" w:cs="宋体"/>
                <w:color w:val="auto"/>
                <w:kern w:val="2"/>
                <w:sz w:val="21"/>
                <w:szCs w:val="21"/>
                <w:highlight w:val="none"/>
                <w:lang w:val="en-US" w:eastAsia="zh-CN" w:bidi="ar"/>
              </w:rPr>
              <w:t>具备文物保护工程施工一级</w:t>
            </w:r>
            <w:r>
              <w:rPr>
                <w:rFonts w:hint="default" w:ascii="微软雅黑" w:hAnsi="微软雅黑" w:eastAsia="微软雅黑" w:cs="微软雅黑"/>
                <w:i w:val="0"/>
                <w:iCs w:val="0"/>
                <w:caps w:val="0"/>
                <w:color w:val="auto"/>
                <w:spacing w:val="0"/>
                <w:sz w:val="19"/>
                <w:szCs w:val="19"/>
                <w:highlight w:val="none"/>
                <w:shd w:val="clear" w:fill="FFFFFF"/>
              </w:rPr>
              <w:t>资质</w:t>
            </w:r>
            <w:r>
              <w:rPr>
                <w:rFonts w:hint="eastAsia" w:ascii="宋体" w:hAnsi="宋体" w:eastAsia="宋体" w:cs="宋体"/>
                <w:color w:val="auto"/>
                <w:kern w:val="2"/>
                <w:sz w:val="21"/>
                <w:szCs w:val="24"/>
                <w:highlight w:val="none"/>
                <w:lang w:val="en-US" w:eastAsia="zh-CN" w:bidi="ar"/>
              </w:rPr>
              <w:t>（业务范围包含</w:t>
            </w:r>
            <w:r>
              <w:rPr>
                <w:rFonts w:hint="eastAsia" w:hAnsi="宋体" w:cs="宋体"/>
                <w:color w:val="auto"/>
                <w:kern w:val="2"/>
                <w:sz w:val="21"/>
                <w:szCs w:val="24"/>
                <w:highlight w:val="none"/>
                <w:lang w:val="en-US" w:eastAsia="zh-CN" w:bidi="ar"/>
              </w:rPr>
              <w:t>:</w:t>
            </w:r>
            <w:r>
              <w:rPr>
                <w:rFonts w:hint="eastAsia" w:ascii="宋体" w:hAnsi="宋体" w:eastAsia="宋体" w:cs="宋体"/>
                <w:color w:val="auto"/>
                <w:kern w:val="2"/>
                <w:sz w:val="21"/>
                <w:szCs w:val="24"/>
                <w:highlight w:val="none"/>
                <w:lang w:val="en-US" w:eastAsia="zh-CN" w:bidi="ar"/>
              </w:rPr>
              <w:t>古建筑或古建筑维修保护）</w:t>
            </w:r>
            <w:r>
              <w:rPr>
                <w:rFonts w:hint="eastAsia" w:hAnsi="宋体" w:cs="宋体"/>
                <w:color w:val="auto"/>
                <w:sz w:val="21"/>
                <w:szCs w:val="21"/>
                <w:highlight w:val="none"/>
                <w:lang w:val="en-US" w:eastAsia="zh-CN" w:bidi="ar"/>
              </w:rPr>
              <w:t>；</w:t>
            </w:r>
            <w:r>
              <w:rPr>
                <w:rFonts w:hint="eastAsia"/>
                <w:color w:val="auto"/>
                <w:highlight w:val="none"/>
              </w:rPr>
              <w:t>具有省级</w:t>
            </w:r>
            <w:r>
              <w:rPr>
                <w:rFonts w:hint="eastAsia"/>
                <w:color w:val="auto"/>
                <w:highlight w:val="none"/>
                <w:lang w:eastAsia="zh-CN"/>
              </w:rPr>
              <w:t>或</w:t>
            </w:r>
            <w:r>
              <w:rPr>
                <w:rFonts w:hint="eastAsia"/>
                <w:color w:val="auto"/>
                <w:highlight w:val="none"/>
              </w:rPr>
              <w:t>以上建设行政主管部门颁发的安全生产许可证</w:t>
            </w:r>
            <w:r>
              <w:rPr>
                <w:rFonts w:hint="eastAsia"/>
                <w:color w:val="auto"/>
                <w:highlight w:val="none"/>
                <w:lang w:eastAsia="zh-CN"/>
              </w:rPr>
              <w:t>，</w:t>
            </w:r>
            <w:r>
              <w:rPr>
                <w:rFonts w:hint="eastAsia" w:ascii="宋体" w:hAnsi="宋体" w:eastAsia="宋体" w:cs="宋体"/>
                <w:color w:val="auto"/>
                <w:kern w:val="2"/>
                <w:sz w:val="21"/>
                <w:szCs w:val="24"/>
                <w:highlight w:val="none"/>
                <w:lang w:val="en-US" w:eastAsia="zh-CN" w:bidi="ar"/>
              </w:rPr>
              <w:t>并在人员、设备、资金等方面具备相应的施工能力</w:t>
            </w:r>
            <w:r>
              <w:rPr>
                <w:rFonts w:hint="eastAsia" w:hAnsi="宋体"/>
                <w:color w:val="auto"/>
                <w:highlight w:val="none"/>
              </w:rPr>
              <w:t>；</w:t>
            </w:r>
          </w:p>
          <w:p w14:paraId="3AD260E4">
            <w:pPr>
              <w:keepNext w:val="0"/>
              <w:keepLines w:val="0"/>
              <w:suppressLineNumbers w:val="0"/>
              <w:spacing w:before="0" w:beforeAutospacing="0" w:after="0" w:afterAutospacing="0" w:line="440" w:lineRule="exact"/>
              <w:ind w:left="0" w:right="0"/>
              <w:rPr>
                <w:rFonts w:hint="default" w:hAnsi="宋体"/>
                <w:color w:val="auto"/>
                <w:highlight w:val="none"/>
              </w:rPr>
            </w:pPr>
            <w:r>
              <w:rPr>
                <w:rFonts w:hint="default" w:hAnsi="宋体"/>
                <w:color w:val="auto"/>
                <w:highlight w:val="none"/>
              </w:rPr>
              <w:t>3.2</w:t>
            </w:r>
            <w:r>
              <w:rPr>
                <w:rFonts w:hint="eastAsia" w:hAnsi="宋体"/>
                <w:color w:val="auto"/>
                <w:highlight w:val="none"/>
              </w:rPr>
              <w:t>人员要求：拟投入本项目的项目经理、技术负责人、专职安全员等主要现场管理人员必须是本单位的在岗人员，对相关人员的具体条件要求如下：</w:t>
            </w:r>
          </w:p>
          <w:p w14:paraId="46458BEC">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3.2.1项目经理：</w:t>
            </w:r>
            <w:r>
              <w:rPr>
                <w:rFonts w:hint="eastAsia"/>
                <w:color w:val="auto"/>
                <w:highlight w:val="none"/>
              </w:rPr>
              <w:t>具</w:t>
            </w:r>
            <w:r>
              <w:rPr>
                <w:rFonts w:hint="eastAsia"/>
                <w:color w:val="auto"/>
                <w:highlight w:val="none"/>
                <w:lang w:eastAsia="zh-CN"/>
              </w:rPr>
              <w:t>有</w:t>
            </w:r>
            <w:r>
              <w:rPr>
                <w:rFonts w:hint="eastAsia"/>
                <w:color w:val="auto"/>
                <w:highlight w:val="none"/>
                <w:lang w:val="en-US" w:eastAsia="zh-CN"/>
              </w:rPr>
              <w:t>中国古迹遗址保护协会颁发的文物保护责任工程师证书及</w:t>
            </w:r>
            <w:r>
              <w:rPr>
                <w:rFonts w:hint="eastAsia" w:ascii="宋体" w:hAnsi="宋体" w:eastAsia="宋体" w:cs="宋体"/>
                <w:color w:val="auto"/>
                <w:kern w:val="2"/>
                <w:sz w:val="21"/>
                <w:szCs w:val="24"/>
                <w:highlight w:val="none"/>
                <w:lang w:val="en-US" w:eastAsia="zh-CN" w:bidi="ar"/>
              </w:rPr>
              <w:t>中级以上（含中级）技术职称</w:t>
            </w:r>
            <w:r>
              <w:rPr>
                <w:rFonts w:hint="eastAsia" w:hAnsi="宋体" w:cs="宋体"/>
                <w:color w:val="auto"/>
                <w:kern w:val="2"/>
                <w:sz w:val="21"/>
                <w:szCs w:val="24"/>
                <w:highlight w:val="none"/>
                <w:lang w:val="en-US" w:eastAsia="zh-CN" w:bidi="ar"/>
              </w:rPr>
              <w:t>；</w:t>
            </w:r>
          </w:p>
          <w:p w14:paraId="424E3728">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3.2.2技术负责人：</w:t>
            </w:r>
            <w:r>
              <w:rPr>
                <w:rFonts w:hint="eastAsia" w:ascii="宋体"/>
                <w:color w:val="auto"/>
                <w:highlight w:val="none"/>
              </w:rPr>
              <w:t>具</w:t>
            </w:r>
            <w:r>
              <w:rPr>
                <w:rFonts w:hint="eastAsia"/>
                <w:color w:val="auto"/>
                <w:highlight w:val="none"/>
                <w:lang w:eastAsia="zh-CN"/>
              </w:rPr>
              <w:t>有</w:t>
            </w:r>
            <w:r>
              <w:rPr>
                <w:rFonts w:hint="eastAsia"/>
                <w:color w:val="auto"/>
                <w:highlight w:val="none"/>
                <w:lang w:val="en-US" w:eastAsia="zh-CN"/>
              </w:rPr>
              <w:t>中国古迹遗址保护协会颁发的</w:t>
            </w:r>
            <w:r>
              <w:rPr>
                <w:rFonts w:hint="eastAsia" w:ascii="宋体"/>
                <w:color w:val="auto"/>
                <w:highlight w:val="none"/>
              </w:rPr>
              <w:t>文物保护责任工程师证书及</w:t>
            </w:r>
            <w:r>
              <w:rPr>
                <w:rFonts w:hint="eastAsia" w:ascii="宋体" w:hAnsi="宋体" w:eastAsia="宋体" w:cs="宋体"/>
                <w:color w:val="auto"/>
                <w:kern w:val="2"/>
                <w:sz w:val="21"/>
                <w:szCs w:val="24"/>
                <w:highlight w:val="none"/>
                <w:lang w:val="en-US" w:eastAsia="zh-CN" w:bidi="ar"/>
              </w:rPr>
              <w:t>中级以上（含中级）技术职称</w:t>
            </w:r>
            <w:r>
              <w:rPr>
                <w:rFonts w:hint="eastAsia" w:hAnsi="宋体" w:cs="宋体"/>
                <w:color w:val="auto"/>
                <w:kern w:val="2"/>
                <w:sz w:val="21"/>
                <w:szCs w:val="24"/>
                <w:highlight w:val="none"/>
                <w:lang w:val="en-US" w:eastAsia="zh-CN" w:bidi="ar"/>
              </w:rPr>
              <w:t>；</w:t>
            </w:r>
          </w:p>
          <w:p w14:paraId="5342EC94">
            <w:pPr>
              <w:keepNext w:val="0"/>
              <w:keepLines w:val="0"/>
              <w:suppressLineNumbers w:val="0"/>
              <w:spacing w:before="0" w:beforeAutospacing="0" w:after="0" w:afterAutospacing="0" w:line="440" w:lineRule="exact"/>
              <w:ind w:left="0" w:right="0"/>
              <w:rPr>
                <w:rFonts w:hint="default" w:hAnsi="宋体"/>
                <w:color w:val="auto"/>
                <w:highlight w:val="none"/>
              </w:rPr>
            </w:pPr>
            <w:r>
              <w:rPr>
                <w:rFonts w:hint="default" w:hAnsi="宋体"/>
                <w:color w:val="auto"/>
                <w:highlight w:val="none"/>
              </w:rPr>
              <w:t>3.2.3</w:t>
            </w:r>
            <w:r>
              <w:rPr>
                <w:rFonts w:hint="eastAsia" w:hAnsi="宋体"/>
                <w:color w:val="auto"/>
                <w:highlight w:val="none"/>
              </w:rPr>
              <w:t>专职安全员：</w:t>
            </w:r>
            <w:r>
              <w:rPr>
                <w:rFonts w:hint="eastAsia" w:ascii="宋体" w:hAnsi="宋体" w:eastAsia="宋体" w:cs="宋体"/>
                <w:color w:val="auto"/>
                <w:sz w:val="21"/>
                <w:szCs w:val="21"/>
                <w:highlight w:val="none"/>
                <w:lang w:val="en-US" w:eastAsia="zh-CN" w:bidi="ar"/>
              </w:rPr>
              <w:t>具有有效的安全生产考核合格证书（C类），人数不少于1人</w:t>
            </w:r>
            <w:r>
              <w:rPr>
                <w:rFonts w:hint="eastAsia" w:hAnsi="宋体"/>
                <w:color w:val="auto"/>
                <w:highlight w:val="none"/>
                <w:lang w:eastAsia="zh-CN"/>
              </w:rPr>
              <w:t>。</w:t>
            </w:r>
          </w:p>
        </w:tc>
      </w:tr>
      <w:tr w14:paraId="7E18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6C218569">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1.3.2</w:t>
            </w:r>
          </w:p>
        </w:tc>
        <w:tc>
          <w:tcPr>
            <w:tcW w:w="1481" w:type="dxa"/>
            <w:gridSpan w:val="2"/>
            <w:vAlign w:val="center"/>
          </w:tcPr>
          <w:p w14:paraId="1799302F">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是否接受联合体投标</w:t>
            </w:r>
          </w:p>
        </w:tc>
        <w:tc>
          <w:tcPr>
            <w:tcW w:w="6310" w:type="dxa"/>
            <w:vAlign w:val="center"/>
          </w:tcPr>
          <w:p w14:paraId="14D578B2">
            <w:pPr>
              <w:keepNext w:val="0"/>
              <w:keepLines w:val="0"/>
              <w:suppressLineNumbers w:val="0"/>
              <w:kinsoku w:val="0"/>
              <w:overflowPunct w:val="0"/>
              <w:spacing w:before="53" w:beforeAutospacing="0" w:after="0" w:afterAutospacing="0" w:line="400" w:lineRule="exact"/>
              <w:ind w:left="0" w:right="0"/>
              <w:rPr>
                <w:rFonts w:hint="default" w:hAnsi="宋体"/>
                <w:color w:val="auto"/>
                <w:highlight w:val="none"/>
              </w:rPr>
            </w:pPr>
            <w:r>
              <w:rPr>
                <w:rFonts w:hint="eastAsia" w:hAnsi="宋体"/>
                <w:color w:val="auto"/>
                <w:highlight w:val="none"/>
              </w:rPr>
              <w:t>不接受</w:t>
            </w:r>
          </w:p>
        </w:tc>
      </w:tr>
      <w:tr w14:paraId="03AD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3C9F61DC">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1.3.3</w:t>
            </w:r>
          </w:p>
        </w:tc>
        <w:tc>
          <w:tcPr>
            <w:tcW w:w="1481" w:type="dxa"/>
            <w:gridSpan w:val="2"/>
            <w:vAlign w:val="center"/>
          </w:tcPr>
          <w:p w14:paraId="27ED2F9A">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供应商不得存在的其他情形</w:t>
            </w:r>
          </w:p>
        </w:tc>
        <w:tc>
          <w:tcPr>
            <w:tcW w:w="6310" w:type="dxa"/>
            <w:vAlign w:val="center"/>
          </w:tcPr>
          <w:p w14:paraId="2E525676">
            <w:pPr>
              <w:keepNext w:val="0"/>
              <w:keepLines w:val="0"/>
              <w:suppressLineNumbers w:val="0"/>
              <w:spacing w:before="0" w:beforeAutospacing="0" w:after="0" w:afterAutospacing="0" w:line="440" w:lineRule="exact"/>
              <w:ind w:left="0" w:right="0"/>
              <w:rPr>
                <w:rFonts w:hint="default" w:hAnsi="宋体"/>
                <w:color w:val="auto"/>
                <w:highlight w:val="none"/>
              </w:rPr>
            </w:pPr>
            <w:r>
              <w:rPr>
                <w:rFonts w:hint="eastAsia" w:hAnsi="宋体"/>
                <w:color w:val="auto"/>
                <w:highlight w:val="none"/>
              </w:rPr>
              <w:t>1</w:t>
            </w:r>
            <w:r>
              <w:rPr>
                <w:rFonts w:hint="default" w:hAnsi="宋体"/>
                <w:color w:val="auto"/>
                <w:highlight w:val="none"/>
              </w:rPr>
              <w:t>.</w:t>
            </w:r>
            <w:r>
              <w:rPr>
                <w:rFonts w:hint="eastAsia" w:hAnsi="宋体"/>
                <w:color w:val="auto"/>
                <w:highlight w:val="none"/>
              </w:rPr>
              <w:t>未被列入失信被执行人、重大税收违法案件当事人名单、政府采购严重违法失信行为记录名单（以评审阶段通过“信用中国”网站</w:t>
            </w:r>
            <w:r>
              <w:rPr>
                <w:rFonts w:hint="default" w:hAnsi="宋体"/>
                <w:color w:val="auto"/>
                <w:highlight w:val="none"/>
              </w:rPr>
              <w:t>(www.creditchina.gov.cn)</w:t>
            </w:r>
            <w:r>
              <w:rPr>
                <w:rFonts w:hint="eastAsia" w:hAnsi="宋体"/>
                <w:color w:val="auto"/>
                <w:highlight w:val="none"/>
              </w:rPr>
              <w:t>、中国政府采购网</w:t>
            </w:r>
            <w:r>
              <w:rPr>
                <w:rFonts w:hint="default" w:hAnsi="宋体"/>
                <w:color w:val="auto"/>
                <w:highlight w:val="none"/>
              </w:rPr>
              <w:t>(www.ccgp.gov.cn)</w:t>
            </w:r>
            <w:r>
              <w:rPr>
                <w:rFonts w:hint="eastAsia" w:hAnsi="宋体"/>
                <w:color w:val="auto"/>
                <w:highlight w:val="none"/>
              </w:rPr>
              <w:t>查询的结果为准）。</w:t>
            </w:r>
          </w:p>
          <w:p w14:paraId="1C427675">
            <w:pPr>
              <w:keepNext w:val="0"/>
              <w:keepLines w:val="0"/>
              <w:suppressLineNumbers w:val="0"/>
              <w:kinsoku w:val="0"/>
              <w:overflowPunct w:val="0"/>
              <w:spacing w:before="53" w:beforeAutospacing="0" w:after="0" w:afterAutospacing="0" w:line="400" w:lineRule="exact"/>
              <w:ind w:left="0" w:right="0"/>
              <w:rPr>
                <w:rFonts w:hint="default" w:hAnsi="宋体"/>
                <w:color w:val="auto"/>
                <w:highlight w:val="none"/>
              </w:rPr>
            </w:pPr>
            <w:r>
              <w:rPr>
                <w:rFonts w:hint="eastAsia" w:hAnsi="宋体"/>
                <w:color w:val="auto"/>
                <w:highlight w:val="none"/>
              </w:rPr>
              <w:t>2</w:t>
            </w:r>
            <w:r>
              <w:rPr>
                <w:rFonts w:hint="default" w:hAnsi="宋体"/>
                <w:color w:val="auto"/>
                <w:highlight w:val="none"/>
              </w:rPr>
              <w:t>.</w:t>
            </w:r>
            <w:r>
              <w:rPr>
                <w:rFonts w:hint="eastAsia" w:hAnsi="宋体"/>
                <w:color w:val="auto"/>
                <w:highlight w:val="none"/>
              </w:rPr>
              <w:t>单位负责人为同一人或者存在直接控股、管理关系的不同供应商，不得参加同一合同项下的政府采购活动。</w:t>
            </w:r>
          </w:p>
        </w:tc>
      </w:tr>
      <w:tr w14:paraId="3DE6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3F065C83">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1.8.1</w:t>
            </w:r>
          </w:p>
        </w:tc>
        <w:tc>
          <w:tcPr>
            <w:tcW w:w="1481" w:type="dxa"/>
            <w:gridSpan w:val="2"/>
            <w:vAlign w:val="center"/>
          </w:tcPr>
          <w:p w14:paraId="2CAADAF9">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踏勘现场</w:t>
            </w:r>
          </w:p>
        </w:tc>
        <w:tc>
          <w:tcPr>
            <w:tcW w:w="6310" w:type="dxa"/>
            <w:vAlign w:val="center"/>
          </w:tcPr>
          <w:p w14:paraId="409F13D7">
            <w:pPr>
              <w:keepNext w:val="0"/>
              <w:keepLines w:val="0"/>
              <w:suppressLineNumbers w:val="0"/>
              <w:kinsoku w:val="0"/>
              <w:overflowPunct w:val="0"/>
              <w:spacing w:before="53" w:beforeAutospacing="0" w:after="0" w:afterAutospacing="0" w:line="400" w:lineRule="exact"/>
              <w:ind w:left="0" w:right="0"/>
              <w:rPr>
                <w:rFonts w:hint="default" w:hAnsi="宋体"/>
                <w:color w:val="auto"/>
                <w:highlight w:val="none"/>
              </w:rPr>
            </w:pPr>
            <w:r>
              <w:rPr>
                <w:rFonts w:hint="eastAsia" w:hAnsi="宋体"/>
                <w:color w:val="auto"/>
                <w:highlight w:val="none"/>
              </w:rPr>
              <w:t>不组织</w:t>
            </w:r>
          </w:p>
        </w:tc>
      </w:tr>
      <w:tr w14:paraId="066D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Align w:val="center"/>
          </w:tcPr>
          <w:p w14:paraId="37BAC751">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1.9.1</w:t>
            </w:r>
          </w:p>
        </w:tc>
        <w:tc>
          <w:tcPr>
            <w:tcW w:w="1481" w:type="dxa"/>
            <w:gridSpan w:val="2"/>
            <w:vAlign w:val="center"/>
          </w:tcPr>
          <w:p w14:paraId="6BD02BF9">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分包</w:t>
            </w:r>
          </w:p>
        </w:tc>
        <w:tc>
          <w:tcPr>
            <w:tcW w:w="6310" w:type="dxa"/>
            <w:vAlign w:val="center"/>
          </w:tcPr>
          <w:p w14:paraId="6F65F3A7">
            <w:pPr>
              <w:keepNext w:val="0"/>
              <w:keepLines w:val="0"/>
              <w:suppressLineNumbers w:val="0"/>
              <w:kinsoku w:val="0"/>
              <w:overflowPunct w:val="0"/>
              <w:autoSpaceDE w:val="0"/>
              <w:autoSpaceDN w:val="0"/>
              <w:adjustRightInd w:val="0"/>
              <w:spacing w:before="53" w:beforeAutospacing="0" w:after="0" w:afterAutospacing="0" w:line="400" w:lineRule="exact"/>
              <w:ind w:left="0" w:right="0"/>
              <w:jc w:val="left"/>
              <w:rPr>
                <w:rFonts w:hint="default" w:hAnsi="宋体"/>
                <w:color w:val="auto"/>
                <w:highlight w:val="none"/>
              </w:rPr>
            </w:pPr>
            <w:r>
              <w:rPr>
                <w:rFonts w:hint="eastAsia" w:hAnsi="宋体"/>
                <w:color w:val="auto"/>
                <w:highlight w:val="none"/>
              </w:rPr>
              <w:t>不允许</w:t>
            </w:r>
          </w:p>
        </w:tc>
      </w:tr>
      <w:tr w14:paraId="0E03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3" w:type="dxa"/>
            <w:vMerge w:val="restart"/>
            <w:vAlign w:val="center"/>
          </w:tcPr>
          <w:p w14:paraId="63FABCBC">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2.2.2</w:t>
            </w:r>
          </w:p>
        </w:tc>
        <w:tc>
          <w:tcPr>
            <w:tcW w:w="1481" w:type="dxa"/>
            <w:gridSpan w:val="2"/>
            <w:vAlign w:val="center"/>
          </w:tcPr>
          <w:p w14:paraId="4669D0BD">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提交首次响应文件截止时间</w:t>
            </w:r>
          </w:p>
        </w:tc>
        <w:tc>
          <w:tcPr>
            <w:tcW w:w="6310" w:type="dxa"/>
            <w:vAlign w:val="center"/>
          </w:tcPr>
          <w:p w14:paraId="6A03462B">
            <w:pPr>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240" w:lineRule="auto"/>
              <w:ind w:left="0" w:right="0"/>
              <w:jc w:val="left"/>
              <w:textAlignment w:val="auto"/>
              <w:rPr>
                <w:rFonts w:hint="default" w:hAnsi="宋体"/>
                <w:color w:val="auto"/>
                <w:highlight w:val="none"/>
              </w:rPr>
            </w:pPr>
            <w:r>
              <w:rPr>
                <w:rFonts w:hint="eastAsia" w:ascii="宋体" w:hAnsi="宋体" w:eastAsia="宋体" w:cs="宋体"/>
                <w:color w:val="auto"/>
                <w:kern w:val="2"/>
                <w:sz w:val="21"/>
                <w:szCs w:val="24"/>
                <w:highlight w:val="none"/>
                <w:lang w:val="en-US" w:eastAsia="zh-CN" w:bidi="ar"/>
              </w:rPr>
              <w:t>202</w:t>
            </w:r>
            <w:r>
              <w:rPr>
                <w:rFonts w:hint="eastAsia" w:hAnsi="宋体" w:cs="宋体"/>
                <w:color w:val="auto"/>
                <w:kern w:val="2"/>
                <w:sz w:val="21"/>
                <w:szCs w:val="24"/>
                <w:highlight w:val="none"/>
                <w:lang w:val="en-US" w:eastAsia="zh-CN" w:bidi="ar"/>
              </w:rPr>
              <w:t>5</w:t>
            </w:r>
            <w:r>
              <w:rPr>
                <w:rFonts w:hint="eastAsia" w:ascii="宋体" w:hAnsi="宋体" w:eastAsia="宋体" w:cs="宋体"/>
                <w:color w:val="auto"/>
                <w:kern w:val="2"/>
                <w:sz w:val="21"/>
                <w:szCs w:val="24"/>
                <w:highlight w:val="none"/>
                <w:lang w:val="en-US" w:eastAsia="zh-CN" w:bidi="ar"/>
              </w:rPr>
              <w:t>年</w:t>
            </w:r>
            <w:r>
              <w:rPr>
                <w:rFonts w:hint="eastAsia" w:hAnsi="宋体" w:cs="宋体"/>
                <w:color w:val="auto"/>
                <w:kern w:val="2"/>
                <w:sz w:val="21"/>
                <w:szCs w:val="24"/>
                <w:highlight w:val="none"/>
                <w:lang w:val="en-US" w:eastAsia="zh-CN" w:bidi="ar"/>
              </w:rPr>
              <w:t>5</w:t>
            </w:r>
            <w:r>
              <w:rPr>
                <w:rFonts w:hint="eastAsia" w:ascii="宋体" w:hAnsi="宋体" w:eastAsia="宋体" w:cs="宋体"/>
                <w:color w:val="auto"/>
                <w:kern w:val="2"/>
                <w:sz w:val="21"/>
                <w:szCs w:val="24"/>
                <w:highlight w:val="none"/>
                <w:lang w:val="en-US" w:eastAsia="zh-CN" w:bidi="ar"/>
              </w:rPr>
              <w:t>月</w:t>
            </w:r>
            <w:r>
              <w:rPr>
                <w:rFonts w:hint="eastAsia" w:hAnsi="宋体" w:cs="宋体"/>
                <w:color w:val="auto"/>
                <w:kern w:val="2"/>
                <w:sz w:val="21"/>
                <w:szCs w:val="24"/>
                <w:highlight w:val="none"/>
                <w:lang w:val="en-US" w:eastAsia="zh-CN" w:bidi="ar"/>
              </w:rPr>
              <w:t>15</w:t>
            </w:r>
            <w:r>
              <w:rPr>
                <w:rFonts w:hint="eastAsia" w:ascii="宋体" w:hAnsi="宋体" w:eastAsia="宋体" w:cs="宋体"/>
                <w:color w:val="auto"/>
                <w:kern w:val="2"/>
                <w:sz w:val="21"/>
                <w:szCs w:val="24"/>
                <w:highlight w:val="none"/>
                <w:lang w:val="en-US" w:eastAsia="zh-CN" w:bidi="ar"/>
              </w:rPr>
              <w:t>日</w:t>
            </w:r>
            <w:r>
              <w:rPr>
                <w:rFonts w:hint="eastAsia" w:hAnsi="宋体" w:cs="宋体"/>
                <w:color w:val="auto"/>
                <w:kern w:val="2"/>
                <w:sz w:val="21"/>
                <w:szCs w:val="24"/>
                <w:highlight w:val="none"/>
                <w:lang w:val="en-US" w:eastAsia="zh-CN" w:bidi="ar"/>
              </w:rPr>
              <w:t>9</w:t>
            </w:r>
            <w:r>
              <w:rPr>
                <w:rFonts w:hint="eastAsia" w:ascii="宋体" w:hAnsi="宋体" w:eastAsia="宋体" w:cs="宋体"/>
                <w:color w:val="auto"/>
                <w:kern w:val="2"/>
                <w:sz w:val="21"/>
                <w:szCs w:val="24"/>
                <w:highlight w:val="none"/>
                <w:lang w:val="en-US" w:eastAsia="zh-CN" w:bidi="ar"/>
              </w:rPr>
              <w:t>时</w:t>
            </w:r>
            <w:r>
              <w:rPr>
                <w:rFonts w:hint="eastAsia" w:hAnsi="宋体" w:cs="宋体"/>
                <w:color w:val="auto"/>
                <w:kern w:val="2"/>
                <w:sz w:val="21"/>
                <w:szCs w:val="24"/>
                <w:highlight w:val="none"/>
                <w:lang w:val="en-US" w:eastAsia="zh-CN" w:bidi="ar"/>
              </w:rPr>
              <w:t>00</w:t>
            </w:r>
            <w:r>
              <w:rPr>
                <w:rFonts w:hint="eastAsia" w:ascii="宋体" w:hAnsi="宋体" w:eastAsia="宋体" w:cs="宋体"/>
                <w:color w:val="auto"/>
                <w:kern w:val="2"/>
                <w:sz w:val="21"/>
                <w:szCs w:val="24"/>
                <w:highlight w:val="none"/>
                <w:lang w:val="en-US" w:eastAsia="zh-CN" w:bidi="ar"/>
              </w:rPr>
              <w:t>分</w:t>
            </w:r>
          </w:p>
        </w:tc>
      </w:tr>
      <w:tr w14:paraId="65FF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continue"/>
            <w:vAlign w:val="center"/>
          </w:tcPr>
          <w:p w14:paraId="60673C13">
            <w:pPr>
              <w:keepNext w:val="0"/>
              <w:keepLines w:val="0"/>
              <w:suppressLineNumbers w:val="0"/>
              <w:spacing w:before="0" w:beforeAutospacing="0" w:after="0" w:afterAutospacing="0" w:line="400" w:lineRule="exact"/>
              <w:ind w:left="0" w:right="0"/>
              <w:jc w:val="center"/>
              <w:rPr>
                <w:rFonts w:hint="default" w:hAnsi="宋体"/>
                <w:color w:val="auto"/>
                <w:highlight w:val="none"/>
              </w:rPr>
            </w:pPr>
          </w:p>
        </w:tc>
        <w:tc>
          <w:tcPr>
            <w:tcW w:w="1481" w:type="dxa"/>
            <w:gridSpan w:val="2"/>
            <w:vAlign w:val="center"/>
          </w:tcPr>
          <w:p w14:paraId="79D20F05">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澄清或修改发布方式</w:t>
            </w:r>
          </w:p>
        </w:tc>
        <w:tc>
          <w:tcPr>
            <w:tcW w:w="6310" w:type="dxa"/>
            <w:vAlign w:val="center"/>
          </w:tcPr>
          <w:p w14:paraId="09E25055">
            <w:pPr>
              <w:keepNext w:val="0"/>
              <w:keepLines w:val="0"/>
              <w:suppressLineNumbers w:val="0"/>
              <w:kinsoku w:val="0"/>
              <w:overflowPunct w:val="0"/>
              <w:autoSpaceDE w:val="0"/>
              <w:autoSpaceDN w:val="0"/>
              <w:adjustRightInd w:val="0"/>
              <w:spacing w:before="53" w:beforeAutospacing="0" w:after="0" w:afterAutospacing="0" w:line="400" w:lineRule="exact"/>
              <w:ind w:left="0" w:right="0"/>
              <w:jc w:val="left"/>
              <w:rPr>
                <w:rFonts w:hint="default" w:hAnsi="宋体"/>
                <w:color w:val="auto"/>
                <w:highlight w:val="none"/>
              </w:rPr>
            </w:pPr>
            <w:r>
              <w:rPr>
                <w:rFonts w:hint="eastAsia" w:hAnsi="宋体"/>
                <w:color w:val="auto"/>
                <w:highlight w:val="none"/>
              </w:rPr>
              <w:t>在竞争性磋商公告发布媒介上发布。</w:t>
            </w:r>
          </w:p>
        </w:tc>
      </w:tr>
      <w:tr w14:paraId="4E9E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1C0EE168">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2.2.3</w:t>
            </w:r>
          </w:p>
        </w:tc>
        <w:tc>
          <w:tcPr>
            <w:tcW w:w="1481" w:type="dxa"/>
            <w:gridSpan w:val="2"/>
            <w:vAlign w:val="center"/>
          </w:tcPr>
          <w:p w14:paraId="2FFDE46B">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供应商确认收到澄清或修改的方式</w:t>
            </w:r>
          </w:p>
        </w:tc>
        <w:tc>
          <w:tcPr>
            <w:tcW w:w="6310" w:type="dxa"/>
            <w:vAlign w:val="center"/>
          </w:tcPr>
          <w:p w14:paraId="044BAC39">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不需要确认。澄清（修改）文件在本章第</w:t>
            </w:r>
            <w:r>
              <w:rPr>
                <w:rFonts w:hint="default" w:hAnsi="宋体"/>
                <w:color w:val="auto"/>
                <w:highlight w:val="none"/>
              </w:rPr>
              <w:t>2.2.2</w:t>
            </w:r>
            <w:r>
              <w:rPr>
                <w:rFonts w:hint="eastAsia" w:hAnsi="宋体"/>
                <w:color w:val="auto"/>
                <w:highlight w:val="none"/>
              </w:rPr>
              <w:t>款规定的网站上发布之日起，视为供应商已收到该澄清或修改。供应商未及时关注采购人在网站上发布的澄清（修改）文件造成的损失，由供应商自行负责。</w:t>
            </w:r>
          </w:p>
        </w:tc>
      </w:tr>
      <w:tr w14:paraId="2743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568651CB">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3.1.1</w:t>
            </w:r>
          </w:p>
        </w:tc>
        <w:tc>
          <w:tcPr>
            <w:tcW w:w="1481" w:type="dxa"/>
            <w:gridSpan w:val="2"/>
            <w:vAlign w:val="center"/>
          </w:tcPr>
          <w:p w14:paraId="1D1432D2">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响应文件组成</w:t>
            </w:r>
          </w:p>
        </w:tc>
        <w:tc>
          <w:tcPr>
            <w:tcW w:w="6310" w:type="dxa"/>
            <w:vAlign w:val="center"/>
          </w:tcPr>
          <w:p w14:paraId="3FFD7525">
            <w:pPr>
              <w:keepNext w:val="0"/>
              <w:keepLines w:val="0"/>
              <w:suppressLineNumbers w:val="0"/>
              <w:spacing w:before="0" w:beforeAutospacing="0" w:after="0" w:afterAutospacing="0" w:line="360" w:lineRule="auto"/>
              <w:ind w:left="0" w:right="0"/>
              <w:rPr>
                <w:rFonts w:hint="default" w:hAnsi="宋体"/>
                <w:color w:val="auto"/>
                <w:highlight w:val="none"/>
              </w:rPr>
            </w:pPr>
            <w:r>
              <w:rPr>
                <w:rFonts w:hint="eastAsia" w:hAnsi="宋体"/>
                <w:color w:val="auto"/>
                <w:highlight w:val="none"/>
              </w:rPr>
              <w:t>响应文件的组成部分：商务部分、资格审查部分、技术部分、信誉实力、供应商认为需要提供的其他资料。</w:t>
            </w:r>
          </w:p>
          <w:p w14:paraId="1A63A3B1">
            <w:pPr>
              <w:keepNext w:val="0"/>
              <w:keepLines w:val="0"/>
              <w:suppressLineNumbers w:val="0"/>
              <w:spacing w:before="0" w:beforeAutospacing="0" w:after="0" w:afterAutospacing="0" w:line="360" w:lineRule="auto"/>
              <w:ind w:left="0" w:right="0"/>
              <w:rPr>
                <w:rFonts w:hint="default" w:hAnsi="宋体"/>
                <w:b/>
                <w:color w:val="auto"/>
                <w:highlight w:val="none"/>
              </w:rPr>
            </w:pPr>
            <w:r>
              <w:rPr>
                <w:rFonts w:hint="eastAsia" w:hAnsi="宋体"/>
                <w:b/>
                <w:color w:val="auto"/>
                <w:highlight w:val="none"/>
              </w:rPr>
              <w:t>一、商务部分</w:t>
            </w:r>
          </w:p>
          <w:p w14:paraId="5949B549">
            <w:pPr>
              <w:keepNext w:val="0"/>
              <w:keepLines w:val="0"/>
              <w:suppressLineNumbers w:val="0"/>
              <w:spacing w:before="0" w:beforeAutospacing="0" w:after="0" w:afterAutospacing="0" w:line="360" w:lineRule="auto"/>
              <w:ind w:left="0" w:right="0"/>
              <w:rPr>
                <w:rFonts w:hint="default" w:hAnsi="宋体"/>
                <w:color w:val="auto"/>
                <w:szCs w:val="22"/>
                <w:highlight w:val="none"/>
              </w:rPr>
            </w:pPr>
            <w:r>
              <w:rPr>
                <w:rFonts w:hint="eastAsia" w:hAnsi="宋体"/>
                <w:color w:val="auto"/>
                <w:szCs w:val="22"/>
                <w:highlight w:val="none"/>
              </w:rPr>
              <w:t>（一）竞标函</w:t>
            </w:r>
          </w:p>
          <w:p w14:paraId="52830FE1">
            <w:pPr>
              <w:keepNext w:val="0"/>
              <w:keepLines w:val="0"/>
              <w:suppressLineNumbers w:val="0"/>
              <w:spacing w:before="0" w:beforeAutospacing="0" w:after="0" w:afterAutospacing="0" w:line="360" w:lineRule="auto"/>
              <w:ind w:left="0" w:right="0"/>
              <w:rPr>
                <w:rFonts w:hint="default" w:hAnsi="宋体"/>
                <w:color w:val="auto"/>
                <w:szCs w:val="22"/>
                <w:highlight w:val="none"/>
              </w:rPr>
            </w:pPr>
            <w:r>
              <w:rPr>
                <w:rFonts w:hint="eastAsia" w:hAnsi="宋体"/>
                <w:color w:val="auto"/>
                <w:szCs w:val="22"/>
                <w:highlight w:val="none"/>
              </w:rPr>
              <w:t>（二）竞标函附录</w:t>
            </w:r>
          </w:p>
          <w:p w14:paraId="07B0B49B">
            <w:pPr>
              <w:keepNext w:val="0"/>
              <w:keepLines w:val="0"/>
              <w:suppressLineNumbers w:val="0"/>
              <w:spacing w:before="0" w:beforeAutospacing="0" w:after="0" w:afterAutospacing="0" w:line="360" w:lineRule="auto"/>
              <w:ind w:left="0" w:right="0"/>
              <w:rPr>
                <w:rFonts w:hint="default" w:hAnsi="宋体"/>
                <w:color w:val="auto"/>
                <w:szCs w:val="22"/>
                <w:highlight w:val="none"/>
              </w:rPr>
            </w:pPr>
            <w:r>
              <w:rPr>
                <w:rFonts w:hint="eastAsia" w:hAnsi="宋体"/>
                <w:color w:val="auto"/>
                <w:szCs w:val="22"/>
                <w:highlight w:val="none"/>
              </w:rPr>
              <w:t>（三）已标价工程量清单</w:t>
            </w:r>
          </w:p>
          <w:p w14:paraId="4E6BE000">
            <w:pPr>
              <w:keepNext w:val="0"/>
              <w:keepLines w:val="0"/>
              <w:suppressLineNumbers w:val="0"/>
              <w:spacing w:before="0" w:beforeAutospacing="0" w:after="0" w:afterAutospacing="0" w:line="360" w:lineRule="auto"/>
              <w:ind w:left="0" w:right="0"/>
              <w:rPr>
                <w:rFonts w:hint="default" w:hAnsi="宋体"/>
                <w:color w:val="auto"/>
                <w:szCs w:val="22"/>
                <w:highlight w:val="none"/>
              </w:rPr>
            </w:pPr>
            <w:r>
              <w:rPr>
                <w:rFonts w:hint="eastAsia" w:hAnsi="宋体"/>
                <w:b/>
                <w:color w:val="auto"/>
                <w:szCs w:val="22"/>
                <w:highlight w:val="none"/>
              </w:rPr>
              <w:t>二、资格审查部分</w:t>
            </w:r>
            <w:r>
              <w:rPr>
                <w:rFonts w:hint="eastAsia" w:hAnsi="宋体"/>
                <w:color w:val="auto"/>
                <w:szCs w:val="22"/>
                <w:highlight w:val="none"/>
              </w:rPr>
              <w:t>【</w:t>
            </w:r>
            <w:r>
              <w:rPr>
                <w:rFonts w:hint="eastAsia" w:hAnsi="宋体"/>
                <w:b/>
                <w:color w:val="auto"/>
                <w:highlight w:val="none"/>
              </w:rPr>
              <w:t>以下</w:t>
            </w:r>
            <w:r>
              <w:rPr>
                <w:rFonts w:hint="eastAsia" w:hAnsi="宋体"/>
                <w:b/>
                <w:color w:val="auto"/>
                <w:highlight w:val="none"/>
                <w:lang w:eastAsia="zh-CN"/>
              </w:rPr>
              <w:t>扫描件</w:t>
            </w:r>
            <w:r>
              <w:rPr>
                <w:rFonts w:hint="eastAsia" w:hAnsi="宋体"/>
                <w:b/>
                <w:color w:val="auto"/>
                <w:highlight w:val="none"/>
              </w:rPr>
              <w:t>均须加盖供应商单位公章】</w:t>
            </w:r>
          </w:p>
          <w:p w14:paraId="1DD1A9FD">
            <w:pPr>
              <w:keepNext w:val="0"/>
              <w:keepLines w:val="0"/>
              <w:suppressLineNumbers w:val="0"/>
              <w:spacing w:before="0" w:beforeAutospacing="0" w:after="0" w:afterAutospacing="0" w:line="360" w:lineRule="auto"/>
              <w:ind w:left="0" w:right="0"/>
              <w:rPr>
                <w:rFonts w:hint="default" w:hAnsi="宋体"/>
                <w:color w:val="auto"/>
                <w:szCs w:val="22"/>
                <w:highlight w:val="none"/>
              </w:rPr>
            </w:pPr>
            <w:r>
              <w:rPr>
                <w:rFonts w:hint="eastAsia" w:hAnsi="宋体"/>
                <w:color w:val="auto"/>
                <w:szCs w:val="22"/>
                <w:highlight w:val="none"/>
              </w:rPr>
              <w:t>（一）法定代表人（负责人）身份证明</w:t>
            </w:r>
            <w:r>
              <w:rPr>
                <w:rFonts w:hint="eastAsia" w:hAnsi="宋体"/>
                <w:color w:val="auto"/>
                <w:szCs w:val="22"/>
                <w:highlight w:val="none"/>
                <w:lang w:eastAsia="zh-CN"/>
              </w:rPr>
              <w:t>扫描件</w:t>
            </w:r>
            <w:r>
              <w:rPr>
                <w:rFonts w:hint="eastAsia" w:hAnsi="宋体"/>
                <w:color w:val="auto"/>
                <w:szCs w:val="22"/>
                <w:highlight w:val="none"/>
              </w:rPr>
              <w:t>，附：法定代表人（负责人）二代居民身份证</w:t>
            </w:r>
            <w:r>
              <w:rPr>
                <w:rFonts w:hint="eastAsia" w:hAnsi="宋体"/>
                <w:color w:val="auto"/>
                <w:szCs w:val="22"/>
                <w:highlight w:val="none"/>
                <w:lang w:eastAsia="zh-CN"/>
              </w:rPr>
              <w:t>扫描件</w:t>
            </w:r>
            <w:r>
              <w:rPr>
                <w:rFonts w:hint="eastAsia" w:hAnsi="宋体"/>
                <w:color w:val="auto"/>
                <w:szCs w:val="22"/>
                <w:highlight w:val="none"/>
              </w:rPr>
              <w:t>；（必须提供）</w:t>
            </w:r>
          </w:p>
          <w:p w14:paraId="47A501C1">
            <w:pPr>
              <w:keepNext w:val="0"/>
              <w:keepLines w:val="0"/>
              <w:suppressLineNumbers w:val="0"/>
              <w:spacing w:before="0" w:beforeAutospacing="0" w:after="0" w:afterAutospacing="0" w:line="360" w:lineRule="auto"/>
              <w:ind w:left="0" w:right="0"/>
              <w:rPr>
                <w:rFonts w:hint="default" w:hAnsi="宋体"/>
                <w:color w:val="auto"/>
                <w:szCs w:val="22"/>
                <w:highlight w:val="none"/>
              </w:rPr>
            </w:pPr>
            <w:r>
              <w:rPr>
                <w:rFonts w:hint="eastAsia" w:hAnsi="宋体"/>
                <w:color w:val="auto"/>
                <w:szCs w:val="22"/>
                <w:highlight w:val="none"/>
              </w:rPr>
              <w:t>（二）法定代表人（负责人）授权委托书</w:t>
            </w:r>
            <w:r>
              <w:rPr>
                <w:rFonts w:hint="eastAsia" w:hAnsi="宋体"/>
                <w:color w:val="auto"/>
                <w:szCs w:val="22"/>
                <w:highlight w:val="none"/>
                <w:lang w:eastAsia="zh-CN"/>
              </w:rPr>
              <w:t>扫描件</w:t>
            </w:r>
            <w:r>
              <w:rPr>
                <w:rFonts w:hint="eastAsia" w:hAnsi="宋体"/>
                <w:color w:val="auto"/>
                <w:szCs w:val="22"/>
                <w:highlight w:val="none"/>
              </w:rPr>
              <w:t>，附：委托代理人二代居民身份证</w:t>
            </w:r>
            <w:r>
              <w:rPr>
                <w:rFonts w:hint="eastAsia" w:hAnsi="宋体"/>
                <w:color w:val="auto"/>
                <w:szCs w:val="22"/>
                <w:highlight w:val="none"/>
                <w:lang w:eastAsia="zh-CN"/>
              </w:rPr>
              <w:t>扫描件</w:t>
            </w:r>
            <w:r>
              <w:rPr>
                <w:rFonts w:hint="eastAsia" w:hAnsi="宋体"/>
                <w:color w:val="auto"/>
                <w:szCs w:val="22"/>
                <w:highlight w:val="none"/>
              </w:rPr>
              <w:t>；（委托代理人签署响应文件时提供）</w:t>
            </w:r>
          </w:p>
          <w:p w14:paraId="4007E605">
            <w:pPr>
              <w:keepNext w:val="0"/>
              <w:keepLines w:val="0"/>
              <w:suppressLineNumbers w:val="0"/>
              <w:spacing w:before="0" w:beforeAutospacing="0" w:after="0" w:afterAutospacing="0" w:line="360" w:lineRule="auto"/>
              <w:ind w:left="0" w:right="0"/>
              <w:rPr>
                <w:rFonts w:hint="default" w:hAnsi="宋体"/>
                <w:color w:val="auto"/>
                <w:szCs w:val="22"/>
                <w:highlight w:val="none"/>
              </w:rPr>
            </w:pPr>
            <w:r>
              <w:rPr>
                <w:rFonts w:hint="eastAsia" w:hAnsi="宋体"/>
                <w:color w:val="auto"/>
                <w:szCs w:val="22"/>
                <w:highlight w:val="none"/>
              </w:rPr>
              <w:t>（三）供应商基本情况表，附：有效的企业资质证书副本、安全生产许可证副本的</w:t>
            </w:r>
            <w:r>
              <w:rPr>
                <w:rFonts w:hint="eastAsia" w:hAnsi="宋体"/>
                <w:color w:val="auto"/>
                <w:szCs w:val="22"/>
                <w:highlight w:val="none"/>
                <w:lang w:eastAsia="zh-CN"/>
              </w:rPr>
              <w:t>扫描件</w:t>
            </w:r>
            <w:r>
              <w:rPr>
                <w:rFonts w:hint="eastAsia" w:hAnsi="宋体"/>
                <w:color w:val="auto"/>
                <w:szCs w:val="22"/>
                <w:highlight w:val="none"/>
              </w:rPr>
              <w:t>；</w:t>
            </w:r>
          </w:p>
          <w:p w14:paraId="0AC7F689">
            <w:pPr>
              <w:keepNext w:val="0"/>
              <w:keepLines w:val="0"/>
              <w:suppressLineNumbers w:val="0"/>
              <w:spacing w:before="0" w:beforeAutospacing="0" w:after="0" w:afterAutospacing="0" w:line="360" w:lineRule="auto"/>
              <w:ind w:left="57" w:right="0"/>
              <w:rPr>
                <w:rFonts w:hint="default" w:hAnsi="宋体"/>
                <w:color w:val="auto"/>
                <w:szCs w:val="22"/>
                <w:highlight w:val="none"/>
              </w:rPr>
            </w:pPr>
            <w:r>
              <w:rPr>
                <w:rFonts w:hint="eastAsia" w:hAnsi="宋体"/>
                <w:color w:val="auto"/>
                <w:szCs w:val="22"/>
                <w:highlight w:val="none"/>
              </w:rPr>
              <w:t>（</w:t>
            </w:r>
            <w:r>
              <w:rPr>
                <w:rFonts w:hint="eastAsia" w:hAnsi="宋体"/>
                <w:color w:val="auto"/>
                <w:szCs w:val="22"/>
                <w:highlight w:val="none"/>
                <w:lang w:val="en-US" w:eastAsia="zh-CN"/>
              </w:rPr>
              <w:t>四</w:t>
            </w:r>
            <w:r>
              <w:rPr>
                <w:rFonts w:hint="eastAsia" w:hAnsi="宋体"/>
                <w:color w:val="auto"/>
                <w:szCs w:val="22"/>
                <w:highlight w:val="none"/>
              </w:rPr>
              <w:t>）项目管理机构配备表，附：</w:t>
            </w:r>
          </w:p>
          <w:p w14:paraId="15485E62">
            <w:pPr>
              <w:keepNext w:val="0"/>
              <w:keepLines w:val="0"/>
              <w:suppressLineNumbers w:val="0"/>
              <w:spacing w:before="0" w:beforeAutospacing="0" w:after="0" w:afterAutospacing="0" w:line="360" w:lineRule="auto"/>
              <w:ind w:left="-19" w:right="0" w:firstLine="424" w:firstLineChars="202"/>
              <w:rPr>
                <w:rFonts w:hint="default" w:hAnsi="宋体"/>
                <w:color w:val="auto"/>
                <w:szCs w:val="22"/>
                <w:highlight w:val="none"/>
              </w:rPr>
            </w:pPr>
            <w:r>
              <w:rPr>
                <w:rFonts w:hint="eastAsia" w:hAnsi="宋体"/>
                <w:color w:val="auto"/>
                <w:szCs w:val="22"/>
                <w:highlight w:val="none"/>
              </w:rPr>
              <w:t>（</w:t>
            </w:r>
            <w:r>
              <w:rPr>
                <w:rFonts w:hint="default" w:hAnsi="宋体"/>
                <w:color w:val="auto"/>
                <w:szCs w:val="22"/>
                <w:highlight w:val="none"/>
              </w:rPr>
              <w:t>1</w:t>
            </w:r>
            <w:r>
              <w:rPr>
                <w:rFonts w:hint="eastAsia" w:hAnsi="宋体"/>
                <w:color w:val="auto"/>
                <w:szCs w:val="22"/>
                <w:highlight w:val="none"/>
              </w:rPr>
              <w:t>）项目经理：二代居民身份证、</w:t>
            </w:r>
            <w:r>
              <w:rPr>
                <w:rFonts w:hint="eastAsia" w:hAnsi="宋体"/>
                <w:color w:val="auto"/>
                <w:szCs w:val="22"/>
                <w:highlight w:val="none"/>
                <w:lang w:val="en-US" w:eastAsia="zh-CN"/>
              </w:rPr>
              <w:t>文物保护责任工程师证书、职称证书</w:t>
            </w:r>
            <w:r>
              <w:rPr>
                <w:rFonts w:hint="eastAsia" w:hAnsi="宋体"/>
                <w:color w:val="auto"/>
                <w:szCs w:val="22"/>
                <w:highlight w:val="none"/>
              </w:rPr>
              <w:t>的</w:t>
            </w:r>
            <w:r>
              <w:rPr>
                <w:rFonts w:hint="eastAsia" w:hAnsi="宋体"/>
                <w:color w:val="auto"/>
                <w:szCs w:val="22"/>
                <w:highlight w:val="none"/>
                <w:lang w:eastAsia="zh-CN"/>
              </w:rPr>
              <w:t>扫描件</w:t>
            </w:r>
            <w:r>
              <w:rPr>
                <w:rFonts w:hint="eastAsia" w:hAnsi="宋体"/>
                <w:color w:val="auto"/>
                <w:szCs w:val="22"/>
                <w:highlight w:val="none"/>
              </w:rPr>
              <w:t>；</w:t>
            </w:r>
          </w:p>
          <w:p w14:paraId="3CD391D1">
            <w:pPr>
              <w:keepNext w:val="0"/>
              <w:keepLines w:val="0"/>
              <w:suppressLineNumbers w:val="0"/>
              <w:spacing w:before="0" w:beforeAutospacing="0" w:after="0" w:afterAutospacing="0" w:line="360" w:lineRule="auto"/>
              <w:ind w:left="-19" w:right="0" w:firstLine="424" w:firstLineChars="202"/>
              <w:rPr>
                <w:rFonts w:hint="default" w:hAnsi="宋体"/>
                <w:color w:val="auto"/>
                <w:szCs w:val="22"/>
                <w:highlight w:val="none"/>
              </w:rPr>
            </w:pPr>
            <w:r>
              <w:rPr>
                <w:rFonts w:hint="eastAsia" w:hAnsi="宋体"/>
                <w:color w:val="auto"/>
                <w:szCs w:val="22"/>
                <w:highlight w:val="none"/>
              </w:rPr>
              <w:t>（</w:t>
            </w:r>
            <w:r>
              <w:rPr>
                <w:rFonts w:hint="default" w:hAnsi="宋体"/>
                <w:color w:val="auto"/>
                <w:szCs w:val="22"/>
                <w:highlight w:val="none"/>
              </w:rPr>
              <w:t>2</w:t>
            </w:r>
            <w:r>
              <w:rPr>
                <w:rFonts w:hint="eastAsia" w:hAnsi="宋体"/>
                <w:color w:val="auto"/>
                <w:szCs w:val="22"/>
                <w:highlight w:val="none"/>
              </w:rPr>
              <w:t>）项目技术负责人：二代居民身份证、</w:t>
            </w:r>
            <w:r>
              <w:rPr>
                <w:rFonts w:hint="eastAsia"/>
                <w:color w:val="auto"/>
                <w:highlight w:val="none"/>
                <w:lang w:val="en-US" w:eastAsia="zh-CN"/>
              </w:rPr>
              <w:t>文物保护责任工程师证书、</w:t>
            </w:r>
            <w:r>
              <w:rPr>
                <w:rFonts w:hint="eastAsia" w:hAnsi="宋体"/>
                <w:color w:val="auto"/>
                <w:szCs w:val="22"/>
                <w:highlight w:val="none"/>
              </w:rPr>
              <w:t>职称证书的</w:t>
            </w:r>
            <w:r>
              <w:rPr>
                <w:rFonts w:hint="eastAsia" w:hAnsi="宋体"/>
                <w:color w:val="auto"/>
                <w:szCs w:val="22"/>
                <w:highlight w:val="none"/>
                <w:lang w:eastAsia="zh-CN"/>
              </w:rPr>
              <w:t>扫描件</w:t>
            </w:r>
            <w:r>
              <w:rPr>
                <w:rFonts w:hint="eastAsia" w:hAnsi="宋体"/>
                <w:color w:val="auto"/>
                <w:szCs w:val="22"/>
                <w:highlight w:val="none"/>
              </w:rPr>
              <w:t>；</w:t>
            </w:r>
          </w:p>
          <w:p w14:paraId="5FD156C8">
            <w:pPr>
              <w:keepNext w:val="0"/>
              <w:keepLines w:val="0"/>
              <w:suppressLineNumbers w:val="0"/>
              <w:spacing w:before="0" w:beforeAutospacing="0" w:after="0" w:afterAutospacing="0" w:line="360" w:lineRule="auto"/>
              <w:ind w:left="-19" w:right="0" w:firstLine="424" w:firstLineChars="202"/>
              <w:rPr>
                <w:rFonts w:hint="default" w:hAnsi="宋体"/>
                <w:color w:val="auto"/>
                <w:szCs w:val="22"/>
                <w:highlight w:val="none"/>
              </w:rPr>
            </w:pPr>
            <w:r>
              <w:rPr>
                <w:rFonts w:hint="eastAsia" w:hAnsi="宋体"/>
                <w:color w:val="auto"/>
                <w:szCs w:val="22"/>
                <w:highlight w:val="none"/>
              </w:rPr>
              <w:t>（</w:t>
            </w:r>
            <w:r>
              <w:rPr>
                <w:rFonts w:hint="default" w:hAnsi="宋体"/>
                <w:color w:val="auto"/>
                <w:szCs w:val="22"/>
                <w:highlight w:val="none"/>
              </w:rPr>
              <w:t>3</w:t>
            </w:r>
            <w:r>
              <w:rPr>
                <w:rFonts w:hint="eastAsia" w:hAnsi="宋体"/>
                <w:color w:val="auto"/>
                <w:szCs w:val="22"/>
                <w:highlight w:val="none"/>
              </w:rPr>
              <w:t>）专职安全员：二代居民身份证、安全生产考核合格证书</w:t>
            </w:r>
            <w:r>
              <w:rPr>
                <w:rFonts w:hint="default" w:hAnsi="宋体"/>
                <w:color w:val="auto"/>
                <w:szCs w:val="22"/>
                <w:highlight w:val="none"/>
              </w:rPr>
              <w:t>(C</w:t>
            </w:r>
            <w:r>
              <w:rPr>
                <w:rFonts w:hint="eastAsia" w:hAnsi="宋体"/>
                <w:color w:val="auto"/>
                <w:szCs w:val="22"/>
                <w:highlight w:val="none"/>
              </w:rPr>
              <w:t>类</w:t>
            </w:r>
            <w:r>
              <w:rPr>
                <w:rFonts w:hint="default" w:hAnsi="宋体"/>
                <w:color w:val="auto"/>
                <w:szCs w:val="22"/>
                <w:highlight w:val="none"/>
              </w:rPr>
              <w:t>)</w:t>
            </w:r>
            <w:r>
              <w:rPr>
                <w:rFonts w:hint="eastAsia" w:hAnsi="宋体"/>
                <w:color w:val="auto"/>
                <w:szCs w:val="22"/>
                <w:highlight w:val="none"/>
              </w:rPr>
              <w:t>的</w:t>
            </w:r>
            <w:r>
              <w:rPr>
                <w:rFonts w:hint="eastAsia" w:hAnsi="宋体"/>
                <w:color w:val="auto"/>
                <w:szCs w:val="22"/>
                <w:highlight w:val="none"/>
                <w:lang w:eastAsia="zh-CN"/>
              </w:rPr>
              <w:t>扫描件</w:t>
            </w:r>
            <w:r>
              <w:rPr>
                <w:rFonts w:hint="eastAsia" w:hAnsi="宋体"/>
                <w:color w:val="auto"/>
                <w:szCs w:val="22"/>
                <w:highlight w:val="none"/>
              </w:rPr>
              <w:t>；</w:t>
            </w:r>
          </w:p>
          <w:p w14:paraId="038CBBBF">
            <w:pPr>
              <w:keepNext w:val="0"/>
              <w:keepLines w:val="0"/>
              <w:suppressLineNumbers w:val="0"/>
              <w:spacing w:before="0" w:beforeAutospacing="0" w:after="0" w:afterAutospacing="0" w:line="360" w:lineRule="auto"/>
              <w:ind w:left="-19" w:right="0" w:firstLine="424" w:firstLineChars="202"/>
              <w:rPr>
                <w:rFonts w:hint="default" w:hAnsi="宋体"/>
                <w:color w:val="auto"/>
                <w:szCs w:val="22"/>
                <w:highlight w:val="none"/>
              </w:rPr>
            </w:pPr>
            <w:r>
              <w:rPr>
                <w:rFonts w:hint="eastAsia" w:hAnsi="宋体"/>
                <w:color w:val="auto"/>
                <w:szCs w:val="22"/>
                <w:highlight w:val="none"/>
              </w:rPr>
              <w:t>（</w:t>
            </w:r>
            <w:r>
              <w:rPr>
                <w:rFonts w:hint="default" w:hAnsi="宋体"/>
                <w:color w:val="auto"/>
                <w:szCs w:val="22"/>
                <w:highlight w:val="none"/>
              </w:rPr>
              <w:t>4</w:t>
            </w:r>
            <w:r>
              <w:rPr>
                <w:rFonts w:hint="eastAsia" w:hAnsi="宋体"/>
                <w:color w:val="auto"/>
                <w:szCs w:val="22"/>
                <w:highlight w:val="none"/>
              </w:rPr>
              <w:t>）项目经理、项目技术负责人、专职安全员在现任职单位的社会保险缴纳证明材料</w:t>
            </w:r>
            <w:r>
              <w:rPr>
                <w:rFonts w:hint="eastAsia" w:ascii="宋体" w:hAnsi="宋体" w:eastAsia="宋体" w:cs="宋体"/>
                <w:b/>
                <w:bCs w:val="0"/>
                <w:color w:val="auto"/>
                <w:kern w:val="2"/>
                <w:sz w:val="21"/>
                <w:szCs w:val="22"/>
                <w:highlight w:val="none"/>
                <w:lang w:val="en-US" w:eastAsia="zh-CN" w:bidi="ar"/>
              </w:rPr>
              <w:t>（</w:t>
            </w:r>
            <w:r>
              <w:rPr>
                <w:rFonts w:hint="eastAsia" w:hAnsi="宋体"/>
                <w:b/>
                <w:color w:val="auto"/>
                <w:szCs w:val="22"/>
                <w:highlight w:val="none"/>
              </w:rPr>
              <w:t>提交首次响应文件截止时间前半年内连续三个月</w:t>
            </w:r>
            <w:r>
              <w:rPr>
                <w:rFonts w:hint="eastAsia" w:hAnsi="宋体"/>
                <w:b/>
                <w:bCs w:val="0"/>
                <w:color w:val="auto"/>
                <w:szCs w:val="22"/>
                <w:highlight w:val="none"/>
              </w:rPr>
              <w:t>的依法缴纳社会保障金的证明材料</w:t>
            </w:r>
            <w:r>
              <w:rPr>
                <w:rFonts w:hint="eastAsia" w:ascii="宋体" w:hAnsi="宋体" w:eastAsia="宋体" w:cs="宋体"/>
                <w:b/>
                <w:bCs w:val="0"/>
                <w:color w:val="auto"/>
                <w:kern w:val="2"/>
                <w:sz w:val="21"/>
                <w:szCs w:val="22"/>
                <w:highlight w:val="none"/>
                <w:lang w:val="en-US" w:eastAsia="zh-CN" w:bidi="ar"/>
              </w:rPr>
              <w:t>）</w:t>
            </w:r>
            <w:r>
              <w:rPr>
                <w:rFonts w:hint="eastAsia" w:hAnsi="宋体"/>
                <w:color w:val="auto"/>
                <w:szCs w:val="22"/>
                <w:highlight w:val="none"/>
                <w:lang w:eastAsia="zh-CN"/>
              </w:rPr>
              <w:t>扫描件</w:t>
            </w:r>
            <w:r>
              <w:rPr>
                <w:rFonts w:hint="eastAsia" w:hAnsi="宋体"/>
                <w:color w:val="auto"/>
                <w:szCs w:val="22"/>
                <w:highlight w:val="none"/>
              </w:rPr>
              <w:t>；</w:t>
            </w:r>
          </w:p>
          <w:p w14:paraId="47371408">
            <w:pPr>
              <w:keepNext w:val="0"/>
              <w:keepLines w:val="0"/>
              <w:suppressLineNumbers w:val="0"/>
              <w:spacing w:before="0" w:beforeAutospacing="0" w:after="0" w:afterAutospacing="0" w:line="360" w:lineRule="auto"/>
              <w:ind w:left="0" w:right="0"/>
              <w:rPr>
                <w:rFonts w:hint="default" w:hAnsi="宋体"/>
                <w:color w:val="auto"/>
                <w:szCs w:val="22"/>
                <w:highlight w:val="none"/>
              </w:rPr>
            </w:pPr>
            <w:r>
              <w:rPr>
                <w:rFonts w:hint="eastAsia" w:hAnsi="宋体"/>
                <w:color w:val="auto"/>
                <w:szCs w:val="22"/>
                <w:highlight w:val="none"/>
              </w:rPr>
              <w:t>（</w:t>
            </w:r>
            <w:r>
              <w:rPr>
                <w:rFonts w:hint="eastAsia" w:hAnsi="宋体"/>
                <w:color w:val="auto"/>
                <w:szCs w:val="22"/>
                <w:highlight w:val="none"/>
                <w:lang w:val="en-US" w:eastAsia="zh-CN"/>
              </w:rPr>
              <w:t>五</w:t>
            </w:r>
            <w:r>
              <w:rPr>
                <w:rFonts w:hint="eastAsia" w:hAnsi="宋体"/>
                <w:color w:val="auto"/>
                <w:szCs w:val="22"/>
                <w:highlight w:val="none"/>
              </w:rPr>
              <w:t>）资格审查需要的其他材料：政府采购供应商信用承诺函；</w:t>
            </w:r>
          </w:p>
          <w:p w14:paraId="680259E6">
            <w:pPr>
              <w:pStyle w:val="2"/>
              <w:keepNext w:val="0"/>
              <w:keepLines w:val="0"/>
              <w:suppressLineNumbers w:val="0"/>
              <w:spacing w:before="0" w:beforeAutospacing="0" w:afterAutospacing="0" w:line="360" w:lineRule="auto"/>
              <w:ind w:right="63"/>
              <w:jc w:val="both"/>
              <w:rPr>
                <w:rFonts w:hint="default"/>
                <w:color w:val="auto"/>
                <w:highlight w:val="none"/>
              </w:rPr>
            </w:pPr>
            <w:r>
              <w:rPr>
                <w:rFonts w:hint="eastAsia"/>
                <w:color w:val="auto"/>
                <w:szCs w:val="24"/>
                <w:highlight w:val="none"/>
                <w:lang w:bidi="ar"/>
              </w:rPr>
              <w:t>（</w:t>
            </w:r>
            <w:r>
              <w:rPr>
                <w:rFonts w:hint="eastAsia"/>
                <w:color w:val="auto"/>
                <w:szCs w:val="24"/>
                <w:highlight w:val="none"/>
                <w:lang w:val="en-US" w:eastAsia="zh-CN" w:bidi="ar"/>
              </w:rPr>
              <w:t>六</w:t>
            </w:r>
            <w:r>
              <w:rPr>
                <w:rFonts w:hint="eastAsia"/>
                <w:color w:val="auto"/>
                <w:szCs w:val="24"/>
                <w:highlight w:val="none"/>
                <w:lang w:bidi="ar"/>
              </w:rPr>
              <w:t>）中小企业声明函或者残疾人福利性单位声明函或者供应商属于监狱企业的证明材料；（本项目如为专门面向中小企业采购时必须提供，否则响应文件按无效响应处理）。</w:t>
            </w:r>
          </w:p>
          <w:p w14:paraId="48DF9CFD">
            <w:pPr>
              <w:keepNext w:val="0"/>
              <w:keepLines w:val="0"/>
              <w:suppressLineNumbers w:val="0"/>
              <w:spacing w:before="0" w:beforeAutospacing="0" w:after="0" w:afterAutospacing="0" w:line="360" w:lineRule="auto"/>
              <w:ind w:left="57" w:right="0"/>
              <w:rPr>
                <w:rFonts w:hint="default" w:hAnsi="宋体"/>
                <w:b/>
                <w:color w:val="auto"/>
                <w:szCs w:val="22"/>
                <w:highlight w:val="none"/>
              </w:rPr>
            </w:pPr>
            <w:r>
              <w:rPr>
                <w:rFonts w:hint="eastAsia" w:hAnsi="宋体"/>
                <w:b/>
                <w:color w:val="auto"/>
                <w:szCs w:val="22"/>
                <w:highlight w:val="none"/>
              </w:rPr>
              <w:t>三、技术部分</w:t>
            </w:r>
          </w:p>
          <w:p w14:paraId="3DADF29E">
            <w:pPr>
              <w:pStyle w:val="141"/>
              <w:keepNext w:val="0"/>
              <w:keepLines w:val="0"/>
              <w:numPr>
                <w:ilvl w:val="0"/>
                <w:numId w:val="3"/>
              </w:numPr>
              <w:suppressLineNumbers w:val="0"/>
              <w:spacing w:before="0" w:beforeAutospacing="0" w:after="0" w:afterAutospacing="0" w:line="360" w:lineRule="auto"/>
              <w:ind w:left="0" w:right="0" w:firstLine="0" w:firstLineChars="0"/>
              <w:rPr>
                <w:rFonts w:hint="default" w:ascii="宋体"/>
                <w:color w:val="auto"/>
                <w:highlight w:val="none"/>
              </w:rPr>
            </w:pPr>
            <w:r>
              <w:rPr>
                <w:rFonts w:hint="eastAsia" w:ascii="宋体" w:hAnsi="宋体"/>
                <w:color w:val="auto"/>
                <w:highlight w:val="none"/>
              </w:rPr>
              <w:t>施工组织设计</w:t>
            </w:r>
          </w:p>
          <w:p w14:paraId="5FEEB982">
            <w:pPr>
              <w:pStyle w:val="141"/>
              <w:keepNext w:val="0"/>
              <w:keepLines w:val="0"/>
              <w:numPr>
                <w:ilvl w:val="0"/>
                <w:numId w:val="3"/>
              </w:numPr>
              <w:suppressLineNumbers w:val="0"/>
              <w:spacing w:before="0" w:beforeAutospacing="0" w:after="0" w:afterAutospacing="0" w:line="360" w:lineRule="auto"/>
              <w:ind w:left="0" w:right="0" w:firstLine="0" w:firstLineChars="0"/>
              <w:rPr>
                <w:rFonts w:hint="default" w:ascii="宋体"/>
                <w:color w:val="auto"/>
                <w:highlight w:val="none"/>
              </w:rPr>
            </w:pPr>
            <w:r>
              <w:rPr>
                <w:rFonts w:hint="eastAsia" w:ascii="宋体" w:hAnsi="宋体"/>
                <w:color w:val="auto"/>
                <w:highlight w:val="none"/>
              </w:rPr>
              <w:t>项目管理机构</w:t>
            </w:r>
          </w:p>
          <w:p w14:paraId="009B0829">
            <w:pPr>
              <w:keepNext w:val="0"/>
              <w:keepLines w:val="0"/>
              <w:suppressLineNumbers w:val="0"/>
              <w:spacing w:before="0" w:beforeAutospacing="0" w:after="0" w:afterAutospacing="0" w:line="360" w:lineRule="auto"/>
              <w:ind w:left="0" w:right="0"/>
              <w:rPr>
                <w:rFonts w:hint="default" w:hAnsi="宋体"/>
                <w:b/>
                <w:color w:val="auto"/>
                <w:szCs w:val="22"/>
                <w:highlight w:val="none"/>
              </w:rPr>
            </w:pPr>
            <w:r>
              <w:rPr>
                <w:rFonts w:hint="eastAsia" w:hAnsi="宋体"/>
                <w:b/>
                <w:color w:val="auto"/>
                <w:szCs w:val="22"/>
                <w:highlight w:val="none"/>
              </w:rPr>
              <w:t>四、信誉实力（如有）</w:t>
            </w:r>
          </w:p>
          <w:p w14:paraId="4B710A21">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b/>
                <w:color w:val="auto"/>
                <w:szCs w:val="22"/>
                <w:highlight w:val="none"/>
              </w:rPr>
              <w:t>五、</w:t>
            </w:r>
            <w:r>
              <w:rPr>
                <w:rFonts w:hint="eastAsia" w:hAnsi="宋体"/>
                <w:b/>
                <w:color w:val="auto"/>
                <w:highlight w:val="none"/>
              </w:rPr>
              <w:t>供应商认为需要提供的其他资料（如有）</w:t>
            </w:r>
          </w:p>
        </w:tc>
      </w:tr>
      <w:tr w14:paraId="1B4B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23" w:type="dxa"/>
            <w:vAlign w:val="center"/>
          </w:tcPr>
          <w:p w14:paraId="090DE237">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3.1.5</w:t>
            </w:r>
          </w:p>
        </w:tc>
        <w:tc>
          <w:tcPr>
            <w:tcW w:w="1481" w:type="dxa"/>
            <w:gridSpan w:val="2"/>
            <w:vAlign w:val="center"/>
          </w:tcPr>
          <w:p w14:paraId="5B6A124D">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资格审查需要的其他材料</w:t>
            </w:r>
          </w:p>
        </w:tc>
        <w:tc>
          <w:tcPr>
            <w:tcW w:w="6310" w:type="dxa"/>
            <w:vAlign w:val="center"/>
          </w:tcPr>
          <w:p w14:paraId="157CDCC3">
            <w:pPr>
              <w:keepNext w:val="0"/>
              <w:keepLines w:val="0"/>
              <w:suppressLineNumbers w:val="0"/>
              <w:spacing w:before="0" w:beforeAutospacing="0" w:after="0" w:afterAutospacing="0" w:line="400" w:lineRule="exact"/>
              <w:ind w:left="0" w:right="0"/>
              <w:rPr>
                <w:rFonts w:hint="default" w:hAnsi="宋体"/>
                <w:color w:val="auto"/>
                <w:szCs w:val="22"/>
                <w:highlight w:val="none"/>
              </w:rPr>
            </w:pPr>
            <w:r>
              <w:rPr>
                <w:rFonts w:hint="eastAsia" w:hAnsi="宋体"/>
                <w:color w:val="auto"/>
                <w:szCs w:val="22"/>
                <w:highlight w:val="none"/>
              </w:rPr>
              <w:t>政府采购供应商信用承诺函</w:t>
            </w:r>
          </w:p>
        </w:tc>
      </w:tr>
      <w:tr w14:paraId="222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519E0A84">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3.2.2</w:t>
            </w:r>
          </w:p>
        </w:tc>
        <w:tc>
          <w:tcPr>
            <w:tcW w:w="1481" w:type="dxa"/>
            <w:gridSpan w:val="2"/>
            <w:vAlign w:val="center"/>
          </w:tcPr>
          <w:p w14:paraId="1BDBBA8B">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上限控制价</w:t>
            </w:r>
          </w:p>
        </w:tc>
        <w:tc>
          <w:tcPr>
            <w:tcW w:w="6310" w:type="dxa"/>
            <w:vAlign w:val="center"/>
          </w:tcPr>
          <w:p w14:paraId="603B20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rPr>
                <w:rFonts w:hint="default" w:hAnsi="宋体"/>
                <w:color w:val="auto"/>
                <w:highlight w:val="none"/>
              </w:rPr>
            </w:pPr>
            <w:r>
              <w:rPr>
                <w:rFonts w:hint="eastAsia" w:hAnsi="宋体"/>
                <w:color w:val="auto"/>
                <w:highlight w:val="none"/>
              </w:rPr>
              <w:t>本项目的上限控制价为</w:t>
            </w:r>
            <w:r>
              <w:rPr>
                <w:rFonts w:hint="eastAsia" w:hAnsi="宋体"/>
                <w:bCs/>
                <w:color w:val="auto"/>
                <w:highlight w:val="none"/>
              </w:rPr>
              <w:t>人民币</w:t>
            </w:r>
            <w:r>
              <w:rPr>
                <w:rFonts w:hint="eastAsia" w:hAnsi="宋体"/>
                <w:bCs/>
                <w:color w:val="auto"/>
                <w:highlight w:val="none"/>
                <w:lang w:val="en-US" w:eastAsia="zh-CN"/>
              </w:rPr>
              <w:t>(</w:t>
            </w:r>
            <w:r>
              <w:rPr>
                <w:rFonts w:hint="eastAsia" w:hAnsi="宋体"/>
                <w:color w:val="auto"/>
                <w:highlight w:val="none"/>
              </w:rPr>
              <w:t>含社会保险费）</w:t>
            </w:r>
            <w:r>
              <w:rPr>
                <w:rFonts w:hint="eastAsia" w:hAnsi="宋体"/>
                <w:b/>
                <w:color w:val="auto"/>
                <w:highlight w:val="none"/>
                <w:u w:val="single"/>
                <w:lang w:val="en-US" w:eastAsia="zh-CN"/>
              </w:rPr>
              <w:t>叁佰叁拾贰万零叁佰叁拾元玖角肆分</w:t>
            </w:r>
            <w:r>
              <w:rPr>
                <w:rFonts w:hint="eastAsia" w:hAnsi="宋体"/>
                <w:b/>
                <w:color w:val="auto"/>
                <w:highlight w:val="none"/>
                <w:u w:val="single"/>
              </w:rPr>
              <w:t>（￥</w:t>
            </w:r>
            <w:r>
              <w:rPr>
                <w:rFonts w:hint="eastAsia" w:hAnsi="宋体"/>
                <w:b/>
                <w:color w:val="auto"/>
                <w:highlight w:val="none"/>
                <w:u w:val="single"/>
                <w:lang w:val="en-US" w:eastAsia="zh-CN"/>
              </w:rPr>
              <w:t xml:space="preserve">3320330.94 </w:t>
            </w:r>
            <w:r>
              <w:rPr>
                <w:rFonts w:hint="eastAsia" w:hAnsi="宋体"/>
                <w:b/>
                <w:color w:val="auto"/>
                <w:highlight w:val="none"/>
                <w:u w:val="single"/>
              </w:rPr>
              <w:t>）</w:t>
            </w:r>
            <w:r>
              <w:rPr>
                <w:rFonts w:hint="eastAsia" w:hAnsi="宋体"/>
                <w:b/>
                <w:color w:val="auto"/>
                <w:highlight w:val="none"/>
              </w:rPr>
              <w:t>；</w:t>
            </w:r>
            <w:r>
              <w:rPr>
                <w:rFonts w:hint="eastAsia" w:hAnsi="宋体"/>
                <w:color w:val="auto"/>
                <w:highlight w:val="none"/>
              </w:rPr>
              <w:t>供应商的竞标报价（包括响应文件报价及磋商过程中的报价）均不得超过上限控制价，否则其响应文件按无效处理。</w:t>
            </w:r>
          </w:p>
        </w:tc>
      </w:tr>
      <w:tr w14:paraId="2FCD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0B4DC9CE">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3.2.3</w:t>
            </w:r>
          </w:p>
        </w:tc>
        <w:tc>
          <w:tcPr>
            <w:tcW w:w="1481" w:type="dxa"/>
            <w:gridSpan w:val="2"/>
            <w:vAlign w:val="center"/>
          </w:tcPr>
          <w:p w14:paraId="16AA0922">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磋商报价的其他要求</w:t>
            </w:r>
          </w:p>
        </w:tc>
        <w:tc>
          <w:tcPr>
            <w:tcW w:w="6310" w:type="dxa"/>
            <w:vAlign w:val="center"/>
          </w:tcPr>
          <w:p w14:paraId="6645A612">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s="Times New Roman"/>
                <w:bCs/>
                <w:color w:val="auto"/>
                <w:kern w:val="2"/>
                <w:szCs w:val="24"/>
                <w:highlight w:val="none"/>
                <w:lang w:bidi="ar"/>
              </w:rPr>
              <w:t>报价唯一。</w:t>
            </w:r>
            <w:r>
              <w:rPr>
                <w:rFonts w:hint="eastAsia" w:hAnsi="宋体" w:cs="Times New Roman"/>
                <w:color w:val="auto"/>
                <w:kern w:val="2"/>
                <w:szCs w:val="24"/>
                <w:highlight w:val="none"/>
                <w:lang w:bidi="ar"/>
              </w:rPr>
              <w:t>只能有一个有效报价。即：只允许有一个报价，任何有选择和保留的报价将不予接受。</w:t>
            </w:r>
          </w:p>
        </w:tc>
      </w:tr>
      <w:tr w14:paraId="7949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7A2B12A2">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3.3.1</w:t>
            </w:r>
          </w:p>
        </w:tc>
        <w:tc>
          <w:tcPr>
            <w:tcW w:w="1481" w:type="dxa"/>
            <w:gridSpan w:val="2"/>
            <w:vAlign w:val="center"/>
          </w:tcPr>
          <w:p w14:paraId="5B8B0510">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磋商有效期</w:t>
            </w:r>
          </w:p>
        </w:tc>
        <w:tc>
          <w:tcPr>
            <w:tcW w:w="6310" w:type="dxa"/>
            <w:vAlign w:val="center"/>
          </w:tcPr>
          <w:p w14:paraId="5C5EE862">
            <w:pPr>
              <w:keepNext w:val="0"/>
              <w:keepLines w:val="0"/>
              <w:suppressLineNumbers w:val="0"/>
              <w:spacing w:before="0" w:beforeAutospacing="0" w:after="0" w:afterAutospacing="0" w:line="360" w:lineRule="auto"/>
              <w:ind w:left="0" w:right="0"/>
              <w:rPr>
                <w:rFonts w:hint="default" w:hAnsi="宋体"/>
                <w:color w:val="auto"/>
                <w:highlight w:val="none"/>
              </w:rPr>
            </w:pPr>
            <w:r>
              <w:rPr>
                <w:rFonts w:hint="default" w:hAnsi="宋体"/>
                <w:color w:val="auto"/>
                <w:highlight w:val="none"/>
              </w:rPr>
              <w:t>60</w:t>
            </w:r>
            <w:r>
              <w:rPr>
                <w:rFonts w:hint="eastAsia" w:hAnsi="宋体"/>
                <w:color w:val="auto"/>
                <w:highlight w:val="none"/>
              </w:rPr>
              <w:t>日历天</w:t>
            </w:r>
          </w:p>
        </w:tc>
      </w:tr>
      <w:tr w14:paraId="4AE5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771F52D2">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3.4.1</w:t>
            </w:r>
          </w:p>
        </w:tc>
        <w:tc>
          <w:tcPr>
            <w:tcW w:w="1481" w:type="dxa"/>
            <w:gridSpan w:val="2"/>
            <w:vAlign w:val="center"/>
          </w:tcPr>
          <w:p w14:paraId="6CED1FED">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磋商保证金</w:t>
            </w:r>
          </w:p>
        </w:tc>
        <w:tc>
          <w:tcPr>
            <w:tcW w:w="6310" w:type="dxa"/>
            <w:vAlign w:val="center"/>
          </w:tcPr>
          <w:p w14:paraId="7470CA8C">
            <w:pPr>
              <w:keepNext w:val="0"/>
              <w:keepLines w:val="0"/>
              <w:suppressLineNumbers w:val="0"/>
              <w:spacing w:before="0" w:beforeAutospacing="0" w:after="0" w:afterAutospacing="0" w:line="480" w:lineRule="exact"/>
              <w:ind w:left="0" w:right="0"/>
              <w:rPr>
                <w:rFonts w:hint="default" w:hAnsi="宋体" w:cs="Times New Roman"/>
                <w:color w:val="auto"/>
                <w:kern w:val="2"/>
                <w:highlight w:val="none"/>
              </w:rPr>
            </w:pPr>
            <w:r>
              <w:rPr>
                <w:rFonts w:hint="eastAsia" w:hAnsi="宋体" w:cs="Times New Roman"/>
                <w:bCs/>
                <w:color w:val="auto"/>
                <w:highlight w:val="none"/>
              </w:rPr>
              <w:t>本项目为专门面向中小企业采购的项目，无须</w:t>
            </w:r>
            <w:r>
              <w:rPr>
                <w:rFonts w:hint="default" w:hAnsi="宋体" w:cs="Times New Roman"/>
                <w:bCs/>
                <w:color w:val="auto"/>
                <w:highlight w:val="none"/>
              </w:rPr>
              <w:t>缴纳</w:t>
            </w:r>
            <w:r>
              <w:rPr>
                <w:rFonts w:hint="eastAsia" w:hAnsi="宋体" w:cs="Times New Roman"/>
                <w:bCs/>
                <w:color w:val="auto"/>
                <w:highlight w:val="none"/>
              </w:rPr>
              <w:t>磋商</w:t>
            </w:r>
            <w:r>
              <w:rPr>
                <w:rFonts w:hint="default" w:hAnsi="宋体" w:cs="Times New Roman"/>
                <w:bCs/>
                <w:color w:val="auto"/>
                <w:highlight w:val="none"/>
              </w:rPr>
              <w:t>保证金。</w:t>
            </w:r>
          </w:p>
        </w:tc>
      </w:tr>
      <w:tr w14:paraId="6311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735A3B83">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3.5.3</w:t>
            </w:r>
          </w:p>
        </w:tc>
        <w:tc>
          <w:tcPr>
            <w:tcW w:w="1481" w:type="dxa"/>
            <w:gridSpan w:val="2"/>
            <w:vAlign w:val="center"/>
          </w:tcPr>
          <w:p w14:paraId="6496EDDF">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签字和（或）盖章要求</w:t>
            </w:r>
          </w:p>
        </w:tc>
        <w:tc>
          <w:tcPr>
            <w:tcW w:w="6310" w:type="dxa"/>
            <w:vAlign w:val="center"/>
          </w:tcPr>
          <w:p w14:paraId="633F621E">
            <w:pPr>
              <w:keepNext w:val="0"/>
              <w:keepLines w:val="0"/>
              <w:suppressLineNumbers w:val="0"/>
              <w:spacing w:before="0" w:beforeAutospacing="0" w:after="0" w:afterAutospacing="0" w:line="360" w:lineRule="auto"/>
              <w:ind w:left="0" w:right="0"/>
              <w:rPr>
                <w:rFonts w:hint="default" w:hAnsi="宋体"/>
                <w:color w:val="auto"/>
                <w:highlight w:val="none"/>
              </w:rPr>
            </w:pPr>
            <w:r>
              <w:rPr>
                <w:rFonts w:hint="eastAsia" w:hAnsi="宋体"/>
                <w:color w:val="auto"/>
                <w:highlight w:val="none"/>
              </w:rPr>
              <w:t>对响应文件的澄清、说明或者更正应当由供应商通过</w:t>
            </w:r>
            <w:r>
              <w:rPr>
                <w:rFonts w:hint="eastAsia" w:ascii="宋体" w:hAnsi="宋体" w:eastAsia="宋体" w:cs="宋体"/>
                <w:color w:val="auto"/>
                <w:kern w:val="2"/>
                <w:sz w:val="21"/>
                <w:szCs w:val="24"/>
                <w:highlight w:val="none"/>
                <w:lang w:val="en-US" w:eastAsia="zh-CN" w:bidi="ar"/>
              </w:rPr>
              <w:t>广西政府采购云平台</w:t>
            </w:r>
            <w:r>
              <w:rPr>
                <w:rFonts w:hint="eastAsia" w:hAnsi="宋体"/>
                <w:color w:val="auto"/>
                <w:highlight w:val="none"/>
              </w:rPr>
              <w:t>进行，且交换的数据电文必须进行</w:t>
            </w:r>
            <w:r>
              <w:rPr>
                <w:rFonts w:hint="default" w:hAnsi="宋体"/>
                <w:color w:val="auto"/>
                <w:highlight w:val="none"/>
              </w:rPr>
              <w:t>CA</w:t>
            </w:r>
            <w:r>
              <w:rPr>
                <w:rFonts w:hint="eastAsia" w:hAnsi="宋体"/>
                <w:color w:val="auto"/>
                <w:highlight w:val="none"/>
              </w:rPr>
              <w:t>电子签章。</w:t>
            </w:r>
          </w:p>
          <w:p w14:paraId="67A4ACD7">
            <w:pPr>
              <w:keepNext w:val="0"/>
              <w:keepLines w:val="0"/>
              <w:suppressLineNumbers w:val="0"/>
              <w:spacing w:before="0" w:beforeAutospacing="0" w:after="0" w:afterAutospacing="0" w:line="360" w:lineRule="auto"/>
              <w:ind w:left="0" w:right="0"/>
              <w:rPr>
                <w:rFonts w:hint="default" w:hAnsi="宋体"/>
                <w:b/>
                <w:color w:val="auto"/>
                <w:highlight w:val="none"/>
              </w:rPr>
            </w:pPr>
            <w:r>
              <w:rPr>
                <w:rFonts w:hint="eastAsia" w:hAnsi="宋体"/>
                <w:b/>
                <w:color w:val="auto"/>
                <w:highlight w:val="none"/>
              </w:rPr>
              <w:t>特别说明：响应文件的签字和（或）盖章应采用</w:t>
            </w:r>
            <w:r>
              <w:rPr>
                <w:rFonts w:hint="default" w:hAnsi="宋体"/>
                <w:b/>
                <w:color w:val="auto"/>
                <w:highlight w:val="none"/>
              </w:rPr>
              <w:t>CA</w:t>
            </w:r>
            <w:r>
              <w:rPr>
                <w:rFonts w:hint="eastAsia" w:hAnsi="宋体"/>
                <w:b/>
                <w:color w:val="auto"/>
                <w:highlight w:val="none"/>
              </w:rPr>
              <w:t>电子签章。</w:t>
            </w:r>
            <w:r>
              <w:rPr>
                <w:rFonts w:hint="eastAsia" w:hAnsi="宋体"/>
                <w:color w:val="auto"/>
                <w:highlight w:val="none"/>
              </w:rPr>
              <w:t>如</w:t>
            </w:r>
            <w:r>
              <w:rPr>
                <w:rFonts w:hint="default" w:hAnsi="宋体"/>
                <w:color w:val="auto"/>
                <w:highlight w:val="none"/>
              </w:rPr>
              <w:t>CA</w:t>
            </w:r>
            <w:r>
              <w:rPr>
                <w:rFonts w:hint="eastAsia" w:hAnsi="宋体"/>
                <w:color w:val="auto"/>
                <w:highlight w:val="none"/>
              </w:rPr>
              <w:t>签章没有法人（负责人）或授权代表签名信息，供应商可在磋商响应文件中涉及到签名的位置线下签好字然后扫描或者拍照做成</w:t>
            </w:r>
            <w:r>
              <w:rPr>
                <w:rFonts w:hint="default" w:hAnsi="宋体"/>
                <w:color w:val="auto"/>
                <w:highlight w:val="none"/>
              </w:rPr>
              <w:t>PDF</w:t>
            </w:r>
            <w:r>
              <w:rPr>
                <w:rFonts w:hint="eastAsia" w:hAnsi="宋体"/>
                <w:color w:val="auto"/>
                <w:highlight w:val="none"/>
              </w:rPr>
              <w:t>的格式即可。</w:t>
            </w:r>
          </w:p>
        </w:tc>
      </w:tr>
      <w:tr w14:paraId="3917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7DCAF95E">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3.5.4</w:t>
            </w:r>
          </w:p>
        </w:tc>
        <w:tc>
          <w:tcPr>
            <w:tcW w:w="1481" w:type="dxa"/>
            <w:gridSpan w:val="2"/>
            <w:vAlign w:val="center"/>
          </w:tcPr>
          <w:p w14:paraId="49877987">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响应文件份数及其他要求</w:t>
            </w:r>
          </w:p>
        </w:tc>
        <w:tc>
          <w:tcPr>
            <w:tcW w:w="6310" w:type="dxa"/>
            <w:vAlign w:val="center"/>
          </w:tcPr>
          <w:p w14:paraId="1DB85B6C">
            <w:pPr>
              <w:keepNext w:val="0"/>
              <w:keepLines w:val="0"/>
              <w:suppressLineNumbers w:val="0"/>
              <w:spacing w:before="0" w:beforeAutospacing="0" w:after="0" w:afterAutospacing="0" w:line="360" w:lineRule="auto"/>
              <w:ind w:left="0" w:right="0"/>
              <w:rPr>
                <w:rFonts w:hint="eastAsia"/>
                <w:color w:val="auto"/>
                <w:highlight w:val="none"/>
              </w:rPr>
            </w:pPr>
            <w:r>
              <w:rPr>
                <w:rFonts w:hint="eastAsia"/>
                <w:color w:val="auto"/>
                <w:highlight w:val="none"/>
              </w:rPr>
              <w:t>供应商在</w:t>
            </w:r>
            <w:r>
              <w:rPr>
                <w:rFonts w:hint="eastAsia" w:ascii="宋体" w:hAnsi="宋体" w:eastAsia="宋体" w:cs="宋体"/>
                <w:color w:val="auto"/>
                <w:kern w:val="2"/>
                <w:sz w:val="21"/>
                <w:szCs w:val="24"/>
                <w:highlight w:val="none"/>
                <w:lang w:val="en-US" w:eastAsia="zh-CN" w:bidi="ar"/>
              </w:rPr>
              <w:t>广西政府采购云平台</w:t>
            </w:r>
            <w:r>
              <w:rPr>
                <w:rFonts w:hint="eastAsia"/>
                <w:color w:val="auto"/>
                <w:highlight w:val="none"/>
              </w:rPr>
              <w:t>提交电子版响应文件；</w:t>
            </w:r>
          </w:p>
          <w:p w14:paraId="0A44AD63">
            <w:pPr>
              <w:keepNext w:val="0"/>
              <w:keepLines w:val="0"/>
              <w:suppressLineNumbers w:val="0"/>
              <w:spacing w:before="0" w:beforeAutospacing="0" w:after="0" w:afterAutospacing="0" w:line="360" w:lineRule="auto"/>
              <w:ind w:left="0" w:right="0"/>
              <w:rPr>
                <w:rFonts w:hint="default" w:hAnsi="宋体"/>
                <w:color w:val="auto"/>
                <w:kern w:val="20"/>
                <w:highlight w:val="none"/>
              </w:rPr>
            </w:pPr>
            <w:r>
              <w:rPr>
                <w:rFonts w:hint="eastAsia" w:hAnsi="宋体"/>
                <w:color w:val="auto"/>
                <w:kern w:val="20"/>
                <w:highlight w:val="none"/>
              </w:rPr>
              <w:t>纸质响应文件要求：成交供应商</w:t>
            </w:r>
            <w:r>
              <w:rPr>
                <w:rFonts w:hint="eastAsia" w:hAnsi="宋体"/>
                <w:color w:val="auto"/>
                <w:highlight w:val="none"/>
              </w:rPr>
              <w:t>应在采购合同签订前将</w:t>
            </w:r>
            <w:r>
              <w:rPr>
                <w:rFonts w:hint="eastAsia" w:hAnsi="宋体"/>
                <w:color w:val="auto"/>
                <w:kern w:val="20"/>
                <w:highlight w:val="none"/>
              </w:rPr>
              <w:t>已签字和（或）盖章的纸质版响应文件（</w:t>
            </w:r>
            <w:r>
              <w:rPr>
                <w:rFonts w:hint="eastAsia" w:hAnsi="宋体"/>
                <w:color w:val="auto"/>
                <w:highlight w:val="none"/>
              </w:rPr>
              <w:t>需</w:t>
            </w:r>
            <w:r>
              <w:rPr>
                <w:rFonts w:hint="eastAsia" w:hAnsi="宋体"/>
                <w:color w:val="auto"/>
                <w:kern w:val="20"/>
                <w:highlight w:val="none"/>
              </w:rPr>
              <w:t>与</w:t>
            </w:r>
            <w:r>
              <w:rPr>
                <w:rFonts w:hint="eastAsia" w:hAnsi="宋体"/>
                <w:color w:val="auto"/>
                <w:highlight w:val="none"/>
              </w:rPr>
              <w:t>“</w:t>
            </w:r>
            <w:r>
              <w:rPr>
                <w:rFonts w:hint="eastAsia" w:ascii="宋体" w:hAnsi="宋体" w:eastAsia="宋体" w:cs="宋体"/>
                <w:color w:val="auto"/>
                <w:kern w:val="2"/>
                <w:sz w:val="21"/>
                <w:szCs w:val="24"/>
                <w:highlight w:val="none"/>
                <w:lang w:val="en-US" w:eastAsia="zh-CN" w:bidi="ar"/>
              </w:rPr>
              <w:t>广西政府采购云平台</w:t>
            </w:r>
            <w:r>
              <w:rPr>
                <w:rFonts w:hint="eastAsia" w:hAnsi="宋体"/>
                <w:color w:val="auto"/>
                <w:highlight w:val="none"/>
              </w:rPr>
              <w:t>”提交的电子版响应文件内容一致</w:t>
            </w:r>
            <w:r>
              <w:rPr>
                <w:rFonts w:hint="eastAsia" w:hAnsi="宋体"/>
                <w:color w:val="auto"/>
                <w:kern w:val="20"/>
                <w:highlight w:val="none"/>
              </w:rPr>
              <w:t>）</w:t>
            </w:r>
            <w:r>
              <w:rPr>
                <w:rFonts w:hint="eastAsia" w:hAnsi="宋体"/>
                <w:color w:val="auto"/>
                <w:highlight w:val="none"/>
              </w:rPr>
              <w:t>递交</w:t>
            </w:r>
            <w:r>
              <w:rPr>
                <w:rFonts w:hint="eastAsia" w:hAnsi="宋体"/>
                <w:color w:val="auto"/>
                <w:kern w:val="20"/>
                <w:highlight w:val="none"/>
              </w:rPr>
              <w:t>至本项目采购代理机构处；如纸质版响应文件与电子版响应文件不一致时，以电子版响应文件为准。</w:t>
            </w:r>
          </w:p>
          <w:p w14:paraId="2B19C7FA">
            <w:pPr>
              <w:keepNext w:val="0"/>
              <w:keepLines w:val="0"/>
              <w:suppressLineNumbers w:val="0"/>
              <w:spacing w:before="0" w:beforeAutospacing="0" w:after="0" w:afterAutospacing="0" w:line="360" w:lineRule="auto"/>
              <w:ind w:left="0" w:right="0"/>
              <w:rPr>
                <w:rFonts w:hint="default"/>
                <w:color w:val="auto"/>
                <w:highlight w:val="none"/>
              </w:rPr>
            </w:pPr>
            <w:r>
              <w:rPr>
                <w:rFonts w:hint="eastAsia" w:hAnsi="宋体"/>
                <w:color w:val="auto"/>
                <w:kern w:val="20"/>
                <w:highlight w:val="none"/>
              </w:rPr>
              <w:t>纸质版响应文件份数要求：正本：壹份，副本：</w:t>
            </w:r>
            <w:r>
              <w:rPr>
                <w:rFonts w:hint="eastAsia" w:hAnsi="宋体"/>
                <w:color w:val="auto"/>
                <w:kern w:val="20"/>
                <w:highlight w:val="none"/>
                <w:lang w:eastAsia="zh-CN"/>
              </w:rPr>
              <w:t>叁</w:t>
            </w:r>
            <w:r>
              <w:rPr>
                <w:rFonts w:hint="eastAsia" w:hAnsi="宋体"/>
                <w:color w:val="auto"/>
                <w:kern w:val="20"/>
                <w:highlight w:val="none"/>
              </w:rPr>
              <w:t>份。</w:t>
            </w:r>
          </w:p>
        </w:tc>
      </w:tr>
      <w:tr w14:paraId="077E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4E78E25B">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4.1.2</w:t>
            </w:r>
          </w:p>
        </w:tc>
        <w:tc>
          <w:tcPr>
            <w:tcW w:w="1481" w:type="dxa"/>
            <w:gridSpan w:val="2"/>
            <w:vAlign w:val="center"/>
          </w:tcPr>
          <w:p w14:paraId="019870A7">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提交响应文件地点</w:t>
            </w:r>
          </w:p>
        </w:tc>
        <w:tc>
          <w:tcPr>
            <w:tcW w:w="6310" w:type="dxa"/>
            <w:vAlign w:val="center"/>
          </w:tcPr>
          <w:p w14:paraId="0B63C7EC">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通过</w:t>
            </w:r>
            <w:r>
              <w:rPr>
                <w:rFonts w:hint="eastAsia" w:ascii="宋体" w:hAnsi="宋体" w:eastAsia="宋体" w:cs="宋体"/>
                <w:color w:val="auto"/>
                <w:kern w:val="2"/>
                <w:sz w:val="21"/>
                <w:szCs w:val="24"/>
                <w:highlight w:val="none"/>
                <w:lang w:val="en-US" w:eastAsia="zh-CN" w:bidi="ar"/>
              </w:rPr>
              <w:t>广西政府采购云平台</w:t>
            </w:r>
            <w:r>
              <w:rPr>
                <w:rFonts w:hint="eastAsia" w:hAnsi="宋体"/>
                <w:color w:val="auto"/>
                <w:highlight w:val="none"/>
              </w:rPr>
              <w:t>电子在线投标响应。</w:t>
            </w:r>
          </w:p>
        </w:tc>
      </w:tr>
      <w:tr w14:paraId="0014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2CF90BF2">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4.1.3</w:t>
            </w:r>
          </w:p>
        </w:tc>
        <w:tc>
          <w:tcPr>
            <w:tcW w:w="1481" w:type="dxa"/>
            <w:gridSpan w:val="2"/>
            <w:vAlign w:val="center"/>
          </w:tcPr>
          <w:p w14:paraId="7B08CD53">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是否退还响应文件</w:t>
            </w:r>
          </w:p>
        </w:tc>
        <w:tc>
          <w:tcPr>
            <w:tcW w:w="6310" w:type="dxa"/>
            <w:vAlign w:val="center"/>
          </w:tcPr>
          <w:p w14:paraId="4EB272F7">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否</w:t>
            </w:r>
          </w:p>
        </w:tc>
      </w:tr>
      <w:tr w14:paraId="1CB3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6F66BE0A">
            <w:pPr>
              <w:keepNext w:val="0"/>
              <w:keepLines w:val="0"/>
              <w:suppressLineNumbers w:val="0"/>
              <w:spacing w:before="0" w:beforeAutospacing="0" w:after="0" w:afterAutospacing="0" w:line="360" w:lineRule="auto"/>
              <w:ind w:left="0" w:right="0"/>
              <w:jc w:val="center"/>
              <w:rPr>
                <w:rFonts w:hint="default" w:hAnsi="宋体"/>
                <w:color w:val="auto"/>
                <w:highlight w:val="none"/>
              </w:rPr>
            </w:pPr>
            <w:r>
              <w:rPr>
                <w:rFonts w:hint="default" w:hAnsi="宋体"/>
                <w:color w:val="auto"/>
                <w:highlight w:val="none"/>
              </w:rPr>
              <w:t>4.3.1</w:t>
            </w:r>
          </w:p>
        </w:tc>
        <w:tc>
          <w:tcPr>
            <w:tcW w:w="1481" w:type="dxa"/>
            <w:gridSpan w:val="2"/>
            <w:vAlign w:val="center"/>
          </w:tcPr>
          <w:p w14:paraId="45CD9A60">
            <w:pPr>
              <w:keepNext w:val="0"/>
              <w:keepLines w:val="0"/>
              <w:suppressLineNumbers w:val="0"/>
              <w:spacing w:before="0" w:beforeAutospacing="0" w:after="0" w:afterAutospacing="0" w:line="360" w:lineRule="auto"/>
              <w:ind w:left="0" w:right="0"/>
              <w:jc w:val="center"/>
              <w:rPr>
                <w:rFonts w:hint="default" w:hAnsi="宋体"/>
                <w:color w:val="auto"/>
                <w:highlight w:val="none"/>
              </w:rPr>
            </w:pPr>
            <w:r>
              <w:rPr>
                <w:rFonts w:hint="eastAsia" w:hAnsi="宋体"/>
                <w:color w:val="auto"/>
                <w:highlight w:val="none"/>
              </w:rPr>
              <w:t>响应文件解密开始时间及解密时限</w:t>
            </w:r>
          </w:p>
        </w:tc>
        <w:tc>
          <w:tcPr>
            <w:tcW w:w="6310" w:type="dxa"/>
            <w:vAlign w:val="center"/>
          </w:tcPr>
          <w:p w14:paraId="5E3848DF">
            <w:pPr>
              <w:keepNext w:val="0"/>
              <w:keepLines w:val="0"/>
              <w:suppressLineNumbers w:val="0"/>
              <w:spacing w:before="0" w:beforeAutospacing="0" w:after="0" w:afterAutospacing="0" w:line="360" w:lineRule="auto"/>
              <w:ind w:left="0" w:right="0"/>
              <w:rPr>
                <w:rFonts w:hint="default" w:hAnsi="宋体"/>
                <w:color w:val="auto"/>
                <w:highlight w:val="none"/>
              </w:rPr>
            </w:pPr>
            <w:r>
              <w:rPr>
                <w:rFonts w:hint="eastAsia" w:hAnsi="宋体"/>
                <w:color w:val="auto"/>
                <w:highlight w:val="none"/>
              </w:rPr>
              <w:t>解密开始时间：同提交首次响应文件截止时间</w:t>
            </w:r>
          </w:p>
          <w:p w14:paraId="343693F8">
            <w:pPr>
              <w:keepNext w:val="0"/>
              <w:keepLines w:val="0"/>
              <w:suppressLineNumbers w:val="0"/>
              <w:spacing w:before="0" w:beforeAutospacing="0" w:after="0" w:afterAutospacing="0" w:line="360" w:lineRule="auto"/>
              <w:ind w:left="0" w:right="0"/>
              <w:rPr>
                <w:rFonts w:hint="default" w:hAnsi="宋体"/>
                <w:color w:val="auto"/>
                <w:highlight w:val="none"/>
              </w:rPr>
            </w:pPr>
            <w:r>
              <w:rPr>
                <w:rFonts w:hint="eastAsia" w:hAnsi="宋体"/>
                <w:color w:val="auto"/>
                <w:highlight w:val="none"/>
              </w:rPr>
              <w:t>解密时限：</w:t>
            </w:r>
            <w:r>
              <w:rPr>
                <w:rFonts w:hint="default" w:hAnsi="宋体"/>
                <w:color w:val="auto"/>
                <w:highlight w:val="none"/>
              </w:rPr>
              <w:t>30</w:t>
            </w:r>
            <w:r>
              <w:rPr>
                <w:rFonts w:hint="eastAsia" w:hAnsi="宋体"/>
                <w:color w:val="auto"/>
                <w:highlight w:val="none"/>
              </w:rPr>
              <w:t>分钟</w:t>
            </w:r>
          </w:p>
        </w:tc>
      </w:tr>
      <w:tr w14:paraId="5496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49D24FA2">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5.1</w:t>
            </w:r>
          </w:p>
        </w:tc>
        <w:tc>
          <w:tcPr>
            <w:tcW w:w="1481" w:type="dxa"/>
            <w:gridSpan w:val="2"/>
            <w:vAlign w:val="center"/>
          </w:tcPr>
          <w:p w14:paraId="554D346B">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开标时间和地点</w:t>
            </w:r>
          </w:p>
        </w:tc>
        <w:tc>
          <w:tcPr>
            <w:tcW w:w="6310" w:type="dxa"/>
            <w:vAlign w:val="center"/>
          </w:tcPr>
          <w:p w14:paraId="39CB76A8">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开标时间：同提交首次响应文件截止时间</w:t>
            </w:r>
          </w:p>
          <w:p w14:paraId="16FF2F2D">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开标地点：同提交响应文件地点</w:t>
            </w:r>
          </w:p>
        </w:tc>
      </w:tr>
      <w:tr w14:paraId="51C1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3" w:type="dxa"/>
            <w:vAlign w:val="center"/>
          </w:tcPr>
          <w:p w14:paraId="62E85EC5">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6.1</w:t>
            </w:r>
          </w:p>
        </w:tc>
        <w:tc>
          <w:tcPr>
            <w:tcW w:w="1481" w:type="dxa"/>
            <w:gridSpan w:val="2"/>
            <w:vAlign w:val="center"/>
          </w:tcPr>
          <w:p w14:paraId="4BAD1933">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磋商小组组成</w:t>
            </w:r>
          </w:p>
        </w:tc>
        <w:tc>
          <w:tcPr>
            <w:tcW w:w="6310" w:type="dxa"/>
            <w:vAlign w:val="center"/>
          </w:tcPr>
          <w:p w14:paraId="4F2D5B4D">
            <w:pPr>
              <w:keepNext w:val="0"/>
              <w:keepLines w:val="0"/>
              <w:suppressLineNumbers w:val="0"/>
              <w:spacing w:before="0" w:beforeAutospacing="0" w:after="0" w:afterAutospacing="0" w:line="400" w:lineRule="exact"/>
              <w:ind w:left="0" w:right="0"/>
              <w:jc w:val="left"/>
              <w:rPr>
                <w:rFonts w:hint="eastAsia" w:hAnsi="宋体"/>
                <w:color w:val="auto"/>
                <w:highlight w:val="none"/>
              </w:rPr>
            </w:pPr>
            <w:r>
              <w:rPr>
                <w:rFonts w:hint="eastAsia" w:hAnsi="宋体"/>
                <w:color w:val="auto"/>
                <w:highlight w:val="none"/>
              </w:rPr>
              <w:t>本竞争性磋商采购项目的磋商小组由</w:t>
            </w:r>
            <w:r>
              <w:rPr>
                <w:rFonts w:hint="default" w:hAnsi="宋体"/>
                <w:color w:val="auto"/>
                <w:highlight w:val="none"/>
              </w:rPr>
              <w:t>3</w:t>
            </w:r>
            <w:r>
              <w:rPr>
                <w:rFonts w:hint="eastAsia" w:hAnsi="宋体"/>
                <w:color w:val="auto"/>
                <w:highlight w:val="none"/>
              </w:rPr>
              <w:t>人组成；采购单位代表</w:t>
            </w:r>
            <w:r>
              <w:rPr>
                <w:rFonts w:hint="default" w:hAnsi="宋体"/>
                <w:color w:val="auto"/>
                <w:highlight w:val="none"/>
              </w:rPr>
              <w:t>1</w:t>
            </w:r>
            <w:r>
              <w:rPr>
                <w:rFonts w:hint="eastAsia" w:hAnsi="宋体"/>
                <w:color w:val="auto"/>
                <w:highlight w:val="none"/>
              </w:rPr>
              <w:t>人，随机抽取的评标专家</w:t>
            </w:r>
            <w:r>
              <w:rPr>
                <w:rFonts w:hint="default" w:hAnsi="宋体"/>
                <w:color w:val="auto"/>
                <w:highlight w:val="none"/>
              </w:rPr>
              <w:t>2</w:t>
            </w:r>
            <w:r>
              <w:rPr>
                <w:rFonts w:hint="eastAsia" w:hAnsi="宋体"/>
                <w:color w:val="auto"/>
                <w:highlight w:val="none"/>
              </w:rPr>
              <w:t>人（其中市外专家人数：1人）。</w:t>
            </w:r>
          </w:p>
          <w:p w14:paraId="29FF97AF">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评标专家确定方式：由采购人授权采购代理机构在</w:t>
            </w:r>
            <w:r>
              <w:rPr>
                <w:rFonts w:hint="eastAsia" w:ascii="宋体" w:hAnsi="宋体" w:cs="宋体"/>
                <w:color w:val="auto"/>
                <w:kern w:val="0"/>
                <w:sz w:val="21"/>
                <w:szCs w:val="21"/>
                <w:highlight w:val="none"/>
                <w:lang w:val="en-US" w:eastAsia="zh-CN" w:bidi="ar-SA"/>
              </w:rPr>
              <w:t>广西</w:t>
            </w:r>
            <w:r>
              <w:rPr>
                <w:rFonts w:hint="eastAsia" w:ascii="宋体" w:hAnsi="宋体" w:eastAsia="宋体" w:cs="宋体"/>
                <w:color w:val="auto"/>
                <w:kern w:val="0"/>
                <w:sz w:val="21"/>
                <w:szCs w:val="21"/>
                <w:highlight w:val="none"/>
                <w:lang w:val="en-US" w:eastAsia="zh-CN" w:bidi="ar-SA"/>
              </w:rPr>
              <w:t>政府采购云平台评标专家库中随机抽取</w:t>
            </w:r>
            <w:r>
              <w:rPr>
                <w:rFonts w:hint="eastAsia" w:ascii="宋体" w:hAnsi="宋体" w:eastAsia="宋体" w:cs="宋体"/>
                <w:color w:val="auto"/>
                <w:kern w:val="0"/>
                <w:sz w:val="21"/>
                <w:szCs w:val="21"/>
                <w:highlight w:val="none"/>
                <w:lang w:val="en-US" w:eastAsia="zh-CN" w:bidi="ar-SA"/>
              </w:rPr>
              <w:br w:type="textWrapping"/>
            </w:r>
            <w:r>
              <w:rPr>
                <w:rFonts w:hint="eastAsia" w:ascii="宋体" w:hAnsi="宋体" w:eastAsia="宋体" w:cs="宋体"/>
                <w:color w:val="auto"/>
                <w:kern w:val="0"/>
                <w:sz w:val="21"/>
                <w:szCs w:val="21"/>
                <w:highlight w:val="none"/>
                <w:lang w:val="en-US" w:eastAsia="zh-CN" w:bidi="ar-SA"/>
              </w:rPr>
              <w:t>是否远程抽取评委及远程异地评标：</w:t>
            </w:r>
            <w:r>
              <w:rPr>
                <w:rFonts w:hint="eastAsia"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是  </w:t>
            </w:r>
            <w:r>
              <w:rPr>
                <w:rFonts w:hint="eastAsia"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否</w:t>
            </w:r>
          </w:p>
          <w:p w14:paraId="25FDE9B0">
            <w:pPr>
              <w:pStyle w:val="2"/>
              <w:keepNext w:val="0"/>
              <w:keepLines w:val="0"/>
              <w:pageBreakBefore w:val="0"/>
              <w:widowControl w:val="0"/>
              <w:kinsoku/>
              <w:wordWrap/>
              <w:overflowPunct/>
              <w:topLinePunct w:val="0"/>
              <w:autoSpaceDE/>
              <w:autoSpaceDN/>
              <w:bidi w:val="0"/>
              <w:snapToGrid/>
              <w:spacing w:line="414" w:lineRule="exact"/>
              <w:jc w:val="left"/>
              <w:rPr>
                <w:rFonts w:hint="default"/>
                <w:color w:val="auto"/>
                <w:highlight w:val="none"/>
              </w:rPr>
            </w:pPr>
            <w:r>
              <w:rPr>
                <w:rFonts w:hint="eastAsia" w:ascii="宋体" w:hAnsi="宋体" w:eastAsia="宋体" w:cs="宋体"/>
                <w:color w:val="auto"/>
                <w:highlight w:val="none"/>
                <w:lang w:val="en-US"/>
              </w:rPr>
              <w:t>本项目采用远程异地评标，评标主会场地址：广西启航工程咨询有限公司（贺州市八步区灵峰社区公安局东南面搬迁规划编号17号二层评标室），</w:t>
            </w:r>
            <w:r>
              <w:rPr>
                <w:rFonts w:hint="eastAsia" w:ascii="宋体" w:hAnsi="宋体" w:eastAsia="宋体" w:cs="宋体"/>
                <w:color w:val="auto"/>
                <w:highlight w:val="none"/>
                <w:lang w:val="en-US"/>
              </w:rPr>
              <w:t>评标副会场地址：</w:t>
            </w:r>
            <w:r>
              <w:rPr>
                <w:rFonts w:hint="eastAsia" w:ascii="宋体" w:hAnsi="宋体" w:eastAsia="宋体" w:cs="宋体"/>
                <w:color w:val="auto"/>
                <w:highlight w:val="none"/>
                <w:lang w:val="en-US"/>
              </w:rPr>
              <w:t>广西弘达建设工程咨询有限公司</w:t>
            </w:r>
            <w:r>
              <w:rPr>
                <w:rFonts w:hint="eastAsia" w:ascii="宋体" w:hAnsi="宋体" w:cs="宋体"/>
                <w:color w:val="auto"/>
                <w:highlight w:val="none"/>
                <w:lang w:val="en-US" w:eastAsia="zh-CN"/>
              </w:rPr>
              <w:t xml:space="preserve"> (百色市右江区城乡路123号二楼)。 </w:t>
            </w:r>
          </w:p>
        </w:tc>
      </w:tr>
      <w:tr w14:paraId="3D19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Align w:val="center"/>
          </w:tcPr>
          <w:p w14:paraId="11FE27E6">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6.2.1</w:t>
            </w:r>
          </w:p>
        </w:tc>
        <w:tc>
          <w:tcPr>
            <w:tcW w:w="1481" w:type="dxa"/>
            <w:gridSpan w:val="2"/>
            <w:vAlign w:val="center"/>
          </w:tcPr>
          <w:p w14:paraId="1DBFD6EB">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磋商时间与磋商地点</w:t>
            </w:r>
          </w:p>
        </w:tc>
        <w:tc>
          <w:tcPr>
            <w:tcW w:w="6310" w:type="dxa"/>
            <w:vAlign w:val="center"/>
          </w:tcPr>
          <w:p w14:paraId="7694FACA">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磋商时间：具体时间由代理机构另行通知。</w:t>
            </w:r>
          </w:p>
          <w:p w14:paraId="51CC4B67">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磋商地点：同开标地点。</w:t>
            </w:r>
          </w:p>
          <w:p w14:paraId="6BBC0E88">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说明：磋商程序将通过</w:t>
            </w:r>
            <w:r>
              <w:rPr>
                <w:rFonts w:hint="eastAsia" w:ascii="宋体" w:hAnsi="宋体" w:eastAsia="宋体" w:cs="宋体"/>
                <w:color w:val="auto"/>
                <w:kern w:val="2"/>
                <w:sz w:val="21"/>
                <w:szCs w:val="24"/>
                <w:highlight w:val="none"/>
                <w:lang w:val="en-US" w:eastAsia="zh-CN" w:bidi="ar"/>
              </w:rPr>
              <w:t>广西政府采购云平台</w:t>
            </w:r>
            <w:r>
              <w:rPr>
                <w:rFonts w:hint="eastAsia" w:hAnsi="宋体"/>
                <w:color w:val="auto"/>
                <w:highlight w:val="none"/>
              </w:rPr>
              <w:t>开展。</w:t>
            </w:r>
          </w:p>
        </w:tc>
      </w:tr>
      <w:tr w14:paraId="7D3B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72A1B544">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6.2.2</w:t>
            </w:r>
          </w:p>
        </w:tc>
        <w:tc>
          <w:tcPr>
            <w:tcW w:w="1481" w:type="dxa"/>
            <w:gridSpan w:val="2"/>
            <w:vAlign w:val="center"/>
          </w:tcPr>
          <w:p w14:paraId="453AC061">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磋商过程中可能实质变得的内容</w:t>
            </w:r>
          </w:p>
        </w:tc>
        <w:tc>
          <w:tcPr>
            <w:tcW w:w="6310" w:type="dxa"/>
            <w:vAlign w:val="center"/>
          </w:tcPr>
          <w:p w14:paraId="7EFBFAFD">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磋商小组可以根据磋商文件和磋商情况实质性变动采购需求中的技术、服务要求以及合同草案条款，但不得变动磋商文件中的其他内容。</w:t>
            </w:r>
          </w:p>
        </w:tc>
      </w:tr>
      <w:tr w14:paraId="0A96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4A5ECD46">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6.3.1</w:t>
            </w:r>
          </w:p>
        </w:tc>
        <w:tc>
          <w:tcPr>
            <w:tcW w:w="1481" w:type="dxa"/>
            <w:gridSpan w:val="2"/>
            <w:vAlign w:val="center"/>
          </w:tcPr>
          <w:p w14:paraId="7E1D516F">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评标方法</w:t>
            </w:r>
          </w:p>
        </w:tc>
        <w:tc>
          <w:tcPr>
            <w:tcW w:w="6310" w:type="dxa"/>
            <w:vAlign w:val="center"/>
          </w:tcPr>
          <w:p w14:paraId="09B0614C">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综合评分法</w:t>
            </w:r>
          </w:p>
        </w:tc>
      </w:tr>
      <w:tr w14:paraId="2323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5EB765A3">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7.1</w:t>
            </w:r>
          </w:p>
        </w:tc>
        <w:tc>
          <w:tcPr>
            <w:tcW w:w="1481" w:type="dxa"/>
            <w:gridSpan w:val="2"/>
            <w:vAlign w:val="center"/>
          </w:tcPr>
          <w:p w14:paraId="6E10C576">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是否授权磋商小组确定成交供应商</w:t>
            </w:r>
          </w:p>
        </w:tc>
        <w:tc>
          <w:tcPr>
            <w:tcW w:w="6310" w:type="dxa"/>
            <w:vAlign w:val="center"/>
          </w:tcPr>
          <w:p w14:paraId="7F5EE53B">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否，</w:t>
            </w:r>
            <w:r>
              <w:rPr>
                <w:rFonts w:hint="eastAsia" w:hAnsi="Courier New" w:cs="Times New Roman"/>
                <w:color w:val="auto"/>
                <w:kern w:val="2"/>
                <w:szCs w:val="24"/>
                <w:highlight w:val="none"/>
              </w:rPr>
              <w:t>推荐的成交候选人数</w:t>
            </w:r>
            <w:r>
              <w:rPr>
                <w:rFonts w:hint="default" w:hAnsi="Courier New" w:cs="Times New Roman"/>
                <w:color w:val="auto"/>
                <w:kern w:val="2"/>
                <w:szCs w:val="24"/>
                <w:highlight w:val="none"/>
                <w:u w:val="single"/>
              </w:rPr>
              <w:t>3</w:t>
            </w:r>
            <w:r>
              <w:rPr>
                <w:rFonts w:hint="eastAsia" w:hAnsi="Courier New" w:cs="Times New Roman"/>
                <w:color w:val="auto"/>
                <w:kern w:val="2"/>
                <w:szCs w:val="24"/>
                <w:highlight w:val="none"/>
              </w:rPr>
              <w:t>名。</w:t>
            </w:r>
          </w:p>
        </w:tc>
      </w:tr>
      <w:tr w14:paraId="2B18F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307A2941">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7.2.1</w:t>
            </w:r>
          </w:p>
        </w:tc>
        <w:tc>
          <w:tcPr>
            <w:tcW w:w="1481" w:type="dxa"/>
            <w:gridSpan w:val="2"/>
            <w:vAlign w:val="center"/>
          </w:tcPr>
          <w:p w14:paraId="21A705B1">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成交结果公告发布媒介</w:t>
            </w:r>
          </w:p>
        </w:tc>
        <w:tc>
          <w:tcPr>
            <w:tcW w:w="6310" w:type="dxa"/>
            <w:vAlign w:val="center"/>
          </w:tcPr>
          <w:p w14:paraId="48AF2BCF">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在竞争性磋商公告发布媒介上发布</w:t>
            </w:r>
          </w:p>
        </w:tc>
      </w:tr>
      <w:tr w14:paraId="3F54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0AEDF83A">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7.3.1</w:t>
            </w:r>
          </w:p>
        </w:tc>
        <w:tc>
          <w:tcPr>
            <w:tcW w:w="1481" w:type="dxa"/>
            <w:gridSpan w:val="2"/>
            <w:vAlign w:val="center"/>
          </w:tcPr>
          <w:p w14:paraId="74B47C0A">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履约保证金</w:t>
            </w:r>
          </w:p>
        </w:tc>
        <w:tc>
          <w:tcPr>
            <w:tcW w:w="6310" w:type="dxa"/>
            <w:vAlign w:val="center"/>
          </w:tcPr>
          <w:p w14:paraId="1D50302C">
            <w:pPr>
              <w:keepNext w:val="0"/>
              <w:keepLines w:val="0"/>
              <w:suppressLineNumbers w:val="0"/>
              <w:spacing w:before="0" w:beforeAutospacing="0" w:after="0" w:afterAutospacing="0" w:line="360" w:lineRule="auto"/>
              <w:ind w:left="0" w:right="0"/>
              <w:rPr>
                <w:rFonts w:hint="default" w:hAnsi="宋体"/>
                <w:color w:val="auto"/>
                <w:kern w:val="2"/>
                <w:szCs w:val="24"/>
                <w:highlight w:val="none"/>
              </w:rPr>
            </w:pPr>
            <w:r>
              <w:rPr>
                <w:rFonts w:hint="eastAsia" w:hAnsi="宋体"/>
                <w:color w:val="auto"/>
                <w:kern w:val="2"/>
                <w:szCs w:val="24"/>
                <w:highlight w:val="none"/>
              </w:rPr>
              <w:t>本项目不需提交履约保证金。</w:t>
            </w:r>
          </w:p>
          <w:p w14:paraId="7B5BCDBF">
            <w:pPr>
              <w:keepNext w:val="0"/>
              <w:keepLines w:val="0"/>
              <w:suppressLineNumbers w:val="0"/>
              <w:spacing w:before="0" w:beforeAutospacing="0" w:after="0" w:afterAutospacing="0" w:line="360" w:lineRule="auto"/>
              <w:ind w:left="0" w:right="0"/>
              <w:rPr>
                <w:rFonts w:hint="default" w:hAnsi="宋体"/>
                <w:color w:val="auto"/>
                <w:kern w:val="2"/>
                <w:szCs w:val="24"/>
                <w:highlight w:val="none"/>
              </w:rPr>
            </w:pPr>
            <w:r>
              <w:rPr>
                <w:rFonts w:hint="eastAsia" w:hAnsi="宋体"/>
                <w:color w:val="auto"/>
                <w:kern w:val="2"/>
                <w:szCs w:val="24"/>
                <w:highlight w:val="none"/>
              </w:rPr>
              <w:t>履约保证金的形式：</w:t>
            </w:r>
            <w:r>
              <w:rPr>
                <w:rFonts w:hint="default" w:hAnsi="宋体"/>
                <w:color w:val="auto"/>
                <w:kern w:val="2"/>
                <w:szCs w:val="24"/>
                <w:highlight w:val="none"/>
              </w:rPr>
              <w:t>/</w:t>
            </w:r>
            <w:r>
              <w:rPr>
                <w:rFonts w:hint="eastAsia" w:hAnsi="宋体"/>
                <w:color w:val="auto"/>
                <w:kern w:val="2"/>
                <w:szCs w:val="24"/>
                <w:highlight w:val="none"/>
              </w:rPr>
              <w:t>。</w:t>
            </w:r>
          </w:p>
          <w:p w14:paraId="509953C2">
            <w:pPr>
              <w:pStyle w:val="2"/>
              <w:keepNext w:val="0"/>
              <w:keepLines w:val="0"/>
              <w:suppressLineNumbers w:val="0"/>
              <w:spacing w:before="0" w:beforeAutospacing="0" w:after="0" w:afterAutospacing="0" w:line="240" w:lineRule="auto"/>
              <w:ind w:left="0" w:leftChars="0" w:right="0" w:rightChars="0"/>
              <w:jc w:val="left"/>
              <w:rPr>
                <w:rFonts w:hint="default" w:ascii="宋体" w:cs="宋体"/>
                <w:color w:val="auto"/>
                <w:kern w:val="0"/>
                <w:szCs w:val="21"/>
                <w:highlight w:val="none"/>
              </w:rPr>
            </w:pPr>
            <w:r>
              <w:rPr>
                <w:rFonts w:hint="eastAsia" w:ascii="宋体" w:hAnsi="宋体" w:cs="宋体"/>
                <w:color w:val="auto"/>
                <w:szCs w:val="24"/>
                <w:highlight w:val="none"/>
              </w:rPr>
              <w:t>履约保证金的金额：</w:t>
            </w:r>
            <w:r>
              <w:rPr>
                <w:rFonts w:hint="default" w:ascii="宋体" w:hAnsi="宋体" w:cs="宋体"/>
                <w:color w:val="auto"/>
                <w:szCs w:val="24"/>
                <w:highlight w:val="none"/>
              </w:rPr>
              <w:t>/</w:t>
            </w:r>
            <w:r>
              <w:rPr>
                <w:rFonts w:hint="eastAsia" w:ascii="宋体" w:hAnsi="宋体" w:cs="宋体"/>
                <w:color w:val="auto"/>
                <w:szCs w:val="24"/>
                <w:highlight w:val="none"/>
              </w:rPr>
              <w:t>。</w:t>
            </w:r>
          </w:p>
        </w:tc>
      </w:tr>
      <w:tr w14:paraId="5A6F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5862BF0B">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7.4.1</w:t>
            </w:r>
          </w:p>
        </w:tc>
        <w:tc>
          <w:tcPr>
            <w:tcW w:w="1481" w:type="dxa"/>
            <w:gridSpan w:val="2"/>
            <w:vAlign w:val="center"/>
          </w:tcPr>
          <w:p w14:paraId="167E652A">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合同签订</w:t>
            </w:r>
          </w:p>
        </w:tc>
        <w:tc>
          <w:tcPr>
            <w:tcW w:w="6310" w:type="dxa"/>
            <w:vAlign w:val="center"/>
          </w:tcPr>
          <w:p w14:paraId="55742123">
            <w:pPr>
              <w:keepNext w:val="0"/>
              <w:keepLines w:val="0"/>
              <w:suppressLineNumbers w:val="0"/>
              <w:spacing w:before="0" w:beforeAutospacing="0" w:after="0" w:afterAutospacing="0" w:line="360" w:lineRule="auto"/>
              <w:ind w:left="0" w:right="0"/>
              <w:rPr>
                <w:rFonts w:hint="default" w:hAnsi="宋体"/>
                <w:color w:val="auto"/>
                <w:highlight w:val="none"/>
              </w:rPr>
            </w:pPr>
            <w:r>
              <w:rPr>
                <w:rFonts w:hint="eastAsia" w:hAnsi="宋体"/>
                <w:b/>
                <w:color w:val="auto"/>
                <w:highlight w:val="none"/>
              </w:rPr>
              <w:t>中标单位需在中标</w:t>
            </w:r>
            <w:r>
              <w:rPr>
                <w:rFonts w:hint="default" w:hAnsi="宋体"/>
                <w:b/>
                <w:color w:val="auto"/>
                <w:highlight w:val="none"/>
              </w:rPr>
              <w:t>(</w:t>
            </w:r>
            <w:r>
              <w:rPr>
                <w:rFonts w:hint="eastAsia" w:hAnsi="宋体"/>
                <w:b/>
                <w:color w:val="auto"/>
                <w:highlight w:val="none"/>
              </w:rPr>
              <w:t>成交</w:t>
            </w:r>
            <w:r>
              <w:rPr>
                <w:rFonts w:hint="default" w:hAnsi="宋体"/>
                <w:b/>
                <w:color w:val="auto"/>
                <w:highlight w:val="none"/>
              </w:rPr>
              <w:t>)</w:t>
            </w:r>
            <w:r>
              <w:rPr>
                <w:rFonts w:hint="eastAsia" w:hAnsi="宋体"/>
                <w:b/>
                <w:color w:val="auto"/>
                <w:highlight w:val="none"/>
              </w:rPr>
              <w:t>通知书发出之日起25日内与采购人签订合同。</w:t>
            </w:r>
          </w:p>
        </w:tc>
      </w:tr>
      <w:tr w14:paraId="3310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0FC5C503">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10.2.1</w:t>
            </w:r>
          </w:p>
        </w:tc>
        <w:tc>
          <w:tcPr>
            <w:tcW w:w="1481" w:type="dxa"/>
            <w:gridSpan w:val="2"/>
            <w:vAlign w:val="center"/>
          </w:tcPr>
          <w:p w14:paraId="30641EDA">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质疑受理部门及质疑函接收方式</w:t>
            </w:r>
          </w:p>
        </w:tc>
        <w:tc>
          <w:tcPr>
            <w:tcW w:w="6310" w:type="dxa"/>
            <w:vAlign w:val="center"/>
          </w:tcPr>
          <w:p w14:paraId="2F45BCDD">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color w:val="auto"/>
                <w:highlight w:val="none"/>
              </w:rPr>
              <w:t>通过</w:t>
            </w:r>
            <w:r>
              <w:rPr>
                <w:rFonts w:hint="eastAsia" w:ascii="宋体" w:hAnsi="宋体" w:eastAsia="宋体" w:cs="宋体"/>
                <w:color w:val="auto"/>
                <w:kern w:val="2"/>
                <w:sz w:val="21"/>
                <w:szCs w:val="24"/>
                <w:highlight w:val="none"/>
                <w:lang w:val="en-US" w:eastAsia="zh-CN" w:bidi="ar"/>
              </w:rPr>
              <w:t>广西政府采购云平台</w:t>
            </w:r>
            <w:r>
              <w:rPr>
                <w:rFonts w:hint="eastAsia"/>
                <w:color w:val="auto"/>
                <w:highlight w:val="none"/>
              </w:rPr>
              <w:t>“质疑模块”提出质疑，质疑应符合《政府采购质疑和投诉办法》（财政部令第94号）规定。</w:t>
            </w:r>
          </w:p>
        </w:tc>
      </w:tr>
      <w:tr w14:paraId="6105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1D2C2C8D">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10.3.1</w:t>
            </w:r>
          </w:p>
        </w:tc>
        <w:tc>
          <w:tcPr>
            <w:tcW w:w="1481" w:type="dxa"/>
            <w:gridSpan w:val="2"/>
            <w:vAlign w:val="center"/>
          </w:tcPr>
          <w:p w14:paraId="2E4D1324">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投诉受理部门及联系方式</w:t>
            </w:r>
          </w:p>
        </w:tc>
        <w:tc>
          <w:tcPr>
            <w:tcW w:w="6310" w:type="dxa"/>
            <w:vAlign w:val="center"/>
          </w:tcPr>
          <w:p w14:paraId="57A24F7B">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受理部门：</w:t>
            </w:r>
            <w:r>
              <w:rPr>
                <w:rFonts w:hint="eastAsia" w:hAnsi="宋体" w:cs="Times New Roman"/>
                <w:color w:val="auto"/>
                <w:kern w:val="2"/>
                <w:sz w:val="21"/>
                <w:szCs w:val="21"/>
                <w:highlight w:val="none"/>
                <w:lang w:val="en-US" w:eastAsia="zh-CN" w:bidi="ar"/>
              </w:rPr>
              <w:t>贺州市八步区政府采购服务中心</w:t>
            </w:r>
            <w:r>
              <w:rPr>
                <w:rFonts w:hint="default" w:hAnsi="宋体"/>
                <w:color w:val="auto"/>
                <w:highlight w:val="none"/>
              </w:rPr>
              <w:t xml:space="preserve"> </w:t>
            </w:r>
            <w:r>
              <w:rPr>
                <w:rFonts w:hint="eastAsia" w:hAnsi="宋体"/>
                <w:color w:val="auto"/>
                <w:highlight w:val="none"/>
              </w:rPr>
              <w:t xml:space="preserve"> </w:t>
            </w:r>
          </w:p>
          <w:p w14:paraId="03A2ACA8">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联系电话：</w:t>
            </w:r>
            <w:r>
              <w:rPr>
                <w:rFonts w:hint="eastAsia" w:ascii="宋体" w:hAnsi="宋体" w:eastAsia="宋体" w:cs="Times New Roman"/>
                <w:color w:val="auto"/>
                <w:kern w:val="2"/>
                <w:sz w:val="21"/>
                <w:szCs w:val="21"/>
                <w:highlight w:val="none"/>
                <w:lang w:val="en-US" w:eastAsia="zh-CN" w:bidi="ar"/>
              </w:rPr>
              <w:t>0774-5281873</w:t>
            </w:r>
          </w:p>
        </w:tc>
      </w:tr>
      <w:tr w14:paraId="5DB9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714" w:type="dxa"/>
            <w:gridSpan w:val="4"/>
            <w:vAlign w:val="center"/>
          </w:tcPr>
          <w:p w14:paraId="0BD18D21">
            <w:pPr>
              <w:keepNext w:val="0"/>
              <w:keepLines w:val="0"/>
              <w:suppressLineNumbers w:val="0"/>
              <w:spacing w:before="0" w:beforeAutospacing="0" w:after="0" w:afterAutospacing="0" w:line="400" w:lineRule="exact"/>
              <w:ind w:left="0" w:right="0"/>
              <w:jc w:val="left"/>
              <w:rPr>
                <w:rFonts w:hint="default" w:hAnsi="宋体"/>
                <w:b/>
                <w:color w:val="auto"/>
                <w:highlight w:val="none"/>
              </w:rPr>
            </w:pPr>
            <w:r>
              <w:rPr>
                <w:rFonts w:hint="default" w:hAnsi="宋体"/>
                <w:b/>
                <w:color w:val="auto"/>
                <w:highlight w:val="none"/>
              </w:rPr>
              <w:t xml:space="preserve">11 </w:t>
            </w:r>
            <w:r>
              <w:rPr>
                <w:rFonts w:hint="eastAsia" w:hAnsi="宋体"/>
                <w:b/>
                <w:color w:val="auto"/>
                <w:highlight w:val="none"/>
              </w:rPr>
              <w:t>其他补充内容</w:t>
            </w:r>
          </w:p>
        </w:tc>
      </w:tr>
      <w:tr w14:paraId="5CE4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4" w:type="dxa"/>
            <w:gridSpan w:val="4"/>
            <w:vAlign w:val="center"/>
          </w:tcPr>
          <w:p w14:paraId="3321D699">
            <w:pPr>
              <w:keepNext w:val="0"/>
              <w:keepLines w:val="0"/>
              <w:suppressLineNumbers w:val="0"/>
              <w:spacing w:before="0" w:beforeAutospacing="0" w:after="0" w:afterAutospacing="0" w:line="400" w:lineRule="exact"/>
              <w:ind w:left="0" w:right="0"/>
              <w:rPr>
                <w:rFonts w:hint="default" w:hAnsi="宋体"/>
                <w:b/>
                <w:color w:val="auto"/>
                <w:highlight w:val="none"/>
              </w:rPr>
            </w:pPr>
            <w:r>
              <w:rPr>
                <w:rFonts w:hint="default" w:hAnsi="宋体"/>
                <w:b/>
                <w:color w:val="auto"/>
                <w:highlight w:val="none"/>
              </w:rPr>
              <w:t>11.1</w:t>
            </w:r>
            <w:r>
              <w:rPr>
                <w:rFonts w:hint="eastAsia" w:hAnsi="宋体"/>
                <w:b/>
                <w:color w:val="auto"/>
                <w:highlight w:val="none"/>
              </w:rPr>
              <w:t>词语释义</w:t>
            </w:r>
          </w:p>
        </w:tc>
      </w:tr>
      <w:tr w14:paraId="45FD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08644D52">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11.1.1</w:t>
            </w:r>
          </w:p>
        </w:tc>
        <w:tc>
          <w:tcPr>
            <w:tcW w:w="1481" w:type="dxa"/>
            <w:gridSpan w:val="2"/>
            <w:vAlign w:val="center"/>
          </w:tcPr>
          <w:p w14:paraId="11F2DBF8">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法人或者其他组织的营业执照等证明文件</w:t>
            </w:r>
          </w:p>
        </w:tc>
        <w:tc>
          <w:tcPr>
            <w:tcW w:w="6310" w:type="dxa"/>
            <w:vAlign w:val="center"/>
          </w:tcPr>
          <w:p w14:paraId="4E492083">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法人包括企业法人、机关法人、事业单位法人和社会团体法人；其他组织主要包括合伙企业、非企业专业服务机构、民办非企业单位、个体工商户、农村承包经营户等；</w:t>
            </w:r>
          </w:p>
          <w:p w14:paraId="7CE9AEC1">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如供应商为企业法人、合伙企业或个体工商户的，应具有登记管理机关核发的有效的营业执照；供应商为事业单位法人的，应具有有效的事业单位法人证书；供应商为社会团体法人，应具有登记管理机关核发的有效的社会团体登记证书；供应商为民办非企业单位的，应具有登记管理机关核发的有效民办非企业单位登记证书；供应商为非企业专业服务机构的，应具有执业许可证等证明文件。</w:t>
            </w:r>
          </w:p>
        </w:tc>
      </w:tr>
      <w:tr w14:paraId="3D17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236ED525">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11.1.2</w:t>
            </w:r>
          </w:p>
        </w:tc>
        <w:tc>
          <w:tcPr>
            <w:tcW w:w="1481" w:type="dxa"/>
            <w:gridSpan w:val="2"/>
            <w:vAlign w:val="center"/>
          </w:tcPr>
          <w:p w14:paraId="42D3ADF7">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法定代表人（负责人）</w:t>
            </w:r>
          </w:p>
        </w:tc>
        <w:tc>
          <w:tcPr>
            <w:tcW w:w="6310" w:type="dxa"/>
            <w:vAlign w:val="center"/>
          </w:tcPr>
          <w:p w14:paraId="077D8AE8">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本文所指的“法定代表人（负责人）”包括企业法人、机关单位法人、事业单位法人、社会团体法人的法定代表人，合伙企业的执行事务合伙人，民办非企业单位的法定代表人或单位负责人，个体工商户的经营者等代表单位行使职权的主要负责人。</w:t>
            </w:r>
          </w:p>
        </w:tc>
      </w:tr>
      <w:tr w14:paraId="6712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785FC09A">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11.1.3</w:t>
            </w:r>
          </w:p>
        </w:tc>
        <w:tc>
          <w:tcPr>
            <w:tcW w:w="1481" w:type="dxa"/>
            <w:gridSpan w:val="2"/>
            <w:vAlign w:val="center"/>
          </w:tcPr>
          <w:p w14:paraId="042977A8">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重大违法记录</w:t>
            </w:r>
          </w:p>
        </w:tc>
        <w:tc>
          <w:tcPr>
            <w:tcW w:w="6310" w:type="dxa"/>
            <w:vAlign w:val="center"/>
          </w:tcPr>
          <w:p w14:paraId="167639B1">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指供应商因违法经营受到刑事处罚或者责令停产停业、吊销许可证或者执照、较大数额罚款等行政处罚。</w:t>
            </w:r>
          </w:p>
        </w:tc>
      </w:tr>
      <w:tr w14:paraId="15C0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Merge w:val="restart"/>
            <w:vAlign w:val="center"/>
          </w:tcPr>
          <w:p w14:paraId="6FDD2F16">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11.1.4</w:t>
            </w:r>
          </w:p>
        </w:tc>
        <w:tc>
          <w:tcPr>
            <w:tcW w:w="1481" w:type="dxa"/>
            <w:gridSpan w:val="2"/>
            <w:vMerge w:val="restart"/>
            <w:vAlign w:val="center"/>
          </w:tcPr>
          <w:p w14:paraId="71595506">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中小企业</w:t>
            </w:r>
          </w:p>
        </w:tc>
        <w:tc>
          <w:tcPr>
            <w:tcW w:w="6310" w:type="dxa"/>
            <w:vAlign w:val="center"/>
          </w:tcPr>
          <w:p w14:paraId="23B36335">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b/>
                <w:color w:val="auto"/>
                <w:highlight w:val="none"/>
              </w:rPr>
              <w:t>采购标的对应的中小企业划分标准所属行业为：建筑业</w:t>
            </w:r>
          </w:p>
        </w:tc>
      </w:tr>
      <w:tr w14:paraId="6C8E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Merge w:val="continue"/>
            <w:vAlign w:val="center"/>
          </w:tcPr>
          <w:p w14:paraId="146E7CC6">
            <w:pPr>
              <w:keepNext w:val="0"/>
              <w:keepLines w:val="0"/>
              <w:suppressLineNumbers w:val="0"/>
              <w:spacing w:before="0" w:beforeAutospacing="0" w:after="0" w:afterAutospacing="0" w:line="400" w:lineRule="exact"/>
              <w:ind w:left="0" w:right="0"/>
              <w:jc w:val="center"/>
              <w:rPr>
                <w:rFonts w:hint="default" w:hAnsi="宋体"/>
                <w:color w:val="auto"/>
                <w:highlight w:val="none"/>
              </w:rPr>
            </w:pPr>
          </w:p>
        </w:tc>
        <w:tc>
          <w:tcPr>
            <w:tcW w:w="1481" w:type="dxa"/>
            <w:gridSpan w:val="2"/>
            <w:vMerge w:val="continue"/>
            <w:vAlign w:val="center"/>
          </w:tcPr>
          <w:p w14:paraId="26F8D79E">
            <w:pPr>
              <w:keepNext w:val="0"/>
              <w:keepLines w:val="0"/>
              <w:suppressLineNumbers w:val="0"/>
              <w:spacing w:before="0" w:beforeAutospacing="0" w:after="0" w:afterAutospacing="0" w:line="400" w:lineRule="exact"/>
              <w:ind w:left="0" w:right="0"/>
              <w:jc w:val="center"/>
              <w:rPr>
                <w:rFonts w:hint="default" w:hAnsi="宋体"/>
                <w:color w:val="auto"/>
                <w:highlight w:val="none"/>
              </w:rPr>
            </w:pPr>
          </w:p>
        </w:tc>
        <w:tc>
          <w:tcPr>
            <w:tcW w:w="6310" w:type="dxa"/>
            <w:vAlign w:val="center"/>
          </w:tcPr>
          <w:p w14:paraId="3639BD35">
            <w:pPr>
              <w:keepNext w:val="0"/>
              <w:keepLines w:val="0"/>
              <w:suppressLineNumbers w:val="0"/>
              <w:spacing w:before="0" w:beforeAutospacing="0" w:after="0" w:afterAutospacing="0" w:line="400" w:lineRule="exact"/>
              <w:ind w:left="0" w:right="0"/>
              <w:rPr>
                <w:rFonts w:hint="default"/>
                <w:color w:val="auto"/>
                <w:highlight w:val="none"/>
              </w:rPr>
            </w:pPr>
            <w:r>
              <w:rPr>
                <w:rFonts w:hint="eastAsia"/>
                <w:color w:val="auto"/>
                <w:highlight w:val="none"/>
              </w:rPr>
              <w:t>本文所指中小企业系指《政府采购促进中小企业发展管理办法》（财库﹝</w:t>
            </w:r>
            <w:r>
              <w:rPr>
                <w:rFonts w:hint="default"/>
                <w:color w:val="auto"/>
                <w:highlight w:val="none"/>
              </w:rPr>
              <w:t>2020</w:t>
            </w:r>
            <w:r>
              <w:rPr>
                <w:rFonts w:hint="eastAsia"/>
                <w:color w:val="auto"/>
                <w:highlight w:val="none"/>
              </w:rPr>
              <w:t>﹞</w:t>
            </w:r>
            <w:r>
              <w:rPr>
                <w:rFonts w:hint="default"/>
                <w:color w:val="auto"/>
                <w:highlight w:val="none"/>
              </w:rPr>
              <w:t>46</w:t>
            </w:r>
            <w:r>
              <w:rPr>
                <w:rFonts w:hint="eastAsia"/>
                <w:color w:val="auto"/>
                <w:highlight w:val="none"/>
              </w:rPr>
              <w:t>号）中规定的中小企业；</w:t>
            </w:r>
          </w:p>
          <w:p w14:paraId="136BD6E1">
            <w:pPr>
              <w:keepNext w:val="0"/>
              <w:keepLines w:val="0"/>
              <w:suppressLineNumbers w:val="0"/>
              <w:spacing w:before="0" w:beforeAutospacing="0" w:after="0" w:afterAutospacing="0" w:line="400" w:lineRule="exact"/>
              <w:ind w:left="0" w:right="0"/>
              <w:rPr>
                <w:rFonts w:hint="default"/>
                <w:color w:val="auto"/>
                <w:highlight w:val="none"/>
              </w:rPr>
            </w:pPr>
            <w:r>
              <w:rPr>
                <w:rFonts w:hint="eastAsia"/>
                <w:color w:val="auto"/>
                <w:highlight w:val="none"/>
              </w:rPr>
              <w:t>中小企业参加政府采购活动，应当出具符合《政府采购促进中小企业发展管理办法》（财库﹝</w:t>
            </w:r>
            <w:r>
              <w:rPr>
                <w:rFonts w:hint="default"/>
                <w:color w:val="auto"/>
                <w:highlight w:val="none"/>
              </w:rPr>
              <w:t>2020</w:t>
            </w:r>
            <w:r>
              <w:rPr>
                <w:rFonts w:hint="eastAsia"/>
                <w:color w:val="auto"/>
                <w:highlight w:val="none"/>
              </w:rPr>
              <w:t>﹞</w:t>
            </w:r>
            <w:r>
              <w:rPr>
                <w:rFonts w:hint="default"/>
                <w:color w:val="auto"/>
                <w:highlight w:val="none"/>
              </w:rPr>
              <w:t>46</w:t>
            </w:r>
            <w:r>
              <w:rPr>
                <w:rFonts w:hint="eastAsia"/>
                <w:color w:val="auto"/>
                <w:highlight w:val="none"/>
              </w:rPr>
              <w:t>号）规定的《中小企业声明函》，否则不得享受相关中小企业扶持政策。《中小企业声明函》格式见第六章。</w:t>
            </w:r>
          </w:p>
          <w:p w14:paraId="108C5C0A">
            <w:pPr>
              <w:pStyle w:val="2"/>
              <w:keepNext w:val="0"/>
              <w:keepLines w:val="0"/>
              <w:suppressLineNumbers w:val="0"/>
              <w:spacing w:before="0" w:beforeAutospacing="0" w:afterAutospacing="0"/>
              <w:ind w:left="63" w:right="63"/>
              <w:jc w:val="left"/>
              <w:rPr>
                <w:rFonts w:hint="default"/>
                <w:color w:val="auto"/>
                <w:highlight w:val="none"/>
              </w:rPr>
            </w:pPr>
            <w:r>
              <w:rPr>
                <w:rFonts w:hint="eastAsia" w:ascii="宋体"/>
                <w:b/>
                <w:color w:val="auto"/>
                <w:highlight w:val="none"/>
              </w:rPr>
              <w:t>备注：供应商可通过国务院客户端和工业和信息化部网站上中小企业规模类型自测小程序识别企业规模类型。</w:t>
            </w:r>
          </w:p>
        </w:tc>
      </w:tr>
      <w:tr w14:paraId="2886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04EB0C7C">
            <w:pPr>
              <w:keepNext w:val="0"/>
              <w:keepLines w:val="0"/>
              <w:suppressLineNumbers w:val="0"/>
              <w:spacing w:before="0" w:beforeAutospacing="0" w:after="0" w:afterAutospacing="0" w:line="360" w:lineRule="auto"/>
              <w:ind w:left="0" w:right="0"/>
              <w:jc w:val="center"/>
              <w:rPr>
                <w:rFonts w:hint="default" w:hAnsi="宋体"/>
                <w:color w:val="auto"/>
                <w:highlight w:val="none"/>
              </w:rPr>
            </w:pPr>
            <w:r>
              <w:rPr>
                <w:rFonts w:hint="default" w:hAnsi="宋体"/>
                <w:color w:val="auto"/>
                <w:highlight w:val="none"/>
              </w:rPr>
              <w:t>11.1.5</w:t>
            </w:r>
          </w:p>
        </w:tc>
        <w:tc>
          <w:tcPr>
            <w:tcW w:w="1481" w:type="dxa"/>
            <w:gridSpan w:val="2"/>
            <w:vAlign w:val="center"/>
          </w:tcPr>
          <w:p w14:paraId="7666FCAE">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残疾人企业</w:t>
            </w:r>
          </w:p>
        </w:tc>
        <w:tc>
          <w:tcPr>
            <w:tcW w:w="6310" w:type="dxa"/>
            <w:vAlign w:val="center"/>
          </w:tcPr>
          <w:p w14:paraId="67B8F486">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本文所指残疾人企业应满足以下要求：</w:t>
            </w:r>
          </w:p>
          <w:p w14:paraId="1D2A4473">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w:t>
            </w:r>
            <w:r>
              <w:rPr>
                <w:rFonts w:hint="default" w:hAnsi="宋体"/>
                <w:color w:val="auto"/>
                <w:highlight w:val="none"/>
              </w:rPr>
              <w:t>1</w:t>
            </w:r>
            <w:r>
              <w:rPr>
                <w:rFonts w:hint="eastAsia" w:hAnsi="宋体"/>
                <w:color w:val="auto"/>
                <w:highlight w:val="none"/>
              </w:rPr>
              <w:t>）根据《三部门联合发布关于促进残疾人就业政府采购政策的通知》（财库〔</w:t>
            </w:r>
            <w:r>
              <w:rPr>
                <w:rFonts w:hint="default" w:hAnsi="宋体"/>
                <w:color w:val="auto"/>
                <w:highlight w:val="none"/>
              </w:rPr>
              <w:t>2017</w:t>
            </w:r>
            <w:r>
              <w:rPr>
                <w:rFonts w:hint="eastAsia" w:hAnsi="宋体"/>
                <w:color w:val="auto"/>
                <w:highlight w:val="none"/>
              </w:rPr>
              <w:t>〕</w:t>
            </w:r>
            <w:r>
              <w:rPr>
                <w:rFonts w:hint="default" w:hAnsi="宋体"/>
                <w:color w:val="auto"/>
                <w:highlight w:val="none"/>
              </w:rPr>
              <w:t>141</w:t>
            </w:r>
            <w:r>
              <w:rPr>
                <w:rFonts w:hint="eastAsia" w:hAnsi="宋体"/>
                <w:color w:val="auto"/>
                <w:highlight w:val="none"/>
              </w:rPr>
              <w:t>号）被划分为享受政府采购支持政策的残疾人福利性单位,如有，须提供残疾人福利性单位声明函；</w:t>
            </w:r>
          </w:p>
          <w:p w14:paraId="0B8793E0">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w:t>
            </w:r>
            <w:r>
              <w:rPr>
                <w:rFonts w:hint="default" w:hAnsi="宋体"/>
                <w:color w:val="auto"/>
                <w:highlight w:val="none"/>
              </w:rPr>
              <w:t>2</w:t>
            </w:r>
            <w:r>
              <w:rPr>
                <w:rFonts w:hint="eastAsia" w:hAnsi="宋体"/>
                <w:color w:val="auto"/>
                <w:highlight w:val="none"/>
              </w:rPr>
              <w:t>）提供本单位制造的货物、承担的工程或者服务（以下简称产品），或者提供其他残疾人福利性单位制造的货物（不包括使用非残疾人福利性单位注册商标的货物）。</w:t>
            </w:r>
          </w:p>
        </w:tc>
      </w:tr>
      <w:tr w14:paraId="7A3F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1FE7F857">
            <w:pPr>
              <w:keepNext w:val="0"/>
              <w:keepLines w:val="0"/>
              <w:suppressLineNumbers w:val="0"/>
              <w:spacing w:before="0" w:beforeAutospacing="0" w:after="0" w:afterAutospacing="0" w:line="360" w:lineRule="auto"/>
              <w:ind w:left="0" w:right="0"/>
              <w:jc w:val="center"/>
              <w:rPr>
                <w:rFonts w:hint="default" w:hAnsi="宋体"/>
                <w:color w:val="auto"/>
                <w:highlight w:val="none"/>
              </w:rPr>
            </w:pPr>
            <w:r>
              <w:rPr>
                <w:rFonts w:hint="default" w:hAnsi="宋体"/>
                <w:color w:val="auto"/>
                <w:highlight w:val="none"/>
              </w:rPr>
              <w:t>11.1.6</w:t>
            </w:r>
          </w:p>
        </w:tc>
        <w:tc>
          <w:tcPr>
            <w:tcW w:w="1481" w:type="dxa"/>
            <w:gridSpan w:val="2"/>
            <w:vAlign w:val="center"/>
          </w:tcPr>
          <w:p w14:paraId="5419E424">
            <w:pPr>
              <w:keepNext w:val="0"/>
              <w:keepLines w:val="0"/>
              <w:suppressLineNumbers w:val="0"/>
              <w:spacing w:before="0" w:beforeAutospacing="0" w:after="0" w:afterAutospacing="0" w:line="360" w:lineRule="auto"/>
              <w:ind w:left="0" w:right="0"/>
              <w:jc w:val="center"/>
              <w:rPr>
                <w:rFonts w:hint="default" w:hAnsi="宋体"/>
                <w:color w:val="auto"/>
                <w:highlight w:val="none"/>
              </w:rPr>
            </w:pPr>
            <w:r>
              <w:rPr>
                <w:rFonts w:hint="eastAsia" w:hAnsi="宋体"/>
                <w:color w:val="auto"/>
                <w:highlight w:val="none"/>
              </w:rPr>
              <w:t>监狱企业</w:t>
            </w:r>
          </w:p>
        </w:tc>
        <w:tc>
          <w:tcPr>
            <w:tcW w:w="6310" w:type="dxa"/>
            <w:vAlign w:val="center"/>
          </w:tcPr>
          <w:p w14:paraId="7F8DD283">
            <w:pPr>
              <w:keepNext w:val="0"/>
              <w:keepLines w:val="0"/>
              <w:suppressLineNumbers w:val="0"/>
              <w:spacing w:before="0" w:beforeAutospacing="0" w:after="0" w:afterAutospacing="0" w:line="360" w:lineRule="auto"/>
              <w:ind w:left="0" w:right="0"/>
              <w:rPr>
                <w:rFonts w:hint="default" w:hAnsi="宋体"/>
                <w:color w:val="auto"/>
                <w:highlight w:val="none"/>
              </w:rPr>
            </w:pPr>
            <w:r>
              <w:rPr>
                <w:rFonts w:hint="eastAsia" w:hAnsi="宋体"/>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如有，须提供由省级以上监狱管理局、戒毒管理局（含新疆生产建设兵团）出具的监狱企业的证明文件</w:t>
            </w:r>
            <w:r>
              <w:rPr>
                <w:rFonts w:hint="eastAsia" w:hAnsi="宋体"/>
                <w:color w:val="auto"/>
                <w:highlight w:val="none"/>
                <w:lang w:eastAsia="zh-CN"/>
              </w:rPr>
              <w:t>扫描件</w:t>
            </w:r>
            <w:r>
              <w:rPr>
                <w:rFonts w:hint="eastAsia" w:hAnsi="宋体"/>
                <w:color w:val="auto"/>
                <w:highlight w:val="none"/>
              </w:rPr>
              <w:t>。</w:t>
            </w:r>
          </w:p>
        </w:tc>
      </w:tr>
      <w:tr w14:paraId="0DF9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714" w:type="dxa"/>
            <w:gridSpan w:val="4"/>
            <w:vAlign w:val="center"/>
          </w:tcPr>
          <w:p w14:paraId="099C1340">
            <w:pPr>
              <w:keepNext w:val="0"/>
              <w:keepLines w:val="0"/>
              <w:suppressLineNumbers w:val="0"/>
              <w:spacing w:before="0" w:beforeAutospacing="0" w:after="0" w:afterAutospacing="0" w:line="400" w:lineRule="exact"/>
              <w:ind w:left="0" w:right="0"/>
              <w:jc w:val="left"/>
              <w:rPr>
                <w:rFonts w:hint="default" w:hAnsi="宋体"/>
                <w:b/>
                <w:color w:val="auto"/>
                <w:highlight w:val="none"/>
              </w:rPr>
            </w:pPr>
            <w:r>
              <w:rPr>
                <w:rFonts w:hint="default" w:hAnsi="宋体"/>
                <w:b/>
                <w:color w:val="auto"/>
                <w:highlight w:val="none"/>
              </w:rPr>
              <w:t>11.2</w:t>
            </w:r>
            <w:r>
              <w:rPr>
                <w:rFonts w:hint="eastAsia" w:hAnsi="宋体"/>
                <w:b/>
                <w:color w:val="auto"/>
                <w:highlight w:val="none"/>
              </w:rPr>
              <w:t>知识产权</w:t>
            </w:r>
          </w:p>
        </w:tc>
      </w:tr>
      <w:tr w14:paraId="6056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23" w:type="dxa"/>
            <w:vAlign w:val="center"/>
          </w:tcPr>
          <w:p w14:paraId="192E89E1">
            <w:pPr>
              <w:keepNext w:val="0"/>
              <w:keepLines w:val="0"/>
              <w:suppressLineNumbers w:val="0"/>
              <w:spacing w:before="0" w:beforeAutospacing="0" w:after="0" w:afterAutospacing="0" w:line="400" w:lineRule="exact"/>
              <w:ind w:left="0" w:right="0"/>
              <w:jc w:val="center"/>
              <w:rPr>
                <w:rFonts w:hint="default" w:hAnsi="宋体"/>
                <w:color w:val="auto"/>
                <w:highlight w:val="none"/>
              </w:rPr>
            </w:pPr>
          </w:p>
        </w:tc>
        <w:tc>
          <w:tcPr>
            <w:tcW w:w="7791" w:type="dxa"/>
            <w:gridSpan w:val="3"/>
            <w:vAlign w:val="center"/>
          </w:tcPr>
          <w:p w14:paraId="57CD00D7">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构成本磋商文件各个组成部分的文件，未经采购人书面同意，供应商不得擅自复印和用于非本采购项目所需的其他目的。</w:t>
            </w:r>
          </w:p>
        </w:tc>
      </w:tr>
      <w:tr w14:paraId="7633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4" w:type="dxa"/>
            <w:gridSpan w:val="4"/>
            <w:vAlign w:val="center"/>
          </w:tcPr>
          <w:p w14:paraId="346CE3F3">
            <w:pPr>
              <w:keepNext w:val="0"/>
              <w:keepLines w:val="0"/>
              <w:suppressLineNumbers w:val="0"/>
              <w:spacing w:before="0" w:beforeAutospacing="0" w:after="0" w:afterAutospacing="0" w:line="400" w:lineRule="exact"/>
              <w:ind w:left="0" w:right="0"/>
              <w:jc w:val="left"/>
              <w:rPr>
                <w:rFonts w:hint="default" w:hAnsi="宋体"/>
                <w:b/>
                <w:color w:val="auto"/>
                <w:highlight w:val="none"/>
              </w:rPr>
            </w:pPr>
            <w:r>
              <w:rPr>
                <w:rFonts w:hint="default" w:hAnsi="宋体"/>
                <w:b/>
                <w:color w:val="auto"/>
                <w:highlight w:val="none"/>
              </w:rPr>
              <w:t>11.3</w:t>
            </w:r>
            <w:r>
              <w:rPr>
                <w:rFonts w:hint="eastAsia" w:hAnsi="宋体"/>
                <w:b/>
                <w:color w:val="auto"/>
                <w:highlight w:val="none"/>
              </w:rPr>
              <w:t>解释权</w:t>
            </w:r>
          </w:p>
        </w:tc>
      </w:tr>
      <w:tr w14:paraId="517B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23" w:type="dxa"/>
            <w:vAlign w:val="center"/>
          </w:tcPr>
          <w:p w14:paraId="47942B80">
            <w:pPr>
              <w:keepNext w:val="0"/>
              <w:keepLines w:val="0"/>
              <w:suppressLineNumbers w:val="0"/>
              <w:spacing w:before="0" w:beforeAutospacing="0" w:after="0" w:afterAutospacing="0" w:line="400" w:lineRule="exact"/>
              <w:ind w:left="0" w:right="0"/>
              <w:jc w:val="center"/>
              <w:rPr>
                <w:rFonts w:hint="default" w:hAnsi="宋体"/>
                <w:color w:val="auto"/>
                <w:highlight w:val="none"/>
              </w:rPr>
            </w:pPr>
          </w:p>
        </w:tc>
        <w:tc>
          <w:tcPr>
            <w:tcW w:w="7791" w:type="dxa"/>
            <w:gridSpan w:val="3"/>
            <w:vAlign w:val="center"/>
          </w:tcPr>
          <w:p w14:paraId="6190FA2E">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构成本磋商文件的各个组成文件应互为解释，互为说明；如有不明确或不一致，构成合同文件组成内容的，以合同文件约定内容为准；除磋商文件中有特别规定外，仅适用于采购响应阶段的规定，按澄清或修改文件、竞争性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代理机构负责解释。</w:t>
            </w:r>
          </w:p>
        </w:tc>
      </w:tr>
      <w:tr w14:paraId="1FD7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714" w:type="dxa"/>
            <w:gridSpan w:val="4"/>
            <w:vAlign w:val="center"/>
          </w:tcPr>
          <w:p w14:paraId="404785AC">
            <w:pPr>
              <w:keepNext w:val="0"/>
              <w:keepLines w:val="0"/>
              <w:suppressLineNumbers w:val="0"/>
              <w:spacing w:before="0" w:beforeAutospacing="0" w:after="0" w:afterAutospacing="0" w:line="400" w:lineRule="exact"/>
              <w:ind w:left="0" w:right="0"/>
              <w:jc w:val="left"/>
              <w:rPr>
                <w:rFonts w:hint="default" w:hAnsi="宋体"/>
                <w:b/>
                <w:color w:val="auto"/>
                <w:highlight w:val="none"/>
              </w:rPr>
            </w:pPr>
            <w:r>
              <w:rPr>
                <w:rFonts w:hint="default" w:hAnsi="宋体"/>
                <w:b/>
                <w:color w:val="auto"/>
                <w:highlight w:val="none"/>
              </w:rPr>
              <w:t>11.4</w:t>
            </w:r>
            <w:r>
              <w:rPr>
                <w:rFonts w:hint="eastAsia" w:hAnsi="宋体"/>
                <w:b/>
                <w:color w:val="auto"/>
                <w:highlight w:val="none"/>
              </w:rPr>
              <w:t>供应商信用信息查询</w:t>
            </w:r>
          </w:p>
        </w:tc>
      </w:tr>
      <w:tr w14:paraId="47AA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69C24B4C">
            <w:pPr>
              <w:keepNext w:val="0"/>
              <w:keepLines w:val="0"/>
              <w:suppressLineNumbers w:val="0"/>
              <w:spacing w:before="0" w:beforeAutospacing="0" w:after="0" w:afterAutospacing="0" w:line="400" w:lineRule="exact"/>
              <w:ind w:left="0" w:right="0"/>
              <w:jc w:val="center"/>
              <w:rPr>
                <w:rFonts w:hint="default" w:hAnsi="宋体"/>
                <w:color w:val="auto"/>
                <w:highlight w:val="none"/>
              </w:rPr>
            </w:pPr>
          </w:p>
        </w:tc>
        <w:tc>
          <w:tcPr>
            <w:tcW w:w="7791" w:type="dxa"/>
            <w:gridSpan w:val="3"/>
            <w:vAlign w:val="center"/>
          </w:tcPr>
          <w:p w14:paraId="56284943">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b/>
                <w:color w:val="auto"/>
                <w:highlight w:val="none"/>
              </w:rPr>
              <w:t>查询渠道</w:t>
            </w:r>
            <w:r>
              <w:rPr>
                <w:rFonts w:hint="eastAsia" w:hAnsi="宋体"/>
                <w:color w:val="auto"/>
                <w:highlight w:val="none"/>
              </w:rPr>
              <w:t>：“信用中国”网站</w:t>
            </w:r>
            <w:r>
              <w:rPr>
                <w:rFonts w:hint="default" w:hAnsi="宋体"/>
                <w:color w:val="auto"/>
                <w:highlight w:val="none"/>
              </w:rPr>
              <w:t>(www.creditchina.gov.cn)</w:t>
            </w:r>
            <w:r>
              <w:rPr>
                <w:rFonts w:hint="eastAsia" w:hAnsi="宋体"/>
                <w:color w:val="auto"/>
                <w:highlight w:val="none"/>
              </w:rPr>
              <w:t>、中国政府采购网</w:t>
            </w:r>
            <w:r>
              <w:rPr>
                <w:rFonts w:hint="default" w:hAnsi="宋体"/>
                <w:color w:val="auto"/>
                <w:highlight w:val="none"/>
              </w:rPr>
              <w:t>(www.ccgp.gov.cn)</w:t>
            </w:r>
            <w:r>
              <w:rPr>
                <w:rFonts w:hint="eastAsia" w:hAnsi="宋体"/>
                <w:color w:val="auto"/>
                <w:highlight w:val="none"/>
              </w:rPr>
              <w:t>。</w:t>
            </w:r>
          </w:p>
          <w:p w14:paraId="724765A5">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b/>
                <w:color w:val="auto"/>
                <w:highlight w:val="none"/>
              </w:rPr>
              <w:t>查询时间</w:t>
            </w:r>
            <w:r>
              <w:rPr>
                <w:rFonts w:hint="eastAsia" w:hAnsi="宋体"/>
                <w:color w:val="auto"/>
                <w:highlight w:val="none"/>
              </w:rPr>
              <w:t>：资格审查阶段。</w:t>
            </w:r>
          </w:p>
          <w:p w14:paraId="7583028E">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b/>
                <w:color w:val="auto"/>
                <w:highlight w:val="none"/>
              </w:rPr>
              <w:t>查询记录和证据留存方式</w:t>
            </w:r>
            <w:r>
              <w:rPr>
                <w:rFonts w:hint="eastAsia" w:hAnsi="宋体"/>
                <w:color w:val="auto"/>
                <w:highlight w:val="none"/>
              </w:rPr>
              <w:t>：打印查询结果网页界面，打印材料作为评审资料保存。</w:t>
            </w:r>
          </w:p>
          <w:p w14:paraId="655EF74F">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b/>
                <w:color w:val="auto"/>
                <w:highlight w:val="none"/>
              </w:rPr>
              <w:t>信用信息使用规则</w:t>
            </w:r>
            <w:r>
              <w:rPr>
                <w:rFonts w:hint="eastAsia" w:hAnsi="宋体"/>
                <w:color w:val="auto"/>
                <w:highlight w:val="none"/>
              </w:rPr>
              <w:t>：经查询，被列入失信被执行人、重大税收违法案件当事人名单、政府采购严重违法失信行为记录名单的供应商，资格审查不通过。</w:t>
            </w:r>
          </w:p>
          <w:p w14:paraId="12B072E0">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b/>
                <w:color w:val="auto"/>
                <w:highlight w:val="none"/>
              </w:rPr>
              <w:t>备注</w:t>
            </w:r>
            <w:r>
              <w:rPr>
                <w:rFonts w:hint="eastAsia" w:hAnsi="宋体"/>
                <w:color w:val="auto"/>
                <w:highlight w:val="none"/>
              </w:rPr>
              <w:t>：本章</w:t>
            </w:r>
            <w:r>
              <w:rPr>
                <w:rFonts w:hint="default" w:hAnsi="宋体"/>
                <w:color w:val="auto"/>
                <w:highlight w:val="none"/>
              </w:rPr>
              <w:t>1.3.2</w:t>
            </w:r>
            <w:r>
              <w:rPr>
                <w:rFonts w:hint="eastAsia" w:hAnsi="宋体"/>
                <w:color w:val="auto"/>
                <w:highlight w:val="none"/>
              </w:rPr>
              <w:t>项规定接受联合体投标的，对所有联合体成员进行信用记录查询，联合体成员存在不良信用记录的，视同联合体存在不良信用记录。</w:t>
            </w:r>
          </w:p>
        </w:tc>
      </w:tr>
      <w:tr w14:paraId="121B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4" w:type="dxa"/>
            <w:gridSpan w:val="4"/>
            <w:vAlign w:val="center"/>
          </w:tcPr>
          <w:p w14:paraId="216E618B">
            <w:pPr>
              <w:keepNext w:val="0"/>
              <w:keepLines w:val="0"/>
              <w:suppressLineNumbers w:val="0"/>
              <w:spacing w:before="0" w:beforeAutospacing="0" w:after="0" w:afterAutospacing="0" w:line="400" w:lineRule="exact"/>
              <w:ind w:left="0" w:right="0"/>
              <w:jc w:val="left"/>
              <w:rPr>
                <w:rFonts w:hint="default" w:hAnsi="宋体"/>
                <w:b/>
                <w:color w:val="auto"/>
                <w:highlight w:val="none"/>
              </w:rPr>
            </w:pPr>
            <w:r>
              <w:rPr>
                <w:rFonts w:hint="default" w:hAnsi="宋体"/>
                <w:b/>
                <w:color w:val="auto"/>
                <w:highlight w:val="none"/>
              </w:rPr>
              <w:t>11.5</w:t>
            </w:r>
            <w:r>
              <w:rPr>
                <w:rFonts w:hint="eastAsia" w:hAnsi="宋体"/>
                <w:b/>
                <w:color w:val="auto"/>
                <w:highlight w:val="none"/>
              </w:rPr>
              <w:t>同义词</w:t>
            </w:r>
          </w:p>
        </w:tc>
      </w:tr>
      <w:tr w14:paraId="0EAA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6F541642">
            <w:pPr>
              <w:keepNext w:val="0"/>
              <w:keepLines w:val="0"/>
              <w:suppressLineNumbers w:val="0"/>
              <w:spacing w:before="0" w:beforeAutospacing="0" w:after="0" w:afterAutospacing="0" w:line="400" w:lineRule="exact"/>
              <w:ind w:left="0" w:right="0"/>
              <w:jc w:val="center"/>
              <w:rPr>
                <w:rFonts w:hint="default" w:hAnsi="宋体"/>
                <w:color w:val="auto"/>
                <w:highlight w:val="none"/>
              </w:rPr>
            </w:pPr>
          </w:p>
        </w:tc>
        <w:tc>
          <w:tcPr>
            <w:tcW w:w="7791" w:type="dxa"/>
            <w:gridSpan w:val="3"/>
            <w:vAlign w:val="center"/>
          </w:tcPr>
          <w:p w14:paraId="7411EAD5">
            <w:pPr>
              <w:pStyle w:val="141"/>
              <w:keepNext w:val="0"/>
              <w:keepLines w:val="0"/>
              <w:numPr>
                <w:ilvl w:val="0"/>
                <w:numId w:val="4"/>
              </w:numPr>
              <w:suppressLineNumbers w:val="0"/>
              <w:spacing w:before="0" w:beforeAutospacing="0" w:after="0" w:afterAutospacing="0" w:line="400" w:lineRule="exact"/>
              <w:ind w:left="0" w:right="0" w:firstLine="0" w:firstLineChars="0"/>
              <w:rPr>
                <w:rFonts w:hint="default" w:ascii="宋体"/>
                <w:color w:val="auto"/>
                <w:highlight w:val="none"/>
              </w:rPr>
            </w:pPr>
            <w:r>
              <w:rPr>
                <w:rFonts w:hint="eastAsia" w:ascii="宋体" w:hAnsi="宋体"/>
                <w:color w:val="auto"/>
                <w:highlight w:val="none"/>
              </w:rPr>
              <w:t>本文件中出现的措辞“招标文件”与“磋商文件”，“招标人”与“采购人”，“投标人”与“供应商”具有相同含义；</w:t>
            </w:r>
          </w:p>
          <w:p w14:paraId="6B297B85">
            <w:pPr>
              <w:pStyle w:val="141"/>
              <w:keepNext w:val="0"/>
              <w:keepLines w:val="0"/>
              <w:numPr>
                <w:ilvl w:val="0"/>
                <w:numId w:val="4"/>
              </w:numPr>
              <w:suppressLineNumbers w:val="0"/>
              <w:spacing w:before="0" w:beforeAutospacing="0" w:after="0" w:afterAutospacing="0" w:line="400" w:lineRule="exact"/>
              <w:ind w:left="0" w:right="0" w:firstLine="0" w:firstLineChars="0"/>
              <w:rPr>
                <w:rFonts w:hint="default" w:ascii="宋体"/>
                <w:b/>
                <w:color w:val="auto"/>
                <w:highlight w:val="none"/>
              </w:rPr>
            </w:pPr>
            <w:r>
              <w:rPr>
                <w:rFonts w:hint="eastAsia" w:ascii="宋体" w:hAnsi="宋体"/>
                <w:color w:val="auto"/>
                <w:highlight w:val="none"/>
              </w:rPr>
              <w:t>构成招标文件组成部分的“通用合同条款”、“专用合同条款”、“技术标准和要求”和“工程量清单”等章节中出现的措辞“发包人”和“承包人”，在招标采购阶段应当分别按“采购人”和“供应商”进行理解。</w:t>
            </w:r>
          </w:p>
        </w:tc>
      </w:tr>
      <w:tr w14:paraId="6F11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4" w:type="dxa"/>
            <w:gridSpan w:val="4"/>
            <w:vAlign w:val="center"/>
          </w:tcPr>
          <w:p w14:paraId="6E99D426">
            <w:pPr>
              <w:keepNext w:val="0"/>
              <w:keepLines w:val="0"/>
              <w:suppressLineNumbers w:val="0"/>
              <w:spacing w:before="0" w:beforeAutospacing="0" w:after="0" w:afterAutospacing="0" w:line="400" w:lineRule="exact"/>
              <w:ind w:left="0" w:right="0"/>
              <w:jc w:val="left"/>
              <w:rPr>
                <w:rFonts w:hint="default" w:hAnsi="宋体"/>
                <w:b/>
                <w:color w:val="auto"/>
                <w:highlight w:val="none"/>
              </w:rPr>
            </w:pPr>
            <w:r>
              <w:rPr>
                <w:rFonts w:hint="default" w:hAnsi="宋体"/>
                <w:b/>
                <w:color w:val="auto"/>
                <w:highlight w:val="none"/>
              </w:rPr>
              <w:t>11.6</w:t>
            </w:r>
            <w:r>
              <w:rPr>
                <w:rFonts w:hint="eastAsia" w:hAnsi="宋体"/>
                <w:b/>
                <w:color w:val="auto"/>
                <w:highlight w:val="none"/>
              </w:rPr>
              <w:t>采购人补充的其他内容</w:t>
            </w:r>
          </w:p>
        </w:tc>
      </w:tr>
      <w:tr w14:paraId="6BB0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23" w:type="dxa"/>
            <w:vAlign w:val="center"/>
          </w:tcPr>
          <w:p w14:paraId="4C3B0568">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ascii="宋体" w:hAnsi="宋体" w:eastAsia="宋体" w:cs="Times New Roman"/>
                <w:color w:val="auto"/>
                <w:kern w:val="2"/>
                <w:sz w:val="21"/>
                <w:szCs w:val="24"/>
                <w:highlight w:val="none"/>
                <w:lang w:val="en-US" w:eastAsia="zh-CN" w:bidi="ar"/>
              </w:rPr>
              <w:t>11.6.1</w:t>
            </w:r>
          </w:p>
        </w:tc>
        <w:tc>
          <w:tcPr>
            <w:tcW w:w="1450" w:type="dxa"/>
            <w:vAlign w:val="center"/>
          </w:tcPr>
          <w:p w14:paraId="0EC58E89">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代理服务费</w:t>
            </w:r>
          </w:p>
        </w:tc>
        <w:tc>
          <w:tcPr>
            <w:tcW w:w="6341" w:type="dxa"/>
            <w:gridSpan w:val="2"/>
            <w:vAlign w:val="center"/>
          </w:tcPr>
          <w:p w14:paraId="01F06650">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成交服务费：采购代理费由成交人支付。按差额定率累进法计算，具体区间费率为：本项目的采购代理费按</w:t>
            </w:r>
            <w:r>
              <w:rPr>
                <w:rFonts w:hint="default" w:hAnsi="宋体"/>
                <w:color w:val="auto"/>
                <w:highlight w:val="none"/>
              </w:rPr>
              <w:t>100</w:t>
            </w:r>
            <w:r>
              <w:rPr>
                <w:rFonts w:hint="eastAsia" w:hAnsi="宋体"/>
                <w:color w:val="auto"/>
                <w:highlight w:val="none"/>
              </w:rPr>
              <w:t>万元以下</w:t>
            </w:r>
            <w:r>
              <w:rPr>
                <w:rFonts w:hint="default" w:hAnsi="宋体"/>
                <w:color w:val="auto"/>
                <w:highlight w:val="none"/>
              </w:rPr>
              <w:t>--1.0%</w:t>
            </w:r>
            <w:r>
              <w:rPr>
                <w:rFonts w:hint="eastAsia" w:hAnsi="宋体"/>
                <w:color w:val="auto"/>
                <w:highlight w:val="none"/>
              </w:rPr>
              <w:t>；</w:t>
            </w:r>
            <w:r>
              <w:rPr>
                <w:rFonts w:hint="default" w:hAnsi="宋体"/>
                <w:color w:val="auto"/>
                <w:highlight w:val="none"/>
              </w:rPr>
              <w:t>100</w:t>
            </w:r>
            <w:r>
              <w:rPr>
                <w:rFonts w:hint="eastAsia" w:hAnsi="宋体"/>
                <w:color w:val="auto"/>
                <w:highlight w:val="none"/>
              </w:rPr>
              <w:t>～</w:t>
            </w:r>
            <w:r>
              <w:rPr>
                <w:rFonts w:hint="default" w:hAnsi="宋体"/>
                <w:color w:val="auto"/>
                <w:highlight w:val="none"/>
              </w:rPr>
              <w:t>500</w:t>
            </w:r>
            <w:r>
              <w:rPr>
                <w:rFonts w:hint="eastAsia" w:hAnsi="宋体"/>
                <w:color w:val="auto"/>
                <w:highlight w:val="none"/>
              </w:rPr>
              <w:t>万元</w:t>
            </w:r>
            <w:r>
              <w:rPr>
                <w:rFonts w:hint="default" w:hAnsi="宋体"/>
                <w:color w:val="auto"/>
                <w:highlight w:val="none"/>
              </w:rPr>
              <w:t>--0.7%</w:t>
            </w:r>
            <w:r>
              <w:rPr>
                <w:rFonts w:hint="eastAsia" w:hAnsi="宋体"/>
                <w:color w:val="auto"/>
                <w:highlight w:val="none"/>
              </w:rPr>
              <w:t>；</w:t>
            </w:r>
            <w:r>
              <w:rPr>
                <w:rFonts w:hint="default" w:hAnsi="宋体"/>
                <w:color w:val="auto"/>
                <w:highlight w:val="none"/>
              </w:rPr>
              <w:t>500</w:t>
            </w:r>
            <w:r>
              <w:rPr>
                <w:rFonts w:hint="eastAsia" w:hAnsi="宋体"/>
                <w:color w:val="auto"/>
                <w:highlight w:val="none"/>
              </w:rPr>
              <w:t>～</w:t>
            </w:r>
            <w:r>
              <w:rPr>
                <w:rFonts w:hint="default" w:hAnsi="宋体"/>
                <w:color w:val="auto"/>
                <w:highlight w:val="none"/>
              </w:rPr>
              <w:t>1000</w:t>
            </w:r>
            <w:r>
              <w:rPr>
                <w:rFonts w:hint="eastAsia" w:hAnsi="宋体"/>
                <w:color w:val="auto"/>
                <w:highlight w:val="none"/>
              </w:rPr>
              <w:t>万元</w:t>
            </w:r>
            <w:r>
              <w:rPr>
                <w:rFonts w:hint="default" w:hAnsi="宋体"/>
                <w:color w:val="auto"/>
                <w:highlight w:val="none"/>
              </w:rPr>
              <w:t>--0.55%</w:t>
            </w:r>
            <w:r>
              <w:rPr>
                <w:rFonts w:hint="eastAsia" w:hAnsi="宋体"/>
                <w:color w:val="auto"/>
                <w:highlight w:val="none"/>
              </w:rPr>
              <w:t>；</w:t>
            </w:r>
            <w:r>
              <w:rPr>
                <w:rFonts w:hint="default" w:hAnsi="宋体"/>
                <w:color w:val="auto"/>
                <w:highlight w:val="none"/>
              </w:rPr>
              <w:t>1000</w:t>
            </w:r>
            <w:r>
              <w:rPr>
                <w:rFonts w:hint="eastAsia" w:hAnsi="宋体"/>
                <w:color w:val="auto"/>
                <w:highlight w:val="none"/>
              </w:rPr>
              <w:t>～</w:t>
            </w:r>
            <w:r>
              <w:rPr>
                <w:rFonts w:hint="default" w:hAnsi="宋体"/>
                <w:color w:val="auto"/>
                <w:highlight w:val="none"/>
              </w:rPr>
              <w:t>5000</w:t>
            </w:r>
            <w:r>
              <w:rPr>
                <w:rFonts w:hint="eastAsia" w:hAnsi="宋体"/>
                <w:color w:val="auto"/>
                <w:highlight w:val="none"/>
              </w:rPr>
              <w:t>万元</w:t>
            </w:r>
            <w:r>
              <w:rPr>
                <w:rFonts w:hint="default" w:hAnsi="宋体"/>
                <w:color w:val="auto"/>
                <w:highlight w:val="none"/>
              </w:rPr>
              <w:t>--0.35%</w:t>
            </w:r>
            <w:r>
              <w:rPr>
                <w:rFonts w:hint="eastAsia" w:hAnsi="宋体"/>
                <w:color w:val="auto"/>
                <w:highlight w:val="none"/>
              </w:rPr>
              <w:t>，由中标人在领取中标通知书时一次性向代理人付清全部代理服务费。</w:t>
            </w:r>
          </w:p>
        </w:tc>
      </w:tr>
      <w:tr w14:paraId="4ED3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23" w:type="dxa"/>
            <w:vAlign w:val="center"/>
          </w:tcPr>
          <w:p w14:paraId="505457DC">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auto"/>
                <w:kern w:val="2"/>
                <w:sz w:val="21"/>
                <w:szCs w:val="24"/>
                <w:highlight w:val="none"/>
                <w:lang w:val="en-US" w:eastAsia="zh-CN" w:bidi="ar"/>
              </w:rPr>
            </w:pPr>
            <w:r>
              <w:rPr>
                <w:rFonts w:hint="eastAsia" w:ascii="宋体" w:hAnsi="宋体" w:eastAsia="宋体" w:cs="Times New Roman"/>
                <w:color w:val="auto"/>
                <w:kern w:val="2"/>
                <w:sz w:val="21"/>
                <w:szCs w:val="24"/>
                <w:highlight w:val="none"/>
                <w:lang w:val="en-US" w:eastAsia="zh-CN" w:bidi="ar"/>
              </w:rPr>
              <w:t>11.6.2</w:t>
            </w:r>
          </w:p>
        </w:tc>
        <w:tc>
          <w:tcPr>
            <w:tcW w:w="1450" w:type="dxa"/>
            <w:vAlign w:val="center"/>
          </w:tcPr>
          <w:p w14:paraId="7DECCB36">
            <w:pPr>
              <w:keepNext w:val="0"/>
              <w:keepLines w:val="0"/>
              <w:suppressLineNumbers w:val="0"/>
              <w:spacing w:before="0" w:beforeAutospacing="0" w:after="0" w:afterAutospacing="0" w:line="400" w:lineRule="exact"/>
              <w:ind w:left="0" w:right="0"/>
              <w:jc w:val="center"/>
              <w:rPr>
                <w:rFonts w:hint="eastAsia" w:hAnsi="宋体"/>
                <w:color w:val="auto"/>
                <w:highlight w:val="none"/>
              </w:rPr>
            </w:pPr>
            <w:r>
              <w:rPr>
                <w:rFonts w:hint="eastAsia" w:ascii="宋体" w:hAnsi="Times New Roman" w:eastAsia="宋体" w:cs="宋体"/>
                <w:b/>
                <w:bCs w:val="0"/>
                <w:color w:val="auto"/>
                <w:kern w:val="2"/>
                <w:sz w:val="21"/>
                <w:szCs w:val="24"/>
                <w:highlight w:val="none"/>
                <w:lang w:val="en-US" w:eastAsia="zh-CN" w:bidi="ar"/>
              </w:rPr>
              <w:t>在政府采购活动中推广使用电子保函的通知</w:t>
            </w:r>
          </w:p>
        </w:tc>
        <w:tc>
          <w:tcPr>
            <w:tcW w:w="6341" w:type="dxa"/>
            <w:gridSpan w:val="2"/>
            <w:vAlign w:val="center"/>
          </w:tcPr>
          <w:p w14:paraId="26066B30">
            <w:pPr>
              <w:keepNext w:val="0"/>
              <w:keepLines w:val="0"/>
              <w:suppressLineNumbers w:val="0"/>
              <w:spacing w:before="0" w:beforeAutospacing="0" w:after="0" w:afterAutospacing="0" w:line="400" w:lineRule="exact"/>
              <w:ind w:left="0" w:right="0"/>
              <w:rPr>
                <w:rFonts w:hint="eastAsia" w:hAnsi="宋体"/>
                <w:color w:val="auto"/>
                <w:highlight w:val="none"/>
              </w:rPr>
            </w:pPr>
            <w:r>
              <w:rPr>
                <w:rFonts w:hint="eastAsia" w:ascii="宋体" w:hAnsi="Times New Roman" w:eastAsia="宋体" w:cs="宋体"/>
                <w:b/>
                <w:bCs w:val="0"/>
                <w:color w:val="auto"/>
                <w:kern w:val="2"/>
                <w:sz w:val="21"/>
                <w:szCs w:val="24"/>
                <w:highlight w:val="none"/>
                <w:lang w:val="en-US" w:eastAsia="zh-CN" w:bidi="ar"/>
              </w:rPr>
              <w:t>根据《广西壮族自治区财政厅关于在政府采购活动中推广使用电子保函的通知》（桂财采〔2023〕92号），为中小企业参与政府采购活动提供便利，切实减轻企业负担，进一步优化政府采购营商环境，在本区实施的政府采购活动中，项目如采用了投标保证金保函、履约保证金保函及预付款保函的部分，均鼓励采取政府采购电子保函的形式。电子保函有关业务操作流程和手册可从“广西政府采购金融服务平台”查阅下载，供应商在电子保函的申请、使用、查看应用过程中遇到问题可咨询技术支撑方：400-903-9583。</w:t>
            </w:r>
          </w:p>
        </w:tc>
      </w:tr>
      <w:tr w14:paraId="76FF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23" w:type="dxa"/>
            <w:vAlign w:val="center"/>
          </w:tcPr>
          <w:p w14:paraId="72EE9B75">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auto"/>
                <w:kern w:val="2"/>
                <w:sz w:val="21"/>
                <w:szCs w:val="24"/>
                <w:highlight w:val="none"/>
                <w:lang w:val="en-US" w:eastAsia="zh-CN" w:bidi="ar"/>
              </w:rPr>
            </w:pPr>
            <w:r>
              <w:rPr>
                <w:rFonts w:hint="eastAsia" w:ascii="宋体" w:hAnsi="宋体" w:eastAsia="宋体" w:cs="Times New Roman"/>
                <w:color w:val="auto"/>
                <w:kern w:val="2"/>
                <w:sz w:val="21"/>
                <w:szCs w:val="24"/>
                <w:highlight w:val="none"/>
                <w:lang w:val="en-US" w:eastAsia="zh-CN" w:bidi="ar"/>
              </w:rPr>
              <w:t>11.6.3</w:t>
            </w:r>
          </w:p>
        </w:tc>
        <w:tc>
          <w:tcPr>
            <w:tcW w:w="1450" w:type="dxa"/>
            <w:vAlign w:val="center"/>
          </w:tcPr>
          <w:p w14:paraId="53BB4BA9">
            <w:pPr>
              <w:keepNext w:val="0"/>
              <w:keepLines w:val="0"/>
              <w:suppressLineNumbers w:val="0"/>
              <w:spacing w:before="0" w:beforeAutospacing="0" w:after="0" w:afterAutospacing="0" w:line="400" w:lineRule="exact"/>
              <w:ind w:left="0" w:right="0"/>
              <w:jc w:val="center"/>
              <w:rPr>
                <w:rFonts w:hint="eastAsia" w:ascii="宋体" w:hAnsi="Times New Roman" w:eastAsia="宋体" w:cs="宋体"/>
                <w:b/>
                <w:bCs w:val="0"/>
                <w:color w:val="auto"/>
                <w:kern w:val="2"/>
                <w:sz w:val="21"/>
                <w:szCs w:val="24"/>
                <w:highlight w:val="none"/>
                <w:lang w:val="en-US" w:eastAsia="zh-CN" w:bidi="ar"/>
              </w:rPr>
            </w:pPr>
            <w:r>
              <w:rPr>
                <w:rFonts w:hint="eastAsia" w:ascii="宋体" w:hAnsi="宋体" w:eastAsia="宋体" w:cs="宋体"/>
                <w:b/>
                <w:bCs w:val="0"/>
                <w:color w:val="auto"/>
                <w:kern w:val="2"/>
                <w:sz w:val="21"/>
                <w:szCs w:val="24"/>
                <w:highlight w:val="none"/>
                <w:lang w:val="en-US" w:eastAsia="zh-CN" w:bidi="ar"/>
              </w:rPr>
              <w:t>进一步推行“政采贷”工作的通知</w:t>
            </w:r>
          </w:p>
        </w:tc>
        <w:tc>
          <w:tcPr>
            <w:tcW w:w="6341" w:type="dxa"/>
            <w:gridSpan w:val="2"/>
            <w:vAlign w:val="center"/>
          </w:tcPr>
          <w:p w14:paraId="6E1C354B">
            <w:pPr>
              <w:keepNext w:val="0"/>
              <w:keepLines w:val="0"/>
              <w:suppressLineNumbers w:val="0"/>
              <w:spacing w:before="0" w:beforeAutospacing="0" w:after="0" w:afterAutospacing="0" w:line="400" w:lineRule="exact"/>
              <w:ind w:left="0" w:right="0"/>
              <w:rPr>
                <w:rFonts w:hint="eastAsia" w:ascii="宋体" w:hAnsi="Times New Roman" w:eastAsia="宋体" w:cs="宋体"/>
                <w:b/>
                <w:bCs w:val="0"/>
                <w:color w:val="auto"/>
                <w:kern w:val="2"/>
                <w:sz w:val="21"/>
                <w:szCs w:val="24"/>
                <w:highlight w:val="none"/>
                <w:lang w:val="en-US" w:eastAsia="zh-CN" w:bidi="ar"/>
              </w:rPr>
            </w:pPr>
            <w:r>
              <w:rPr>
                <w:rFonts w:hint="eastAsia" w:ascii="宋体" w:hAnsi="宋体" w:eastAsia="宋体" w:cs="宋体"/>
                <w:b/>
                <w:bCs w:val="0"/>
                <w:color w:val="auto"/>
                <w:kern w:val="2"/>
                <w:sz w:val="21"/>
                <w:szCs w:val="24"/>
                <w:highlight w:val="none"/>
                <w:lang w:val="en-US" w:eastAsia="zh-CN" w:bidi="ar"/>
              </w:rPr>
              <w:t>“政采贷”政策告知函见本章附件1。</w:t>
            </w:r>
          </w:p>
        </w:tc>
      </w:tr>
    </w:tbl>
    <w:p w14:paraId="2D4CBEDA">
      <w:pPr>
        <w:rPr>
          <w:rFonts w:hAnsi="宋体"/>
          <w:color w:val="auto"/>
          <w:highlight w:val="none"/>
        </w:rPr>
      </w:pPr>
      <w:r>
        <w:rPr>
          <w:rFonts w:hAnsi="宋体"/>
          <w:color w:val="auto"/>
          <w:highlight w:val="none"/>
        </w:rPr>
        <w:br w:type="page"/>
      </w:r>
    </w:p>
    <w:p w14:paraId="60FDFE07">
      <w:pPr>
        <w:keepNext/>
        <w:keepLines/>
        <w:spacing w:before="100" w:beforeAutospacing="1" w:after="100" w:afterAutospacing="1"/>
        <w:jc w:val="center"/>
        <w:outlineLvl w:val="1"/>
        <w:rPr>
          <w:rFonts w:hAnsi="宋体"/>
          <w:b/>
          <w:color w:val="auto"/>
          <w:kern w:val="2"/>
          <w:sz w:val="24"/>
          <w:szCs w:val="20"/>
          <w:highlight w:val="none"/>
        </w:rPr>
      </w:pPr>
      <w:bookmarkStart w:id="12" w:name="_Toc23263"/>
      <w:bookmarkStart w:id="13" w:name="_Toc533783508"/>
      <w:bookmarkStart w:id="14" w:name="_Toc15973708"/>
      <w:bookmarkStart w:id="15" w:name="_Toc533781556"/>
      <w:bookmarkStart w:id="16" w:name="_Toc18395229"/>
      <w:r>
        <w:rPr>
          <w:rFonts w:hint="eastAsia" w:hAnsi="宋体"/>
          <w:b/>
          <w:color w:val="auto"/>
          <w:kern w:val="2"/>
          <w:sz w:val="24"/>
          <w:szCs w:val="20"/>
          <w:highlight w:val="none"/>
        </w:rPr>
        <w:t>供应商须知正文</w:t>
      </w:r>
      <w:bookmarkEnd w:id="12"/>
      <w:bookmarkEnd w:id="13"/>
      <w:bookmarkEnd w:id="14"/>
      <w:bookmarkEnd w:id="15"/>
      <w:bookmarkEnd w:id="16"/>
    </w:p>
    <w:p w14:paraId="262C73D5">
      <w:pPr>
        <w:keepNext/>
        <w:keepLines/>
        <w:spacing w:line="360" w:lineRule="auto"/>
        <w:outlineLvl w:val="2"/>
        <w:rPr>
          <w:rFonts w:hAnsi="宋体"/>
          <w:b/>
          <w:bCs/>
          <w:color w:val="auto"/>
          <w:kern w:val="2"/>
          <w:sz w:val="24"/>
          <w:szCs w:val="28"/>
          <w:highlight w:val="none"/>
        </w:rPr>
      </w:pPr>
      <w:bookmarkStart w:id="17" w:name="_Toc533781557"/>
      <w:bookmarkStart w:id="18" w:name="_Toc533783509"/>
      <w:r>
        <w:rPr>
          <w:rFonts w:hAnsi="宋体"/>
          <w:b/>
          <w:bCs/>
          <w:color w:val="auto"/>
          <w:kern w:val="2"/>
          <w:sz w:val="24"/>
          <w:szCs w:val="28"/>
          <w:highlight w:val="none"/>
        </w:rPr>
        <w:t>1.</w:t>
      </w:r>
      <w:r>
        <w:rPr>
          <w:rFonts w:hint="eastAsia" w:hAnsi="宋体"/>
          <w:b/>
          <w:bCs/>
          <w:color w:val="auto"/>
          <w:kern w:val="2"/>
          <w:sz w:val="24"/>
          <w:szCs w:val="28"/>
          <w:highlight w:val="none"/>
        </w:rPr>
        <w:t>总则</w:t>
      </w:r>
      <w:bookmarkEnd w:id="17"/>
      <w:bookmarkEnd w:id="18"/>
    </w:p>
    <w:p w14:paraId="65840110">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1.1</w:t>
      </w:r>
      <w:r>
        <w:rPr>
          <w:rFonts w:hint="eastAsia" w:hAnsi="宋体"/>
          <w:b/>
          <w:bCs/>
          <w:color w:val="auto"/>
          <w:kern w:val="2"/>
          <w:szCs w:val="28"/>
          <w:highlight w:val="none"/>
        </w:rPr>
        <w:t>项目概况</w:t>
      </w:r>
    </w:p>
    <w:p w14:paraId="5F566EC9">
      <w:pPr>
        <w:spacing w:line="360" w:lineRule="auto"/>
        <w:ind w:firstLine="420" w:firstLineChars="200"/>
        <w:rPr>
          <w:rFonts w:hAnsi="宋体"/>
          <w:color w:val="auto"/>
          <w:kern w:val="2"/>
          <w:szCs w:val="24"/>
          <w:highlight w:val="none"/>
        </w:rPr>
      </w:pPr>
      <w:r>
        <w:rPr>
          <w:rFonts w:hAnsi="宋体"/>
          <w:color w:val="auto"/>
          <w:kern w:val="2"/>
          <w:szCs w:val="24"/>
          <w:highlight w:val="none"/>
        </w:rPr>
        <w:t>1.1.1</w:t>
      </w:r>
      <w:r>
        <w:rPr>
          <w:rFonts w:hint="eastAsia" w:hAnsi="宋体"/>
          <w:color w:val="auto"/>
          <w:kern w:val="2"/>
          <w:szCs w:val="24"/>
          <w:highlight w:val="none"/>
        </w:rPr>
        <w:t>根据《中华人民共和国政府采购法》、《中华人民共和国政府采购法实施条例》等有关法律、法规和规章的规定，对本项目进行采购。</w:t>
      </w:r>
    </w:p>
    <w:p w14:paraId="06D35F44">
      <w:pPr>
        <w:spacing w:line="360" w:lineRule="auto"/>
        <w:ind w:firstLine="420" w:firstLineChars="200"/>
        <w:rPr>
          <w:rFonts w:hAnsi="宋体"/>
          <w:color w:val="auto"/>
          <w:kern w:val="2"/>
          <w:szCs w:val="24"/>
          <w:highlight w:val="none"/>
        </w:rPr>
      </w:pPr>
      <w:r>
        <w:rPr>
          <w:rFonts w:hAnsi="宋体"/>
          <w:color w:val="auto"/>
          <w:kern w:val="2"/>
          <w:szCs w:val="24"/>
          <w:highlight w:val="none"/>
        </w:rPr>
        <w:t>1.1.2</w:t>
      </w:r>
      <w:r>
        <w:rPr>
          <w:rFonts w:hint="eastAsia" w:hAnsi="宋体"/>
          <w:color w:val="auto"/>
          <w:kern w:val="2"/>
          <w:szCs w:val="24"/>
          <w:highlight w:val="none"/>
        </w:rPr>
        <w:t>采购人：见供应商须知前附表。</w:t>
      </w:r>
    </w:p>
    <w:p w14:paraId="5FCFF70D">
      <w:pPr>
        <w:spacing w:line="360" w:lineRule="auto"/>
        <w:ind w:firstLine="420" w:firstLineChars="200"/>
        <w:rPr>
          <w:rFonts w:hAnsi="宋体"/>
          <w:color w:val="auto"/>
          <w:kern w:val="2"/>
          <w:szCs w:val="24"/>
          <w:highlight w:val="none"/>
        </w:rPr>
      </w:pPr>
      <w:r>
        <w:rPr>
          <w:rFonts w:hAnsi="宋体"/>
          <w:color w:val="auto"/>
          <w:kern w:val="2"/>
          <w:szCs w:val="24"/>
          <w:highlight w:val="none"/>
        </w:rPr>
        <w:t>1.1.3</w:t>
      </w:r>
      <w:r>
        <w:rPr>
          <w:rFonts w:hint="eastAsia" w:hAnsi="宋体"/>
          <w:color w:val="auto"/>
          <w:kern w:val="2"/>
          <w:szCs w:val="24"/>
          <w:highlight w:val="none"/>
        </w:rPr>
        <w:t>采购代理机构：见供应商须知前附表。</w:t>
      </w:r>
    </w:p>
    <w:p w14:paraId="163DAD88">
      <w:pPr>
        <w:spacing w:line="360" w:lineRule="auto"/>
        <w:ind w:firstLine="420" w:firstLineChars="200"/>
        <w:rPr>
          <w:rFonts w:hAnsi="宋体"/>
          <w:color w:val="auto"/>
          <w:kern w:val="2"/>
          <w:szCs w:val="24"/>
          <w:highlight w:val="none"/>
        </w:rPr>
      </w:pPr>
      <w:r>
        <w:rPr>
          <w:rFonts w:hAnsi="宋体"/>
          <w:color w:val="auto"/>
          <w:kern w:val="2"/>
          <w:szCs w:val="24"/>
          <w:highlight w:val="none"/>
        </w:rPr>
        <w:t>1.1.4</w:t>
      </w:r>
      <w:r>
        <w:rPr>
          <w:rFonts w:hint="eastAsia" w:hAnsi="宋体"/>
          <w:color w:val="auto"/>
          <w:kern w:val="2"/>
          <w:szCs w:val="24"/>
          <w:highlight w:val="none"/>
        </w:rPr>
        <w:t>项目名称及编号：见供应商须知前附表。</w:t>
      </w:r>
    </w:p>
    <w:p w14:paraId="0B5CD348">
      <w:pPr>
        <w:spacing w:line="360" w:lineRule="auto"/>
        <w:ind w:firstLine="420" w:firstLineChars="200"/>
        <w:rPr>
          <w:rFonts w:hAnsi="宋体"/>
          <w:color w:val="auto"/>
          <w:kern w:val="2"/>
          <w:szCs w:val="24"/>
          <w:highlight w:val="none"/>
        </w:rPr>
      </w:pPr>
      <w:r>
        <w:rPr>
          <w:rFonts w:hAnsi="宋体"/>
          <w:color w:val="auto"/>
          <w:kern w:val="2"/>
          <w:szCs w:val="24"/>
          <w:highlight w:val="none"/>
        </w:rPr>
        <w:t>1.1.5</w:t>
      </w:r>
      <w:r>
        <w:rPr>
          <w:rFonts w:hint="eastAsia" w:hAnsi="宋体"/>
          <w:color w:val="auto"/>
          <w:kern w:val="2"/>
          <w:szCs w:val="24"/>
          <w:highlight w:val="none"/>
        </w:rPr>
        <w:t>项目基本情况：见供应商须知前附表</w:t>
      </w:r>
    </w:p>
    <w:p w14:paraId="687AB459">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1.2</w:t>
      </w:r>
      <w:r>
        <w:rPr>
          <w:rFonts w:hint="eastAsia" w:hAnsi="宋体"/>
          <w:b/>
          <w:bCs/>
          <w:color w:val="auto"/>
          <w:kern w:val="2"/>
          <w:szCs w:val="28"/>
          <w:highlight w:val="none"/>
        </w:rPr>
        <w:t>资金来源、落实情况及增值税计税方法情况</w:t>
      </w:r>
    </w:p>
    <w:p w14:paraId="1C4A70DD">
      <w:pPr>
        <w:spacing w:line="360" w:lineRule="auto"/>
        <w:ind w:firstLine="420" w:firstLineChars="200"/>
        <w:rPr>
          <w:rFonts w:hAnsi="宋体"/>
          <w:color w:val="auto"/>
          <w:kern w:val="2"/>
          <w:szCs w:val="24"/>
          <w:highlight w:val="none"/>
        </w:rPr>
      </w:pPr>
      <w:r>
        <w:rPr>
          <w:rFonts w:hAnsi="宋体"/>
          <w:color w:val="auto"/>
          <w:kern w:val="2"/>
          <w:szCs w:val="24"/>
          <w:highlight w:val="none"/>
        </w:rPr>
        <w:t>1.2.1</w:t>
      </w:r>
      <w:r>
        <w:rPr>
          <w:rFonts w:hint="eastAsia" w:hAnsi="宋体"/>
          <w:color w:val="auto"/>
          <w:kern w:val="2"/>
          <w:szCs w:val="24"/>
          <w:highlight w:val="none"/>
        </w:rPr>
        <w:t>资金来源、落实情况：见供应商须知前附表。</w:t>
      </w:r>
    </w:p>
    <w:p w14:paraId="1D373C31">
      <w:pPr>
        <w:spacing w:line="360" w:lineRule="auto"/>
        <w:ind w:firstLine="420" w:firstLineChars="200"/>
        <w:rPr>
          <w:rFonts w:hAnsi="宋体"/>
          <w:color w:val="auto"/>
          <w:kern w:val="2"/>
          <w:szCs w:val="24"/>
          <w:highlight w:val="none"/>
        </w:rPr>
      </w:pPr>
      <w:r>
        <w:rPr>
          <w:rFonts w:hAnsi="宋体"/>
          <w:color w:val="auto"/>
          <w:kern w:val="2"/>
          <w:szCs w:val="24"/>
          <w:highlight w:val="none"/>
        </w:rPr>
        <w:t>1.2.2</w:t>
      </w:r>
      <w:r>
        <w:rPr>
          <w:rFonts w:hint="eastAsia" w:hAnsi="宋体"/>
          <w:color w:val="auto"/>
          <w:kern w:val="2"/>
          <w:szCs w:val="24"/>
          <w:highlight w:val="none"/>
        </w:rPr>
        <w:t>增值税计税方法：见供应商须知前附表。</w:t>
      </w:r>
    </w:p>
    <w:p w14:paraId="0685BAAB">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1.3</w:t>
      </w:r>
      <w:r>
        <w:rPr>
          <w:rFonts w:hint="eastAsia" w:hAnsi="宋体"/>
          <w:b/>
          <w:bCs/>
          <w:color w:val="auto"/>
          <w:kern w:val="2"/>
          <w:szCs w:val="28"/>
          <w:highlight w:val="none"/>
        </w:rPr>
        <w:t>供应商资格要求</w:t>
      </w:r>
    </w:p>
    <w:p w14:paraId="06AF728D">
      <w:pPr>
        <w:spacing w:line="360" w:lineRule="auto"/>
        <w:ind w:firstLine="420" w:firstLineChars="200"/>
        <w:rPr>
          <w:rFonts w:hAnsi="宋体"/>
          <w:color w:val="auto"/>
          <w:kern w:val="2"/>
          <w:szCs w:val="24"/>
          <w:highlight w:val="none"/>
        </w:rPr>
      </w:pPr>
      <w:r>
        <w:rPr>
          <w:rFonts w:hAnsi="宋体"/>
          <w:color w:val="auto"/>
          <w:kern w:val="2"/>
          <w:szCs w:val="24"/>
          <w:highlight w:val="none"/>
        </w:rPr>
        <w:t>1.3.1</w:t>
      </w:r>
      <w:r>
        <w:rPr>
          <w:rFonts w:hint="eastAsia" w:hAnsi="宋体"/>
          <w:color w:val="auto"/>
          <w:kern w:val="2"/>
          <w:szCs w:val="24"/>
          <w:highlight w:val="none"/>
        </w:rPr>
        <w:t>供应商应具备承担本采购项目的资质、能力、信誉：见供应商须知前附表。</w:t>
      </w:r>
    </w:p>
    <w:p w14:paraId="43D710C2">
      <w:pPr>
        <w:spacing w:line="360" w:lineRule="auto"/>
        <w:ind w:firstLine="420" w:firstLineChars="200"/>
        <w:rPr>
          <w:rFonts w:hAnsi="宋体"/>
          <w:color w:val="auto"/>
          <w:kern w:val="2"/>
          <w:szCs w:val="24"/>
          <w:highlight w:val="none"/>
        </w:rPr>
      </w:pPr>
      <w:r>
        <w:rPr>
          <w:rFonts w:hAnsi="宋体"/>
          <w:color w:val="auto"/>
          <w:kern w:val="2"/>
          <w:szCs w:val="24"/>
          <w:highlight w:val="none"/>
        </w:rPr>
        <w:t>1.3.2</w:t>
      </w:r>
      <w:r>
        <w:rPr>
          <w:rFonts w:hint="eastAsia" w:hAnsi="宋体"/>
          <w:color w:val="auto"/>
          <w:kern w:val="2"/>
          <w:szCs w:val="24"/>
          <w:highlight w:val="none"/>
        </w:rPr>
        <w:t>供应商须知前附表规定接受联合体投标的，联合体除应符合本章第</w:t>
      </w:r>
      <w:r>
        <w:rPr>
          <w:rFonts w:hAnsi="宋体"/>
          <w:color w:val="auto"/>
          <w:kern w:val="2"/>
          <w:szCs w:val="24"/>
          <w:highlight w:val="none"/>
        </w:rPr>
        <w:t>1.3.1</w:t>
      </w:r>
      <w:r>
        <w:rPr>
          <w:rFonts w:hint="eastAsia" w:hAnsi="宋体"/>
          <w:color w:val="auto"/>
          <w:kern w:val="2"/>
          <w:szCs w:val="24"/>
          <w:highlight w:val="none"/>
        </w:rPr>
        <w:t>项和供应商须知前附表的要求外，还应遵守以下规定：</w:t>
      </w:r>
    </w:p>
    <w:p w14:paraId="0E8782A6">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1</w:t>
      </w:r>
      <w:r>
        <w:rPr>
          <w:rFonts w:hint="eastAsia" w:hAnsi="宋体"/>
          <w:color w:val="auto"/>
          <w:kern w:val="2"/>
          <w:szCs w:val="24"/>
          <w:highlight w:val="none"/>
        </w:rPr>
        <w:t>）联合体各方应按磋商文件提供的格式签订联合体协议书，明确联合体牵头人和各方权利义务，联合体各方应当共同与采购人签订采购合同，就采购合同约定的事项对采购人承担连带责任；</w:t>
      </w:r>
    </w:p>
    <w:p w14:paraId="270467C0">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2</w:t>
      </w:r>
      <w:r>
        <w:rPr>
          <w:rFonts w:hint="eastAsia" w:hAnsi="宋体"/>
          <w:color w:val="auto"/>
          <w:kern w:val="2"/>
          <w:szCs w:val="24"/>
          <w:highlight w:val="none"/>
        </w:rPr>
        <w:t>）联合体中有同类资质的供应商按照联合体分工承担相同工作的，应当按照资质等级较低的供应商确定资质等级。</w:t>
      </w:r>
    </w:p>
    <w:p w14:paraId="78460844">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3</w:t>
      </w:r>
      <w:r>
        <w:rPr>
          <w:rFonts w:hint="eastAsia" w:hAnsi="宋体"/>
          <w:color w:val="auto"/>
          <w:kern w:val="2"/>
          <w:szCs w:val="24"/>
          <w:highlight w:val="none"/>
        </w:rPr>
        <w:t>）联合体各方不得再单独参加或者与其他供应商另外组成联合体参加同一合同项下的政府采购活动，否则相关各方的响应文件均按无效响应处理。</w:t>
      </w:r>
    </w:p>
    <w:p w14:paraId="7357129A">
      <w:pPr>
        <w:spacing w:line="360" w:lineRule="auto"/>
        <w:ind w:firstLine="420" w:firstLineChars="200"/>
        <w:rPr>
          <w:rFonts w:hAnsi="宋体"/>
          <w:color w:val="auto"/>
          <w:kern w:val="2"/>
          <w:szCs w:val="24"/>
          <w:highlight w:val="none"/>
        </w:rPr>
      </w:pPr>
      <w:r>
        <w:rPr>
          <w:rFonts w:hAnsi="宋体"/>
          <w:color w:val="auto"/>
          <w:kern w:val="2"/>
          <w:szCs w:val="24"/>
          <w:highlight w:val="none"/>
        </w:rPr>
        <w:t>1.3.3</w:t>
      </w:r>
      <w:r>
        <w:rPr>
          <w:rFonts w:hint="eastAsia" w:hAnsi="宋体"/>
          <w:color w:val="auto"/>
          <w:kern w:val="2"/>
          <w:szCs w:val="24"/>
          <w:highlight w:val="none"/>
        </w:rPr>
        <w:t>供应商不得存在下列情形之一：</w:t>
      </w:r>
    </w:p>
    <w:p w14:paraId="02719C7C">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1</w:t>
      </w:r>
      <w:r>
        <w:rPr>
          <w:rFonts w:hint="eastAsia" w:hAnsi="宋体"/>
          <w:color w:val="auto"/>
          <w:kern w:val="2"/>
          <w:szCs w:val="24"/>
          <w:highlight w:val="none"/>
        </w:rPr>
        <w:t>）与采购人存在利害关系可能影响采购活动公正性的；</w:t>
      </w:r>
    </w:p>
    <w:p w14:paraId="72F6B662">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2</w:t>
      </w:r>
      <w:r>
        <w:rPr>
          <w:rFonts w:hint="eastAsia" w:hAnsi="宋体"/>
          <w:color w:val="auto"/>
          <w:kern w:val="2"/>
          <w:szCs w:val="24"/>
          <w:highlight w:val="none"/>
        </w:rPr>
        <w:t>）为本项目提供采购代理服务的；</w:t>
      </w:r>
    </w:p>
    <w:p w14:paraId="1265A6D4">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3</w:t>
      </w:r>
      <w:r>
        <w:rPr>
          <w:rFonts w:hint="eastAsia" w:hAnsi="宋体"/>
          <w:color w:val="auto"/>
          <w:kern w:val="2"/>
          <w:szCs w:val="24"/>
          <w:highlight w:val="none"/>
        </w:rPr>
        <w:t>）与采购代理机构负责人为同一人或者存在直接控股和管理关系的；</w:t>
      </w:r>
    </w:p>
    <w:p w14:paraId="68EC65C7">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4</w:t>
      </w:r>
      <w:r>
        <w:rPr>
          <w:rFonts w:hint="eastAsia" w:hAnsi="宋体"/>
          <w:color w:val="auto"/>
          <w:kern w:val="2"/>
          <w:szCs w:val="24"/>
          <w:highlight w:val="none"/>
        </w:rPr>
        <w:t>）供应商不得存在的其他情形见供应商须知前附表。</w:t>
      </w:r>
    </w:p>
    <w:p w14:paraId="591A2DD2">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1.4</w:t>
      </w:r>
      <w:r>
        <w:rPr>
          <w:rFonts w:hint="eastAsia" w:hAnsi="宋体"/>
          <w:b/>
          <w:bCs/>
          <w:color w:val="auto"/>
          <w:kern w:val="2"/>
          <w:szCs w:val="28"/>
          <w:highlight w:val="none"/>
        </w:rPr>
        <w:t>费用承担</w:t>
      </w:r>
    </w:p>
    <w:p w14:paraId="0595C99C">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供应商准备和参加采购活动发生的费用自理。</w:t>
      </w:r>
    </w:p>
    <w:p w14:paraId="3BCC63A5">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1.5</w:t>
      </w:r>
      <w:r>
        <w:rPr>
          <w:rFonts w:hint="eastAsia" w:hAnsi="宋体"/>
          <w:b/>
          <w:bCs/>
          <w:color w:val="auto"/>
          <w:kern w:val="2"/>
          <w:szCs w:val="28"/>
          <w:highlight w:val="none"/>
        </w:rPr>
        <w:t>保密</w:t>
      </w:r>
    </w:p>
    <w:p w14:paraId="170D316B">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参与采购活动的各方应对磋商文件和响应文件中的商业和技术等秘密保密，否则应承担相应的法律责任。</w:t>
      </w:r>
    </w:p>
    <w:p w14:paraId="010D60EF">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1.6</w:t>
      </w:r>
      <w:r>
        <w:rPr>
          <w:rFonts w:hint="eastAsia" w:hAnsi="宋体"/>
          <w:b/>
          <w:bCs/>
          <w:color w:val="auto"/>
          <w:kern w:val="2"/>
          <w:szCs w:val="28"/>
          <w:highlight w:val="none"/>
        </w:rPr>
        <w:t>语言文字</w:t>
      </w:r>
    </w:p>
    <w:p w14:paraId="2A87EB61">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磋商文件及响应文件使用的语言文字为中文。专用术语使用外文的，应附有中文注释。</w:t>
      </w:r>
    </w:p>
    <w:p w14:paraId="3101A2F7">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1.7</w:t>
      </w:r>
      <w:r>
        <w:rPr>
          <w:rFonts w:hint="eastAsia" w:hAnsi="宋体"/>
          <w:b/>
          <w:bCs/>
          <w:color w:val="auto"/>
          <w:kern w:val="2"/>
          <w:szCs w:val="28"/>
          <w:highlight w:val="none"/>
        </w:rPr>
        <w:t>计量单位</w:t>
      </w:r>
    </w:p>
    <w:p w14:paraId="3A9A850A">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所有计量均采用中华人民共和国法定计量单位。</w:t>
      </w:r>
    </w:p>
    <w:p w14:paraId="52DF4B82">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1.8</w:t>
      </w:r>
      <w:r>
        <w:rPr>
          <w:rFonts w:hint="eastAsia" w:hAnsi="宋体"/>
          <w:b/>
          <w:bCs/>
          <w:color w:val="auto"/>
          <w:kern w:val="2"/>
          <w:szCs w:val="28"/>
          <w:highlight w:val="none"/>
        </w:rPr>
        <w:t>踏勘现场</w:t>
      </w:r>
    </w:p>
    <w:p w14:paraId="63DA0E7D">
      <w:pPr>
        <w:spacing w:line="360" w:lineRule="auto"/>
        <w:ind w:firstLine="420" w:firstLineChars="200"/>
        <w:rPr>
          <w:rFonts w:hAnsi="宋体"/>
          <w:color w:val="auto"/>
          <w:kern w:val="2"/>
          <w:szCs w:val="24"/>
          <w:highlight w:val="none"/>
        </w:rPr>
      </w:pPr>
      <w:r>
        <w:rPr>
          <w:rFonts w:hAnsi="宋体"/>
          <w:color w:val="auto"/>
          <w:kern w:val="2"/>
          <w:szCs w:val="24"/>
          <w:highlight w:val="none"/>
        </w:rPr>
        <w:t>1.8.1</w:t>
      </w:r>
      <w:r>
        <w:rPr>
          <w:rFonts w:hint="eastAsia" w:hAnsi="宋体"/>
          <w:color w:val="auto"/>
          <w:kern w:val="2"/>
          <w:szCs w:val="24"/>
          <w:highlight w:val="none"/>
        </w:rPr>
        <w:t>供应商须知前附表规定由采购人组织踏勘项目现场的，由采购人按前附表规定的时间和地点安排潜在供应商踏勘现场。</w:t>
      </w:r>
    </w:p>
    <w:p w14:paraId="29EFB67F">
      <w:pPr>
        <w:spacing w:line="360" w:lineRule="auto"/>
        <w:ind w:firstLine="420" w:firstLineChars="200"/>
        <w:rPr>
          <w:rFonts w:hAnsi="宋体"/>
          <w:color w:val="auto"/>
          <w:kern w:val="2"/>
          <w:szCs w:val="24"/>
          <w:highlight w:val="none"/>
        </w:rPr>
      </w:pPr>
      <w:r>
        <w:rPr>
          <w:rFonts w:hAnsi="宋体"/>
          <w:color w:val="auto"/>
          <w:kern w:val="2"/>
          <w:szCs w:val="24"/>
          <w:highlight w:val="none"/>
        </w:rPr>
        <w:t>1.8.2</w:t>
      </w:r>
      <w:r>
        <w:rPr>
          <w:rFonts w:hint="eastAsia" w:hAnsi="宋体"/>
          <w:color w:val="auto"/>
          <w:kern w:val="2"/>
          <w:szCs w:val="24"/>
          <w:highlight w:val="none"/>
        </w:rPr>
        <w:t>供应商须知前附表规定采购人不组织踏勘现场的，供应商根据需要自行踏勘项目现场。</w:t>
      </w:r>
    </w:p>
    <w:p w14:paraId="141FA621">
      <w:pPr>
        <w:spacing w:line="360" w:lineRule="auto"/>
        <w:ind w:firstLine="420" w:firstLineChars="200"/>
        <w:rPr>
          <w:rFonts w:hAnsi="宋体"/>
          <w:color w:val="auto"/>
          <w:kern w:val="2"/>
          <w:szCs w:val="24"/>
          <w:highlight w:val="none"/>
        </w:rPr>
      </w:pPr>
      <w:r>
        <w:rPr>
          <w:rFonts w:hAnsi="宋体"/>
          <w:color w:val="auto"/>
          <w:kern w:val="2"/>
          <w:szCs w:val="24"/>
          <w:highlight w:val="none"/>
        </w:rPr>
        <w:t>1.8.3</w:t>
      </w:r>
      <w:r>
        <w:rPr>
          <w:rFonts w:hint="eastAsia" w:hAnsi="宋体"/>
          <w:color w:val="auto"/>
          <w:kern w:val="2"/>
          <w:szCs w:val="24"/>
          <w:highlight w:val="none"/>
        </w:rPr>
        <w:t>供应商踏勘现场发生的费用自理。</w:t>
      </w:r>
    </w:p>
    <w:p w14:paraId="44AB68C8">
      <w:pPr>
        <w:spacing w:line="360" w:lineRule="auto"/>
        <w:ind w:firstLine="420" w:firstLineChars="200"/>
        <w:rPr>
          <w:rFonts w:hAnsi="宋体"/>
          <w:color w:val="auto"/>
          <w:kern w:val="2"/>
          <w:szCs w:val="24"/>
          <w:highlight w:val="none"/>
        </w:rPr>
      </w:pPr>
      <w:r>
        <w:rPr>
          <w:rFonts w:hAnsi="宋体"/>
          <w:color w:val="auto"/>
          <w:kern w:val="2"/>
          <w:szCs w:val="24"/>
          <w:highlight w:val="none"/>
        </w:rPr>
        <w:t>1.8.4</w:t>
      </w:r>
      <w:r>
        <w:rPr>
          <w:rFonts w:hint="eastAsia" w:hAnsi="宋体"/>
          <w:color w:val="auto"/>
          <w:kern w:val="2"/>
          <w:szCs w:val="24"/>
          <w:highlight w:val="none"/>
        </w:rPr>
        <w:t>供应商自行负责在踏勘现场中所发生的人员伤亡和财产损失。</w:t>
      </w:r>
    </w:p>
    <w:p w14:paraId="15811BFB">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1.9</w:t>
      </w:r>
      <w:r>
        <w:rPr>
          <w:rFonts w:hint="eastAsia" w:hAnsi="宋体"/>
          <w:b/>
          <w:bCs/>
          <w:color w:val="auto"/>
          <w:kern w:val="2"/>
          <w:szCs w:val="28"/>
          <w:highlight w:val="none"/>
        </w:rPr>
        <w:t>分包</w:t>
      </w:r>
    </w:p>
    <w:p w14:paraId="299D830E">
      <w:pPr>
        <w:spacing w:line="360" w:lineRule="auto"/>
        <w:ind w:firstLine="420" w:firstLineChars="200"/>
        <w:rPr>
          <w:rFonts w:hAnsi="宋体"/>
          <w:color w:val="auto"/>
          <w:kern w:val="2"/>
          <w:szCs w:val="24"/>
          <w:highlight w:val="none"/>
        </w:rPr>
      </w:pPr>
      <w:r>
        <w:rPr>
          <w:rFonts w:hAnsi="宋体"/>
          <w:color w:val="auto"/>
          <w:kern w:val="2"/>
          <w:szCs w:val="24"/>
          <w:highlight w:val="none"/>
        </w:rPr>
        <w:t>1.9.1</w:t>
      </w:r>
      <w:r>
        <w:rPr>
          <w:rFonts w:hint="eastAsia" w:hAnsi="宋体"/>
          <w:color w:val="auto"/>
          <w:kern w:val="2"/>
          <w:szCs w:val="24"/>
          <w:highlight w:val="none"/>
        </w:rPr>
        <w:t>供应商拟在成交后将成交项目的非主体、非关键性工作分包的，应符合供应商须知前附表规定的分包内容、分包金额和资质要求等限制性条件，除供应商须知前附表规定的非主体、非关键性工作，其他工作不得分包。</w:t>
      </w:r>
    </w:p>
    <w:p w14:paraId="0BABD354">
      <w:pPr>
        <w:spacing w:line="360" w:lineRule="auto"/>
        <w:ind w:firstLine="420" w:firstLineChars="200"/>
        <w:rPr>
          <w:rFonts w:hAnsi="宋体"/>
          <w:color w:val="auto"/>
          <w:kern w:val="2"/>
          <w:szCs w:val="24"/>
          <w:highlight w:val="none"/>
        </w:rPr>
      </w:pPr>
      <w:r>
        <w:rPr>
          <w:rFonts w:hAnsi="宋体"/>
          <w:color w:val="auto"/>
          <w:kern w:val="2"/>
          <w:szCs w:val="24"/>
          <w:highlight w:val="none"/>
        </w:rPr>
        <w:t>1.9.2</w:t>
      </w:r>
      <w:r>
        <w:rPr>
          <w:rFonts w:hint="eastAsia" w:hAnsi="宋体"/>
          <w:color w:val="auto"/>
          <w:kern w:val="2"/>
          <w:szCs w:val="24"/>
          <w:highlight w:val="none"/>
        </w:rPr>
        <w:t>成交供应商不得向他人转让成交项目，接受分包的人不得再次分包。成交供应商就采购项目和分包项目向采购人负责，分包供应商就分包项目承担责任。</w:t>
      </w:r>
    </w:p>
    <w:p w14:paraId="490B39E4">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1.10</w:t>
      </w:r>
      <w:r>
        <w:rPr>
          <w:rFonts w:hint="eastAsia" w:hAnsi="宋体"/>
          <w:b/>
          <w:bCs/>
          <w:color w:val="auto"/>
          <w:kern w:val="2"/>
          <w:szCs w:val="28"/>
          <w:highlight w:val="none"/>
        </w:rPr>
        <w:t>响应偏差</w:t>
      </w:r>
    </w:p>
    <w:p w14:paraId="58D9D0F2">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响应文件应当对磋商文件的实质性要求和条件作出满足性或更有利于采购人的响应，否则，响应将被否决。</w:t>
      </w:r>
    </w:p>
    <w:p w14:paraId="08BA07E1">
      <w:pPr>
        <w:keepNext/>
        <w:keepLines/>
        <w:spacing w:line="360" w:lineRule="auto"/>
        <w:outlineLvl w:val="2"/>
        <w:rPr>
          <w:rFonts w:hAnsi="宋体"/>
          <w:b/>
          <w:bCs/>
          <w:color w:val="auto"/>
          <w:kern w:val="2"/>
          <w:sz w:val="24"/>
          <w:szCs w:val="28"/>
          <w:highlight w:val="none"/>
        </w:rPr>
      </w:pPr>
      <w:bookmarkStart w:id="19" w:name="_Toc533783510"/>
      <w:bookmarkStart w:id="20" w:name="_Toc533781558"/>
      <w:r>
        <w:rPr>
          <w:rFonts w:hAnsi="宋体"/>
          <w:b/>
          <w:bCs/>
          <w:color w:val="auto"/>
          <w:kern w:val="2"/>
          <w:sz w:val="24"/>
          <w:szCs w:val="28"/>
          <w:highlight w:val="none"/>
        </w:rPr>
        <w:t>2.</w:t>
      </w:r>
      <w:bookmarkEnd w:id="19"/>
      <w:bookmarkEnd w:id="20"/>
      <w:r>
        <w:rPr>
          <w:rFonts w:hint="eastAsia" w:hAnsi="宋体"/>
          <w:b/>
          <w:bCs/>
          <w:color w:val="auto"/>
          <w:kern w:val="2"/>
          <w:sz w:val="24"/>
          <w:szCs w:val="28"/>
          <w:highlight w:val="none"/>
        </w:rPr>
        <w:t>磋商文件</w:t>
      </w:r>
    </w:p>
    <w:p w14:paraId="6226B976">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2.1</w:t>
      </w:r>
      <w:r>
        <w:rPr>
          <w:rFonts w:hint="eastAsia" w:hAnsi="宋体"/>
          <w:b/>
          <w:bCs/>
          <w:color w:val="auto"/>
          <w:kern w:val="2"/>
          <w:szCs w:val="28"/>
          <w:highlight w:val="none"/>
        </w:rPr>
        <w:t>磋商文件的组成</w:t>
      </w:r>
    </w:p>
    <w:p w14:paraId="7C87FAB4">
      <w:pPr>
        <w:spacing w:line="360" w:lineRule="auto"/>
        <w:ind w:firstLine="420" w:firstLineChars="200"/>
        <w:rPr>
          <w:rFonts w:hAnsi="宋体"/>
          <w:color w:val="auto"/>
          <w:kern w:val="2"/>
          <w:szCs w:val="24"/>
          <w:highlight w:val="none"/>
        </w:rPr>
      </w:pPr>
      <w:r>
        <w:rPr>
          <w:rFonts w:hAnsi="宋体"/>
          <w:color w:val="auto"/>
          <w:kern w:val="2"/>
          <w:szCs w:val="24"/>
          <w:highlight w:val="none"/>
        </w:rPr>
        <w:t>2.1.1</w:t>
      </w:r>
      <w:r>
        <w:rPr>
          <w:rFonts w:hint="eastAsia" w:hAnsi="宋体"/>
          <w:color w:val="auto"/>
          <w:kern w:val="2"/>
          <w:szCs w:val="24"/>
          <w:highlight w:val="none"/>
        </w:rPr>
        <w:t>本磋商文件包括：</w:t>
      </w:r>
    </w:p>
    <w:p w14:paraId="25B8A73E">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1</w:t>
      </w:r>
      <w:r>
        <w:rPr>
          <w:rFonts w:hint="eastAsia" w:hAnsi="宋体"/>
          <w:color w:val="auto"/>
          <w:kern w:val="2"/>
          <w:szCs w:val="24"/>
          <w:highlight w:val="none"/>
        </w:rPr>
        <w:t>）竞争性磋商公告</w:t>
      </w:r>
    </w:p>
    <w:p w14:paraId="0B55F0EA">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2</w:t>
      </w:r>
      <w:r>
        <w:rPr>
          <w:rFonts w:hint="eastAsia" w:hAnsi="宋体"/>
          <w:color w:val="auto"/>
          <w:kern w:val="2"/>
          <w:szCs w:val="24"/>
          <w:highlight w:val="none"/>
        </w:rPr>
        <w:t>）供应商须知</w:t>
      </w:r>
    </w:p>
    <w:p w14:paraId="2BF39EB1">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3</w:t>
      </w:r>
      <w:r>
        <w:rPr>
          <w:rFonts w:hint="eastAsia" w:hAnsi="宋体"/>
          <w:color w:val="auto"/>
          <w:kern w:val="2"/>
          <w:szCs w:val="24"/>
          <w:highlight w:val="none"/>
        </w:rPr>
        <w:t>）评标办法</w:t>
      </w:r>
    </w:p>
    <w:p w14:paraId="749758BF">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4</w:t>
      </w:r>
      <w:r>
        <w:rPr>
          <w:rFonts w:hint="eastAsia" w:hAnsi="宋体"/>
          <w:color w:val="auto"/>
          <w:kern w:val="2"/>
          <w:szCs w:val="24"/>
          <w:highlight w:val="none"/>
        </w:rPr>
        <w:t>）合同条款及格式</w:t>
      </w:r>
    </w:p>
    <w:p w14:paraId="111E6C6A">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5</w:t>
      </w:r>
      <w:r>
        <w:rPr>
          <w:rFonts w:hint="eastAsia" w:hAnsi="宋体"/>
          <w:color w:val="auto"/>
          <w:kern w:val="2"/>
          <w:szCs w:val="24"/>
          <w:highlight w:val="none"/>
        </w:rPr>
        <w:t>）技术标准和要求</w:t>
      </w:r>
    </w:p>
    <w:p w14:paraId="2F840F84">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6</w:t>
      </w:r>
      <w:r>
        <w:rPr>
          <w:rFonts w:hint="eastAsia" w:hAnsi="宋体"/>
          <w:color w:val="auto"/>
          <w:kern w:val="2"/>
          <w:szCs w:val="24"/>
          <w:highlight w:val="none"/>
        </w:rPr>
        <w:t>）响应文件格式</w:t>
      </w:r>
    </w:p>
    <w:p w14:paraId="6986C7E8">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7</w:t>
      </w:r>
      <w:r>
        <w:rPr>
          <w:rFonts w:hint="eastAsia" w:hAnsi="宋体"/>
          <w:color w:val="auto"/>
          <w:kern w:val="2"/>
          <w:szCs w:val="24"/>
          <w:highlight w:val="none"/>
        </w:rPr>
        <w:t>）项目需求和说明</w:t>
      </w:r>
    </w:p>
    <w:p w14:paraId="5C451167">
      <w:pPr>
        <w:spacing w:line="360" w:lineRule="auto"/>
        <w:ind w:firstLine="420" w:firstLineChars="200"/>
        <w:rPr>
          <w:rFonts w:hAnsi="宋体"/>
          <w:color w:val="auto"/>
          <w:kern w:val="2"/>
          <w:szCs w:val="24"/>
          <w:highlight w:val="none"/>
        </w:rPr>
      </w:pPr>
      <w:r>
        <w:rPr>
          <w:rFonts w:hAnsi="宋体"/>
          <w:color w:val="auto"/>
          <w:kern w:val="2"/>
          <w:szCs w:val="24"/>
          <w:highlight w:val="none"/>
        </w:rPr>
        <w:t>2.1.2</w:t>
      </w:r>
      <w:r>
        <w:rPr>
          <w:rFonts w:hint="eastAsia" w:hAnsi="宋体"/>
          <w:color w:val="auto"/>
          <w:kern w:val="2"/>
          <w:szCs w:val="24"/>
          <w:highlight w:val="none"/>
        </w:rPr>
        <w:t>根据本章第</w:t>
      </w:r>
      <w:r>
        <w:rPr>
          <w:rFonts w:hAnsi="宋体"/>
          <w:color w:val="auto"/>
          <w:kern w:val="2"/>
          <w:szCs w:val="24"/>
          <w:highlight w:val="none"/>
        </w:rPr>
        <w:t>2.2</w:t>
      </w:r>
      <w:r>
        <w:rPr>
          <w:rFonts w:hint="eastAsia" w:hAnsi="宋体"/>
          <w:color w:val="auto"/>
          <w:kern w:val="2"/>
          <w:szCs w:val="24"/>
          <w:highlight w:val="none"/>
        </w:rPr>
        <w:t>款对磋商文件所作的澄清、修改，构成磋商文件的组成部分。</w:t>
      </w:r>
    </w:p>
    <w:p w14:paraId="0D391F26">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2.2</w:t>
      </w:r>
      <w:r>
        <w:rPr>
          <w:rFonts w:hint="eastAsia" w:hAnsi="宋体"/>
          <w:b/>
          <w:bCs/>
          <w:color w:val="auto"/>
          <w:kern w:val="2"/>
          <w:szCs w:val="28"/>
          <w:highlight w:val="none"/>
        </w:rPr>
        <w:t>磋商文件的澄清与修改</w:t>
      </w:r>
    </w:p>
    <w:p w14:paraId="5573112A">
      <w:pPr>
        <w:spacing w:line="360" w:lineRule="auto"/>
        <w:ind w:firstLine="420" w:firstLineChars="200"/>
        <w:rPr>
          <w:rFonts w:hAnsi="宋体"/>
          <w:color w:val="auto"/>
          <w:kern w:val="2"/>
          <w:szCs w:val="24"/>
          <w:highlight w:val="none"/>
        </w:rPr>
      </w:pPr>
      <w:r>
        <w:rPr>
          <w:rFonts w:hAnsi="宋体"/>
          <w:color w:val="auto"/>
          <w:kern w:val="2"/>
          <w:szCs w:val="24"/>
          <w:highlight w:val="none"/>
        </w:rPr>
        <w:t>2.2.1</w:t>
      </w:r>
      <w:r>
        <w:rPr>
          <w:rFonts w:hint="eastAsia" w:hAnsi="宋体"/>
          <w:color w:val="auto"/>
          <w:kern w:val="2"/>
          <w:szCs w:val="24"/>
          <w:highlight w:val="none"/>
        </w:rPr>
        <w:t>供应商应仔细阅读和检查磋商文件的全部内容。如发现缺页或附件不全，应及时向采购人或采购代理机构提出，以便补齐。</w:t>
      </w:r>
    </w:p>
    <w:p w14:paraId="4D6CDCE3">
      <w:pPr>
        <w:spacing w:line="360" w:lineRule="auto"/>
        <w:ind w:firstLine="420" w:firstLineChars="200"/>
        <w:rPr>
          <w:rFonts w:hAnsi="宋体"/>
          <w:color w:val="auto"/>
          <w:kern w:val="2"/>
          <w:szCs w:val="24"/>
          <w:highlight w:val="none"/>
        </w:rPr>
      </w:pPr>
      <w:r>
        <w:rPr>
          <w:rFonts w:hAnsi="宋体"/>
          <w:color w:val="auto"/>
          <w:kern w:val="2"/>
          <w:szCs w:val="24"/>
          <w:highlight w:val="none"/>
        </w:rPr>
        <w:t>2.2.2</w:t>
      </w:r>
      <w:r>
        <w:rPr>
          <w:rFonts w:hint="eastAsia" w:hAnsi="宋体"/>
          <w:color w:val="auto"/>
          <w:kern w:val="2"/>
          <w:szCs w:val="24"/>
          <w:highlight w:val="none"/>
        </w:rPr>
        <w:t>提交首次响应文件截止时间前，采购人可以对已发出的磋商文件进行必要的澄清或者修改，并以供应商须知前附表</w:t>
      </w:r>
      <w:r>
        <w:rPr>
          <w:rFonts w:hAnsi="宋体"/>
          <w:color w:val="auto"/>
          <w:kern w:val="2"/>
          <w:szCs w:val="24"/>
          <w:highlight w:val="none"/>
        </w:rPr>
        <w:t>2.2.2</w:t>
      </w:r>
      <w:r>
        <w:rPr>
          <w:rFonts w:hint="eastAsia" w:hAnsi="宋体"/>
          <w:color w:val="auto"/>
          <w:kern w:val="2"/>
          <w:szCs w:val="24"/>
          <w:highlight w:val="none"/>
        </w:rPr>
        <w:t>规定的形式，通知所有潜在供应商，澄清或者修改的内容作为磋商文件的组成部分。澄清或者修改的内容可能影响响应文件编制的，采购人应当在提交首次响应文件截止时间至少</w:t>
      </w:r>
      <w:r>
        <w:rPr>
          <w:rFonts w:hAnsi="宋体"/>
          <w:color w:val="auto"/>
          <w:kern w:val="2"/>
          <w:szCs w:val="24"/>
          <w:highlight w:val="none"/>
        </w:rPr>
        <w:t>5</w:t>
      </w:r>
      <w:r>
        <w:rPr>
          <w:rFonts w:hint="eastAsia" w:hAnsi="宋体"/>
          <w:color w:val="auto"/>
          <w:kern w:val="2"/>
          <w:szCs w:val="24"/>
          <w:highlight w:val="none"/>
        </w:rPr>
        <w:t>日前，以供应商须知前附表</w:t>
      </w:r>
      <w:r>
        <w:rPr>
          <w:rFonts w:hAnsi="宋体"/>
          <w:color w:val="auto"/>
          <w:kern w:val="2"/>
          <w:szCs w:val="24"/>
          <w:highlight w:val="none"/>
        </w:rPr>
        <w:t>2.2.2</w:t>
      </w:r>
      <w:r>
        <w:rPr>
          <w:rFonts w:hint="eastAsia" w:hAnsi="宋体"/>
          <w:color w:val="auto"/>
          <w:kern w:val="2"/>
          <w:szCs w:val="24"/>
          <w:highlight w:val="none"/>
        </w:rPr>
        <w:t>规定的形式通知所有获取磋商文件的供应商；不足</w:t>
      </w:r>
      <w:r>
        <w:rPr>
          <w:rFonts w:hAnsi="宋体"/>
          <w:color w:val="auto"/>
          <w:kern w:val="2"/>
          <w:szCs w:val="24"/>
          <w:highlight w:val="none"/>
        </w:rPr>
        <w:t>5</w:t>
      </w:r>
      <w:r>
        <w:rPr>
          <w:rFonts w:hint="eastAsia" w:hAnsi="宋体"/>
          <w:color w:val="auto"/>
          <w:kern w:val="2"/>
          <w:szCs w:val="24"/>
          <w:highlight w:val="none"/>
        </w:rPr>
        <w:t>日的，采购人、采购代理机构应当顺延提交首次响应文件截止时间。</w:t>
      </w:r>
    </w:p>
    <w:p w14:paraId="46F88162">
      <w:pPr>
        <w:spacing w:line="360" w:lineRule="auto"/>
        <w:ind w:firstLine="420" w:firstLineChars="200"/>
        <w:rPr>
          <w:rFonts w:hAnsi="宋体"/>
          <w:color w:val="auto"/>
          <w:kern w:val="2"/>
          <w:szCs w:val="24"/>
          <w:highlight w:val="none"/>
        </w:rPr>
      </w:pPr>
      <w:r>
        <w:rPr>
          <w:rFonts w:hAnsi="宋体"/>
          <w:color w:val="auto"/>
          <w:kern w:val="2"/>
          <w:szCs w:val="24"/>
          <w:highlight w:val="none"/>
        </w:rPr>
        <w:t>2.2.3</w:t>
      </w:r>
      <w:r>
        <w:rPr>
          <w:rFonts w:hint="eastAsia" w:hAnsi="宋体"/>
          <w:color w:val="auto"/>
          <w:kern w:val="2"/>
          <w:szCs w:val="24"/>
          <w:highlight w:val="none"/>
        </w:rPr>
        <w:t>供应商在收到磋商文件的澄清或者修改后，应当按供应商须知前附表规定的形式，确认已收到该澄清或者修改。</w:t>
      </w:r>
    </w:p>
    <w:p w14:paraId="69E263D6">
      <w:pPr>
        <w:spacing w:line="360" w:lineRule="auto"/>
        <w:ind w:firstLine="420" w:firstLineChars="200"/>
        <w:rPr>
          <w:rFonts w:hAnsi="宋体"/>
          <w:color w:val="auto"/>
          <w:kern w:val="2"/>
          <w:szCs w:val="24"/>
          <w:highlight w:val="none"/>
        </w:rPr>
      </w:pPr>
      <w:r>
        <w:rPr>
          <w:rFonts w:hAnsi="宋体"/>
          <w:color w:val="auto"/>
          <w:kern w:val="2"/>
          <w:szCs w:val="24"/>
          <w:highlight w:val="none"/>
        </w:rPr>
        <w:t>2.2.4</w:t>
      </w:r>
      <w:r>
        <w:rPr>
          <w:rFonts w:hint="eastAsia" w:hAnsi="宋体"/>
          <w:color w:val="auto"/>
          <w:kern w:val="2"/>
          <w:szCs w:val="24"/>
          <w:highlight w:val="none"/>
        </w:rPr>
        <w:t>当磋商文件及其澄清、修改或补充文件对同一内容表述不一致时，以最后发出的书面文件为准。</w:t>
      </w:r>
    </w:p>
    <w:p w14:paraId="47D018E3">
      <w:pPr>
        <w:keepNext/>
        <w:keepLines/>
        <w:spacing w:line="360" w:lineRule="auto"/>
        <w:outlineLvl w:val="2"/>
        <w:rPr>
          <w:rFonts w:hAnsi="宋体"/>
          <w:b/>
          <w:bCs/>
          <w:color w:val="auto"/>
          <w:kern w:val="2"/>
          <w:sz w:val="24"/>
          <w:szCs w:val="28"/>
          <w:highlight w:val="none"/>
        </w:rPr>
      </w:pPr>
      <w:bookmarkStart w:id="21" w:name="_Toc533781559"/>
      <w:bookmarkStart w:id="22" w:name="_Toc533783511"/>
      <w:r>
        <w:rPr>
          <w:rFonts w:hAnsi="宋体"/>
          <w:b/>
          <w:bCs/>
          <w:color w:val="auto"/>
          <w:kern w:val="2"/>
          <w:sz w:val="24"/>
          <w:szCs w:val="28"/>
          <w:highlight w:val="none"/>
        </w:rPr>
        <w:t>3.</w:t>
      </w:r>
      <w:r>
        <w:rPr>
          <w:rFonts w:hint="eastAsia" w:hAnsi="宋体"/>
          <w:b/>
          <w:bCs/>
          <w:color w:val="auto"/>
          <w:kern w:val="2"/>
          <w:sz w:val="24"/>
          <w:szCs w:val="28"/>
          <w:highlight w:val="none"/>
        </w:rPr>
        <w:t>响应文件</w:t>
      </w:r>
      <w:bookmarkEnd w:id="21"/>
      <w:bookmarkEnd w:id="22"/>
    </w:p>
    <w:p w14:paraId="5C4F04FF">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3.1</w:t>
      </w:r>
      <w:r>
        <w:rPr>
          <w:rFonts w:hint="eastAsia" w:hAnsi="宋体"/>
          <w:b/>
          <w:bCs/>
          <w:color w:val="auto"/>
          <w:kern w:val="2"/>
          <w:szCs w:val="28"/>
          <w:highlight w:val="none"/>
        </w:rPr>
        <w:t>响应文件的组成</w:t>
      </w:r>
    </w:p>
    <w:p w14:paraId="2961DC36">
      <w:pPr>
        <w:spacing w:line="360" w:lineRule="auto"/>
        <w:ind w:firstLine="420" w:firstLineChars="200"/>
        <w:rPr>
          <w:rFonts w:hAnsi="宋体"/>
          <w:color w:val="auto"/>
          <w:kern w:val="2"/>
          <w:szCs w:val="24"/>
          <w:highlight w:val="none"/>
        </w:rPr>
      </w:pPr>
      <w:r>
        <w:rPr>
          <w:rFonts w:hAnsi="宋体"/>
          <w:color w:val="auto"/>
          <w:kern w:val="2"/>
          <w:szCs w:val="24"/>
          <w:highlight w:val="none"/>
        </w:rPr>
        <w:t>3.1.1</w:t>
      </w:r>
      <w:r>
        <w:rPr>
          <w:rFonts w:hint="eastAsia" w:hAnsi="宋体"/>
          <w:color w:val="auto"/>
          <w:kern w:val="2"/>
          <w:szCs w:val="24"/>
          <w:highlight w:val="none"/>
        </w:rPr>
        <w:t>响应文件应包括的内容：见供应商须知前附表。</w:t>
      </w:r>
    </w:p>
    <w:p w14:paraId="2E65408B">
      <w:pPr>
        <w:spacing w:line="360" w:lineRule="auto"/>
        <w:ind w:firstLine="420" w:firstLineChars="200"/>
        <w:rPr>
          <w:rFonts w:hAnsi="宋体"/>
          <w:color w:val="auto"/>
          <w:kern w:val="2"/>
          <w:szCs w:val="24"/>
          <w:highlight w:val="none"/>
        </w:rPr>
      </w:pPr>
      <w:r>
        <w:rPr>
          <w:rFonts w:hAnsi="宋体"/>
          <w:color w:val="auto"/>
          <w:kern w:val="2"/>
          <w:szCs w:val="24"/>
          <w:highlight w:val="none"/>
        </w:rPr>
        <w:t>3.1.2</w:t>
      </w:r>
      <w:r>
        <w:rPr>
          <w:rFonts w:hint="eastAsia" w:hAnsi="宋体"/>
          <w:color w:val="auto"/>
          <w:kern w:val="2"/>
          <w:szCs w:val="24"/>
          <w:highlight w:val="none"/>
        </w:rPr>
        <w:t>磋商文件第六章“响应文件格式”有规定格式要求的，供应商应按规定的格式填写并按要求提交相关的证明材料。</w:t>
      </w:r>
    </w:p>
    <w:p w14:paraId="737320E1">
      <w:pPr>
        <w:spacing w:line="360" w:lineRule="auto"/>
        <w:ind w:firstLine="420" w:firstLineChars="200"/>
        <w:rPr>
          <w:rFonts w:hAnsi="宋体"/>
          <w:color w:val="auto"/>
          <w:kern w:val="2"/>
          <w:szCs w:val="24"/>
          <w:highlight w:val="none"/>
        </w:rPr>
      </w:pPr>
      <w:r>
        <w:rPr>
          <w:rFonts w:hAnsi="宋体"/>
          <w:color w:val="auto"/>
          <w:kern w:val="2"/>
          <w:szCs w:val="24"/>
          <w:highlight w:val="none"/>
        </w:rPr>
        <w:t>3.1.3</w:t>
      </w:r>
      <w:r>
        <w:rPr>
          <w:rFonts w:hint="eastAsia" w:hAnsi="宋体"/>
          <w:color w:val="auto"/>
          <w:kern w:val="2"/>
          <w:szCs w:val="24"/>
          <w:highlight w:val="none"/>
        </w:rPr>
        <w:t>供应商须知前附表规定不接受联合体投标的，或供应商没有组成联合体的，响应文件不包括本章第</w:t>
      </w:r>
      <w:r>
        <w:rPr>
          <w:rFonts w:hAnsi="宋体"/>
          <w:color w:val="auto"/>
          <w:kern w:val="2"/>
          <w:szCs w:val="24"/>
          <w:highlight w:val="none"/>
        </w:rPr>
        <w:t>3.1.1</w:t>
      </w:r>
      <w:r>
        <w:rPr>
          <w:rFonts w:hint="eastAsia" w:hAnsi="宋体"/>
          <w:color w:val="auto"/>
          <w:kern w:val="2"/>
          <w:szCs w:val="24"/>
          <w:highlight w:val="none"/>
        </w:rPr>
        <w:t>中所指的联合体协议书。</w:t>
      </w:r>
    </w:p>
    <w:p w14:paraId="3679B140">
      <w:pPr>
        <w:spacing w:line="360" w:lineRule="auto"/>
        <w:ind w:firstLine="420" w:firstLineChars="200"/>
        <w:rPr>
          <w:rFonts w:hAnsi="宋体"/>
          <w:color w:val="auto"/>
          <w:kern w:val="2"/>
          <w:szCs w:val="24"/>
          <w:highlight w:val="none"/>
        </w:rPr>
      </w:pPr>
      <w:r>
        <w:rPr>
          <w:rFonts w:hAnsi="宋体"/>
          <w:color w:val="auto"/>
          <w:kern w:val="2"/>
          <w:szCs w:val="24"/>
          <w:highlight w:val="none"/>
        </w:rPr>
        <w:t>3.1.4</w:t>
      </w:r>
      <w:r>
        <w:rPr>
          <w:rFonts w:hint="eastAsia" w:hAnsi="宋体"/>
          <w:color w:val="auto"/>
          <w:kern w:val="2"/>
          <w:szCs w:val="24"/>
          <w:highlight w:val="none"/>
        </w:rPr>
        <w:t>供应商须知前附表未要求提交磋商保证金的，响应文件不包括本章第</w:t>
      </w:r>
      <w:r>
        <w:rPr>
          <w:rFonts w:hAnsi="宋体"/>
          <w:color w:val="auto"/>
          <w:kern w:val="2"/>
          <w:szCs w:val="24"/>
          <w:highlight w:val="none"/>
        </w:rPr>
        <w:t>3.4.1</w:t>
      </w:r>
      <w:r>
        <w:rPr>
          <w:rFonts w:hint="eastAsia" w:hAnsi="宋体"/>
          <w:color w:val="auto"/>
          <w:kern w:val="2"/>
          <w:szCs w:val="24"/>
          <w:highlight w:val="none"/>
        </w:rPr>
        <w:t>的磋商保证金。</w:t>
      </w:r>
    </w:p>
    <w:p w14:paraId="58B1C5DB">
      <w:pPr>
        <w:spacing w:line="360" w:lineRule="auto"/>
        <w:ind w:firstLine="420" w:firstLineChars="200"/>
        <w:rPr>
          <w:rFonts w:hAnsi="宋体"/>
          <w:color w:val="auto"/>
          <w:kern w:val="2"/>
          <w:szCs w:val="24"/>
          <w:highlight w:val="none"/>
        </w:rPr>
      </w:pPr>
      <w:r>
        <w:rPr>
          <w:rFonts w:hAnsi="宋体"/>
          <w:color w:val="auto"/>
          <w:kern w:val="2"/>
          <w:szCs w:val="24"/>
          <w:highlight w:val="none"/>
        </w:rPr>
        <w:t>3.1.5</w:t>
      </w:r>
      <w:r>
        <w:rPr>
          <w:rFonts w:hint="eastAsia" w:hAnsi="宋体"/>
          <w:color w:val="auto"/>
          <w:kern w:val="2"/>
          <w:szCs w:val="24"/>
          <w:highlight w:val="none"/>
        </w:rPr>
        <w:t>资格审查需要的其他材料：见供应商须知前附表。</w:t>
      </w:r>
    </w:p>
    <w:p w14:paraId="7AABD26A">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3.2</w:t>
      </w:r>
      <w:r>
        <w:rPr>
          <w:rFonts w:hint="eastAsia" w:hAnsi="宋体"/>
          <w:b/>
          <w:bCs/>
          <w:color w:val="auto"/>
          <w:kern w:val="2"/>
          <w:szCs w:val="28"/>
          <w:highlight w:val="none"/>
        </w:rPr>
        <w:t>磋商报价</w:t>
      </w:r>
    </w:p>
    <w:p w14:paraId="0F344B7F">
      <w:pPr>
        <w:spacing w:line="360" w:lineRule="auto"/>
        <w:ind w:firstLine="420" w:firstLineChars="200"/>
        <w:rPr>
          <w:rFonts w:hAnsi="宋体"/>
          <w:color w:val="auto"/>
          <w:kern w:val="2"/>
          <w:szCs w:val="24"/>
          <w:highlight w:val="none"/>
        </w:rPr>
      </w:pPr>
      <w:r>
        <w:rPr>
          <w:rFonts w:hAnsi="宋体"/>
          <w:color w:val="auto"/>
          <w:kern w:val="2"/>
          <w:szCs w:val="24"/>
          <w:highlight w:val="none"/>
        </w:rPr>
        <w:t>3.2.1</w:t>
      </w:r>
      <w:r>
        <w:rPr>
          <w:rFonts w:hint="eastAsia" w:hAnsi="宋体"/>
          <w:color w:val="auto"/>
          <w:kern w:val="2"/>
          <w:szCs w:val="24"/>
          <w:highlight w:val="none"/>
        </w:rPr>
        <w:t>供应商应充分了解该项目的总体情况以及影响磋商报价（包括最后报价）的其他要素。</w:t>
      </w:r>
    </w:p>
    <w:p w14:paraId="6EF2FFE8">
      <w:pPr>
        <w:spacing w:line="360" w:lineRule="auto"/>
        <w:ind w:firstLine="420" w:firstLineChars="200"/>
        <w:rPr>
          <w:rFonts w:hAnsi="宋体"/>
          <w:color w:val="auto"/>
          <w:kern w:val="2"/>
          <w:szCs w:val="24"/>
          <w:highlight w:val="none"/>
        </w:rPr>
      </w:pPr>
      <w:r>
        <w:rPr>
          <w:rFonts w:hAnsi="宋体"/>
          <w:color w:val="auto"/>
          <w:kern w:val="2"/>
          <w:szCs w:val="24"/>
          <w:highlight w:val="none"/>
        </w:rPr>
        <w:t>3.2.2</w:t>
      </w:r>
      <w:r>
        <w:rPr>
          <w:rFonts w:hint="eastAsia" w:hAnsi="宋体"/>
          <w:color w:val="auto"/>
          <w:kern w:val="2"/>
          <w:szCs w:val="24"/>
          <w:highlight w:val="none"/>
        </w:rPr>
        <w:t>采购人设有上限控制价的，供应商的磋商报价（包括最后报价）不得超过上限控制价，上限控制价在供应商须知前附表中载明。</w:t>
      </w:r>
    </w:p>
    <w:p w14:paraId="6AA5855F">
      <w:pPr>
        <w:spacing w:line="360" w:lineRule="auto"/>
        <w:ind w:firstLine="420" w:firstLineChars="200"/>
        <w:rPr>
          <w:rFonts w:hAnsi="宋体"/>
          <w:color w:val="auto"/>
          <w:kern w:val="2"/>
          <w:szCs w:val="24"/>
          <w:highlight w:val="none"/>
        </w:rPr>
      </w:pPr>
      <w:r>
        <w:rPr>
          <w:rFonts w:hAnsi="宋体"/>
          <w:color w:val="auto"/>
          <w:kern w:val="2"/>
          <w:szCs w:val="24"/>
          <w:highlight w:val="none"/>
        </w:rPr>
        <w:t>3.2.3</w:t>
      </w:r>
      <w:r>
        <w:rPr>
          <w:rFonts w:hint="eastAsia" w:hAnsi="宋体"/>
          <w:color w:val="auto"/>
          <w:kern w:val="2"/>
          <w:szCs w:val="24"/>
          <w:highlight w:val="none"/>
        </w:rPr>
        <w:t>报价的其他要求：见供应商须知前附表。</w:t>
      </w:r>
    </w:p>
    <w:p w14:paraId="59D565B4">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3.3</w:t>
      </w:r>
      <w:r>
        <w:rPr>
          <w:rFonts w:hint="eastAsia" w:hAnsi="宋体"/>
          <w:b/>
          <w:bCs/>
          <w:color w:val="auto"/>
          <w:kern w:val="2"/>
          <w:szCs w:val="28"/>
          <w:highlight w:val="none"/>
        </w:rPr>
        <w:t>磋商有效期</w:t>
      </w:r>
    </w:p>
    <w:p w14:paraId="5B709836">
      <w:pPr>
        <w:spacing w:line="360" w:lineRule="auto"/>
        <w:ind w:firstLine="420" w:firstLineChars="200"/>
        <w:rPr>
          <w:rFonts w:hAnsi="宋体"/>
          <w:color w:val="auto"/>
          <w:kern w:val="2"/>
          <w:szCs w:val="24"/>
          <w:highlight w:val="none"/>
        </w:rPr>
      </w:pPr>
      <w:r>
        <w:rPr>
          <w:rFonts w:hAnsi="宋体"/>
          <w:color w:val="auto"/>
          <w:kern w:val="2"/>
          <w:szCs w:val="24"/>
          <w:highlight w:val="none"/>
        </w:rPr>
        <w:t>3.3.1</w:t>
      </w:r>
      <w:r>
        <w:rPr>
          <w:rFonts w:hint="eastAsia" w:hAnsi="宋体"/>
          <w:color w:val="auto"/>
          <w:kern w:val="2"/>
          <w:szCs w:val="24"/>
          <w:highlight w:val="none"/>
        </w:rPr>
        <w:t>在供应商须知前附表规定的磋商有效期内，供应商不得要求撤回或修改其响应文件。磋商有效期从提交首次响应文件截止之日起算。</w:t>
      </w:r>
    </w:p>
    <w:p w14:paraId="60CA29D7">
      <w:pPr>
        <w:spacing w:line="360" w:lineRule="auto"/>
        <w:ind w:firstLine="420" w:firstLineChars="200"/>
        <w:rPr>
          <w:rFonts w:hAnsi="宋体"/>
          <w:color w:val="auto"/>
          <w:kern w:val="2"/>
          <w:szCs w:val="24"/>
          <w:highlight w:val="none"/>
        </w:rPr>
      </w:pPr>
      <w:r>
        <w:rPr>
          <w:rFonts w:hAnsi="宋体"/>
          <w:color w:val="auto"/>
          <w:kern w:val="2"/>
          <w:szCs w:val="24"/>
          <w:highlight w:val="none"/>
        </w:rPr>
        <w:t>3.3.2</w:t>
      </w:r>
      <w:r>
        <w:rPr>
          <w:rFonts w:hint="eastAsia" w:hAnsi="宋体"/>
          <w:color w:val="auto"/>
          <w:kern w:val="2"/>
          <w:szCs w:val="24"/>
          <w:highlight w:val="none"/>
        </w:rPr>
        <w:t>响应文件中承诺的磋商有效期应当不少于磋商文件中载明的磋商有效期。</w:t>
      </w:r>
    </w:p>
    <w:p w14:paraId="6E0818DB">
      <w:pPr>
        <w:spacing w:line="360" w:lineRule="auto"/>
        <w:ind w:firstLine="420" w:firstLineChars="200"/>
        <w:rPr>
          <w:rFonts w:hAnsi="宋体"/>
          <w:color w:val="auto"/>
          <w:kern w:val="2"/>
          <w:szCs w:val="24"/>
          <w:highlight w:val="none"/>
        </w:rPr>
      </w:pPr>
      <w:r>
        <w:rPr>
          <w:rFonts w:hAnsi="宋体"/>
          <w:color w:val="auto"/>
          <w:kern w:val="2"/>
          <w:szCs w:val="24"/>
          <w:highlight w:val="none"/>
        </w:rPr>
        <w:t>3.3.3</w:t>
      </w:r>
      <w:r>
        <w:rPr>
          <w:rFonts w:hint="eastAsia" w:hAnsi="宋体"/>
          <w:color w:val="auto"/>
          <w:kern w:val="2"/>
          <w:szCs w:val="24"/>
          <w:highlight w:val="none"/>
        </w:rPr>
        <w:t>出现特殊情况需要延长磋商有效期的，采购人以书面形式通知所有供应商延长磋商有效期。供应商应予以书面答复，同意延长的，应相应延长其磋商保证金的有效期，但不得要求或被允许修改其响应文件；供应商拒绝延长的，其响应失效，但供应商有权收回其磋商保证金。</w:t>
      </w:r>
    </w:p>
    <w:p w14:paraId="23A92F2E">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3.4</w:t>
      </w:r>
      <w:r>
        <w:rPr>
          <w:rFonts w:hint="eastAsia" w:hAnsi="宋体"/>
          <w:b/>
          <w:bCs/>
          <w:color w:val="auto"/>
          <w:kern w:val="2"/>
          <w:szCs w:val="28"/>
          <w:highlight w:val="none"/>
        </w:rPr>
        <w:t>磋商保证金</w:t>
      </w:r>
    </w:p>
    <w:p w14:paraId="0764DAA9">
      <w:pPr>
        <w:spacing w:line="360" w:lineRule="auto"/>
        <w:ind w:firstLine="420" w:firstLineChars="200"/>
        <w:rPr>
          <w:rFonts w:hAnsi="宋体"/>
          <w:color w:val="auto"/>
          <w:kern w:val="2"/>
          <w:szCs w:val="24"/>
          <w:highlight w:val="none"/>
        </w:rPr>
      </w:pPr>
      <w:r>
        <w:rPr>
          <w:rFonts w:hAnsi="宋体"/>
          <w:color w:val="auto"/>
          <w:kern w:val="2"/>
          <w:szCs w:val="24"/>
          <w:highlight w:val="none"/>
        </w:rPr>
        <w:t>3.4.1</w:t>
      </w:r>
      <w:r>
        <w:rPr>
          <w:rFonts w:hint="eastAsia" w:hAnsi="宋体"/>
          <w:color w:val="auto"/>
          <w:kern w:val="2"/>
          <w:szCs w:val="24"/>
          <w:highlight w:val="none"/>
        </w:rPr>
        <w:t>供应商必须在提交首次响应文件截止时间前，按供应商须知前附表规定的金额、形式递交磋商保证金，提交磋商保证金的证明文件作为其响应文件的组成部分。联合体投标的，其磋商保证金可由联合体中的任一方缴纳，并在联合体协议书中明确，保证金缴纳应当符合供应商须知前附表的规定。</w:t>
      </w:r>
    </w:p>
    <w:p w14:paraId="09E95C35">
      <w:pPr>
        <w:spacing w:line="360" w:lineRule="auto"/>
        <w:ind w:firstLine="420" w:firstLineChars="200"/>
        <w:rPr>
          <w:rFonts w:hAnsi="宋体"/>
          <w:color w:val="auto"/>
          <w:kern w:val="2"/>
          <w:szCs w:val="24"/>
          <w:highlight w:val="none"/>
        </w:rPr>
      </w:pPr>
      <w:r>
        <w:rPr>
          <w:rFonts w:hAnsi="宋体"/>
          <w:color w:val="auto"/>
          <w:kern w:val="2"/>
          <w:szCs w:val="24"/>
          <w:highlight w:val="none"/>
        </w:rPr>
        <w:t>3.4.2</w:t>
      </w:r>
      <w:r>
        <w:rPr>
          <w:rFonts w:hint="eastAsia" w:hAnsi="宋体"/>
          <w:color w:val="auto"/>
          <w:kern w:val="2"/>
          <w:szCs w:val="24"/>
          <w:highlight w:val="none"/>
        </w:rPr>
        <w:t>供应商不按本章第</w:t>
      </w:r>
      <w:r>
        <w:rPr>
          <w:rFonts w:hAnsi="宋体"/>
          <w:color w:val="auto"/>
          <w:kern w:val="2"/>
          <w:szCs w:val="24"/>
          <w:highlight w:val="none"/>
        </w:rPr>
        <w:t>3.4.1</w:t>
      </w:r>
      <w:r>
        <w:rPr>
          <w:rFonts w:hint="eastAsia" w:hAnsi="宋体"/>
          <w:color w:val="auto"/>
          <w:kern w:val="2"/>
          <w:szCs w:val="24"/>
          <w:highlight w:val="none"/>
        </w:rPr>
        <w:t>项要求提交磋商保证金的，其响应文件按无效处理。</w:t>
      </w:r>
    </w:p>
    <w:p w14:paraId="7177B215">
      <w:pPr>
        <w:spacing w:line="360" w:lineRule="auto"/>
        <w:ind w:firstLine="420" w:firstLineChars="200"/>
        <w:rPr>
          <w:rFonts w:hAnsi="宋体"/>
          <w:color w:val="auto"/>
          <w:kern w:val="2"/>
          <w:szCs w:val="24"/>
          <w:highlight w:val="none"/>
        </w:rPr>
      </w:pPr>
      <w:r>
        <w:rPr>
          <w:rFonts w:hAnsi="宋体"/>
          <w:color w:val="auto"/>
          <w:kern w:val="2"/>
          <w:szCs w:val="24"/>
          <w:highlight w:val="none"/>
        </w:rPr>
        <w:t>3.4.3</w:t>
      </w:r>
      <w:r>
        <w:rPr>
          <w:rFonts w:hint="eastAsia" w:hAnsi="宋体"/>
          <w:color w:val="auto"/>
          <w:kern w:val="2"/>
          <w:szCs w:val="24"/>
          <w:highlight w:val="none"/>
        </w:rPr>
        <w:t>供应商在提交首次响应文件截止时间前撤回已提交的响应文件的，采购人或者采购代理机构应当自收到供应商书面撤回通知之日起</w:t>
      </w:r>
      <w:r>
        <w:rPr>
          <w:rFonts w:hAnsi="宋体"/>
          <w:color w:val="auto"/>
          <w:kern w:val="2"/>
          <w:szCs w:val="24"/>
          <w:highlight w:val="none"/>
        </w:rPr>
        <w:t>5</w:t>
      </w:r>
      <w:r>
        <w:rPr>
          <w:rFonts w:hint="eastAsia" w:hAnsi="宋体"/>
          <w:color w:val="auto"/>
          <w:kern w:val="2"/>
          <w:szCs w:val="24"/>
          <w:highlight w:val="none"/>
        </w:rPr>
        <w:t>个工作日内，退还已收取的磋商保证金。</w:t>
      </w:r>
    </w:p>
    <w:p w14:paraId="0A13EAC4">
      <w:pPr>
        <w:spacing w:line="360" w:lineRule="auto"/>
        <w:ind w:firstLine="420" w:firstLineChars="200"/>
        <w:rPr>
          <w:rFonts w:hAnsi="宋体"/>
          <w:color w:val="auto"/>
          <w:kern w:val="2"/>
          <w:szCs w:val="24"/>
          <w:highlight w:val="none"/>
        </w:rPr>
      </w:pPr>
      <w:r>
        <w:rPr>
          <w:rFonts w:hAnsi="宋体"/>
          <w:color w:val="auto"/>
          <w:kern w:val="2"/>
          <w:szCs w:val="24"/>
          <w:highlight w:val="none"/>
        </w:rPr>
        <w:t>3.4.4</w:t>
      </w:r>
      <w:r>
        <w:rPr>
          <w:rFonts w:hint="eastAsia" w:hAnsi="宋体"/>
          <w:color w:val="auto"/>
          <w:kern w:val="2"/>
          <w:szCs w:val="24"/>
          <w:highlight w:val="none"/>
        </w:rPr>
        <w:t>已提交响应文件的供应商，在提交最后报价之前，可以根据磋商情况退出磋商。采购人、采购代理机构应当自收到供应商退出之日起</w:t>
      </w:r>
      <w:r>
        <w:rPr>
          <w:rFonts w:hAnsi="宋体"/>
          <w:color w:val="auto"/>
          <w:kern w:val="2"/>
          <w:szCs w:val="24"/>
          <w:highlight w:val="none"/>
        </w:rPr>
        <w:t>5</w:t>
      </w:r>
      <w:r>
        <w:rPr>
          <w:rFonts w:hint="eastAsia" w:hAnsi="宋体"/>
          <w:color w:val="auto"/>
          <w:kern w:val="2"/>
          <w:szCs w:val="24"/>
          <w:highlight w:val="none"/>
        </w:rPr>
        <w:t>个工作日内退还退出磋商的供应商的磋商保证金。</w:t>
      </w:r>
    </w:p>
    <w:p w14:paraId="7BABB9FB">
      <w:pPr>
        <w:spacing w:line="360" w:lineRule="auto"/>
        <w:ind w:firstLine="420" w:firstLineChars="200"/>
        <w:rPr>
          <w:rFonts w:hAnsi="宋体"/>
          <w:color w:val="auto"/>
          <w:kern w:val="2"/>
          <w:szCs w:val="24"/>
          <w:highlight w:val="none"/>
        </w:rPr>
      </w:pPr>
      <w:r>
        <w:rPr>
          <w:rFonts w:hAnsi="宋体"/>
          <w:color w:val="auto"/>
          <w:kern w:val="2"/>
          <w:szCs w:val="24"/>
          <w:highlight w:val="none"/>
        </w:rPr>
        <w:t>3.4.5</w:t>
      </w:r>
      <w:r>
        <w:rPr>
          <w:rFonts w:hint="eastAsia" w:hAnsi="宋体"/>
          <w:color w:val="auto"/>
          <w:kern w:val="2"/>
          <w:szCs w:val="24"/>
          <w:highlight w:val="none"/>
        </w:rPr>
        <w:t>采购人或者采购代理机构应当自成交通知书发出之日起</w:t>
      </w:r>
      <w:r>
        <w:rPr>
          <w:rFonts w:hAnsi="宋体"/>
          <w:color w:val="auto"/>
          <w:kern w:val="2"/>
          <w:szCs w:val="24"/>
          <w:highlight w:val="none"/>
        </w:rPr>
        <w:t>5</w:t>
      </w:r>
      <w:r>
        <w:rPr>
          <w:rFonts w:hint="eastAsia" w:hAnsi="宋体"/>
          <w:color w:val="auto"/>
          <w:kern w:val="2"/>
          <w:szCs w:val="24"/>
          <w:highlight w:val="none"/>
        </w:rPr>
        <w:t>个工作日内退还未成交供应商的磋商保证金，自采购合同签订之日起</w:t>
      </w:r>
      <w:r>
        <w:rPr>
          <w:rFonts w:hAnsi="宋体"/>
          <w:color w:val="auto"/>
          <w:kern w:val="2"/>
          <w:szCs w:val="24"/>
          <w:highlight w:val="none"/>
        </w:rPr>
        <w:t>5</w:t>
      </w:r>
      <w:r>
        <w:rPr>
          <w:rFonts w:hint="eastAsia" w:hAnsi="宋体"/>
          <w:color w:val="auto"/>
          <w:kern w:val="2"/>
          <w:szCs w:val="24"/>
          <w:highlight w:val="none"/>
        </w:rPr>
        <w:t>个工作日内退还成交供应商的磋商保证金。</w:t>
      </w:r>
    </w:p>
    <w:p w14:paraId="3DB41D57">
      <w:pPr>
        <w:spacing w:line="360" w:lineRule="auto"/>
        <w:ind w:firstLine="420" w:firstLineChars="200"/>
        <w:rPr>
          <w:rFonts w:hAnsi="宋体"/>
          <w:color w:val="auto"/>
          <w:kern w:val="2"/>
          <w:szCs w:val="24"/>
          <w:highlight w:val="none"/>
        </w:rPr>
      </w:pPr>
      <w:r>
        <w:rPr>
          <w:rFonts w:hAnsi="宋体"/>
          <w:color w:val="auto"/>
          <w:kern w:val="2"/>
          <w:szCs w:val="24"/>
          <w:highlight w:val="none"/>
        </w:rPr>
        <w:t>3.4.6</w:t>
      </w:r>
      <w:r>
        <w:rPr>
          <w:rFonts w:hint="eastAsia" w:hAnsi="宋体"/>
          <w:color w:val="auto"/>
          <w:kern w:val="2"/>
          <w:szCs w:val="24"/>
          <w:highlight w:val="none"/>
        </w:rPr>
        <w:t>有下列情形之一的，磋商保证金将不予退还：</w:t>
      </w:r>
    </w:p>
    <w:p w14:paraId="63414613">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1</w:t>
      </w:r>
      <w:r>
        <w:rPr>
          <w:rFonts w:hint="eastAsia" w:hAnsi="宋体"/>
          <w:color w:val="auto"/>
          <w:kern w:val="2"/>
          <w:szCs w:val="24"/>
          <w:highlight w:val="none"/>
        </w:rPr>
        <w:t>）供应商在提交首次响应文件截止时间后撤销响应文件的；</w:t>
      </w:r>
    </w:p>
    <w:p w14:paraId="51A19E33">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2</w:t>
      </w:r>
      <w:r>
        <w:rPr>
          <w:rFonts w:hint="eastAsia" w:hAnsi="宋体"/>
          <w:color w:val="auto"/>
          <w:kern w:val="2"/>
          <w:szCs w:val="24"/>
          <w:highlight w:val="none"/>
        </w:rPr>
        <w:t>）供应商在响应文件中提供虚假材料的；</w:t>
      </w:r>
    </w:p>
    <w:p w14:paraId="584DDA0C">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3</w:t>
      </w:r>
      <w:r>
        <w:rPr>
          <w:rFonts w:hint="eastAsia" w:hAnsi="宋体"/>
          <w:color w:val="auto"/>
          <w:kern w:val="2"/>
          <w:szCs w:val="24"/>
          <w:highlight w:val="none"/>
        </w:rPr>
        <w:t>）除因不可抗力或磋商文件认可的情形以外，成交供应商不与采购人签订合同的；</w:t>
      </w:r>
    </w:p>
    <w:p w14:paraId="61F81462">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4</w:t>
      </w:r>
      <w:r>
        <w:rPr>
          <w:rFonts w:hint="eastAsia" w:hAnsi="宋体"/>
          <w:color w:val="auto"/>
          <w:kern w:val="2"/>
          <w:szCs w:val="24"/>
          <w:highlight w:val="none"/>
        </w:rPr>
        <w:t>）供应商与采购人、其他供应商或者采购代理机构恶意串通的；</w:t>
      </w:r>
    </w:p>
    <w:p w14:paraId="5130228F">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5</w:t>
      </w:r>
      <w:r>
        <w:rPr>
          <w:rFonts w:hint="eastAsia" w:hAnsi="宋体"/>
          <w:color w:val="auto"/>
          <w:kern w:val="2"/>
          <w:szCs w:val="24"/>
          <w:highlight w:val="none"/>
        </w:rPr>
        <w:t>）法律法规规定的其他情形。</w:t>
      </w:r>
    </w:p>
    <w:p w14:paraId="4C467087">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3.5</w:t>
      </w:r>
      <w:r>
        <w:rPr>
          <w:rFonts w:hint="eastAsia" w:hAnsi="宋体"/>
          <w:b/>
          <w:bCs/>
          <w:color w:val="auto"/>
          <w:kern w:val="2"/>
          <w:szCs w:val="28"/>
          <w:highlight w:val="none"/>
        </w:rPr>
        <w:t>响应文件的编制</w:t>
      </w:r>
    </w:p>
    <w:p w14:paraId="78C3F87F">
      <w:pPr>
        <w:spacing w:line="360" w:lineRule="auto"/>
        <w:ind w:firstLine="420" w:firstLineChars="200"/>
        <w:rPr>
          <w:rFonts w:hAnsi="宋体"/>
          <w:color w:val="auto"/>
          <w:kern w:val="2"/>
          <w:szCs w:val="24"/>
          <w:highlight w:val="none"/>
        </w:rPr>
      </w:pPr>
      <w:r>
        <w:rPr>
          <w:rFonts w:hAnsi="宋体"/>
          <w:color w:val="auto"/>
          <w:kern w:val="2"/>
          <w:szCs w:val="24"/>
          <w:highlight w:val="none"/>
        </w:rPr>
        <w:t>3.5.1</w:t>
      </w:r>
      <w:r>
        <w:rPr>
          <w:rFonts w:hint="eastAsia" w:hAnsi="宋体"/>
          <w:color w:val="auto"/>
          <w:kern w:val="2"/>
          <w:szCs w:val="24"/>
          <w:highlight w:val="none"/>
        </w:rPr>
        <w:t>响应文件应按</w:t>
      </w:r>
      <w:r>
        <w:rPr>
          <w:rFonts w:hint="eastAsia" w:ascii="宋体" w:hAnsi="宋体" w:eastAsia="宋体" w:cs="宋体"/>
          <w:color w:val="auto"/>
          <w:kern w:val="2"/>
          <w:sz w:val="21"/>
          <w:szCs w:val="24"/>
          <w:highlight w:val="none"/>
          <w:lang w:val="en-US" w:eastAsia="zh-CN" w:bidi="ar"/>
        </w:rPr>
        <w:t>广西政府采购云平台</w:t>
      </w:r>
      <w:r>
        <w:rPr>
          <w:rFonts w:hint="eastAsia" w:hAnsi="宋体"/>
          <w:color w:val="auto"/>
          <w:kern w:val="2"/>
          <w:highlight w:val="none"/>
        </w:rPr>
        <w:t>要求及本磋商文件</w:t>
      </w:r>
      <w:r>
        <w:rPr>
          <w:rFonts w:hint="eastAsia" w:hAnsi="宋体"/>
          <w:color w:val="auto"/>
          <w:kern w:val="2"/>
          <w:szCs w:val="24"/>
          <w:highlight w:val="none"/>
        </w:rPr>
        <w:t>第六章“响应文件格式”</w:t>
      </w:r>
      <w:r>
        <w:rPr>
          <w:rFonts w:hint="eastAsia" w:hAnsi="宋体"/>
          <w:color w:val="auto"/>
          <w:kern w:val="2"/>
          <w:highlight w:val="none"/>
        </w:rPr>
        <w:t>要求制作、加密并递交</w:t>
      </w:r>
      <w:r>
        <w:rPr>
          <w:rFonts w:hint="eastAsia" w:hAnsi="宋体"/>
          <w:color w:val="auto"/>
          <w:kern w:val="2"/>
          <w:szCs w:val="24"/>
          <w:highlight w:val="none"/>
        </w:rPr>
        <w:t>，如有必要，可以增加附页，作为响应文件的组成部分。</w:t>
      </w:r>
    </w:p>
    <w:p w14:paraId="79287A96">
      <w:pPr>
        <w:spacing w:line="360" w:lineRule="auto"/>
        <w:ind w:firstLine="420" w:firstLineChars="200"/>
        <w:rPr>
          <w:rFonts w:hAnsi="宋体"/>
          <w:color w:val="auto"/>
          <w:kern w:val="2"/>
          <w:szCs w:val="24"/>
          <w:highlight w:val="none"/>
        </w:rPr>
      </w:pPr>
      <w:r>
        <w:rPr>
          <w:rFonts w:hAnsi="宋体"/>
          <w:color w:val="auto"/>
          <w:kern w:val="2"/>
          <w:szCs w:val="24"/>
          <w:highlight w:val="none"/>
        </w:rPr>
        <w:t>3.5.2</w:t>
      </w:r>
      <w:r>
        <w:rPr>
          <w:rFonts w:hint="eastAsia" w:hAnsi="宋体"/>
          <w:color w:val="auto"/>
          <w:kern w:val="2"/>
          <w:szCs w:val="24"/>
          <w:highlight w:val="none"/>
        </w:rPr>
        <w:t>响应文件在满足磋商文件实质性要求的基础上，可以提出比磋商文件要求更有利于采购人的承诺。</w:t>
      </w:r>
    </w:p>
    <w:p w14:paraId="1BF51793">
      <w:pPr>
        <w:spacing w:line="360" w:lineRule="auto"/>
        <w:ind w:firstLine="420" w:firstLineChars="200"/>
        <w:rPr>
          <w:rFonts w:hAnsi="宋体"/>
          <w:color w:val="auto"/>
          <w:kern w:val="2"/>
          <w:szCs w:val="24"/>
          <w:highlight w:val="none"/>
        </w:rPr>
      </w:pPr>
      <w:r>
        <w:rPr>
          <w:rFonts w:hAnsi="宋体"/>
          <w:color w:val="auto"/>
          <w:kern w:val="2"/>
          <w:szCs w:val="24"/>
          <w:highlight w:val="none"/>
        </w:rPr>
        <w:t>3.5.3</w:t>
      </w:r>
      <w:r>
        <w:rPr>
          <w:rFonts w:hint="eastAsia" w:hAnsi="宋体"/>
          <w:color w:val="auto"/>
          <w:kern w:val="2"/>
          <w:szCs w:val="24"/>
          <w:highlight w:val="none"/>
        </w:rPr>
        <w:t>响应文件应尽量避免涂改、行间插字或删除。如果出现上述情况，改动之处应加盖供应商单位章或由供应商的法定代表人或其授权的委托代理人签字确认。签字或盖章的具体要求见供应商须知前附表。</w:t>
      </w:r>
    </w:p>
    <w:p w14:paraId="532058E7">
      <w:pPr>
        <w:spacing w:line="360" w:lineRule="auto"/>
        <w:ind w:firstLine="420" w:firstLineChars="200"/>
        <w:rPr>
          <w:rFonts w:hAnsi="宋体"/>
          <w:color w:val="auto"/>
          <w:kern w:val="2"/>
          <w:szCs w:val="24"/>
          <w:highlight w:val="none"/>
        </w:rPr>
      </w:pPr>
      <w:r>
        <w:rPr>
          <w:rFonts w:hAnsi="宋体"/>
          <w:color w:val="auto"/>
          <w:kern w:val="2"/>
          <w:szCs w:val="24"/>
          <w:highlight w:val="none"/>
        </w:rPr>
        <w:t>3.5.4</w:t>
      </w:r>
      <w:r>
        <w:rPr>
          <w:rFonts w:hint="eastAsia" w:hAnsi="宋体"/>
          <w:color w:val="auto"/>
          <w:kern w:val="2"/>
          <w:szCs w:val="24"/>
          <w:highlight w:val="none"/>
        </w:rPr>
        <w:t>响应文件份数及其他要求要求见供应商须知前附表。正本和副本的封面上应清楚地标记“正本”或“副本”的字样。当副本和正本不一致时，以正本为准。</w:t>
      </w:r>
    </w:p>
    <w:p w14:paraId="5DB95182">
      <w:pPr>
        <w:keepNext/>
        <w:keepLines/>
        <w:spacing w:line="360" w:lineRule="auto"/>
        <w:outlineLvl w:val="2"/>
        <w:rPr>
          <w:rFonts w:hAnsi="宋体"/>
          <w:b/>
          <w:bCs/>
          <w:color w:val="auto"/>
          <w:kern w:val="2"/>
          <w:sz w:val="24"/>
          <w:szCs w:val="28"/>
          <w:highlight w:val="none"/>
        </w:rPr>
      </w:pPr>
      <w:bookmarkStart w:id="23" w:name="_Toc533781560"/>
      <w:bookmarkStart w:id="24" w:name="_Toc533783512"/>
      <w:r>
        <w:rPr>
          <w:rFonts w:hAnsi="宋体"/>
          <w:b/>
          <w:bCs/>
          <w:color w:val="auto"/>
          <w:kern w:val="2"/>
          <w:sz w:val="24"/>
          <w:szCs w:val="28"/>
          <w:highlight w:val="none"/>
        </w:rPr>
        <w:t>4.</w:t>
      </w:r>
      <w:r>
        <w:rPr>
          <w:rFonts w:hint="eastAsia" w:hAnsi="宋体"/>
          <w:b/>
          <w:bCs/>
          <w:color w:val="auto"/>
          <w:kern w:val="2"/>
          <w:sz w:val="24"/>
          <w:szCs w:val="28"/>
          <w:highlight w:val="none"/>
        </w:rPr>
        <w:t>响应磋商</w:t>
      </w:r>
      <w:bookmarkEnd w:id="23"/>
      <w:bookmarkEnd w:id="24"/>
    </w:p>
    <w:p w14:paraId="42952E1E">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4.1</w:t>
      </w:r>
      <w:r>
        <w:rPr>
          <w:rFonts w:hint="eastAsia" w:hAnsi="宋体"/>
          <w:b/>
          <w:bCs/>
          <w:color w:val="auto"/>
          <w:kern w:val="2"/>
          <w:szCs w:val="28"/>
          <w:highlight w:val="none"/>
        </w:rPr>
        <w:t>响应文件的提交</w:t>
      </w:r>
    </w:p>
    <w:p w14:paraId="085E502C">
      <w:pPr>
        <w:spacing w:line="360" w:lineRule="auto"/>
        <w:ind w:firstLine="420" w:firstLineChars="200"/>
        <w:rPr>
          <w:rFonts w:hAnsi="宋体"/>
          <w:color w:val="auto"/>
          <w:kern w:val="2"/>
          <w:szCs w:val="24"/>
          <w:highlight w:val="none"/>
        </w:rPr>
      </w:pPr>
      <w:r>
        <w:rPr>
          <w:rFonts w:hAnsi="宋体"/>
          <w:color w:val="auto"/>
          <w:kern w:val="2"/>
          <w:szCs w:val="24"/>
          <w:highlight w:val="none"/>
        </w:rPr>
        <w:t>4.1.1</w:t>
      </w:r>
      <w:r>
        <w:rPr>
          <w:rFonts w:hint="eastAsia" w:hAnsi="宋体"/>
          <w:color w:val="auto"/>
          <w:kern w:val="2"/>
          <w:szCs w:val="24"/>
          <w:highlight w:val="none"/>
        </w:rPr>
        <w:t>供应商应在本章第</w:t>
      </w:r>
      <w:r>
        <w:rPr>
          <w:rFonts w:hAnsi="宋体"/>
          <w:color w:val="auto"/>
          <w:kern w:val="2"/>
          <w:szCs w:val="24"/>
          <w:highlight w:val="none"/>
        </w:rPr>
        <w:t>2.2.2</w:t>
      </w:r>
      <w:r>
        <w:rPr>
          <w:rFonts w:hint="eastAsia" w:hAnsi="宋体"/>
          <w:color w:val="auto"/>
          <w:kern w:val="2"/>
          <w:szCs w:val="24"/>
          <w:highlight w:val="none"/>
        </w:rPr>
        <w:t>项规定的提交首次响应文件截止时间前提交响应文件。</w:t>
      </w:r>
    </w:p>
    <w:p w14:paraId="249E933B">
      <w:pPr>
        <w:spacing w:line="360" w:lineRule="auto"/>
        <w:ind w:firstLine="420" w:firstLineChars="200"/>
        <w:rPr>
          <w:rFonts w:hAnsi="宋体"/>
          <w:color w:val="auto"/>
          <w:kern w:val="2"/>
          <w:szCs w:val="24"/>
          <w:highlight w:val="none"/>
        </w:rPr>
      </w:pPr>
      <w:r>
        <w:rPr>
          <w:rFonts w:hAnsi="宋体"/>
          <w:color w:val="auto"/>
          <w:kern w:val="2"/>
          <w:szCs w:val="24"/>
          <w:highlight w:val="none"/>
        </w:rPr>
        <w:t>4.1.2</w:t>
      </w:r>
      <w:r>
        <w:rPr>
          <w:rFonts w:hint="eastAsia" w:hAnsi="宋体"/>
          <w:color w:val="auto"/>
          <w:kern w:val="2"/>
          <w:szCs w:val="24"/>
          <w:highlight w:val="none"/>
        </w:rPr>
        <w:t>供应商提交首次响应文件的地点：见供应商须知前附表。</w:t>
      </w:r>
    </w:p>
    <w:p w14:paraId="771A4024">
      <w:pPr>
        <w:spacing w:line="360" w:lineRule="auto"/>
        <w:ind w:firstLine="420" w:firstLineChars="200"/>
        <w:rPr>
          <w:rFonts w:hAnsi="宋体"/>
          <w:color w:val="auto"/>
          <w:kern w:val="2"/>
          <w:szCs w:val="24"/>
          <w:highlight w:val="none"/>
        </w:rPr>
      </w:pPr>
      <w:r>
        <w:rPr>
          <w:rFonts w:hAnsi="宋体"/>
          <w:color w:val="auto"/>
          <w:kern w:val="2"/>
          <w:szCs w:val="24"/>
          <w:highlight w:val="none"/>
        </w:rPr>
        <w:t>4.1.3</w:t>
      </w:r>
      <w:r>
        <w:rPr>
          <w:rFonts w:hint="eastAsia" w:hAnsi="宋体"/>
          <w:color w:val="auto"/>
          <w:kern w:val="2"/>
          <w:szCs w:val="24"/>
          <w:highlight w:val="none"/>
        </w:rPr>
        <w:t>除供应商须知前附表另有规定外，供应商所提交的响应文件不予退还。</w:t>
      </w:r>
    </w:p>
    <w:p w14:paraId="4761B8A8">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4.2</w:t>
      </w:r>
      <w:r>
        <w:rPr>
          <w:rFonts w:hint="eastAsia" w:hAnsi="宋体"/>
          <w:b/>
          <w:bCs/>
          <w:color w:val="auto"/>
          <w:kern w:val="2"/>
          <w:szCs w:val="28"/>
          <w:highlight w:val="none"/>
        </w:rPr>
        <w:t>响应文件的修改与撤回</w:t>
      </w:r>
    </w:p>
    <w:p w14:paraId="4987EC01">
      <w:pPr>
        <w:spacing w:line="440" w:lineRule="exact"/>
        <w:ind w:firstLine="420" w:firstLineChars="200"/>
        <w:rPr>
          <w:rFonts w:hAnsi="宋体"/>
          <w:color w:val="auto"/>
          <w:kern w:val="2"/>
          <w:szCs w:val="24"/>
          <w:highlight w:val="none"/>
        </w:rPr>
      </w:pPr>
      <w:r>
        <w:rPr>
          <w:rFonts w:hAnsi="宋体"/>
          <w:color w:val="auto"/>
          <w:kern w:val="2"/>
          <w:szCs w:val="24"/>
          <w:highlight w:val="none"/>
        </w:rPr>
        <w:t>4.2.1</w:t>
      </w:r>
      <w:r>
        <w:rPr>
          <w:rFonts w:hint="eastAsia" w:hAnsi="宋体"/>
          <w:color w:val="auto"/>
          <w:kern w:val="2"/>
          <w:szCs w:val="24"/>
          <w:highlight w:val="none"/>
        </w:rPr>
        <w:t>在本章第</w:t>
      </w:r>
      <w:r>
        <w:rPr>
          <w:rFonts w:hAnsi="宋体"/>
          <w:color w:val="auto"/>
          <w:kern w:val="2"/>
          <w:szCs w:val="24"/>
          <w:highlight w:val="none"/>
        </w:rPr>
        <w:t>4.2.1</w:t>
      </w:r>
      <w:r>
        <w:rPr>
          <w:rFonts w:hint="eastAsia" w:hAnsi="宋体"/>
          <w:color w:val="auto"/>
          <w:kern w:val="2"/>
          <w:szCs w:val="24"/>
          <w:highlight w:val="none"/>
        </w:rPr>
        <w:t>项规定的提交首次响应文件截止时间前，供应商可以通过</w:t>
      </w:r>
      <w:r>
        <w:rPr>
          <w:rFonts w:hint="eastAsia" w:ascii="宋体" w:hAnsi="宋体" w:eastAsia="宋体" w:cs="宋体"/>
          <w:color w:val="auto"/>
          <w:kern w:val="2"/>
          <w:sz w:val="21"/>
          <w:szCs w:val="24"/>
          <w:highlight w:val="none"/>
          <w:lang w:val="en-US" w:eastAsia="zh-CN" w:bidi="ar"/>
        </w:rPr>
        <w:t>广西政府采购云平台</w:t>
      </w:r>
      <w:r>
        <w:rPr>
          <w:rFonts w:hint="eastAsia" w:hAnsi="宋体"/>
          <w:color w:val="auto"/>
          <w:kern w:val="2"/>
          <w:szCs w:val="24"/>
          <w:highlight w:val="none"/>
        </w:rPr>
        <w:t>修改或撤回已提交的响应文件。</w:t>
      </w:r>
    </w:p>
    <w:p w14:paraId="7C501807">
      <w:pPr>
        <w:spacing w:line="440" w:lineRule="exact"/>
        <w:ind w:firstLine="420" w:firstLineChars="200"/>
        <w:rPr>
          <w:rFonts w:hAnsi="宋体"/>
          <w:color w:val="auto"/>
          <w:kern w:val="2"/>
          <w:szCs w:val="24"/>
          <w:highlight w:val="none"/>
        </w:rPr>
      </w:pPr>
      <w:r>
        <w:rPr>
          <w:rFonts w:hAnsi="宋体"/>
          <w:color w:val="auto"/>
          <w:kern w:val="2"/>
          <w:szCs w:val="24"/>
          <w:highlight w:val="none"/>
        </w:rPr>
        <w:t>4.2.2</w:t>
      </w:r>
      <w:r>
        <w:rPr>
          <w:rFonts w:hint="eastAsia" w:hAnsi="宋体"/>
          <w:color w:val="auto"/>
          <w:kern w:val="2"/>
          <w:szCs w:val="24"/>
          <w:highlight w:val="none"/>
        </w:rPr>
        <w:t>供应商在提交首次响应文件截止时间前撤回已提交的响应文件的，其磋商保证金按照本章第</w:t>
      </w:r>
      <w:r>
        <w:rPr>
          <w:rFonts w:hAnsi="宋体"/>
          <w:color w:val="auto"/>
          <w:kern w:val="2"/>
          <w:szCs w:val="24"/>
          <w:highlight w:val="none"/>
        </w:rPr>
        <w:t>3.4.3</w:t>
      </w:r>
      <w:r>
        <w:rPr>
          <w:rFonts w:hint="eastAsia" w:hAnsi="宋体"/>
          <w:color w:val="auto"/>
          <w:kern w:val="2"/>
          <w:szCs w:val="24"/>
          <w:highlight w:val="none"/>
        </w:rPr>
        <w:t>项的要求退还。</w:t>
      </w:r>
    </w:p>
    <w:p w14:paraId="3057B711">
      <w:pPr>
        <w:keepNext/>
        <w:keepLines/>
        <w:spacing w:line="360" w:lineRule="auto"/>
        <w:outlineLvl w:val="3"/>
        <w:rPr>
          <w:rFonts w:hAnsi="宋体"/>
          <w:b/>
          <w:bCs/>
          <w:color w:val="auto"/>
          <w:kern w:val="2"/>
          <w:highlight w:val="none"/>
        </w:rPr>
      </w:pPr>
      <w:r>
        <w:rPr>
          <w:rFonts w:hAnsi="宋体"/>
          <w:b/>
          <w:bCs/>
          <w:color w:val="auto"/>
          <w:kern w:val="2"/>
          <w:szCs w:val="28"/>
          <w:highlight w:val="none"/>
        </w:rPr>
        <w:t>4.3</w:t>
      </w:r>
      <w:r>
        <w:rPr>
          <w:rFonts w:hint="eastAsia" w:hAnsi="宋体"/>
          <w:b/>
          <w:bCs/>
          <w:color w:val="auto"/>
          <w:kern w:val="2"/>
          <w:highlight w:val="none"/>
        </w:rPr>
        <w:t>响应文件解密</w:t>
      </w:r>
    </w:p>
    <w:p w14:paraId="001D5AFF">
      <w:pPr>
        <w:spacing w:line="440" w:lineRule="exact"/>
        <w:ind w:firstLine="420" w:firstLineChars="200"/>
        <w:rPr>
          <w:rFonts w:hAnsi="宋体"/>
          <w:color w:val="auto"/>
          <w:kern w:val="2"/>
          <w:szCs w:val="24"/>
          <w:highlight w:val="none"/>
        </w:rPr>
      </w:pPr>
      <w:r>
        <w:rPr>
          <w:rFonts w:hAnsi="宋体"/>
          <w:color w:val="auto"/>
          <w:kern w:val="2"/>
          <w:szCs w:val="24"/>
          <w:highlight w:val="none"/>
        </w:rPr>
        <w:t>4.3.1</w:t>
      </w:r>
      <w:r>
        <w:rPr>
          <w:rFonts w:hint="eastAsia" w:hAnsi="宋体"/>
          <w:color w:val="auto"/>
          <w:kern w:val="2"/>
          <w:szCs w:val="24"/>
          <w:highlight w:val="none"/>
        </w:rPr>
        <w:t>磋商供应商应登录</w:t>
      </w:r>
      <w:r>
        <w:rPr>
          <w:rFonts w:hint="eastAsia" w:ascii="宋体" w:hAnsi="宋体" w:eastAsia="宋体" w:cs="宋体"/>
          <w:color w:val="auto"/>
          <w:kern w:val="2"/>
          <w:sz w:val="21"/>
          <w:szCs w:val="24"/>
          <w:highlight w:val="none"/>
          <w:lang w:val="en-US" w:eastAsia="zh-CN" w:bidi="ar"/>
        </w:rPr>
        <w:t>广西政府采购云平台</w:t>
      </w:r>
      <w:r>
        <w:rPr>
          <w:rFonts w:hint="eastAsia" w:hAnsi="宋体"/>
          <w:color w:val="auto"/>
          <w:kern w:val="2"/>
          <w:szCs w:val="24"/>
          <w:highlight w:val="none"/>
        </w:rPr>
        <w:t>，用“项目采购</w:t>
      </w:r>
      <w:r>
        <w:rPr>
          <w:rFonts w:hAnsi="宋体"/>
          <w:color w:val="auto"/>
          <w:kern w:val="2"/>
          <w:szCs w:val="24"/>
          <w:highlight w:val="none"/>
        </w:rPr>
        <w:t>-</w:t>
      </w:r>
      <w:r>
        <w:rPr>
          <w:rFonts w:hint="eastAsia" w:hAnsi="宋体"/>
          <w:color w:val="auto"/>
          <w:kern w:val="2"/>
          <w:szCs w:val="24"/>
          <w:highlight w:val="none"/>
        </w:rPr>
        <w:t>开标评标”功能进行解密磋商文件，解密开始时间及解密时限见供应商须知前附表；</w:t>
      </w:r>
    </w:p>
    <w:p w14:paraId="737877AE">
      <w:pPr>
        <w:spacing w:line="440" w:lineRule="exact"/>
        <w:ind w:firstLine="420" w:firstLineChars="200"/>
        <w:rPr>
          <w:rFonts w:hAnsi="宋体"/>
          <w:color w:val="auto"/>
          <w:kern w:val="2"/>
          <w:szCs w:val="24"/>
          <w:highlight w:val="none"/>
        </w:rPr>
      </w:pPr>
      <w:r>
        <w:rPr>
          <w:rFonts w:hAnsi="宋体"/>
          <w:color w:val="auto"/>
          <w:kern w:val="2"/>
          <w:szCs w:val="24"/>
          <w:highlight w:val="none"/>
        </w:rPr>
        <w:t>4.3.2</w:t>
      </w:r>
      <w:r>
        <w:rPr>
          <w:rFonts w:hint="eastAsia" w:hAnsi="宋体"/>
          <w:color w:val="auto"/>
          <w:kern w:val="2"/>
          <w:szCs w:val="24"/>
          <w:highlight w:val="none"/>
        </w:rPr>
        <w:t>磋商供应商需按时在线解密投标文件，以在线解密的投标文件作为评审依据。若磋商供应商在规定时间内无法解密或解密失败，视为投标无效。</w:t>
      </w:r>
    </w:p>
    <w:p w14:paraId="7BB51FA9">
      <w:pPr>
        <w:keepNext/>
        <w:keepLines/>
        <w:spacing w:line="360" w:lineRule="auto"/>
        <w:outlineLvl w:val="3"/>
        <w:rPr>
          <w:rFonts w:hAnsi="宋体"/>
          <w:bCs/>
          <w:color w:val="auto"/>
          <w:kern w:val="2"/>
          <w:szCs w:val="24"/>
          <w:highlight w:val="none"/>
        </w:rPr>
      </w:pPr>
      <w:r>
        <w:rPr>
          <w:rFonts w:hAnsi="宋体"/>
          <w:b/>
          <w:bCs/>
          <w:color w:val="auto"/>
          <w:kern w:val="2"/>
          <w:highlight w:val="none"/>
        </w:rPr>
        <w:t>4.4</w:t>
      </w:r>
      <w:r>
        <w:rPr>
          <w:rFonts w:hint="eastAsia" w:hAnsi="宋体"/>
          <w:b/>
          <w:bCs/>
          <w:color w:val="auto"/>
          <w:kern w:val="2"/>
          <w:highlight w:val="none"/>
        </w:rPr>
        <w:t>响应文件的相关说明</w:t>
      </w:r>
    </w:p>
    <w:p w14:paraId="339114DD">
      <w:pPr>
        <w:spacing w:line="440" w:lineRule="exact"/>
        <w:ind w:firstLine="422" w:firstLineChars="200"/>
        <w:rPr>
          <w:rFonts w:hAnsi="宋体"/>
          <w:b/>
          <w:color w:val="auto"/>
          <w:kern w:val="2"/>
          <w:szCs w:val="24"/>
          <w:highlight w:val="none"/>
        </w:rPr>
      </w:pPr>
      <w:r>
        <w:rPr>
          <w:rFonts w:hint="eastAsia" w:hAnsi="宋体"/>
          <w:b/>
          <w:color w:val="auto"/>
          <w:kern w:val="2"/>
          <w:szCs w:val="24"/>
          <w:highlight w:val="none"/>
        </w:rPr>
        <w:t>（</w:t>
      </w:r>
      <w:r>
        <w:rPr>
          <w:rFonts w:hAnsi="宋体"/>
          <w:b/>
          <w:color w:val="auto"/>
          <w:kern w:val="2"/>
          <w:szCs w:val="24"/>
          <w:highlight w:val="none"/>
        </w:rPr>
        <w:t>1</w:t>
      </w:r>
      <w:r>
        <w:rPr>
          <w:rFonts w:hint="eastAsia" w:hAnsi="宋体"/>
          <w:b/>
          <w:color w:val="auto"/>
          <w:kern w:val="2"/>
          <w:szCs w:val="24"/>
          <w:highlight w:val="none"/>
        </w:rPr>
        <w:t>）供应商进行电子投标应安装客户端软件，并按照磋商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1D84FEBB">
      <w:pPr>
        <w:spacing w:line="440" w:lineRule="exact"/>
        <w:ind w:firstLine="422" w:firstLineChars="200"/>
        <w:rPr>
          <w:rFonts w:hAnsi="宋体"/>
          <w:b/>
          <w:color w:val="auto"/>
          <w:kern w:val="2"/>
          <w:szCs w:val="24"/>
          <w:highlight w:val="none"/>
        </w:rPr>
      </w:pPr>
      <w:r>
        <w:rPr>
          <w:rFonts w:hint="eastAsia" w:hAnsi="宋体"/>
          <w:b/>
          <w:color w:val="auto"/>
          <w:kern w:val="2"/>
          <w:szCs w:val="24"/>
          <w:highlight w:val="none"/>
        </w:rPr>
        <w:t>（</w:t>
      </w:r>
      <w:r>
        <w:rPr>
          <w:rFonts w:hAnsi="宋体"/>
          <w:b/>
          <w:color w:val="auto"/>
          <w:kern w:val="2"/>
          <w:szCs w:val="24"/>
          <w:highlight w:val="none"/>
        </w:rPr>
        <w:t>2</w:t>
      </w:r>
      <w:r>
        <w:rPr>
          <w:rFonts w:hint="eastAsia" w:hAnsi="宋体"/>
          <w:b/>
          <w:color w:val="auto"/>
          <w:kern w:val="2"/>
          <w:szCs w:val="24"/>
          <w:highlight w:val="none"/>
        </w:rPr>
        <w:t>）如有特殊情况，采购代理机构延长截止时间和开标时间，采购代理机构和供应商的权利和义务将受到新的截止时间和开标时间的约束。</w:t>
      </w:r>
    </w:p>
    <w:p w14:paraId="40B04AA5">
      <w:pPr>
        <w:keepNext/>
        <w:keepLines/>
        <w:spacing w:line="360" w:lineRule="auto"/>
        <w:outlineLvl w:val="2"/>
        <w:rPr>
          <w:rFonts w:hAnsi="宋体"/>
          <w:b/>
          <w:bCs/>
          <w:color w:val="auto"/>
          <w:kern w:val="2"/>
          <w:sz w:val="24"/>
          <w:szCs w:val="28"/>
          <w:highlight w:val="none"/>
        </w:rPr>
      </w:pPr>
      <w:bookmarkStart w:id="25" w:name="_Toc533783513"/>
      <w:bookmarkStart w:id="26" w:name="_Toc533781561"/>
      <w:r>
        <w:rPr>
          <w:rFonts w:hAnsi="宋体"/>
          <w:b/>
          <w:bCs/>
          <w:color w:val="auto"/>
          <w:kern w:val="2"/>
          <w:sz w:val="24"/>
          <w:szCs w:val="28"/>
          <w:highlight w:val="none"/>
        </w:rPr>
        <w:t>5.</w:t>
      </w:r>
      <w:r>
        <w:rPr>
          <w:rFonts w:hint="eastAsia" w:hAnsi="宋体"/>
          <w:b/>
          <w:bCs/>
          <w:color w:val="auto"/>
          <w:kern w:val="2"/>
          <w:sz w:val="24"/>
          <w:szCs w:val="28"/>
          <w:highlight w:val="none"/>
        </w:rPr>
        <w:t>开标会议</w:t>
      </w:r>
      <w:bookmarkEnd w:id="25"/>
      <w:bookmarkEnd w:id="26"/>
    </w:p>
    <w:p w14:paraId="123551C5">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5.1</w:t>
      </w:r>
      <w:r>
        <w:rPr>
          <w:rFonts w:hint="eastAsia" w:hAnsi="宋体"/>
          <w:b/>
          <w:bCs/>
          <w:color w:val="auto"/>
          <w:kern w:val="2"/>
          <w:szCs w:val="28"/>
          <w:highlight w:val="none"/>
        </w:rPr>
        <w:t>开标时间和地点</w:t>
      </w:r>
    </w:p>
    <w:p w14:paraId="40EFE27B">
      <w:pPr>
        <w:spacing w:line="440" w:lineRule="exact"/>
        <w:ind w:firstLine="420" w:firstLineChars="200"/>
        <w:rPr>
          <w:rFonts w:hAnsi="宋体"/>
          <w:color w:val="auto"/>
          <w:kern w:val="2"/>
          <w:szCs w:val="24"/>
          <w:highlight w:val="none"/>
        </w:rPr>
      </w:pPr>
      <w:r>
        <w:rPr>
          <w:rFonts w:hint="eastAsia" w:hAnsi="宋体"/>
          <w:color w:val="auto"/>
          <w:kern w:val="2"/>
          <w:szCs w:val="24"/>
          <w:highlight w:val="none"/>
        </w:rPr>
        <w:t>采购人在本章第</w:t>
      </w:r>
      <w:r>
        <w:rPr>
          <w:rFonts w:hAnsi="宋体"/>
          <w:color w:val="auto"/>
          <w:kern w:val="2"/>
          <w:szCs w:val="24"/>
          <w:highlight w:val="none"/>
        </w:rPr>
        <w:t>4.2.1</w:t>
      </w:r>
      <w:r>
        <w:rPr>
          <w:rFonts w:hint="eastAsia" w:hAnsi="宋体"/>
          <w:color w:val="auto"/>
          <w:kern w:val="2"/>
          <w:szCs w:val="24"/>
          <w:highlight w:val="none"/>
        </w:rPr>
        <w:t>项规定的提交首次响应文件截止时间（开标时间）和供应商须知前附表规定的地点公开开标，并邀请所有供应商的法定代表人（负责人）或其委托代理人准时参加。供应商的法定代表人（负责人）或委托代理人应当在规定的时间自行登陆</w:t>
      </w:r>
      <w:r>
        <w:rPr>
          <w:rFonts w:hint="eastAsia" w:hAnsi="宋体"/>
          <w:color w:val="auto"/>
          <w:kern w:val="2"/>
          <w:highlight w:val="none"/>
        </w:rPr>
        <w:t>“</w:t>
      </w:r>
      <w:r>
        <w:rPr>
          <w:rFonts w:hint="eastAsia" w:ascii="宋体" w:hAnsi="宋体" w:eastAsia="宋体" w:cs="宋体"/>
          <w:color w:val="auto"/>
          <w:kern w:val="2"/>
          <w:sz w:val="21"/>
          <w:szCs w:val="24"/>
          <w:highlight w:val="none"/>
          <w:lang w:val="en-US" w:eastAsia="zh-CN" w:bidi="ar"/>
        </w:rPr>
        <w:t>广西政府采购云平台</w:t>
      </w:r>
      <w:r>
        <w:rPr>
          <w:rFonts w:hint="eastAsia" w:hAnsi="宋体"/>
          <w:color w:val="auto"/>
          <w:kern w:val="2"/>
          <w:highlight w:val="none"/>
        </w:rPr>
        <w:t>”电子开标大厅开标</w:t>
      </w:r>
      <w:r>
        <w:rPr>
          <w:rFonts w:hint="eastAsia" w:hAnsi="宋体"/>
          <w:color w:val="auto"/>
          <w:kern w:val="2"/>
          <w:szCs w:val="24"/>
          <w:highlight w:val="none"/>
        </w:rPr>
        <w:t>参加开标会。</w:t>
      </w:r>
    </w:p>
    <w:p w14:paraId="6C67732B">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5.2</w:t>
      </w:r>
      <w:r>
        <w:rPr>
          <w:rFonts w:hint="eastAsia" w:hAnsi="宋体"/>
          <w:b/>
          <w:bCs/>
          <w:color w:val="auto"/>
          <w:kern w:val="2"/>
          <w:szCs w:val="28"/>
          <w:highlight w:val="none"/>
        </w:rPr>
        <w:t>开标程序</w:t>
      </w:r>
    </w:p>
    <w:p w14:paraId="5C24C0BE">
      <w:pPr>
        <w:spacing w:line="440" w:lineRule="exact"/>
        <w:ind w:firstLine="420" w:firstLineChars="200"/>
        <w:rPr>
          <w:rFonts w:hAnsi="宋体"/>
          <w:color w:val="auto"/>
          <w:kern w:val="2"/>
          <w:szCs w:val="24"/>
          <w:highlight w:val="none"/>
        </w:rPr>
      </w:pPr>
      <w:r>
        <w:rPr>
          <w:rFonts w:hAnsi="宋体"/>
          <w:color w:val="auto"/>
          <w:kern w:val="2"/>
          <w:szCs w:val="24"/>
          <w:highlight w:val="none"/>
        </w:rPr>
        <w:t>5.2.1</w:t>
      </w:r>
      <w:r>
        <w:rPr>
          <w:rFonts w:hint="eastAsia" w:hAnsi="宋体"/>
          <w:color w:val="auto"/>
          <w:kern w:val="2"/>
          <w:szCs w:val="24"/>
          <w:highlight w:val="none"/>
        </w:rPr>
        <w:t>开标时间后，主持人宣布开标会议开始。</w:t>
      </w:r>
    </w:p>
    <w:p w14:paraId="55D54E26">
      <w:pPr>
        <w:spacing w:line="440" w:lineRule="exact"/>
        <w:ind w:firstLine="420" w:firstLineChars="200"/>
        <w:rPr>
          <w:rFonts w:hAnsi="宋体"/>
          <w:color w:val="auto"/>
          <w:kern w:val="2"/>
          <w:szCs w:val="24"/>
          <w:highlight w:val="none"/>
        </w:rPr>
      </w:pPr>
      <w:r>
        <w:rPr>
          <w:rFonts w:hAnsi="宋体"/>
          <w:color w:val="auto"/>
          <w:kern w:val="2"/>
          <w:szCs w:val="24"/>
          <w:highlight w:val="none"/>
        </w:rPr>
        <w:t>5.2.2</w:t>
      </w:r>
      <w:r>
        <w:rPr>
          <w:rFonts w:hint="eastAsia" w:hAnsi="宋体"/>
          <w:color w:val="auto"/>
          <w:kern w:val="2"/>
          <w:szCs w:val="24"/>
          <w:highlight w:val="none"/>
        </w:rPr>
        <w:t>供应商登录</w:t>
      </w:r>
      <w:r>
        <w:rPr>
          <w:rFonts w:hint="eastAsia" w:ascii="宋体" w:hAnsi="宋体" w:eastAsia="宋体" w:cs="宋体"/>
          <w:color w:val="auto"/>
          <w:kern w:val="2"/>
          <w:sz w:val="21"/>
          <w:szCs w:val="24"/>
          <w:highlight w:val="none"/>
          <w:lang w:val="en-US" w:eastAsia="zh-CN" w:bidi="ar"/>
        </w:rPr>
        <w:t>广西政府采购云平台</w:t>
      </w:r>
      <w:r>
        <w:rPr>
          <w:rFonts w:hint="eastAsia" w:hAnsi="宋体"/>
          <w:color w:val="auto"/>
          <w:kern w:val="2"/>
          <w:szCs w:val="24"/>
          <w:highlight w:val="none"/>
        </w:rPr>
        <w:t>对响应文件进行在线解密。</w:t>
      </w:r>
    </w:p>
    <w:p w14:paraId="433FB171">
      <w:pPr>
        <w:spacing w:line="440" w:lineRule="exact"/>
        <w:ind w:firstLine="420" w:firstLineChars="200"/>
        <w:rPr>
          <w:rFonts w:hAnsi="宋体"/>
          <w:color w:val="auto"/>
          <w:kern w:val="2"/>
          <w:szCs w:val="24"/>
          <w:highlight w:val="none"/>
        </w:rPr>
      </w:pPr>
      <w:r>
        <w:rPr>
          <w:rFonts w:hAnsi="宋体"/>
          <w:color w:val="auto"/>
          <w:kern w:val="2"/>
          <w:szCs w:val="24"/>
          <w:highlight w:val="none"/>
        </w:rPr>
        <w:t>5.2.3</w:t>
      </w:r>
      <w:r>
        <w:rPr>
          <w:rFonts w:hint="eastAsia" w:hAnsi="宋体"/>
          <w:color w:val="auto"/>
          <w:kern w:val="2"/>
          <w:szCs w:val="24"/>
          <w:highlight w:val="none"/>
        </w:rPr>
        <w:t>磋商小组对磋商响应文件进行评估和比较。</w:t>
      </w:r>
    </w:p>
    <w:p w14:paraId="71CC5092">
      <w:pPr>
        <w:spacing w:line="440" w:lineRule="exact"/>
        <w:ind w:firstLine="420" w:firstLineChars="200"/>
        <w:rPr>
          <w:rFonts w:hAnsi="宋体"/>
          <w:color w:val="auto"/>
          <w:kern w:val="2"/>
          <w:szCs w:val="24"/>
          <w:highlight w:val="none"/>
        </w:rPr>
      </w:pPr>
      <w:r>
        <w:rPr>
          <w:rFonts w:hAnsi="宋体"/>
          <w:color w:val="auto"/>
          <w:kern w:val="2"/>
          <w:szCs w:val="24"/>
          <w:highlight w:val="none"/>
        </w:rPr>
        <w:t>5.2.4</w:t>
      </w:r>
      <w:r>
        <w:rPr>
          <w:rFonts w:hint="eastAsia" w:hAnsi="宋体"/>
          <w:color w:val="auto"/>
          <w:kern w:val="2"/>
          <w:szCs w:val="24"/>
          <w:highlight w:val="none"/>
        </w:rPr>
        <w:t>以</w:t>
      </w:r>
      <w:r>
        <w:rPr>
          <w:rFonts w:hint="eastAsia" w:ascii="宋体" w:hAnsi="宋体" w:eastAsia="宋体" w:cs="宋体"/>
          <w:color w:val="auto"/>
          <w:kern w:val="2"/>
          <w:sz w:val="21"/>
          <w:szCs w:val="24"/>
          <w:highlight w:val="none"/>
          <w:lang w:val="en-US" w:eastAsia="zh-CN" w:bidi="ar"/>
        </w:rPr>
        <w:t>广西政府采购云平台</w:t>
      </w:r>
      <w:r>
        <w:rPr>
          <w:rFonts w:hint="eastAsia" w:hAnsi="宋体"/>
          <w:color w:val="auto"/>
          <w:kern w:val="2"/>
          <w:szCs w:val="24"/>
          <w:highlight w:val="none"/>
        </w:rPr>
        <w:t>中获取磋商文件顺序确定各供应商磋商顺序。</w:t>
      </w:r>
    </w:p>
    <w:p w14:paraId="13C262C0">
      <w:pPr>
        <w:spacing w:line="440" w:lineRule="exact"/>
        <w:ind w:firstLine="420" w:firstLineChars="200"/>
        <w:rPr>
          <w:rFonts w:hAnsi="宋体"/>
          <w:color w:val="auto"/>
          <w:kern w:val="2"/>
          <w:szCs w:val="24"/>
          <w:highlight w:val="none"/>
        </w:rPr>
      </w:pPr>
      <w:r>
        <w:rPr>
          <w:rFonts w:hAnsi="宋体"/>
          <w:color w:val="auto"/>
          <w:kern w:val="2"/>
          <w:szCs w:val="24"/>
          <w:highlight w:val="none"/>
        </w:rPr>
        <w:t>5.2.5</w:t>
      </w:r>
      <w:r>
        <w:rPr>
          <w:rFonts w:hint="eastAsia" w:hAnsi="宋体"/>
          <w:color w:val="auto"/>
          <w:kern w:val="2"/>
          <w:szCs w:val="24"/>
          <w:highlight w:val="none"/>
        </w:rPr>
        <w:t>发起磋商，由磋商小组与单一供应商分别进行磋商。</w:t>
      </w:r>
    </w:p>
    <w:p w14:paraId="56A348E5">
      <w:pPr>
        <w:spacing w:line="440" w:lineRule="exact"/>
        <w:ind w:firstLine="420" w:firstLineChars="200"/>
        <w:rPr>
          <w:rFonts w:hAnsi="宋体"/>
          <w:color w:val="auto"/>
          <w:kern w:val="2"/>
          <w:szCs w:val="24"/>
          <w:highlight w:val="none"/>
        </w:rPr>
      </w:pPr>
      <w:r>
        <w:rPr>
          <w:rFonts w:hAnsi="宋体"/>
          <w:color w:val="auto"/>
          <w:kern w:val="2"/>
          <w:szCs w:val="24"/>
          <w:highlight w:val="none"/>
        </w:rPr>
        <w:t>5.2.6</w:t>
      </w:r>
      <w:r>
        <w:rPr>
          <w:rFonts w:hint="eastAsia" w:hAnsi="宋体"/>
          <w:color w:val="auto"/>
          <w:kern w:val="2"/>
          <w:szCs w:val="24"/>
          <w:highlight w:val="none"/>
        </w:rPr>
        <w:t>磋商小组要求所有实质性响应的供应商在规定时间内提交最后报价。</w:t>
      </w:r>
    </w:p>
    <w:p w14:paraId="217BD966">
      <w:pPr>
        <w:spacing w:line="440" w:lineRule="exact"/>
        <w:ind w:firstLine="420" w:firstLineChars="200"/>
        <w:rPr>
          <w:rFonts w:hAnsi="宋体"/>
          <w:color w:val="auto"/>
          <w:kern w:val="2"/>
          <w:szCs w:val="24"/>
          <w:highlight w:val="none"/>
        </w:rPr>
      </w:pPr>
      <w:r>
        <w:rPr>
          <w:rFonts w:hAnsi="宋体"/>
          <w:color w:val="auto"/>
          <w:kern w:val="2"/>
          <w:szCs w:val="24"/>
          <w:highlight w:val="none"/>
        </w:rPr>
        <w:t>5.2.7</w:t>
      </w:r>
      <w:r>
        <w:rPr>
          <w:rFonts w:hint="eastAsia" w:hAnsi="宋体"/>
          <w:color w:val="auto"/>
          <w:kern w:val="2"/>
          <w:szCs w:val="24"/>
          <w:highlight w:val="none"/>
        </w:rPr>
        <w:t>由磋商小组采用综合评分法对提交最后报价的供应商的响应文件和最后报价进行综合评审，在符合采购需求、质量和服务要求的前提下，按评审得分从高到低顺序推荐确定成交候选供应商。</w:t>
      </w:r>
    </w:p>
    <w:p w14:paraId="1EF3ABAE">
      <w:pPr>
        <w:spacing w:line="440" w:lineRule="exact"/>
        <w:ind w:firstLine="422" w:firstLineChars="200"/>
        <w:rPr>
          <w:rFonts w:hAnsi="宋体"/>
          <w:b/>
          <w:bCs/>
          <w:color w:val="auto"/>
          <w:kern w:val="2"/>
          <w:szCs w:val="24"/>
          <w:highlight w:val="none"/>
        </w:rPr>
      </w:pPr>
      <w:r>
        <w:rPr>
          <w:rFonts w:hint="eastAsia" w:hAnsi="宋体"/>
          <w:b/>
          <w:bCs/>
          <w:color w:val="auto"/>
          <w:kern w:val="2"/>
          <w:szCs w:val="24"/>
          <w:highlight w:val="none"/>
        </w:rPr>
        <w:t>特别说明：</w:t>
      </w:r>
      <w:r>
        <w:rPr>
          <w:rFonts w:hint="eastAsia" w:hAnsi="宋体"/>
          <w:b/>
          <w:bCs/>
          <w:color w:val="auto"/>
          <w:kern w:val="2"/>
          <w:szCs w:val="24"/>
          <w:highlight w:val="none"/>
          <w:lang w:eastAsia="zh-CN"/>
        </w:rPr>
        <w:t>广西</w:t>
      </w:r>
      <w:r>
        <w:rPr>
          <w:rFonts w:hint="eastAsia" w:hAnsi="宋体"/>
          <w:b/>
          <w:bCs/>
          <w:color w:val="auto"/>
          <w:kern w:val="2"/>
          <w:szCs w:val="24"/>
          <w:highlight w:val="none"/>
        </w:rPr>
        <w:t>政采云公司如对电子化磋商及评审程序有调整的，按调整后的程序操作。</w:t>
      </w:r>
    </w:p>
    <w:p w14:paraId="00D23DC1">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5.3</w:t>
      </w:r>
      <w:r>
        <w:rPr>
          <w:rFonts w:hint="eastAsia" w:hAnsi="宋体"/>
          <w:b/>
          <w:bCs/>
          <w:color w:val="auto"/>
          <w:kern w:val="2"/>
          <w:szCs w:val="28"/>
          <w:highlight w:val="none"/>
        </w:rPr>
        <w:t>不予开标</w:t>
      </w:r>
    </w:p>
    <w:p w14:paraId="7DB412B0">
      <w:pPr>
        <w:spacing w:line="440" w:lineRule="exact"/>
        <w:ind w:firstLine="420" w:firstLineChars="200"/>
        <w:rPr>
          <w:rFonts w:hAnsi="宋体"/>
          <w:color w:val="auto"/>
          <w:kern w:val="2"/>
          <w:szCs w:val="24"/>
          <w:highlight w:val="none"/>
        </w:rPr>
      </w:pPr>
      <w:r>
        <w:rPr>
          <w:rFonts w:hint="eastAsia" w:hAnsi="宋体"/>
          <w:color w:val="auto"/>
          <w:kern w:val="2"/>
          <w:szCs w:val="24"/>
          <w:highlight w:val="none"/>
        </w:rPr>
        <w:t>采购过程中出现以下情形，导致电子交易平台无法正常运行，或者无法保证电子交易的公平、公正和安全时，采购组织机构可中止电子交易活动：</w:t>
      </w:r>
    </w:p>
    <w:p w14:paraId="4FE404DF">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1</w:t>
      </w:r>
      <w:r>
        <w:rPr>
          <w:rFonts w:hint="eastAsia" w:hAnsi="宋体"/>
          <w:color w:val="auto"/>
          <w:kern w:val="2"/>
          <w:szCs w:val="24"/>
          <w:highlight w:val="none"/>
        </w:rPr>
        <w:t>）电子交易平台发生故障而无法登录访问的；</w:t>
      </w:r>
      <w:r>
        <w:rPr>
          <w:rFonts w:hAnsi="宋体"/>
          <w:color w:val="auto"/>
          <w:kern w:val="2"/>
          <w:szCs w:val="24"/>
          <w:highlight w:val="none"/>
        </w:rPr>
        <w:t xml:space="preserve"> </w:t>
      </w:r>
    </w:p>
    <w:p w14:paraId="0B3CF592">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2</w:t>
      </w:r>
      <w:r>
        <w:rPr>
          <w:rFonts w:hint="eastAsia" w:hAnsi="宋体"/>
          <w:color w:val="auto"/>
          <w:kern w:val="2"/>
          <w:szCs w:val="24"/>
          <w:highlight w:val="none"/>
        </w:rPr>
        <w:t>）电子交易平台应用或数据库出现错误，不能进行正常操作的；</w:t>
      </w:r>
    </w:p>
    <w:p w14:paraId="02DD6A66">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3</w:t>
      </w:r>
      <w:r>
        <w:rPr>
          <w:rFonts w:hint="eastAsia" w:hAnsi="宋体"/>
          <w:color w:val="auto"/>
          <w:kern w:val="2"/>
          <w:szCs w:val="24"/>
          <w:highlight w:val="none"/>
        </w:rPr>
        <w:t>）电子交易平台发现严重安全漏洞，有潜在泄密危险的；</w:t>
      </w:r>
    </w:p>
    <w:p w14:paraId="7DF4D440">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4</w:t>
      </w:r>
      <w:r>
        <w:rPr>
          <w:rFonts w:hint="eastAsia" w:hAnsi="宋体"/>
          <w:color w:val="auto"/>
          <w:kern w:val="2"/>
          <w:szCs w:val="24"/>
          <w:highlight w:val="none"/>
        </w:rPr>
        <w:t>）病毒发作导致不能进行正常操作的；</w:t>
      </w:r>
      <w:r>
        <w:rPr>
          <w:rFonts w:hAnsi="宋体"/>
          <w:color w:val="auto"/>
          <w:kern w:val="2"/>
          <w:szCs w:val="24"/>
          <w:highlight w:val="none"/>
        </w:rPr>
        <w:t xml:space="preserve"> </w:t>
      </w:r>
    </w:p>
    <w:p w14:paraId="375C9208">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5</w:t>
      </w:r>
      <w:r>
        <w:rPr>
          <w:rFonts w:hint="eastAsia" w:hAnsi="宋体"/>
          <w:color w:val="auto"/>
          <w:kern w:val="2"/>
          <w:szCs w:val="24"/>
          <w:highlight w:val="none"/>
        </w:rPr>
        <w:t>）其他无法保证电子交易的公平、公正和安全的情况。</w:t>
      </w:r>
    </w:p>
    <w:p w14:paraId="644BD230">
      <w:pPr>
        <w:spacing w:line="360" w:lineRule="auto"/>
        <w:ind w:firstLine="420" w:firstLineChars="200"/>
        <w:rPr>
          <w:rFonts w:hAnsi="宋体"/>
          <w:color w:val="auto"/>
          <w:kern w:val="2"/>
          <w:szCs w:val="24"/>
          <w:highlight w:val="none"/>
        </w:rPr>
      </w:pPr>
      <w:r>
        <w:rPr>
          <w:rFonts w:hAnsi="宋体"/>
          <w:color w:val="auto"/>
          <w:kern w:val="2"/>
          <w:szCs w:val="24"/>
          <w:highlight w:val="none"/>
        </w:rPr>
        <w:t xml:space="preserve">    </w:t>
      </w:r>
      <w:r>
        <w:rPr>
          <w:rFonts w:hint="eastAsia" w:hAnsi="宋体"/>
          <w:color w:val="auto"/>
          <w:kern w:val="2"/>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335AB70C">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5.4</w:t>
      </w:r>
      <w:r>
        <w:rPr>
          <w:rFonts w:hint="eastAsia" w:hAnsi="宋体"/>
          <w:b/>
          <w:bCs/>
          <w:color w:val="auto"/>
          <w:kern w:val="2"/>
          <w:szCs w:val="28"/>
          <w:highlight w:val="none"/>
        </w:rPr>
        <w:t>开标异议</w:t>
      </w:r>
    </w:p>
    <w:p w14:paraId="24E163E8">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供应商对开标有异议的，可以在开标现场提出，采购人当场作出答复，并制作记录。也可以在开标环节结束之日起</w:t>
      </w:r>
      <w:r>
        <w:rPr>
          <w:rFonts w:hAnsi="宋体"/>
          <w:color w:val="auto"/>
          <w:kern w:val="2"/>
          <w:szCs w:val="24"/>
          <w:highlight w:val="none"/>
        </w:rPr>
        <w:t>7</w:t>
      </w:r>
      <w:r>
        <w:rPr>
          <w:rFonts w:hint="eastAsia" w:hAnsi="宋体"/>
          <w:color w:val="auto"/>
          <w:kern w:val="2"/>
          <w:szCs w:val="24"/>
          <w:highlight w:val="none"/>
        </w:rPr>
        <w:t>个工作日内向采购人或采购代理机构提出质疑。</w:t>
      </w:r>
    </w:p>
    <w:p w14:paraId="7B670025">
      <w:pPr>
        <w:keepNext/>
        <w:keepLines/>
        <w:spacing w:line="360" w:lineRule="auto"/>
        <w:outlineLvl w:val="2"/>
        <w:rPr>
          <w:rFonts w:hAnsi="宋体"/>
          <w:b/>
          <w:bCs/>
          <w:color w:val="auto"/>
          <w:kern w:val="2"/>
          <w:sz w:val="24"/>
          <w:szCs w:val="28"/>
          <w:highlight w:val="none"/>
        </w:rPr>
      </w:pPr>
      <w:bookmarkStart w:id="27" w:name="_Toc533783514"/>
      <w:bookmarkStart w:id="28" w:name="_Toc533781562"/>
      <w:r>
        <w:rPr>
          <w:rFonts w:hAnsi="宋体"/>
          <w:b/>
          <w:bCs/>
          <w:color w:val="auto"/>
          <w:kern w:val="2"/>
          <w:sz w:val="24"/>
          <w:szCs w:val="28"/>
          <w:highlight w:val="none"/>
        </w:rPr>
        <w:t>6.</w:t>
      </w:r>
      <w:r>
        <w:rPr>
          <w:rFonts w:hint="eastAsia" w:hAnsi="宋体"/>
          <w:b/>
          <w:bCs/>
          <w:color w:val="auto"/>
          <w:kern w:val="2"/>
          <w:sz w:val="24"/>
          <w:szCs w:val="28"/>
          <w:highlight w:val="none"/>
        </w:rPr>
        <w:t>磋商与评审</w:t>
      </w:r>
      <w:bookmarkEnd w:id="27"/>
      <w:bookmarkEnd w:id="28"/>
    </w:p>
    <w:p w14:paraId="4B89FC7D">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6.1</w:t>
      </w:r>
      <w:r>
        <w:rPr>
          <w:rFonts w:hint="eastAsia" w:hAnsi="宋体"/>
          <w:b/>
          <w:bCs/>
          <w:color w:val="auto"/>
          <w:kern w:val="2"/>
          <w:szCs w:val="28"/>
          <w:highlight w:val="none"/>
        </w:rPr>
        <w:t>磋商小组</w:t>
      </w:r>
    </w:p>
    <w:p w14:paraId="7093575C">
      <w:pPr>
        <w:spacing w:line="440" w:lineRule="exact"/>
        <w:ind w:firstLine="420" w:firstLineChars="200"/>
        <w:rPr>
          <w:rFonts w:hAnsi="宋体"/>
          <w:color w:val="auto"/>
          <w:kern w:val="2"/>
          <w:szCs w:val="24"/>
          <w:highlight w:val="none"/>
        </w:rPr>
      </w:pPr>
      <w:r>
        <w:rPr>
          <w:rFonts w:hAnsi="宋体"/>
          <w:color w:val="auto"/>
          <w:kern w:val="2"/>
          <w:szCs w:val="24"/>
          <w:highlight w:val="none"/>
        </w:rPr>
        <w:t>6.1.1</w:t>
      </w:r>
      <w:r>
        <w:rPr>
          <w:rFonts w:hint="eastAsia" w:hAnsi="宋体"/>
          <w:color w:val="auto"/>
          <w:kern w:val="2"/>
          <w:szCs w:val="24"/>
          <w:highlight w:val="none"/>
        </w:rPr>
        <w:t>评审及磋商工作由采购人依法组建的磋商小组负责。磋商小组的人员构成及评审专家的专业要求见供应商须知前附表。</w:t>
      </w:r>
    </w:p>
    <w:p w14:paraId="3B33628A">
      <w:pPr>
        <w:spacing w:line="440" w:lineRule="exact"/>
        <w:ind w:firstLine="420" w:firstLineChars="200"/>
        <w:rPr>
          <w:rFonts w:hAnsi="宋体"/>
          <w:color w:val="auto"/>
          <w:kern w:val="2"/>
          <w:szCs w:val="24"/>
          <w:highlight w:val="none"/>
        </w:rPr>
      </w:pPr>
      <w:r>
        <w:rPr>
          <w:rFonts w:hAnsi="宋体"/>
          <w:color w:val="auto"/>
          <w:kern w:val="2"/>
          <w:szCs w:val="24"/>
          <w:highlight w:val="none"/>
        </w:rPr>
        <w:t>6.1.2</w:t>
      </w:r>
      <w:r>
        <w:rPr>
          <w:rFonts w:hint="eastAsia" w:hAnsi="宋体"/>
          <w:color w:val="auto"/>
          <w:kern w:val="2"/>
          <w:szCs w:val="24"/>
          <w:highlight w:val="none"/>
        </w:rPr>
        <w:t>磋商小组成员有下列情形之一的，应当回避：</w:t>
      </w:r>
    </w:p>
    <w:p w14:paraId="73AF38BB">
      <w:pPr>
        <w:spacing w:line="440" w:lineRule="exact"/>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1</w:t>
      </w:r>
      <w:r>
        <w:rPr>
          <w:rFonts w:hint="eastAsia" w:hAnsi="宋体"/>
          <w:color w:val="auto"/>
          <w:kern w:val="2"/>
          <w:szCs w:val="24"/>
          <w:highlight w:val="none"/>
        </w:rPr>
        <w:t>）参加采购活动前</w:t>
      </w:r>
      <w:r>
        <w:rPr>
          <w:rFonts w:hAnsi="宋体"/>
          <w:color w:val="auto"/>
          <w:kern w:val="2"/>
          <w:szCs w:val="24"/>
          <w:highlight w:val="none"/>
        </w:rPr>
        <w:t>3</w:t>
      </w:r>
      <w:r>
        <w:rPr>
          <w:rFonts w:hint="eastAsia" w:hAnsi="宋体"/>
          <w:color w:val="auto"/>
          <w:kern w:val="2"/>
          <w:szCs w:val="24"/>
          <w:highlight w:val="none"/>
        </w:rPr>
        <w:t>年内与供应商存在劳动关系；</w:t>
      </w:r>
    </w:p>
    <w:p w14:paraId="0CC53BC8">
      <w:pPr>
        <w:spacing w:line="440" w:lineRule="exact"/>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2</w:t>
      </w:r>
      <w:r>
        <w:rPr>
          <w:rFonts w:hint="eastAsia" w:hAnsi="宋体"/>
          <w:color w:val="auto"/>
          <w:kern w:val="2"/>
          <w:szCs w:val="24"/>
          <w:highlight w:val="none"/>
        </w:rPr>
        <w:t>）参加采购活动前</w:t>
      </w:r>
      <w:r>
        <w:rPr>
          <w:rFonts w:hAnsi="宋体"/>
          <w:color w:val="auto"/>
          <w:kern w:val="2"/>
          <w:szCs w:val="24"/>
          <w:highlight w:val="none"/>
        </w:rPr>
        <w:t>3</w:t>
      </w:r>
      <w:r>
        <w:rPr>
          <w:rFonts w:hint="eastAsia" w:hAnsi="宋体"/>
          <w:color w:val="auto"/>
          <w:kern w:val="2"/>
          <w:szCs w:val="24"/>
          <w:highlight w:val="none"/>
        </w:rPr>
        <w:t>年内担任供应商的董事、监事；</w:t>
      </w:r>
    </w:p>
    <w:p w14:paraId="077549C5">
      <w:pPr>
        <w:spacing w:line="440" w:lineRule="exact"/>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3</w:t>
      </w:r>
      <w:r>
        <w:rPr>
          <w:rFonts w:hint="eastAsia" w:hAnsi="宋体"/>
          <w:color w:val="auto"/>
          <w:kern w:val="2"/>
          <w:szCs w:val="24"/>
          <w:highlight w:val="none"/>
        </w:rPr>
        <w:t>）参加采购活动前</w:t>
      </w:r>
      <w:r>
        <w:rPr>
          <w:rFonts w:hAnsi="宋体"/>
          <w:color w:val="auto"/>
          <w:kern w:val="2"/>
          <w:szCs w:val="24"/>
          <w:highlight w:val="none"/>
        </w:rPr>
        <w:t>3</w:t>
      </w:r>
      <w:r>
        <w:rPr>
          <w:rFonts w:hint="eastAsia" w:hAnsi="宋体"/>
          <w:color w:val="auto"/>
          <w:kern w:val="2"/>
          <w:szCs w:val="24"/>
          <w:highlight w:val="none"/>
        </w:rPr>
        <w:t>年内是供应商的控股股东或者实际控制人；</w:t>
      </w:r>
    </w:p>
    <w:p w14:paraId="793C02C2">
      <w:pPr>
        <w:spacing w:line="440" w:lineRule="exact"/>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4</w:t>
      </w:r>
      <w:r>
        <w:rPr>
          <w:rFonts w:hint="eastAsia" w:hAnsi="宋体"/>
          <w:color w:val="auto"/>
          <w:kern w:val="2"/>
          <w:szCs w:val="24"/>
          <w:highlight w:val="none"/>
        </w:rPr>
        <w:t>）与供应商的法定代表人或者负责人有夫妻、直系血亲、三代以内旁系血亲或者近姻亲关系；</w:t>
      </w:r>
    </w:p>
    <w:p w14:paraId="74671BA0">
      <w:pPr>
        <w:spacing w:line="440" w:lineRule="exact"/>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5</w:t>
      </w:r>
      <w:r>
        <w:rPr>
          <w:rFonts w:hint="eastAsia" w:hAnsi="宋体"/>
          <w:color w:val="auto"/>
          <w:kern w:val="2"/>
          <w:szCs w:val="24"/>
          <w:highlight w:val="none"/>
        </w:rPr>
        <w:t>）与供应商有其他可能影响政府采购活动公平、公正进行的关系。</w:t>
      </w:r>
    </w:p>
    <w:p w14:paraId="3839EDF2">
      <w:pPr>
        <w:spacing w:line="440" w:lineRule="exact"/>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6</w:t>
      </w:r>
      <w:r>
        <w:rPr>
          <w:rFonts w:hint="eastAsia" w:hAnsi="宋体"/>
          <w:color w:val="auto"/>
          <w:kern w:val="2"/>
          <w:szCs w:val="24"/>
          <w:highlight w:val="none"/>
        </w:rPr>
        <w:t>）项目主管部门或者行政监督部门的人员；</w:t>
      </w:r>
    </w:p>
    <w:p w14:paraId="4F02687C">
      <w:pPr>
        <w:spacing w:line="440" w:lineRule="exact"/>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7</w:t>
      </w:r>
      <w:r>
        <w:rPr>
          <w:rFonts w:hint="eastAsia" w:hAnsi="宋体"/>
          <w:color w:val="auto"/>
          <w:kern w:val="2"/>
          <w:szCs w:val="24"/>
          <w:highlight w:val="none"/>
        </w:rPr>
        <w:t>）与供应商有经济利益关系，对响应文件公正评审及磋商可能造成不良影响的；</w:t>
      </w:r>
    </w:p>
    <w:p w14:paraId="04BFE68C">
      <w:pPr>
        <w:spacing w:line="440" w:lineRule="exact"/>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8</w:t>
      </w:r>
      <w:r>
        <w:rPr>
          <w:rFonts w:hint="eastAsia" w:hAnsi="宋体"/>
          <w:color w:val="auto"/>
          <w:kern w:val="2"/>
          <w:szCs w:val="24"/>
          <w:highlight w:val="none"/>
        </w:rPr>
        <w:t>）曾因在政府采购有关活动中从事违法行为而受过行政处罚或刑事处罚的；</w:t>
      </w:r>
    </w:p>
    <w:p w14:paraId="6289F67C">
      <w:pPr>
        <w:spacing w:line="440" w:lineRule="exact"/>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9</w:t>
      </w:r>
      <w:r>
        <w:rPr>
          <w:rFonts w:hint="eastAsia" w:hAnsi="宋体"/>
          <w:color w:val="auto"/>
          <w:kern w:val="2"/>
          <w:szCs w:val="24"/>
          <w:highlight w:val="none"/>
        </w:rPr>
        <w:t>）与供应商有其他可能影响政府采购公平、公正进行的关系。</w:t>
      </w:r>
    </w:p>
    <w:p w14:paraId="4E4CD2F8">
      <w:pPr>
        <w:spacing w:line="440" w:lineRule="exact"/>
        <w:ind w:firstLine="420" w:firstLineChars="200"/>
        <w:rPr>
          <w:rFonts w:hAnsi="宋体"/>
          <w:color w:val="auto"/>
          <w:kern w:val="2"/>
          <w:szCs w:val="24"/>
          <w:highlight w:val="none"/>
        </w:rPr>
      </w:pPr>
      <w:r>
        <w:rPr>
          <w:rFonts w:hAnsi="宋体"/>
          <w:color w:val="auto"/>
          <w:kern w:val="2"/>
          <w:szCs w:val="24"/>
          <w:highlight w:val="none"/>
        </w:rPr>
        <w:t>6.1.3</w:t>
      </w:r>
      <w:r>
        <w:rPr>
          <w:rFonts w:hint="eastAsia" w:hAnsi="宋体"/>
          <w:color w:val="auto"/>
          <w:kern w:val="2"/>
          <w:szCs w:val="24"/>
          <w:highlight w:val="none"/>
        </w:rPr>
        <w:t>磋商小组成员有下列情形的，列入不良行为记录：</w:t>
      </w:r>
    </w:p>
    <w:p w14:paraId="6AA0FE2C">
      <w:pPr>
        <w:spacing w:line="440" w:lineRule="exact"/>
        <w:ind w:firstLine="420" w:firstLineChars="200"/>
        <w:rPr>
          <w:rFonts w:hAnsi="宋体"/>
          <w:color w:val="auto"/>
          <w:kern w:val="2"/>
          <w:szCs w:val="24"/>
          <w:highlight w:val="none"/>
        </w:rPr>
      </w:pPr>
      <w:r>
        <w:rPr>
          <w:rFonts w:hAnsi="宋体"/>
          <w:color w:val="auto"/>
          <w:kern w:val="2"/>
          <w:szCs w:val="24"/>
          <w:highlight w:val="none"/>
        </w:rPr>
        <w:t>(</w:t>
      </w:r>
      <w:r>
        <w:rPr>
          <w:rFonts w:hint="eastAsia" w:hAnsi="宋体"/>
          <w:color w:val="auto"/>
          <w:kern w:val="2"/>
          <w:szCs w:val="24"/>
          <w:highlight w:val="none"/>
        </w:rPr>
        <w:t>一</w:t>
      </w:r>
      <w:r>
        <w:rPr>
          <w:rFonts w:hAnsi="宋体"/>
          <w:color w:val="auto"/>
          <w:kern w:val="2"/>
          <w:szCs w:val="24"/>
          <w:highlight w:val="none"/>
        </w:rPr>
        <w:t>)</w:t>
      </w:r>
      <w:r>
        <w:rPr>
          <w:rFonts w:hint="eastAsia" w:hAnsi="宋体"/>
          <w:color w:val="auto"/>
          <w:kern w:val="2"/>
          <w:szCs w:val="24"/>
          <w:highlight w:val="none"/>
        </w:rPr>
        <w:t>未按照磋商文件规定的评审程序、评审方法和评审标准进行独立评审；</w:t>
      </w:r>
    </w:p>
    <w:p w14:paraId="49F3250E">
      <w:pPr>
        <w:spacing w:line="440" w:lineRule="exact"/>
        <w:ind w:firstLine="420" w:firstLineChars="200"/>
        <w:rPr>
          <w:rFonts w:hAnsi="宋体"/>
          <w:color w:val="auto"/>
          <w:kern w:val="2"/>
          <w:szCs w:val="24"/>
          <w:highlight w:val="none"/>
        </w:rPr>
      </w:pPr>
      <w:r>
        <w:rPr>
          <w:rFonts w:hAnsi="宋体"/>
          <w:color w:val="auto"/>
          <w:kern w:val="2"/>
          <w:szCs w:val="24"/>
          <w:highlight w:val="none"/>
        </w:rPr>
        <w:t>(</w:t>
      </w:r>
      <w:r>
        <w:rPr>
          <w:rFonts w:hint="eastAsia" w:hAnsi="宋体"/>
          <w:color w:val="auto"/>
          <w:kern w:val="2"/>
          <w:szCs w:val="24"/>
          <w:highlight w:val="none"/>
        </w:rPr>
        <w:t>二</w:t>
      </w:r>
      <w:r>
        <w:rPr>
          <w:rFonts w:hAnsi="宋体"/>
          <w:color w:val="auto"/>
          <w:kern w:val="2"/>
          <w:szCs w:val="24"/>
          <w:highlight w:val="none"/>
        </w:rPr>
        <w:t>)</w:t>
      </w:r>
      <w:r>
        <w:rPr>
          <w:rFonts w:hint="eastAsia" w:hAnsi="宋体"/>
          <w:color w:val="auto"/>
          <w:kern w:val="2"/>
          <w:szCs w:val="24"/>
          <w:highlight w:val="none"/>
        </w:rPr>
        <w:t>泄露评审文件、评审情况；</w:t>
      </w:r>
    </w:p>
    <w:p w14:paraId="0A68CAD2">
      <w:pPr>
        <w:spacing w:line="440" w:lineRule="exact"/>
        <w:ind w:firstLine="420" w:firstLineChars="200"/>
        <w:rPr>
          <w:rFonts w:hAnsi="宋体"/>
          <w:color w:val="auto"/>
          <w:kern w:val="2"/>
          <w:szCs w:val="24"/>
          <w:highlight w:val="none"/>
        </w:rPr>
      </w:pPr>
      <w:r>
        <w:rPr>
          <w:rFonts w:hAnsi="宋体"/>
          <w:color w:val="auto"/>
          <w:kern w:val="2"/>
          <w:szCs w:val="24"/>
          <w:highlight w:val="none"/>
        </w:rPr>
        <w:t>(</w:t>
      </w:r>
      <w:r>
        <w:rPr>
          <w:rFonts w:hint="eastAsia" w:hAnsi="宋体"/>
          <w:color w:val="auto"/>
          <w:kern w:val="2"/>
          <w:szCs w:val="24"/>
          <w:highlight w:val="none"/>
        </w:rPr>
        <w:t>三</w:t>
      </w:r>
      <w:r>
        <w:rPr>
          <w:rFonts w:hAnsi="宋体"/>
          <w:color w:val="auto"/>
          <w:kern w:val="2"/>
          <w:szCs w:val="24"/>
          <w:highlight w:val="none"/>
        </w:rPr>
        <w:t>)</w:t>
      </w:r>
      <w:r>
        <w:rPr>
          <w:rFonts w:hint="eastAsia" w:hAnsi="宋体"/>
          <w:color w:val="auto"/>
          <w:kern w:val="2"/>
          <w:szCs w:val="24"/>
          <w:highlight w:val="none"/>
        </w:rPr>
        <w:t>与供应商存在利害关系未回避；</w:t>
      </w:r>
    </w:p>
    <w:p w14:paraId="6F0FC652">
      <w:pPr>
        <w:spacing w:line="440" w:lineRule="exact"/>
        <w:ind w:firstLine="420" w:firstLineChars="200"/>
        <w:rPr>
          <w:rFonts w:hAnsi="宋体"/>
          <w:color w:val="auto"/>
          <w:kern w:val="2"/>
          <w:szCs w:val="24"/>
          <w:highlight w:val="none"/>
        </w:rPr>
      </w:pPr>
      <w:r>
        <w:rPr>
          <w:rFonts w:hAnsi="宋体"/>
          <w:color w:val="auto"/>
          <w:kern w:val="2"/>
          <w:szCs w:val="24"/>
          <w:highlight w:val="none"/>
        </w:rPr>
        <w:t>(</w:t>
      </w:r>
      <w:r>
        <w:rPr>
          <w:rFonts w:hint="eastAsia" w:hAnsi="宋体"/>
          <w:color w:val="auto"/>
          <w:kern w:val="2"/>
          <w:szCs w:val="24"/>
          <w:highlight w:val="none"/>
        </w:rPr>
        <w:t>四</w:t>
      </w:r>
      <w:r>
        <w:rPr>
          <w:rFonts w:hAnsi="宋体"/>
          <w:color w:val="auto"/>
          <w:kern w:val="2"/>
          <w:szCs w:val="24"/>
          <w:highlight w:val="none"/>
        </w:rPr>
        <w:t>)</w:t>
      </w:r>
      <w:r>
        <w:rPr>
          <w:rFonts w:hint="eastAsia" w:hAnsi="宋体"/>
          <w:color w:val="auto"/>
          <w:kern w:val="2"/>
          <w:szCs w:val="24"/>
          <w:highlight w:val="none"/>
        </w:rPr>
        <w:t>收受采购人、采购代理机构、供应商贿赂或者获取其他不正当利益；</w:t>
      </w:r>
    </w:p>
    <w:p w14:paraId="7AA2E6DD">
      <w:pPr>
        <w:spacing w:line="440" w:lineRule="exact"/>
        <w:ind w:firstLine="420" w:firstLineChars="200"/>
        <w:rPr>
          <w:rFonts w:hAnsi="宋体"/>
          <w:color w:val="auto"/>
          <w:kern w:val="2"/>
          <w:szCs w:val="24"/>
          <w:highlight w:val="none"/>
        </w:rPr>
      </w:pPr>
      <w:r>
        <w:rPr>
          <w:rFonts w:hAnsi="宋体"/>
          <w:color w:val="auto"/>
          <w:kern w:val="2"/>
          <w:szCs w:val="24"/>
          <w:highlight w:val="none"/>
        </w:rPr>
        <w:t>(</w:t>
      </w:r>
      <w:r>
        <w:rPr>
          <w:rFonts w:hint="eastAsia" w:hAnsi="宋体"/>
          <w:color w:val="auto"/>
          <w:kern w:val="2"/>
          <w:szCs w:val="24"/>
          <w:highlight w:val="none"/>
        </w:rPr>
        <w:t>五</w:t>
      </w:r>
      <w:r>
        <w:rPr>
          <w:rFonts w:hAnsi="宋体"/>
          <w:color w:val="auto"/>
          <w:kern w:val="2"/>
          <w:szCs w:val="24"/>
          <w:highlight w:val="none"/>
        </w:rPr>
        <w:t>)</w:t>
      </w:r>
      <w:r>
        <w:rPr>
          <w:rFonts w:hint="eastAsia" w:hAnsi="宋体"/>
          <w:color w:val="auto"/>
          <w:kern w:val="2"/>
          <w:szCs w:val="24"/>
          <w:highlight w:val="none"/>
        </w:rPr>
        <w:t>拒不履行配合答复供应商询问、质疑、投诉等法定义务；</w:t>
      </w:r>
    </w:p>
    <w:p w14:paraId="5EBC9757">
      <w:pPr>
        <w:spacing w:line="440" w:lineRule="exact"/>
        <w:ind w:firstLine="420" w:firstLineChars="200"/>
        <w:rPr>
          <w:rFonts w:hAnsi="宋体"/>
          <w:color w:val="auto"/>
          <w:kern w:val="2"/>
          <w:szCs w:val="24"/>
          <w:highlight w:val="none"/>
        </w:rPr>
      </w:pPr>
      <w:r>
        <w:rPr>
          <w:rFonts w:hAnsi="宋体"/>
          <w:color w:val="auto"/>
          <w:kern w:val="2"/>
          <w:szCs w:val="24"/>
          <w:highlight w:val="none"/>
        </w:rPr>
        <w:t>(</w:t>
      </w:r>
      <w:r>
        <w:rPr>
          <w:rFonts w:hint="eastAsia" w:hAnsi="宋体"/>
          <w:color w:val="auto"/>
          <w:kern w:val="2"/>
          <w:szCs w:val="24"/>
          <w:highlight w:val="none"/>
        </w:rPr>
        <w:t>六</w:t>
      </w:r>
      <w:r>
        <w:rPr>
          <w:rFonts w:hAnsi="宋体"/>
          <w:color w:val="auto"/>
          <w:kern w:val="2"/>
          <w:szCs w:val="24"/>
          <w:highlight w:val="none"/>
        </w:rPr>
        <w:t>)</w:t>
      </w:r>
      <w:r>
        <w:rPr>
          <w:rFonts w:hint="eastAsia" w:hAnsi="宋体"/>
          <w:color w:val="auto"/>
          <w:kern w:val="2"/>
          <w:szCs w:val="24"/>
          <w:highlight w:val="none"/>
        </w:rPr>
        <w:t>以评审专家身份从事有损政府采购公信力的活动。</w:t>
      </w:r>
    </w:p>
    <w:p w14:paraId="401FD47F">
      <w:pPr>
        <w:spacing w:line="440" w:lineRule="exact"/>
        <w:ind w:firstLine="420" w:firstLineChars="200"/>
        <w:rPr>
          <w:rFonts w:hAnsi="宋体"/>
          <w:color w:val="auto"/>
          <w:kern w:val="2"/>
          <w:szCs w:val="24"/>
          <w:highlight w:val="none"/>
        </w:rPr>
      </w:pPr>
      <w:r>
        <w:rPr>
          <w:rFonts w:hAnsi="宋体"/>
          <w:color w:val="auto"/>
          <w:kern w:val="2"/>
          <w:szCs w:val="24"/>
          <w:highlight w:val="none"/>
        </w:rPr>
        <w:t>6.1.4</w:t>
      </w:r>
      <w:r>
        <w:rPr>
          <w:rFonts w:hint="eastAsia" w:hAnsi="宋体"/>
          <w:color w:val="auto"/>
          <w:kern w:val="2"/>
          <w:szCs w:val="24"/>
          <w:highlight w:val="none"/>
        </w:rPr>
        <w:t>磋商小组应当配合答复供应商的询问、质疑和投诉等事项，不得泄露评审文件、评审情况和在评审过程中获悉的商业秘密。</w:t>
      </w:r>
    </w:p>
    <w:p w14:paraId="1E32C2F8">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6.2</w:t>
      </w:r>
      <w:r>
        <w:rPr>
          <w:rFonts w:hint="eastAsia" w:hAnsi="宋体"/>
          <w:b/>
          <w:bCs/>
          <w:color w:val="auto"/>
          <w:kern w:val="2"/>
          <w:szCs w:val="28"/>
          <w:highlight w:val="none"/>
        </w:rPr>
        <w:t>磋商</w:t>
      </w:r>
    </w:p>
    <w:p w14:paraId="7E2E13C7">
      <w:pPr>
        <w:spacing w:line="360" w:lineRule="auto"/>
        <w:ind w:firstLine="420" w:firstLineChars="200"/>
        <w:rPr>
          <w:rFonts w:hAnsi="宋体"/>
          <w:color w:val="auto"/>
          <w:kern w:val="2"/>
          <w:szCs w:val="24"/>
          <w:highlight w:val="none"/>
        </w:rPr>
      </w:pPr>
      <w:r>
        <w:rPr>
          <w:rFonts w:hAnsi="宋体"/>
          <w:color w:val="auto"/>
          <w:kern w:val="2"/>
          <w:szCs w:val="24"/>
          <w:highlight w:val="none"/>
        </w:rPr>
        <w:t>6.2.1</w:t>
      </w:r>
      <w:r>
        <w:rPr>
          <w:rFonts w:hint="eastAsia" w:hAnsi="宋体"/>
          <w:color w:val="auto"/>
          <w:kern w:val="2"/>
          <w:szCs w:val="24"/>
          <w:highlight w:val="none"/>
        </w:rPr>
        <w:t>响应文件实质性响应磋商文件的供应商获得参加磋商的资格，磋商小组所有成员应当集中与单一供应商分别进行磋商，并给予所有参加磋商的供应商平等的磋商机会。磋商时间及磋商地点：见供应商须知前附表。</w:t>
      </w:r>
    </w:p>
    <w:p w14:paraId="5FF38A70">
      <w:pPr>
        <w:spacing w:line="360" w:lineRule="auto"/>
        <w:ind w:firstLine="420" w:firstLineChars="200"/>
        <w:rPr>
          <w:rFonts w:hAnsi="宋体"/>
          <w:color w:val="auto"/>
          <w:kern w:val="2"/>
          <w:szCs w:val="24"/>
          <w:highlight w:val="none"/>
        </w:rPr>
      </w:pPr>
      <w:r>
        <w:rPr>
          <w:rFonts w:hAnsi="宋体"/>
          <w:color w:val="auto"/>
          <w:kern w:val="2"/>
          <w:szCs w:val="24"/>
          <w:highlight w:val="none"/>
        </w:rPr>
        <w:t>6.2.2</w:t>
      </w:r>
      <w:r>
        <w:rPr>
          <w:rFonts w:hint="eastAsia" w:hAnsi="宋体"/>
          <w:color w:val="auto"/>
          <w:kern w:val="2"/>
          <w:szCs w:val="24"/>
          <w:highlight w:val="none"/>
        </w:rPr>
        <w:t>在磋商过程中，磋商小组可以根据磋商文件和磋商情况实质性变动供应商须知前附表中规定的内容，但不得变动磋商文件中的其他内容。实质性变动的内容，须经采购人代表确认。对磋商文件作出的实质性变动是磋商文件的有效组成部分。</w:t>
      </w:r>
    </w:p>
    <w:p w14:paraId="67577E30">
      <w:pPr>
        <w:spacing w:line="360" w:lineRule="auto"/>
        <w:ind w:firstLine="420" w:firstLineChars="200"/>
        <w:rPr>
          <w:rFonts w:hAnsi="宋体"/>
          <w:color w:val="auto"/>
          <w:kern w:val="2"/>
          <w:szCs w:val="24"/>
          <w:highlight w:val="none"/>
        </w:rPr>
      </w:pPr>
      <w:r>
        <w:rPr>
          <w:rFonts w:hAnsi="宋体"/>
          <w:color w:val="auto"/>
          <w:kern w:val="2"/>
          <w:szCs w:val="24"/>
          <w:highlight w:val="none"/>
        </w:rPr>
        <w:t>6.2.3</w:t>
      </w:r>
      <w:r>
        <w:rPr>
          <w:rFonts w:hint="eastAsia" w:hAnsi="宋体"/>
          <w:color w:val="auto"/>
          <w:kern w:val="2"/>
          <w:szCs w:val="24"/>
          <w:highlight w:val="none"/>
        </w:rPr>
        <w:t>磋商小组与每个参加磋商的供应商均进行磋商后，本轮磋商完成，磋商小组应当就本轮磋商的结果形成书面记录。在一轮磋商结束后，磋商小组可以根据磋商文件和磋商情况进行下一轮磋商直至确定最终采购需求。磋商结束后，磋商小组应当将磋商结果通知所有参加磋商的供应商。</w:t>
      </w:r>
    </w:p>
    <w:p w14:paraId="7B995740">
      <w:pPr>
        <w:spacing w:line="360" w:lineRule="auto"/>
        <w:ind w:firstLine="420" w:firstLineChars="200"/>
        <w:rPr>
          <w:rFonts w:hAnsi="宋体"/>
          <w:color w:val="auto"/>
          <w:kern w:val="2"/>
          <w:szCs w:val="24"/>
          <w:highlight w:val="none"/>
        </w:rPr>
      </w:pPr>
      <w:r>
        <w:rPr>
          <w:rFonts w:hAnsi="宋体"/>
          <w:color w:val="auto"/>
          <w:kern w:val="2"/>
          <w:szCs w:val="24"/>
          <w:highlight w:val="none"/>
        </w:rPr>
        <w:t>6.2.4</w:t>
      </w:r>
      <w:r>
        <w:rPr>
          <w:rFonts w:hint="eastAsia" w:hAnsi="宋体"/>
          <w:color w:val="auto"/>
          <w:kern w:val="2"/>
          <w:szCs w:val="24"/>
          <w:highlight w:val="none"/>
        </w:rPr>
        <w:t>因磋商文件实质性变动而需重新提交响应文件的，供应商应当在磋商小组规定期限内按照磋商文件的变动情况重新提交响应文件，重新提交的响应文件应按照本章第</w:t>
      </w:r>
      <w:r>
        <w:rPr>
          <w:rFonts w:hAnsi="宋体"/>
          <w:color w:val="auto"/>
          <w:kern w:val="2"/>
          <w:szCs w:val="24"/>
          <w:highlight w:val="none"/>
        </w:rPr>
        <w:t>3</w:t>
      </w:r>
      <w:r>
        <w:rPr>
          <w:rFonts w:hint="eastAsia" w:hAnsi="宋体"/>
          <w:color w:val="auto"/>
          <w:kern w:val="2"/>
          <w:szCs w:val="24"/>
          <w:highlight w:val="none"/>
        </w:rPr>
        <w:t>条、第</w:t>
      </w:r>
      <w:r>
        <w:rPr>
          <w:rFonts w:hAnsi="宋体"/>
          <w:color w:val="auto"/>
          <w:kern w:val="2"/>
          <w:szCs w:val="24"/>
          <w:highlight w:val="none"/>
        </w:rPr>
        <w:t>4</w:t>
      </w:r>
      <w:r>
        <w:rPr>
          <w:rFonts w:hint="eastAsia" w:hAnsi="宋体"/>
          <w:color w:val="auto"/>
          <w:kern w:val="2"/>
          <w:szCs w:val="24"/>
          <w:highlight w:val="none"/>
        </w:rPr>
        <w:t>条的规定进行编制、密封、标记和提交，并标明“重新提交”字样，否则重新提交的响应文件无效。</w:t>
      </w:r>
    </w:p>
    <w:p w14:paraId="6342CE9C">
      <w:pPr>
        <w:spacing w:line="360" w:lineRule="auto"/>
        <w:ind w:firstLine="420" w:firstLineChars="200"/>
        <w:rPr>
          <w:rFonts w:hAnsi="宋体"/>
          <w:color w:val="auto"/>
          <w:kern w:val="2"/>
          <w:szCs w:val="24"/>
          <w:highlight w:val="none"/>
        </w:rPr>
      </w:pPr>
      <w:r>
        <w:rPr>
          <w:rFonts w:hAnsi="宋体"/>
          <w:color w:val="auto"/>
          <w:kern w:val="2"/>
          <w:szCs w:val="24"/>
          <w:highlight w:val="none"/>
        </w:rPr>
        <w:t>6.2.5</w:t>
      </w:r>
      <w:r>
        <w:rPr>
          <w:rFonts w:hint="eastAsia" w:hAnsi="宋体"/>
          <w:color w:val="auto"/>
          <w:kern w:val="2"/>
          <w:szCs w:val="24"/>
          <w:highlight w:val="none"/>
        </w:rPr>
        <w:t>磋商文件能够详细列明采购标的的技术、服务要求的，磋商结束后，磋商小组应当要求所有实质性响应的供应商在规定时间内提交最后报价，提交最后报价的供应商不得少于</w:t>
      </w:r>
      <w:r>
        <w:rPr>
          <w:rFonts w:hAnsi="宋体"/>
          <w:color w:val="auto"/>
          <w:kern w:val="2"/>
          <w:szCs w:val="24"/>
          <w:highlight w:val="none"/>
        </w:rPr>
        <w:t>3</w:t>
      </w:r>
      <w:r>
        <w:rPr>
          <w:rFonts w:hint="eastAsia" w:hAnsi="宋体"/>
          <w:color w:val="auto"/>
          <w:kern w:val="2"/>
          <w:szCs w:val="24"/>
          <w:highlight w:val="none"/>
        </w:rPr>
        <w:t>家（根据《政府采购竞争性磋商采购方式管理暂行办法》第二十一条第三款规定，市场竞争不充分的科研项目，以及需要扶持的科技成果转化项目，提交最后报价的供应商可以为</w:t>
      </w:r>
      <w:r>
        <w:rPr>
          <w:rFonts w:hAnsi="宋体"/>
          <w:color w:val="auto"/>
          <w:kern w:val="2"/>
          <w:szCs w:val="24"/>
          <w:highlight w:val="none"/>
        </w:rPr>
        <w:t>2</w:t>
      </w:r>
      <w:r>
        <w:rPr>
          <w:rFonts w:hint="eastAsia" w:hAnsi="宋体"/>
          <w:color w:val="auto"/>
          <w:kern w:val="2"/>
          <w:szCs w:val="24"/>
          <w:highlight w:val="none"/>
        </w:rPr>
        <w:t>家）。</w:t>
      </w:r>
    </w:p>
    <w:p w14:paraId="5E7F2CED">
      <w:pPr>
        <w:spacing w:line="360" w:lineRule="auto"/>
        <w:ind w:firstLine="420" w:firstLineChars="200"/>
        <w:rPr>
          <w:rFonts w:hAnsi="宋体"/>
          <w:color w:val="auto"/>
          <w:kern w:val="2"/>
          <w:szCs w:val="24"/>
          <w:highlight w:val="none"/>
        </w:rPr>
      </w:pPr>
      <w:r>
        <w:rPr>
          <w:rFonts w:hAnsi="宋体"/>
          <w:color w:val="auto"/>
          <w:kern w:val="2"/>
          <w:szCs w:val="24"/>
          <w:highlight w:val="none"/>
        </w:rPr>
        <w:t>6.2.6</w:t>
      </w:r>
      <w:r>
        <w:rPr>
          <w:rFonts w:hint="eastAsia" w:hAnsi="宋体"/>
          <w:color w:val="auto"/>
          <w:kern w:val="2"/>
          <w:szCs w:val="24"/>
          <w:highlight w:val="none"/>
        </w:rPr>
        <w:t>磋商文件不能详细列明采购标的的技术、服务要求，需经磋商由供应商提供最终设计方案或解决方案的，磋商结束后，磋商小组应当按照少数服从多数的原则投票推荐</w:t>
      </w:r>
      <w:r>
        <w:rPr>
          <w:rFonts w:hAnsi="宋体"/>
          <w:color w:val="auto"/>
          <w:kern w:val="2"/>
          <w:szCs w:val="24"/>
          <w:highlight w:val="none"/>
        </w:rPr>
        <w:t>3</w:t>
      </w:r>
      <w:r>
        <w:rPr>
          <w:rFonts w:hint="eastAsia" w:hAnsi="宋体"/>
          <w:color w:val="auto"/>
          <w:kern w:val="2"/>
          <w:szCs w:val="24"/>
          <w:highlight w:val="none"/>
        </w:rPr>
        <w:t>家以上供应商的设计方案或者解决方案，并要求其在规定时间内提交最后报价。</w:t>
      </w:r>
    </w:p>
    <w:p w14:paraId="72488E7F">
      <w:pPr>
        <w:spacing w:line="360" w:lineRule="auto"/>
        <w:ind w:firstLine="420" w:firstLineChars="200"/>
        <w:rPr>
          <w:rFonts w:hAnsi="宋体"/>
          <w:color w:val="auto"/>
          <w:kern w:val="2"/>
          <w:szCs w:val="24"/>
          <w:highlight w:val="none"/>
        </w:rPr>
      </w:pPr>
      <w:r>
        <w:rPr>
          <w:rFonts w:hAnsi="宋体"/>
          <w:color w:val="auto"/>
          <w:kern w:val="2"/>
          <w:szCs w:val="24"/>
          <w:highlight w:val="none"/>
        </w:rPr>
        <w:t>6.2.7</w:t>
      </w:r>
      <w:r>
        <w:rPr>
          <w:rFonts w:hint="eastAsia" w:hAnsi="宋体"/>
          <w:color w:val="auto"/>
          <w:kern w:val="2"/>
          <w:szCs w:val="24"/>
          <w:highlight w:val="none"/>
        </w:rPr>
        <w:t>已提交响应文件的供应商，在提交最后报价之前，可以根据磋商情况退出磋商。最后报价是供应商响应文件的有效组成部分。</w:t>
      </w:r>
    </w:p>
    <w:p w14:paraId="0862FCD8">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6.3</w:t>
      </w:r>
      <w:r>
        <w:rPr>
          <w:rFonts w:hint="eastAsia" w:hAnsi="宋体"/>
          <w:b/>
          <w:bCs/>
          <w:color w:val="auto"/>
          <w:kern w:val="2"/>
          <w:szCs w:val="28"/>
          <w:highlight w:val="none"/>
        </w:rPr>
        <w:t>评审</w:t>
      </w:r>
    </w:p>
    <w:p w14:paraId="4CC895EA">
      <w:pPr>
        <w:spacing w:line="360" w:lineRule="auto"/>
        <w:ind w:firstLine="420" w:firstLineChars="200"/>
        <w:rPr>
          <w:rFonts w:hAnsi="宋体"/>
          <w:color w:val="auto"/>
          <w:kern w:val="2"/>
          <w:szCs w:val="24"/>
          <w:highlight w:val="none"/>
        </w:rPr>
      </w:pPr>
      <w:r>
        <w:rPr>
          <w:rFonts w:hAnsi="宋体"/>
          <w:color w:val="auto"/>
          <w:kern w:val="2"/>
          <w:szCs w:val="24"/>
          <w:highlight w:val="none"/>
        </w:rPr>
        <w:t>6.3.1</w:t>
      </w:r>
      <w:r>
        <w:rPr>
          <w:rFonts w:hint="eastAsia" w:hAnsi="宋体"/>
          <w:color w:val="auto"/>
          <w:kern w:val="2"/>
          <w:szCs w:val="24"/>
          <w:highlight w:val="none"/>
        </w:rPr>
        <w:t>评标方法：见供应商须知前附表。</w:t>
      </w:r>
    </w:p>
    <w:p w14:paraId="320EA15C">
      <w:pPr>
        <w:spacing w:line="360" w:lineRule="auto"/>
        <w:ind w:firstLine="420" w:firstLineChars="200"/>
        <w:rPr>
          <w:rFonts w:hAnsi="宋体"/>
          <w:color w:val="auto"/>
          <w:kern w:val="2"/>
          <w:szCs w:val="24"/>
          <w:highlight w:val="none"/>
        </w:rPr>
      </w:pPr>
      <w:r>
        <w:rPr>
          <w:rFonts w:hAnsi="宋体"/>
          <w:color w:val="auto"/>
          <w:kern w:val="2"/>
          <w:szCs w:val="24"/>
          <w:highlight w:val="none"/>
        </w:rPr>
        <w:t>6.3.2</w:t>
      </w:r>
      <w:r>
        <w:rPr>
          <w:rFonts w:hint="eastAsia" w:hAnsi="宋体"/>
          <w:color w:val="auto"/>
          <w:kern w:val="2"/>
          <w:szCs w:val="24"/>
          <w:highlight w:val="none"/>
        </w:rPr>
        <w:t>磋商小组按照第三章“评标办法”规定的方法、评审因素、标准和程序对响应文件进行独立评审。第三章“评标办法”没有规定的方法、评审因素和标准，不作为评审依据。</w:t>
      </w:r>
    </w:p>
    <w:p w14:paraId="0BF10D40">
      <w:pPr>
        <w:spacing w:line="360" w:lineRule="auto"/>
        <w:ind w:firstLine="420" w:firstLineChars="200"/>
        <w:rPr>
          <w:rFonts w:hAnsi="宋体"/>
          <w:color w:val="auto"/>
          <w:kern w:val="2"/>
          <w:szCs w:val="24"/>
          <w:highlight w:val="none"/>
        </w:rPr>
      </w:pPr>
      <w:r>
        <w:rPr>
          <w:rFonts w:hAnsi="宋体"/>
          <w:color w:val="auto"/>
          <w:kern w:val="2"/>
          <w:szCs w:val="24"/>
          <w:highlight w:val="none"/>
        </w:rPr>
        <w:t>6.3.3</w:t>
      </w:r>
      <w:r>
        <w:rPr>
          <w:rFonts w:hint="eastAsia" w:hAnsi="宋体"/>
          <w:color w:val="auto"/>
          <w:kern w:val="2"/>
          <w:szCs w:val="24"/>
          <w:highlight w:val="none"/>
        </w:rPr>
        <w:t>未实质性响应磋商文件的响应文件按无效响应处理，磋商小组应当告知提交响应文件的供应商。</w:t>
      </w:r>
    </w:p>
    <w:p w14:paraId="613A56B4">
      <w:pPr>
        <w:keepNext/>
        <w:keepLines/>
        <w:spacing w:line="360" w:lineRule="auto"/>
        <w:outlineLvl w:val="2"/>
        <w:rPr>
          <w:rFonts w:hAnsi="宋体"/>
          <w:b/>
          <w:bCs/>
          <w:color w:val="auto"/>
          <w:kern w:val="2"/>
          <w:sz w:val="24"/>
          <w:szCs w:val="28"/>
          <w:highlight w:val="none"/>
        </w:rPr>
      </w:pPr>
      <w:bookmarkStart w:id="29" w:name="_Toc533783515"/>
      <w:bookmarkStart w:id="30" w:name="_Toc533781563"/>
      <w:r>
        <w:rPr>
          <w:rFonts w:hAnsi="宋体"/>
          <w:b/>
          <w:bCs/>
          <w:color w:val="auto"/>
          <w:kern w:val="2"/>
          <w:sz w:val="24"/>
          <w:szCs w:val="28"/>
          <w:highlight w:val="none"/>
        </w:rPr>
        <w:t>7.</w:t>
      </w:r>
      <w:r>
        <w:rPr>
          <w:rFonts w:hint="eastAsia" w:hAnsi="宋体"/>
          <w:b/>
          <w:bCs/>
          <w:color w:val="auto"/>
          <w:kern w:val="2"/>
          <w:sz w:val="24"/>
          <w:szCs w:val="28"/>
          <w:highlight w:val="none"/>
        </w:rPr>
        <w:t>合同授予</w:t>
      </w:r>
      <w:bookmarkEnd w:id="29"/>
      <w:bookmarkEnd w:id="30"/>
    </w:p>
    <w:p w14:paraId="18C81CE5">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7.1</w:t>
      </w:r>
      <w:r>
        <w:rPr>
          <w:rFonts w:hint="eastAsia" w:hAnsi="宋体"/>
          <w:b/>
          <w:bCs/>
          <w:color w:val="auto"/>
          <w:kern w:val="2"/>
          <w:szCs w:val="28"/>
          <w:highlight w:val="none"/>
        </w:rPr>
        <w:t>定标方式</w:t>
      </w:r>
    </w:p>
    <w:p w14:paraId="1579DCB8">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除供应商须知前附表规定磋商小组直接确定成交供应商外，采购人应当在收到评标报告后</w:t>
      </w:r>
      <w:r>
        <w:rPr>
          <w:rFonts w:hAnsi="宋体"/>
          <w:color w:val="auto"/>
          <w:kern w:val="2"/>
          <w:szCs w:val="24"/>
          <w:highlight w:val="none"/>
        </w:rPr>
        <w:t>5</w:t>
      </w:r>
      <w:r>
        <w:rPr>
          <w:rFonts w:hint="eastAsia" w:hAnsi="宋体"/>
          <w:color w:val="auto"/>
          <w:kern w:val="2"/>
          <w:szCs w:val="24"/>
          <w:highlight w:val="none"/>
        </w:rPr>
        <w:t>个工作日内，从评标报告提出的成交候选供应商中，按照排序由高到低的原则确定成交供应商。磋商小组推荐成交候选供应商人数见供应商须知前附表。</w:t>
      </w:r>
    </w:p>
    <w:p w14:paraId="71E30768">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7.2</w:t>
      </w:r>
      <w:r>
        <w:rPr>
          <w:rFonts w:hint="eastAsia" w:hAnsi="宋体"/>
          <w:b/>
          <w:bCs/>
          <w:color w:val="auto"/>
          <w:kern w:val="2"/>
          <w:szCs w:val="28"/>
          <w:highlight w:val="none"/>
        </w:rPr>
        <w:t>成交结果公告及成交通知书</w:t>
      </w:r>
    </w:p>
    <w:p w14:paraId="32528A46">
      <w:pPr>
        <w:spacing w:line="360" w:lineRule="auto"/>
        <w:ind w:firstLine="420" w:firstLineChars="200"/>
        <w:rPr>
          <w:rFonts w:hAnsi="宋体"/>
          <w:color w:val="auto"/>
          <w:kern w:val="2"/>
          <w:szCs w:val="24"/>
          <w:highlight w:val="none"/>
        </w:rPr>
      </w:pPr>
      <w:r>
        <w:rPr>
          <w:rFonts w:hAnsi="宋体"/>
          <w:color w:val="auto"/>
          <w:kern w:val="2"/>
          <w:szCs w:val="24"/>
          <w:highlight w:val="none"/>
        </w:rPr>
        <w:t>7.2.1</w:t>
      </w:r>
      <w:r>
        <w:rPr>
          <w:rFonts w:hint="eastAsia" w:hAnsi="宋体"/>
          <w:color w:val="auto"/>
          <w:kern w:val="2"/>
          <w:szCs w:val="24"/>
          <w:highlight w:val="none"/>
        </w:rPr>
        <w:t>采购人或者采购代理机构应当在成交供应商确定后</w:t>
      </w:r>
      <w:r>
        <w:rPr>
          <w:rFonts w:hAnsi="宋体"/>
          <w:color w:val="auto"/>
          <w:kern w:val="2"/>
          <w:szCs w:val="24"/>
          <w:highlight w:val="none"/>
        </w:rPr>
        <w:t>2</w:t>
      </w:r>
      <w:r>
        <w:rPr>
          <w:rFonts w:hint="eastAsia" w:hAnsi="宋体"/>
          <w:color w:val="auto"/>
          <w:kern w:val="2"/>
          <w:szCs w:val="24"/>
          <w:highlight w:val="none"/>
        </w:rPr>
        <w:t>个工作日内，在供应商须知前附表规定的媒体上公告成交结果，同时向成交供应商发出成交通知书，并将磋商文件随成交结果同时公告。成交结果公告期限</w:t>
      </w:r>
      <w:r>
        <w:rPr>
          <w:rFonts w:hAnsi="宋体"/>
          <w:color w:val="auto"/>
          <w:kern w:val="2"/>
          <w:szCs w:val="24"/>
          <w:highlight w:val="none"/>
        </w:rPr>
        <w:t>1</w:t>
      </w:r>
      <w:r>
        <w:rPr>
          <w:rFonts w:hint="eastAsia" w:hAnsi="宋体"/>
          <w:color w:val="auto"/>
          <w:kern w:val="2"/>
          <w:szCs w:val="24"/>
          <w:highlight w:val="none"/>
        </w:rPr>
        <w:t>个工作日。</w:t>
      </w:r>
      <w:r>
        <w:rPr>
          <w:rFonts w:hint="eastAsia" w:ascii="Times New Roman" w:hAnsi="宋体" w:eastAsia="宋体" w:cs="仿宋"/>
          <w:color w:val="auto"/>
          <w:kern w:val="2"/>
          <w:sz w:val="21"/>
          <w:szCs w:val="21"/>
          <w:highlight w:val="none"/>
          <w:lang w:val="en-US" w:eastAsia="zh-CN" w:bidi="ar"/>
        </w:rPr>
        <w:t>供应商认为成交结果公告使自己的权益受到损害的，可以在成交结果公告期限届满之日起</w:t>
      </w:r>
      <w:r>
        <w:rPr>
          <w:rFonts w:hint="default" w:ascii="Times New Roman" w:hAnsi="宋体" w:eastAsia="宋体" w:cs="仿宋"/>
          <w:color w:val="auto"/>
          <w:kern w:val="2"/>
          <w:sz w:val="21"/>
          <w:szCs w:val="21"/>
          <w:highlight w:val="none"/>
          <w:lang w:val="en-US" w:eastAsia="zh-CN" w:bidi="ar"/>
        </w:rPr>
        <w:t xml:space="preserve"> 7 </w:t>
      </w:r>
      <w:r>
        <w:rPr>
          <w:rFonts w:hint="eastAsia" w:ascii="Times New Roman" w:hAnsi="宋体" w:eastAsia="宋体" w:cs="仿宋"/>
          <w:color w:val="auto"/>
          <w:kern w:val="2"/>
          <w:sz w:val="21"/>
          <w:szCs w:val="21"/>
          <w:highlight w:val="none"/>
          <w:lang w:val="en-US" w:eastAsia="zh-CN" w:bidi="ar"/>
        </w:rPr>
        <w:t>个工作日内以书面形式向采购人或采购代理机构提出质疑，逾期将不再受理。</w:t>
      </w:r>
    </w:p>
    <w:p w14:paraId="5E347E73">
      <w:pPr>
        <w:spacing w:line="360" w:lineRule="auto"/>
        <w:ind w:firstLine="420" w:firstLineChars="200"/>
        <w:rPr>
          <w:rFonts w:hAnsi="宋体"/>
          <w:color w:val="auto"/>
          <w:kern w:val="2"/>
          <w:szCs w:val="24"/>
          <w:highlight w:val="none"/>
        </w:rPr>
      </w:pPr>
      <w:r>
        <w:rPr>
          <w:rFonts w:hAnsi="宋体"/>
          <w:color w:val="auto"/>
          <w:kern w:val="2"/>
          <w:szCs w:val="24"/>
          <w:highlight w:val="none"/>
        </w:rPr>
        <w:t>7.2.2</w:t>
      </w:r>
      <w:r>
        <w:rPr>
          <w:rFonts w:hint="eastAsia" w:hAnsi="宋体"/>
          <w:color w:val="auto"/>
          <w:kern w:val="2"/>
          <w:szCs w:val="24"/>
          <w:highlight w:val="none"/>
        </w:rPr>
        <w:t>成交通知书对采购人和成交供应商均具有法律效力。成交通知书发出后，采购人改变成交结果的，或者成交供应商放弃成交项目的，应当依法承担法律责任。</w:t>
      </w:r>
    </w:p>
    <w:p w14:paraId="792C8DAB">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7.3</w:t>
      </w:r>
      <w:r>
        <w:rPr>
          <w:rFonts w:hint="eastAsia" w:hAnsi="宋体"/>
          <w:b/>
          <w:bCs/>
          <w:color w:val="auto"/>
          <w:kern w:val="2"/>
          <w:szCs w:val="28"/>
          <w:highlight w:val="none"/>
        </w:rPr>
        <w:t>履约保证金</w:t>
      </w:r>
    </w:p>
    <w:p w14:paraId="2CE2EFCA">
      <w:pPr>
        <w:spacing w:line="360" w:lineRule="auto"/>
        <w:ind w:firstLine="420" w:firstLineChars="200"/>
        <w:rPr>
          <w:rFonts w:hAnsi="宋体"/>
          <w:color w:val="auto"/>
          <w:kern w:val="2"/>
          <w:szCs w:val="24"/>
          <w:highlight w:val="none"/>
        </w:rPr>
      </w:pPr>
      <w:r>
        <w:rPr>
          <w:rFonts w:hAnsi="宋体"/>
          <w:color w:val="auto"/>
          <w:kern w:val="2"/>
          <w:szCs w:val="24"/>
          <w:highlight w:val="none"/>
        </w:rPr>
        <w:t>7.3.1</w:t>
      </w:r>
      <w:r>
        <w:rPr>
          <w:rFonts w:hint="eastAsia" w:hAnsi="宋体"/>
          <w:color w:val="auto"/>
          <w:kern w:val="2"/>
          <w:szCs w:val="24"/>
          <w:highlight w:val="none"/>
        </w:rPr>
        <w:t>在签订合同前，成交供应商应按供应商须知前附表规定的形式、金额、格式向采购人提交履约保证金。联合体成交的，其履约保证金以联合体各方或者联合体中牵头人的名义提交。</w:t>
      </w:r>
    </w:p>
    <w:p w14:paraId="12D13A59">
      <w:pPr>
        <w:spacing w:line="360" w:lineRule="auto"/>
        <w:ind w:firstLine="420" w:firstLineChars="200"/>
        <w:rPr>
          <w:rFonts w:hAnsi="宋体"/>
          <w:color w:val="auto"/>
          <w:kern w:val="2"/>
          <w:szCs w:val="24"/>
          <w:highlight w:val="none"/>
        </w:rPr>
      </w:pPr>
      <w:r>
        <w:rPr>
          <w:rFonts w:hAnsi="宋体"/>
          <w:color w:val="auto"/>
          <w:kern w:val="2"/>
          <w:szCs w:val="24"/>
          <w:highlight w:val="none"/>
        </w:rPr>
        <w:t>7.3.2</w:t>
      </w:r>
      <w:r>
        <w:rPr>
          <w:rFonts w:hint="eastAsia" w:hAnsi="宋体"/>
          <w:color w:val="auto"/>
          <w:kern w:val="2"/>
          <w:szCs w:val="24"/>
          <w:highlight w:val="none"/>
        </w:rPr>
        <w:t>成交供应商不能按本章第</w:t>
      </w:r>
      <w:r>
        <w:rPr>
          <w:rFonts w:hAnsi="宋体"/>
          <w:color w:val="auto"/>
          <w:kern w:val="2"/>
          <w:szCs w:val="24"/>
          <w:highlight w:val="none"/>
        </w:rPr>
        <w:t>7.3.1</w:t>
      </w:r>
      <w:r>
        <w:rPr>
          <w:rFonts w:hint="eastAsia" w:hAnsi="宋体"/>
          <w:color w:val="auto"/>
          <w:kern w:val="2"/>
          <w:szCs w:val="24"/>
          <w:highlight w:val="none"/>
        </w:rPr>
        <w:t>项要求提交履约保证金的，视为放弃成交资格，其磋商保证金不予退还，给采购人造成的损失超过磋商保证金数额的，成交供应商还应当对超过部分予以赔偿。</w:t>
      </w:r>
    </w:p>
    <w:p w14:paraId="2441ABA3">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7.4</w:t>
      </w:r>
      <w:r>
        <w:rPr>
          <w:rFonts w:hint="eastAsia" w:hAnsi="宋体"/>
          <w:b/>
          <w:bCs/>
          <w:color w:val="auto"/>
          <w:kern w:val="2"/>
          <w:szCs w:val="28"/>
          <w:highlight w:val="none"/>
        </w:rPr>
        <w:t>合同签订</w:t>
      </w:r>
    </w:p>
    <w:p w14:paraId="5C525C07">
      <w:pPr>
        <w:spacing w:line="360" w:lineRule="auto"/>
        <w:ind w:firstLine="420" w:firstLineChars="200"/>
        <w:rPr>
          <w:rFonts w:hAnsi="宋体"/>
          <w:color w:val="auto"/>
          <w:kern w:val="2"/>
          <w:szCs w:val="24"/>
          <w:highlight w:val="none"/>
        </w:rPr>
      </w:pPr>
      <w:r>
        <w:rPr>
          <w:rFonts w:hAnsi="宋体"/>
          <w:color w:val="auto"/>
          <w:kern w:val="2"/>
          <w:szCs w:val="24"/>
          <w:highlight w:val="none"/>
        </w:rPr>
        <w:t>7.4.1</w:t>
      </w:r>
      <w:r>
        <w:rPr>
          <w:rFonts w:hint="eastAsia" w:hAnsi="宋体"/>
          <w:color w:val="auto"/>
          <w:kern w:val="2"/>
          <w:szCs w:val="24"/>
          <w:highlight w:val="none"/>
        </w:rPr>
        <w:t>采购人与成交供应商应当按供应商须知前附表规定的时间内，按照磋商文件确定的合同文本以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9F42DA2">
      <w:pPr>
        <w:spacing w:line="360" w:lineRule="auto"/>
        <w:ind w:firstLine="420" w:firstLineChars="200"/>
        <w:rPr>
          <w:rFonts w:hAnsi="宋体"/>
          <w:color w:val="auto"/>
          <w:kern w:val="2"/>
          <w:szCs w:val="24"/>
          <w:highlight w:val="none"/>
        </w:rPr>
      </w:pPr>
      <w:r>
        <w:rPr>
          <w:rFonts w:hAnsi="宋体"/>
          <w:color w:val="auto"/>
          <w:kern w:val="2"/>
          <w:szCs w:val="24"/>
          <w:highlight w:val="none"/>
        </w:rPr>
        <w:t>7.4.2</w:t>
      </w:r>
      <w:r>
        <w:rPr>
          <w:rFonts w:hint="eastAsia" w:hAnsi="宋体"/>
          <w:color w:val="auto"/>
          <w:kern w:val="2"/>
          <w:szCs w:val="24"/>
          <w:highlight w:val="none"/>
        </w:rPr>
        <w:t>联合体成交的，联合体各方应当共同与采购人签订合同，就成交项目向采购人承担连带责任。</w:t>
      </w:r>
    </w:p>
    <w:p w14:paraId="65136C52">
      <w:pPr>
        <w:spacing w:line="360" w:lineRule="auto"/>
        <w:ind w:firstLine="420" w:firstLineChars="200"/>
        <w:rPr>
          <w:rFonts w:hint="eastAsia" w:hAnsi="宋体"/>
          <w:color w:val="auto"/>
          <w:kern w:val="2"/>
          <w:szCs w:val="24"/>
          <w:highlight w:val="none"/>
        </w:rPr>
      </w:pPr>
      <w:r>
        <w:rPr>
          <w:rFonts w:hAnsi="宋体"/>
          <w:color w:val="auto"/>
          <w:kern w:val="2"/>
          <w:szCs w:val="24"/>
          <w:highlight w:val="none"/>
        </w:rPr>
        <w:t>7.4.3</w:t>
      </w:r>
      <w:r>
        <w:rPr>
          <w:rFonts w:hint="eastAsia" w:hAnsi="宋体"/>
          <w:color w:val="auto"/>
          <w:kern w:val="2"/>
          <w:szCs w:val="24"/>
          <w:highlight w:val="none"/>
        </w:rPr>
        <w:t>成交供应商拒绝与采购人签订合同的，采购人可以按照评标报告推荐的成交候选人名单排序，确定下一候选人为成交供应商，也可以重新开展采购活动。拒绝签订采购合同的成交供应商不得参加对该项目重新开展的采购活动。</w:t>
      </w:r>
    </w:p>
    <w:p w14:paraId="59C5A71B">
      <w:pPr>
        <w:spacing w:line="360" w:lineRule="auto"/>
        <w:ind w:firstLine="420" w:firstLineChars="200"/>
        <w:rPr>
          <w:color w:val="auto"/>
          <w:highlight w:val="none"/>
        </w:rPr>
      </w:pPr>
      <w:r>
        <w:rPr>
          <w:rFonts w:hAnsi="宋体"/>
          <w:color w:val="auto"/>
          <w:kern w:val="2"/>
          <w:szCs w:val="24"/>
          <w:highlight w:val="none"/>
        </w:rPr>
        <w:t>7.4.</w:t>
      </w:r>
      <w:r>
        <w:rPr>
          <w:rFonts w:hint="eastAsia" w:hAnsi="宋体"/>
          <w:color w:val="auto"/>
          <w:kern w:val="2"/>
          <w:szCs w:val="24"/>
          <w:highlight w:val="none"/>
          <w:lang w:val="en-US" w:eastAsia="zh-CN"/>
        </w:rPr>
        <w:t>4</w:t>
      </w:r>
      <w:r>
        <w:rPr>
          <w:rFonts w:hint="eastAsia" w:hAnsi="宋体"/>
          <w:color w:val="auto"/>
          <w:kern w:val="2"/>
          <w:szCs w:val="24"/>
          <w:highlight w:val="none"/>
        </w:rPr>
        <w:t>采购人或者采购代理机构应当</w:t>
      </w:r>
      <w:r>
        <w:rPr>
          <w:rFonts w:hint="eastAsia" w:hAnsi="宋体"/>
          <w:color w:val="auto"/>
          <w:kern w:val="2"/>
          <w:szCs w:val="24"/>
          <w:highlight w:val="none"/>
          <w:lang w:val="en-US" w:eastAsia="zh-CN"/>
        </w:rPr>
        <w:t>自采购合同签订之日起2个工作日内，将政府采购合同在广西壮族自治区政府采购网上公告，但政府采购合同中涉及国家秘密、商业秘密的内容除外。</w:t>
      </w:r>
    </w:p>
    <w:p w14:paraId="6C1E0A55">
      <w:pPr>
        <w:spacing w:line="360" w:lineRule="auto"/>
        <w:ind w:firstLine="420" w:firstLineChars="200"/>
        <w:rPr>
          <w:rFonts w:hAnsi="宋体"/>
          <w:color w:val="auto"/>
          <w:kern w:val="2"/>
          <w:szCs w:val="24"/>
          <w:highlight w:val="none"/>
        </w:rPr>
      </w:pPr>
      <w:r>
        <w:rPr>
          <w:rFonts w:hAnsi="宋体"/>
          <w:color w:val="auto"/>
          <w:kern w:val="2"/>
          <w:szCs w:val="24"/>
          <w:highlight w:val="none"/>
        </w:rPr>
        <w:t>7.4.</w:t>
      </w:r>
      <w:r>
        <w:rPr>
          <w:rFonts w:hint="eastAsia" w:hAnsi="宋体"/>
          <w:color w:val="auto"/>
          <w:kern w:val="2"/>
          <w:szCs w:val="24"/>
          <w:highlight w:val="none"/>
          <w:lang w:val="en-US" w:eastAsia="zh-CN"/>
        </w:rPr>
        <w:t>5</w:t>
      </w:r>
      <w:r>
        <w:rPr>
          <w:rFonts w:hint="eastAsia" w:hAnsi="宋体"/>
          <w:color w:val="auto"/>
          <w:kern w:val="2"/>
          <w:szCs w:val="24"/>
          <w:highlight w:val="none"/>
        </w:rPr>
        <w:t>合同履行中，采购人需追加与合同标的相同的货物、工程或者服务的，在不改变合同其他条款的前提下，可以与供应商协商签订补充合同，但所有补充合同的采购金额不得超过原合同采购金额的百分之十。</w:t>
      </w:r>
    </w:p>
    <w:p w14:paraId="32C376A3">
      <w:pPr>
        <w:keepNext/>
        <w:keepLines/>
        <w:spacing w:line="360" w:lineRule="auto"/>
        <w:outlineLvl w:val="2"/>
        <w:rPr>
          <w:rFonts w:hAnsi="宋体"/>
          <w:b/>
          <w:bCs/>
          <w:color w:val="auto"/>
          <w:kern w:val="2"/>
          <w:sz w:val="24"/>
          <w:szCs w:val="28"/>
          <w:highlight w:val="none"/>
        </w:rPr>
      </w:pPr>
      <w:bookmarkStart w:id="31" w:name="_Toc533783516"/>
      <w:bookmarkStart w:id="32" w:name="_Toc533781564"/>
      <w:r>
        <w:rPr>
          <w:rFonts w:hAnsi="宋体"/>
          <w:b/>
          <w:bCs/>
          <w:color w:val="auto"/>
          <w:kern w:val="2"/>
          <w:sz w:val="24"/>
          <w:szCs w:val="28"/>
          <w:highlight w:val="none"/>
        </w:rPr>
        <w:t>8.</w:t>
      </w:r>
      <w:r>
        <w:rPr>
          <w:rFonts w:hint="eastAsia" w:hAnsi="宋体"/>
          <w:b/>
          <w:bCs/>
          <w:color w:val="auto"/>
          <w:kern w:val="2"/>
          <w:sz w:val="24"/>
          <w:szCs w:val="28"/>
          <w:highlight w:val="none"/>
        </w:rPr>
        <w:t>重新采购</w:t>
      </w:r>
      <w:bookmarkEnd w:id="31"/>
      <w:bookmarkEnd w:id="32"/>
    </w:p>
    <w:p w14:paraId="2E36A2D1">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有下列情形之一的，采购人将重新开展采购活动：</w:t>
      </w:r>
    </w:p>
    <w:p w14:paraId="4B8121A5">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1</w:t>
      </w:r>
      <w:r>
        <w:rPr>
          <w:rFonts w:hint="eastAsia" w:hAnsi="宋体"/>
          <w:color w:val="auto"/>
          <w:kern w:val="2"/>
          <w:szCs w:val="24"/>
          <w:highlight w:val="none"/>
        </w:rPr>
        <w:t>）在采购过程中符合要求的供应商或者报价未超过采购预算的供应商不足</w:t>
      </w:r>
      <w:r>
        <w:rPr>
          <w:rFonts w:hAnsi="宋体"/>
          <w:color w:val="auto"/>
          <w:kern w:val="2"/>
          <w:szCs w:val="24"/>
          <w:highlight w:val="none"/>
        </w:rPr>
        <w:t>3</w:t>
      </w:r>
      <w:r>
        <w:rPr>
          <w:rFonts w:hint="eastAsia" w:hAnsi="宋体"/>
          <w:color w:val="auto"/>
          <w:kern w:val="2"/>
          <w:szCs w:val="24"/>
          <w:highlight w:val="none"/>
        </w:rPr>
        <w:t>家的（根据《政府采购竞争性磋商采购方式管理暂行办法》第二十一条第三款规定，市场竞争不充分的科研项目，以及需要扶持的科技成果转化项目，提交最后报价的供应商可以为</w:t>
      </w:r>
      <w:r>
        <w:rPr>
          <w:rFonts w:hAnsi="宋体"/>
          <w:color w:val="auto"/>
          <w:kern w:val="2"/>
          <w:szCs w:val="24"/>
          <w:highlight w:val="none"/>
        </w:rPr>
        <w:t>2</w:t>
      </w:r>
      <w:r>
        <w:rPr>
          <w:rFonts w:hint="eastAsia" w:hAnsi="宋体"/>
          <w:color w:val="auto"/>
          <w:kern w:val="2"/>
          <w:szCs w:val="24"/>
          <w:highlight w:val="none"/>
        </w:rPr>
        <w:t>家）。</w:t>
      </w:r>
    </w:p>
    <w:p w14:paraId="38175648">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2</w:t>
      </w:r>
      <w:r>
        <w:rPr>
          <w:rFonts w:hint="eastAsia" w:hAnsi="宋体"/>
          <w:color w:val="auto"/>
          <w:kern w:val="2"/>
          <w:szCs w:val="24"/>
          <w:highlight w:val="none"/>
        </w:rPr>
        <w:t>）其他有关法规和文件规定的应当重新开展采购活动的情形。</w:t>
      </w:r>
    </w:p>
    <w:p w14:paraId="06E3FF71">
      <w:pPr>
        <w:keepNext/>
        <w:keepLines/>
        <w:spacing w:line="360" w:lineRule="auto"/>
        <w:outlineLvl w:val="2"/>
        <w:rPr>
          <w:rFonts w:hAnsi="宋体"/>
          <w:b/>
          <w:bCs/>
          <w:color w:val="auto"/>
          <w:kern w:val="2"/>
          <w:sz w:val="24"/>
          <w:szCs w:val="28"/>
          <w:highlight w:val="none"/>
        </w:rPr>
      </w:pPr>
      <w:bookmarkStart w:id="33" w:name="_Toc533781565"/>
      <w:bookmarkStart w:id="34" w:name="_Toc533783517"/>
      <w:r>
        <w:rPr>
          <w:rFonts w:hAnsi="宋体"/>
          <w:b/>
          <w:bCs/>
          <w:color w:val="auto"/>
          <w:kern w:val="2"/>
          <w:sz w:val="24"/>
          <w:szCs w:val="28"/>
          <w:highlight w:val="none"/>
        </w:rPr>
        <w:t>9.</w:t>
      </w:r>
      <w:r>
        <w:rPr>
          <w:rFonts w:hint="eastAsia" w:hAnsi="宋体"/>
          <w:b/>
          <w:bCs/>
          <w:color w:val="auto"/>
          <w:kern w:val="2"/>
          <w:sz w:val="24"/>
          <w:szCs w:val="28"/>
          <w:highlight w:val="none"/>
        </w:rPr>
        <w:t>纪律和监督</w:t>
      </w:r>
      <w:bookmarkEnd w:id="33"/>
      <w:bookmarkEnd w:id="34"/>
    </w:p>
    <w:p w14:paraId="533E929A">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9.1</w:t>
      </w:r>
      <w:r>
        <w:rPr>
          <w:rFonts w:hint="eastAsia" w:hAnsi="宋体"/>
          <w:b/>
          <w:bCs/>
          <w:color w:val="auto"/>
          <w:kern w:val="2"/>
          <w:szCs w:val="28"/>
          <w:highlight w:val="none"/>
        </w:rPr>
        <w:t>对采购人的纪律要求</w:t>
      </w:r>
    </w:p>
    <w:p w14:paraId="6A58E5A9">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采购人不得泄漏政府采购活动中应当保密的情况和资料，不得与供应商串通损害国家利益、社会公共利益或者他人合法权益。</w:t>
      </w:r>
    </w:p>
    <w:p w14:paraId="5E75B52D">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9.2</w:t>
      </w:r>
      <w:r>
        <w:rPr>
          <w:rFonts w:hint="eastAsia" w:hAnsi="宋体"/>
          <w:b/>
          <w:bCs/>
          <w:color w:val="auto"/>
          <w:kern w:val="2"/>
          <w:szCs w:val="28"/>
          <w:highlight w:val="none"/>
        </w:rPr>
        <w:t>对供应商的纪律要求</w:t>
      </w:r>
    </w:p>
    <w:p w14:paraId="7009DA07">
      <w:pPr>
        <w:spacing w:line="360" w:lineRule="auto"/>
        <w:ind w:firstLine="420" w:firstLineChars="200"/>
        <w:rPr>
          <w:rFonts w:hAnsi="宋体"/>
          <w:color w:val="auto"/>
          <w:kern w:val="2"/>
          <w:szCs w:val="24"/>
          <w:highlight w:val="none"/>
        </w:rPr>
      </w:pPr>
      <w:r>
        <w:rPr>
          <w:rFonts w:hAnsi="宋体"/>
          <w:color w:val="auto"/>
          <w:kern w:val="2"/>
          <w:szCs w:val="24"/>
          <w:highlight w:val="none"/>
        </w:rPr>
        <w:t>9.2.1</w:t>
      </w:r>
      <w:r>
        <w:rPr>
          <w:rFonts w:hint="eastAsia" w:hAnsi="宋体"/>
          <w:color w:val="auto"/>
          <w:kern w:val="2"/>
          <w:szCs w:val="24"/>
          <w:highlight w:val="none"/>
        </w:rPr>
        <w:t>供应商不得相互串通投标或者与采购人或采购代理机构串通投标，不得向采购人、采购代理机构或者磋商小组成员行贿谋取成交，不得采取不正当手段诋毁、排挤其他供应商，不得以他人名义投标或者以其他方式弄虚作假骗取成交；供应商不得以任何方式干扰、影响评标工作。</w:t>
      </w:r>
    </w:p>
    <w:p w14:paraId="1C8093A5">
      <w:pPr>
        <w:spacing w:line="360" w:lineRule="auto"/>
        <w:ind w:firstLine="420" w:firstLineChars="200"/>
        <w:rPr>
          <w:rFonts w:hAnsi="宋体"/>
          <w:color w:val="auto"/>
          <w:kern w:val="2"/>
          <w:szCs w:val="24"/>
          <w:highlight w:val="none"/>
        </w:rPr>
      </w:pPr>
      <w:r>
        <w:rPr>
          <w:rFonts w:hAnsi="宋体"/>
          <w:color w:val="auto"/>
          <w:kern w:val="2"/>
          <w:szCs w:val="24"/>
          <w:highlight w:val="none"/>
        </w:rPr>
        <w:t>9.2.2</w:t>
      </w:r>
      <w:r>
        <w:rPr>
          <w:rFonts w:hint="eastAsia" w:hAnsi="宋体"/>
          <w:color w:val="auto"/>
          <w:kern w:val="2"/>
          <w:szCs w:val="24"/>
          <w:highlight w:val="none"/>
        </w:rPr>
        <w:t>供应商不得向采购人或磋商小组成员或其他有关人员索问评标过程的情况和材料。</w:t>
      </w:r>
    </w:p>
    <w:p w14:paraId="76CB1DA4">
      <w:pPr>
        <w:spacing w:line="360" w:lineRule="auto"/>
        <w:ind w:firstLine="420" w:firstLineChars="200"/>
        <w:rPr>
          <w:rFonts w:hAnsi="宋体"/>
          <w:color w:val="auto"/>
          <w:kern w:val="2"/>
          <w:szCs w:val="24"/>
          <w:highlight w:val="none"/>
        </w:rPr>
      </w:pPr>
      <w:r>
        <w:rPr>
          <w:rFonts w:hAnsi="宋体"/>
          <w:color w:val="auto"/>
          <w:kern w:val="2"/>
          <w:szCs w:val="24"/>
          <w:highlight w:val="none"/>
        </w:rPr>
        <w:t>9.2.3</w:t>
      </w:r>
      <w:r>
        <w:rPr>
          <w:rFonts w:hint="eastAsia" w:hAnsi="宋体"/>
          <w:color w:val="auto"/>
          <w:kern w:val="2"/>
          <w:szCs w:val="24"/>
          <w:highlight w:val="none"/>
        </w:rPr>
        <w:t>有下列情形之一的视为供应商相互串通竞标，其响应文件按无效处理：</w:t>
      </w:r>
    </w:p>
    <w:p w14:paraId="343DCD67">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1</w:t>
      </w:r>
      <w:r>
        <w:rPr>
          <w:rFonts w:hint="eastAsia" w:hAnsi="宋体"/>
          <w:color w:val="auto"/>
          <w:kern w:val="2"/>
          <w:szCs w:val="24"/>
          <w:highlight w:val="none"/>
        </w:rPr>
        <w:t>）不同供应商的响应文件由同一单位或者个人编制；或不同供应商报名的</w:t>
      </w:r>
      <w:r>
        <w:rPr>
          <w:rFonts w:hAnsi="宋体"/>
          <w:color w:val="auto"/>
          <w:kern w:val="2"/>
          <w:szCs w:val="24"/>
          <w:highlight w:val="none"/>
        </w:rPr>
        <w:t>IP</w:t>
      </w:r>
      <w:r>
        <w:rPr>
          <w:rFonts w:hint="eastAsia" w:hAnsi="宋体"/>
          <w:color w:val="auto"/>
          <w:kern w:val="2"/>
          <w:szCs w:val="24"/>
          <w:highlight w:val="none"/>
        </w:rPr>
        <w:t>地址一致的；</w:t>
      </w:r>
    </w:p>
    <w:p w14:paraId="42AEB847">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2</w:t>
      </w:r>
      <w:r>
        <w:rPr>
          <w:rFonts w:hint="eastAsia" w:hAnsi="宋体"/>
          <w:color w:val="auto"/>
          <w:kern w:val="2"/>
          <w:szCs w:val="24"/>
          <w:highlight w:val="none"/>
        </w:rPr>
        <w:t>）不同供应商委托同一单位或者个人办理投标事宜的；</w:t>
      </w:r>
    </w:p>
    <w:p w14:paraId="011595B3">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3</w:t>
      </w:r>
      <w:r>
        <w:rPr>
          <w:rFonts w:hint="eastAsia" w:hAnsi="宋体"/>
          <w:color w:val="auto"/>
          <w:kern w:val="2"/>
          <w:szCs w:val="24"/>
          <w:highlight w:val="none"/>
        </w:rPr>
        <w:t>）不同的供应商响应文件载明的项目管理员为同一人；</w:t>
      </w:r>
    </w:p>
    <w:p w14:paraId="115ABC71">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4</w:t>
      </w:r>
      <w:r>
        <w:rPr>
          <w:rFonts w:hint="eastAsia" w:hAnsi="宋体"/>
          <w:color w:val="auto"/>
          <w:kern w:val="2"/>
          <w:szCs w:val="24"/>
          <w:highlight w:val="none"/>
        </w:rPr>
        <w:t>）不同供应商的响应文件异常一致或磋商报价呈规律性差异；</w:t>
      </w:r>
    </w:p>
    <w:p w14:paraId="21EEE644">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5</w:t>
      </w:r>
      <w:r>
        <w:rPr>
          <w:rFonts w:hint="eastAsia" w:hAnsi="宋体"/>
          <w:color w:val="auto"/>
          <w:kern w:val="2"/>
          <w:szCs w:val="24"/>
          <w:highlight w:val="none"/>
        </w:rPr>
        <w:t>）不同供应商的响应文件相互混装；</w:t>
      </w:r>
    </w:p>
    <w:p w14:paraId="5F85CE95">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6</w:t>
      </w:r>
      <w:r>
        <w:rPr>
          <w:rFonts w:hint="eastAsia" w:hAnsi="宋体"/>
          <w:color w:val="auto"/>
          <w:kern w:val="2"/>
          <w:szCs w:val="24"/>
          <w:highlight w:val="none"/>
        </w:rPr>
        <w:t>）不同供应商的磋商保证金从同一单位或者个人账户转出；</w:t>
      </w:r>
    </w:p>
    <w:p w14:paraId="49404272">
      <w:pPr>
        <w:spacing w:line="360" w:lineRule="auto"/>
        <w:ind w:firstLine="420" w:firstLineChars="200"/>
        <w:rPr>
          <w:rFonts w:hAnsi="宋体"/>
          <w:color w:val="auto"/>
          <w:kern w:val="2"/>
          <w:szCs w:val="24"/>
          <w:highlight w:val="none"/>
        </w:rPr>
      </w:pPr>
      <w:r>
        <w:rPr>
          <w:rFonts w:hAnsi="宋体"/>
          <w:color w:val="auto"/>
          <w:kern w:val="2"/>
          <w:szCs w:val="24"/>
          <w:highlight w:val="none"/>
        </w:rPr>
        <w:t>9.2.4</w:t>
      </w:r>
      <w:r>
        <w:rPr>
          <w:rFonts w:hint="eastAsia" w:hAnsi="宋体"/>
          <w:color w:val="auto"/>
          <w:kern w:val="2"/>
          <w:szCs w:val="24"/>
          <w:highlight w:val="none"/>
        </w:rPr>
        <w:t>有下列情形之一的，属于恶意串通，对供应商依照政府采购法第七十七条第一款的规定追究法律责任：</w:t>
      </w:r>
    </w:p>
    <w:p w14:paraId="706AFF28">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1</w:t>
      </w:r>
      <w:r>
        <w:rPr>
          <w:rFonts w:hint="eastAsia" w:hAnsi="宋体"/>
          <w:color w:val="auto"/>
          <w:kern w:val="2"/>
          <w:szCs w:val="24"/>
          <w:highlight w:val="none"/>
        </w:rPr>
        <w:t>）供应商直接或间接从采购人或者代理机构处获得其他供应商的相关信息并修改其响应文件；</w:t>
      </w:r>
    </w:p>
    <w:p w14:paraId="4963949A">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2</w:t>
      </w:r>
      <w:r>
        <w:rPr>
          <w:rFonts w:hint="eastAsia" w:hAnsi="宋体"/>
          <w:color w:val="auto"/>
          <w:kern w:val="2"/>
          <w:szCs w:val="24"/>
          <w:highlight w:val="none"/>
        </w:rPr>
        <w:t>）供应商按照采购人或者采购代理机构的授意撤换、修改响应文件；</w:t>
      </w:r>
    </w:p>
    <w:p w14:paraId="6DB94291">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3</w:t>
      </w:r>
      <w:r>
        <w:rPr>
          <w:rFonts w:hint="eastAsia" w:hAnsi="宋体"/>
          <w:color w:val="auto"/>
          <w:kern w:val="2"/>
          <w:szCs w:val="24"/>
          <w:highlight w:val="none"/>
        </w:rPr>
        <w:t>）供应商之间协商报价、技术方案等响应文件的实质性内容；</w:t>
      </w:r>
    </w:p>
    <w:p w14:paraId="0C499B05">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4</w:t>
      </w:r>
      <w:r>
        <w:rPr>
          <w:rFonts w:hint="eastAsia" w:hAnsi="宋体"/>
          <w:color w:val="auto"/>
          <w:kern w:val="2"/>
          <w:szCs w:val="24"/>
          <w:highlight w:val="none"/>
        </w:rPr>
        <w:t>）属于同一集团、协会、商会等组织成员的供应商按照组织要求协同参加政府采购活动；</w:t>
      </w:r>
    </w:p>
    <w:p w14:paraId="3E069C94">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5</w:t>
      </w:r>
      <w:r>
        <w:rPr>
          <w:rFonts w:hint="eastAsia" w:hAnsi="宋体"/>
          <w:color w:val="auto"/>
          <w:kern w:val="2"/>
          <w:szCs w:val="24"/>
          <w:highlight w:val="none"/>
        </w:rPr>
        <w:t>）供应商之间事先约定一致抬高或者压低磋商报价，或者在采购项目中事先约定轮流以高价或者低价成交，或者事先约定由某一特定供应商成交，然后再参加投标；</w:t>
      </w:r>
    </w:p>
    <w:p w14:paraId="777B3DB6">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6</w:t>
      </w:r>
      <w:r>
        <w:rPr>
          <w:rFonts w:hint="eastAsia" w:hAnsi="宋体"/>
          <w:color w:val="auto"/>
          <w:kern w:val="2"/>
          <w:szCs w:val="24"/>
          <w:highlight w:val="none"/>
        </w:rPr>
        <w:t>）供应商之间商定部分供应商放弃参加政府采购活动或放弃成交；</w:t>
      </w:r>
    </w:p>
    <w:p w14:paraId="1E8342A7">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7</w:t>
      </w:r>
      <w:r>
        <w:rPr>
          <w:rFonts w:hint="eastAsia" w:hAnsi="宋体"/>
          <w:color w:val="auto"/>
          <w:kern w:val="2"/>
          <w:szCs w:val="24"/>
          <w:highlight w:val="none"/>
        </w:rPr>
        <w:t>）供应商与采购人或采购代理机构之间、供应商相互之间，为谋定特定供应商成交或排斥其他供应商的其他串通行为。</w:t>
      </w:r>
    </w:p>
    <w:p w14:paraId="3E73FBCD">
      <w:pPr>
        <w:spacing w:line="360" w:lineRule="auto"/>
        <w:ind w:firstLine="420" w:firstLineChars="200"/>
        <w:rPr>
          <w:rFonts w:hAnsi="宋体"/>
          <w:color w:val="auto"/>
          <w:kern w:val="2"/>
          <w:szCs w:val="24"/>
          <w:highlight w:val="none"/>
        </w:rPr>
      </w:pPr>
      <w:r>
        <w:rPr>
          <w:rFonts w:hAnsi="宋体"/>
          <w:color w:val="auto"/>
          <w:kern w:val="2"/>
          <w:szCs w:val="24"/>
          <w:highlight w:val="none"/>
        </w:rPr>
        <w:t>9.2.4</w:t>
      </w:r>
      <w:r>
        <w:rPr>
          <w:rFonts w:hint="eastAsia" w:hAnsi="宋体"/>
          <w:color w:val="auto"/>
          <w:kern w:val="2"/>
          <w:szCs w:val="24"/>
          <w:highlight w:val="none"/>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50D53FA">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（一）提供虚假材料谋取中标、成交的；</w:t>
      </w:r>
    </w:p>
    <w:p w14:paraId="03C13828">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（二）采取不正当手段诋毁、排挤其他供应商的；</w:t>
      </w:r>
    </w:p>
    <w:p w14:paraId="116ED5DF">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（三）与采购人、其他供应商或者采购代理机构恶意串通的；</w:t>
      </w:r>
    </w:p>
    <w:p w14:paraId="7C14C8AE">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（四）向采购人、采购代理机构行贿或者提供其他不正当利益的；</w:t>
      </w:r>
    </w:p>
    <w:p w14:paraId="7852407C">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（五）在招标采购过程中与采购人进行协商谈判的；</w:t>
      </w:r>
    </w:p>
    <w:p w14:paraId="5F398C55">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（六）拒绝有关部门监督检查或者提供虚假情况的。</w:t>
      </w:r>
    </w:p>
    <w:p w14:paraId="267BE19D">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9.3</w:t>
      </w:r>
      <w:r>
        <w:rPr>
          <w:rFonts w:hint="eastAsia" w:hAnsi="宋体"/>
          <w:b/>
          <w:bCs/>
          <w:color w:val="auto"/>
          <w:kern w:val="2"/>
          <w:szCs w:val="28"/>
          <w:highlight w:val="none"/>
        </w:rPr>
        <w:t>对磋商小组成员的纪律要求</w:t>
      </w:r>
    </w:p>
    <w:p w14:paraId="7B25FB1C">
      <w:pPr>
        <w:spacing w:line="360" w:lineRule="auto"/>
        <w:ind w:firstLine="420" w:firstLineChars="200"/>
        <w:rPr>
          <w:rFonts w:hAnsi="宋体"/>
          <w:color w:val="auto"/>
          <w:kern w:val="2"/>
          <w:szCs w:val="24"/>
          <w:highlight w:val="none"/>
        </w:rPr>
      </w:pPr>
      <w:r>
        <w:rPr>
          <w:rFonts w:hAnsi="宋体"/>
          <w:color w:val="auto"/>
          <w:kern w:val="2"/>
          <w:szCs w:val="24"/>
          <w:highlight w:val="none"/>
        </w:rPr>
        <w:t>9.3.1</w:t>
      </w:r>
      <w:r>
        <w:rPr>
          <w:rFonts w:hint="eastAsia" w:hAnsi="宋体"/>
          <w:color w:val="auto"/>
          <w:kern w:val="2"/>
          <w:szCs w:val="24"/>
          <w:highlight w:val="none"/>
        </w:rPr>
        <w:t>磋商小组成员应当按照客观、公正、审慎的原则，根据磋商文件规定的评审程序、评审方法和评审标准进行独立评审。磋商文件内容违反国家有关强制性规定的，磋商小组应当停止评审并向采购人或者采购代理机构说明情况。</w:t>
      </w:r>
    </w:p>
    <w:p w14:paraId="6B04D818">
      <w:pPr>
        <w:spacing w:line="360" w:lineRule="auto"/>
        <w:ind w:firstLine="420" w:firstLineChars="200"/>
        <w:rPr>
          <w:rFonts w:hAnsi="宋体"/>
          <w:color w:val="auto"/>
          <w:kern w:val="2"/>
          <w:szCs w:val="24"/>
          <w:highlight w:val="none"/>
        </w:rPr>
      </w:pPr>
      <w:r>
        <w:rPr>
          <w:rFonts w:hAnsi="宋体"/>
          <w:color w:val="auto"/>
          <w:kern w:val="2"/>
          <w:szCs w:val="24"/>
          <w:highlight w:val="none"/>
        </w:rPr>
        <w:t>9.3.2</w:t>
      </w:r>
      <w:r>
        <w:rPr>
          <w:rFonts w:hint="eastAsia" w:hAnsi="宋体"/>
          <w:color w:val="auto"/>
          <w:kern w:val="2"/>
          <w:szCs w:val="24"/>
          <w:highlight w:val="none"/>
        </w:rPr>
        <w:t>磋商小组应当遵守评审工作纪律，不得泄露评审文件、评审情况和评审中获悉的商业秘密。磋商小组在评审过程中发现供应商有行贿、提供虚假材料或者串通等违法行为的，应当及时向有关部门报告。</w:t>
      </w:r>
    </w:p>
    <w:p w14:paraId="2EFCD4A7">
      <w:pPr>
        <w:spacing w:line="360" w:lineRule="auto"/>
        <w:ind w:firstLine="420" w:firstLineChars="200"/>
        <w:rPr>
          <w:rFonts w:hAnsi="宋体"/>
          <w:color w:val="auto"/>
          <w:kern w:val="2"/>
          <w:szCs w:val="24"/>
          <w:highlight w:val="none"/>
        </w:rPr>
      </w:pPr>
      <w:r>
        <w:rPr>
          <w:rFonts w:hAnsi="宋体"/>
          <w:color w:val="auto"/>
          <w:kern w:val="2"/>
          <w:szCs w:val="24"/>
          <w:highlight w:val="none"/>
        </w:rPr>
        <w:t>9.3.3</w:t>
      </w:r>
      <w:r>
        <w:rPr>
          <w:rFonts w:hint="eastAsia" w:hAnsi="宋体"/>
          <w:color w:val="auto"/>
          <w:kern w:val="2"/>
          <w:szCs w:val="24"/>
          <w:highlight w:val="none"/>
        </w:rPr>
        <w:t>磋商小组成员未完成评审工作擅自离开评审现场</w:t>
      </w:r>
      <w:r>
        <w:rPr>
          <w:rFonts w:hAnsi="宋体"/>
          <w:color w:val="auto"/>
          <w:kern w:val="2"/>
          <w:szCs w:val="24"/>
          <w:highlight w:val="none"/>
        </w:rPr>
        <w:t>,</w:t>
      </w:r>
      <w:r>
        <w:rPr>
          <w:rFonts w:hint="eastAsia" w:hAnsi="宋体"/>
          <w:color w:val="auto"/>
          <w:kern w:val="2"/>
          <w:szCs w:val="24"/>
          <w:highlight w:val="none"/>
        </w:rPr>
        <w:t>或者在评审活动中有违法违规行为的</w:t>
      </w:r>
      <w:r>
        <w:rPr>
          <w:rFonts w:hAnsi="宋体"/>
          <w:color w:val="auto"/>
          <w:kern w:val="2"/>
          <w:szCs w:val="24"/>
          <w:highlight w:val="none"/>
        </w:rPr>
        <w:t>,</w:t>
      </w:r>
      <w:r>
        <w:rPr>
          <w:rFonts w:hint="eastAsia" w:hAnsi="宋体"/>
          <w:color w:val="auto"/>
          <w:kern w:val="2"/>
          <w:szCs w:val="24"/>
          <w:highlight w:val="none"/>
        </w:rPr>
        <w:t>不得获取劳务报酬和报销异地评审差旅费。</w:t>
      </w:r>
    </w:p>
    <w:p w14:paraId="7F2D1164">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9.4</w:t>
      </w:r>
      <w:r>
        <w:rPr>
          <w:rFonts w:hint="eastAsia" w:hAnsi="宋体"/>
          <w:b/>
          <w:bCs/>
          <w:color w:val="auto"/>
          <w:kern w:val="2"/>
          <w:szCs w:val="28"/>
          <w:highlight w:val="none"/>
        </w:rPr>
        <w:t>对与评标活动有关的工作人员的纪律要求</w:t>
      </w:r>
    </w:p>
    <w:p w14:paraId="10E3F639">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与评标活动有关的工作人员不得收受他人的财物或者其他好处，不得泄露评审文件、评审情况和评审中获悉的商业秘密。在评标活动中，与评标活动有关的工作人员不得擅离职守，影响评标程序正常进行。</w:t>
      </w:r>
    </w:p>
    <w:p w14:paraId="4A7802EC">
      <w:pPr>
        <w:keepNext/>
        <w:keepLines/>
        <w:spacing w:line="360" w:lineRule="auto"/>
        <w:outlineLvl w:val="2"/>
        <w:rPr>
          <w:rFonts w:hAnsi="宋体"/>
          <w:b/>
          <w:bCs/>
          <w:color w:val="auto"/>
          <w:kern w:val="2"/>
          <w:sz w:val="24"/>
          <w:szCs w:val="28"/>
          <w:highlight w:val="none"/>
        </w:rPr>
      </w:pPr>
      <w:bookmarkStart w:id="35" w:name="_Toc533783518"/>
      <w:bookmarkStart w:id="36" w:name="_Toc533781566"/>
      <w:r>
        <w:rPr>
          <w:rFonts w:hAnsi="宋体"/>
          <w:b/>
          <w:bCs/>
          <w:color w:val="auto"/>
          <w:kern w:val="2"/>
          <w:sz w:val="24"/>
          <w:szCs w:val="28"/>
          <w:highlight w:val="none"/>
        </w:rPr>
        <w:t>10</w:t>
      </w:r>
      <w:r>
        <w:rPr>
          <w:rFonts w:hint="eastAsia" w:hAnsi="宋体"/>
          <w:b/>
          <w:bCs/>
          <w:color w:val="auto"/>
          <w:kern w:val="2"/>
          <w:sz w:val="24"/>
          <w:szCs w:val="28"/>
          <w:highlight w:val="none"/>
        </w:rPr>
        <w:t>质疑和投诉</w:t>
      </w:r>
      <w:bookmarkEnd w:id="35"/>
      <w:bookmarkEnd w:id="36"/>
    </w:p>
    <w:p w14:paraId="42CCEECE">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10.1</w:t>
      </w:r>
      <w:r>
        <w:rPr>
          <w:rFonts w:hint="eastAsia" w:hAnsi="宋体"/>
          <w:b/>
          <w:bCs/>
          <w:color w:val="auto"/>
          <w:kern w:val="2"/>
          <w:szCs w:val="28"/>
          <w:highlight w:val="none"/>
        </w:rPr>
        <w:t>询问</w:t>
      </w:r>
    </w:p>
    <w:p w14:paraId="6C638860">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供应商对政府采购活动事项有疑问的，可以向采购人提出询问，采购人应当及时作出答复，但答复的内容不得涉及商业秘密。采购人或者采购代理机构应当在</w:t>
      </w:r>
      <w:r>
        <w:rPr>
          <w:rFonts w:hAnsi="宋体"/>
          <w:color w:val="auto"/>
          <w:kern w:val="2"/>
          <w:szCs w:val="24"/>
          <w:highlight w:val="none"/>
        </w:rPr>
        <w:t>3</w:t>
      </w:r>
      <w:r>
        <w:rPr>
          <w:rFonts w:hint="eastAsia" w:hAnsi="宋体"/>
          <w:color w:val="auto"/>
          <w:kern w:val="2"/>
          <w:szCs w:val="24"/>
          <w:highlight w:val="none"/>
        </w:rPr>
        <w:t>个工作日内对供应商依法提出的询问作出答复。</w:t>
      </w:r>
    </w:p>
    <w:p w14:paraId="73724400">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10.2</w:t>
      </w:r>
      <w:r>
        <w:rPr>
          <w:rFonts w:hint="eastAsia" w:hAnsi="宋体"/>
          <w:b/>
          <w:bCs/>
          <w:color w:val="auto"/>
          <w:kern w:val="2"/>
          <w:szCs w:val="28"/>
          <w:highlight w:val="none"/>
        </w:rPr>
        <w:t>质疑</w:t>
      </w:r>
    </w:p>
    <w:p w14:paraId="53A58FC3">
      <w:pPr>
        <w:spacing w:line="360" w:lineRule="auto"/>
        <w:ind w:firstLine="420" w:firstLineChars="200"/>
        <w:rPr>
          <w:rFonts w:hAnsi="宋体"/>
          <w:color w:val="auto"/>
          <w:kern w:val="2"/>
          <w:szCs w:val="24"/>
          <w:highlight w:val="none"/>
        </w:rPr>
      </w:pPr>
      <w:r>
        <w:rPr>
          <w:rFonts w:hAnsi="宋体"/>
          <w:color w:val="auto"/>
          <w:kern w:val="2"/>
          <w:szCs w:val="24"/>
          <w:highlight w:val="none"/>
        </w:rPr>
        <w:t>10.2.1</w:t>
      </w:r>
      <w:r>
        <w:rPr>
          <w:rFonts w:hint="eastAsia" w:hAnsi="宋体"/>
          <w:color w:val="auto"/>
          <w:kern w:val="2"/>
          <w:szCs w:val="24"/>
          <w:highlight w:val="none"/>
        </w:rPr>
        <w:t>供应商认为磋商文件、采购过程和成交结果使自己的权益受到损害的，可以在知道或者应知其权益受到损害之日起七个工作日内，以书面形式向采购人提出质疑。质疑受理部门及质疑函接收方式见供应商须知前附表。</w:t>
      </w:r>
    </w:p>
    <w:p w14:paraId="35478AA6">
      <w:pPr>
        <w:spacing w:line="360" w:lineRule="auto"/>
        <w:ind w:firstLine="420" w:firstLineChars="200"/>
        <w:rPr>
          <w:rFonts w:hAnsi="宋体"/>
          <w:color w:val="auto"/>
          <w:kern w:val="2"/>
          <w:szCs w:val="24"/>
          <w:highlight w:val="none"/>
        </w:rPr>
      </w:pPr>
      <w:r>
        <w:rPr>
          <w:rFonts w:hAnsi="宋体"/>
          <w:color w:val="auto"/>
          <w:kern w:val="2"/>
          <w:szCs w:val="24"/>
          <w:highlight w:val="none"/>
        </w:rPr>
        <w:t>10.2.2</w:t>
      </w:r>
      <w:r>
        <w:rPr>
          <w:rFonts w:hint="eastAsia" w:hAnsi="宋体"/>
          <w:color w:val="auto"/>
          <w:kern w:val="2"/>
          <w:szCs w:val="24"/>
          <w:highlight w:val="none"/>
        </w:rPr>
        <w:t>供应商应知其权益受到损害之日，是指：</w:t>
      </w:r>
    </w:p>
    <w:p w14:paraId="7218962E">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1</w:t>
      </w:r>
      <w:r>
        <w:rPr>
          <w:rFonts w:hint="eastAsia" w:hAnsi="宋体"/>
          <w:color w:val="auto"/>
          <w:kern w:val="2"/>
          <w:szCs w:val="24"/>
          <w:highlight w:val="none"/>
        </w:rPr>
        <w:t>）对可以质疑的磋商文件提出质疑的，为收到磋商文件之日或者磋商文件公告期限届满之日；</w:t>
      </w:r>
    </w:p>
    <w:p w14:paraId="1C459309">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2</w:t>
      </w:r>
      <w:r>
        <w:rPr>
          <w:rFonts w:hint="eastAsia" w:hAnsi="宋体"/>
          <w:color w:val="auto"/>
          <w:kern w:val="2"/>
          <w:szCs w:val="24"/>
          <w:highlight w:val="none"/>
        </w:rPr>
        <w:t>）对采购过程提出质疑的，为各采购程序环节结束之日；</w:t>
      </w:r>
    </w:p>
    <w:p w14:paraId="2FA26F37">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3</w:t>
      </w:r>
      <w:r>
        <w:rPr>
          <w:rFonts w:hint="eastAsia" w:hAnsi="宋体"/>
          <w:color w:val="auto"/>
          <w:kern w:val="2"/>
          <w:szCs w:val="24"/>
          <w:highlight w:val="none"/>
        </w:rPr>
        <w:t>）对成交结果提出质疑的，为成交结果公告期限届满之日。</w:t>
      </w:r>
    </w:p>
    <w:p w14:paraId="2886C67E">
      <w:pPr>
        <w:spacing w:line="360" w:lineRule="auto"/>
        <w:ind w:firstLine="420" w:firstLineChars="200"/>
        <w:rPr>
          <w:rFonts w:hAnsi="宋体"/>
          <w:color w:val="auto"/>
          <w:kern w:val="2"/>
          <w:szCs w:val="24"/>
          <w:highlight w:val="none"/>
        </w:rPr>
      </w:pPr>
      <w:r>
        <w:rPr>
          <w:rFonts w:hAnsi="宋体"/>
          <w:color w:val="auto"/>
          <w:kern w:val="2"/>
          <w:szCs w:val="24"/>
          <w:highlight w:val="none"/>
        </w:rPr>
        <w:t>10.2.3</w:t>
      </w:r>
      <w:r>
        <w:rPr>
          <w:rFonts w:hint="eastAsia" w:hAnsi="宋体"/>
          <w:color w:val="auto"/>
          <w:kern w:val="2"/>
          <w:szCs w:val="24"/>
          <w:highlight w:val="none"/>
        </w:rPr>
        <w:t>提出质疑的供应商应当是参与所质疑项目采购活动的供应商。质疑供应商应当在法定质疑期内一次性提出针对同一采购程序环节的质疑。</w:t>
      </w:r>
    </w:p>
    <w:p w14:paraId="40E6F9A2">
      <w:pPr>
        <w:spacing w:line="360" w:lineRule="exact"/>
        <w:ind w:firstLine="315" w:firstLineChars="150"/>
        <w:rPr>
          <w:rFonts w:hAnsi="宋体"/>
          <w:color w:val="auto"/>
          <w:kern w:val="2"/>
          <w:szCs w:val="24"/>
          <w:highlight w:val="none"/>
        </w:rPr>
      </w:pPr>
      <w:r>
        <w:rPr>
          <w:rFonts w:hAnsi="宋体"/>
          <w:color w:val="auto"/>
          <w:kern w:val="2"/>
          <w:szCs w:val="24"/>
          <w:highlight w:val="none"/>
        </w:rPr>
        <w:t>10.2.4</w:t>
      </w:r>
      <w:r>
        <w:rPr>
          <w:rFonts w:hint="eastAsia" w:hAnsi="宋体"/>
          <w:color w:val="auto"/>
          <w:kern w:val="2"/>
          <w:szCs w:val="24"/>
          <w:highlight w:val="none"/>
        </w:rPr>
        <w:t>供应商提出质疑应当提交质疑函和必要的证明材料。质疑函应当包括下列内容：</w:t>
      </w:r>
    </w:p>
    <w:p w14:paraId="0032976A">
      <w:pPr>
        <w:spacing w:line="360" w:lineRule="exact"/>
        <w:ind w:firstLine="315" w:firstLineChars="150"/>
        <w:rPr>
          <w:rFonts w:hAnsi="宋体"/>
          <w:color w:val="auto"/>
          <w:kern w:val="2"/>
          <w:szCs w:val="24"/>
          <w:highlight w:val="none"/>
        </w:rPr>
      </w:pPr>
      <w:r>
        <w:rPr>
          <w:rFonts w:hint="eastAsia" w:hAnsi="宋体"/>
          <w:color w:val="auto"/>
          <w:kern w:val="2"/>
          <w:szCs w:val="24"/>
          <w:highlight w:val="none"/>
        </w:rPr>
        <w:t>（一）供应商的姓名或者名称、地址、邮编、联系人及联系电话；</w:t>
      </w:r>
    </w:p>
    <w:p w14:paraId="0139751B">
      <w:pPr>
        <w:spacing w:line="360" w:lineRule="exact"/>
        <w:ind w:firstLine="315" w:firstLineChars="150"/>
        <w:rPr>
          <w:rFonts w:hAnsi="宋体"/>
          <w:color w:val="auto"/>
          <w:kern w:val="2"/>
          <w:szCs w:val="24"/>
          <w:highlight w:val="none"/>
        </w:rPr>
      </w:pPr>
      <w:r>
        <w:rPr>
          <w:rFonts w:hint="eastAsia" w:hAnsi="宋体"/>
          <w:color w:val="auto"/>
          <w:kern w:val="2"/>
          <w:szCs w:val="24"/>
          <w:highlight w:val="none"/>
        </w:rPr>
        <w:t>（二）质疑项目的名称、编号；</w:t>
      </w:r>
    </w:p>
    <w:p w14:paraId="489317D6">
      <w:pPr>
        <w:spacing w:line="360" w:lineRule="exact"/>
        <w:ind w:firstLine="315" w:firstLineChars="150"/>
        <w:rPr>
          <w:rFonts w:hAnsi="宋体"/>
          <w:color w:val="auto"/>
          <w:kern w:val="2"/>
          <w:szCs w:val="24"/>
          <w:highlight w:val="none"/>
        </w:rPr>
      </w:pPr>
      <w:r>
        <w:rPr>
          <w:rFonts w:hint="eastAsia" w:hAnsi="宋体"/>
          <w:color w:val="auto"/>
          <w:kern w:val="2"/>
          <w:szCs w:val="24"/>
          <w:highlight w:val="none"/>
        </w:rPr>
        <w:t>（三）具体、明确的质疑事项和与质疑事项相关的请求；</w:t>
      </w:r>
    </w:p>
    <w:p w14:paraId="7AFE18E7">
      <w:pPr>
        <w:spacing w:line="360" w:lineRule="exact"/>
        <w:ind w:firstLine="315" w:firstLineChars="150"/>
        <w:rPr>
          <w:rFonts w:hAnsi="宋体"/>
          <w:color w:val="auto"/>
          <w:kern w:val="2"/>
          <w:szCs w:val="24"/>
          <w:highlight w:val="none"/>
        </w:rPr>
      </w:pPr>
      <w:r>
        <w:rPr>
          <w:rFonts w:hint="eastAsia" w:hAnsi="宋体"/>
          <w:color w:val="auto"/>
          <w:kern w:val="2"/>
          <w:szCs w:val="24"/>
          <w:highlight w:val="none"/>
        </w:rPr>
        <w:t>（四）事实依据；</w:t>
      </w:r>
    </w:p>
    <w:p w14:paraId="326ABF2F">
      <w:pPr>
        <w:spacing w:line="360" w:lineRule="exact"/>
        <w:ind w:firstLine="315" w:firstLineChars="150"/>
        <w:rPr>
          <w:rFonts w:hAnsi="宋体"/>
          <w:color w:val="auto"/>
          <w:kern w:val="2"/>
          <w:szCs w:val="24"/>
          <w:highlight w:val="none"/>
        </w:rPr>
      </w:pPr>
      <w:r>
        <w:rPr>
          <w:rFonts w:hint="eastAsia" w:hAnsi="宋体"/>
          <w:color w:val="auto"/>
          <w:kern w:val="2"/>
          <w:szCs w:val="24"/>
          <w:highlight w:val="none"/>
        </w:rPr>
        <w:t>（五）必要的法律依据；</w:t>
      </w:r>
    </w:p>
    <w:p w14:paraId="794D7C35">
      <w:pPr>
        <w:spacing w:line="360" w:lineRule="exact"/>
        <w:ind w:firstLine="315" w:firstLineChars="150"/>
        <w:rPr>
          <w:rFonts w:hAnsi="宋体"/>
          <w:color w:val="auto"/>
          <w:kern w:val="2"/>
          <w:szCs w:val="24"/>
          <w:highlight w:val="none"/>
        </w:rPr>
      </w:pPr>
      <w:r>
        <w:rPr>
          <w:rFonts w:hint="eastAsia" w:hAnsi="宋体"/>
          <w:color w:val="auto"/>
          <w:kern w:val="2"/>
          <w:szCs w:val="24"/>
          <w:highlight w:val="none"/>
        </w:rPr>
        <w:t>（六）提出质疑的日期。</w:t>
      </w:r>
    </w:p>
    <w:p w14:paraId="48B73CE8">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供应商为自然人的，应当由本人签字；供应商为法人或者其他组织的，应当由法定代表人、主要负责人，或者其授权代表签字或者盖章，并加盖公章。</w:t>
      </w:r>
    </w:p>
    <w:p w14:paraId="1B803FE8">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10.3</w:t>
      </w:r>
      <w:r>
        <w:rPr>
          <w:rFonts w:hint="eastAsia" w:hAnsi="宋体"/>
          <w:b/>
          <w:bCs/>
          <w:color w:val="auto"/>
          <w:kern w:val="2"/>
          <w:szCs w:val="28"/>
          <w:highlight w:val="none"/>
        </w:rPr>
        <w:t>投诉</w:t>
      </w:r>
    </w:p>
    <w:p w14:paraId="2780477E">
      <w:pPr>
        <w:spacing w:line="360" w:lineRule="auto"/>
        <w:ind w:firstLine="420" w:firstLineChars="200"/>
        <w:rPr>
          <w:rFonts w:hAnsi="宋体"/>
          <w:color w:val="auto"/>
          <w:kern w:val="2"/>
          <w:szCs w:val="24"/>
          <w:highlight w:val="none"/>
        </w:rPr>
      </w:pPr>
      <w:r>
        <w:rPr>
          <w:rFonts w:hAnsi="宋体"/>
          <w:color w:val="auto"/>
          <w:kern w:val="2"/>
          <w:szCs w:val="24"/>
          <w:highlight w:val="none"/>
        </w:rPr>
        <w:t>10.3.1</w:t>
      </w:r>
      <w:r>
        <w:rPr>
          <w:rFonts w:hint="eastAsia" w:hAnsi="宋体"/>
          <w:color w:val="auto"/>
          <w:kern w:val="2"/>
          <w:szCs w:val="24"/>
          <w:highlight w:val="none"/>
        </w:rPr>
        <w:t>质疑供应商对采购人、采购代理机构的答复不满意，或者采购人、采购代理机构未在规定时间内作出答复的，可以在答复期满后</w:t>
      </w:r>
      <w:r>
        <w:rPr>
          <w:rFonts w:hAnsi="宋体"/>
          <w:color w:val="auto"/>
          <w:kern w:val="2"/>
          <w:szCs w:val="24"/>
          <w:highlight w:val="none"/>
        </w:rPr>
        <w:t>15</w:t>
      </w:r>
      <w:r>
        <w:rPr>
          <w:rFonts w:hint="eastAsia" w:hAnsi="宋体"/>
          <w:color w:val="auto"/>
          <w:kern w:val="2"/>
          <w:szCs w:val="24"/>
          <w:highlight w:val="none"/>
        </w:rPr>
        <w:t>个工作日内向供应商须知前附表规定的投诉受理部门提起投诉。</w:t>
      </w:r>
    </w:p>
    <w:p w14:paraId="6F983540">
      <w:pPr>
        <w:spacing w:line="360" w:lineRule="auto"/>
        <w:ind w:firstLine="420" w:firstLineChars="200"/>
        <w:rPr>
          <w:rFonts w:hAnsi="宋体"/>
          <w:color w:val="auto"/>
          <w:kern w:val="2"/>
          <w:szCs w:val="24"/>
          <w:highlight w:val="none"/>
        </w:rPr>
      </w:pPr>
      <w:r>
        <w:rPr>
          <w:rFonts w:hAnsi="宋体"/>
          <w:color w:val="auto"/>
          <w:kern w:val="2"/>
          <w:szCs w:val="24"/>
          <w:highlight w:val="none"/>
        </w:rPr>
        <w:t>10.3.2</w:t>
      </w:r>
      <w:r>
        <w:rPr>
          <w:rFonts w:hint="eastAsia" w:hAnsi="宋体"/>
          <w:color w:val="auto"/>
          <w:kern w:val="2"/>
          <w:szCs w:val="24"/>
          <w:highlight w:val="none"/>
        </w:rPr>
        <w:t>投诉人提起投诉应当符合下列条件：</w:t>
      </w:r>
    </w:p>
    <w:p w14:paraId="0535DD6D">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1</w:t>
      </w:r>
      <w:r>
        <w:rPr>
          <w:rFonts w:hint="eastAsia" w:hAnsi="宋体"/>
          <w:color w:val="auto"/>
          <w:kern w:val="2"/>
          <w:szCs w:val="24"/>
          <w:highlight w:val="none"/>
        </w:rPr>
        <w:t>）提起投诉前已依法进行质疑；</w:t>
      </w:r>
    </w:p>
    <w:p w14:paraId="2C6B4F59">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2</w:t>
      </w:r>
      <w:r>
        <w:rPr>
          <w:rFonts w:hint="eastAsia" w:hAnsi="宋体"/>
          <w:color w:val="auto"/>
          <w:kern w:val="2"/>
          <w:szCs w:val="24"/>
          <w:highlight w:val="none"/>
        </w:rPr>
        <w:t>）投诉书内容符合《政府采购质疑和投诉办法》（财政部令第</w:t>
      </w:r>
      <w:r>
        <w:rPr>
          <w:rFonts w:hAnsi="宋体"/>
          <w:color w:val="auto"/>
          <w:kern w:val="2"/>
          <w:szCs w:val="24"/>
          <w:highlight w:val="none"/>
        </w:rPr>
        <w:t>94</w:t>
      </w:r>
      <w:r>
        <w:rPr>
          <w:rFonts w:hint="eastAsia" w:hAnsi="宋体"/>
          <w:color w:val="auto"/>
          <w:kern w:val="2"/>
          <w:szCs w:val="24"/>
          <w:highlight w:val="none"/>
        </w:rPr>
        <w:t>号）的规定；</w:t>
      </w:r>
    </w:p>
    <w:p w14:paraId="3299DE77">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3</w:t>
      </w:r>
      <w:r>
        <w:rPr>
          <w:rFonts w:hint="eastAsia" w:hAnsi="宋体"/>
          <w:color w:val="auto"/>
          <w:kern w:val="2"/>
          <w:szCs w:val="24"/>
          <w:highlight w:val="none"/>
        </w:rPr>
        <w:t>）在投诉有效期限内提起投诉；</w:t>
      </w:r>
    </w:p>
    <w:p w14:paraId="40A10ACE">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4</w:t>
      </w:r>
      <w:r>
        <w:rPr>
          <w:rFonts w:hint="eastAsia" w:hAnsi="宋体"/>
          <w:color w:val="auto"/>
          <w:kern w:val="2"/>
          <w:szCs w:val="24"/>
          <w:highlight w:val="none"/>
        </w:rPr>
        <w:t>）同一投诉事项未经财政部门投诉处理；</w:t>
      </w:r>
    </w:p>
    <w:p w14:paraId="61824BAC">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5</w:t>
      </w:r>
      <w:r>
        <w:rPr>
          <w:rFonts w:hint="eastAsia" w:hAnsi="宋体"/>
          <w:color w:val="auto"/>
          <w:kern w:val="2"/>
          <w:szCs w:val="24"/>
          <w:highlight w:val="none"/>
        </w:rPr>
        <w:t>）财政部规定的其他条件。</w:t>
      </w:r>
    </w:p>
    <w:p w14:paraId="24E2950E">
      <w:pPr>
        <w:spacing w:line="360" w:lineRule="auto"/>
        <w:ind w:firstLine="420" w:firstLineChars="200"/>
        <w:rPr>
          <w:rFonts w:hAnsi="宋体"/>
          <w:color w:val="auto"/>
          <w:kern w:val="2"/>
          <w:szCs w:val="24"/>
          <w:highlight w:val="none"/>
        </w:rPr>
      </w:pPr>
      <w:r>
        <w:rPr>
          <w:rFonts w:hAnsi="宋体"/>
          <w:color w:val="auto"/>
          <w:kern w:val="2"/>
          <w:szCs w:val="24"/>
          <w:highlight w:val="none"/>
        </w:rPr>
        <w:t>10.3.3</w:t>
      </w:r>
      <w:r>
        <w:rPr>
          <w:rFonts w:hint="eastAsia" w:hAnsi="宋体"/>
          <w:color w:val="auto"/>
          <w:kern w:val="2"/>
          <w:szCs w:val="24"/>
          <w:highlight w:val="none"/>
        </w:rPr>
        <w:t>投诉人投诉时</w:t>
      </w:r>
      <w:r>
        <w:rPr>
          <w:rFonts w:hAnsi="宋体"/>
          <w:color w:val="auto"/>
          <w:kern w:val="2"/>
          <w:szCs w:val="24"/>
          <w:highlight w:val="none"/>
        </w:rPr>
        <w:t>,</w:t>
      </w:r>
      <w:r>
        <w:rPr>
          <w:rFonts w:hint="eastAsia" w:hAnsi="宋体"/>
          <w:color w:val="auto"/>
          <w:kern w:val="2"/>
          <w:szCs w:val="24"/>
          <w:highlight w:val="none"/>
        </w:rPr>
        <w:t>应当提交投诉书和必要的证明材料，并按照被投诉采购人、采购代理机构（以下简称被投诉人）和与投诉事项有关的供应商数量提供投诉书的副本。投诉书应当包括下列内容：</w:t>
      </w:r>
    </w:p>
    <w:p w14:paraId="326F52B7">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（一）投诉人和被投诉人的姓名或者名称、通讯地址、邮编、联系人及联系电话；</w:t>
      </w:r>
    </w:p>
    <w:p w14:paraId="1699223C">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（二）质疑和质疑答复情况说明及相关证明材料；</w:t>
      </w:r>
    </w:p>
    <w:p w14:paraId="28DF1B4C">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（三）具体、明确的投诉事项和与投诉事项相关的投诉请求；</w:t>
      </w:r>
    </w:p>
    <w:p w14:paraId="102375EC">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（四）事实依据；</w:t>
      </w:r>
    </w:p>
    <w:p w14:paraId="4B6396E8">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（五）法律依据；</w:t>
      </w:r>
    </w:p>
    <w:p w14:paraId="78096480">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（六）提起投诉的日期。</w:t>
      </w:r>
    </w:p>
    <w:p w14:paraId="4FE6A8F8">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投诉人为自然人的，应当由本人签字；投诉人为法人或者其他组织的，应当由法定代表人、主要负责人，或者其授权代表签字或者盖章，并加盖公章。</w:t>
      </w:r>
    </w:p>
    <w:p w14:paraId="191836A6">
      <w:pPr>
        <w:keepNext/>
        <w:keepLines/>
        <w:spacing w:line="360" w:lineRule="auto"/>
        <w:outlineLvl w:val="2"/>
        <w:rPr>
          <w:rFonts w:hAnsi="宋体"/>
          <w:b/>
          <w:bCs/>
          <w:color w:val="auto"/>
          <w:kern w:val="2"/>
          <w:sz w:val="24"/>
          <w:szCs w:val="28"/>
          <w:highlight w:val="none"/>
        </w:rPr>
      </w:pPr>
      <w:bookmarkStart w:id="37" w:name="_Toc533781567"/>
      <w:bookmarkStart w:id="38" w:name="_Toc533783519"/>
      <w:r>
        <w:rPr>
          <w:rFonts w:hAnsi="宋体"/>
          <w:b/>
          <w:bCs/>
          <w:color w:val="auto"/>
          <w:kern w:val="2"/>
          <w:sz w:val="24"/>
          <w:szCs w:val="28"/>
          <w:highlight w:val="none"/>
        </w:rPr>
        <w:t>11.</w:t>
      </w:r>
      <w:r>
        <w:rPr>
          <w:rFonts w:hint="eastAsia" w:hAnsi="宋体"/>
          <w:b/>
          <w:bCs/>
          <w:color w:val="auto"/>
          <w:kern w:val="2"/>
          <w:sz w:val="24"/>
          <w:szCs w:val="28"/>
          <w:highlight w:val="none"/>
        </w:rPr>
        <w:t>其他补充内容</w:t>
      </w:r>
      <w:bookmarkEnd w:id="37"/>
      <w:bookmarkEnd w:id="38"/>
    </w:p>
    <w:p w14:paraId="43FFDF0D">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见供应商须知前附表。</w:t>
      </w:r>
    </w:p>
    <w:p w14:paraId="2D9C5C57">
      <w:pPr>
        <w:pStyle w:val="2"/>
        <w:rPr>
          <w:rFonts w:hint="eastAsia" w:hAnsi="宋体"/>
          <w:color w:val="auto"/>
          <w:kern w:val="2"/>
          <w:szCs w:val="24"/>
          <w:highlight w:val="none"/>
        </w:rPr>
      </w:pPr>
    </w:p>
    <w:p w14:paraId="701B63D9">
      <w:pPr>
        <w:pStyle w:val="2"/>
        <w:rPr>
          <w:rFonts w:hint="eastAsia" w:hAnsi="宋体"/>
          <w:color w:val="auto"/>
          <w:kern w:val="2"/>
          <w:szCs w:val="24"/>
          <w:highlight w:val="none"/>
        </w:rPr>
      </w:pPr>
    </w:p>
    <w:p w14:paraId="1AFF67F0">
      <w:pPr>
        <w:pStyle w:val="43"/>
        <w:keepNext w:val="0"/>
        <w:keepLines w:val="0"/>
        <w:widowControl w:val="0"/>
        <w:suppressLineNumbers w:val="0"/>
        <w:spacing w:before="0" w:beforeAutospacing="0" w:after="120" w:afterAutospacing="0"/>
        <w:ind w:left="0" w:right="0"/>
        <w:jc w:val="both"/>
        <w:rPr>
          <w:rFonts w:hint="eastAsia" w:ascii="宋体" w:hAnsi="宋体" w:eastAsia="宋体" w:cs="宋体"/>
          <w:b/>
          <w:bCs w:val="0"/>
          <w:color w:val="auto"/>
          <w:kern w:val="2"/>
          <w:sz w:val="21"/>
          <w:szCs w:val="24"/>
          <w:highlight w:val="none"/>
          <w:lang w:val="en-US" w:eastAsia="zh-CN" w:bidi="ar"/>
        </w:rPr>
      </w:pPr>
    </w:p>
    <w:p w14:paraId="4E782CA6">
      <w:pPr>
        <w:pStyle w:val="43"/>
        <w:keepNext w:val="0"/>
        <w:keepLines w:val="0"/>
        <w:widowControl w:val="0"/>
        <w:suppressLineNumbers w:val="0"/>
        <w:spacing w:before="0" w:beforeAutospacing="0" w:after="120" w:afterAutospacing="0"/>
        <w:ind w:left="0" w:right="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1"/>
          <w:szCs w:val="24"/>
          <w:highlight w:val="none"/>
          <w:lang w:val="en-US" w:eastAsia="zh-CN" w:bidi="ar"/>
        </w:rPr>
        <w:t>附件1：</w:t>
      </w:r>
    </w:p>
    <w:p w14:paraId="1FBB91A2">
      <w:pPr>
        <w:keepNext w:val="0"/>
        <w:keepLines w:val="0"/>
        <w:widowControl w:val="0"/>
        <w:suppressLineNumbers w:val="0"/>
        <w:spacing w:before="0" w:beforeAutospacing="0" w:after="0" w:afterAutospacing="0"/>
        <w:ind w:left="0" w:right="0"/>
        <w:jc w:val="center"/>
        <w:outlineLvl w:val="0"/>
        <w:rPr>
          <w:rFonts w:hint="eastAsia" w:ascii="宋体" w:hAnsi="宋体" w:eastAsia="宋体" w:cs="宋体"/>
          <w:b/>
          <w:bCs/>
          <w:color w:val="auto"/>
          <w:sz w:val="44"/>
          <w:szCs w:val="44"/>
          <w:highlight w:val="none"/>
          <w:lang w:val="en-US"/>
        </w:rPr>
      </w:pPr>
      <w:r>
        <w:rPr>
          <w:rFonts w:hint="eastAsia" w:ascii="宋体" w:hAnsi="宋体" w:eastAsia="宋体" w:cs="宋体"/>
          <w:b/>
          <w:bCs/>
          <w:color w:val="auto"/>
          <w:kern w:val="2"/>
          <w:sz w:val="44"/>
          <w:szCs w:val="44"/>
          <w:highlight w:val="none"/>
          <w:lang w:val="en-US" w:eastAsia="zh-CN" w:bidi="ar"/>
        </w:rPr>
        <w:t>“政采贷”政策告知函</w:t>
      </w:r>
    </w:p>
    <w:p w14:paraId="35939167">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各供应商:</w:t>
      </w:r>
    </w:p>
    <w:p w14:paraId="2AE0C0F3">
      <w:pPr>
        <w:keepNext w:val="0"/>
        <w:keepLines w:val="0"/>
        <w:widowControl w:val="0"/>
        <w:suppressLineNumbers w:val="0"/>
        <w:spacing w:before="0" w:beforeAutospacing="0" w:after="0" w:afterAutospacing="0" w:line="460" w:lineRule="exact"/>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欢迎贵公司参与贺州市政府采购活动!</w:t>
      </w:r>
    </w:p>
    <w:p w14:paraId="14284CDF">
      <w:pPr>
        <w:keepNext w:val="0"/>
        <w:keepLines w:val="0"/>
        <w:widowControl/>
        <w:suppressLineNumbers w:val="0"/>
        <w:adjustRightInd w:val="0"/>
        <w:snapToGrid w:val="0"/>
        <w:spacing w:before="0" w:beforeAutospacing="0" w:after="0" w:afterAutospacing="0" w:line="460" w:lineRule="exact"/>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金融机构核实信息，按照双方自愿的原则提供便捷、优惠的贷款服务。</w:t>
      </w:r>
    </w:p>
    <w:p w14:paraId="5C610FAB">
      <w:pPr>
        <w:keepNext w:val="0"/>
        <w:keepLines w:val="0"/>
        <w:widowControl/>
        <w:suppressLineNumbers w:val="0"/>
        <w:adjustRightInd w:val="0"/>
        <w:snapToGrid w:val="0"/>
        <w:spacing w:before="0" w:beforeAutospacing="0" w:after="0" w:afterAutospacing="0" w:line="460" w:lineRule="exact"/>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一、“政采贷”操作流程</w:t>
      </w:r>
    </w:p>
    <w:p w14:paraId="44805E2A">
      <w:pPr>
        <w:keepNext w:val="0"/>
        <w:keepLines w:val="0"/>
        <w:widowControl/>
        <w:suppressLineNumbers w:val="0"/>
        <w:adjustRightInd w:val="0"/>
        <w:snapToGrid w:val="0"/>
        <w:spacing w:before="0" w:beforeAutospacing="0" w:after="0" w:afterAutospacing="0" w:line="460" w:lineRule="exact"/>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进入“广西政府采购网”（</w:t>
      </w:r>
      <w:r>
        <w:rPr>
          <w:rFonts w:hint="eastAsia" w:ascii="宋体" w:hAnsi="宋体" w:eastAsia="宋体" w:cs="宋体"/>
          <w:color w:val="auto"/>
          <w:kern w:val="2"/>
          <w:sz w:val="21"/>
          <w:szCs w:val="21"/>
          <w:highlight w:val="none"/>
          <w:lang w:val="en-US" w:eastAsia="zh-CN" w:bidi="ar"/>
        </w:rPr>
        <w:fldChar w:fldCharType="begin"/>
      </w:r>
      <w:r>
        <w:rPr>
          <w:rFonts w:hint="eastAsia" w:ascii="宋体" w:hAnsi="宋体" w:eastAsia="宋体" w:cs="宋体"/>
          <w:color w:val="auto"/>
          <w:kern w:val="2"/>
          <w:sz w:val="21"/>
          <w:szCs w:val="21"/>
          <w:highlight w:val="none"/>
          <w:lang w:val="en-US" w:eastAsia="zh-CN" w:bidi="ar"/>
        </w:rPr>
        <w:instrText xml:space="preserve"> HYPERLINK "http://zfcg.gxzf.gov.cn/" </w:instrText>
      </w:r>
      <w:r>
        <w:rPr>
          <w:rFonts w:hint="eastAsia" w:ascii="宋体" w:hAnsi="宋体" w:eastAsia="宋体" w:cs="宋体"/>
          <w:color w:val="auto"/>
          <w:kern w:val="2"/>
          <w:sz w:val="21"/>
          <w:szCs w:val="21"/>
          <w:highlight w:val="none"/>
          <w:lang w:val="en-US" w:eastAsia="zh-CN" w:bidi="ar"/>
        </w:rPr>
        <w:fldChar w:fldCharType="separate"/>
      </w:r>
      <w:r>
        <w:rPr>
          <w:rStyle w:val="56"/>
          <w:rFonts w:hint="eastAsia" w:ascii="宋体" w:hAnsi="宋体" w:eastAsia="宋体" w:cs="宋体"/>
          <w:color w:val="auto"/>
          <w:szCs w:val="21"/>
          <w:highlight w:val="none"/>
          <w:u w:val="none"/>
          <w:lang w:val="en-US"/>
        </w:rPr>
        <w:t>http://zfcg.gxzf.gov.cn/</w:t>
      </w:r>
      <w:r>
        <w:rPr>
          <w:rFonts w:hint="eastAsia" w:ascii="宋体" w:hAnsi="宋体" w:eastAsia="宋体" w:cs="宋体"/>
          <w:color w:val="auto"/>
          <w:kern w:val="2"/>
          <w:sz w:val="21"/>
          <w:szCs w:val="21"/>
          <w:highlight w:val="none"/>
          <w:lang w:val="en-US" w:eastAsia="zh-CN" w:bidi="ar"/>
        </w:rPr>
        <w:fldChar w:fldCharType="end"/>
      </w:r>
      <w:r>
        <w:rPr>
          <w:rFonts w:hint="eastAsia" w:ascii="宋体" w:hAnsi="宋体" w:eastAsia="宋体" w:cs="宋体"/>
          <w:color w:val="auto"/>
          <w:kern w:val="2"/>
          <w:sz w:val="21"/>
          <w:szCs w:val="21"/>
          <w:highlight w:val="none"/>
          <w:lang w:val="en-US" w:eastAsia="zh-CN" w:bidi="ar"/>
        </w:rPr>
        <w:t>）“办事指南”专栏找到“金融融资”板块，进入“广西政府采购金融服务平台”登录，选择试点银行机构进行合同融资预申请。（详情请按照《贺州市财政局关于进一步推行“政采贷”工作的通知》（贺财采〔2024〕3号）文件执行）</w:t>
      </w:r>
    </w:p>
    <w:p w14:paraId="0A18CD7F">
      <w:pPr>
        <w:keepNext w:val="0"/>
        <w:keepLines w:val="0"/>
        <w:widowControl/>
        <w:suppressLineNumbers w:val="0"/>
        <w:adjustRightInd w:val="0"/>
        <w:snapToGrid w:val="0"/>
        <w:spacing w:before="0" w:beforeAutospacing="0" w:after="0" w:afterAutospacing="0" w:line="460" w:lineRule="exact"/>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二、承接银行联系方式</w:t>
      </w:r>
    </w:p>
    <w:p w14:paraId="114AD32F">
      <w:pPr>
        <w:keepNext w:val="0"/>
        <w:keepLines w:val="0"/>
        <w:widowControl/>
        <w:suppressLineNumbers w:val="0"/>
        <w:adjustRightInd w:val="0"/>
        <w:snapToGrid w:val="0"/>
        <w:spacing w:before="0" w:beforeAutospacing="0" w:after="0" w:afterAutospacing="0" w:line="460" w:lineRule="exact"/>
        <w:ind w:left="0" w:right="0" w:firstLine="420" w:firstLineChars="200"/>
        <w:jc w:val="both"/>
        <w:rPr>
          <w:rFonts w:hint="eastAsia" w:ascii="宋体" w:hAnsi="宋体" w:eastAsia="宋体" w:cs="黑体"/>
          <w:color w:val="auto"/>
          <w:szCs w:val="21"/>
          <w:highlight w:val="none"/>
          <w:lang w:val="en-US"/>
        </w:rPr>
      </w:pPr>
      <w:r>
        <w:rPr>
          <w:rFonts w:hint="eastAsia" w:ascii="宋体" w:hAnsi="宋体" w:eastAsia="宋体" w:cs="黑体"/>
          <w:color w:val="auto"/>
          <w:kern w:val="2"/>
          <w:sz w:val="21"/>
          <w:szCs w:val="21"/>
          <w:highlight w:val="none"/>
          <w:lang w:val="en-US" w:eastAsia="zh-CN" w:bidi="ar"/>
        </w:rPr>
        <w:t>1.中国建设银行贺州分行</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0"/>
        <w:gridCol w:w="2360"/>
        <w:gridCol w:w="1172"/>
        <w:gridCol w:w="1137"/>
        <w:gridCol w:w="1570"/>
        <w:gridCol w:w="2837"/>
      </w:tblGrid>
      <w:tr w14:paraId="150F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46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F85AD43">
            <w:pPr>
              <w:keepNext w:val="0"/>
              <w:keepLines w:val="0"/>
              <w:widowControl/>
              <w:suppressLineNumbers w:val="0"/>
              <w:tabs>
                <w:tab w:val="left" w:pos="2172"/>
              </w:tabs>
              <w:adjustRightInd w:val="0"/>
              <w:snapToGrid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0"/>
                <w:sz w:val="21"/>
                <w:szCs w:val="21"/>
                <w:highlight w:val="none"/>
                <w:lang w:val="en-US" w:eastAsia="zh-CN" w:bidi="ar"/>
              </w:rPr>
              <w:t>中国建设银行贺州分行 总协调人：杨宏毅  职务：公司业务部副总经理  手机号码：18077397188</w:t>
            </w:r>
          </w:p>
        </w:tc>
      </w:tr>
      <w:tr w14:paraId="196B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auto" w:sz="4" w:space="0"/>
              <w:left w:val="single" w:color="auto" w:sz="4" w:space="0"/>
              <w:bottom w:val="single" w:color="auto" w:sz="4" w:space="0"/>
              <w:right w:val="single" w:color="auto" w:sz="4" w:space="0"/>
            </w:tcBorders>
            <w:shd w:val="clear" w:color="auto" w:fill="auto"/>
            <w:vAlign w:val="center"/>
          </w:tcPr>
          <w:p w14:paraId="71801E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rPr>
            </w:pPr>
            <w:r>
              <w:rPr>
                <w:rFonts w:hint="eastAsia" w:ascii="宋体" w:hAnsi="宋体" w:eastAsia="宋体" w:cs="宋体"/>
                <w:b/>
                <w:bCs w:val="0"/>
                <w:color w:val="auto"/>
                <w:kern w:val="0"/>
                <w:sz w:val="21"/>
                <w:szCs w:val="21"/>
                <w:highlight w:val="none"/>
                <w:lang w:val="en-US" w:eastAsia="zh-CN" w:bidi="ar"/>
              </w:rPr>
              <w:t>序号</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14:paraId="30AEC227">
            <w:pPr>
              <w:keepNext w:val="0"/>
              <w:keepLines w:val="0"/>
              <w:widowControl/>
              <w:suppressLineNumbers w:val="0"/>
              <w:tabs>
                <w:tab w:val="left" w:pos="2172"/>
              </w:tabs>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金融机构</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428152CD">
            <w:pPr>
              <w:keepNext w:val="0"/>
              <w:keepLines w:val="0"/>
              <w:widowControl/>
              <w:suppressLineNumbers w:val="0"/>
              <w:tabs>
                <w:tab w:val="left" w:pos="2172"/>
              </w:tabs>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联系人</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7ADD57D9">
            <w:pPr>
              <w:keepNext w:val="0"/>
              <w:keepLines w:val="0"/>
              <w:widowControl/>
              <w:suppressLineNumbers w:val="0"/>
              <w:tabs>
                <w:tab w:val="left" w:pos="2172"/>
              </w:tabs>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职务</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14:paraId="587B8D03">
            <w:pPr>
              <w:keepNext w:val="0"/>
              <w:keepLines w:val="0"/>
              <w:widowControl/>
              <w:suppressLineNumbers w:val="0"/>
              <w:tabs>
                <w:tab w:val="left" w:pos="2172"/>
              </w:tabs>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手机号码</w:t>
            </w: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14:paraId="6605B40A">
            <w:pPr>
              <w:keepNext w:val="0"/>
              <w:keepLines w:val="0"/>
              <w:widowControl/>
              <w:suppressLineNumbers w:val="0"/>
              <w:tabs>
                <w:tab w:val="left" w:pos="2172"/>
              </w:tabs>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银行地址</w:t>
            </w:r>
          </w:p>
        </w:tc>
      </w:tr>
      <w:tr w14:paraId="44C6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auto" w:sz="4" w:space="0"/>
              <w:left w:val="single" w:color="auto" w:sz="4" w:space="0"/>
              <w:bottom w:val="single" w:color="auto" w:sz="4" w:space="0"/>
              <w:right w:val="single" w:color="auto" w:sz="4" w:space="0"/>
            </w:tcBorders>
            <w:shd w:val="clear" w:color="auto" w:fill="auto"/>
            <w:vAlign w:val="center"/>
          </w:tcPr>
          <w:p w14:paraId="2CAD0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rPr>
            </w:pPr>
            <w:r>
              <w:rPr>
                <w:rFonts w:hint="eastAsia" w:ascii="宋体" w:hAnsi="宋体" w:eastAsia="宋体" w:cs="宋体"/>
                <w:color w:val="auto"/>
                <w:kern w:val="0"/>
                <w:sz w:val="21"/>
                <w:szCs w:val="21"/>
                <w:highlight w:val="none"/>
                <w:lang w:val="en-US" w:eastAsia="zh-CN" w:bidi="ar"/>
              </w:rPr>
              <w:t>1</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14:paraId="1EC157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Cs w:val="21"/>
                <w:highlight w:val="none"/>
                <w:lang w:val="en-US"/>
              </w:rPr>
            </w:pPr>
            <w:r>
              <w:rPr>
                <w:rFonts w:hint="eastAsia" w:ascii="宋体" w:hAnsi="宋体" w:eastAsia="宋体" w:cs="宋体"/>
                <w:color w:val="auto"/>
                <w:kern w:val="0"/>
                <w:sz w:val="21"/>
                <w:szCs w:val="21"/>
                <w:highlight w:val="none"/>
                <w:lang w:val="en-US" w:eastAsia="zh-CN" w:bidi="ar"/>
              </w:rPr>
              <w:t>中国建设银行贺州分行营业部</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41289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rPr>
            </w:pPr>
            <w:r>
              <w:rPr>
                <w:rFonts w:hint="eastAsia" w:ascii="宋体" w:hAnsi="宋体" w:eastAsia="宋体" w:cs="宋体"/>
                <w:color w:val="auto"/>
                <w:kern w:val="0"/>
                <w:sz w:val="21"/>
                <w:szCs w:val="21"/>
                <w:highlight w:val="none"/>
                <w:lang w:val="en-US" w:eastAsia="zh-CN" w:bidi="ar"/>
              </w:rPr>
              <w:t>刘  雍</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0D228B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rPr>
            </w:pPr>
            <w:r>
              <w:rPr>
                <w:rFonts w:hint="eastAsia" w:ascii="宋体" w:hAnsi="宋体" w:eastAsia="宋体" w:cs="宋体"/>
                <w:color w:val="auto"/>
                <w:kern w:val="0"/>
                <w:sz w:val="21"/>
                <w:szCs w:val="21"/>
                <w:highlight w:val="none"/>
                <w:lang w:val="en-US" w:eastAsia="zh-CN" w:bidi="ar"/>
              </w:rPr>
              <w:t>客户经理</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14:paraId="3EEDFE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rPr>
            </w:pPr>
            <w:r>
              <w:rPr>
                <w:rFonts w:hint="eastAsia" w:ascii="宋体" w:hAnsi="宋体" w:eastAsia="宋体" w:cs="宋体"/>
                <w:color w:val="auto"/>
                <w:kern w:val="0"/>
                <w:sz w:val="21"/>
                <w:szCs w:val="21"/>
                <w:highlight w:val="none"/>
                <w:lang w:val="en-US" w:eastAsia="zh-CN" w:bidi="ar"/>
              </w:rPr>
              <w:t>18778943521</w:t>
            </w: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14:paraId="2CD0C0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贺州市八步区建设中路1号</w:t>
            </w:r>
          </w:p>
        </w:tc>
      </w:tr>
      <w:tr w14:paraId="5ADA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auto" w:sz="4" w:space="0"/>
              <w:left w:val="single" w:color="auto" w:sz="4" w:space="0"/>
              <w:bottom w:val="single" w:color="auto" w:sz="4" w:space="0"/>
              <w:right w:val="single" w:color="auto" w:sz="4" w:space="0"/>
            </w:tcBorders>
            <w:shd w:val="clear" w:color="auto" w:fill="auto"/>
            <w:vAlign w:val="center"/>
          </w:tcPr>
          <w:p w14:paraId="15D05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14:paraId="046051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中国建设银行贺州城东支行</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34951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刘昭勇</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396611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客户经理</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14:paraId="59CE14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18877499257</w:t>
            </w: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14:paraId="1665BC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贺州市八步区平安西路266号贺州广场购物中心1号楼一层东面</w:t>
            </w:r>
          </w:p>
        </w:tc>
      </w:tr>
      <w:tr w14:paraId="0D96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auto" w:sz="4" w:space="0"/>
              <w:left w:val="single" w:color="auto" w:sz="4" w:space="0"/>
              <w:bottom w:val="single" w:color="auto" w:sz="4" w:space="0"/>
              <w:right w:val="single" w:color="auto" w:sz="4" w:space="0"/>
            </w:tcBorders>
            <w:shd w:val="clear" w:color="auto" w:fill="auto"/>
            <w:vAlign w:val="center"/>
          </w:tcPr>
          <w:p w14:paraId="77C03C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14:paraId="506D4A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中国建设银行贺州城西支行</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7B124D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于丛家</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7D5ED0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客户经理</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14:paraId="5EEFFA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15177666737</w:t>
            </w: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14:paraId="7A392A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贺州市八步区八达西路689号1栋11号商铺</w:t>
            </w:r>
          </w:p>
        </w:tc>
      </w:tr>
      <w:tr w14:paraId="3072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auto" w:sz="4" w:space="0"/>
              <w:left w:val="single" w:color="auto" w:sz="4" w:space="0"/>
              <w:bottom w:val="single" w:color="auto" w:sz="4" w:space="0"/>
              <w:right w:val="single" w:color="auto" w:sz="4" w:space="0"/>
            </w:tcBorders>
            <w:shd w:val="clear" w:color="auto" w:fill="auto"/>
            <w:vAlign w:val="center"/>
          </w:tcPr>
          <w:p w14:paraId="7D1300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14:paraId="671A33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中国建设银行贺州平桂支行</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629944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邱  伟</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25CFD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客户经理</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14:paraId="06AA5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18007840720</w:t>
            </w: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14:paraId="1E01B9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贺州市平桂区平桂大道15号富旺小区1号楼105号商铺</w:t>
            </w:r>
          </w:p>
        </w:tc>
      </w:tr>
      <w:tr w14:paraId="7CF2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auto" w:sz="4" w:space="0"/>
              <w:left w:val="single" w:color="auto" w:sz="4" w:space="0"/>
              <w:bottom w:val="single" w:color="auto" w:sz="4" w:space="0"/>
              <w:right w:val="single" w:color="auto" w:sz="4" w:space="0"/>
            </w:tcBorders>
            <w:shd w:val="clear" w:color="auto" w:fill="auto"/>
            <w:vAlign w:val="center"/>
          </w:tcPr>
          <w:p w14:paraId="5DD7C3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14:paraId="78681E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中国建设银行钟山支行</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11FFA6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张文韬</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6E3FE7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客户经理</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14:paraId="01A37E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13047836009</w:t>
            </w: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14:paraId="56B2FE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贺州市钟山县城书香西路南侧</w:t>
            </w:r>
          </w:p>
        </w:tc>
      </w:tr>
      <w:tr w14:paraId="67DA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auto" w:sz="4" w:space="0"/>
              <w:left w:val="single" w:color="auto" w:sz="4" w:space="0"/>
              <w:bottom w:val="single" w:color="auto" w:sz="4" w:space="0"/>
              <w:right w:val="single" w:color="auto" w:sz="4" w:space="0"/>
            </w:tcBorders>
            <w:shd w:val="clear" w:color="auto" w:fill="auto"/>
            <w:vAlign w:val="center"/>
          </w:tcPr>
          <w:p w14:paraId="36D2D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6</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14:paraId="40D445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中国建设银行富川支行</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5F076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邓李杰</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04472C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营业室总经理</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14:paraId="26220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18276498401</w:t>
            </w: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14:paraId="60151D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贺州市富川瑶族自治县富阳镇凤凰路汇龙华府第13号楼</w:t>
            </w:r>
          </w:p>
        </w:tc>
      </w:tr>
      <w:tr w14:paraId="78C4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auto" w:sz="4" w:space="0"/>
              <w:left w:val="single" w:color="auto" w:sz="4" w:space="0"/>
              <w:bottom w:val="single" w:color="auto" w:sz="4" w:space="0"/>
              <w:right w:val="single" w:color="auto" w:sz="4" w:space="0"/>
            </w:tcBorders>
            <w:shd w:val="clear" w:color="auto" w:fill="auto"/>
            <w:vAlign w:val="center"/>
          </w:tcPr>
          <w:p w14:paraId="12899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7</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14:paraId="66E99C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中国建设银行昭平支行</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09D63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贝晟延</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24FE98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客户经理</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14:paraId="4EA5BB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15676427374</w:t>
            </w: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14:paraId="3B51A3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贺州市昭平县昭平镇东宁中路19号</w:t>
            </w:r>
          </w:p>
        </w:tc>
      </w:tr>
    </w:tbl>
    <w:p w14:paraId="26273C3A">
      <w:pPr>
        <w:keepNext w:val="0"/>
        <w:keepLines w:val="0"/>
        <w:widowControl/>
        <w:suppressLineNumbers w:val="0"/>
        <w:adjustRightInd w:val="0"/>
        <w:snapToGrid w:val="0"/>
        <w:spacing w:before="0" w:beforeAutospacing="0" w:after="0" w:afterAutospacing="0" w:line="460" w:lineRule="exact"/>
        <w:ind w:left="0" w:right="0" w:firstLine="420" w:firstLineChars="200"/>
        <w:jc w:val="both"/>
        <w:rPr>
          <w:rFonts w:hint="eastAsia" w:ascii="宋体" w:hAnsi="宋体" w:eastAsia="宋体" w:cs="黑体"/>
          <w:color w:val="auto"/>
          <w:kern w:val="2"/>
          <w:sz w:val="21"/>
          <w:szCs w:val="21"/>
          <w:highlight w:val="none"/>
          <w:lang w:val="en-US" w:eastAsia="zh-CN" w:bidi="ar"/>
        </w:rPr>
      </w:pPr>
    </w:p>
    <w:p w14:paraId="5DC96D8A">
      <w:pPr>
        <w:keepNext w:val="0"/>
        <w:keepLines w:val="0"/>
        <w:widowControl/>
        <w:suppressLineNumbers w:val="0"/>
        <w:adjustRightInd w:val="0"/>
        <w:snapToGrid w:val="0"/>
        <w:spacing w:before="0" w:beforeAutospacing="0" w:after="0" w:afterAutospacing="0" w:line="460" w:lineRule="exact"/>
        <w:ind w:left="0" w:right="0" w:firstLine="420" w:firstLineChars="200"/>
        <w:jc w:val="both"/>
        <w:rPr>
          <w:rFonts w:hint="eastAsia" w:ascii="宋体" w:hAnsi="宋体" w:eastAsia="宋体" w:cs="黑体"/>
          <w:color w:val="auto"/>
          <w:szCs w:val="21"/>
          <w:highlight w:val="none"/>
          <w:lang w:val="en-US"/>
        </w:rPr>
      </w:pPr>
      <w:r>
        <w:rPr>
          <w:rFonts w:hint="eastAsia" w:ascii="宋体" w:hAnsi="宋体" w:eastAsia="宋体" w:cs="黑体"/>
          <w:color w:val="auto"/>
          <w:kern w:val="2"/>
          <w:sz w:val="21"/>
          <w:szCs w:val="21"/>
          <w:highlight w:val="none"/>
          <w:lang w:val="en-US" w:eastAsia="zh-CN" w:bidi="ar"/>
        </w:rPr>
        <w:t>2.广西北部湾银行</w:t>
      </w:r>
    </w:p>
    <w:tbl>
      <w:tblPr>
        <w:tblStyle w:val="47"/>
        <w:tblpPr w:leftFromText="180" w:rightFromText="180" w:vertAnchor="text" w:horzAnchor="page" w:tblpX="1361"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55"/>
        <w:gridCol w:w="2348"/>
        <w:gridCol w:w="949"/>
        <w:gridCol w:w="1210"/>
        <w:gridCol w:w="1464"/>
        <w:gridCol w:w="3240"/>
      </w:tblGrid>
      <w:tr w14:paraId="1404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9" w:hRule="atLeast"/>
        </w:trPr>
        <w:tc>
          <w:tcPr>
            <w:tcW w:w="956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E7B3BE5">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szCs w:val="21"/>
                <w:highlight w:val="none"/>
                <w:lang w:val="en-US"/>
              </w:rPr>
            </w:pPr>
            <w:r>
              <w:rPr>
                <w:rFonts w:hint="eastAsia" w:ascii="宋体" w:hAnsi="宋体" w:eastAsia="宋体" w:cs="宋体"/>
                <w:color w:val="auto"/>
                <w:kern w:val="0"/>
                <w:sz w:val="21"/>
                <w:szCs w:val="21"/>
                <w:highlight w:val="none"/>
                <w:lang w:val="en-US" w:eastAsia="zh-CN" w:bidi="ar"/>
              </w:rPr>
              <w:t>广西北部湾银行贺州分行 总协调人：杨政  职务：普惠金融部总经理  手机号码：18978413000</w:t>
            </w:r>
          </w:p>
        </w:tc>
      </w:tr>
      <w:tr w14:paraId="4517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tcBorders>
              <w:top w:val="single" w:color="auto" w:sz="4" w:space="0"/>
              <w:left w:val="single" w:color="auto" w:sz="4" w:space="0"/>
              <w:bottom w:val="single" w:color="auto" w:sz="4" w:space="0"/>
              <w:right w:val="single" w:color="auto" w:sz="4" w:space="0"/>
            </w:tcBorders>
            <w:shd w:val="clear" w:color="auto" w:fill="auto"/>
            <w:vAlign w:val="center"/>
          </w:tcPr>
          <w:p w14:paraId="56C352ED">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szCs w:val="21"/>
                <w:highlight w:val="none"/>
                <w:lang w:val="en-US"/>
              </w:rPr>
            </w:pPr>
            <w:r>
              <w:rPr>
                <w:rFonts w:hint="eastAsia" w:ascii="宋体" w:hAnsi="宋体" w:eastAsia="宋体" w:cs="宋体"/>
                <w:b/>
                <w:bCs w:val="0"/>
                <w:color w:val="auto"/>
                <w:kern w:val="0"/>
                <w:sz w:val="21"/>
                <w:szCs w:val="21"/>
                <w:highlight w:val="none"/>
                <w:lang w:val="en-US" w:eastAsia="zh-CN" w:bidi="ar"/>
              </w:rPr>
              <w:t>序号</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14:paraId="65AF874C">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szCs w:val="21"/>
                <w:highlight w:val="none"/>
                <w:lang w:val="en-US"/>
              </w:rPr>
            </w:pPr>
            <w:r>
              <w:rPr>
                <w:rFonts w:hint="eastAsia" w:ascii="宋体" w:hAnsi="宋体" w:eastAsia="宋体" w:cs="宋体"/>
                <w:b/>
                <w:bCs w:val="0"/>
                <w:color w:val="auto"/>
                <w:kern w:val="0"/>
                <w:sz w:val="21"/>
                <w:szCs w:val="21"/>
                <w:highlight w:val="none"/>
                <w:lang w:val="en-US" w:eastAsia="zh-CN" w:bidi="ar"/>
              </w:rPr>
              <w:t>金融机构</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38E066F0">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szCs w:val="21"/>
                <w:highlight w:val="none"/>
                <w:lang w:val="en-US"/>
              </w:rPr>
            </w:pPr>
            <w:r>
              <w:rPr>
                <w:rFonts w:hint="eastAsia" w:ascii="宋体" w:hAnsi="宋体" w:eastAsia="宋体" w:cs="宋体"/>
                <w:b/>
                <w:bCs w:val="0"/>
                <w:color w:val="auto"/>
                <w:kern w:val="0"/>
                <w:sz w:val="21"/>
                <w:szCs w:val="21"/>
                <w:highlight w:val="none"/>
                <w:lang w:val="en-US" w:eastAsia="zh-CN" w:bidi="ar"/>
              </w:rPr>
              <w:t>联系人</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DCC8B2D">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szCs w:val="21"/>
                <w:highlight w:val="none"/>
                <w:lang w:val="en-US"/>
              </w:rPr>
            </w:pPr>
            <w:r>
              <w:rPr>
                <w:rFonts w:hint="eastAsia" w:ascii="宋体" w:hAnsi="宋体" w:eastAsia="宋体" w:cs="宋体"/>
                <w:b/>
                <w:bCs w:val="0"/>
                <w:color w:val="auto"/>
                <w:kern w:val="0"/>
                <w:sz w:val="21"/>
                <w:szCs w:val="21"/>
                <w:highlight w:val="none"/>
                <w:lang w:val="en-US" w:eastAsia="zh-CN" w:bidi="ar"/>
              </w:rPr>
              <w:t>职务</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76DA6B2E">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szCs w:val="21"/>
                <w:highlight w:val="none"/>
                <w:lang w:val="en-US"/>
              </w:rPr>
            </w:pPr>
            <w:r>
              <w:rPr>
                <w:rFonts w:hint="eastAsia" w:ascii="宋体" w:hAnsi="宋体" w:eastAsia="宋体" w:cs="宋体"/>
                <w:b/>
                <w:bCs w:val="0"/>
                <w:color w:val="auto"/>
                <w:kern w:val="0"/>
                <w:sz w:val="21"/>
                <w:szCs w:val="21"/>
                <w:highlight w:val="none"/>
                <w:lang w:val="en-US" w:eastAsia="zh-CN" w:bidi="ar"/>
              </w:rPr>
              <w:t>手机号码</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0BA2F868">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szCs w:val="21"/>
                <w:highlight w:val="none"/>
                <w:lang w:val="en-US"/>
              </w:rPr>
            </w:pPr>
            <w:r>
              <w:rPr>
                <w:rFonts w:hint="eastAsia" w:ascii="宋体" w:hAnsi="宋体" w:eastAsia="宋体" w:cs="宋体"/>
                <w:b/>
                <w:bCs w:val="0"/>
                <w:color w:val="auto"/>
                <w:kern w:val="0"/>
                <w:sz w:val="21"/>
                <w:szCs w:val="21"/>
                <w:highlight w:val="none"/>
                <w:lang w:val="en-US" w:eastAsia="zh-CN" w:bidi="ar"/>
              </w:rPr>
              <w:t>银行地址</w:t>
            </w:r>
          </w:p>
        </w:tc>
      </w:tr>
      <w:tr w14:paraId="2E10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tcBorders>
              <w:top w:val="single" w:color="auto" w:sz="4" w:space="0"/>
              <w:left w:val="single" w:color="auto" w:sz="4" w:space="0"/>
              <w:bottom w:val="single" w:color="auto" w:sz="4" w:space="0"/>
              <w:right w:val="single" w:color="auto" w:sz="4" w:space="0"/>
            </w:tcBorders>
            <w:shd w:val="clear" w:color="auto" w:fill="auto"/>
            <w:vAlign w:val="center"/>
          </w:tcPr>
          <w:p w14:paraId="0D5C1CCF">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szCs w:val="21"/>
                <w:highlight w:val="none"/>
                <w:lang w:val="en-US"/>
              </w:rPr>
            </w:pPr>
            <w:r>
              <w:rPr>
                <w:rFonts w:hint="eastAsia" w:ascii="宋体" w:hAnsi="宋体" w:eastAsia="宋体" w:cs="宋体"/>
                <w:color w:val="auto"/>
                <w:kern w:val="0"/>
                <w:sz w:val="21"/>
                <w:szCs w:val="21"/>
                <w:highlight w:val="none"/>
                <w:lang w:val="en-US" w:eastAsia="zh-CN" w:bidi="ar"/>
              </w:rPr>
              <w:t>1</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14:paraId="541A41EC">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szCs w:val="21"/>
                <w:highlight w:val="none"/>
                <w:lang w:val="en-US"/>
              </w:rPr>
            </w:pPr>
            <w:r>
              <w:rPr>
                <w:rFonts w:hint="eastAsia" w:ascii="宋体" w:hAnsi="宋体" w:eastAsia="宋体" w:cs="宋体"/>
                <w:color w:val="auto"/>
                <w:kern w:val="0"/>
                <w:sz w:val="21"/>
                <w:szCs w:val="21"/>
                <w:highlight w:val="none"/>
                <w:lang w:val="en-US" w:eastAsia="zh-CN" w:bidi="ar"/>
              </w:rPr>
              <w:t>广西北部湾银行贺州分行</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CC0A7C6">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szCs w:val="21"/>
                <w:highlight w:val="none"/>
                <w:lang w:val="en-US"/>
              </w:rPr>
            </w:pPr>
            <w:r>
              <w:rPr>
                <w:rFonts w:hint="eastAsia" w:ascii="宋体" w:hAnsi="宋体" w:eastAsia="宋体" w:cs="宋体"/>
                <w:color w:val="auto"/>
                <w:kern w:val="0"/>
                <w:sz w:val="21"/>
                <w:szCs w:val="21"/>
                <w:highlight w:val="none"/>
                <w:lang w:val="en-US" w:eastAsia="zh-CN" w:bidi="ar"/>
              </w:rPr>
              <w:t>黄剑锐</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4FA00D2">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szCs w:val="21"/>
                <w:highlight w:val="none"/>
                <w:lang w:val="en-US"/>
              </w:rPr>
            </w:pPr>
            <w:r>
              <w:rPr>
                <w:rFonts w:hint="eastAsia" w:ascii="宋体" w:hAnsi="宋体" w:eastAsia="宋体" w:cs="宋体"/>
                <w:color w:val="auto"/>
                <w:kern w:val="0"/>
                <w:sz w:val="21"/>
                <w:szCs w:val="21"/>
                <w:highlight w:val="none"/>
                <w:lang w:val="en-US" w:eastAsia="zh-CN" w:bidi="ar"/>
              </w:rPr>
              <w:t>个人金融部副经理</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6A68299B">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szCs w:val="21"/>
                <w:highlight w:val="none"/>
                <w:lang w:val="en-US"/>
              </w:rPr>
            </w:pPr>
            <w:r>
              <w:rPr>
                <w:rFonts w:hint="eastAsia" w:ascii="宋体" w:hAnsi="宋体" w:eastAsia="宋体" w:cs="宋体"/>
                <w:color w:val="auto"/>
                <w:kern w:val="0"/>
                <w:sz w:val="21"/>
                <w:szCs w:val="21"/>
                <w:highlight w:val="none"/>
                <w:lang w:val="en-US" w:eastAsia="zh-CN" w:bidi="ar"/>
              </w:rPr>
              <w:t>15507848190</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2289881D">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贺州市八步区太白西路153号8号楼</w:t>
            </w:r>
          </w:p>
        </w:tc>
      </w:tr>
      <w:tr w14:paraId="3045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tcBorders>
              <w:top w:val="single" w:color="auto" w:sz="4" w:space="0"/>
              <w:left w:val="single" w:color="auto" w:sz="4" w:space="0"/>
              <w:bottom w:val="single" w:color="auto" w:sz="4" w:space="0"/>
              <w:right w:val="single" w:color="auto" w:sz="4" w:space="0"/>
            </w:tcBorders>
            <w:shd w:val="clear" w:color="auto" w:fill="auto"/>
            <w:vAlign w:val="center"/>
          </w:tcPr>
          <w:p w14:paraId="73B44FFE">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2</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14:paraId="247F8823">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广西北部湾银行贺州市平桂支行</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4F83CE2">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刘  乐</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7AE37F8">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公司客户经理</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5A7F01A7">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13036871008</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407BA51D">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贺州市平桂区平桂大道4号3号楼103号商铺</w:t>
            </w:r>
          </w:p>
        </w:tc>
      </w:tr>
      <w:tr w14:paraId="3DE8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tcBorders>
              <w:top w:val="single" w:color="auto" w:sz="4" w:space="0"/>
              <w:left w:val="single" w:color="auto" w:sz="4" w:space="0"/>
              <w:bottom w:val="single" w:color="auto" w:sz="4" w:space="0"/>
              <w:right w:val="single" w:color="auto" w:sz="4" w:space="0"/>
            </w:tcBorders>
            <w:shd w:val="clear" w:color="auto" w:fill="auto"/>
            <w:vAlign w:val="center"/>
          </w:tcPr>
          <w:p w14:paraId="1BFA5E6F">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3</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14:paraId="1A3C77D7">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广西北部湾银行钟山支行</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65F8A5B6">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唐振豪</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A530509">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公司客户经理</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74D321D">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18878480702</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26AA8F18">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贺州市钟山县广场西路南侧悦城壹号院B区1#楼B09-13号商铺</w:t>
            </w:r>
          </w:p>
        </w:tc>
      </w:tr>
      <w:tr w14:paraId="492C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tcBorders>
              <w:top w:val="single" w:color="auto" w:sz="4" w:space="0"/>
              <w:left w:val="single" w:color="auto" w:sz="4" w:space="0"/>
              <w:bottom w:val="single" w:color="auto" w:sz="4" w:space="0"/>
              <w:right w:val="single" w:color="auto" w:sz="4" w:space="0"/>
            </w:tcBorders>
            <w:shd w:val="clear" w:color="auto" w:fill="auto"/>
            <w:vAlign w:val="center"/>
          </w:tcPr>
          <w:p w14:paraId="4B6BDFFB">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4</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14:paraId="3E065082">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广西北部湾银行富川支行</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78433BAC">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秦明龙</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59D06E8">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业务发展部经理</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5F7513B4">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17776119667</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676BCD15">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贺州市富川瑶族自治县富阳镇凤凰路121号</w:t>
            </w:r>
          </w:p>
        </w:tc>
      </w:tr>
      <w:tr w14:paraId="7202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tcBorders>
              <w:top w:val="single" w:color="auto" w:sz="4" w:space="0"/>
              <w:left w:val="single" w:color="auto" w:sz="4" w:space="0"/>
              <w:bottom w:val="single" w:color="auto" w:sz="4" w:space="0"/>
              <w:right w:val="single" w:color="auto" w:sz="4" w:space="0"/>
            </w:tcBorders>
            <w:shd w:val="clear" w:color="auto" w:fill="auto"/>
            <w:vAlign w:val="center"/>
          </w:tcPr>
          <w:p w14:paraId="772BC07F">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5</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14:paraId="6535C106">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广西北部湾银行昭平支行</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7C97D9FA">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邱俊豪</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BA4F692">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综合客户经理</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0767DBC">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18107842696</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3D2E3569">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贺州市昭平县昭平镇河西东路（江湾一号）101-103铺面</w:t>
            </w:r>
          </w:p>
        </w:tc>
      </w:tr>
    </w:tbl>
    <w:p w14:paraId="39FE9AA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p>
    <w:p w14:paraId="78F61259">
      <w:pPr>
        <w:keepNext w:val="0"/>
        <w:keepLines w:val="0"/>
        <w:widowControl/>
        <w:suppressLineNumbers w:val="0"/>
        <w:adjustRightInd w:val="0"/>
        <w:snapToGrid w:val="0"/>
        <w:spacing w:before="0" w:beforeAutospacing="0" w:after="0" w:afterAutospacing="0" w:line="460" w:lineRule="exact"/>
        <w:ind w:left="0" w:right="0" w:firstLine="420" w:firstLineChars="200"/>
        <w:jc w:val="both"/>
        <w:rPr>
          <w:rFonts w:hint="eastAsia" w:ascii="宋体" w:hAnsi="宋体" w:eastAsia="宋体" w:cs="黑体"/>
          <w:color w:val="auto"/>
          <w:szCs w:val="21"/>
          <w:highlight w:val="none"/>
          <w:lang w:val="en-US"/>
        </w:rPr>
      </w:pPr>
      <w:r>
        <w:rPr>
          <w:rFonts w:hint="eastAsia" w:ascii="宋体" w:hAnsi="宋体" w:eastAsia="宋体" w:cs="黑体"/>
          <w:color w:val="auto"/>
          <w:kern w:val="2"/>
          <w:sz w:val="21"/>
          <w:szCs w:val="21"/>
          <w:highlight w:val="none"/>
          <w:lang w:val="en-US" w:eastAsia="zh-CN" w:bidi="ar"/>
        </w:rPr>
        <w:t>3.广西贺州桂东农村合作银行</w:t>
      </w:r>
    </w:p>
    <w:tbl>
      <w:tblPr>
        <w:tblStyle w:val="47"/>
        <w:tblpPr w:leftFromText="180" w:rightFromText="180" w:vertAnchor="text" w:horzAnchor="page" w:tblpX="1361"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55"/>
        <w:gridCol w:w="2348"/>
        <w:gridCol w:w="994"/>
        <w:gridCol w:w="1585"/>
        <w:gridCol w:w="1565"/>
        <w:gridCol w:w="2574"/>
      </w:tblGrid>
      <w:tr w14:paraId="08F5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9" w:hRule="atLeast"/>
        </w:trPr>
        <w:tc>
          <w:tcPr>
            <w:tcW w:w="942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0000C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Cs w:val="21"/>
                <w:highlight w:val="none"/>
                <w:lang w:val="en-US"/>
              </w:rPr>
            </w:pPr>
            <w:r>
              <w:rPr>
                <w:rFonts w:hint="eastAsia" w:ascii="宋体" w:hAnsi="宋体" w:eastAsia="宋体" w:cs="宋体"/>
                <w:color w:val="auto"/>
                <w:kern w:val="0"/>
                <w:sz w:val="21"/>
                <w:szCs w:val="21"/>
                <w:highlight w:val="none"/>
                <w:lang w:val="en-US" w:eastAsia="zh-CN" w:bidi="ar"/>
              </w:rPr>
              <w:t>广西贺州桂东农村合作银行 总协调人：卢士强  职务：授信审批部总经理  手机号码：18077409115</w:t>
            </w:r>
          </w:p>
        </w:tc>
      </w:tr>
      <w:tr w14:paraId="2537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tcBorders>
              <w:top w:val="single" w:color="auto" w:sz="4" w:space="0"/>
              <w:left w:val="single" w:color="auto" w:sz="4" w:space="0"/>
              <w:bottom w:val="single" w:color="auto" w:sz="4" w:space="0"/>
              <w:right w:val="single" w:color="auto" w:sz="4" w:space="0"/>
            </w:tcBorders>
            <w:shd w:val="clear" w:color="auto" w:fill="auto"/>
            <w:vAlign w:val="center"/>
          </w:tcPr>
          <w:p w14:paraId="70197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rPr>
            </w:pPr>
            <w:r>
              <w:rPr>
                <w:rFonts w:hint="eastAsia" w:ascii="宋体" w:hAnsi="宋体" w:eastAsia="宋体" w:cs="宋体"/>
                <w:b/>
                <w:bCs w:val="0"/>
                <w:color w:val="auto"/>
                <w:kern w:val="0"/>
                <w:sz w:val="21"/>
                <w:szCs w:val="21"/>
                <w:highlight w:val="none"/>
                <w:lang w:val="en-US" w:eastAsia="zh-CN" w:bidi="ar"/>
              </w:rPr>
              <w:t>序号</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14:paraId="4ED2C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rPr>
            </w:pPr>
            <w:r>
              <w:rPr>
                <w:rFonts w:hint="eastAsia" w:ascii="宋体" w:hAnsi="宋体" w:eastAsia="宋体" w:cs="宋体"/>
                <w:b/>
                <w:bCs w:val="0"/>
                <w:color w:val="auto"/>
                <w:kern w:val="0"/>
                <w:sz w:val="21"/>
                <w:szCs w:val="21"/>
                <w:highlight w:val="none"/>
                <w:lang w:val="en-US" w:eastAsia="zh-CN" w:bidi="ar"/>
              </w:rPr>
              <w:t>金融机构</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364D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rPr>
            </w:pPr>
            <w:r>
              <w:rPr>
                <w:rFonts w:hint="eastAsia" w:ascii="宋体" w:hAnsi="宋体" w:eastAsia="宋体" w:cs="宋体"/>
                <w:b/>
                <w:bCs w:val="0"/>
                <w:color w:val="auto"/>
                <w:kern w:val="0"/>
                <w:sz w:val="21"/>
                <w:szCs w:val="21"/>
                <w:highlight w:val="none"/>
                <w:lang w:val="en-US" w:eastAsia="zh-CN" w:bidi="ar"/>
              </w:rPr>
              <w:t>联系人</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5F04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rPr>
            </w:pPr>
            <w:r>
              <w:rPr>
                <w:rFonts w:hint="eastAsia" w:ascii="宋体" w:hAnsi="宋体" w:eastAsia="宋体" w:cs="宋体"/>
                <w:b/>
                <w:bCs w:val="0"/>
                <w:color w:val="auto"/>
                <w:kern w:val="0"/>
                <w:sz w:val="21"/>
                <w:szCs w:val="21"/>
                <w:highlight w:val="none"/>
                <w:lang w:val="en-US" w:eastAsia="zh-CN" w:bidi="ar"/>
              </w:rPr>
              <w:t>职务</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3984D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rPr>
            </w:pPr>
            <w:r>
              <w:rPr>
                <w:rFonts w:hint="eastAsia" w:ascii="宋体" w:hAnsi="宋体" w:eastAsia="宋体" w:cs="宋体"/>
                <w:b/>
                <w:bCs w:val="0"/>
                <w:color w:val="auto"/>
                <w:kern w:val="0"/>
                <w:sz w:val="21"/>
                <w:szCs w:val="21"/>
                <w:highlight w:val="none"/>
                <w:lang w:val="en-US" w:eastAsia="zh-CN" w:bidi="ar"/>
              </w:rPr>
              <w:t>手机号码</w:t>
            </w:r>
          </w:p>
        </w:tc>
        <w:tc>
          <w:tcPr>
            <w:tcW w:w="2574" w:type="dxa"/>
            <w:tcBorders>
              <w:top w:val="single" w:color="auto" w:sz="4" w:space="0"/>
              <w:left w:val="single" w:color="auto" w:sz="4" w:space="0"/>
              <w:bottom w:val="single" w:color="auto" w:sz="4" w:space="0"/>
              <w:right w:val="single" w:color="auto" w:sz="4" w:space="0"/>
            </w:tcBorders>
            <w:shd w:val="clear" w:color="auto" w:fill="auto"/>
            <w:vAlign w:val="center"/>
          </w:tcPr>
          <w:p w14:paraId="627ED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rPr>
            </w:pPr>
            <w:r>
              <w:rPr>
                <w:rFonts w:hint="eastAsia" w:ascii="宋体" w:hAnsi="宋体" w:eastAsia="宋体" w:cs="宋体"/>
                <w:b/>
                <w:bCs w:val="0"/>
                <w:color w:val="auto"/>
                <w:kern w:val="0"/>
                <w:sz w:val="21"/>
                <w:szCs w:val="21"/>
                <w:highlight w:val="none"/>
                <w:lang w:val="en-US" w:eastAsia="zh-CN" w:bidi="ar"/>
              </w:rPr>
              <w:t>银行地址</w:t>
            </w:r>
          </w:p>
        </w:tc>
      </w:tr>
      <w:tr w14:paraId="1E11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tcBorders>
              <w:top w:val="single" w:color="auto" w:sz="4" w:space="0"/>
              <w:left w:val="single" w:color="auto" w:sz="4" w:space="0"/>
              <w:bottom w:val="single" w:color="auto" w:sz="4" w:space="0"/>
              <w:right w:val="single" w:color="auto" w:sz="4" w:space="0"/>
            </w:tcBorders>
            <w:shd w:val="clear" w:color="auto" w:fill="auto"/>
            <w:vAlign w:val="center"/>
          </w:tcPr>
          <w:p w14:paraId="1A6B0A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rPr>
            </w:pPr>
            <w:r>
              <w:rPr>
                <w:rFonts w:hint="eastAsia" w:ascii="宋体" w:hAnsi="宋体" w:eastAsia="宋体" w:cs="宋体"/>
                <w:color w:val="auto"/>
                <w:kern w:val="0"/>
                <w:sz w:val="21"/>
                <w:szCs w:val="21"/>
                <w:highlight w:val="none"/>
                <w:lang w:val="en-US" w:eastAsia="zh-CN" w:bidi="ar"/>
              </w:rPr>
              <w:t>1</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14:paraId="6EC033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Cs w:val="21"/>
                <w:highlight w:val="none"/>
                <w:lang w:val="en-US"/>
              </w:rPr>
            </w:pPr>
            <w:r>
              <w:rPr>
                <w:rFonts w:hint="eastAsia" w:ascii="宋体" w:hAnsi="宋体" w:eastAsia="宋体" w:cs="宋体"/>
                <w:color w:val="auto"/>
                <w:kern w:val="0"/>
                <w:sz w:val="21"/>
                <w:szCs w:val="21"/>
                <w:highlight w:val="none"/>
                <w:lang w:val="en-US" w:eastAsia="zh-CN" w:bidi="ar"/>
              </w:rPr>
              <w:t>广西贺州桂东农村合作银行</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A353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rPr>
            </w:pPr>
            <w:r>
              <w:rPr>
                <w:rFonts w:hint="eastAsia" w:ascii="宋体" w:hAnsi="宋体" w:eastAsia="宋体" w:cs="宋体"/>
                <w:color w:val="auto"/>
                <w:kern w:val="0"/>
                <w:sz w:val="21"/>
                <w:szCs w:val="21"/>
                <w:highlight w:val="none"/>
                <w:lang w:val="en-US" w:eastAsia="zh-CN" w:bidi="ar"/>
              </w:rPr>
              <w:t>黄  腾</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7F6B3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rPr>
            </w:pPr>
            <w:r>
              <w:rPr>
                <w:rFonts w:hint="eastAsia" w:ascii="宋体" w:hAnsi="宋体" w:eastAsia="宋体" w:cs="宋体"/>
                <w:color w:val="auto"/>
                <w:kern w:val="0"/>
                <w:sz w:val="21"/>
                <w:szCs w:val="21"/>
                <w:highlight w:val="none"/>
                <w:lang w:val="en-US" w:eastAsia="zh-CN" w:bidi="ar"/>
              </w:rPr>
              <w:t>授信审批部审查员</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4E73B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val="en-US"/>
              </w:rPr>
            </w:pPr>
            <w:r>
              <w:rPr>
                <w:rFonts w:hint="eastAsia" w:ascii="宋体" w:hAnsi="宋体" w:eastAsia="宋体" w:cs="宋体"/>
                <w:color w:val="auto"/>
                <w:kern w:val="0"/>
                <w:sz w:val="21"/>
                <w:szCs w:val="21"/>
                <w:highlight w:val="none"/>
                <w:lang w:val="en-US" w:eastAsia="zh-CN" w:bidi="ar"/>
              </w:rPr>
              <w:t>15078333887</w:t>
            </w:r>
          </w:p>
        </w:tc>
        <w:tc>
          <w:tcPr>
            <w:tcW w:w="2574" w:type="dxa"/>
            <w:tcBorders>
              <w:top w:val="single" w:color="auto" w:sz="4" w:space="0"/>
              <w:left w:val="single" w:color="auto" w:sz="4" w:space="0"/>
              <w:bottom w:val="single" w:color="auto" w:sz="4" w:space="0"/>
              <w:right w:val="single" w:color="auto" w:sz="4" w:space="0"/>
            </w:tcBorders>
            <w:shd w:val="clear" w:color="auto" w:fill="auto"/>
            <w:vAlign w:val="center"/>
          </w:tcPr>
          <w:p w14:paraId="1E4294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贺州市八步区建设东路6号</w:t>
            </w:r>
          </w:p>
        </w:tc>
      </w:tr>
      <w:tr w14:paraId="3D4F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tcBorders>
              <w:top w:val="single" w:color="auto" w:sz="4" w:space="0"/>
              <w:left w:val="single" w:color="auto" w:sz="4" w:space="0"/>
              <w:bottom w:val="single" w:color="auto" w:sz="4" w:space="0"/>
              <w:right w:val="single" w:color="auto" w:sz="4" w:space="0"/>
            </w:tcBorders>
            <w:shd w:val="clear" w:color="auto" w:fill="auto"/>
            <w:vAlign w:val="center"/>
          </w:tcPr>
          <w:p w14:paraId="475385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2</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14:paraId="75BF47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广西贺州桂东农村合作银行营业部</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3049C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刘  瑜</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9F8D7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营业部副总经理</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68A309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18007843000</w:t>
            </w:r>
          </w:p>
        </w:tc>
        <w:tc>
          <w:tcPr>
            <w:tcW w:w="2574" w:type="dxa"/>
            <w:tcBorders>
              <w:top w:val="single" w:color="auto" w:sz="4" w:space="0"/>
              <w:left w:val="single" w:color="auto" w:sz="4" w:space="0"/>
              <w:bottom w:val="single" w:color="auto" w:sz="4" w:space="0"/>
              <w:right w:val="single" w:color="auto" w:sz="4" w:space="0"/>
            </w:tcBorders>
            <w:shd w:val="clear" w:color="auto" w:fill="auto"/>
            <w:vAlign w:val="center"/>
          </w:tcPr>
          <w:p w14:paraId="32A4B3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贺州市八步区建设东路6号</w:t>
            </w:r>
          </w:p>
        </w:tc>
      </w:tr>
      <w:tr w14:paraId="2672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tcBorders>
              <w:top w:val="single" w:color="auto" w:sz="4" w:space="0"/>
              <w:left w:val="single" w:color="auto" w:sz="4" w:space="0"/>
              <w:bottom w:val="single" w:color="auto" w:sz="4" w:space="0"/>
              <w:right w:val="single" w:color="auto" w:sz="4" w:space="0"/>
            </w:tcBorders>
            <w:shd w:val="clear" w:color="auto" w:fill="auto"/>
            <w:vAlign w:val="center"/>
          </w:tcPr>
          <w:p w14:paraId="01F94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3</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14:paraId="7B53F2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广西贺州桂东农村合作银行八步支行</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84DA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谢地恩</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3F1D4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信贷副行长</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06DD9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18007840168</w:t>
            </w:r>
          </w:p>
        </w:tc>
        <w:tc>
          <w:tcPr>
            <w:tcW w:w="2574" w:type="dxa"/>
            <w:tcBorders>
              <w:top w:val="single" w:color="auto" w:sz="4" w:space="0"/>
              <w:left w:val="single" w:color="auto" w:sz="4" w:space="0"/>
              <w:bottom w:val="single" w:color="auto" w:sz="4" w:space="0"/>
              <w:right w:val="single" w:color="auto" w:sz="4" w:space="0"/>
            </w:tcBorders>
            <w:shd w:val="clear" w:color="auto" w:fill="auto"/>
            <w:vAlign w:val="center"/>
          </w:tcPr>
          <w:p w14:paraId="1F0095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贺州市八步区八达西路652-1号</w:t>
            </w:r>
          </w:p>
        </w:tc>
      </w:tr>
      <w:tr w14:paraId="604C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tcBorders>
              <w:top w:val="single" w:color="auto" w:sz="4" w:space="0"/>
              <w:left w:val="single" w:color="auto" w:sz="4" w:space="0"/>
              <w:bottom w:val="single" w:color="auto" w:sz="4" w:space="0"/>
              <w:right w:val="single" w:color="auto" w:sz="4" w:space="0"/>
            </w:tcBorders>
            <w:shd w:val="clear" w:color="auto" w:fill="auto"/>
            <w:vAlign w:val="center"/>
          </w:tcPr>
          <w:p w14:paraId="1B4432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4</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14:paraId="019EB5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广西贺州桂东农村合作银行平桂支行</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CF2B5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古  睿</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768B8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信贷副行长</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1BD22B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18007840375</w:t>
            </w:r>
          </w:p>
        </w:tc>
        <w:tc>
          <w:tcPr>
            <w:tcW w:w="2574" w:type="dxa"/>
            <w:tcBorders>
              <w:top w:val="single" w:color="auto" w:sz="4" w:space="0"/>
              <w:left w:val="single" w:color="auto" w:sz="4" w:space="0"/>
              <w:bottom w:val="single" w:color="auto" w:sz="4" w:space="0"/>
              <w:right w:val="single" w:color="auto" w:sz="4" w:space="0"/>
            </w:tcBorders>
            <w:shd w:val="clear" w:color="auto" w:fill="auto"/>
            <w:vAlign w:val="center"/>
          </w:tcPr>
          <w:p w14:paraId="3BC3E7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贺州市平桂区平桂大道财政局一楼</w:t>
            </w:r>
          </w:p>
        </w:tc>
      </w:tr>
    </w:tbl>
    <w:p w14:paraId="5E5037C0">
      <w:pPr>
        <w:pStyle w:val="2"/>
        <w:rPr>
          <w:rFonts w:hint="eastAsia" w:hAnsi="宋体"/>
          <w:color w:val="auto"/>
          <w:kern w:val="2"/>
          <w:szCs w:val="24"/>
          <w:highlight w:val="none"/>
        </w:rPr>
      </w:pPr>
    </w:p>
    <w:p w14:paraId="7E85DD84">
      <w:pPr>
        <w:widowControl/>
        <w:jc w:val="left"/>
        <w:rPr>
          <w:rFonts w:hAnsi="宋体"/>
          <w:color w:val="auto"/>
          <w:kern w:val="2"/>
          <w:szCs w:val="24"/>
          <w:highlight w:val="none"/>
        </w:rPr>
      </w:pPr>
      <w:r>
        <w:rPr>
          <w:rFonts w:hAnsi="宋体"/>
          <w:color w:val="auto"/>
          <w:kern w:val="2"/>
          <w:szCs w:val="24"/>
          <w:highlight w:val="none"/>
        </w:rPr>
        <w:br w:type="page"/>
      </w:r>
    </w:p>
    <w:p w14:paraId="07187D32">
      <w:pPr>
        <w:pStyle w:val="3"/>
        <w:jc w:val="center"/>
        <w:rPr>
          <w:rFonts w:ascii="宋体" w:hAnsi="宋体" w:eastAsia="宋体"/>
          <w:color w:val="auto"/>
          <w:kern w:val="0"/>
          <w:highlight w:val="none"/>
        </w:rPr>
      </w:pPr>
      <w:bookmarkStart w:id="39" w:name="_Toc2997"/>
      <w:r>
        <w:rPr>
          <w:rFonts w:hint="eastAsia" w:ascii="宋体" w:hAnsi="宋体" w:eastAsia="宋体" w:cs="宋体"/>
          <w:color w:val="auto"/>
          <w:kern w:val="0"/>
          <w:highlight w:val="none"/>
        </w:rPr>
        <w:t>第三章</w:t>
      </w:r>
      <w:r>
        <w:rPr>
          <w:rFonts w:ascii="宋体" w:hAnsi="宋体" w:eastAsia="宋体" w:cs="宋体"/>
          <w:color w:val="auto"/>
          <w:kern w:val="0"/>
          <w:highlight w:val="none"/>
        </w:rPr>
        <w:t xml:space="preserve">  </w:t>
      </w:r>
      <w:r>
        <w:rPr>
          <w:rFonts w:hint="eastAsia" w:ascii="宋体" w:hAnsi="宋体" w:eastAsia="宋体" w:cs="宋体"/>
          <w:color w:val="auto"/>
          <w:kern w:val="0"/>
          <w:highlight w:val="none"/>
        </w:rPr>
        <w:t>评标办法</w:t>
      </w:r>
      <w:bookmarkEnd w:id="7"/>
      <w:bookmarkEnd w:id="8"/>
      <w:bookmarkEnd w:id="39"/>
    </w:p>
    <w:p w14:paraId="6F11637E">
      <w:pPr>
        <w:pStyle w:val="4"/>
        <w:rPr>
          <w:color w:val="auto"/>
          <w:highlight w:val="none"/>
        </w:rPr>
      </w:pPr>
      <w:bookmarkStart w:id="40" w:name="_Toc61961171"/>
      <w:bookmarkStart w:id="41" w:name="_Toc533781569"/>
      <w:bookmarkStart w:id="42" w:name="_Toc29663"/>
      <w:bookmarkStart w:id="43" w:name="_Toc533783521"/>
      <w:bookmarkStart w:id="44" w:name="_Toc533783522"/>
      <w:bookmarkStart w:id="45" w:name="_Toc533781570"/>
      <w:r>
        <w:rPr>
          <w:rFonts w:hint="eastAsia"/>
          <w:color w:val="auto"/>
          <w:highlight w:val="none"/>
        </w:rPr>
        <w:t>评标办法前附表</w:t>
      </w:r>
      <w:bookmarkEnd w:id="40"/>
    </w:p>
    <w:tbl>
      <w:tblPr>
        <w:tblStyle w:val="47"/>
        <w:tblW w:w="10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98"/>
        <w:gridCol w:w="886"/>
        <w:gridCol w:w="110"/>
        <w:gridCol w:w="624"/>
        <w:gridCol w:w="423"/>
        <w:gridCol w:w="1323"/>
        <w:gridCol w:w="5856"/>
      </w:tblGrid>
      <w:tr w14:paraId="201E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29" w:type="dxa"/>
            <w:shd w:val="clear" w:color="auto" w:fill="E7E6E6"/>
            <w:vAlign w:val="center"/>
          </w:tcPr>
          <w:p w14:paraId="4E332BB1">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80" w:lineRule="exact"/>
              <w:ind w:left="0" w:right="0"/>
              <w:textAlignment w:val="auto"/>
              <w:rPr>
                <w:rFonts w:hint="default"/>
                <w:color w:val="auto"/>
                <w:highlight w:val="none"/>
              </w:rPr>
            </w:pPr>
            <w:r>
              <w:rPr>
                <w:rFonts w:hint="eastAsia"/>
                <w:color w:val="auto"/>
                <w:highlight w:val="none"/>
              </w:rPr>
              <w:t>条款号</w:t>
            </w:r>
          </w:p>
        </w:tc>
        <w:tc>
          <w:tcPr>
            <w:tcW w:w="3764" w:type="dxa"/>
            <w:gridSpan w:val="6"/>
            <w:shd w:val="clear" w:color="auto" w:fill="E7E6E6"/>
            <w:vAlign w:val="center"/>
          </w:tcPr>
          <w:p w14:paraId="3DB7F834">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80" w:lineRule="exact"/>
              <w:ind w:left="0" w:right="0"/>
              <w:textAlignment w:val="auto"/>
              <w:rPr>
                <w:rFonts w:hint="default"/>
                <w:color w:val="auto"/>
                <w:highlight w:val="none"/>
              </w:rPr>
            </w:pPr>
            <w:r>
              <w:rPr>
                <w:rFonts w:hint="eastAsia"/>
                <w:color w:val="auto"/>
                <w:highlight w:val="none"/>
              </w:rPr>
              <w:t>评审因素</w:t>
            </w:r>
          </w:p>
        </w:tc>
        <w:tc>
          <w:tcPr>
            <w:tcW w:w="5856" w:type="dxa"/>
            <w:shd w:val="clear" w:color="auto" w:fill="E7E6E6"/>
            <w:vAlign w:val="center"/>
          </w:tcPr>
          <w:p w14:paraId="22F13056">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80" w:lineRule="exact"/>
              <w:ind w:left="0" w:right="0"/>
              <w:textAlignment w:val="auto"/>
              <w:rPr>
                <w:rFonts w:hint="default"/>
                <w:color w:val="auto"/>
                <w:highlight w:val="none"/>
              </w:rPr>
            </w:pPr>
            <w:r>
              <w:rPr>
                <w:rFonts w:hint="eastAsia"/>
                <w:color w:val="auto"/>
                <w:highlight w:val="none"/>
              </w:rPr>
              <w:t>评审标准</w:t>
            </w:r>
          </w:p>
        </w:tc>
      </w:tr>
      <w:tr w14:paraId="14A5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449" w:type="dxa"/>
            <w:gridSpan w:val="8"/>
            <w:shd w:val="clear" w:color="auto" w:fill="FFFFFF"/>
            <w:vAlign w:val="center"/>
          </w:tcPr>
          <w:p w14:paraId="3C63AA8A">
            <w:pPr>
              <w:keepNext w:val="0"/>
              <w:keepLines w:val="0"/>
              <w:suppressLineNumbers w:val="0"/>
              <w:spacing w:before="120" w:beforeLines="50" w:beforeAutospacing="0" w:after="0" w:afterAutospacing="0" w:line="360" w:lineRule="auto"/>
              <w:ind w:left="0" w:right="0"/>
              <w:rPr>
                <w:rFonts w:hint="default"/>
                <w:b/>
                <w:color w:val="auto"/>
                <w:highlight w:val="none"/>
              </w:rPr>
            </w:pPr>
            <w:r>
              <w:rPr>
                <w:rFonts w:hint="default"/>
                <w:b/>
                <w:color w:val="auto"/>
                <w:highlight w:val="none"/>
              </w:rPr>
              <w:t>2.1</w:t>
            </w:r>
            <w:r>
              <w:rPr>
                <w:rFonts w:hint="eastAsia"/>
                <w:b/>
                <w:color w:val="auto"/>
                <w:highlight w:val="none"/>
              </w:rPr>
              <w:t>初步评审</w:t>
            </w:r>
          </w:p>
        </w:tc>
      </w:tr>
      <w:tr w14:paraId="4025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9" w:type="dxa"/>
            <w:vMerge w:val="restart"/>
            <w:vAlign w:val="center"/>
          </w:tcPr>
          <w:p w14:paraId="22EE1358">
            <w:pPr>
              <w:keepNext w:val="0"/>
              <w:keepLines w:val="0"/>
              <w:suppressLineNumbers w:val="0"/>
              <w:spacing w:before="120" w:beforeLines="50" w:beforeAutospacing="0" w:after="0" w:afterAutospacing="0" w:line="360" w:lineRule="auto"/>
              <w:ind w:left="0" w:right="0"/>
              <w:rPr>
                <w:rFonts w:hint="default"/>
                <w:color w:val="auto"/>
                <w:highlight w:val="none"/>
              </w:rPr>
            </w:pPr>
            <w:r>
              <w:rPr>
                <w:rFonts w:hint="default"/>
                <w:color w:val="auto"/>
                <w:highlight w:val="none"/>
              </w:rPr>
              <w:t>2.1.1</w:t>
            </w:r>
          </w:p>
        </w:tc>
        <w:tc>
          <w:tcPr>
            <w:tcW w:w="1284" w:type="dxa"/>
            <w:gridSpan w:val="2"/>
            <w:vMerge w:val="restart"/>
            <w:vAlign w:val="center"/>
          </w:tcPr>
          <w:p w14:paraId="580EDB38">
            <w:pPr>
              <w:keepNext w:val="0"/>
              <w:keepLines w:val="0"/>
              <w:suppressLineNumbers w:val="0"/>
              <w:spacing w:before="120" w:beforeLines="50" w:beforeAutospacing="0" w:after="0" w:afterAutospacing="0" w:line="360" w:lineRule="auto"/>
              <w:ind w:left="0" w:right="0"/>
              <w:jc w:val="center"/>
              <w:rPr>
                <w:rFonts w:hint="default"/>
                <w:color w:val="auto"/>
                <w:highlight w:val="none"/>
              </w:rPr>
            </w:pPr>
            <w:r>
              <w:rPr>
                <w:rFonts w:hint="eastAsia"/>
                <w:color w:val="auto"/>
                <w:highlight w:val="none"/>
              </w:rPr>
              <w:t>资格审查</w:t>
            </w:r>
          </w:p>
        </w:tc>
        <w:tc>
          <w:tcPr>
            <w:tcW w:w="8336" w:type="dxa"/>
            <w:gridSpan w:val="5"/>
            <w:vAlign w:val="center"/>
          </w:tcPr>
          <w:p w14:paraId="0D8DB638">
            <w:pPr>
              <w:keepNext w:val="0"/>
              <w:keepLines w:val="0"/>
              <w:suppressLineNumbers w:val="0"/>
              <w:spacing w:before="120" w:beforeLines="50" w:beforeAutospacing="0" w:after="0" w:afterAutospacing="0" w:line="360" w:lineRule="auto"/>
              <w:ind w:left="0" w:right="0"/>
              <w:rPr>
                <w:rFonts w:hint="default"/>
                <w:color w:val="auto"/>
                <w:highlight w:val="none"/>
              </w:rPr>
            </w:pPr>
            <w:r>
              <w:rPr>
                <w:rFonts w:hint="eastAsia"/>
                <w:color w:val="auto"/>
                <w:highlight w:val="none"/>
              </w:rPr>
              <w:t>合格标准：缺少任何一项或有任何一项不合格者，其资格审查视为不合格</w:t>
            </w:r>
          </w:p>
        </w:tc>
      </w:tr>
      <w:tr w14:paraId="18F5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4F9C4E85">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6F6D9C2B">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734" w:type="dxa"/>
            <w:gridSpan w:val="2"/>
            <w:vMerge w:val="restart"/>
            <w:vAlign w:val="center"/>
          </w:tcPr>
          <w:p w14:paraId="7CDF1162">
            <w:pPr>
              <w:keepNext w:val="0"/>
              <w:keepLines w:val="0"/>
              <w:suppressLineNumbers w:val="0"/>
              <w:spacing w:before="120" w:beforeLines="50" w:beforeAutospacing="0" w:after="0" w:afterAutospacing="0" w:line="360" w:lineRule="auto"/>
              <w:ind w:left="0" w:right="0"/>
              <w:jc w:val="center"/>
              <w:rPr>
                <w:rFonts w:hint="eastAsia" w:eastAsia="宋体"/>
                <w:color w:val="auto"/>
                <w:highlight w:val="none"/>
                <w:lang w:val="en-US" w:eastAsia="zh-CN"/>
              </w:rPr>
            </w:pPr>
            <w:r>
              <w:rPr>
                <w:rFonts w:hint="eastAsia"/>
                <w:color w:val="auto"/>
                <w:highlight w:val="none"/>
                <w:lang w:val="en-US" w:eastAsia="zh-CN"/>
              </w:rPr>
              <w:t>基本资质</w:t>
            </w:r>
          </w:p>
        </w:tc>
        <w:tc>
          <w:tcPr>
            <w:tcW w:w="1746" w:type="dxa"/>
            <w:gridSpan w:val="2"/>
            <w:vAlign w:val="center"/>
          </w:tcPr>
          <w:p w14:paraId="4694681B">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eastAsia"/>
                <w:color w:val="auto"/>
                <w:highlight w:val="none"/>
              </w:rPr>
            </w:pPr>
            <w:r>
              <w:rPr>
                <w:rFonts w:hint="eastAsia"/>
                <w:color w:val="auto"/>
                <w:highlight w:val="none"/>
              </w:rPr>
              <w:t>身份证明</w:t>
            </w:r>
          </w:p>
          <w:p w14:paraId="193B5952">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文件</w:t>
            </w:r>
          </w:p>
        </w:tc>
        <w:tc>
          <w:tcPr>
            <w:tcW w:w="5856" w:type="dxa"/>
            <w:vAlign w:val="center"/>
          </w:tcPr>
          <w:p w14:paraId="2BFB4DF4">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具有有效的法定代表人（负责人）身份证明</w:t>
            </w:r>
            <w:r>
              <w:rPr>
                <w:rFonts w:hint="eastAsia"/>
                <w:color w:val="auto"/>
                <w:highlight w:val="none"/>
                <w:lang w:eastAsia="zh-CN"/>
              </w:rPr>
              <w:t>扫描件</w:t>
            </w:r>
            <w:r>
              <w:rPr>
                <w:rFonts w:hint="eastAsia"/>
                <w:color w:val="auto"/>
                <w:highlight w:val="none"/>
              </w:rPr>
              <w:t>、法定代表人（负责人）授权委托书</w:t>
            </w:r>
            <w:r>
              <w:rPr>
                <w:rFonts w:hint="eastAsia"/>
                <w:color w:val="auto"/>
                <w:highlight w:val="none"/>
                <w:lang w:eastAsia="zh-CN"/>
              </w:rPr>
              <w:t>扫描件</w:t>
            </w:r>
            <w:r>
              <w:rPr>
                <w:rFonts w:hint="eastAsia"/>
                <w:color w:val="auto"/>
                <w:highlight w:val="none"/>
              </w:rPr>
              <w:t>（委托代理人签署响应文件）</w:t>
            </w:r>
          </w:p>
        </w:tc>
      </w:tr>
      <w:tr w14:paraId="2431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29" w:type="dxa"/>
            <w:vMerge w:val="continue"/>
            <w:vAlign w:val="center"/>
          </w:tcPr>
          <w:p w14:paraId="2DD9472D">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1D21C3A8">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734" w:type="dxa"/>
            <w:gridSpan w:val="2"/>
            <w:vMerge w:val="continue"/>
            <w:vAlign w:val="center"/>
          </w:tcPr>
          <w:p w14:paraId="21F8D5C3">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17C1524B">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诚信要求</w:t>
            </w:r>
          </w:p>
        </w:tc>
        <w:tc>
          <w:tcPr>
            <w:tcW w:w="5856" w:type="dxa"/>
            <w:vAlign w:val="center"/>
          </w:tcPr>
          <w:p w14:paraId="4E3D6AFF">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符合第二章“供应商须知”第</w:t>
            </w:r>
            <w:r>
              <w:rPr>
                <w:rFonts w:hint="default"/>
                <w:color w:val="auto"/>
                <w:highlight w:val="none"/>
              </w:rPr>
              <w:t>11.4</w:t>
            </w:r>
            <w:r>
              <w:rPr>
                <w:rFonts w:hint="eastAsia"/>
                <w:color w:val="auto"/>
                <w:highlight w:val="none"/>
              </w:rPr>
              <w:t>款规定</w:t>
            </w:r>
          </w:p>
        </w:tc>
      </w:tr>
      <w:tr w14:paraId="5928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3694C119">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0C33BC7F">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734" w:type="dxa"/>
            <w:gridSpan w:val="2"/>
            <w:vMerge w:val="continue"/>
            <w:vAlign w:val="center"/>
          </w:tcPr>
          <w:p w14:paraId="07F0647A">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68B68445">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磋商保证金</w:t>
            </w:r>
          </w:p>
        </w:tc>
        <w:tc>
          <w:tcPr>
            <w:tcW w:w="5856" w:type="dxa"/>
            <w:vAlign w:val="center"/>
          </w:tcPr>
          <w:p w14:paraId="1FABFB67">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符合第二章“供应商须知”第</w:t>
            </w:r>
            <w:r>
              <w:rPr>
                <w:rFonts w:hint="default"/>
                <w:color w:val="auto"/>
                <w:highlight w:val="none"/>
              </w:rPr>
              <w:t>3.4.1</w:t>
            </w:r>
            <w:r>
              <w:rPr>
                <w:rFonts w:hint="eastAsia"/>
                <w:color w:val="auto"/>
                <w:highlight w:val="none"/>
              </w:rPr>
              <w:t>项规定</w:t>
            </w:r>
          </w:p>
        </w:tc>
      </w:tr>
      <w:tr w14:paraId="5FD8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29" w:type="dxa"/>
            <w:vMerge w:val="continue"/>
            <w:vAlign w:val="center"/>
          </w:tcPr>
          <w:p w14:paraId="3804893C">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0F751FD5">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734" w:type="dxa"/>
            <w:gridSpan w:val="2"/>
            <w:vMerge w:val="continue"/>
            <w:vAlign w:val="center"/>
          </w:tcPr>
          <w:p w14:paraId="32D7A72D">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226F8CB5">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其他要求</w:t>
            </w:r>
          </w:p>
        </w:tc>
        <w:tc>
          <w:tcPr>
            <w:tcW w:w="5856" w:type="dxa"/>
            <w:vAlign w:val="center"/>
          </w:tcPr>
          <w:p w14:paraId="15B4D2C7">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符合第二章“供应商须知”第</w:t>
            </w:r>
            <w:r>
              <w:rPr>
                <w:rFonts w:hint="default"/>
                <w:color w:val="auto"/>
                <w:highlight w:val="none"/>
              </w:rPr>
              <w:t>3.1.5</w:t>
            </w:r>
            <w:r>
              <w:rPr>
                <w:rFonts w:hint="eastAsia"/>
                <w:color w:val="auto"/>
                <w:highlight w:val="none"/>
              </w:rPr>
              <w:t>项规定</w:t>
            </w:r>
          </w:p>
        </w:tc>
      </w:tr>
      <w:tr w14:paraId="536E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9" w:type="dxa"/>
            <w:vMerge w:val="continue"/>
            <w:vAlign w:val="center"/>
          </w:tcPr>
          <w:p w14:paraId="4573233C">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52C379FB">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734" w:type="dxa"/>
            <w:gridSpan w:val="2"/>
            <w:vMerge w:val="restart"/>
            <w:vAlign w:val="center"/>
          </w:tcPr>
          <w:p w14:paraId="379452CA">
            <w:pPr>
              <w:keepNext w:val="0"/>
              <w:keepLines w:val="0"/>
              <w:suppressLineNumbers w:val="0"/>
              <w:spacing w:before="120" w:beforeLines="50" w:beforeAutospacing="0" w:after="0" w:afterAutospacing="0" w:line="360" w:lineRule="auto"/>
              <w:ind w:left="0" w:right="0"/>
              <w:jc w:val="center"/>
              <w:rPr>
                <w:rFonts w:hint="default"/>
                <w:color w:val="auto"/>
                <w:highlight w:val="none"/>
              </w:rPr>
            </w:pPr>
            <w:r>
              <w:rPr>
                <w:rFonts w:hint="eastAsia"/>
                <w:color w:val="auto"/>
                <w:highlight w:val="none"/>
              </w:rPr>
              <w:t>特定资质条件</w:t>
            </w:r>
          </w:p>
        </w:tc>
        <w:tc>
          <w:tcPr>
            <w:tcW w:w="1746" w:type="dxa"/>
            <w:gridSpan w:val="2"/>
            <w:vAlign w:val="center"/>
          </w:tcPr>
          <w:p w14:paraId="524430F6">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资质条件</w:t>
            </w:r>
          </w:p>
        </w:tc>
        <w:tc>
          <w:tcPr>
            <w:tcW w:w="5856" w:type="dxa"/>
            <w:vAlign w:val="center"/>
          </w:tcPr>
          <w:p w14:paraId="136A59F4">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符合第二章“供应商须知”第</w:t>
            </w:r>
            <w:r>
              <w:rPr>
                <w:rFonts w:hint="default"/>
                <w:color w:val="auto"/>
                <w:highlight w:val="none"/>
              </w:rPr>
              <w:t>1.3.1</w:t>
            </w:r>
            <w:r>
              <w:rPr>
                <w:rFonts w:hint="eastAsia"/>
                <w:color w:val="auto"/>
                <w:highlight w:val="none"/>
              </w:rPr>
              <w:t>项规定</w:t>
            </w:r>
          </w:p>
        </w:tc>
      </w:tr>
      <w:tr w14:paraId="47AA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vMerge w:val="continue"/>
            <w:vAlign w:val="center"/>
          </w:tcPr>
          <w:p w14:paraId="707F3715">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0D7138C6">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734" w:type="dxa"/>
            <w:gridSpan w:val="2"/>
            <w:vMerge w:val="continue"/>
            <w:vAlign w:val="center"/>
          </w:tcPr>
          <w:p w14:paraId="03BECCCE">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1306786D">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人员要求</w:t>
            </w:r>
          </w:p>
        </w:tc>
        <w:tc>
          <w:tcPr>
            <w:tcW w:w="5856" w:type="dxa"/>
            <w:vAlign w:val="center"/>
          </w:tcPr>
          <w:p w14:paraId="02F9792B">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符合第二章“供应商须知”第</w:t>
            </w:r>
            <w:r>
              <w:rPr>
                <w:rFonts w:hint="default"/>
                <w:color w:val="auto"/>
                <w:highlight w:val="none"/>
              </w:rPr>
              <w:t>1.3.1</w:t>
            </w:r>
            <w:r>
              <w:rPr>
                <w:rFonts w:hint="eastAsia"/>
                <w:color w:val="auto"/>
                <w:highlight w:val="none"/>
              </w:rPr>
              <w:t>项规定</w:t>
            </w:r>
          </w:p>
        </w:tc>
      </w:tr>
      <w:tr w14:paraId="6D1B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29" w:type="dxa"/>
            <w:vMerge w:val="continue"/>
            <w:vAlign w:val="center"/>
          </w:tcPr>
          <w:p w14:paraId="192D62EF">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6F576D30">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734" w:type="dxa"/>
            <w:gridSpan w:val="2"/>
            <w:vMerge w:val="restart"/>
            <w:vAlign w:val="center"/>
          </w:tcPr>
          <w:p w14:paraId="70F162A7">
            <w:pPr>
              <w:keepNext w:val="0"/>
              <w:keepLines w:val="0"/>
              <w:suppressLineNumbers w:val="0"/>
              <w:spacing w:before="120" w:beforeLines="50" w:beforeAutospacing="0" w:after="0" w:afterAutospacing="0" w:line="360" w:lineRule="auto"/>
              <w:ind w:left="0" w:right="0"/>
              <w:jc w:val="center"/>
              <w:rPr>
                <w:rFonts w:hint="default"/>
                <w:color w:val="auto"/>
                <w:highlight w:val="none"/>
              </w:rPr>
            </w:pPr>
            <w:r>
              <w:rPr>
                <w:rFonts w:hint="eastAsia" w:hAnsi="宋体"/>
                <w:color w:val="auto"/>
                <w:highlight w:val="none"/>
                <w:lang w:bidi="ar"/>
              </w:rPr>
              <w:t>采购政策</w:t>
            </w:r>
          </w:p>
        </w:tc>
        <w:tc>
          <w:tcPr>
            <w:tcW w:w="1746" w:type="dxa"/>
            <w:gridSpan w:val="2"/>
            <w:vAlign w:val="center"/>
          </w:tcPr>
          <w:p w14:paraId="61B254F0">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ascii="Times New Roman" w:hAnsi="宋体" w:cs="Arial"/>
                <w:color w:val="auto"/>
                <w:kern w:val="2"/>
                <w:highlight w:val="none"/>
                <w:lang w:bidi="ar"/>
              </w:rPr>
              <w:t>中小企业</w:t>
            </w:r>
            <w:r>
              <w:rPr>
                <w:rFonts w:hint="default" w:ascii="Times New Roman" w:hAnsi="宋体" w:cs="Arial"/>
                <w:color w:val="auto"/>
                <w:kern w:val="2"/>
                <w:highlight w:val="none"/>
                <w:lang w:bidi="ar"/>
              </w:rPr>
              <w:t>/</w:t>
            </w:r>
            <w:r>
              <w:rPr>
                <w:rFonts w:hint="eastAsia" w:ascii="Times New Roman" w:hAnsi="宋体" w:cs="Arial"/>
                <w:color w:val="auto"/>
                <w:kern w:val="2"/>
                <w:highlight w:val="none"/>
                <w:lang w:bidi="ar"/>
              </w:rPr>
              <w:t>小微企业</w:t>
            </w:r>
          </w:p>
        </w:tc>
        <w:tc>
          <w:tcPr>
            <w:tcW w:w="5856" w:type="dxa"/>
            <w:vAlign w:val="center"/>
          </w:tcPr>
          <w:p w14:paraId="1DF2DFD0">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符合第二章“供应商须知”第11.1.4项规定</w:t>
            </w:r>
          </w:p>
        </w:tc>
      </w:tr>
      <w:tr w14:paraId="2772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vMerge w:val="continue"/>
            <w:vAlign w:val="center"/>
          </w:tcPr>
          <w:p w14:paraId="68DD030A">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1FF68A76">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734" w:type="dxa"/>
            <w:gridSpan w:val="2"/>
            <w:vMerge w:val="continue"/>
            <w:vAlign w:val="center"/>
          </w:tcPr>
          <w:p w14:paraId="30537B52">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0E2B0FC1">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eastAsia" w:ascii="Times New Roman" w:hAnsi="宋体" w:cs="Arial"/>
                <w:color w:val="auto"/>
                <w:kern w:val="2"/>
                <w:highlight w:val="none"/>
                <w:lang w:bidi="ar"/>
              </w:rPr>
            </w:pPr>
            <w:r>
              <w:rPr>
                <w:rFonts w:hint="eastAsia" w:ascii="Times New Roman" w:hAnsi="宋体" w:cs="Arial"/>
                <w:color w:val="auto"/>
                <w:kern w:val="2"/>
                <w:highlight w:val="none"/>
                <w:lang w:bidi="ar"/>
              </w:rPr>
              <w:t>监狱企业</w:t>
            </w:r>
          </w:p>
          <w:p w14:paraId="01C4B00F">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ascii="Times New Roman" w:hAnsi="宋体" w:cs="Arial"/>
                <w:color w:val="auto"/>
                <w:kern w:val="2"/>
                <w:highlight w:val="none"/>
                <w:lang w:bidi="ar"/>
              </w:rPr>
              <w:t>（如是）</w:t>
            </w:r>
          </w:p>
        </w:tc>
        <w:tc>
          <w:tcPr>
            <w:tcW w:w="5856" w:type="dxa"/>
            <w:vAlign w:val="center"/>
          </w:tcPr>
          <w:p w14:paraId="1723B728">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监狱企业视同小型、微型企业享受相关中小企业扶持政策；如是，应符合第二章“供应商须知”第11.1.6项规定</w:t>
            </w:r>
          </w:p>
        </w:tc>
      </w:tr>
      <w:tr w14:paraId="3CBE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29" w:type="dxa"/>
            <w:vMerge w:val="continue"/>
            <w:vAlign w:val="center"/>
          </w:tcPr>
          <w:p w14:paraId="396BB579">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241A53EE">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734" w:type="dxa"/>
            <w:gridSpan w:val="2"/>
            <w:vMerge w:val="continue"/>
            <w:vAlign w:val="center"/>
          </w:tcPr>
          <w:p w14:paraId="5D39880A">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7C5163A4">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ascii="Times New Roman" w:hAnsi="宋体" w:cs="Arial"/>
                <w:color w:val="auto"/>
                <w:kern w:val="2"/>
                <w:highlight w:val="none"/>
                <w:lang w:bidi="ar"/>
              </w:rPr>
              <w:t>残疾人福利企业（如是）</w:t>
            </w:r>
          </w:p>
        </w:tc>
        <w:tc>
          <w:tcPr>
            <w:tcW w:w="5856" w:type="dxa"/>
            <w:vAlign w:val="center"/>
          </w:tcPr>
          <w:p w14:paraId="731B3171">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残疾人福利企业视同小型、微型企业享受相关中小企业扶持政策；如是，应符合第二章“供应商须知”第11.1.5项规定</w:t>
            </w:r>
          </w:p>
        </w:tc>
      </w:tr>
      <w:tr w14:paraId="7644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9" w:type="dxa"/>
            <w:vMerge w:val="restart"/>
            <w:vAlign w:val="center"/>
          </w:tcPr>
          <w:p w14:paraId="0418F01D">
            <w:pPr>
              <w:keepNext w:val="0"/>
              <w:keepLines w:val="0"/>
              <w:suppressLineNumbers w:val="0"/>
              <w:spacing w:before="120" w:beforeLines="50" w:beforeAutospacing="0" w:after="0" w:afterAutospacing="0" w:line="360" w:lineRule="auto"/>
              <w:ind w:left="0" w:right="0"/>
              <w:rPr>
                <w:rFonts w:hint="default"/>
                <w:color w:val="auto"/>
                <w:highlight w:val="none"/>
              </w:rPr>
            </w:pPr>
            <w:r>
              <w:rPr>
                <w:rFonts w:hint="default"/>
                <w:color w:val="auto"/>
                <w:highlight w:val="none"/>
              </w:rPr>
              <w:t>2.1.2</w:t>
            </w:r>
          </w:p>
        </w:tc>
        <w:tc>
          <w:tcPr>
            <w:tcW w:w="1284" w:type="dxa"/>
            <w:gridSpan w:val="2"/>
            <w:vMerge w:val="restart"/>
            <w:vAlign w:val="center"/>
          </w:tcPr>
          <w:p w14:paraId="44B52687">
            <w:pPr>
              <w:keepNext w:val="0"/>
              <w:keepLines w:val="0"/>
              <w:suppressLineNumbers w:val="0"/>
              <w:spacing w:before="120" w:beforeLines="50" w:beforeAutospacing="0" w:after="0" w:afterAutospacing="0" w:line="360" w:lineRule="auto"/>
              <w:ind w:left="0" w:right="0"/>
              <w:jc w:val="center"/>
              <w:rPr>
                <w:rFonts w:hint="default"/>
                <w:color w:val="auto"/>
                <w:highlight w:val="none"/>
              </w:rPr>
            </w:pPr>
            <w:r>
              <w:rPr>
                <w:rFonts w:hint="eastAsia"/>
                <w:color w:val="auto"/>
                <w:highlight w:val="none"/>
              </w:rPr>
              <w:t>符合性</w:t>
            </w:r>
          </w:p>
          <w:p w14:paraId="4DD3A3D7">
            <w:pPr>
              <w:keepNext w:val="0"/>
              <w:keepLines w:val="0"/>
              <w:suppressLineNumbers w:val="0"/>
              <w:spacing w:before="120" w:beforeLines="50" w:beforeAutospacing="0" w:after="0" w:afterAutospacing="0" w:line="360" w:lineRule="auto"/>
              <w:ind w:left="0" w:right="0"/>
              <w:jc w:val="center"/>
              <w:rPr>
                <w:rFonts w:hint="default"/>
                <w:color w:val="auto"/>
                <w:highlight w:val="none"/>
              </w:rPr>
            </w:pPr>
            <w:r>
              <w:rPr>
                <w:rFonts w:hint="eastAsia"/>
                <w:color w:val="auto"/>
                <w:highlight w:val="none"/>
              </w:rPr>
              <w:t>审查</w:t>
            </w:r>
          </w:p>
        </w:tc>
        <w:tc>
          <w:tcPr>
            <w:tcW w:w="8336" w:type="dxa"/>
            <w:gridSpan w:val="5"/>
            <w:vAlign w:val="center"/>
          </w:tcPr>
          <w:p w14:paraId="0DB4EC60">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合格标准：缺少任何一项或有任何一项不合格者，其符合性审查视为不合格</w:t>
            </w:r>
          </w:p>
        </w:tc>
      </w:tr>
      <w:tr w14:paraId="7D80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4351D0AA">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006D26E3">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734" w:type="dxa"/>
            <w:gridSpan w:val="2"/>
            <w:vMerge w:val="restart"/>
            <w:vAlign w:val="center"/>
          </w:tcPr>
          <w:p w14:paraId="5F8071BD">
            <w:pPr>
              <w:keepNext w:val="0"/>
              <w:keepLines w:val="0"/>
              <w:suppressLineNumbers w:val="0"/>
              <w:spacing w:before="120" w:beforeLines="50" w:beforeAutospacing="0" w:after="0" w:afterAutospacing="0" w:line="360" w:lineRule="auto"/>
              <w:ind w:left="0" w:right="0"/>
              <w:jc w:val="center"/>
              <w:rPr>
                <w:rFonts w:hint="default"/>
                <w:color w:val="auto"/>
                <w:highlight w:val="none"/>
              </w:rPr>
            </w:pPr>
            <w:r>
              <w:rPr>
                <w:rFonts w:hint="eastAsia"/>
                <w:color w:val="auto"/>
                <w:highlight w:val="none"/>
              </w:rPr>
              <w:t>商务资信</w:t>
            </w:r>
          </w:p>
        </w:tc>
        <w:tc>
          <w:tcPr>
            <w:tcW w:w="1746" w:type="dxa"/>
            <w:gridSpan w:val="2"/>
            <w:vAlign w:val="center"/>
          </w:tcPr>
          <w:p w14:paraId="4C5792E8">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供应商名称</w:t>
            </w:r>
          </w:p>
        </w:tc>
        <w:tc>
          <w:tcPr>
            <w:tcW w:w="5856" w:type="dxa"/>
            <w:vAlign w:val="center"/>
          </w:tcPr>
          <w:p w14:paraId="057D1C1A">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与供应商的资质证书、安全生产许可证书一致</w:t>
            </w:r>
          </w:p>
        </w:tc>
      </w:tr>
      <w:tr w14:paraId="0C64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9" w:type="dxa"/>
            <w:vMerge w:val="continue"/>
            <w:vAlign w:val="center"/>
          </w:tcPr>
          <w:p w14:paraId="0861487B">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58EFEDCA">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734" w:type="dxa"/>
            <w:gridSpan w:val="2"/>
            <w:vMerge w:val="continue"/>
            <w:vAlign w:val="center"/>
          </w:tcPr>
          <w:p w14:paraId="4E24A7EB">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162F2C27">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签字盖章</w:t>
            </w:r>
          </w:p>
        </w:tc>
        <w:tc>
          <w:tcPr>
            <w:tcW w:w="5856" w:type="dxa"/>
            <w:vAlign w:val="center"/>
          </w:tcPr>
          <w:p w14:paraId="726A27D8">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符合第二章“供应商须知”第</w:t>
            </w:r>
            <w:r>
              <w:rPr>
                <w:rFonts w:hint="default"/>
                <w:color w:val="auto"/>
                <w:highlight w:val="none"/>
              </w:rPr>
              <w:t>3.5.3</w:t>
            </w:r>
            <w:r>
              <w:rPr>
                <w:rFonts w:hint="eastAsia"/>
                <w:color w:val="auto"/>
                <w:highlight w:val="none"/>
              </w:rPr>
              <w:t>项规定</w:t>
            </w:r>
          </w:p>
        </w:tc>
      </w:tr>
      <w:tr w14:paraId="4E08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45414F80">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5D86567D">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734" w:type="dxa"/>
            <w:gridSpan w:val="2"/>
            <w:vMerge w:val="continue"/>
            <w:vAlign w:val="center"/>
          </w:tcPr>
          <w:p w14:paraId="1636899E">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0AEC49D4">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响应文件格式</w:t>
            </w:r>
          </w:p>
        </w:tc>
        <w:tc>
          <w:tcPr>
            <w:tcW w:w="5856" w:type="dxa"/>
            <w:vAlign w:val="center"/>
          </w:tcPr>
          <w:p w14:paraId="75E4AF1D">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符合第六章“响应文件格式”的要求</w:t>
            </w:r>
          </w:p>
        </w:tc>
      </w:tr>
      <w:tr w14:paraId="3ED0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29" w:type="dxa"/>
            <w:vMerge w:val="continue"/>
            <w:vAlign w:val="center"/>
          </w:tcPr>
          <w:p w14:paraId="63DCE6D1">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084551BC">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734" w:type="dxa"/>
            <w:gridSpan w:val="2"/>
            <w:vMerge w:val="continue"/>
            <w:vAlign w:val="center"/>
          </w:tcPr>
          <w:p w14:paraId="6F81186F">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09DDDC0C">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投标内容</w:t>
            </w:r>
          </w:p>
        </w:tc>
        <w:tc>
          <w:tcPr>
            <w:tcW w:w="5856" w:type="dxa"/>
            <w:vAlign w:val="center"/>
          </w:tcPr>
          <w:p w14:paraId="44F54921">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符合第二章“供应商须知”第</w:t>
            </w:r>
            <w:r>
              <w:rPr>
                <w:rFonts w:hint="default"/>
                <w:color w:val="auto"/>
                <w:highlight w:val="none"/>
              </w:rPr>
              <w:t>1.1.5</w:t>
            </w:r>
            <w:r>
              <w:rPr>
                <w:rFonts w:hint="eastAsia"/>
                <w:color w:val="auto"/>
                <w:highlight w:val="none"/>
              </w:rPr>
              <w:t>项规定</w:t>
            </w:r>
          </w:p>
        </w:tc>
      </w:tr>
      <w:tr w14:paraId="14F3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9" w:type="dxa"/>
            <w:vMerge w:val="continue"/>
            <w:vAlign w:val="center"/>
          </w:tcPr>
          <w:p w14:paraId="300EA9CB">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334ECA37">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734" w:type="dxa"/>
            <w:gridSpan w:val="2"/>
            <w:vMerge w:val="continue"/>
            <w:vAlign w:val="center"/>
          </w:tcPr>
          <w:p w14:paraId="18EDE46B">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3B088E07">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工期</w:t>
            </w:r>
          </w:p>
        </w:tc>
        <w:tc>
          <w:tcPr>
            <w:tcW w:w="5856" w:type="dxa"/>
            <w:vAlign w:val="center"/>
          </w:tcPr>
          <w:p w14:paraId="4325CC3F">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符合第二章“供应商须知”第</w:t>
            </w:r>
            <w:r>
              <w:rPr>
                <w:rFonts w:hint="default"/>
                <w:color w:val="auto"/>
                <w:highlight w:val="none"/>
              </w:rPr>
              <w:t>1.1.5</w:t>
            </w:r>
            <w:r>
              <w:rPr>
                <w:rFonts w:hint="eastAsia"/>
                <w:color w:val="auto"/>
                <w:highlight w:val="none"/>
              </w:rPr>
              <w:t>项规定</w:t>
            </w:r>
          </w:p>
        </w:tc>
      </w:tr>
      <w:tr w14:paraId="06FC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9" w:type="dxa"/>
            <w:vMerge w:val="continue"/>
            <w:vAlign w:val="center"/>
          </w:tcPr>
          <w:p w14:paraId="3A9122F6">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4457E62C">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734" w:type="dxa"/>
            <w:gridSpan w:val="2"/>
            <w:vMerge w:val="continue"/>
            <w:vAlign w:val="center"/>
          </w:tcPr>
          <w:p w14:paraId="408CE084">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34FFEF85">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工程质量</w:t>
            </w:r>
          </w:p>
        </w:tc>
        <w:tc>
          <w:tcPr>
            <w:tcW w:w="5856" w:type="dxa"/>
            <w:vAlign w:val="center"/>
          </w:tcPr>
          <w:p w14:paraId="313F7D55">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符合第二章“供应商须知”第</w:t>
            </w:r>
            <w:r>
              <w:rPr>
                <w:rFonts w:hint="default"/>
                <w:color w:val="auto"/>
                <w:highlight w:val="none"/>
              </w:rPr>
              <w:t>1.1.5</w:t>
            </w:r>
            <w:r>
              <w:rPr>
                <w:rFonts w:hint="eastAsia"/>
                <w:color w:val="auto"/>
                <w:highlight w:val="none"/>
              </w:rPr>
              <w:t>项规定</w:t>
            </w:r>
          </w:p>
        </w:tc>
      </w:tr>
      <w:tr w14:paraId="744E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7C503097">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443C4475">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734" w:type="dxa"/>
            <w:gridSpan w:val="2"/>
            <w:vMerge w:val="continue"/>
            <w:vAlign w:val="center"/>
          </w:tcPr>
          <w:p w14:paraId="60318514">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4AC09ABB">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磋商有效期</w:t>
            </w:r>
          </w:p>
        </w:tc>
        <w:tc>
          <w:tcPr>
            <w:tcW w:w="5856" w:type="dxa"/>
            <w:vAlign w:val="center"/>
          </w:tcPr>
          <w:p w14:paraId="700501AC">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符合第二章“供应商须知”第</w:t>
            </w:r>
            <w:r>
              <w:rPr>
                <w:rFonts w:hint="default"/>
                <w:color w:val="auto"/>
                <w:highlight w:val="none"/>
              </w:rPr>
              <w:t>3.3.1</w:t>
            </w:r>
            <w:r>
              <w:rPr>
                <w:rFonts w:hint="eastAsia"/>
                <w:color w:val="auto"/>
                <w:highlight w:val="none"/>
              </w:rPr>
              <w:t>项规定</w:t>
            </w:r>
          </w:p>
        </w:tc>
      </w:tr>
      <w:tr w14:paraId="62B4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067E6CDF">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6397A1F0">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734" w:type="dxa"/>
            <w:gridSpan w:val="2"/>
            <w:vMerge w:val="continue"/>
            <w:vAlign w:val="center"/>
          </w:tcPr>
          <w:p w14:paraId="38DDA21B">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6ADEBCD0">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权利义务</w:t>
            </w:r>
          </w:p>
        </w:tc>
        <w:tc>
          <w:tcPr>
            <w:tcW w:w="5856" w:type="dxa"/>
            <w:vAlign w:val="center"/>
          </w:tcPr>
          <w:p w14:paraId="5FF1DCF9">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竞标函附录中的相关承诺符合或优于第四章“合同条款及格式”的相关规定</w:t>
            </w:r>
          </w:p>
        </w:tc>
      </w:tr>
      <w:tr w14:paraId="6913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4C0642BD">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40DDA5AF">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734" w:type="dxa"/>
            <w:gridSpan w:val="2"/>
            <w:vMerge w:val="continue"/>
            <w:vAlign w:val="center"/>
          </w:tcPr>
          <w:p w14:paraId="216AD5E2">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4C97A28D">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eastAsia"/>
                <w:color w:val="auto"/>
                <w:highlight w:val="none"/>
              </w:rPr>
            </w:pPr>
            <w:r>
              <w:rPr>
                <w:rFonts w:hint="eastAsia"/>
                <w:color w:val="auto"/>
                <w:highlight w:val="none"/>
              </w:rPr>
              <w:t>已标价工程量</w:t>
            </w:r>
          </w:p>
          <w:p w14:paraId="31340AB4">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清单</w:t>
            </w:r>
          </w:p>
        </w:tc>
        <w:tc>
          <w:tcPr>
            <w:tcW w:w="5856" w:type="dxa"/>
            <w:vAlign w:val="center"/>
          </w:tcPr>
          <w:p w14:paraId="282AF3C2">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符合第七章“工程量清单”的编制要求</w:t>
            </w:r>
          </w:p>
        </w:tc>
      </w:tr>
      <w:tr w14:paraId="220E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5180DCDA">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3EE6851A">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734" w:type="dxa"/>
            <w:gridSpan w:val="2"/>
            <w:vAlign w:val="center"/>
          </w:tcPr>
          <w:p w14:paraId="1AC345DF">
            <w:pPr>
              <w:keepNext w:val="0"/>
              <w:keepLines w:val="0"/>
              <w:suppressLineNumbers w:val="0"/>
              <w:spacing w:before="120" w:beforeLines="50" w:beforeAutospacing="0" w:after="0" w:afterAutospacing="0" w:line="360" w:lineRule="auto"/>
              <w:ind w:left="0" w:leftChars="0" w:right="0" w:rightChars="0"/>
              <w:jc w:val="center"/>
              <w:rPr>
                <w:rFonts w:hint="eastAsia"/>
                <w:color w:val="auto"/>
                <w:highlight w:val="none"/>
              </w:rPr>
            </w:pPr>
            <w:r>
              <w:rPr>
                <w:rFonts w:hint="eastAsia"/>
                <w:color w:val="auto"/>
                <w:highlight w:val="none"/>
              </w:rPr>
              <w:t>报价</w:t>
            </w:r>
          </w:p>
        </w:tc>
        <w:tc>
          <w:tcPr>
            <w:tcW w:w="1746" w:type="dxa"/>
            <w:gridSpan w:val="2"/>
            <w:vAlign w:val="center"/>
          </w:tcPr>
          <w:p w14:paraId="3EFA37BC">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leftChars="0" w:right="0" w:rightChars="0"/>
              <w:jc w:val="center"/>
              <w:textAlignment w:val="auto"/>
              <w:rPr>
                <w:rFonts w:hint="eastAsia"/>
                <w:color w:val="auto"/>
                <w:highlight w:val="none"/>
              </w:rPr>
            </w:pPr>
            <w:r>
              <w:rPr>
                <w:rFonts w:hint="default"/>
                <w:color w:val="auto"/>
                <w:highlight w:val="none"/>
              </w:rPr>
              <w:t>报价符合性</w:t>
            </w:r>
          </w:p>
        </w:tc>
        <w:tc>
          <w:tcPr>
            <w:tcW w:w="5856" w:type="dxa"/>
            <w:vAlign w:val="center"/>
          </w:tcPr>
          <w:p w14:paraId="47F0C7E3">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leftChars="0" w:right="0" w:rightChars="0"/>
              <w:textAlignment w:val="auto"/>
              <w:rPr>
                <w:rFonts w:hint="eastAsia"/>
                <w:color w:val="auto"/>
                <w:highlight w:val="none"/>
              </w:rPr>
            </w:pPr>
            <w:r>
              <w:rPr>
                <w:rFonts w:hint="eastAsia"/>
                <w:color w:val="auto"/>
                <w:highlight w:val="none"/>
              </w:rPr>
              <w:t>只能有一个有效报价，且符合第二章“供应商须知”第</w:t>
            </w:r>
            <w:r>
              <w:rPr>
                <w:rFonts w:hint="default"/>
                <w:color w:val="auto"/>
                <w:highlight w:val="none"/>
              </w:rPr>
              <w:t>3.2.2</w:t>
            </w:r>
            <w:r>
              <w:rPr>
                <w:rFonts w:hint="eastAsia"/>
                <w:color w:val="auto"/>
                <w:highlight w:val="none"/>
              </w:rPr>
              <w:t>项、第</w:t>
            </w:r>
            <w:r>
              <w:rPr>
                <w:rFonts w:hint="default"/>
                <w:color w:val="auto"/>
                <w:highlight w:val="none"/>
              </w:rPr>
              <w:t>3.2.3</w:t>
            </w:r>
            <w:r>
              <w:rPr>
                <w:rFonts w:hint="eastAsia"/>
                <w:color w:val="auto"/>
                <w:highlight w:val="none"/>
              </w:rPr>
              <w:t>项规定</w:t>
            </w:r>
          </w:p>
        </w:tc>
      </w:tr>
      <w:tr w14:paraId="3798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44854E33">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78896183">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734" w:type="dxa"/>
            <w:gridSpan w:val="2"/>
            <w:vAlign w:val="center"/>
          </w:tcPr>
          <w:p w14:paraId="390F4D1B">
            <w:pPr>
              <w:keepNext w:val="0"/>
              <w:keepLines w:val="0"/>
              <w:suppressLineNumbers w:val="0"/>
              <w:spacing w:before="120" w:beforeLines="50" w:beforeAutospacing="0" w:after="0" w:afterAutospacing="0" w:line="360" w:lineRule="auto"/>
              <w:ind w:left="0" w:right="0"/>
              <w:jc w:val="center"/>
              <w:rPr>
                <w:rFonts w:hint="default"/>
                <w:color w:val="auto"/>
                <w:highlight w:val="none"/>
              </w:rPr>
            </w:pPr>
            <w:r>
              <w:rPr>
                <w:rFonts w:hint="eastAsia"/>
                <w:color w:val="auto"/>
                <w:highlight w:val="none"/>
              </w:rPr>
              <w:t>技术</w:t>
            </w:r>
          </w:p>
        </w:tc>
        <w:tc>
          <w:tcPr>
            <w:tcW w:w="1746" w:type="dxa"/>
            <w:gridSpan w:val="2"/>
            <w:vAlign w:val="center"/>
          </w:tcPr>
          <w:p w14:paraId="101E3A03">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eastAsia"/>
                <w:color w:val="auto"/>
                <w:highlight w:val="none"/>
              </w:rPr>
            </w:pPr>
            <w:r>
              <w:rPr>
                <w:rFonts w:hint="eastAsia"/>
                <w:color w:val="auto"/>
                <w:highlight w:val="none"/>
              </w:rPr>
              <w:t>技术标准和</w:t>
            </w:r>
          </w:p>
          <w:p w14:paraId="1FD6B6CF">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要求</w:t>
            </w:r>
          </w:p>
        </w:tc>
        <w:tc>
          <w:tcPr>
            <w:tcW w:w="5856" w:type="dxa"/>
            <w:vAlign w:val="center"/>
          </w:tcPr>
          <w:p w14:paraId="55372899">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w:t>
            </w:r>
            <w:r>
              <w:rPr>
                <w:rFonts w:hint="eastAsia" w:hAnsi="宋体"/>
                <w:color w:val="auto"/>
                <w:highlight w:val="none"/>
              </w:rPr>
              <w:t>五章“技术标准和要求”规定</w:t>
            </w:r>
          </w:p>
        </w:tc>
      </w:tr>
      <w:tr w14:paraId="01C9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449" w:type="dxa"/>
            <w:gridSpan w:val="8"/>
            <w:vAlign w:val="center"/>
          </w:tcPr>
          <w:p w14:paraId="7BC196F4">
            <w:pPr>
              <w:keepNext w:val="0"/>
              <w:keepLines w:val="0"/>
              <w:suppressLineNumbers w:val="0"/>
              <w:spacing w:before="120" w:beforeLines="50" w:beforeAutospacing="0" w:after="0" w:afterAutospacing="0" w:line="360" w:lineRule="auto"/>
              <w:ind w:left="0" w:right="0"/>
              <w:rPr>
                <w:rFonts w:hint="default"/>
                <w:b/>
                <w:color w:val="auto"/>
                <w:highlight w:val="none"/>
              </w:rPr>
            </w:pPr>
            <w:r>
              <w:rPr>
                <w:rFonts w:hint="default"/>
                <w:b/>
                <w:color w:val="auto"/>
                <w:highlight w:val="none"/>
              </w:rPr>
              <w:t>2.2</w:t>
            </w:r>
            <w:r>
              <w:rPr>
                <w:rFonts w:hint="eastAsia"/>
                <w:b/>
                <w:color w:val="auto"/>
                <w:highlight w:val="none"/>
              </w:rPr>
              <w:t>综合评分</w:t>
            </w:r>
          </w:p>
        </w:tc>
      </w:tr>
      <w:tr w14:paraId="145F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29" w:type="dxa"/>
            <w:vAlign w:val="center"/>
          </w:tcPr>
          <w:p w14:paraId="72118DA8">
            <w:pPr>
              <w:keepNext w:val="0"/>
              <w:keepLines w:val="0"/>
              <w:suppressLineNumbers w:val="0"/>
              <w:spacing w:before="120" w:beforeLines="50" w:beforeAutospacing="0" w:after="0" w:afterAutospacing="0" w:line="360" w:lineRule="auto"/>
              <w:ind w:left="0" w:right="0"/>
              <w:rPr>
                <w:rFonts w:hint="default"/>
                <w:color w:val="auto"/>
                <w:highlight w:val="none"/>
              </w:rPr>
            </w:pPr>
            <w:r>
              <w:rPr>
                <w:rFonts w:hint="default"/>
                <w:color w:val="auto"/>
                <w:highlight w:val="none"/>
              </w:rPr>
              <w:t>2.2.1</w:t>
            </w:r>
          </w:p>
        </w:tc>
        <w:tc>
          <w:tcPr>
            <w:tcW w:w="1284" w:type="dxa"/>
            <w:gridSpan w:val="2"/>
            <w:vAlign w:val="center"/>
          </w:tcPr>
          <w:p w14:paraId="5BFD3DCF">
            <w:pPr>
              <w:keepNext w:val="0"/>
              <w:keepLines w:val="0"/>
              <w:suppressLineNumbers w:val="0"/>
              <w:spacing w:before="120" w:beforeLines="50" w:beforeAutospacing="0" w:after="0" w:afterAutospacing="0" w:line="360" w:lineRule="auto"/>
              <w:ind w:left="0" w:right="0"/>
              <w:jc w:val="center"/>
              <w:rPr>
                <w:rFonts w:hint="default"/>
                <w:color w:val="auto"/>
                <w:highlight w:val="none"/>
              </w:rPr>
            </w:pPr>
            <w:r>
              <w:rPr>
                <w:rFonts w:hint="eastAsia"/>
                <w:color w:val="auto"/>
                <w:highlight w:val="none"/>
              </w:rPr>
              <w:t>分值构成（总分</w:t>
            </w:r>
            <w:r>
              <w:rPr>
                <w:rFonts w:hint="default"/>
                <w:color w:val="auto"/>
                <w:highlight w:val="none"/>
              </w:rPr>
              <w:t>100</w:t>
            </w:r>
            <w:r>
              <w:rPr>
                <w:rFonts w:hint="eastAsia"/>
                <w:color w:val="auto"/>
                <w:highlight w:val="none"/>
              </w:rPr>
              <w:t>分）</w:t>
            </w:r>
          </w:p>
        </w:tc>
        <w:tc>
          <w:tcPr>
            <w:tcW w:w="8336" w:type="dxa"/>
            <w:gridSpan w:val="5"/>
            <w:vAlign w:val="center"/>
          </w:tcPr>
          <w:p w14:paraId="78A8ED74">
            <w:pPr>
              <w:keepNext w:val="0"/>
              <w:keepLines w:val="0"/>
              <w:widowControl/>
              <w:suppressLineNumbers w:val="0"/>
              <w:spacing w:before="120" w:beforeLines="50" w:beforeAutospacing="0" w:after="0" w:afterAutospacing="0" w:line="360" w:lineRule="auto"/>
              <w:ind w:left="0" w:right="0"/>
              <w:jc w:val="left"/>
              <w:rPr>
                <w:rFonts w:hint="default"/>
                <w:color w:val="auto"/>
                <w:highlight w:val="none"/>
              </w:rPr>
            </w:pPr>
            <w:r>
              <w:rPr>
                <w:rFonts w:hint="eastAsia"/>
                <w:color w:val="auto"/>
                <w:highlight w:val="none"/>
              </w:rPr>
              <w:t>报价分：</w:t>
            </w:r>
            <w:r>
              <w:rPr>
                <w:rFonts w:hint="eastAsia"/>
                <w:color w:val="auto"/>
                <w:highlight w:val="none"/>
                <w:lang w:val="en-US" w:eastAsia="zh-CN"/>
              </w:rPr>
              <w:t>30</w:t>
            </w:r>
            <w:r>
              <w:rPr>
                <w:rFonts w:hint="eastAsia"/>
                <w:color w:val="auto"/>
                <w:highlight w:val="none"/>
              </w:rPr>
              <w:t>分</w:t>
            </w:r>
          </w:p>
          <w:p w14:paraId="3BFB6EB0">
            <w:pPr>
              <w:keepNext w:val="0"/>
              <w:keepLines w:val="0"/>
              <w:widowControl/>
              <w:suppressLineNumbers w:val="0"/>
              <w:spacing w:before="120" w:beforeLines="50" w:beforeAutospacing="0" w:after="0" w:afterAutospacing="0" w:line="360" w:lineRule="auto"/>
              <w:ind w:left="0" w:right="0"/>
              <w:jc w:val="left"/>
              <w:rPr>
                <w:rFonts w:hint="default"/>
                <w:color w:val="auto"/>
                <w:highlight w:val="none"/>
              </w:rPr>
            </w:pPr>
            <w:r>
              <w:rPr>
                <w:rFonts w:hint="eastAsia"/>
                <w:color w:val="auto"/>
                <w:highlight w:val="none"/>
              </w:rPr>
              <w:t>商务</w:t>
            </w:r>
            <w:r>
              <w:rPr>
                <w:rFonts w:hint="default"/>
                <w:color w:val="auto"/>
                <w:highlight w:val="none"/>
              </w:rPr>
              <w:t>分：</w:t>
            </w:r>
            <w:r>
              <w:rPr>
                <w:rFonts w:hint="eastAsia"/>
                <w:color w:val="auto"/>
                <w:highlight w:val="none"/>
                <w:lang w:val="en-US" w:eastAsia="zh-CN"/>
              </w:rPr>
              <w:t>20</w:t>
            </w:r>
            <w:r>
              <w:rPr>
                <w:rFonts w:hint="eastAsia"/>
                <w:color w:val="auto"/>
                <w:highlight w:val="none"/>
              </w:rPr>
              <w:t>分</w:t>
            </w:r>
          </w:p>
          <w:p w14:paraId="64BD92DB">
            <w:pPr>
              <w:keepNext w:val="0"/>
              <w:keepLines w:val="0"/>
              <w:widowControl/>
              <w:suppressLineNumbers w:val="0"/>
              <w:spacing w:before="120" w:beforeLines="50" w:beforeAutospacing="0" w:after="0" w:afterAutospacing="0" w:line="360" w:lineRule="auto"/>
              <w:ind w:left="0" w:right="0"/>
              <w:jc w:val="left"/>
              <w:rPr>
                <w:rFonts w:hint="default" w:eastAsia="宋体"/>
                <w:color w:val="auto"/>
                <w:highlight w:val="none"/>
                <w:lang w:val="en-US" w:eastAsia="zh-CN"/>
              </w:rPr>
            </w:pPr>
            <w:r>
              <w:rPr>
                <w:rFonts w:hint="eastAsia"/>
                <w:color w:val="auto"/>
                <w:highlight w:val="none"/>
              </w:rPr>
              <w:t>技术分：</w:t>
            </w:r>
            <w:r>
              <w:rPr>
                <w:rFonts w:hint="eastAsia"/>
                <w:color w:val="auto"/>
                <w:highlight w:val="none"/>
                <w:lang w:val="en-US" w:eastAsia="zh-CN"/>
              </w:rPr>
              <w:t>50</w:t>
            </w:r>
            <w:r>
              <w:rPr>
                <w:rFonts w:hint="eastAsia"/>
                <w:color w:val="auto"/>
                <w:highlight w:val="none"/>
              </w:rPr>
              <w:t>分</w:t>
            </w:r>
          </w:p>
        </w:tc>
      </w:tr>
      <w:tr w14:paraId="5587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29" w:type="dxa"/>
            <w:vAlign w:val="center"/>
          </w:tcPr>
          <w:p w14:paraId="5BDB1734">
            <w:pPr>
              <w:keepNext w:val="0"/>
              <w:keepLines w:val="0"/>
              <w:suppressLineNumbers w:val="0"/>
              <w:spacing w:before="120" w:beforeLines="50" w:beforeAutospacing="0" w:after="0" w:afterAutospacing="0" w:line="360" w:lineRule="auto"/>
              <w:ind w:left="0" w:right="0"/>
              <w:rPr>
                <w:rFonts w:hint="default"/>
                <w:color w:val="auto"/>
                <w:highlight w:val="none"/>
              </w:rPr>
            </w:pPr>
            <w:r>
              <w:rPr>
                <w:rFonts w:hint="default"/>
                <w:color w:val="auto"/>
                <w:highlight w:val="none"/>
              </w:rPr>
              <w:t>2.2.2</w:t>
            </w:r>
          </w:p>
        </w:tc>
        <w:tc>
          <w:tcPr>
            <w:tcW w:w="1284" w:type="dxa"/>
            <w:gridSpan w:val="2"/>
            <w:vAlign w:val="center"/>
          </w:tcPr>
          <w:p w14:paraId="3523BBFD">
            <w:pPr>
              <w:keepNext w:val="0"/>
              <w:keepLines w:val="0"/>
              <w:suppressLineNumbers w:val="0"/>
              <w:spacing w:before="120" w:beforeLines="50" w:beforeAutospacing="0" w:after="0" w:afterAutospacing="0" w:line="360" w:lineRule="auto"/>
              <w:ind w:left="0" w:right="0"/>
              <w:jc w:val="center"/>
              <w:rPr>
                <w:rFonts w:hint="default"/>
                <w:color w:val="auto"/>
                <w:highlight w:val="none"/>
              </w:rPr>
            </w:pPr>
            <w:r>
              <w:rPr>
                <w:rFonts w:hint="eastAsia"/>
                <w:color w:val="auto"/>
                <w:highlight w:val="none"/>
              </w:rPr>
              <w:t>评标</w:t>
            </w:r>
          </w:p>
          <w:p w14:paraId="0DCDFBB7">
            <w:pPr>
              <w:keepNext w:val="0"/>
              <w:keepLines w:val="0"/>
              <w:suppressLineNumbers w:val="0"/>
              <w:spacing w:before="120" w:beforeLines="50" w:beforeAutospacing="0" w:after="0" w:afterAutospacing="0" w:line="360" w:lineRule="auto"/>
              <w:ind w:left="0" w:right="0"/>
              <w:jc w:val="center"/>
              <w:rPr>
                <w:rFonts w:hint="default"/>
                <w:color w:val="auto"/>
                <w:highlight w:val="none"/>
              </w:rPr>
            </w:pPr>
            <w:r>
              <w:rPr>
                <w:rFonts w:hint="eastAsia"/>
                <w:color w:val="auto"/>
                <w:highlight w:val="none"/>
              </w:rPr>
              <w:t>报价</w:t>
            </w:r>
          </w:p>
        </w:tc>
        <w:tc>
          <w:tcPr>
            <w:tcW w:w="8336" w:type="dxa"/>
            <w:gridSpan w:val="5"/>
            <w:vAlign w:val="center"/>
          </w:tcPr>
          <w:p w14:paraId="5005FC2B">
            <w:pPr>
              <w:keepNext w:val="0"/>
              <w:keepLines w:val="0"/>
              <w:suppressLineNumbers w:val="0"/>
              <w:spacing w:before="0" w:beforeAutospacing="0" w:after="0" w:afterAutospacing="0" w:line="360" w:lineRule="auto"/>
              <w:ind w:left="0" w:right="0"/>
              <w:rPr>
                <w:rFonts w:hint="default" w:hAnsi="宋体"/>
                <w:bCs/>
                <w:color w:val="auto"/>
                <w:highlight w:val="none"/>
              </w:rPr>
            </w:pPr>
            <w:r>
              <w:rPr>
                <w:rFonts w:hint="default" w:hAnsi="宋体"/>
                <w:bCs/>
                <w:color w:val="auto"/>
                <w:highlight w:val="none"/>
              </w:rPr>
              <w:t>本项目为专门面向“中小企业”的项目，价格评审不再</w:t>
            </w:r>
            <w:r>
              <w:rPr>
                <w:rFonts w:hint="eastAsia" w:hAnsi="宋体"/>
                <w:bCs/>
                <w:color w:val="auto"/>
                <w:highlight w:val="none"/>
              </w:rPr>
              <w:t>享受相关</w:t>
            </w:r>
            <w:r>
              <w:rPr>
                <w:rFonts w:hint="default" w:hAnsi="宋体"/>
                <w:bCs/>
                <w:color w:val="auto"/>
                <w:highlight w:val="none"/>
              </w:rPr>
              <w:t>扶持政策。</w:t>
            </w:r>
          </w:p>
          <w:p w14:paraId="128793E8">
            <w:pPr>
              <w:keepNext w:val="0"/>
              <w:keepLines w:val="0"/>
              <w:suppressLineNumbers w:val="0"/>
              <w:spacing w:before="0" w:beforeAutospacing="0" w:after="0" w:afterAutospacing="0" w:line="360" w:lineRule="auto"/>
              <w:ind w:left="0" w:right="0"/>
              <w:rPr>
                <w:rFonts w:hint="default" w:hAnsi="宋体"/>
                <w:color w:val="auto"/>
                <w:highlight w:val="none"/>
              </w:rPr>
            </w:pPr>
            <w:r>
              <w:rPr>
                <w:rFonts w:hint="eastAsia" w:hAnsi="宋体"/>
                <w:b/>
                <w:color w:val="auto"/>
                <w:highlight w:val="none"/>
              </w:rPr>
              <w:t>评标报价</w:t>
            </w:r>
            <w:r>
              <w:rPr>
                <w:rFonts w:hint="default" w:hAnsi="宋体"/>
                <w:b/>
                <w:color w:val="auto"/>
                <w:highlight w:val="none"/>
              </w:rPr>
              <w:t>=</w:t>
            </w:r>
            <w:r>
              <w:rPr>
                <w:rFonts w:hint="eastAsia" w:hAnsi="宋体"/>
                <w:b/>
                <w:color w:val="auto"/>
                <w:highlight w:val="none"/>
              </w:rPr>
              <w:t>最后磋商报价</w:t>
            </w:r>
            <w:r>
              <w:rPr>
                <w:rFonts w:hint="eastAsia" w:hAnsi="宋体"/>
                <w:color w:val="auto"/>
                <w:highlight w:val="none"/>
              </w:rPr>
              <w:t>。</w:t>
            </w:r>
          </w:p>
        </w:tc>
      </w:tr>
      <w:tr w14:paraId="6FF7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829" w:type="dxa"/>
            <w:vMerge w:val="restart"/>
            <w:vAlign w:val="center"/>
          </w:tcPr>
          <w:p w14:paraId="34E3DC8A">
            <w:pPr>
              <w:keepNext w:val="0"/>
              <w:keepLines w:val="0"/>
              <w:suppressLineNumbers w:val="0"/>
              <w:spacing w:before="120" w:beforeLines="50" w:beforeAutospacing="0" w:after="0" w:afterAutospacing="0" w:line="360" w:lineRule="auto"/>
              <w:ind w:left="0" w:right="0"/>
              <w:rPr>
                <w:rFonts w:hint="default"/>
                <w:color w:val="auto"/>
                <w:highlight w:val="none"/>
              </w:rPr>
            </w:pPr>
            <w:r>
              <w:rPr>
                <w:rFonts w:hint="default"/>
                <w:color w:val="auto"/>
                <w:highlight w:val="none"/>
              </w:rPr>
              <w:t>2.2.3</w:t>
            </w:r>
          </w:p>
        </w:tc>
        <w:tc>
          <w:tcPr>
            <w:tcW w:w="398" w:type="dxa"/>
            <w:vAlign w:val="center"/>
          </w:tcPr>
          <w:p w14:paraId="68B9906B">
            <w:pPr>
              <w:keepNext w:val="0"/>
              <w:keepLines w:val="0"/>
              <w:suppressLineNumbers w:val="0"/>
              <w:spacing w:before="120" w:beforeLines="50" w:beforeAutospacing="0" w:after="0" w:afterAutospacing="0" w:line="360" w:lineRule="auto"/>
              <w:ind w:left="0" w:right="0"/>
              <w:rPr>
                <w:rFonts w:hint="default"/>
                <w:color w:val="auto"/>
                <w:highlight w:val="none"/>
              </w:rPr>
            </w:pPr>
            <w:r>
              <w:rPr>
                <w:rFonts w:hint="eastAsia"/>
                <w:color w:val="auto"/>
                <w:highlight w:val="none"/>
              </w:rPr>
              <w:t>一</w:t>
            </w:r>
          </w:p>
        </w:tc>
        <w:tc>
          <w:tcPr>
            <w:tcW w:w="996" w:type="dxa"/>
            <w:gridSpan w:val="2"/>
            <w:vAlign w:val="center"/>
          </w:tcPr>
          <w:p w14:paraId="35809F63">
            <w:pPr>
              <w:keepNext w:val="0"/>
              <w:keepLines w:val="0"/>
              <w:suppressLineNumbers w:val="0"/>
              <w:spacing w:before="120" w:beforeLines="50" w:beforeAutospacing="0" w:after="0" w:afterAutospacing="0" w:line="360" w:lineRule="auto"/>
              <w:ind w:left="0" w:right="0"/>
              <w:rPr>
                <w:rFonts w:hint="default"/>
                <w:color w:val="auto"/>
                <w:highlight w:val="none"/>
              </w:rPr>
            </w:pPr>
            <w:r>
              <w:rPr>
                <w:rFonts w:hint="eastAsia"/>
                <w:color w:val="auto"/>
                <w:highlight w:val="none"/>
              </w:rPr>
              <w:t>报价分（</w:t>
            </w:r>
            <w:r>
              <w:rPr>
                <w:rFonts w:hint="eastAsia"/>
                <w:color w:val="auto"/>
                <w:highlight w:val="none"/>
                <w:lang w:val="en-US" w:eastAsia="zh-CN"/>
              </w:rPr>
              <w:t>30</w:t>
            </w:r>
            <w:r>
              <w:rPr>
                <w:rFonts w:hint="eastAsia"/>
                <w:color w:val="auto"/>
                <w:highlight w:val="none"/>
              </w:rPr>
              <w:t>分）</w:t>
            </w:r>
          </w:p>
        </w:tc>
        <w:tc>
          <w:tcPr>
            <w:tcW w:w="8226" w:type="dxa"/>
            <w:gridSpan w:val="4"/>
            <w:vAlign w:val="center"/>
          </w:tcPr>
          <w:p w14:paraId="52610B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color w:val="auto"/>
                <w:highlight w:val="none"/>
              </w:rPr>
            </w:pPr>
            <w:r>
              <w:rPr>
                <w:rFonts w:hint="default"/>
                <w:color w:val="auto"/>
                <w:highlight w:val="none"/>
              </w:rPr>
              <w:t>1.</w:t>
            </w:r>
            <w:r>
              <w:rPr>
                <w:rFonts w:hint="eastAsia"/>
                <w:color w:val="auto"/>
                <w:highlight w:val="none"/>
              </w:rPr>
              <w:t>评标基准价：以最低评标报价作为评标基准价。</w:t>
            </w:r>
          </w:p>
          <w:p w14:paraId="229347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highlight w:val="none"/>
              </w:rPr>
            </w:pPr>
            <w:r>
              <w:rPr>
                <w:rFonts w:hint="default"/>
                <w:color w:val="auto"/>
                <w:highlight w:val="none"/>
              </w:rPr>
              <w:t>2.</w:t>
            </w:r>
            <w:r>
              <w:rPr>
                <w:rFonts w:hint="eastAsia"/>
                <w:color w:val="auto"/>
                <w:highlight w:val="none"/>
              </w:rPr>
              <w:t>在评标过程中，磋商小组发现供应商的磋商报价明显低于其他供应商的磋商报价或者明显低于上限控制价的，有理由怀疑其磋商报价可能低于其成本的，应当要求该供应商做出书面说明并提供相关证明材料。如不提供或评委认定其资料不能详尽合理说明其成本的，则视为供应商低于成本价报价，其报价按无效处理。</w:t>
            </w:r>
          </w:p>
          <w:p w14:paraId="2672F5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highlight w:val="none"/>
              </w:rPr>
            </w:pPr>
            <w:r>
              <w:rPr>
                <w:rFonts w:hint="default"/>
                <w:color w:val="auto"/>
                <w:highlight w:val="none"/>
              </w:rPr>
              <w:t>3.</w:t>
            </w:r>
            <w:r>
              <w:rPr>
                <w:rFonts w:hint="eastAsia"/>
                <w:color w:val="auto"/>
                <w:highlight w:val="none"/>
              </w:rPr>
              <w:t>报价分</w:t>
            </w:r>
            <w:r>
              <w:rPr>
                <w:rFonts w:hint="default"/>
                <w:color w:val="auto"/>
                <w:highlight w:val="none"/>
              </w:rPr>
              <w:t>=</w:t>
            </w:r>
            <w:r>
              <w:rPr>
                <w:rFonts w:hint="eastAsia"/>
                <w:color w:val="auto"/>
                <w:highlight w:val="none"/>
              </w:rPr>
              <w:t>（评标基准价</w:t>
            </w:r>
            <w:r>
              <w:rPr>
                <w:rFonts w:hint="default"/>
                <w:color w:val="auto"/>
                <w:highlight w:val="none"/>
              </w:rPr>
              <w:t>/</w:t>
            </w:r>
            <w:r>
              <w:rPr>
                <w:rFonts w:hint="eastAsia"/>
                <w:color w:val="auto"/>
                <w:highlight w:val="none"/>
              </w:rPr>
              <w:t>评标报价）×报价分满分分值</w:t>
            </w:r>
          </w:p>
        </w:tc>
      </w:tr>
      <w:tr w14:paraId="503C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29" w:type="dxa"/>
            <w:vMerge w:val="continue"/>
            <w:vAlign w:val="center"/>
          </w:tcPr>
          <w:p w14:paraId="07F9D666">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398" w:type="dxa"/>
            <w:vMerge w:val="restart"/>
            <w:vAlign w:val="center"/>
          </w:tcPr>
          <w:p w14:paraId="35642397">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r>
              <w:rPr>
                <w:rFonts w:hint="eastAsia"/>
                <w:color w:val="auto"/>
                <w:highlight w:val="none"/>
              </w:rPr>
              <w:t>二</w:t>
            </w:r>
          </w:p>
        </w:tc>
        <w:tc>
          <w:tcPr>
            <w:tcW w:w="996" w:type="dxa"/>
            <w:gridSpan w:val="2"/>
            <w:vMerge w:val="restart"/>
            <w:vAlign w:val="center"/>
          </w:tcPr>
          <w:p w14:paraId="35148342">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r>
              <w:rPr>
                <w:rFonts w:hint="eastAsia"/>
                <w:color w:val="auto"/>
                <w:highlight w:val="none"/>
              </w:rPr>
              <w:t>商务</w:t>
            </w:r>
            <w:r>
              <w:rPr>
                <w:rFonts w:hint="default"/>
                <w:color w:val="auto"/>
                <w:highlight w:val="none"/>
              </w:rPr>
              <w:t>分</w:t>
            </w:r>
          </w:p>
          <w:p w14:paraId="467FE92A">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r>
              <w:rPr>
                <w:rFonts w:hint="default"/>
                <w:color w:val="auto"/>
                <w:highlight w:val="none"/>
              </w:rPr>
              <w:t>（</w:t>
            </w:r>
            <w:r>
              <w:rPr>
                <w:rFonts w:hint="eastAsia"/>
                <w:color w:val="auto"/>
                <w:highlight w:val="none"/>
                <w:lang w:val="en-US" w:eastAsia="zh-CN"/>
              </w:rPr>
              <w:t>20</w:t>
            </w:r>
            <w:r>
              <w:rPr>
                <w:rFonts w:hint="eastAsia"/>
                <w:color w:val="auto"/>
                <w:highlight w:val="none"/>
              </w:rPr>
              <w:t>分</w:t>
            </w:r>
            <w:r>
              <w:rPr>
                <w:rFonts w:hint="default"/>
                <w:color w:val="auto"/>
                <w:highlight w:val="none"/>
              </w:rPr>
              <w:t>）</w:t>
            </w:r>
          </w:p>
        </w:tc>
        <w:tc>
          <w:tcPr>
            <w:tcW w:w="1047" w:type="dxa"/>
            <w:gridSpan w:val="2"/>
            <w:vMerge w:val="restart"/>
            <w:vAlign w:val="center"/>
          </w:tcPr>
          <w:p w14:paraId="5919357B">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jc w:val="center"/>
              <w:rPr>
                <w:rFonts w:hint="default"/>
                <w:color w:val="auto"/>
                <w:highlight w:val="none"/>
              </w:rPr>
            </w:pPr>
          </w:p>
        </w:tc>
        <w:tc>
          <w:tcPr>
            <w:tcW w:w="1323" w:type="dxa"/>
            <w:vAlign w:val="center"/>
          </w:tcPr>
          <w:p w14:paraId="6D9CEEC4">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auto"/>
              <w:ind w:left="0" w:right="0"/>
              <w:jc w:val="center"/>
              <w:textAlignment w:val="auto"/>
              <w:rPr>
                <w:rFonts w:hint="eastAsia"/>
                <w:color w:val="auto"/>
                <w:highlight w:val="none"/>
                <w:lang w:val="en-US" w:eastAsia="zh-CN"/>
              </w:rPr>
            </w:pPr>
            <w:r>
              <w:rPr>
                <w:rFonts w:hint="eastAsia"/>
                <w:color w:val="auto"/>
                <w:highlight w:val="none"/>
                <w:lang w:val="en-US" w:eastAsia="zh-CN"/>
              </w:rPr>
              <w:t>企业业绩</w:t>
            </w:r>
          </w:p>
          <w:p w14:paraId="58F6D928">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auto"/>
              <w:ind w:left="0" w:right="0"/>
              <w:jc w:val="center"/>
              <w:textAlignment w:val="auto"/>
              <w:rPr>
                <w:rFonts w:hint="default"/>
                <w:color w:val="auto"/>
                <w:highlight w:val="none"/>
              </w:rPr>
            </w:pPr>
            <w:r>
              <w:rPr>
                <w:rFonts w:hint="eastAsia"/>
                <w:color w:val="auto"/>
                <w:highlight w:val="none"/>
                <w:lang w:val="en-US" w:eastAsia="zh-CN"/>
              </w:rPr>
              <w:t>（5分）</w:t>
            </w:r>
          </w:p>
        </w:tc>
        <w:tc>
          <w:tcPr>
            <w:tcW w:w="5856" w:type="dxa"/>
            <w:vAlign w:val="center"/>
          </w:tcPr>
          <w:p w14:paraId="5DA20209">
            <w:pPr>
              <w:keepNext w:val="0"/>
              <w:keepLines w:val="0"/>
              <w:suppressLineNumbers w:val="0"/>
              <w:adjustRightInd/>
              <w:spacing w:before="120" w:beforeLines="50" w:beforeAutospacing="0" w:after="0" w:afterAutospacing="0" w:line="410" w:lineRule="exact"/>
              <w:ind w:left="0" w:right="0"/>
              <w:textAlignment w:val="auto"/>
              <w:rPr>
                <w:rFonts w:hint="eastAsia"/>
                <w:color w:val="auto"/>
                <w:highlight w:val="none"/>
                <w:lang w:val="en-US"/>
              </w:rPr>
            </w:pPr>
            <w:r>
              <w:rPr>
                <w:rFonts w:hint="eastAsia"/>
                <w:color w:val="auto"/>
                <w:highlight w:val="none"/>
                <w:lang w:val="en-US" w:eastAsia="zh-CN"/>
              </w:rPr>
              <w:t>供应商 2017年1月1日以来完成过全国重点文物保护单位（古建筑），每个业绩得2.5分, 或供应商 2017年1月1日以来完成过省级文物保护单位（古建筑），每个业绩得0.5分, 满分5分。</w:t>
            </w:r>
          </w:p>
          <w:p w14:paraId="2E0EE671">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410" w:lineRule="exact"/>
              <w:ind w:left="0" w:right="0"/>
              <w:textAlignment w:val="auto"/>
              <w:rPr>
                <w:rFonts w:hint="default"/>
                <w:color w:val="auto"/>
                <w:highlight w:val="none"/>
              </w:rPr>
            </w:pPr>
            <w:r>
              <w:rPr>
                <w:rFonts w:hint="eastAsia"/>
                <w:color w:val="auto"/>
                <w:highlight w:val="none"/>
                <w:lang w:val="en-US" w:eastAsia="zh-CN"/>
              </w:rPr>
              <w:t>注：</w:t>
            </w:r>
            <w:r>
              <w:rPr>
                <w:rFonts w:hint="eastAsia" w:ascii="宋体" w:hAnsi="宋体" w:eastAsia="宋体" w:cs="宋体"/>
                <w:color w:val="auto"/>
                <w:kern w:val="2"/>
                <w:sz w:val="21"/>
                <w:szCs w:val="21"/>
                <w:highlight w:val="none"/>
                <w:lang w:val="en-US" w:eastAsia="zh-CN" w:bidi="ar"/>
              </w:rPr>
              <w:t>须提供</w:t>
            </w:r>
            <w:r>
              <w:rPr>
                <w:rFonts w:hint="eastAsia"/>
                <w:color w:val="auto"/>
                <w:highlight w:val="none"/>
                <w:lang w:val="en-US" w:eastAsia="zh-CN"/>
              </w:rPr>
              <w:t>中标通知书或合同协议书扫描件，以及工程竣工验收证明扫描件。</w:t>
            </w:r>
            <w:r>
              <w:rPr>
                <w:rFonts w:hint="eastAsia" w:ascii="宋体" w:hAnsi="宋体" w:eastAsia="宋体" w:cs="宋体"/>
                <w:bCs/>
                <w:color w:val="auto"/>
                <w:kern w:val="2"/>
                <w:szCs w:val="24"/>
                <w:highlight w:val="none"/>
              </w:rPr>
              <w:t>所提供业绩证明材料须能清晰反映评标办法和评标标准所需的各项有关参考因素，所提供材料不能清晰反映的均作无效材料处理，该评审项不得分。</w:t>
            </w:r>
          </w:p>
        </w:tc>
      </w:tr>
      <w:tr w14:paraId="0363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829" w:type="dxa"/>
            <w:vMerge w:val="continue"/>
            <w:vAlign w:val="center"/>
          </w:tcPr>
          <w:p w14:paraId="128B616A">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398" w:type="dxa"/>
            <w:vMerge w:val="continue"/>
            <w:vAlign w:val="center"/>
          </w:tcPr>
          <w:p w14:paraId="1F5AA5D4">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996" w:type="dxa"/>
            <w:gridSpan w:val="2"/>
            <w:vMerge w:val="continue"/>
            <w:vAlign w:val="center"/>
          </w:tcPr>
          <w:p w14:paraId="2A12F424">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1047" w:type="dxa"/>
            <w:gridSpan w:val="2"/>
            <w:vMerge w:val="continue"/>
            <w:vAlign w:val="center"/>
          </w:tcPr>
          <w:p w14:paraId="16716EB1">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1323" w:type="dxa"/>
            <w:vAlign w:val="center"/>
          </w:tcPr>
          <w:p w14:paraId="43B5F834">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auto"/>
              <w:ind w:left="0" w:right="0"/>
              <w:jc w:val="center"/>
              <w:textAlignment w:val="auto"/>
              <w:rPr>
                <w:rFonts w:hint="eastAsia"/>
                <w:color w:val="auto"/>
                <w:highlight w:val="none"/>
                <w:lang w:val="en-US" w:eastAsia="zh-CN"/>
              </w:rPr>
            </w:pPr>
            <w:r>
              <w:rPr>
                <w:rFonts w:hint="eastAsia"/>
                <w:color w:val="auto"/>
                <w:highlight w:val="none"/>
                <w:lang w:val="en-US" w:eastAsia="zh-CN"/>
              </w:rPr>
              <w:t>企业信誉</w:t>
            </w:r>
          </w:p>
          <w:p w14:paraId="6912FF96">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auto"/>
              <w:ind w:left="0" w:right="0"/>
              <w:jc w:val="center"/>
              <w:textAlignment w:val="auto"/>
              <w:rPr>
                <w:rFonts w:hint="default"/>
                <w:color w:val="auto"/>
                <w:highlight w:val="none"/>
              </w:rPr>
            </w:pPr>
            <w:r>
              <w:rPr>
                <w:rFonts w:hint="eastAsia"/>
                <w:color w:val="auto"/>
                <w:highlight w:val="none"/>
                <w:lang w:val="en-US" w:eastAsia="zh-CN"/>
              </w:rPr>
              <w:t>（15分）</w:t>
            </w:r>
          </w:p>
        </w:tc>
        <w:tc>
          <w:tcPr>
            <w:tcW w:w="5856" w:type="dxa"/>
            <w:vAlign w:val="center"/>
          </w:tcPr>
          <w:p w14:paraId="2635A6CA">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410" w:lineRule="exact"/>
              <w:ind w:left="0" w:right="0"/>
              <w:textAlignment w:val="auto"/>
              <w:rPr>
                <w:rFonts w:hint="eastAsia"/>
                <w:color w:val="auto"/>
                <w:highlight w:val="none"/>
                <w:lang w:val="en-US"/>
              </w:rPr>
            </w:pPr>
            <w:r>
              <w:rPr>
                <w:rFonts w:hint="eastAsia"/>
                <w:color w:val="auto"/>
                <w:highlight w:val="none"/>
                <w:lang w:val="en-US" w:eastAsia="zh-CN"/>
              </w:rPr>
              <w:t xml:space="preserve">供应商 2019年1月1日以来获奖情况【备注：同一工程项目同类型的奖项，以最高奖项计分，不重复计分。】 </w:t>
            </w:r>
          </w:p>
          <w:p w14:paraId="2B46F3B0">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410" w:lineRule="exact"/>
              <w:ind w:left="0" w:right="0"/>
              <w:textAlignment w:val="auto"/>
              <w:rPr>
                <w:rFonts w:hint="default"/>
                <w:color w:val="auto"/>
                <w:highlight w:val="none"/>
              </w:rPr>
            </w:pPr>
            <w:r>
              <w:rPr>
                <w:rFonts w:hint="eastAsia"/>
                <w:color w:val="auto"/>
                <w:highlight w:val="none"/>
                <w:lang w:val="en-US" w:eastAsia="zh-CN"/>
              </w:rPr>
              <w:t>获得国家文物行政部门或国家级文化遗产保护行业协会颁发的有关文物保护方面的奖励，每项得7.5分,满分15分。</w:t>
            </w:r>
          </w:p>
        </w:tc>
      </w:tr>
      <w:tr w14:paraId="0C15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29" w:type="dxa"/>
            <w:vMerge w:val="continue"/>
            <w:vAlign w:val="center"/>
          </w:tcPr>
          <w:p w14:paraId="64BBCD75">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398" w:type="dxa"/>
            <w:vMerge w:val="restart"/>
            <w:vAlign w:val="center"/>
          </w:tcPr>
          <w:p w14:paraId="0AAB7454">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eastAsia" w:eastAsia="宋体"/>
                <w:color w:val="auto"/>
                <w:highlight w:val="none"/>
                <w:lang w:eastAsia="zh-CN"/>
              </w:rPr>
            </w:pPr>
            <w:r>
              <w:rPr>
                <w:rFonts w:hint="eastAsia"/>
                <w:color w:val="auto"/>
                <w:highlight w:val="none"/>
                <w:lang w:eastAsia="zh-CN"/>
              </w:rPr>
              <w:t>三</w:t>
            </w:r>
          </w:p>
        </w:tc>
        <w:tc>
          <w:tcPr>
            <w:tcW w:w="996" w:type="dxa"/>
            <w:gridSpan w:val="2"/>
            <w:vMerge w:val="restart"/>
            <w:vAlign w:val="center"/>
          </w:tcPr>
          <w:p w14:paraId="25A4F0F8">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r>
              <w:rPr>
                <w:rFonts w:hint="eastAsia"/>
                <w:color w:val="auto"/>
                <w:highlight w:val="none"/>
              </w:rPr>
              <w:t>技术分（</w:t>
            </w:r>
            <w:r>
              <w:rPr>
                <w:rFonts w:hint="eastAsia"/>
                <w:color w:val="auto"/>
                <w:highlight w:val="none"/>
                <w:lang w:val="en-US" w:eastAsia="zh-CN"/>
              </w:rPr>
              <w:t>50</w:t>
            </w:r>
            <w:r>
              <w:rPr>
                <w:rFonts w:hint="eastAsia"/>
                <w:color w:val="auto"/>
                <w:highlight w:val="none"/>
              </w:rPr>
              <w:t>分）</w:t>
            </w:r>
          </w:p>
        </w:tc>
        <w:tc>
          <w:tcPr>
            <w:tcW w:w="1047" w:type="dxa"/>
            <w:gridSpan w:val="2"/>
            <w:vMerge w:val="restart"/>
            <w:vAlign w:val="center"/>
          </w:tcPr>
          <w:p w14:paraId="14F92E56">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jc w:val="center"/>
              <w:rPr>
                <w:rFonts w:hint="default"/>
                <w:color w:val="auto"/>
                <w:highlight w:val="none"/>
              </w:rPr>
            </w:pPr>
            <w:r>
              <w:rPr>
                <w:rFonts w:hint="eastAsia"/>
                <w:color w:val="auto"/>
                <w:highlight w:val="none"/>
              </w:rPr>
              <w:t>项目管理机构</w:t>
            </w:r>
          </w:p>
          <w:p w14:paraId="79BFBFEC">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r>
              <w:rPr>
                <w:rFonts w:hint="eastAsia"/>
                <w:color w:val="auto"/>
                <w:highlight w:val="none"/>
              </w:rPr>
              <w:t>（</w:t>
            </w:r>
            <w:r>
              <w:rPr>
                <w:rFonts w:hint="eastAsia"/>
                <w:color w:val="auto"/>
                <w:highlight w:val="none"/>
                <w:lang w:val="en-US" w:eastAsia="zh-CN"/>
              </w:rPr>
              <w:t>15</w:t>
            </w:r>
            <w:r>
              <w:rPr>
                <w:rFonts w:hint="eastAsia"/>
                <w:color w:val="auto"/>
                <w:highlight w:val="none"/>
              </w:rPr>
              <w:t>分）</w:t>
            </w:r>
          </w:p>
        </w:tc>
        <w:tc>
          <w:tcPr>
            <w:tcW w:w="1323" w:type="dxa"/>
            <w:vAlign w:val="center"/>
          </w:tcPr>
          <w:p w14:paraId="7B1D9C82">
            <w:pPr>
              <w:keepNext w:val="0"/>
              <w:keepLines w:val="0"/>
              <w:pageBreakBefore w:val="0"/>
              <w:suppressLineNumbers w:val="0"/>
              <w:kinsoku/>
              <w:wordWrap/>
              <w:overflowPunct/>
              <w:topLinePunct w:val="0"/>
              <w:autoSpaceDE/>
              <w:autoSpaceDN/>
              <w:bidi w:val="0"/>
              <w:adjustRightInd/>
              <w:snapToGrid/>
              <w:spacing w:before="120" w:beforeLines="50" w:beforeAutospacing="0" w:after="0" w:afterAutospacing="0" w:line="360" w:lineRule="auto"/>
              <w:ind w:left="0" w:right="0"/>
              <w:jc w:val="center"/>
              <w:textAlignment w:val="auto"/>
              <w:rPr>
                <w:rFonts w:hint="eastAsia" w:hAnsi="宋体"/>
                <w:color w:val="auto"/>
                <w:kern w:val="2"/>
                <w:szCs w:val="22"/>
                <w:highlight w:val="none"/>
              </w:rPr>
            </w:pPr>
            <w:r>
              <w:rPr>
                <w:rFonts w:hint="eastAsia" w:hAnsi="宋体"/>
                <w:color w:val="auto"/>
                <w:highlight w:val="none"/>
              </w:rPr>
              <w:t>项目经理任职资格与业绩、工作经历等（</w:t>
            </w:r>
            <w:r>
              <w:rPr>
                <w:rFonts w:hint="eastAsia" w:hAnsi="宋体"/>
                <w:color w:val="auto"/>
                <w:highlight w:val="none"/>
                <w:lang w:val="en-US" w:eastAsia="zh-CN"/>
              </w:rPr>
              <w:t>2</w:t>
            </w:r>
            <w:r>
              <w:rPr>
                <w:rFonts w:hint="eastAsia" w:hAnsi="宋体"/>
                <w:color w:val="auto"/>
                <w:highlight w:val="none"/>
              </w:rPr>
              <w:t>分）</w:t>
            </w:r>
          </w:p>
        </w:tc>
        <w:tc>
          <w:tcPr>
            <w:tcW w:w="5856" w:type="dxa"/>
            <w:vAlign w:val="center"/>
          </w:tcPr>
          <w:p w14:paraId="68006A7D">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410" w:lineRule="exact"/>
              <w:ind w:left="0" w:right="0"/>
              <w:textAlignment w:val="auto"/>
              <w:rPr>
                <w:rFonts w:hint="default"/>
                <w:color w:val="auto"/>
                <w:highlight w:val="none"/>
              </w:rPr>
            </w:pPr>
            <w:r>
              <w:rPr>
                <w:rFonts w:hint="eastAsia"/>
                <w:color w:val="auto"/>
                <w:highlight w:val="none"/>
              </w:rPr>
              <w:t>拟派任项目经理必须与资格审查合格通过的项目经理在名称、专业、资格等级等方面一致。</w:t>
            </w:r>
          </w:p>
          <w:p w14:paraId="44D2DC99">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410" w:lineRule="exact"/>
              <w:ind w:left="0" w:right="0"/>
              <w:textAlignment w:val="auto"/>
              <w:rPr>
                <w:rFonts w:hint="eastAsia"/>
                <w:b/>
                <w:bCs/>
                <w:color w:val="auto"/>
                <w:highlight w:val="none"/>
              </w:rPr>
            </w:pPr>
            <w:r>
              <w:rPr>
                <w:rFonts w:hint="eastAsia"/>
                <w:b/>
                <w:bCs/>
                <w:color w:val="auto"/>
                <w:highlight w:val="none"/>
              </w:rPr>
              <w:t>评分内容：</w:t>
            </w:r>
          </w:p>
          <w:p w14:paraId="0B30A39A">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410" w:lineRule="exact"/>
              <w:ind w:left="0" w:right="0"/>
              <w:textAlignment w:val="auto"/>
              <w:rPr>
                <w:rFonts w:hint="eastAsia" w:cs="宋体"/>
                <w:color w:val="auto"/>
                <w:kern w:val="0"/>
                <w:sz w:val="21"/>
                <w:szCs w:val="22"/>
                <w:highlight w:val="none"/>
                <w:lang w:eastAsia="zh-CN"/>
              </w:rPr>
            </w:pPr>
            <w:r>
              <w:rPr>
                <w:rFonts w:hint="eastAsia"/>
                <w:color w:val="auto"/>
                <w:highlight w:val="none"/>
                <w:lang w:val="en-US" w:eastAsia="zh-CN"/>
              </w:rPr>
              <w:t>拟派项目经理同时具有二级或以上注册建造师执业资格证书以及文物博物系列高级或以上</w:t>
            </w:r>
            <w:r>
              <w:rPr>
                <w:rFonts w:hint="eastAsia" w:ascii="宋体" w:hAnsi="宋体" w:cs="宋体"/>
                <w:bCs/>
                <w:color w:val="auto"/>
                <w:kern w:val="0"/>
                <w:sz w:val="21"/>
                <w:szCs w:val="22"/>
                <w:highlight w:val="none"/>
              </w:rPr>
              <w:t>技术职称</w:t>
            </w:r>
            <w:r>
              <w:rPr>
                <w:rFonts w:hint="eastAsia" w:hAnsi="宋体" w:cs="宋体"/>
                <w:bCs/>
                <w:color w:val="auto"/>
                <w:kern w:val="0"/>
                <w:sz w:val="21"/>
                <w:szCs w:val="22"/>
                <w:highlight w:val="none"/>
                <w:lang w:eastAsia="zh-CN"/>
              </w:rPr>
              <w:t>的</w:t>
            </w:r>
            <w:r>
              <w:rPr>
                <w:rFonts w:hint="eastAsia"/>
                <w:color w:val="auto"/>
                <w:highlight w:val="none"/>
                <w:lang w:val="en-US" w:eastAsia="zh-CN"/>
              </w:rPr>
              <w:t>得2分。</w:t>
            </w:r>
          </w:p>
        </w:tc>
      </w:tr>
      <w:tr w14:paraId="7E57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29" w:type="dxa"/>
            <w:vMerge w:val="continue"/>
            <w:vAlign w:val="center"/>
          </w:tcPr>
          <w:p w14:paraId="6F9ED50A">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398" w:type="dxa"/>
            <w:vMerge w:val="continue"/>
            <w:vAlign w:val="center"/>
          </w:tcPr>
          <w:p w14:paraId="13C9EDB6">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996" w:type="dxa"/>
            <w:gridSpan w:val="2"/>
            <w:vMerge w:val="continue"/>
            <w:vAlign w:val="center"/>
          </w:tcPr>
          <w:p w14:paraId="0C448C7B">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1047" w:type="dxa"/>
            <w:gridSpan w:val="2"/>
            <w:vMerge w:val="continue"/>
            <w:vAlign w:val="center"/>
          </w:tcPr>
          <w:p w14:paraId="6B2410E6">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1323" w:type="dxa"/>
            <w:vAlign w:val="center"/>
          </w:tcPr>
          <w:p w14:paraId="370BB858">
            <w:pPr>
              <w:keepNext w:val="0"/>
              <w:keepLines w:val="0"/>
              <w:pageBreakBefore w:val="0"/>
              <w:suppressLineNumbers w:val="0"/>
              <w:kinsoku/>
              <w:wordWrap/>
              <w:overflowPunct/>
              <w:topLinePunct w:val="0"/>
              <w:autoSpaceDE/>
              <w:autoSpaceDN/>
              <w:bidi w:val="0"/>
              <w:adjustRightInd/>
              <w:snapToGrid/>
              <w:spacing w:before="120" w:beforeLines="50" w:beforeAutospacing="0" w:after="0" w:afterAutospacing="0" w:line="360" w:lineRule="auto"/>
              <w:ind w:left="0" w:right="0"/>
              <w:jc w:val="center"/>
              <w:textAlignment w:val="auto"/>
              <w:rPr>
                <w:rFonts w:hint="eastAsia" w:hAnsi="宋体"/>
                <w:color w:val="auto"/>
                <w:kern w:val="2"/>
                <w:szCs w:val="22"/>
                <w:highlight w:val="none"/>
              </w:rPr>
            </w:pPr>
            <w:r>
              <w:rPr>
                <w:rFonts w:hint="eastAsia" w:hAnsi="宋体"/>
                <w:color w:val="auto"/>
                <w:kern w:val="2"/>
                <w:szCs w:val="22"/>
                <w:highlight w:val="none"/>
              </w:rPr>
              <w:t>其他主要人员</w:t>
            </w:r>
            <w:r>
              <w:rPr>
                <w:rFonts w:hint="eastAsia" w:hAnsi="宋体"/>
                <w:color w:val="auto"/>
                <w:highlight w:val="none"/>
              </w:rPr>
              <w:t>（</w:t>
            </w:r>
            <w:r>
              <w:rPr>
                <w:rFonts w:hint="eastAsia" w:hAnsi="宋体"/>
                <w:color w:val="auto"/>
                <w:highlight w:val="none"/>
                <w:lang w:val="en-US" w:eastAsia="zh-CN"/>
              </w:rPr>
              <w:t>13</w:t>
            </w:r>
            <w:r>
              <w:rPr>
                <w:rFonts w:hint="eastAsia" w:hAnsi="宋体"/>
                <w:color w:val="auto"/>
                <w:highlight w:val="none"/>
              </w:rPr>
              <w:t>分）</w:t>
            </w:r>
          </w:p>
        </w:tc>
        <w:tc>
          <w:tcPr>
            <w:tcW w:w="5856" w:type="dxa"/>
            <w:vAlign w:val="center"/>
          </w:tcPr>
          <w:p w14:paraId="30D835B2">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410" w:lineRule="exact"/>
              <w:ind w:left="0" w:right="0"/>
              <w:textAlignment w:val="auto"/>
              <w:rPr>
                <w:rFonts w:hint="default"/>
                <w:color w:val="auto"/>
                <w:highlight w:val="none"/>
              </w:rPr>
            </w:pPr>
            <w:r>
              <w:rPr>
                <w:rFonts w:hint="eastAsia"/>
                <w:color w:val="auto"/>
                <w:highlight w:val="none"/>
              </w:rPr>
              <w:t>基本要求：人员齐备、专业配套应与资格审查提供的人员配备相一致，且具备相关岗位证书。</w:t>
            </w:r>
          </w:p>
          <w:p w14:paraId="518452A8">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410" w:lineRule="exact"/>
              <w:ind w:left="0" w:right="0"/>
              <w:textAlignment w:val="auto"/>
              <w:rPr>
                <w:rFonts w:hint="default"/>
                <w:b/>
                <w:bCs/>
                <w:color w:val="auto"/>
                <w:highlight w:val="none"/>
              </w:rPr>
            </w:pPr>
            <w:r>
              <w:rPr>
                <w:rFonts w:hint="eastAsia"/>
                <w:b/>
                <w:bCs/>
                <w:color w:val="auto"/>
                <w:highlight w:val="none"/>
              </w:rPr>
              <w:t>评分内容：</w:t>
            </w:r>
          </w:p>
          <w:p w14:paraId="04F5649D">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410" w:lineRule="exact"/>
              <w:ind w:left="0" w:right="0"/>
              <w:textAlignment w:val="auto"/>
              <w:rPr>
                <w:rFonts w:hint="default"/>
                <w:color w:val="auto"/>
                <w:highlight w:val="none"/>
                <w:lang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ascii="宋体" w:cs="宋体"/>
                <w:color w:val="auto"/>
                <w:kern w:val="0"/>
                <w:sz w:val="21"/>
                <w:szCs w:val="22"/>
                <w:highlight w:val="none"/>
              </w:rPr>
              <w:t>拟</w:t>
            </w:r>
            <w:r>
              <w:rPr>
                <w:rFonts w:hint="eastAsia"/>
                <w:color w:val="auto"/>
                <w:highlight w:val="none"/>
                <w:lang w:eastAsia="zh-CN"/>
              </w:rPr>
              <w:t>派驻本项目的技术</w:t>
            </w:r>
            <w:r>
              <w:rPr>
                <w:rFonts w:hint="eastAsia" w:ascii="宋体"/>
                <w:color w:val="auto"/>
                <w:highlight w:val="none"/>
              </w:rPr>
              <w:t>负责人</w:t>
            </w:r>
            <w:r>
              <w:rPr>
                <w:rFonts w:hint="eastAsia"/>
                <w:color w:val="auto"/>
                <w:highlight w:val="none"/>
                <w:lang w:val="en-US" w:eastAsia="zh-CN"/>
              </w:rPr>
              <w:t>同时具有二级或以上注册建造师执业资格证书以及文物博物系列高级或以上</w:t>
            </w:r>
            <w:r>
              <w:rPr>
                <w:rFonts w:hint="eastAsia" w:ascii="宋体" w:hAnsi="宋体" w:cs="宋体"/>
                <w:bCs/>
                <w:color w:val="auto"/>
                <w:kern w:val="0"/>
                <w:sz w:val="21"/>
                <w:szCs w:val="22"/>
                <w:highlight w:val="none"/>
              </w:rPr>
              <w:t>技术职称</w:t>
            </w:r>
            <w:r>
              <w:rPr>
                <w:rFonts w:hint="eastAsia"/>
                <w:color w:val="auto"/>
                <w:highlight w:val="none"/>
                <w:lang w:val="en-US" w:eastAsia="zh-CN"/>
              </w:rPr>
              <w:t>得3分。</w:t>
            </w:r>
          </w:p>
          <w:p w14:paraId="6061C9E2">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410" w:lineRule="exact"/>
              <w:ind w:left="0" w:right="0"/>
              <w:textAlignment w:val="auto"/>
              <w:rPr>
                <w:rFonts w:hint="eastAsia" w:cs="宋体"/>
                <w:color w:val="auto"/>
                <w:kern w:val="0"/>
                <w:sz w:val="21"/>
                <w:szCs w:val="22"/>
                <w:highlight w:val="none"/>
                <w:lang w:eastAsia="zh-CN"/>
              </w:rPr>
            </w:pPr>
            <w:r>
              <w:rPr>
                <w:rFonts w:hint="eastAsia" w:cs="宋体"/>
                <w:color w:val="auto"/>
                <w:kern w:val="0"/>
                <w:sz w:val="21"/>
                <w:szCs w:val="22"/>
                <w:highlight w:val="none"/>
                <w:lang w:eastAsia="zh-CN"/>
              </w:rPr>
              <w:t>（</w:t>
            </w:r>
            <w:r>
              <w:rPr>
                <w:rFonts w:hint="eastAsia" w:cs="宋体"/>
                <w:color w:val="auto"/>
                <w:kern w:val="0"/>
                <w:sz w:val="21"/>
                <w:szCs w:val="22"/>
                <w:highlight w:val="none"/>
                <w:lang w:val="en-US" w:eastAsia="zh-CN"/>
              </w:rPr>
              <w:t>2</w:t>
            </w:r>
            <w:r>
              <w:rPr>
                <w:rFonts w:hint="eastAsia" w:cs="宋体"/>
                <w:color w:val="auto"/>
                <w:kern w:val="0"/>
                <w:sz w:val="21"/>
                <w:szCs w:val="22"/>
                <w:highlight w:val="none"/>
                <w:lang w:eastAsia="zh-CN"/>
              </w:rPr>
              <w:t>）</w:t>
            </w:r>
            <w:r>
              <w:rPr>
                <w:rFonts w:hint="eastAsia" w:ascii="宋体" w:cs="宋体"/>
                <w:color w:val="auto"/>
                <w:kern w:val="0"/>
                <w:sz w:val="21"/>
                <w:szCs w:val="22"/>
                <w:highlight w:val="none"/>
              </w:rPr>
              <w:t>拟派驻本项目的</w:t>
            </w:r>
            <w:r>
              <w:rPr>
                <w:rFonts w:hint="eastAsia" w:cs="宋体"/>
                <w:color w:val="auto"/>
                <w:kern w:val="0"/>
                <w:sz w:val="21"/>
                <w:szCs w:val="22"/>
                <w:highlight w:val="none"/>
                <w:lang w:eastAsia="zh-CN"/>
              </w:rPr>
              <w:t>（</w:t>
            </w:r>
            <w:r>
              <w:rPr>
                <w:rFonts w:hint="eastAsia" w:ascii="宋体" w:hAnsi="宋体" w:cs="宋体"/>
                <w:bCs/>
                <w:color w:val="auto"/>
                <w:kern w:val="0"/>
                <w:sz w:val="21"/>
                <w:szCs w:val="22"/>
                <w:highlight w:val="none"/>
              </w:rPr>
              <w:t>安全员、施工员、质量员、材料员</w:t>
            </w:r>
            <w:r>
              <w:rPr>
                <w:rFonts w:hint="eastAsia" w:hAnsi="宋体" w:cs="宋体"/>
                <w:bCs/>
                <w:color w:val="auto"/>
                <w:kern w:val="0"/>
                <w:sz w:val="21"/>
                <w:szCs w:val="22"/>
                <w:highlight w:val="none"/>
                <w:lang w:eastAsia="zh-CN"/>
              </w:rPr>
              <w:t>、</w:t>
            </w:r>
            <w:r>
              <w:rPr>
                <w:rFonts w:hint="eastAsia" w:hAnsi="宋体" w:cs="宋体"/>
                <w:bCs/>
                <w:color w:val="auto"/>
                <w:kern w:val="0"/>
                <w:sz w:val="21"/>
                <w:szCs w:val="22"/>
                <w:highlight w:val="none"/>
                <w:lang w:val="en-US" w:eastAsia="zh-CN"/>
              </w:rPr>
              <w:t>资料员、造价员</w:t>
            </w:r>
            <w:r>
              <w:rPr>
                <w:rFonts w:hint="eastAsia" w:hAnsi="宋体" w:cs="宋体"/>
                <w:bCs/>
                <w:color w:val="auto"/>
                <w:kern w:val="0"/>
                <w:sz w:val="21"/>
                <w:szCs w:val="22"/>
                <w:highlight w:val="none"/>
                <w:lang w:eastAsia="zh-CN"/>
              </w:rPr>
              <w:t>）</w:t>
            </w:r>
            <w:r>
              <w:rPr>
                <w:rFonts w:hint="eastAsia" w:ascii="宋体" w:hAnsi="宋体" w:cs="宋体"/>
                <w:bCs/>
                <w:color w:val="auto"/>
                <w:kern w:val="0"/>
                <w:sz w:val="21"/>
                <w:szCs w:val="22"/>
                <w:highlight w:val="none"/>
              </w:rPr>
              <w:t>中有</w:t>
            </w:r>
            <w:r>
              <w:rPr>
                <w:rFonts w:hint="eastAsia" w:hAnsi="宋体" w:cs="宋体"/>
                <w:bCs/>
                <w:color w:val="auto"/>
                <w:kern w:val="0"/>
                <w:sz w:val="21"/>
                <w:szCs w:val="22"/>
                <w:highlight w:val="none"/>
                <w:lang w:val="en-US" w:eastAsia="zh-CN"/>
              </w:rPr>
              <w:t>5人(含）以上具有高</w:t>
            </w:r>
            <w:r>
              <w:rPr>
                <w:rFonts w:hint="eastAsia" w:ascii="宋体" w:hAnsi="宋体" w:cs="宋体"/>
                <w:bCs/>
                <w:color w:val="auto"/>
                <w:kern w:val="0"/>
                <w:sz w:val="21"/>
                <w:szCs w:val="22"/>
                <w:highlight w:val="none"/>
              </w:rPr>
              <w:t>级</w:t>
            </w:r>
            <w:r>
              <w:rPr>
                <w:rFonts w:hint="eastAsia"/>
                <w:color w:val="auto"/>
                <w:highlight w:val="none"/>
                <w:lang w:val="en-US" w:eastAsia="zh-CN"/>
              </w:rPr>
              <w:t>或以上</w:t>
            </w:r>
            <w:r>
              <w:rPr>
                <w:rFonts w:hint="eastAsia" w:ascii="宋体" w:hAnsi="宋体" w:cs="宋体"/>
                <w:bCs/>
                <w:color w:val="auto"/>
                <w:kern w:val="0"/>
                <w:sz w:val="21"/>
                <w:szCs w:val="22"/>
                <w:highlight w:val="none"/>
              </w:rPr>
              <w:t>技术职称的得</w:t>
            </w:r>
            <w:r>
              <w:rPr>
                <w:rFonts w:hint="eastAsia" w:hAnsi="宋体" w:cs="宋体"/>
                <w:bCs/>
                <w:color w:val="auto"/>
                <w:kern w:val="0"/>
                <w:sz w:val="21"/>
                <w:szCs w:val="22"/>
                <w:highlight w:val="none"/>
                <w:lang w:val="en-US" w:eastAsia="zh-CN"/>
              </w:rPr>
              <w:t>10</w:t>
            </w:r>
            <w:r>
              <w:rPr>
                <w:rFonts w:hint="eastAsia" w:ascii="宋体" w:hAnsi="宋体" w:cs="宋体"/>
                <w:bCs/>
                <w:color w:val="auto"/>
                <w:kern w:val="0"/>
                <w:sz w:val="21"/>
                <w:szCs w:val="22"/>
                <w:highlight w:val="none"/>
              </w:rPr>
              <w:t>分</w:t>
            </w:r>
            <w:r>
              <w:rPr>
                <w:rFonts w:hint="eastAsia" w:cs="宋体"/>
                <w:color w:val="auto"/>
                <w:kern w:val="0"/>
                <w:sz w:val="21"/>
                <w:szCs w:val="22"/>
                <w:highlight w:val="none"/>
                <w:lang w:val="en-US" w:eastAsia="zh-CN"/>
              </w:rPr>
              <w:t>；</w:t>
            </w:r>
            <w:r>
              <w:rPr>
                <w:rFonts w:hint="eastAsia" w:ascii="宋体" w:cs="宋体"/>
                <w:color w:val="auto"/>
                <w:kern w:val="0"/>
                <w:sz w:val="21"/>
                <w:szCs w:val="22"/>
                <w:highlight w:val="none"/>
              </w:rPr>
              <w:t>拟派驻本项目的</w:t>
            </w:r>
            <w:r>
              <w:rPr>
                <w:rFonts w:hint="eastAsia" w:cs="宋体"/>
                <w:color w:val="auto"/>
                <w:kern w:val="0"/>
                <w:sz w:val="21"/>
                <w:szCs w:val="22"/>
                <w:highlight w:val="none"/>
                <w:lang w:eastAsia="zh-CN"/>
              </w:rPr>
              <w:t>（</w:t>
            </w:r>
            <w:r>
              <w:rPr>
                <w:rFonts w:hint="eastAsia" w:ascii="宋体" w:hAnsi="宋体" w:cs="宋体"/>
                <w:bCs/>
                <w:color w:val="auto"/>
                <w:kern w:val="0"/>
                <w:sz w:val="21"/>
                <w:szCs w:val="22"/>
                <w:highlight w:val="none"/>
              </w:rPr>
              <w:t>安全员、施工员、质量员、材料员</w:t>
            </w:r>
            <w:r>
              <w:rPr>
                <w:rFonts w:hint="eastAsia" w:hAnsi="宋体" w:cs="宋体"/>
                <w:bCs/>
                <w:color w:val="auto"/>
                <w:kern w:val="0"/>
                <w:sz w:val="21"/>
                <w:szCs w:val="22"/>
                <w:highlight w:val="none"/>
                <w:lang w:eastAsia="zh-CN"/>
              </w:rPr>
              <w:t>、</w:t>
            </w:r>
            <w:r>
              <w:rPr>
                <w:rFonts w:hint="eastAsia" w:hAnsi="宋体" w:cs="宋体"/>
                <w:bCs/>
                <w:color w:val="auto"/>
                <w:kern w:val="0"/>
                <w:sz w:val="21"/>
                <w:szCs w:val="22"/>
                <w:highlight w:val="none"/>
                <w:lang w:val="en-US" w:eastAsia="zh-CN"/>
              </w:rPr>
              <w:t>资料员、造价员</w:t>
            </w:r>
            <w:r>
              <w:rPr>
                <w:rFonts w:hint="eastAsia" w:hAnsi="宋体" w:cs="宋体"/>
                <w:bCs/>
                <w:color w:val="auto"/>
                <w:kern w:val="0"/>
                <w:sz w:val="21"/>
                <w:szCs w:val="22"/>
                <w:highlight w:val="none"/>
                <w:lang w:eastAsia="zh-CN"/>
              </w:rPr>
              <w:t>）</w:t>
            </w:r>
            <w:r>
              <w:rPr>
                <w:rFonts w:hint="eastAsia" w:ascii="宋体" w:hAnsi="宋体" w:cs="宋体"/>
                <w:bCs/>
                <w:color w:val="auto"/>
                <w:kern w:val="0"/>
                <w:sz w:val="21"/>
                <w:szCs w:val="22"/>
                <w:highlight w:val="none"/>
              </w:rPr>
              <w:t>中有</w:t>
            </w:r>
            <w:r>
              <w:rPr>
                <w:rFonts w:hint="eastAsia" w:hAnsi="宋体" w:cs="宋体"/>
                <w:bCs/>
                <w:color w:val="auto"/>
                <w:kern w:val="0"/>
                <w:sz w:val="21"/>
                <w:szCs w:val="22"/>
                <w:highlight w:val="none"/>
                <w:lang w:val="en-US" w:eastAsia="zh-CN"/>
              </w:rPr>
              <w:t>5人(含）以上具有中</w:t>
            </w:r>
            <w:r>
              <w:rPr>
                <w:rFonts w:hint="eastAsia" w:ascii="宋体" w:hAnsi="宋体" w:cs="宋体"/>
                <w:bCs/>
                <w:color w:val="auto"/>
                <w:kern w:val="0"/>
                <w:sz w:val="21"/>
                <w:szCs w:val="22"/>
                <w:highlight w:val="none"/>
              </w:rPr>
              <w:t>级</w:t>
            </w:r>
            <w:r>
              <w:rPr>
                <w:rFonts w:hint="eastAsia"/>
                <w:color w:val="auto"/>
                <w:highlight w:val="none"/>
                <w:lang w:val="en-US" w:eastAsia="zh-CN"/>
              </w:rPr>
              <w:t>或以上</w:t>
            </w:r>
            <w:r>
              <w:rPr>
                <w:rFonts w:hint="eastAsia" w:ascii="宋体" w:hAnsi="宋体" w:cs="宋体"/>
                <w:bCs/>
                <w:color w:val="auto"/>
                <w:kern w:val="0"/>
                <w:sz w:val="21"/>
                <w:szCs w:val="22"/>
                <w:highlight w:val="none"/>
              </w:rPr>
              <w:t>技术职称的得</w:t>
            </w:r>
            <w:r>
              <w:rPr>
                <w:rFonts w:hint="eastAsia" w:hAnsi="宋体" w:cs="宋体"/>
                <w:bCs/>
                <w:color w:val="auto"/>
                <w:kern w:val="0"/>
                <w:sz w:val="21"/>
                <w:szCs w:val="22"/>
                <w:highlight w:val="none"/>
                <w:lang w:val="en-US" w:eastAsia="zh-CN"/>
              </w:rPr>
              <w:t>3</w:t>
            </w:r>
            <w:r>
              <w:rPr>
                <w:rFonts w:hint="eastAsia" w:ascii="宋体" w:hAnsi="宋体" w:cs="宋体"/>
                <w:bCs/>
                <w:color w:val="auto"/>
                <w:kern w:val="0"/>
                <w:sz w:val="21"/>
                <w:szCs w:val="22"/>
                <w:highlight w:val="none"/>
              </w:rPr>
              <w:t>分。</w:t>
            </w:r>
          </w:p>
        </w:tc>
      </w:tr>
      <w:tr w14:paraId="1675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829" w:type="dxa"/>
            <w:vMerge w:val="continue"/>
            <w:vAlign w:val="center"/>
          </w:tcPr>
          <w:p w14:paraId="6349E3B6">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398" w:type="dxa"/>
            <w:vMerge w:val="continue"/>
            <w:vAlign w:val="center"/>
          </w:tcPr>
          <w:p w14:paraId="589B7D32">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996" w:type="dxa"/>
            <w:gridSpan w:val="2"/>
            <w:vMerge w:val="continue"/>
            <w:vAlign w:val="center"/>
          </w:tcPr>
          <w:p w14:paraId="1C2793F1">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1047" w:type="dxa"/>
            <w:gridSpan w:val="2"/>
            <w:vMerge w:val="restart"/>
            <w:vAlign w:val="center"/>
          </w:tcPr>
          <w:p w14:paraId="3CD85DFC">
            <w:pPr>
              <w:pStyle w:val="2"/>
              <w:keepNext w:val="0"/>
              <w:keepLines w:val="0"/>
              <w:pageBreakBefore w:val="0"/>
              <w:suppressLineNumbers w:val="0"/>
              <w:kinsoku/>
              <w:wordWrap/>
              <w:overflowPunct/>
              <w:topLinePunct w:val="0"/>
              <w:autoSpaceDE/>
              <w:autoSpaceDN/>
              <w:bidi w:val="0"/>
              <w:snapToGrid/>
              <w:spacing w:before="0" w:beforeAutospacing="0" w:afterAutospacing="0" w:line="360" w:lineRule="auto"/>
              <w:ind w:left="63" w:right="63"/>
              <w:rPr>
                <w:rFonts w:hint="default" w:ascii="宋体" w:cs="宋体"/>
                <w:color w:val="auto"/>
                <w:kern w:val="0"/>
                <w:highlight w:val="none"/>
              </w:rPr>
            </w:pPr>
            <w:r>
              <w:rPr>
                <w:rFonts w:hint="eastAsia"/>
                <w:color w:val="auto"/>
                <w:highlight w:val="none"/>
              </w:rPr>
              <w:t>施工组织设计</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35</w:t>
            </w:r>
            <w:r>
              <w:rPr>
                <w:rFonts w:hint="eastAsia" w:ascii="宋体" w:hAnsi="宋体" w:eastAsia="宋体" w:cs="宋体"/>
                <w:b w:val="0"/>
                <w:bCs w:val="0"/>
                <w:color w:val="auto"/>
                <w:highlight w:val="none"/>
              </w:rPr>
              <w:t>分）</w:t>
            </w:r>
          </w:p>
        </w:tc>
        <w:tc>
          <w:tcPr>
            <w:tcW w:w="1323" w:type="dxa"/>
            <w:vAlign w:val="center"/>
          </w:tcPr>
          <w:p w14:paraId="517479A9">
            <w:pPr>
              <w:keepNext w:val="0"/>
              <w:keepLines w:val="0"/>
              <w:pageBreakBefore w:val="0"/>
              <w:suppressLineNumbers w:val="0"/>
              <w:kinsoku/>
              <w:wordWrap/>
              <w:overflowPunct/>
              <w:topLinePunct w:val="0"/>
              <w:autoSpaceDE/>
              <w:autoSpaceDN/>
              <w:bidi w:val="0"/>
              <w:adjustRightInd/>
              <w:snapToGrid/>
              <w:spacing w:before="120" w:beforeLines="50" w:beforeAutospacing="0" w:after="0" w:afterAutospacing="0" w:line="360" w:lineRule="auto"/>
              <w:ind w:left="0" w:right="0"/>
              <w:jc w:val="center"/>
              <w:textAlignment w:val="auto"/>
              <w:rPr>
                <w:rFonts w:hint="default"/>
                <w:color w:val="auto"/>
                <w:highlight w:val="none"/>
              </w:rPr>
            </w:pPr>
            <w:r>
              <w:rPr>
                <w:rFonts w:hint="eastAsia" w:ascii="宋体" w:hAnsi="宋体" w:eastAsia="宋体" w:cs="宋体"/>
                <w:color w:val="auto"/>
                <w:kern w:val="2"/>
                <w:sz w:val="21"/>
                <w:szCs w:val="22"/>
                <w:highlight w:val="none"/>
                <w:lang w:val="en-US" w:eastAsia="zh-CN"/>
              </w:rPr>
              <w:t>主要施工方法</w:t>
            </w:r>
            <w:r>
              <w:rPr>
                <w:rFonts w:hint="eastAsia"/>
                <w:color w:val="auto"/>
                <w:highlight w:val="none"/>
              </w:rPr>
              <w:t>（</w:t>
            </w:r>
            <w:r>
              <w:rPr>
                <w:rFonts w:hint="default"/>
                <w:color w:val="auto"/>
                <w:highlight w:val="none"/>
              </w:rPr>
              <w:t>5</w:t>
            </w:r>
            <w:r>
              <w:rPr>
                <w:rFonts w:hint="eastAsia"/>
                <w:color w:val="auto"/>
                <w:highlight w:val="none"/>
              </w:rPr>
              <w:t>分）</w:t>
            </w:r>
          </w:p>
        </w:tc>
        <w:tc>
          <w:tcPr>
            <w:tcW w:w="5856" w:type="dxa"/>
            <w:vAlign w:val="center"/>
          </w:tcPr>
          <w:p w14:paraId="032669F0">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4"/>
                <w:highlight w:val="none"/>
                <w:lang w:eastAsia="zh-CN"/>
              </w:rPr>
            </w:pPr>
            <w:r>
              <w:rPr>
                <w:rFonts w:hint="eastAsia" w:ascii="宋体" w:hAnsi="宋体" w:eastAsia="宋体" w:cs="宋体"/>
                <w:color w:val="auto"/>
                <w:kern w:val="0"/>
                <w:sz w:val="21"/>
                <w:szCs w:val="24"/>
                <w:highlight w:val="none"/>
                <w:lang w:val="en-US" w:eastAsia="zh-CN" w:bidi="ar"/>
              </w:rPr>
              <w:t>一档(</w:t>
            </w:r>
            <w:r>
              <w:rPr>
                <w:rFonts w:hint="eastAsia" w:cs="宋体"/>
                <w:color w:val="auto"/>
                <w:kern w:val="0"/>
                <w:sz w:val="21"/>
                <w:szCs w:val="24"/>
                <w:highlight w:val="none"/>
                <w:lang w:val="en-US" w:eastAsia="zh-CN" w:bidi="ar"/>
              </w:rPr>
              <w:t>5</w:t>
            </w:r>
            <w:r>
              <w:rPr>
                <w:rFonts w:hint="eastAsia" w:ascii="宋体" w:hAnsi="宋体" w:eastAsia="宋体" w:cs="宋体"/>
                <w:color w:val="auto"/>
                <w:kern w:val="0"/>
                <w:sz w:val="21"/>
                <w:szCs w:val="24"/>
                <w:highlight w:val="none"/>
                <w:lang w:val="en-US" w:eastAsia="zh-CN" w:bidi="ar"/>
              </w:rPr>
              <w:t>分) ：各主要分部施工方法针对性强，施工技术方案详尽周密，工艺先进、方法科学、可行，能很好的指导具体施工并确保安全。</w:t>
            </w:r>
          </w:p>
          <w:p w14:paraId="2105E23B">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4"/>
                <w:highlight w:val="none"/>
                <w:lang w:eastAsia="zh-CN"/>
              </w:rPr>
            </w:pPr>
            <w:r>
              <w:rPr>
                <w:rFonts w:hint="eastAsia" w:cs="宋体"/>
                <w:color w:val="auto"/>
                <w:kern w:val="0"/>
                <w:sz w:val="21"/>
                <w:szCs w:val="24"/>
                <w:highlight w:val="none"/>
                <w:lang w:val="en-US" w:eastAsia="zh-CN" w:bidi="ar"/>
              </w:rPr>
              <w:t>二档</w:t>
            </w:r>
            <w:r>
              <w:rPr>
                <w:rFonts w:hint="eastAsia" w:ascii="宋体" w:hAnsi="宋体" w:eastAsia="宋体" w:cs="宋体"/>
                <w:color w:val="auto"/>
                <w:kern w:val="0"/>
                <w:sz w:val="21"/>
                <w:szCs w:val="24"/>
                <w:highlight w:val="none"/>
                <w:lang w:val="en-US" w:eastAsia="zh-CN" w:bidi="ar"/>
              </w:rPr>
              <w:t>（</w:t>
            </w:r>
            <w:r>
              <w:rPr>
                <w:rFonts w:hint="eastAsia" w:cs="宋体"/>
                <w:color w:val="auto"/>
                <w:kern w:val="0"/>
                <w:sz w:val="21"/>
                <w:szCs w:val="24"/>
                <w:highlight w:val="none"/>
                <w:lang w:val="en-US" w:eastAsia="zh-CN" w:bidi="ar"/>
              </w:rPr>
              <w:t>3</w:t>
            </w:r>
            <w:r>
              <w:rPr>
                <w:rFonts w:hint="eastAsia" w:ascii="宋体" w:hAnsi="宋体" w:eastAsia="宋体" w:cs="宋体"/>
                <w:color w:val="auto"/>
                <w:kern w:val="0"/>
                <w:sz w:val="21"/>
                <w:szCs w:val="24"/>
                <w:highlight w:val="none"/>
                <w:lang w:val="en-US" w:eastAsia="zh-CN" w:bidi="ar"/>
              </w:rPr>
              <w:t>分) ：各主要分部施工方法符合项目实际，施工技术方案齐全，工艺成熟、方法合理、可行，能指导具体施工并确保安全。</w:t>
            </w:r>
          </w:p>
          <w:p w14:paraId="658B24BF">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63" w:right="63"/>
              <w:jc w:val="left"/>
              <w:textAlignment w:val="auto"/>
              <w:rPr>
                <w:rFonts w:hint="eastAsia" w:ascii="宋体" w:hAnsi="宋体" w:eastAsia="宋体" w:cs="宋体"/>
                <w:color w:val="auto"/>
                <w:kern w:val="0"/>
                <w:sz w:val="21"/>
                <w:szCs w:val="24"/>
                <w:highlight w:val="none"/>
                <w:lang w:val="en-US" w:eastAsia="zh-CN" w:bidi="ar"/>
              </w:rPr>
            </w:pPr>
            <w:r>
              <w:rPr>
                <w:rFonts w:hint="eastAsia" w:ascii="宋体" w:hAnsi="宋体" w:eastAsia="宋体" w:cs="宋体"/>
                <w:color w:val="auto"/>
                <w:kern w:val="0"/>
                <w:sz w:val="21"/>
                <w:szCs w:val="24"/>
                <w:highlight w:val="none"/>
                <w:lang w:val="en-US" w:eastAsia="zh-CN" w:bidi="ar"/>
              </w:rPr>
              <w:t>三档(</w:t>
            </w:r>
            <w:r>
              <w:rPr>
                <w:rFonts w:hint="eastAsia" w:ascii="宋体" w:hAnsi="宋体" w:cs="宋体"/>
                <w:color w:val="auto"/>
                <w:kern w:val="0"/>
                <w:sz w:val="21"/>
                <w:szCs w:val="24"/>
                <w:highlight w:val="none"/>
                <w:lang w:val="en-US" w:eastAsia="zh-CN" w:bidi="ar"/>
              </w:rPr>
              <w:t>2</w:t>
            </w:r>
            <w:r>
              <w:rPr>
                <w:rFonts w:hint="eastAsia" w:ascii="宋体" w:hAnsi="宋体" w:eastAsia="宋体" w:cs="宋体"/>
                <w:color w:val="auto"/>
                <w:kern w:val="0"/>
                <w:sz w:val="21"/>
                <w:szCs w:val="24"/>
                <w:highlight w:val="none"/>
                <w:lang w:val="en-US" w:eastAsia="zh-CN" w:bidi="ar"/>
              </w:rPr>
              <w:t>分) ：各主要分部施工方法 基本符合项目实际，施工技术方案基本齐全，方法基本合理、基本可行，基本能指导具体施工并确保安全。</w:t>
            </w:r>
          </w:p>
          <w:p w14:paraId="4D5C00EC">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63" w:right="63"/>
              <w:jc w:val="left"/>
              <w:textAlignment w:val="auto"/>
              <w:rPr>
                <w:rFonts w:hint="default" w:ascii="宋体" w:cs="宋体"/>
                <w:color w:val="auto"/>
                <w:kern w:val="0"/>
                <w:highlight w:val="none"/>
              </w:rPr>
            </w:pPr>
            <w:r>
              <w:rPr>
                <w:rFonts w:hint="eastAsia" w:ascii="宋体" w:hAnsi="宋体" w:eastAsia="宋体" w:cs="宋体"/>
                <w:color w:val="auto"/>
                <w:kern w:val="0"/>
                <w:sz w:val="21"/>
                <w:szCs w:val="24"/>
                <w:highlight w:val="none"/>
                <w:lang w:val="en-US" w:eastAsia="zh-CN" w:bidi="ar"/>
              </w:rPr>
              <w:t>四(1分)：各主要分部施工方法针对性一般，施工技术方案一般，工艺落后、方法基本合理，基本能指导具体施工和确保安全。</w:t>
            </w:r>
          </w:p>
        </w:tc>
      </w:tr>
      <w:tr w14:paraId="45AE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29" w:type="dxa"/>
            <w:vMerge w:val="continue"/>
            <w:vAlign w:val="center"/>
          </w:tcPr>
          <w:p w14:paraId="38CD751F">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398" w:type="dxa"/>
            <w:vMerge w:val="continue"/>
            <w:vAlign w:val="center"/>
          </w:tcPr>
          <w:p w14:paraId="511376AE">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996" w:type="dxa"/>
            <w:gridSpan w:val="2"/>
            <w:vMerge w:val="continue"/>
            <w:vAlign w:val="center"/>
          </w:tcPr>
          <w:p w14:paraId="768CBEA6">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1047" w:type="dxa"/>
            <w:gridSpan w:val="2"/>
            <w:vMerge w:val="continue"/>
            <w:vAlign w:val="center"/>
          </w:tcPr>
          <w:p w14:paraId="4AE0700A">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jc w:val="center"/>
              <w:rPr>
                <w:rFonts w:hint="default"/>
                <w:color w:val="auto"/>
                <w:highlight w:val="none"/>
              </w:rPr>
            </w:pPr>
          </w:p>
        </w:tc>
        <w:tc>
          <w:tcPr>
            <w:tcW w:w="1323" w:type="dxa"/>
            <w:vAlign w:val="center"/>
          </w:tcPr>
          <w:p w14:paraId="35FD0948">
            <w:pPr>
              <w:keepNext w:val="0"/>
              <w:keepLines w:val="0"/>
              <w:pageBreakBefore w:val="0"/>
              <w:suppressLineNumbers w:val="0"/>
              <w:kinsoku/>
              <w:wordWrap/>
              <w:overflowPunct/>
              <w:topLinePunct w:val="0"/>
              <w:autoSpaceDE/>
              <w:autoSpaceDN/>
              <w:bidi w:val="0"/>
              <w:adjustRightInd/>
              <w:snapToGrid/>
              <w:spacing w:before="120" w:beforeLines="50" w:beforeAutospacing="0" w:after="0" w:afterAutospacing="0" w:line="360" w:lineRule="auto"/>
              <w:ind w:left="0" w:right="0"/>
              <w:jc w:val="center"/>
              <w:textAlignment w:val="auto"/>
              <w:rPr>
                <w:rFonts w:hint="default"/>
                <w:color w:val="auto"/>
                <w:highlight w:val="none"/>
              </w:rPr>
            </w:pPr>
            <w:r>
              <w:rPr>
                <w:rFonts w:hint="eastAsia" w:ascii="宋体" w:hAnsi="宋体" w:eastAsia="宋体" w:cs="宋体"/>
                <w:color w:val="auto"/>
                <w:kern w:val="2"/>
                <w:sz w:val="21"/>
                <w:szCs w:val="22"/>
                <w:highlight w:val="none"/>
                <w:lang w:val="en-US" w:eastAsia="zh-CN"/>
              </w:rPr>
              <w:t>拟投入的主要物资计划</w:t>
            </w:r>
            <w:r>
              <w:rPr>
                <w:rFonts w:hint="eastAsia"/>
                <w:color w:val="auto"/>
                <w:highlight w:val="none"/>
              </w:rPr>
              <w:t>（</w:t>
            </w:r>
            <w:r>
              <w:rPr>
                <w:rFonts w:hint="eastAsia"/>
                <w:color w:val="auto"/>
                <w:highlight w:val="none"/>
                <w:lang w:val="en-US" w:eastAsia="zh-CN"/>
              </w:rPr>
              <w:t>3</w:t>
            </w:r>
            <w:r>
              <w:rPr>
                <w:rFonts w:hint="eastAsia"/>
                <w:color w:val="auto"/>
                <w:highlight w:val="none"/>
              </w:rPr>
              <w:t>分）</w:t>
            </w:r>
          </w:p>
        </w:tc>
        <w:tc>
          <w:tcPr>
            <w:tcW w:w="5856" w:type="dxa"/>
            <w:vAlign w:val="center"/>
          </w:tcPr>
          <w:p w14:paraId="4B810559">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4"/>
                <w:highlight w:val="none"/>
                <w:lang w:eastAsia="zh-CN"/>
              </w:rPr>
            </w:pPr>
            <w:r>
              <w:rPr>
                <w:rFonts w:hint="eastAsia"/>
                <w:color w:val="auto"/>
                <w:highlight w:val="none"/>
              </w:rPr>
              <w:t>一</w:t>
            </w:r>
            <w:r>
              <w:rPr>
                <w:rFonts w:hint="eastAsia" w:ascii="宋体" w:hAnsi="宋体" w:eastAsia="宋体" w:cs="宋体"/>
                <w:color w:val="auto"/>
                <w:kern w:val="0"/>
                <w:sz w:val="21"/>
                <w:szCs w:val="24"/>
                <w:highlight w:val="none"/>
                <w:lang w:val="en-US" w:eastAsia="zh-CN" w:bidi="ar"/>
              </w:rPr>
              <w:t>档(</w:t>
            </w:r>
            <w:r>
              <w:rPr>
                <w:rFonts w:hint="eastAsia" w:cs="宋体"/>
                <w:color w:val="auto"/>
                <w:kern w:val="0"/>
                <w:sz w:val="21"/>
                <w:szCs w:val="24"/>
                <w:highlight w:val="none"/>
                <w:lang w:val="en-US" w:eastAsia="zh-CN" w:bidi="ar"/>
              </w:rPr>
              <w:t>3</w:t>
            </w:r>
            <w:r>
              <w:rPr>
                <w:rFonts w:hint="eastAsia" w:ascii="宋体" w:hAnsi="宋体" w:eastAsia="宋体" w:cs="宋体"/>
                <w:color w:val="auto"/>
                <w:kern w:val="0"/>
                <w:sz w:val="21"/>
                <w:szCs w:val="24"/>
                <w:highlight w:val="none"/>
                <w:lang w:val="en-US" w:eastAsia="zh-CN" w:bidi="ar"/>
              </w:rPr>
              <w:t>分) ：投入的施工材料有详细的组织计划且计划周密，投入计划与进度计划呼应，很好的满足施工需要，调配投入计划合理、准确。</w:t>
            </w:r>
          </w:p>
          <w:p w14:paraId="5541B6F6">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4"/>
                <w:highlight w:val="none"/>
                <w:lang w:eastAsia="zh-CN"/>
              </w:rPr>
            </w:pPr>
            <w:r>
              <w:rPr>
                <w:rFonts w:hint="eastAsia" w:ascii="宋体" w:hAnsi="宋体" w:eastAsia="宋体" w:cs="宋体"/>
                <w:color w:val="auto"/>
                <w:kern w:val="0"/>
                <w:sz w:val="21"/>
                <w:szCs w:val="24"/>
                <w:highlight w:val="none"/>
                <w:lang w:val="en-US" w:eastAsia="zh-CN" w:bidi="ar"/>
              </w:rPr>
              <w:t>二档(</w:t>
            </w:r>
            <w:r>
              <w:rPr>
                <w:rFonts w:hint="eastAsia" w:cs="宋体"/>
                <w:color w:val="auto"/>
                <w:kern w:val="0"/>
                <w:sz w:val="21"/>
                <w:szCs w:val="24"/>
                <w:highlight w:val="none"/>
                <w:lang w:val="en-US" w:eastAsia="zh-CN" w:bidi="ar"/>
              </w:rPr>
              <w:t>2</w:t>
            </w:r>
            <w:r>
              <w:rPr>
                <w:rFonts w:hint="eastAsia" w:ascii="宋体" w:hAnsi="宋体" w:eastAsia="宋体" w:cs="宋体"/>
                <w:color w:val="auto"/>
                <w:kern w:val="0"/>
                <w:sz w:val="21"/>
                <w:szCs w:val="24"/>
                <w:highlight w:val="none"/>
                <w:lang w:val="en-US" w:eastAsia="zh-CN" w:bidi="ar"/>
              </w:rPr>
              <w:t>分) ：投入的施工材料有详细的组织计划，投入计划与进度计划呼应，满足施工需要，调配投入计划基本合理、准确。</w:t>
            </w:r>
          </w:p>
          <w:p w14:paraId="378DBF8A">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63" w:right="63"/>
              <w:jc w:val="left"/>
              <w:textAlignment w:val="auto"/>
              <w:rPr>
                <w:rFonts w:hint="eastAsia" w:ascii="宋体" w:hAnsi="宋体" w:eastAsia="宋体" w:cs="宋体"/>
                <w:color w:val="auto"/>
                <w:kern w:val="0"/>
                <w:sz w:val="21"/>
                <w:szCs w:val="24"/>
                <w:highlight w:val="none"/>
                <w:lang w:val="en-US" w:eastAsia="zh-CN" w:bidi="ar"/>
              </w:rPr>
            </w:pPr>
            <w:r>
              <w:rPr>
                <w:rFonts w:hint="eastAsia" w:ascii="宋体" w:hAnsi="宋体" w:eastAsia="宋体" w:cs="宋体"/>
                <w:color w:val="auto"/>
                <w:kern w:val="0"/>
                <w:sz w:val="21"/>
                <w:szCs w:val="24"/>
                <w:highlight w:val="none"/>
                <w:lang w:val="en-US" w:eastAsia="zh-CN" w:bidi="ar"/>
              </w:rPr>
              <w:t>三档</w:t>
            </w:r>
            <w:r>
              <w:rPr>
                <w:rFonts w:hint="eastAsia" w:ascii="宋体" w:hAnsi="宋体" w:cs="宋体"/>
                <w:color w:val="auto"/>
                <w:kern w:val="0"/>
                <w:sz w:val="21"/>
                <w:szCs w:val="24"/>
                <w:highlight w:val="none"/>
                <w:lang w:val="en-US" w:eastAsia="zh-CN" w:bidi="ar"/>
              </w:rPr>
              <w:t>(1</w:t>
            </w:r>
            <w:r>
              <w:rPr>
                <w:rFonts w:hint="eastAsia" w:ascii="宋体" w:hAnsi="宋体" w:eastAsia="宋体" w:cs="宋体"/>
                <w:color w:val="auto"/>
                <w:kern w:val="0"/>
                <w:sz w:val="21"/>
                <w:szCs w:val="24"/>
                <w:highlight w:val="none"/>
                <w:lang w:val="en-US" w:eastAsia="zh-CN" w:bidi="ar"/>
              </w:rPr>
              <w:t>分) ：投入的施工材料有详细的组织计划，投入计划与进度计划呼应，基本满足施工需要，调配投入计划基本合理。</w:t>
            </w:r>
          </w:p>
          <w:p w14:paraId="09D8FF9C">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63" w:right="63"/>
              <w:jc w:val="left"/>
              <w:textAlignment w:val="auto"/>
              <w:rPr>
                <w:rFonts w:hint="default" w:ascii="宋体" w:cs="宋体"/>
                <w:color w:val="auto"/>
                <w:kern w:val="0"/>
                <w:highlight w:val="none"/>
              </w:rPr>
            </w:pPr>
            <w:r>
              <w:rPr>
                <w:rFonts w:hint="eastAsia" w:ascii="宋体" w:hAnsi="宋体" w:eastAsia="宋体" w:cs="宋体"/>
                <w:color w:val="auto"/>
                <w:kern w:val="0"/>
                <w:sz w:val="21"/>
                <w:szCs w:val="24"/>
                <w:highlight w:val="none"/>
                <w:lang w:val="en-US" w:eastAsia="zh-CN" w:bidi="ar"/>
              </w:rPr>
              <w:t>四档（</w:t>
            </w:r>
            <w:r>
              <w:rPr>
                <w:rFonts w:hint="eastAsia" w:ascii="宋体" w:hAnsi="宋体" w:cs="宋体"/>
                <w:color w:val="auto"/>
                <w:kern w:val="0"/>
                <w:sz w:val="21"/>
                <w:szCs w:val="24"/>
                <w:highlight w:val="none"/>
                <w:lang w:val="en-US" w:eastAsia="zh-CN" w:bidi="ar"/>
              </w:rPr>
              <w:t>0.5</w:t>
            </w:r>
            <w:r>
              <w:rPr>
                <w:rFonts w:hint="eastAsia" w:ascii="宋体" w:hAnsi="宋体" w:eastAsia="宋体" w:cs="宋体"/>
                <w:color w:val="auto"/>
                <w:kern w:val="0"/>
                <w:sz w:val="21"/>
                <w:szCs w:val="24"/>
                <w:highlight w:val="none"/>
                <w:lang w:val="en-US" w:eastAsia="zh-CN" w:bidi="ar"/>
              </w:rPr>
              <w:t>分)：投入的施工材料的组织计划一般，投入计划与进度计划基本呼应，基本能满足施工需</w:t>
            </w:r>
            <w:r>
              <w:rPr>
                <w:rFonts w:hint="eastAsia"/>
                <w:color w:val="auto"/>
                <w:sz w:val="21"/>
                <w:highlight w:val="none"/>
                <w:lang w:bidi="ar"/>
              </w:rPr>
              <w:t>要。</w:t>
            </w:r>
          </w:p>
        </w:tc>
      </w:tr>
      <w:tr w14:paraId="0A96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vMerge w:val="continue"/>
            <w:vAlign w:val="center"/>
          </w:tcPr>
          <w:p w14:paraId="7B85BFEE">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398" w:type="dxa"/>
            <w:vMerge w:val="continue"/>
            <w:vAlign w:val="center"/>
          </w:tcPr>
          <w:p w14:paraId="240E37FA">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996" w:type="dxa"/>
            <w:gridSpan w:val="2"/>
            <w:vMerge w:val="continue"/>
            <w:vAlign w:val="center"/>
          </w:tcPr>
          <w:p w14:paraId="0F3F5AC2">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1047" w:type="dxa"/>
            <w:gridSpan w:val="2"/>
            <w:vMerge w:val="continue"/>
            <w:vAlign w:val="center"/>
          </w:tcPr>
          <w:p w14:paraId="2EDCA6D9">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jc w:val="center"/>
              <w:rPr>
                <w:rFonts w:hint="default"/>
                <w:color w:val="auto"/>
                <w:highlight w:val="none"/>
              </w:rPr>
            </w:pPr>
          </w:p>
        </w:tc>
        <w:tc>
          <w:tcPr>
            <w:tcW w:w="1323" w:type="dxa"/>
            <w:vAlign w:val="center"/>
          </w:tcPr>
          <w:p w14:paraId="53EE8B93">
            <w:pPr>
              <w:keepNext w:val="0"/>
              <w:keepLines w:val="0"/>
              <w:pageBreakBefore w:val="0"/>
              <w:suppressLineNumbers w:val="0"/>
              <w:kinsoku/>
              <w:wordWrap/>
              <w:overflowPunct/>
              <w:topLinePunct w:val="0"/>
              <w:autoSpaceDE/>
              <w:autoSpaceDN/>
              <w:bidi w:val="0"/>
              <w:adjustRightInd/>
              <w:snapToGrid/>
              <w:spacing w:before="120" w:beforeLines="50" w:beforeAutospacing="0" w:after="0" w:afterAutospacing="0" w:line="360" w:lineRule="auto"/>
              <w:ind w:left="0" w:right="0"/>
              <w:jc w:val="center"/>
              <w:textAlignment w:val="auto"/>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lang w:val="en-US" w:eastAsia="zh-CN"/>
              </w:rPr>
              <w:t>劳动力安排计划</w:t>
            </w:r>
          </w:p>
          <w:p w14:paraId="351A1DCE">
            <w:pPr>
              <w:keepNext w:val="0"/>
              <w:keepLines w:val="0"/>
              <w:pageBreakBefore w:val="0"/>
              <w:suppressLineNumbers w:val="0"/>
              <w:kinsoku/>
              <w:wordWrap/>
              <w:overflowPunct/>
              <w:topLinePunct w:val="0"/>
              <w:autoSpaceDE/>
              <w:autoSpaceDN/>
              <w:bidi w:val="0"/>
              <w:adjustRightInd/>
              <w:snapToGrid/>
              <w:spacing w:before="120" w:beforeLines="50" w:beforeAutospacing="0" w:after="0" w:afterAutospacing="0" w:line="360" w:lineRule="auto"/>
              <w:ind w:left="0" w:right="0"/>
              <w:jc w:val="center"/>
              <w:textAlignment w:val="auto"/>
              <w:rPr>
                <w:rFonts w:hint="default"/>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分）</w:t>
            </w:r>
          </w:p>
        </w:tc>
        <w:tc>
          <w:tcPr>
            <w:tcW w:w="5856" w:type="dxa"/>
            <w:vAlign w:val="center"/>
          </w:tcPr>
          <w:p w14:paraId="6CA5040A">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4"/>
                <w:highlight w:val="none"/>
                <w:lang w:eastAsia="zh-CN"/>
              </w:rPr>
            </w:pPr>
            <w:r>
              <w:rPr>
                <w:rFonts w:hint="eastAsia" w:ascii="宋体" w:hAnsi="宋体" w:eastAsia="宋体" w:cs="宋体"/>
                <w:color w:val="auto"/>
                <w:kern w:val="0"/>
                <w:sz w:val="21"/>
                <w:szCs w:val="24"/>
                <w:highlight w:val="none"/>
                <w:lang w:val="en-US" w:eastAsia="zh-CN" w:bidi="ar"/>
              </w:rPr>
              <w:t>一档(</w:t>
            </w:r>
            <w:r>
              <w:rPr>
                <w:rFonts w:hint="eastAsia" w:cs="宋体"/>
                <w:color w:val="auto"/>
                <w:kern w:val="0"/>
                <w:sz w:val="21"/>
                <w:szCs w:val="24"/>
                <w:highlight w:val="none"/>
                <w:lang w:val="en-US" w:eastAsia="zh-CN" w:bidi="ar"/>
              </w:rPr>
              <w:t>3</w:t>
            </w:r>
            <w:r>
              <w:rPr>
                <w:rFonts w:hint="eastAsia" w:ascii="宋体" w:hAnsi="宋体" w:eastAsia="宋体" w:cs="宋体"/>
                <w:color w:val="auto"/>
                <w:kern w:val="0"/>
                <w:sz w:val="21"/>
                <w:szCs w:val="24"/>
                <w:highlight w:val="none"/>
                <w:lang w:val="en-US" w:eastAsia="zh-CN" w:bidi="ar"/>
              </w:rPr>
              <w:t>分) ：各主要施工工序有详细周密的劳动力安排计划，各工种劳动力安排计划齐全，劳动力投入与进度计划呼应合理，很好的满足施工需要。</w:t>
            </w:r>
          </w:p>
          <w:p w14:paraId="555C7B8D">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4"/>
                <w:highlight w:val="none"/>
                <w:lang w:val="en-US" w:eastAsia="zh-CN" w:bidi="ar"/>
              </w:rPr>
            </w:pPr>
            <w:r>
              <w:rPr>
                <w:rFonts w:hint="eastAsia" w:ascii="宋体" w:hAnsi="宋体" w:eastAsia="宋体" w:cs="宋体"/>
                <w:color w:val="auto"/>
                <w:kern w:val="0"/>
                <w:sz w:val="21"/>
                <w:szCs w:val="24"/>
                <w:highlight w:val="none"/>
                <w:lang w:val="en-US" w:eastAsia="zh-CN" w:bidi="ar"/>
              </w:rPr>
              <w:t>二档(</w:t>
            </w:r>
            <w:r>
              <w:rPr>
                <w:rFonts w:hint="eastAsia" w:cs="宋体"/>
                <w:color w:val="auto"/>
                <w:kern w:val="0"/>
                <w:sz w:val="21"/>
                <w:szCs w:val="24"/>
                <w:highlight w:val="none"/>
                <w:lang w:val="en-US" w:eastAsia="zh-CN" w:bidi="ar"/>
              </w:rPr>
              <w:t>2</w:t>
            </w:r>
            <w:r>
              <w:rPr>
                <w:rFonts w:hint="eastAsia" w:ascii="宋体" w:hAnsi="宋体" w:eastAsia="宋体" w:cs="宋体"/>
                <w:color w:val="auto"/>
                <w:kern w:val="0"/>
                <w:sz w:val="21"/>
                <w:szCs w:val="24"/>
                <w:highlight w:val="none"/>
                <w:lang w:val="en-US" w:eastAsia="zh-CN" w:bidi="ar"/>
              </w:rPr>
              <w:t>分) ：各主要施工工序有详 细的劳动力安排计划，有各工种劳动力安排计划，劳动力投入合理，满足施工需要。</w:t>
            </w:r>
          </w:p>
          <w:p w14:paraId="3AE9AC84">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4"/>
                <w:highlight w:val="none"/>
                <w:lang w:val="en-US" w:eastAsia="zh-CN" w:bidi="ar"/>
              </w:rPr>
            </w:pPr>
            <w:r>
              <w:rPr>
                <w:rFonts w:hint="eastAsia" w:ascii="宋体" w:hAnsi="宋体" w:eastAsia="宋体" w:cs="宋体"/>
                <w:color w:val="auto"/>
                <w:kern w:val="0"/>
                <w:sz w:val="21"/>
                <w:szCs w:val="24"/>
                <w:highlight w:val="none"/>
                <w:lang w:val="en-US" w:eastAsia="zh-CN" w:bidi="ar"/>
              </w:rPr>
              <w:t>三档(</w:t>
            </w:r>
            <w:r>
              <w:rPr>
                <w:rFonts w:hint="eastAsia" w:cs="宋体"/>
                <w:color w:val="auto"/>
                <w:kern w:val="0"/>
                <w:sz w:val="21"/>
                <w:szCs w:val="24"/>
                <w:highlight w:val="none"/>
                <w:lang w:val="en-US" w:eastAsia="zh-CN" w:bidi="ar"/>
              </w:rPr>
              <w:t>1</w:t>
            </w:r>
            <w:r>
              <w:rPr>
                <w:rFonts w:hint="eastAsia" w:ascii="宋体" w:hAnsi="宋体" w:eastAsia="宋体" w:cs="宋体"/>
                <w:color w:val="auto"/>
                <w:kern w:val="0"/>
                <w:sz w:val="21"/>
                <w:szCs w:val="24"/>
                <w:highlight w:val="none"/>
                <w:lang w:val="en-US" w:eastAsia="zh-CN" w:bidi="ar"/>
              </w:rPr>
              <w:t>分) ：各主要施工工序应有劳动力安排计，有各工种劳动力安排计划，劳动力投入基本合理，基本满足施工需要。</w:t>
            </w:r>
          </w:p>
          <w:p w14:paraId="156B1934">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63" w:right="63"/>
              <w:jc w:val="left"/>
              <w:textAlignment w:val="auto"/>
              <w:rPr>
                <w:rFonts w:hint="default" w:ascii="宋体" w:cs="宋体"/>
                <w:color w:val="auto"/>
                <w:kern w:val="0"/>
                <w:highlight w:val="none"/>
              </w:rPr>
            </w:pPr>
            <w:r>
              <w:rPr>
                <w:rFonts w:hint="eastAsia" w:cs="宋体"/>
                <w:color w:val="auto"/>
                <w:kern w:val="0"/>
                <w:sz w:val="21"/>
                <w:szCs w:val="24"/>
                <w:highlight w:val="none"/>
                <w:lang w:val="en-US" w:eastAsia="zh-CN" w:bidi="ar"/>
              </w:rPr>
              <w:t>四</w:t>
            </w:r>
            <w:r>
              <w:rPr>
                <w:rFonts w:hint="eastAsia" w:ascii="宋体" w:hAnsi="宋体" w:eastAsia="宋体" w:cs="宋体"/>
                <w:color w:val="auto"/>
                <w:kern w:val="0"/>
                <w:sz w:val="21"/>
                <w:szCs w:val="24"/>
                <w:highlight w:val="none"/>
                <w:lang w:val="en-US" w:eastAsia="zh-CN" w:bidi="ar"/>
              </w:rPr>
              <w:t>档(</w:t>
            </w:r>
            <w:r>
              <w:rPr>
                <w:rFonts w:hint="eastAsia" w:ascii="宋体" w:hAnsi="宋体" w:cs="宋体"/>
                <w:color w:val="auto"/>
                <w:kern w:val="0"/>
                <w:sz w:val="21"/>
                <w:szCs w:val="24"/>
                <w:highlight w:val="none"/>
                <w:lang w:val="en-US" w:eastAsia="zh-CN" w:bidi="ar"/>
              </w:rPr>
              <w:t>0.5</w:t>
            </w:r>
            <w:r>
              <w:rPr>
                <w:rFonts w:hint="eastAsia" w:ascii="宋体" w:hAnsi="宋体" w:eastAsia="宋体" w:cs="宋体"/>
                <w:color w:val="auto"/>
                <w:kern w:val="0"/>
                <w:sz w:val="21"/>
                <w:szCs w:val="24"/>
                <w:highlight w:val="none"/>
                <w:lang w:val="en-US" w:eastAsia="zh-CN" w:bidi="ar"/>
              </w:rPr>
              <w:t>分)：各主要施工工序劳动力安排计划一般，各工种劳动力安排计划或计划基本齐全，劳动力投入基本合理，基本能满足施工需要。</w:t>
            </w:r>
          </w:p>
        </w:tc>
      </w:tr>
      <w:tr w14:paraId="3198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29" w:type="dxa"/>
            <w:vMerge w:val="continue"/>
            <w:vAlign w:val="center"/>
          </w:tcPr>
          <w:p w14:paraId="163AC934">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398" w:type="dxa"/>
            <w:vMerge w:val="continue"/>
            <w:vAlign w:val="center"/>
          </w:tcPr>
          <w:p w14:paraId="3483BEFE">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996" w:type="dxa"/>
            <w:gridSpan w:val="2"/>
            <w:vMerge w:val="continue"/>
            <w:vAlign w:val="center"/>
          </w:tcPr>
          <w:p w14:paraId="2B31D78A">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1047" w:type="dxa"/>
            <w:gridSpan w:val="2"/>
            <w:vMerge w:val="continue"/>
            <w:vAlign w:val="center"/>
          </w:tcPr>
          <w:p w14:paraId="7AC7111A">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jc w:val="center"/>
              <w:rPr>
                <w:rFonts w:hint="default"/>
                <w:color w:val="auto"/>
                <w:highlight w:val="none"/>
              </w:rPr>
            </w:pPr>
          </w:p>
        </w:tc>
        <w:tc>
          <w:tcPr>
            <w:tcW w:w="1323" w:type="dxa"/>
            <w:vAlign w:val="center"/>
          </w:tcPr>
          <w:p w14:paraId="1B44B6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lang w:val="en-US" w:eastAsia="zh-CN"/>
              </w:rPr>
              <w:t>确保工程质量的技术组织措施</w:t>
            </w:r>
          </w:p>
          <w:p w14:paraId="0BC5E1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highlight w:val="none"/>
              </w:rPr>
            </w:pPr>
            <w:r>
              <w:rPr>
                <w:rFonts w:hint="eastAsia"/>
                <w:color w:val="auto"/>
                <w:highlight w:val="none"/>
              </w:rPr>
              <w:t>（</w:t>
            </w:r>
            <w:r>
              <w:rPr>
                <w:rFonts w:hint="default"/>
                <w:color w:val="auto"/>
                <w:highlight w:val="none"/>
              </w:rPr>
              <w:t>5</w:t>
            </w:r>
            <w:r>
              <w:rPr>
                <w:rFonts w:hint="eastAsia"/>
                <w:color w:val="auto"/>
                <w:highlight w:val="none"/>
              </w:rPr>
              <w:t>分）</w:t>
            </w:r>
          </w:p>
        </w:tc>
        <w:tc>
          <w:tcPr>
            <w:tcW w:w="5856" w:type="dxa"/>
            <w:vAlign w:val="center"/>
          </w:tcPr>
          <w:p w14:paraId="33301821">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4"/>
                <w:highlight w:val="none"/>
                <w:lang w:eastAsia="zh-CN"/>
              </w:rPr>
            </w:pPr>
            <w:r>
              <w:rPr>
                <w:rFonts w:hint="eastAsia" w:cs="宋体"/>
                <w:color w:val="auto"/>
                <w:kern w:val="0"/>
                <w:sz w:val="21"/>
                <w:szCs w:val="24"/>
                <w:highlight w:val="none"/>
                <w:lang w:val="en-US" w:eastAsia="zh-CN" w:bidi="ar"/>
              </w:rPr>
              <w:t>一</w:t>
            </w:r>
            <w:r>
              <w:rPr>
                <w:rFonts w:hint="eastAsia" w:ascii="宋体" w:hAnsi="宋体" w:eastAsia="宋体" w:cs="宋体"/>
                <w:color w:val="auto"/>
                <w:kern w:val="0"/>
                <w:sz w:val="21"/>
                <w:szCs w:val="24"/>
                <w:highlight w:val="none"/>
                <w:lang w:val="en-US" w:eastAsia="zh-CN" w:bidi="ar"/>
              </w:rPr>
              <w:t>档(</w:t>
            </w:r>
            <w:r>
              <w:rPr>
                <w:rFonts w:hint="eastAsia" w:cs="宋体"/>
                <w:color w:val="auto"/>
                <w:kern w:val="0"/>
                <w:sz w:val="21"/>
                <w:szCs w:val="24"/>
                <w:highlight w:val="none"/>
                <w:lang w:val="en-US" w:eastAsia="zh-CN" w:bidi="ar"/>
              </w:rPr>
              <w:t>5</w:t>
            </w:r>
            <w:r>
              <w:rPr>
                <w:rFonts w:hint="eastAsia" w:ascii="宋体" w:hAnsi="宋体" w:eastAsia="宋体" w:cs="宋体"/>
                <w:color w:val="auto"/>
                <w:kern w:val="0"/>
                <w:sz w:val="21"/>
                <w:szCs w:val="24"/>
                <w:highlight w:val="none"/>
                <w:lang w:val="en-US" w:eastAsia="zh-CN" w:bidi="ar"/>
              </w:rPr>
              <w:t>分) ：有专门的质量技术管理班子和制度，且人员配备比较合理，制度比较健全。主要工序有详细的质量技术保证措施和手段，自控体系比较完整，能有效保证技术质量，达到承诺的质量标准。</w:t>
            </w:r>
          </w:p>
          <w:p w14:paraId="6FFC04E2">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4"/>
                <w:highlight w:val="none"/>
                <w:lang w:eastAsia="zh-CN"/>
              </w:rPr>
            </w:pPr>
            <w:r>
              <w:rPr>
                <w:rFonts w:hint="eastAsia" w:cs="宋体"/>
                <w:color w:val="auto"/>
                <w:kern w:val="0"/>
                <w:sz w:val="21"/>
                <w:szCs w:val="24"/>
                <w:highlight w:val="none"/>
                <w:lang w:val="en-US" w:eastAsia="zh-CN" w:bidi="ar"/>
              </w:rPr>
              <w:t>二</w:t>
            </w:r>
            <w:r>
              <w:rPr>
                <w:rFonts w:hint="eastAsia" w:ascii="宋体" w:hAnsi="宋体" w:eastAsia="宋体" w:cs="宋体"/>
                <w:color w:val="auto"/>
                <w:kern w:val="0"/>
                <w:sz w:val="21"/>
                <w:szCs w:val="24"/>
                <w:highlight w:val="none"/>
                <w:lang w:val="en-US" w:eastAsia="zh-CN" w:bidi="ar"/>
              </w:rPr>
              <w:t>档(</w:t>
            </w:r>
            <w:r>
              <w:rPr>
                <w:rFonts w:hint="eastAsia" w:cs="宋体"/>
                <w:color w:val="auto"/>
                <w:kern w:val="0"/>
                <w:sz w:val="21"/>
                <w:szCs w:val="24"/>
                <w:highlight w:val="none"/>
                <w:lang w:val="en-US" w:eastAsia="zh-CN" w:bidi="ar"/>
              </w:rPr>
              <w:t>3</w:t>
            </w:r>
            <w:r>
              <w:rPr>
                <w:rFonts w:hint="eastAsia" w:ascii="宋体" w:hAnsi="宋体" w:eastAsia="宋体" w:cs="宋体"/>
                <w:color w:val="auto"/>
                <w:kern w:val="0"/>
                <w:sz w:val="21"/>
                <w:szCs w:val="24"/>
                <w:highlight w:val="none"/>
                <w:lang w:val="en-US" w:eastAsia="zh-CN" w:bidi="ar"/>
              </w:rPr>
              <w:t>分) ：有专门的质量技术管理班子和制度，且人员配备合理，制度健全。主要工序有质量技术保证措施和手段，自控体系比较完整，能有效保证技术质量，达到承诺的质量标准。</w:t>
            </w:r>
          </w:p>
          <w:p w14:paraId="101AC6BD">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63" w:right="63"/>
              <w:jc w:val="left"/>
              <w:textAlignment w:val="auto"/>
              <w:rPr>
                <w:rFonts w:hint="eastAsia" w:ascii="宋体" w:hAnsi="宋体" w:eastAsia="宋体" w:cs="宋体"/>
                <w:color w:val="auto"/>
                <w:kern w:val="0"/>
                <w:sz w:val="21"/>
                <w:szCs w:val="24"/>
                <w:highlight w:val="none"/>
                <w:lang w:val="en-US" w:eastAsia="zh-CN" w:bidi="ar"/>
              </w:rPr>
            </w:pPr>
            <w:r>
              <w:rPr>
                <w:rFonts w:hint="eastAsia" w:ascii="宋体" w:hAnsi="宋体" w:eastAsia="宋体" w:cs="宋体"/>
                <w:color w:val="auto"/>
                <w:kern w:val="0"/>
                <w:sz w:val="21"/>
                <w:szCs w:val="24"/>
                <w:highlight w:val="none"/>
                <w:lang w:val="en-US" w:eastAsia="zh-CN" w:bidi="ar"/>
              </w:rPr>
              <w:t>三档(</w:t>
            </w:r>
            <w:r>
              <w:rPr>
                <w:rFonts w:hint="eastAsia" w:ascii="宋体" w:hAnsi="宋体" w:cs="宋体"/>
                <w:color w:val="auto"/>
                <w:kern w:val="0"/>
                <w:sz w:val="21"/>
                <w:szCs w:val="24"/>
                <w:highlight w:val="none"/>
                <w:lang w:val="en-US" w:eastAsia="zh-CN" w:bidi="ar"/>
              </w:rPr>
              <w:t>2</w:t>
            </w:r>
            <w:r>
              <w:rPr>
                <w:rFonts w:hint="eastAsia" w:ascii="宋体" w:hAnsi="宋体" w:eastAsia="宋体" w:cs="宋体"/>
                <w:color w:val="auto"/>
                <w:kern w:val="0"/>
                <w:sz w:val="21"/>
                <w:szCs w:val="24"/>
                <w:highlight w:val="none"/>
                <w:lang w:val="en-US" w:eastAsia="zh-CN" w:bidi="ar"/>
              </w:rPr>
              <w:t>分) ：有专门的质量技术管理班子和制度，且人员配备基本合理，制度基本健全。主要工序有质量技术保证措施和手段，自控体系比较完整，能有效保证技术质量，基本达到承诺的质量标准。</w:t>
            </w:r>
          </w:p>
          <w:p w14:paraId="49043DA5">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63" w:right="63"/>
              <w:jc w:val="left"/>
              <w:textAlignment w:val="auto"/>
              <w:rPr>
                <w:rFonts w:hint="default" w:ascii="宋体" w:cs="宋体"/>
                <w:color w:val="auto"/>
                <w:kern w:val="0"/>
                <w:highlight w:val="none"/>
              </w:rPr>
            </w:pPr>
            <w:r>
              <w:rPr>
                <w:rFonts w:hint="eastAsia" w:ascii="宋体" w:hAnsi="宋体" w:eastAsia="宋体" w:cs="宋体"/>
                <w:color w:val="auto"/>
                <w:kern w:val="0"/>
                <w:sz w:val="21"/>
                <w:szCs w:val="24"/>
                <w:highlight w:val="none"/>
                <w:lang w:val="en-US" w:eastAsia="zh-CN" w:bidi="ar"/>
              </w:rPr>
              <w:t>四档（1分</w:t>
            </w:r>
            <w:r>
              <w:rPr>
                <w:rFonts w:hint="default" w:ascii="宋体" w:hAnsi="宋体" w:eastAsia="宋体" w:cs="宋体"/>
                <w:color w:val="auto"/>
                <w:kern w:val="0"/>
                <w:sz w:val="21"/>
                <w:szCs w:val="24"/>
                <w:highlight w:val="none"/>
                <w:lang w:val="en-US" w:eastAsia="zh-CN" w:bidi="ar"/>
              </w:rPr>
              <w:t>)</w:t>
            </w:r>
            <w:r>
              <w:rPr>
                <w:rFonts w:hint="eastAsia" w:ascii="宋体" w:hAnsi="宋体" w:eastAsia="宋体" w:cs="宋体"/>
                <w:color w:val="auto"/>
                <w:kern w:val="0"/>
                <w:sz w:val="21"/>
                <w:szCs w:val="24"/>
                <w:highlight w:val="none"/>
                <w:lang w:val="en-US" w:eastAsia="zh-CN" w:bidi="ar"/>
              </w:rPr>
              <w:t>：</w:t>
            </w:r>
            <w:r>
              <w:rPr>
                <w:rFonts w:hint="eastAsia"/>
                <w:color w:val="auto"/>
                <w:sz w:val="21"/>
                <w:highlight w:val="none"/>
                <w:lang w:bidi="ar"/>
              </w:rPr>
              <w:t>有专门的质量技术管理班子和制度，且人员配备基本合理，制度不健全。主要工序无质量技术保证措施和手段，自控体系比较完整，能有效保证技术质量，基本能达到承诺的质量标准。</w:t>
            </w:r>
          </w:p>
        </w:tc>
      </w:tr>
      <w:tr w14:paraId="20DB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vMerge w:val="continue"/>
            <w:vAlign w:val="center"/>
          </w:tcPr>
          <w:p w14:paraId="243C3C60">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398" w:type="dxa"/>
            <w:vMerge w:val="continue"/>
            <w:vAlign w:val="center"/>
          </w:tcPr>
          <w:p w14:paraId="1B6B2994">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996" w:type="dxa"/>
            <w:gridSpan w:val="2"/>
            <w:vMerge w:val="continue"/>
            <w:vAlign w:val="center"/>
          </w:tcPr>
          <w:p w14:paraId="6C8462C3">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1047" w:type="dxa"/>
            <w:gridSpan w:val="2"/>
            <w:vMerge w:val="continue"/>
            <w:vAlign w:val="center"/>
          </w:tcPr>
          <w:p w14:paraId="00CD89A6">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jc w:val="center"/>
              <w:rPr>
                <w:rFonts w:hint="default"/>
                <w:color w:val="auto"/>
                <w:highlight w:val="none"/>
              </w:rPr>
            </w:pPr>
          </w:p>
        </w:tc>
        <w:tc>
          <w:tcPr>
            <w:tcW w:w="1323" w:type="dxa"/>
            <w:vAlign w:val="center"/>
          </w:tcPr>
          <w:p w14:paraId="4CF31C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lang w:val="en-US" w:eastAsia="zh-CN"/>
              </w:rPr>
              <w:t>确保安全生产的技术组织措施</w:t>
            </w:r>
          </w:p>
          <w:p w14:paraId="03054B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highlight w:val="none"/>
              </w:rPr>
            </w:pPr>
            <w:r>
              <w:rPr>
                <w:rFonts w:hint="eastAsia"/>
                <w:color w:val="auto"/>
                <w:highlight w:val="none"/>
              </w:rPr>
              <w:t>（</w:t>
            </w:r>
            <w:r>
              <w:rPr>
                <w:rFonts w:hint="default"/>
                <w:color w:val="auto"/>
                <w:highlight w:val="none"/>
                <w:lang w:val="en-US"/>
              </w:rPr>
              <w:t>5</w:t>
            </w:r>
            <w:r>
              <w:rPr>
                <w:rFonts w:hint="eastAsia"/>
                <w:color w:val="auto"/>
                <w:highlight w:val="none"/>
              </w:rPr>
              <w:t>分）</w:t>
            </w:r>
          </w:p>
        </w:tc>
        <w:tc>
          <w:tcPr>
            <w:tcW w:w="5856" w:type="dxa"/>
            <w:vAlign w:val="center"/>
          </w:tcPr>
          <w:p w14:paraId="103CAB88">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4"/>
                <w:highlight w:val="none"/>
                <w:lang w:eastAsia="zh-CN"/>
              </w:rPr>
            </w:pPr>
            <w:r>
              <w:rPr>
                <w:rFonts w:hint="eastAsia" w:cs="宋体"/>
                <w:color w:val="auto"/>
                <w:kern w:val="0"/>
                <w:sz w:val="21"/>
                <w:szCs w:val="24"/>
                <w:highlight w:val="none"/>
                <w:lang w:val="en-US" w:eastAsia="zh-CN" w:bidi="ar"/>
              </w:rPr>
              <w:t>一档</w:t>
            </w:r>
            <w:r>
              <w:rPr>
                <w:rFonts w:hint="eastAsia" w:ascii="宋体" w:hAnsi="宋体" w:eastAsia="宋体" w:cs="宋体"/>
                <w:color w:val="auto"/>
                <w:kern w:val="0"/>
                <w:sz w:val="21"/>
                <w:szCs w:val="24"/>
                <w:highlight w:val="none"/>
                <w:lang w:val="en-US" w:eastAsia="zh-CN" w:bidi="ar"/>
              </w:rPr>
              <w:t>(</w:t>
            </w:r>
            <w:r>
              <w:rPr>
                <w:rFonts w:hint="eastAsia" w:cs="宋体"/>
                <w:color w:val="auto"/>
                <w:kern w:val="0"/>
                <w:sz w:val="21"/>
                <w:szCs w:val="24"/>
                <w:highlight w:val="none"/>
                <w:lang w:val="en-US" w:eastAsia="zh-CN" w:bidi="ar"/>
              </w:rPr>
              <w:t>5</w:t>
            </w:r>
            <w:r>
              <w:rPr>
                <w:rFonts w:hint="eastAsia" w:ascii="宋体" w:hAnsi="宋体" w:eastAsia="宋体" w:cs="宋体"/>
                <w:color w:val="auto"/>
                <w:kern w:val="0"/>
                <w:sz w:val="21"/>
                <w:szCs w:val="24"/>
                <w:highlight w:val="none"/>
                <w:lang w:val="en-US" w:eastAsia="zh-CN" w:bidi="ar"/>
              </w:rPr>
              <w:t>分) ：安全人员配备合理；有健全的安全管理制度，各道工序安全技术措施针对性强，符合实际 且高于国家有关安全技术标准要求。现场防火、应急救援、社会治安安全措施得力。</w:t>
            </w:r>
          </w:p>
          <w:p w14:paraId="3D3F9A31">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4"/>
                <w:highlight w:val="none"/>
                <w:lang w:eastAsia="zh-CN"/>
              </w:rPr>
            </w:pPr>
            <w:r>
              <w:rPr>
                <w:rFonts w:hint="eastAsia" w:cs="宋体"/>
                <w:color w:val="auto"/>
                <w:kern w:val="0"/>
                <w:sz w:val="21"/>
                <w:szCs w:val="24"/>
                <w:highlight w:val="none"/>
                <w:lang w:val="en-US" w:eastAsia="zh-CN" w:bidi="ar"/>
              </w:rPr>
              <w:t>二档</w:t>
            </w:r>
            <w:r>
              <w:rPr>
                <w:rFonts w:hint="eastAsia" w:ascii="宋体" w:hAnsi="宋体" w:eastAsia="宋体" w:cs="宋体"/>
                <w:color w:val="auto"/>
                <w:kern w:val="0"/>
                <w:sz w:val="21"/>
                <w:szCs w:val="24"/>
                <w:highlight w:val="none"/>
                <w:lang w:val="en-US" w:eastAsia="zh-CN" w:bidi="ar"/>
              </w:rPr>
              <w:t>(</w:t>
            </w:r>
            <w:r>
              <w:rPr>
                <w:rFonts w:hint="eastAsia" w:cs="宋体"/>
                <w:color w:val="auto"/>
                <w:kern w:val="0"/>
                <w:sz w:val="21"/>
                <w:szCs w:val="24"/>
                <w:highlight w:val="none"/>
                <w:lang w:val="en-US" w:eastAsia="zh-CN" w:bidi="ar"/>
              </w:rPr>
              <w:t>3</w:t>
            </w:r>
            <w:r>
              <w:rPr>
                <w:rFonts w:hint="eastAsia" w:ascii="宋体" w:hAnsi="宋体" w:eastAsia="宋体" w:cs="宋体"/>
                <w:color w:val="auto"/>
                <w:kern w:val="0"/>
                <w:sz w:val="21"/>
                <w:szCs w:val="24"/>
                <w:highlight w:val="none"/>
                <w:lang w:val="en-US" w:eastAsia="zh-CN" w:bidi="ar"/>
              </w:rPr>
              <w:t>分) ：安全人员配备合理；有健全的安全管理制度，各道工序安全技术措施符合实际且满足有关安全技术标准要求。现场防火、应急救援、 社会治安安全措施合理。</w:t>
            </w:r>
          </w:p>
          <w:p w14:paraId="0668362D">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leftChars="0" w:right="63" w:firstLine="0" w:firstLineChars="0"/>
              <w:jc w:val="both"/>
              <w:textAlignment w:val="auto"/>
              <w:rPr>
                <w:rFonts w:hint="eastAsia" w:ascii="宋体" w:hAnsi="宋体" w:eastAsia="宋体" w:cs="宋体"/>
                <w:color w:val="auto"/>
                <w:kern w:val="0"/>
                <w:sz w:val="21"/>
                <w:szCs w:val="24"/>
                <w:highlight w:val="none"/>
                <w:lang w:val="en-US" w:eastAsia="zh-CN" w:bidi="ar"/>
              </w:rPr>
            </w:pPr>
            <w:r>
              <w:rPr>
                <w:rFonts w:hint="eastAsia" w:cs="宋体"/>
                <w:color w:val="auto"/>
                <w:kern w:val="0"/>
                <w:sz w:val="21"/>
                <w:szCs w:val="24"/>
                <w:highlight w:val="none"/>
                <w:lang w:val="en-US" w:eastAsia="zh-CN" w:bidi="ar"/>
              </w:rPr>
              <w:t>三档</w:t>
            </w:r>
            <w:r>
              <w:rPr>
                <w:rFonts w:hint="eastAsia" w:ascii="宋体" w:hAnsi="宋体" w:eastAsia="宋体" w:cs="宋体"/>
                <w:color w:val="auto"/>
                <w:kern w:val="0"/>
                <w:sz w:val="21"/>
                <w:szCs w:val="24"/>
                <w:highlight w:val="none"/>
                <w:lang w:val="en-US" w:eastAsia="zh-CN" w:bidi="ar"/>
              </w:rPr>
              <w:t>(</w:t>
            </w:r>
            <w:r>
              <w:rPr>
                <w:rFonts w:hint="eastAsia" w:ascii="宋体" w:hAnsi="宋体" w:cs="宋体"/>
                <w:color w:val="auto"/>
                <w:kern w:val="0"/>
                <w:sz w:val="21"/>
                <w:szCs w:val="24"/>
                <w:highlight w:val="none"/>
                <w:lang w:val="en-US" w:eastAsia="zh-CN" w:bidi="ar"/>
              </w:rPr>
              <w:t>2</w:t>
            </w:r>
            <w:r>
              <w:rPr>
                <w:rFonts w:hint="eastAsia" w:ascii="宋体" w:hAnsi="宋体" w:eastAsia="宋体" w:cs="宋体"/>
                <w:color w:val="auto"/>
                <w:kern w:val="0"/>
                <w:sz w:val="21"/>
                <w:szCs w:val="24"/>
                <w:highlight w:val="none"/>
                <w:lang w:val="en-US" w:eastAsia="zh-CN" w:bidi="ar"/>
              </w:rPr>
              <w:t>分) ：安全人员配备基本合理，安全管理制度基本健全，各道工序安全技术措施基本符合实际，基本满足有关安全技术标准要求。现场防火、应急救援、社会治安安全措施基本合理。</w:t>
            </w:r>
          </w:p>
          <w:p w14:paraId="30C976C9">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leftChars="0" w:right="63" w:firstLine="0" w:firstLineChars="0"/>
              <w:jc w:val="both"/>
              <w:textAlignment w:val="auto"/>
              <w:rPr>
                <w:rFonts w:hint="default" w:ascii="宋体" w:cs="宋体"/>
                <w:color w:val="auto"/>
                <w:kern w:val="0"/>
                <w:highlight w:val="none"/>
              </w:rPr>
            </w:pPr>
            <w:r>
              <w:rPr>
                <w:rFonts w:hint="default" w:ascii="宋体" w:hAnsi="宋体" w:eastAsia="宋体" w:cs="宋体"/>
                <w:color w:val="auto"/>
                <w:kern w:val="0"/>
                <w:sz w:val="21"/>
                <w:szCs w:val="24"/>
                <w:highlight w:val="none"/>
                <w:lang w:val="en-US" w:eastAsia="zh-CN" w:bidi="ar"/>
              </w:rPr>
              <w:t>四档(</w:t>
            </w:r>
            <w:r>
              <w:rPr>
                <w:rFonts w:hint="eastAsia" w:ascii="宋体" w:hAnsi="宋体" w:eastAsia="宋体" w:cs="宋体"/>
                <w:color w:val="auto"/>
                <w:kern w:val="0"/>
                <w:sz w:val="21"/>
                <w:szCs w:val="24"/>
                <w:highlight w:val="none"/>
                <w:lang w:val="en-US" w:eastAsia="zh-CN" w:bidi="ar"/>
              </w:rPr>
              <w:t>1分</w:t>
            </w:r>
            <w:r>
              <w:rPr>
                <w:rFonts w:hint="default" w:ascii="宋体" w:hAnsi="宋体" w:eastAsia="宋体" w:cs="宋体"/>
                <w:color w:val="auto"/>
                <w:kern w:val="0"/>
                <w:sz w:val="21"/>
                <w:szCs w:val="24"/>
                <w:highlight w:val="none"/>
                <w:lang w:val="en-US" w:eastAsia="zh-CN" w:bidi="ar"/>
              </w:rPr>
              <w:t>)</w:t>
            </w:r>
            <w:r>
              <w:rPr>
                <w:rFonts w:hint="eastAsia"/>
                <w:color w:val="auto"/>
                <w:sz w:val="21"/>
                <w:highlight w:val="none"/>
                <w:lang w:bidi="ar"/>
              </w:rPr>
              <w:t>：安全人员配备基本合理，安全管理制度不健全，各道工序安全技术措施基本符合实际，不能满足有关安全技术标准要求。现场防火、应急救援、社会治安安全措施不合理。</w:t>
            </w:r>
          </w:p>
        </w:tc>
      </w:tr>
      <w:tr w14:paraId="2649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vMerge w:val="continue"/>
            <w:vAlign w:val="center"/>
          </w:tcPr>
          <w:p w14:paraId="6C78860B">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398" w:type="dxa"/>
            <w:vMerge w:val="continue"/>
            <w:vAlign w:val="center"/>
          </w:tcPr>
          <w:p w14:paraId="0B7B289E">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996" w:type="dxa"/>
            <w:gridSpan w:val="2"/>
            <w:vMerge w:val="continue"/>
            <w:vAlign w:val="center"/>
          </w:tcPr>
          <w:p w14:paraId="1572F869">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1047" w:type="dxa"/>
            <w:gridSpan w:val="2"/>
            <w:vMerge w:val="continue"/>
            <w:vAlign w:val="center"/>
          </w:tcPr>
          <w:p w14:paraId="233D4048">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jc w:val="center"/>
              <w:rPr>
                <w:rFonts w:hint="default"/>
                <w:color w:val="auto"/>
                <w:highlight w:val="none"/>
              </w:rPr>
            </w:pPr>
          </w:p>
        </w:tc>
        <w:tc>
          <w:tcPr>
            <w:tcW w:w="1323" w:type="dxa"/>
            <w:vAlign w:val="center"/>
          </w:tcPr>
          <w:p w14:paraId="197D4F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highlight w:val="none"/>
              </w:rPr>
            </w:pPr>
            <w:r>
              <w:rPr>
                <w:rFonts w:hint="eastAsia"/>
                <w:color w:val="auto"/>
                <w:highlight w:val="none"/>
                <w:lang w:val="en-US" w:eastAsia="zh-CN"/>
              </w:rPr>
              <w:t>确保文明施工的技术组织措施</w:t>
            </w:r>
          </w:p>
          <w:p w14:paraId="259D8C30">
            <w:pPr>
              <w:keepNext w:val="0"/>
              <w:keepLines w:val="0"/>
              <w:pageBreakBefore w:val="0"/>
              <w:suppressLineNumbers w:val="0"/>
              <w:kinsoku/>
              <w:wordWrap/>
              <w:overflowPunct/>
              <w:topLinePunct w:val="0"/>
              <w:autoSpaceDE/>
              <w:autoSpaceDN/>
              <w:bidi w:val="0"/>
              <w:adjustRightInd/>
              <w:snapToGrid/>
              <w:spacing w:before="120" w:beforeLines="50" w:beforeAutospacing="0" w:after="0" w:afterAutospacing="0" w:line="360" w:lineRule="auto"/>
              <w:ind w:left="0" w:right="0"/>
              <w:jc w:val="center"/>
              <w:textAlignment w:val="auto"/>
              <w:rPr>
                <w:rFonts w:hint="default"/>
                <w:color w:val="auto"/>
                <w:highlight w:val="none"/>
              </w:rPr>
            </w:pPr>
            <w:r>
              <w:rPr>
                <w:rFonts w:hint="eastAsia"/>
                <w:color w:val="auto"/>
                <w:highlight w:val="none"/>
              </w:rPr>
              <w:t>（</w:t>
            </w:r>
            <w:r>
              <w:rPr>
                <w:rFonts w:hint="default"/>
                <w:color w:val="auto"/>
                <w:highlight w:val="none"/>
              </w:rPr>
              <w:t>4</w:t>
            </w:r>
            <w:r>
              <w:rPr>
                <w:rFonts w:hint="eastAsia"/>
                <w:color w:val="auto"/>
                <w:highlight w:val="none"/>
              </w:rPr>
              <w:t>分）</w:t>
            </w:r>
          </w:p>
        </w:tc>
        <w:tc>
          <w:tcPr>
            <w:tcW w:w="5856" w:type="dxa"/>
            <w:vAlign w:val="center"/>
          </w:tcPr>
          <w:p w14:paraId="647872EC">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4"/>
                <w:highlight w:val="none"/>
                <w:lang w:eastAsia="zh-CN"/>
              </w:rPr>
            </w:pPr>
            <w:r>
              <w:rPr>
                <w:rFonts w:hint="eastAsia" w:ascii="宋体" w:hAnsi="宋体" w:eastAsia="宋体" w:cs="宋体"/>
                <w:color w:val="auto"/>
                <w:kern w:val="0"/>
                <w:sz w:val="21"/>
                <w:szCs w:val="24"/>
                <w:highlight w:val="none"/>
                <w:lang w:val="en-US" w:eastAsia="zh-CN" w:bidi="ar"/>
              </w:rPr>
              <w:t>一档</w:t>
            </w:r>
            <w:r>
              <w:rPr>
                <w:rFonts w:hint="default" w:ascii="宋体" w:hAnsi="宋体" w:eastAsia="宋体" w:cs="宋体"/>
                <w:color w:val="auto"/>
                <w:kern w:val="0"/>
                <w:sz w:val="21"/>
                <w:szCs w:val="24"/>
                <w:highlight w:val="none"/>
                <w:lang w:val="en-US" w:eastAsia="zh-CN" w:bidi="ar"/>
              </w:rPr>
              <w:t>(4</w:t>
            </w:r>
            <w:r>
              <w:rPr>
                <w:rFonts w:hint="eastAsia" w:ascii="宋体" w:hAnsi="宋体" w:eastAsia="宋体" w:cs="宋体"/>
                <w:color w:val="auto"/>
                <w:kern w:val="0"/>
                <w:sz w:val="21"/>
                <w:szCs w:val="24"/>
                <w:highlight w:val="none"/>
                <w:lang w:val="en-US" w:eastAsia="zh-CN" w:bidi="ar"/>
              </w:rPr>
              <w:t>分</w:t>
            </w:r>
            <w:r>
              <w:rPr>
                <w:rFonts w:hint="default" w:ascii="宋体" w:hAnsi="宋体" w:eastAsia="宋体" w:cs="宋体"/>
                <w:color w:val="auto"/>
                <w:kern w:val="0"/>
                <w:sz w:val="21"/>
                <w:szCs w:val="24"/>
                <w:highlight w:val="none"/>
                <w:lang w:val="en-US" w:eastAsia="zh-CN" w:bidi="ar"/>
              </w:rPr>
              <w:t>)</w:t>
            </w:r>
            <w:r>
              <w:rPr>
                <w:rFonts w:hint="eastAsia" w:ascii="宋体" w:hAnsi="宋体" w:eastAsia="宋体" w:cs="宋体"/>
                <w:color w:val="auto"/>
                <w:kern w:val="0"/>
                <w:sz w:val="21"/>
                <w:szCs w:val="24"/>
                <w:highlight w:val="none"/>
                <w:lang w:val="en-US" w:eastAsia="zh-CN" w:bidi="ar"/>
              </w:rPr>
              <w:t>：现场文明施工、环境 保护措施和内容达到《建筑施工安全生产检查标准》、《广西壮族自治区建筑工程文明施工》要求；有具体实现现场文明施工目标的承诺，而且各项措施较科学、具体、得力的。</w:t>
            </w:r>
          </w:p>
          <w:p w14:paraId="7D5B3FDB">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leftChars="0" w:right="63" w:firstLine="0" w:firstLineChars="0"/>
              <w:jc w:val="left"/>
              <w:textAlignment w:val="auto"/>
              <w:rPr>
                <w:rFonts w:hint="default" w:ascii="宋体" w:cs="宋体"/>
                <w:color w:val="auto"/>
                <w:kern w:val="0"/>
                <w:highlight w:val="none"/>
              </w:rPr>
            </w:pPr>
            <w:r>
              <w:rPr>
                <w:rFonts w:hint="eastAsia" w:ascii="宋体" w:hAnsi="宋体" w:cs="宋体"/>
                <w:color w:val="auto"/>
                <w:kern w:val="0"/>
                <w:highlight w:val="none"/>
              </w:rPr>
              <w:t>二档</w:t>
            </w:r>
            <w:r>
              <w:rPr>
                <w:rFonts w:hint="default" w:ascii="宋体" w:hAnsi="宋体" w:cs="宋体"/>
                <w:color w:val="auto"/>
                <w:kern w:val="0"/>
                <w:highlight w:val="none"/>
              </w:rPr>
              <w:t>(</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分</w:t>
            </w:r>
            <w:r>
              <w:rPr>
                <w:rFonts w:hint="default" w:ascii="宋体" w:hAnsi="宋体" w:cs="宋体"/>
                <w:color w:val="auto"/>
                <w:kern w:val="0"/>
                <w:highlight w:val="none"/>
              </w:rPr>
              <w:t>)</w:t>
            </w:r>
            <w:r>
              <w:rPr>
                <w:rFonts w:hint="eastAsia" w:ascii="宋体" w:hAnsi="宋体" w:cs="宋体"/>
                <w:color w:val="auto"/>
                <w:kern w:val="0"/>
                <w:highlight w:val="none"/>
              </w:rPr>
              <w:t>：</w:t>
            </w:r>
            <w:r>
              <w:rPr>
                <w:rFonts w:hint="eastAsia" w:ascii="宋体" w:hAnsi="宋体" w:eastAsia="宋体" w:cs="宋体"/>
                <w:color w:val="auto"/>
                <w:kern w:val="0"/>
                <w:sz w:val="21"/>
                <w:szCs w:val="24"/>
                <w:highlight w:val="none"/>
                <w:lang w:val="en-US" w:eastAsia="zh-CN" w:bidi="ar"/>
              </w:rPr>
              <w:t>现场文明施工、环境保护措施和内容达到《建筑施工安全生产检查标准》、《广西壮族自治区建筑工程文明施工导则》；有具体实现现场文明施工目标的承诺，而且各项措施周全、具体、有效的</w:t>
            </w:r>
            <w:r>
              <w:rPr>
                <w:rFonts w:hint="eastAsia" w:ascii="宋体" w:cs="宋体"/>
                <w:color w:val="auto"/>
                <w:kern w:val="0"/>
                <w:highlight w:val="none"/>
              </w:rPr>
              <w:t>。</w:t>
            </w:r>
          </w:p>
          <w:p w14:paraId="293B30C0">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63" w:right="63"/>
              <w:jc w:val="left"/>
              <w:textAlignment w:val="auto"/>
              <w:rPr>
                <w:rFonts w:hint="eastAsia" w:ascii="宋体" w:cs="宋体"/>
                <w:color w:val="auto"/>
                <w:kern w:val="0"/>
                <w:highlight w:val="none"/>
              </w:rPr>
            </w:pPr>
            <w:r>
              <w:rPr>
                <w:rFonts w:hint="eastAsia" w:ascii="宋体" w:hAnsi="宋体" w:cs="宋体"/>
                <w:color w:val="auto"/>
                <w:kern w:val="0"/>
                <w:highlight w:val="none"/>
              </w:rPr>
              <w:t>三档</w:t>
            </w:r>
            <w:r>
              <w:rPr>
                <w:rFonts w:hint="default" w:ascii="宋体" w:hAnsi="宋体" w:cs="宋体"/>
                <w:color w:val="auto"/>
                <w:kern w:val="0"/>
                <w:highlight w:val="none"/>
              </w:rPr>
              <w:t>(</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分</w:t>
            </w:r>
            <w:r>
              <w:rPr>
                <w:rFonts w:hint="default" w:ascii="宋体" w:hAnsi="宋体" w:cs="宋体"/>
                <w:color w:val="auto"/>
                <w:kern w:val="0"/>
                <w:highlight w:val="none"/>
              </w:rPr>
              <w:t>)</w:t>
            </w:r>
            <w:r>
              <w:rPr>
                <w:rFonts w:hint="eastAsia" w:ascii="宋体" w:hAnsi="宋体" w:cs="宋体"/>
                <w:color w:val="auto"/>
                <w:kern w:val="0"/>
                <w:highlight w:val="none"/>
              </w:rPr>
              <w:t>：</w:t>
            </w:r>
            <w:r>
              <w:rPr>
                <w:rFonts w:hint="eastAsia" w:ascii="宋体" w:hAnsi="宋体" w:eastAsia="宋体" w:cs="宋体"/>
                <w:color w:val="auto"/>
                <w:kern w:val="2"/>
                <w:sz w:val="21"/>
                <w:szCs w:val="22"/>
                <w:highlight w:val="none"/>
                <w:lang w:val="en-US" w:eastAsia="zh-CN" w:bidi="ar"/>
              </w:rPr>
              <w:t>现场文明施工、环境保护措施和内容基本达到《建筑施工安全生产检查标准》、《广西壮族自治区建筑工程文明施工导则》；有具体实现现场文明施工目标的承诺， 而且各项措施基本全面、具体、有效的</w:t>
            </w:r>
            <w:r>
              <w:rPr>
                <w:rFonts w:hint="eastAsia" w:ascii="宋体" w:cs="宋体"/>
                <w:color w:val="auto"/>
                <w:kern w:val="0"/>
                <w:highlight w:val="none"/>
              </w:rPr>
              <w:t>。</w:t>
            </w:r>
          </w:p>
          <w:p w14:paraId="2FB5E0BC">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63" w:right="63"/>
              <w:jc w:val="left"/>
              <w:textAlignment w:val="auto"/>
              <w:rPr>
                <w:rFonts w:hint="default" w:ascii="宋体" w:cs="宋体"/>
                <w:color w:val="auto"/>
                <w:kern w:val="0"/>
                <w:highlight w:val="none"/>
              </w:rPr>
            </w:pPr>
            <w:r>
              <w:rPr>
                <w:rFonts w:hint="eastAsia" w:ascii="宋体" w:hAnsi="宋体" w:eastAsia="宋体" w:cs="宋体"/>
                <w:color w:val="auto"/>
                <w:kern w:val="0"/>
                <w:sz w:val="21"/>
                <w:szCs w:val="24"/>
                <w:highlight w:val="none"/>
                <w:lang w:val="en-US" w:eastAsia="zh-CN" w:bidi="ar"/>
              </w:rPr>
              <w:t>四档</w:t>
            </w:r>
            <w:r>
              <w:rPr>
                <w:rFonts w:hint="default" w:ascii="宋体" w:hAnsi="宋体" w:eastAsia="宋体" w:cs="宋体"/>
                <w:color w:val="auto"/>
                <w:kern w:val="0"/>
                <w:sz w:val="21"/>
                <w:szCs w:val="24"/>
                <w:highlight w:val="none"/>
                <w:lang w:val="en-US" w:eastAsia="zh-CN" w:bidi="ar"/>
              </w:rPr>
              <w:t>(</w:t>
            </w:r>
            <w:r>
              <w:rPr>
                <w:rFonts w:hint="eastAsia" w:ascii="宋体" w:hAnsi="宋体" w:eastAsia="宋体" w:cs="宋体"/>
                <w:color w:val="auto"/>
                <w:kern w:val="0"/>
                <w:sz w:val="21"/>
                <w:szCs w:val="24"/>
                <w:highlight w:val="none"/>
                <w:lang w:val="en-US" w:eastAsia="zh-CN" w:bidi="ar"/>
              </w:rPr>
              <w:t>1分</w:t>
            </w:r>
            <w:r>
              <w:rPr>
                <w:rFonts w:hint="default" w:ascii="宋体" w:hAnsi="宋体" w:eastAsia="宋体" w:cs="宋体"/>
                <w:color w:val="auto"/>
                <w:kern w:val="0"/>
                <w:sz w:val="21"/>
                <w:szCs w:val="24"/>
                <w:highlight w:val="none"/>
                <w:lang w:val="en-US" w:eastAsia="zh-CN" w:bidi="ar"/>
              </w:rPr>
              <w:t>)</w:t>
            </w:r>
            <w:r>
              <w:rPr>
                <w:rFonts w:hint="eastAsia" w:ascii="宋体" w:hAnsi="宋体" w:eastAsia="宋体" w:cs="宋体"/>
                <w:color w:val="auto"/>
                <w:kern w:val="0"/>
                <w:sz w:val="21"/>
                <w:szCs w:val="24"/>
                <w:highlight w:val="none"/>
                <w:lang w:val="en-US" w:eastAsia="zh-CN" w:bidi="ar"/>
              </w:rPr>
              <w:t>：现场</w:t>
            </w:r>
            <w:r>
              <w:rPr>
                <w:rFonts w:hint="eastAsia" w:ascii="宋体" w:hAnsi="Times New Roman" w:eastAsia="宋体" w:cs="宋体"/>
                <w:color w:val="auto"/>
                <w:kern w:val="0"/>
                <w:sz w:val="21"/>
                <w:szCs w:val="21"/>
                <w:highlight w:val="none"/>
                <w:lang w:val="en-US" w:eastAsia="zh-CN" w:bidi="ar-SA"/>
              </w:rPr>
              <w:t>文明施工、环境保护措施和内容与《建筑施工安全生产检查标准》、《广西壮族</w:t>
            </w:r>
            <w:r>
              <w:rPr>
                <w:rFonts w:hint="eastAsia"/>
                <w:color w:val="auto"/>
                <w:sz w:val="21"/>
                <w:highlight w:val="none"/>
                <w:lang w:bidi="ar"/>
              </w:rPr>
              <w:t>自治区建筑工程文明施工导则》的要求基本全面，无现场文明施工目标的承诺。</w:t>
            </w:r>
          </w:p>
        </w:tc>
      </w:tr>
      <w:tr w14:paraId="60FD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vMerge w:val="continue"/>
            <w:vAlign w:val="center"/>
          </w:tcPr>
          <w:p w14:paraId="139DC74C">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398" w:type="dxa"/>
            <w:vMerge w:val="continue"/>
            <w:vAlign w:val="center"/>
          </w:tcPr>
          <w:p w14:paraId="081A4ED3">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996" w:type="dxa"/>
            <w:gridSpan w:val="2"/>
            <w:vMerge w:val="continue"/>
            <w:vAlign w:val="center"/>
          </w:tcPr>
          <w:p w14:paraId="17145372">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1047" w:type="dxa"/>
            <w:gridSpan w:val="2"/>
            <w:vMerge w:val="continue"/>
            <w:vAlign w:val="center"/>
          </w:tcPr>
          <w:p w14:paraId="305F90F0">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jc w:val="center"/>
              <w:rPr>
                <w:rFonts w:hint="default"/>
                <w:color w:val="auto"/>
                <w:highlight w:val="none"/>
              </w:rPr>
            </w:pPr>
          </w:p>
        </w:tc>
        <w:tc>
          <w:tcPr>
            <w:tcW w:w="1323" w:type="dxa"/>
            <w:vAlign w:val="center"/>
          </w:tcPr>
          <w:p w14:paraId="7E8832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105" w:leftChars="50" w:right="105" w:rightChars="50"/>
              <w:jc w:val="center"/>
              <w:textAlignment w:val="auto"/>
              <w:rPr>
                <w:rFonts w:hint="default" w:asciiTheme="minorEastAsia" w:hAnsiTheme="minorEastAsia" w:eastAsiaTheme="minorEastAsia" w:cstheme="minorEastAsia"/>
                <w:color w:val="auto"/>
                <w:highlight w:val="none"/>
              </w:rPr>
            </w:pPr>
            <w:r>
              <w:rPr>
                <w:rFonts w:hint="eastAsia" w:ascii="宋体" w:hAnsi="宋体" w:eastAsia="宋体" w:cs="宋体"/>
                <w:color w:val="auto"/>
                <w:kern w:val="2"/>
                <w:sz w:val="21"/>
                <w:szCs w:val="22"/>
                <w:highlight w:val="none"/>
                <w:lang w:val="en-US" w:eastAsia="zh-CN"/>
              </w:rPr>
              <w:t>工程施工的重点和难点及保证措施</w:t>
            </w:r>
          </w:p>
          <w:p w14:paraId="614AA6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105" w:leftChars="50" w:right="105" w:rightChars="50"/>
              <w:jc w:val="center"/>
              <w:textAlignment w:val="auto"/>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default" w:asciiTheme="minorEastAsia" w:hAnsiTheme="minorEastAsia" w:eastAsiaTheme="minorEastAsia" w:cstheme="minorEastAsia"/>
                <w:color w:val="auto"/>
                <w:highlight w:val="none"/>
              </w:rPr>
              <w:t>6</w:t>
            </w:r>
            <w:r>
              <w:rPr>
                <w:rFonts w:hint="eastAsia" w:asciiTheme="minorEastAsia" w:hAnsiTheme="minorEastAsia" w:eastAsiaTheme="minorEastAsia" w:cstheme="minorEastAsia"/>
                <w:color w:val="auto"/>
                <w:highlight w:val="none"/>
              </w:rPr>
              <w:t>分）</w:t>
            </w:r>
          </w:p>
        </w:tc>
        <w:tc>
          <w:tcPr>
            <w:tcW w:w="5856" w:type="dxa"/>
            <w:vAlign w:val="center"/>
          </w:tcPr>
          <w:p w14:paraId="53B518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105" w:rightChars="50" w:firstLine="33" w:firstLineChars="16"/>
              <w:textAlignment w:val="auto"/>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一档</w:t>
            </w:r>
            <w:r>
              <w:rPr>
                <w:rFonts w:hint="eastAsia" w:hAnsi="宋体"/>
                <w:color w:val="auto"/>
                <w:highlight w:val="none"/>
              </w:rPr>
              <w:t>（</w:t>
            </w:r>
            <w:r>
              <w:rPr>
                <w:rFonts w:hint="default" w:hAnsi="宋体"/>
                <w:color w:val="auto"/>
                <w:highlight w:val="none"/>
              </w:rPr>
              <w:t>6</w:t>
            </w:r>
            <w:r>
              <w:rPr>
                <w:rFonts w:hint="eastAsia" w:hAnsi="宋体"/>
                <w:color w:val="auto"/>
                <w:highlight w:val="none"/>
              </w:rPr>
              <w:t>分</w:t>
            </w:r>
            <w:r>
              <w:rPr>
                <w:rFonts w:hint="default" w:hAnsi="宋体"/>
                <w:color w:val="auto"/>
                <w:highlight w:val="none"/>
              </w:rPr>
              <w:t>）</w:t>
            </w:r>
            <w:r>
              <w:rPr>
                <w:rFonts w:hint="eastAsia" w:asciiTheme="minorEastAsia" w:hAnsiTheme="minorEastAsia" w:eastAsiaTheme="minorEastAsia" w:cstheme="minorEastAsia"/>
                <w:color w:val="auto"/>
                <w:highlight w:val="none"/>
              </w:rPr>
              <w:t>：</w:t>
            </w:r>
            <w:r>
              <w:rPr>
                <w:rFonts w:hint="eastAsia" w:ascii="宋体" w:hAnsi="宋体" w:eastAsia="宋体" w:cs="宋体"/>
                <w:color w:val="auto"/>
                <w:kern w:val="2"/>
                <w:sz w:val="21"/>
                <w:szCs w:val="22"/>
                <w:highlight w:val="none"/>
                <w:lang w:val="en-US" w:eastAsia="zh-CN"/>
              </w:rPr>
              <w:t>对项目关键技术、工艺有深入的表述对重点、难点有先进合理的施工措施并有可行的安全措施，解决方案完整、经济、安全、保证措施得力、切实可行</w:t>
            </w:r>
            <w:r>
              <w:rPr>
                <w:rFonts w:hint="eastAsia" w:asciiTheme="minorEastAsia" w:hAnsiTheme="minorEastAsia" w:eastAsiaTheme="minorEastAsia" w:cstheme="minorEastAsia"/>
                <w:color w:val="auto"/>
                <w:highlight w:val="none"/>
              </w:rPr>
              <w:t>。</w:t>
            </w:r>
          </w:p>
          <w:p w14:paraId="4C0ACCEF">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63" w:right="63"/>
              <w:jc w:val="left"/>
              <w:textAlignment w:val="auto"/>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二档（4分</w:t>
            </w:r>
            <w:r>
              <w:rPr>
                <w:rFonts w:hint="default"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rPr>
              <w:t>：</w:t>
            </w:r>
            <w:r>
              <w:rPr>
                <w:rFonts w:hint="eastAsia" w:ascii="宋体" w:hAnsi="宋体" w:eastAsia="宋体" w:cs="宋体"/>
                <w:color w:val="auto"/>
                <w:kern w:val="2"/>
                <w:sz w:val="21"/>
                <w:szCs w:val="22"/>
                <w:highlight w:val="none"/>
                <w:lang w:val="en-US" w:eastAsia="zh-CN"/>
              </w:rPr>
              <w:t>对项目关键技术、工艺有深入的表述，对重点、难点有合理的建议，解决方案经济、安全、基本可行</w:t>
            </w:r>
            <w:r>
              <w:rPr>
                <w:rFonts w:hint="eastAsia" w:asciiTheme="minorEastAsia" w:hAnsiTheme="minorEastAsia" w:eastAsiaTheme="minorEastAsia" w:cstheme="minorEastAsia"/>
                <w:color w:val="auto"/>
                <w:szCs w:val="21"/>
                <w:highlight w:val="none"/>
              </w:rPr>
              <w:t>。</w:t>
            </w:r>
          </w:p>
          <w:p w14:paraId="2FFA0EF7">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63" w:right="63"/>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三档（</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r>
              <w:rPr>
                <w:rFonts w:hint="default"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rPr>
              <w:t>：</w:t>
            </w:r>
            <w:r>
              <w:rPr>
                <w:rFonts w:hint="eastAsia" w:ascii="宋体" w:hAnsi="宋体" w:eastAsia="宋体" w:cs="宋体"/>
                <w:color w:val="auto"/>
                <w:kern w:val="2"/>
                <w:sz w:val="21"/>
                <w:szCs w:val="22"/>
                <w:highlight w:val="none"/>
                <w:lang w:val="en-US" w:eastAsia="zh-CN"/>
              </w:rPr>
              <w:t>对项目关键技术有一定的了解，对重点、难点有建议，解决方案基本可行</w:t>
            </w:r>
            <w:r>
              <w:rPr>
                <w:rFonts w:hint="eastAsia" w:asciiTheme="minorEastAsia" w:hAnsiTheme="minorEastAsia" w:eastAsiaTheme="minorEastAsia" w:cstheme="minorEastAsia"/>
                <w:color w:val="auto"/>
                <w:szCs w:val="21"/>
                <w:highlight w:val="none"/>
              </w:rPr>
              <w:t>。</w:t>
            </w:r>
          </w:p>
          <w:p w14:paraId="6B64E2A5">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63" w:right="63"/>
              <w:jc w:val="left"/>
              <w:textAlignment w:val="auto"/>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四档(1分)：</w:t>
            </w:r>
            <w:r>
              <w:rPr>
                <w:rFonts w:hint="eastAsia"/>
                <w:color w:val="auto"/>
                <w:sz w:val="21"/>
                <w:highlight w:val="none"/>
                <w:lang w:bidi="ar"/>
              </w:rPr>
              <w:t>对项目关键技术有基本的了解，对重点、难点有建议，解决方案基本可行。</w:t>
            </w:r>
          </w:p>
        </w:tc>
      </w:tr>
      <w:tr w14:paraId="41B0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829" w:type="dxa"/>
            <w:vMerge w:val="continue"/>
            <w:vAlign w:val="center"/>
          </w:tcPr>
          <w:p w14:paraId="1059E647">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398" w:type="dxa"/>
            <w:vMerge w:val="continue"/>
            <w:vAlign w:val="center"/>
          </w:tcPr>
          <w:p w14:paraId="6A275BD0">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996" w:type="dxa"/>
            <w:gridSpan w:val="2"/>
            <w:vMerge w:val="continue"/>
            <w:vAlign w:val="center"/>
          </w:tcPr>
          <w:p w14:paraId="5D9D6098">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1047" w:type="dxa"/>
            <w:gridSpan w:val="2"/>
            <w:vMerge w:val="continue"/>
            <w:vAlign w:val="center"/>
          </w:tcPr>
          <w:p w14:paraId="0126887F">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jc w:val="center"/>
              <w:rPr>
                <w:rFonts w:hint="default"/>
                <w:color w:val="auto"/>
                <w:highlight w:val="none"/>
              </w:rPr>
            </w:pPr>
          </w:p>
        </w:tc>
        <w:tc>
          <w:tcPr>
            <w:tcW w:w="1323" w:type="dxa"/>
            <w:vAlign w:val="center"/>
          </w:tcPr>
          <w:p w14:paraId="55D24A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hAnsi="宋体"/>
                <w:color w:val="auto"/>
                <w:highlight w:val="none"/>
              </w:rPr>
            </w:pPr>
            <w:r>
              <w:rPr>
                <w:rFonts w:hint="eastAsia" w:ascii="宋体" w:hAnsi="宋体" w:eastAsia="宋体" w:cs="宋体"/>
                <w:color w:val="auto"/>
                <w:kern w:val="2"/>
                <w:sz w:val="21"/>
                <w:szCs w:val="22"/>
                <w:highlight w:val="none"/>
                <w:lang w:val="en-US" w:eastAsia="zh-CN"/>
              </w:rPr>
              <w:t>施工总平面布置图</w:t>
            </w:r>
          </w:p>
          <w:p w14:paraId="2C4974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分）</w:t>
            </w:r>
          </w:p>
        </w:tc>
        <w:tc>
          <w:tcPr>
            <w:tcW w:w="5856" w:type="dxa"/>
            <w:vAlign w:val="center"/>
          </w:tcPr>
          <w:p w14:paraId="664BD7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hAnsi="宋体"/>
                <w:color w:val="auto"/>
                <w:highlight w:val="none"/>
              </w:rPr>
            </w:pPr>
            <w:r>
              <w:rPr>
                <w:rFonts w:hint="eastAsia" w:hAnsi="宋体"/>
                <w:color w:val="auto"/>
                <w:highlight w:val="none"/>
              </w:rPr>
              <w:t>一档（</w:t>
            </w:r>
            <w:r>
              <w:rPr>
                <w:rFonts w:hint="eastAsia" w:hAnsi="宋体"/>
                <w:color w:val="auto"/>
                <w:highlight w:val="none"/>
                <w:lang w:val="en-US" w:eastAsia="zh-CN"/>
              </w:rPr>
              <w:t>4</w:t>
            </w:r>
            <w:r>
              <w:rPr>
                <w:rFonts w:hint="eastAsia" w:hAnsi="宋体"/>
                <w:color w:val="auto"/>
                <w:highlight w:val="none"/>
              </w:rPr>
              <w:t>分</w:t>
            </w:r>
            <w:r>
              <w:rPr>
                <w:rFonts w:hint="default" w:hAnsi="宋体"/>
                <w:color w:val="auto"/>
                <w:highlight w:val="none"/>
              </w:rPr>
              <w:t>）</w:t>
            </w:r>
            <w:r>
              <w:rPr>
                <w:rFonts w:hint="eastAsia" w:hAnsi="宋体"/>
                <w:color w:val="auto"/>
                <w:highlight w:val="none"/>
              </w:rPr>
              <w:t>：</w:t>
            </w:r>
            <w:r>
              <w:rPr>
                <w:rFonts w:hint="eastAsia" w:ascii="宋体" w:hAnsi="宋体" w:eastAsia="宋体" w:cs="宋体"/>
                <w:color w:val="auto"/>
                <w:kern w:val="2"/>
                <w:sz w:val="21"/>
                <w:szCs w:val="22"/>
                <w:highlight w:val="none"/>
                <w:lang w:val="en-US" w:eastAsia="zh-CN"/>
              </w:rPr>
              <w:t>总体布置有针对性、合理，很好的满足施工需要，符合安全、文明生产要求</w:t>
            </w:r>
            <w:r>
              <w:rPr>
                <w:rFonts w:hint="eastAsia" w:hAnsi="宋体"/>
                <w:color w:val="auto"/>
                <w:highlight w:val="none"/>
              </w:rPr>
              <w:t>。</w:t>
            </w:r>
          </w:p>
          <w:p w14:paraId="604198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二档（</w:t>
            </w:r>
            <w:r>
              <w:rPr>
                <w:rFonts w:hint="default" w:hAnsi="宋体"/>
                <w:bCs/>
                <w:color w:val="auto"/>
                <w:highlight w:val="none"/>
              </w:rPr>
              <w:t>3</w:t>
            </w:r>
            <w:r>
              <w:rPr>
                <w:rFonts w:hint="eastAsia" w:asciiTheme="minorEastAsia" w:hAnsiTheme="minorEastAsia" w:eastAsiaTheme="minorEastAsia" w:cstheme="minorEastAsia"/>
                <w:color w:val="auto"/>
                <w:highlight w:val="none"/>
              </w:rPr>
              <w:t>分）：</w:t>
            </w:r>
            <w:r>
              <w:rPr>
                <w:rFonts w:hint="eastAsia" w:ascii="宋体" w:hAnsi="宋体" w:eastAsia="宋体" w:cs="宋体"/>
                <w:color w:val="auto"/>
                <w:kern w:val="2"/>
                <w:sz w:val="21"/>
                <w:szCs w:val="22"/>
                <w:highlight w:val="none"/>
                <w:lang w:val="en-US" w:eastAsia="zh-CN"/>
              </w:rPr>
              <w:t>总体布置合理，能满足施工需要，基本符合安全、文明生产要求</w:t>
            </w:r>
            <w:r>
              <w:rPr>
                <w:rFonts w:hint="eastAsia" w:hAnsi="宋体"/>
                <w:color w:val="auto"/>
                <w:highlight w:val="none"/>
              </w:rPr>
              <w:t>。</w:t>
            </w:r>
          </w:p>
          <w:p w14:paraId="334766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1"/>
                <w:szCs w:val="22"/>
                <w:highlight w:val="none"/>
                <w:lang w:val="en-US" w:eastAsia="zh-CN"/>
              </w:rPr>
            </w:pPr>
            <w:r>
              <w:rPr>
                <w:rFonts w:hint="eastAsia" w:asciiTheme="minorEastAsia" w:hAnsiTheme="minorEastAsia" w:eastAsiaTheme="minorEastAsia" w:cstheme="minorEastAsia"/>
                <w:color w:val="auto"/>
                <w:highlight w:val="none"/>
              </w:rPr>
              <w:t>三档（</w:t>
            </w:r>
            <w:r>
              <w:rPr>
                <w:rFonts w:hint="eastAsia" w:hAnsi="宋体" w:eastAsiaTheme="minorEastAsia"/>
                <w:bCs/>
                <w:color w:val="auto"/>
                <w:highlight w:val="none"/>
                <w:lang w:val="en-US" w:eastAsia="zh-CN"/>
              </w:rPr>
              <w:t>2</w:t>
            </w:r>
            <w:r>
              <w:rPr>
                <w:rFonts w:hint="eastAsia" w:asciiTheme="minorEastAsia" w:hAnsiTheme="minorEastAsia" w:eastAsiaTheme="minorEastAsia" w:cstheme="minorEastAsia"/>
                <w:color w:val="auto"/>
                <w:highlight w:val="none"/>
              </w:rPr>
              <w:t>分）：</w:t>
            </w:r>
            <w:r>
              <w:rPr>
                <w:rFonts w:hint="eastAsia" w:ascii="宋体" w:hAnsi="宋体" w:eastAsia="宋体" w:cs="宋体"/>
                <w:color w:val="auto"/>
                <w:kern w:val="2"/>
                <w:sz w:val="21"/>
                <w:szCs w:val="22"/>
                <w:highlight w:val="none"/>
                <w:lang w:val="en-US" w:eastAsia="zh-CN"/>
              </w:rPr>
              <w:t>总体布置基本合理，基本满足施工需要。</w:t>
            </w:r>
          </w:p>
          <w:p w14:paraId="72EC17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四档</w:t>
            </w:r>
            <w:r>
              <w:rPr>
                <w:rFonts w:hint="eastAsia" w:asciiTheme="minorEastAsia" w:hAnsiTheme="minorEastAsia" w:eastAsiaTheme="minorEastAsia" w:cstheme="minorEastAsia"/>
                <w:color w:val="auto"/>
                <w:highlight w:val="none"/>
              </w:rPr>
              <w:t>（</w:t>
            </w:r>
            <w:r>
              <w:rPr>
                <w:rFonts w:hint="eastAsia" w:hAnsi="宋体" w:eastAsiaTheme="minorEastAsia"/>
                <w:bCs/>
                <w:color w:val="auto"/>
                <w:highlight w:val="none"/>
                <w:lang w:val="en-US" w:eastAsia="zh-CN"/>
              </w:rPr>
              <w:t>1</w:t>
            </w:r>
            <w:r>
              <w:rPr>
                <w:rFonts w:hint="eastAsia" w:asciiTheme="minorEastAsia" w:hAnsiTheme="minorEastAsia" w:eastAsiaTheme="minorEastAsia" w:cstheme="minorEastAsia"/>
                <w:color w:val="auto"/>
                <w:highlight w:val="none"/>
              </w:rPr>
              <w:t>分）：</w:t>
            </w:r>
            <w:r>
              <w:rPr>
                <w:rFonts w:hint="eastAsia"/>
                <w:color w:val="auto"/>
                <w:sz w:val="21"/>
                <w:highlight w:val="none"/>
                <w:lang w:bidi="ar"/>
              </w:rPr>
              <w:t>总体布置不够合理，基本符合安全、文明生产要求。</w:t>
            </w:r>
          </w:p>
        </w:tc>
      </w:tr>
      <w:tr w14:paraId="0631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29" w:type="dxa"/>
            <w:vMerge w:val="continue"/>
            <w:vAlign w:val="center"/>
          </w:tcPr>
          <w:p w14:paraId="7D5A3DEA">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p>
        </w:tc>
        <w:tc>
          <w:tcPr>
            <w:tcW w:w="398" w:type="dxa"/>
            <w:vAlign w:val="center"/>
          </w:tcPr>
          <w:p w14:paraId="2A9B2205">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r>
              <w:rPr>
                <w:rFonts w:hint="eastAsia"/>
                <w:color w:val="auto"/>
                <w:highlight w:val="none"/>
              </w:rPr>
              <w:t>四</w:t>
            </w:r>
          </w:p>
        </w:tc>
        <w:tc>
          <w:tcPr>
            <w:tcW w:w="9222" w:type="dxa"/>
            <w:gridSpan w:val="6"/>
            <w:vAlign w:val="center"/>
          </w:tcPr>
          <w:p w14:paraId="44201DA6">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r>
              <w:rPr>
                <w:rFonts w:hint="eastAsia"/>
                <w:color w:val="auto"/>
                <w:highlight w:val="none"/>
              </w:rPr>
              <w:t>总分</w:t>
            </w:r>
            <w:r>
              <w:rPr>
                <w:rFonts w:hint="default"/>
                <w:color w:val="auto"/>
                <w:highlight w:val="none"/>
              </w:rPr>
              <w:t>=</w:t>
            </w:r>
            <w:r>
              <w:rPr>
                <w:rFonts w:hint="eastAsia"/>
                <w:color w:val="auto"/>
                <w:highlight w:val="none"/>
              </w:rPr>
              <w:t>一</w:t>
            </w:r>
            <w:r>
              <w:rPr>
                <w:rFonts w:hint="default"/>
                <w:color w:val="auto"/>
                <w:highlight w:val="none"/>
              </w:rPr>
              <w:t>+</w:t>
            </w:r>
            <w:r>
              <w:rPr>
                <w:rFonts w:hint="eastAsia"/>
                <w:color w:val="auto"/>
                <w:highlight w:val="none"/>
              </w:rPr>
              <w:t>二</w:t>
            </w:r>
            <w:r>
              <w:rPr>
                <w:rFonts w:hint="default"/>
                <w:color w:val="auto"/>
                <w:highlight w:val="none"/>
              </w:rPr>
              <w:t>+三</w:t>
            </w:r>
          </w:p>
        </w:tc>
      </w:tr>
      <w:tr w14:paraId="7C31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29" w:type="dxa"/>
            <w:vAlign w:val="center"/>
          </w:tcPr>
          <w:p w14:paraId="4EC84F69">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r>
              <w:rPr>
                <w:rFonts w:hint="default"/>
                <w:color w:val="auto"/>
                <w:highlight w:val="none"/>
              </w:rPr>
              <w:t>2.4.1</w:t>
            </w:r>
          </w:p>
        </w:tc>
        <w:tc>
          <w:tcPr>
            <w:tcW w:w="1284" w:type="dxa"/>
            <w:gridSpan w:val="2"/>
            <w:vAlign w:val="center"/>
          </w:tcPr>
          <w:p w14:paraId="73DDA75A">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jc w:val="center"/>
              <w:rPr>
                <w:rFonts w:hint="eastAsia"/>
                <w:color w:val="auto"/>
                <w:highlight w:val="none"/>
              </w:rPr>
            </w:pPr>
            <w:r>
              <w:rPr>
                <w:rFonts w:hint="eastAsia"/>
                <w:color w:val="auto"/>
                <w:highlight w:val="none"/>
              </w:rPr>
              <w:t>评审得分</w:t>
            </w:r>
          </w:p>
          <w:p w14:paraId="1FC848D9">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jc w:val="center"/>
              <w:rPr>
                <w:rFonts w:hint="default"/>
                <w:color w:val="auto"/>
                <w:highlight w:val="none"/>
              </w:rPr>
            </w:pPr>
            <w:r>
              <w:rPr>
                <w:rFonts w:hint="eastAsia"/>
                <w:color w:val="auto"/>
                <w:highlight w:val="none"/>
              </w:rPr>
              <w:t>排序</w:t>
            </w:r>
          </w:p>
        </w:tc>
        <w:tc>
          <w:tcPr>
            <w:tcW w:w="8336" w:type="dxa"/>
            <w:gridSpan w:val="5"/>
            <w:vAlign w:val="center"/>
          </w:tcPr>
          <w:p w14:paraId="7EC67FA0">
            <w:pPr>
              <w:keepNext w:val="0"/>
              <w:keepLines w:val="0"/>
              <w:pageBreakBefore w:val="0"/>
              <w:suppressLineNumbers w:val="0"/>
              <w:kinsoku/>
              <w:wordWrap/>
              <w:overflowPunct/>
              <w:topLinePunct w:val="0"/>
              <w:autoSpaceDE/>
              <w:autoSpaceDN/>
              <w:bidi w:val="0"/>
              <w:snapToGrid/>
              <w:spacing w:before="120" w:beforeLines="50" w:beforeAutospacing="0" w:after="0" w:afterAutospacing="0" w:line="360" w:lineRule="auto"/>
              <w:ind w:left="0" w:right="0"/>
              <w:rPr>
                <w:rFonts w:hint="default"/>
                <w:color w:val="auto"/>
                <w:highlight w:val="none"/>
              </w:rPr>
            </w:pPr>
            <w:r>
              <w:rPr>
                <w:rFonts w:hint="eastAsia"/>
                <w:color w:val="auto"/>
                <w:highlight w:val="none"/>
              </w:rPr>
              <w:t>按评审得分由高到低排序。评审得分相同的，按技术分得分由高到低排序；若技术分得分仍相同的，按报价由低到高顺序排列。</w:t>
            </w:r>
          </w:p>
        </w:tc>
      </w:tr>
    </w:tbl>
    <w:p w14:paraId="3906ACAC">
      <w:pPr>
        <w:keepNext w:val="0"/>
        <w:keepLines w:val="0"/>
        <w:pageBreakBefore w:val="0"/>
        <w:kinsoku/>
        <w:wordWrap/>
        <w:overflowPunct/>
        <w:topLinePunct w:val="0"/>
        <w:autoSpaceDE/>
        <w:autoSpaceDN/>
        <w:bidi w:val="0"/>
        <w:snapToGrid/>
        <w:spacing w:line="360" w:lineRule="auto"/>
        <w:rPr>
          <w:color w:val="auto"/>
          <w:highlight w:val="none"/>
        </w:rPr>
      </w:pPr>
    </w:p>
    <w:p w14:paraId="1B265B6B">
      <w:pPr>
        <w:pStyle w:val="2"/>
        <w:ind w:left="0" w:leftChars="0" w:firstLine="0" w:firstLineChars="0"/>
        <w:jc w:val="both"/>
        <w:rPr>
          <w:color w:val="auto"/>
          <w:highlight w:val="none"/>
        </w:rPr>
      </w:pPr>
    </w:p>
    <w:p w14:paraId="10303304">
      <w:pPr>
        <w:pStyle w:val="2"/>
        <w:ind w:left="0" w:leftChars="0" w:firstLine="0" w:firstLineChars="0"/>
        <w:jc w:val="both"/>
        <w:rPr>
          <w:color w:val="auto"/>
          <w:highlight w:val="none"/>
        </w:rPr>
      </w:pPr>
    </w:p>
    <w:p w14:paraId="10647B89">
      <w:pPr>
        <w:pStyle w:val="2"/>
        <w:ind w:left="0" w:leftChars="0" w:firstLine="0" w:firstLineChars="0"/>
        <w:jc w:val="both"/>
        <w:rPr>
          <w:color w:val="auto"/>
          <w:highlight w:val="none"/>
        </w:rPr>
      </w:pPr>
    </w:p>
    <w:p w14:paraId="6ECA0D63">
      <w:pPr>
        <w:pStyle w:val="2"/>
        <w:ind w:left="0" w:leftChars="0" w:firstLine="0" w:firstLineChars="0"/>
        <w:jc w:val="both"/>
        <w:rPr>
          <w:color w:val="auto"/>
          <w:highlight w:val="none"/>
        </w:rPr>
      </w:pPr>
    </w:p>
    <w:p w14:paraId="6C4CFC51">
      <w:pPr>
        <w:pStyle w:val="2"/>
        <w:ind w:left="0" w:leftChars="0" w:firstLine="0" w:firstLineChars="0"/>
        <w:jc w:val="both"/>
        <w:rPr>
          <w:color w:val="auto"/>
          <w:highlight w:val="none"/>
        </w:rPr>
      </w:pPr>
    </w:p>
    <w:p w14:paraId="4107BB8D">
      <w:pPr>
        <w:pStyle w:val="2"/>
        <w:ind w:left="0" w:leftChars="0" w:firstLine="0" w:firstLineChars="0"/>
        <w:jc w:val="both"/>
        <w:rPr>
          <w:color w:val="auto"/>
          <w:highlight w:val="none"/>
        </w:rPr>
      </w:pPr>
    </w:p>
    <w:p w14:paraId="339DD4EF">
      <w:pPr>
        <w:pStyle w:val="2"/>
        <w:ind w:left="0" w:leftChars="0" w:firstLine="0" w:firstLineChars="0"/>
        <w:jc w:val="both"/>
        <w:rPr>
          <w:color w:val="auto"/>
          <w:highlight w:val="none"/>
        </w:rPr>
      </w:pPr>
    </w:p>
    <w:p w14:paraId="1C793727">
      <w:pPr>
        <w:pStyle w:val="2"/>
        <w:ind w:left="0" w:leftChars="0" w:firstLine="0" w:firstLineChars="0"/>
        <w:jc w:val="both"/>
        <w:rPr>
          <w:color w:val="auto"/>
          <w:highlight w:val="none"/>
        </w:rPr>
      </w:pPr>
    </w:p>
    <w:p w14:paraId="2BC6191A">
      <w:pPr>
        <w:pStyle w:val="2"/>
        <w:ind w:left="0" w:leftChars="0" w:firstLine="0" w:firstLineChars="0"/>
        <w:jc w:val="both"/>
        <w:rPr>
          <w:color w:val="auto"/>
          <w:highlight w:val="none"/>
        </w:rPr>
      </w:pPr>
    </w:p>
    <w:p w14:paraId="71D1D413">
      <w:pPr>
        <w:pStyle w:val="2"/>
        <w:ind w:left="0" w:leftChars="0" w:firstLine="0" w:firstLineChars="0"/>
        <w:jc w:val="both"/>
        <w:rPr>
          <w:color w:val="auto"/>
          <w:highlight w:val="none"/>
        </w:rPr>
      </w:pPr>
    </w:p>
    <w:p w14:paraId="764D3906">
      <w:pPr>
        <w:pStyle w:val="2"/>
        <w:ind w:left="0" w:leftChars="0" w:firstLine="0" w:firstLineChars="0"/>
        <w:jc w:val="both"/>
        <w:rPr>
          <w:color w:val="auto"/>
          <w:highlight w:val="none"/>
        </w:rPr>
      </w:pPr>
    </w:p>
    <w:p w14:paraId="3B95177F">
      <w:pPr>
        <w:pStyle w:val="2"/>
        <w:ind w:left="0" w:leftChars="0" w:firstLine="0" w:firstLineChars="0"/>
        <w:jc w:val="both"/>
        <w:rPr>
          <w:color w:val="auto"/>
          <w:highlight w:val="none"/>
        </w:rPr>
      </w:pPr>
    </w:p>
    <w:p w14:paraId="439F5060">
      <w:pPr>
        <w:pStyle w:val="2"/>
        <w:ind w:left="0" w:leftChars="0" w:firstLine="0" w:firstLineChars="0"/>
        <w:jc w:val="both"/>
        <w:rPr>
          <w:color w:val="auto"/>
          <w:highlight w:val="none"/>
        </w:rPr>
      </w:pPr>
    </w:p>
    <w:p w14:paraId="012216ED">
      <w:pPr>
        <w:pStyle w:val="2"/>
        <w:ind w:left="0" w:leftChars="0" w:firstLine="0" w:firstLineChars="0"/>
        <w:jc w:val="both"/>
        <w:rPr>
          <w:color w:val="auto"/>
          <w:highlight w:val="none"/>
        </w:rPr>
      </w:pPr>
    </w:p>
    <w:p w14:paraId="0A531B1B">
      <w:pPr>
        <w:pStyle w:val="2"/>
        <w:ind w:left="0" w:leftChars="0" w:firstLine="0" w:firstLineChars="0"/>
        <w:jc w:val="both"/>
        <w:rPr>
          <w:color w:val="auto"/>
          <w:highlight w:val="none"/>
        </w:rPr>
      </w:pPr>
    </w:p>
    <w:p w14:paraId="46F6AD51">
      <w:pPr>
        <w:pStyle w:val="2"/>
        <w:ind w:left="0" w:leftChars="0" w:firstLine="0" w:firstLineChars="0"/>
        <w:jc w:val="both"/>
        <w:rPr>
          <w:color w:val="auto"/>
          <w:highlight w:val="none"/>
        </w:rPr>
      </w:pPr>
    </w:p>
    <w:p w14:paraId="5BE2C67C">
      <w:pPr>
        <w:pStyle w:val="2"/>
        <w:ind w:left="0" w:leftChars="0" w:firstLine="0" w:firstLineChars="0"/>
        <w:jc w:val="both"/>
        <w:rPr>
          <w:color w:val="auto"/>
          <w:highlight w:val="none"/>
        </w:rPr>
      </w:pPr>
    </w:p>
    <w:p w14:paraId="456C35B9">
      <w:pPr>
        <w:pStyle w:val="2"/>
        <w:ind w:left="0" w:leftChars="0" w:firstLine="0" w:firstLineChars="0"/>
        <w:jc w:val="both"/>
        <w:rPr>
          <w:color w:val="auto"/>
          <w:highlight w:val="none"/>
        </w:rPr>
      </w:pPr>
    </w:p>
    <w:p w14:paraId="4EAB3131">
      <w:pPr>
        <w:pStyle w:val="2"/>
        <w:ind w:left="0" w:leftChars="0" w:firstLine="0" w:firstLineChars="0"/>
        <w:jc w:val="both"/>
        <w:rPr>
          <w:color w:val="auto"/>
          <w:highlight w:val="none"/>
        </w:rPr>
      </w:pPr>
    </w:p>
    <w:p w14:paraId="4B9C23B2">
      <w:pPr>
        <w:pStyle w:val="2"/>
        <w:ind w:left="0" w:leftChars="0" w:firstLine="0" w:firstLineChars="0"/>
        <w:jc w:val="both"/>
        <w:rPr>
          <w:color w:val="auto"/>
          <w:highlight w:val="none"/>
        </w:rPr>
      </w:pPr>
    </w:p>
    <w:p w14:paraId="6C219E72">
      <w:pPr>
        <w:pStyle w:val="2"/>
        <w:ind w:left="0" w:leftChars="0" w:firstLine="0" w:firstLineChars="0"/>
        <w:jc w:val="both"/>
        <w:rPr>
          <w:color w:val="auto"/>
          <w:highlight w:val="none"/>
        </w:rPr>
      </w:pPr>
    </w:p>
    <w:p w14:paraId="282B9158">
      <w:pPr>
        <w:pStyle w:val="2"/>
        <w:ind w:left="0" w:leftChars="0" w:firstLine="0" w:firstLineChars="0"/>
        <w:jc w:val="both"/>
        <w:rPr>
          <w:color w:val="auto"/>
          <w:highlight w:val="none"/>
        </w:rPr>
      </w:pPr>
    </w:p>
    <w:p w14:paraId="304B097B">
      <w:pPr>
        <w:pStyle w:val="2"/>
        <w:ind w:left="0" w:leftChars="0" w:firstLine="0" w:firstLineChars="0"/>
        <w:jc w:val="both"/>
        <w:rPr>
          <w:color w:val="auto"/>
          <w:highlight w:val="none"/>
        </w:rPr>
      </w:pPr>
    </w:p>
    <w:p w14:paraId="40F24084">
      <w:pPr>
        <w:pStyle w:val="2"/>
        <w:ind w:left="0" w:leftChars="0" w:firstLine="0" w:firstLineChars="0"/>
        <w:jc w:val="both"/>
        <w:rPr>
          <w:color w:val="auto"/>
          <w:highlight w:val="none"/>
        </w:rPr>
      </w:pPr>
    </w:p>
    <w:p w14:paraId="358D1982">
      <w:pPr>
        <w:pStyle w:val="2"/>
        <w:ind w:left="0" w:leftChars="0" w:firstLine="0" w:firstLineChars="0"/>
        <w:jc w:val="both"/>
        <w:rPr>
          <w:color w:val="auto"/>
          <w:highlight w:val="none"/>
        </w:rPr>
      </w:pPr>
    </w:p>
    <w:p w14:paraId="5CD67512">
      <w:pPr>
        <w:pStyle w:val="2"/>
        <w:ind w:left="0" w:leftChars="0" w:firstLine="0" w:firstLineChars="0"/>
        <w:jc w:val="both"/>
        <w:rPr>
          <w:color w:val="auto"/>
          <w:highlight w:val="none"/>
        </w:rPr>
      </w:pPr>
    </w:p>
    <w:p w14:paraId="22AAA6AA">
      <w:pPr>
        <w:pStyle w:val="2"/>
        <w:ind w:left="0" w:leftChars="0" w:firstLine="0" w:firstLineChars="0"/>
        <w:jc w:val="both"/>
        <w:rPr>
          <w:color w:val="auto"/>
          <w:highlight w:val="none"/>
        </w:rPr>
      </w:pPr>
    </w:p>
    <w:p w14:paraId="08547ADB">
      <w:pPr>
        <w:pStyle w:val="2"/>
        <w:ind w:left="0" w:leftChars="0" w:firstLine="0" w:firstLineChars="0"/>
        <w:jc w:val="both"/>
        <w:rPr>
          <w:color w:val="auto"/>
          <w:highlight w:val="none"/>
        </w:rPr>
      </w:pPr>
    </w:p>
    <w:bookmarkEnd w:id="41"/>
    <w:bookmarkEnd w:id="42"/>
    <w:bookmarkEnd w:id="43"/>
    <w:p w14:paraId="3E57EEEC">
      <w:pPr>
        <w:pStyle w:val="4"/>
        <w:rPr>
          <w:rFonts w:ascii="宋体"/>
          <w:color w:val="auto"/>
          <w:highlight w:val="none"/>
        </w:rPr>
      </w:pPr>
      <w:bookmarkStart w:id="46" w:name="_Toc16848"/>
      <w:r>
        <w:rPr>
          <w:rFonts w:hint="eastAsia" w:ascii="宋体" w:hAnsi="宋体" w:cs="宋体"/>
          <w:color w:val="auto"/>
          <w:highlight w:val="none"/>
        </w:rPr>
        <w:t>评标办法正文</w:t>
      </w:r>
      <w:bookmarkEnd w:id="44"/>
      <w:bookmarkEnd w:id="45"/>
      <w:bookmarkEnd w:id="46"/>
    </w:p>
    <w:p w14:paraId="06998FA7">
      <w:pPr>
        <w:pStyle w:val="5"/>
        <w:rPr>
          <w:rFonts w:ascii="宋体" w:hAnsi="宋体" w:eastAsia="宋体"/>
          <w:color w:val="auto"/>
          <w:highlight w:val="none"/>
        </w:rPr>
      </w:pPr>
      <w:bookmarkStart w:id="47" w:name="_Toc533781571"/>
      <w:bookmarkStart w:id="48" w:name="_Toc533783523"/>
      <w:r>
        <w:rPr>
          <w:rFonts w:ascii="宋体" w:hAnsi="宋体" w:eastAsia="宋体" w:cs="宋体"/>
          <w:color w:val="auto"/>
          <w:highlight w:val="none"/>
        </w:rPr>
        <w:t>1.</w:t>
      </w:r>
      <w:r>
        <w:rPr>
          <w:rFonts w:hint="eastAsia" w:ascii="宋体" w:hAnsi="宋体" w:eastAsia="宋体" w:cs="宋体"/>
          <w:color w:val="auto"/>
          <w:highlight w:val="none"/>
        </w:rPr>
        <w:t>评审标准</w:t>
      </w:r>
      <w:bookmarkEnd w:id="47"/>
      <w:bookmarkEnd w:id="48"/>
    </w:p>
    <w:p w14:paraId="6CDD08E7">
      <w:pPr>
        <w:pStyle w:val="6"/>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初步评审标准</w:t>
      </w:r>
    </w:p>
    <w:p w14:paraId="207F54C9">
      <w:pPr>
        <w:spacing w:line="360" w:lineRule="auto"/>
        <w:ind w:firstLine="420" w:firstLineChars="200"/>
        <w:rPr>
          <w:rFonts w:hAnsi="宋体"/>
          <w:color w:val="auto"/>
          <w:highlight w:val="none"/>
        </w:rPr>
      </w:pPr>
      <w:r>
        <w:rPr>
          <w:rFonts w:hAnsi="宋体"/>
          <w:color w:val="auto"/>
          <w:highlight w:val="none"/>
        </w:rPr>
        <w:t>1.1.1</w:t>
      </w:r>
      <w:r>
        <w:rPr>
          <w:rFonts w:hint="eastAsia" w:hAnsi="宋体"/>
          <w:color w:val="auto"/>
          <w:highlight w:val="none"/>
        </w:rPr>
        <w:t>资格审查：见评标办法前附表。</w:t>
      </w:r>
    </w:p>
    <w:p w14:paraId="11B4F131">
      <w:pPr>
        <w:spacing w:line="360" w:lineRule="auto"/>
        <w:ind w:firstLine="420" w:firstLineChars="200"/>
        <w:rPr>
          <w:rFonts w:hAnsi="宋体"/>
          <w:color w:val="auto"/>
          <w:highlight w:val="none"/>
        </w:rPr>
      </w:pPr>
      <w:r>
        <w:rPr>
          <w:rFonts w:hAnsi="宋体"/>
          <w:color w:val="auto"/>
          <w:highlight w:val="none"/>
        </w:rPr>
        <w:t>1.1.2</w:t>
      </w:r>
      <w:r>
        <w:rPr>
          <w:rFonts w:hint="eastAsia" w:hAnsi="宋体"/>
          <w:color w:val="auto"/>
          <w:highlight w:val="none"/>
        </w:rPr>
        <w:t>符合性审查：见评标办法前附表。</w:t>
      </w:r>
    </w:p>
    <w:p w14:paraId="06B06FCF">
      <w:pPr>
        <w:pStyle w:val="6"/>
        <w:rPr>
          <w:rFonts w:ascii="宋体"/>
          <w:color w:val="auto"/>
          <w:highlight w:val="none"/>
        </w:rPr>
      </w:pPr>
      <w:r>
        <w:rPr>
          <w:rFonts w:ascii="宋体" w:hAnsi="宋体" w:cs="宋体"/>
          <w:color w:val="auto"/>
          <w:highlight w:val="none"/>
        </w:rPr>
        <w:t>1.2</w:t>
      </w:r>
      <w:r>
        <w:rPr>
          <w:rFonts w:hint="eastAsia" w:ascii="宋体" w:hAnsi="宋体" w:cs="宋体"/>
          <w:color w:val="auto"/>
          <w:highlight w:val="none"/>
        </w:rPr>
        <w:t>评定标准</w:t>
      </w:r>
    </w:p>
    <w:p w14:paraId="7BBF8F0D">
      <w:pPr>
        <w:spacing w:line="360" w:lineRule="auto"/>
        <w:ind w:firstLine="420" w:firstLineChars="200"/>
        <w:rPr>
          <w:rFonts w:hAnsi="宋体"/>
          <w:color w:val="auto"/>
          <w:highlight w:val="none"/>
        </w:rPr>
      </w:pPr>
      <w:r>
        <w:rPr>
          <w:rFonts w:hint="eastAsia" w:hAnsi="宋体"/>
          <w:color w:val="auto"/>
          <w:highlight w:val="none"/>
        </w:rPr>
        <w:t>综合评分法。</w:t>
      </w:r>
    </w:p>
    <w:p w14:paraId="4147D29B">
      <w:pPr>
        <w:pStyle w:val="5"/>
        <w:rPr>
          <w:rFonts w:ascii="宋体" w:hAnsi="宋体" w:eastAsia="宋体"/>
          <w:color w:val="auto"/>
          <w:highlight w:val="none"/>
        </w:rPr>
      </w:pPr>
      <w:bookmarkStart w:id="49" w:name="_Toc533781572"/>
      <w:bookmarkStart w:id="50" w:name="_Toc533783524"/>
      <w:r>
        <w:rPr>
          <w:rFonts w:ascii="宋体" w:hAnsi="宋体" w:eastAsia="宋体" w:cs="宋体"/>
          <w:color w:val="auto"/>
          <w:highlight w:val="none"/>
        </w:rPr>
        <w:t>2.</w:t>
      </w:r>
      <w:r>
        <w:rPr>
          <w:rFonts w:hint="eastAsia" w:ascii="宋体" w:hAnsi="宋体" w:eastAsia="宋体" w:cs="宋体"/>
          <w:color w:val="auto"/>
          <w:highlight w:val="none"/>
        </w:rPr>
        <w:t>评标程序</w:t>
      </w:r>
      <w:bookmarkEnd w:id="49"/>
      <w:bookmarkEnd w:id="50"/>
    </w:p>
    <w:p w14:paraId="722A58D7">
      <w:pPr>
        <w:pStyle w:val="6"/>
        <w:rPr>
          <w:rFonts w:ascii="宋体"/>
          <w:color w:val="auto"/>
          <w:highlight w:val="none"/>
        </w:rPr>
      </w:pPr>
      <w:r>
        <w:rPr>
          <w:rFonts w:ascii="宋体" w:hAnsi="宋体" w:cs="宋体"/>
          <w:color w:val="auto"/>
          <w:highlight w:val="none"/>
        </w:rPr>
        <w:t>2.1</w:t>
      </w:r>
      <w:r>
        <w:rPr>
          <w:rFonts w:hint="eastAsia" w:ascii="宋体" w:hAnsi="宋体" w:cs="宋体"/>
          <w:color w:val="auto"/>
          <w:highlight w:val="none"/>
        </w:rPr>
        <w:t>初步评审</w:t>
      </w:r>
    </w:p>
    <w:p w14:paraId="256EDF07">
      <w:pPr>
        <w:spacing w:line="360" w:lineRule="auto"/>
        <w:ind w:firstLine="420" w:firstLineChars="200"/>
        <w:rPr>
          <w:rFonts w:hAnsi="宋体"/>
          <w:color w:val="auto"/>
          <w:highlight w:val="none"/>
        </w:rPr>
      </w:pPr>
      <w:r>
        <w:rPr>
          <w:rFonts w:hAnsi="宋体"/>
          <w:color w:val="auto"/>
          <w:highlight w:val="none"/>
        </w:rPr>
        <w:t>2.1.1</w:t>
      </w:r>
      <w:r>
        <w:rPr>
          <w:rFonts w:hint="eastAsia" w:hAnsi="宋体"/>
          <w:color w:val="auto"/>
          <w:highlight w:val="none"/>
        </w:rPr>
        <w:t>磋商小组依据本章第</w:t>
      </w:r>
      <w:r>
        <w:rPr>
          <w:rFonts w:hAnsi="宋体"/>
          <w:color w:val="auto"/>
          <w:highlight w:val="none"/>
        </w:rPr>
        <w:t>1.1</w:t>
      </w:r>
      <w:r>
        <w:rPr>
          <w:rFonts w:hint="eastAsia" w:hAnsi="宋体"/>
          <w:color w:val="auto"/>
          <w:highlight w:val="none"/>
        </w:rPr>
        <w:t>款规定的标准对响应文件进行初步评审。有一项不符合评审标准的，其响应文件作无效处理。</w:t>
      </w:r>
    </w:p>
    <w:p w14:paraId="0CF39FB0">
      <w:pPr>
        <w:spacing w:line="360" w:lineRule="auto"/>
        <w:ind w:firstLine="420" w:firstLineChars="200"/>
        <w:rPr>
          <w:rFonts w:hAnsi="宋体"/>
          <w:color w:val="auto"/>
          <w:highlight w:val="none"/>
        </w:rPr>
      </w:pPr>
      <w:r>
        <w:rPr>
          <w:rFonts w:hAnsi="宋体"/>
          <w:color w:val="auto"/>
          <w:highlight w:val="none"/>
        </w:rPr>
        <w:t>2.1.2</w:t>
      </w:r>
      <w:r>
        <w:rPr>
          <w:rFonts w:hint="eastAsia" w:hAnsi="宋体"/>
          <w:color w:val="auto"/>
          <w:highlight w:val="none"/>
        </w:rPr>
        <w:t>供应商有以下情形之一的，其响应文件作无效处理：</w:t>
      </w:r>
    </w:p>
    <w:p w14:paraId="29053530">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）第二章“供应商须知”第</w:t>
      </w:r>
      <w:r>
        <w:rPr>
          <w:rFonts w:hAnsi="宋体"/>
          <w:color w:val="auto"/>
          <w:highlight w:val="none"/>
        </w:rPr>
        <w:t>1.3.3</w:t>
      </w:r>
      <w:r>
        <w:rPr>
          <w:rFonts w:hint="eastAsia" w:hAnsi="宋体"/>
          <w:color w:val="auto"/>
          <w:highlight w:val="none"/>
        </w:rPr>
        <w:t>项规定的任一情形；</w:t>
      </w:r>
    </w:p>
    <w:p w14:paraId="4D6CEFDC">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）串通投标或弄虚作假或有其他违法行为的；</w:t>
      </w:r>
    </w:p>
    <w:p w14:paraId="5F499ABD">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）响应文件中含有采购人不能接受的附件条件的；</w:t>
      </w:r>
    </w:p>
    <w:p w14:paraId="1EA5BC35">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）不按磋商小组要求澄清、说明或补正的。</w:t>
      </w:r>
    </w:p>
    <w:p w14:paraId="5C27C98B">
      <w:pPr>
        <w:pStyle w:val="6"/>
        <w:rPr>
          <w:rFonts w:ascii="宋体"/>
          <w:color w:val="auto"/>
          <w:highlight w:val="none"/>
        </w:rPr>
      </w:pPr>
      <w:r>
        <w:rPr>
          <w:rFonts w:ascii="宋体" w:hAnsi="宋体" w:cs="宋体"/>
          <w:color w:val="auto"/>
          <w:highlight w:val="none"/>
        </w:rPr>
        <w:t>2.2</w:t>
      </w:r>
      <w:r>
        <w:rPr>
          <w:rFonts w:hint="eastAsia" w:ascii="宋体" w:hAnsi="宋体" w:cs="宋体"/>
          <w:color w:val="auto"/>
          <w:highlight w:val="none"/>
        </w:rPr>
        <w:t>综合评分</w:t>
      </w:r>
    </w:p>
    <w:p w14:paraId="7E653C86">
      <w:pPr>
        <w:spacing w:line="360" w:lineRule="auto"/>
        <w:ind w:firstLine="420" w:firstLineChars="200"/>
        <w:rPr>
          <w:rFonts w:hAnsi="宋体"/>
          <w:color w:val="auto"/>
          <w:highlight w:val="none"/>
        </w:rPr>
      </w:pPr>
      <w:r>
        <w:rPr>
          <w:rFonts w:hint="eastAsia" w:hAnsi="宋体"/>
          <w:color w:val="auto"/>
          <w:highlight w:val="none"/>
        </w:rPr>
        <w:t>由磋商小组采用综合评分法对提交有效最后报价的供应商的响应文件和最后报价进行综合评分。评审时，磋商小组各成员应当独立对每个有效响应的文件进行评价、打分，然后汇总每个供应商每项评分因素的得分。</w:t>
      </w:r>
    </w:p>
    <w:p w14:paraId="564D33D6">
      <w:pPr>
        <w:spacing w:line="360" w:lineRule="auto"/>
        <w:ind w:firstLine="420" w:firstLineChars="200"/>
        <w:rPr>
          <w:rFonts w:hAnsi="宋体"/>
          <w:color w:val="auto"/>
          <w:highlight w:val="none"/>
        </w:rPr>
      </w:pPr>
      <w:r>
        <w:rPr>
          <w:rFonts w:hAnsi="宋体"/>
          <w:color w:val="auto"/>
          <w:highlight w:val="none"/>
        </w:rPr>
        <w:t>2.2.1</w:t>
      </w:r>
      <w:r>
        <w:rPr>
          <w:rFonts w:hint="eastAsia" w:hAnsi="宋体"/>
          <w:color w:val="auto"/>
          <w:highlight w:val="none"/>
        </w:rPr>
        <w:t>分值构成：见评标办法前附表。</w:t>
      </w:r>
    </w:p>
    <w:p w14:paraId="799B17AA">
      <w:pPr>
        <w:spacing w:line="360" w:lineRule="auto"/>
        <w:ind w:firstLine="420" w:firstLineChars="200"/>
        <w:rPr>
          <w:rFonts w:hAnsi="宋体"/>
          <w:color w:val="auto"/>
          <w:highlight w:val="none"/>
        </w:rPr>
      </w:pPr>
      <w:r>
        <w:rPr>
          <w:rFonts w:hAnsi="宋体"/>
          <w:color w:val="auto"/>
          <w:highlight w:val="none"/>
        </w:rPr>
        <w:t>2.2.2</w:t>
      </w:r>
      <w:r>
        <w:rPr>
          <w:rFonts w:hint="eastAsia" w:hAnsi="宋体"/>
          <w:color w:val="auto"/>
          <w:highlight w:val="none"/>
        </w:rPr>
        <w:t>评标报价：见评标办法前附表。</w:t>
      </w:r>
    </w:p>
    <w:p w14:paraId="4FD40489">
      <w:pPr>
        <w:spacing w:line="360" w:lineRule="auto"/>
        <w:ind w:firstLine="420" w:firstLineChars="200"/>
        <w:rPr>
          <w:rFonts w:hAnsi="宋体"/>
          <w:color w:val="auto"/>
          <w:highlight w:val="none"/>
        </w:rPr>
      </w:pPr>
      <w:r>
        <w:rPr>
          <w:rFonts w:hAnsi="宋体"/>
          <w:color w:val="auto"/>
          <w:highlight w:val="none"/>
        </w:rPr>
        <w:t>2.2.3</w:t>
      </w:r>
      <w:r>
        <w:rPr>
          <w:rFonts w:hint="eastAsia" w:hAnsi="宋体"/>
          <w:color w:val="auto"/>
          <w:highlight w:val="none"/>
        </w:rPr>
        <w:t>评分标准：见评标办法前附表。</w:t>
      </w:r>
    </w:p>
    <w:p w14:paraId="5F49CFF6">
      <w:pPr>
        <w:spacing w:line="360" w:lineRule="auto"/>
        <w:ind w:firstLine="420" w:firstLineChars="200"/>
        <w:rPr>
          <w:rFonts w:hAnsi="宋体"/>
          <w:color w:val="auto"/>
          <w:highlight w:val="none"/>
        </w:rPr>
      </w:pPr>
      <w:r>
        <w:rPr>
          <w:rFonts w:hAnsi="宋体"/>
          <w:color w:val="auto"/>
          <w:highlight w:val="none"/>
        </w:rPr>
        <w:t>2.2.4</w:t>
      </w:r>
      <w:r>
        <w:rPr>
          <w:rFonts w:hint="eastAsia" w:hAnsi="宋体"/>
          <w:color w:val="auto"/>
          <w:highlight w:val="none"/>
        </w:rPr>
        <w:t>评分分值计算保留小数点后两位，小数点后第三位“四舍五入”。</w:t>
      </w:r>
    </w:p>
    <w:p w14:paraId="5A2D3BEB">
      <w:pPr>
        <w:spacing w:line="360" w:lineRule="auto"/>
        <w:ind w:firstLine="420" w:firstLineChars="200"/>
        <w:rPr>
          <w:rFonts w:hAnsi="宋体"/>
          <w:color w:val="auto"/>
          <w:highlight w:val="none"/>
        </w:rPr>
      </w:pPr>
      <w:r>
        <w:rPr>
          <w:rFonts w:hAnsi="宋体"/>
          <w:color w:val="auto"/>
          <w:highlight w:val="none"/>
        </w:rPr>
        <w:t>2.2.5</w:t>
      </w:r>
      <w:r>
        <w:rPr>
          <w:rFonts w:hint="eastAsia" w:hAnsi="宋体"/>
          <w:color w:val="auto"/>
          <w:highlight w:val="none"/>
        </w:rPr>
        <w:t>判断磋商报价是否低于成本：由磋商小组认定供应商是否以低于成本竞标。</w:t>
      </w:r>
    </w:p>
    <w:p w14:paraId="31041088">
      <w:pPr>
        <w:pStyle w:val="6"/>
        <w:rPr>
          <w:rFonts w:ascii="宋体"/>
          <w:color w:val="auto"/>
          <w:highlight w:val="none"/>
        </w:rPr>
      </w:pPr>
      <w:r>
        <w:rPr>
          <w:rFonts w:ascii="宋体" w:hAnsi="宋体" w:cs="宋体"/>
          <w:color w:val="auto"/>
          <w:highlight w:val="none"/>
        </w:rPr>
        <w:t>2.3</w:t>
      </w:r>
      <w:r>
        <w:rPr>
          <w:rFonts w:hint="eastAsia" w:ascii="宋体" w:hAnsi="宋体" w:cs="宋体"/>
          <w:color w:val="auto"/>
          <w:highlight w:val="none"/>
        </w:rPr>
        <w:t>响应文件的澄清、说明和补正</w:t>
      </w:r>
    </w:p>
    <w:p w14:paraId="4AC146C6">
      <w:pPr>
        <w:spacing w:line="360" w:lineRule="auto"/>
        <w:ind w:firstLine="420" w:firstLineChars="200"/>
        <w:rPr>
          <w:rFonts w:hAnsi="宋体"/>
          <w:color w:val="auto"/>
          <w:highlight w:val="none"/>
        </w:rPr>
      </w:pPr>
      <w:r>
        <w:rPr>
          <w:rFonts w:hAnsi="宋体"/>
          <w:color w:val="auto"/>
          <w:highlight w:val="none"/>
        </w:rPr>
        <w:t>2.3.1</w:t>
      </w:r>
      <w:r>
        <w:rPr>
          <w:rFonts w:hint="eastAsia" w:hAnsi="宋体"/>
          <w:color w:val="auto"/>
          <w:highlight w:val="none"/>
        </w:rPr>
        <w:t>磋商小组在对响应文件的有效性、完整性和响应程度进行审查时，可以要求供应商对响应文件中含义不明确、同类问题表述不一致或者有明显文字和计算错误的内容等作出必要的澄清、说明或者更正。澄清、说明和补正必须由磋商小组书面提出、供应商书面答复，否则无效。磋商小组不得接受供应商主动提出的澄清、说明或补正。</w:t>
      </w:r>
    </w:p>
    <w:p w14:paraId="4D471E3B">
      <w:pPr>
        <w:spacing w:line="360" w:lineRule="auto"/>
        <w:ind w:firstLine="420" w:firstLineChars="200"/>
        <w:rPr>
          <w:rFonts w:hAnsi="宋体"/>
          <w:color w:val="auto"/>
          <w:highlight w:val="none"/>
        </w:rPr>
      </w:pPr>
      <w:r>
        <w:rPr>
          <w:rFonts w:hAnsi="宋体"/>
          <w:color w:val="auto"/>
          <w:highlight w:val="none"/>
        </w:rPr>
        <w:t>2.3.2</w:t>
      </w:r>
      <w:r>
        <w:rPr>
          <w:rFonts w:hint="eastAsia" w:hAnsi="宋体"/>
          <w:color w:val="auto"/>
          <w:highlight w:val="none"/>
        </w:rPr>
        <w:t>磋商报价有算术错误的，磋商小组按以下原则对磋商报价进行修正，修正的价格经供应商书面确认后具有约束力。供应商不接受修正价格的，其响应文件无效。</w:t>
      </w:r>
    </w:p>
    <w:p w14:paraId="033BE55D">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）磋商报价的大写金额与小写金额不一致的，以大写金额为准；</w:t>
      </w:r>
    </w:p>
    <w:p w14:paraId="2BBE7F6C">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）总价金额与依据单价计算出的结果不一致的，以单价金额为准修正总价，但单价金额小数点有明显错误的除外。</w:t>
      </w:r>
    </w:p>
    <w:p w14:paraId="7B19BDCF">
      <w:pPr>
        <w:spacing w:line="360" w:lineRule="auto"/>
        <w:ind w:firstLine="420" w:firstLineChars="200"/>
        <w:rPr>
          <w:rFonts w:hAnsi="宋体"/>
          <w:color w:val="auto"/>
          <w:highlight w:val="none"/>
        </w:rPr>
      </w:pPr>
      <w:r>
        <w:rPr>
          <w:rFonts w:hint="eastAsia" w:hAnsi="宋体"/>
          <w:color w:val="auto"/>
          <w:highlight w:val="none"/>
        </w:rPr>
        <w:t>同时出现两种以上不一致的，按照前款规定的顺序修正。</w:t>
      </w:r>
    </w:p>
    <w:p w14:paraId="0F962A51">
      <w:pPr>
        <w:spacing w:line="360" w:lineRule="auto"/>
        <w:ind w:firstLine="420" w:firstLineChars="200"/>
        <w:rPr>
          <w:rFonts w:hAnsi="宋体"/>
          <w:color w:val="auto"/>
          <w:highlight w:val="none"/>
        </w:rPr>
      </w:pPr>
      <w:r>
        <w:rPr>
          <w:rFonts w:hAnsi="宋体"/>
          <w:color w:val="auto"/>
          <w:highlight w:val="none"/>
        </w:rPr>
        <w:t>2.3.3</w:t>
      </w:r>
      <w:r>
        <w:rPr>
          <w:rFonts w:hint="eastAsia" w:hAnsi="宋体"/>
          <w:color w:val="auto"/>
          <w:highlight w:val="none"/>
        </w:rPr>
        <w:t>供应商的澄清、说明或者更正不得超出响应文件的范围或者改变响应文件的实质性内容（算术性错误修正的除外）。供应商的书面澄清、说明和补正属于响应文件的组成部分。</w:t>
      </w:r>
    </w:p>
    <w:p w14:paraId="5F364501">
      <w:pPr>
        <w:spacing w:line="360" w:lineRule="auto"/>
        <w:ind w:firstLine="420" w:firstLineChars="200"/>
        <w:rPr>
          <w:rFonts w:hAnsi="宋体"/>
          <w:color w:val="auto"/>
          <w:highlight w:val="none"/>
        </w:rPr>
      </w:pPr>
      <w:r>
        <w:rPr>
          <w:rFonts w:hAnsi="宋体"/>
          <w:color w:val="auto"/>
          <w:highlight w:val="none"/>
        </w:rPr>
        <w:t>2.3.4</w:t>
      </w:r>
      <w:r>
        <w:rPr>
          <w:rFonts w:hint="eastAsia" w:hAnsi="宋体"/>
          <w:color w:val="auto"/>
          <w:highlight w:val="none"/>
        </w:rPr>
        <w:t>磋商小组对供应商提交的澄清、说明或补正有疑问的，可以要求供应商进一步澄清、说明或补正，直至满足磋商小组的要求。</w:t>
      </w:r>
    </w:p>
    <w:p w14:paraId="41DE82EA">
      <w:pPr>
        <w:spacing w:line="360" w:lineRule="auto"/>
        <w:ind w:firstLine="420" w:firstLineChars="200"/>
        <w:rPr>
          <w:rFonts w:hAnsi="宋体"/>
          <w:color w:val="auto"/>
          <w:highlight w:val="none"/>
        </w:rPr>
      </w:pPr>
      <w:r>
        <w:rPr>
          <w:rFonts w:hAnsi="宋体"/>
          <w:color w:val="auto"/>
          <w:highlight w:val="none"/>
        </w:rPr>
        <w:t>2.3.5</w:t>
      </w:r>
      <w:r>
        <w:rPr>
          <w:rFonts w:hint="eastAsia" w:hAnsi="宋体"/>
          <w:color w:val="auto"/>
          <w:highlight w:val="none"/>
        </w:rPr>
        <w:t>对响应文件进行澄清、说明和补正时来往的书面材料传递，由采购代理机构的专职代理员或者交易中心的工作人员进行。</w:t>
      </w:r>
    </w:p>
    <w:p w14:paraId="051E330E">
      <w:pPr>
        <w:pStyle w:val="6"/>
        <w:rPr>
          <w:rFonts w:ascii="宋体"/>
          <w:color w:val="auto"/>
          <w:highlight w:val="none"/>
        </w:rPr>
      </w:pPr>
      <w:r>
        <w:rPr>
          <w:rFonts w:ascii="宋体" w:hAnsi="宋体" w:cs="宋体"/>
          <w:color w:val="auto"/>
          <w:highlight w:val="none"/>
        </w:rPr>
        <w:t>2.4</w:t>
      </w:r>
      <w:r>
        <w:rPr>
          <w:rFonts w:hint="eastAsia" w:ascii="宋体" w:hAnsi="宋体" w:cs="宋体"/>
          <w:color w:val="auto"/>
          <w:highlight w:val="none"/>
        </w:rPr>
        <w:t>评标结果</w:t>
      </w:r>
    </w:p>
    <w:p w14:paraId="4ACF560D">
      <w:pPr>
        <w:spacing w:line="360" w:lineRule="auto"/>
        <w:ind w:firstLine="420" w:firstLineChars="200"/>
        <w:rPr>
          <w:rFonts w:hAnsi="宋体"/>
          <w:color w:val="auto"/>
          <w:highlight w:val="none"/>
        </w:rPr>
      </w:pPr>
      <w:r>
        <w:rPr>
          <w:rFonts w:hAnsi="宋体"/>
          <w:color w:val="auto"/>
          <w:highlight w:val="none"/>
        </w:rPr>
        <w:t>2.4.1</w:t>
      </w:r>
      <w:r>
        <w:rPr>
          <w:rFonts w:hint="eastAsia" w:hAnsi="宋体"/>
          <w:color w:val="auto"/>
          <w:highlight w:val="none"/>
        </w:rPr>
        <w:t>供应商评审得分排序规则：见评标办法须知前附表。</w:t>
      </w:r>
    </w:p>
    <w:p w14:paraId="45BA2EB0">
      <w:pPr>
        <w:spacing w:line="360" w:lineRule="auto"/>
        <w:ind w:firstLine="420" w:firstLineChars="200"/>
        <w:rPr>
          <w:rFonts w:hAnsi="宋体"/>
          <w:color w:val="auto"/>
          <w:highlight w:val="none"/>
        </w:rPr>
      </w:pPr>
      <w:r>
        <w:rPr>
          <w:rFonts w:hAnsi="宋体"/>
          <w:color w:val="auto"/>
          <w:highlight w:val="none"/>
        </w:rPr>
        <w:t>2.4.2</w:t>
      </w:r>
      <w:r>
        <w:rPr>
          <w:rFonts w:hint="eastAsia" w:hAnsi="宋体"/>
          <w:color w:val="auto"/>
          <w:highlight w:val="none"/>
        </w:rPr>
        <w:t>磋商小组按照供应商评审得分由高到低的顺序推荐成交候选人，并标明排序。</w:t>
      </w:r>
    </w:p>
    <w:p w14:paraId="5A842947">
      <w:pPr>
        <w:spacing w:line="360" w:lineRule="auto"/>
        <w:ind w:firstLine="420" w:firstLineChars="200"/>
        <w:rPr>
          <w:rFonts w:hAnsi="宋体"/>
          <w:color w:val="auto"/>
          <w:highlight w:val="none"/>
        </w:rPr>
      </w:pPr>
      <w:r>
        <w:rPr>
          <w:rFonts w:hAnsi="宋体"/>
          <w:color w:val="auto"/>
          <w:highlight w:val="none"/>
        </w:rPr>
        <w:t>2.4.3</w:t>
      </w:r>
      <w:r>
        <w:rPr>
          <w:rFonts w:hint="eastAsia" w:hAnsi="宋体"/>
          <w:color w:val="auto"/>
          <w:highlight w:val="none"/>
        </w:rPr>
        <w:t>磋商小组完成评标后，应当向采购人提交书面评标报告。评审专家应当在评标报告上签字，对自己的评审意见承担法律责任。对评标报告有异议的，应当在评标报告上签署不同意见并说明理由，否则视为同意评标报告。</w:t>
      </w:r>
    </w:p>
    <w:p w14:paraId="65AF4E94">
      <w:pPr>
        <w:spacing w:line="360" w:lineRule="auto"/>
        <w:ind w:firstLine="420" w:firstLineChars="200"/>
        <w:rPr>
          <w:rFonts w:hAnsi="宋体"/>
          <w:color w:val="auto"/>
          <w:highlight w:val="none"/>
        </w:rPr>
      </w:pPr>
      <w:r>
        <w:rPr>
          <w:rFonts w:hAnsi="宋体"/>
          <w:color w:val="auto"/>
          <w:highlight w:val="none"/>
        </w:rPr>
        <w:t>2.4.4</w:t>
      </w:r>
      <w:r>
        <w:rPr>
          <w:rFonts w:hint="eastAsia" w:hAnsi="宋体"/>
          <w:color w:val="auto"/>
          <w:highlight w:val="none"/>
        </w:rPr>
        <w:t>磋商小组应将评标过程中使用的文件、表格以及其他材料即时归还采购人。</w:t>
      </w:r>
    </w:p>
    <w:p w14:paraId="03F8681C">
      <w:pPr>
        <w:pStyle w:val="5"/>
        <w:rPr>
          <w:rFonts w:ascii="宋体" w:hAnsi="宋体" w:eastAsia="宋体"/>
          <w:color w:val="auto"/>
          <w:highlight w:val="none"/>
        </w:rPr>
      </w:pPr>
      <w:bookmarkStart w:id="51" w:name="_Toc533783525"/>
      <w:bookmarkStart w:id="52" w:name="_Toc533781573"/>
      <w:r>
        <w:rPr>
          <w:rFonts w:ascii="宋体" w:hAnsi="宋体" w:eastAsia="宋体" w:cs="宋体"/>
          <w:color w:val="auto"/>
          <w:highlight w:val="none"/>
        </w:rPr>
        <w:t>3.</w:t>
      </w:r>
      <w:r>
        <w:rPr>
          <w:rFonts w:hint="eastAsia" w:ascii="宋体" w:hAnsi="宋体" w:eastAsia="宋体" w:cs="宋体"/>
          <w:color w:val="auto"/>
          <w:highlight w:val="none"/>
        </w:rPr>
        <w:t>特殊情况的处置程序</w:t>
      </w:r>
      <w:bookmarkEnd w:id="51"/>
      <w:bookmarkEnd w:id="52"/>
    </w:p>
    <w:p w14:paraId="7EE6FB90">
      <w:pPr>
        <w:pStyle w:val="6"/>
        <w:rPr>
          <w:rFonts w:ascii="宋体"/>
          <w:color w:val="auto"/>
          <w:highlight w:val="none"/>
        </w:rPr>
      </w:pPr>
      <w:r>
        <w:rPr>
          <w:rFonts w:ascii="宋体" w:hAnsi="宋体" w:cs="宋体"/>
          <w:color w:val="auto"/>
          <w:highlight w:val="none"/>
        </w:rPr>
        <w:t>3.1</w:t>
      </w:r>
      <w:r>
        <w:rPr>
          <w:rFonts w:hint="eastAsia" w:ascii="宋体" w:hAnsi="宋体" w:cs="宋体"/>
          <w:color w:val="auto"/>
          <w:highlight w:val="none"/>
        </w:rPr>
        <w:t>关于评标活动暂停</w:t>
      </w:r>
    </w:p>
    <w:p w14:paraId="31CA6403">
      <w:pPr>
        <w:spacing w:line="360" w:lineRule="auto"/>
        <w:ind w:firstLine="420" w:firstLineChars="200"/>
        <w:rPr>
          <w:rFonts w:hAnsi="宋体"/>
          <w:color w:val="auto"/>
          <w:highlight w:val="none"/>
        </w:rPr>
      </w:pPr>
      <w:r>
        <w:rPr>
          <w:rFonts w:hAnsi="宋体"/>
          <w:color w:val="auto"/>
          <w:highlight w:val="none"/>
        </w:rPr>
        <w:t>3.1.1</w:t>
      </w:r>
      <w:r>
        <w:rPr>
          <w:rFonts w:hint="eastAsia" w:hAnsi="宋体"/>
          <w:color w:val="auto"/>
          <w:highlight w:val="none"/>
        </w:rPr>
        <w:t>磋商小组应当执行连续评标的原则，按评标办法中规定的程序、内容、方法、标准完成全部评标工作。只有发生不可抗力导致评标工作无法继续时，评标活动方可暂停。</w:t>
      </w:r>
    </w:p>
    <w:p w14:paraId="21D60116">
      <w:pPr>
        <w:spacing w:line="360" w:lineRule="auto"/>
        <w:ind w:firstLine="420" w:firstLineChars="200"/>
        <w:rPr>
          <w:rFonts w:hAnsi="宋体"/>
          <w:color w:val="auto"/>
          <w:highlight w:val="none"/>
        </w:rPr>
      </w:pPr>
      <w:r>
        <w:rPr>
          <w:rFonts w:hAnsi="宋体"/>
          <w:color w:val="auto"/>
          <w:highlight w:val="none"/>
        </w:rPr>
        <w:t>3.1.2</w:t>
      </w:r>
      <w:r>
        <w:rPr>
          <w:rFonts w:hint="eastAsia" w:hAnsi="宋体"/>
          <w:color w:val="auto"/>
          <w:highlight w:val="none"/>
        </w:rPr>
        <w:t>发生评标暂停情况时，磋商小组应当封存全部投标文件和评标记录，待不可抗力的影响结束且具备继续评标的条件时，由原磋商小组继续评标。</w:t>
      </w:r>
    </w:p>
    <w:p w14:paraId="0523BF81">
      <w:pPr>
        <w:pStyle w:val="6"/>
        <w:rPr>
          <w:rFonts w:ascii="宋体"/>
          <w:color w:val="auto"/>
          <w:highlight w:val="none"/>
        </w:rPr>
      </w:pPr>
      <w:r>
        <w:rPr>
          <w:rFonts w:ascii="宋体" w:hAnsi="宋体" w:cs="宋体"/>
          <w:color w:val="auto"/>
          <w:highlight w:val="none"/>
        </w:rPr>
        <w:t>3.2</w:t>
      </w:r>
      <w:r>
        <w:rPr>
          <w:rFonts w:hint="eastAsia" w:ascii="宋体" w:hAnsi="宋体" w:cs="宋体"/>
          <w:color w:val="auto"/>
          <w:highlight w:val="none"/>
        </w:rPr>
        <w:t>关于评标中途更换评委</w:t>
      </w:r>
    </w:p>
    <w:p w14:paraId="67182B95">
      <w:pPr>
        <w:spacing w:line="360" w:lineRule="auto"/>
        <w:ind w:firstLine="420" w:firstLineChars="200"/>
        <w:rPr>
          <w:rFonts w:hAnsi="宋体"/>
          <w:color w:val="auto"/>
          <w:highlight w:val="none"/>
        </w:rPr>
      </w:pPr>
      <w:r>
        <w:rPr>
          <w:rFonts w:hAnsi="宋体"/>
          <w:color w:val="auto"/>
          <w:highlight w:val="none"/>
        </w:rPr>
        <w:t>3.2.1</w:t>
      </w:r>
      <w:r>
        <w:rPr>
          <w:rFonts w:hint="eastAsia" w:hAnsi="宋体"/>
          <w:color w:val="auto"/>
          <w:highlight w:val="none"/>
        </w:rPr>
        <w:t>出现评审专家缺席、回避等情形导致评审现场专家数量不符合规定的，采购人或者采购代理机构应当及时补抽评审专家，或者经采购人主管预算单位同意自行选定补足评审专家。被更换的磋商小组成员所作出的评标意见无效。</w:t>
      </w:r>
    </w:p>
    <w:p w14:paraId="4E9EFBCD">
      <w:pPr>
        <w:spacing w:line="360" w:lineRule="auto"/>
        <w:ind w:firstLine="420" w:firstLineChars="200"/>
        <w:rPr>
          <w:rFonts w:hAnsi="宋体"/>
          <w:color w:val="auto"/>
          <w:highlight w:val="none"/>
        </w:rPr>
      </w:pPr>
      <w:r>
        <w:rPr>
          <w:rFonts w:hint="eastAsia" w:hAnsi="宋体"/>
          <w:color w:val="auto"/>
          <w:highlight w:val="none"/>
        </w:rPr>
        <w:t>无法及时补足评审专家的，采购人或者采购代理机构应当立即停止评审工作，妥善保存磋商文件，依法重新组建磋商小组进行评审。原评磋商小组所作出的评标意见无效。</w:t>
      </w:r>
    </w:p>
    <w:p w14:paraId="7D24776B">
      <w:pPr>
        <w:spacing w:line="360" w:lineRule="auto"/>
        <w:ind w:firstLine="420" w:firstLineChars="200"/>
        <w:rPr>
          <w:rFonts w:hAnsi="宋体"/>
          <w:color w:val="auto"/>
          <w:highlight w:val="none"/>
        </w:rPr>
      </w:pPr>
      <w:r>
        <w:rPr>
          <w:rFonts w:hAnsi="宋体"/>
          <w:color w:val="auto"/>
          <w:highlight w:val="none"/>
        </w:rPr>
        <w:t>3.2.2</w:t>
      </w:r>
      <w:r>
        <w:rPr>
          <w:rFonts w:hint="eastAsia" w:hAnsi="宋体"/>
          <w:color w:val="auto"/>
          <w:highlight w:val="none"/>
        </w:rPr>
        <w:t>评审专家发现磋商文件内容违反国家有关强制性规定或者磋商文件存在歧义、重大缺陷导致评审工作无法进行时，应当停止评审并向采购人或者采购代理机构书面说明情况。</w:t>
      </w:r>
    </w:p>
    <w:p w14:paraId="26AC9926">
      <w:pPr>
        <w:pStyle w:val="6"/>
        <w:rPr>
          <w:rFonts w:ascii="宋体"/>
          <w:color w:val="auto"/>
          <w:highlight w:val="none"/>
        </w:rPr>
      </w:pPr>
      <w:r>
        <w:rPr>
          <w:rFonts w:ascii="宋体" w:hAnsi="宋体" w:cs="宋体"/>
          <w:color w:val="auto"/>
          <w:highlight w:val="none"/>
        </w:rPr>
        <w:t>3.3</w:t>
      </w:r>
      <w:r>
        <w:rPr>
          <w:rFonts w:hint="eastAsia" w:ascii="宋体" w:hAnsi="宋体" w:cs="宋体"/>
          <w:color w:val="auto"/>
          <w:highlight w:val="none"/>
        </w:rPr>
        <w:t>关于争议解决</w:t>
      </w:r>
    </w:p>
    <w:p w14:paraId="572CEDAE">
      <w:pPr>
        <w:ind w:firstLine="420" w:firstLineChars="200"/>
        <w:rPr>
          <w:rFonts w:hAnsi="宋体"/>
          <w:b/>
          <w:color w:val="auto"/>
          <w:highlight w:val="none"/>
        </w:rPr>
      </w:pPr>
      <w:r>
        <w:rPr>
          <w:rFonts w:hint="eastAsia" w:hAnsi="宋体"/>
          <w:color w:val="auto"/>
          <w:highlight w:val="none"/>
        </w:rPr>
        <w:t>对需要共同认定的事项存在争议的，按照少数服从多数的原则做出结论。</w:t>
      </w:r>
      <w:r>
        <w:rPr>
          <w:rFonts w:hAnsi="宋体"/>
          <w:b/>
          <w:color w:val="auto"/>
          <w:highlight w:val="none"/>
        </w:rPr>
        <w:br w:type="page"/>
      </w:r>
    </w:p>
    <w:p w14:paraId="2D72CF76">
      <w:pPr>
        <w:keepNext/>
        <w:keepLines/>
        <w:spacing w:line="360" w:lineRule="auto"/>
        <w:jc w:val="center"/>
        <w:outlineLvl w:val="0"/>
        <w:rPr>
          <w:rFonts w:hAnsi="宋体"/>
          <w:b/>
          <w:bCs/>
          <w:color w:val="auto"/>
          <w:sz w:val="32"/>
          <w:szCs w:val="44"/>
          <w:highlight w:val="none"/>
          <w:lang w:val="zh-CN"/>
        </w:rPr>
      </w:pPr>
      <w:bookmarkStart w:id="53" w:name="_Toc533783526"/>
      <w:bookmarkStart w:id="54" w:name="_Toc8543"/>
      <w:bookmarkStart w:id="55" w:name="_Toc533781574"/>
      <w:bookmarkStart w:id="56" w:name="_Toc53129783"/>
      <w:bookmarkStart w:id="57" w:name="_Toc15973712"/>
      <w:bookmarkStart w:id="58" w:name="_Toc37834288"/>
      <w:r>
        <w:rPr>
          <w:rFonts w:hint="eastAsia" w:hAnsi="宋体"/>
          <w:b/>
          <w:bCs/>
          <w:color w:val="auto"/>
          <w:sz w:val="32"/>
          <w:szCs w:val="44"/>
          <w:highlight w:val="none"/>
          <w:lang w:val="zh-CN"/>
        </w:rPr>
        <w:t>第四章</w:t>
      </w:r>
      <w:r>
        <w:rPr>
          <w:rFonts w:hAnsi="宋体"/>
          <w:b/>
          <w:bCs/>
          <w:color w:val="auto"/>
          <w:sz w:val="32"/>
          <w:szCs w:val="44"/>
          <w:highlight w:val="none"/>
          <w:lang w:val="zh-CN"/>
        </w:rPr>
        <w:t xml:space="preserve">  </w:t>
      </w:r>
      <w:r>
        <w:rPr>
          <w:rFonts w:hint="eastAsia" w:hAnsi="宋体"/>
          <w:b/>
          <w:bCs/>
          <w:color w:val="auto"/>
          <w:sz w:val="32"/>
          <w:szCs w:val="44"/>
          <w:highlight w:val="none"/>
          <w:lang w:val="zh-CN"/>
        </w:rPr>
        <w:t>合同条款及格式</w:t>
      </w:r>
      <w:bookmarkEnd w:id="53"/>
      <w:bookmarkEnd w:id="54"/>
      <w:bookmarkEnd w:id="55"/>
      <w:bookmarkEnd w:id="56"/>
      <w:bookmarkEnd w:id="57"/>
      <w:bookmarkEnd w:id="58"/>
    </w:p>
    <w:p w14:paraId="0CF4440D">
      <w:pPr>
        <w:tabs>
          <w:tab w:val="left" w:pos="1364"/>
        </w:tabs>
        <w:autoSpaceDE w:val="0"/>
        <w:autoSpaceDN w:val="0"/>
        <w:jc w:val="left"/>
        <w:outlineLvl w:val="4"/>
        <w:rPr>
          <w:rFonts w:ascii="黑体" w:hAnsi="宋体" w:eastAsia="黑体" w:cs="黑体"/>
          <w:b/>
          <w:bCs/>
          <w:color w:val="auto"/>
          <w:kern w:val="2"/>
          <w:sz w:val="28"/>
          <w:szCs w:val="28"/>
          <w:highlight w:val="none"/>
          <w:lang w:val="zh-CN"/>
        </w:rPr>
      </w:pPr>
      <w:bookmarkStart w:id="59" w:name="EBd75ef856cbfc41f4b1b1d0253167c5da"/>
    </w:p>
    <w:bookmarkEnd w:id="59"/>
    <w:p w14:paraId="208DE07B">
      <w:pPr>
        <w:keepNext/>
        <w:keepLines/>
        <w:spacing w:before="260" w:after="260" w:line="416" w:lineRule="auto"/>
        <w:jc w:val="center"/>
        <w:outlineLvl w:val="1"/>
        <w:rPr>
          <w:rFonts w:hAnsi="宋体" w:cs="Times New Roman"/>
          <w:b/>
          <w:bCs/>
          <w:color w:val="auto"/>
          <w:kern w:val="2"/>
          <w:sz w:val="32"/>
          <w:szCs w:val="32"/>
          <w:highlight w:val="none"/>
        </w:rPr>
      </w:pPr>
      <w:bookmarkStart w:id="60" w:name="_Toc15973713"/>
      <w:bookmarkStart w:id="61" w:name="_Toc61961174"/>
      <w:bookmarkStart w:id="62" w:name="_Toc512691370"/>
      <w:bookmarkStart w:id="63" w:name="_Toc37834289"/>
      <w:bookmarkStart w:id="64" w:name="_Toc53129784"/>
      <w:bookmarkStart w:id="65" w:name="_Toc532839861"/>
      <w:bookmarkStart w:id="66" w:name="EB959a0cec904a4675a610b8ff15efe337"/>
      <w:r>
        <w:rPr>
          <w:rFonts w:hint="eastAsia" w:hAnsi="宋体" w:cs="Times New Roman"/>
          <w:b/>
          <w:bCs/>
          <w:color w:val="auto"/>
          <w:kern w:val="2"/>
          <w:sz w:val="32"/>
          <w:szCs w:val="32"/>
          <w:highlight w:val="none"/>
        </w:rPr>
        <w:t>第一部分</w:t>
      </w:r>
      <w:r>
        <w:rPr>
          <w:rFonts w:hAnsi="宋体" w:cs="Times New Roman"/>
          <w:b/>
          <w:bCs/>
          <w:color w:val="auto"/>
          <w:kern w:val="2"/>
          <w:sz w:val="32"/>
          <w:szCs w:val="32"/>
          <w:highlight w:val="none"/>
        </w:rPr>
        <w:t xml:space="preserve"> </w:t>
      </w:r>
      <w:r>
        <w:rPr>
          <w:rFonts w:hint="eastAsia" w:hAnsi="宋体" w:cs="Times New Roman"/>
          <w:b/>
          <w:bCs/>
          <w:color w:val="auto"/>
          <w:kern w:val="2"/>
          <w:sz w:val="32"/>
          <w:szCs w:val="32"/>
          <w:highlight w:val="none"/>
        </w:rPr>
        <w:t>合同协议书</w:t>
      </w:r>
      <w:bookmarkEnd w:id="60"/>
      <w:bookmarkEnd w:id="61"/>
      <w:bookmarkEnd w:id="62"/>
      <w:bookmarkEnd w:id="63"/>
      <w:bookmarkEnd w:id="64"/>
      <w:bookmarkEnd w:id="65"/>
    </w:p>
    <w:p w14:paraId="5C446959">
      <w:pPr>
        <w:spacing w:line="360" w:lineRule="auto"/>
        <w:rPr>
          <w:rFonts w:hAnsi="宋体" w:cs="Times New Roman"/>
          <w:color w:val="auto"/>
          <w:kern w:val="2"/>
          <w:highlight w:val="none"/>
          <w:u w:val="single"/>
        </w:rPr>
      </w:pPr>
      <w:r>
        <w:rPr>
          <w:rFonts w:hint="eastAsia" w:hAnsi="宋体" w:cs="Times New Roman"/>
          <w:color w:val="auto"/>
          <w:kern w:val="2"/>
          <w:highlight w:val="none"/>
        </w:rPr>
        <w:t>发包人（全称）：</w:t>
      </w:r>
      <w:r>
        <w:rPr>
          <w:rFonts w:hAnsi="宋体" w:cs="Times New Roman"/>
          <w:color w:val="auto"/>
          <w:kern w:val="2"/>
          <w:highlight w:val="none"/>
          <w:u w:val="single"/>
        </w:rPr>
        <w:t xml:space="preserve">                                       </w:t>
      </w:r>
    </w:p>
    <w:p w14:paraId="191892DE">
      <w:pPr>
        <w:spacing w:line="360" w:lineRule="auto"/>
        <w:rPr>
          <w:rFonts w:hAnsi="宋体" w:cs="Times New Roman"/>
          <w:color w:val="auto"/>
          <w:kern w:val="2"/>
          <w:highlight w:val="none"/>
          <w:u w:val="single"/>
        </w:rPr>
      </w:pPr>
      <w:r>
        <w:rPr>
          <w:rFonts w:hint="eastAsia" w:hAnsi="宋体" w:cs="Times New Roman"/>
          <w:color w:val="auto"/>
          <w:kern w:val="2"/>
          <w:highlight w:val="none"/>
        </w:rPr>
        <w:t>承包人（全称）：</w:t>
      </w:r>
      <w:r>
        <w:rPr>
          <w:rFonts w:hAnsi="宋体" w:cs="Times New Roman"/>
          <w:color w:val="auto"/>
          <w:kern w:val="2"/>
          <w:highlight w:val="none"/>
          <w:u w:val="single"/>
        </w:rPr>
        <w:t xml:space="preserve">                                      </w:t>
      </w:r>
    </w:p>
    <w:p w14:paraId="056A1F63">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根据《中华人民共和国民法典》、</w:t>
      </w:r>
      <w:r>
        <w:rPr>
          <w:rFonts w:hint="eastAsia" w:hAnsi="宋体"/>
          <w:color w:val="auto"/>
          <w:kern w:val="2"/>
          <w:highlight w:val="none"/>
        </w:rPr>
        <w:t>《中华人民共和国政府采购法（中华人民共和国主席令第</w:t>
      </w:r>
      <w:r>
        <w:rPr>
          <w:rFonts w:hAnsi="宋体"/>
          <w:color w:val="auto"/>
          <w:kern w:val="2"/>
          <w:highlight w:val="none"/>
        </w:rPr>
        <w:t>14</w:t>
      </w:r>
      <w:r>
        <w:rPr>
          <w:rFonts w:hint="eastAsia" w:hAnsi="宋体"/>
          <w:color w:val="auto"/>
          <w:kern w:val="2"/>
          <w:highlight w:val="none"/>
        </w:rPr>
        <w:t>号）》和《中华人民共和国政府采购法实施条例（国务院令第</w:t>
      </w:r>
      <w:r>
        <w:rPr>
          <w:rFonts w:hAnsi="宋体"/>
          <w:color w:val="auto"/>
          <w:kern w:val="2"/>
          <w:highlight w:val="none"/>
        </w:rPr>
        <w:t>658</w:t>
      </w:r>
      <w:r>
        <w:rPr>
          <w:rFonts w:hint="eastAsia" w:hAnsi="宋体"/>
          <w:color w:val="auto"/>
          <w:kern w:val="2"/>
          <w:highlight w:val="none"/>
        </w:rPr>
        <w:t>号</w:t>
      </w:r>
      <w:r>
        <w:rPr>
          <w:rFonts w:hint="eastAsia" w:ascii="Times New Roman" w:hAnsi="宋体" w:cs="Times New Roman"/>
          <w:color w:val="auto"/>
          <w:kern w:val="2"/>
          <w:highlight w:val="none"/>
        </w:rPr>
        <w:t>）》</w:t>
      </w:r>
      <w:r>
        <w:rPr>
          <w:rFonts w:hint="eastAsia" w:hAnsi="宋体" w:cs="Times New Roman"/>
          <w:color w:val="auto"/>
          <w:kern w:val="2"/>
          <w:highlight w:val="none"/>
        </w:rPr>
        <w:t>及有关法律规定，遵循平等、自愿、公平和诚实信用的原则，双方就</w:t>
      </w:r>
      <w:r>
        <w:rPr>
          <w:rFonts w:hAnsi="宋体" w:cs="Times New Roman"/>
          <w:color w:val="auto"/>
          <w:kern w:val="2"/>
          <w:highlight w:val="none"/>
          <w:u w:val="single"/>
        </w:rPr>
        <w:t xml:space="preserve">                       </w:t>
      </w:r>
      <w:r>
        <w:rPr>
          <w:rFonts w:hint="eastAsia" w:hAnsi="宋体" w:cs="Times New Roman"/>
          <w:color w:val="auto"/>
          <w:kern w:val="2"/>
          <w:highlight w:val="none"/>
        </w:rPr>
        <w:t>工程施工及有关事项协商一致，共同达成如下协议：</w:t>
      </w:r>
      <w:bookmarkStart w:id="67" w:name="_Toc351203481"/>
    </w:p>
    <w:p w14:paraId="67A9AE27">
      <w:pPr>
        <w:spacing w:line="360" w:lineRule="auto"/>
        <w:ind w:firstLine="422" w:firstLineChars="200"/>
        <w:rPr>
          <w:rFonts w:hAnsi="宋体" w:cs="Times New Roman"/>
          <w:b/>
          <w:bCs/>
          <w:color w:val="auto"/>
          <w:kern w:val="2"/>
          <w:highlight w:val="none"/>
        </w:rPr>
      </w:pPr>
      <w:r>
        <w:rPr>
          <w:rFonts w:hint="eastAsia" w:hAnsi="宋体" w:cs="Times New Roman"/>
          <w:b/>
          <w:bCs/>
          <w:color w:val="auto"/>
          <w:kern w:val="2"/>
          <w:highlight w:val="none"/>
        </w:rPr>
        <w:t>一、工程概况</w:t>
      </w:r>
      <w:bookmarkEnd w:id="67"/>
    </w:p>
    <w:p w14:paraId="026309A4">
      <w:pPr>
        <w:spacing w:line="360" w:lineRule="auto"/>
        <w:ind w:firstLine="411" w:firstLineChars="196"/>
        <w:rPr>
          <w:rFonts w:hAnsi="宋体" w:cs="Times New Roman"/>
          <w:color w:val="auto"/>
          <w:kern w:val="2"/>
          <w:highlight w:val="none"/>
          <w:u w:val="single"/>
        </w:rPr>
      </w:pPr>
      <w:r>
        <w:rPr>
          <w:rFonts w:hAnsi="宋体" w:cs="Times New Roman"/>
          <w:bCs/>
          <w:color w:val="auto"/>
          <w:kern w:val="2"/>
          <w:highlight w:val="none"/>
        </w:rPr>
        <w:t xml:space="preserve">1. </w:t>
      </w:r>
      <w:r>
        <w:rPr>
          <w:rFonts w:hint="eastAsia" w:hAnsi="宋体" w:cs="Times New Roman"/>
          <w:bCs/>
          <w:color w:val="auto"/>
          <w:kern w:val="2"/>
          <w:highlight w:val="none"/>
        </w:rPr>
        <w:t>工程名称</w:t>
      </w:r>
      <w:r>
        <w:rPr>
          <w:rFonts w:hint="eastAsia" w:hAnsi="宋体" w:cs="Times New Roman"/>
          <w:color w:val="auto"/>
          <w:kern w:val="2"/>
          <w:highlight w:val="none"/>
        </w:rPr>
        <w:t>：</w:t>
      </w:r>
      <w:r>
        <w:rPr>
          <w:rFonts w:hAnsi="宋体" w:cs="Times New Roman"/>
          <w:color w:val="auto"/>
          <w:kern w:val="2"/>
          <w:highlight w:val="none"/>
          <w:u w:val="single"/>
        </w:rPr>
        <w:t xml:space="preserve">                        </w:t>
      </w:r>
      <w:r>
        <w:rPr>
          <w:rFonts w:hint="eastAsia" w:hAnsi="宋体" w:cs="Times New Roman"/>
          <w:color w:val="auto"/>
          <w:kern w:val="2"/>
          <w:highlight w:val="none"/>
        </w:rPr>
        <w:t>。</w:t>
      </w:r>
    </w:p>
    <w:p w14:paraId="16DD5C62">
      <w:pPr>
        <w:spacing w:line="360" w:lineRule="auto"/>
        <w:ind w:firstLine="411" w:firstLineChars="196"/>
        <w:rPr>
          <w:rFonts w:hAnsi="宋体" w:cs="Times New Roman"/>
          <w:bCs/>
          <w:color w:val="auto"/>
          <w:kern w:val="2"/>
          <w:highlight w:val="none"/>
        </w:rPr>
      </w:pPr>
      <w:r>
        <w:rPr>
          <w:rFonts w:hAnsi="宋体" w:cs="Times New Roman"/>
          <w:bCs/>
          <w:color w:val="auto"/>
          <w:kern w:val="2"/>
          <w:highlight w:val="none"/>
        </w:rPr>
        <w:t xml:space="preserve">2. </w:t>
      </w:r>
      <w:r>
        <w:rPr>
          <w:rFonts w:hint="eastAsia" w:hAnsi="宋体" w:cs="Times New Roman"/>
          <w:bCs/>
          <w:color w:val="auto"/>
          <w:kern w:val="2"/>
          <w:highlight w:val="none"/>
        </w:rPr>
        <w:t>工程地点：</w:t>
      </w:r>
      <w:r>
        <w:rPr>
          <w:rFonts w:hAnsi="宋体" w:cs="Times New Roman"/>
          <w:color w:val="auto"/>
          <w:kern w:val="2"/>
          <w:highlight w:val="none"/>
          <w:u w:val="single"/>
        </w:rPr>
        <w:t xml:space="preserve">                        </w:t>
      </w:r>
      <w:r>
        <w:rPr>
          <w:rFonts w:hint="eastAsia" w:hAnsi="宋体" w:cs="Times New Roman"/>
          <w:color w:val="auto"/>
          <w:kern w:val="2"/>
          <w:highlight w:val="none"/>
        </w:rPr>
        <w:t>。</w:t>
      </w:r>
    </w:p>
    <w:p w14:paraId="02454330">
      <w:pPr>
        <w:spacing w:line="360" w:lineRule="auto"/>
        <w:ind w:firstLine="411" w:firstLineChars="196"/>
        <w:rPr>
          <w:rFonts w:hAnsi="宋体" w:cs="Times New Roman"/>
          <w:bCs/>
          <w:color w:val="auto"/>
          <w:kern w:val="2"/>
          <w:highlight w:val="none"/>
        </w:rPr>
      </w:pPr>
      <w:r>
        <w:rPr>
          <w:rFonts w:hAnsi="宋体" w:cs="Times New Roman"/>
          <w:bCs/>
          <w:color w:val="auto"/>
          <w:kern w:val="2"/>
          <w:highlight w:val="none"/>
        </w:rPr>
        <w:t xml:space="preserve">3. </w:t>
      </w:r>
      <w:r>
        <w:rPr>
          <w:rFonts w:hint="eastAsia" w:hAnsi="宋体" w:cs="Times New Roman"/>
          <w:bCs/>
          <w:color w:val="auto"/>
          <w:kern w:val="2"/>
          <w:highlight w:val="none"/>
        </w:rPr>
        <w:t>工程立项批准文号：</w:t>
      </w:r>
      <w:r>
        <w:rPr>
          <w:rFonts w:hAnsi="宋体" w:cs="Times New Roman"/>
          <w:color w:val="auto"/>
          <w:kern w:val="2"/>
          <w:highlight w:val="none"/>
          <w:u w:val="single"/>
        </w:rPr>
        <w:t xml:space="preserve">                </w:t>
      </w:r>
      <w:r>
        <w:rPr>
          <w:rFonts w:hint="eastAsia" w:hAnsi="宋体" w:cs="Times New Roman"/>
          <w:bCs/>
          <w:color w:val="auto"/>
          <w:kern w:val="2"/>
          <w:highlight w:val="none"/>
        </w:rPr>
        <w:t>。</w:t>
      </w:r>
    </w:p>
    <w:p w14:paraId="6736C441">
      <w:pPr>
        <w:spacing w:line="360" w:lineRule="auto"/>
        <w:ind w:firstLine="411" w:firstLineChars="196"/>
        <w:rPr>
          <w:rFonts w:hAnsi="宋体" w:cs="Times New Roman"/>
          <w:bCs/>
          <w:color w:val="auto"/>
          <w:kern w:val="2"/>
          <w:highlight w:val="none"/>
        </w:rPr>
      </w:pPr>
      <w:r>
        <w:rPr>
          <w:rFonts w:hAnsi="宋体" w:cs="Times New Roman"/>
          <w:bCs/>
          <w:color w:val="auto"/>
          <w:kern w:val="2"/>
          <w:highlight w:val="none"/>
        </w:rPr>
        <w:t xml:space="preserve">4. </w:t>
      </w:r>
      <w:r>
        <w:rPr>
          <w:rFonts w:hint="eastAsia" w:hAnsi="宋体" w:cs="Times New Roman"/>
          <w:bCs/>
          <w:color w:val="auto"/>
          <w:kern w:val="2"/>
          <w:highlight w:val="none"/>
        </w:rPr>
        <w:t>资金来源：</w:t>
      </w:r>
      <w:r>
        <w:rPr>
          <w:rFonts w:hAnsi="宋体" w:cs="Times New Roman"/>
          <w:color w:val="auto"/>
          <w:kern w:val="2"/>
          <w:highlight w:val="none"/>
          <w:u w:val="single"/>
        </w:rPr>
        <w:t xml:space="preserve">                        </w:t>
      </w:r>
      <w:r>
        <w:rPr>
          <w:rFonts w:hint="eastAsia" w:hAnsi="宋体" w:cs="Times New Roman"/>
          <w:bCs/>
          <w:color w:val="auto"/>
          <w:kern w:val="2"/>
          <w:highlight w:val="none"/>
        </w:rPr>
        <w:t>。</w:t>
      </w:r>
    </w:p>
    <w:p w14:paraId="16ED1230">
      <w:pPr>
        <w:spacing w:line="360" w:lineRule="auto"/>
        <w:ind w:firstLine="411" w:firstLineChars="196"/>
        <w:rPr>
          <w:rFonts w:hAnsi="宋体" w:cs="Times New Roman"/>
          <w:bCs/>
          <w:color w:val="auto"/>
          <w:kern w:val="2"/>
          <w:highlight w:val="none"/>
        </w:rPr>
      </w:pPr>
      <w:r>
        <w:rPr>
          <w:rFonts w:hAnsi="宋体" w:cs="Times New Roman"/>
          <w:bCs/>
          <w:color w:val="auto"/>
          <w:kern w:val="2"/>
          <w:highlight w:val="none"/>
        </w:rPr>
        <w:t xml:space="preserve">5. </w:t>
      </w:r>
      <w:r>
        <w:rPr>
          <w:rFonts w:hint="eastAsia" w:hAnsi="宋体" w:cs="Times New Roman"/>
          <w:bCs/>
          <w:color w:val="auto"/>
          <w:kern w:val="2"/>
          <w:highlight w:val="none"/>
        </w:rPr>
        <w:t>工程内容：</w:t>
      </w:r>
      <w:r>
        <w:rPr>
          <w:rFonts w:hAnsi="宋体" w:cs="Times New Roman"/>
          <w:color w:val="auto"/>
          <w:kern w:val="2"/>
          <w:highlight w:val="none"/>
          <w:u w:val="single"/>
        </w:rPr>
        <w:t xml:space="preserve">                        </w:t>
      </w:r>
      <w:r>
        <w:rPr>
          <w:rFonts w:hint="eastAsia" w:hAnsi="宋体" w:cs="Times New Roman"/>
          <w:bCs/>
          <w:color w:val="auto"/>
          <w:kern w:val="2"/>
          <w:highlight w:val="none"/>
        </w:rPr>
        <w:t>。</w:t>
      </w:r>
    </w:p>
    <w:p w14:paraId="19FD54DF">
      <w:pPr>
        <w:spacing w:line="360" w:lineRule="auto"/>
        <w:ind w:firstLine="411" w:firstLineChars="196"/>
        <w:rPr>
          <w:rFonts w:hAnsi="宋体" w:cs="Times New Roman"/>
          <w:bCs/>
          <w:color w:val="auto"/>
          <w:kern w:val="2"/>
          <w:highlight w:val="none"/>
        </w:rPr>
      </w:pPr>
      <w:r>
        <w:rPr>
          <w:rFonts w:hint="eastAsia" w:hAnsi="宋体" w:cs="Times New Roman"/>
          <w:color w:val="auto"/>
          <w:kern w:val="2"/>
          <w:highlight w:val="none"/>
        </w:rPr>
        <w:t>群体工程应附《承包人承揽工程项目一览表》（附件</w:t>
      </w:r>
      <w:r>
        <w:rPr>
          <w:rFonts w:hAnsi="宋体" w:cs="Times New Roman"/>
          <w:color w:val="auto"/>
          <w:kern w:val="2"/>
          <w:highlight w:val="none"/>
        </w:rPr>
        <w:t>1</w:t>
      </w:r>
      <w:r>
        <w:rPr>
          <w:rFonts w:hint="eastAsia" w:hAnsi="宋体" w:cs="Times New Roman"/>
          <w:color w:val="auto"/>
          <w:kern w:val="2"/>
          <w:highlight w:val="none"/>
        </w:rPr>
        <w:t>）。</w:t>
      </w:r>
    </w:p>
    <w:p w14:paraId="0B580F44">
      <w:pPr>
        <w:spacing w:line="360" w:lineRule="auto"/>
        <w:ind w:firstLine="411" w:firstLineChars="196"/>
        <w:rPr>
          <w:rFonts w:hAnsi="宋体" w:cs="Times New Roman"/>
          <w:bCs/>
          <w:color w:val="auto"/>
          <w:kern w:val="2"/>
          <w:highlight w:val="none"/>
        </w:rPr>
      </w:pPr>
      <w:r>
        <w:rPr>
          <w:rFonts w:hAnsi="宋体" w:cs="Times New Roman"/>
          <w:bCs/>
          <w:color w:val="auto"/>
          <w:kern w:val="2"/>
          <w:highlight w:val="none"/>
        </w:rPr>
        <w:t xml:space="preserve">6. </w:t>
      </w:r>
      <w:r>
        <w:rPr>
          <w:rFonts w:hint="eastAsia" w:hAnsi="宋体" w:cs="Times New Roman"/>
          <w:bCs/>
          <w:color w:val="auto"/>
          <w:kern w:val="2"/>
          <w:highlight w:val="none"/>
        </w:rPr>
        <w:t>工程承包范围：</w:t>
      </w:r>
      <w:r>
        <w:rPr>
          <w:rFonts w:hAnsi="宋体" w:cs="Times New Roman"/>
          <w:color w:val="auto"/>
          <w:kern w:val="2"/>
          <w:highlight w:val="none"/>
          <w:u w:val="single"/>
        </w:rPr>
        <w:t xml:space="preserve">                       </w:t>
      </w:r>
      <w:r>
        <w:rPr>
          <w:rFonts w:hint="eastAsia" w:hAnsi="宋体" w:cs="Times New Roman"/>
          <w:color w:val="auto"/>
          <w:kern w:val="2"/>
          <w:highlight w:val="none"/>
        </w:rPr>
        <w:t>。</w:t>
      </w:r>
    </w:p>
    <w:p w14:paraId="2F50F18B">
      <w:pPr>
        <w:spacing w:line="360" w:lineRule="auto"/>
        <w:ind w:firstLine="407" w:firstLineChars="193"/>
        <w:rPr>
          <w:rFonts w:hAnsi="宋体" w:cs="Times New Roman"/>
          <w:b/>
          <w:bCs/>
          <w:color w:val="auto"/>
          <w:kern w:val="2"/>
          <w:highlight w:val="none"/>
        </w:rPr>
      </w:pPr>
      <w:bookmarkStart w:id="68" w:name="_Toc351203482"/>
      <w:r>
        <w:rPr>
          <w:rFonts w:hint="eastAsia" w:hAnsi="宋体" w:cs="Times New Roman"/>
          <w:b/>
          <w:bCs/>
          <w:color w:val="auto"/>
          <w:kern w:val="2"/>
          <w:highlight w:val="none"/>
        </w:rPr>
        <w:t>二、合同工期</w:t>
      </w:r>
      <w:bookmarkEnd w:id="68"/>
    </w:p>
    <w:p w14:paraId="316D3B33">
      <w:pPr>
        <w:spacing w:line="360" w:lineRule="auto"/>
        <w:ind w:firstLine="459"/>
        <w:rPr>
          <w:rFonts w:hAnsi="宋体" w:cs="Times New Roman"/>
          <w:color w:val="auto"/>
          <w:kern w:val="2"/>
          <w:highlight w:val="none"/>
        </w:rPr>
      </w:pPr>
      <w:r>
        <w:rPr>
          <w:rFonts w:hint="eastAsia" w:hAnsi="宋体" w:cs="Times New Roman"/>
          <w:color w:val="auto"/>
          <w:kern w:val="2"/>
          <w:highlight w:val="none"/>
        </w:rPr>
        <w:t>计划开工日期：</w:t>
      </w:r>
      <w:r>
        <w:rPr>
          <w:rFonts w:ascii="MingLiU_HKSCS" w:hAnsi="MingLiU_HKSCS" w:cs="MingLiU_HKSCS"/>
          <w:color w:val="auto"/>
          <w:kern w:val="2"/>
          <w:highlight w:val="none"/>
          <w:u w:val="single"/>
        </w:rPr>
        <w:t xml:space="preserve">        </w:t>
      </w:r>
      <w:r>
        <w:rPr>
          <w:rFonts w:hint="eastAsia" w:hAnsi="宋体" w:cs="Times New Roman"/>
          <w:color w:val="auto"/>
          <w:kern w:val="2"/>
          <w:highlight w:val="none"/>
        </w:rPr>
        <w:t>年</w:t>
      </w:r>
      <w:r>
        <w:rPr>
          <w:rFonts w:ascii="MingLiU_HKSCS" w:hAnsi="MingLiU_HKSCS" w:cs="MingLiU_HKSCS"/>
          <w:color w:val="auto"/>
          <w:kern w:val="2"/>
          <w:highlight w:val="none"/>
          <w:u w:val="single"/>
        </w:rPr>
        <w:t xml:space="preserve">      </w:t>
      </w:r>
      <w:r>
        <w:rPr>
          <w:rFonts w:hint="eastAsia" w:hAnsi="宋体" w:cs="Times New Roman"/>
          <w:color w:val="auto"/>
          <w:kern w:val="2"/>
          <w:highlight w:val="none"/>
        </w:rPr>
        <w:t>月</w:t>
      </w:r>
      <w:r>
        <w:rPr>
          <w:rFonts w:ascii="MingLiU_HKSCS" w:hAnsi="MingLiU_HKSCS" w:cs="MingLiU_HKSCS"/>
          <w:color w:val="auto"/>
          <w:kern w:val="2"/>
          <w:highlight w:val="none"/>
          <w:u w:val="single"/>
        </w:rPr>
        <w:t xml:space="preserve">      </w:t>
      </w:r>
      <w:r>
        <w:rPr>
          <w:rFonts w:hint="eastAsia" w:hAnsi="宋体" w:cs="Times New Roman"/>
          <w:color w:val="auto"/>
          <w:kern w:val="2"/>
          <w:highlight w:val="none"/>
        </w:rPr>
        <w:t>日。</w:t>
      </w:r>
    </w:p>
    <w:p w14:paraId="26EAECA6">
      <w:pPr>
        <w:spacing w:line="360" w:lineRule="auto"/>
        <w:ind w:firstLine="459"/>
        <w:rPr>
          <w:rFonts w:hAnsi="宋体" w:cs="Times New Roman"/>
          <w:color w:val="auto"/>
          <w:kern w:val="2"/>
          <w:highlight w:val="none"/>
        </w:rPr>
      </w:pPr>
      <w:r>
        <w:rPr>
          <w:rFonts w:hint="eastAsia" w:hAnsi="宋体" w:cs="Times New Roman"/>
          <w:color w:val="auto"/>
          <w:kern w:val="2"/>
          <w:highlight w:val="none"/>
        </w:rPr>
        <w:t>计划竣工日期：</w:t>
      </w:r>
      <w:r>
        <w:rPr>
          <w:rFonts w:ascii="MingLiU_HKSCS" w:hAnsi="MingLiU_HKSCS" w:cs="MingLiU_HKSCS"/>
          <w:color w:val="auto"/>
          <w:kern w:val="2"/>
          <w:highlight w:val="none"/>
          <w:u w:val="single"/>
        </w:rPr>
        <w:t xml:space="preserve">        </w:t>
      </w:r>
      <w:r>
        <w:rPr>
          <w:rFonts w:hint="eastAsia" w:hAnsi="宋体" w:cs="Times New Roman"/>
          <w:color w:val="auto"/>
          <w:kern w:val="2"/>
          <w:highlight w:val="none"/>
        </w:rPr>
        <w:t>年</w:t>
      </w:r>
      <w:r>
        <w:rPr>
          <w:rFonts w:ascii="MingLiU_HKSCS" w:hAnsi="MingLiU_HKSCS" w:cs="MingLiU_HKSCS"/>
          <w:color w:val="auto"/>
          <w:kern w:val="2"/>
          <w:highlight w:val="none"/>
          <w:u w:val="single"/>
        </w:rPr>
        <w:t xml:space="preserve">      </w:t>
      </w:r>
      <w:r>
        <w:rPr>
          <w:rFonts w:hint="eastAsia" w:hAnsi="宋体" w:cs="Times New Roman"/>
          <w:color w:val="auto"/>
          <w:kern w:val="2"/>
          <w:highlight w:val="none"/>
        </w:rPr>
        <w:t>月</w:t>
      </w:r>
      <w:r>
        <w:rPr>
          <w:rFonts w:ascii="MingLiU_HKSCS" w:hAnsi="MingLiU_HKSCS" w:cs="MingLiU_HKSCS"/>
          <w:color w:val="auto"/>
          <w:kern w:val="2"/>
          <w:highlight w:val="none"/>
          <w:u w:val="single"/>
        </w:rPr>
        <w:t xml:space="preserve">      </w:t>
      </w:r>
      <w:r>
        <w:rPr>
          <w:rFonts w:hint="eastAsia" w:hAnsi="宋体" w:cs="Times New Roman"/>
          <w:color w:val="auto"/>
          <w:kern w:val="2"/>
          <w:highlight w:val="none"/>
        </w:rPr>
        <w:t>日。</w:t>
      </w:r>
    </w:p>
    <w:p w14:paraId="0A0C26D1">
      <w:pPr>
        <w:spacing w:line="360" w:lineRule="auto"/>
        <w:ind w:firstLine="459"/>
        <w:rPr>
          <w:rFonts w:hAnsi="宋体" w:cs="Times New Roman"/>
          <w:color w:val="auto"/>
          <w:kern w:val="2"/>
          <w:highlight w:val="none"/>
        </w:rPr>
      </w:pPr>
      <w:r>
        <w:rPr>
          <w:rFonts w:hint="eastAsia" w:hAnsi="宋体" w:cs="Times New Roman"/>
          <w:color w:val="auto"/>
          <w:kern w:val="2"/>
          <w:highlight w:val="none"/>
        </w:rPr>
        <w:t>工期总日历天数：计划开工日期均以开工令为准，施工总工期为</w:t>
      </w:r>
      <w:r>
        <w:rPr>
          <w:rFonts w:hAnsi="宋体" w:cs="Times New Roman"/>
          <w:color w:val="auto"/>
          <w:kern w:val="2"/>
          <w:highlight w:val="none"/>
          <w:u w:val="single"/>
        </w:rPr>
        <w:t xml:space="preserve">       </w:t>
      </w:r>
      <w:r>
        <w:rPr>
          <w:rFonts w:hint="eastAsia" w:hAnsi="宋体" w:cs="Times New Roman"/>
          <w:color w:val="auto"/>
          <w:kern w:val="2"/>
          <w:highlight w:val="none"/>
        </w:rPr>
        <w:t>日历天。工期总日历天数与根据前述计划开竣工日期计算的工期天数不一致的，以工期总日历天数为准。</w:t>
      </w:r>
    </w:p>
    <w:p w14:paraId="5342BAAE">
      <w:pPr>
        <w:spacing w:line="360" w:lineRule="auto"/>
        <w:ind w:firstLine="459"/>
        <w:rPr>
          <w:rFonts w:hAnsi="宋体" w:cs="Times New Roman"/>
          <w:b/>
          <w:bCs/>
          <w:color w:val="auto"/>
          <w:kern w:val="2"/>
          <w:highlight w:val="none"/>
        </w:rPr>
      </w:pPr>
      <w:bookmarkStart w:id="69" w:name="_Toc351203483"/>
      <w:r>
        <w:rPr>
          <w:rFonts w:hint="eastAsia" w:hAnsi="宋体" w:cs="Times New Roman"/>
          <w:b/>
          <w:bCs/>
          <w:color w:val="auto"/>
          <w:kern w:val="2"/>
          <w:highlight w:val="none"/>
        </w:rPr>
        <w:t>三、质量标准</w:t>
      </w:r>
      <w:bookmarkEnd w:id="69"/>
    </w:p>
    <w:p w14:paraId="64E6343C">
      <w:pPr>
        <w:spacing w:line="360" w:lineRule="auto"/>
        <w:ind w:firstLine="459"/>
        <w:rPr>
          <w:rFonts w:hAnsi="宋体" w:cs="Times New Roman"/>
          <w:color w:val="auto"/>
          <w:kern w:val="2"/>
          <w:highlight w:val="none"/>
        </w:rPr>
      </w:pPr>
      <w:r>
        <w:rPr>
          <w:rFonts w:hint="eastAsia" w:hAnsi="宋体" w:cs="Times New Roman"/>
          <w:color w:val="auto"/>
          <w:kern w:val="2"/>
          <w:highlight w:val="none"/>
        </w:rPr>
        <w:t>工程质量符合</w:t>
      </w:r>
      <w:r>
        <w:rPr>
          <w:rFonts w:ascii="MingLiU_HKSCS" w:hAnsi="MingLiU_HKSCS" w:cs="MingLiU_HKSCS"/>
          <w:color w:val="auto"/>
          <w:kern w:val="2"/>
          <w:highlight w:val="none"/>
          <w:u w:val="single"/>
        </w:rPr>
        <w:t xml:space="preserve">                  </w:t>
      </w:r>
      <w:r>
        <w:rPr>
          <w:rFonts w:hint="eastAsia" w:hAnsi="宋体" w:cs="Times New Roman"/>
          <w:color w:val="auto"/>
          <w:kern w:val="2"/>
          <w:highlight w:val="none"/>
        </w:rPr>
        <w:t>标准。</w:t>
      </w:r>
    </w:p>
    <w:p w14:paraId="7AB7F5BE">
      <w:pPr>
        <w:spacing w:line="360" w:lineRule="auto"/>
        <w:ind w:firstLine="459"/>
        <w:rPr>
          <w:rFonts w:hAnsi="宋体" w:cs="Times New Roman"/>
          <w:b/>
          <w:bCs/>
          <w:color w:val="auto"/>
          <w:kern w:val="2"/>
          <w:highlight w:val="none"/>
        </w:rPr>
      </w:pPr>
      <w:bookmarkStart w:id="70" w:name="_Toc351203484"/>
      <w:r>
        <w:rPr>
          <w:rFonts w:hint="eastAsia" w:hAnsi="宋体" w:cs="Times New Roman"/>
          <w:b/>
          <w:bCs/>
          <w:color w:val="auto"/>
          <w:kern w:val="2"/>
          <w:highlight w:val="none"/>
        </w:rPr>
        <w:t>四、签约合同价与合同价格形式</w:t>
      </w:r>
      <w:bookmarkEnd w:id="70"/>
    </w:p>
    <w:p w14:paraId="73F0D9AC">
      <w:pPr>
        <w:spacing w:line="360" w:lineRule="auto"/>
        <w:ind w:firstLine="459"/>
        <w:rPr>
          <w:rFonts w:hAnsi="宋体" w:cs="Times New Roman"/>
          <w:color w:val="auto"/>
          <w:kern w:val="2"/>
          <w:highlight w:val="none"/>
        </w:rPr>
      </w:pPr>
      <w:r>
        <w:rPr>
          <w:rFonts w:hAnsi="宋体" w:cs="Times New Roman"/>
          <w:color w:val="auto"/>
          <w:kern w:val="2"/>
          <w:highlight w:val="none"/>
        </w:rPr>
        <w:t xml:space="preserve">1. </w:t>
      </w:r>
      <w:r>
        <w:rPr>
          <w:rFonts w:hint="eastAsia" w:hAnsi="宋体" w:cs="Times New Roman"/>
          <w:color w:val="auto"/>
          <w:kern w:val="2"/>
          <w:highlight w:val="none"/>
        </w:rPr>
        <w:t>签约合同价为：</w:t>
      </w:r>
    </w:p>
    <w:p w14:paraId="6B5365DF">
      <w:pPr>
        <w:spacing w:line="360" w:lineRule="auto"/>
        <w:ind w:firstLine="525" w:firstLineChars="250"/>
        <w:rPr>
          <w:rFonts w:hAnsi="宋体" w:cs="Times New Roman"/>
          <w:color w:val="auto"/>
          <w:kern w:val="2"/>
          <w:highlight w:val="none"/>
        </w:rPr>
      </w:pPr>
      <w:r>
        <w:rPr>
          <w:rFonts w:hint="eastAsia" w:hAnsi="宋体" w:cs="Times New Roman"/>
          <w:color w:val="auto"/>
          <w:kern w:val="2"/>
          <w:highlight w:val="none"/>
        </w:rPr>
        <w:t>人民币（大写）</w:t>
      </w:r>
      <w:r>
        <w:rPr>
          <w:rFonts w:hAnsi="宋体" w:cs="Times New Roman"/>
          <w:color w:val="auto"/>
          <w:kern w:val="2"/>
          <w:highlight w:val="none"/>
          <w:u w:val="single"/>
        </w:rPr>
        <w:t xml:space="preserve">                 </w:t>
      </w:r>
      <w:r>
        <w:rPr>
          <w:rFonts w:hint="eastAsia" w:hAnsi="宋体" w:cs="Times New Roman"/>
          <w:color w:val="auto"/>
          <w:kern w:val="2"/>
          <w:highlight w:val="none"/>
        </w:rPr>
        <w:t>（</w:t>
      </w:r>
      <w:r>
        <w:rPr>
          <w:rFonts w:hAnsi="宋体" w:cs="Times New Roman"/>
          <w:color w:val="auto"/>
          <w:kern w:val="2"/>
          <w:highlight w:val="none"/>
        </w:rPr>
        <w:t>¥</w:t>
      </w:r>
      <w:r>
        <w:rPr>
          <w:rFonts w:hAnsi="宋体" w:cs="Times New Roman"/>
          <w:color w:val="auto"/>
          <w:kern w:val="2"/>
          <w:highlight w:val="none"/>
          <w:u w:val="single"/>
        </w:rPr>
        <w:t xml:space="preserve">            </w:t>
      </w:r>
      <w:r>
        <w:rPr>
          <w:rFonts w:hint="eastAsia" w:hAnsi="宋体" w:cs="Times New Roman"/>
          <w:color w:val="auto"/>
          <w:kern w:val="2"/>
          <w:highlight w:val="none"/>
        </w:rPr>
        <w:t>元）；</w:t>
      </w:r>
    </w:p>
    <w:p w14:paraId="12BB0259">
      <w:pPr>
        <w:spacing w:line="360" w:lineRule="auto"/>
        <w:ind w:firstLine="525" w:firstLineChars="250"/>
        <w:rPr>
          <w:rFonts w:hAnsi="宋体" w:cs="Times New Roman"/>
          <w:color w:val="auto"/>
          <w:kern w:val="2"/>
          <w:highlight w:val="none"/>
        </w:rPr>
      </w:pPr>
      <w:r>
        <w:rPr>
          <w:rFonts w:hint="eastAsia" w:hAnsi="宋体" w:cs="Times New Roman"/>
          <w:color w:val="auto"/>
          <w:kern w:val="2"/>
          <w:highlight w:val="none"/>
        </w:rPr>
        <w:t>其中：</w:t>
      </w:r>
    </w:p>
    <w:p w14:paraId="4E92FB9A">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1</w:t>
      </w:r>
      <w:r>
        <w:rPr>
          <w:rFonts w:hint="eastAsia" w:hAnsi="宋体" w:cs="Times New Roman"/>
          <w:color w:val="auto"/>
          <w:kern w:val="2"/>
          <w:highlight w:val="none"/>
        </w:rPr>
        <w:t>）安全文明施工费：</w:t>
      </w:r>
    </w:p>
    <w:p w14:paraId="48413AC0">
      <w:pPr>
        <w:spacing w:line="360" w:lineRule="auto"/>
        <w:ind w:left="420" w:leftChars="200" w:firstLine="525" w:firstLineChars="250"/>
        <w:rPr>
          <w:rFonts w:hAnsi="宋体" w:cs="Times New Roman"/>
          <w:color w:val="auto"/>
          <w:kern w:val="2"/>
          <w:highlight w:val="none"/>
        </w:rPr>
      </w:pPr>
      <w:r>
        <w:rPr>
          <w:rFonts w:hint="eastAsia" w:hAnsi="宋体" w:cs="Times New Roman"/>
          <w:color w:val="auto"/>
          <w:kern w:val="2"/>
          <w:highlight w:val="none"/>
        </w:rPr>
        <w:t>人民币（大写）</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w:t>
      </w:r>
      <w:r>
        <w:rPr>
          <w:rFonts w:hAnsi="宋体" w:cs="Times New Roman"/>
          <w:color w:val="auto"/>
          <w:kern w:val="2"/>
          <w:highlight w:val="none"/>
        </w:rPr>
        <w:t>¥</w:t>
      </w:r>
      <w:r>
        <w:rPr>
          <w:rFonts w:hAnsi="宋体" w:cs="Times New Roman"/>
          <w:color w:val="auto"/>
          <w:kern w:val="2"/>
          <w:highlight w:val="none"/>
          <w:u w:val="single"/>
        </w:rPr>
        <w:t xml:space="preserve">          </w:t>
      </w:r>
      <w:r>
        <w:rPr>
          <w:rFonts w:hint="eastAsia" w:hAnsi="宋体" w:cs="Times New Roman"/>
          <w:color w:val="auto"/>
          <w:kern w:val="2"/>
          <w:highlight w:val="none"/>
        </w:rPr>
        <w:t>元）；</w:t>
      </w:r>
    </w:p>
    <w:p w14:paraId="3F12DBA3">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2</w:t>
      </w:r>
      <w:r>
        <w:rPr>
          <w:rFonts w:hint="eastAsia" w:hAnsi="宋体" w:cs="Times New Roman"/>
          <w:color w:val="auto"/>
          <w:kern w:val="2"/>
          <w:highlight w:val="none"/>
        </w:rPr>
        <w:t>）建安劳保费：</w:t>
      </w:r>
    </w:p>
    <w:p w14:paraId="6D1A7014">
      <w:pPr>
        <w:spacing w:line="360" w:lineRule="auto"/>
        <w:ind w:left="420" w:leftChars="200" w:firstLine="525" w:firstLineChars="250"/>
        <w:rPr>
          <w:rFonts w:hAnsi="宋体" w:cs="Times New Roman"/>
          <w:color w:val="auto"/>
          <w:kern w:val="2"/>
          <w:highlight w:val="none"/>
        </w:rPr>
      </w:pPr>
      <w:r>
        <w:rPr>
          <w:rFonts w:hint="eastAsia" w:hAnsi="宋体" w:cs="Times New Roman"/>
          <w:color w:val="auto"/>
          <w:kern w:val="2"/>
          <w:highlight w:val="none"/>
        </w:rPr>
        <w:t>人民币（大写）</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w:t>
      </w:r>
      <w:r>
        <w:rPr>
          <w:rFonts w:hAnsi="宋体" w:cs="Times New Roman"/>
          <w:color w:val="auto"/>
          <w:kern w:val="2"/>
          <w:highlight w:val="none"/>
        </w:rPr>
        <w:t>¥</w:t>
      </w:r>
      <w:r>
        <w:rPr>
          <w:rFonts w:hAnsi="宋体" w:cs="Times New Roman"/>
          <w:color w:val="auto"/>
          <w:kern w:val="2"/>
          <w:highlight w:val="none"/>
          <w:u w:val="single"/>
        </w:rPr>
        <w:t xml:space="preserve">          </w:t>
      </w:r>
      <w:r>
        <w:rPr>
          <w:rFonts w:hint="eastAsia" w:hAnsi="宋体" w:cs="Times New Roman"/>
          <w:color w:val="auto"/>
          <w:kern w:val="2"/>
          <w:highlight w:val="none"/>
        </w:rPr>
        <w:t>元）；</w:t>
      </w:r>
    </w:p>
    <w:p w14:paraId="201D5A9B">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3</w:t>
      </w:r>
      <w:r>
        <w:rPr>
          <w:rFonts w:hint="eastAsia" w:hAnsi="宋体" w:cs="Times New Roman"/>
          <w:color w:val="auto"/>
          <w:kern w:val="2"/>
          <w:highlight w:val="none"/>
        </w:rPr>
        <w:t>）材料和工程设备暂估价金额：</w:t>
      </w:r>
    </w:p>
    <w:p w14:paraId="0BD26439">
      <w:pPr>
        <w:spacing w:line="360" w:lineRule="auto"/>
        <w:ind w:firstLine="945" w:firstLineChars="450"/>
        <w:rPr>
          <w:rFonts w:hAnsi="宋体" w:cs="Times New Roman"/>
          <w:color w:val="auto"/>
          <w:kern w:val="2"/>
          <w:highlight w:val="none"/>
        </w:rPr>
      </w:pPr>
      <w:r>
        <w:rPr>
          <w:rFonts w:hint="eastAsia" w:hAnsi="宋体" w:cs="Times New Roman"/>
          <w:color w:val="auto"/>
          <w:kern w:val="2"/>
          <w:highlight w:val="none"/>
        </w:rPr>
        <w:t>人民币（大写）</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w:t>
      </w:r>
      <w:r>
        <w:rPr>
          <w:rFonts w:hAnsi="宋体" w:cs="Times New Roman"/>
          <w:color w:val="auto"/>
          <w:kern w:val="2"/>
          <w:highlight w:val="none"/>
        </w:rPr>
        <w:t>¥</w:t>
      </w:r>
      <w:r>
        <w:rPr>
          <w:rFonts w:hAnsi="宋体" w:cs="Times New Roman"/>
          <w:color w:val="auto"/>
          <w:kern w:val="2"/>
          <w:highlight w:val="none"/>
          <w:u w:val="single"/>
        </w:rPr>
        <w:t xml:space="preserve">          </w:t>
      </w:r>
      <w:r>
        <w:rPr>
          <w:rFonts w:hint="eastAsia" w:hAnsi="宋体" w:cs="Times New Roman"/>
          <w:color w:val="auto"/>
          <w:kern w:val="2"/>
          <w:highlight w:val="none"/>
        </w:rPr>
        <w:t>元）；</w:t>
      </w:r>
    </w:p>
    <w:p w14:paraId="4795FB5D">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4</w:t>
      </w:r>
      <w:r>
        <w:rPr>
          <w:rFonts w:hint="eastAsia" w:hAnsi="宋体" w:cs="Times New Roman"/>
          <w:color w:val="auto"/>
          <w:kern w:val="2"/>
          <w:highlight w:val="none"/>
        </w:rPr>
        <w:t>）专业工程暂估价金额：</w:t>
      </w:r>
    </w:p>
    <w:p w14:paraId="0C3DDA7C">
      <w:pPr>
        <w:spacing w:line="360" w:lineRule="auto"/>
        <w:ind w:firstLine="945" w:firstLineChars="450"/>
        <w:rPr>
          <w:rFonts w:hAnsi="宋体" w:cs="Times New Roman"/>
          <w:color w:val="auto"/>
          <w:kern w:val="2"/>
          <w:highlight w:val="none"/>
        </w:rPr>
      </w:pPr>
      <w:r>
        <w:rPr>
          <w:rFonts w:hint="eastAsia" w:hAnsi="宋体" w:cs="Times New Roman"/>
          <w:color w:val="auto"/>
          <w:kern w:val="2"/>
          <w:highlight w:val="none"/>
        </w:rPr>
        <w:t>人民币（大写）</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w:t>
      </w:r>
      <w:r>
        <w:rPr>
          <w:rFonts w:hAnsi="宋体" w:cs="Times New Roman"/>
          <w:color w:val="auto"/>
          <w:kern w:val="2"/>
          <w:highlight w:val="none"/>
        </w:rPr>
        <w:t>¥</w:t>
      </w:r>
      <w:r>
        <w:rPr>
          <w:rFonts w:hAnsi="宋体" w:cs="Times New Roman"/>
          <w:color w:val="auto"/>
          <w:kern w:val="2"/>
          <w:highlight w:val="none"/>
          <w:u w:val="single"/>
        </w:rPr>
        <w:t xml:space="preserve">          </w:t>
      </w:r>
      <w:r>
        <w:rPr>
          <w:rFonts w:hint="eastAsia" w:hAnsi="宋体" w:cs="Times New Roman"/>
          <w:color w:val="auto"/>
          <w:kern w:val="2"/>
          <w:highlight w:val="none"/>
        </w:rPr>
        <w:t>元）；</w:t>
      </w:r>
    </w:p>
    <w:p w14:paraId="42A83D28">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5</w:t>
      </w:r>
      <w:r>
        <w:rPr>
          <w:rFonts w:hint="eastAsia" w:hAnsi="宋体" w:cs="Times New Roman"/>
          <w:color w:val="auto"/>
          <w:kern w:val="2"/>
          <w:highlight w:val="none"/>
        </w:rPr>
        <w:t>）暂列金额：</w:t>
      </w:r>
    </w:p>
    <w:p w14:paraId="4CBDB542">
      <w:pPr>
        <w:spacing w:line="360" w:lineRule="auto"/>
        <w:ind w:firstLine="945" w:firstLineChars="450"/>
        <w:rPr>
          <w:rFonts w:hAnsi="宋体" w:cs="Times New Roman"/>
          <w:color w:val="auto"/>
          <w:kern w:val="2"/>
          <w:highlight w:val="none"/>
        </w:rPr>
      </w:pPr>
      <w:r>
        <w:rPr>
          <w:rFonts w:hint="eastAsia" w:hAnsi="宋体" w:cs="Times New Roman"/>
          <w:color w:val="auto"/>
          <w:kern w:val="2"/>
          <w:highlight w:val="none"/>
        </w:rPr>
        <w:t>人民币（大写）</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w:t>
      </w:r>
      <w:r>
        <w:rPr>
          <w:rFonts w:hAnsi="宋体" w:cs="Times New Roman"/>
          <w:color w:val="auto"/>
          <w:kern w:val="2"/>
          <w:highlight w:val="none"/>
        </w:rPr>
        <w:t>¥</w:t>
      </w:r>
      <w:r>
        <w:rPr>
          <w:rFonts w:hAnsi="宋体" w:cs="Times New Roman"/>
          <w:color w:val="auto"/>
          <w:kern w:val="2"/>
          <w:highlight w:val="none"/>
          <w:u w:val="single"/>
        </w:rPr>
        <w:t xml:space="preserve">          </w:t>
      </w:r>
      <w:r>
        <w:rPr>
          <w:rFonts w:hint="eastAsia" w:hAnsi="宋体" w:cs="Times New Roman"/>
          <w:color w:val="auto"/>
          <w:kern w:val="2"/>
          <w:highlight w:val="none"/>
        </w:rPr>
        <w:t>元）。</w:t>
      </w:r>
    </w:p>
    <w:p w14:paraId="3104B62B">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2. </w:t>
      </w:r>
      <w:r>
        <w:rPr>
          <w:rFonts w:hint="eastAsia" w:hAnsi="宋体" w:cs="Times New Roman"/>
          <w:color w:val="auto"/>
          <w:kern w:val="2"/>
          <w:highlight w:val="none"/>
        </w:rPr>
        <w:t>合同价格形式：</w:t>
      </w:r>
      <w:r>
        <w:rPr>
          <w:rFonts w:hAnsi="宋体" w:cs="Times New Roman"/>
          <w:color w:val="auto"/>
          <w:kern w:val="2"/>
          <w:highlight w:val="none"/>
        </w:rPr>
        <w:t xml:space="preserve"> </w:t>
      </w:r>
      <w:r>
        <w:rPr>
          <w:rFonts w:hint="eastAsia" w:hAnsi="宋体"/>
          <w:color w:val="auto"/>
          <w:kern w:val="2"/>
          <w:highlight w:val="none"/>
          <w:u w:val="single"/>
        </w:rPr>
        <w:t>固定综合单价</w:t>
      </w:r>
      <w:r>
        <w:rPr>
          <w:rFonts w:hAnsi="宋体" w:cs="Times New Roman"/>
          <w:color w:val="auto"/>
          <w:kern w:val="2"/>
          <w:highlight w:val="none"/>
          <w:u w:val="single"/>
        </w:rPr>
        <w:t xml:space="preserve"> </w:t>
      </w:r>
      <w:r>
        <w:rPr>
          <w:rFonts w:hint="eastAsia" w:hAnsi="宋体" w:cs="Times New Roman"/>
          <w:color w:val="auto"/>
          <w:kern w:val="2"/>
          <w:highlight w:val="none"/>
        </w:rPr>
        <w:t>。</w:t>
      </w:r>
    </w:p>
    <w:p w14:paraId="7FECEE79">
      <w:pPr>
        <w:spacing w:line="360" w:lineRule="auto"/>
        <w:ind w:firstLine="422" w:firstLineChars="200"/>
        <w:rPr>
          <w:rFonts w:hAnsi="宋体" w:cs="Times New Roman"/>
          <w:b/>
          <w:bCs/>
          <w:color w:val="auto"/>
          <w:kern w:val="2"/>
          <w:highlight w:val="none"/>
        </w:rPr>
      </w:pPr>
      <w:bookmarkStart w:id="71" w:name="_Toc351203485"/>
      <w:r>
        <w:rPr>
          <w:rFonts w:hint="eastAsia" w:hAnsi="宋体" w:cs="Times New Roman"/>
          <w:b/>
          <w:bCs/>
          <w:color w:val="auto"/>
          <w:kern w:val="2"/>
          <w:highlight w:val="none"/>
        </w:rPr>
        <w:t>五、</w:t>
      </w:r>
      <w:bookmarkEnd w:id="71"/>
      <w:r>
        <w:rPr>
          <w:rFonts w:hint="eastAsia" w:hAnsi="宋体" w:cs="Times New Roman"/>
          <w:b/>
          <w:bCs/>
          <w:color w:val="auto"/>
          <w:kern w:val="2"/>
          <w:highlight w:val="none"/>
        </w:rPr>
        <w:t>项目经理</w:t>
      </w:r>
    </w:p>
    <w:p w14:paraId="5843E268">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承包人项目经理：</w:t>
      </w:r>
      <w:r>
        <w:rPr>
          <w:rFonts w:hAnsi="宋体" w:cs="Times New Roman"/>
          <w:color w:val="auto"/>
          <w:kern w:val="2"/>
          <w:highlight w:val="none"/>
          <w:u w:val="single"/>
        </w:rPr>
        <w:t xml:space="preserve">                       </w:t>
      </w:r>
      <w:r>
        <w:rPr>
          <w:rFonts w:hint="eastAsia" w:hAnsi="宋体" w:cs="Times New Roman"/>
          <w:color w:val="auto"/>
          <w:kern w:val="2"/>
          <w:highlight w:val="none"/>
        </w:rPr>
        <w:t>。</w:t>
      </w:r>
    </w:p>
    <w:p w14:paraId="659E70FB">
      <w:pPr>
        <w:spacing w:line="360" w:lineRule="auto"/>
        <w:ind w:firstLine="422" w:firstLineChars="200"/>
        <w:rPr>
          <w:rFonts w:hAnsi="宋体" w:cs="Times New Roman"/>
          <w:b/>
          <w:bCs/>
          <w:color w:val="auto"/>
          <w:kern w:val="2"/>
          <w:highlight w:val="none"/>
        </w:rPr>
      </w:pPr>
      <w:bookmarkStart w:id="72" w:name="_Toc351203486"/>
      <w:r>
        <w:rPr>
          <w:rFonts w:hint="eastAsia" w:hAnsi="宋体" w:cs="Times New Roman"/>
          <w:b/>
          <w:bCs/>
          <w:color w:val="auto"/>
          <w:kern w:val="2"/>
          <w:highlight w:val="none"/>
        </w:rPr>
        <w:t>六、合同文件构成</w:t>
      </w:r>
      <w:bookmarkEnd w:id="72"/>
    </w:p>
    <w:p w14:paraId="59058F34">
      <w:pPr>
        <w:spacing w:line="360" w:lineRule="auto"/>
        <w:ind w:firstLine="420" w:firstLineChars="200"/>
        <w:rPr>
          <w:rFonts w:hAnsi="宋体" w:cs="Times New Roman"/>
          <w:bCs/>
          <w:color w:val="auto"/>
          <w:kern w:val="2"/>
          <w:highlight w:val="none"/>
        </w:rPr>
      </w:pPr>
      <w:r>
        <w:rPr>
          <w:rFonts w:hint="eastAsia" w:hAnsi="宋体" w:cs="Times New Roman"/>
          <w:bCs/>
          <w:color w:val="auto"/>
          <w:kern w:val="2"/>
          <w:highlight w:val="none"/>
        </w:rPr>
        <w:t>本协议书与下列文件一起构成合同文件：</w:t>
      </w:r>
    </w:p>
    <w:p w14:paraId="609C18A9">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1</w:t>
      </w:r>
      <w:r>
        <w:rPr>
          <w:rFonts w:hint="eastAsia" w:hAnsi="宋体" w:cs="Times New Roman"/>
          <w:color w:val="auto"/>
          <w:kern w:val="2"/>
          <w:highlight w:val="none"/>
        </w:rPr>
        <w:t>）中标（成交）通知书；</w:t>
      </w:r>
    </w:p>
    <w:p w14:paraId="1C68B4D4">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2</w:t>
      </w:r>
      <w:r>
        <w:rPr>
          <w:rFonts w:hint="eastAsia" w:hAnsi="宋体" w:cs="Times New Roman"/>
          <w:color w:val="auto"/>
          <w:kern w:val="2"/>
          <w:highlight w:val="none"/>
        </w:rPr>
        <w:t>）竞标函及其附录；</w:t>
      </w:r>
      <w:r>
        <w:rPr>
          <w:rFonts w:hAnsi="宋体" w:cs="Times New Roman"/>
          <w:color w:val="auto"/>
          <w:kern w:val="2"/>
          <w:highlight w:val="none"/>
        </w:rPr>
        <w:t xml:space="preserve"> </w:t>
      </w:r>
    </w:p>
    <w:p w14:paraId="45DE467A">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3</w:t>
      </w:r>
      <w:r>
        <w:rPr>
          <w:rFonts w:hint="eastAsia" w:hAnsi="宋体" w:cs="Times New Roman"/>
          <w:color w:val="auto"/>
          <w:kern w:val="2"/>
          <w:highlight w:val="none"/>
        </w:rPr>
        <w:t>）专用合同条款及其附件；</w:t>
      </w:r>
    </w:p>
    <w:p w14:paraId="1B88CB78">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4</w:t>
      </w:r>
      <w:r>
        <w:rPr>
          <w:rFonts w:hint="eastAsia" w:hAnsi="宋体" w:cs="Times New Roman"/>
          <w:color w:val="auto"/>
          <w:kern w:val="2"/>
          <w:highlight w:val="none"/>
        </w:rPr>
        <w:t>）通用合同条款；</w:t>
      </w:r>
    </w:p>
    <w:p w14:paraId="40529DD9">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5</w:t>
      </w:r>
      <w:r>
        <w:rPr>
          <w:rFonts w:hint="eastAsia" w:hAnsi="宋体" w:cs="Times New Roman"/>
          <w:color w:val="auto"/>
          <w:kern w:val="2"/>
          <w:highlight w:val="none"/>
        </w:rPr>
        <w:t>）技术标准和要求；</w:t>
      </w:r>
    </w:p>
    <w:p w14:paraId="49DD2B55">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6</w:t>
      </w:r>
      <w:r>
        <w:rPr>
          <w:rFonts w:hint="eastAsia" w:hAnsi="宋体" w:cs="Times New Roman"/>
          <w:color w:val="auto"/>
          <w:kern w:val="2"/>
          <w:highlight w:val="none"/>
        </w:rPr>
        <w:t>）已标价工程量清单或预算书；</w:t>
      </w:r>
      <w:r>
        <w:rPr>
          <w:rFonts w:hAnsi="宋体" w:cs="Times New Roman"/>
          <w:color w:val="auto"/>
          <w:kern w:val="2"/>
          <w:highlight w:val="none"/>
        </w:rPr>
        <w:t xml:space="preserve"> </w:t>
      </w:r>
    </w:p>
    <w:p w14:paraId="281C2B9C">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7</w:t>
      </w:r>
      <w:r>
        <w:rPr>
          <w:rFonts w:hint="eastAsia" w:hAnsi="宋体" w:cs="Times New Roman"/>
          <w:color w:val="auto"/>
          <w:kern w:val="2"/>
          <w:highlight w:val="none"/>
        </w:rPr>
        <w:t>）图纸；</w:t>
      </w:r>
    </w:p>
    <w:p w14:paraId="4ED0DE97">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8</w:t>
      </w:r>
      <w:r>
        <w:rPr>
          <w:rFonts w:hint="eastAsia" w:hAnsi="宋体" w:cs="Times New Roman"/>
          <w:color w:val="auto"/>
          <w:kern w:val="2"/>
          <w:highlight w:val="none"/>
        </w:rPr>
        <w:t>）其他合同文件。</w:t>
      </w:r>
    </w:p>
    <w:p w14:paraId="07578A88">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在合同订立及履行过程中形成的与合同有关的文件均构成合同文件组成部分。</w:t>
      </w:r>
    </w:p>
    <w:p w14:paraId="29B1016D">
      <w:pPr>
        <w:pStyle w:val="169"/>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Ansi="宋体" w:cs="Times New Roman"/>
          <w:color w:val="auto"/>
          <w:kern w:val="2"/>
          <w:highlight w:val="none"/>
        </w:rPr>
      </w:pPr>
      <w:r>
        <w:rPr>
          <w:rFonts w:hint="eastAsia" w:hAnsi="宋体" w:cs="Times New Roman"/>
          <w:color w:val="auto"/>
          <w:kern w:val="2"/>
          <w:highlight w:val="none"/>
        </w:rPr>
        <w:t>上述各项合同文件包括合同当事人就该项合同文件所作出的补充和修改，属于同一类内容的文件，应以最新签署的为准。专用合同条款及其附件须经合同当事人签字或盖章。</w:t>
      </w:r>
      <w:r>
        <w:rPr>
          <w:rFonts w:hint="eastAsia" w:ascii="宋体" w:hAnsi="宋体" w:eastAsia="宋体" w:cs="Times New Roman"/>
          <w:color w:val="auto"/>
          <w:kern w:val="2"/>
          <w:highlight w:val="none"/>
        </w:rPr>
        <w:t>未经承包人书面授权，承包人的分支机构及个人无权直接与发包人签订本工程有关的合同性文件。与本工程有关的合同性文件如构成对合同内容的变更或修改，均加盖承包人的法人印章或法人专用合同章确认，否则承包人不予认可，对承包人不发生法律效力，仍按本合同约定执行。</w:t>
      </w:r>
    </w:p>
    <w:p w14:paraId="6214A101">
      <w:pPr>
        <w:autoSpaceDE w:val="0"/>
        <w:autoSpaceDN w:val="0"/>
        <w:adjustRightInd w:val="0"/>
        <w:spacing w:line="360" w:lineRule="auto"/>
        <w:ind w:firstLine="422" w:firstLineChars="200"/>
        <w:jc w:val="left"/>
        <w:rPr>
          <w:rFonts w:hAnsi="宋体" w:cs="Times New Roman"/>
          <w:b/>
          <w:bCs/>
          <w:color w:val="auto"/>
          <w:kern w:val="2"/>
          <w:highlight w:val="none"/>
        </w:rPr>
      </w:pPr>
      <w:bookmarkStart w:id="73" w:name="_Toc351203487"/>
      <w:r>
        <w:rPr>
          <w:rFonts w:hint="eastAsia" w:hAnsi="宋体" w:cs="Times New Roman"/>
          <w:b/>
          <w:bCs/>
          <w:color w:val="auto"/>
          <w:kern w:val="2"/>
          <w:highlight w:val="none"/>
        </w:rPr>
        <w:t>七、承诺</w:t>
      </w:r>
      <w:bookmarkEnd w:id="73"/>
    </w:p>
    <w:p w14:paraId="383B4E00">
      <w:pPr>
        <w:spacing w:line="360" w:lineRule="auto"/>
        <w:ind w:firstLine="420" w:firstLineChars="200"/>
        <w:rPr>
          <w:rFonts w:hAnsi="宋体" w:cs="Times New Roman"/>
          <w:bCs/>
          <w:color w:val="auto"/>
          <w:kern w:val="2"/>
          <w:highlight w:val="none"/>
        </w:rPr>
      </w:pPr>
      <w:r>
        <w:rPr>
          <w:rFonts w:hAnsi="宋体" w:cs="Times New Roman"/>
          <w:bCs/>
          <w:color w:val="auto"/>
          <w:kern w:val="2"/>
          <w:highlight w:val="none"/>
        </w:rPr>
        <w:t xml:space="preserve">1. </w:t>
      </w:r>
      <w:r>
        <w:rPr>
          <w:rFonts w:hint="eastAsia" w:hAnsi="宋体" w:cs="Times New Roman"/>
          <w:bCs/>
          <w:color w:val="auto"/>
          <w:kern w:val="2"/>
          <w:highlight w:val="none"/>
        </w:rPr>
        <w:t>发包人承诺按照法律规定履行项目审批手续、筹集工程建设资金并按照合同约定的期限和方式支付合同价款。</w:t>
      </w:r>
    </w:p>
    <w:p w14:paraId="14FE1E84">
      <w:pPr>
        <w:spacing w:line="360" w:lineRule="auto"/>
        <w:ind w:firstLine="420" w:firstLineChars="200"/>
        <w:rPr>
          <w:rFonts w:hAnsi="宋体" w:cs="Times New Roman"/>
          <w:bCs/>
          <w:color w:val="auto"/>
          <w:kern w:val="2"/>
          <w:highlight w:val="none"/>
        </w:rPr>
      </w:pPr>
      <w:r>
        <w:rPr>
          <w:rFonts w:hAnsi="宋体" w:cs="Times New Roman"/>
          <w:bCs/>
          <w:color w:val="auto"/>
          <w:kern w:val="2"/>
          <w:highlight w:val="none"/>
        </w:rPr>
        <w:t xml:space="preserve">2. </w:t>
      </w:r>
      <w:r>
        <w:rPr>
          <w:rFonts w:hint="eastAsia" w:hAnsi="宋体" w:cs="Times New Roman"/>
          <w:bCs/>
          <w:color w:val="auto"/>
          <w:kern w:val="2"/>
          <w:highlight w:val="none"/>
        </w:rPr>
        <w:t>承包人承诺按照法律规定及合同约定组织完成工程施工，确保工程质量和安全，不进行转包及违法分包，并在缺陷责任期及保修期内承担相应的工程维修责任。</w:t>
      </w:r>
    </w:p>
    <w:p w14:paraId="0A3AE5FC">
      <w:pPr>
        <w:spacing w:line="360" w:lineRule="auto"/>
        <w:ind w:firstLine="420" w:firstLineChars="200"/>
        <w:rPr>
          <w:rFonts w:hAnsi="宋体" w:cs="Times New Roman"/>
          <w:bCs/>
          <w:color w:val="auto"/>
          <w:kern w:val="2"/>
          <w:highlight w:val="none"/>
        </w:rPr>
      </w:pPr>
      <w:r>
        <w:rPr>
          <w:rFonts w:hAnsi="宋体" w:cs="Times New Roman"/>
          <w:bCs/>
          <w:color w:val="auto"/>
          <w:kern w:val="2"/>
          <w:highlight w:val="none"/>
        </w:rPr>
        <w:t xml:space="preserve">3. </w:t>
      </w:r>
      <w:r>
        <w:rPr>
          <w:rFonts w:hint="eastAsia" w:hAnsi="宋体" w:cs="Times New Roman"/>
          <w:bCs/>
          <w:color w:val="auto"/>
          <w:kern w:val="2"/>
          <w:highlight w:val="none"/>
        </w:rPr>
        <w:t>发包人和承包人通过招投标形式签订合同的，双方理解并承诺不再就同一工程另行签订与合同实质性内容相背离的协议。</w:t>
      </w:r>
      <w:bookmarkStart w:id="74" w:name="_Toc351203488"/>
    </w:p>
    <w:p w14:paraId="1FFD738C">
      <w:pPr>
        <w:spacing w:line="360" w:lineRule="auto"/>
        <w:ind w:firstLine="422" w:firstLineChars="200"/>
        <w:rPr>
          <w:rFonts w:hAnsi="宋体" w:cs="Times New Roman"/>
          <w:b/>
          <w:bCs/>
          <w:color w:val="auto"/>
          <w:kern w:val="2"/>
          <w:highlight w:val="none"/>
        </w:rPr>
      </w:pPr>
      <w:r>
        <w:rPr>
          <w:rFonts w:hint="eastAsia" w:hAnsi="宋体" w:cs="Times New Roman"/>
          <w:b/>
          <w:bCs/>
          <w:color w:val="auto"/>
          <w:kern w:val="2"/>
          <w:highlight w:val="none"/>
        </w:rPr>
        <w:t>八、词语含义</w:t>
      </w:r>
      <w:bookmarkEnd w:id="74"/>
    </w:p>
    <w:p w14:paraId="3405F3BB">
      <w:pPr>
        <w:spacing w:line="360" w:lineRule="auto"/>
        <w:ind w:firstLine="420" w:firstLineChars="200"/>
        <w:rPr>
          <w:rFonts w:hAnsi="宋体" w:cs="Times New Roman"/>
          <w:bCs/>
          <w:color w:val="auto"/>
          <w:kern w:val="2"/>
          <w:highlight w:val="none"/>
        </w:rPr>
      </w:pPr>
      <w:r>
        <w:rPr>
          <w:rFonts w:hint="eastAsia" w:hAnsi="宋体" w:cs="Times New Roman"/>
          <w:bCs/>
          <w:color w:val="auto"/>
          <w:kern w:val="2"/>
          <w:highlight w:val="none"/>
        </w:rPr>
        <w:t>本协议书中词语含义与第二部分通用合同条款中赋予的含义相同。</w:t>
      </w:r>
    </w:p>
    <w:p w14:paraId="6F7CE8AC">
      <w:pPr>
        <w:spacing w:line="360" w:lineRule="auto"/>
        <w:ind w:firstLine="422" w:firstLineChars="200"/>
        <w:rPr>
          <w:rFonts w:hAnsi="宋体" w:cs="Times New Roman"/>
          <w:b/>
          <w:bCs/>
          <w:color w:val="auto"/>
          <w:kern w:val="2"/>
          <w:highlight w:val="none"/>
        </w:rPr>
      </w:pPr>
      <w:bookmarkStart w:id="75" w:name="_Toc351203489"/>
      <w:r>
        <w:rPr>
          <w:rFonts w:hint="eastAsia" w:hAnsi="宋体" w:cs="Times New Roman"/>
          <w:b/>
          <w:bCs/>
          <w:color w:val="auto"/>
          <w:kern w:val="2"/>
          <w:highlight w:val="none"/>
        </w:rPr>
        <w:t>九、签订时间</w:t>
      </w:r>
      <w:bookmarkEnd w:id="75"/>
    </w:p>
    <w:p w14:paraId="29D10356">
      <w:pPr>
        <w:spacing w:line="360" w:lineRule="auto"/>
        <w:ind w:firstLine="420" w:firstLineChars="200"/>
        <w:rPr>
          <w:rFonts w:hAnsi="宋体" w:cs="Times New Roman"/>
          <w:bCs/>
          <w:color w:val="auto"/>
          <w:kern w:val="2"/>
          <w:highlight w:val="none"/>
        </w:rPr>
      </w:pPr>
      <w:r>
        <w:rPr>
          <w:rFonts w:hint="eastAsia" w:hAnsi="宋体" w:cs="Times New Roman"/>
          <w:bCs/>
          <w:color w:val="auto"/>
          <w:kern w:val="2"/>
          <w:highlight w:val="none"/>
        </w:rPr>
        <w:t>本合同于</w:t>
      </w:r>
      <w:r>
        <w:rPr>
          <w:rFonts w:hAnsi="宋体" w:cs="Times New Roman"/>
          <w:bCs/>
          <w:color w:val="auto"/>
          <w:kern w:val="2"/>
          <w:highlight w:val="none"/>
          <w:u w:val="single"/>
        </w:rPr>
        <w:t xml:space="preserve">         </w:t>
      </w:r>
      <w:r>
        <w:rPr>
          <w:rFonts w:hint="eastAsia" w:hAnsi="宋体" w:cs="Times New Roman"/>
          <w:bCs/>
          <w:color w:val="auto"/>
          <w:kern w:val="2"/>
          <w:highlight w:val="none"/>
        </w:rPr>
        <w:t>年</w:t>
      </w:r>
      <w:r>
        <w:rPr>
          <w:rFonts w:hAnsi="宋体" w:cs="Times New Roman"/>
          <w:bCs/>
          <w:color w:val="auto"/>
          <w:kern w:val="2"/>
          <w:highlight w:val="none"/>
          <w:u w:val="single"/>
        </w:rPr>
        <w:t xml:space="preserve">    </w:t>
      </w:r>
      <w:r>
        <w:rPr>
          <w:rFonts w:hint="eastAsia" w:hAnsi="宋体" w:cs="Times New Roman"/>
          <w:bCs/>
          <w:color w:val="auto"/>
          <w:kern w:val="2"/>
          <w:highlight w:val="none"/>
        </w:rPr>
        <w:t>月</w:t>
      </w:r>
      <w:r>
        <w:rPr>
          <w:rFonts w:hAnsi="宋体" w:cs="Times New Roman"/>
          <w:bCs/>
          <w:color w:val="auto"/>
          <w:kern w:val="2"/>
          <w:highlight w:val="none"/>
          <w:u w:val="single"/>
        </w:rPr>
        <w:t xml:space="preserve">    </w:t>
      </w:r>
      <w:r>
        <w:rPr>
          <w:rFonts w:hint="eastAsia" w:hAnsi="宋体" w:cs="Times New Roman"/>
          <w:bCs/>
          <w:color w:val="auto"/>
          <w:kern w:val="2"/>
          <w:highlight w:val="none"/>
        </w:rPr>
        <w:t>日签订。</w:t>
      </w:r>
    </w:p>
    <w:p w14:paraId="45AB241D">
      <w:pPr>
        <w:spacing w:line="360" w:lineRule="auto"/>
        <w:ind w:firstLine="422" w:firstLineChars="200"/>
        <w:rPr>
          <w:rFonts w:hAnsi="宋体" w:cs="Times New Roman"/>
          <w:b/>
          <w:bCs/>
          <w:color w:val="auto"/>
          <w:kern w:val="2"/>
          <w:highlight w:val="none"/>
        </w:rPr>
      </w:pPr>
      <w:bookmarkStart w:id="76" w:name="_Toc351203490"/>
      <w:r>
        <w:rPr>
          <w:rFonts w:hint="eastAsia" w:hAnsi="宋体" w:cs="Times New Roman"/>
          <w:b/>
          <w:bCs/>
          <w:color w:val="auto"/>
          <w:kern w:val="2"/>
          <w:highlight w:val="none"/>
        </w:rPr>
        <w:t>十、签订地点</w:t>
      </w:r>
      <w:bookmarkEnd w:id="76"/>
    </w:p>
    <w:p w14:paraId="45D0CCA3">
      <w:pPr>
        <w:spacing w:line="360" w:lineRule="auto"/>
        <w:ind w:firstLine="420" w:firstLineChars="200"/>
        <w:rPr>
          <w:rFonts w:hAnsi="宋体" w:cs="Times New Roman"/>
          <w:bCs/>
          <w:color w:val="auto"/>
          <w:kern w:val="2"/>
          <w:highlight w:val="none"/>
        </w:rPr>
      </w:pPr>
      <w:r>
        <w:rPr>
          <w:rFonts w:hint="eastAsia" w:hAnsi="宋体" w:cs="Times New Roman"/>
          <w:bCs/>
          <w:color w:val="auto"/>
          <w:kern w:val="2"/>
          <w:highlight w:val="none"/>
        </w:rPr>
        <w:t>本合同在</w:t>
      </w:r>
      <w:r>
        <w:rPr>
          <w:rFonts w:hAnsi="宋体" w:cs="Times New Roman"/>
          <w:bCs/>
          <w:color w:val="auto"/>
          <w:kern w:val="2"/>
          <w:highlight w:val="none"/>
          <w:u w:val="single"/>
        </w:rPr>
        <w:t xml:space="preserve">                                    </w:t>
      </w:r>
      <w:r>
        <w:rPr>
          <w:rFonts w:hint="eastAsia" w:hAnsi="宋体" w:cs="Times New Roman"/>
          <w:bCs/>
          <w:color w:val="auto"/>
          <w:kern w:val="2"/>
          <w:highlight w:val="none"/>
        </w:rPr>
        <w:t>签订。</w:t>
      </w:r>
    </w:p>
    <w:p w14:paraId="65229B41">
      <w:pPr>
        <w:spacing w:line="360" w:lineRule="auto"/>
        <w:ind w:firstLine="422" w:firstLineChars="200"/>
        <w:rPr>
          <w:rFonts w:hAnsi="宋体" w:cs="Times New Roman"/>
          <w:b/>
          <w:bCs/>
          <w:color w:val="auto"/>
          <w:kern w:val="2"/>
          <w:highlight w:val="none"/>
        </w:rPr>
      </w:pPr>
      <w:bookmarkStart w:id="77" w:name="_Toc351203491"/>
      <w:r>
        <w:rPr>
          <w:rFonts w:hint="eastAsia" w:hAnsi="宋体" w:cs="Times New Roman"/>
          <w:b/>
          <w:bCs/>
          <w:color w:val="auto"/>
          <w:kern w:val="2"/>
          <w:highlight w:val="none"/>
        </w:rPr>
        <w:t>十一、补充协议</w:t>
      </w:r>
      <w:bookmarkEnd w:id="77"/>
    </w:p>
    <w:p w14:paraId="1041924E">
      <w:pPr>
        <w:spacing w:line="360" w:lineRule="auto"/>
        <w:ind w:firstLine="420" w:firstLineChars="200"/>
        <w:rPr>
          <w:rFonts w:hAnsi="宋体" w:cs="Times New Roman"/>
          <w:bCs/>
          <w:color w:val="auto"/>
          <w:kern w:val="2"/>
          <w:highlight w:val="none"/>
        </w:rPr>
      </w:pPr>
      <w:r>
        <w:rPr>
          <w:rFonts w:hint="eastAsia" w:hAnsi="宋体" w:cs="Times New Roman"/>
          <w:bCs/>
          <w:color w:val="auto"/>
          <w:kern w:val="2"/>
          <w:highlight w:val="none"/>
        </w:rPr>
        <w:t>合同未尽事宜，合同当事人另行签订补充协议，补充协议是合同的组成部分。</w:t>
      </w:r>
    </w:p>
    <w:p w14:paraId="1DDB5441">
      <w:pPr>
        <w:spacing w:line="360" w:lineRule="auto"/>
        <w:ind w:firstLine="422" w:firstLineChars="200"/>
        <w:rPr>
          <w:rFonts w:hAnsi="宋体" w:cs="Times New Roman"/>
          <w:b/>
          <w:bCs/>
          <w:color w:val="auto"/>
          <w:kern w:val="2"/>
          <w:highlight w:val="none"/>
        </w:rPr>
      </w:pPr>
      <w:bookmarkStart w:id="78" w:name="_Toc351203492"/>
      <w:r>
        <w:rPr>
          <w:rFonts w:hint="eastAsia" w:hAnsi="宋体" w:cs="Times New Roman"/>
          <w:b/>
          <w:bCs/>
          <w:color w:val="auto"/>
          <w:kern w:val="2"/>
          <w:highlight w:val="none"/>
        </w:rPr>
        <w:t>十二、合同生效</w:t>
      </w:r>
      <w:bookmarkEnd w:id="78"/>
    </w:p>
    <w:p w14:paraId="5F7C4975">
      <w:pPr>
        <w:spacing w:line="360" w:lineRule="auto"/>
        <w:ind w:firstLine="420" w:firstLineChars="200"/>
        <w:jc w:val="left"/>
        <w:rPr>
          <w:rFonts w:hAnsi="宋体" w:cs="Times New Roman"/>
          <w:bCs/>
          <w:color w:val="auto"/>
          <w:kern w:val="2"/>
          <w:highlight w:val="none"/>
        </w:rPr>
      </w:pPr>
      <w:r>
        <w:rPr>
          <w:rFonts w:hint="eastAsia" w:hAnsi="宋体" w:cs="Times New Roman"/>
          <w:bCs/>
          <w:color w:val="auto"/>
          <w:kern w:val="2"/>
          <w:highlight w:val="none"/>
        </w:rPr>
        <w:t>本合同自</w:t>
      </w:r>
      <w:r>
        <w:rPr>
          <w:rFonts w:hAnsi="宋体" w:cs="Times New Roman"/>
          <w:bCs/>
          <w:color w:val="auto"/>
          <w:kern w:val="2"/>
          <w:highlight w:val="none"/>
          <w:u w:val="single"/>
        </w:rPr>
        <w:t xml:space="preserve">   </w:t>
      </w:r>
      <w:r>
        <w:rPr>
          <w:rFonts w:hint="eastAsia" w:hAnsi="宋体" w:cs="Times New Roman"/>
          <w:bCs/>
          <w:color w:val="auto"/>
          <w:kern w:val="2"/>
          <w:highlight w:val="none"/>
          <w:u w:val="single"/>
        </w:rPr>
        <w:t>双方法人或委托代理人签字并加盖单位公章后</w:t>
      </w:r>
      <w:r>
        <w:rPr>
          <w:rFonts w:hAnsi="宋体" w:cs="Times New Roman"/>
          <w:bCs/>
          <w:color w:val="auto"/>
          <w:kern w:val="2"/>
          <w:highlight w:val="none"/>
          <w:u w:val="single"/>
        </w:rPr>
        <w:t xml:space="preserve">       </w:t>
      </w:r>
      <w:r>
        <w:rPr>
          <w:rFonts w:hint="eastAsia" w:hAnsi="宋体" w:cs="Times New Roman"/>
          <w:bCs/>
          <w:color w:val="auto"/>
          <w:kern w:val="2"/>
          <w:highlight w:val="none"/>
        </w:rPr>
        <w:t>生效。</w:t>
      </w:r>
    </w:p>
    <w:p w14:paraId="3BBC2CBC">
      <w:pPr>
        <w:spacing w:line="360" w:lineRule="auto"/>
        <w:ind w:firstLine="422" w:firstLineChars="200"/>
        <w:rPr>
          <w:rFonts w:hAnsi="宋体" w:cs="Times New Roman"/>
          <w:b/>
          <w:bCs/>
          <w:color w:val="auto"/>
          <w:kern w:val="2"/>
          <w:highlight w:val="none"/>
        </w:rPr>
      </w:pPr>
      <w:bookmarkStart w:id="79" w:name="_Toc351203493"/>
      <w:r>
        <w:rPr>
          <w:rFonts w:hint="eastAsia" w:hAnsi="宋体" w:cs="Times New Roman"/>
          <w:b/>
          <w:bCs/>
          <w:color w:val="auto"/>
          <w:kern w:val="2"/>
          <w:highlight w:val="none"/>
        </w:rPr>
        <w:t>十三、合同份数</w:t>
      </w:r>
      <w:bookmarkEnd w:id="79"/>
    </w:p>
    <w:p w14:paraId="39CC00B7">
      <w:pPr>
        <w:spacing w:line="360" w:lineRule="auto"/>
        <w:ind w:firstLine="420" w:firstLineChars="200"/>
        <w:rPr>
          <w:rFonts w:hAnsi="宋体" w:cs="Times New Roman"/>
          <w:bCs/>
          <w:color w:val="auto"/>
          <w:kern w:val="2"/>
          <w:highlight w:val="none"/>
        </w:rPr>
      </w:pPr>
      <w:r>
        <w:rPr>
          <w:rFonts w:hint="eastAsia" w:hAnsi="宋体" w:cs="Times New Roman"/>
          <w:bCs/>
          <w:color w:val="auto"/>
          <w:kern w:val="2"/>
          <w:highlight w:val="none"/>
        </w:rPr>
        <w:t>本合同一式</w:t>
      </w:r>
      <w:r>
        <w:rPr>
          <w:rFonts w:hAnsi="宋体" w:cs="Times New Roman"/>
          <w:bCs/>
          <w:color w:val="auto"/>
          <w:kern w:val="2"/>
          <w:highlight w:val="none"/>
          <w:u w:val="single"/>
        </w:rPr>
        <w:t xml:space="preserve">    </w:t>
      </w:r>
      <w:r>
        <w:rPr>
          <w:rFonts w:hint="eastAsia" w:hAnsi="宋体" w:cs="Times New Roman"/>
          <w:bCs/>
          <w:color w:val="auto"/>
          <w:kern w:val="2"/>
          <w:highlight w:val="none"/>
        </w:rPr>
        <w:t>份，均具有同等法律效力，发包人执</w:t>
      </w:r>
      <w:r>
        <w:rPr>
          <w:rFonts w:hAnsi="宋体" w:cs="Times New Roman"/>
          <w:bCs/>
          <w:color w:val="auto"/>
          <w:kern w:val="2"/>
          <w:highlight w:val="none"/>
          <w:u w:val="single"/>
        </w:rPr>
        <w:t xml:space="preserve">    </w:t>
      </w:r>
      <w:r>
        <w:rPr>
          <w:rFonts w:hint="eastAsia" w:hAnsi="宋体" w:cs="Times New Roman"/>
          <w:bCs/>
          <w:color w:val="auto"/>
          <w:kern w:val="2"/>
          <w:highlight w:val="none"/>
        </w:rPr>
        <w:t>份，承包人执</w:t>
      </w:r>
      <w:r>
        <w:rPr>
          <w:rFonts w:hAnsi="宋体" w:cs="Times New Roman"/>
          <w:bCs/>
          <w:color w:val="auto"/>
          <w:kern w:val="2"/>
          <w:highlight w:val="none"/>
          <w:u w:val="single"/>
        </w:rPr>
        <w:t xml:space="preserve">    </w:t>
      </w:r>
      <w:r>
        <w:rPr>
          <w:rFonts w:hint="eastAsia" w:hAnsi="宋体" w:cs="Times New Roman"/>
          <w:bCs/>
          <w:color w:val="auto"/>
          <w:kern w:val="2"/>
          <w:highlight w:val="none"/>
        </w:rPr>
        <w:t>份。</w:t>
      </w:r>
    </w:p>
    <w:p w14:paraId="40DDF563">
      <w:pPr>
        <w:spacing w:line="360" w:lineRule="auto"/>
        <w:rPr>
          <w:rFonts w:hAnsi="宋体" w:cs="Times New Roman"/>
          <w:bCs/>
          <w:color w:val="auto"/>
          <w:kern w:val="2"/>
          <w:highlight w:val="none"/>
        </w:rPr>
      </w:pPr>
    </w:p>
    <w:p w14:paraId="08D08675">
      <w:pPr>
        <w:spacing w:line="480" w:lineRule="exact"/>
        <w:rPr>
          <w:rFonts w:hAnsi="宋体"/>
          <w:color w:val="auto"/>
          <w:kern w:val="2"/>
          <w:highlight w:val="none"/>
        </w:rPr>
      </w:pPr>
      <w:r>
        <w:rPr>
          <w:rFonts w:hint="eastAsia" w:hAnsi="宋体"/>
          <w:color w:val="auto"/>
          <w:kern w:val="2"/>
          <w:highlight w:val="none"/>
        </w:rPr>
        <w:t>发包人：</w:t>
      </w:r>
      <w:r>
        <w:rPr>
          <w:rFonts w:hAnsi="宋体"/>
          <w:color w:val="auto"/>
          <w:kern w:val="2"/>
          <w:highlight w:val="none"/>
        </w:rPr>
        <w:t xml:space="preserve">                                            </w:t>
      </w:r>
      <w:r>
        <w:rPr>
          <w:rFonts w:hint="eastAsia" w:hAnsi="宋体"/>
          <w:color w:val="auto"/>
          <w:kern w:val="2"/>
          <w:highlight w:val="none"/>
        </w:rPr>
        <w:t>承包人：</w:t>
      </w:r>
      <w:r>
        <w:rPr>
          <w:rFonts w:hAnsi="宋体"/>
          <w:color w:val="auto"/>
          <w:kern w:val="2"/>
          <w:highlight w:val="none"/>
        </w:rPr>
        <w:t xml:space="preserve">       </w:t>
      </w:r>
    </w:p>
    <w:p w14:paraId="2DFFA12D">
      <w:pPr>
        <w:spacing w:line="480" w:lineRule="exact"/>
        <w:rPr>
          <w:rFonts w:hAnsi="宋体"/>
          <w:color w:val="auto"/>
          <w:kern w:val="2"/>
          <w:highlight w:val="none"/>
        </w:rPr>
      </w:pPr>
      <w:r>
        <w:rPr>
          <w:rFonts w:hint="eastAsia" w:hAnsi="宋体"/>
          <w:color w:val="auto"/>
          <w:kern w:val="2"/>
          <w:highlight w:val="none"/>
        </w:rPr>
        <w:t>（公章或合同专用章）</w:t>
      </w:r>
      <w:r>
        <w:rPr>
          <w:rFonts w:hAnsi="宋体"/>
          <w:color w:val="auto"/>
          <w:kern w:val="2"/>
          <w:highlight w:val="none"/>
        </w:rPr>
        <w:t xml:space="preserve">                               </w:t>
      </w:r>
      <w:r>
        <w:rPr>
          <w:rFonts w:hint="eastAsia" w:hAnsi="宋体"/>
          <w:color w:val="auto"/>
          <w:kern w:val="2"/>
          <w:highlight w:val="none"/>
        </w:rPr>
        <w:t>（公章或合同专用章）</w:t>
      </w:r>
      <w:r>
        <w:rPr>
          <w:rFonts w:hAnsi="宋体"/>
          <w:color w:val="auto"/>
          <w:kern w:val="2"/>
          <w:highlight w:val="none"/>
        </w:rPr>
        <w:t xml:space="preserve">         </w:t>
      </w:r>
    </w:p>
    <w:p w14:paraId="73248098">
      <w:pPr>
        <w:spacing w:line="480" w:lineRule="exact"/>
        <w:rPr>
          <w:rFonts w:hAnsi="宋体"/>
          <w:color w:val="auto"/>
          <w:kern w:val="2"/>
          <w:highlight w:val="none"/>
        </w:rPr>
      </w:pPr>
      <w:r>
        <w:rPr>
          <w:rFonts w:hint="eastAsia" w:hAnsi="宋体"/>
          <w:color w:val="auto"/>
          <w:kern w:val="2"/>
          <w:highlight w:val="none"/>
        </w:rPr>
        <w:t>法定代表人：</w:t>
      </w:r>
      <w:r>
        <w:rPr>
          <w:rFonts w:hAnsi="宋体"/>
          <w:color w:val="auto"/>
          <w:kern w:val="2"/>
          <w:highlight w:val="none"/>
        </w:rPr>
        <w:t xml:space="preserve">                                         </w:t>
      </w:r>
      <w:r>
        <w:rPr>
          <w:rFonts w:hint="eastAsia" w:hAnsi="宋体"/>
          <w:color w:val="auto"/>
          <w:kern w:val="2"/>
          <w:highlight w:val="none"/>
        </w:rPr>
        <w:t>法定代表人：</w:t>
      </w:r>
    </w:p>
    <w:p w14:paraId="63E92BA9">
      <w:pPr>
        <w:spacing w:line="480" w:lineRule="exact"/>
        <w:rPr>
          <w:rFonts w:hAnsi="宋体"/>
          <w:color w:val="auto"/>
          <w:kern w:val="2"/>
          <w:highlight w:val="none"/>
        </w:rPr>
      </w:pPr>
      <w:r>
        <w:rPr>
          <w:rFonts w:hint="eastAsia" w:hAnsi="宋体"/>
          <w:color w:val="auto"/>
          <w:kern w:val="2"/>
          <w:highlight w:val="none"/>
        </w:rPr>
        <w:t>（签字或盖章）</w:t>
      </w:r>
      <w:r>
        <w:rPr>
          <w:rFonts w:hAnsi="宋体"/>
          <w:color w:val="auto"/>
          <w:kern w:val="2"/>
          <w:highlight w:val="none"/>
        </w:rPr>
        <w:t xml:space="preserve">                     </w:t>
      </w:r>
      <w:r>
        <w:rPr>
          <w:rFonts w:hint="eastAsia" w:hAnsi="宋体"/>
          <w:color w:val="auto"/>
          <w:kern w:val="2"/>
          <w:highlight w:val="none"/>
        </w:rPr>
        <w:t>　　</w:t>
      </w:r>
      <w:r>
        <w:rPr>
          <w:rFonts w:hAnsi="宋体"/>
          <w:color w:val="auto"/>
          <w:kern w:val="2"/>
          <w:highlight w:val="none"/>
        </w:rPr>
        <w:t xml:space="preserve">              </w:t>
      </w:r>
      <w:r>
        <w:rPr>
          <w:rFonts w:hint="eastAsia" w:hAnsi="宋体"/>
          <w:color w:val="auto"/>
          <w:kern w:val="2"/>
          <w:highlight w:val="none"/>
        </w:rPr>
        <w:t>（签字或盖章）</w:t>
      </w:r>
    </w:p>
    <w:p w14:paraId="2D7A3AD0">
      <w:pPr>
        <w:spacing w:line="480" w:lineRule="exact"/>
        <w:rPr>
          <w:rFonts w:hAnsi="宋体"/>
          <w:color w:val="auto"/>
          <w:kern w:val="2"/>
          <w:highlight w:val="none"/>
        </w:rPr>
      </w:pPr>
      <w:r>
        <w:rPr>
          <w:rFonts w:hint="eastAsia" w:hAnsi="宋体"/>
          <w:color w:val="auto"/>
          <w:kern w:val="2"/>
          <w:highlight w:val="none"/>
        </w:rPr>
        <w:t>统一社会信用代码：</w:t>
      </w:r>
      <w:r>
        <w:rPr>
          <w:rFonts w:hAnsi="宋体"/>
          <w:color w:val="auto"/>
          <w:kern w:val="2"/>
          <w:highlight w:val="none"/>
        </w:rPr>
        <w:t xml:space="preserve">                                  </w:t>
      </w:r>
      <w:r>
        <w:rPr>
          <w:rFonts w:hint="eastAsia" w:hAnsi="宋体"/>
          <w:color w:val="auto"/>
          <w:kern w:val="2"/>
          <w:highlight w:val="none"/>
        </w:rPr>
        <w:t>统一社会信用代码：</w:t>
      </w:r>
    </w:p>
    <w:p w14:paraId="765D43E3">
      <w:pPr>
        <w:spacing w:line="480" w:lineRule="exact"/>
        <w:rPr>
          <w:rFonts w:hAnsi="宋体"/>
          <w:color w:val="auto"/>
          <w:kern w:val="2"/>
          <w:highlight w:val="none"/>
        </w:rPr>
      </w:pPr>
      <w:r>
        <w:rPr>
          <w:rFonts w:hint="eastAsia" w:hAnsi="宋体"/>
          <w:color w:val="auto"/>
          <w:kern w:val="2"/>
          <w:highlight w:val="none"/>
        </w:rPr>
        <w:t>地</w:t>
      </w:r>
      <w:r>
        <w:rPr>
          <w:rFonts w:hAnsi="宋体"/>
          <w:color w:val="auto"/>
          <w:kern w:val="2"/>
          <w:highlight w:val="none"/>
        </w:rPr>
        <w:t xml:space="preserve">   </w:t>
      </w:r>
      <w:r>
        <w:rPr>
          <w:rFonts w:hint="eastAsia" w:hAnsi="宋体"/>
          <w:color w:val="auto"/>
          <w:kern w:val="2"/>
          <w:highlight w:val="none"/>
        </w:rPr>
        <w:t>址：</w:t>
      </w:r>
      <w:r>
        <w:rPr>
          <w:rFonts w:hAnsi="宋体"/>
          <w:color w:val="auto"/>
          <w:kern w:val="2"/>
          <w:highlight w:val="none"/>
        </w:rPr>
        <w:t xml:space="preserve">                                           </w:t>
      </w:r>
      <w:r>
        <w:rPr>
          <w:rFonts w:hint="eastAsia" w:hAnsi="宋体"/>
          <w:color w:val="auto"/>
          <w:kern w:val="2"/>
          <w:highlight w:val="none"/>
        </w:rPr>
        <w:t>地</w:t>
      </w:r>
      <w:r>
        <w:rPr>
          <w:rFonts w:hAnsi="宋体"/>
          <w:color w:val="auto"/>
          <w:kern w:val="2"/>
          <w:highlight w:val="none"/>
        </w:rPr>
        <w:t xml:space="preserve">   </w:t>
      </w:r>
      <w:r>
        <w:rPr>
          <w:rFonts w:hint="eastAsia" w:hAnsi="宋体"/>
          <w:color w:val="auto"/>
          <w:kern w:val="2"/>
          <w:highlight w:val="none"/>
        </w:rPr>
        <w:t>址：</w:t>
      </w:r>
    </w:p>
    <w:p w14:paraId="43C1EA10">
      <w:pPr>
        <w:spacing w:line="480" w:lineRule="exact"/>
        <w:rPr>
          <w:rFonts w:hAnsi="宋体"/>
          <w:color w:val="auto"/>
          <w:kern w:val="2"/>
          <w:highlight w:val="none"/>
        </w:rPr>
      </w:pPr>
      <w:r>
        <w:rPr>
          <w:rFonts w:hint="eastAsia" w:hAnsi="宋体"/>
          <w:color w:val="auto"/>
          <w:kern w:val="2"/>
          <w:highlight w:val="none"/>
        </w:rPr>
        <w:t>邮政编码：</w:t>
      </w:r>
      <w:r>
        <w:rPr>
          <w:rFonts w:hAnsi="宋体"/>
          <w:color w:val="auto"/>
          <w:kern w:val="2"/>
          <w:highlight w:val="none"/>
        </w:rPr>
        <w:t xml:space="preserve">                                          </w:t>
      </w:r>
      <w:r>
        <w:rPr>
          <w:rFonts w:hint="eastAsia" w:hAnsi="宋体"/>
          <w:color w:val="auto"/>
          <w:kern w:val="2"/>
          <w:highlight w:val="none"/>
        </w:rPr>
        <w:t>邮政编码：</w:t>
      </w:r>
    </w:p>
    <w:p w14:paraId="58FA0BE4">
      <w:pPr>
        <w:spacing w:line="480" w:lineRule="exact"/>
        <w:rPr>
          <w:rFonts w:hAnsi="宋体"/>
          <w:color w:val="auto"/>
          <w:kern w:val="2"/>
          <w:highlight w:val="none"/>
        </w:rPr>
      </w:pPr>
      <w:r>
        <w:rPr>
          <w:rFonts w:hint="eastAsia" w:hAnsi="宋体"/>
          <w:color w:val="auto"/>
          <w:kern w:val="2"/>
          <w:highlight w:val="none"/>
        </w:rPr>
        <w:t>电话：</w:t>
      </w:r>
      <w:r>
        <w:rPr>
          <w:rFonts w:hAnsi="宋体"/>
          <w:color w:val="auto"/>
          <w:kern w:val="2"/>
          <w:highlight w:val="none"/>
        </w:rPr>
        <w:t xml:space="preserve">                                              </w:t>
      </w:r>
      <w:r>
        <w:rPr>
          <w:rFonts w:hint="eastAsia" w:hAnsi="宋体"/>
          <w:color w:val="auto"/>
          <w:kern w:val="2"/>
          <w:highlight w:val="none"/>
        </w:rPr>
        <w:t>电话：</w:t>
      </w:r>
    </w:p>
    <w:p w14:paraId="1AD65BB7">
      <w:pPr>
        <w:spacing w:line="480" w:lineRule="exact"/>
        <w:rPr>
          <w:rFonts w:hAnsi="宋体"/>
          <w:color w:val="auto"/>
          <w:kern w:val="2"/>
          <w:highlight w:val="none"/>
        </w:rPr>
      </w:pPr>
      <w:r>
        <w:rPr>
          <w:rFonts w:hint="eastAsia" w:hAnsi="宋体"/>
          <w:color w:val="auto"/>
          <w:kern w:val="2"/>
          <w:highlight w:val="none"/>
        </w:rPr>
        <w:t>传真：</w:t>
      </w:r>
      <w:r>
        <w:rPr>
          <w:rFonts w:hAnsi="宋体"/>
          <w:color w:val="auto"/>
          <w:kern w:val="2"/>
          <w:highlight w:val="none"/>
        </w:rPr>
        <w:t xml:space="preserve">                                              </w:t>
      </w:r>
      <w:r>
        <w:rPr>
          <w:rFonts w:hint="eastAsia" w:hAnsi="宋体"/>
          <w:color w:val="auto"/>
          <w:kern w:val="2"/>
          <w:highlight w:val="none"/>
        </w:rPr>
        <w:t>传真：</w:t>
      </w:r>
    </w:p>
    <w:p w14:paraId="2678705B">
      <w:pPr>
        <w:pStyle w:val="2"/>
        <w:ind w:left="0" w:leftChars="0" w:right="63"/>
        <w:jc w:val="both"/>
        <w:rPr>
          <w:rFonts w:ascii="宋体"/>
          <w:color w:val="auto"/>
          <w:szCs w:val="21"/>
          <w:highlight w:val="none"/>
        </w:rPr>
      </w:pPr>
      <w:r>
        <w:rPr>
          <w:rFonts w:hint="eastAsia" w:ascii="宋体" w:hAnsi="宋体" w:cs="宋体"/>
          <w:color w:val="auto"/>
          <w:szCs w:val="21"/>
          <w:highlight w:val="none"/>
        </w:rPr>
        <w:t>开户银行：</w:t>
      </w:r>
      <w:r>
        <w:rPr>
          <w:rFonts w:ascii="宋体" w:hAnsi="宋体" w:cs="宋体"/>
          <w:color w:val="auto"/>
          <w:szCs w:val="21"/>
          <w:highlight w:val="none"/>
        </w:rPr>
        <w:t xml:space="preserve">                                          </w:t>
      </w:r>
      <w:r>
        <w:rPr>
          <w:rFonts w:hint="eastAsia" w:ascii="宋体" w:hAnsi="宋体" w:cs="宋体"/>
          <w:color w:val="auto"/>
          <w:szCs w:val="21"/>
          <w:highlight w:val="none"/>
        </w:rPr>
        <w:t>开户银行：</w:t>
      </w:r>
    </w:p>
    <w:p w14:paraId="53AF446F">
      <w:pPr>
        <w:pStyle w:val="2"/>
        <w:ind w:left="0" w:leftChars="0" w:right="63"/>
        <w:jc w:val="both"/>
        <w:rPr>
          <w:color w:val="auto"/>
          <w:highlight w:val="none"/>
        </w:rPr>
      </w:pPr>
      <w:r>
        <w:rPr>
          <w:rFonts w:hint="eastAsia" w:ascii="宋体" w:hAnsi="宋体" w:cs="宋体"/>
          <w:color w:val="auto"/>
          <w:szCs w:val="21"/>
          <w:highlight w:val="none"/>
        </w:rPr>
        <w:t>账</w:t>
      </w:r>
      <w:r>
        <w:rPr>
          <w:rFonts w:ascii="宋体" w:hAnsi="宋体" w:cs="宋体"/>
          <w:color w:val="auto"/>
          <w:szCs w:val="21"/>
          <w:highlight w:val="none"/>
        </w:rPr>
        <w:t xml:space="preserve">  </w:t>
      </w:r>
      <w:r>
        <w:rPr>
          <w:rFonts w:hint="eastAsia" w:ascii="宋体" w:hAnsi="宋体" w:cs="宋体"/>
          <w:color w:val="auto"/>
          <w:szCs w:val="21"/>
          <w:highlight w:val="none"/>
        </w:rPr>
        <w:t>号：</w:t>
      </w:r>
      <w:r>
        <w:rPr>
          <w:rFonts w:ascii="宋体" w:hAnsi="宋体" w:cs="宋体"/>
          <w:color w:val="auto"/>
          <w:szCs w:val="21"/>
          <w:highlight w:val="none"/>
        </w:rPr>
        <w:t xml:space="preserve">                                            </w:t>
      </w:r>
      <w:r>
        <w:rPr>
          <w:rFonts w:hint="eastAsia" w:ascii="宋体" w:hAnsi="宋体" w:cs="宋体"/>
          <w:color w:val="auto"/>
          <w:szCs w:val="21"/>
          <w:highlight w:val="none"/>
        </w:rPr>
        <w:t>账</w:t>
      </w:r>
      <w:r>
        <w:rPr>
          <w:rFonts w:ascii="宋体" w:hAnsi="宋体" w:cs="宋体"/>
          <w:color w:val="auto"/>
          <w:szCs w:val="21"/>
          <w:highlight w:val="none"/>
        </w:rPr>
        <w:t xml:space="preserve">  </w:t>
      </w:r>
      <w:r>
        <w:rPr>
          <w:rFonts w:hint="eastAsia" w:ascii="宋体" w:hAnsi="宋体" w:cs="宋体"/>
          <w:color w:val="auto"/>
          <w:szCs w:val="21"/>
          <w:highlight w:val="none"/>
        </w:rPr>
        <w:t>号：</w:t>
      </w:r>
      <w:r>
        <w:rPr>
          <w:rFonts w:ascii="宋体" w:hAnsi="宋体" w:cs="宋体"/>
          <w:color w:val="auto"/>
          <w:szCs w:val="21"/>
          <w:highlight w:val="none"/>
        </w:rPr>
        <w:t xml:space="preserve">         </w:t>
      </w:r>
    </w:p>
    <w:p w14:paraId="5EA89A7F">
      <w:pPr>
        <w:pStyle w:val="2"/>
        <w:ind w:left="0" w:leftChars="0" w:right="63"/>
        <w:jc w:val="left"/>
        <w:rPr>
          <w:color w:val="auto"/>
          <w:highlight w:val="none"/>
        </w:rPr>
      </w:pPr>
    </w:p>
    <w:p w14:paraId="3A78FF7E">
      <w:pPr>
        <w:spacing w:line="480" w:lineRule="exact"/>
        <w:ind w:firstLine="5460" w:firstLineChars="2600"/>
        <w:rPr>
          <w:rFonts w:hAnsi="宋体"/>
          <w:color w:val="auto"/>
          <w:kern w:val="2"/>
          <w:highlight w:val="none"/>
        </w:rPr>
      </w:pPr>
      <w:r>
        <w:rPr>
          <w:rFonts w:hint="eastAsia" w:hAnsi="宋体"/>
          <w:color w:val="auto"/>
          <w:kern w:val="2"/>
          <w:highlight w:val="none"/>
        </w:rPr>
        <w:t>日</w:t>
      </w:r>
      <w:r>
        <w:rPr>
          <w:rFonts w:hAnsi="宋体"/>
          <w:color w:val="auto"/>
          <w:kern w:val="2"/>
          <w:highlight w:val="none"/>
        </w:rPr>
        <w:t xml:space="preserve">   </w:t>
      </w:r>
      <w:r>
        <w:rPr>
          <w:rFonts w:hint="eastAsia" w:hAnsi="宋体"/>
          <w:color w:val="auto"/>
          <w:kern w:val="2"/>
          <w:highlight w:val="none"/>
        </w:rPr>
        <w:t>期：</w:t>
      </w:r>
    </w:p>
    <w:p w14:paraId="15CE258C">
      <w:pPr>
        <w:spacing w:line="480" w:lineRule="exact"/>
        <w:rPr>
          <w:rFonts w:hAnsi="宋体"/>
          <w:color w:val="auto"/>
          <w:kern w:val="2"/>
          <w:highlight w:val="none"/>
        </w:rPr>
      </w:pPr>
    </w:p>
    <w:p w14:paraId="56B444F8">
      <w:pPr>
        <w:spacing w:line="480" w:lineRule="exact"/>
        <w:rPr>
          <w:rFonts w:hAnsi="宋体"/>
          <w:color w:val="auto"/>
          <w:kern w:val="2"/>
          <w:highlight w:val="none"/>
        </w:rPr>
      </w:pPr>
      <w:r>
        <w:rPr>
          <w:rFonts w:hAnsi="宋体"/>
          <w:color w:val="auto"/>
          <w:kern w:val="2"/>
          <w:highlight w:val="none"/>
        </w:rPr>
        <w:t xml:space="preserve">          </w:t>
      </w:r>
      <w:bookmarkEnd w:id="66"/>
    </w:p>
    <w:p w14:paraId="375AFB2C">
      <w:pPr>
        <w:pStyle w:val="2"/>
        <w:rPr>
          <w:color w:val="auto"/>
          <w:highlight w:val="none"/>
        </w:rPr>
      </w:pPr>
    </w:p>
    <w:p w14:paraId="7B166D0D">
      <w:pPr>
        <w:keepNext/>
        <w:keepLines/>
        <w:spacing w:before="260" w:after="260" w:line="416" w:lineRule="auto"/>
        <w:jc w:val="center"/>
        <w:outlineLvl w:val="1"/>
        <w:rPr>
          <w:rFonts w:hAnsi="宋体" w:cs="Times New Roman"/>
          <w:b/>
          <w:bCs/>
          <w:color w:val="auto"/>
          <w:kern w:val="2"/>
          <w:sz w:val="32"/>
          <w:szCs w:val="32"/>
          <w:highlight w:val="none"/>
        </w:rPr>
      </w:pPr>
      <w:bookmarkStart w:id="80" w:name="_Toc61961175"/>
      <w:bookmarkStart w:id="81" w:name="_Toc532839862"/>
      <w:bookmarkStart w:id="82" w:name="_Toc351203494"/>
      <w:bookmarkStart w:id="83" w:name="_Toc15973714"/>
      <w:bookmarkStart w:id="84" w:name="_Toc37834290"/>
      <w:bookmarkStart w:id="85" w:name="_Toc53129785"/>
      <w:bookmarkStart w:id="86" w:name="_Toc512691371"/>
      <w:bookmarkStart w:id="87" w:name="_Toc527130417"/>
      <w:r>
        <w:rPr>
          <w:rFonts w:hint="eastAsia" w:hAnsi="宋体" w:cs="Times New Roman"/>
          <w:b/>
          <w:bCs/>
          <w:color w:val="auto"/>
          <w:kern w:val="2"/>
          <w:sz w:val="32"/>
          <w:szCs w:val="32"/>
          <w:highlight w:val="none"/>
        </w:rPr>
        <w:t>第二部分</w:t>
      </w:r>
      <w:r>
        <w:rPr>
          <w:rFonts w:hAnsi="宋体" w:cs="Times New Roman"/>
          <w:b/>
          <w:bCs/>
          <w:color w:val="auto"/>
          <w:kern w:val="2"/>
          <w:sz w:val="32"/>
          <w:szCs w:val="32"/>
          <w:highlight w:val="none"/>
        </w:rPr>
        <w:t xml:space="preserve"> </w:t>
      </w:r>
      <w:r>
        <w:rPr>
          <w:rFonts w:hint="eastAsia" w:hAnsi="宋体" w:cs="Times New Roman"/>
          <w:b/>
          <w:bCs/>
          <w:color w:val="auto"/>
          <w:kern w:val="2"/>
          <w:sz w:val="32"/>
          <w:szCs w:val="32"/>
          <w:highlight w:val="none"/>
        </w:rPr>
        <w:t>通用合同条款</w:t>
      </w:r>
      <w:bookmarkEnd w:id="80"/>
      <w:bookmarkEnd w:id="81"/>
      <w:bookmarkEnd w:id="82"/>
      <w:bookmarkEnd w:id="83"/>
      <w:bookmarkEnd w:id="84"/>
      <w:bookmarkEnd w:id="85"/>
      <w:bookmarkEnd w:id="86"/>
      <w:bookmarkEnd w:id="87"/>
      <w:bookmarkStart w:id="88" w:name="_Toc337558727"/>
    </w:p>
    <w:p w14:paraId="2B265B6F">
      <w:pPr>
        <w:keepNext/>
        <w:keepLines/>
        <w:spacing w:line="360" w:lineRule="auto"/>
        <w:outlineLvl w:val="2"/>
        <w:rPr>
          <w:rFonts w:hAnsi="宋体" w:cs="Times New Roman"/>
          <w:b/>
          <w:bCs/>
          <w:color w:val="auto"/>
          <w:kern w:val="2"/>
          <w:szCs w:val="32"/>
          <w:highlight w:val="none"/>
        </w:rPr>
      </w:pPr>
      <w:bookmarkStart w:id="89" w:name="_Toc527130418"/>
      <w:bookmarkStart w:id="90" w:name="_Toc532839863"/>
      <w:bookmarkStart w:id="91" w:name="_Toc512691372"/>
      <w:bookmarkStart w:id="92" w:name="_Toc351203495"/>
      <w:r>
        <w:rPr>
          <w:rFonts w:hAnsi="宋体" w:cs="Times New Roman"/>
          <w:b/>
          <w:bCs/>
          <w:color w:val="auto"/>
          <w:kern w:val="2"/>
          <w:szCs w:val="32"/>
          <w:highlight w:val="none"/>
        </w:rPr>
        <w:t>1.</w:t>
      </w:r>
      <w:bookmarkStart w:id="93" w:name="_Toc303538974"/>
      <w:bookmarkEnd w:id="93"/>
      <w:bookmarkStart w:id="94" w:name="_Toc303538976"/>
      <w:bookmarkEnd w:id="94"/>
      <w:bookmarkStart w:id="95" w:name="_Toc303538972"/>
      <w:bookmarkEnd w:id="95"/>
      <w:bookmarkStart w:id="96" w:name="_Toc303538973"/>
      <w:bookmarkEnd w:id="96"/>
      <w:bookmarkStart w:id="97" w:name="_Toc303538975"/>
      <w:bookmarkEnd w:id="97"/>
      <w:bookmarkStart w:id="98" w:name="_Toc296346528"/>
      <w:bookmarkStart w:id="99" w:name="_Toc296503027"/>
      <w:r>
        <w:rPr>
          <w:rFonts w:hAnsi="宋体" w:cs="Times New Roman"/>
          <w:b/>
          <w:bCs/>
          <w:color w:val="auto"/>
          <w:kern w:val="2"/>
          <w:szCs w:val="32"/>
          <w:highlight w:val="none"/>
        </w:rPr>
        <w:t xml:space="preserve"> </w:t>
      </w:r>
      <w:r>
        <w:rPr>
          <w:rFonts w:hint="eastAsia" w:hAnsi="宋体"/>
          <w:b/>
          <w:bCs/>
          <w:color w:val="auto"/>
          <w:kern w:val="2"/>
          <w:szCs w:val="32"/>
          <w:highlight w:val="none"/>
        </w:rPr>
        <w:t>一般约定</w:t>
      </w:r>
      <w:bookmarkEnd w:id="88"/>
      <w:bookmarkEnd w:id="89"/>
      <w:bookmarkEnd w:id="90"/>
      <w:bookmarkEnd w:id="91"/>
      <w:bookmarkEnd w:id="92"/>
      <w:bookmarkEnd w:id="98"/>
      <w:bookmarkEnd w:id="99"/>
    </w:p>
    <w:p w14:paraId="04DDCF91">
      <w:pPr>
        <w:keepNext/>
        <w:keepLines/>
        <w:spacing w:line="360" w:lineRule="auto"/>
        <w:outlineLvl w:val="3"/>
        <w:rPr>
          <w:rFonts w:hAnsi="宋体" w:cs="Times New Roman"/>
          <w:b/>
          <w:bCs/>
          <w:color w:val="auto"/>
          <w:kern w:val="2"/>
          <w:szCs w:val="28"/>
          <w:highlight w:val="none"/>
        </w:rPr>
      </w:pPr>
      <w:bookmarkStart w:id="100" w:name="_Toc296503028"/>
      <w:bookmarkStart w:id="101" w:name="_Toc296346529"/>
      <w:bookmarkStart w:id="102" w:name="_Toc337558728"/>
      <w:bookmarkStart w:id="103" w:name="_Toc351203496"/>
      <w:bookmarkStart w:id="104" w:name="_Toc532839864"/>
      <w:r>
        <w:rPr>
          <w:rFonts w:hAnsi="宋体" w:cs="Times New Roman"/>
          <w:b/>
          <w:bCs/>
          <w:color w:val="auto"/>
          <w:kern w:val="2"/>
          <w:szCs w:val="28"/>
          <w:highlight w:val="none"/>
        </w:rPr>
        <w:t>1.1</w:t>
      </w:r>
      <w:r>
        <w:rPr>
          <w:rFonts w:hint="eastAsia" w:hAnsi="宋体" w:cs="Times New Roman"/>
          <w:b/>
          <w:bCs/>
          <w:color w:val="auto"/>
          <w:kern w:val="2"/>
          <w:szCs w:val="28"/>
          <w:highlight w:val="none"/>
        </w:rPr>
        <w:t>词语定义</w:t>
      </w:r>
      <w:bookmarkEnd w:id="100"/>
      <w:bookmarkEnd w:id="101"/>
      <w:bookmarkEnd w:id="102"/>
      <w:r>
        <w:rPr>
          <w:rFonts w:hint="eastAsia" w:hAnsi="宋体" w:cs="Times New Roman"/>
          <w:b/>
          <w:bCs/>
          <w:color w:val="auto"/>
          <w:kern w:val="2"/>
          <w:szCs w:val="28"/>
          <w:highlight w:val="none"/>
        </w:rPr>
        <w:t>与解释</w:t>
      </w:r>
      <w:bookmarkEnd w:id="103"/>
      <w:bookmarkEnd w:id="104"/>
    </w:p>
    <w:p w14:paraId="5772023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合同协议书、通用合同条款、专用合同条款中的下列词语具有本款所赋予的含义：</w:t>
      </w:r>
    </w:p>
    <w:p w14:paraId="702570BD">
      <w:pPr>
        <w:autoSpaceDE w:val="0"/>
        <w:autoSpaceDN w:val="0"/>
        <w:adjustRightInd w:val="0"/>
        <w:spacing w:line="360" w:lineRule="auto"/>
        <w:jc w:val="left"/>
        <w:rPr>
          <w:rFonts w:hAnsi="宋体" w:cs="Times New Roman"/>
          <w:color w:val="auto"/>
          <w:highlight w:val="none"/>
        </w:rPr>
      </w:pPr>
      <w:r>
        <w:rPr>
          <w:rFonts w:hAnsi="宋体" w:cs="Times New Roman"/>
          <w:color w:val="auto"/>
          <w:highlight w:val="none"/>
        </w:rPr>
        <w:t xml:space="preserve">    1.1.1 </w:t>
      </w:r>
      <w:r>
        <w:rPr>
          <w:rFonts w:hint="eastAsia" w:hAnsi="宋体" w:cs="Times New Roman"/>
          <w:color w:val="auto"/>
          <w:highlight w:val="none"/>
        </w:rPr>
        <w:t>合同</w:t>
      </w:r>
    </w:p>
    <w:p w14:paraId="4F3FC2FE">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1.1.1.1 </w:t>
      </w:r>
      <w:r>
        <w:rPr>
          <w:rFonts w:hint="eastAsia" w:hAnsi="宋体" w:cs="Times New Roman"/>
          <w:color w:val="auto"/>
          <w:highlight w:val="none"/>
        </w:rPr>
        <w:t>合同：是指根据法律规定和合同当事人约定具有约束力的文件，构成合同的文件包括合同协议书、中标通知书（如果有）、投标函及其附录（如果有）、专用合同条款</w:t>
      </w:r>
      <w:r>
        <w:rPr>
          <w:rFonts w:hint="eastAsia" w:hAnsi="宋体" w:cs="Times New Roman"/>
          <w:color w:val="auto"/>
          <w:kern w:val="2"/>
          <w:highlight w:val="none"/>
        </w:rPr>
        <w:t>及其附件</w:t>
      </w:r>
      <w:r>
        <w:rPr>
          <w:rFonts w:hint="eastAsia" w:hAnsi="宋体" w:cs="Times New Roman"/>
          <w:color w:val="auto"/>
          <w:highlight w:val="none"/>
        </w:rPr>
        <w:t>、通用合同条款、技术标准和要求、图纸、已标价工程量清单或预算书以及其他合同文件。</w:t>
      </w:r>
    </w:p>
    <w:p w14:paraId="0F0FA7AA">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1.1.1.2 </w:t>
      </w:r>
      <w:r>
        <w:rPr>
          <w:rFonts w:hint="eastAsia" w:hAnsi="宋体" w:cs="Times New Roman"/>
          <w:color w:val="auto"/>
          <w:highlight w:val="none"/>
        </w:rPr>
        <w:t>合同协议书：是指构成合同的由发包人和承包人共同签署的称为“合同协议书”的书面文件。</w:t>
      </w:r>
    </w:p>
    <w:p w14:paraId="56EB227A">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1.1.1.3 </w:t>
      </w:r>
      <w:r>
        <w:rPr>
          <w:rFonts w:hint="eastAsia" w:hAnsi="宋体" w:cs="Times New Roman"/>
          <w:color w:val="auto"/>
          <w:highlight w:val="none"/>
        </w:rPr>
        <w:t>中标通知书：是指构成合同的由发包人通知承包人中标的书面文件。</w:t>
      </w:r>
    </w:p>
    <w:p w14:paraId="7E33578F">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1.1.1.4 </w:t>
      </w:r>
      <w:r>
        <w:rPr>
          <w:rFonts w:hint="eastAsia" w:hAnsi="宋体" w:cs="Times New Roman"/>
          <w:color w:val="auto"/>
          <w:highlight w:val="none"/>
        </w:rPr>
        <w:t>投标函：是指构成合同的由承包人填写并签署的用于投标的称为“投标函”的文件。</w:t>
      </w:r>
    </w:p>
    <w:p w14:paraId="536213A5">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1.1.1.5 </w:t>
      </w:r>
      <w:r>
        <w:rPr>
          <w:rFonts w:hint="eastAsia" w:hAnsi="宋体" w:cs="Times New Roman"/>
          <w:color w:val="auto"/>
          <w:highlight w:val="none"/>
        </w:rPr>
        <w:t>投标函附录：是指构成合同的附在投标函后的称为“投标函附录”的文件。</w:t>
      </w:r>
    </w:p>
    <w:p w14:paraId="72D26F6D">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1.1.1.6 </w:t>
      </w:r>
      <w:r>
        <w:rPr>
          <w:rFonts w:hint="eastAsia" w:hAnsi="宋体" w:cs="Times New Roman"/>
          <w:color w:val="auto"/>
          <w:highlight w:val="none"/>
        </w:rPr>
        <w:t>技术标准和要求：是指构成合同的施工应当遵守的或指导施工的国家、行业或地方的技术标准和要求，以及合同约定的技术标准和要求。</w:t>
      </w:r>
    </w:p>
    <w:p w14:paraId="1A5882C0">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1.1.1.7 </w:t>
      </w:r>
      <w:r>
        <w:rPr>
          <w:rFonts w:hint="eastAsia" w:hAnsi="宋体" w:cs="Times New Roman"/>
          <w:color w:val="auto"/>
          <w:highlight w:val="none"/>
        </w:rPr>
        <w:t>图纸：是指构成合同的图纸，包括由发包人按照合同约定提供或经发包人批准的设计文件、施工图、鸟瞰图及模型等，以及在合同履行过程中形成的图纸文件。图纸应当按照法律规定审查合格。</w:t>
      </w:r>
    </w:p>
    <w:p w14:paraId="01E2FDF2">
      <w:pPr>
        <w:autoSpaceDE w:val="0"/>
        <w:autoSpaceDN w:val="0"/>
        <w:adjustRightInd w:val="0"/>
        <w:spacing w:line="360" w:lineRule="auto"/>
        <w:ind w:firstLine="409" w:firstLineChars="195"/>
        <w:jc w:val="left"/>
        <w:rPr>
          <w:rFonts w:hAnsi="宋体" w:cs="Times New Roman"/>
          <w:color w:val="auto"/>
          <w:highlight w:val="none"/>
        </w:rPr>
      </w:pPr>
      <w:r>
        <w:rPr>
          <w:rFonts w:hAnsi="宋体" w:cs="Times New Roman"/>
          <w:color w:val="auto"/>
          <w:highlight w:val="none"/>
        </w:rPr>
        <w:t xml:space="preserve">1.1.1.8 </w:t>
      </w:r>
      <w:r>
        <w:rPr>
          <w:rFonts w:hint="eastAsia" w:hAnsi="宋体" w:cs="Times New Roman"/>
          <w:color w:val="auto"/>
          <w:highlight w:val="none"/>
        </w:rPr>
        <w:t>已标价工程量清单：是指构成合同的由承包人按照规定的格式和要求填写并标明价格的工程量清单，包括说明和表格。</w:t>
      </w:r>
    </w:p>
    <w:p w14:paraId="4375BA9E">
      <w:pPr>
        <w:autoSpaceDE w:val="0"/>
        <w:autoSpaceDN w:val="0"/>
        <w:adjustRightInd w:val="0"/>
        <w:spacing w:line="360" w:lineRule="auto"/>
        <w:ind w:firstLine="409" w:firstLineChars="195"/>
        <w:jc w:val="left"/>
        <w:rPr>
          <w:rFonts w:hAnsi="宋体" w:cs="Times New Roman"/>
          <w:color w:val="auto"/>
          <w:highlight w:val="none"/>
        </w:rPr>
      </w:pPr>
      <w:r>
        <w:rPr>
          <w:rFonts w:hAnsi="宋体" w:cs="Times New Roman"/>
          <w:color w:val="auto"/>
          <w:highlight w:val="none"/>
        </w:rPr>
        <w:t xml:space="preserve">1.1.1.9 </w:t>
      </w:r>
      <w:r>
        <w:rPr>
          <w:rFonts w:hint="eastAsia" w:hAnsi="宋体" w:cs="Times New Roman"/>
          <w:color w:val="auto"/>
          <w:highlight w:val="none"/>
        </w:rPr>
        <w:t>预算书：是指构成合同的由承包人按照发包人规定的格式和要求编制的工程预算文件。</w:t>
      </w:r>
    </w:p>
    <w:p w14:paraId="5F0087FD">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1.1.1.10 </w:t>
      </w:r>
      <w:r>
        <w:rPr>
          <w:rFonts w:hint="eastAsia" w:hAnsi="宋体" w:cs="Times New Roman"/>
          <w:color w:val="auto"/>
          <w:highlight w:val="none"/>
        </w:rPr>
        <w:t>其他合同文件：是指经合同当事人约定的与工程施工有关的具有合同约束力的文件或书面协议。合同当事人可以在专用合同条款中进行约定。</w:t>
      </w:r>
    </w:p>
    <w:p w14:paraId="09AA5A28">
      <w:pPr>
        <w:autoSpaceDE w:val="0"/>
        <w:autoSpaceDN w:val="0"/>
        <w:adjustRightInd w:val="0"/>
        <w:spacing w:line="360" w:lineRule="auto"/>
        <w:jc w:val="left"/>
        <w:rPr>
          <w:rFonts w:hAnsi="宋体" w:cs="Times New Roman"/>
          <w:color w:val="auto"/>
          <w:highlight w:val="none"/>
        </w:rPr>
      </w:pPr>
      <w:r>
        <w:rPr>
          <w:rFonts w:hAnsi="宋体" w:cs="Times New Roman"/>
          <w:color w:val="auto"/>
          <w:highlight w:val="none"/>
        </w:rPr>
        <w:t xml:space="preserve">    1.1.2 </w:t>
      </w:r>
      <w:r>
        <w:rPr>
          <w:rFonts w:hint="eastAsia" w:hAnsi="宋体" w:cs="Times New Roman"/>
          <w:color w:val="auto"/>
          <w:highlight w:val="none"/>
        </w:rPr>
        <w:t>合同当事人及其他相关方</w:t>
      </w:r>
    </w:p>
    <w:p w14:paraId="0BF2B6EA">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1.1.2.1 </w:t>
      </w:r>
      <w:r>
        <w:rPr>
          <w:rFonts w:hint="eastAsia" w:hAnsi="宋体" w:cs="Times New Roman"/>
          <w:color w:val="auto"/>
          <w:highlight w:val="none"/>
        </w:rPr>
        <w:t>合同当事人：是指发包人和（或）承包人。</w:t>
      </w:r>
    </w:p>
    <w:p w14:paraId="1DE85C3A">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1.1.2.2 </w:t>
      </w:r>
      <w:r>
        <w:rPr>
          <w:rFonts w:hint="eastAsia" w:hAnsi="宋体" w:cs="Times New Roman"/>
          <w:color w:val="auto"/>
          <w:highlight w:val="none"/>
        </w:rPr>
        <w:t>发包人：是指与承包人签订合同协议书的当事人及取得该当事人资格的合法继承人。</w:t>
      </w:r>
    </w:p>
    <w:p w14:paraId="35C6EA19">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1.1.2.3 </w:t>
      </w:r>
      <w:r>
        <w:rPr>
          <w:rFonts w:hint="eastAsia" w:hAnsi="宋体" w:cs="Times New Roman"/>
          <w:color w:val="auto"/>
          <w:highlight w:val="none"/>
        </w:rPr>
        <w:t>承包人：是指与发包人签订合同协议书的，具有相应工程施工承包资质的当事人及取得该当事人资格的合法继承人。</w:t>
      </w:r>
    </w:p>
    <w:p w14:paraId="5FD14BCB">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1.1.2.4 </w:t>
      </w:r>
      <w:r>
        <w:rPr>
          <w:rFonts w:hint="eastAsia" w:hAnsi="宋体" w:cs="Times New Roman"/>
          <w:color w:val="auto"/>
          <w:highlight w:val="none"/>
        </w:rPr>
        <w:t>监理人：是指在专用合同条款中指明的，受发包人委托按照法律规定进行工程监督管理的法人或其他组织。</w:t>
      </w:r>
    </w:p>
    <w:p w14:paraId="60A49EA4">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1.1.2.5 </w:t>
      </w:r>
      <w:r>
        <w:rPr>
          <w:rFonts w:hint="eastAsia" w:hAnsi="宋体" w:cs="Times New Roman"/>
          <w:color w:val="auto"/>
          <w:highlight w:val="none"/>
        </w:rPr>
        <w:t>设计人：是指在专用合同条款中指明的，受发包人委托负责工程设计并具备相应工程设计资质的法人或其他组织。</w:t>
      </w:r>
    </w:p>
    <w:p w14:paraId="48F50ED6">
      <w:pPr>
        <w:spacing w:line="360" w:lineRule="auto"/>
        <w:ind w:firstLine="409" w:firstLineChars="195"/>
        <w:jc w:val="left"/>
        <w:rPr>
          <w:rFonts w:hAnsi="宋体" w:cs="Times New Roman"/>
          <w:color w:val="auto"/>
          <w:highlight w:val="none"/>
        </w:rPr>
      </w:pPr>
      <w:r>
        <w:rPr>
          <w:rFonts w:hAnsi="宋体" w:cs="Times New Roman"/>
          <w:color w:val="auto"/>
          <w:highlight w:val="none"/>
        </w:rPr>
        <w:t xml:space="preserve">1.1.2.6 </w:t>
      </w:r>
      <w:r>
        <w:rPr>
          <w:rFonts w:hint="eastAsia" w:hAnsi="宋体" w:cs="Times New Roman"/>
          <w:color w:val="auto"/>
          <w:highlight w:val="none"/>
        </w:rPr>
        <w:t>分包人：</w:t>
      </w:r>
      <w:bookmarkStart w:id="105" w:name="#go5"/>
      <w:bookmarkEnd w:id="105"/>
      <w:r>
        <w:rPr>
          <w:rFonts w:hint="eastAsia" w:hAnsi="宋体" w:cs="Times New Roman"/>
          <w:color w:val="auto"/>
          <w:highlight w:val="none"/>
        </w:rPr>
        <w:t>是指按照法律规定和合同约定，分包部分工程或工作，并与承包人签订分包合同的具有相应资质的法人。</w:t>
      </w:r>
    </w:p>
    <w:p w14:paraId="68BD557D">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1.1.2.7 </w:t>
      </w:r>
      <w:r>
        <w:rPr>
          <w:rFonts w:hint="eastAsia" w:hAnsi="宋体" w:cs="Times New Roman"/>
          <w:color w:val="auto"/>
          <w:highlight w:val="none"/>
        </w:rPr>
        <w:t>发包人代表：是指由发包人任命并派驻施工现场在发包人授权范围内行使发包人权利的人。</w:t>
      </w:r>
    </w:p>
    <w:p w14:paraId="2856FF12">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1.1.2.8 </w:t>
      </w:r>
      <w:r>
        <w:rPr>
          <w:rFonts w:hint="eastAsia" w:hAnsi="宋体" w:cs="Times New Roman"/>
          <w:color w:val="auto"/>
          <w:highlight w:val="none"/>
        </w:rPr>
        <w:t>项目经理：是指由承包人任命并派驻施工现场，在承包人授权范围内负责合同履行，且按照法律规定具有相应资格的项目负责人。</w:t>
      </w:r>
    </w:p>
    <w:p w14:paraId="4FD65E69">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1.1.2.9 </w:t>
      </w:r>
      <w:r>
        <w:rPr>
          <w:rFonts w:hint="eastAsia" w:hAnsi="宋体" w:cs="Times New Roman"/>
          <w:color w:val="auto"/>
          <w:highlight w:val="none"/>
        </w:rPr>
        <w:t>总监理工程师：是指由监理人任命并派驻施工现场进行工程监理的总负责人。</w:t>
      </w:r>
    </w:p>
    <w:p w14:paraId="2D858CA2">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1.1.3 </w:t>
      </w:r>
      <w:r>
        <w:rPr>
          <w:rFonts w:hint="eastAsia" w:hAnsi="宋体" w:cs="Times New Roman"/>
          <w:color w:val="auto"/>
          <w:highlight w:val="none"/>
        </w:rPr>
        <w:t>工程和设备</w:t>
      </w:r>
    </w:p>
    <w:p w14:paraId="09F0731D">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1.1.3.1 </w:t>
      </w:r>
      <w:r>
        <w:rPr>
          <w:rFonts w:hint="eastAsia" w:hAnsi="宋体" w:cs="Times New Roman"/>
          <w:color w:val="auto"/>
          <w:highlight w:val="none"/>
        </w:rPr>
        <w:t>工程：是指与合同协议书中工程承包范围对应的永久工程和（或）临时工程。</w:t>
      </w:r>
    </w:p>
    <w:p w14:paraId="714E80C8">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1.1.3.2 </w:t>
      </w:r>
      <w:r>
        <w:rPr>
          <w:rFonts w:hint="eastAsia" w:hAnsi="宋体" w:cs="Times New Roman"/>
          <w:color w:val="auto"/>
          <w:highlight w:val="none"/>
        </w:rPr>
        <w:t>永久工程：是指按合同约定建造并移交给发包人的工程，包括工程设备。</w:t>
      </w:r>
    </w:p>
    <w:p w14:paraId="3F0A875E">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1.1.3.3 </w:t>
      </w:r>
      <w:r>
        <w:rPr>
          <w:rFonts w:hint="eastAsia" w:hAnsi="宋体" w:cs="Times New Roman"/>
          <w:color w:val="auto"/>
          <w:highlight w:val="none"/>
        </w:rPr>
        <w:t>临时工程：是指为完成合同约定的永久工程所修建的各类临时性工程，不包括施工设备。</w:t>
      </w:r>
    </w:p>
    <w:p w14:paraId="6E2674C2">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1.1.3.4 </w:t>
      </w:r>
      <w:r>
        <w:rPr>
          <w:rFonts w:hint="eastAsia" w:hAnsi="宋体" w:cs="Times New Roman"/>
          <w:color w:val="auto"/>
          <w:highlight w:val="none"/>
        </w:rPr>
        <w:t>单位工程：是指在合同协议书中指明的，具备独立施工条件并能形成独立使用功能的永久工程。</w:t>
      </w:r>
    </w:p>
    <w:p w14:paraId="2361EEE8">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1.1.3.5 </w:t>
      </w:r>
      <w:r>
        <w:rPr>
          <w:rFonts w:hint="eastAsia" w:hAnsi="宋体" w:cs="Times New Roman"/>
          <w:color w:val="auto"/>
          <w:highlight w:val="none"/>
        </w:rPr>
        <w:t>工程设备：是指构成永久工程的机电设备、金属结构设备、仪器及其他类似的设备和装置。</w:t>
      </w:r>
    </w:p>
    <w:p w14:paraId="348EC439">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1.1.3.6 </w:t>
      </w:r>
      <w:r>
        <w:rPr>
          <w:rFonts w:hint="eastAsia" w:hAnsi="宋体" w:cs="Times New Roman"/>
          <w:color w:val="auto"/>
          <w:highlight w:val="none"/>
        </w:rPr>
        <w:t>施工设备：是指为完成合同约定的各项工作所需的设备、器具和其他物品，但不包括工程设备、临时工程和材料。</w:t>
      </w:r>
    </w:p>
    <w:p w14:paraId="4E2BC3F6">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1.1.3.7 </w:t>
      </w:r>
      <w:r>
        <w:rPr>
          <w:rFonts w:hint="eastAsia" w:hAnsi="宋体" w:cs="Times New Roman"/>
          <w:color w:val="auto"/>
          <w:highlight w:val="none"/>
        </w:rPr>
        <w:t>施工现场：是指用于工程施工的场所，以及在专用合同条款中指明作为施工场所组成部分的其他场所，包括永久占地和临时占地。</w:t>
      </w:r>
    </w:p>
    <w:p w14:paraId="5E840EAB">
      <w:pPr>
        <w:spacing w:line="360" w:lineRule="auto"/>
        <w:ind w:firstLine="420" w:firstLineChars="200"/>
        <w:jc w:val="left"/>
        <w:rPr>
          <w:rFonts w:hAnsi="宋体" w:cs="Times New Roman"/>
          <w:color w:val="auto"/>
          <w:highlight w:val="none"/>
        </w:rPr>
      </w:pPr>
      <w:r>
        <w:rPr>
          <w:rFonts w:hAnsi="宋体" w:cs="Times New Roman"/>
          <w:color w:val="auto"/>
          <w:highlight w:val="none"/>
        </w:rPr>
        <w:t>1.1.3.8</w:t>
      </w:r>
      <w:r>
        <w:rPr>
          <w:rFonts w:hint="eastAsia" w:hAnsi="宋体" w:cs="Times New Roman"/>
          <w:color w:val="auto"/>
          <w:highlight w:val="none"/>
        </w:rPr>
        <w:t>临时设施：是指为完成合同约定的各项工作所服务的临时性生产和生活设施。</w:t>
      </w:r>
    </w:p>
    <w:p w14:paraId="41C9FACA">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1.1.3.9 </w:t>
      </w:r>
      <w:r>
        <w:rPr>
          <w:rFonts w:hint="eastAsia" w:hAnsi="宋体" w:cs="Times New Roman"/>
          <w:color w:val="auto"/>
          <w:highlight w:val="none"/>
        </w:rPr>
        <w:t>永久占地：是指专用合同条款中指明为实施工程需永久占用的土地。</w:t>
      </w:r>
    </w:p>
    <w:p w14:paraId="4735D7D8">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1.1.3.10 </w:t>
      </w:r>
      <w:r>
        <w:rPr>
          <w:rFonts w:hint="eastAsia" w:hAnsi="宋体" w:cs="Times New Roman"/>
          <w:color w:val="auto"/>
          <w:highlight w:val="none"/>
        </w:rPr>
        <w:t>临时占地：是指专用合同条款中指明为实施工程需要临时占用的土地。</w:t>
      </w:r>
    </w:p>
    <w:p w14:paraId="6E5742FA">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1.1.4 </w:t>
      </w:r>
      <w:r>
        <w:rPr>
          <w:rFonts w:hint="eastAsia" w:hAnsi="宋体" w:cs="Times New Roman"/>
          <w:color w:val="auto"/>
          <w:highlight w:val="none"/>
        </w:rPr>
        <w:t>日期和期限</w:t>
      </w:r>
    </w:p>
    <w:p w14:paraId="6BFA660A">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1.1.4.1 </w:t>
      </w:r>
      <w:r>
        <w:rPr>
          <w:rFonts w:hint="eastAsia" w:hAnsi="宋体" w:cs="Times New Roman"/>
          <w:color w:val="auto"/>
          <w:highlight w:val="none"/>
        </w:rPr>
        <w:t>开工日期：包括计划开工日期和实际开工日期。计划开工日期是指合同协议书约定的开工日期；实际开工日期是指监理人按照第</w:t>
      </w:r>
      <w:r>
        <w:rPr>
          <w:rFonts w:hAnsi="宋体" w:cs="Times New Roman"/>
          <w:color w:val="auto"/>
          <w:highlight w:val="none"/>
        </w:rPr>
        <w:t>7.3.2</w:t>
      </w:r>
      <w:r>
        <w:rPr>
          <w:rFonts w:hint="eastAsia" w:hAnsi="宋体" w:cs="Times New Roman"/>
          <w:color w:val="auto"/>
          <w:highlight w:val="none"/>
        </w:rPr>
        <w:t>项〔开工通知〕约定发出的符合法律规定的开工通知中载明的开工日期。</w:t>
      </w:r>
    </w:p>
    <w:p w14:paraId="4F4717C0">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1.1.4.2 </w:t>
      </w:r>
      <w:r>
        <w:rPr>
          <w:rFonts w:hint="eastAsia" w:hAnsi="宋体" w:cs="Times New Roman"/>
          <w:color w:val="auto"/>
          <w:highlight w:val="none"/>
        </w:rPr>
        <w:t>竣工日期：包括计划竣工日期和实际竣工日期。计划竣工日期是指合同协议书约定的竣工日期；实际竣工日期按照第</w:t>
      </w:r>
      <w:r>
        <w:rPr>
          <w:rFonts w:hAnsi="宋体" w:cs="Times New Roman"/>
          <w:color w:val="auto"/>
          <w:highlight w:val="none"/>
        </w:rPr>
        <w:t>13.2.3</w:t>
      </w:r>
      <w:r>
        <w:rPr>
          <w:rFonts w:hint="eastAsia" w:hAnsi="宋体" w:cs="Times New Roman"/>
          <w:color w:val="auto"/>
          <w:highlight w:val="none"/>
        </w:rPr>
        <w:t>项〔竣工日期〕的约定确定。</w:t>
      </w:r>
      <w:r>
        <w:rPr>
          <w:rFonts w:hAnsi="宋体" w:cs="Times New Roman"/>
          <w:color w:val="auto"/>
          <w:highlight w:val="none"/>
        </w:rPr>
        <w:t xml:space="preserve"> </w:t>
      </w:r>
    </w:p>
    <w:p w14:paraId="6CBB3A09">
      <w:pPr>
        <w:spacing w:line="360" w:lineRule="auto"/>
        <w:ind w:firstLine="426" w:firstLineChars="203"/>
        <w:rPr>
          <w:rFonts w:hAnsi="宋体" w:cs="Times New Roman"/>
          <w:color w:val="auto"/>
          <w:kern w:val="2"/>
          <w:highlight w:val="none"/>
        </w:rPr>
      </w:pPr>
      <w:r>
        <w:rPr>
          <w:rFonts w:hAnsi="宋体" w:cs="Times New Roman"/>
          <w:color w:val="auto"/>
          <w:highlight w:val="none"/>
        </w:rPr>
        <w:t xml:space="preserve">1.1.4.3 </w:t>
      </w:r>
      <w:r>
        <w:rPr>
          <w:rFonts w:hint="eastAsia" w:hAnsi="宋体" w:cs="Times New Roman"/>
          <w:color w:val="auto"/>
          <w:highlight w:val="none"/>
        </w:rPr>
        <w:t>工期：是指在合同协议书约定的承包人完成工程所需的期限，包括按照合同约定所作的期限变更。</w:t>
      </w:r>
    </w:p>
    <w:p w14:paraId="1BAB01B4">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1.1.4.4 </w:t>
      </w:r>
      <w:r>
        <w:rPr>
          <w:rFonts w:hint="eastAsia" w:hAnsi="宋体" w:cs="Times New Roman"/>
          <w:color w:val="auto"/>
          <w:highlight w:val="none"/>
        </w:rPr>
        <w:t>缺陷责任期：是指承包人按照合同约定承担缺陷修复义务，且发包人预留质量保证金的期限，自工程实际竣工日期起计算。</w:t>
      </w:r>
    </w:p>
    <w:p w14:paraId="52D58288">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1.1.4.5 </w:t>
      </w:r>
      <w:r>
        <w:rPr>
          <w:rFonts w:hint="eastAsia" w:hAnsi="宋体" w:cs="Times New Roman"/>
          <w:color w:val="auto"/>
          <w:highlight w:val="none"/>
        </w:rPr>
        <w:t>保修期：是指承包人按照合同约定对工程承担保修责任的期限，从工程竣工验收合格之日起计算。</w:t>
      </w:r>
    </w:p>
    <w:p w14:paraId="01E3F7EC">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1.1.4.6 </w:t>
      </w:r>
      <w:r>
        <w:rPr>
          <w:rFonts w:hint="eastAsia" w:hAnsi="宋体" w:cs="Times New Roman"/>
          <w:color w:val="auto"/>
          <w:highlight w:val="none"/>
        </w:rPr>
        <w:t>基准日期：招标发包的工程以投标截止日前</w:t>
      </w:r>
      <w:r>
        <w:rPr>
          <w:rFonts w:hAnsi="宋体" w:cs="Times New Roman"/>
          <w:color w:val="auto"/>
          <w:highlight w:val="none"/>
        </w:rPr>
        <w:t>28</w:t>
      </w:r>
      <w:r>
        <w:rPr>
          <w:rFonts w:hint="eastAsia" w:hAnsi="宋体" w:cs="Times New Roman"/>
          <w:color w:val="auto"/>
          <w:highlight w:val="none"/>
        </w:rPr>
        <w:t>天的日期为基准日期，直接发包的工程以合同签订日前</w:t>
      </w:r>
      <w:r>
        <w:rPr>
          <w:rFonts w:hAnsi="宋体" w:cs="Times New Roman"/>
          <w:color w:val="auto"/>
          <w:highlight w:val="none"/>
        </w:rPr>
        <w:t>28</w:t>
      </w:r>
      <w:r>
        <w:rPr>
          <w:rFonts w:hint="eastAsia" w:hAnsi="宋体" w:cs="Times New Roman"/>
          <w:color w:val="auto"/>
          <w:highlight w:val="none"/>
        </w:rPr>
        <w:t>天的日期为基准日期。</w:t>
      </w:r>
    </w:p>
    <w:p w14:paraId="44096AC2">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1.1.4.7 </w:t>
      </w:r>
      <w:r>
        <w:rPr>
          <w:rFonts w:hint="eastAsia" w:hAnsi="宋体" w:cs="Times New Roman"/>
          <w:color w:val="auto"/>
          <w:highlight w:val="none"/>
        </w:rPr>
        <w:t>天：除特别指明外，均指日历天。合同中按天计算时间的，开始当天不计入，从次日开始计算，期限最后一天的截止时间为当天</w:t>
      </w:r>
      <w:r>
        <w:rPr>
          <w:rFonts w:hAnsi="宋体" w:cs="Times New Roman"/>
          <w:color w:val="auto"/>
          <w:highlight w:val="none"/>
        </w:rPr>
        <w:t>24:00</w:t>
      </w:r>
      <w:r>
        <w:rPr>
          <w:rFonts w:hint="eastAsia" w:hAnsi="宋体" w:cs="Times New Roman"/>
          <w:color w:val="auto"/>
          <w:highlight w:val="none"/>
        </w:rPr>
        <w:t>时。</w:t>
      </w:r>
    </w:p>
    <w:p w14:paraId="3339EABB">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1.1.5 </w:t>
      </w:r>
      <w:r>
        <w:rPr>
          <w:rFonts w:hint="eastAsia" w:hAnsi="宋体" w:cs="Times New Roman"/>
          <w:color w:val="auto"/>
          <w:highlight w:val="none"/>
        </w:rPr>
        <w:t>合同价格和费用</w:t>
      </w:r>
    </w:p>
    <w:p w14:paraId="6C4DA901">
      <w:pPr>
        <w:spacing w:line="360" w:lineRule="auto"/>
        <w:ind w:firstLine="420" w:firstLineChars="200"/>
        <w:jc w:val="left"/>
        <w:rPr>
          <w:rFonts w:hAnsi="宋体" w:cs="Times New Roman"/>
          <w:color w:val="auto"/>
          <w:kern w:val="2"/>
          <w:highlight w:val="none"/>
        </w:rPr>
      </w:pPr>
      <w:r>
        <w:rPr>
          <w:rFonts w:hAnsi="宋体" w:cs="Times New Roman"/>
          <w:color w:val="auto"/>
          <w:highlight w:val="none"/>
        </w:rPr>
        <w:t xml:space="preserve">1.1.5.1 </w:t>
      </w:r>
      <w:r>
        <w:rPr>
          <w:rFonts w:hint="eastAsia" w:hAnsi="宋体" w:cs="Times New Roman"/>
          <w:color w:val="auto"/>
          <w:highlight w:val="none"/>
        </w:rPr>
        <w:t>签约合同价：是指</w:t>
      </w:r>
      <w:r>
        <w:rPr>
          <w:rFonts w:hint="eastAsia" w:hAnsi="宋体" w:cs="Times New Roman"/>
          <w:color w:val="auto"/>
          <w:kern w:val="2"/>
          <w:highlight w:val="none"/>
        </w:rPr>
        <w:t>发包人和承包人在合同协议书中确定的总金额，包括安全文明施工费、暂估价及暂列金额等。</w:t>
      </w:r>
    </w:p>
    <w:p w14:paraId="022D2748">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1.1.5.2 </w:t>
      </w:r>
      <w:r>
        <w:rPr>
          <w:rFonts w:hint="eastAsia" w:hAnsi="宋体" w:cs="Times New Roman"/>
          <w:color w:val="auto"/>
          <w:highlight w:val="none"/>
        </w:rPr>
        <w:t>合同价格：是指发包人用于支付承包人按照合同约定完成承包范围内全部工作的金额，包括合同履行过程中按合同约定发生的价格变化。</w:t>
      </w:r>
    </w:p>
    <w:p w14:paraId="222BE87A">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1.1.5.3 </w:t>
      </w:r>
      <w:r>
        <w:rPr>
          <w:rFonts w:hint="eastAsia" w:hAnsi="宋体" w:cs="Times New Roman"/>
          <w:color w:val="auto"/>
          <w:highlight w:val="none"/>
        </w:rPr>
        <w:t>费用：是指为履行合同所发生的或将要发生的所有必需的开支，包括管理费和应分摊的其他费用，但不包括利润。</w:t>
      </w:r>
    </w:p>
    <w:p w14:paraId="7696262F">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1.1.5.4 </w:t>
      </w:r>
      <w:r>
        <w:rPr>
          <w:rFonts w:hint="eastAsia" w:hAnsi="宋体" w:cs="Times New Roman"/>
          <w:color w:val="auto"/>
          <w:highlight w:val="none"/>
        </w:rPr>
        <w:t>暂估价：是指发包人在工程量清单或预算书中提供的用于支付必然发生但暂时不能确定价格的材料、工程设备的单价、专业工程以及服务工作的金额。</w:t>
      </w:r>
    </w:p>
    <w:p w14:paraId="4381BC53">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1.1.5.5 </w:t>
      </w:r>
      <w:r>
        <w:rPr>
          <w:rFonts w:hint="eastAsia" w:hAnsi="宋体" w:cs="Times New Roman"/>
          <w:color w:val="auto"/>
          <w:highlight w:val="none"/>
        </w:rPr>
        <w:t>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03BB068">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1.1.5.6 </w:t>
      </w:r>
      <w:r>
        <w:rPr>
          <w:rFonts w:hint="eastAsia" w:hAnsi="宋体" w:cs="Times New Roman"/>
          <w:color w:val="auto"/>
          <w:highlight w:val="none"/>
        </w:rPr>
        <w:t>计日工：是指合同履行过程中，承包人完成发包人提出的零星工作或需要采用计日工计价的变更工作时，按合同中约定的单价计价的一种方式。</w:t>
      </w:r>
    </w:p>
    <w:p w14:paraId="58A1792F">
      <w:pPr>
        <w:spacing w:line="360" w:lineRule="auto"/>
        <w:ind w:firstLine="420" w:firstLineChars="200"/>
        <w:jc w:val="left"/>
        <w:rPr>
          <w:rFonts w:hAnsi="宋体" w:cs="Times New Roman"/>
          <w:color w:val="auto"/>
          <w:kern w:val="2"/>
          <w:highlight w:val="none"/>
        </w:rPr>
      </w:pPr>
      <w:r>
        <w:rPr>
          <w:rFonts w:hAnsi="宋体" w:cs="Times New Roman"/>
          <w:color w:val="auto"/>
          <w:highlight w:val="none"/>
        </w:rPr>
        <w:t xml:space="preserve">1.1.5.7 </w:t>
      </w:r>
      <w:r>
        <w:rPr>
          <w:rFonts w:hint="eastAsia" w:hAnsi="宋体" w:cs="Times New Roman"/>
          <w:color w:val="auto"/>
          <w:highlight w:val="none"/>
        </w:rPr>
        <w:t>质量保证金</w:t>
      </w:r>
      <w:bookmarkStart w:id="106" w:name="#go2"/>
      <w:bookmarkEnd w:id="106"/>
      <w:r>
        <w:rPr>
          <w:rFonts w:hint="eastAsia" w:hAnsi="宋体" w:cs="Times New Roman"/>
          <w:color w:val="auto"/>
          <w:highlight w:val="none"/>
        </w:rPr>
        <w:t>：是指按照第</w:t>
      </w:r>
      <w:r>
        <w:rPr>
          <w:rFonts w:hAnsi="宋体" w:cs="Times New Roman"/>
          <w:color w:val="auto"/>
          <w:highlight w:val="none"/>
        </w:rPr>
        <w:t>15.3</w:t>
      </w:r>
      <w:r>
        <w:rPr>
          <w:rFonts w:hint="eastAsia" w:hAnsi="宋体" w:cs="Times New Roman"/>
          <w:color w:val="auto"/>
          <w:highlight w:val="none"/>
        </w:rPr>
        <w:t>款〔质量保证金〕约定承包人用于保证其在缺陷责任期内履行缺陷修补义务的担保</w:t>
      </w:r>
      <w:r>
        <w:rPr>
          <w:rFonts w:hint="eastAsia" w:hAnsi="宋体" w:cs="Times New Roman"/>
          <w:color w:val="auto"/>
          <w:kern w:val="2"/>
          <w:highlight w:val="none"/>
        </w:rPr>
        <w:t>。</w:t>
      </w:r>
    </w:p>
    <w:p w14:paraId="3ECBD2F3">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1.1.5.8 </w:t>
      </w:r>
      <w:r>
        <w:rPr>
          <w:rFonts w:hint="eastAsia" w:hAnsi="宋体" w:cs="Times New Roman"/>
          <w:color w:val="auto"/>
          <w:highlight w:val="none"/>
        </w:rPr>
        <w:t>总价项目：是指在现行国家、行业以及地方的计量规则中无工程量计算规则，在已标价工程量清单或预算书中以总价或以费率形式计算的项目。</w:t>
      </w:r>
    </w:p>
    <w:p w14:paraId="39825603">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1.1.6 </w:t>
      </w:r>
      <w:r>
        <w:rPr>
          <w:rFonts w:hint="eastAsia" w:hAnsi="宋体" w:cs="Times New Roman"/>
          <w:color w:val="auto"/>
          <w:kern w:val="2"/>
          <w:highlight w:val="none"/>
        </w:rPr>
        <w:t>其他</w:t>
      </w:r>
    </w:p>
    <w:p w14:paraId="351FF179">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1.1.6.1 </w:t>
      </w:r>
      <w:r>
        <w:rPr>
          <w:rFonts w:hint="eastAsia" w:hAnsi="宋体" w:cs="Times New Roman"/>
          <w:color w:val="auto"/>
          <w:kern w:val="2"/>
          <w:highlight w:val="none"/>
        </w:rPr>
        <w:t>书面形式：是指合同文件、信函、电报、传真等可以有形地表现所载内容的形式。</w:t>
      </w:r>
    </w:p>
    <w:p w14:paraId="5AC5408F">
      <w:pPr>
        <w:keepNext/>
        <w:keepLines/>
        <w:spacing w:line="360" w:lineRule="auto"/>
        <w:outlineLvl w:val="3"/>
        <w:rPr>
          <w:rFonts w:hAnsi="宋体" w:cs="Times New Roman"/>
          <w:b/>
          <w:bCs/>
          <w:color w:val="auto"/>
          <w:kern w:val="2"/>
          <w:szCs w:val="28"/>
          <w:highlight w:val="none"/>
        </w:rPr>
      </w:pPr>
      <w:bookmarkStart w:id="107" w:name="_Toc351203497"/>
      <w:bookmarkStart w:id="108" w:name="_Toc532839865"/>
      <w:bookmarkStart w:id="109" w:name="_Toc296346530"/>
      <w:bookmarkStart w:id="110" w:name="_Toc337558729"/>
      <w:bookmarkStart w:id="111" w:name="_Toc296503029"/>
      <w:r>
        <w:rPr>
          <w:rFonts w:hAnsi="宋体" w:cs="Times New Roman"/>
          <w:b/>
          <w:bCs/>
          <w:color w:val="auto"/>
          <w:kern w:val="2"/>
          <w:szCs w:val="28"/>
          <w:highlight w:val="none"/>
        </w:rPr>
        <w:t>1.2</w:t>
      </w:r>
      <w:r>
        <w:rPr>
          <w:rFonts w:hint="eastAsia" w:hAnsi="宋体"/>
          <w:b/>
          <w:bCs/>
          <w:color w:val="auto"/>
          <w:kern w:val="2"/>
          <w:szCs w:val="28"/>
          <w:highlight w:val="none"/>
        </w:rPr>
        <w:t>语言文字</w:t>
      </w:r>
      <w:bookmarkEnd w:id="107"/>
      <w:bookmarkEnd w:id="108"/>
      <w:bookmarkEnd w:id="109"/>
      <w:bookmarkEnd w:id="110"/>
      <w:bookmarkEnd w:id="111"/>
    </w:p>
    <w:p w14:paraId="3279CA4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合同以中国的汉语简体文字编写、解释和说明。合同当事人在专用合同条款中约定使用两种以上语言时，汉语为优先解释和说明合同的语言。</w:t>
      </w:r>
    </w:p>
    <w:p w14:paraId="6DF9E713">
      <w:pPr>
        <w:keepNext/>
        <w:keepLines/>
        <w:spacing w:line="360" w:lineRule="auto"/>
        <w:outlineLvl w:val="3"/>
        <w:rPr>
          <w:rFonts w:hAnsi="宋体" w:cs="Times New Roman"/>
          <w:b/>
          <w:bCs/>
          <w:color w:val="auto"/>
          <w:kern w:val="2"/>
          <w:szCs w:val="28"/>
          <w:highlight w:val="none"/>
        </w:rPr>
      </w:pPr>
      <w:bookmarkStart w:id="112" w:name="_Toc351203498"/>
      <w:bookmarkStart w:id="113" w:name="_Toc296346531"/>
      <w:bookmarkStart w:id="114" w:name="_Toc337558730"/>
      <w:bookmarkStart w:id="115" w:name="_Toc532839866"/>
      <w:bookmarkStart w:id="116" w:name="_Toc296503030"/>
      <w:r>
        <w:rPr>
          <w:rFonts w:hAnsi="宋体" w:cs="Times New Roman"/>
          <w:b/>
          <w:bCs/>
          <w:color w:val="auto"/>
          <w:kern w:val="2"/>
          <w:szCs w:val="28"/>
          <w:highlight w:val="none"/>
        </w:rPr>
        <w:t>1.3</w:t>
      </w:r>
      <w:r>
        <w:rPr>
          <w:rFonts w:hint="eastAsia" w:hAnsi="宋体"/>
          <w:b/>
          <w:bCs/>
          <w:color w:val="auto"/>
          <w:kern w:val="2"/>
          <w:szCs w:val="28"/>
          <w:highlight w:val="none"/>
        </w:rPr>
        <w:t>法律</w:t>
      </w:r>
      <w:bookmarkEnd w:id="112"/>
      <w:bookmarkEnd w:id="113"/>
      <w:bookmarkEnd w:id="114"/>
      <w:bookmarkEnd w:id="115"/>
      <w:bookmarkEnd w:id="116"/>
    </w:p>
    <w:p w14:paraId="55B2AAB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合同所称法律是指中华人民共和国法律、行政法规、部门规章，以及工程所在地的地方性法规、自治条例、单行条例和地方政府规章等。</w:t>
      </w:r>
    </w:p>
    <w:p w14:paraId="17552CD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合同当事人可以在专用合同条款中约定合同适用的其他规范性文件。</w:t>
      </w:r>
    </w:p>
    <w:p w14:paraId="401E47D8">
      <w:pPr>
        <w:keepNext/>
        <w:keepLines/>
        <w:spacing w:line="360" w:lineRule="auto"/>
        <w:outlineLvl w:val="3"/>
        <w:rPr>
          <w:rFonts w:hAnsi="宋体" w:cs="Times New Roman"/>
          <w:b/>
          <w:bCs/>
          <w:color w:val="auto"/>
          <w:kern w:val="2"/>
          <w:szCs w:val="28"/>
          <w:highlight w:val="none"/>
        </w:rPr>
      </w:pPr>
      <w:bookmarkStart w:id="117" w:name="_Toc532839867"/>
      <w:bookmarkStart w:id="118" w:name="_Toc351203499"/>
      <w:r>
        <w:rPr>
          <w:rFonts w:hAnsi="宋体" w:cs="Times New Roman"/>
          <w:b/>
          <w:bCs/>
          <w:color w:val="auto"/>
          <w:kern w:val="2"/>
          <w:szCs w:val="28"/>
          <w:highlight w:val="none"/>
        </w:rPr>
        <w:t xml:space="preserve">1.4 </w:t>
      </w:r>
      <w:r>
        <w:rPr>
          <w:rFonts w:hint="eastAsia" w:hAnsi="宋体"/>
          <w:b/>
          <w:bCs/>
          <w:color w:val="auto"/>
          <w:kern w:val="2"/>
          <w:szCs w:val="28"/>
          <w:highlight w:val="none"/>
        </w:rPr>
        <w:t>标准和规范</w:t>
      </w:r>
      <w:bookmarkEnd w:id="117"/>
      <w:bookmarkEnd w:id="118"/>
    </w:p>
    <w:p w14:paraId="36C40BBB">
      <w:pPr>
        <w:autoSpaceDE w:val="0"/>
        <w:autoSpaceDN w:val="0"/>
        <w:adjustRightInd w:val="0"/>
        <w:spacing w:line="360" w:lineRule="auto"/>
        <w:ind w:firstLine="640"/>
        <w:jc w:val="left"/>
        <w:rPr>
          <w:rFonts w:hAnsi="宋体" w:cs="Times New Roman"/>
          <w:color w:val="auto"/>
          <w:highlight w:val="none"/>
        </w:rPr>
      </w:pPr>
      <w:r>
        <w:rPr>
          <w:rFonts w:hAnsi="宋体" w:cs="Times New Roman"/>
          <w:color w:val="auto"/>
          <w:highlight w:val="none"/>
        </w:rPr>
        <w:t xml:space="preserve">1.4.1 </w:t>
      </w:r>
      <w:r>
        <w:rPr>
          <w:rFonts w:hint="eastAsia" w:hAnsi="宋体" w:cs="Times New Roman"/>
          <w:color w:val="auto"/>
          <w:highlight w:val="none"/>
        </w:rPr>
        <w:t>适用于工程的国家标准、行业标准、工程所在地的地方性标准，以及相应的规范、规程等，合同当事人有特别要求的，应在专用合同条款中约定。</w:t>
      </w:r>
    </w:p>
    <w:p w14:paraId="049E4A03">
      <w:pPr>
        <w:autoSpaceDE w:val="0"/>
        <w:autoSpaceDN w:val="0"/>
        <w:adjustRightInd w:val="0"/>
        <w:spacing w:line="360" w:lineRule="auto"/>
        <w:ind w:firstLine="640"/>
        <w:jc w:val="left"/>
        <w:rPr>
          <w:rFonts w:hAnsi="宋体" w:cs="Times New Roman"/>
          <w:color w:val="auto"/>
          <w:highlight w:val="none"/>
        </w:rPr>
      </w:pPr>
      <w:r>
        <w:rPr>
          <w:rFonts w:hAnsi="宋体" w:cs="Times New Roman"/>
          <w:color w:val="auto"/>
          <w:highlight w:val="none"/>
        </w:rPr>
        <w:t xml:space="preserve">1.4.2 </w:t>
      </w:r>
      <w:r>
        <w:rPr>
          <w:rFonts w:hint="eastAsia" w:hAnsi="宋体" w:cs="Times New Roman"/>
          <w:color w:val="auto"/>
          <w:highlight w:val="none"/>
        </w:rPr>
        <w:t>发包人要求使用国外标准、规范的，发包人负责提供原文版本和中文译本，并在专用合同条款中约定提供标准规范的名称、份数和时间。</w:t>
      </w:r>
    </w:p>
    <w:p w14:paraId="12222A4F">
      <w:pPr>
        <w:autoSpaceDE w:val="0"/>
        <w:autoSpaceDN w:val="0"/>
        <w:adjustRightInd w:val="0"/>
        <w:spacing w:line="360" w:lineRule="auto"/>
        <w:ind w:firstLine="640"/>
        <w:jc w:val="left"/>
        <w:rPr>
          <w:rFonts w:hAnsi="宋体" w:cs="Times New Roman"/>
          <w:color w:val="auto"/>
          <w:highlight w:val="none"/>
        </w:rPr>
      </w:pPr>
      <w:r>
        <w:rPr>
          <w:rFonts w:hAnsi="宋体" w:cs="Times New Roman"/>
          <w:color w:val="auto"/>
          <w:highlight w:val="none"/>
        </w:rPr>
        <w:t xml:space="preserve">1.4.3 </w:t>
      </w:r>
      <w:r>
        <w:rPr>
          <w:rFonts w:hint="eastAsia" w:hAnsi="宋体" w:cs="Times New Roman"/>
          <w:color w:val="auto"/>
          <w:highlight w:val="none"/>
        </w:rPr>
        <w:t>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0E78CC79">
      <w:pPr>
        <w:keepNext/>
        <w:keepLines/>
        <w:spacing w:line="360" w:lineRule="auto"/>
        <w:outlineLvl w:val="3"/>
        <w:rPr>
          <w:rFonts w:hAnsi="宋体" w:cs="Times New Roman"/>
          <w:b/>
          <w:bCs/>
          <w:color w:val="auto"/>
          <w:kern w:val="2"/>
          <w:szCs w:val="28"/>
          <w:highlight w:val="none"/>
        </w:rPr>
      </w:pPr>
      <w:bookmarkStart w:id="119" w:name="_Toc532839868"/>
      <w:bookmarkStart w:id="120" w:name="_Toc351203500"/>
      <w:r>
        <w:rPr>
          <w:rFonts w:hAnsi="宋体" w:cs="Times New Roman"/>
          <w:b/>
          <w:bCs/>
          <w:color w:val="auto"/>
          <w:kern w:val="2"/>
          <w:szCs w:val="28"/>
          <w:highlight w:val="none"/>
        </w:rPr>
        <w:t>1</w:t>
      </w:r>
      <w:bookmarkStart w:id="121" w:name="_Toc296503031"/>
      <w:bookmarkStart w:id="122" w:name="_Toc296346532"/>
      <w:bookmarkStart w:id="123" w:name="_Toc337558731"/>
      <w:r>
        <w:rPr>
          <w:rFonts w:hAnsi="宋体" w:cs="Times New Roman"/>
          <w:b/>
          <w:bCs/>
          <w:color w:val="auto"/>
          <w:kern w:val="2"/>
          <w:szCs w:val="28"/>
          <w:highlight w:val="none"/>
        </w:rPr>
        <w:t xml:space="preserve">.5 </w:t>
      </w:r>
      <w:r>
        <w:rPr>
          <w:rFonts w:hint="eastAsia" w:hAnsi="宋体" w:cs="Times New Roman"/>
          <w:b/>
          <w:bCs/>
          <w:color w:val="auto"/>
          <w:kern w:val="2"/>
          <w:szCs w:val="28"/>
          <w:highlight w:val="none"/>
        </w:rPr>
        <w:t>合同文件的优先顺序</w:t>
      </w:r>
      <w:bookmarkEnd w:id="119"/>
      <w:bookmarkEnd w:id="120"/>
    </w:p>
    <w:bookmarkEnd w:id="121"/>
    <w:bookmarkEnd w:id="122"/>
    <w:bookmarkEnd w:id="123"/>
    <w:p w14:paraId="32956BD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组成合同的各项文件应互相解释，互为说明。除专用合同条款另有约定外，解释合同文件的优先顺序如下：</w:t>
      </w:r>
    </w:p>
    <w:p w14:paraId="5EC99C2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）合同协议书；</w:t>
      </w:r>
    </w:p>
    <w:p w14:paraId="61B9F53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）中标通知书（如果有）；</w:t>
      </w:r>
    </w:p>
    <w:p w14:paraId="3D5C46E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）投标函及其附录（如果有）；</w:t>
      </w:r>
    </w:p>
    <w:p w14:paraId="75D2C01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）专用合同条款</w:t>
      </w:r>
      <w:r>
        <w:rPr>
          <w:rFonts w:hint="eastAsia" w:hAnsi="宋体" w:cs="Times New Roman"/>
          <w:color w:val="auto"/>
          <w:kern w:val="2"/>
          <w:highlight w:val="none"/>
        </w:rPr>
        <w:t>及其附件</w:t>
      </w:r>
      <w:r>
        <w:rPr>
          <w:rFonts w:hint="eastAsia" w:hAnsi="宋体" w:cs="Times New Roman"/>
          <w:color w:val="auto"/>
          <w:highlight w:val="none"/>
        </w:rPr>
        <w:t>；</w:t>
      </w:r>
    </w:p>
    <w:p w14:paraId="6EFD367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）通用合同条款；</w:t>
      </w:r>
    </w:p>
    <w:p w14:paraId="6532352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6</w:t>
      </w:r>
      <w:r>
        <w:rPr>
          <w:rFonts w:hint="eastAsia" w:hAnsi="宋体" w:cs="Times New Roman"/>
          <w:color w:val="auto"/>
          <w:highlight w:val="none"/>
        </w:rPr>
        <w:t>）</w:t>
      </w:r>
      <w:r>
        <w:rPr>
          <w:rFonts w:hAnsi="宋体" w:cs="Times New Roman"/>
          <w:color w:val="auto"/>
          <w:kern w:val="2"/>
          <w:szCs w:val="24"/>
          <w:highlight w:val="none"/>
        </w:rPr>
        <w:t>________________</w:t>
      </w:r>
      <w:r>
        <w:rPr>
          <w:rFonts w:hint="eastAsia" w:hAnsi="宋体" w:cs="Times New Roman"/>
          <w:color w:val="auto"/>
          <w:highlight w:val="none"/>
        </w:rPr>
        <w:t>；</w:t>
      </w:r>
    </w:p>
    <w:p w14:paraId="0D6421F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7</w:t>
      </w:r>
      <w:r>
        <w:rPr>
          <w:rFonts w:hint="eastAsia" w:hAnsi="宋体" w:cs="Times New Roman"/>
          <w:color w:val="auto"/>
          <w:highlight w:val="none"/>
        </w:rPr>
        <w:t>）</w:t>
      </w:r>
      <w:r>
        <w:rPr>
          <w:rFonts w:hAnsi="宋体" w:cs="Times New Roman"/>
          <w:color w:val="auto"/>
          <w:kern w:val="2"/>
          <w:szCs w:val="24"/>
          <w:highlight w:val="none"/>
        </w:rPr>
        <w:t>________________</w:t>
      </w:r>
      <w:r>
        <w:rPr>
          <w:rFonts w:hint="eastAsia" w:hAnsi="宋体" w:cs="Times New Roman"/>
          <w:color w:val="auto"/>
          <w:highlight w:val="none"/>
        </w:rPr>
        <w:t>；</w:t>
      </w:r>
    </w:p>
    <w:p w14:paraId="12D729B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8</w:t>
      </w:r>
      <w:r>
        <w:rPr>
          <w:rFonts w:hint="eastAsia" w:hAnsi="宋体" w:cs="Times New Roman"/>
          <w:color w:val="auto"/>
          <w:highlight w:val="none"/>
        </w:rPr>
        <w:t>）</w:t>
      </w:r>
      <w:r>
        <w:rPr>
          <w:rFonts w:hAnsi="宋体" w:cs="Times New Roman"/>
          <w:color w:val="auto"/>
          <w:kern w:val="2"/>
          <w:szCs w:val="24"/>
          <w:highlight w:val="none"/>
        </w:rPr>
        <w:t>________________</w:t>
      </w:r>
      <w:r>
        <w:rPr>
          <w:rFonts w:hint="eastAsia" w:hAnsi="宋体" w:cs="Times New Roman"/>
          <w:color w:val="auto"/>
          <w:highlight w:val="none"/>
        </w:rPr>
        <w:t>；</w:t>
      </w:r>
    </w:p>
    <w:p w14:paraId="41A1A9C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9</w:t>
      </w:r>
      <w:r>
        <w:rPr>
          <w:rFonts w:hint="eastAsia" w:hAnsi="宋体" w:cs="Times New Roman"/>
          <w:color w:val="auto"/>
          <w:highlight w:val="none"/>
        </w:rPr>
        <w:t>）</w:t>
      </w:r>
      <w:r>
        <w:rPr>
          <w:rFonts w:hAnsi="宋体" w:cs="Times New Roman"/>
          <w:color w:val="auto"/>
          <w:kern w:val="2"/>
          <w:szCs w:val="24"/>
          <w:highlight w:val="none"/>
        </w:rPr>
        <w:t>________________</w:t>
      </w:r>
      <w:r>
        <w:rPr>
          <w:rFonts w:hint="eastAsia" w:hAnsi="宋体" w:cs="Times New Roman"/>
          <w:color w:val="auto"/>
          <w:highlight w:val="none"/>
        </w:rPr>
        <w:t>。</w:t>
      </w:r>
    </w:p>
    <w:p w14:paraId="65BE062F">
      <w:pPr>
        <w:widowControl/>
        <w:spacing w:line="360" w:lineRule="auto"/>
        <w:ind w:firstLine="420" w:firstLineChars="200"/>
        <w:jc w:val="left"/>
        <w:rPr>
          <w:rFonts w:hAnsi="宋体" w:cs="Times New Roman"/>
          <w:color w:val="auto"/>
          <w:kern w:val="2"/>
          <w:highlight w:val="none"/>
        </w:rPr>
      </w:pPr>
      <w:r>
        <w:rPr>
          <w:rFonts w:hint="eastAsia" w:hAnsi="宋体" w:cs="Times New Roman"/>
          <w:color w:val="auto"/>
          <w:highlight w:val="none"/>
        </w:rPr>
        <w:t>说明：（</w:t>
      </w:r>
      <w:r>
        <w:rPr>
          <w:rFonts w:hAnsi="宋体" w:cs="Times New Roman"/>
          <w:color w:val="auto"/>
          <w:highlight w:val="none"/>
        </w:rPr>
        <w:t>6</w:t>
      </w:r>
      <w:r>
        <w:rPr>
          <w:rFonts w:hint="eastAsia" w:hAnsi="宋体" w:cs="Times New Roman"/>
          <w:color w:val="auto"/>
          <w:highlight w:val="none"/>
        </w:rPr>
        <w:t>）、（</w:t>
      </w:r>
      <w:r>
        <w:rPr>
          <w:rFonts w:hAnsi="宋体" w:cs="Times New Roman"/>
          <w:color w:val="auto"/>
          <w:highlight w:val="none"/>
        </w:rPr>
        <w:t>7</w:t>
      </w:r>
      <w:r>
        <w:rPr>
          <w:rFonts w:hint="eastAsia" w:hAnsi="宋体" w:cs="Times New Roman"/>
          <w:color w:val="auto"/>
          <w:highlight w:val="none"/>
        </w:rPr>
        <w:t>）、（</w:t>
      </w:r>
      <w:r>
        <w:rPr>
          <w:rFonts w:hAnsi="宋体" w:cs="Times New Roman"/>
          <w:color w:val="auto"/>
          <w:highlight w:val="none"/>
        </w:rPr>
        <w:t>8</w:t>
      </w:r>
      <w:r>
        <w:rPr>
          <w:rFonts w:hint="eastAsia" w:hAnsi="宋体" w:cs="Times New Roman"/>
          <w:color w:val="auto"/>
          <w:highlight w:val="none"/>
        </w:rPr>
        <w:t>）、（</w:t>
      </w:r>
      <w:r>
        <w:rPr>
          <w:rFonts w:hAnsi="宋体" w:cs="Times New Roman"/>
          <w:color w:val="auto"/>
          <w:highlight w:val="none"/>
        </w:rPr>
        <w:t>9</w:t>
      </w:r>
      <w:r>
        <w:rPr>
          <w:rFonts w:hint="eastAsia" w:hAnsi="宋体" w:cs="Times New Roman"/>
          <w:color w:val="auto"/>
          <w:highlight w:val="none"/>
        </w:rPr>
        <w:t>）填空内容分别限于技术标准和要求、图纸、已标价工程量清单或预算书、其他合同文件四者之一，其优先顺序可根据采取的不同合同方式由双方约定。</w:t>
      </w:r>
    </w:p>
    <w:p w14:paraId="6B03D057">
      <w:pPr>
        <w:keepNext/>
        <w:keepLines/>
        <w:spacing w:line="360" w:lineRule="auto"/>
        <w:outlineLvl w:val="3"/>
        <w:rPr>
          <w:rFonts w:hAnsi="宋体" w:cs="Times New Roman"/>
          <w:b/>
          <w:bCs/>
          <w:color w:val="auto"/>
          <w:kern w:val="2"/>
          <w:szCs w:val="28"/>
          <w:highlight w:val="none"/>
        </w:rPr>
      </w:pPr>
      <w:bookmarkStart w:id="124" w:name="_Toc351203501"/>
      <w:bookmarkStart w:id="125" w:name="_Toc532839869"/>
      <w:r>
        <w:rPr>
          <w:rFonts w:hAnsi="宋体" w:cs="Times New Roman"/>
          <w:b/>
          <w:bCs/>
          <w:color w:val="auto"/>
          <w:kern w:val="2"/>
          <w:szCs w:val="28"/>
          <w:highlight w:val="none"/>
        </w:rPr>
        <w:t>1</w:t>
      </w:r>
      <w:bookmarkStart w:id="126" w:name="_Toc296346533"/>
      <w:bookmarkStart w:id="127" w:name="_Toc337558732"/>
      <w:bookmarkStart w:id="128" w:name="_Toc296503032"/>
      <w:r>
        <w:rPr>
          <w:rFonts w:hAnsi="宋体" w:cs="Times New Roman"/>
          <w:b/>
          <w:bCs/>
          <w:color w:val="auto"/>
          <w:kern w:val="2"/>
          <w:szCs w:val="28"/>
          <w:highlight w:val="none"/>
        </w:rPr>
        <w:t>.6</w:t>
      </w:r>
      <w:r>
        <w:rPr>
          <w:rFonts w:hint="eastAsia" w:hAnsi="宋体" w:cs="Times New Roman"/>
          <w:b/>
          <w:bCs/>
          <w:color w:val="auto"/>
          <w:kern w:val="2"/>
          <w:szCs w:val="28"/>
          <w:highlight w:val="none"/>
        </w:rPr>
        <w:t>图纸和承包人文件</w:t>
      </w:r>
      <w:bookmarkEnd w:id="124"/>
      <w:bookmarkEnd w:id="125"/>
    </w:p>
    <w:bookmarkEnd w:id="126"/>
    <w:bookmarkEnd w:id="127"/>
    <w:bookmarkEnd w:id="128"/>
    <w:p w14:paraId="619925D8">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1.6.1 </w:t>
      </w:r>
      <w:r>
        <w:rPr>
          <w:rFonts w:hint="eastAsia" w:hAnsi="宋体" w:cs="Times New Roman"/>
          <w:color w:val="auto"/>
          <w:highlight w:val="none"/>
        </w:rPr>
        <w:t>图纸的提供和交底</w:t>
      </w:r>
    </w:p>
    <w:p w14:paraId="65C6911F">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发包人应按照专用合同条款约定的期限、数量和内容向承包人免费提供图纸，并组织承包人、监理人和设计人进行图纸会审和设计交底。发包人至迟不得晚于第</w:t>
      </w:r>
      <w:r>
        <w:rPr>
          <w:rFonts w:hAnsi="宋体" w:cs="Times New Roman"/>
          <w:color w:val="auto"/>
          <w:highlight w:val="none"/>
        </w:rPr>
        <w:t>7.3.2</w:t>
      </w:r>
      <w:r>
        <w:rPr>
          <w:rFonts w:hint="eastAsia" w:hAnsi="宋体" w:cs="Times New Roman"/>
          <w:color w:val="auto"/>
          <w:highlight w:val="none"/>
        </w:rPr>
        <w:t>项〔开工通知〕载明的开工日期前</w:t>
      </w:r>
      <w:r>
        <w:rPr>
          <w:rFonts w:hAnsi="宋体" w:cs="Times New Roman"/>
          <w:color w:val="auto"/>
          <w:highlight w:val="none"/>
        </w:rPr>
        <w:t>14</w:t>
      </w:r>
      <w:r>
        <w:rPr>
          <w:rFonts w:hint="eastAsia" w:hAnsi="宋体" w:cs="Times New Roman"/>
          <w:color w:val="auto"/>
          <w:highlight w:val="none"/>
        </w:rPr>
        <w:t>天向承包人提供图纸。</w:t>
      </w:r>
    </w:p>
    <w:p w14:paraId="2078248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因发包人未按合同约定提供图纸导致承包人费用增加和（或）工期延误的，按照第</w:t>
      </w:r>
      <w:r>
        <w:rPr>
          <w:rFonts w:hAnsi="宋体" w:cs="Times New Roman"/>
          <w:color w:val="auto"/>
          <w:highlight w:val="none"/>
        </w:rPr>
        <w:t>7.5.1</w:t>
      </w:r>
      <w:r>
        <w:rPr>
          <w:rFonts w:hint="eastAsia" w:hAnsi="宋体" w:cs="Times New Roman"/>
          <w:color w:val="auto"/>
          <w:highlight w:val="none"/>
        </w:rPr>
        <w:t>项〔因发包人原因导致工期延误〕约定办理。</w:t>
      </w:r>
    </w:p>
    <w:p w14:paraId="5DADF449">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1.6.2 </w:t>
      </w:r>
      <w:r>
        <w:rPr>
          <w:rFonts w:hint="eastAsia" w:hAnsi="宋体" w:cs="Times New Roman"/>
          <w:color w:val="auto"/>
          <w:highlight w:val="none"/>
        </w:rPr>
        <w:t>图纸的错误</w:t>
      </w:r>
    </w:p>
    <w:p w14:paraId="398BEEEB">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4C4DED44">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1.6.3 </w:t>
      </w:r>
      <w:r>
        <w:rPr>
          <w:rFonts w:hint="eastAsia" w:hAnsi="宋体" w:cs="Times New Roman"/>
          <w:color w:val="auto"/>
          <w:highlight w:val="none"/>
        </w:rPr>
        <w:t>图纸的修改和补充</w:t>
      </w:r>
    </w:p>
    <w:p w14:paraId="46717570">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1B8BFF6B">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1.6.4 </w:t>
      </w:r>
      <w:r>
        <w:rPr>
          <w:rFonts w:hint="eastAsia" w:hAnsi="宋体" w:cs="Times New Roman"/>
          <w:color w:val="auto"/>
          <w:highlight w:val="none"/>
        </w:rPr>
        <w:t>承包人文件</w:t>
      </w:r>
    </w:p>
    <w:p w14:paraId="5B52869B">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承包人应按照专用合同条款的约定提供应当由其编制的与工程施工有关的文件，并按照专用合同条款约定的期限、数量和形式提交监理人，并由监理人报送发包人。</w:t>
      </w:r>
    </w:p>
    <w:p w14:paraId="7DA74B4B">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除专用合同条款另有约定外，监理人应在收到承包人文件后</w:t>
      </w:r>
      <w:r>
        <w:rPr>
          <w:rFonts w:hAnsi="宋体" w:cs="Times New Roman"/>
          <w:color w:val="auto"/>
          <w:highlight w:val="none"/>
        </w:rPr>
        <w:t>7</w:t>
      </w:r>
      <w:r>
        <w:rPr>
          <w:rFonts w:hint="eastAsia" w:hAnsi="宋体" w:cs="Times New Roman"/>
          <w:color w:val="auto"/>
          <w:highlight w:val="none"/>
        </w:rPr>
        <w:t>天内审查完毕，监理人对承包人文件有异议的，承包人应予以修改，并重新报送监理人。监理人的审查并不减轻或免除承包人根据合同约定应当承担的责任。</w:t>
      </w:r>
    </w:p>
    <w:p w14:paraId="4321C432">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1.6.5 </w:t>
      </w:r>
      <w:r>
        <w:rPr>
          <w:rFonts w:hint="eastAsia" w:hAnsi="宋体" w:cs="Times New Roman"/>
          <w:color w:val="auto"/>
          <w:highlight w:val="none"/>
        </w:rPr>
        <w:t>图纸和承包人文件的保管</w:t>
      </w:r>
    </w:p>
    <w:p w14:paraId="729C361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除专用合同条款另有约定外，承包人应在施工现场另外保存一套完整的图纸和承包人文件，供发包人、监理人及有关人员进行工程检查时使用。</w:t>
      </w:r>
    </w:p>
    <w:p w14:paraId="0DB7285F">
      <w:pPr>
        <w:keepNext/>
        <w:keepLines/>
        <w:spacing w:line="360" w:lineRule="auto"/>
        <w:outlineLvl w:val="3"/>
        <w:rPr>
          <w:rFonts w:hAnsi="宋体" w:cs="Times New Roman"/>
          <w:b/>
          <w:bCs/>
          <w:color w:val="auto"/>
          <w:kern w:val="2"/>
          <w:szCs w:val="28"/>
          <w:highlight w:val="none"/>
        </w:rPr>
      </w:pPr>
      <w:bookmarkStart w:id="129" w:name="_Toc351203502"/>
      <w:bookmarkStart w:id="130" w:name="_Toc532839870"/>
      <w:r>
        <w:rPr>
          <w:rFonts w:hAnsi="宋体" w:cs="Times New Roman"/>
          <w:b/>
          <w:bCs/>
          <w:color w:val="auto"/>
          <w:kern w:val="2"/>
          <w:szCs w:val="28"/>
          <w:highlight w:val="none"/>
        </w:rPr>
        <w:t>1</w:t>
      </w:r>
      <w:bookmarkStart w:id="131" w:name="_Toc337558733"/>
      <w:bookmarkStart w:id="132" w:name="_Toc296346534"/>
      <w:bookmarkStart w:id="133" w:name="_Toc296503033"/>
      <w:r>
        <w:rPr>
          <w:rFonts w:hAnsi="宋体" w:cs="Times New Roman"/>
          <w:b/>
          <w:bCs/>
          <w:color w:val="auto"/>
          <w:kern w:val="2"/>
          <w:szCs w:val="28"/>
          <w:highlight w:val="none"/>
        </w:rPr>
        <w:t>.7</w:t>
      </w:r>
      <w:r>
        <w:rPr>
          <w:rFonts w:hint="eastAsia" w:hAnsi="宋体"/>
          <w:b/>
          <w:bCs/>
          <w:color w:val="auto"/>
          <w:kern w:val="2"/>
          <w:szCs w:val="28"/>
          <w:highlight w:val="none"/>
        </w:rPr>
        <w:t>联络</w:t>
      </w:r>
      <w:bookmarkEnd w:id="129"/>
      <w:bookmarkEnd w:id="130"/>
    </w:p>
    <w:bookmarkEnd w:id="131"/>
    <w:bookmarkEnd w:id="132"/>
    <w:bookmarkEnd w:id="133"/>
    <w:p w14:paraId="5A2F0A5F">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1.7.1 </w:t>
      </w:r>
      <w:r>
        <w:rPr>
          <w:rFonts w:hint="eastAsia" w:hAnsi="宋体" w:cs="Times New Roman"/>
          <w:color w:val="auto"/>
          <w:highlight w:val="none"/>
        </w:rPr>
        <w:t>与合同有关的通知、批准、证明、证书、指示、指令、要求、请求、同意、意见、确定和决定等，均应采用书面形式，并应在合同约定的期限内送达接收人和送达地点。</w:t>
      </w:r>
    </w:p>
    <w:p w14:paraId="1DBD3570">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1.7.2 </w:t>
      </w:r>
      <w:r>
        <w:rPr>
          <w:rFonts w:hint="eastAsia" w:hAnsi="宋体" w:cs="Times New Roman"/>
          <w:color w:val="auto"/>
          <w:highlight w:val="none"/>
        </w:rPr>
        <w:t>发包人和承包人应在专用合同条款中约定各自的送达接收人和送达地点。任何一方合同当事人指定的接收人或送达地点发生变动的，应提前</w:t>
      </w:r>
      <w:r>
        <w:rPr>
          <w:rFonts w:hAnsi="宋体" w:cs="Times New Roman"/>
          <w:color w:val="auto"/>
          <w:highlight w:val="none"/>
        </w:rPr>
        <w:t>3</w:t>
      </w:r>
      <w:r>
        <w:rPr>
          <w:rFonts w:hint="eastAsia" w:hAnsi="宋体" w:cs="Times New Roman"/>
          <w:color w:val="auto"/>
          <w:highlight w:val="none"/>
        </w:rPr>
        <w:t>天以书面形式通知对方。</w:t>
      </w:r>
    </w:p>
    <w:p w14:paraId="59AF3C06">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1.7.3 </w:t>
      </w:r>
      <w:r>
        <w:rPr>
          <w:rFonts w:hint="eastAsia" w:hAnsi="宋体" w:cs="Times New Roman"/>
          <w:color w:val="auto"/>
          <w:highlight w:val="none"/>
        </w:rPr>
        <w:t>发包人和承包人应当及时签收另一方送达至送达地点和指定接收人的来往信函。拒不签收的，由此增加的费用和（或）延误的工期由拒绝接收一方承担。</w:t>
      </w:r>
    </w:p>
    <w:p w14:paraId="6EE407C3">
      <w:pPr>
        <w:keepNext/>
        <w:keepLines/>
        <w:spacing w:line="360" w:lineRule="auto"/>
        <w:outlineLvl w:val="3"/>
        <w:rPr>
          <w:rFonts w:hAnsi="宋体" w:cs="Times New Roman"/>
          <w:b/>
          <w:bCs/>
          <w:color w:val="auto"/>
          <w:kern w:val="2"/>
          <w:szCs w:val="28"/>
          <w:highlight w:val="none"/>
        </w:rPr>
      </w:pPr>
      <w:bookmarkStart w:id="134" w:name="_Toc532839871"/>
      <w:bookmarkStart w:id="135" w:name="_Toc351203503"/>
      <w:r>
        <w:rPr>
          <w:rFonts w:hAnsi="宋体" w:cs="Times New Roman"/>
          <w:b/>
          <w:bCs/>
          <w:color w:val="auto"/>
          <w:kern w:val="2"/>
          <w:szCs w:val="28"/>
          <w:highlight w:val="none"/>
        </w:rPr>
        <w:t>1</w:t>
      </w:r>
      <w:bookmarkStart w:id="136" w:name="_Toc296346536"/>
      <w:bookmarkStart w:id="137" w:name="_Toc337558734"/>
      <w:bookmarkStart w:id="138" w:name="_Toc296503035"/>
      <w:r>
        <w:rPr>
          <w:rFonts w:hAnsi="宋体" w:cs="Times New Roman"/>
          <w:b/>
          <w:bCs/>
          <w:color w:val="auto"/>
          <w:kern w:val="2"/>
          <w:szCs w:val="28"/>
          <w:highlight w:val="none"/>
        </w:rPr>
        <w:t>.8</w:t>
      </w:r>
      <w:r>
        <w:rPr>
          <w:rFonts w:hint="eastAsia" w:hAnsi="宋体"/>
          <w:b/>
          <w:bCs/>
          <w:color w:val="auto"/>
          <w:kern w:val="2"/>
          <w:szCs w:val="28"/>
          <w:highlight w:val="none"/>
        </w:rPr>
        <w:t>严禁贿赂</w:t>
      </w:r>
      <w:bookmarkEnd w:id="134"/>
      <w:bookmarkEnd w:id="135"/>
    </w:p>
    <w:bookmarkEnd w:id="136"/>
    <w:bookmarkEnd w:id="137"/>
    <w:bookmarkEnd w:id="138"/>
    <w:p w14:paraId="0BCA373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合同当事人不得以贿赂或变相贿赂的方式，谋取非法利益或损害对方权益。因一方合同当事人的贿赂造成对方损失的，应赔偿损失，并承担相应的法律责任。</w:t>
      </w:r>
    </w:p>
    <w:p w14:paraId="432E800E">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0BCEEA41">
      <w:pPr>
        <w:keepNext/>
        <w:keepLines/>
        <w:spacing w:line="360" w:lineRule="auto"/>
        <w:outlineLvl w:val="3"/>
        <w:rPr>
          <w:rFonts w:hAnsi="宋体" w:cs="Times New Roman"/>
          <w:b/>
          <w:bCs/>
          <w:color w:val="auto"/>
          <w:kern w:val="2"/>
          <w:szCs w:val="28"/>
          <w:highlight w:val="none"/>
        </w:rPr>
      </w:pPr>
      <w:bookmarkStart w:id="139" w:name="_Toc532839872"/>
      <w:bookmarkStart w:id="140" w:name="_Toc351203504"/>
      <w:r>
        <w:rPr>
          <w:rFonts w:hAnsi="宋体" w:cs="Times New Roman"/>
          <w:b/>
          <w:bCs/>
          <w:color w:val="auto"/>
          <w:kern w:val="2"/>
          <w:szCs w:val="28"/>
          <w:highlight w:val="none"/>
        </w:rPr>
        <w:t>1</w:t>
      </w:r>
      <w:bookmarkStart w:id="141" w:name="_Toc296346537"/>
      <w:bookmarkStart w:id="142" w:name="_Toc337558735"/>
      <w:bookmarkStart w:id="143" w:name="_Toc296503036"/>
      <w:r>
        <w:rPr>
          <w:rFonts w:hAnsi="宋体" w:cs="Times New Roman"/>
          <w:b/>
          <w:bCs/>
          <w:color w:val="auto"/>
          <w:kern w:val="2"/>
          <w:szCs w:val="28"/>
          <w:highlight w:val="none"/>
        </w:rPr>
        <w:t>.9</w:t>
      </w:r>
      <w:r>
        <w:rPr>
          <w:rFonts w:hint="eastAsia" w:hAnsi="宋体" w:cs="Times New Roman"/>
          <w:b/>
          <w:bCs/>
          <w:color w:val="auto"/>
          <w:kern w:val="2"/>
          <w:szCs w:val="28"/>
          <w:highlight w:val="none"/>
        </w:rPr>
        <w:t>化石、文物</w:t>
      </w:r>
      <w:bookmarkEnd w:id="139"/>
      <w:bookmarkEnd w:id="140"/>
    </w:p>
    <w:bookmarkEnd w:id="141"/>
    <w:bookmarkEnd w:id="142"/>
    <w:bookmarkEnd w:id="143"/>
    <w:p w14:paraId="6E29726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80DD6D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发包人、监理人和承包人应按有关政府行政管理部门要求采取妥善的保护措施，由此增加的费用和（或）延误的工期由发包人承担。</w:t>
      </w:r>
    </w:p>
    <w:p w14:paraId="39E2B159">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承包人发现文物后不及时报告或隐瞒不报，致使文物丢失或损坏的，应赔偿损失，并承担相应的法律责任。</w:t>
      </w:r>
    </w:p>
    <w:p w14:paraId="1053ABC6">
      <w:pPr>
        <w:keepNext/>
        <w:keepLines/>
        <w:spacing w:line="360" w:lineRule="auto"/>
        <w:outlineLvl w:val="3"/>
        <w:rPr>
          <w:rFonts w:hAnsi="宋体" w:cs="Times New Roman"/>
          <w:b/>
          <w:bCs/>
          <w:color w:val="auto"/>
          <w:kern w:val="2"/>
          <w:szCs w:val="28"/>
          <w:highlight w:val="none"/>
        </w:rPr>
      </w:pPr>
      <w:bookmarkStart w:id="144" w:name="_Toc532839873"/>
      <w:bookmarkStart w:id="145" w:name="_Toc351203505"/>
      <w:r>
        <w:rPr>
          <w:rFonts w:hAnsi="宋体" w:cs="Times New Roman"/>
          <w:b/>
          <w:bCs/>
          <w:color w:val="auto"/>
          <w:kern w:val="2"/>
          <w:szCs w:val="28"/>
          <w:highlight w:val="none"/>
        </w:rPr>
        <w:t>1</w:t>
      </w:r>
      <w:bookmarkStart w:id="146" w:name="_Toc337558736"/>
      <w:r>
        <w:rPr>
          <w:rFonts w:hAnsi="宋体" w:cs="Times New Roman"/>
          <w:b/>
          <w:bCs/>
          <w:color w:val="auto"/>
          <w:kern w:val="2"/>
          <w:szCs w:val="28"/>
          <w:highlight w:val="none"/>
        </w:rPr>
        <w:t>.10</w:t>
      </w:r>
      <w:r>
        <w:rPr>
          <w:rFonts w:hint="eastAsia" w:hAnsi="宋体"/>
          <w:b/>
          <w:bCs/>
          <w:color w:val="auto"/>
          <w:kern w:val="2"/>
          <w:szCs w:val="28"/>
          <w:highlight w:val="none"/>
        </w:rPr>
        <w:t>交通运输</w:t>
      </w:r>
      <w:bookmarkEnd w:id="144"/>
      <w:bookmarkEnd w:id="145"/>
    </w:p>
    <w:bookmarkEnd w:id="146"/>
    <w:p w14:paraId="7362D87D">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1.10.1 </w:t>
      </w:r>
      <w:r>
        <w:rPr>
          <w:rFonts w:hint="eastAsia" w:hAnsi="宋体" w:cs="Times New Roman"/>
          <w:color w:val="auto"/>
          <w:highlight w:val="none"/>
        </w:rPr>
        <w:t>出入现场的权利</w:t>
      </w:r>
    </w:p>
    <w:p w14:paraId="4B5F04AC">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0617BF1F">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2B185C3D">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1.10.2 </w:t>
      </w:r>
      <w:r>
        <w:rPr>
          <w:rFonts w:hint="eastAsia" w:hAnsi="宋体" w:cs="Times New Roman"/>
          <w:color w:val="auto"/>
          <w:highlight w:val="none"/>
        </w:rPr>
        <w:t>场外交通</w:t>
      </w:r>
    </w:p>
    <w:p w14:paraId="2FE2FA3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0F637015">
      <w:pPr>
        <w:spacing w:line="360" w:lineRule="auto"/>
        <w:ind w:firstLine="420" w:firstLineChars="200"/>
        <w:jc w:val="left"/>
        <w:rPr>
          <w:rFonts w:hAnsi="宋体" w:cs="Times New Roman"/>
          <w:color w:val="auto"/>
          <w:highlight w:val="none"/>
        </w:rPr>
      </w:pPr>
      <w:r>
        <w:rPr>
          <w:rFonts w:hAnsi="宋体" w:cs="Times New Roman"/>
          <w:color w:val="auto"/>
          <w:highlight w:val="none"/>
        </w:rPr>
        <w:t>1.10.3</w:t>
      </w:r>
      <w:r>
        <w:rPr>
          <w:rFonts w:hint="eastAsia" w:hAnsi="宋体" w:cs="Times New Roman"/>
          <w:color w:val="auto"/>
          <w:highlight w:val="none"/>
        </w:rPr>
        <w:t>场内交通</w:t>
      </w:r>
    </w:p>
    <w:p w14:paraId="39DF0F4D">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155D687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55A57CF9">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场外交通和场内交通的边界由合同当事人在专用合同条款中约定。</w:t>
      </w:r>
    </w:p>
    <w:p w14:paraId="78A6CFBA">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1.10.4 </w:t>
      </w:r>
      <w:r>
        <w:rPr>
          <w:rFonts w:hint="eastAsia" w:hAnsi="宋体" w:cs="Times New Roman"/>
          <w:color w:val="auto"/>
          <w:highlight w:val="none"/>
        </w:rPr>
        <w:t>超大件和超重件的运输</w:t>
      </w:r>
    </w:p>
    <w:p w14:paraId="22A1BD11">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1A7A69C">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1.10.5 </w:t>
      </w:r>
      <w:r>
        <w:rPr>
          <w:rFonts w:hint="eastAsia" w:hAnsi="宋体" w:cs="Times New Roman"/>
          <w:color w:val="auto"/>
          <w:highlight w:val="none"/>
        </w:rPr>
        <w:t>道路和桥梁的损坏责任</w:t>
      </w:r>
    </w:p>
    <w:p w14:paraId="0ACA55D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因承包人运输造成施工场地内外公共道路和桥梁损坏的，由承包人承担修复损坏的全部费用和可能引起的赔偿。</w:t>
      </w:r>
    </w:p>
    <w:p w14:paraId="10D83468">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1.10.6 </w:t>
      </w:r>
      <w:r>
        <w:rPr>
          <w:rFonts w:hint="eastAsia" w:hAnsi="宋体" w:cs="Times New Roman"/>
          <w:color w:val="auto"/>
          <w:highlight w:val="none"/>
        </w:rPr>
        <w:t>水路和航空运输</w:t>
      </w:r>
    </w:p>
    <w:p w14:paraId="3BBE22E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本款前述各项的内容适用于水路运输和航空运输，其中“道路”一词的涵义包括河道、航线、船闸、机场、码头、堤防以及水路或航空运输中其他相似结构物；“车辆”一词的涵义包括船舶和飞机等。</w:t>
      </w:r>
    </w:p>
    <w:p w14:paraId="0A64F6FE">
      <w:pPr>
        <w:keepNext/>
        <w:keepLines/>
        <w:spacing w:line="360" w:lineRule="auto"/>
        <w:outlineLvl w:val="3"/>
        <w:rPr>
          <w:rFonts w:hAnsi="宋体" w:cs="Times New Roman"/>
          <w:b/>
          <w:bCs/>
          <w:color w:val="auto"/>
          <w:kern w:val="2"/>
          <w:szCs w:val="28"/>
          <w:highlight w:val="none"/>
        </w:rPr>
      </w:pPr>
      <w:bookmarkStart w:id="147" w:name="_Toc351203506"/>
      <w:bookmarkStart w:id="148" w:name="_Toc532839874"/>
      <w:r>
        <w:rPr>
          <w:rFonts w:hAnsi="宋体" w:cs="Times New Roman"/>
          <w:b/>
          <w:bCs/>
          <w:color w:val="auto"/>
          <w:kern w:val="2"/>
          <w:szCs w:val="28"/>
          <w:highlight w:val="none"/>
        </w:rPr>
        <w:t>1</w:t>
      </w:r>
      <w:bookmarkStart w:id="149" w:name="_Toc337558737"/>
      <w:bookmarkStart w:id="150" w:name="_Toc296346538"/>
      <w:bookmarkStart w:id="151" w:name="_Toc296503037"/>
      <w:r>
        <w:rPr>
          <w:rFonts w:hAnsi="宋体" w:cs="Times New Roman"/>
          <w:b/>
          <w:bCs/>
          <w:color w:val="auto"/>
          <w:kern w:val="2"/>
          <w:szCs w:val="28"/>
          <w:highlight w:val="none"/>
        </w:rPr>
        <w:t>.11</w:t>
      </w:r>
      <w:r>
        <w:rPr>
          <w:rFonts w:hint="eastAsia" w:hAnsi="宋体"/>
          <w:b/>
          <w:bCs/>
          <w:color w:val="auto"/>
          <w:kern w:val="2"/>
          <w:szCs w:val="28"/>
          <w:highlight w:val="none"/>
        </w:rPr>
        <w:t>知识产权</w:t>
      </w:r>
      <w:bookmarkEnd w:id="147"/>
      <w:bookmarkEnd w:id="148"/>
      <w:r>
        <w:rPr>
          <w:rFonts w:hAnsi="宋体" w:cs="Times New Roman"/>
          <w:b/>
          <w:bCs/>
          <w:color w:val="auto"/>
          <w:kern w:val="2"/>
          <w:szCs w:val="28"/>
          <w:highlight w:val="none"/>
        </w:rPr>
        <w:t xml:space="preserve"> </w:t>
      </w:r>
      <w:bookmarkEnd w:id="149"/>
    </w:p>
    <w:bookmarkEnd w:id="150"/>
    <w:bookmarkEnd w:id="151"/>
    <w:p w14:paraId="76F7240D">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1.11.1 </w:t>
      </w:r>
      <w:r>
        <w:rPr>
          <w:rFonts w:hint="eastAsia" w:hAnsi="宋体" w:cs="Times New Roman"/>
          <w:color w:val="auto"/>
          <w:highlight w:val="none"/>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7FFE190">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1.11.2 </w:t>
      </w:r>
      <w:r>
        <w:rPr>
          <w:rFonts w:hint="eastAsia" w:hAnsi="宋体" w:cs="Times New Roman"/>
          <w:color w:val="auto"/>
          <w:highlight w:val="none"/>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09EA3781">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1.11.3 </w:t>
      </w:r>
      <w:r>
        <w:rPr>
          <w:rFonts w:hint="eastAsia" w:hAnsi="宋体" w:cs="Times New Roman"/>
          <w:color w:val="auto"/>
          <w:highlight w:val="none"/>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E60EDDC">
      <w:pPr>
        <w:rPr>
          <w:rFonts w:hAnsi="宋体" w:cs="Times New Roman"/>
          <w:color w:val="auto"/>
          <w:kern w:val="2"/>
          <w:highlight w:val="none"/>
        </w:rPr>
      </w:pPr>
      <w:r>
        <w:rPr>
          <w:rFonts w:hAnsi="宋体" w:cs="Times New Roman"/>
          <w:color w:val="auto"/>
          <w:highlight w:val="none"/>
        </w:rPr>
        <w:t xml:space="preserve">    </w:t>
      </w:r>
      <w:r>
        <w:rPr>
          <w:rFonts w:hAnsi="宋体" w:cs="Times New Roman"/>
          <w:color w:val="auto"/>
          <w:kern w:val="2"/>
          <w:highlight w:val="none"/>
        </w:rPr>
        <w:t xml:space="preserve">1.11.4 </w:t>
      </w:r>
      <w:r>
        <w:rPr>
          <w:rFonts w:hint="eastAsia" w:hAnsi="宋体" w:cs="Times New Roman"/>
          <w:color w:val="auto"/>
          <w:kern w:val="2"/>
          <w:highlight w:val="none"/>
        </w:rPr>
        <w:t>除专用合同条款另有约定外，承包人在合同签订前和签订时已确定采用的专利、专有技术、技术秘密的使用费已包含在签约合同价中。</w:t>
      </w:r>
    </w:p>
    <w:p w14:paraId="6624C46E">
      <w:pPr>
        <w:keepNext/>
        <w:keepLines/>
        <w:spacing w:line="360" w:lineRule="auto"/>
        <w:outlineLvl w:val="3"/>
        <w:rPr>
          <w:rFonts w:hAnsi="宋体" w:cs="Times New Roman"/>
          <w:b/>
          <w:bCs/>
          <w:color w:val="auto"/>
          <w:kern w:val="2"/>
          <w:szCs w:val="28"/>
          <w:highlight w:val="none"/>
        </w:rPr>
      </w:pPr>
      <w:bookmarkStart w:id="152" w:name="_Toc532839875"/>
      <w:bookmarkStart w:id="153" w:name="_Toc351203507"/>
      <w:r>
        <w:rPr>
          <w:rFonts w:hAnsi="宋体" w:cs="Times New Roman"/>
          <w:b/>
          <w:bCs/>
          <w:color w:val="auto"/>
          <w:kern w:val="2"/>
          <w:szCs w:val="28"/>
          <w:highlight w:val="none"/>
        </w:rPr>
        <w:t>1</w:t>
      </w:r>
      <w:bookmarkStart w:id="154" w:name="_Toc337558738"/>
      <w:r>
        <w:rPr>
          <w:rFonts w:hAnsi="宋体" w:cs="Times New Roman"/>
          <w:b/>
          <w:bCs/>
          <w:color w:val="auto"/>
          <w:kern w:val="2"/>
          <w:szCs w:val="28"/>
          <w:highlight w:val="none"/>
        </w:rPr>
        <w:t>.12</w:t>
      </w:r>
      <w:r>
        <w:rPr>
          <w:rFonts w:hint="eastAsia" w:hAnsi="宋体"/>
          <w:b/>
          <w:bCs/>
          <w:color w:val="auto"/>
          <w:kern w:val="2"/>
          <w:szCs w:val="28"/>
          <w:highlight w:val="none"/>
        </w:rPr>
        <w:t>保密</w:t>
      </w:r>
      <w:bookmarkEnd w:id="152"/>
      <w:bookmarkEnd w:id="153"/>
    </w:p>
    <w:bookmarkEnd w:id="154"/>
    <w:p w14:paraId="42C40DA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除法律规定或合同另有约定外，未经发包人同意，承包人不得将发包人提供的图纸、文件以及声明需要保密的资料信息等商业秘密泄露给第三方。</w:t>
      </w:r>
    </w:p>
    <w:p w14:paraId="49CDBD8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除法律规定或合同另有约定外，未经承包人同意，发包人不得将承包人提供的技术秘密及声明需要保密的资料信息等商业秘密泄露给第三方。</w:t>
      </w:r>
    </w:p>
    <w:p w14:paraId="73A6F4DF">
      <w:pPr>
        <w:keepNext/>
        <w:keepLines/>
        <w:spacing w:line="360" w:lineRule="auto"/>
        <w:outlineLvl w:val="3"/>
        <w:rPr>
          <w:rFonts w:hAnsi="宋体" w:cs="Times New Roman"/>
          <w:b/>
          <w:bCs/>
          <w:color w:val="auto"/>
          <w:kern w:val="2"/>
          <w:szCs w:val="28"/>
          <w:highlight w:val="none"/>
        </w:rPr>
      </w:pPr>
      <w:bookmarkStart w:id="155" w:name="_Toc532839876"/>
      <w:bookmarkStart w:id="156" w:name="_Toc351203508"/>
      <w:r>
        <w:rPr>
          <w:rFonts w:hAnsi="宋体" w:cs="Times New Roman"/>
          <w:b/>
          <w:bCs/>
          <w:color w:val="auto"/>
          <w:kern w:val="2"/>
          <w:szCs w:val="28"/>
          <w:highlight w:val="none"/>
        </w:rPr>
        <w:t>1.13</w:t>
      </w:r>
      <w:r>
        <w:rPr>
          <w:rFonts w:hint="eastAsia" w:hAnsi="宋体" w:cs="Times New Roman"/>
          <w:b/>
          <w:bCs/>
          <w:color w:val="auto"/>
          <w:kern w:val="2"/>
          <w:szCs w:val="28"/>
          <w:highlight w:val="none"/>
        </w:rPr>
        <w:t>工程量清单错误的修正</w:t>
      </w:r>
      <w:bookmarkEnd w:id="155"/>
      <w:bookmarkEnd w:id="156"/>
    </w:p>
    <w:p w14:paraId="732D015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除专用合同条款另有约定外，发包人提供的工程量清单，应被认为是准确的和完整的。出现下列情形之一时，发包人应予以修正，并相应调整合同价格：</w:t>
      </w:r>
    </w:p>
    <w:p w14:paraId="58D6F4A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）工程量清单存在缺项、漏项的；</w:t>
      </w:r>
    </w:p>
    <w:p w14:paraId="75301ED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）工程量清单偏差超出专用合同条款约定的工程量偏差范围的；</w:t>
      </w:r>
    </w:p>
    <w:p w14:paraId="7279FA4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）未按照国家现行计量规范强制性规定计量的。</w:t>
      </w:r>
    </w:p>
    <w:p w14:paraId="7E8336C4">
      <w:pPr>
        <w:keepNext/>
        <w:keepLines/>
        <w:spacing w:line="360" w:lineRule="auto"/>
        <w:outlineLvl w:val="2"/>
        <w:rPr>
          <w:rFonts w:hAnsi="宋体" w:cs="Times New Roman"/>
          <w:b/>
          <w:bCs/>
          <w:color w:val="auto"/>
          <w:kern w:val="2"/>
          <w:szCs w:val="32"/>
          <w:highlight w:val="none"/>
        </w:rPr>
      </w:pPr>
      <w:bookmarkStart w:id="157" w:name="_Toc351203509"/>
      <w:bookmarkStart w:id="158" w:name="_Toc527130419"/>
      <w:bookmarkStart w:id="159" w:name="_Toc532839877"/>
      <w:bookmarkStart w:id="160" w:name="_Toc512691373"/>
      <w:r>
        <w:rPr>
          <w:rFonts w:hAnsi="宋体" w:cs="Times New Roman"/>
          <w:b/>
          <w:bCs/>
          <w:color w:val="auto"/>
          <w:kern w:val="2"/>
          <w:szCs w:val="32"/>
          <w:highlight w:val="none"/>
        </w:rPr>
        <w:t>2</w:t>
      </w:r>
      <w:bookmarkStart w:id="161" w:name="_Toc296346539"/>
      <w:bookmarkStart w:id="162" w:name="_Toc296503038"/>
      <w:bookmarkStart w:id="163" w:name="_Toc337558739"/>
      <w:bookmarkStart w:id="164" w:name="OLE_LINK2"/>
      <w:r>
        <w:rPr>
          <w:rFonts w:hAnsi="宋体" w:cs="Times New Roman"/>
          <w:b/>
          <w:bCs/>
          <w:color w:val="auto"/>
          <w:kern w:val="2"/>
          <w:szCs w:val="32"/>
          <w:highlight w:val="none"/>
        </w:rPr>
        <w:t xml:space="preserve">. </w:t>
      </w:r>
      <w:r>
        <w:rPr>
          <w:rFonts w:hint="eastAsia" w:hAnsi="宋体"/>
          <w:b/>
          <w:bCs/>
          <w:color w:val="auto"/>
          <w:kern w:val="2"/>
          <w:szCs w:val="32"/>
          <w:highlight w:val="none"/>
        </w:rPr>
        <w:t>发包人</w:t>
      </w:r>
      <w:bookmarkEnd w:id="157"/>
      <w:bookmarkEnd w:id="158"/>
      <w:bookmarkEnd w:id="159"/>
      <w:bookmarkEnd w:id="160"/>
    </w:p>
    <w:bookmarkEnd w:id="161"/>
    <w:bookmarkEnd w:id="162"/>
    <w:bookmarkEnd w:id="163"/>
    <w:p w14:paraId="6E5B33F7">
      <w:pPr>
        <w:keepNext/>
        <w:keepLines/>
        <w:spacing w:line="360" w:lineRule="auto"/>
        <w:outlineLvl w:val="3"/>
        <w:rPr>
          <w:rFonts w:hAnsi="宋体" w:cs="Times New Roman"/>
          <w:b/>
          <w:bCs/>
          <w:color w:val="auto"/>
          <w:kern w:val="2"/>
          <w:szCs w:val="28"/>
          <w:highlight w:val="none"/>
        </w:rPr>
      </w:pPr>
      <w:bookmarkStart w:id="165" w:name="_Toc532839878"/>
      <w:bookmarkStart w:id="166" w:name="_Toc351203510"/>
      <w:r>
        <w:rPr>
          <w:rFonts w:hAnsi="宋体" w:cs="Times New Roman"/>
          <w:b/>
          <w:bCs/>
          <w:color w:val="auto"/>
          <w:kern w:val="2"/>
          <w:szCs w:val="28"/>
          <w:highlight w:val="none"/>
        </w:rPr>
        <w:t>2</w:t>
      </w:r>
      <w:bookmarkStart w:id="167" w:name="_Toc296346540"/>
      <w:bookmarkStart w:id="168" w:name="_Toc337558740"/>
      <w:bookmarkStart w:id="169" w:name="_Toc296503039"/>
      <w:r>
        <w:rPr>
          <w:rFonts w:hAnsi="宋体" w:cs="Times New Roman"/>
          <w:b/>
          <w:bCs/>
          <w:color w:val="auto"/>
          <w:kern w:val="2"/>
          <w:szCs w:val="28"/>
          <w:highlight w:val="none"/>
        </w:rPr>
        <w:t xml:space="preserve">.1 </w:t>
      </w:r>
      <w:r>
        <w:rPr>
          <w:rFonts w:hint="eastAsia" w:hAnsi="宋体"/>
          <w:b/>
          <w:bCs/>
          <w:color w:val="auto"/>
          <w:kern w:val="2"/>
          <w:szCs w:val="28"/>
          <w:highlight w:val="none"/>
        </w:rPr>
        <w:t>许可或批准</w:t>
      </w:r>
      <w:bookmarkEnd w:id="165"/>
      <w:bookmarkEnd w:id="166"/>
    </w:p>
    <w:p w14:paraId="7D4239C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3F2A70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因发包人原因未能及时办理完毕前述许可、批准或备案，由发包人承担由此增加的费用和（或）延误的工期，并支付承包人合理的利润。</w:t>
      </w:r>
    </w:p>
    <w:p w14:paraId="3CFAC7A9">
      <w:pPr>
        <w:keepNext/>
        <w:keepLines/>
        <w:spacing w:line="360" w:lineRule="auto"/>
        <w:outlineLvl w:val="3"/>
        <w:rPr>
          <w:rFonts w:hAnsi="宋体" w:cs="Times New Roman"/>
          <w:b/>
          <w:bCs/>
          <w:color w:val="auto"/>
          <w:kern w:val="2"/>
          <w:szCs w:val="28"/>
          <w:highlight w:val="none"/>
        </w:rPr>
      </w:pPr>
      <w:bookmarkStart w:id="170" w:name="_Toc351203511"/>
      <w:bookmarkStart w:id="171" w:name="_Toc532839879"/>
      <w:r>
        <w:rPr>
          <w:rFonts w:hAnsi="宋体" w:cs="Times New Roman"/>
          <w:b/>
          <w:bCs/>
          <w:color w:val="auto"/>
          <w:kern w:val="2"/>
          <w:szCs w:val="28"/>
          <w:highlight w:val="none"/>
        </w:rPr>
        <w:t xml:space="preserve">2.2 </w:t>
      </w:r>
      <w:r>
        <w:rPr>
          <w:rFonts w:hint="eastAsia" w:hAnsi="宋体"/>
          <w:b/>
          <w:bCs/>
          <w:color w:val="auto"/>
          <w:kern w:val="2"/>
          <w:szCs w:val="28"/>
          <w:highlight w:val="none"/>
        </w:rPr>
        <w:t>发包人代表</w:t>
      </w:r>
      <w:bookmarkEnd w:id="170"/>
      <w:bookmarkEnd w:id="171"/>
    </w:p>
    <w:p w14:paraId="6A3FE9A9">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Pr>
          <w:rFonts w:hAnsi="宋体" w:cs="Times New Roman"/>
          <w:color w:val="auto"/>
          <w:highlight w:val="none"/>
        </w:rPr>
        <w:t>7</w:t>
      </w:r>
      <w:r>
        <w:rPr>
          <w:rFonts w:hint="eastAsia" w:hAnsi="宋体" w:cs="Times New Roman"/>
          <w:color w:val="auto"/>
          <w:highlight w:val="none"/>
        </w:rPr>
        <w:t>天书面通知承包人。</w:t>
      </w:r>
    </w:p>
    <w:p w14:paraId="54B30A33">
      <w:pPr>
        <w:ind w:firstLine="420" w:firstLineChars="200"/>
        <w:rPr>
          <w:rFonts w:hAnsi="宋体" w:cs="Times New Roman"/>
          <w:color w:val="auto"/>
          <w:highlight w:val="none"/>
        </w:rPr>
      </w:pPr>
      <w:r>
        <w:rPr>
          <w:rFonts w:hint="eastAsia" w:hAnsi="宋体" w:cs="Times New Roman"/>
          <w:color w:val="auto"/>
          <w:highlight w:val="none"/>
        </w:rPr>
        <w:t>发包人代表不能按照合同约定履行其职责及义务，并导致合同无法继续正常履行的，承包人可以要求发包人撤换发包人代表。</w:t>
      </w:r>
    </w:p>
    <w:p w14:paraId="640E6BAE">
      <w:pPr>
        <w:ind w:firstLine="420" w:firstLineChars="200"/>
        <w:rPr>
          <w:rFonts w:hAnsi="宋体" w:cs="Times New Roman"/>
          <w:color w:val="auto"/>
          <w:kern w:val="2"/>
          <w:highlight w:val="none"/>
        </w:rPr>
      </w:pPr>
      <w:r>
        <w:rPr>
          <w:rFonts w:hint="eastAsia" w:hAnsi="宋体" w:cs="Times New Roman"/>
          <w:color w:val="auto"/>
          <w:highlight w:val="none"/>
        </w:rPr>
        <w:t>不属于法定必须监理的工程，监理人的职权可以由发包人代表或发包人指定的其他人员行使。</w:t>
      </w:r>
    </w:p>
    <w:p w14:paraId="7D02946D">
      <w:pPr>
        <w:keepNext/>
        <w:keepLines/>
        <w:spacing w:line="360" w:lineRule="auto"/>
        <w:outlineLvl w:val="3"/>
        <w:rPr>
          <w:rFonts w:hAnsi="宋体" w:cs="Times New Roman"/>
          <w:b/>
          <w:bCs/>
          <w:color w:val="auto"/>
          <w:kern w:val="2"/>
          <w:szCs w:val="28"/>
          <w:highlight w:val="none"/>
        </w:rPr>
      </w:pPr>
      <w:bookmarkStart w:id="172" w:name="_Toc532839880"/>
      <w:bookmarkStart w:id="173" w:name="_Toc351203512"/>
      <w:r>
        <w:rPr>
          <w:rFonts w:hAnsi="宋体" w:cs="Times New Roman"/>
          <w:b/>
          <w:bCs/>
          <w:color w:val="auto"/>
          <w:kern w:val="2"/>
          <w:szCs w:val="28"/>
          <w:highlight w:val="none"/>
        </w:rPr>
        <w:t xml:space="preserve">2.3 </w:t>
      </w:r>
      <w:r>
        <w:rPr>
          <w:rFonts w:hint="eastAsia" w:hAnsi="宋体"/>
          <w:b/>
          <w:bCs/>
          <w:color w:val="auto"/>
          <w:kern w:val="2"/>
          <w:szCs w:val="28"/>
          <w:highlight w:val="none"/>
        </w:rPr>
        <w:t>发包人人员</w:t>
      </w:r>
      <w:bookmarkEnd w:id="172"/>
      <w:bookmarkEnd w:id="173"/>
    </w:p>
    <w:p w14:paraId="0AFF2CF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发包人应要求在施工现场的发包人人员遵守法律及有关安全、质量、环境保护、文明施工等规定，并保障承包人免于承受因发包人人员未遵守上述要求给承包人造成的损失和责任。</w:t>
      </w:r>
    </w:p>
    <w:p w14:paraId="55BF3D7F">
      <w:pPr>
        <w:spacing w:line="360" w:lineRule="auto"/>
        <w:ind w:firstLine="640"/>
        <w:jc w:val="left"/>
        <w:rPr>
          <w:rFonts w:hAnsi="宋体" w:cs="Times New Roman"/>
          <w:color w:val="auto"/>
          <w:highlight w:val="none"/>
        </w:rPr>
      </w:pPr>
      <w:r>
        <w:rPr>
          <w:rFonts w:hint="eastAsia" w:hAnsi="宋体" w:cs="Times New Roman"/>
          <w:color w:val="auto"/>
          <w:highlight w:val="none"/>
        </w:rPr>
        <w:t>发包人人员包括发包人代表及其他由发包人派驻施工现场的人员。</w:t>
      </w:r>
      <w:bookmarkEnd w:id="167"/>
      <w:bookmarkEnd w:id="168"/>
      <w:bookmarkEnd w:id="169"/>
    </w:p>
    <w:p w14:paraId="145A4014">
      <w:pPr>
        <w:keepNext/>
        <w:keepLines/>
        <w:spacing w:line="360" w:lineRule="auto"/>
        <w:outlineLvl w:val="3"/>
        <w:rPr>
          <w:rFonts w:hAnsi="宋体" w:cs="Times New Roman"/>
          <w:b/>
          <w:bCs/>
          <w:color w:val="auto"/>
          <w:kern w:val="2"/>
          <w:szCs w:val="28"/>
          <w:highlight w:val="none"/>
        </w:rPr>
      </w:pPr>
      <w:bookmarkStart w:id="174" w:name="_Toc532839881"/>
      <w:bookmarkStart w:id="175" w:name="_Toc351203513"/>
      <w:r>
        <w:rPr>
          <w:rFonts w:hAnsi="宋体" w:cs="Times New Roman"/>
          <w:b/>
          <w:bCs/>
          <w:color w:val="auto"/>
          <w:kern w:val="2"/>
          <w:szCs w:val="28"/>
          <w:highlight w:val="none"/>
        </w:rPr>
        <w:t>2</w:t>
      </w:r>
      <w:bookmarkStart w:id="176" w:name="_Toc296346541"/>
      <w:bookmarkStart w:id="177" w:name="_Toc337558741"/>
      <w:bookmarkStart w:id="178" w:name="_Toc296503040"/>
      <w:r>
        <w:rPr>
          <w:rFonts w:hAnsi="宋体" w:cs="Times New Roman"/>
          <w:b/>
          <w:bCs/>
          <w:color w:val="auto"/>
          <w:kern w:val="2"/>
          <w:szCs w:val="28"/>
          <w:highlight w:val="none"/>
        </w:rPr>
        <w:t xml:space="preserve">.4 </w:t>
      </w:r>
      <w:r>
        <w:rPr>
          <w:rFonts w:hint="eastAsia" w:hAnsi="宋体" w:cs="Times New Roman"/>
          <w:b/>
          <w:bCs/>
          <w:color w:val="auto"/>
          <w:kern w:val="2"/>
          <w:szCs w:val="28"/>
          <w:highlight w:val="none"/>
        </w:rPr>
        <w:t>施工现场、施工条件和基础资料的提供</w:t>
      </w:r>
      <w:bookmarkEnd w:id="174"/>
      <w:bookmarkEnd w:id="175"/>
      <w:r>
        <w:rPr>
          <w:rFonts w:hAnsi="宋体" w:cs="Times New Roman"/>
          <w:b/>
          <w:bCs/>
          <w:color w:val="auto"/>
          <w:kern w:val="2"/>
          <w:szCs w:val="28"/>
          <w:highlight w:val="none"/>
        </w:rPr>
        <w:t xml:space="preserve"> </w:t>
      </w:r>
      <w:bookmarkEnd w:id="176"/>
      <w:bookmarkEnd w:id="177"/>
      <w:bookmarkEnd w:id="178"/>
      <w:r>
        <w:rPr>
          <w:rFonts w:hAnsi="宋体" w:cs="Times New Roman"/>
          <w:b/>
          <w:bCs/>
          <w:color w:val="auto"/>
          <w:kern w:val="2"/>
          <w:szCs w:val="28"/>
          <w:highlight w:val="none"/>
        </w:rPr>
        <w:t xml:space="preserve"> </w:t>
      </w:r>
    </w:p>
    <w:p w14:paraId="35CBF4BC">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2.4.1 </w:t>
      </w:r>
      <w:r>
        <w:rPr>
          <w:rFonts w:hint="eastAsia" w:hAnsi="宋体" w:cs="Times New Roman"/>
          <w:color w:val="auto"/>
          <w:highlight w:val="none"/>
        </w:rPr>
        <w:t>提供施工现场</w:t>
      </w:r>
    </w:p>
    <w:p w14:paraId="1074D6C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w:t>
      </w:r>
      <w:bookmarkEnd w:id="164"/>
      <w:r>
        <w:rPr>
          <w:rFonts w:hint="eastAsia" w:hAnsi="宋体" w:cs="Times New Roman"/>
          <w:color w:val="auto"/>
          <w:highlight w:val="none"/>
        </w:rPr>
        <w:t>专用合同条款另有约定外，发包人应最迟于开工日期</w:t>
      </w:r>
      <w:r>
        <w:rPr>
          <w:rFonts w:hAnsi="宋体" w:cs="Times New Roman"/>
          <w:color w:val="auto"/>
          <w:highlight w:val="none"/>
        </w:rPr>
        <w:t>7</w:t>
      </w:r>
      <w:r>
        <w:rPr>
          <w:rFonts w:hint="eastAsia" w:hAnsi="宋体" w:cs="Times New Roman"/>
          <w:color w:val="auto"/>
          <w:highlight w:val="none"/>
        </w:rPr>
        <w:t>天前向承包人移交施工现场。</w:t>
      </w:r>
    </w:p>
    <w:p w14:paraId="70CE69FD">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2.4.2 </w:t>
      </w:r>
      <w:r>
        <w:rPr>
          <w:rFonts w:hint="eastAsia" w:hAnsi="宋体" w:cs="Times New Roman"/>
          <w:color w:val="auto"/>
          <w:highlight w:val="none"/>
        </w:rPr>
        <w:t>提供施工条件</w:t>
      </w:r>
    </w:p>
    <w:p w14:paraId="21B5AD4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除专用合同条款另有约定外，发包人应负责提供施工所需要的条件，包括：</w:t>
      </w:r>
    </w:p>
    <w:p w14:paraId="40166F6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）将施工用水、电力、通讯线路等施工所必需的条件接至施工现场内；</w:t>
      </w:r>
    </w:p>
    <w:p w14:paraId="5220791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）保证向承包人提供正常施工所需要的进入施工现场的交通条件；</w:t>
      </w:r>
    </w:p>
    <w:p w14:paraId="6D32651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）协调处理施工现场周围地下管线和邻近建筑物、构筑物、古树名木的保护工作，并承担相关费用；</w:t>
      </w:r>
    </w:p>
    <w:p w14:paraId="2941593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）按照专用合同条款约定应提供的其他设施和条件。</w:t>
      </w:r>
    </w:p>
    <w:p w14:paraId="69AB436D">
      <w:pPr>
        <w:autoSpaceDE w:val="0"/>
        <w:autoSpaceDN w:val="0"/>
        <w:adjustRightInd w:val="0"/>
        <w:spacing w:line="360" w:lineRule="auto"/>
        <w:ind w:firstLine="420" w:firstLineChars="200"/>
        <w:jc w:val="left"/>
        <w:rPr>
          <w:rFonts w:hAnsi="宋体" w:cs="Times New Roman"/>
          <w:color w:val="auto"/>
          <w:kern w:val="2"/>
          <w:highlight w:val="none"/>
        </w:rPr>
      </w:pPr>
      <w:r>
        <w:rPr>
          <w:rFonts w:hAnsi="宋体" w:cs="Times New Roman"/>
          <w:color w:val="auto"/>
          <w:highlight w:val="none"/>
        </w:rPr>
        <w:t xml:space="preserve">2.4.3 </w:t>
      </w:r>
      <w:r>
        <w:rPr>
          <w:rFonts w:hint="eastAsia" w:hAnsi="宋体" w:cs="Times New Roman"/>
          <w:color w:val="auto"/>
          <w:highlight w:val="none"/>
        </w:rPr>
        <w:t>提供基础资料</w:t>
      </w:r>
    </w:p>
    <w:p w14:paraId="6B1A1C4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5BC1738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按照法律规定确需在开工后方能提供的基础资料，发包人应尽其努力及时地在相应工程施工前的合理期限内提供，合理期限应以不影响承包人的正常施工为限。</w:t>
      </w:r>
    </w:p>
    <w:p w14:paraId="2DB2C169">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2.4.4 </w:t>
      </w:r>
      <w:r>
        <w:rPr>
          <w:rFonts w:hint="eastAsia" w:hAnsi="宋体" w:cs="Times New Roman"/>
          <w:color w:val="auto"/>
          <w:highlight w:val="none"/>
        </w:rPr>
        <w:t>逾期提供的责任</w:t>
      </w:r>
    </w:p>
    <w:p w14:paraId="311A9F4E">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因发包人原因未能按合同约定及时向承包人提供施工现场、施工条件、基础资料的，由发包人承担由此增加的费用和（或）延误的工期。</w:t>
      </w:r>
    </w:p>
    <w:p w14:paraId="7AC7BDBB">
      <w:pPr>
        <w:keepNext/>
        <w:keepLines/>
        <w:spacing w:line="360" w:lineRule="auto"/>
        <w:outlineLvl w:val="3"/>
        <w:rPr>
          <w:rFonts w:hAnsi="宋体" w:cs="Times New Roman"/>
          <w:b/>
          <w:bCs/>
          <w:color w:val="auto"/>
          <w:kern w:val="2"/>
          <w:szCs w:val="28"/>
          <w:highlight w:val="none"/>
        </w:rPr>
      </w:pPr>
      <w:bookmarkStart w:id="179" w:name="_Toc351203514"/>
      <w:bookmarkStart w:id="180" w:name="_Toc532839882"/>
      <w:r>
        <w:rPr>
          <w:rFonts w:hAnsi="宋体" w:cs="Times New Roman"/>
          <w:b/>
          <w:bCs/>
          <w:color w:val="auto"/>
          <w:kern w:val="2"/>
          <w:szCs w:val="28"/>
          <w:highlight w:val="none"/>
        </w:rPr>
        <w:t>2</w:t>
      </w:r>
      <w:bookmarkStart w:id="181" w:name="_Toc296346543"/>
      <w:bookmarkStart w:id="182" w:name="_Toc337558745"/>
      <w:bookmarkStart w:id="183" w:name="_Toc296503042"/>
      <w:r>
        <w:rPr>
          <w:rFonts w:hAnsi="宋体" w:cs="Times New Roman"/>
          <w:b/>
          <w:bCs/>
          <w:color w:val="auto"/>
          <w:kern w:val="2"/>
          <w:szCs w:val="28"/>
          <w:highlight w:val="none"/>
        </w:rPr>
        <w:t xml:space="preserve">.5 </w:t>
      </w:r>
      <w:r>
        <w:rPr>
          <w:rFonts w:hint="eastAsia" w:hAnsi="宋体" w:cs="Times New Roman"/>
          <w:b/>
          <w:bCs/>
          <w:color w:val="auto"/>
          <w:kern w:val="2"/>
          <w:szCs w:val="28"/>
          <w:highlight w:val="none"/>
        </w:rPr>
        <w:t>资</w:t>
      </w:r>
      <w:bookmarkEnd w:id="181"/>
      <w:bookmarkEnd w:id="182"/>
      <w:bookmarkEnd w:id="183"/>
      <w:r>
        <w:rPr>
          <w:rFonts w:hint="eastAsia" w:hAnsi="宋体" w:cs="Times New Roman"/>
          <w:b/>
          <w:bCs/>
          <w:color w:val="auto"/>
          <w:kern w:val="2"/>
          <w:szCs w:val="28"/>
          <w:highlight w:val="none"/>
        </w:rPr>
        <w:t>金来源证明及支付担保</w:t>
      </w:r>
      <w:bookmarkEnd w:id="179"/>
      <w:bookmarkEnd w:id="180"/>
    </w:p>
    <w:p w14:paraId="66383A27">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除专用合同条款另有约定外，发包人应在收到承包人要求提供资金来源证明的书面通知后</w:t>
      </w:r>
      <w:r>
        <w:rPr>
          <w:rFonts w:hAnsi="宋体" w:cs="Times New Roman"/>
          <w:color w:val="auto"/>
          <w:highlight w:val="none"/>
        </w:rPr>
        <w:t>28</w:t>
      </w:r>
      <w:r>
        <w:rPr>
          <w:rFonts w:hint="eastAsia" w:hAnsi="宋体" w:cs="Times New Roman"/>
          <w:color w:val="auto"/>
          <w:highlight w:val="none"/>
        </w:rPr>
        <w:t>天内，向承包人提供能够按照合同约定支付合同价款的相应资金来源证明。</w:t>
      </w:r>
    </w:p>
    <w:p w14:paraId="145F604B">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29EE85AA">
      <w:pPr>
        <w:keepNext/>
        <w:keepLines/>
        <w:spacing w:line="360" w:lineRule="auto"/>
        <w:outlineLvl w:val="3"/>
        <w:rPr>
          <w:rFonts w:hAnsi="宋体" w:cs="Times New Roman"/>
          <w:b/>
          <w:bCs/>
          <w:color w:val="auto"/>
          <w:kern w:val="2"/>
          <w:szCs w:val="28"/>
          <w:highlight w:val="none"/>
        </w:rPr>
      </w:pPr>
      <w:bookmarkStart w:id="184" w:name="_Toc532839883"/>
      <w:bookmarkStart w:id="185" w:name="_Toc351203515"/>
      <w:r>
        <w:rPr>
          <w:rFonts w:hAnsi="宋体" w:cs="Times New Roman"/>
          <w:b/>
          <w:bCs/>
          <w:color w:val="auto"/>
          <w:kern w:val="2"/>
          <w:szCs w:val="28"/>
          <w:highlight w:val="none"/>
        </w:rPr>
        <w:t xml:space="preserve">2.6 </w:t>
      </w:r>
      <w:r>
        <w:rPr>
          <w:rFonts w:hint="eastAsia" w:hAnsi="宋体" w:cs="Times New Roman"/>
          <w:b/>
          <w:bCs/>
          <w:color w:val="auto"/>
          <w:kern w:val="2"/>
          <w:szCs w:val="28"/>
          <w:highlight w:val="none"/>
        </w:rPr>
        <w:t>支付合同价款</w:t>
      </w:r>
      <w:bookmarkEnd w:id="184"/>
      <w:bookmarkEnd w:id="185"/>
    </w:p>
    <w:p w14:paraId="187BAAE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发包人应按合同约定向承包人及时支付合同价款。</w:t>
      </w:r>
    </w:p>
    <w:p w14:paraId="0E64E059">
      <w:pPr>
        <w:keepNext/>
        <w:keepLines/>
        <w:spacing w:line="360" w:lineRule="auto"/>
        <w:outlineLvl w:val="3"/>
        <w:rPr>
          <w:rFonts w:hAnsi="宋体" w:cs="Times New Roman"/>
          <w:b/>
          <w:bCs/>
          <w:color w:val="auto"/>
          <w:kern w:val="2"/>
          <w:szCs w:val="28"/>
          <w:highlight w:val="none"/>
        </w:rPr>
      </w:pPr>
      <w:bookmarkStart w:id="186" w:name="_Toc351203516"/>
      <w:bookmarkStart w:id="187" w:name="_Toc532839884"/>
      <w:r>
        <w:rPr>
          <w:rFonts w:hAnsi="宋体" w:cs="Times New Roman"/>
          <w:b/>
          <w:bCs/>
          <w:color w:val="auto"/>
          <w:kern w:val="2"/>
          <w:szCs w:val="28"/>
          <w:highlight w:val="none"/>
        </w:rPr>
        <w:t xml:space="preserve">2.7 </w:t>
      </w:r>
      <w:r>
        <w:rPr>
          <w:rFonts w:hint="eastAsia" w:hAnsi="宋体" w:cs="Times New Roman"/>
          <w:b/>
          <w:bCs/>
          <w:color w:val="auto"/>
          <w:kern w:val="2"/>
          <w:szCs w:val="28"/>
          <w:highlight w:val="none"/>
        </w:rPr>
        <w:t>组织竣工验收</w:t>
      </w:r>
      <w:bookmarkEnd w:id="186"/>
      <w:bookmarkEnd w:id="187"/>
    </w:p>
    <w:p w14:paraId="400FFFC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发包人应按合同约定及时组织竣工验收。</w:t>
      </w:r>
    </w:p>
    <w:p w14:paraId="6DEDA7B4">
      <w:pPr>
        <w:keepNext/>
        <w:keepLines/>
        <w:spacing w:line="360" w:lineRule="auto"/>
        <w:outlineLvl w:val="3"/>
        <w:rPr>
          <w:rFonts w:hAnsi="宋体" w:cs="Times New Roman"/>
          <w:b/>
          <w:bCs/>
          <w:color w:val="auto"/>
          <w:kern w:val="2"/>
          <w:szCs w:val="28"/>
          <w:highlight w:val="none"/>
        </w:rPr>
      </w:pPr>
      <w:bookmarkStart w:id="188" w:name="_Toc351203517"/>
      <w:bookmarkStart w:id="189" w:name="_Toc532839885"/>
      <w:r>
        <w:rPr>
          <w:rFonts w:hAnsi="宋体" w:cs="Times New Roman"/>
          <w:b/>
          <w:bCs/>
          <w:color w:val="auto"/>
          <w:kern w:val="2"/>
          <w:szCs w:val="28"/>
          <w:highlight w:val="none"/>
        </w:rPr>
        <w:t xml:space="preserve">2.8 </w:t>
      </w:r>
      <w:r>
        <w:rPr>
          <w:rFonts w:hint="eastAsia" w:hAnsi="宋体" w:cs="Times New Roman"/>
          <w:b/>
          <w:bCs/>
          <w:color w:val="auto"/>
          <w:kern w:val="2"/>
          <w:szCs w:val="28"/>
          <w:highlight w:val="none"/>
        </w:rPr>
        <w:t>现场统一管理协议</w:t>
      </w:r>
      <w:bookmarkEnd w:id="188"/>
      <w:bookmarkEnd w:id="189"/>
    </w:p>
    <w:p w14:paraId="484F061D">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发包人应与承包人、由发包人直接发包的专业工程的承包人签订施工现场统一管理协议，明确各方的权利义务。施工现场统一管理协议作为专用合同条款的附件。</w:t>
      </w:r>
    </w:p>
    <w:p w14:paraId="033B5ED8">
      <w:pPr>
        <w:keepNext/>
        <w:keepLines/>
        <w:spacing w:line="360" w:lineRule="auto"/>
        <w:outlineLvl w:val="2"/>
        <w:rPr>
          <w:rFonts w:hAnsi="宋体" w:cs="Times New Roman"/>
          <w:b/>
          <w:bCs/>
          <w:color w:val="auto"/>
          <w:kern w:val="2"/>
          <w:szCs w:val="32"/>
          <w:highlight w:val="none"/>
        </w:rPr>
      </w:pPr>
      <w:bookmarkStart w:id="190" w:name="_Toc527130420"/>
      <w:bookmarkStart w:id="191" w:name="_Toc512691374"/>
      <w:bookmarkStart w:id="192" w:name="_Toc351203518"/>
      <w:bookmarkStart w:id="193" w:name="_Toc532839886"/>
      <w:r>
        <w:rPr>
          <w:rFonts w:hAnsi="宋体" w:cs="Times New Roman"/>
          <w:b/>
          <w:bCs/>
          <w:color w:val="auto"/>
          <w:kern w:val="2"/>
          <w:szCs w:val="32"/>
          <w:highlight w:val="none"/>
        </w:rPr>
        <w:t>3</w:t>
      </w:r>
      <w:bookmarkStart w:id="194" w:name="_Toc296503045"/>
      <w:bookmarkStart w:id="195" w:name="_Toc296346546"/>
      <w:bookmarkStart w:id="196" w:name="_Toc337558746"/>
      <w:r>
        <w:rPr>
          <w:rFonts w:hAnsi="宋体" w:cs="Times New Roman"/>
          <w:b/>
          <w:bCs/>
          <w:color w:val="auto"/>
          <w:kern w:val="2"/>
          <w:szCs w:val="32"/>
          <w:highlight w:val="none"/>
        </w:rPr>
        <w:t xml:space="preserve">. </w:t>
      </w:r>
      <w:r>
        <w:rPr>
          <w:rFonts w:hint="eastAsia" w:hAnsi="宋体"/>
          <w:b/>
          <w:bCs/>
          <w:color w:val="auto"/>
          <w:kern w:val="2"/>
          <w:szCs w:val="32"/>
          <w:highlight w:val="none"/>
        </w:rPr>
        <w:t>承包人</w:t>
      </w:r>
      <w:bookmarkEnd w:id="190"/>
      <w:bookmarkEnd w:id="191"/>
      <w:bookmarkEnd w:id="192"/>
      <w:bookmarkEnd w:id="193"/>
    </w:p>
    <w:bookmarkEnd w:id="194"/>
    <w:bookmarkEnd w:id="195"/>
    <w:bookmarkEnd w:id="196"/>
    <w:p w14:paraId="69DBFFFC">
      <w:pPr>
        <w:keepNext/>
        <w:keepLines/>
        <w:spacing w:line="360" w:lineRule="auto"/>
        <w:outlineLvl w:val="3"/>
        <w:rPr>
          <w:rFonts w:hAnsi="宋体" w:cs="Times New Roman"/>
          <w:b/>
          <w:bCs/>
          <w:color w:val="auto"/>
          <w:kern w:val="2"/>
          <w:szCs w:val="28"/>
          <w:highlight w:val="none"/>
        </w:rPr>
      </w:pPr>
      <w:bookmarkStart w:id="197" w:name="_Toc351203519"/>
      <w:bookmarkStart w:id="198" w:name="_Toc532839887"/>
      <w:r>
        <w:rPr>
          <w:rFonts w:hAnsi="宋体" w:cs="Times New Roman"/>
          <w:b/>
          <w:bCs/>
          <w:color w:val="auto"/>
          <w:kern w:val="2"/>
          <w:szCs w:val="28"/>
          <w:highlight w:val="none"/>
        </w:rPr>
        <w:t>3</w:t>
      </w:r>
      <w:bookmarkStart w:id="199" w:name="_Toc296503046"/>
      <w:bookmarkStart w:id="200" w:name="_Toc296346547"/>
      <w:bookmarkStart w:id="201" w:name="_Toc337558747"/>
      <w:r>
        <w:rPr>
          <w:rFonts w:hAnsi="宋体" w:cs="Times New Roman"/>
          <w:b/>
          <w:bCs/>
          <w:color w:val="auto"/>
          <w:kern w:val="2"/>
          <w:szCs w:val="28"/>
          <w:highlight w:val="none"/>
        </w:rPr>
        <w:t xml:space="preserve">.1 </w:t>
      </w:r>
      <w:r>
        <w:rPr>
          <w:rFonts w:hint="eastAsia" w:hAnsi="宋体" w:cs="Times New Roman"/>
          <w:b/>
          <w:bCs/>
          <w:color w:val="auto"/>
          <w:kern w:val="2"/>
          <w:szCs w:val="28"/>
          <w:highlight w:val="none"/>
        </w:rPr>
        <w:t>承包人的一般义务</w:t>
      </w:r>
      <w:bookmarkEnd w:id="197"/>
      <w:bookmarkEnd w:id="198"/>
    </w:p>
    <w:bookmarkEnd w:id="199"/>
    <w:bookmarkEnd w:id="200"/>
    <w:bookmarkEnd w:id="201"/>
    <w:p w14:paraId="525D4D6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承包人在履行合同过程中应遵守法律和工程建设标准规范，并履行以下义务：</w:t>
      </w:r>
    </w:p>
    <w:p w14:paraId="7441F409">
      <w:pPr>
        <w:numPr>
          <w:ilvl w:val="0"/>
          <w:numId w:val="5"/>
        </w:num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办理法律规定应由承包人办理的许可和批准，并将办理结果书面报送发包人留存；</w:t>
      </w:r>
    </w:p>
    <w:p w14:paraId="47F8305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）按法律规定和合同约定完成工程，并在保修期内承担保修义务；</w:t>
      </w:r>
    </w:p>
    <w:p w14:paraId="5F71B2C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）按法律规定和合同约定采取施工安全和环境保护措施，办理工伤保险，确保工程及人员、材料、设备和设施的安全；</w:t>
      </w:r>
    </w:p>
    <w:p w14:paraId="3D8C9FA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）按合同约定的工作内容和施工进度要求，编制施工组织设计和施工措施计划，并对所有施工作业和施工方法的完备性和安全可靠性负责；</w:t>
      </w:r>
    </w:p>
    <w:p w14:paraId="23CE429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F8AF46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6</w:t>
      </w:r>
      <w:r>
        <w:rPr>
          <w:rFonts w:hint="eastAsia" w:hAnsi="宋体" w:cs="Times New Roman"/>
          <w:color w:val="auto"/>
          <w:highlight w:val="none"/>
        </w:rPr>
        <w:t>）按照第</w:t>
      </w:r>
      <w:r>
        <w:rPr>
          <w:rFonts w:hAnsi="宋体" w:cs="Times New Roman"/>
          <w:color w:val="auto"/>
          <w:highlight w:val="none"/>
        </w:rPr>
        <w:t>6.3</w:t>
      </w:r>
      <w:r>
        <w:rPr>
          <w:rFonts w:hint="eastAsia" w:hAnsi="宋体" w:cs="Times New Roman"/>
          <w:color w:val="auto"/>
          <w:highlight w:val="none"/>
        </w:rPr>
        <w:t>款〔环境保护〕约定负责施工场地及其周边环境与生态的保护工作；</w:t>
      </w:r>
    </w:p>
    <w:p w14:paraId="77B7014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7</w:t>
      </w:r>
      <w:r>
        <w:rPr>
          <w:rFonts w:hint="eastAsia" w:hAnsi="宋体" w:cs="Times New Roman"/>
          <w:color w:val="auto"/>
          <w:highlight w:val="none"/>
        </w:rPr>
        <w:t>）按第</w:t>
      </w:r>
      <w:r>
        <w:rPr>
          <w:rFonts w:hAnsi="宋体" w:cs="Times New Roman"/>
          <w:color w:val="auto"/>
          <w:highlight w:val="none"/>
        </w:rPr>
        <w:t>6.1</w:t>
      </w:r>
      <w:r>
        <w:rPr>
          <w:rFonts w:hint="eastAsia" w:hAnsi="宋体" w:cs="Times New Roman"/>
          <w:color w:val="auto"/>
          <w:highlight w:val="none"/>
        </w:rPr>
        <w:t>款〔安全文明施工〕约定采取施工安全措施，确保工程及其人员、材料、设备和设施的安全，防止因工程施工造成的人身伤害和财产损失；</w:t>
      </w:r>
    </w:p>
    <w:p w14:paraId="380FF7E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8</w:t>
      </w:r>
      <w:r>
        <w:rPr>
          <w:rFonts w:hint="eastAsia" w:hAnsi="宋体" w:cs="Times New Roman"/>
          <w:color w:val="auto"/>
          <w:highlight w:val="none"/>
        </w:rPr>
        <w:t>）将发包人按合同约定支付的各项价款专用于合同工程，且应及时支付其雇用人员工资，并及时向分包人支付合同价款；</w:t>
      </w:r>
    </w:p>
    <w:p w14:paraId="6C85478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9</w:t>
      </w:r>
      <w:r>
        <w:rPr>
          <w:rFonts w:hint="eastAsia" w:hAnsi="宋体" w:cs="Times New Roman"/>
          <w:color w:val="auto"/>
          <w:highlight w:val="none"/>
        </w:rPr>
        <w:t>）按照法律规定和合同约定编制竣工资料，完成竣工资料立卷及归档，并按专用合同条款约定的竣工资料的套数、内容、时间等要求移交发包人；</w:t>
      </w:r>
    </w:p>
    <w:p w14:paraId="67545F3E">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10</w:t>
      </w:r>
      <w:r>
        <w:rPr>
          <w:rFonts w:hint="eastAsia" w:hAnsi="宋体" w:cs="Times New Roman"/>
          <w:color w:val="auto"/>
          <w:highlight w:val="none"/>
        </w:rPr>
        <w:t>）应履行的其他义务。</w:t>
      </w:r>
    </w:p>
    <w:p w14:paraId="31C77703">
      <w:pPr>
        <w:keepNext/>
        <w:keepLines/>
        <w:spacing w:line="360" w:lineRule="auto"/>
        <w:outlineLvl w:val="3"/>
        <w:rPr>
          <w:rFonts w:hAnsi="宋体" w:cs="Times New Roman"/>
          <w:b/>
          <w:bCs/>
          <w:color w:val="auto"/>
          <w:kern w:val="2"/>
          <w:szCs w:val="28"/>
          <w:highlight w:val="none"/>
        </w:rPr>
      </w:pPr>
      <w:bookmarkStart w:id="202" w:name="_Toc351203520"/>
      <w:bookmarkStart w:id="203" w:name="_Toc532839888"/>
      <w:r>
        <w:rPr>
          <w:rFonts w:hAnsi="宋体" w:cs="Times New Roman"/>
          <w:b/>
          <w:bCs/>
          <w:color w:val="auto"/>
          <w:kern w:val="2"/>
          <w:szCs w:val="28"/>
          <w:highlight w:val="none"/>
        </w:rPr>
        <w:t>3</w:t>
      </w:r>
      <w:bookmarkStart w:id="204" w:name="_Toc296503047"/>
      <w:bookmarkStart w:id="205" w:name="_Toc337558748"/>
      <w:bookmarkStart w:id="206" w:name="_Toc296346548"/>
      <w:r>
        <w:rPr>
          <w:rFonts w:hAnsi="宋体" w:cs="Times New Roman"/>
          <w:b/>
          <w:bCs/>
          <w:color w:val="auto"/>
          <w:kern w:val="2"/>
          <w:szCs w:val="28"/>
          <w:highlight w:val="none"/>
        </w:rPr>
        <w:t xml:space="preserve">.2 </w:t>
      </w:r>
      <w:bookmarkEnd w:id="202"/>
      <w:r>
        <w:rPr>
          <w:rFonts w:hint="eastAsia" w:hAnsi="宋体"/>
          <w:b/>
          <w:bCs/>
          <w:color w:val="auto"/>
          <w:kern w:val="2"/>
          <w:szCs w:val="28"/>
          <w:highlight w:val="none"/>
        </w:rPr>
        <w:t>项目经理</w:t>
      </w:r>
      <w:bookmarkEnd w:id="203"/>
    </w:p>
    <w:bookmarkEnd w:id="204"/>
    <w:bookmarkEnd w:id="205"/>
    <w:bookmarkEnd w:id="206"/>
    <w:p w14:paraId="418E318F">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3.2.1 </w:t>
      </w:r>
      <w:r>
        <w:rPr>
          <w:rFonts w:hint="eastAsia" w:hAnsi="宋体" w:cs="Times New Roman"/>
          <w:color w:val="auto"/>
          <w:highlight w:val="none"/>
        </w:rPr>
        <w:t>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5E5C07F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64E6DC6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承包人违反上述约定的，应按照专用合同条款的约定，承担违约责任。</w:t>
      </w:r>
    </w:p>
    <w:p w14:paraId="3851DF43">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3.2.2 </w:t>
      </w:r>
      <w:r>
        <w:rPr>
          <w:rFonts w:hint="eastAsia" w:hAnsi="宋体" w:cs="Times New Roman"/>
          <w:color w:val="auto"/>
          <w:highlight w:val="none"/>
        </w:rPr>
        <w:t>项目经理按合同约定组织工程实施。在紧急情况下为确保施工安全和人员安全，在无法与发包人代表和总监理工程师及时取得联系时，项目经理有权采取必要的措施保证与工程有关的人身、财产和工程的安全，但应在</w:t>
      </w:r>
      <w:r>
        <w:rPr>
          <w:rFonts w:hAnsi="宋体" w:cs="Times New Roman"/>
          <w:color w:val="auto"/>
          <w:highlight w:val="none"/>
        </w:rPr>
        <w:t>48</w:t>
      </w:r>
      <w:r>
        <w:rPr>
          <w:rFonts w:hint="eastAsia" w:hAnsi="宋体" w:cs="Times New Roman"/>
          <w:color w:val="auto"/>
          <w:highlight w:val="none"/>
        </w:rPr>
        <w:t>小时内向发包人代表和总监理工程师提交书面报告。</w:t>
      </w:r>
    </w:p>
    <w:p w14:paraId="527F3447">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3.2.3 </w:t>
      </w:r>
      <w:r>
        <w:rPr>
          <w:rFonts w:hint="eastAsia" w:hAnsi="宋体" w:cs="Times New Roman"/>
          <w:color w:val="auto"/>
          <w:highlight w:val="none"/>
        </w:rPr>
        <w:t>承包人需要更换项目经理的，应提前</w:t>
      </w:r>
      <w:r>
        <w:rPr>
          <w:rFonts w:hAnsi="宋体" w:cs="Times New Roman"/>
          <w:color w:val="auto"/>
          <w:highlight w:val="none"/>
        </w:rPr>
        <w:t>14</w:t>
      </w:r>
      <w:r>
        <w:rPr>
          <w:rFonts w:hint="eastAsia" w:hAnsi="宋体" w:cs="Times New Roman"/>
          <w:color w:val="auto"/>
          <w:highlight w:val="none"/>
        </w:rPr>
        <w:t>天书面通知发包人和监理人，并征得发包人书面同意。通知中应当载明继任项目经理的注册执业资格、管理经验等资料，继任项目经理继续履行第</w:t>
      </w:r>
      <w:r>
        <w:rPr>
          <w:rFonts w:hAnsi="宋体" w:cs="Times New Roman"/>
          <w:color w:val="auto"/>
          <w:highlight w:val="none"/>
        </w:rPr>
        <w:t>3.2.1</w:t>
      </w:r>
      <w:r>
        <w:rPr>
          <w:rFonts w:hint="eastAsia" w:hAnsi="宋体" w:cs="Times New Roman"/>
          <w:color w:val="auto"/>
          <w:highlight w:val="none"/>
        </w:rPr>
        <w:t>项约定的职责。未经发包人书面同意，承包人不得擅自更换项目经理。承包人擅自更换项目经理的，应按照专用合同条款的约定承担违约责任。</w:t>
      </w:r>
    </w:p>
    <w:p w14:paraId="5FA7A47B">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3.2.4 </w:t>
      </w:r>
      <w:r>
        <w:rPr>
          <w:rFonts w:hint="eastAsia" w:hAnsi="宋体" w:cs="Times New Roman"/>
          <w:color w:val="auto"/>
          <w:highlight w:val="none"/>
        </w:rPr>
        <w:t>发包人有权书面通知承包人更换其认为不称职的项目经理，通知中应当载明要求更换的理由。承包人应在接到更换通知后</w:t>
      </w:r>
      <w:r>
        <w:rPr>
          <w:rFonts w:hAnsi="宋体" w:cs="Times New Roman"/>
          <w:color w:val="auto"/>
          <w:highlight w:val="none"/>
        </w:rPr>
        <w:t>14</w:t>
      </w:r>
      <w:r>
        <w:rPr>
          <w:rFonts w:hint="eastAsia" w:hAnsi="宋体" w:cs="Times New Roman"/>
          <w:color w:val="auto"/>
          <w:highlight w:val="none"/>
        </w:rPr>
        <w:t>天内向发包人提出书面的改进报告。发包人收到改进报告后仍要求更换的，承包人应在接到第二次更换通知的</w:t>
      </w:r>
      <w:r>
        <w:rPr>
          <w:rFonts w:hAnsi="宋体" w:cs="Times New Roman"/>
          <w:color w:val="auto"/>
          <w:highlight w:val="none"/>
        </w:rPr>
        <w:t>28</w:t>
      </w:r>
      <w:r>
        <w:rPr>
          <w:rFonts w:hint="eastAsia" w:hAnsi="宋体" w:cs="Times New Roman"/>
          <w:color w:val="auto"/>
          <w:highlight w:val="none"/>
        </w:rPr>
        <w:t>天内进行更换，并将新任命的项目经理的注册执业资格、管理经验等资料书面通知发包人。继任项目经理继续履行第</w:t>
      </w:r>
      <w:r>
        <w:rPr>
          <w:rFonts w:hAnsi="宋体" w:cs="Times New Roman"/>
          <w:color w:val="auto"/>
          <w:highlight w:val="none"/>
        </w:rPr>
        <w:t>3.2.1</w:t>
      </w:r>
      <w:r>
        <w:rPr>
          <w:rFonts w:hint="eastAsia" w:hAnsi="宋体" w:cs="Times New Roman"/>
          <w:color w:val="auto"/>
          <w:highlight w:val="none"/>
        </w:rPr>
        <w:t>项约定的职责。承包人无正当理由拒绝更换项目经理的，应按照专用合同条款的约定承担违约责任。</w:t>
      </w:r>
    </w:p>
    <w:p w14:paraId="14D64113">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3.2.5 </w:t>
      </w:r>
      <w:r>
        <w:rPr>
          <w:rFonts w:hint="eastAsia" w:hAnsi="宋体" w:cs="Times New Roman"/>
          <w:color w:val="auto"/>
          <w:highlight w:val="none"/>
        </w:rPr>
        <w:t>项目经理因特殊情况授权其下属人员履行其某项工作职责的，该下属人员应具备履行相应职责的能力，并应提前</w:t>
      </w:r>
      <w:r>
        <w:rPr>
          <w:rFonts w:hAnsi="宋体" w:cs="Times New Roman"/>
          <w:color w:val="auto"/>
          <w:highlight w:val="none"/>
        </w:rPr>
        <w:t>7</w:t>
      </w:r>
      <w:r>
        <w:rPr>
          <w:rFonts w:hint="eastAsia" w:hAnsi="宋体" w:cs="Times New Roman"/>
          <w:color w:val="auto"/>
          <w:highlight w:val="none"/>
        </w:rPr>
        <w:t>天将上述人员的姓名和授权范围书面通知监理人，并征得发包人书面同意。</w:t>
      </w:r>
    </w:p>
    <w:p w14:paraId="5352493D">
      <w:pPr>
        <w:keepNext/>
        <w:keepLines/>
        <w:spacing w:line="360" w:lineRule="auto"/>
        <w:outlineLvl w:val="3"/>
        <w:rPr>
          <w:rFonts w:hAnsi="宋体" w:cs="Times New Roman"/>
          <w:b/>
          <w:bCs/>
          <w:color w:val="auto"/>
          <w:kern w:val="2"/>
          <w:szCs w:val="28"/>
          <w:highlight w:val="none"/>
        </w:rPr>
      </w:pPr>
      <w:bookmarkStart w:id="207" w:name="_Toc351203521"/>
      <w:bookmarkStart w:id="208" w:name="_Toc532839889"/>
      <w:r>
        <w:rPr>
          <w:rFonts w:hAnsi="宋体" w:cs="Times New Roman"/>
          <w:b/>
          <w:bCs/>
          <w:color w:val="auto"/>
          <w:kern w:val="2"/>
          <w:szCs w:val="28"/>
          <w:highlight w:val="none"/>
        </w:rPr>
        <w:t>3</w:t>
      </w:r>
      <w:bookmarkStart w:id="209" w:name="_Toc296503048"/>
      <w:bookmarkStart w:id="210" w:name="_Toc296346549"/>
      <w:bookmarkStart w:id="211" w:name="_Toc337558749"/>
      <w:r>
        <w:rPr>
          <w:rFonts w:hAnsi="宋体" w:cs="Times New Roman"/>
          <w:b/>
          <w:bCs/>
          <w:color w:val="auto"/>
          <w:kern w:val="2"/>
          <w:szCs w:val="28"/>
          <w:highlight w:val="none"/>
        </w:rPr>
        <w:t xml:space="preserve">.3 </w:t>
      </w:r>
      <w:bookmarkEnd w:id="209"/>
      <w:bookmarkEnd w:id="210"/>
      <w:r>
        <w:rPr>
          <w:rFonts w:hint="eastAsia" w:hAnsi="宋体"/>
          <w:b/>
          <w:bCs/>
          <w:color w:val="auto"/>
          <w:kern w:val="2"/>
          <w:szCs w:val="28"/>
          <w:highlight w:val="none"/>
        </w:rPr>
        <w:t>承包人人员</w:t>
      </w:r>
      <w:bookmarkEnd w:id="207"/>
      <w:bookmarkEnd w:id="208"/>
    </w:p>
    <w:bookmarkEnd w:id="211"/>
    <w:p w14:paraId="390C42DE">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3.3.1 </w:t>
      </w:r>
      <w:r>
        <w:rPr>
          <w:rFonts w:hint="eastAsia" w:hAnsi="宋体" w:cs="Times New Roman"/>
          <w:color w:val="auto"/>
          <w:highlight w:val="none"/>
        </w:rPr>
        <w:t>除专用合同条款另有约定外，承包人应在接到开工通知后</w:t>
      </w:r>
      <w:r>
        <w:rPr>
          <w:rFonts w:hAnsi="宋体" w:cs="Times New Roman"/>
          <w:color w:val="auto"/>
          <w:highlight w:val="none"/>
        </w:rPr>
        <w:t>7</w:t>
      </w:r>
      <w:r>
        <w:rPr>
          <w:rFonts w:hint="eastAsia" w:hAnsi="宋体" w:cs="Times New Roman"/>
          <w:color w:val="auto"/>
          <w:highlight w:val="none"/>
        </w:rPr>
        <w:t>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39A5FD82">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3.3.2 </w:t>
      </w:r>
      <w:r>
        <w:rPr>
          <w:rFonts w:hint="eastAsia" w:hAnsi="宋体" w:cs="Times New Roman"/>
          <w:color w:val="auto"/>
          <w:highlight w:val="none"/>
        </w:rPr>
        <w:t>承包人派驻到施工现场的主要施工管理人员应相对稳定。施工过程中如有变动，承包人应及时向监理人提交施工现场人员变动情况的报告。承包人更换主要施工管理人员时，应提前</w:t>
      </w:r>
      <w:r>
        <w:rPr>
          <w:rFonts w:hAnsi="宋体" w:cs="Times New Roman"/>
          <w:color w:val="auto"/>
          <w:highlight w:val="none"/>
        </w:rPr>
        <w:t>7</w:t>
      </w:r>
      <w:r>
        <w:rPr>
          <w:rFonts w:hint="eastAsia" w:hAnsi="宋体" w:cs="Times New Roman"/>
          <w:color w:val="auto"/>
          <w:highlight w:val="none"/>
        </w:rPr>
        <w:t>天书面通知监理人，并征得发包人书面同意。通知中应当载明继任人员的注册执业资格、管理经验等资料。</w:t>
      </w:r>
    </w:p>
    <w:p w14:paraId="0A0AB32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特殊工种作业人员均应持有相应的资格证明，监理人可以随时检查。</w:t>
      </w:r>
    </w:p>
    <w:p w14:paraId="1DB75F72">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3.3.3 </w:t>
      </w:r>
      <w:r>
        <w:rPr>
          <w:rFonts w:hint="eastAsia" w:hAnsi="宋体" w:cs="Times New Roman"/>
          <w:color w:val="auto"/>
          <w:highlight w:val="none"/>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442EFE2B">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3.3.4 </w:t>
      </w:r>
      <w:r>
        <w:rPr>
          <w:rFonts w:hint="eastAsia" w:hAnsi="宋体" w:cs="Times New Roman"/>
          <w:color w:val="auto"/>
          <w:highlight w:val="none"/>
        </w:rPr>
        <w:t>除专用合同条款另有约定外，承包人的主要施工管理人员离开施工现场每月累计不超过</w:t>
      </w:r>
      <w:r>
        <w:rPr>
          <w:rFonts w:hAnsi="宋体" w:cs="Times New Roman"/>
          <w:color w:val="auto"/>
          <w:highlight w:val="none"/>
        </w:rPr>
        <w:t>5</w:t>
      </w:r>
      <w:r>
        <w:rPr>
          <w:rFonts w:hint="eastAsia" w:hAnsi="宋体" w:cs="Times New Roman"/>
          <w:color w:val="auto"/>
          <w:highlight w:val="none"/>
        </w:rPr>
        <w:t>天的，应报监理人同意；离开施工现场每月累计超过</w:t>
      </w:r>
      <w:r>
        <w:rPr>
          <w:rFonts w:hAnsi="宋体" w:cs="Times New Roman"/>
          <w:color w:val="auto"/>
          <w:highlight w:val="none"/>
        </w:rPr>
        <w:t>5</w:t>
      </w:r>
      <w:r>
        <w:rPr>
          <w:rFonts w:hint="eastAsia" w:hAnsi="宋体" w:cs="Times New Roman"/>
          <w:color w:val="auto"/>
          <w:highlight w:val="none"/>
        </w:rPr>
        <w:t>天的，应通知监理人，并征得发包人书面同意。主要施工管理人员离开施工现场前应指定一名有经验的人员临时代行其职责，该人员应具备履行相应职责的资格和能力，且应征得监理人或发包人的同意。</w:t>
      </w:r>
    </w:p>
    <w:p w14:paraId="70C3F092">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3.3.5 </w:t>
      </w:r>
      <w:r>
        <w:rPr>
          <w:rFonts w:hint="eastAsia" w:hAnsi="宋体" w:cs="Times New Roman"/>
          <w:color w:val="auto"/>
          <w:highlight w:val="none"/>
        </w:rPr>
        <w:t>承包人擅自更换主要施工管理人员，或前述人员未经监理人或发包人同意擅自离开施工现场的，应按照专用合同条款约定承担违约责任。</w:t>
      </w:r>
    </w:p>
    <w:p w14:paraId="5E652A17">
      <w:pPr>
        <w:keepNext/>
        <w:keepLines/>
        <w:spacing w:line="360" w:lineRule="auto"/>
        <w:outlineLvl w:val="3"/>
        <w:rPr>
          <w:rFonts w:hAnsi="宋体" w:cs="Times New Roman"/>
          <w:b/>
          <w:bCs/>
          <w:color w:val="auto"/>
          <w:kern w:val="2"/>
          <w:szCs w:val="28"/>
          <w:highlight w:val="none"/>
        </w:rPr>
      </w:pPr>
      <w:bookmarkStart w:id="212" w:name="_Toc532839890"/>
      <w:bookmarkStart w:id="213" w:name="_Toc351203522"/>
      <w:r>
        <w:rPr>
          <w:rFonts w:hAnsi="宋体" w:cs="Times New Roman"/>
          <w:b/>
          <w:bCs/>
          <w:color w:val="auto"/>
          <w:kern w:val="2"/>
          <w:szCs w:val="28"/>
          <w:highlight w:val="none"/>
        </w:rPr>
        <w:t>3</w:t>
      </w:r>
      <w:bookmarkStart w:id="214" w:name="_Toc337558750"/>
      <w:bookmarkStart w:id="215" w:name="_Toc296503050"/>
      <w:bookmarkStart w:id="216" w:name="_Toc296346551"/>
      <w:r>
        <w:rPr>
          <w:rFonts w:hAnsi="宋体" w:cs="Times New Roman"/>
          <w:b/>
          <w:bCs/>
          <w:color w:val="auto"/>
          <w:kern w:val="2"/>
          <w:szCs w:val="28"/>
          <w:highlight w:val="none"/>
        </w:rPr>
        <w:t xml:space="preserve">.4 </w:t>
      </w:r>
      <w:r>
        <w:rPr>
          <w:rFonts w:hint="eastAsia" w:hAnsi="宋体" w:cs="Times New Roman"/>
          <w:b/>
          <w:bCs/>
          <w:color w:val="auto"/>
          <w:kern w:val="2"/>
          <w:szCs w:val="28"/>
          <w:highlight w:val="none"/>
        </w:rPr>
        <w:t>承包人现场查勘</w:t>
      </w:r>
      <w:bookmarkEnd w:id="212"/>
      <w:bookmarkEnd w:id="213"/>
    </w:p>
    <w:bookmarkEnd w:id="214"/>
    <w:bookmarkEnd w:id="215"/>
    <w:bookmarkEnd w:id="216"/>
    <w:p w14:paraId="6E6D58E0">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highlight w:val="none"/>
        </w:rPr>
        <w:t>承包人应对基于发包人按照第</w:t>
      </w:r>
      <w:r>
        <w:rPr>
          <w:rFonts w:hAnsi="宋体" w:cs="Times New Roman"/>
          <w:color w:val="auto"/>
          <w:highlight w:val="none"/>
        </w:rPr>
        <w:t>2.4.3</w:t>
      </w:r>
      <w:r>
        <w:rPr>
          <w:rFonts w:hint="eastAsia" w:hAnsi="宋体" w:cs="Times New Roman"/>
          <w:color w:val="auto"/>
          <w:highlight w:val="none"/>
        </w:rPr>
        <w:t>项〔提供基础资料〕提交的基础资料所做出的解释和推断负责，但因基础资料存在错误、遗漏导致承包人解释或推断失实的，由发包人承担责任。</w:t>
      </w:r>
    </w:p>
    <w:p w14:paraId="4FC25E2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2A6E88A2">
      <w:pPr>
        <w:keepNext/>
        <w:keepLines/>
        <w:spacing w:line="360" w:lineRule="auto"/>
        <w:outlineLvl w:val="3"/>
        <w:rPr>
          <w:rFonts w:hAnsi="宋体" w:cs="Times New Roman"/>
          <w:b/>
          <w:bCs/>
          <w:color w:val="auto"/>
          <w:kern w:val="2"/>
          <w:szCs w:val="28"/>
          <w:highlight w:val="none"/>
        </w:rPr>
      </w:pPr>
      <w:bookmarkStart w:id="217" w:name="_Toc351203523"/>
      <w:bookmarkStart w:id="218" w:name="_Toc532839891"/>
      <w:r>
        <w:rPr>
          <w:rFonts w:hAnsi="宋体" w:cs="Times New Roman"/>
          <w:b/>
          <w:bCs/>
          <w:color w:val="auto"/>
          <w:kern w:val="2"/>
          <w:szCs w:val="28"/>
          <w:highlight w:val="none"/>
        </w:rPr>
        <w:t>3</w:t>
      </w:r>
      <w:bookmarkStart w:id="219" w:name="_Toc296346552"/>
      <w:bookmarkStart w:id="220" w:name="_Toc337558751"/>
      <w:bookmarkStart w:id="221" w:name="_Toc296503051"/>
      <w:r>
        <w:rPr>
          <w:rFonts w:hAnsi="宋体" w:cs="Times New Roman"/>
          <w:b/>
          <w:bCs/>
          <w:color w:val="auto"/>
          <w:kern w:val="2"/>
          <w:szCs w:val="28"/>
          <w:highlight w:val="none"/>
        </w:rPr>
        <w:t xml:space="preserve">.5 </w:t>
      </w:r>
      <w:r>
        <w:rPr>
          <w:rFonts w:hint="eastAsia" w:hAnsi="宋体"/>
          <w:b/>
          <w:bCs/>
          <w:color w:val="auto"/>
          <w:kern w:val="2"/>
          <w:szCs w:val="28"/>
          <w:highlight w:val="none"/>
        </w:rPr>
        <w:t>分包</w:t>
      </w:r>
      <w:bookmarkEnd w:id="217"/>
      <w:bookmarkEnd w:id="218"/>
    </w:p>
    <w:bookmarkEnd w:id="219"/>
    <w:bookmarkEnd w:id="220"/>
    <w:bookmarkEnd w:id="221"/>
    <w:p w14:paraId="42F8D123">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3.5.1 </w:t>
      </w:r>
      <w:r>
        <w:rPr>
          <w:rFonts w:hint="eastAsia" w:hAnsi="宋体" w:cs="Times New Roman"/>
          <w:color w:val="auto"/>
          <w:highlight w:val="none"/>
        </w:rPr>
        <w:t>分包的一般约定</w:t>
      </w:r>
    </w:p>
    <w:p w14:paraId="3FE222E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92BB7D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承包人不得以劳务分包的名义转包或违法分包工程。</w:t>
      </w:r>
    </w:p>
    <w:p w14:paraId="18EF779F">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3.5.2 </w:t>
      </w:r>
      <w:r>
        <w:rPr>
          <w:rFonts w:hint="eastAsia" w:hAnsi="宋体" w:cs="Times New Roman"/>
          <w:color w:val="auto"/>
          <w:highlight w:val="none"/>
        </w:rPr>
        <w:t>分包的确定</w:t>
      </w:r>
    </w:p>
    <w:p w14:paraId="597876DC">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承包人应按专用合同条款的约定进行分包，确定分包人。已标价工程量清单或预算书中给定暂估价的专业工程，按照第</w:t>
      </w:r>
      <w:r>
        <w:rPr>
          <w:rFonts w:hAnsi="宋体" w:cs="Times New Roman"/>
          <w:color w:val="auto"/>
          <w:highlight w:val="none"/>
        </w:rPr>
        <w:t>10.7</w:t>
      </w:r>
      <w:r>
        <w:rPr>
          <w:rFonts w:hint="eastAsia" w:hAnsi="宋体" w:cs="Times New Roman"/>
          <w:color w:val="auto"/>
          <w:highlight w:val="none"/>
        </w:rPr>
        <w:t>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w:t>
      </w:r>
      <w:r>
        <w:rPr>
          <w:rFonts w:hAnsi="宋体" w:cs="Times New Roman"/>
          <w:color w:val="auto"/>
          <w:highlight w:val="none"/>
        </w:rPr>
        <w:t>7</w:t>
      </w:r>
      <w:r>
        <w:rPr>
          <w:rFonts w:hint="eastAsia" w:hAnsi="宋体" w:cs="Times New Roman"/>
          <w:color w:val="auto"/>
          <w:highlight w:val="none"/>
        </w:rPr>
        <w:t>天内向发包人和监理人提交分包合同副本。</w:t>
      </w:r>
    </w:p>
    <w:p w14:paraId="3F4CE29A">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3.5.3 </w:t>
      </w:r>
      <w:r>
        <w:rPr>
          <w:rFonts w:hint="eastAsia" w:hAnsi="宋体" w:cs="Times New Roman"/>
          <w:color w:val="auto"/>
          <w:highlight w:val="none"/>
        </w:rPr>
        <w:t>分包管理</w:t>
      </w:r>
    </w:p>
    <w:p w14:paraId="5DC59FC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承包人应向监理人提交分包人的主要施工管理人员表，并对分包人的施工人员进行实名制管理，包括但不限于进出场管理、登记造册以及各种证照的办理。</w:t>
      </w:r>
    </w:p>
    <w:p w14:paraId="66A184F1">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3.5.4 </w:t>
      </w:r>
      <w:r>
        <w:rPr>
          <w:rFonts w:hint="eastAsia" w:hAnsi="宋体" w:cs="Times New Roman"/>
          <w:color w:val="auto"/>
          <w:highlight w:val="none"/>
        </w:rPr>
        <w:t>分包合同价款</w:t>
      </w:r>
    </w:p>
    <w:p w14:paraId="36EB43C9">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）除本项第（</w:t>
      </w:r>
      <w:r>
        <w:rPr>
          <w:rFonts w:hAnsi="宋体" w:cs="Times New Roman"/>
          <w:color w:val="auto"/>
          <w:highlight w:val="none"/>
        </w:rPr>
        <w:t>2</w:t>
      </w:r>
      <w:r>
        <w:rPr>
          <w:rFonts w:hint="eastAsia" w:hAnsi="宋体" w:cs="Times New Roman"/>
          <w:color w:val="auto"/>
          <w:highlight w:val="none"/>
        </w:rPr>
        <w:t>）目约定的情况或专用合同条款另有约定外，分包合同价款由承包人与分包人结算，未经承包人同意，发包人不得向分包人支付分包工程价款；</w:t>
      </w:r>
    </w:p>
    <w:p w14:paraId="5C79C51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）生效法律文书要求发包人向分包人支付分包合同价款的，发包人有权从应付承包人工程款中扣除该部分款项。</w:t>
      </w:r>
    </w:p>
    <w:p w14:paraId="486A206D">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3.5.5 </w:t>
      </w:r>
      <w:r>
        <w:rPr>
          <w:rFonts w:hint="eastAsia" w:hAnsi="宋体" w:cs="Times New Roman"/>
          <w:color w:val="auto"/>
          <w:highlight w:val="none"/>
        </w:rPr>
        <w:t>分包合同权益的转让</w:t>
      </w:r>
    </w:p>
    <w:p w14:paraId="4A76E790">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22" w:name="_Toc351203524"/>
    </w:p>
    <w:p w14:paraId="70F6BC70">
      <w:pPr>
        <w:keepNext/>
        <w:keepLines/>
        <w:spacing w:line="360" w:lineRule="auto"/>
        <w:outlineLvl w:val="3"/>
        <w:rPr>
          <w:rFonts w:hAnsi="宋体" w:cs="Times New Roman"/>
          <w:b/>
          <w:bCs/>
          <w:color w:val="auto"/>
          <w:kern w:val="2"/>
          <w:szCs w:val="28"/>
          <w:highlight w:val="none"/>
        </w:rPr>
      </w:pPr>
      <w:bookmarkStart w:id="223" w:name="_Toc532839892"/>
      <w:r>
        <w:rPr>
          <w:rFonts w:hAnsi="宋体" w:cs="Times New Roman"/>
          <w:b/>
          <w:bCs/>
          <w:color w:val="auto"/>
          <w:kern w:val="2"/>
          <w:szCs w:val="28"/>
          <w:highlight w:val="none"/>
        </w:rPr>
        <w:t xml:space="preserve">3.6 </w:t>
      </w:r>
      <w:r>
        <w:rPr>
          <w:rFonts w:hint="eastAsia" w:hAnsi="宋体" w:cs="Times New Roman"/>
          <w:b/>
          <w:bCs/>
          <w:color w:val="auto"/>
          <w:kern w:val="2"/>
          <w:szCs w:val="28"/>
          <w:highlight w:val="none"/>
        </w:rPr>
        <w:t>工程照管与成品、半成品保护</w:t>
      </w:r>
      <w:bookmarkEnd w:id="222"/>
      <w:bookmarkEnd w:id="223"/>
    </w:p>
    <w:p w14:paraId="0225E964">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）除专用合同条款另有约定外，自发包人向承包人移交施工现场之日起，承包人应负责照管工程及工程相关的材料、工程设备，直到颁发工程接收证书之日止。</w:t>
      </w:r>
    </w:p>
    <w:p w14:paraId="186BE87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）在承包人负责照管期间，因承包人原因造成工程、材料、工程设备损坏的，由承包人负责修复或更换，并承担由此增加的费用和（或）延误的工期。</w:t>
      </w:r>
    </w:p>
    <w:p w14:paraId="4734EDD6">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）对合同内分期完成的成品和半成品，在工程接收证书颁发前，由承包人承担保护责任。因承包人原因造成成品或半成品损坏的，由承包人负责修复或更换，并承担由此增加的费用和（或）延误的工期。</w:t>
      </w:r>
    </w:p>
    <w:p w14:paraId="12EF12FB">
      <w:pPr>
        <w:keepNext/>
        <w:keepLines/>
        <w:spacing w:line="360" w:lineRule="auto"/>
        <w:outlineLvl w:val="3"/>
        <w:rPr>
          <w:rFonts w:hAnsi="宋体" w:cs="Times New Roman"/>
          <w:b/>
          <w:bCs/>
          <w:color w:val="auto"/>
          <w:kern w:val="2"/>
          <w:szCs w:val="28"/>
          <w:highlight w:val="none"/>
        </w:rPr>
      </w:pPr>
      <w:bookmarkStart w:id="224" w:name="_Toc532839893"/>
      <w:bookmarkStart w:id="225" w:name="_Toc351203525"/>
      <w:r>
        <w:rPr>
          <w:rFonts w:hAnsi="宋体" w:cs="Times New Roman"/>
          <w:b/>
          <w:bCs/>
          <w:color w:val="auto"/>
          <w:kern w:val="2"/>
          <w:szCs w:val="28"/>
          <w:highlight w:val="none"/>
        </w:rPr>
        <w:t>3</w:t>
      </w:r>
      <w:bookmarkStart w:id="226" w:name="_Toc296503052"/>
      <w:bookmarkStart w:id="227" w:name="_Toc337558752"/>
      <w:bookmarkStart w:id="228" w:name="_Toc296346553"/>
      <w:r>
        <w:rPr>
          <w:rFonts w:hAnsi="宋体" w:cs="Times New Roman"/>
          <w:b/>
          <w:bCs/>
          <w:color w:val="auto"/>
          <w:kern w:val="2"/>
          <w:szCs w:val="28"/>
          <w:highlight w:val="none"/>
        </w:rPr>
        <w:t xml:space="preserve">.7 </w:t>
      </w:r>
      <w:r>
        <w:rPr>
          <w:rFonts w:hint="eastAsia" w:hAnsi="宋体"/>
          <w:b/>
          <w:bCs/>
          <w:color w:val="auto"/>
          <w:kern w:val="2"/>
          <w:szCs w:val="28"/>
          <w:highlight w:val="none"/>
        </w:rPr>
        <w:t>履约担保</w:t>
      </w:r>
      <w:bookmarkEnd w:id="224"/>
      <w:bookmarkEnd w:id="225"/>
    </w:p>
    <w:bookmarkEnd w:id="226"/>
    <w:bookmarkEnd w:id="227"/>
    <w:bookmarkEnd w:id="228"/>
    <w:p w14:paraId="59FF6449">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49C922C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因承包人原因导致工期延长的，继续提供履约担保所增加的费用由承包人承担；非因承包人原因导致工期延长的，继续提供履约担保所增加的费用由发包人承担。</w:t>
      </w:r>
    </w:p>
    <w:p w14:paraId="7E0EA4B4">
      <w:pPr>
        <w:keepNext/>
        <w:keepLines/>
        <w:spacing w:line="360" w:lineRule="auto"/>
        <w:outlineLvl w:val="3"/>
        <w:rPr>
          <w:rFonts w:hAnsi="宋体" w:cs="Times New Roman"/>
          <w:b/>
          <w:bCs/>
          <w:color w:val="auto"/>
          <w:kern w:val="2"/>
          <w:szCs w:val="28"/>
          <w:highlight w:val="none"/>
        </w:rPr>
      </w:pPr>
      <w:bookmarkStart w:id="229" w:name="_Toc351203526"/>
      <w:bookmarkStart w:id="230" w:name="_Toc532839894"/>
      <w:r>
        <w:rPr>
          <w:rFonts w:hAnsi="宋体" w:cs="Times New Roman"/>
          <w:b/>
          <w:bCs/>
          <w:color w:val="auto"/>
          <w:kern w:val="2"/>
          <w:szCs w:val="28"/>
          <w:highlight w:val="none"/>
        </w:rPr>
        <w:t xml:space="preserve">3.8 </w:t>
      </w:r>
      <w:r>
        <w:rPr>
          <w:rFonts w:hint="eastAsia" w:hAnsi="宋体"/>
          <w:b/>
          <w:bCs/>
          <w:color w:val="auto"/>
          <w:kern w:val="2"/>
          <w:szCs w:val="28"/>
          <w:highlight w:val="none"/>
        </w:rPr>
        <w:t>联合体</w:t>
      </w:r>
      <w:bookmarkEnd w:id="229"/>
      <w:bookmarkEnd w:id="230"/>
    </w:p>
    <w:p w14:paraId="1FDDC140">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3.8.1 </w:t>
      </w:r>
      <w:r>
        <w:rPr>
          <w:rFonts w:hint="eastAsia" w:hAnsi="宋体" w:cs="Times New Roman"/>
          <w:color w:val="auto"/>
          <w:highlight w:val="none"/>
        </w:rPr>
        <w:t>联合体各方应共同与发包人签订合同协议书。联合体各方应为履行合同向发包人承担连带责任。</w:t>
      </w:r>
    </w:p>
    <w:p w14:paraId="101145A9">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3.8.2 </w:t>
      </w:r>
      <w:r>
        <w:rPr>
          <w:rFonts w:hint="eastAsia" w:hAnsi="宋体" w:cs="Times New Roman"/>
          <w:color w:val="auto"/>
          <w:highlight w:val="none"/>
        </w:rPr>
        <w:t>联合体协议经发包人确认后作为合同附件。在履行合同过程中，未经发包人同意，不得修改联合体协议。</w:t>
      </w:r>
    </w:p>
    <w:p w14:paraId="15BECDB7">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3.8.3 </w:t>
      </w:r>
      <w:r>
        <w:rPr>
          <w:rFonts w:hint="eastAsia" w:hAnsi="宋体" w:cs="Times New Roman"/>
          <w:color w:val="auto"/>
          <w:highlight w:val="none"/>
        </w:rPr>
        <w:t>联合体牵头人负责与发包人和监理人联系，并接受指示，负责组织联合体各成员全面履行合同。</w:t>
      </w:r>
    </w:p>
    <w:p w14:paraId="64217890">
      <w:pPr>
        <w:keepNext/>
        <w:keepLines/>
        <w:spacing w:line="360" w:lineRule="auto"/>
        <w:outlineLvl w:val="2"/>
        <w:rPr>
          <w:rFonts w:hAnsi="宋体" w:cs="Times New Roman"/>
          <w:b/>
          <w:bCs/>
          <w:color w:val="auto"/>
          <w:kern w:val="2"/>
          <w:szCs w:val="32"/>
          <w:highlight w:val="none"/>
        </w:rPr>
      </w:pPr>
      <w:bookmarkStart w:id="231" w:name="_Toc512691375"/>
      <w:bookmarkStart w:id="232" w:name="_Toc351203527"/>
      <w:bookmarkStart w:id="233" w:name="_Toc527130421"/>
      <w:bookmarkStart w:id="234" w:name="_Toc532839895"/>
      <w:r>
        <w:rPr>
          <w:rFonts w:hAnsi="宋体" w:cs="Times New Roman"/>
          <w:b/>
          <w:bCs/>
          <w:color w:val="auto"/>
          <w:kern w:val="2"/>
          <w:szCs w:val="32"/>
          <w:highlight w:val="none"/>
        </w:rPr>
        <w:t>4</w:t>
      </w:r>
      <w:bookmarkStart w:id="235" w:name="_Toc296503053"/>
      <w:bookmarkStart w:id="236" w:name="_Toc296346554"/>
      <w:bookmarkStart w:id="237" w:name="_Toc337558753"/>
      <w:r>
        <w:rPr>
          <w:rFonts w:hAnsi="宋体" w:cs="Times New Roman"/>
          <w:b/>
          <w:bCs/>
          <w:color w:val="auto"/>
          <w:kern w:val="2"/>
          <w:szCs w:val="32"/>
          <w:highlight w:val="none"/>
        </w:rPr>
        <w:t xml:space="preserve">. </w:t>
      </w:r>
      <w:r>
        <w:rPr>
          <w:rFonts w:hint="eastAsia" w:hAnsi="宋体"/>
          <w:b/>
          <w:bCs/>
          <w:color w:val="auto"/>
          <w:kern w:val="2"/>
          <w:szCs w:val="32"/>
          <w:highlight w:val="none"/>
        </w:rPr>
        <w:t>监</w:t>
      </w:r>
      <w:bookmarkEnd w:id="235"/>
      <w:bookmarkEnd w:id="236"/>
      <w:r>
        <w:rPr>
          <w:rFonts w:hint="eastAsia" w:hAnsi="宋体"/>
          <w:b/>
          <w:bCs/>
          <w:color w:val="auto"/>
          <w:kern w:val="2"/>
          <w:szCs w:val="32"/>
          <w:highlight w:val="none"/>
        </w:rPr>
        <w:t>理人</w:t>
      </w:r>
      <w:bookmarkEnd w:id="231"/>
      <w:bookmarkEnd w:id="232"/>
      <w:bookmarkEnd w:id="233"/>
      <w:bookmarkEnd w:id="234"/>
    </w:p>
    <w:bookmarkEnd w:id="237"/>
    <w:p w14:paraId="0AFAD23E">
      <w:pPr>
        <w:keepNext/>
        <w:keepLines/>
        <w:spacing w:line="360" w:lineRule="auto"/>
        <w:outlineLvl w:val="3"/>
        <w:rPr>
          <w:rFonts w:hAnsi="宋体" w:cs="Times New Roman"/>
          <w:b/>
          <w:bCs/>
          <w:color w:val="auto"/>
          <w:kern w:val="2"/>
          <w:szCs w:val="28"/>
          <w:highlight w:val="none"/>
        </w:rPr>
      </w:pPr>
      <w:bookmarkStart w:id="238" w:name="_Toc532839896"/>
      <w:bookmarkStart w:id="239" w:name="_Toc351203528"/>
      <w:r>
        <w:rPr>
          <w:rFonts w:hAnsi="宋体" w:cs="Times New Roman"/>
          <w:b/>
          <w:bCs/>
          <w:color w:val="auto"/>
          <w:kern w:val="2"/>
          <w:szCs w:val="28"/>
          <w:highlight w:val="none"/>
        </w:rPr>
        <w:t>4</w:t>
      </w:r>
      <w:bookmarkStart w:id="240" w:name="_Toc337558754"/>
      <w:bookmarkStart w:id="241" w:name="_Toc296346555"/>
      <w:bookmarkStart w:id="242" w:name="_Toc296503054"/>
      <w:r>
        <w:rPr>
          <w:rFonts w:hAnsi="宋体" w:cs="Times New Roman"/>
          <w:b/>
          <w:bCs/>
          <w:color w:val="auto"/>
          <w:kern w:val="2"/>
          <w:szCs w:val="28"/>
          <w:highlight w:val="none"/>
        </w:rPr>
        <w:t>.1</w:t>
      </w:r>
      <w:r>
        <w:rPr>
          <w:rFonts w:hint="eastAsia" w:hAnsi="宋体" w:cs="Times New Roman"/>
          <w:b/>
          <w:bCs/>
          <w:color w:val="auto"/>
          <w:kern w:val="2"/>
          <w:szCs w:val="28"/>
          <w:highlight w:val="none"/>
        </w:rPr>
        <w:t>监理人的一般规定</w:t>
      </w:r>
      <w:bookmarkEnd w:id="238"/>
      <w:bookmarkEnd w:id="239"/>
    </w:p>
    <w:bookmarkEnd w:id="240"/>
    <w:bookmarkEnd w:id="241"/>
    <w:bookmarkEnd w:id="242"/>
    <w:p w14:paraId="46147F5E">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43D2072F">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除专用合同条款另有约定外，监理人在施工现场的办公场所、生活场所由承包人提供，所发生的费用由发包人承担。</w:t>
      </w:r>
    </w:p>
    <w:p w14:paraId="2B9C2EE7">
      <w:pPr>
        <w:keepNext/>
        <w:keepLines/>
        <w:spacing w:line="360" w:lineRule="auto"/>
        <w:outlineLvl w:val="3"/>
        <w:rPr>
          <w:rFonts w:hAnsi="宋体" w:cs="Times New Roman"/>
          <w:b/>
          <w:bCs/>
          <w:color w:val="auto"/>
          <w:kern w:val="2"/>
          <w:szCs w:val="28"/>
          <w:highlight w:val="none"/>
        </w:rPr>
      </w:pPr>
      <w:bookmarkStart w:id="243" w:name="_Toc351203529"/>
      <w:bookmarkStart w:id="244" w:name="_Toc532839897"/>
      <w:r>
        <w:rPr>
          <w:rFonts w:hAnsi="宋体" w:cs="Times New Roman"/>
          <w:b/>
          <w:bCs/>
          <w:color w:val="auto"/>
          <w:kern w:val="2"/>
          <w:szCs w:val="28"/>
          <w:highlight w:val="none"/>
        </w:rPr>
        <w:t>4</w:t>
      </w:r>
      <w:bookmarkStart w:id="245" w:name="_Toc337558755"/>
      <w:r>
        <w:rPr>
          <w:rFonts w:hAnsi="宋体" w:cs="Times New Roman"/>
          <w:b/>
          <w:bCs/>
          <w:color w:val="auto"/>
          <w:kern w:val="2"/>
          <w:szCs w:val="28"/>
          <w:highlight w:val="none"/>
        </w:rPr>
        <w:t>.2</w:t>
      </w:r>
      <w:r>
        <w:rPr>
          <w:rFonts w:hint="eastAsia" w:hAnsi="宋体"/>
          <w:b/>
          <w:bCs/>
          <w:color w:val="auto"/>
          <w:kern w:val="2"/>
          <w:szCs w:val="28"/>
          <w:highlight w:val="none"/>
        </w:rPr>
        <w:t>监理人员</w:t>
      </w:r>
      <w:bookmarkEnd w:id="243"/>
      <w:bookmarkEnd w:id="244"/>
    </w:p>
    <w:bookmarkEnd w:id="245"/>
    <w:p w14:paraId="39255E3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w:t>
      </w:r>
      <w:r>
        <w:rPr>
          <w:rFonts w:hAnsi="宋体" w:cs="Times New Roman"/>
          <w:color w:val="auto"/>
          <w:highlight w:val="none"/>
        </w:rPr>
        <w:t>7</w:t>
      </w:r>
      <w:r>
        <w:rPr>
          <w:rFonts w:hint="eastAsia" w:hAnsi="宋体" w:cs="Times New Roman"/>
          <w:color w:val="auto"/>
          <w:highlight w:val="none"/>
        </w:rPr>
        <w:t>天书面通知承包人；更换其他监理人员，监理人应提前</w:t>
      </w:r>
      <w:r>
        <w:rPr>
          <w:rFonts w:hAnsi="宋体" w:cs="Times New Roman"/>
          <w:color w:val="auto"/>
          <w:highlight w:val="none"/>
        </w:rPr>
        <w:t>48</w:t>
      </w:r>
      <w:r>
        <w:rPr>
          <w:rFonts w:hint="eastAsia" w:hAnsi="宋体" w:cs="Times New Roman"/>
          <w:color w:val="auto"/>
          <w:highlight w:val="none"/>
        </w:rPr>
        <w:t>小时书面通知承包人。</w:t>
      </w:r>
    </w:p>
    <w:p w14:paraId="2924659E">
      <w:pPr>
        <w:keepNext/>
        <w:keepLines/>
        <w:spacing w:line="360" w:lineRule="auto"/>
        <w:outlineLvl w:val="3"/>
        <w:rPr>
          <w:rFonts w:hAnsi="宋体" w:cs="Times New Roman"/>
          <w:b/>
          <w:bCs/>
          <w:color w:val="auto"/>
          <w:kern w:val="2"/>
          <w:szCs w:val="28"/>
          <w:highlight w:val="none"/>
        </w:rPr>
      </w:pPr>
      <w:bookmarkStart w:id="246" w:name="_Toc532839898"/>
      <w:bookmarkStart w:id="247" w:name="_Toc351203530"/>
      <w:r>
        <w:rPr>
          <w:rFonts w:hAnsi="宋体" w:cs="Times New Roman"/>
          <w:b/>
          <w:bCs/>
          <w:color w:val="auto"/>
          <w:kern w:val="2"/>
          <w:szCs w:val="28"/>
          <w:highlight w:val="none"/>
        </w:rPr>
        <w:t>4</w:t>
      </w:r>
      <w:bookmarkStart w:id="248" w:name="_Toc296503055"/>
      <w:bookmarkStart w:id="249" w:name="_Toc296346556"/>
      <w:bookmarkStart w:id="250" w:name="_Toc337558756"/>
      <w:r>
        <w:rPr>
          <w:rFonts w:hAnsi="宋体" w:cs="Times New Roman"/>
          <w:b/>
          <w:bCs/>
          <w:color w:val="auto"/>
          <w:kern w:val="2"/>
          <w:szCs w:val="28"/>
          <w:highlight w:val="none"/>
        </w:rPr>
        <w:t>.3</w:t>
      </w:r>
      <w:bookmarkEnd w:id="248"/>
      <w:bookmarkEnd w:id="249"/>
      <w:r>
        <w:rPr>
          <w:rFonts w:hint="eastAsia" w:hAnsi="宋体" w:cs="Times New Roman"/>
          <w:b/>
          <w:bCs/>
          <w:color w:val="auto"/>
          <w:kern w:val="2"/>
          <w:szCs w:val="28"/>
          <w:highlight w:val="none"/>
        </w:rPr>
        <w:t>监理人的指</w:t>
      </w:r>
      <w:bookmarkEnd w:id="250"/>
      <w:r>
        <w:rPr>
          <w:rFonts w:hint="eastAsia" w:hAnsi="宋体" w:cs="Times New Roman"/>
          <w:b/>
          <w:bCs/>
          <w:color w:val="auto"/>
          <w:kern w:val="2"/>
          <w:szCs w:val="28"/>
          <w:highlight w:val="none"/>
        </w:rPr>
        <w:t>示</w:t>
      </w:r>
      <w:bookmarkEnd w:id="246"/>
      <w:bookmarkEnd w:id="247"/>
    </w:p>
    <w:p w14:paraId="6B97448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Pr>
          <w:rFonts w:hAnsi="宋体" w:cs="Times New Roman"/>
          <w:color w:val="auto"/>
          <w:highlight w:val="none"/>
        </w:rPr>
        <w:t>24</w:t>
      </w:r>
      <w:r>
        <w:rPr>
          <w:rFonts w:hint="eastAsia" w:hAnsi="宋体" w:cs="Times New Roman"/>
          <w:color w:val="auto"/>
          <w:highlight w:val="none"/>
        </w:rPr>
        <w:t>小时内补发书面监理指示，补发的书面监理指示应与口头指示一致。</w:t>
      </w:r>
    </w:p>
    <w:p w14:paraId="72EF04FE">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w:t>
      </w:r>
      <w:r>
        <w:rPr>
          <w:rFonts w:hAnsi="宋体" w:cs="Times New Roman"/>
          <w:color w:val="auto"/>
          <w:highlight w:val="none"/>
        </w:rPr>
        <w:t>4.4</w:t>
      </w:r>
      <w:r>
        <w:rPr>
          <w:rFonts w:hint="eastAsia" w:hAnsi="宋体" w:cs="Times New Roman"/>
          <w:color w:val="auto"/>
          <w:highlight w:val="none"/>
        </w:rPr>
        <w:t>款〔商定或确定〕约定应由总监理工程师作出确定的权力授权或委托给其他监理人员。</w:t>
      </w:r>
    </w:p>
    <w:p w14:paraId="56D1B23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承包人对监理人发出的指示有疑问的，应向监理人提出书面异议，监理人应在</w:t>
      </w:r>
      <w:r>
        <w:rPr>
          <w:rFonts w:hAnsi="宋体" w:cs="Times New Roman"/>
          <w:color w:val="auto"/>
          <w:highlight w:val="none"/>
        </w:rPr>
        <w:t>48</w:t>
      </w:r>
      <w:r>
        <w:rPr>
          <w:rFonts w:hint="eastAsia" w:hAnsi="宋体" w:cs="Times New Roman"/>
          <w:color w:val="auto"/>
          <w:highlight w:val="none"/>
        </w:rPr>
        <w:t>小时内对该指示予以确认、更改或撤销，监理人逾期未回复的，承包人有权拒绝执行上述指示。</w:t>
      </w:r>
    </w:p>
    <w:p w14:paraId="62D9B1D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2B7AAA5B">
      <w:pPr>
        <w:keepNext/>
        <w:keepLines/>
        <w:spacing w:line="360" w:lineRule="auto"/>
        <w:outlineLvl w:val="3"/>
        <w:rPr>
          <w:rFonts w:hAnsi="宋体" w:cs="Times New Roman"/>
          <w:b/>
          <w:bCs/>
          <w:color w:val="auto"/>
          <w:kern w:val="2"/>
          <w:szCs w:val="28"/>
          <w:highlight w:val="none"/>
        </w:rPr>
      </w:pPr>
      <w:bookmarkStart w:id="251" w:name="_Toc351203531"/>
      <w:bookmarkStart w:id="252" w:name="_Toc532839899"/>
      <w:r>
        <w:rPr>
          <w:rFonts w:hAnsi="宋体" w:cs="Times New Roman"/>
          <w:b/>
          <w:bCs/>
          <w:color w:val="auto"/>
          <w:kern w:val="2"/>
          <w:szCs w:val="28"/>
          <w:highlight w:val="none"/>
        </w:rPr>
        <w:t>4</w:t>
      </w:r>
      <w:bookmarkStart w:id="253" w:name="_Toc296346558"/>
      <w:bookmarkStart w:id="254" w:name="_Toc337558757"/>
      <w:bookmarkStart w:id="255" w:name="_Toc296503057"/>
      <w:r>
        <w:rPr>
          <w:rFonts w:hAnsi="宋体" w:cs="Times New Roman"/>
          <w:b/>
          <w:bCs/>
          <w:color w:val="auto"/>
          <w:kern w:val="2"/>
          <w:szCs w:val="28"/>
          <w:highlight w:val="none"/>
        </w:rPr>
        <w:t xml:space="preserve">.4 </w:t>
      </w:r>
      <w:r>
        <w:rPr>
          <w:rFonts w:hint="eastAsia" w:hAnsi="宋体"/>
          <w:b/>
          <w:bCs/>
          <w:color w:val="auto"/>
          <w:kern w:val="2"/>
          <w:szCs w:val="28"/>
          <w:highlight w:val="none"/>
        </w:rPr>
        <w:t>商定或确定</w:t>
      </w:r>
      <w:bookmarkEnd w:id="251"/>
      <w:bookmarkEnd w:id="252"/>
    </w:p>
    <w:bookmarkEnd w:id="253"/>
    <w:bookmarkEnd w:id="254"/>
    <w:bookmarkEnd w:id="255"/>
    <w:p w14:paraId="09FF856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合同当事人进行商定或确定时，总监理工程师应当会同合同当事人尽量通过协商达成一致，不能达成一致的，由总监理工程师按照合同约定审慎做出公正的确定。</w:t>
      </w:r>
    </w:p>
    <w:p w14:paraId="233707F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总监理工程师应将确定以书面形式通知发包人和承包人，并附详细依据。合同当事人对总监理工程师的确定没有异议的，按照总监理工程师的确定执行。任何一方合同当事人有异议，按照第</w:t>
      </w:r>
      <w:r>
        <w:rPr>
          <w:rFonts w:hAnsi="宋体" w:cs="Times New Roman"/>
          <w:color w:val="auto"/>
          <w:highlight w:val="none"/>
        </w:rPr>
        <w:t>20</w:t>
      </w:r>
      <w:r>
        <w:rPr>
          <w:rFonts w:hint="eastAsia" w:hAnsi="宋体" w:cs="Times New Roman"/>
          <w:color w:val="auto"/>
          <w:highlight w:val="none"/>
        </w:rPr>
        <w:t>条〔争议解决〕约定处理。争议解决前，合同当事人暂按总监理工程师的确定执行；争议解决后，争议解决的结果与总监理工程师的确定不一致的，按照争议解决的结果执行，由此造成的损失由责任人承担。</w:t>
      </w:r>
    </w:p>
    <w:p w14:paraId="66A765F2">
      <w:pPr>
        <w:keepNext/>
        <w:keepLines/>
        <w:spacing w:line="360" w:lineRule="auto"/>
        <w:outlineLvl w:val="2"/>
        <w:rPr>
          <w:rFonts w:hAnsi="宋体" w:cs="Times New Roman"/>
          <w:b/>
          <w:bCs/>
          <w:color w:val="auto"/>
          <w:kern w:val="2"/>
          <w:szCs w:val="32"/>
          <w:highlight w:val="none"/>
        </w:rPr>
      </w:pPr>
      <w:bookmarkStart w:id="256" w:name="_Toc527130422"/>
      <w:bookmarkStart w:id="257" w:name="_Toc351203532"/>
      <w:bookmarkStart w:id="258" w:name="_Toc512691376"/>
      <w:bookmarkStart w:id="259" w:name="_Toc532839900"/>
      <w:r>
        <w:rPr>
          <w:rFonts w:hAnsi="宋体" w:cs="Times New Roman"/>
          <w:b/>
          <w:bCs/>
          <w:color w:val="auto"/>
          <w:kern w:val="2"/>
          <w:szCs w:val="32"/>
          <w:highlight w:val="none"/>
        </w:rPr>
        <w:t>5</w:t>
      </w:r>
      <w:bookmarkStart w:id="260" w:name="_Toc337558758"/>
      <w:r>
        <w:rPr>
          <w:rFonts w:hAnsi="宋体" w:cs="Times New Roman"/>
          <w:b/>
          <w:bCs/>
          <w:color w:val="auto"/>
          <w:kern w:val="2"/>
          <w:szCs w:val="32"/>
          <w:highlight w:val="none"/>
        </w:rPr>
        <w:t xml:space="preserve">. </w:t>
      </w:r>
      <w:r>
        <w:rPr>
          <w:rFonts w:hint="eastAsia" w:hAnsi="宋体"/>
          <w:b/>
          <w:bCs/>
          <w:color w:val="auto"/>
          <w:kern w:val="2"/>
          <w:szCs w:val="32"/>
          <w:highlight w:val="none"/>
        </w:rPr>
        <w:t>工程质量</w:t>
      </w:r>
      <w:bookmarkEnd w:id="256"/>
      <w:bookmarkEnd w:id="257"/>
      <w:bookmarkEnd w:id="258"/>
      <w:bookmarkEnd w:id="259"/>
    </w:p>
    <w:bookmarkEnd w:id="260"/>
    <w:p w14:paraId="2F57BE80">
      <w:pPr>
        <w:keepNext/>
        <w:keepLines/>
        <w:spacing w:line="360" w:lineRule="auto"/>
        <w:outlineLvl w:val="3"/>
        <w:rPr>
          <w:rFonts w:hAnsi="宋体" w:cs="Times New Roman"/>
          <w:b/>
          <w:bCs/>
          <w:color w:val="auto"/>
          <w:kern w:val="2"/>
          <w:szCs w:val="28"/>
          <w:highlight w:val="none"/>
        </w:rPr>
      </w:pPr>
      <w:bookmarkStart w:id="261" w:name="_Toc532839901"/>
      <w:bookmarkStart w:id="262" w:name="_Toc351203533"/>
      <w:r>
        <w:rPr>
          <w:rFonts w:hAnsi="宋体" w:cs="Times New Roman"/>
          <w:b/>
          <w:bCs/>
          <w:color w:val="auto"/>
          <w:kern w:val="2"/>
          <w:szCs w:val="28"/>
          <w:highlight w:val="none"/>
        </w:rPr>
        <w:t>5</w:t>
      </w:r>
      <w:bookmarkStart w:id="263" w:name="_Toc337558759"/>
      <w:r>
        <w:rPr>
          <w:rFonts w:hAnsi="宋体" w:cs="Times New Roman"/>
          <w:b/>
          <w:bCs/>
          <w:color w:val="auto"/>
          <w:kern w:val="2"/>
          <w:szCs w:val="28"/>
          <w:highlight w:val="none"/>
        </w:rPr>
        <w:t>.1</w:t>
      </w:r>
      <w:r>
        <w:rPr>
          <w:rFonts w:hint="eastAsia" w:hAnsi="宋体"/>
          <w:b/>
          <w:bCs/>
          <w:color w:val="auto"/>
          <w:kern w:val="2"/>
          <w:szCs w:val="28"/>
          <w:highlight w:val="none"/>
        </w:rPr>
        <w:t>质量要求</w:t>
      </w:r>
      <w:bookmarkEnd w:id="261"/>
      <w:bookmarkEnd w:id="262"/>
    </w:p>
    <w:bookmarkEnd w:id="263"/>
    <w:p w14:paraId="3088D74B">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5.1.1 </w:t>
      </w:r>
      <w:r>
        <w:rPr>
          <w:rFonts w:hint="eastAsia" w:hAnsi="宋体" w:cs="Times New Roman"/>
          <w:color w:val="auto"/>
          <w:highlight w:val="none"/>
        </w:rPr>
        <w:t>工程质量标准必须符合现行国家有关工程施工质量验收规范和标准的要求。有关工程质量的特殊标准或要求由合同当事人在专用合同条款中约定。</w:t>
      </w:r>
    </w:p>
    <w:p w14:paraId="2C159E98">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5.1.2 </w:t>
      </w:r>
      <w:r>
        <w:rPr>
          <w:rFonts w:hint="eastAsia" w:hAnsi="宋体" w:cs="Times New Roman"/>
          <w:color w:val="auto"/>
          <w:highlight w:val="none"/>
        </w:rPr>
        <w:t>因发包人原因造成工程质量未达到合同约定标准的，由发包人承担由此增加的费用和（或）延误的工期，并支付承包人合理的利润。</w:t>
      </w:r>
    </w:p>
    <w:p w14:paraId="480AEAF0">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5.1.3 </w:t>
      </w:r>
      <w:r>
        <w:rPr>
          <w:rFonts w:hint="eastAsia" w:hAnsi="宋体" w:cs="Times New Roman"/>
          <w:color w:val="auto"/>
          <w:highlight w:val="none"/>
        </w:rPr>
        <w:t>因承包人原因造成工程质量未达到合同约定标准的，发包人有权要求承包人返工直至工程质量达到合同约定的标准为止，并由承包人承担由此增加的费用和（或）延误的工期。</w:t>
      </w:r>
    </w:p>
    <w:p w14:paraId="26589CE0">
      <w:pPr>
        <w:keepNext/>
        <w:keepLines/>
        <w:spacing w:line="360" w:lineRule="auto"/>
        <w:outlineLvl w:val="3"/>
        <w:rPr>
          <w:rFonts w:hAnsi="宋体" w:cs="Times New Roman"/>
          <w:b/>
          <w:bCs/>
          <w:color w:val="auto"/>
          <w:kern w:val="2"/>
          <w:szCs w:val="28"/>
          <w:highlight w:val="none"/>
        </w:rPr>
      </w:pPr>
      <w:bookmarkStart w:id="264" w:name="_Toc532839902"/>
      <w:bookmarkStart w:id="265" w:name="_Toc351203534"/>
      <w:r>
        <w:rPr>
          <w:rFonts w:hAnsi="宋体" w:cs="Times New Roman"/>
          <w:b/>
          <w:bCs/>
          <w:color w:val="auto"/>
          <w:kern w:val="2"/>
          <w:szCs w:val="28"/>
          <w:highlight w:val="none"/>
        </w:rPr>
        <w:t>5</w:t>
      </w:r>
      <w:bookmarkStart w:id="266" w:name="_Toc337558760"/>
      <w:r>
        <w:rPr>
          <w:rFonts w:hAnsi="宋体" w:cs="Times New Roman"/>
          <w:b/>
          <w:bCs/>
          <w:color w:val="auto"/>
          <w:kern w:val="2"/>
          <w:szCs w:val="28"/>
          <w:highlight w:val="none"/>
        </w:rPr>
        <w:t>.2</w:t>
      </w:r>
      <w:r>
        <w:rPr>
          <w:rFonts w:hint="eastAsia" w:hAnsi="宋体" w:cs="Times New Roman"/>
          <w:b/>
          <w:bCs/>
          <w:color w:val="auto"/>
          <w:kern w:val="2"/>
          <w:szCs w:val="28"/>
          <w:highlight w:val="none"/>
        </w:rPr>
        <w:t>质量保证措施</w:t>
      </w:r>
      <w:bookmarkEnd w:id="264"/>
      <w:bookmarkEnd w:id="265"/>
    </w:p>
    <w:bookmarkEnd w:id="266"/>
    <w:p w14:paraId="5A98FA08">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5.2.1 </w:t>
      </w:r>
      <w:r>
        <w:rPr>
          <w:rFonts w:hint="eastAsia" w:hAnsi="宋体" w:cs="Times New Roman"/>
          <w:color w:val="auto"/>
          <w:highlight w:val="none"/>
        </w:rPr>
        <w:t>发包人的质量管理</w:t>
      </w:r>
    </w:p>
    <w:p w14:paraId="711361E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发包人应按照法律规定及合同约定完成与工程质量有关的各项工作。</w:t>
      </w:r>
    </w:p>
    <w:p w14:paraId="00DF66C8">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5.2.2 </w:t>
      </w:r>
      <w:r>
        <w:rPr>
          <w:rFonts w:hint="eastAsia" w:hAnsi="宋体" w:cs="Times New Roman"/>
          <w:color w:val="auto"/>
          <w:highlight w:val="none"/>
        </w:rPr>
        <w:t>承包人的质量管理</w:t>
      </w:r>
    </w:p>
    <w:p w14:paraId="746274B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承包人按照第</w:t>
      </w:r>
      <w:r>
        <w:rPr>
          <w:rFonts w:hAnsi="宋体" w:cs="Times New Roman"/>
          <w:color w:val="auto"/>
          <w:highlight w:val="none"/>
        </w:rPr>
        <w:t>7.1</w:t>
      </w:r>
      <w:r>
        <w:rPr>
          <w:rFonts w:hint="eastAsia" w:hAnsi="宋体" w:cs="Times New Roman"/>
          <w:color w:val="auto"/>
          <w:highlight w:val="none"/>
        </w:rPr>
        <w:t>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1B493919">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承包人应对施工人员进行质量教育和技术培训，定期考核施工人员的劳动技能，严格执行施工规范和操作规程。</w:t>
      </w:r>
    </w:p>
    <w:p w14:paraId="6BA3B92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38E8241F">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5.2.3 </w:t>
      </w:r>
      <w:r>
        <w:rPr>
          <w:rFonts w:hint="eastAsia" w:hAnsi="宋体" w:cs="Times New Roman"/>
          <w:color w:val="auto"/>
          <w:highlight w:val="none"/>
        </w:rPr>
        <w:t>监理人的质量检查和检验</w:t>
      </w:r>
    </w:p>
    <w:p w14:paraId="5066DCD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7AF8055E">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4F00D3BD">
      <w:pPr>
        <w:keepNext/>
        <w:keepLines/>
        <w:spacing w:line="360" w:lineRule="auto"/>
        <w:outlineLvl w:val="3"/>
        <w:rPr>
          <w:rFonts w:hAnsi="宋体" w:cs="Times New Roman"/>
          <w:b/>
          <w:bCs/>
          <w:color w:val="auto"/>
          <w:kern w:val="2"/>
          <w:szCs w:val="28"/>
          <w:highlight w:val="none"/>
        </w:rPr>
      </w:pPr>
      <w:bookmarkStart w:id="267" w:name="_Toc532839903"/>
      <w:bookmarkStart w:id="268" w:name="_Toc351203535"/>
      <w:r>
        <w:rPr>
          <w:rFonts w:hAnsi="宋体" w:cs="Times New Roman"/>
          <w:b/>
          <w:bCs/>
          <w:color w:val="auto"/>
          <w:kern w:val="2"/>
          <w:szCs w:val="28"/>
          <w:highlight w:val="none"/>
        </w:rPr>
        <w:t>5</w:t>
      </w:r>
      <w:bookmarkStart w:id="269" w:name="_Toc337558761"/>
      <w:r>
        <w:rPr>
          <w:rFonts w:hAnsi="宋体" w:cs="Times New Roman"/>
          <w:b/>
          <w:bCs/>
          <w:color w:val="auto"/>
          <w:kern w:val="2"/>
          <w:szCs w:val="28"/>
          <w:highlight w:val="none"/>
        </w:rPr>
        <w:t xml:space="preserve">.3 </w:t>
      </w:r>
      <w:r>
        <w:rPr>
          <w:rFonts w:hint="eastAsia" w:hAnsi="宋体" w:cs="Times New Roman"/>
          <w:b/>
          <w:bCs/>
          <w:color w:val="auto"/>
          <w:kern w:val="2"/>
          <w:szCs w:val="28"/>
          <w:highlight w:val="none"/>
        </w:rPr>
        <w:t>隐蔽工程检查</w:t>
      </w:r>
      <w:bookmarkEnd w:id="267"/>
      <w:bookmarkEnd w:id="268"/>
    </w:p>
    <w:bookmarkEnd w:id="269"/>
    <w:p w14:paraId="0FBE8ACD">
      <w:pPr>
        <w:spacing w:line="360" w:lineRule="auto"/>
        <w:ind w:firstLine="420" w:firstLineChars="200"/>
        <w:jc w:val="left"/>
        <w:rPr>
          <w:rFonts w:hAnsi="宋体" w:cs="Times New Roman"/>
          <w:color w:val="auto"/>
          <w:highlight w:val="none"/>
        </w:rPr>
      </w:pPr>
      <w:r>
        <w:rPr>
          <w:rFonts w:hAnsi="宋体" w:cs="Times New Roman"/>
          <w:color w:val="auto"/>
          <w:highlight w:val="none"/>
        </w:rPr>
        <w:t>5.3.1</w:t>
      </w:r>
      <w:r>
        <w:rPr>
          <w:rFonts w:hint="eastAsia" w:hAnsi="宋体" w:cs="Times New Roman"/>
          <w:color w:val="auto"/>
          <w:highlight w:val="none"/>
        </w:rPr>
        <w:t>承包人自检</w:t>
      </w:r>
    </w:p>
    <w:p w14:paraId="648FACEF">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承包人应当对工程隐蔽部位进行自检，并经自检确认是否具备覆盖条件。</w:t>
      </w:r>
    </w:p>
    <w:p w14:paraId="49C00973">
      <w:pPr>
        <w:spacing w:line="360" w:lineRule="auto"/>
        <w:ind w:firstLine="420" w:firstLineChars="200"/>
        <w:jc w:val="left"/>
        <w:rPr>
          <w:rFonts w:hAnsi="宋体" w:cs="Times New Roman"/>
          <w:color w:val="auto"/>
          <w:highlight w:val="none"/>
        </w:rPr>
      </w:pPr>
      <w:r>
        <w:rPr>
          <w:rFonts w:hAnsi="宋体" w:cs="Times New Roman"/>
          <w:color w:val="auto"/>
          <w:highlight w:val="none"/>
        </w:rPr>
        <w:t>5.3.2</w:t>
      </w:r>
      <w:r>
        <w:rPr>
          <w:rFonts w:hint="eastAsia" w:hAnsi="宋体" w:cs="Times New Roman"/>
          <w:color w:val="auto"/>
          <w:highlight w:val="none"/>
        </w:rPr>
        <w:t>检查程序</w:t>
      </w:r>
    </w:p>
    <w:p w14:paraId="7DDF141F">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除专用合同条款另有约定外，工程隐蔽部位经承包人自检确认具备覆盖条件的，承包人应在共同检查前</w:t>
      </w:r>
      <w:r>
        <w:rPr>
          <w:rFonts w:hAnsi="宋体" w:cs="Times New Roman"/>
          <w:color w:val="auto"/>
          <w:highlight w:val="none"/>
        </w:rPr>
        <w:t>48</w:t>
      </w:r>
      <w:r>
        <w:rPr>
          <w:rFonts w:hint="eastAsia" w:hAnsi="宋体" w:cs="Times New Roman"/>
          <w:color w:val="auto"/>
          <w:highlight w:val="none"/>
        </w:rPr>
        <w:t>小时书面通知监理人检查，通知中应载明隐蔽检查的内容、时间和地点，并应附有自检记录和必要的检查资料。</w:t>
      </w:r>
    </w:p>
    <w:p w14:paraId="23EB20C5">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A057790">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除专用合同条款另有约定外，监理人不能按时进行检查的，应在检查前</w:t>
      </w:r>
      <w:r>
        <w:rPr>
          <w:rFonts w:hAnsi="宋体" w:cs="Times New Roman"/>
          <w:color w:val="auto"/>
          <w:highlight w:val="none"/>
        </w:rPr>
        <w:t>24</w:t>
      </w:r>
      <w:r>
        <w:rPr>
          <w:rFonts w:hint="eastAsia" w:hAnsi="宋体" w:cs="Times New Roman"/>
          <w:color w:val="auto"/>
          <w:highlight w:val="none"/>
        </w:rPr>
        <w:t>小时向承包人提交书面延期要求，但延期不能超过</w:t>
      </w:r>
      <w:r>
        <w:rPr>
          <w:rFonts w:hAnsi="宋体" w:cs="Times New Roman"/>
          <w:color w:val="auto"/>
          <w:highlight w:val="none"/>
        </w:rPr>
        <w:t>48</w:t>
      </w:r>
      <w:r>
        <w:rPr>
          <w:rFonts w:hint="eastAsia" w:hAnsi="宋体" w:cs="Times New Roman"/>
          <w:color w:val="auto"/>
          <w:highlight w:val="none"/>
        </w:rPr>
        <w:t>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w:t>
      </w:r>
      <w:r>
        <w:rPr>
          <w:rFonts w:hAnsi="宋体" w:cs="Times New Roman"/>
          <w:color w:val="auto"/>
          <w:highlight w:val="none"/>
        </w:rPr>
        <w:t>5.3.3</w:t>
      </w:r>
      <w:r>
        <w:rPr>
          <w:rFonts w:hint="eastAsia" w:hAnsi="宋体" w:cs="Times New Roman"/>
          <w:color w:val="auto"/>
          <w:highlight w:val="none"/>
        </w:rPr>
        <w:t>项〔重新检查〕的约定重新检查。</w:t>
      </w:r>
    </w:p>
    <w:p w14:paraId="6862AA31">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5.3.3 </w:t>
      </w:r>
      <w:r>
        <w:rPr>
          <w:rFonts w:hint="eastAsia" w:hAnsi="宋体" w:cs="Times New Roman"/>
          <w:color w:val="auto"/>
          <w:highlight w:val="none"/>
        </w:rPr>
        <w:t>重新检查</w:t>
      </w:r>
    </w:p>
    <w:p w14:paraId="62C49823">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6E25B0D">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5.3.4 </w:t>
      </w:r>
      <w:r>
        <w:rPr>
          <w:rFonts w:hint="eastAsia" w:hAnsi="宋体" w:cs="Times New Roman"/>
          <w:color w:val="auto"/>
          <w:highlight w:val="none"/>
        </w:rPr>
        <w:t>承包人私自覆盖</w:t>
      </w:r>
    </w:p>
    <w:p w14:paraId="027ADF49">
      <w:pPr>
        <w:spacing w:line="360" w:lineRule="auto"/>
        <w:ind w:firstLine="420" w:firstLineChars="200"/>
        <w:jc w:val="left"/>
        <w:rPr>
          <w:rFonts w:hAnsi="宋体" w:cs="Times New Roman"/>
          <w:color w:val="auto"/>
          <w:kern w:val="2"/>
          <w:highlight w:val="none"/>
        </w:rPr>
      </w:pPr>
      <w:r>
        <w:rPr>
          <w:rFonts w:hint="eastAsia" w:hAnsi="宋体" w:cs="Times New Roman"/>
          <w:color w:val="auto"/>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3ED9FDBF">
      <w:pPr>
        <w:keepNext/>
        <w:keepLines/>
        <w:spacing w:line="360" w:lineRule="auto"/>
        <w:outlineLvl w:val="3"/>
        <w:rPr>
          <w:rFonts w:hAnsi="宋体" w:cs="Times New Roman"/>
          <w:b/>
          <w:bCs/>
          <w:color w:val="auto"/>
          <w:kern w:val="2"/>
          <w:szCs w:val="28"/>
          <w:highlight w:val="none"/>
        </w:rPr>
      </w:pPr>
      <w:bookmarkStart w:id="270" w:name="_Toc351203536"/>
      <w:bookmarkStart w:id="271" w:name="_Toc532839904"/>
      <w:r>
        <w:rPr>
          <w:rFonts w:hAnsi="宋体" w:cs="Times New Roman"/>
          <w:b/>
          <w:bCs/>
          <w:color w:val="auto"/>
          <w:kern w:val="2"/>
          <w:szCs w:val="28"/>
          <w:highlight w:val="none"/>
        </w:rPr>
        <w:t>5</w:t>
      </w:r>
      <w:bookmarkStart w:id="272" w:name="_Toc337558762"/>
      <w:r>
        <w:rPr>
          <w:rFonts w:hAnsi="宋体" w:cs="Times New Roman"/>
          <w:b/>
          <w:bCs/>
          <w:color w:val="auto"/>
          <w:kern w:val="2"/>
          <w:szCs w:val="28"/>
          <w:highlight w:val="none"/>
        </w:rPr>
        <w:t>.4</w:t>
      </w:r>
      <w:r>
        <w:rPr>
          <w:rFonts w:hint="eastAsia" w:hAnsi="宋体" w:cs="Times New Roman"/>
          <w:b/>
          <w:bCs/>
          <w:color w:val="auto"/>
          <w:kern w:val="2"/>
          <w:szCs w:val="28"/>
          <w:highlight w:val="none"/>
        </w:rPr>
        <w:t>不合格工程的处理</w:t>
      </w:r>
      <w:bookmarkEnd w:id="270"/>
      <w:bookmarkEnd w:id="271"/>
    </w:p>
    <w:bookmarkEnd w:id="272"/>
    <w:p w14:paraId="6BB80A4E">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5.4.1 </w:t>
      </w:r>
      <w:r>
        <w:rPr>
          <w:rFonts w:hint="eastAsia" w:hAnsi="宋体" w:cs="Times New Roman"/>
          <w:color w:val="auto"/>
          <w:highlight w:val="none"/>
        </w:rPr>
        <w:t>因承包人原因造成工程不合格的，发包人有权随时要求承包人采取补救措施，直至达到合同要求的质量标准，由此增加的费用和（或）延误的工期由承包人承担。无法补救的，按照第</w:t>
      </w:r>
      <w:r>
        <w:rPr>
          <w:rFonts w:hAnsi="宋体" w:cs="Times New Roman"/>
          <w:color w:val="auto"/>
          <w:highlight w:val="none"/>
        </w:rPr>
        <w:t>13.2.4</w:t>
      </w:r>
      <w:r>
        <w:rPr>
          <w:rFonts w:hint="eastAsia" w:hAnsi="宋体" w:cs="Times New Roman"/>
          <w:color w:val="auto"/>
          <w:highlight w:val="none"/>
        </w:rPr>
        <w:t>项〔拒绝接收全部或部分工程〕约定执行。</w:t>
      </w:r>
      <w:r>
        <w:rPr>
          <w:rFonts w:hAnsi="宋体" w:cs="Times New Roman"/>
          <w:color w:val="auto"/>
          <w:highlight w:val="none"/>
        </w:rPr>
        <w:t xml:space="preserve"> </w:t>
      </w:r>
    </w:p>
    <w:p w14:paraId="322CD48C">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5.4.2 </w:t>
      </w:r>
      <w:r>
        <w:rPr>
          <w:rFonts w:hint="eastAsia" w:hAnsi="宋体" w:cs="Times New Roman"/>
          <w:color w:val="auto"/>
          <w:highlight w:val="none"/>
        </w:rPr>
        <w:t>因发包人原因造成工程不合格的，由此增加的费用和（或）延误的工期由发包人承担，并支付承包人合理的利润。</w:t>
      </w:r>
    </w:p>
    <w:p w14:paraId="2316DA0F">
      <w:pPr>
        <w:keepNext/>
        <w:keepLines/>
        <w:spacing w:line="360" w:lineRule="auto"/>
        <w:outlineLvl w:val="3"/>
        <w:rPr>
          <w:rFonts w:hAnsi="宋体" w:cs="Times New Roman"/>
          <w:b/>
          <w:bCs/>
          <w:color w:val="auto"/>
          <w:kern w:val="2"/>
          <w:szCs w:val="28"/>
          <w:highlight w:val="none"/>
        </w:rPr>
      </w:pPr>
      <w:bookmarkStart w:id="273" w:name="_Toc532839905"/>
      <w:bookmarkStart w:id="274" w:name="_Toc351203537"/>
      <w:r>
        <w:rPr>
          <w:rFonts w:hAnsi="宋体" w:cs="Times New Roman"/>
          <w:b/>
          <w:bCs/>
          <w:color w:val="auto"/>
          <w:kern w:val="2"/>
          <w:szCs w:val="28"/>
          <w:highlight w:val="none"/>
        </w:rPr>
        <w:t xml:space="preserve">5.5 </w:t>
      </w:r>
      <w:r>
        <w:rPr>
          <w:rFonts w:hint="eastAsia" w:hAnsi="宋体" w:cs="Times New Roman"/>
          <w:b/>
          <w:bCs/>
          <w:color w:val="auto"/>
          <w:kern w:val="2"/>
          <w:szCs w:val="28"/>
          <w:highlight w:val="none"/>
        </w:rPr>
        <w:t>质量争议检测</w:t>
      </w:r>
      <w:bookmarkEnd w:id="273"/>
      <w:bookmarkEnd w:id="274"/>
    </w:p>
    <w:p w14:paraId="30842EF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合同当事人对工程质量有争议的，由双方协商确定的工程质量检测机构鉴定，由此产生的费用及因此造成的损失，由责任方承担。</w:t>
      </w:r>
    </w:p>
    <w:p w14:paraId="5DDEF5A3">
      <w:pPr>
        <w:autoSpaceDE w:val="0"/>
        <w:autoSpaceDN w:val="0"/>
        <w:adjustRightInd w:val="0"/>
        <w:spacing w:line="360" w:lineRule="auto"/>
        <w:jc w:val="left"/>
        <w:rPr>
          <w:rFonts w:hAnsi="宋体" w:cs="Times New Roman"/>
          <w:color w:val="auto"/>
          <w:highlight w:val="none"/>
        </w:rPr>
      </w:pPr>
      <w:r>
        <w:rPr>
          <w:rFonts w:hint="eastAsia" w:hAnsi="宋体" w:cs="Times New Roman"/>
          <w:color w:val="auto"/>
          <w:highlight w:val="none"/>
        </w:rPr>
        <w:t>合同当事人均有责任的，由双方根据其责任分别承担。合同当事人无法达成一致的，按照第</w:t>
      </w:r>
      <w:r>
        <w:rPr>
          <w:rFonts w:hAnsi="宋体" w:cs="Times New Roman"/>
          <w:color w:val="auto"/>
          <w:highlight w:val="none"/>
        </w:rPr>
        <w:t>4.4</w:t>
      </w:r>
      <w:r>
        <w:rPr>
          <w:rFonts w:hint="eastAsia" w:hAnsi="宋体" w:cs="Times New Roman"/>
          <w:color w:val="auto"/>
          <w:highlight w:val="none"/>
        </w:rPr>
        <w:t>款〔商定或确定〕执行。</w:t>
      </w:r>
    </w:p>
    <w:p w14:paraId="29796C13">
      <w:pPr>
        <w:keepNext/>
        <w:keepLines/>
        <w:spacing w:line="360" w:lineRule="auto"/>
        <w:outlineLvl w:val="2"/>
        <w:rPr>
          <w:rFonts w:hAnsi="宋体" w:cs="Times New Roman"/>
          <w:b/>
          <w:bCs/>
          <w:color w:val="auto"/>
          <w:kern w:val="2"/>
          <w:szCs w:val="32"/>
          <w:highlight w:val="none"/>
        </w:rPr>
      </w:pPr>
      <w:bookmarkStart w:id="275" w:name="_Toc351203538"/>
      <w:bookmarkStart w:id="276" w:name="_Toc512691377"/>
      <w:bookmarkStart w:id="277" w:name="_Toc532839906"/>
      <w:bookmarkStart w:id="278" w:name="_Toc527130423"/>
      <w:r>
        <w:rPr>
          <w:rFonts w:hAnsi="宋体" w:cs="Times New Roman"/>
          <w:b/>
          <w:bCs/>
          <w:color w:val="auto"/>
          <w:kern w:val="2"/>
          <w:szCs w:val="32"/>
          <w:highlight w:val="none"/>
        </w:rPr>
        <w:t>6</w:t>
      </w:r>
      <w:bookmarkStart w:id="279" w:name="_Toc337558763"/>
      <w:r>
        <w:rPr>
          <w:rFonts w:hAnsi="宋体" w:cs="Times New Roman"/>
          <w:b/>
          <w:bCs/>
          <w:color w:val="auto"/>
          <w:kern w:val="2"/>
          <w:szCs w:val="32"/>
          <w:highlight w:val="none"/>
        </w:rPr>
        <w:t xml:space="preserve">. </w:t>
      </w:r>
      <w:r>
        <w:rPr>
          <w:rFonts w:hint="eastAsia" w:hAnsi="宋体" w:cs="Times New Roman"/>
          <w:b/>
          <w:bCs/>
          <w:color w:val="auto"/>
          <w:kern w:val="2"/>
          <w:szCs w:val="32"/>
          <w:highlight w:val="none"/>
        </w:rPr>
        <w:t>安全文明施工与环境保护</w:t>
      </w:r>
      <w:bookmarkEnd w:id="275"/>
      <w:bookmarkEnd w:id="276"/>
      <w:bookmarkEnd w:id="277"/>
      <w:bookmarkEnd w:id="278"/>
    </w:p>
    <w:bookmarkEnd w:id="279"/>
    <w:p w14:paraId="51FB44F8">
      <w:pPr>
        <w:keepNext/>
        <w:keepLines/>
        <w:spacing w:line="360" w:lineRule="auto"/>
        <w:outlineLvl w:val="3"/>
        <w:rPr>
          <w:rFonts w:hAnsi="宋体" w:cs="Times New Roman"/>
          <w:b/>
          <w:bCs/>
          <w:color w:val="auto"/>
          <w:kern w:val="2"/>
          <w:szCs w:val="28"/>
          <w:highlight w:val="none"/>
        </w:rPr>
      </w:pPr>
      <w:bookmarkStart w:id="280" w:name="_Toc532839907"/>
      <w:bookmarkStart w:id="281" w:name="_Toc351203539"/>
      <w:r>
        <w:rPr>
          <w:rFonts w:hAnsi="宋体" w:cs="Times New Roman"/>
          <w:b/>
          <w:bCs/>
          <w:color w:val="auto"/>
          <w:kern w:val="2"/>
          <w:szCs w:val="28"/>
          <w:highlight w:val="none"/>
        </w:rPr>
        <w:t>6</w:t>
      </w:r>
      <w:bookmarkStart w:id="282" w:name="_Toc337558764"/>
      <w:r>
        <w:rPr>
          <w:rFonts w:hAnsi="宋体" w:cs="Times New Roman"/>
          <w:b/>
          <w:bCs/>
          <w:color w:val="auto"/>
          <w:kern w:val="2"/>
          <w:szCs w:val="28"/>
          <w:highlight w:val="none"/>
        </w:rPr>
        <w:t>.1</w:t>
      </w:r>
      <w:r>
        <w:rPr>
          <w:rFonts w:hint="eastAsia" w:hAnsi="宋体" w:cs="Times New Roman"/>
          <w:b/>
          <w:bCs/>
          <w:color w:val="auto"/>
          <w:kern w:val="2"/>
          <w:szCs w:val="28"/>
          <w:highlight w:val="none"/>
        </w:rPr>
        <w:t>安全文明施工</w:t>
      </w:r>
      <w:bookmarkEnd w:id="280"/>
      <w:bookmarkEnd w:id="281"/>
    </w:p>
    <w:bookmarkEnd w:id="282"/>
    <w:p w14:paraId="02B1ADAC">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6.1.1</w:t>
      </w:r>
      <w:r>
        <w:rPr>
          <w:rFonts w:hint="eastAsia" w:hAnsi="宋体" w:cs="Times New Roman"/>
          <w:color w:val="auto"/>
          <w:kern w:val="2"/>
          <w:highlight w:val="none"/>
        </w:rPr>
        <w:t>安全生产要求</w:t>
      </w:r>
    </w:p>
    <w:p w14:paraId="3B51935A">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72AF37C7">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在施工过程中，如遇到突发的地质变动、事先未知的地下施工障碍等影响施工安全的紧急情况，承包人应及时报告监理人和发包人，发包人应当及时下令停工并报</w:t>
      </w:r>
      <w:r>
        <w:rPr>
          <w:rFonts w:hint="eastAsia" w:hAnsi="宋体" w:cs="Times New Roman"/>
          <w:color w:val="auto"/>
          <w:highlight w:val="none"/>
        </w:rPr>
        <w:t>政府有关行政管理部门</w:t>
      </w:r>
      <w:r>
        <w:rPr>
          <w:rFonts w:hint="eastAsia" w:hAnsi="宋体" w:cs="Times New Roman"/>
          <w:color w:val="auto"/>
          <w:kern w:val="2"/>
          <w:highlight w:val="none"/>
        </w:rPr>
        <w:t>采取应急措施。</w:t>
      </w:r>
    </w:p>
    <w:p w14:paraId="0F214E27">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因安全生产需要暂停施工的，按照第</w:t>
      </w:r>
      <w:r>
        <w:rPr>
          <w:rFonts w:hAnsi="宋体" w:cs="Times New Roman"/>
          <w:color w:val="auto"/>
          <w:kern w:val="2"/>
          <w:highlight w:val="none"/>
        </w:rPr>
        <w:t>7.8</w:t>
      </w:r>
      <w:r>
        <w:rPr>
          <w:rFonts w:hint="eastAsia" w:hAnsi="宋体" w:cs="Times New Roman"/>
          <w:color w:val="auto"/>
          <w:kern w:val="2"/>
          <w:highlight w:val="none"/>
        </w:rPr>
        <w:t>款〔暂停施工〕的约定执行。</w:t>
      </w:r>
    </w:p>
    <w:p w14:paraId="0528D04B">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6.1.2 </w:t>
      </w:r>
      <w:r>
        <w:rPr>
          <w:rFonts w:hint="eastAsia" w:hAnsi="宋体" w:cs="Times New Roman"/>
          <w:color w:val="auto"/>
          <w:kern w:val="2"/>
          <w:highlight w:val="none"/>
        </w:rPr>
        <w:t>安全生产保证措施</w:t>
      </w:r>
    </w:p>
    <w:p w14:paraId="0630F86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kern w:val="2"/>
          <w:highlight w:val="none"/>
        </w:rPr>
        <w:t>承包人应当按照有关</w:t>
      </w:r>
      <w:r>
        <w:rPr>
          <w:rFonts w:hint="eastAsia" w:hAnsi="宋体" w:cs="Times New Roman"/>
          <w:color w:val="auto"/>
          <w:highlight w:val="none"/>
        </w:rPr>
        <w:t>规定编制安全技术措施或者专项施工方案，</w:t>
      </w:r>
      <w:r>
        <w:rPr>
          <w:rFonts w:hint="eastAsia" w:hAnsi="宋体" w:cs="Times New Roman"/>
          <w:color w:val="auto"/>
          <w:kern w:val="2"/>
          <w:highlight w:val="none"/>
        </w:rPr>
        <w:t>建立安全生产责任制度、治安保卫制度及安全生产教育培训制度，并</w:t>
      </w:r>
      <w:r>
        <w:rPr>
          <w:rFonts w:hint="eastAsia" w:hAnsi="宋体" w:cs="Times New Roman"/>
          <w:color w:val="auto"/>
          <w:highlight w:val="none"/>
        </w:rPr>
        <w:t>按安全生产法律规定及合同约定履行安全职责，如实</w:t>
      </w:r>
      <w:r>
        <w:rPr>
          <w:rFonts w:hint="eastAsia" w:hAnsi="宋体" w:cs="Times New Roman"/>
          <w:color w:val="auto"/>
          <w:kern w:val="2"/>
          <w:highlight w:val="none"/>
        </w:rPr>
        <w:t>编制工程安全生产的有关记录，</w:t>
      </w:r>
      <w:r>
        <w:rPr>
          <w:rFonts w:hint="eastAsia" w:hAnsi="宋体" w:cs="Times New Roman"/>
          <w:color w:val="auto"/>
          <w:highlight w:val="none"/>
        </w:rPr>
        <w:t>接受发包人、监理人及政府安全监督部门的检查与监督。</w:t>
      </w:r>
    </w:p>
    <w:p w14:paraId="36CF495B">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6.1.3</w:t>
      </w:r>
      <w:r>
        <w:rPr>
          <w:rFonts w:hint="eastAsia" w:hAnsi="宋体" w:cs="Times New Roman"/>
          <w:color w:val="auto"/>
          <w:kern w:val="2"/>
          <w:highlight w:val="none"/>
        </w:rPr>
        <w:t>特别安全生产事项</w:t>
      </w:r>
    </w:p>
    <w:p w14:paraId="2F4739E1">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4AEEE4B">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承包人在动力设备、输电线路、地下管道、密封防震车间、易燃易爆地段以及临街交通要道附近施工时，施工开始前应向发包人和监理人提出安全防护措施，经发包人认可后实施。</w:t>
      </w:r>
      <w:r>
        <w:rPr>
          <w:rFonts w:hAnsi="宋体" w:cs="Times New Roman"/>
          <w:color w:val="auto"/>
          <w:kern w:val="2"/>
          <w:highlight w:val="none"/>
        </w:rPr>
        <w:t xml:space="preserve"> </w:t>
      </w:r>
    </w:p>
    <w:p w14:paraId="75A33EC8">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实施爆破作业，在放射、毒害性环境中施工（含储存、运输、使用）及使用毒害性、腐蚀性物品施工时，承包人应在施工前</w:t>
      </w:r>
      <w:r>
        <w:rPr>
          <w:rFonts w:hAnsi="宋体" w:cs="Times New Roman"/>
          <w:color w:val="auto"/>
          <w:kern w:val="2"/>
          <w:highlight w:val="none"/>
        </w:rPr>
        <w:t>7</w:t>
      </w:r>
      <w:r>
        <w:rPr>
          <w:rFonts w:hint="eastAsia" w:hAnsi="宋体" w:cs="Times New Roman"/>
          <w:color w:val="auto"/>
          <w:kern w:val="2"/>
          <w:highlight w:val="none"/>
        </w:rPr>
        <w:t>天以书面通知发包人和监理人，并报送相应的安全防护措施，经发包人认可后实施。</w:t>
      </w:r>
    </w:p>
    <w:p w14:paraId="43034976">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需单独编制危险性较大分部分项专项工程施工方案的，及要求进行专家论证的超过一定规模的危险性较大的分部分项工程，承包人应及时编制和组织论证。</w:t>
      </w:r>
    </w:p>
    <w:p w14:paraId="1F62AB91">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6.1.4 </w:t>
      </w:r>
      <w:r>
        <w:rPr>
          <w:rFonts w:hint="eastAsia" w:hAnsi="宋体" w:cs="Times New Roman"/>
          <w:color w:val="auto"/>
          <w:kern w:val="2"/>
          <w:highlight w:val="none"/>
        </w:rPr>
        <w:t>治安保卫</w:t>
      </w:r>
    </w:p>
    <w:p w14:paraId="593282CB">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除专用合同条款另有约定外，发包人应与当地公安部门协商，在现场建立治安管理机构或联防组织，统一管理施工场地的治安保卫事项，履行合同工程的治安保卫职责。</w:t>
      </w:r>
    </w:p>
    <w:p w14:paraId="0FA00159">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发包人和承包人除应协助现场治安管理机构或联防组织维护施工场地的社会治安外，还应做好包括生活区在内的各自管辖区的治安保卫工作。</w:t>
      </w:r>
    </w:p>
    <w:p w14:paraId="4F00FF19">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除专用合同条款另有约定外，发包人和承包人应在工程开工后</w:t>
      </w:r>
      <w:r>
        <w:rPr>
          <w:rFonts w:hAnsi="宋体" w:cs="Times New Roman"/>
          <w:color w:val="auto"/>
          <w:kern w:val="2"/>
          <w:highlight w:val="none"/>
        </w:rPr>
        <w:t>7</w:t>
      </w:r>
      <w:r>
        <w:rPr>
          <w:rFonts w:hint="eastAsia" w:hAnsi="宋体" w:cs="Times New Roman"/>
          <w:color w:val="auto"/>
          <w:kern w:val="2"/>
          <w:highlight w:val="none"/>
        </w:rPr>
        <w:t>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3501DF63">
      <w:pPr>
        <w:spacing w:line="360" w:lineRule="auto"/>
        <w:ind w:firstLine="420" w:firstLineChars="200"/>
        <w:rPr>
          <w:rFonts w:hAnsi="宋体" w:cs="Times New Roman"/>
          <w:color w:val="auto"/>
          <w:highlight w:val="none"/>
        </w:rPr>
      </w:pPr>
      <w:r>
        <w:rPr>
          <w:rFonts w:hAnsi="宋体" w:cs="Times New Roman"/>
          <w:color w:val="auto"/>
          <w:kern w:val="2"/>
          <w:highlight w:val="none"/>
        </w:rPr>
        <w:t xml:space="preserve">6.1.5 </w:t>
      </w:r>
      <w:r>
        <w:rPr>
          <w:rFonts w:hint="eastAsia" w:hAnsi="宋体" w:cs="Times New Roman"/>
          <w:color w:val="auto"/>
          <w:kern w:val="2"/>
          <w:highlight w:val="none"/>
        </w:rPr>
        <w:t>文明施工</w:t>
      </w:r>
    </w:p>
    <w:p w14:paraId="50AFC45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22A9F58F">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AB757BA">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6.1.6 </w:t>
      </w:r>
      <w:r>
        <w:rPr>
          <w:rFonts w:hint="eastAsia" w:hAnsi="宋体" w:cs="Times New Roman"/>
          <w:color w:val="auto"/>
          <w:kern w:val="2"/>
          <w:highlight w:val="none"/>
        </w:rPr>
        <w:t>安全文明施工费</w:t>
      </w:r>
    </w:p>
    <w:p w14:paraId="5557354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安全文明施工费由发包人承担，发包人不得以任何形式扣减该部分费用。因基准日期后合同所适用的法律或政府有关规定发生变化，增加的安全文明施工费由发包人承担。</w:t>
      </w:r>
    </w:p>
    <w:p w14:paraId="457D3EE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1F8E390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除专用合同条款另有约定外，发包人应在开工后</w:t>
      </w:r>
      <w:r>
        <w:rPr>
          <w:rFonts w:hAnsi="宋体" w:cs="Times New Roman"/>
          <w:color w:val="auto"/>
          <w:highlight w:val="none"/>
        </w:rPr>
        <w:t>28</w:t>
      </w:r>
      <w:r>
        <w:rPr>
          <w:rFonts w:hint="eastAsia" w:hAnsi="宋体" w:cs="Times New Roman"/>
          <w:color w:val="auto"/>
          <w:highlight w:val="none"/>
        </w:rPr>
        <w:t>天内预付安全文明施工费总额的</w:t>
      </w:r>
      <w:r>
        <w:rPr>
          <w:rFonts w:hAnsi="宋体" w:cs="Times New Roman"/>
          <w:color w:val="auto"/>
          <w:highlight w:val="none"/>
        </w:rPr>
        <w:t>50%</w:t>
      </w:r>
      <w:r>
        <w:rPr>
          <w:rFonts w:hint="eastAsia" w:hAnsi="宋体" w:cs="Times New Roman"/>
          <w:color w:val="auto"/>
          <w:highlight w:val="none"/>
        </w:rPr>
        <w:t>，其余部分与进度款同期支付。发包人逾期支付安全文明施工费超过</w:t>
      </w:r>
      <w:r>
        <w:rPr>
          <w:rFonts w:hAnsi="宋体" w:cs="Times New Roman"/>
          <w:color w:val="auto"/>
          <w:highlight w:val="none"/>
        </w:rPr>
        <w:t>7</w:t>
      </w:r>
      <w:r>
        <w:rPr>
          <w:rFonts w:hint="eastAsia" w:hAnsi="宋体" w:cs="Times New Roman"/>
          <w:color w:val="auto"/>
          <w:highlight w:val="none"/>
        </w:rPr>
        <w:t>天的，承包人有权向发包人发出要求预付的催告通知，发包人收到通知后</w:t>
      </w:r>
      <w:r>
        <w:rPr>
          <w:rFonts w:hAnsi="宋体" w:cs="Times New Roman"/>
          <w:color w:val="auto"/>
          <w:highlight w:val="none"/>
        </w:rPr>
        <w:t>7</w:t>
      </w:r>
      <w:r>
        <w:rPr>
          <w:rFonts w:hint="eastAsia" w:hAnsi="宋体" w:cs="Times New Roman"/>
          <w:color w:val="auto"/>
          <w:highlight w:val="none"/>
        </w:rPr>
        <w:t>天内仍未支付的，承包人有权暂停施工，并按第</w:t>
      </w:r>
      <w:r>
        <w:rPr>
          <w:rFonts w:hAnsi="宋体" w:cs="Times New Roman"/>
          <w:color w:val="auto"/>
          <w:highlight w:val="none"/>
        </w:rPr>
        <w:t>16.1.1</w:t>
      </w:r>
      <w:r>
        <w:rPr>
          <w:rFonts w:hint="eastAsia" w:hAnsi="宋体" w:cs="Times New Roman"/>
          <w:color w:val="auto"/>
          <w:highlight w:val="none"/>
        </w:rPr>
        <w:t>项〔发包人违约的情形〕执行。</w:t>
      </w:r>
    </w:p>
    <w:p w14:paraId="4AFFF26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12F386DF">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6.1.7 </w:t>
      </w:r>
      <w:r>
        <w:rPr>
          <w:rFonts w:hint="eastAsia" w:hAnsi="宋体" w:cs="Times New Roman"/>
          <w:color w:val="auto"/>
          <w:highlight w:val="none"/>
        </w:rPr>
        <w:t>紧急情况处理</w:t>
      </w:r>
    </w:p>
    <w:p w14:paraId="5DB96383">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25E2236E">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6.1.8 </w:t>
      </w:r>
      <w:r>
        <w:rPr>
          <w:rFonts w:hint="eastAsia" w:hAnsi="宋体" w:cs="Times New Roman"/>
          <w:color w:val="auto"/>
          <w:highlight w:val="none"/>
        </w:rPr>
        <w:t>事故处理</w:t>
      </w:r>
    </w:p>
    <w:p w14:paraId="127761FE">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AD6BB08">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6.1.9 </w:t>
      </w:r>
      <w:r>
        <w:rPr>
          <w:rFonts w:hint="eastAsia" w:hAnsi="宋体" w:cs="Times New Roman"/>
          <w:color w:val="auto"/>
          <w:highlight w:val="none"/>
        </w:rPr>
        <w:t>安全生产责任</w:t>
      </w:r>
    </w:p>
    <w:p w14:paraId="3D71EEB5">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6.1.9.1 </w:t>
      </w:r>
      <w:r>
        <w:rPr>
          <w:rFonts w:hint="eastAsia" w:hAnsi="宋体" w:cs="Times New Roman"/>
          <w:color w:val="auto"/>
          <w:highlight w:val="none"/>
        </w:rPr>
        <w:t>发包人的安全责任</w:t>
      </w:r>
    </w:p>
    <w:p w14:paraId="7CA25AE7">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发包人应负责赔偿以下各种情况造成的损失：</w:t>
      </w:r>
    </w:p>
    <w:p w14:paraId="1343315B">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1</w:t>
      </w:r>
      <w:r>
        <w:rPr>
          <w:rFonts w:hint="eastAsia" w:hAnsi="宋体" w:cs="Times New Roman"/>
          <w:color w:val="auto"/>
          <w:kern w:val="2"/>
          <w:highlight w:val="none"/>
        </w:rPr>
        <w:t>）工程或工程的任何部分对土地的占用所造成的第三者财产损失；</w:t>
      </w:r>
    </w:p>
    <w:p w14:paraId="6C382DBC">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2</w:t>
      </w:r>
      <w:r>
        <w:rPr>
          <w:rFonts w:hint="eastAsia" w:hAnsi="宋体" w:cs="Times New Roman"/>
          <w:color w:val="auto"/>
          <w:kern w:val="2"/>
          <w:highlight w:val="none"/>
        </w:rPr>
        <w:t>）由于发包人原因在施工场地及其毗邻地带造成的第三者人身伤亡和财产损失；</w:t>
      </w:r>
    </w:p>
    <w:p w14:paraId="2F0BBCAE">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3</w:t>
      </w:r>
      <w:r>
        <w:rPr>
          <w:rFonts w:hint="eastAsia" w:hAnsi="宋体" w:cs="Times New Roman"/>
          <w:color w:val="auto"/>
          <w:kern w:val="2"/>
          <w:highlight w:val="none"/>
        </w:rPr>
        <w:t>）由于发包人原因对承包人、监理人造成的人员人身伤亡和财产损失；</w:t>
      </w:r>
    </w:p>
    <w:p w14:paraId="4A7F3AA2">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4</w:t>
      </w:r>
      <w:r>
        <w:rPr>
          <w:rFonts w:hint="eastAsia" w:hAnsi="宋体" w:cs="Times New Roman"/>
          <w:color w:val="auto"/>
          <w:kern w:val="2"/>
          <w:highlight w:val="none"/>
        </w:rPr>
        <w:t>）由于发包人原因造成的发包人自身人员的人身伤害以及财产损失。</w:t>
      </w:r>
    </w:p>
    <w:p w14:paraId="71A460CD">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6.1.9.2 </w:t>
      </w:r>
      <w:r>
        <w:rPr>
          <w:rFonts w:hint="eastAsia" w:hAnsi="宋体" w:cs="Times New Roman"/>
          <w:color w:val="auto"/>
          <w:highlight w:val="none"/>
        </w:rPr>
        <w:t>承包人的安全责任</w:t>
      </w:r>
    </w:p>
    <w:p w14:paraId="1BA4E1CB">
      <w:pPr>
        <w:spacing w:line="360" w:lineRule="auto"/>
        <w:ind w:firstLine="420" w:firstLineChars="200"/>
        <w:rPr>
          <w:rFonts w:hAnsi="宋体" w:cs="Times New Roman"/>
          <w:color w:val="auto"/>
          <w:highlight w:val="none"/>
        </w:rPr>
      </w:pPr>
      <w:r>
        <w:rPr>
          <w:rFonts w:hint="eastAsia" w:hAnsi="宋体" w:cs="Times New Roman"/>
          <w:color w:val="auto"/>
          <w:kern w:val="2"/>
          <w:highlight w:val="none"/>
        </w:rPr>
        <w:t>由于承包人原因在施工场地内及其毗邻地带造成的发包人、监理人以及第三者人员伤亡和财产损失，由承包人负责赔偿。</w:t>
      </w:r>
    </w:p>
    <w:p w14:paraId="6A089220">
      <w:pPr>
        <w:keepNext/>
        <w:keepLines/>
        <w:spacing w:line="360" w:lineRule="auto"/>
        <w:outlineLvl w:val="3"/>
        <w:rPr>
          <w:rFonts w:hAnsi="宋体" w:cs="Times New Roman"/>
          <w:b/>
          <w:bCs/>
          <w:color w:val="auto"/>
          <w:kern w:val="2"/>
          <w:szCs w:val="28"/>
          <w:highlight w:val="none"/>
        </w:rPr>
      </w:pPr>
      <w:bookmarkStart w:id="283" w:name="_Toc532839908"/>
      <w:bookmarkStart w:id="284" w:name="_Toc351203540"/>
      <w:r>
        <w:rPr>
          <w:rFonts w:hAnsi="宋体" w:cs="Times New Roman"/>
          <w:b/>
          <w:bCs/>
          <w:color w:val="auto"/>
          <w:kern w:val="2"/>
          <w:szCs w:val="28"/>
          <w:highlight w:val="none"/>
        </w:rPr>
        <w:t>6</w:t>
      </w:r>
      <w:bookmarkStart w:id="285" w:name="_Toc337558765"/>
      <w:r>
        <w:rPr>
          <w:rFonts w:hAnsi="宋体" w:cs="Times New Roman"/>
          <w:b/>
          <w:bCs/>
          <w:color w:val="auto"/>
          <w:kern w:val="2"/>
          <w:szCs w:val="28"/>
          <w:highlight w:val="none"/>
        </w:rPr>
        <w:t xml:space="preserve">.2 </w:t>
      </w:r>
      <w:r>
        <w:rPr>
          <w:rFonts w:hint="eastAsia" w:hAnsi="宋体"/>
          <w:b/>
          <w:bCs/>
          <w:color w:val="auto"/>
          <w:kern w:val="2"/>
          <w:szCs w:val="28"/>
          <w:highlight w:val="none"/>
        </w:rPr>
        <w:t>职业健康</w:t>
      </w:r>
      <w:bookmarkEnd w:id="283"/>
      <w:bookmarkEnd w:id="284"/>
    </w:p>
    <w:bookmarkEnd w:id="285"/>
    <w:p w14:paraId="4BDC30DE">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6.2.1 </w:t>
      </w:r>
      <w:r>
        <w:rPr>
          <w:rFonts w:hint="eastAsia" w:hAnsi="宋体" w:cs="Times New Roman"/>
          <w:color w:val="auto"/>
          <w:highlight w:val="none"/>
        </w:rPr>
        <w:t>劳动保护</w:t>
      </w:r>
    </w:p>
    <w:p w14:paraId="0949988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1BDF935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承包人应按照法律规定保障现场施工人员的劳动安全，并提供劳动保护</w:t>
      </w:r>
      <w:r>
        <w:rPr>
          <w:rFonts w:hAnsi="宋体" w:cs="Times New Roman"/>
          <w:color w:val="auto"/>
          <w:highlight w:val="none"/>
        </w:rPr>
        <w:t>,</w:t>
      </w:r>
      <w:r>
        <w:rPr>
          <w:rFonts w:hint="eastAsia" w:hAnsi="宋体" w:cs="Times New Roman"/>
          <w:color w:val="auto"/>
          <w:highlight w:val="none"/>
        </w:rPr>
        <w:t>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601B28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14370160">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6.2.2 </w:t>
      </w:r>
      <w:r>
        <w:rPr>
          <w:rFonts w:hint="eastAsia" w:hAnsi="宋体" w:cs="Times New Roman"/>
          <w:color w:val="auto"/>
          <w:highlight w:val="none"/>
        </w:rPr>
        <w:t>生活条件</w:t>
      </w:r>
    </w:p>
    <w:p w14:paraId="355FE28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w:t>
      </w:r>
      <w:r>
        <w:rPr>
          <w:rFonts w:hAnsi="宋体" w:cs="Times New Roman"/>
          <w:color w:val="auto"/>
          <w:highlight w:val="none"/>
        </w:rPr>
        <w:t xml:space="preserve">, </w:t>
      </w:r>
      <w:r>
        <w:rPr>
          <w:rFonts w:hint="eastAsia" w:hAnsi="宋体" w:cs="Times New Roman"/>
          <w:color w:val="auto"/>
          <w:highlight w:val="none"/>
        </w:rPr>
        <w:t>在远离城镇的施工场地，还应配备必要的伤病防治和急救的医务人员与医疗设施。</w:t>
      </w:r>
    </w:p>
    <w:p w14:paraId="4CED88E0">
      <w:pPr>
        <w:keepNext/>
        <w:keepLines/>
        <w:spacing w:line="360" w:lineRule="auto"/>
        <w:outlineLvl w:val="3"/>
        <w:rPr>
          <w:rFonts w:hAnsi="宋体" w:cs="Times New Roman"/>
          <w:b/>
          <w:bCs/>
          <w:color w:val="auto"/>
          <w:kern w:val="2"/>
          <w:szCs w:val="28"/>
          <w:highlight w:val="none"/>
        </w:rPr>
      </w:pPr>
      <w:bookmarkStart w:id="286" w:name="_Toc351203541"/>
      <w:bookmarkStart w:id="287" w:name="_Toc532839909"/>
      <w:r>
        <w:rPr>
          <w:rFonts w:hAnsi="宋体" w:cs="Times New Roman"/>
          <w:b/>
          <w:bCs/>
          <w:color w:val="auto"/>
          <w:kern w:val="2"/>
          <w:szCs w:val="28"/>
          <w:highlight w:val="none"/>
        </w:rPr>
        <w:t>6</w:t>
      </w:r>
      <w:bookmarkStart w:id="288" w:name="_Toc337558766"/>
      <w:r>
        <w:rPr>
          <w:rFonts w:hAnsi="宋体" w:cs="Times New Roman"/>
          <w:b/>
          <w:bCs/>
          <w:color w:val="auto"/>
          <w:kern w:val="2"/>
          <w:szCs w:val="28"/>
          <w:highlight w:val="none"/>
        </w:rPr>
        <w:t xml:space="preserve">.3 </w:t>
      </w:r>
      <w:r>
        <w:rPr>
          <w:rFonts w:hint="eastAsia" w:hAnsi="宋体"/>
          <w:b/>
          <w:bCs/>
          <w:color w:val="auto"/>
          <w:kern w:val="2"/>
          <w:szCs w:val="28"/>
          <w:highlight w:val="none"/>
        </w:rPr>
        <w:t>环境保护</w:t>
      </w:r>
      <w:bookmarkEnd w:id="286"/>
      <w:bookmarkEnd w:id="287"/>
    </w:p>
    <w:bookmarkEnd w:id="288"/>
    <w:p w14:paraId="20E495A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34A1E35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承包人应当承担因其原因引起的环境污染侵权损害赔偿责任，因上述环境污染引起纠纷而导致暂停施工的，由此增加的费用和（或）延误的工期由承包人承担。</w:t>
      </w:r>
    </w:p>
    <w:p w14:paraId="5485F98A">
      <w:pPr>
        <w:keepNext/>
        <w:keepLines/>
        <w:spacing w:line="360" w:lineRule="auto"/>
        <w:outlineLvl w:val="2"/>
        <w:rPr>
          <w:rFonts w:hAnsi="宋体" w:cs="Times New Roman"/>
          <w:b/>
          <w:bCs/>
          <w:color w:val="auto"/>
          <w:kern w:val="2"/>
          <w:szCs w:val="32"/>
          <w:highlight w:val="none"/>
        </w:rPr>
      </w:pPr>
      <w:bookmarkStart w:id="289" w:name="_Toc532839910"/>
      <w:bookmarkStart w:id="290" w:name="_Toc351203542"/>
      <w:bookmarkStart w:id="291" w:name="_Toc527130424"/>
      <w:bookmarkStart w:id="292" w:name="_Toc512691378"/>
      <w:r>
        <w:rPr>
          <w:rFonts w:hAnsi="宋体" w:cs="Times New Roman"/>
          <w:b/>
          <w:bCs/>
          <w:color w:val="auto"/>
          <w:kern w:val="2"/>
          <w:szCs w:val="32"/>
          <w:highlight w:val="none"/>
        </w:rPr>
        <w:t>7</w:t>
      </w:r>
      <w:bookmarkStart w:id="293" w:name="_Toc337558767"/>
      <w:r>
        <w:rPr>
          <w:rFonts w:hAnsi="宋体" w:cs="Times New Roman"/>
          <w:b/>
          <w:bCs/>
          <w:color w:val="auto"/>
          <w:kern w:val="2"/>
          <w:szCs w:val="32"/>
          <w:highlight w:val="none"/>
        </w:rPr>
        <w:t xml:space="preserve">. </w:t>
      </w:r>
      <w:r>
        <w:rPr>
          <w:rFonts w:hint="eastAsia" w:hAnsi="宋体" w:cs="Times New Roman"/>
          <w:b/>
          <w:bCs/>
          <w:color w:val="auto"/>
          <w:kern w:val="2"/>
          <w:szCs w:val="32"/>
          <w:highlight w:val="none"/>
        </w:rPr>
        <w:t>工期和进度</w:t>
      </w:r>
      <w:bookmarkEnd w:id="289"/>
      <w:bookmarkEnd w:id="290"/>
      <w:bookmarkEnd w:id="291"/>
      <w:bookmarkEnd w:id="292"/>
    </w:p>
    <w:bookmarkEnd w:id="293"/>
    <w:p w14:paraId="0267E42F">
      <w:pPr>
        <w:keepNext/>
        <w:keepLines/>
        <w:spacing w:line="360" w:lineRule="auto"/>
        <w:outlineLvl w:val="3"/>
        <w:rPr>
          <w:rFonts w:hAnsi="宋体" w:cs="Times New Roman"/>
          <w:b/>
          <w:bCs/>
          <w:color w:val="auto"/>
          <w:kern w:val="2"/>
          <w:szCs w:val="28"/>
          <w:highlight w:val="none"/>
        </w:rPr>
      </w:pPr>
      <w:bookmarkStart w:id="294" w:name="_Toc351203543"/>
      <w:bookmarkStart w:id="295" w:name="_Toc532839911"/>
      <w:r>
        <w:rPr>
          <w:rFonts w:hAnsi="宋体" w:cs="Times New Roman"/>
          <w:b/>
          <w:bCs/>
          <w:color w:val="auto"/>
          <w:kern w:val="2"/>
          <w:szCs w:val="28"/>
          <w:highlight w:val="none"/>
        </w:rPr>
        <w:t>7</w:t>
      </w:r>
      <w:bookmarkStart w:id="296" w:name="_Toc337558768"/>
      <w:bookmarkStart w:id="297" w:name="_Toc296346567"/>
      <w:bookmarkStart w:id="298" w:name="_Toc296503066"/>
      <w:r>
        <w:rPr>
          <w:rFonts w:hAnsi="宋体" w:cs="Times New Roman"/>
          <w:b/>
          <w:bCs/>
          <w:color w:val="auto"/>
          <w:kern w:val="2"/>
          <w:szCs w:val="28"/>
          <w:highlight w:val="none"/>
        </w:rPr>
        <w:t>.1</w:t>
      </w:r>
      <w:r>
        <w:rPr>
          <w:rFonts w:hint="eastAsia" w:hAnsi="宋体" w:cs="Times New Roman"/>
          <w:b/>
          <w:bCs/>
          <w:color w:val="auto"/>
          <w:kern w:val="2"/>
          <w:szCs w:val="28"/>
          <w:highlight w:val="none"/>
        </w:rPr>
        <w:t>施工组织设计</w:t>
      </w:r>
      <w:bookmarkEnd w:id="294"/>
      <w:bookmarkEnd w:id="295"/>
    </w:p>
    <w:bookmarkEnd w:id="296"/>
    <w:p w14:paraId="6254871F">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kern w:val="2"/>
          <w:highlight w:val="none"/>
        </w:rPr>
        <w:t xml:space="preserve">7.1.1 </w:t>
      </w:r>
      <w:r>
        <w:rPr>
          <w:rFonts w:hint="eastAsia" w:hAnsi="宋体" w:cs="Times New Roman"/>
          <w:color w:val="auto"/>
          <w:highlight w:val="none"/>
        </w:rPr>
        <w:t>施工组织设计的内容</w:t>
      </w:r>
    </w:p>
    <w:p w14:paraId="33197D5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施工组织设计应包含以下内容：</w:t>
      </w:r>
    </w:p>
    <w:p w14:paraId="0103846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）施工方案；</w:t>
      </w:r>
      <w:r>
        <w:rPr>
          <w:rFonts w:hAnsi="宋体" w:cs="Times New Roman"/>
          <w:color w:val="auto"/>
          <w:highlight w:val="none"/>
        </w:rPr>
        <w:t xml:space="preserve"> </w:t>
      </w:r>
    </w:p>
    <w:p w14:paraId="11D0D45F">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）施工现场平面布置图；</w:t>
      </w:r>
    </w:p>
    <w:p w14:paraId="2A2A059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）施工进度计划和保证措施；</w:t>
      </w:r>
      <w:r>
        <w:rPr>
          <w:rFonts w:hAnsi="宋体" w:cs="Times New Roman"/>
          <w:color w:val="auto"/>
          <w:highlight w:val="none"/>
        </w:rPr>
        <w:t xml:space="preserve"> </w:t>
      </w:r>
    </w:p>
    <w:p w14:paraId="1400DC9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）劳动力及材料供应计划；</w:t>
      </w:r>
    </w:p>
    <w:p w14:paraId="04218A5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）施工机械设备的选用；</w:t>
      </w:r>
    </w:p>
    <w:p w14:paraId="741D6F6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6</w:t>
      </w:r>
      <w:r>
        <w:rPr>
          <w:rFonts w:hint="eastAsia" w:hAnsi="宋体" w:cs="Times New Roman"/>
          <w:color w:val="auto"/>
          <w:highlight w:val="none"/>
        </w:rPr>
        <w:t>）质量保证体系及措施；</w:t>
      </w:r>
    </w:p>
    <w:p w14:paraId="4477A20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7</w:t>
      </w:r>
      <w:r>
        <w:rPr>
          <w:rFonts w:hint="eastAsia" w:hAnsi="宋体" w:cs="Times New Roman"/>
          <w:color w:val="auto"/>
          <w:highlight w:val="none"/>
        </w:rPr>
        <w:t>）安全生产、文明施工措施；</w:t>
      </w:r>
    </w:p>
    <w:p w14:paraId="5CE18D1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8</w:t>
      </w:r>
      <w:r>
        <w:rPr>
          <w:rFonts w:hint="eastAsia" w:hAnsi="宋体" w:cs="Times New Roman"/>
          <w:color w:val="auto"/>
          <w:highlight w:val="none"/>
        </w:rPr>
        <w:t>）环境保护、成本控制措施；</w:t>
      </w:r>
    </w:p>
    <w:p w14:paraId="15E75FB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9</w:t>
      </w:r>
      <w:r>
        <w:rPr>
          <w:rFonts w:hint="eastAsia" w:hAnsi="宋体" w:cs="Times New Roman"/>
          <w:color w:val="auto"/>
          <w:highlight w:val="none"/>
        </w:rPr>
        <w:t>）合同当事人约定的其他内容。</w:t>
      </w:r>
    </w:p>
    <w:p w14:paraId="1D62DD60">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kern w:val="2"/>
          <w:highlight w:val="none"/>
        </w:rPr>
        <w:t xml:space="preserve">7.1.2 </w:t>
      </w:r>
      <w:r>
        <w:rPr>
          <w:rFonts w:hint="eastAsia" w:hAnsi="宋体" w:cs="Times New Roman"/>
          <w:color w:val="auto"/>
          <w:highlight w:val="none"/>
        </w:rPr>
        <w:t>施工组织设计的提交和修改</w:t>
      </w:r>
    </w:p>
    <w:p w14:paraId="73D9342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除专用合同条款另有约定外，承包人应在合同签订后</w:t>
      </w:r>
      <w:r>
        <w:rPr>
          <w:rFonts w:hAnsi="宋体" w:cs="Times New Roman"/>
          <w:color w:val="auto"/>
          <w:highlight w:val="none"/>
        </w:rPr>
        <w:t>14</w:t>
      </w:r>
      <w:r>
        <w:rPr>
          <w:rFonts w:hint="eastAsia" w:hAnsi="宋体" w:cs="Times New Roman"/>
          <w:color w:val="auto"/>
          <w:highlight w:val="none"/>
        </w:rPr>
        <w:t>天内，但至迟不得晚于第</w:t>
      </w:r>
      <w:r>
        <w:rPr>
          <w:rFonts w:hAnsi="宋体" w:cs="Times New Roman"/>
          <w:color w:val="auto"/>
          <w:highlight w:val="none"/>
        </w:rPr>
        <w:t>7.3.2</w:t>
      </w:r>
      <w:r>
        <w:rPr>
          <w:rFonts w:hint="eastAsia" w:hAnsi="宋体" w:cs="Times New Roman"/>
          <w:color w:val="auto"/>
          <w:highlight w:val="none"/>
        </w:rPr>
        <w:t>项〔开工通知〕载明的开工日期前</w:t>
      </w:r>
      <w:r>
        <w:rPr>
          <w:rFonts w:hAnsi="宋体" w:cs="Times New Roman"/>
          <w:color w:val="auto"/>
          <w:highlight w:val="none"/>
        </w:rPr>
        <w:t>7</w:t>
      </w:r>
      <w:r>
        <w:rPr>
          <w:rFonts w:hint="eastAsia" w:hAnsi="宋体" w:cs="Times New Roman"/>
          <w:color w:val="auto"/>
          <w:highlight w:val="none"/>
        </w:rPr>
        <w:t>天，向监理人提交详细的施工组织设计，并由监理人报送发包人。除专用合同条款另有约定外，发包人和监理人应在监理人收到施工组织设计后</w:t>
      </w:r>
      <w:r>
        <w:rPr>
          <w:rFonts w:hAnsi="宋体" w:cs="Times New Roman"/>
          <w:color w:val="auto"/>
          <w:highlight w:val="none"/>
        </w:rPr>
        <w:t>7</w:t>
      </w:r>
      <w:r>
        <w:rPr>
          <w:rFonts w:hint="eastAsia" w:hAnsi="宋体" w:cs="Times New Roman"/>
          <w:color w:val="auto"/>
          <w:highlight w:val="none"/>
        </w:rPr>
        <w:t>天内确认或提出修改意见。对发包人和监理人提出的合理意见和要求，承包人应自费修改完善。根据工程实际情况需要修改施工组织设计的，承包人应向发包人和监理人提交修改后的施工组织设计。</w:t>
      </w:r>
    </w:p>
    <w:p w14:paraId="08FCF90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施工进度计划的编制和修改按照第</w:t>
      </w:r>
      <w:r>
        <w:rPr>
          <w:rFonts w:hAnsi="宋体" w:cs="Times New Roman"/>
          <w:color w:val="auto"/>
          <w:highlight w:val="none"/>
        </w:rPr>
        <w:t>7.2</w:t>
      </w:r>
      <w:r>
        <w:rPr>
          <w:rFonts w:hint="eastAsia" w:hAnsi="宋体" w:cs="Times New Roman"/>
          <w:color w:val="auto"/>
          <w:highlight w:val="none"/>
        </w:rPr>
        <w:t>款〔施工进度计划〕执行。</w:t>
      </w:r>
    </w:p>
    <w:p w14:paraId="05807550">
      <w:pPr>
        <w:keepNext/>
        <w:keepLines/>
        <w:spacing w:line="360" w:lineRule="auto"/>
        <w:outlineLvl w:val="3"/>
        <w:rPr>
          <w:rFonts w:hAnsi="宋体" w:cs="Times New Roman"/>
          <w:b/>
          <w:bCs/>
          <w:color w:val="auto"/>
          <w:kern w:val="2"/>
          <w:szCs w:val="28"/>
          <w:highlight w:val="none"/>
        </w:rPr>
      </w:pPr>
      <w:bookmarkStart w:id="299" w:name="_Toc351203544"/>
      <w:bookmarkStart w:id="300" w:name="_Toc532839912"/>
      <w:r>
        <w:rPr>
          <w:rFonts w:hAnsi="宋体" w:cs="Times New Roman"/>
          <w:b/>
          <w:bCs/>
          <w:color w:val="auto"/>
          <w:kern w:val="2"/>
          <w:szCs w:val="28"/>
          <w:highlight w:val="none"/>
        </w:rPr>
        <w:t>7</w:t>
      </w:r>
      <w:bookmarkStart w:id="301" w:name="_Toc337558769"/>
      <w:r>
        <w:rPr>
          <w:rFonts w:hAnsi="宋体" w:cs="Times New Roman"/>
          <w:b/>
          <w:bCs/>
          <w:color w:val="auto"/>
          <w:kern w:val="2"/>
          <w:szCs w:val="28"/>
          <w:highlight w:val="none"/>
        </w:rPr>
        <w:t xml:space="preserve">.2 </w:t>
      </w:r>
      <w:r>
        <w:rPr>
          <w:rFonts w:hint="eastAsia" w:hAnsi="宋体" w:cs="Times New Roman"/>
          <w:b/>
          <w:bCs/>
          <w:color w:val="auto"/>
          <w:kern w:val="2"/>
          <w:szCs w:val="28"/>
          <w:highlight w:val="none"/>
        </w:rPr>
        <w:t>施工进度计划</w:t>
      </w:r>
      <w:bookmarkEnd w:id="299"/>
      <w:bookmarkEnd w:id="300"/>
    </w:p>
    <w:bookmarkEnd w:id="301"/>
    <w:p w14:paraId="633C857E">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7.2.1 </w:t>
      </w:r>
      <w:r>
        <w:rPr>
          <w:rFonts w:hint="eastAsia" w:hAnsi="宋体" w:cs="Times New Roman"/>
          <w:color w:val="auto"/>
          <w:highlight w:val="none"/>
        </w:rPr>
        <w:t>施工进度计划的编制</w:t>
      </w:r>
    </w:p>
    <w:p w14:paraId="1AB0BA3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承包人应按照第</w:t>
      </w:r>
      <w:r>
        <w:rPr>
          <w:rFonts w:hAnsi="宋体" w:cs="Times New Roman"/>
          <w:color w:val="auto"/>
          <w:highlight w:val="none"/>
        </w:rPr>
        <w:t>7.1</w:t>
      </w:r>
      <w:r>
        <w:rPr>
          <w:rFonts w:hint="eastAsia" w:hAnsi="宋体" w:cs="Times New Roman"/>
          <w:color w:val="auto"/>
          <w:highlight w:val="none"/>
        </w:rPr>
        <w:t>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74DE05BC">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kern w:val="2"/>
          <w:highlight w:val="none"/>
        </w:rPr>
        <w:t xml:space="preserve">7.2.2 </w:t>
      </w:r>
      <w:r>
        <w:rPr>
          <w:rFonts w:hint="eastAsia" w:hAnsi="宋体" w:cs="Times New Roman"/>
          <w:color w:val="auto"/>
          <w:kern w:val="2"/>
          <w:highlight w:val="none"/>
        </w:rPr>
        <w:t>施工进度计划的修订</w:t>
      </w:r>
    </w:p>
    <w:p w14:paraId="02E9DB8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w:t>
      </w:r>
      <w:r>
        <w:rPr>
          <w:rFonts w:hAnsi="宋体" w:cs="Times New Roman"/>
          <w:color w:val="auto"/>
          <w:highlight w:val="none"/>
        </w:rPr>
        <w:t>7</w:t>
      </w:r>
      <w:r>
        <w:rPr>
          <w:rFonts w:hint="eastAsia" w:hAnsi="宋体" w:cs="Times New Roman"/>
          <w:color w:val="auto"/>
          <w:highlight w:val="none"/>
        </w:rPr>
        <w:t>天内完成审核和批准或提出修改意见。发包人和监理人对承包人提交的施工进度计划的确认，不能减轻或免除承包人根据法律规定和合同约定应承担的任何责任或义务。</w:t>
      </w:r>
    </w:p>
    <w:p w14:paraId="7F7845BC">
      <w:pPr>
        <w:keepNext/>
        <w:keepLines/>
        <w:spacing w:line="360" w:lineRule="auto"/>
        <w:outlineLvl w:val="3"/>
        <w:rPr>
          <w:rFonts w:hAnsi="宋体" w:cs="Times New Roman"/>
          <w:b/>
          <w:bCs/>
          <w:color w:val="auto"/>
          <w:kern w:val="2"/>
          <w:szCs w:val="28"/>
          <w:highlight w:val="none"/>
        </w:rPr>
      </w:pPr>
      <w:bookmarkStart w:id="302" w:name="_Toc351203545"/>
      <w:bookmarkStart w:id="303" w:name="_Toc532839913"/>
      <w:r>
        <w:rPr>
          <w:rFonts w:hAnsi="宋体" w:cs="Times New Roman"/>
          <w:b/>
          <w:bCs/>
          <w:color w:val="auto"/>
          <w:kern w:val="2"/>
          <w:szCs w:val="28"/>
          <w:highlight w:val="none"/>
        </w:rPr>
        <w:t>7</w:t>
      </w:r>
      <w:bookmarkStart w:id="304" w:name="_Toc337558770"/>
      <w:r>
        <w:rPr>
          <w:rFonts w:hAnsi="宋体" w:cs="Times New Roman"/>
          <w:b/>
          <w:bCs/>
          <w:color w:val="auto"/>
          <w:kern w:val="2"/>
          <w:szCs w:val="28"/>
          <w:highlight w:val="none"/>
        </w:rPr>
        <w:t xml:space="preserve">.3 </w:t>
      </w:r>
      <w:r>
        <w:rPr>
          <w:rFonts w:hint="eastAsia" w:hAnsi="宋体"/>
          <w:b/>
          <w:bCs/>
          <w:color w:val="auto"/>
          <w:kern w:val="2"/>
          <w:szCs w:val="28"/>
          <w:highlight w:val="none"/>
        </w:rPr>
        <w:t>开工</w:t>
      </w:r>
      <w:bookmarkEnd w:id="302"/>
      <w:bookmarkEnd w:id="303"/>
    </w:p>
    <w:p w14:paraId="5423D0BD">
      <w:pPr>
        <w:spacing w:line="360" w:lineRule="auto"/>
        <w:ind w:firstLine="420" w:firstLineChars="200"/>
        <w:rPr>
          <w:rFonts w:hAnsi="宋体" w:cs="Times New Roman"/>
          <w:color w:val="auto"/>
          <w:kern w:val="2"/>
          <w:highlight w:val="none"/>
        </w:rPr>
      </w:pPr>
      <w:r>
        <w:rPr>
          <w:rFonts w:hAnsi="宋体" w:cs="Times New Roman"/>
          <w:color w:val="auto"/>
          <w:highlight w:val="none"/>
        </w:rPr>
        <w:t xml:space="preserve">7.3.1 </w:t>
      </w:r>
      <w:r>
        <w:rPr>
          <w:rFonts w:hint="eastAsia" w:hAnsi="宋体" w:cs="Times New Roman"/>
          <w:color w:val="auto"/>
          <w:highlight w:val="none"/>
        </w:rPr>
        <w:t>开工准备</w:t>
      </w:r>
    </w:p>
    <w:p w14:paraId="0BFD637B">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除专用合同条款另有约定外，承包人应按照第</w:t>
      </w:r>
      <w:r>
        <w:rPr>
          <w:rFonts w:hAnsi="宋体" w:cs="Times New Roman"/>
          <w:color w:val="auto"/>
          <w:highlight w:val="none"/>
        </w:rPr>
        <w:t>7.1</w:t>
      </w:r>
      <w:r>
        <w:rPr>
          <w:rFonts w:hint="eastAsia" w:hAnsi="宋体" w:cs="Times New Roman"/>
          <w:color w:val="auto"/>
          <w:highlight w:val="none"/>
        </w:rPr>
        <w:t>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5A538DD6">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除专用合同条款另有约定外，合同当事人应按约定完成开工准备工作。</w:t>
      </w:r>
    </w:p>
    <w:p w14:paraId="02B326EC">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7.3.2 </w:t>
      </w:r>
      <w:r>
        <w:rPr>
          <w:rFonts w:hint="eastAsia" w:hAnsi="宋体" w:cs="Times New Roman"/>
          <w:color w:val="auto"/>
          <w:highlight w:val="none"/>
        </w:rPr>
        <w:t>开工通知</w:t>
      </w:r>
    </w:p>
    <w:bookmarkEnd w:id="304"/>
    <w:p w14:paraId="137A3B0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发包人应按照法律规定获得工程施工所需的许可。经发包人同意后，监理人发出的开工通知应符合法律规定。监理人应在计划开工日期</w:t>
      </w:r>
      <w:r>
        <w:rPr>
          <w:rFonts w:hAnsi="宋体" w:cs="Times New Roman"/>
          <w:color w:val="auto"/>
          <w:highlight w:val="none"/>
        </w:rPr>
        <w:t>7</w:t>
      </w:r>
      <w:r>
        <w:rPr>
          <w:rFonts w:hint="eastAsia" w:hAnsi="宋体" w:cs="Times New Roman"/>
          <w:color w:val="auto"/>
          <w:highlight w:val="none"/>
        </w:rPr>
        <w:t>天前向承包人发出开工通知，工期自开工通知中载明的开工日期起算。</w:t>
      </w:r>
    </w:p>
    <w:p w14:paraId="7395960B">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除专用合同条款另有约定外，因发包人原因造成监理人未能在计划开工日期之日起</w:t>
      </w:r>
      <w:r>
        <w:rPr>
          <w:rFonts w:hAnsi="宋体" w:cs="Times New Roman"/>
          <w:color w:val="auto"/>
          <w:highlight w:val="none"/>
        </w:rPr>
        <w:t>90</w:t>
      </w:r>
      <w:r>
        <w:rPr>
          <w:rFonts w:hint="eastAsia" w:hAnsi="宋体" w:cs="Times New Roman"/>
          <w:color w:val="auto"/>
          <w:highlight w:val="none"/>
        </w:rPr>
        <w:t>天内发出开工通知的，承包人有权提出价格调整要求，或者解除合同。发包人应当承担由此增加的费用和（或）延误的工期，并向承包人支付合理利润。</w:t>
      </w:r>
    </w:p>
    <w:p w14:paraId="0267C573">
      <w:pPr>
        <w:keepNext/>
        <w:keepLines/>
        <w:spacing w:line="360" w:lineRule="auto"/>
        <w:outlineLvl w:val="3"/>
        <w:rPr>
          <w:rFonts w:hAnsi="宋体" w:cs="Times New Roman"/>
          <w:b/>
          <w:bCs/>
          <w:color w:val="auto"/>
          <w:kern w:val="2"/>
          <w:szCs w:val="28"/>
          <w:highlight w:val="none"/>
        </w:rPr>
      </w:pPr>
      <w:bookmarkStart w:id="305" w:name="_Toc351203546"/>
      <w:bookmarkStart w:id="306" w:name="_Toc532839914"/>
      <w:r>
        <w:rPr>
          <w:rFonts w:hAnsi="宋体" w:cs="Times New Roman"/>
          <w:b/>
          <w:bCs/>
          <w:color w:val="auto"/>
          <w:kern w:val="2"/>
          <w:szCs w:val="28"/>
          <w:highlight w:val="none"/>
        </w:rPr>
        <w:t>7.4</w:t>
      </w:r>
      <w:r>
        <w:rPr>
          <w:rFonts w:hint="eastAsia" w:hAnsi="宋体"/>
          <w:b/>
          <w:bCs/>
          <w:color w:val="auto"/>
          <w:kern w:val="2"/>
          <w:szCs w:val="28"/>
          <w:highlight w:val="none"/>
        </w:rPr>
        <w:t>测量放线</w:t>
      </w:r>
      <w:bookmarkEnd w:id="305"/>
      <w:bookmarkEnd w:id="306"/>
    </w:p>
    <w:p w14:paraId="72455A63">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7.4.1 </w:t>
      </w:r>
      <w:r>
        <w:rPr>
          <w:rFonts w:hint="eastAsia" w:hAnsi="宋体" w:cs="Times New Roman"/>
          <w:color w:val="auto"/>
          <w:highlight w:val="none"/>
        </w:rPr>
        <w:t>除专用合同条款另有约定外，发包人应在至迟不得晚于第</w:t>
      </w:r>
      <w:r>
        <w:rPr>
          <w:rFonts w:hAnsi="宋体" w:cs="Times New Roman"/>
          <w:color w:val="auto"/>
          <w:highlight w:val="none"/>
        </w:rPr>
        <w:t>7.3.2</w:t>
      </w:r>
      <w:r>
        <w:rPr>
          <w:rFonts w:hint="eastAsia" w:hAnsi="宋体" w:cs="Times New Roman"/>
          <w:color w:val="auto"/>
          <w:highlight w:val="none"/>
        </w:rPr>
        <w:t>项〔开工通知〕载明的开工日期前</w:t>
      </w:r>
      <w:r>
        <w:rPr>
          <w:rFonts w:hAnsi="宋体" w:cs="Times New Roman"/>
          <w:color w:val="auto"/>
          <w:highlight w:val="none"/>
        </w:rPr>
        <w:t>7</w:t>
      </w:r>
      <w:r>
        <w:rPr>
          <w:rFonts w:hint="eastAsia" w:hAnsi="宋体" w:cs="Times New Roman"/>
          <w:color w:val="auto"/>
          <w:highlight w:val="none"/>
        </w:rPr>
        <w:t>天通过监理人向承包人提供测量基准点、基准线和水准点及其书面资料。发包人应对其提供的测量基准点、基准线和水准点及其书面资料的真实性、准确性和完整性负责。</w:t>
      </w:r>
    </w:p>
    <w:p w14:paraId="232BFCF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BDD8353">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7.4.2 </w:t>
      </w:r>
      <w:r>
        <w:rPr>
          <w:rFonts w:hint="eastAsia" w:hAnsi="宋体" w:cs="Times New Roman"/>
          <w:color w:val="auto"/>
          <w:highlight w:val="none"/>
        </w:rPr>
        <w:t>承包人负责施工过程中的全部施工测量放线工作，并配置具有相应资质的人员、合格的仪器、设备和其他物品。承包人应矫正工程的位置、标高、尺寸或准线中出现的任何差错，并对工程各部分的定位负责。</w:t>
      </w:r>
    </w:p>
    <w:p w14:paraId="3BA1A70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施工过程中对施工现场内水准点等测量标志物的保护工作由承包人负责。</w:t>
      </w:r>
      <w:bookmarkStart w:id="307" w:name="_Toc351203547"/>
    </w:p>
    <w:p w14:paraId="4C46D9EB">
      <w:pPr>
        <w:keepNext/>
        <w:keepLines/>
        <w:spacing w:line="360" w:lineRule="auto"/>
        <w:outlineLvl w:val="3"/>
        <w:rPr>
          <w:rFonts w:hAnsi="宋体" w:cs="Times New Roman"/>
          <w:b/>
          <w:bCs/>
          <w:color w:val="auto"/>
          <w:kern w:val="2"/>
          <w:szCs w:val="28"/>
          <w:highlight w:val="none"/>
        </w:rPr>
      </w:pPr>
      <w:bookmarkStart w:id="308" w:name="_Toc532839915"/>
      <w:r>
        <w:rPr>
          <w:rFonts w:hAnsi="宋体" w:cs="Times New Roman"/>
          <w:b/>
          <w:bCs/>
          <w:color w:val="auto"/>
          <w:kern w:val="2"/>
          <w:szCs w:val="28"/>
          <w:highlight w:val="none"/>
        </w:rPr>
        <w:t>7</w:t>
      </w:r>
      <w:bookmarkEnd w:id="297"/>
      <w:bookmarkEnd w:id="298"/>
      <w:bookmarkStart w:id="309" w:name="_Toc296346574"/>
      <w:bookmarkStart w:id="310" w:name="_Toc296503073"/>
      <w:bookmarkStart w:id="311" w:name="_Toc337558772"/>
      <w:r>
        <w:rPr>
          <w:rFonts w:hAnsi="宋体" w:cs="Times New Roman"/>
          <w:b/>
          <w:bCs/>
          <w:color w:val="auto"/>
          <w:kern w:val="2"/>
          <w:szCs w:val="28"/>
          <w:highlight w:val="none"/>
        </w:rPr>
        <w:t xml:space="preserve">.5 </w:t>
      </w:r>
      <w:r>
        <w:rPr>
          <w:rFonts w:hint="eastAsia" w:hAnsi="宋体"/>
          <w:b/>
          <w:bCs/>
          <w:color w:val="auto"/>
          <w:kern w:val="2"/>
          <w:szCs w:val="28"/>
          <w:highlight w:val="none"/>
        </w:rPr>
        <w:t>工期延误</w:t>
      </w:r>
      <w:bookmarkEnd w:id="307"/>
      <w:bookmarkEnd w:id="308"/>
    </w:p>
    <w:bookmarkEnd w:id="309"/>
    <w:bookmarkEnd w:id="310"/>
    <w:bookmarkEnd w:id="311"/>
    <w:p w14:paraId="7EE02F6A">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7.5.1 </w:t>
      </w:r>
      <w:r>
        <w:rPr>
          <w:rFonts w:hint="eastAsia" w:hAnsi="宋体" w:cs="Times New Roman"/>
          <w:color w:val="auto"/>
          <w:highlight w:val="none"/>
        </w:rPr>
        <w:t>因发包人原因导致工期延误</w:t>
      </w:r>
    </w:p>
    <w:p w14:paraId="613BB5E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在合同履行过程中，因下列情况导致工期延误和（或）费用增加的，由发包人承担由此延误的工期和（或）增加的费用，且发包人应支付承包人合理的利润：</w:t>
      </w:r>
      <w:r>
        <w:rPr>
          <w:rFonts w:hAnsi="宋体" w:cs="Times New Roman"/>
          <w:color w:val="auto"/>
          <w:highlight w:val="none"/>
        </w:rPr>
        <w:t xml:space="preserve"> </w:t>
      </w:r>
    </w:p>
    <w:p w14:paraId="5E19726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）发包人未能按合同约定提供图纸或所提供图纸不符合合同约定的；</w:t>
      </w:r>
    </w:p>
    <w:p w14:paraId="30D9D71C">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）发包人未能按合同约定提供施工现场、施工条件、基础资料、许可、批准等开工条件的；</w:t>
      </w:r>
    </w:p>
    <w:p w14:paraId="4FF79C7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）发包人提供的测量基准点、基准线和水准点及其书面资料存在错误或疏漏的；</w:t>
      </w:r>
    </w:p>
    <w:p w14:paraId="2D859F1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）发包人未能在计划开工日期之日起</w:t>
      </w:r>
      <w:r>
        <w:rPr>
          <w:rFonts w:hAnsi="宋体" w:cs="Times New Roman"/>
          <w:color w:val="auto"/>
          <w:highlight w:val="none"/>
        </w:rPr>
        <w:t>7</w:t>
      </w:r>
      <w:r>
        <w:rPr>
          <w:rFonts w:hint="eastAsia" w:hAnsi="宋体" w:cs="Times New Roman"/>
          <w:color w:val="auto"/>
          <w:highlight w:val="none"/>
        </w:rPr>
        <w:t>天内同意下达开工通知的；</w:t>
      </w:r>
    </w:p>
    <w:p w14:paraId="616C69C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）发包人未能按合同约定日期支付工程预付款、进度款或竣工结算款的；</w:t>
      </w:r>
    </w:p>
    <w:p w14:paraId="5DEB5BFF">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6</w:t>
      </w:r>
      <w:r>
        <w:rPr>
          <w:rFonts w:hint="eastAsia" w:hAnsi="宋体" w:cs="Times New Roman"/>
          <w:color w:val="auto"/>
          <w:highlight w:val="none"/>
        </w:rPr>
        <w:t>）监理人未按合同约定发出指示、批准等文件的；</w:t>
      </w:r>
    </w:p>
    <w:p w14:paraId="1CDB95C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7</w:t>
      </w:r>
      <w:r>
        <w:rPr>
          <w:rFonts w:hint="eastAsia" w:hAnsi="宋体" w:cs="Times New Roman"/>
          <w:color w:val="auto"/>
          <w:highlight w:val="none"/>
        </w:rPr>
        <w:t>）专用合同条款中约定的其他情形。</w:t>
      </w:r>
    </w:p>
    <w:p w14:paraId="759ADAA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因发包人原因未按计划开工日期开工的，发包人应按实际开工日期顺延竣工日期，确保实际工期不低于合同约定的工期总日历天数。因发包人原因导致工期延误需要修订施工进度计划的，按照第</w:t>
      </w:r>
      <w:r>
        <w:rPr>
          <w:rFonts w:hAnsi="宋体" w:cs="Times New Roman"/>
          <w:color w:val="auto"/>
          <w:highlight w:val="none"/>
        </w:rPr>
        <w:t>7.2.2</w:t>
      </w:r>
      <w:r>
        <w:rPr>
          <w:rFonts w:hint="eastAsia" w:hAnsi="宋体" w:cs="Times New Roman"/>
          <w:color w:val="auto"/>
          <w:highlight w:val="none"/>
        </w:rPr>
        <w:t>项〔施工进度计划的修订〕执行。</w:t>
      </w:r>
    </w:p>
    <w:p w14:paraId="356AA742">
      <w:pPr>
        <w:autoSpaceDE w:val="0"/>
        <w:autoSpaceDN w:val="0"/>
        <w:adjustRightInd w:val="0"/>
        <w:spacing w:line="360" w:lineRule="auto"/>
        <w:ind w:firstLine="420" w:firstLineChars="200"/>
        <w:jc w:val="left"/>
        <w:rPr>
          <w:rFonts w:hAnsi="宋体" w:cs="Times New Roman"/>
          <w:color w:val="auto"/>
          <w:kern w:val="2"/>
          <w:highlight w:val="none"/>
        </w:rPr>
      </w:pPr>
      <w:r>
        <w:rPr>
          <w:rFonts w:hAnsi="宋体" w:cs="Times New Roman"/>
          <w:color w:val="auto"/>
          <w:highlight w:val="none"/>
        </w:rPr>
        <w:t xml:space="preserve">7.5.2 </w:t>
      </w:r>
      <w:r>
        <w:rPr>
          <w:rFonts w:hint="eastAsia" w:hAnsi="宋体" w:cs="Times New Roman"/>
          <w:color w:val="auto"/>
          <w:highlight w:val="none"/>
        </w:rPr>
        <w:t>因承包人原因导致工期延误</w:t>
      </w:r>
    </w:p>
    <w:p w14:paraId="2747E19D">
      <w:pPr>
        <w:autoSpaceDE w:val="0"/>
        <w:autoSpaceDN w:val="0"/>
        <w:adjustRightInd w:val="0"/>
        <w:spacing w:line="360" w:lineRule="auto"/>
        <w:ind w:firstLine="420" w:firstLineChars="200"/>
        <w:jc w:val="left"/>
        <w:rPr>
          <w:rFonts w:hAnsi="宋体" w:cs="Times New Roman"/>
          <w:color w:val="auto"/>
          <w:highlight w:val="none"/>
        </w:rPr>
      </w:pPr>
      <w:bookmarkStart w:id="312" w:name="_Toc296503076"/>
      <w:bookmarkStart w:id="313" w:name="_Toc296346577"/>
      <w:r>
        <w:rPr>
          <w:rFonts w:hint="eastAsia" w:hAnsi="宋体" w:cs="Times New Roman"/>
          <w:color w:val="auto"/>
          <w:highlight w:val="none"/>
        </w:rPr>
        <w:t>因</w:t>
      </w:r>
      <w:bookmarkEnd w:id="312"/>
      <w:bookmarkEnd w:id="313"/>
      <w:r>
        <w:rPr>
          <w:rFonts w:hint="eastAsia" w:hAnsi="宋体" w:cs="Times New Roman"/>
          <w:color w:val="auto"/>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107C4384">
      <w:pPr>
        <w:keepNext/>
        <w:keepLines/>
        <w:spacing w:line="360" w:lineRule="auto"/>
        <w:outlineLvl w:val="3"/>
        <w:rPr>
          <w:rFonts w:hAnsi="宋体" w:cs="Times New Roman"/>
          <w:b/>
          <w:bCs/>
          <w:color w:val="auto"/>
          <w:kern w:val="2"/>
          <w:szCs w:val="28"/>
          <w:highlight w:val="none"/>
        </w:rPr>
      </w:pPr>
      <w:bookmarkStart w:id="314" w:name="_Toc351203548"/>
      <w:bookmarkStart w:id="315" w:name="_Toc532839916"/>
      <w:r>
        <w:rPr>
          <w:rFonts w:hAnsi="宋体" w:cs="Times New Roman"/>
          <w:b/>
          <w:bCs/>
          <w:color w:val="auto"/>
          <w:kern w:val="2"/>
          <w:szCs w:val="28"/>
          <w:highlight w:val="none"/>
        </w:rPr>
        <w:t>7</w:t>
      </w:r>
      <w:bookmarkStart w:id="316" w:name="_Toc296346575"/>
      <w:bookmarkStart w:id="317" w:name="_Toc296503074"/>
      <w:bookmarkStart w:id="318" w:name="_Toc337558773"/>
      <w:bookmarkStart w:id="319" w:name="_Toc296346578"/>
      <w:bookmarkStart w:id="320" w:name="_Toc296503077"/>
      <w:r>
        <w:rPr>
          <w:rFonts w:hAnsi="宋体" w:cs="Times New Roman"/>
          <w:b/>
          <w:bCs/>
          <w:color w:val="auto"/>
          <w:kern w:val="2"/>
          <w:szCs w:val="28"/>
          <w:highlight w:val="none"/>
        </w:rPr>
        <w:t xml:space="preserve">.6 </w:t>
      </w:r>
      <w:r>
        <w:rPr>
          <w:rFonts w:hint="eastAsia" w:hAnsi="宋体" w:cs="Times New Roman"/>
          <w:b/>
          <w:bCs/>
          <w:color w:val="auto"/>
          <w:kern w:val="2"/>
          <w:szCs w:val="28"/>
          <w:highlight w:val="none"/>
        </w:rPr>
        <w:t>不利物质条件</w:t>
      </w:r>
      <w:bookmarkEnd w:id="314"/>
      <w:bookmarkEnd w:id="315"/>
    </w:p>
    <w:bookmarkEnd w:id="316"/>
    <w:bookmarkEnd w:id="317"/>
    <w:bookmarkEnd w:id="318"/>
    <w:p w14:paraId="0199DFE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168A7E8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w:t>
      </w:r>
      <w:r>
        <w:rPr>
          <w:rFonts w:hAnsi="宋体" w:cs="Times New Roman"/>
          <w:color w:val="auto"/>
          <w:highlight w:val="none"/>
        </w:rPr>
        <w:t>10</w:t>
      </w:r>
      <w:r>
        <w:rPr>
          <w:rFonts w:hint="eastAsia" w:hAnsi="宋体" w:cs="Times New Roman"/>
          <w:color w:val="auto"/>
          <w:highlight w:val="none"/>
        </w:rPr>
        <w:t>条〔变更〕约定执行。承包人因采取合理措施而增加的费用和（或）延误的工期由发包人承担。</w:t>
      </w:r>
    </w:p>
    <w:p w14:paraId="705C2730">
      <w:pPr>
        <w:keepNext/>
        <w:keepLines/>
        <w:spacing w:line="360" w:lineRule="auto"/>
        <w:outlineLvl w:val="3"/>
        <w:rPr>
          <w:rFonts w:hAnsi="宋体" w:cs="Times New Roman"/>
          <w:b/>
          <w:bCs/>
          <w:color w:val="auto"/>
          <w:kern w:val="2"/>
          <w:szCs w:val="28"/>
          <w:highlight w:val="none"/>
        </w:rPr>
      </w:pPr>
      <w:bookmarkStart w:id="321" w:name="_Toc351203549"/>
      <w:bookmarkStart w:id="322" w:name="_Toc532839917"/>
      <w:r>
        <w:rPr>
          <w:rFonts w:hAnsi="宋体" w:cs="Times New Roman"/>
          <w:b/>
          <w:bCs/>
          <w:color w:val="auto"/>
          <w:kern w:val="2"/>
          <w:szCs w:val="28"/>
          <w:highlight w:val="none"/>
        </w:rPr>
        <w:t>7</w:t>
      </w:r>
      <w:bookmarkStart w:id="323" w:name="_Toc337558774"/>
      <w:bookmarkStart w:id="324" w:name="_Toc296503075"/>
      <w:bookmarkStart w:id="325" w:name="_Toc296346576"/>
      <w:r>
        <w:rPr>
          <w:rFonts w:hAnsi="宋体" w:cs="Times New Roman"/>
          <w:b/>
          <w:bCs/>
          <w:color w:val="auto"/>
          <w:kern w:val="2"/>
          <w:szCs w:val="28"/>
          <w:highlight w:val="none"/>
        </w:rPr>
        <w:t xml:space="preserve">.7 </w:t>
      </w:r>
      <w:r>
        <w:rPr>
          <w:rFonts w:hint="eastAsia" w:hAnsi="宋体" w:cs="Times New Roman"/>
          <w:b/>
          <w:bCs/>
          <w:color w:val="auto"/>
          <w:kern w:val="2"/>
          <w:szCs w:val="28"/>
          <w:highlight w:val="none"/>
        </w:rPr>
        <w:t>异常恶劣的气候条件</w:t>
      </w:r>
      <w:bookmarkEnd w:id="321"/>
      <w:bookmarkEnd w:id="322"/>
    </w:p>
    <w:bookmarkEnd w:id="323"/>
    <w:bookmarkEnd w:id="324"/>
    <w:bookmarkEnd w:id="325"/>
    <w:p w14:paraId="4C36075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337035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承包人应采取克服异常恶劣的气候条件的合理措施继续施工，并及时通知发包人和监理人。监理人经发包人同意后应当及时发出指示，指示构成变更的，按第</w:t>
      </w:r>
      <w:r>
        <w:rPr>
          <w:rFonts w:hAnsi="宋体" w:cs="Times New Roman"/>
          <w:color w:val="auto"/>
          <w:highlight w:val="none"/>
        </w:rPr>
        <w:t>10</w:t>
      </w:r>
      <w:r>
        <w:rPr>
          <w:rFonts w:hint="eastAsia" w:hAnsi="宋体" w:cs="Times New Roman"/>
          <w:color w:val="auto"/>
          <w:highlight w:val="none"/>
        </w:rPr>
        <w:t>条〔变更〕约定办理。承包人因采取合理措施而增加的费用和（或）延误的工期由发包人承担。</w:t>
      </w:r>
      <w:bookmarkStart w:id="326" w:name="_Toc351203550"/>
    </w:p>
    <w:p w14:paraId="72A7239A">
      <w:pPr>
        <w:autoSpaceDE w:val="0"/>
        <w:autoSpaceDN w:val="0"/>
        <w:adjustRightInd w:val="0"/>
        <w:spacing w:line="360" w:lineRule="auto"/>
        <w:ind w:firstLine="420" w:firstLineChars="200"/>
        <w:jc w:val="left"/>
        <w:rPr>
          <w:rFonts w:hAnsi="宋体" w:cs="Times New Roman"/>
          <w:bCs/>
          <w:color w:val="auto"/>
          <w:kern w:val="2"/>
          <w:highlight w:val="none"/>
        </w:rPr>
      </w:pPr>
      <w:r>
        <w:rPr>
          <w:rFonts w:hAnsi="宋体" w:cs="Times New Roman"/>
          <w:bCs/>
          <w:color w:val="auto"/>
          <w:kern w:val="2"/>
          <w:highlight w:val="none"/>
        </w:rPr>
        <w:t>7</w:t>
      </w:r>
      <w:bookmarkStart w:id="327" w:name="_Toc337558775"/>
      <w:r>
        <w:rPr>
          <w:rFonts w:hAnsi="宋体" w:cs="Times New Roman"/>
          <w:bCs/>
          <w:color w:val="auto"/>
          <w:kern w:val="2"/>
          <w:highlight w:val="none"/>
        </w:rPr>
        <w:t xml:space="preserve">.8 </w:t>
      </w:r>
      <w:r>
        <w:rPr>
          <w:rFonts w:hint="eastAsia" w:hAnsi="宋体" w:cs="Times New Roman"/>
          <w:bCs/>
          <w:color w:val="auto"/>
          <w:kern w:val="2"/>
          <w:highlight w:val="none"/>
        </w:rPr>
        <w:t>暂停施工</w:t>
      </w:r>
      <w:bookmarkEnd w:id="326"/>
    </w:p>
    <w:bookmarkEnd w:id="319"/>
    <w:bookmarkEnd w:id="320"/>
    <w:bookmarkEnd w:id="327"/>
    <w:p w14:paraId="3D043D9E">
      <w:pPr>
        <w:spacing w:line="360" w:lineRule="auto"/>
        <w:ind w:firstLine="420" w:firstLineChars="200"/>
        <w:jc w:val="left"/>
        <w:rPr>
          <w:rFonts w:hAnsi="宋体" w:cs="Times New Roman"/>
          <w:color w:val="auto"/>
          <w:highlight w:val="none"/>
        </w:rPr>
      </w:pPr>
      <w:r>
        <w:rPr>
          <w:rFonts w:hAnsi="宋体" w:cs="Times New Roman"/>
          <w:color w:val="auto"/>
          <w:highlight w:val="none"/>
        </w:rPr>
        <w:t>7.8.1</w:t>
      </w:r>
      <w:r>
        <w:rPr>
          <w:rFonts w:hint="eastAsia" w:hAnsi="宋体" w:cs="Times New Roman"/>
          <w:color w:val="auto"/>
          <w:highlight w:val="none"/>
        </w:rPr>
        <w:t>发包人原因引起的暂停施工</w:t>
      </w:r>
    </w:p>
    <w:p w14:paraId="46CF7304">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因发包人原因引起暂停施工的，监理人经发包人同意后，应及时下达暂停施工指示。情况紧急且监理人未及时下达暂停施工指示的，按照第</w:t>
      </w:r>
      <w:r>
        <w:rPr>
          <w:rFonts w:hAnsi="宋体" w:cs="Times New Roman"/>
          <w:color w:val="auto"/>
          <w:highlight w:val="none"/>
        </w:rPr>
        <w:t>7.8.4</w:t>
      </w:r>
      <w:r>
        <w:rPr>
          <w:rFonts w:hint="eastAsia" w:hAnsi="宋体" w:cs="Times New Roman"/>
          <w:color w:val="auto"/>
          <w:highlight w:val="none"/>
        </w:rPr>
        <w:t>项〔紧急情况下的暂停施工〕执行。</w:t>
      </w:r>
    </w:p>
    <w:p w14:paraId="6541E796">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因发包人原因引起的暂停施工，发包人应承担由此增加的费用和（或）延误的工期，并支付承包人合理的利润。</w:t>
      </w:r>
    </w:p>
    <w:p w14:paraId="5945FDB5">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7.8.2 </w:t>
      </w:r>
      <w:r>
        <w:rPr>
          <w:rFonts w:hint="eastAsia" w:hAnsi="宋体" w:cs="Times New Roman"/>
          <w:color w:val="auto"/>
          <w:highlight w:val="none"/>
        </w:rPr>
        <w:t>承包人原因引起的暂停施工</w:t>
      </w:r>
    </w:p>
    <w:p w14:paraId="1F24E09F">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因承包人原因引起的暂停施工，承包人应承担由此增加的费用和（或）延误的工期，且承包人在收到监理人复工指示后</w:t>
      </w:r>
      <w:r>
        <w:rPr>
          <w:rFonts w:hAnsi="宋体" w:cs="Times New Roman"/>
          <w:color w:val="auto"/>
          <w:highlight w:val="none"/>
        </w:rPr>
        <w:t>84</w:t>
      </w:r>
      <w:r>
        <w:rPr>
          <w:rFonts w:hint="eastAsia" w:hAnsi="宋体" w:cs="Times New Roman"/>
          <w:color w:val="auto"/>
          <w:highlight w:val="none"/>
        </w:rPr>
        <w:t>天内仍未复工的，视为第</w:t>
      </w:r>
      <w:r>
        <w:rPr>
          <w:rFonts w:hAnsi="宋体" w:cs="Times New Roman"/>
          <w:color w:val="auto"/>
          <w:highlight w:val="none"/>
        </w:rPr>
        <w:t>16.2.1</w:t>
      </w:r>
      <w:r>
        <w:rPr>
          <w:rFonts w:hint="eastAsia" w:hAnsi="宋体" w:cs="Times New Roman"/>
          <w:color w:val="auto"/>
          <w:highlight w:val="none"/>
        </w:rPr>
        <w:t>项〔承包人违约的情形〕第（</w:t>
      </w:r>
      <w:r>
        <w:rPr>
          <w:rFonts w:hAnsi="宋体" w:cs="Times New Roman"/>
          <w:color w:val="auto"/>
          <w:highlight w:val="none"/>
        </w:rPr>
        <w:t>7</w:t>
      </w:r>
      <w:r>
        <w:rPr>
          <w:rFonts w:hint="eastAsia" w:hAnsi="宋体" w:cs="Times New Roman"/>
          <w:color w:val="auto"/>
          <w:highlight w:val="none"/>
        </w:rPr>
        <w:t>）目约定的承包人无法继续履行合同的情形。</w:t>
      </w:r>
    </w:p>
    <w:p w14:paraId="6453B4CE">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7.8.3 </w:t>
      </w:r>
      <w:r>
        <w:rPr>
          <w:rFonts w:hint="eastAsia" w:hAnsi="宋体" w:cs="Times New Roman"/>
          <w:color w:val="auto"/>
          <w:highlight w:val="none"/>
        </w:rPr>
        <w:t>指示暂停施工</w:t>
      </w:r>
    </w:p>
    <w:p w14:paraId="23647A15">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监理人认为有必要时，并经发包人批准后，可向承包人作出暂停施工的指示，承包人应按监理人指示暂停施工。</w:t>
      </w:r>
    </w:p>
    <w:p w14:paraId="31116BBB">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7.8.4 </w:t>
      </w:r>
      <w:r>
        <w:rPr>
          <w:rFonts w:hint="eastAsia" w:hAnsi="宋体" w:cs="Times New Roman"/>
          <w:color w:val="auto"/>
          <w:highlight w:val="none"/>
        </w:rPr>
        <w:t>紧急情况下的暂停施工</w:t>
      </w:r>
    </w:p>
    <w:p w14:paraId="317DBA55">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因紧急情况需暂停施工，且监理人未及时下达暂停施工指示的，承包人可先暂停施工，并及时通知监理人。监理人应在接到通知后</w:t>
      </w:r>
      <w:r>
        <w:rPr>
          <w:rFonts w:hAnsi="宋体" w:cs="Times New Roman"/>
          <w:color w:val="auto"/>
          <w:highlight w:val="none"/>
        </w:rPr>
        <w:t>24</w:t>
      </w:r>
      <w:r>
        <w:rPr>
          <w:rFonts w:hint="eastAsia" w:hAnsi="宋体" w:cs="Times New Roman"/>
          <w:color w:val="auto"/>
          <w:highlight w:val="none"/>
        </w:rPr>
        <w:t>小时内发出指示，逾期未发出指示，视为同意承包人暂停施工。监理人不同意承包人暂停施工的，应说明理由，承包人对监理人的答复有异议，按照第</w:t>
      </w:r>
      <w:r>
        <w:rPr>
          <w:rFonts w:hAnsi="宋体" w:cs="Times New Roman"/>
          <w:color w:val="auto"/>
          <w:highlight w:val="none"/>
        </w:rPr>
        <w:t>20</w:t>
      </w:r>
      <w:r>
        <w:rPr>
          <w:rFonts w:hint="eastAsia" w:hAnsi="宋体" w:cs="Times New Roman"/>
          <w:color w:val="auto"/>
          <w:highlight w:val="none"/>
        </w:rPr>
        <w:t>条〔争议解决〕约定处理。</w:t>
      </w:r>
    </w:p>
    <w:p w14:paraId="24591ED6">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7.8.5 </w:t>
      </w:r>
      <w:r>
        <w:rPr>
          <w:rFonts w:hint="eastAsia" w:hAnsi="宋体" w:cs="Times New Roman"/>
          <w:color w:val="auto"/>
          <w:highlight w:val="none"/>
        </w:rPr>
        <w:t>暂停施工后的复工</w:t>
      </w:r>
    </w:p>
    <w:p w14:paraId="5226CCA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2FF38F6D">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承包人无故拖延和拒绝复工的，承包人承担由此增加的费用和（或）延误的工期；因发包人原因无法按时复工的，按照第</w:t>
      </w:r>
      <w:r>
        <w:rPr>
          <w:rFonts w:hAnsi="宋体" w:cs="Times New Roman"/>
          <w:color w:val="auto"/>
          <w:highlight w:val="none"/>
        </w:rPr>
        <w:t>7.5.1</w:t>
      </w:r>
      <w:r>
        <w:rPr>
          <w:rFonts w:hint="eastAsia" w:hAnsi="宋体" w:cs="Times New Roman"/>
          <w:color w:val="auto"/>
          <w:highlight w:val="none"/>
        </w:rPr>
        <w:t>项〔因发包人原因导致工期延误〕约定办理。</w:t>
      </w:r>
    </w:p>
    <w:p w14:paraId="35C1553F">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7.8.6 </w:t>
      </w:r>
      <w:r>
        <w:rPr>
          <w:rFonts w:hint="eastAsia" w:hAnsi="宋体" w:cs="Times New Roman"/>
          <w:color w:val="auto"/>
          <w:highlight w:val="none"/>
        </w:rPr>
        <w:t>暂停施工持续</w:t>
      </w:r>
      <w:r>
        <w:rPr>
          <w:rFonts w:hAnsi="宋体" w:cs="Times New Roman"/>
          <w:color w:val="auto"/>
          <w:highlight w:val="none"/>
        </w:rPr>
        <w:t>56</w:t>
      </w:r>
      <w:r>
        <w:rPr>
          <w:rFonts w:hint="eastAsia" w:hAnsi="宋体" w:cs="Times New Roman"/>
          <w:color w:val="auto"/>
          <w:highlight w:val="none"/>
        </w:rPr>
        <w:t>天以上</w:t>
      </w:r>
    </w:p>
    <w:p w14:paraId="40607FE8">
      <w:pPr>
        <w:spacing w:line="360" w:lineRule="auto"/>
        <w:ind w:firstLine="409" w:firstLineChars="195"/>
        <w:jc w:val="left"/>
        <w:rPr>
          <w:rFonts w:hAnsi="宋体" w:cs="Times New Roman"/>
          <w:color w:val="auto"/>
          <w:highlight w:val="none"/>
        </w:rPr>
      </w:pPr>
      <w:r>
        <w:rPr>
          <w:rFonts w:hint="eastAsia" w:hAnsi="宋体" w:cs="Times New Roman"/>
          <w:color w:val="auto"/>
          <w:highlight w:val="none"/>
        </w:rPr>
        <w:t>监理人发出暂停施工指示后</w:t>
      </w:r>
      <w:r>
        <w:rPr>
          <w:rFonts w:hAnsi="宋体" w:cs="Times New Roman"/>
          <w:color w:val="auto"/>
          <w:highlight w:val="none"/>
        </w:rPr>
        <w:t>56</w:t>
      </w:r>
      <w:r>
        <w:rPr>
          <w:rFonts w:hint="eastAsia" w:hAnsi="宋体" w:cs="Times New Roman"/>
          <w:color w:val="auto"/>
          <w:highlight w:val="none"/>
        </w:rPr>
        <w:t>天内未向承包人发出复工通知，除该项停工属于第</w:t>
      </w:r>
      <w:r>
        <w:rPr>
          <w:rFonts w:hAnsi="宋体" w:cs="Times New Roman"/>
          <w:color w:val="auto"/>
          <w:highlight w:val="none"/>
        </w:rPr>
        <w:t>7.8.2</w:t>
      </w:r>
      <w:r>
        <w:rPr>
          <w:rFonts w:hint="eastAsia" w:hAnsi="宋体" w:cs="Times New Roman"/>
          <w:color w:val="auto"/>
          <w:highlight w:val="none"/>
        </w:rPr>
        <w:t>项〔承包人原因引起的暂停施工〕及第</w:t>
      </w:r>
      <w:r>
        <w:rPr>
          <w:rFonts w:hAnsi="宋体" w:cs="Times New Roman"/>
          <w:color w:val="auto"/>
          <w:highlight w:val="none"/>
        </w:rPr>
        <w:t>17</w:t>
      </w:r>
      <w:r>
        <w:rPr>
          <w:rFonts w:hint="eastAsia" w:hAnsi="宋体" w:cs="Times New Roman"/>
          <w:color w:val="auto"/>
          <w:highlight w:val="none"/>
        </w:rPr>
        <w:t>条〔不可抗力〕约定的情形外，承包人可向发包人提交书面通知，要求发包人在收到书面通知后</w:t>
      </w:r>
      <w:r>
        <w:rPr>
          <w:rFonts w:hAnsi="宋体" w:cs="Times New Roman"/>
          <w:color w:val="auto"/>
          <w:highlight w:val="none"/>
        </w:rPr>
        <w:t>28</w:t>
      </w:r>
      <w:r>
        <w:rPr>
          <w:rFonts w:hint="eastAsia" w:hAnsi="宋体" w:cs="Times New Roman"/>
          <w:color w:val="auto"/>
          <w:highlight w:val="none"/>
        </w:rPr>
        <w:t>天内准许已暂停施工的部分或全部工程继续施工。发包人逾期不予批准的，则承包人可以通知发包人，将工程受影响的部分视为按第</w:t>
      </w:r>
      <w:r>
        <w:rPr>
          <w:rFonts w:hAnsi="宋体" w:cs="Times New Roman"/>
          <w:color w:val="auto"/>
          <w:highlight w:val="none"/>
        </w:rPr>
        <w:t>10.1</w:t>
      </w:r>
      <w:r>
        <w:rPr>
          <w:rFonts w:hint="eastAsia" w:hAnsi="宋体" w:cs="Times New Roman"/>
          <w:color w:val="auto"/>
          <w:highlight w:val="none"/>
        </w:rPr>
        <w:t>款〔变更的范围〕第（</w:t>
      </w:r>
      <w:r>
        <w:rPr>
          <w:rFonts w:hAnsi="宋体" w:cs="Times New Roman"/>
          <w:color w:val="auto"/>
          <w:highlight w:val="none"/>
        </w:rPr>
        <w:t>2</w:t>
      </w:r>
      <w:r>
        <w:rPr>
          <w:rFonts w:hint="eastAsia" w:hAnsi="宋体" w:cs="Times New Roman"/>
          <w:color w:val="auto"/>
          <w:highlight w:val="none"/>
        </w:rPr>
        <w:t>）项的可取消工作。</w:t>
      </w:r>
    </w:p>
    <w:p w14:paraId="44ECE690">
      <w:pPr>
        <w:spacing w:line="360" w:lineRule="auto"/>
        <w:ind w:firstLine="409" w:firstLineChars="195"/>
        <w:jc w:val="left"/>
        <w:rPr>
          <w:rFonts w:hAnsi="宋体" w:cs="Times New Roman"/>
          <w:color w:val="auto"/>
          <w:highlight w:val="none"/>
        </w:rPr>
      </w:pPr>
      <w:r>
        <w:rPr>
          <w:rFonts w:hint="eastAsia" w:hAnsi="宋体" w:cs="Times New Roman"/>
          <w:color w:val="auto"/>
          <w:highlight w:val="none"/>
        </w:rPr>
        <w:t>暂停施工持续</w:t>
      </w:r>
      <w:r>
        <w:rPr>
          <w:rFonts w:hAnsi="宋体" w:cs="Times New Roman"/>
          <w:color w:val="auto"/>
          <w:highlight w:val="none"/>
        </w:rPr>
        <w:t>84</w:t>
      </w:r>
      <w:r>
        <w:rPr>
          <w:rFonts w:hint="eastAsia" w:hAnsi="宋体" w:cs="Times New Roman"/>
          <w:color w:val="auto"/>
          <w:highlight w:val="none"/>
        </w:rPr>
        <w:t>天以上不复工的，且不属于第</w:t>
      </w:r>
      <w:r>
        <w:rPr>
          <w:rFonts w:hAnsi="宋体" w:cs="Times New Roman"/>
          <w:color w:val="auto"/>
          <w:highlight w:val="none"/>
        </w:rPr>
        <w:t>7.8.2</w:t>
      </w:r>
      <w:r>
        <w:rPr>
          <w:rFonts w:hint="eastAsia" w:hAnsi="宋体" w:cs="Times New Roman"/>
          <w:color w:val="auto"/>
          <w:highlight w:val="none"/>
        </w:rPr>
        <w:t>项〔承包人原因引起的暂停施工〕及第</w:t>
      </w:r>
      <w:r>
        <w:rPr>
          <w:rFonts w:hAnsi="宋体" w:cs="Times New Roman"/>
          <w:color w:val="auto"/>
          <w:highlight w:val="none"/>
        </w:rPr>
        <w:t>17</w:t>
      </w:r>
      <w:r>
        <w:rPr>
          <w:rFonts w:hint="eastAsia" w:hAnsi="宋体" w:cs="Times New Roman"/>
          <w:color w:val="auto"/>
          <w:highlight w:val="none"/>
        </w:rPr>
        <w:t>条〔不可抗力〕约定的情形，并影响到整个工程以及合同目的实现的，承包人有权提出价格调整要求，或者解除合同。解除合同的，按照第</w:t>
      </w:r>
      <w:r>
        <w:rPr>
          <w:rFonts w:hAnsi="宋体" w:cs="Times New Roman"/>
          <w:color w:val="auto"/>
          <w:highlight w:val="none"/>
        </w:rPr>
        <w:t>16.1.3</w:t>
      </w:r>
      <w:r>
        <w:rPr>
          <w:rFonts w:hint="eastAsia" w:hAnsi="宋体" w:cs="Times New Roman"/>
          <w:color w:val="auto"/>
          <w:highlight w:val="none"/>
        </w:rPr>
        <w:t>项〔因发包人违约解除合同〕执行。</w:t>
      </w:r>
    </w:p>
    <w:p w14:paraId="55F50C87">
      <w:pPr>
        <w:spacing w:line="360" w:lineRule="auto"/>
        <w:ind w:left="16" w:firstLine="409" w:firstLineChars="195"/>
        <w:jc w:val="left"/>
        <w:rPr>
          <w:rFonts w:hAnsi="宋体" w:cs="Times New Roman"/>
          <w:color w:val="auto"/>
          <w:highlight w:val="none"/>
        </w:rPr>
      </w:pPr>
      <w:r>
        <w:rPr>
          <w:rFonts w:hAnsi="宋体" w:cs="Times New Roman"/>
          <w:color w:val="auto"/>
          <w:highlight w:val="none"/>
        </w:rPr>
        <w:t xml:space="preserve">7.8.7 </w:t>
      </w:r>
      <w:r>
        <w:rPr>
          <w:rFonts w:hint="eastAsia" w:hAnsi="宋体" w:cs="Times New Roman"/>
          <w:color w:val="auto"/>
          <w:highlight w:val="none"/>
        </w:rPr>
        <w:t>暂停施工期间的工程照管</w:t>
      </w:r>
    </w:p>
    <w:p w14:paraId="36D7803D">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暂停施工期间，承包人应负责妥善照管工程并提供安全保障，由此增加的费用由责任方承担。</w:t>
      </w:r>
    </w:p>
    <w:p w14:paraId="655708BB">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7.8.8 </w:t>
      </w:r>
      <w:r>
        <w:rPr>
          <w:rFonts w:hint="eastAsia" w:hAnsi="宋体" w:cs="Times New Roman"/>
          <w:color w:val="auto"/>
          <w:highlight w:val="none"/>
        </w:rPr>
        <w:t>暂停施工的措施</w:t>
      </w:r>
    </w:p>
    <w:p w14:paraId="5F483F7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暂停施工期间，发包人和承包人均应采取必要的措施确保工程质量及安全，防止因暂停施工扩大损失。</w:t>
      </w:r>
    </w:p>
    <w:p w14:paraId="46A97973">
      <w:pPr>
        <w:keepNext/>
        <w:keepLines/>
        <w:spacing w:line="360" w:lineRule="auto"/>
        <w:outlineLvl w:val="3"/>
        <w:rPr>
          <w:rFonts w:hAnsi="宋体" w:cs="Times New Roman"/>
          <w:b/>
          <w:bCs/>
          <w:color w:val="auto"/>
          <w:kern w:val="2"/>
          <w:szCs w:val="28"/>
          <w:highlight w:val="none"/>
        </w:rPr>
      </w:pPr>
      <w:bookmarkStart w:id="328" w:name="_Toc532839918"/>
      <w:bookmarkStart w:id="329" w:name="_Toc351203551"/>
      <w:r>
        <w:rPr>
          <w:rFonts w:hAnsi="宋体" w:cs="Times New Roman"/>
          <w:b/>
          <w:bCs/>
          <w:color w:val="auto"/>
          <w:kern w:val="2"/>
          <w:szCs w:val="28"/>
          <w:highlight w:val="none"/>
        </w:rPr>
        <w:t>7.9</w:t>
      </w:r>
      <w:r>
        <w:rPr>
          <w:rFonts w:hint="eastAsia" w:hAnsi="宋体"/>
          <w:b/>
          <w:bCs/>
          <w:color w:val="auto"/>
          <w:kern w:val="2"/>
          <w:szCs w:val="28"/>
          <w:highlight w:val="none"/>
        </w:rPr>
        <w:t>提前竣工</w:t>
      </w:r>
      <w:bookmarkEnd w:id="328"/>
      <w:bookmarkEnd w:id="329"/>
    </w:p>
    <w:p w14:paraId="757E8842">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7.9.1 </w:t>
      </w:r>
      <w:r>
        <w:rPr>
          <w:rFonts w:hint="eastAsia" w:hAnsi="宋体" w:cs="Times New Roman"/>
          <w:color w:val="auto"/>
          <w:highlight w:val="none"/>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w:t>
      </w:r>
      <w:r>
        <w:rPr>
          <w:rFonts w:hAnsi="宋体" w:cs="Times New Roman"/>
          <w:color w:val="auto"/>
          <w:highlight w:val="none"/>
        </w:rPr>
        <w:t>7</w:t>
      </w:r>
      <w:r>
        <w:rPr>
          <w:rFonts w:hint="eastAsia" w:hAnsi="宋体" w:cs="Times New Roman"/>
          <w:color w:val="auto"/>
          <w:highlight w:val="none"/>
        </w:rPr>
        <w:t>天内予以答复。任何情况下，发包人不得压缩合理工期。</w:t>
      </w:r>
    </w:p>
    <w:p w14:paraId="397A197A">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7.9.2 </w:t>
      </w:r>
      <w:r>
        <w:rPr>
          <w:rFonts w:hint="eastAsia" w:hAnsi="宋体" w:cs="Times New Roman"/>
          <w:color w:val="auto"/>
          <w:highlight w:val="none"/>
        </w:rPr>
        <w:t>发包人要求承包人提前竣工，或承包人提出提前竣工的建议能够给发包人带来效益的，合同当事人可以在专用合同条款中约定提前竣工的奖励。</w:t>
      </w:r>
    </w:p>
    <w:p w14:paraId="1BA97C9A">
      <w:pPr>
        <w:keepNext/>
        <w:keepLines/>
        <w:spacing w:line="360" w:lineRule="auto"/>
        <w:outlineLvl w:val="2"/>
        <w:rPr>
          <w:rFonts w:hAnsi="宋体" w:cs="Times New Roman"/>
          <w:b/>
          <w:bCs/>
          <w:color w:val="auto"/>
          <w:kern w:val="2"/>
          <w:szCs w:val="32"/>
          <w:highlight w:val="none"/>
        </w:rPr>
      </w:pPr>
      <w:bookmarkStart w:id="330" w:name="_Toc512691379"/>
      <w:bookmarkStart w:id="331" w:name="_Toc351203552"/>
      <w:bookmarkStart w:id="332" w:name="_Toc527130425"/>
      <w:bookmarkStart w:id="333" w:name="_Toc532839919"/>
      <w:r>
        <w:rPr>
          <w:rFonts w:hAnsi="宋体" w:cs="Times New Roman"/>
          <w:b/>
          <w:bCs/>
          <w:color w:val="auto"/>
          <w:kern w:val="2"/>
          <w:szCs w:val="32"/>
          <w:highlight w:val="none"/>
        </w:rPr>
        <w:t>8</w:t>
      </w:r>
      <w:bookmarkStart w:id="334" w:name="_Toc296346559"/>
      <w:bookmarkStart w:id="335" w:name="_Toc296503058"/>
      <w:bookmarkStart w:id="336" w:name="_Toc337558776"/>
      <w:r>
        <w:rPr>
          <w:rFonts w:hAnsi="宋体" w:cs="Times New Roman"/>
          <w:b/>
          <w:bCs/>
          <w:color w:val="auto"/>
          <w:kern w:val="2"/>
          <w:szCs w:val="32"/>
          <w:highlight w:val="none"/>
        </w:rPr>
        <w:t xml:space="preserve">. </w:t>
      </w:r>
      <w:r>
        <w:rPr>
          <w:rFonts w:hint="eastAsia" w:hAnsi="宋体" w:cs="Times New Roman"/>
          <w:b/>
          <w:bCs/>
          <w:color w:val="auto"/>
          <w:kern w:val="2"/>
          <w:szCs w:val="32"/>
          <w:highlight w:val="none"/>
        </w:rPr>
        <w:t>材料与设备</w:t>
      </w:r>
      <w:bookmarkEnd w:id="330"/>
      <w:bookmarkEnd w:id="331"/>
      <w:bookmarkEnd w:id="332"/>
      <w:bookmarkEnd w:id="333"/>
    </w:p>
    <w:bookmarkEnd w:id="334"/>
    <w:bookmarkEnd w:id="335"/>
    <w:bookmarkEnd w:id="336"/>
    <w:p w14:paraId="0F1BC0D5">
      <w:pPr>
        <w:keepNext/>
        <w:keepLines/>
        <w:spacing w:line="360" w:lineRule="auto"/>
        <w:outlineLvl w:val="3"/>
        <w:rPr>
          <w:rFonts w:hAnsi="宋体" w:cs="Times New Roman"/>
          <w:b/>
          <w:bCs/>
          <w:color w:val="auto"/>
          <w:kern w:val="2"/>
          <w:szCs w:val="28"/>
          <w:highlight w:val="none"/>
        </w:rPr>
      </w:pPr>
      <w:bookmarkStart w:id="337" w:name="_Toc532839920"/>
      <w:bookmarkStart w:id="338" w:name="_Toc351203553"/>
      <w:r>
        <w:rPr>
          <w:rFonts w:hAnsi="宋体" w:cs="Times New Roman"/>
          <w:b/>
          <w:bCs/>
          <w:color w:val="auto"/>
          <w:kern w:val="2"/>
          <w:szCs w:val="28"/>
          <w:highlight w:val="none"/>
        </w:rPr>
        <w:t>8</w:t>
      </w:r>
      <w:bookmarkStart w:id="339" w:name="_Toc337558777"/>
      <w:bookmarkStart w:id="340" w:name="_Toc296503059"/>
      <w:bookmarkStart w:id="341" w:name="_Toc296346560"/>
      <w:bookmarkStart w:id="342" w:name="_Toc468936960"/>
      <w:r>
        <w:rPr>
          <w:rFonts w:hAnsi="宋体" w:cs="Times New Roman"/>
          <w:b/>
          <w:bCs/>
          <w:color w:val="auto"/>
          <w:kern w:val="2"/>
          <w:szCs w:val="28"/>
          <w:highlight w:val="none"/>
        </w:rPr>
        <w:t>.1</w:t>
      </w:r>
      <w:r>
        <w:rPr>
          <w:rFonts w:hint="eastAsia" w:hAnsi="宋体" w:cs="Times New Roman"/>
          <w:b/>
          <w:bCs/>
          <w:color w:val="auto"/>
          <w:kern w:val="2"/>
          <w:szCs w:val="28"/>
          <w:highlight w:val="none"/>
        </w:rPr>
        <w:t>发包人供应材料与工程设备</w:t>
      </w:r>
      <w:bookmarkEnd w:id="337"/>
      <w:bookmarkEnd w:id="338"/>
    </w:p>
    <w:bookmarkEnd w:id="339"/>
    <w:bookmarkEnd w:id="340"/>
    <w:bookmarkEnd w:id="341"/>
    <w:p w14:paraId="0F71D7B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发包人自行供应材料、工程设备的，应在签订合同时在专用合同条款的附件《发包人供应材料设备一览表》中明确材料、工程设备的品种、规格、型号、数量、单价、质量等级和送达地点。</w:t>
      </w:r>
    </w:p>
    <w:p w14:paraId="797D6B1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承包人应提前</w:t>
      </w:r>
      <w:r>
        <w:rPr>
          <w:rFonts w:hAnsi="宋体" w:cs="Times New Roman"/>
          <w:color w:val="auto"/>
          <w:highlight w:val="none"/>
        </w:rPr>
        <w:t>30</w:t>
      </w:r>
      <w:r>
        <w:rPr>
          <w:rFonts w:hint="eastAsia" w:hAnsi="宋体" w:cs="Times New Roman"/>
          <w:color w:val="auto"/>
          <w:highlight w:val="none"/>
        </w:rPr>
        <w:t>天通过监理人以书面形式通知发包人供应材料与工程设备进场。承包人按照第</w:t>
      </w:r>
      <w:r>
        <w:rPr>
          <w:rFonts w:hAnsi="宋体" w:cs="Times New Roman"/>
          <w:color w:val="auto"/>
          <w:highlight w:val="none"/>
        </w:rPr>
        <w:t>7.2.2</w:t>
      </w:r>
      <w:r>
        <w:rPr>
          <w:rFonts w:hint="eastAsia" w:hAnsi="宋体" w:cs="Times New Roman"/>
          <w:color w:val="auto"/>
          <w:highlight w:val="none"/>
        </w:rPr>
        <w:t>项〔施工进度计划的修订〕约定修订施工进度计划时，需同时提交经修订后的发包人供应材料与工程设备的进场计划。</w:t>
      </w:r>
    </w:p>
    <w:p w14:paraId="1A86C47B">
      <w:pPr>
        <w:keepNext/>
        <w:keepLines/>
        <w:spacing w:line="360" w:lineRule="auto"/>
        <w:outlineLvl w:val="3"/>
        <w:rPr>
          <w:rFonts w:hAnsi="宋体" w:cs="Times New Roman"/>
          <w:b/>
          <w:bCs/>
          <w:color w:val="auto"/>
          <w:kern w:val="2"/>
          <w:szCs w:val="28"/>
          <w:highlight w:val="none"/>
        </w:rPr>
      </w:pPr>
      <w:bookmarkStart w:id="343" w:name="_Toc532839921"/>
      <w:bookmarkStart w:id="344" w:name="_Toc351203554"/>
      <w:r>
        <w:rPr>
          <w:rFonts w:hAnsi="宋体" w:cs="Times New Roman"/>
          <w:b/>
          <w:bCs/>
          <w:color w:val="auto"/>
          <w:kern w:val="2"/>
          <w:szCs w:val="28"/>
          <w:highlight w:val="none"/>
        </w:rPr>
        <w:t>8</w:t>
      </w:r>
      <w:bookmarkStart w:id="345" w:name="_Toc296503060"/>
      <w:bookmarkStart w:id="346" w:name="_Toc296346561"/>
      <w:bookmarkStart w:id="347" w:name="_Toc337558778"/>
      <w:r>
        <w:rPr>
          <w:rFonts w:hAnsi="宋体" w:cs="Times New Roman"/>
          <w:b/>
          <w:bCs/>
          <w:color w:val="auto"/>
          <w:kern w:val="2"/>
          <w:szCs w:val="28"/>
          <w:highlight w:val="none"/>
        </w:rPr>
        <w:t>.2</w:t>
      </w:r>
      <w:r>
        <w:rPr>
          <w:rFonts w:hint="eastAsia" w:hAnsi="宋体" w:cs="Times New Roman"/>
          <w:b/>
          <w:bCs/>
          <w:color w:val="auto"/>
          <w:kern w:val="2"/>
          <w:szCs w:val="28"/>
          <w:highlight w:val="none"/>
        </w:rPr>
        <w:t>承包人采购材料与工程设备</w:t>
      </w:r>
      <w:bookmarkEnd w:id="343"/>
      <w:bookmarkEnd w:id="344"/>
    </w:p>
    <w:bookmarkEnd w:id="345"/>
    <w:bookmarkEnd w:id="346"/>
    <w:bookmarkEnd w:id="347"/>
    <w:p w14:paraId="6077E6E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7E2D2F1B">
      <w:pPr>
        <w:keepNext/>
        <w:keepLines/>
        <w:spacing w:line="360" w:lineRule="auto"/>
        <w:outlineLvl w:val="3"/>
        <w:rPr>
          <w:rFonts w:hAnsi="宋体" w:cs="Times New Roman"/>
          <w:b/>
          <w:bCs/>
          <w:color w:val="auto"/>
          <w:kern w:val="2"/>
          <w:szCs w:val="28"/>
          <w:highlight w:val="none"/>
        </w:rPr>
      </w:pPr>
      <w:bookmarkStart w:id="348" w:name="_Toc532839922"/>
      <w:bookmarkStart w:id="349" w:name="_Toc351203555"/>
      <w:r>
        <w:rPr>
          <w:rFonts w:hAnsi="宋体" w:cs="Times New Roman"/>
          <w:b/>
          <w:bCs/>
          <w:color w:val="auto"/>
          <w:kern w:val="2"/>
          <w:szCs w:val="28"/>
          <w:highlight w:val="none"/>
        </w:rPr>
        <w:t>8</w:t>
      </w:r>
      <w:bookmarkStart w:id="350" w:name="_Toc337558779"/>
      <w:bookmarkStart w:id="351" w:name="_Toc296503061"/>
      <w:bookmarkStart w:id="352" w:name="_Toc296346562"/>
      <w:r>
        <w:rPr>
          <w:rFonts w:hAnsi="宋体" w:cs="Times New Roman"/>
          <w:b/>
          <w:bCs/>
          <w:color w:val="auto"/>
          <w:kern w:val="2"/>
          <w:szCs w:val="28"/>
          <w:highlight w:val="none"/>
        </w:rPr>
        <w:t>.3</w:t>
      </w:r>
      <w:r>
        <w:rPr>
          <w:rFonts w:hint="eastAsia" w:hAnsi="宋体" w:cs="Times New Roman"/>
          <w:b/>
          <w:bCs/>
          <w:color w:val="auto"/>
          <w:kern w:val="2"/>
          <w:szCs w:val="28"/>
          <w:highlight w:val="none"/>
        </w:rPr>
        <w:t>材料与工程设备的接收与拒收</w:t>
      </w:r>
      <w:bookmarkEnd w:id="348"/>
      <w:bookmarkEnd w:id="349"/>
    </w:p>
    <w:bookmarkEnd w:id="350"/>
    <w:bookmarkEnd w:id="351"/>
    <w:bookmarkEnd w:id="352"/>
    <w:p w14:paraId="6E9E7EA7">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8.3.1 </w:t>
      </w:r>
      <w:r>
        <w:rPr>
          <w:rFonts w:hint="eastAsia" w:hAnsi="宋体" w:cs="Times New Roman"/>
          <w:color w:val="auto"/>
          <w:highlight w:val="none"/>
        </w:rPr>
        <w:t>发包人应按《发包人供应材料设备一览表》约定的内容提供材料和工程设备，并向承包人提供产品合格证明及出厂证明，对其质量负责。发包人应提前</w:t>
      </w:r>
      <w:r>
        <w:rPr>
          <w:rFonts w:hAnsi="宋体" w:cs="Times New Roman"/>
          <w:color w:val="auto"/>
          <w:highlight w:val="none"/>
        </w:rPr>
        <w:t>24</w:t>
      </w:r>
      <w:r>
        <w:rPr>
          <w:rFonts w:hint="eastAsia" w:hAnsi="宋体" w:cs="Times New Roman"/>
          <w:color w:val="auto"/>
          <w:highlight w:val="none"/>
        </w:rPr>
        <w:t>小时以书面形式通知承包人、监理人材料和工程设备到货时间，承包人负责材料和工程设备的清点、检验和接收。</w:t>
      </w:r>
    </w:p>
    <w:p w14:paraId="04A9AF2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发包人提供的材料和工程设备的规格、数量或质量不符合合同约定的，或因发包人原因导致交货日期延误或交货地点变更等情况的，按照第</w:t>
      </w:r>
      <w:r>
        <w:rPr>
          <w:rFonts w:hAnsi="宋体" w:cs="Times New Roman"/>
          <w:color w:val="auto"/>
          <w:highlight w:val="none"/>
        </w:rPr>
        <w:t>16.1</w:t>
      </w:r>
      <w:r>
        <w:rPr>
          <w:rFonts w:hint="eastAsia" w:hAnsi="宋体" w:cs="Times New Roman"/>
          <w:color w:val="auto"/>
          <w:highlight w:val="none"/>
        </w:rPr>
        <w:t>款〔发包人违约〕约定办理。</w:t>
      </w:r>
    </w:p>
    <w:p w14:paraId="6570CEE4">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8.3.2 </w:t>
      </w:r>
      <w:r>
        <w:rPr>
          <w:rFonts w:hint="eastAsia" w:hAnsi="宋体" w:cs="Times New Roman"/>
          <w:color w:val="auto"/>
          <w:highlight w:val="none"/>
        </w:rPr>
        <w:t>承包人采购的材料和工程设备，应保证产品质量合格，承包人应在材料和工程设备到货前</w:t>
      </w:r>
      <w:r>
        <w:rPr>
          <w:rFonts w:hAnsi="宋体" w:cs="Times New Roman"/>
          <w:color w:val="auto"/>
          <w:highlight w:val="none"/>
        </w:rPr>
        <w:t>24</w:t>
      </w:r>
      <w:r>
        <w:rPr>
          <w:rFonts w:hint="eastAsia" w:hAnsi="宋体" w:cs="Times New Roman"/>
          <w:color w:val="auto"/>
          <w:highlight w:val="none"/>
        </w:rPr>
        <w:t>小时通知监理人检验。承</w:t>
      </w:r>
      <w:bookmarkStart w:id="353" w:name="_Toc250655469"/>
      <w:r>
        <w:rPr>
          <w:rFonts w:hint="eastAsia" w:hAnsi="宋体" w:cs="Times New Roman"/>
          <w:color w:val="auto"/>
          <w:highlight w:val="none"/>
        </w:rPr>
        <w:t>包人进行永久设备、材料的制造和生产的，应符合相关质量标准，并向监理人提交材料的样本以及有关资料，并应在使用该材料或工程设备之前获得监理人同意。</w:t>
      </w:r>
    </w:p>
    <w:bookmarkEnd w:id="353"/>
    <w:p w14:paraId="747536A2">
      <w:pPr>
        <w:autoSpaceDE w:val="0"/>
        <w:autoSpaceDN w:val="0"/>
        <w:adjustRightInd w:val="0"/>
        <w:spacing w:line="360" w:lineRule="auto"/>
        <w:ind w:firstLine="315" w:firstLineChars="150"/>
        <w:jc w:val="left"/>
        <w:rPr>
          <w:rFonts w:hAnsi="宋体" w:cs="Times New Roman"/>
          <w:color w:val="auto"/>
          <w:highlight w:val="none"/>
        </w:rPr>
      </w:pPr>
      <w:r>
        <w:rPr>
          <w:rFonts w:hAnsi="宋体" w:cs="Times New Roman"/>
          <w:color w:val="auto"/>
          <w:highlight w:val="none"/>
        </w:rPr>
        <w:t xml:space="preserve"> </w:t>
      </w:r>
      <w:r>
        <w:rPr>
          <w:rFonts w:hint="eastAsia" w:hAnsi="宋体" w:cs="Times New Roman"/>
          <w:color w:val="auto"/>
          <w:highlight w:val="none"/>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468DE81">
      <w:pPr>
        <w:keepNext/>
        <w:keepLines/>
        <w:spacing w:line="360" w:lineRule="auto"/>
        <w:outlineLvl w:val="3"/>
        <w:rPr>
          <w:rFonts w:hAnsi="宋体" w:cs="Times New Roman"/>
          <w:b/>
          <w:bCs/>
          <w:color w:val="auto"/>
          <w:kern w:val="2"/>
          <w:szCs w:val="28"/>
          <w:highlight w:val="none"/>
        </w:rPr>
      </w:pPr>
      <w:bookmarkStart w:id="354" w:name="_Toc351203556"/>
      <w:bookmarkStart w:id="355" w:name="_Toc532839923"/>
      <w:r>
        <w:rPr>
          <w:rFonts w:hAnsi="宋体" w:cs="Times New Roman"/>
          <w:b/>
          <w:bCs/>
          <w:color w:val="auto"/>
          <w:kern w:val="2"/>
          <w:szCs w:val="28"/>
          <w:highlight w:val="none"/>
        </w:rPr>
        <w:t>8</w:t>
      </w:r>
      <w:bookmarkStart w:id="356" w:name="_Toc337558780"/>
      <w:bookmarkStart w:id="357" w:name="_Toc296346563"/>
      <w:bookmarkStart w:id="358" w:name="_Toc296503062"/>
      <w:r>
        <w:rPr>
          <w:rFonts w:hAnsi="宋体" w:cs="Times New Roman"/>
          <w:b/>
          <w:bCs/>
          <w:color w:val="auto"/>
          <w:kern w:val="2"/>
          <w:szCs w:val="28"/>
          <w:highlight w:val="none"/>
        </w:rPr>
        <w:t>.4</w:t>
      </w:r>
      <w:r>
        <w:rPr>
          <w:rFonts w:hint="eastAsia" w:hAnsi="宋体" w:cs="Times New Roman"/>
          <w:b/>
          <w:bCs/>
          <w:color w:val="auto"/>
          <w:kern w:val="2"/>
          <w:szCs w:val="28"/>
          <w:highlight w:val="none"/>
        </w:rPr>
        <w:t>材料与工程设备的保管与使用</w:t>
      </w:r>
      <w:bookmarkEnd w:id="354"/>
      <w:bookmarkEnd w:id="355"/>
    </w:p>
    <w:bookmarkEnd w:id="356"/>
    <w:bookmarkEnd w:id="357"/>
    <w:bookmarkEnd w:id="358"/>
    <w:p w14:paraId="5A9ED589">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8.4.1 </w:t>
      </w:r>
      <w:r>
        <w:rPr>
          <w:rFonts w:hint="eastAsia" w:hAnsi="宋体" w:cs="Times New Roman"/>
          <w:color w:val="auto"/>
          <w:highlight w:val="none"/>
        </w:rPr>
        <w:t>发包人供应</w:t>
      </w:r>
      <w:r>
        <w:rPr>
          <w:rFonts w:hint="eastAsia" w:hAnsi="宋体" w:cs="Times New Roman"/>
          <w:color w:val="auto"/>
          <w:kern w:val="2"/>
          <w:highlight w:val="none"/>
        </w:rPr>
        <w:t>材料与</w:t>
      </w:r>
      <w:r>
        <w:rPr>
          <w:rFonts w:hint="eastAsia" w:hAnsi="宋体" w:cs="Times New Roman"/>
          <w:color w:val="auto"/>
          <w:highlight w:val="none"/>
        </w:rPr>
        <w:t>工程</w:t>
      </w:r>
      <w:r>
        <w:rPr>
          <w:rFonts w:hint="eastAsia" w:hAnsi="宋体" w:cs="Times New Roman"/>
          <w:color w:val="auto"/>
          <w:kern w:val="2"/>
          <w:highlight w:val="none"/>
        </w:rPr>
        <w:t>设备的保管与使用</w:t>
      </w:r>
    </w:p>
    <w:p w14:paraId="5EFFC04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5F3F2A4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发包人供应的材料和工程设备使用前，由承包人负责检验，检验费用由发包人承担，不合格的不得使用。</w:t>
      </w:r>
    </w:p>
    <w:p w14:paraId="1FF95D22">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8.4.2 </w:t>
      </w:r>
      <w:r>
        <w:rPr>
          <w:rFonts w:hint="eastAsia" w:hAnsi="宋体" w:cs="Times New Roman"/>
          <w:color w:val="auto"/>
          <w:highlight w:val="none"/>
        </w:rPr>
        <w:t>承包人采购</w:t>
      </w:r>
      <w:r>
        <w:rPr>
          <w:rFonts w:hint="eastAsia" w:hAnsi="宋体" w:cs="Times New Roman"/>
          <w:color w:val="auto"/>
          <w:kern w:val="2"/>
          <w:highlight w:val="none"/>
        </w:rPr>
        <w:t>材料与</w:t>
      </w:r>
      <w:r>
        <w:rPr>
          <w:rFonts w:hint="eastAsia" w:hAnsi="宋体" w:cs="Times New Roman"/>
          <w:color w:val="auto"/>
          <w:highlight w:val="none"/>
        </w:rPr>
        <w:t>工程</w:t>
      </w:r>
      <w:r>
        <w:rPr>
          <w:rFonts w:hint="eastAsia" w:hAnsi="宋体" w:cs="Times New Roman"/>
          <w:color w:val="auto"/>
          <w:kern w:val="2"/>
          <w:highlight w:val="none"/>
        </w:rPr>
        <w:t>设备的保管与使用</w:t>
      </w:r>
    </w:p>
    <w:p w14:paraId="65CCBC7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26FDFA4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发包人或监理人发现承包人使用不符合设计或有关标准要求的材料和工程设备时，有权要求承包人进行修复、拆除或重新采购，由此增加的费用和（或）延误的工期，由承包人承担。</w:t>
      </w:r>
    </w:p>
    <w:p w14:paraId="1A74AAD0">
      <w:pPr>
        <w:keepNext/>
        <w:keepLines/>
        <w:spacing w:line="360" w:lineRule="auto"/>
        <w:outlineLvl w:val="3"/>
        <w:rPr>
          <w:rFonts w:hAnsi="宋体" w:cs="Times New Roman"/>
          <w:b/>
          <w:bCs/>
          <w:color w:val="auto"/>
          <w:kern w:val="2"/>
          <w:szCs w:val="28"/>
          <w:highlight w:val="none"/>
        </w:rPr>
      </w:pPr>
      <w:bookmarkStart w:id="359" w:name="_Toc351203557"/>
      <w:bookmarkStart w:id="360" w:name="_Toc532839924"/>
      <w:r>
        <w:rPr>
          <w:rFonts w:hAnsi="宋体" w:cs="Times New Roman"/>
          <w:b/>
          <w:bCs/>
          <w:color w:val="auto"/>
          <w:kern w:val="2"/>
          <w:szCs w:val="28"/>
          <w:highlight w:val="none"/>
        </w:rPr>
        <w:t>8.5</w:t>
      </w:r>
      <w:r>
        <w:rPr>
          <w:rFonts w:hint="eastAsia" w:hAnsi="宋体" w:cs="Times New Roman"/>
          <w:b/>
          <w:bCs/>
          <w:color w:val="auto"/>
          <w:kern w:val="2"/>
          <w:szCs w:val="28"/>
          <w:highlight w:val="none"/>
        </w:rPr>
        <w:t>禁止使用不合格的材料和工程设备</w:t>
      </w:r>
      <w:bookmarkEnd w:id="359"/>
      <w:bookmarkEnd w:id="360"/>
    </w:p>
    <w:p w14:paraId="20B59D17">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8.5.1 </w:t>
      </w:r>
      <w:r>
        <w:rPr>
          <w:rFonts w:hint="eastAsia" w:hAnsi="宋体" w:cs="Times New Roman"/>
          <w:color w:val="auto"/>
          <w:highlight w:val="none"/>
        </w:rPr>
        <w:t>监理人有权拒绝承包人提供的不合格材料或工程设备，并要求承包人立即进行更换。监理人应在更换后再次进行检查和检验，由此增加的费用和（或）延误的工期由承包人承担。</w:t>
      </w:r>
    </w:p>
    <w:p w14:paraId="4A8CE55B">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8.5.2 </w:t>
      </w:r>
      <w:r>
        <w:rPr>
          <w:rFonts w:hint="eastAsia" w:hAnsi="宋体" w:cs="Times New Roman"/>
          <w:color w:val="auto"/>
          <w:highlight w:val="none"/>
        </w:rPr>
        <w:t>监理人发现承包人使用了不合格的材料和工程设备，承包人应按照监理人的指示立即改正，并禁止在工程中继续使用不合格的材料和工程设备。</w:t>
      </w:r>
    </w:p>
    <w:p w14:paraId="0253D982">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8.5.3 </w:t>
      </w:r>
      <w:r>
        <w:rPr>
          <w:rFonts w:hint="eastAsia" w:hAnsi="宋体" w:cs="Times New Roman"/>
          <w:color w:val="auto"/>
          <w:highlight w:val="none"/>
        </w:rPr>
        <w:t>发包人提供的材料或工程设备不符合合同要求的，承包人有权拒绝，并可要求发包人更换，由此增加的费用和（或）延误的工期由发包人承担，并支付承包人合理的利润。</w:t>
      </w:r>
    </w:p>
    <w:p w14:paraId="0D74926A">
      <w:pPr>
        <w:keepNext/>
        <w:keepLines/>
        <w:spacing w:line="360" w:lineRule="auto"/>
        <w:outlineLvl w:val="3"/>
        <w:rPr>
          <w:rFonts w:hAnsi="宋体" w:cs="Times New Roman"/>
          <w:b/>
          <w:bCs/>
          <w:color w:val="auto"/>
          <w:kern w:val="2"/>
          <w:szCs w:val="28"/>
          <w:highlight w:val="none"/>
        </w:rPr>
      </w:pPr>
      <w:bookmarkStart w:id="361" w:name="_Toc532839925"/>
      <w:bookmarkStart w:id="362" w:name="_Toc351203558"/>
      <w:r>
        <w:rPr>
          <w:rFonts w:hAnsi="宋体" w:cs="Times New Roman"/>
          <w:b/>
          <w:bCs/>
          <w:color w:val="auto"/>
          <w:kern w:val="2"/>
          <w:szCs w:val="28"/>
          <w:highlight w:val="none"/>
        </w:rPr>
        <w:t xml:space="preserve">8.6 </w:t>
      </w:r>
      <w:r>
        <w:rPr>
          <w:rFonts w:hint="eastAsia" w:hAnsi="宋体"/>
          <w:b/>
          <w:bCs/>
          <w:color w:val="auto"/>
          <w:kern w:val="2"/>
          <w:szCs w:val="28"/>
          <w:highlight w:val="none"/>
        </w:rPr>
        <w:t>样品</w:t>
      </w:r>
      <w:bookmarkEnd w:id="361"/>
      <w:bookmarkEnd w:id="362"/>
    </w:p>
    <w:p w14:paraId="4C6CB735">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8.6.1</w:t>
      </w:r>
      <w:r>
        <w:rPr>
          <w:rFonts w:hAnsi="宋体" w:cs="Times New Roman"/>
          <w:color w:val="auto"/>
          <w:highlight w:val="none"/>
        </w:rPr>
        <w:tab/>
      </w:r>
      <w:r>
        <w:rPr>
          <w:rFonts w:hint="eastAsia" w:hAnsi="宋体" w:cs="Times New Roman"/>
          <w:color w:val="auto"/>
          <w:highlight w:val="none"/>
        </w:rPr>
        <w:t>样品的报送与封存</w:t>
      </w:r>
    </w:p>
    <w:p w14:paraId="1564550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需要承包人报送样品的材料或工程设备，样品的种类、名称、规格、数量等要求均应在专用合同条款中约定。样品的报送程序如下：</w:t>
      </w:r>
    </w:p>
    <w:p w14:paraId="3A5637E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）承包人应在计划采购前</w:t>
      </w:r>
      <w:r>
        <w:rPr>
          <w:rFonts w:hAnsi="宋体" w:cs="Times New Roman"/>
          <w:color w:val="auto"/>
          <w:highlight w:val="none"/>
        </w:rPr>
        <w:t>28</w:t>
      </w:r>
      <w:r>
        <w:rPr>
          <w:rFonts w:hint="eastAsia" w:hAnsi="宋体" w:cs="Times New Roman"/>
          <w:color w:val="auto"/>
          <w:highlight w:val="none"/>
        </w:rPr>
        <w:t>天向监理人报送样品。承包人报送的样品均应来自供应材料的实际生产地，且提供的样品的规格、数量足以表明材料或工程设备的质量、型号、颜色、表面处理、质地、误差和其他要求的特征。</w:t>
      </w:r>
    </w:p>
    <w:p w14:paraId="7113A99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）承包人每次报送样品时应随附申报单，申报单应载明报送样品的相关数据和资料，并标明每件样品对应的图纸号，预留监理人批复意见栏。监理人应在收到承包人报送的样品后</w:t>
      </w:r>
      <w:r>
        <w:rPr>
          <w:rFonts w:hAnsi="宋体" w:cs="Times New Roman"/>
          <w:color w:val="auto"/>
          <w:highlight w:val="none"/>
        </w:rPr>
        <w:t>7</w:t>
      </w:r>
      <w:r>
        <w:rPr>
          <w:rFonts w:hint="eastAsia" w:hAnsi="宋体" w:cs="Times New Roman"/>
          <w:color w:val="auto"/>
          <w:highlight w:val="none"/>
        </w:rPr>
        <w:t>天向承包人回复经发包人签认的样品审批意见。</w:t>
      </w:r>
    </w:p>
    <w:p w14:paraId="46A7149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）经发包人和监理人审批确认的样品应按约定的方法封样，封存的样品作为检验工程相关部分的标准之一。承包人在施工过程中不得使用与样品不符的材料或工程设备。</w:t>
      </w:r>
    </w:p>
    <w:p w14:paraId="3C14705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3AF534F5">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8.6.2 </w:t>
      </w:r>
      <w:r>
        <w:rPr>
          <w:rFonts w:hint="eastAsia" w:hAnsi="宋体" w:cs="Times New Roman"/>
          <w:color w:val="auto"/>
          <w:highlight w:val="none"/>
        </w:rPr>
        <w:t>样品的保管</w:t>
      </w:r>
    </w:p>
    <w:p w14:paraId="5F94F96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经批准的样品应由监理人负责封存于现场，承包人应在现场为保存样品提供适当和固定的场所并保持适当和良好的存储环境条件。</w:t>
      </w:r>
    </w:p>
    <w:p w14:paraId="28D6963C">
      <w:pPr>
        <w:keepNext/>
        <w:keepLines/>
        <w:spacing w:line="360" w:lineRule="auto"/>
        <w:outlineLvl w:val="3"/>
        <w:rPr>
          <w:rFonts w:hAnsi="宋体" w:cs="Times New Roman"/>
          <w:b/>
          <w:bCs/>
          <w:color w:val="auto"/>
          <w:kern w:val="2"/>
          <w:szCs w:val="28"/>
          <w:highlight w:val="none"/>
        </w:rPr>
      </w:pPr>
      <w:bookmarkStart w:id="363" w:name="_Toc532839926"/>
      <w:bookmarkStart w:id="364" w:name="_Toc351203559"/>
      <w:r>
        <w:rPr>
          <w:rFonts w:hAnsi="宋体" w:cs="Times New Roman"/>
          <w:b/>
          <w:bCs/>
          <w:color w:val="auto"/>
          <w:kern w:val="2"/>
          <w:szCs w:val="28"/>
          <w:highlight w:val="none"/>
        </w:rPr>
        <w:t>8.7</w:t>
      </w:r>
      <w:r>
        <w:rPr>
          <w:rFonts w:hint="eastAsia" w:hAnsi="宋体" w:cs="Times New Roman"/>
          <w:b/>
          <w:bCs/>
          <w:color w:val="auto"/>
          <w:kern w:val="2"/>
          <w:szCs w:val="28"/>
          <w:highlight w:val="none"/>
        </w:rPr>
        <w:t>材料与工程设备的替代</w:t>
      </w:r>
      <w:bookmarkEnd w:id="363"/>
      <w:bookmarkEnd w:id="364"/>
    </w:p>
    <w:p w14:paraId="162F7E41">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8.7.1 </w:t>
      </w:r>
      <w:r>
        <w:rPr>
          <w:rFonts w:hint="eastAsia" w:hAnsi="宋体" w:cs="Times New Roman"/>
          <w:color w:val="auto"/>
          <w:highlight w:val="none"/>
        </w:rPr>
        <w:t>出现下列情况需要使用替代材料和工程设备的，承包人应按照第</w:t>
      </w:r>
      <w:r>
        <w:rPr>
          <w:rFonts w:hAnsi="宋体" w:cs="Times New Roman"/>
          <w:color w:val="auto"/>
          <w:highlight w:val="none"/>
        </w:rPr>
        <w:t>8.7.2</w:t>
      </w:r>
      <w:r>
        <w:rPr>
          <w:rFonts w:hint="eastAsia" w:hAnsi="宋体" w:cs="Times New Roman"/>
          <w:color w:val="auto"/>
          <w:highlight w:val="none"/>
        </w:rPr>
        <w:t>项约定的程序执行：</w:t>
      </w:r>
    </w:p>
    <w:p w14:paraId="35933FFF">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）基准日期后生效的法律规定禁止使用的；</w:t>
      </w:r>
    </w:p>
    <w:p w14:paraId="0843A36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）发包人要求使用替代品的；</w:t>
      </w:r>
    </w:p>
    <w:p w14:paraId="08E3C7E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）因其他原因必须使用替代品的。</w:t>
      </w:r>
    </w:p>
    <w:p w14:paraId="11A437FA">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8.7.2 </w:t>
      </w:r>
      <w:r>
        <w:rPr>
          <w:rFonts w:hint="eastAsia" w:hAnsi="宋体" w:cs="Times New Roman"/>
          <w:color w:val="auto"/>
          <w:highlight w:val="none"/>
        </w:rPr>
        <w:t>承包人应在使用替代材料和工程设备</w:t>
      </w:r>
      <w:r>
        <w:rPr>
          <w:rFonts w:hAnsi="宋体" w:cs="Times New Roman"/>
          <w:color w:val="auto"/>
          <w:highlight w:val="none"/>
        </w:rPr>
        <w:t>28</w:t>
      </w:r>
      <w:r>
        <w:rPr>
          <w:rFonts w:hint="eastAsia" w:hAnsi="宋体" w:cs="Times New Roman"/>
          <w:color w:val="auto"/>
          <w:highlight w:val="none"/>
        </w:rPr>
        <w:t>天前书面通知监理人，并附下列文件：</w:t>
      </w:r>
    </w:p>
    <w:p w14:paraId="23F1541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）被替代的材料和工程设备的名称、数量、规格、型号、品牌、性能、价格及其他相关资料；</w:t>
      </w:r>
    </w:p>
    <w:p w14:paraId="25E32EC9">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）替代品的名称、数量、规格、型号、品牌、性能、价格及其他相关资料；</w:t>
      </w:r>
    </w:p>
    <w:p w14:paraId="47BEC4B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）替代品与被替代产品之间的差异以及使用替代品可能对工程产生的影响；</w:t>
      </w:r>
    </w:p>
    <w:p w14:paraId="5DF6DDFF">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）替代品与被替代产品的价格差异；</w:t>
      </w:r>
    </w:p>
    <w:p w14:paraId="7585AEA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）使用替代品的理由和原因说明；</w:t>
      </w:r>
    </w:p>
    <w:p w14:paraId="24BEF59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6</w:t>
      </w:r>
      <w:r>
        <w:rPr>
          <w:rFonts w:hint="eastAsia" w:hAnsi="宋体" w:cs="Times New Roman"/>
          <w:color w:val="auto"/>
          <w:highlight w:val="none"/>
        </w:rPr>
        <w:t>）监理人要求的其他文件。</w:t>
      </w:r>
    </w:p>
    <w:p w14:paraId="00448EA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监理人应在收到通知后</w:t>
      </w:r>
      <w:r>
        <w:rPr>
          <w:rFonts w:hAnsi="宋体" w:cs="Times New Roman"/>
          <w:color w:val="auto"/>
          <w:highlight w:val="none"/>
        </w:rPr>
        <w:t>14</w:t>
      </w:r>
      <w:r>
        <w:rPr>
          <w:rFonts w:hint="eastAsia" w:hAnsi="宋体" w:cs="Times New Roman"/>
          <w:color w:val="auto"/>
          <w:highlight w:val="none"/>
        </w:rPr>
        <w:t>天内向承包人发出经发包人签认的书面指示；监理人逾期发出书面指示的，视为发包人和监理人同意使用替代品。</w:t>
      </w:r>
    </w:p>
    <w:p w14:paraId="7B351E9F">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8.7.3 </w:t>
      </w:r>
      <w:r>
        <w:rPr>
          <w:rFonts w:hint="eastAsia" w:hAnsi="宋体" w:cs="Times New Roman"/>
          <w:color w:val="auto"/>
          <w:highlight w:val="none"/>
        </w:rPr>
        <w:t>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w:t>
      </w:r>
      <w:r>
        <w:rPr>
          <w:rFonts w:hAnsi="宋体" w:cs="Times New Roman"/>
          <w:color w:val="auto"/>
          <w:highlight w:val="none"/>
        </w:rPr>
        <w:t>4.4</w:t>
      </w:r>
      <w:r>
        <w:rPr>
          <w:rFonts w:hint="eastAsia" w:hAnsi="宋体" w:cs="Times New Roman"/>
          <w:color w:val="auto"/>
          <w:highlight w:val="none"/>
        </w:rPr>
        <w:t>款〔商定或确定〕确定价格。</w:t>
      </w:r>
    </w:p>
    <w:p w14:paraId="79504E5A">
      <w:pPr>
        <w:keepNext/>
        <w:keepLines/>
        <w:spacing w:line="360" w:lineRule="auto"/>
        <w:outlineLvl w:val="3"/>
        <w:rPr>
          <w:rFonts w:hAnsi="宋体" w:cs="Times New Roman"/>
          <w:b/>
          <w:bCs/>
          <w:color w:val="auto"/>
          <w:kern w:val="2"/>
          <w:szCs w:val="28"/>
          <w:highlight w:val="none"/>
        </w:rPr>
      </w:pPr>
      <w:bookmarkStart w:id="365" w:name="_Toc351203560"/>
      <w:bookmarkStart w:id="366" w:name="_Toc532839927"/>
      <w:r>
        <w:rPr>
          <w:rFonts w:hAnsi="宋体" w:cs="Times New Roman"/>
          <w:b/>
          <w:bCs/>
          <w:color w:val="auto"/>
          <w:kern w:val="2"/>
          <w:szCs w:val="28"/>
          <w:highlight w:val="none"/>
        </w:rPr>
        <w:t>8.8</w:t>
      </w:r>
      <w:r>
        <w:rPr>
          <w:rFonts w:hint="eastAsia" w:hAnsi="宋体" w:cs="Times New Roman"/>
          <w:b/>
          <w:bCs/>
          <w:color w:val="auto"/>
          <w:kern w:val="2"/>
          <w:szCs w:val="28"/>
          <w:highlight w:val="none"/>
        </w:rPr>
        <w:t>施工设备和临时设施</w:t>
      </w:r>
      <w:bookmarkEnd w:id="365"/>
      <w:bookmarkEnd w:id="366"/>
    </w:p>
    <w:p w14:paraId="09D7C2F7">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8.8.1 </w:t>
      </w:r>
      <w:r>
        <w:rPr>
          <w:rFonts w:hint="eastAsia" w:hAnsi="宋体" w:cs="Times New Roman"/>
          <w:color w:val="auto"/>
          <w:highlight w:val="none"/>
        </w:rPr>
        <w:t>承包人提供的施工设备和临时设施</w:t>
      </w:r>
    </w:p>
    <w:p w14:paraId="4650E2A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2072040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除专用合同条款另有约定外，承包人应自行承担修建临时设施的费用，需要临时占地的，应由发包人办理申请手续并承担相应费用。</w:t>
      </w:r>
    </w:p>
    <w:p w14:paraId="48609A42">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8.8.2</w:t>
      </w:r>
      <w:r>
        <w:rPr>
          <w:rFonts w:hint="eastAsia" w:hAnsi="宋体" w:cs="Times New Roman"/>
          <w:color w:val="auto"/>
          <w:highlight w:val="none"/>
        </w:rPr>
        <w:t>发包人提供的施工设备和临时设施</w:t>
      </w:r>
    </w:p>
    <w:p w14:paraId="1950AF4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发包人提供的施工设备或临时设施在专用合同条款中约定。</w:t>
      </w:r>
    </w:p>
    <w:p w14:paraId="13CD8123">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8.8.3</w:t>
      </w:r>
      <w:r>
        <w:rPr>
          <w:rFonts w:hint="eastAsia" w:hAnsi="宋体" w:cs="Times New Roman"/>
          <w:color w:val="auto"/>
          <w:highlight w:val="none"/>
        </w:rPr>
        <w:t>要求承包人增加或更换施工设备</w:t>
      </w:r>
    </w:p>
    <w:p w14:paraId="66248F4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0574D345">
      <w:pPr>
        <w:keepNext/>
        <w:keepLines/>
        <w:spacing w:line="360" w:lineRule="auto"/>
        <w:outlineLvl w:val="3"/>
        <w:rPr>
          <w:rFonts w:hAnsi="宋体" w:cs="Times New Roman"/>
          <w:b/>
          <w:bCs/>
          <w:color w:val="auto"/>
          <w:kern w:val="2"/>
          <w:szCs w:val="28"/>
          <w:highlight w:val="none"/>
        </w:rPr>
      </w:pPr>
      <w:bookmarkStart w:id="367" w:name="_Toc351203561"/>
      <w:bookmarkStart w:id="368" w:name="_Toc532839928"/>
      <w:r>
        <w:rPr>
          <w:rFonts w:hAnsi="宋体" w:cs="Times New Roman"/>
          <w:b/>
          <w:bCs/>
          <w:color w:val="auto"/>
          <w:kern w:val="2"/>
          <w:szCs w:val="28"/>
          <w:highlight w:val="none"/>
        </w:rPr>
        <w:t>8</w:t>
      </w:r>
      <w:bookmarkStart w:id="369" w:name="_Toc296503063"/>
      <w:bookmarkStart w:id="370" w:name="_Toc337558781"/>
      <w:bookmarkStart w:id="371" w:name="_Toc296346564"/>
      <w:r>
        <w:rPr>
          <w:rFonts w:hAnsi="宋体" w:cs="Times New Roman"/>
          <w:b/>
          <w:bCs/>
          <w:color w:val="auto"/>
          <w:kern w:val="2"/>
          <w:szCs w:val="28"/>
          <w:highlight w:val="none"/>
        </w:rPr>
        <w:t>.9</w:t>
      </w:r>
      <w:r>
        <w:rPr>
          <w:rFonts w:hint="eastAsia" w:hAnsi="宋体" w:cs="Times New Roman"/>
          <w:b/>
          <w:bCs/>
          <w:color w:val="auto"/>
          <w:kern w:val="2"/>
          <w:szCs w:val="28"/>
          <w:highlight w:val="none"/>
        </w:rPr>
        <w:t>材料与设备专用</w:t>
      </w:r>
      <w:bookmarkEnd w:id="367"/>
      <w:r>
        <w:rPr>
          <w:rFonts w:hint="eastAsia" w:hAnsi="宋体" w:cs="Times New Roman"/>
          <w:b/>
          <w:bCs/>
          <w:color w:val="auto"/>
          <w:kern w:val="2"/>
          <w:szCs w:val="28"/>
          <w:highlight w:val="none"/>
        </w:rPr>
        <w:t>要求</w:t>
      </w:r>
      <w:bookmarkEnd w:id="368"/>
    </w:p>
    <w:bookmarkEnd w:id="369"/>
    <w:bookmarkEnd w:id="370"/>
    <w:bookmarkEnd w:id="371"/>
    <w:p w14:paraId="3BCFB893">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342"/>
      <w:r>
        <w:rPr>
          <w:rFonts w:hint="eastAsia" w:hAnsi="宋体" w:cs="Times New Roman"/>
          <w:color w:val="auto"/>
          <w:highlight w:val="none"/>
        </w:rPr>
        <w:t>经发包人批准，承包人可以根据施工进度计划撤走闲置的施工设备和其他物品。</w:t>
      </w:r>
    </w:p>
    <w:p w14:paraId="18722C9E">
      <w:pPr>
        <w:keepNext/>
        <w:keepLines/>
        <w:spacing w:line="360" w:lineRule="auto"/>
        <w:outlineLvl w:val="2"/>
        <w:rPr>
          <w:rFonts w:hAnsi="宋体" w:cs="Times New Roman"/>
          <w:b/>
          <w:bCs/>
          <w:color w:val="auto"/>
          <w:kern w:val="2"/>
          <w:szCs w:val="32"/>
          <w:highlight w:val="none"/>
        </w:rPr>
      </w:pPr>
      <w:bookmarkStart w:id="372" w:name="_Toc512691380"/>
      <w:bookmarkStart w:id="373" w:name="_Toc527130426"/>
      <w:bookmarkStart w:id="374" w:name="_Toc351203562"/>
      <w:bookmarkStart w:id="375" w:name="_Toc532839929"/>
      <w:r>
        <w:rPr>
          <w:rFonts w:hAnsi="宋体" w:cs="Times New Roman"/>
          <w:b/>
          <w:bCs/>
          <w:color w:val="auto"/>
          <w:kern w:val="2"/>
          <w:szCs w:val="32"/>
          <w:highlight w:val="none"/>
        </w:rPr>
        <w:t>9</w:t>
      </w:r>
      <w:bookmarkStart w:id="376" w:name="_Toc337558782"/>
      <w:bookmarkStart w:id="377" w:name="_Toc296346584"/>
      <w:bookmarkStart w:id="378" w:name="_Toc296503083"/>
      <w:r>
        <w:rPr>
          <w:rFonts w:hAnsi="宋体" w:cs="Times New Roman"/>
          <w:b/>
          <w:bCs/>
          <w:color w:val="auto"/>
          <w:kern w:val="2"/>
          <w:szCs w:val="32"/>
          <w:highlight w:val="none"/>
        </w:rPr>
        <w:t xml:space="preserve">. </w:t>
      </w:r>
      <w:r>
        <w:rPr>
          <w:rFonts w:hint="eastAsia" w:hAnsi="宋体" w:cs="Times New Roman"/>
          <w:b/>
          <w:bCs/>
          <w:color w:val="auto"/>
          <w:kern w:val="2"/>
          <w:szCs w:val="32"/>
          <w:highlight w:val="none"/>
        </w:rPr>
        <w:t>试验与检验</w:t>
      </w:r>
      <w:bookmarkEnd w:id="372"/>
      <w:bookmarkEnd w:id="373"/>
      <w:bookmarkEnd w:id="374"/>
      <w:bookmarkEnd w:id="375"/>
    </w:p>
    <w:bookmarkEnd w:id="376"/>
    <w:p w14:paraId="4DCEBA7C">
      <w:pPr>
        <w:keepNext/>
        <w:keepLines/>
        <w:spacing w:line="360" w:lineRule="auto"/>
        <w:outlineLvl w:val="3"/>
        <w:rPr>
          <w:rFonts w:hAnsi="宋体" w:cs="Times New Roman"/>
          <w:b/>
          <w:bCs/>
          <w:color w:val="auto"/>
          <w:kern w:val="2"/>
          <w:szCs w:val="28"/>
          <w:highlight w:val="none"/>
        </w:rPr>
      </w:pPr>
      <w:bookmarkStart w:id="379" w:name="_Toc351203563"/>
      <w:bookmarkStart w:id="380" w:name="_Toc532839930"/>
      <w:r>
        <w:rPr>
          <w:rFonts w:hAnsi="宋体" w:cs="Times New Roman"/>
          <w:b/>
          <w:bCs/>
          <w:color w:val="auto"/>
          <w:kern w:val="2"/>
          <w:szCs w:val="28"/>
          <w:highlight w:val="none"/>
        </w:rPr>
        <w:t>9</w:t>
      </w:r>
      <w:bookmarkStart w:id="381" w:name="_Toc337558783"/>
      <w:r>
        <w:rPr>
          <w:rFonts w:hAnsi="宋体" w:cs="Times New Roman"/>
          <w:b/>
          <w:bCs/>
          <w:color w:val="auto"/>
          <w:kern w:val="2"/>
          <w:szCs w:val="28"/>
          <w:highlight w:val="none"/>
        </w:rPr>
        <w:t>.1</w:t>
      </w:r>
      <w:r>
        <w:rPr>
          <w:rFonts w:hint="eastAsia" w:hAnsi="宋体" w:cs="Times New Roman"/>
          <w:b/>
          <w:bCs/>
          <w:color w:val="auto"/>
          <w:kern w:val="2"/>
          <w:szCs w:val="28"/>
          <w:highlight w:val="none"/>
        </w:rPr>
        <w:t>试验设备与试验人员</w:t>
      </w:r>
      <w:bookmarkEnd w:id="379"/>
      <w:bookmarkEnd w:id="380"/>
    </w:p>
    <w:bookmarkEnd w:id="381"/>
    <w:p w14:paraId="0095BA49">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9.1.1 </w:t>
      </w:r>
      <w:r>
        <w:rPr>
          <w:rFonts w:hint="eastAsia" w:hAnsi="宋体" w:cs="Times New Roman"/>
          <w:color w:val="auto"/>
          <w:highlight w:val="none"/>
        </w:rPr>
        <w:t>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2B1BF743">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9.1.2 </w:t>
      </w:r>
      <w:r>
        <w:rPr>
          <w:rFonts w:hint="eastAsia" w:hAnsi="宋体" w:cs="Times New Roman"/>
          <w:color w:val="auto"/>
          <w:highlight w:val="none"/>
        </w:rPr>
        <w:t>承包人应按专用合同条款的约定提供试验设备、取样装置、试验场所和试验条件，并向监理人提交相应进场计划表。</w:t>
      </w:r>
    </w:p>
    <w:p w14:paraId="5D645E84">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承包人配置的试验设备要符合相应试验规程的要求并经过具有资质的检测单位检测，且在正式使用该试验设备前，需要经过监理人与承包人共同校定。</w:t>
      </w:r>
    </w:p>
    <w:p w14:paraId="5E775EFB">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9.1.3 </w:t>
      </w:r>
      <w:r>
        <w:rPr>
          <w:rFonts w:hint="eastAsia" w:hAnsi="宋体" w:cs="Times New Roman"/>
          <w:color w:val="auto"/>
          <w:highlight w:val="none"/>
        </w:rPr>
        <w:t>承包人应向监理人提交试验人员的名单及其岗位、资格等证明资料，试验人员必须能够熟练进行相应的检测试验，承包人对试验人员的试验程序和试验结果的正确性负责。</w:t>
      </w:r>
    </w:p>
    <w:p w14:paraId="38FB2DE8">
      <w:pPr>
        <w:keepNext/>
        <w:keepLines/>
        <w:spacing w:line="360" w:lineRule="auto"/>
        <w:outlineLvl w:val="3"/>
        <w:rPr>
          <w:rFonts w:hAnsi="宋体" w:cs="Times New Roman"/>
          <w:b/>
          <w:bCs/>
          <w:color w:val="auto"/>
          <w:kern w:val="2"/>
          <w:szCs w:val="28"/>
          <w:highlight w:val="none"/>
        </w:rPr>
      </w:pPr>
      <w:bookmarkStart w:id="382" w:name="_Toc532839931"/>
      <w:bookmarkStart w:id="383" w:name="_Toc351203564"/>
      <w:r>
        <w:rPr>
          <w:rFonts w:hAnsi="宋体" w:cs="Times New Roman"/>
          <w:b/>
          <w:bCs/>
          <w:color w:val="auto"/>
          <w:kern w:val="2"/>
          <w:szCs w:val="28"/>
          <w:highlight w:val="none"/>
        </w:rPr>
        <w:t>9</w:t>
      </w:r>
      <w:bookmarkStart w:id="384" w:name="_Toc337558784"/>
      <w:r>
        <w:rPr>
          <w:rFonts w:hAnsi="宋体" w:cs="Times New Roman"/>
          <w:b/>
          <w:bCs/>
          <w:color w:val="auto"/>
          <w:kern w:val="2"/>
          <w:szCs w:val="28"/>
          <w:highlight w:val="none"/>
        </w:rPr>
        <w:t>.2</w:t>
      </w:r>
      <w:r>
        <w:rPr>
          <w:rFonts w:hint="eastAsia" w:hAnsi="宋体"/>
          <w:b/>
          <w:bCs/>
          <w:color w:val="auto"/>
          <w:kern w:val="2"/>
          <w:szCs w:val="28"/>
          <w:highlight w:val="none"/>
        </w:rPr>
        <w:t>取样</w:t>
      </w:r>
      <w:bookmarkEnd w:id="382"/>
      <w:bookmarkEnd w:id="383"/>
    </w:p>
    <w:bookmarkEnd w:id="384"/>
    <w:p w14:paraId="15D2777E">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试验属于自检性质的，承包人可以单独取样。试验属于监理人抽检性质的，可由监理人取样，也可由承包人的试验人员在监理人的监督下取样。</w:t>
      </w:r>
    </w:p>
    <w:p w14:paraId="14D24012">
      <w:pPr>
        <w:keepNext/>
        <w:keepLines/>
        <w:spacing w:line="360" w:lineRule="auto"/>
        <w:outlineLvl w:val="3"/>
        <w:rPr>
          <w:rFonts w:hAnsi="宋体" w:cs="Times New Roman"/>
          <w:b/>
          <w:bCs/>
          <w:color w:val="auto"/>
          <w:kern w:val="2"/>
          <w:szCs w:val="28"/>
          <w:highlight w:val="none"/>
        </w:rPr>
      </w:pPr>
      <w:bookmarkStart w:id="385" w:name="_Toc532839932"/>
      <w:bookmarkStart w:id="386" w:name="_Toc351203565"/>
      <w:r>
        <w:rPr>
          <w:rFonts w:hAnsi="宋体" w:cs="Times New Roman"/>
          <w:b/>
          <w:bCs/>
          <w:color w:val="auto"/>
          <w:kern w:val="2"/>
          <w:szCs w:val="28"/>
          <w:highlight w:val="none"/>
        </w:rPr>
        <w:t>9</w:t>
      </w:r>
      <w:bookmarkStart w:id="387" w:name="_Toc337558785"/>
      <w:r>
        <w:rPr>
          <w:rFonts w:hAnsi="宋体" w:cs="Times New Roman"/>
          <w:b/>
          <w:bCs/>
          <w:color w:val="auto"/>
          <w:kern w:val="2"/>
          <w:szCs w:val="28"/>
          <w:highlight w:val="none"/>
        </w:rPr>
        <w:t>.3</w:t>
      </w:r>
      <w:r>
        <w:rPr>
          <w:rFonts w:hint="eastAsia" w:hAnsi="宋体" w:cs="Times New Roman"/>
          <w:b/>
          <w:bCs/>
          <w:color w:val="auto"/>
          <w:kern w:val="2"/>
          <w:szCs w:val="28"/>
          <w:highlight w:val="none"/>
        </w:rPr>
        <w:t>材料、工程设备和工程的试验和检验</w:t>
      </w:r>
      <w:bookmarkEnd w:id="385"/>
      <w:bookmarkEnd w:id="386"/>
    </w:p>
    <w:bookmarkEnd w:id="387"/>
    <w:p w14:paraId="3664A23F">
      <w:pPr>
        <w:spacing w:line="360" w:lineRule="auto"/>
        <w:ind w:firstLine="420" w:firstLineChars="200"/>
        <w:jc w:val="left"/>
        <w:rPr>
          <w:rFonts w:hAnsi="宋体" w:cs="Times New Roman"/>
          <w:color w:val="auto"/>
          <w:highlight w:val="none"/>
        </w:rPr>
      </w:pPr>
      <w:r>
        <w:rPr>
          <w:rFonts w:hAnsi="宋体" w:cs="Times New Roman"/>
          <w:color w:val="auto"/>
          <w:highlight w:val="none"/>
        </w:rPr>
        <w:t>9.3.1</w:t>
      </w:r>
      <w:r>
        <w:rPr>
          <w:rFonts w:hint="eastAsia" w:hAnsi="宋体" w:cs="Times New Roman"/>
          <w:color w:val="auto"/>
          <w:highlight w:val="none"/>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C01BFF9">
      <w:pPr>
        <w:spacing w:line="360" w:lineRule="auto"/>
        <w:ind w:firstLine="420" w:firstLineChars="200"/>
        <w:jc w:val="left"/>
        <w:rPr>
          <w:rFonts w:hAnsi="宋体" w:cs="Times New Roman"/>
          <w:color w:val="auto"/>
          <w:highlight w:val="none"/>
        </w:rPr>
      </w:pPr>
      <w:r>
        <w:rPr>
          <w:rFonts w:hAnsi="宋体" w:cs="Times New Roman"/>
          <w:color w:val="auto"/>
          <w:highlight w:val="none"/>
        </w:rPr>
        <w:t>9.3.2</w:t>
      </w:r>
      <w:r>
        <w:rPr>
          <w:rFonts w:hint="eastAsia" w:hAnsi="宋体" w:cs="Times New Roman"/>
          <w:color w:val="auto"/>
          <w:highlight w:val="none"/>
        </w:rPr>
        <w:t>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B0EB7A8">
      <w:pPr>
        <w:spacing w:line="360" w:lineRule="auto"/>
        <w:ind w:firstLine="420" w:firstLineChars="200"/>
        <w:jc w:val="left"/>
        <w:rPr>
          <w:rFonts w:hAnsi="宋体" w:cs="Times New Roman"/>
          <w:color w:val="auto"/>
          <w:highlight w:val="none"/>
        </w:rPr>
      </w:pPr>
      <w:r>
        <w:rPr>
          <w:rFonts w:hAnsi="宋体" w:cs="Times New Roman"/>
          <w:color w:val="auto"/>
          <w:highlight w:val="none"/>
        </w:rPr>
        <w:t>9.3.3</w:t>
      </w:r>
      <w:r>
        <w:rPr>
          <w:rFonts w:hint="eastAsia" w:hAnsi="宋体" w:cs="Times New Roman"/>
          <w:color w:val="auto"/>
          <w:highlight w:val="none"/>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333BA989">
      <w:pPr>
        <w:keepNext/>
        <w:keepLines/>
        <w:spacing w:line="360" w:lineRule="auto"/>
        <w:outlineLvl w:val="3"/>
        <w:rPr>
          <w:rFonts w:hAnsi="宋体" w:cs="Times New Roman"/>
          <w:b/>
          <w:bCs/>
          <w:color w:val="auto"/>
          <w:kern w:val="2"/>
          <w:szCs w:val="28"/>
          <w:highlight w:val="none"/>
        </w:rPr>
      </w:pPr>
      <w:bookmarkStart w:id="388" w:name="_Toc351203566"/>
      <w:bookmarkStart w:id="389" w:name="_Toc532839933"/>
      <w:r>
        <w:rPr>
          <w:rFonts w:hAnsi="宋体" w:cs="Times New Roman"/>
          <w:b/>
          <w:bCs/>
          <w:color w:val="auto"/>
          <w:kern w:val="2"/>
          <w:szCs w:val="28"/>
          <w:highlight w:val="none"/>
        </w:rPr>
        <w:t>9</w:t>
      </w:r>
      <w:bookmarkStart w:id="390" w:name="_Toc337558786"/>
      <w:r>
        <w:rPr>
          <w:rFonts w:hAnsi="宋体" w:cs="Times New Roman"/>
          <w:b/>
          <w:bCs/>
          <w:color w:val="auto"/>
          <w:kern w:val="2"/>
          <w:szCs w:val="28"/>
          <w:highlight w:val="none"/>
        </w:rPr>
        <w:t>.4</w:t>
      </w:r>
      <w:r>
        <w:rPr>
          <w:rFonts w:hint="eastAsia" w:hAnsi="宋体" w:cs="Times New Roman"/>
          <w:b/>
          <w:bCs/>
          <w:color w:val="auto"/>
          <w:kern w:val="2"/>
          <w:szCs w:val="28"/>
          <w:highlight w:val="none"/>
        </w:rPr>
        <w:t>现场工艺试验</w:t>
      </w:r>
      <w:bookmarkEnd w:id="388"/>
      <w:bookmarkEnd w:id="389"/>
    </w:p>
    <w:bookmarkEnd w:id="390"/>
    <w:p w14:paraId="3D647B9B">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承包人应按合同约定或监理人指示进行现场工艺试验。对大型的现场工艺试验，监理人认为必要时，承包人应根据监理人提出的工艺试验要求，编制工艺试验措施计划，报送监理人审查。</w:t>
      </w:r>
    </w:p>
    <w:p w14:paraId="62FA9B8E">
      <w:pPr>
        <w:keepNext/>
        <w:keepLines/>
        <w:spacing w:line="360" w:lineRule="auto"/>
        <w:outlineLvl w:val="2"/>
        <w:rPr>
          <w:rFonts w:hAnsi="宋体" w:cs="Times New Roman"/>
          <w:b/>
          <w:bCs/>
          <w:color w:val="auto"/>
          <w:kern w:val="2"/>
          <w:szCs w:val="32"/>
          <w:highlight w:val="none"/>
        </w:rPr>
      </w:pPr>
      <w:bookmarkStart w:id="391" w:name="_Toc351203567"/>
      <w:bookmarkStart w:id="392" w:name="_Toc512691381"/>
      <w:bookmarkStart w:id="393" w:name="_Toc532839934"/>
      <w:bookmarkStart w:id="394" w:name="_Toc527130427"/>
      <w:r>
        <w:rPr>
          <w:rFonts w:hAnsi="宋体" w:cs="Times New Roman"/>
          <w:b/>
          <w:bCs/>
          <w:color w:val="auto"/>
          <w:kern w:val="2"/>
          <w:szCs w:val="32"/>
          <w:highlight w:val="none"/>
        </w:rPr>
        <w:t>1</w:t>
      </w:r>
      <w:bookmarkStart w:id="395" w:name="_Toc337558787"/>
      <w:r>
        <w:rPr>
          <w:rFonts w:hAnsi="宋体" w:cs="Times New Roman"/>
          <w:b/>
          <w:bCs/>
          <w:color w:val="auto"/>
          <w:kern w:val="2"/>
          <w:szCs w:val="32"/>
          <w:highlight w:val="none"/>
        </w:rPr>
        <w:t xml:space="preserve">0. </w:t>
      </w:r>
      <w:r>
        <w:rPr>
          <w:rFonts w:hint="eastAsia" w:hAnsi="宋体"/>
          <w:b/>
          <w:bCs/>
          <w:color w:val="auto"/>
          <w:kern w:val="2"/>
          <w:szCs w:val="32"/>
          <w:highlight w:val="none"/>
        </w:rPr>
        <w:t>变更</w:t>
      </w:r>
      <w:bookmarkEnd w:id="377"/>
      <w:bookmarkEnd w:id="378"/>
      <w:bookmarkEnd w:id="391"/>
      <w:bookmarkEnd w:id="392"/>
      <w:bookmarkEnd w:id="393"/>
      <w:bookmarkEnd w:id="394"/>
    </w:p>
    <w:bookmarkEnd w:id="395"/>
    <w:p w14:paraId="7A99B198">
      <w:pPr>
        <w:keepNext/>
        <w:keepLines/>
        <w:spacing w:line="360" w:lineRule="auto"/>
        <w:outlineLvl w:val="3"/>
        <w:rPr>
          <w:rFonts w:hAnsi="宋体" w:cs="Times New Roman"/>
          <w:b/>
          <w:bCs/>
          <w:color w:val="auto"/>
          <w:kern w:val="2"/>
          <w:szCs w:val="28"/>
          <w:highlight w:val="none"/>
        </w:rPr>
      </w:pPr>
      <w:bookmarkStart w:id="396" w:name="_Toc532839935"/>
      <w:bookmarkStart w:id="397" w:name="_Toc351203568"/>
      <w:r>
        <w:rPr>
          <w:rFonts w:hAnsi="宋体" w:cs="Times New Roman"/>
          <w:b/>
          <w:bCs/>
          <w:color w:val="auto"/>
          <w:kern w:val="2"/>
          <w:szCs w:val="28"/>
          <w:highlight w:val="none"/>
        </w:rPr>
        <w:t>1</w:t>
      </w:r>
      <w:bookmarkStart w:id="398" w:name="_Toc296503084"/>
      <w:bookmarkStart w:id="399" w:name="_Toc337558788"/>
      <w:bookmarkStart w:id="400" w:name="_Toc296346585"/>
      <w:r>
        <w:rPr>
          <w:rFonts w:hAnsi="宋体" w:cs="Times New Roman"/>
          <w:b/>
          <w:bCs/>
          <w:color w:val="auto"/>
          <w:kern w:val="2"/>
          <w:szCs w:val="28"/>
          <w:highlight w:val="none"/>
        </w:rPr>
        <w:t>0.1</w:t>
      </w:r>
      <w:r>
        <w:rPr>
          <w:rFonts w:hint="eastAsia" w:hAnsi="宋体"/>
          <w:b/>
          <w:bCs/>
          <w:color w:val="auto"/>
          <w:kern w:val="2"/>
          <w:szCs w:val="28"/>
          <w:highlight w:val="none"/>
        </w:rPr>
        <w:t>变更的范围</w:t>
      </w:r>
      <w:bookmarkEnd w:id="396"/>
      <w:bookmarkEnd w:id="397"/>
    </w:p>
    <w:bookmarkEnd w:id="398"/>
    <w:bookmarkEnd w:id="399"/>
    <w:bookmarkEnd w:id="400"/>
    <w:p w14:paraId="2C6C69B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除专用合同条款另有约定外，合同履行过程中发生以下情形的，应按照本条约定进行变更：</w:t>
      </w:r>
    </w:p>
    <w:p w14:paraId="34D7D53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）增加或减少合同中任何工作，或追加额外的工作；</w:t>
      </w:r>
    </w:p>
    <w:p w14:paraId="2D3FF3D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）取消合同中任何工作，但转由他人实施的工作除外；</w:t>
      </w:r>
    </w:p>
    <w:p w14:paraId="56B73E8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）改变合同中任何工作的质量标准或其他特性；</w:t>
      </w:r>
    </w:p>
    <w:p w14:paraId="4CD8615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）改变工程的基线、标高、位置和尺寸；</w:t>
      </w:r>
    </w:p>
    <w:p w14:paraId="5893434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）改变工程的时间安排或实施顺序。</w:t>
      </w:r>
    </w:p>
    <w:p w14:paraId="7756C893">
      <w:pPr>
        <w:keepNext/>
        <w:keepLines/>
        <w:spacing w:line="360" w:lineRule="auto"/>
        <w:outlineLvl w:val="3"/>
        <w:rPr>
          <w:rFonts w:hAnsi="宋体" w:cs="Times New Roman"/>
          <w:b/>
          <w:bCs/>
          <w:color w:val="auto"/>
          <w:kern w:val="2"/>
          <w:szCs w:val="28"/>
          <w:highlight w:val="none"/>
        </w:rPr>
      </w:pPr>
      <w:bookmarkStart w:id="401" w:name="_Toc532839936"/>
      <w:bookmarkStart w:id="402" w:name="_Toc351203569"/>
      <w:r>
        <w:rPr>
          <w:rFonts w:hAnsi="宋体" w:cs="Times New Roman"/>
          <w:b/>
          <w:bCs/>
          <w:color w:val="auto"/>
          <w:kern w:val="2"/>
          <w:szCs w:val="28"/>
          <w:highlight w:val="none"/>
        </w:rPr>
        <w:t>1</w:t>
      </w:r>
      <w:bookmarkStart w:id="403" w:name="_Toc296346586"/>
      <w:bookmarkStart w:id="404" w:name="_Toc296503085"/>
      <w:bookmarkStart w:id="405" w:name="_Toc337558789"/>
      <w:r>
        <w:rPr>
          <w:rFonts w:hAnsi="宋体" w:cs="Times New Roman"/>
          <w:b/>
          <w:bCs/>
          <w:color w:val="auto"/>
          <w:kern w:val="2"/>
          <w:szCs w:val="28"/>
          <w:highlight w:val="none"/>
        </w:rPr>
        <w:t>0.2</w:t>
      </w:r>
      <w:r>
        <w:rPr>
          <w:rFonts w:hint="eastAsia" w:hAnsi="宋体"/>
          <w:b/>
          <w:bCs/>
          <w:color w:val="auto"/>
          <w:kern w:val="2"/>
          <w:szCs w:val="28"/>
          <w:highlight w:val="none"/>
        </w:rPr>
        <w:t>变更权</w:t>
      </w:r>
      <w:bookmarkEnd w:id="401"/>
      <w:bookmarkEnd w:id="402"/>
    </w:p>
    <w:bookmarkEnd w:id="403"/>
    <w:bookmarkEnd w:id="404"/>
    <w:bookmarkEnd w:id="405"/>
    <w:p w14:paraId="5423174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2BE54BF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涉及设计变更的，应由设计人提供变更后的图纸和说明。如变更超过原设计标准或批准的建设规模时，发包人应及时办理规划、设计变更等审批手续。</w:t>
      </w:r>
    </w:p>
    <w:p w14:paraId="5DE73E65">
      <w:pPr>
        <w:keepNext/>
        <w:keepLines/>
        <w:spacing w:line="360" w:lineRule="auto"/>
        <w:outlineLvl w:val="3"/>
        <w:rPr>
          <w:rFonts w:hAnsi="宋体" w:cs="Times New Roman"/>
          <w:b/>
          <w:bCs/>
          <w:color w:val="auto"/>
          <w:kern w:val="2"/>
          <w:szCs w:val="28"/>
          <w:highlight w:val="none"/>
        </w:rPr>
      </w:pPr>
      <w:bookmarkStart w:id="406" w:name="_Toc351203570"/>
      <w:bookmarkStart w:id="407" w:name="_Toc532839937"/>
      <w:r>
        <w:rPr>
          <w:rFonts w:hAnsi="宋体" w:cs="Times New Roman"/>
          <w:b/>
          <w:bCs/>
          <w:color w:val="auto"/>
          <w:kern w:val="2"/>
          <w:szCs w:val="28"/>
          <w:highlight w:val="none"/>
        </w:rPr>
        <w:t>1</w:t>
      </w:r>
      <w:bookmarkStart w:id="408" w:name="_Toc296503086"/>
      <w:bookmarkStart w:id="409" w:name="_Toc296346587"/>
      <w:bookmarkStart w:id="410" w:name="_Toc337558790"/>
      <w:r>
        <w:rPr>
          <w:rFonts w:hAnsi="宋体" w:cs="Times New Roman"/>
          <w:b/>
          <w:bCs/>
          <w:color w:val="auto"/>
          <w:kern w:val="2"/>
          <w:szCs w:val="28"/>
          <w:highlight w:val="none"/>
        </w:rPr>
        <w:t>0.3</w:t>
      </w:r>
      <w:r>
        <w:rPr>
          <w:rFonts w:hint="eastAsia" w:hAnsi="宋体"/>
          <w:b/>
          <w:bCs/>
          <w:color w:val="auto"/>
          <w:kern w:val="2"/>
          <w:szCs w:val="28"/>
          <w:highlight w:val="none"/>
        </w:rPr>
        <w:t>变更程序</w:t>
      </w:r>
      <w:bookmarkEnd w:id="406"/>
      <w:bookmarkEnd w:id="407"/>
    </w:p>
    <w:bookmarkEnd w:id="408"/>
    <w:bookmarkEnd w:id="409"/>
    <w:bookmarkEnd w:id="410"/>
    <w:p w14:paraId="5F6E84E9">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kern w:val="2"/>
          <w:highlight w:val="none"/>
        </w:rPr>
        <w:t>10</w:t>
      </w:r>
      <w:r>
        <w:rPr>
          <w:rFonts w:hAnsi="宋体" w:cs="Times New Roman"/>
          <w:color w:val="auto"/>
          <w:highlight w:val="none"/>
        </w:rPr>
        <w:t xml:space="preserve">.3.1 </w:t>
      </w:r>
      <w:r>
        <w:rPr>
          <w:rFonts w:hint="eastAsia" w:hAnsi="宋体" w:cs="Times New Roman"/>
          <w:color w:val="auto"/>
          <w:highlight w:val="none"/>
        </w:rPr>
        <w:t>发包人提出变更</w:t>
      </w:r>
    </w:p>
    <w:p w14:paraId="61C08AF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发包人提出变更的，应通过监理人向承包人发出变更指示，变更指示应说明计划变更的工程范围和变更的内容。</w:t>
      </w:r>
    </w:p>
    <w:p w14:paraId="66CB48CD">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kern w:val="2"/>
          <w:highlight w:val="none"/>
        </w:rPr>
        <w:t>10</w:t>
      </w:r>
      <w:r>
        <w:rPr>
          <w:rFonts w:hAnsi="宋体" w:cs="Times New Roman"/>
          <w:color w:val="auto"/>
          <w:highlight w:val="none"/>
        </w:rPr>
        <w:t xml:space="preserve">.3.2 </w:t>
      </w:r>
      <w:r>
        <w:rPr>
          <w:rFonts w:hint="eastAsia" w:hAnsi="宋体" w:cs="Times New Roman"/>
          <w:color w:val="auto"/>
          <w:highlight w:val="none"/>
        </w:rPr>
        <w:t>监理人提出变更建议</w:t>
      </w:r>
    </w:p>
    <w:p w14:paraId="00684AF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3F1ED22F">
      <w:pPr>
        <w:autoSpaceDE w:val="0"/>
        <w:autoSpaceDN w:val="0"/>
        <w:adjustRightInd w:val="0"/>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10.3.3 </w:t>
      </w:r>
      <w:r>
        <w:rPr>
          <w:rFonts w:hint="eastAsia" w:hAnsi="宋体" w:cs="Times New Roman"/>
          <w:color w:val="auto"/>
          <w:kern w:val="2"/>
          <w:highlight w:val="none"/>
        </w:rPr>
        <w:t>变更执行</w:t>
      </w:r>
    </w:p>
    <w:p w14:paraId="1CAE552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w:t>
      </w:r>
      <w:r>
        <w:rPr>
          <w:rFonts w:hAnsi="宋体" w:cs="Times New Roman"/>
          <w:color w:val="auto"/>
          <w:highlight w:val="none"/>
        </w:rPr>
        <w:t>10.4</w:t>
      </w:r>
      <w:r>
        <w:rPr>
          <w:rFonts w:hint="eastAsia" w:hAnsi="宋体" w:cs="Times New Roman"/>
          <w:color w:val="auto"/>
          <w:highlight w:val="none"/>
        </w:rPr>
        <w:t>款〔变更估价〕约定确定变更估价。</w:t>
      </w:r>
    </w:p>
    <w:p w14:paraId="7A4B2BA8">
      <w:pPr>
        <w:keepNext/>
        <w:keepLines/>
        <w:spacing w:line="360" w:lineRule="auto"/>
        <w:outlineLvl w:val="3"/>
        <w:rPr>
          <w:rFonts w:hAnsi="宋体" w:cs="Times New Roman"/>
          <w:b/>
          <w:bCs/>
          <w:color w:val="auto"/>
          <w:kern w:val="2"/>
          <w:szCs w:val="28"/>
          <w:highlight w:val="none"/>
        </w:rPr>
      </w:pPr>
      <w:bookmarkStart w:id="411" w:name="_Toc532839938"/>
      <w:bookmarkStart w:id="412" w:name="_Toc351203571"/>
      <w:r>
        <w:rPr>
          <w:rFonts w:hAnsi="宋体" w:cs="Times New Roman"/>
          <w:b/>
          <w:bCs/>
          <w:color w:val="auto"/>
          <w:kern w:val="2"/>
          <w:szCs w:val="28"/>
          <w:highlight w:val="none"/>
        </w:rPr>
        <w:t>1</w:t>
      </w:r>
      <w:bookmarkStart w:id="413" w:name="_Toc337558791"/>
      <w:bookmarkStart w:id="414" w:name="_Toc296503087"/>
      <w:bookmarkStart w:id="415" w:name="_Toc296346588"/>
      <w:r>
        <w:rPr>
          <w:rFonts w:hAnsi="宋体" w:cs="Times New Roman"/>
          <w:b/>
          <w:bCs/>
          <w:color w:val="auto"/>
          <w:kern w:val="2"/>
          <w:szCs w:val="28"/>
          <w:highlight w:val="none"/>
        </w:rPr>
        <w:t>0.4</w:t>
      </w:r>
      <w:r>
        <w:rPr>
          <w:rFonts w:hint="eastAsia" w:hAnsi="宋体"/>
          <w:b/>
          <w:bCs/>
          <w:color w:val="auto"/>
          <w:kern w:val="2"/>
          <w:szCs w:val="28"/>
          <w:highlight w:val="none"/>
        </w:rPr>
        <w:t>变更估价</w:t>
      </w:r>
      <w:bookmarkEnd w:id="411"/>
      <w:bookmarkEnd w:id="412"/>
    </w:p>
    <w:bookmarkEnd w:id="413"/>
    <w:bookmarkEnd w:id="414"/>
    <w:bookmarkEnd w:id="415"/>
    <w:p w14:paraId="30C3D0F7">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10.4.1 </w:t>
      </w:r>
      <w:r>
        <w:rPr>
          <w:rFonts w:hint="eastAsia" w:hAnsi="宋体" w:cs="Times New Roman"/>
          <w:color w:val="auto"/>
          <w:highlight w:val="none"/>
        </w:rPr>
        <w:t>变更估价原则</w:t>
      </w:r>
    </w:p>
    <w:p w14:paraId="0D15E5B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除专用合同条款另有约定外，变更估价按照本款约定处理：</w:t>
      </w:r>
    </w:p>
    <w:p w14:paraId="03D7C2A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）已标价工程量清单或预算书有相同项目的，按照相同项目单价认定；</w:t>
      </w:r>
    </w:p>
    <w:p w14:paraId="174D670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）已标价工程量清单或预算书中无相同项目，但有类似项目的，参照类似项目的单价认定；</w:t>
      </w:r>
    </w:p>
    <w:p w14:paraId="590E6E19">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）变更导致实际完成的变更工程量与已标价工程量清单或预算书中列明的该项目工程量的变化幅度超过</w:t>
      </w:r>
      <w:r>
        <w:rPr>
          <w:rFonts w:hAnsi="宋体" w:cs="Times New Roman"/>
          <w:color w:val="auto"/>
          <w:highlight w:val="none"/>
        </w:rPr>
        <w:t>15%</w:t>
      </w:r>
      <w:r>
        <w:rPr>
          <w:rFonts w:hint="eastAsia" w:hAnsi="宋体" w:cs="Times New Roman"/>
          <w:color w:val="auto"/>
          <w:highlight w:val="none"/>
        </w:rPr>
        <w:t>的，或已标价工程量清单或预算书中无相同项目及类似项目单价的，按照合理的成本与利润构成的原则，由合同当事人按照第</w:t>
      </w:r>
      <w:r>
        <w:rPr>
          <w:rFonts w:hAnsi="宋体" w:cs="Times New Roman"/>
          <w:color w:val="auto"/>
          <w:highlight w:val="none"/>
        </w:rPr>
        <w:t>4.4</w:t>
      </w:r>
      <w:r>
        <w:rPr>
          <w:rFonts w:hint="eastAsia" w:hAnsi="宋体" w:cs="Times New Roman"/>
          <w:color w:val="auto"/>
          <w:highlight w:val="none"/>
        </w:rPr>
        <w:t>款〔商定或确定〕确定变更工作的单价。</w:t>
      </w:r>
    </w:p>
    <w:p w14:paraId="1B61E5BD">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10.4.2 </w:t>
      </w:r>
      <w:r>
        <w:rPr>
          <w:rFonts w:hint="eastAsia" w:hAnsi="宋体" w:cs="Times New Roman"/>
          <w:color w:val="auto"/>
          <w:highlight w:val="none"/>
        </w:rPr>
        <w:t>变更估价程序</w:t>
      </w:r>
    </w:p>
    <w:p w14:paraId="0D64AB2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承包人应在收到变更指示后</w:t>
      </w:r>
      <w:r>
        <w:rPr>
          <w:rFonts w:hAnsi="宋体" w:cs="Times New Roman"/>
          <w:color w:val="auto"/>
          <w:highlight w:val="none"/>
        </w:rPr>
        <w:t>14</w:t>
      </w:r>
      <w:r>
        <w:rPr>
          <w:rFonts w:hint="eastAsia" w:hAnsi="宋体" w:cs="Times New Roman"/>
          <w:color w:val="auto"/>
          <w:highlight w:val="none"/>
        </w:rPr>
        <w:t>天内，向监理人提交变更估价申请。监理人应在收到承包人提交的变更估价申请后</w:t>
      </w:r>
      <w:r>
        <w:rPr>
          <w:rFonts w:hAnsi="宋体" w:cs="Times New Roman"/>
          <w:color w:val="auto"/>
          <w:highlight w:val="none"/>
        </w:rPr>
        <w:t>7</w:t>
      </w:r>
      <w:r>
        <w:rPr>
          <w:rFonts w:hint="eastAsia" w:hAnsi="宋体" w:cs="Times New Roman"/>
          <w:color w:val="auto"/>
          <w:highlight w:val="none"/>
        </w:rPr>
        <w:t>天内审查完毕并报送发包人，监理人对变更估价申请有异议，通知承包人修改后重新提交。发包人应在承包人提交变更估价申请后</w:t>
      </w:r>
      <w:r>
        <w:rPr>
          <w:rFonts w:hAnsi="宋体" w:cs="Times New Roman"/>
          <w:color w:val="auto"/>
          <w:highlight w:val="none"/>
        </w:rPr>
        <w:t>14</w:t>
      </w:r>
      <w:r>
        <w:rPr>
          <w:rFonts w:hint="eastAsia" w:hAnsi="宋体" w:cs="Times New Roman"/>
          <w:color w:val="auto"/>
          <w:highlight w:val="none"/>
        </w:rPr>
        <w:t>天内审批完毕。发包人逾期未完成审批或未提出异议的，视为认可承包人提交的变更估价申请。</w:t>
      </w:r>
    </w:p>
    <w:p w14:paraId="7CEAB72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因变更引起的价格调整应计入最近一期的进度款中支付。</w:t>
      </w:r>
    </w:p>
    <w:p w14:paraId="56FB1783">
      <w:pPr>
        <w:keepNext/>
        <w:keepLines/>
        <w:spacing w:line="360" w:lineRule="auto"/>
        <w:outlineLvl w:val="3"/>
        <w:rPr>
          <w:rFonts w:hAnsi="宋体" w:cs="Times New Roman"/>
          <w:b/>
          <w:bCs/>
          <w:color w:val="auto"/>
          <w:kern w:val="2"/>
          <w:szCs w:val="28"/>
          <w:highlight w:val="none"/>
        </w:rPr>
      </w:pPr>
      <w:bookmarkStart w:id="416" w:name="_Toc532839939"/>
      <w:bookmarkStart w:id="417" w:name="_Toc351203572"/>
      <w:r>
        <w:rPr>
          <w:rFonts w:hAnsi="宋体" w:cs="Times New Roman"/>
          <w:b/>
          <w:bCs/>
          <w:color w:val="auto"/>
          <w:kern w:val="2"/>
          <w:szCs w:val="28"/>
          <w:highlight w:val="none"/>
        </w:rPr>
        <w:t>1</w:t>
      </w:r>
      <w:bookmarkStart w:id="418" w:name="_Toc296503094"/>
      <w:bookmarkStart w:id="419" w:name="_Toc337558792"/>
      <w:bookmarkStart w:id="420" w:name="_Toc296346595"/>
      <w:r>
        <w:rPr>
          <w:rFonts w:hAnsi="宋体" w:cs="Times New Roman"/>
          <w:b/>
          <w:bCs/>
          <w:color w:val="auto"/>
          <w:kern w:val="2"/>
          <w:szCs w:val="28"/>
          <w:highlight w:val="none"/>
        </w:rPr>
        <w:t>0.5</w:t>
      </w:r>
      <w:r>
        <w:rPr>
          <w:rFonts w:hint="eastAsia" w:hAnsi="宋体" w:cs="Times New Roman"/>
          <w:b/>
          <w:bCs/>
          <w:color w:val="auto"/>
          <w:kern w:val="2"/>
          <w:szCs w:val="28"/>
          <w:highlight w:val="none"/>
        </w:rPr>
        <w:t>承包人的合理化建议</w:t>
      </w:r>
      <w:bookmarkEnd w:id="416"/>
      <w:bookmarkEnd w:id="417"/>
    </w:p>
    <w:bookmarkEnd w:id="418"/>
    <w:bookmarkEnd w:id="419"/>
    <w:bookmarkEnd w:id="420"/>
    <w:p w14:paraId="2A772F2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承包人提出合理化建议的，应向监理人提交合理化建议说明，说明建议的内容和理由，以及实施该建议对合同价格和工期的影响。</w:t>
      </w:r>
    </w:p>
    <w:p w14:paraId="1861221E">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除专用合同条款另有约定外，监理人应在收到承包人提交的合理化建议后</w:t>
      </w:r>
      <w:r>
        <w:rPr>
          <w:rFonts w:hAnsi="宋体" w:cs="Times New Roman"/>
          <w:color w:val="auto"/>
          <w:highlight w:val="none"/>
        </w:rPr>
        <w:t>7</w:t>
      </w:r>
      <w:r>
        <w:rPr>
          <w:rFonts w:hint="eastAsia" w:hAnsi="宋体" w:cs="Times New Roman"/>
          <w:color w:val="auto"/>
          <w:highlight w:val="none"/>
        </w:rPr>
        <w:t>天内审查完毕并报送发包人，发现其中存在技术上的缺陷，应通知承包人修改。发包人应在收到监理人报送的合理化建议后</w:t>
      </w:r>
      <w:r>
        <w:rPr>
          <w:rFonts w:hAnsi="宋体" w:cs="Times New Roman"/>
          <w:color w:val="auto"/>
          <w:highlight w:val="none"/>
        </w:rPr>
        <w:t>7</w:t>
      </w:r>
      <w:r>
        <w:rPr>
          <w:rFonts w:hint="eastAsia" w:hAnsi="宋体" w:cs="Times New Roman"/>
          <w:color w:val="auto"/>
          <w:highlight w:val="none"/>
        </w:rPr>
        <w:t>天内审批完毕。合理化建议经发包人批准的，监理人应及时发出变更指示，由此引起的合同价格调整按照第</w:t>
      </w:r>
      <w:r>
        <w:rPr>
          <w:rFonts w:hAnsi="宋体" w:cs="Times New Roman"/>
          <w:color w:val="auto"/>
          <w:highlight w:val="none"/>
        </w:rPr>
        <w:t>10.4</w:t>
      </w:r>
      <w:r>
        <w:rPr>
          <w:rFonts w:hint="eastAsia" w:hAnsi="宋体" w:cs="Times New Roman"/>
          <w:color w:val="auto"/>
          <w:highlight w:val="none"/>
        </w:rPr>
        <w:t>款〔变更估价〕约定执行。发包人不同意变更的，监理人应书面通知承包人。</w:t>
      </w:r>
    </w:p>
    <w:p w14:paraId="4DB3026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合理化建议降低了合同价格或者提高了工程经济效益的，发包人可对承包人给予奖励，奖励的方法和金额在专用合同条款中约定。</w:t>
      </w:r>
    </w:p>
    <w:p w14:paraId="0A923E0C">
      <w:pPr>
        <w:keepNext/>
        <w:keepLines/>
        <w:spacing w:line="360" w:lineRule="auto"/>
        <w:outlineLvl w:val="3"/>
        <w:rPr>
          <w:rFonts w:hAnsi="宋体" w:cs="Times New Roman"/>
          <w:b/>
          <w:bCs/>
          <w:color w:val="auto"/>
          <w:kern w:val="2"/>
          <w:szCs w:val="28"/>
          <w:highlight w:val="none"/>
        </w:rPr>
      </w:pPr>
      <w:bookmarkStart w:id="421" w:name="_Toc351203573"/>
      <w:bookmarkStart w:id="422" w:name="_Toc532839940"/>
      <w:r>
        <w:rPr>
          <w:rFonts w:hAnsi="宋体" w:cs="Times New Roman"/>
          <w:b/>
          <w:bCs/>
          <w:color w:val="auto"/>
          <w:kern w:val="2"/>
          <w:szCs w:val="28"/>
          <w:highlight w:val="none"/>
        </w:rPr>
        <w:t>1</w:t>
      </w:r>
      <w:bookmarkStart w:id="423" w:name="_Toc337558793"/>
      <w:r>
        <w:rPr>
          <w:rFonts w:hAnsi="宋体" w:cs="Times New Roman"/>
          <w:b/>
          <w:bCs/>
          <w:color w:val="auto"/>
          <w:kern w:val="2"/>
          <w:szCs w:val="28"/>
          <w:highlight w:val="none"/>
        </w:rPr>
        <w:t>0.6</w:t>
      </w:r>
      <w:r>
        <w:rPr>
          <w:rFonts w:hint="eastAsia" w:hAnsi="宋体" w:cs="Times New Roman"/>
          <w:b/>
          <w:bCs/>
          <w:color w:val="auto"/>
          <w:kern w:val="2"/>
          <w:szCs w:val="28"/>
          <w:highlight w:val="none"/>
        </w:rPr>
        <w:t>变更引起的工期调整</w:t>
      </w:r>
      <w:bookmarkEnd w:id="421"/>
      <w:bookmarkEnd w:id="422"/>
      <w:r>
        <w:rPr>
          <w:rFonts w:hAnsi="宋体" w:cs="Times New Roman"/>
          <w:b/>
          <w:bCs/>
          <w:color w:val="auto"/>
          <w:kern w:val="2"/>
          <w:szCs w:val="28"/>
          <w:highlight w:val="none"/>
        </w:rPr>
        <w:t xml:space="preserve"> </w:t>
      </w:r>
      <w:bookmarkEnd w:id="423"/>
      <w:r>
        <w:rPr>
          <w:rFonts w:hAnsi="宋体" w:cs="Times New Roman"/>
          <w:b/>
          <w:bCs/>
          <w:color w:val="auto"/>
          <w:kern w:val="2"/>
          <w:szCs w:val="28"/>
          <w:highlight w:val="none"/>
        </w:rPr>
        <w:t xml:space="preserve">  </w:t>
      </w:r>
    </w:p>
    <w:p w14:paraId="4C83ED9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因变更引起工期变化的，合同当事人均可要求调整合同工期，由合同当事人按照第</w:t>
      </w:r>
      <w:r>
        <w:rPr>
          <w:rFonts w:hAnsi="宋体" w:cs="Times New Roman"/>
          <w:color w:val="auto"/>
          <w:highlight w:val="none"/>
        </w:rPr>
        <w:t>4.4</w:t>
      </w:r>
      <w:r>
        <w:rPr>
          <w:rFonts w:hint="eastAsia" w:hAnsi="宋体" w:cs="Times New Roman"/>
          <w:color w:val="auto"/>
          <w:highlight w:val="none"/>
        </w:rPr>
        <w:t>款〔商定或确定〕并参考工程所在地的工期定额标准确定增减工期天数。</w:t>
      </w:r>
    </w:p>
    <w:p w14:paraId="6725199D">
      <w:pPr>
        <w:keepNext/>
        <w:keepLines/>
        <w:spacing w:line="360" w:lineRule="auto"/>
        <w:outlineLvl w:val="3"/>
        <w:rPr>
          <w:rFonts w:hAnsi="宋体" w:cs="Times New Roman"/>
          <w:b/>
          <w:bCs/>
          <w:color w:val="auto"/>
          <w:kern w:val="2"/>
          <w:szCs w:val="28"/>
          <w:highlight w:val="none"/>
        </w:rPr>
      </w:pPr>
      <w:bookmarkStart w:id="424" w:name="_Toc351203574"/>
      <w:bookmarkStart w:id="425" w:name="_Toc532839941"/>
      <w:r>
        <w:rPr>
          <w:rFonts w:hAnsi="宋体" w:cs="Times New Roman"/>
          <w:b/>
          <w:bCs/>
          <w:color w:val="auto"/>
          <w:kern w:val="2"/>
          <w:szCs w:val="28"/>
          <w:highlight w:val="none"/>
        </w:rPr>
        <w:t>10.7</w:t>
      </w:r>
      <w:r>
        <w:rPr>
          <w:rFonts w:hint="eastAsia" w:hAnsi="宋体"/>
          <w:b/>
          <w:bCs/>
          <w:color w:val="auto"/>
          <w:kern w:val="2"/>
          <w:szCs w:val="28"/>
          <w:highlight w:val="none"/>
        </w:rPr>
        <w:t>暂估价</w:t>
      </w:r>
      <w:bookmarkEnd w:id="424"/>
      <w:bookmarkEnd w:id="425"/>
    </w:p>
    <w:p w14:paraId="141202C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暂估价专业分包工程、服务、材料和工程设备的明细由合同当事人在专用合同条款中约定。</w:t>
      </w:r>
    </w:p>
    <w:p w14:paraId="482FCA52">
      <w:pPr>
        <w:spacing w:line="360" w:lineRule="auto"/>
        <w:ind w:firstLine="420" w:firstLineChars="200"/>
        <w:jc w:val="left"/>
        <w:rPr>
          <w:rFonts w:hAnsi="宋体" w:cs="Times New Roman"/>
          <w:color w:val="auto"/>
          <w:highlight w:val="none"/>
        </w:rPr>
      </w:pPr>
      <w:r>
        <w:rPr>
          <w:rFonts w:hAnsi="宋体" w:cs="Times New Roman"/>
          <w:color w:val="auto"/>
          <w:kern w:val="2"/>
          <w:highlight w:val="none"/>
        </w:rPr>
        <w:t>10.7.1</w:t>
      </w:r>
      <w:r>
        <w:rPr>
          <w:rFonts w:hAnsi="宋体" w:cs="Times New Roman"/>
          <w:color w:val="auto"/>
          <w:highlight w:val="none"/>
        </w:rPr>
        <w:t xml:space="preserve"> </w:t>
      </w:r>
      <w:r>
        <w:rPr>
          <w:rFonts w:hint="eastAsia" w:hAnsi="宋体" w:cs="Times New Roman"/>
          <w:color w:val="auto"/>
          <w:highlight w:val="none"/>
        </w:rPr>
        <w:t>依法必须招标的暂估价项目</w:t>
      </w:r>
    </w:p>
    <w:p w14:paraId="64BE5AE5">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对于依法必须招标的暂估价项目，采取以下第</w:t>
      </w:r>
      <w:r>
        <w:rPr>
          <w:rFonts w:hAnsi="宋体" w:cs="Times New Roman"/>
          <w:color w:val="auto"/>
          <w:highlight w:val="none"/>
        </w:rPr>
        <w:t>1</w:t>
      </w:r>
      <w:r>
        <w:rPr>
          <w:rFonts w:hint="eastAsia" w:hAnsi="宋体" w:cs="Times New Roman"/>
          <w:color w:val="auto"/>
          <w:highlight w:val="none"/>
        </w:rPr>
        <w:t>种方式确定。合同当事人也可以在专用合同条款中选择其他招标方式。</w:t>
      </w:r>
    </w:p>
    <w:p w14:paraId="6089AEE0">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第</w:t>
      </w:r>
      <w:r>
        <w:rPr>
          <w:rFonts w:hAnsi="宋体" w:cs="Times New Roman"/>
          <w:color w:val="auto"/>
          <w:highlight w:val="none"/>
        </w:rPr>
        <w:t>1</w:t>
      </w:r>
      <w:r>
        <w:rPr>
          <w:rFonts w:hint="eastAsia" w:hAnsi="宋体" w:cs="Times New Roman"/>
          <w:color w:val="auto"/>
          <w:highlight w:val="none"/>
        </w:rPr>
        <w:t>种方式：对于依法必须招标的暂估价项目，由承包人招标，对该暂估价项目的确认和批准按照以下约定执行：</w:t>
      </w:r>
    </w:p>
    <w:p w14:paraId="70E56486">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）承包人应当根据施工进度计划，在招标工作启动前</w:t>
      </w:r>
      <w:r>
        <w:rPr>
          <w:rFonts w:hAnsi="宋体" w:cs="Times New Roman"/>
          <w:color w:val="auto"/>
          <w:highlight w:val="none"/>
        </w:rPr>
        <w:t>14</w:t>
      </w:r>
      <w:r>
        <w:rPr>
          <w:rFonts w:hint="eastAsia" w:hAnsi="宋体" w:cs="Times New Roman"/>
          <w:color w:val="auto"/>
          <w:highlight w:val="none"/>
        </w:rPr>
        <w:t>天将招标方案通过监理人报送发包人审查，发包人应当在收到承包人报送的招标方案后</w:t>
      </w:r>
      <w:r>
        <w:rPr>
          <w:rFonts w:hAnsi="宋体" w:cs="Times New Roman"/>
          <w:color w:val="auto"/>
          <w:highlight w:val="none"/>
        </w:rPr>
        <w:t>7</w:t>
      </w:r>
      <w:r>
        <w:rPr>
          <w:rFonts w:hint="eastAsia" w:hAnsi="宋体" w:cs="Times New Roman"/>
          <w:color w:val="auto"/>
          <w:highlight w:val="none"/>
        </w:rPr>
        <w:t>天内批准或提出修改意见。承包人应当按照经过发包人批准的招标方案开展招标工作；</w:t>
      </w:r>
    </w:p>
    <w:p w14:paraId="654851FB">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）承包人应当根据施工进度计划，提前</w:t>
      </w:r>
      <w:r>
        <w:rPr>
          <w:rFonts w:hAnsi="宋体" w:cs="Times New Roman"/>
          <w:color w:val="auto"/>
          <w:highlight w:val="none"/>
        </w:rPr>
        <w:t>14</w:t>
      </w:r>
      <w:r>
        <w:rPr>
          <w:rFonts w:hint="eastAsia" w:hAnsi="宋体" w:cs="Times New Roman"/>
          <w:color w:val="auto"/>
          <w:highlight w:val="none"/>
        </w:rPr>
        <w:t>天将招标文件通过监理人报送发包人审批，发包人应当在收到承包人报送的相关文件后</w:t>
      </w:r>
      <w:r>
        <w:rPr>
          <w:rFonts w:hAnsi="宋体" w:cs="Times New Roman"/>
          <w:color w:val="auto"/>
          <w:highlight w:val="none"/>
        </w:rPr>
        <w:t>7</w:t>
      </w:r>
      <w:r>
        <w:rPr>
          <w:rFonts w:hint="eastAsia" w:hAnsi="宋体" w:cs="Times New Roman"/>
          <w:color w:val="auto"/>
          <w:highlight w:val="none"/>
        </w:rPr>
        <w:t>天内完成审批或提出修改意见；发包人有权确定招标控制价并按照法律规定参加评标；</w:t>
      </w:r>
    </w:p>
    <w:p w14:paraId="4304F3E0">
      <w:pPr>
        <w:spacing w:line="360" w:lineRule="auto"/>
        <w:jc w:val="left"/>
        <w:rPr>
          <w:rFonts w:hAnsi="宋体" w:cs="Times New Roman"/>
          <w:color w:val="auto"/>
          <w:highlight w:val="none"/>
        </w:rPr>
      </w:pPr>
      <w:r>
        <w:rPr>
          <w:rFonts w:hAnsi="宋体" w:cs="Times New Roman"/>
          <w:color w:val="auto"/>
          <w:highlight w:val="none"/>
        </w:rPr>
        <w:t xml:space="preserve">    </w:t>
      </w: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）承包人与供应商、分包人在签订暂估价合同前，应当提前</w:t>
      </w:r>
      <w:r>
        <w:rPr>
          <w:rFonts w:hAnsi="宋体" w:cs="Times New Roman"/>
          <w:color w:val="auto"/>
          <w:highlight w:val="none"/>
        </w:rPr>
        <w:t>7</w:t>
      </w:r>
      <w:r>
        <w:rPr>
          <w:rFonts w:hint="eastAsia" w:hAnsi="宋体" w:cs="Times New Roman"/>
          <w:color w:val="auto"/>
          <w:highlight w:val="none"/>
        </w:rPr>
        <w:t>天将确定的中标候选供应商或中标候选分包人的资料报送发包人，发包人应在收到资料后</w:t>
      </w:r>
      <w:r>
        <w:rPr>
          <w:rFonts w:hAnsi="宋体" w:cs="Times New Roman"/>
          <w:color w:val="auto"/>
          <w:highlight w:val="none"/>
        </w:rPr>
        <w:t>3</w:t>
      </w:r>
      <w:r>
        <w:rPr>
          <w:rFonts w:hint="eastAsia" w:hAnsi="宋体" w:cs="Times New Roman"/>
          <w:color w:val="auto"/>
          <w:highlight w:val="none"/>
        </w:rPr>
        <w:t>天内与承包人共同确定中标人；承包人应当在签订合同后</w:t>
      </w:r>
      <w:r>
        <w:rPr>
          <w:rFonts w:hAnsi="宋体" w:cs="Times New Roman"/>
          <w:color w:val="auto"/>
          <w:highlight w:val="none"/>
        </w:rPr>
        <w:t>7</w:t>
      </w:r>
      <w:r>
        <w:rPr>
          <w:rFonts w:hint="eastAsia" w:hAnsi="宋体" w:cs="Times New Roman"/>
          <w:color w:val="auto"/>
          <w:highlight w:val="none"/>
        </w:rPr>
        <w:t>天内，将暂估价合同副本报送发包人留存。</w:t>
      </w:r>
    </w:p>
    <w:p w14:paraId="27476793">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第</w:t>
      </w:r>
      <w:r>
        <w:rPr>
          <w:rFonts w:hAnsi="宋体" w:cs="Times New Roman"/>
          <w:color w:val="auto"/>
          <w:highlight w:val="none"/>
        </w:rPr>
        <w:t>2</w:t>
      </w:r>
      <w:r>
        <w:rPr>
          <w:rFonts w:hint="eastAsia" w:hAnsi="宋体" w:cs="Times New Roman"/>
          <w:color w:val="auto"/>
          <w:highlight w:val="none"/>
        </w:rPr>
        <w:t>种方式：对于依法必须招标的暂估价项目，由发包人和承包人共同招标确定暂估价供应商或分包人的，承包人应按照施工进度计划，在招标工作启动前</w:t>
      </w:r>
      <w:r>
        <w:rPr>
          <w:rFonts w:hAnsi="宋体" w:cs="Times New Roman"/>
          <w:color w:val="auto"/>
          <w:highlight w:val="none"/>
        </w:rPr>
        <w:t>14</w:t>
      </w:r>
      <w:r>
        <w:rPr>
          <w:rFonts w:hint="eastAsia" w:hAnsi="宋体" w:cs="Times New Roman"/>
          <w:color w:val="auto"/>
          <w:highlight w:val="none"/>
        </w:rPr>
        <w:t>天通知发包人，并提交暂估价招标方案和工作分工。发包人应在收到后</w:t>
      </w:r>
      <w:r>
        <w:rPr>
          <w:rFonts w:hAnsi="宋体" w:cs="Times New Roman"/>
          <w:color w:val="auto"/>
          <w:highlight w:val="none"/>
        </w:rPr>
        <w:t>7</w:t>
      </w:r>
      <w:r>
        <w:rPr>
          <w:rFonts w:hint="eastAsia" w:hAnsi="宋体" w:cs="Times New Roman"/>
          <w:color w:val="auto"/>
          <w:highlight w:val="none"/>
        </w:rPr>
        <w:t>天内确认。确定中标人后，由发包人、承包人与中标人共同签订暂估价合同。</w:t>
      </w:r>
    </w:p>
    <w:p w14:paraId="5D349178">
      <w:pPr>
        <w:spacing w:line="360" w:lineRule="auto"/>
        <w:ind w:firstLine="420" w:firstLineChars="200"/>
        <w:jc w:val="left"/>
        <w:rPr>
          <w:rFonts w:hAnsi="宋体" w:cs="Times New Roman"/>
          <w:color w:val="auto"/>
          <w:highlight w:val="none"/>
        </w:rPr>
      </w:pPr>
      <w:r>
        <w:rPr>
          <w:rFonts w:hAnsi="宋体" w:cs="Times New Roman"/>
          <w:color w:val="auto"/>
          <w:kern w:val="2"/>
          <w:highlight w:val="none"/>
        </w:rPr>
        <w:t>10.7.2</w:t>
      </w:r>
      <w:r>
        <w:rPr>
          <w:rFonts w:hint="eastAsia" w:hAnsi="宋体" w:cs="Times New Roman"/>
          <w:color w:val="auto"/>
          <w:highlight w:val="none"/>
        </w:rPr>
        <w:t>不属于依法必须招标的暂估价项目</w:t>
      </w:r>
    </w:p>
    <w:p w14:paraId="2565D4C5">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除专用合同条款另有约定外，对于不属于依法必须招标的暂估价项目，采取以下第</w:t>
      </w:r>
      <w:r>
        <w:rPr>
          <w:rFonts w:hAnsi="宋体" w:cs="Times New Roman"/>
          <w:color w:val="auto"/>
          <w:highlight w:val="none"/>
        </w:rPr>
        <w:t>1</w:t>
      </w:r>
      <w:r>
        <w:rPr>
          <w:rFonts w:hint="eastAsia" w:hAnsi="宋体" w:cs="Times New Roman"/>
          <w:color w:val="auto"/>
          <w:highlight w:val="none"/>
        </w:rPr>
        <w:t>种方式确定：</w:t>
      </w:r>
      <w:r>
        <w:rPr>
          <w:rFonts w:hAnsi="宋体" w:cs="Times New Roman"/>
          <w:color w:val="auto"/>
          <w:highlight w:val="none"/>
        </w:rPr>
        <w:t xml:space="preserve"> </w:t>
      </w:r>
    </w:p>
    <w:p w14:paraId="6BF69EFB">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第</w:t>
      </w:r>
      <w:r>
        <w:rPr>
          <w:rFonts w:hAnsi="宋体" w:cs="Times New Roman"/>
          <w:color w:val="auto"/>
          <w:highlight w:val="none"/>
        </w:rPr>
        <w:t>1</w:t>
      </w:r>
      <w:r>
        <w:rPr>
          <w:rFonts w:hint="eastAsia" w:hAnsi="宋体" w:cs="Times New Roman"/>
          <w:color w:val="auto"/>
          <w:highlight w:val="none"/>
        </w:rPr>
        <w:t>种方式：对于不属于依法必须招标的暂估价项目，按本项约定确认和批准：</w:t>
      </w:r>
    </w:p>
    <w:p w14:paraId="7B9C86FF">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）承包人应根据施工进度计划，在签订暂估价项目的采购合同、分包合同前</w:t>
      </w:r>
      <w:r>
        <w:rPr>
          <w:rFonts w:hAnsi="宋体" w:cs="Times New Roman"/>
          <w:color w:val="auto"/>
          <w:highlight w:val="none"/>
        </w:rPr>
        <w:t>28</w:t>
      </w:r>
      <w:r>
        <w:rPr>
          <w:rFonts w:hint="eastAsia" w:hAnsi="宋体" w:cs="Times New Roman"/>
          <w:color w:val="auto"/>
          <w:highlight w:val="none"/>
        </w:rPr>
        <w:t>天向监理人提出书面申请。监理人应当在收到申请后</w:t>
      </w:r>
      <w:r>
        <w:rPr>
          <w:rFonts w:hAnsi="宋体" w:cs="Times New Roman"/>
          <w:color w:val="auto"/>
          <w:highlight w:val="none"/>
        </w:rPr>
        <w:t>3</w:t>
      </w:r>
      <w:r>
        <w:rPr>
          <w:rFonts w:hint="eastAsia" w:hAnsi="宋体" w:cs="Times New Roman"/>
          <w:color w:val="auto"/>
          <w:highlight w:val="none"/>
        </w:rPr>
        <w:t>天内报送发包人，发包人应当在收到申请后</w:t>
      </w:r>
      <w:r>
        <w:rPr>
          <w:rFonts w:hAnsi="宋体" w:cs="Times New Roman"/>
          <w:color w:val="auto"/>
          <w:highlight w:val="none"/>
        </w:rPr>
        <w:t>14</w:t>
      </w:r>
      <w:r>
        <w:rPr>
          <w:rFonts w:hint="eastAsia" w:hAnsi="宋体" w:cs="Times New Roman"/>
          <w:color w:val="auto"/>
          <w:highlight w:val="none"/>
        </w:rPr>
        <w:t>天内给予批准或提出修改意见，发包人逾期未予批准或提出修改意见的，视为该书面申请已获得同意；</w:t>
      </w:r>
    </w:p>
    <w:p w14:paraId="70088619">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）发包人认为承包人确定的供应商、分包人无法满足工程质量或合同要求的，发包人可以要求承包人重新确定暂估价项目的供应商、分包人</w:t>
      </w:r>
      <w:r>
        <w:rPr>
          <w:rFonts w:hAnsi="宋体" w:cs="Times New Roman"/>
          <w:color w:val="auto"/>
          <w:highlight w:val="none"/>
        </w:rPr>
        <w:t>;</w:t>
      </w:r>
    </w:p>
    <w:p w14:paraId="66CC4730">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）承包人应当在签订暂估价合同后</w:t>
      </w:r>
      <w:r>
        <w:rPr>
          <w:rFonts w:hAnsi="宋体" w:cs="Times New Roman"/>
          <w:color w:val="auto"/>
          <w:highlight w:val="none"/>
        </w:rPr>
        <w:t>7</w:t>
      </w:r>
      <w:r>
        <w:rPr>
          <w:rFonts w:hint="eastAsia" w:hAnsi="宋体" w:cs="Times New Roman"/>
          <w:color w:val="auto"/>
          <w:highlight w:val="none"/>
        </w:rPr>
        <w:t>天内，将暂估价合同副本报送发包人留存。</w:t>
      </w:r>
    </w:p>
    <w:p w14:paraId="5170FB64">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第</w:t>
      </w:r>
      <w:r>
        <w:rPr>
          <w:rFonts w:hAnsi="宋体" w:cs="Times New Roman"/>
          <w:color w:val="auto"/>
          <w:highlight w:val="none"/>
        </w:rPr>
        <w:t>2</w:t>
      </w:r>
      <w:r>
        <w:rPr>
          <w:rFonts w:hint="eastAsia" w:hAnsi="宋体" w:cs="Times New Roman"/>
          <w:color w:val="auto"/>
          <w:highlight w:val="none"/>
        </w:rPr>
        <w:t>种方式：承包人按照第</w:t>
      </w:r>
      <w:r>
        <w:rPr>
          <w:rFonts w:hAnsi="宋体" w:cs="Times New Roman"/>
          <w:color w:val="auto"/>
          <w:highlight w:val="none"/>
        </w:rPr>
        <w:t>10.7.1</w:t>
      </w:r>
      <w:r>
        <w:rPr>
          <w:rFonts w:hint="eastAsia" w:hAnsi="宋体" w:cs="Times New Roman"/>
          <w:color w:val="auto"/>
          <w:highlight w:val="none"/>
        </w:rPr>
        <w:t>项〔依法必须招标的暂估价项目〕约定的第</w:t>
      </w:r>
      <w:r>
        <w:rPr>
          <w:rFonts w:hAnsi="宋体" w:cs="Times New Roman"/>
          <w:color w:val="auto"/>
          <w:highlight w:val="none"/>
        </w:rPr>
        <w:t>1</w:t>
      </w:r>
      <w:r>
        <w:rPr>
          <w:rFonts w:hint="eastAsia" w:hAnsi="宋体" w:cs="Times New Roman"/>
          <w:color w:val="auto"/>
          <w:highlight w:val="none"/>
        </w:rPr>
        <w:t>种方式确定暂估价项目。</w:t>
      </w:r>
    </w:p>
    <w:p w14:paraId="2C03B8CC">
      <w:pPr>
        <w:spacing w:line="360" w:lineRule="auto"/>
        <w:ind w:firstLine="420" w:firstLineChars="200"/>
        <w:jc w:val="left"/>
        <w:rPr>
          <w:rFonts w:hAnsi="宋体" w:cs="Times New Roman"/>
          <w:color w:val="auto"/>
          <w:highlight w:val="none"/>
        </w:rPr>
      </w:pPr>
      <w:r>
        <w:rPr>
          <w:rFonts w:hint="eastAsia" w:hAnsi="宋体" w:cs="Times New Roman"/>
          <w:color w:val="auto"/>
          <w:kern w:val="2"/>
          <w:highlight w:val="none"/>
        </w:rPr>
        <w:t>第</w:t>
      </w:r>
      <w:r>
        <w:rPr>
          <w:rFonts w:hAnsi="宋体" w:cs="Times New Roman"/>
          <w:color w:val="auto"/>
          <w:kern w:val="2"/>
          <w:highlight w:val="none"/>
        </w:rPr>
        <w:t>3</w:t>
      </w:r>
      <w:r>
        <w:rPr>
          <w:rFonts w:hint="eastAsia" w:hAnsi="宋体" w:cs="Times New Roman"/>
          <w:color w:val="auto"/>
          <w:kern w:val="2"/>
          <w:highlight w:val="none"/>
        </w:rPr>
        <w:t>种方式：</w:t>
      </w:r>
      <w:r>
        <w:rPr>
          <w:rFonts w:hint="eastAsia" w:hAnsi="宋体" w:cs="Times New Roman"/>
          <w:color w:val="auto"/>
          <w:highlight w:val="none"/>
        </w:rPr>
        <w:t>承包人直接实施的暂估价项目</w:t>
      </w:r>
    </w:p>
    <w:p w14:paraId="2379ADE1">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承包人具备实施暂估价项目的资格和条件的，经发包人和承包人协商一致后，可由承包人自行实施暂估价项目，合同当事人可以在专用合同条款约定具体事项。</w:t>
      </w:r>
    </w:p>
    <w:p w14:paraId="157CFB88">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10.7.3 </w:t>
      </w:r>
      <w:r>
        <w:rPr>
          <w:rFonts w:hint="eastAsia" w:hAnsi="宋体" w:cs="Times New Roman"/>
          <w:color w:val="auto"/>
          <w:highlight w:val="none"/>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8562DD7">
      <w:pPr>
        <w:keepNext/>
        <w:keepLines/>
        <w:spacing w:line="360" w:lineRule="auto"/>
        <w:outlineLvl w:val="3"/>
        <w:rPr>
          <w:rFonts w:hAnsi="宋体" w:cs="Times New Roman"/>
          <w:b/>
          <w:bCs/>
          <w:color w:val="auto"/>
          <w:kern w:val="2"/>
          <w:szCs w:val="28"/>
          <w:highlight w:val="none"/>
        </w:rPr>
      </w:pPr>
      <w:bookmarkStart w:id="426" w:name="_Toc532839942"/>
      <w:bookmarkStart w:id="427" w:name="_Toc351203575"/>
      <w:r>
        <w:rPr>
          <w:rFonts w:hAnsi="宋体" w:cs="Times New Roman"/>
          <w:b/>
          <w:bCs/>
          <w:color w:val="auto"/>
          <w:kern w:val="2"/>
          <w:szCs w:val="28"/>
          <w:highlight w:val="none"/>
        </w:rPr>
        <w:t>1</w:t>
      </w:r>
      <w:bookmarkStart w:id="428" w:name="_Toc337558794"/>
      <w:bookmarkStart w:id="429" w:name="_Toc322522561"/>
      <w:bookmarkStart w:id="430" w:name="_Toc296503090"/>
      <w:bookmarkStart w:id="431" w:name="_Toc296346591"/>
      <w:r>
        <w:rPr>
          <w:rFonts w:hAnsi="宋体" w:cs="Times New Roman"/>
          <w:b/>
          <w:bCs/>
          <w:color w:val="auto"/>
          <w:kern w:val="2"/>
          <w:szCs w:val="28"/>
          <w:highlight w:val="none"/>
        </w:rPr>
        <w:t>0.8</w:t>
      </w:r>
      <w:r>
        <w:rPr>
          <w:rFonts w:hint="eastAsia" w:hAnsi="宋体"/>
          <w:b/>
          <w:bCs/>
          <w:color w:val="auto"/>
          <w:kern w:val="2"/>
          <w:szCs w:val="28"/>
          <w:highlight w:val="none"/>
        </w:rPr>
        <w:t>暂列金额</w:t>
      </w:r>
      <w:bookmarkEnd w:id="426"/>
      <w:bookmarkEnd w:id="427"/>
    </w:p>
    <w:bookmarkEnd w:id="428"/>
    <w:p w14:paraId="2204D75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暂列金额应按照发包人的要求使用，发包人的要求应通过监理人发出。合同当事人可以在专用合同条款中协商确定有关事项。</w:t>
      </w:r>
    </w:p>
    <w:bookmarkEnd w:id="429"/>
    <w:bookmarkEnd w:id="430"/>
    <w:bookmarkEnd w:id="431"/>
    <w:p w14:paraId="0773F028">
      <w:pPr>
        <w:keepNext/>
        <w:keepLines/>
        <w:spacing w:line="360" w:lineRule="auto"/>
        <w:outlineLvl w:val="3"/>
        <w:rPr>
          <w:rFonts w:hAnsi="宋体" w:cs="Times New Roman"/>
          <w:b/>
          <w:bCs/>
          <w:color w:val="auto"/>
          <w:kern w:val="2"/>
          <w:szCs w:val="28"/>
          <w:highlight w:val="none"/>
        </w:rPr>
      </w:pPr>
      <w:bookmarkStart w:id="432" w:name="_Toc351203576"/>
      <w:bookmarkStart w:id="433" w:name="_Toc532839943"/>
      <w:r>
        <w:rPr>
          <w:rFonts w:hAnsi="宋体" w:cs="Times New Roman"/>
          <w:b/>
          <w:bCs/>
          <w:color w:val="auto"/>
          <w:kern w:val="2"/>
          <w:szCs w:val="28"/>
          <w:highlight w:val="none"/>
        </w:rPr>
        <w:t>1</w:t>
      </w:r>
      <w:bookmarkStart w:id="434" w:name="_Toc296346592"/>
      <w:bookmarkStart w:id="435" w:name="_Toc296503091"/>
      <w:bookmarkStart w:id="436" w:name="_Toc337558796"/>
      <w:r>
        <w:rPr>
          <w:rFonts w:hAnsi="宋体" w:cs="Times New Roman"/>
          <w:b/>
          <w:bCs/>
          <w:color w:val="auto"/>
          <w:kern w:val="2"/>
          <w:szCs w:val="28"/>
          <w:highlight w:val="none"/>
        </w:rPr>
        <w:t>0.9</w:t>
      </w:r>
      <w:r>
        <w:rPr>
          <w:rFonts w:hint="eastAsia" w:hAnsi="宋体"/>
          <w:b/>
          <w:bCs/>
          <w:color w:val="auto"/>
          <w:kern w:val="2"/>
          <w:szCs w:val="28"/>
          <w:highlight w:val="none"/>
        </w:rPr>
        <w:t>计日工</w:t>
      </w:r>
      <w:bookmarkEnd w:id="432"/>
      <w:bookmarkEnd w:id="433"/>
      <w:r>
        <w:rPr>
          <w:rFonts w:hAnsi="宋体" w:cs="Times New Roman"/>
          <w:b/>
          <w:bCs/>
          <w:color w:val="auto"/>
          <w:kern w:val="2"/>
          <w:szCs w:val="28"/>
          <w:highlight w:val="none"/>
        </w:rPr>
        <w:t xml:space="preserve"> </w:t>
      </w:r>
      <w:bookmarkEnd w:id="434"/>
      <w:bookmarkEnd w:id="435"/>
      <w:bookmarkEnd w:id="436"/>
    </w:p>
    <w:p w14:paraId="46A7DD1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w:t>
      </w:r>
      <w:r>
        <w:rPr>
          <w:rFonts w:hAnsi="宋体" w:cs="Times New Roman"/>
          <w:color w:val="auto"/>
          <w:highlight w:val="none"/>
        </w:rPr>
        <w:t>4.4</w:t>
      </w:r>
      <w:r>
        <w:rPr>
          <w:rFonts w:hint="eastAsia" w:hAnsi="宋体" w:cs="Times New Roman"/>
          <w:color w:val="auto"/>
          <w:highlight w:val="none"/>
        </w:rPr>
        <w:t>款〔商定或确定〕确定计日工的单价。</w:t>
      </w:r>
    </w:p>
    <w:p w14:paraId="43331D1D">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采用计日工计价的任何一项工作，承包人应在该项工作实施过程中，每天提交以下报表和有关凭证报送监理人审查：</w:t>
      </w:r>
    </w:p>
    <w:p w14:paraId="1BA352B4">
      <w:pPr>
        <w:spacing w:line="360" w:lineRule="auto"/>
        <w:ind w:firstLine="315" w:firstLineChars="15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）工作名称、内容和数量；</w:t>
      </w:r>
    </w:p>
    <w:p w14:paraId="7BE1BC0B">
      <w:pPr>
        <w:spacing w:line="360" w:lineRule="auto"/>
        <w:ind w:firstLine="315" w:firstLineChars="15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）投入该工作的所有人员的姓名、专业、工种、级别和耗用工时；</w:t>
      </w:r>
    </w:p>
    <w:p w14:paraId="03031C63">
      <w:pPr>
        <w:spacing w:line="360" w:lineRule="auto"/>
        <w:ind w:firstLine="315" w:firstLineChars="15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）投入该工作的材料类别和数量；</w:t>
      </w:r>
    </w:p>
    <w:p w14:paraId="07179705">
      <w:pPr>
        <w:spacing w:line="360" w:lineRule="auto"/>
        <w:ind w:firstLine="315" w:firstLineChars="15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）投入该工作的施工设备型号、台数和耗用台时；</w:t>
      </w:r>
    </w:p>
    <w:p w14:paraId="1CCFD0CA">
      <w:pPr>
        <w:spacing w:line="360" w:lineRule="auto"/>
        <w:ind w:firstLine="315" w:firstLineChars="15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）其他有关资料和凭证。</w:t>
      </w:r>
    </w:p>
    <w:p w14:paraId="4B03777A">
      <w:pPr>
        <w:spacing w:line="360" w:lineRule="auto"/>
        <w:ind w:firstLine="315" w:firstLineChars="150"/>
        <w:jc w:val="left"/>
        <w:rPr>
          <w:rFonts w:hAnsi="宋体" w:cs="Times New Roman"/>
          <w:color w:val="auto"/>
          <w:highlight w:val="none"/>
        </w:rPr>
      </w:pPr>
      <w:r>
        <w:rPr>
          <w:rFonts w:hAnsi="宋体" w:cs="Times New Roman"/>
          <w:color w:val="auto"/>
          <w:highlight w:val="none"/>
        </w:rPr>
        <w:t xml:space="preserve"> </w:t>
      </w:r>
      <w:r>
        <w:rPr>
          <w:rFonts w:hint="eastAsia" w:hAnsi="宋体" w:cs="Times New Roman"/>
          <w:color w:val="auto"/>
          <w:highlight w:val="none"/>
        </w:rPr>
        <w:t>计日工由承包人汇总后，列入最近一期进度付款申请单，由监理人审查并经发包人批准后列入进度付款。</w:t>
      </w:r>
    </w:p>
    <w:p w14:paraId="1B31617C">
      <w:pPr>
        <w:keepNext/>
        <w:keepLines/>
        <w:spacing w:line="360" w:lineRule="auto"/>
        <w:outlineLvl w:val="2"/>
        <w:rPr>
          <w:rFonts w:hAnsi="宋体" w:cs="Times New Roman"/>
          <w:b/>
          <w:bCs/>
          <w:color w:val="auto"/>
          <w:kern w:val="2"/>
          <w:szCs w:val="32"/>
          <w:highlight w:val="none"/>
        </w:rPr>
      </w:pPr>
      <w:bookmarkStart w:id="437" w:name="_Toc527130428"/>
      <w:bookmarkStart w:id="438" w:name="_Toc532839944"/>
      <w:bookmarkStart w:id="439" w:name="_Toc512691382"/>
      <w:bookmarkStart w:id="440" w:name="_Toc351203577"/>
      <w:r>
        <w:rPr>
          <w:rFonts w:hAnsi="宋体" w:cs="Times New Roman"/>
          <w:b/>
          <w:bCs/>
          <w:color w:val="auto"/>
          <w:kern w:val="2"/>
          <w:szCs w:val="32"/>
          <w:highlight w:val="none"/>
        </w:rPr>
        <w:t xml:space="preserve">11. </w:t>
      </w:r>
      <w:r>
        <w:rPr>
          <w:rFonts w:hint="eastAsia" w:hAnsi="宋体"/>
          <w:b/>
          <w:bCs/>
          <w:color w:val="auto"/>
          <w:kern w:val="2"/>
          <w:szCs w:val="32"/>
          <w:highlight w:val="none"/>
        </w:rPr>
        <w:t>价格调整</w:t>
      </w:r>
      <w:bookmarkEnd w:id="437"/>
      <w:bookmarkEnd w:id="438"/>
      <w:bookmarkEnd w:id="439"/>
      <w:bookmarkEnd w:id="440"/>
    </w:p>
    <w:p w14:paraId="20CCE199">
      <w:pPr>
        <w:keepNext/>
        <w:keepLines/>
        <w:spacing w:line="360" w:lineRule="auto"/>
        <w:outlineLvl w:val="3"/>
        <w:rPr>
          <w:rFonts w:hAnsi="宋体" w:cs="Times New Roman"/>
          <w:b/>
          <w:bCs/>
          <w:color w:val="auto"/>
          <w:kern w:val="2"/>
          <w:szCs w:val="28"/>
          <w:highlight w:val="none"/>
        </w:rPr>
      </w:pPr>
      <w:bookmarkStart w:id="441" w:name="_Toc351203578"/>
      <w:bookmarkStart w:id="442" w:name="_Toc532839945"/>
      <w:bookmarkStart w:id="443" w:name="_Toc296503092"/>
      <w:bookmarkStart w:id="444" w:name="_Toc337558797"/>
      <w:bookmarkStart w:id="445" w:name="_Toc296346593"/>
      <w:r>
        <w:rPr>
          <w:rFonts w:hAnsi="宋体" w:cs="Times New Roman"/>
          <w:b/>
          <w:bCs/>
          <w:color w:val="auto"/>
          <w:kern w:val="2"/>
          <w:szCs w:val="28"/>
          <w:highlight w:val="none"/>
        </w:rPr>
        <w:t>11.1</w:t>
      </w:r>
      <w:r>
        <w:rPr>
          <w:rFonts w:hint="eastAsia" w:hAnsi="宋体" w:cs="Times New Roman"/>
          <w:b/>
          <w:bCs/>
          <w:color w:val="auto"/>
          <w:kern w:val="2"/>
          <w:szCs w:val="28"/>
          <w:highlight w:val="none"/>
        </w:rPr>
        <w:t>市场价格波动引起的调整</w:t>
      </w:r>
      <w:bookmarkEnd w:id="441"/>
      <w:bookmarkEnd w:id="442"/>
    </w:p>
    <w:bookmarkEnd w:id="443"/>
    <w:bookmarkEnd w:id="444"/>
    <w:bookmarkEnd w:id="445"/>
    <w:p w14:paraId="11B12E4C">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除专用合同条款另有约定外，市场价格波动超过合同当事人约定的范围，合同价格应当调整。合同当事人可以在专用合同条款中约定选择以下一种方式对合同价格进行调整：</w:t>
      </w:r>
    </w:p>
    <w:p w14:paraId="43A50EFA">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第</w:t>
      </w:r>
      <w:r>
        <w:rPr>
          <w:rFonts w:hAnsi="宋体" w:cs="Times New Roman"/>
          <w:color w:val="auto"/>
          <w:kern w:val="2"/>
          <w:highlight w:val="none"/>
        </w:rPr>
        <w:t>1</w:t>
      </w:r>
      <w:r>
        <w:rPr>
          <w:rFonts w:hint="eastAsia" w:hAnsi="宋体" w:cs="Times New Roman"/>
          <w:color w:val="auto"/>
          <w:kern w:val="2"/>
          <w:highlight w:val="none"/>
        </w:rPr>
        <w:t>种方式：采用价格指数进行价格调整。</w:t>
      </w:r>
    </w:p>
    <w:p w14:paraId="53B9421C">
      <w:pPr>
        <w:tabs>
          <w:tab w:val="left" w:pos="0"/>
          <w:tab w:val="left" w:pos="360"/>
          <w:tab w:val="left" w:pos="540"/>
        </w:tabs>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1</w:t>
      </w:r>
      <w:r>
        <w:rPr>
          <w:rFonts w:hint="eastAsia" w:hAnsi="宋体" w:cs="Times New Roman"/>
          <w:color w:val="auto"/>
          <w:kern w:val="2"/>
          <w:highlight w:val="none"/>
        </w:rPr>
        <w:t>）价格调整公式</w:t>
      </w:r>
    </w:p>
    <w:p w14:paraId="0BA5939B">
      <w:pPr>
        <w:tabs>
          <w:tab w:val="left" w:pos="0"/>
          <w:tab w:val="left" w:pos="360"/>
          <w:tab w:val="left" w:pos="540"/>
        </w:tabs>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因人工、材料和设备等价格波动影响合同价格时，根据专用合同条款中约定的数据，按以下公式计算差额并调整合同价格：</w:t>
      </w:r>
    </w:p>
    <w:p w14:paraId="47650854">
      <w:pPr>
        <w:tabs>
          <w:tab w:val="left" w:pos="0"/>
          <w:tab w:val="left" w:pos="360"/>
          <w:tab w:val="left" w:pos="540"/>
        </w:tabs>
        <w:spacing w:line="360" w:lineRule="auto"/>
        <w:ind w:firstLine="420" w:firstLineChars="200"/>
        <w:rPr>
          <w:rFonts w:hAnsi="宋体" w:cs="Times New Roman"/>
          <w:color w:val="auto"/>
          <w:kern w:val="2"/>
          <w:highlight w:val="none"/>
        </w:rPr>
      </w:pPr>
      <w:r>
        <w:rPr>
          <w:rFonts w:hAnsi="宋体" w:cs="Times New Roman"/>
          <w:color w:val="auto"/>
          <w:kern w:val="2"/>
          <w:position w:val="-30"/>
          <w:highlight w:val="none"/>
        </w:rPr>
        <w:drawing>
          <wp:inline distT="0" distB="0" distL="114300" distR="114300">
            <wp:extent cx="4572000" cy="553085"/>
            <wp:effectExtent l="0" t="0" r="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572000" cy="553085"/>
                    </a:xfrm>
                    <a:prstGeom prst="rect">
                      <a:avLst/>
                    </a:prstGeom>
                    <a:noFill/>
                    <a:ln>
                      <a:noFill/>
                    </a:ln>
                  </pic:spPr>
                </pic:pic>
              </a:graphicData>
            </a:graphic>
          </wp:inline>
        </w:drawing>
      </w:r>
    </w:p>
    <w:p w14:paraId="0BF41691">
      <w:pPr>
        <w:tabs>
          <w:tab w:val="left" w:pos="0"/>
          <w:tab w:val="left" w:pos="360"/>
          <w:tab w:val="left" w:pos="540"/>
        </w:tabs>
        <w:spacing w:line="360" w:lineRule="auto"/>
        <w:ind w:firstLine="640"/>
        <w:rPr>
          <w:rFonts w:hAnsi="宋体" w:cs="Times New Roman"/>
          <w:color w:val="auto"/>
          <w:kern w:val="2"/>
          <w:highlight w:val="none"/>
        </w:rPr>
      </w:pPr>
      <w:r>
        <w:rPr>
          <w:rFonts w:hint="eastAsia" w:hAnsi="宋体" w:cs="Times New Roman"/>
          <w:color w:val="auto"/>
          <w:kern w:val="2"/>
          <w:highlight w:val="none"/>
        </w:rPr>
        <w:t>公式中：Δ</w:t>
      </w:r>
      <w:r>
        <w:rPr>
          <w:rFonts w:hAnsi="宋体" w:cs="Times New Roman"/>
          <w:color w:val="auto"/>
          <w:kern w:val="2"/>
          <w:highlight w:val="none"/>
        </w:rPr>
        <w:t>P——</w:t>
      </w:r>
      <w:r>
        <w:rPr>
          <w:rFonts w:hint="eastAsia" w:hAnsi="宋体" w:cs="Times New Roman"/>
          <w:color w:val="auto"/>
          <w:kern w:val="2"/>
          <w:highlight w:val="none"/>
        </w:rPr>
        <w:t>需调整的价格差额；</w:t>
      </w:r>
    </w:p>
    <w:p w14:paraId="43DDDE7D">
      <w:pPr>
        <w:tabs>
          <w:tab w:val="left" w:pos="0"/>
          <w:tab w:val="left" w:pos="360"/>
          <w:tab w:val="left" w:pos="540"/>
        </w:tabs>
        <w:spacing w:line="360" w:lineRule="auto"/>
        <w:ind w:firstLine="1260" w:firstLineChars="600"/>
        <w:rPr>
          <w:rFonts w:hAnsi="宋体" w:cs="Times New Roman"/>
          <w:color w:val="auto"/>
          <w:kern w:val="2"/>
          <w:highlight w:val="none"/>
        </w:rPr>
      </w:pPr>
      <w:r>
        <w:rPr>
          <w:rFonts w:hAnsi="宋体" w:cs="Times New Roman"/>
          <w:color w:val="auto"/>
          <w:kern w:val="2"/>
          <w:position w:val="-6"/>
          <w:highlight w:val="none"/>
        </w:rPr>
        <w:drawing>
          <wp:inline distT="0" distB="0" distL="114300" distR="114300">
            <wp:extent cx="233680" cy="2336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233680" cy="233680"/>
                    </a:xfrm>
                    <a:prstGeom prst="rect">
                      <a:avLst/>
                    </a:prstGeom>
                    <a:noFill/>
                    <a:ln>
                      <a:noFill/>
                    </a:ln>
                  </pic:spPr>
                </pic:pic>
              </a:graphicData>
            </a:graphic>
          </wp:inline>
        </w:drawing>
      </w:r>
      <w:r>
        <w:rPr>
          <w:rFonts w:hAnsi="宋体" w:cs="Times New Roman"/>
          <w:color w:val="auto"/>
          <w:kern w:val="2"/>
          <w:highlight w:val="none"/>
        </w:rPr>
        <w:t>——</w:t>
      </w:r>
      <w:r>
        <w:rPr>
          <w:rFonts w:hint="eastAsia" w:hAnsi="宋体" w:cs="Times New Roman"/>
          <w:color w:val="auto"/>
          <w:kern w:val="2"/>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61AD72A0">
      <w:pPr>
        <w:tabs>
          <w:tab w:val="left" w:pos="0"/>
          <w:tab w:val="left" w:pos="360"/>
          <w:tab w:val="left" w:pos="540"/>
        </w:tabs>
        <w:spacing w:line="360" w:lineRule="auto"/>
        <w:ind w:firstLine="420" w:firstLineChars="200"/>
        <w:rPr>
          <w:rFonts w:hAnsi="宋体" w:cs="Times New Roman"/>
          <w:color w:val="auto"/>
          <w:kern w:val="2"/>
          <w:highlight w:val="none"/>
        </w:rPr>
      </w:pPr>
      <w:r>
        <w:rPr>
          <w:rFonts w:hAnsi="宋体" w:cs="Times New Roman"/>
          <w:color w:val="auto"/>
          <w:kern w:val="2"/>
          <w:highlight w:val="none"/>
        </w:rPr>
        <w:t>A——</w:t>
      </w:r>
      <w:r>
        <w:rPr>
          <w:rFonts w:hint="eastAsia" w:hAnsi="宋体" w:cs="Times New Roman"/>
          <w:color w:val="auto"/>
          <w:kern w:val="2"/>
          <w:highlight w:val="none"/>
        </w:rPr>
        <w:t>定值权重（即不调部分的权重）；</w:t>
      </w:r>
    </w:p>
    <w:p w14:paraId="6EE4B265">
      <w:pPr>
        <w:tabs>
          <w:tab w:val="left" w:pos="0"/>
          <w:tab w:val="left" w:pos="360"/>
          <w:tab w:val="left" w:pos="540"/>
        </w:tabs>
        <w:spacing w:line="360" w:lineRule="auto"/>
        <w:ind w:firstLine="420" w:firstLineChars="200"/>
        <w:rPr>
          <w:rFonts w:hAnsi="宋体" w:cs="Times New Roman"/>
          <w:color w:val="auto"/>
          <w:kern w:val="2"/>
          <w:highlight w:val="none"/>
        </w:rPr>
      </w:pPr>
      <w:r>
        <w:rPr>
          <w:rFonts w:hAnsi="宋体" w:cs="Times New Roman"/>
          <w:color w:val="auto"/>
          <w:kern w:val="2"/>
          <w:position w:val="-10"/>
          <w:highlight w:val="none"/>
        </w:rPr>
        <w:drawing>
          <wp:inline distT="0" distB="0" distL="114300" distR="114300">
            <wp:extent cx="1275715" cy="266065"/>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1275715" cy="266065"/>
                    </a:xfrm>
                    <a:prstGeom prst="rect">
                      <a:avLst/>
                    </a:prstGeom>
                    <a:noFill/>
                    <a:ln>
                      <a:noFill/>
                    </a:ln>
                  </pic:spPr>
                </pic:pic>
              </a:graphicData>
            </a:graphic>
          </wp:inline>
        </w:drawing>
      </w:r>
      <w:r>
        <w:rPr>
          <w:rFonts w:hAnsi="宋体" w:cs="Times New Roman"/>
          <w:color w:val="auto"/>
          <w:kern w:val="2"/>
          <w:highlight w:val="none"/>
        </w:rPr>
        <w:t>——</w:t>
      </w:r>
      <w:r>
        <w:rPr>
          <w:rFonts w:hint="eastAsia" w:hAnsi="宋体" w:cs="Times New Roman"/>
          <w:color w:val="auto"/>
          <w:kern w:val="2"/>
          <w:highlight w:val="none"/>
        </w:rPr>
        <w:t>各可调因子的变值权重（即可调部分的权重），为各可调因子在签约合同价中所占的比例；</w:t>
      </w:r>
    </w:p>
    <w:p w14:paraId="0B873A94">
      <w:pPr>
        <w:tabs>
          <w:tab w:val="left" w:pos="0"/>
          <w:tab w:val="left" w:pos="360"/>
          <w:tab w:val="left" w:pos="540"/>
        </w:tabs>
        <w:spacing w:line="360" w:lineRule="auto"/>
        <w:ind w:firstLine="420" w:firstLineChars="200"/>
        <w:rPr>
          <w:rFonts w:hAnsi="宋体" w:cs="Times New Roman"/>
          <w:color w:val="auto"/>
          <w:kern w:val="2"/>
          <w:highlight w:val="none"/>
        </w:rPr>
      </w:pPr>
      <w:r>
        <w:rPr>
          <w:rFonts w:hAnsi="宋体" w:cs="Times New Roman"/>
          <w:color w:val="auto"/>
          <w:kern w:val="2"/>
          <w:position w:val="-10"/>
          <w:highlight w:val="none"/>
        </w:rPr>
        <w:drawing>
          <wp:inline distT="0" distB="0" distL="114300" distR="114300">
            <wp:extent cx="1286510" cy="255270"/>
            <wp:effectExtent l="0" t="0" r="889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1286510" cy="255270"/>
                    </a:xfrm>
                    <a:prstGeom prst="rect">
                      <a:avLst/>
                    </a:prstGeom>
                    <a:noFill/>
                    <a:ln>
                      <a:noFill/>
                    </a:ln>
                  </pic:spPr>
                </pic:pic>
              </a:graphicData>
            </a:graphic>
          </wp:inline>
        </w:drawing>
      </w:r>
      <w:r>
        <w:rPr>
          <w:rFonts w:hAnsi="宋体" w:cs="Times New Roman"/>
          <w:color w:val="auto"/>
          <w:kern w:val="2"/>
          <w:highlight w:val="none"/>
        </w:rPr>
        <w:t>——</w:t>
      </w:r>
      <w:r>
        <w:rPr>
          <w:rFonts w:hint="eastAsia" w:hAnsi="宋体" w:cs="Times New Roman"/>
          <w:color w:val="auto"/>
          <w:kern w:val="2"/>
          <w:highlight w:val="none"/>
        </w:rPr>
        <w:t>各可调因子的现行价格指数，指约定的付款证书相关周期最后一天的前</w:t>
      </w:r>
      <w:r>
        <w:rPr>
          <w:rFonts w:hAnsi="宋体" w:cs="Times New Roman"/>
          <w:color w:val="auto"/>
          <w:kern w:val="2"/>
          <w:highlight w:val="none"/>
        </w:rPr>
        <w:t>42</w:t>
      </w:r>
      <w:r>
        <w:rPr>
          <w:rFonts w:hint="eastAsia" w:hAnsi="宋体" w:cs="Times New Roman"/>
          <w:color w:val="auto"/>
          <w:kern w:val="2"/>
          <w:highlight w:val="none"/>
        </w:rPr>
        <w:t>天的各可调因子的价格指数；</w:t>
      </w:r>
    </w:p>
    <w:p w14:paraId="7D377617">
      <w:pPr>
        <w:tabs>
          <w:tab w:val="left" w:pos="0"/>
          <w:tab w:val="left" w:pos="360"/>
          <w:tab w:val="left" w:pos="540"/>
        </w:tabs>
        <w:spacing w:line="360" w:lineRule="auto"/>
        <w:ind w:firstLine="420" w:firstLineChars="200"/>
        <w:rPr>
          <w:rFonts w:hAnsi="宋体" w:cs="Times New Roman"/>
          <w:color w:val="auto"/>
          <w:kern w:val="2"/>
          <w:highlight w:val="none"/>
        </w:rPr>
      </w:pPr>
      <w:r>
        <w:rPr>
          <w:rFonts w:hAnsi="宋体" w:cs="Times New Roman"/>
          <w:color w:val="auto"/>
          <w:kern w:val="2"/>
          <w:position w:val="-10"/>
          <w:highlight w:val="none"/>
        </w:rPr>
        <w:drawing>
          <wp:inline distT="0" distB="0" distL="114300" distR="114300">
            <wp:extent cx="1360805" cy="255270"/>
            <wp:effectExtent l="0" t="0" r="10795"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tretch>
                      <a:fillRect/>
                    </a:stretch>
                  </pic:blipFill>
                  <pic:spPr>
                    <a:xfrm>
                      <a:off x="0" y="0"/>
                      <a:ext cx="1360805" cy="255270"/>
                    </a:xfrm>
                    <a:prstGeom prst="rect">
                      <a:avLst/>
                    </a:prstGeom>
                    <a:noFill/>
                    <a:ln>
                      <a:noFill/>
                    </a:ln>
                  </pic:spPr>
                </pic:pic>
              </a:graphicData>
            </a:graphic>
          </wp:inline>
        </w:drawing>
      </w:r>
      <w:r>
        <w:rPr>
          <w:rFonts w:hAnsi="宋体" w:cs="Times New Roman"/>
          <w:color w:val="auto"/>
          <w:kern w:val="2"/>
          <w:highlight w:val="none"/>
        </w:rPr>
        <w:t>——</w:t>
      </w:r>
      <w:r>
        <w:rPr>
          <w:rFonts w:hint="eastAsia" w:hAnsi="宋体" w:cs="Times New Roman"/>
          <w:color w:val="auto"/>
          <w:kern w:val="2"/>
          <w:highlight w:val="none"/>
        </w:rPr>
        <w:t>各可调因子的基本价格指数，指基准日期的各可调因子的价格指数。</w:t>
      </w:r>
    </w:p>
    <w:p w14:paraId="11E57FBF">
      <w:pPr>
        <w:tabs>
          <w:tab w:val="left" w:pos="0"/>
          <w:tab w:val="left" w:pos="360"/>
          <w:tab w:val="left" w:pos="540"/>
        </w:tabs>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22DD5A6A">
      <w:pPr>
        <w:tabs>
          <w:tab w:val="left" w:pos="0"/>
          <w:tab w:val="left" w:pos="360"/>
          <w:tab w:val="left" w:pos="540"/>
        </w:tabs>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2</w:t>
      </w:r>
      <w:r>
        <w:rPr>
          <w:rFonts w:hint="eastAsia" w:hAnsi="宋体" w:cs="Times New Roman"/>
          <w:color w:val="auto"/>
          <w:kern w:val="2"/>
          <w:highlight w:val="none"/>
        </w:rPr>
        <w:t>）暂时确定调整差额</w:t>
      </w:r>
    </w:p>
    <w:p w14:paraId="36A42D8D">
      <w:pPr>
        <w:tabs>
          <w:tab w:val="left" w:pos="0"/>
          <w:tab w:val="left" w:pos="360"/>
          <w:tab w:val="left" w:pos="540"/>
        </w:tabs>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在计算调整差额时无现行价格指数的，合同当事人同意暂用前次价格指数计算。实际价格指数有调整的，合同当事人进行相应调整。</w:t>
      </w:r>
    </w:p>
    <w:p w14:paraId="0AFA3033">
      <w:pPr>
        <w:tabs>
          <w:tab w:val="left" w:pos="0"/>
          <w:tab w:val="left" w:pos="360"/>
          <w:tab w:val="left" w:pos="540"/>
        </w:tabs>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3</w:t>
      </w:r>
      <w:r>
        <w:rPr>
          <w:rFonts w:hint="eastAsia" w:hAnsi="宋体" w:cs="Times New Roman"/>
          <w:color w:val="auto"/>
          <w:kern w:val="2"/>
          <w:highlight w:val="none"/>
        </w:rPr>
        <w:t>）权重的调整</w:t>
      </w:r>
    </w:p>
    <w:p w14:paraId="4588C1A6">
      <w:pPr>
        <w:tabs>
          <w:tab w:val="left" w:pos="0"/>
          <w:tab w:val="left" w:pos="360"/>
          <w:tab w:val="left" w:pos="540"/>
        </w:tabs>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因变更导致合同约定的权重不合理时，按照第</w:t>
      </w:r>
      <w:r>
        <w:rPr>
          <w:rFonts w:hAnsi="宋体" w:cs="Times New Roman"/>
          <w:color w:val="auto"/>
          <w:kern w:val="2"/>
          <w:highlight w:val="none"/>
        </w:rPr>
        <w:t>4.4</w:t>
      </w:r>
      <w:r>
        <w:rPr>
          <w:rFonts w:hint="eastAsia" w:hAnsi="宋体" w:cs="Times New Roman"/>
          <w:color w:val="auto"/>
          <w:kern w:val="2"/>
          <w:highlight w:val="none"/>
        </w:rPr>
        <w:t>款〔商定或确定〕执行。</w:t>
      </w:r>
    </w:p>
    <w:p w14:paraId="723078CA">
      <w:pPr>
        <w:tabs>
          <w:tab w:val="left" w:pos="0"/>
          <w:tab w:val="left" w:pos="360"/>
          <w:tab w:val="left" w:pos="540"/>
        </w:tabs>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4</w:t>
      </w:r>
      <w:r>
        <w:rPr>
          <w:rFonts w:hint="eastAsia" w:hAnsi="宋体" w:cs="Times New Roman"/>
          <w:color w:val="auto"/>
          <w:kern w:val="2"/>
          <w:highlight w:val="none"/>
        </w:rPr>
        <w:t>）因承包人原因工期延误后的价格调整</w:t>
      </w:r>
    </w:p>
    <w:p w14:paraId="23AAE89B">
      <w:pPr>
        <w:tabs>
          <w:tab w:val="left" w:pos="0"/>
          <w:tab w:val="left" w:pos="360"/>
          <w:tab w:val="left" w:pos="540"/>
        </w:tabs>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2081C618">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第</w:t>
      </w:r>
      <w:r>
        <w:rPr>
          <w:rFonts w:hAnsi="宋体" w:cs="Times New Roman"/>
          <w:color w:val="auto"/>
          <w:kern w:val="2"/>
          <w:highlight w:val="none"/>
        </w:rPr>
        <w:t>2</w:t>
      </w:r>
      <w:r>
        <w:rPr>
          <w:rFonts w:hint="eastAsia" w:hAnsi="宋体" w:cs="Times New Roman"/>
          <w:color w:val="auto"/>
          <w:kern w:val="2"/>
          <w:highlight w:val="none"/>
        </w:rPr>
        <w:t>种方式：采用造价信息进行价格调整。</w:t>
      </w:r>
    </w:p>
    <w:p w14:paraId="629A8D92">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53CB1E12">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1</w:t>
      </w:r>
      <w:r>
        <w:rPr>
          <w:rFonts w:hint="eastAsia" w:hAnsi="宋体" w:cs="Times New Roman"/>
          <w:color w:val="auto"/>
          <w:kern w:val="2"/>
          <w:highlight w:val="none"/>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8A1159A">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2</w:t>
      </w:r>
      <w:r>
        <w:rPr>
          <w:rFonts w:hint="eastAsia" w:hAnsi="宋体" w:cs="Times New Roman"/>
          <w:color w:val="auto"/>
          <w:kern w:val="2"/>
          <w:highlight w:val="none"/>
        </w:rPr>
        <w:t>）材料、工程设备价格变化的价款调整按照发包人提供的基准价格，按以下风险范围规定执行</w:t>
      </w:r>
      <w:r>
        <w:rPr>
          <w:rFonts w:hAnsi="宋体" w:cs="Times New Roman"/>
          <w:color w:val="auto"/>
          <w:kern w:val="2"/>
          <w:highlight w:val="none"/>
        </w:rPr>
        <w:t>:</w:t>
      </w:r>
    </w:p>
    <w:p w14:paraId="3FEED15A">
      <w:pPr>
        <w:spacing w:line="360" w:lineRule="auto"/>
        <w:ind w:firstLine="420" w:firstLineChars="200"/>
        <w:rPr>
          <w:rFonts w:hAnsi="宋体" w:cs="Times New Roman"/>
          <w:color w:val="auto"/>
          <w:kern w:val="2"/>
          <w:highlight w:val="none"/>
        </w:rPr>
      </w:pPr>
      <w:r>
        <w:rPr>
          <w:rFonts w:hint="eastAsia" w:hAnsi="宋体"/>
          <w:color w:val="auto"/>
          <w:kern w:val="2"/>
          <w:highlight w:val="none"/>
        </w:rPr>
        <w:t>①</w:t>
      </w:r>
      <w:r>
        <w:rPr>
          <w:rFonts w:hint="eastAsia" w:hAnsi="宋体" w:cs="Times New Roman"/>
          <w:color w:val="auto"/>
          <w:kern w:val="2"/>
          <w:highlight w:val="none"/>
        </w:rPr>
        <w:t>承包人在已标价工程量清单或预算书中载明材料单价低于基准价格的：除专用合同条款另有约定外，合同履行期间材料单价涨幅以基准价格为基础超过</w:t>
      </w:r>
      <w:r>
        <w:rPr>
          <w:rFonts w:hAnsi="宋体" w:cs="Times New Roman"/>
          <w:color w:val="auto"/>
          <w:kern w:val="2"/>
          <w:highlight w:val="none"/>
        </w:rPr>
        <w:t>5%</w:t>
      </w:r>
      <w:r>
        <w:rPr>
          <w:rFonts w:hint="eastAsia" w:hAnsi="宋体" w:cs="Times New Roman"/>
          <w:color w:val="auto"/>
          <w:kern w:val="2"/>
          <w:highlight w:val="none"/>
        </w:rPr>
        <w:t>时，或材料单价跌幅以在已标价工程量清单或预算书中载明材料单价为基础超过</w:t>
      </w:r>
      <w:r>
        <w:rPr>
          <w:rFonts w:hAnsi="宋体" w:cs="Times New Roman"/>
          <w:color w:val="auto"/>
          <w:kern w:val="2"/>
          <w:highlight w:val="none"/>
        </w:rPr>
        <w:t>5%</w:t>
      </w:r>
      <w:r>
        <w:rPr>
          <w:rFonts w:hint="eastAsia" w:hAnsi="宋体" w:cs="Times New Roman"/>
          <w:color w:val="auto"/>
          <w:kern w:val="2"/>
          <w:highlight w:val="none"/>
        </w:rPr>
        <w:t>时，其超过部分据实调整。</w:t>
      </w:r>
    </w:p>
    <w:p w14:paraId="2E85596B">
      <w:pPr>
        <w:spacing w:line="360" w:lineRule="auto"/>
        <w:ind w:firstLine="420" w:firstLineChars="200"/>
        <w:rPr>
          <w:rFonts w:hAnsi="宋体" w:cs="Times New Roman"/>
          <w:color w:val="auto"/>
          <w:kern w:val="2"/>
          <w:highlight w:val="none"/>
        </w:rPr>
      </w:pPr>
      <w:r>
        <w:rPr>
          <w:rFonts w:hint="eastAsia" w:hAnsi="宋体"/>
          <w:color w:val="auto"/>
          <w:kern w:val="2"/>
          <w:highlight w:val="none"/>
        </w:rPr>
        <w:t>②</w:t>
      </w:r>
      <w:r>
        <w:rPr>
          <w:rFonts w:hint="eastAsia" w:hAnsi="宋体" w:cs="Times New Roman"/>
          <w:color w:val="auto"/>
          <w:kern w:val="2"/>
          <w:highlight w:val="none"/>
        </w:rPr>
        <w:t>承包人在已标价工程量清单或预算书中载明材料单价高于基准价格的：除专用合同条款另有约定外，合同履行期间材料单价跌幅以基准价格为基础超过</w:t>
      </w:r>
      <w:r>
        <w:rPr>
          <w:rFonts w:hAnsi="宋体" w:cs="Times New Roman"/>
          <w:color w:val="auto"/>
          <w:kern w:val="2"/>
          <w:highlight w:val="none"/>
        </w:rPr>
        <w:t>5%</w:t>
      </w:r>
      <w:r>
        <w:rPr>
          <w:rFonts w:hint="eastAsia" w:hAnsi="宋体" w:cs="Times New Roman"/>
          <w:color w:val="auto"/>
          <w:kern w:val="2"/>
          <w:highlight w:val="none"/>
        </w:rPr>
        <w:t>时，材料单价涨幅以在已标价工程量清单或预算书中载明材料单价为基础超过</w:t>
      </w:r>
      <w:r>
        <w:rPr>
          <w:rFonts w:hAnsi="宋体" w:cs="Times New Roman"/>
          <w:color w:val="auto"/>
          <w:kern w:val="2"/>
          <w:highlight w:val="none"/>
        </w:rPr>
        <w:t>5%</w:t>
      </w:r>
      <w:r>
        <w:rPr>
          <w:rFonts w:hint="eastAsia" w:hAnsi="宋体" w:cs="Times New Roman"/>
          <w:color w:val="auto"/>
          <w:kern w:val="2"/>
          <w:highlight w:val="none"/>
        </w:rPr>
        <w:t>时，其超过部分据实调整。</w:t>
      </w:r>
    </w:p>
    <w:p w14:paraId="76655416">
      <w:pPr>
        <w:spacing w:line="360" w:lineRule="auto"/>
        <w:ind w:firstLine="420" w:firstLineChars="200"/>
        <w:rPr>
          <w:rFonts w:hAnsi="宋体" w:cs="Times New Roman"/>
          <w:color w:val="auto"/>
          <w:kern w:val="2"/>
          <w:highlight w:val="none"/>
        </w:rPr>
      </w:pPr>
      <w:r>
        <w:rPr>
          <w:rFonts w:hint="eastAsia" w:hAnsi="宋体"/>
          <w:color w:val="auto"/>
          <w:kern w:val="2"/>
          <w:highlight w:val="none"/>
        </w:rPr>
        <w:t>③</w:t>
      </w:r>
      <w:r>
        <w:rPr>
          <w:rFonts w:hint="eastAsia" w:hAnsi="宋体" w:cs="Times New Roman"/>
          <w:color w:val="auto"/>
          <w:kern w:val="2"/>
          <w:highlight w:val="none"/>
        </w:rPr>
        <w:t>承包人在已标价工程量清单或预算书中载明材料单价等于基准价格的：除专用合同条款另有约定外，合同履行期间材料单价涨跌幅以基准价格为基础超过±</w:t>
      </w:r>
      <w:r>
        <w:rPr>
          <w:rFonts w:hAnsi="宋体" w:cs="Times New Roman"/>
          <w:color w:val="auto"/>
          <w:kern w:val="2"/>
          <w:highlight w:val="none"/>
        </w:rPr>
        <w:t>5%</w:t>
      </w:r>
      <w:r>
        <w:rPr>
          <w:rFonts w:hint="eastAsia" w:hAnsi="宋体" w:cs="Times New Roman"/>
          <w:color w:val="auto"/>
          <w:kern w:val="2"/>
          <w:highlight w:val="none"/>
        </w:rPr>
        <w:t>时，其超过部分据实调整。</w:t>
      </w:r>
    </w:p>
    <w:p w14:paraId="215C11C4">
      <w:pPr>
        <w:spacing w:line="360" w:lineRule="auto"/>
        <w:ind w:firstLine="420" w:firstLineChars="200"/>
        <w:rPr>
          <w:rFonts w:hAnsi="宋体" w:cs="Times New Roman"/>
          <w:color w:val="auto"/>
          <w:kern w:val="2"/>
          <w:highlight w:val="none"/>
        </w:rPr>
      </w:pPr>
      <w:r>
        <w:rPr>
          <w:rFonts w:hint="eastAsia" w:hAnsi="宋体"/>
          <w:color w:val="auto"/>
          <w:kern w:val="2"/>
          <w:highlight w:val="none"/>
        </w:rPr>
        <w:t>④</w:t>
      </w:r>
      <w:r>
        <w:rPr>
          <w:rFonts w:hint="eastAsia" w:hAnsi="宋体" w:cs="Times New Roman"/>
          <w:color w:val="auto"/>
          <w:kern w:val="2"/>
          <w:highlight w:val="none"/>
        </w:rPr>
        <w:t>承包人应在采购材料前将采购数量和新的材料单价报发包人核对，发包人确认用于工程时，发包人应确认采购材料的数量和单价。发包人在收到承包人报送的确认资料后</w:t>
      </w:r>
      <w:r>
        <w:rPr>
          <w:rFonts w:hAnsi="宋体" w:cs="Times New Roman"/>
          <w:color w:val="auto"/>
          <w:kern w:val="2"/>
          <w:highlight w:val="none"/>
        </w:rPr>
        <w:t>5</w:t>
      </w:r>
      <w:r>
        <w:rPr>
          <w:rFonts w:hint="eastAsia" w:hAnsi="宋体" w:cs="Times New Roman"/>
          <w:color w:val="auto"/>
          <w:kern w:val="2"/>
          <w:highlight w:val="none"/>
        </w:rPr>
        <w:t>天内不予答复的视为认可，作为调整合同价格的依据。未经发包人事先核对，承包人自行采购材料的，发包人有权不予调整合同价格。发包人同意的，可以调整合同价格。</w:t>
      </w:r>
    </w:p>
    <w:p w14:paraId="17B1CB4B">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0EDFA572">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3</w:t>
      </w:r>
      <w:r>
        <w:rPr>
          <w:rFonts w:hint="eastAsia" w:hAnsi="宋体" w:cs="Times New Roman"/>
          <w:color w:val="auto"/>
          <w:kern w:val="2"/>
          <w:highlight w:val="none"/>
        </w:rPr>
        <w:t>）施工机械台班单价或施工机械使用费发生变化超过省级或行业建设主管部门或其授权的工程造价管理机构规定的范围时，按规定调整合同价格。</w:t>
      </w:r>
    </w:p>
    <w:p w14:paraId="13EF79E8">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第</w:t>
      </w:r>
      <w:r>
        <w:rPr>
          <w:rFonts w:hAnsi="宋体" w:cs="Times New Roman"/>
          <w:color w:val="auto"/>
          <w:kern w:val="2"/>
          <w:highlight w:val="none"/>
        </w:rPr>
        <w:t>3</w:t>
      </w:r>
      <w:r>
        <w:rPr>
          <w:rFonts w:hint="eastAsia" w:hAnsi="宋体" w:cs="Times New Roman"/>
          <w:color w:val="auto"/>
          <w:kern w:val="2"/>
          <w:highlight w:val="none"/>
        </w:rPr>
        <w:t>种方式：专用合同条款约定的其他方式。</w:t>
      </w:r>
    </w:p>
    <w:p w14:paraId="2E26EDEC">
      <w:pPr>
        <w:keepNext/>
        <w:keepLines/>
        <w:spacing w:line="360" w:lineRule="auto"/>
        <w:outlineLvl w:val="3"/>
        <w:rPr>
          <w:rFonts w:hAnsi="宋体" w:cs="Times New Roman"/>
          <w:b/>
          <w:bCs/>
          <w:color w:val="auto"/>
          <w:kern w:val="2"/>
          <w:szCs w:val="28"/>
          <w:highlight w:val="none"/>
        </w:rPr>
      </w:pPr>
      <w:bookmarkStart w:id="446" w:name="_Toc532839946"/>
      <w:bookmarkStart w:id="447" w:name="_Toc351203579"/>
      <w:bookmarkStart w:id="448" w:name="_Toc296503093"/>
      <w:bookmarkStart w:id="449" w:name="_Toc296346594"/>
      <w:bookmarkStart w:id="450" w:name="_Toc337558798"/>
      <w:r>
        <w:rPr>
          <w:rFonts w:hAnsi="宋体" w:cs="Times New Roman"/>
          <w:b/>
          <w:bCs/>
          <w:color w:val="auto"/>
          <w:kern w:val="2"/>
          <w:szCs w:val="28"/>
          <w:highlight w:val="none"/>
        </w:rPr>
        <w:t>11.2</w:t>
      </w:r>
      <w:r>
        <w:rPr>
          <w:rFonts w:hint="eastAsia" w:hAnsi="宋体" w:cs="Times New Roman"/>
          <w:b/>
          <w:bCs/>
          <w:color w:val="auto"/>
          <w:kern w:val="2"/>
          <w:szCs w:val="28"/>
          <w:highlight w:val="none"/>
        </w:rPr>
        <w:t>法律变化引起的调整</w:t>
      </w:r>
      <w:bookmarkEnd w:id="446"/>
      <w:bookmarkEnd w:id="447"/>
    </w:p>
    <w:bookmarkEnd w:id="448"/>
    <w:bookmarkEnd w:id="449"/>
    <w:bookmarkEnd w:id="450"/>
    <w:p w14:paraId="2E6F5284">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基准日期后，法律变化导致承包人在合同履行过程中所需要的费用发生除第</w:t>
      </w:r>
      <w:r>
        <w:rPr>
          <w:rFonts w:hAnsi="宋体" w:cs="Times New Roman"/>
          <w:color w:val="auto"/>
          <w:kern w:val="2"/>
          <w:highlight w:val="none"/>
        </w:rPr>
        <w:t>11.1</w:t>
      </w:r>
      <w:r>
        <w:rPr>
          <w:rFonts w:hint="eastAsia" w:hAnsi="宋体" w:cs="Times New Roman"/>
          <w:color w:val="auto"/>
          <w:kern w:val="2"/>
          <w:highlight w:val="none"/>
        </w:rPr>
        <w:t>款〔市场价格波动引起的调整〕约定以外的增加时，由发包人承担由此增加的费用；减少时，应从合同价格中予以扣减。基准日期后，因法律变化造成工期延误时，工期应予以顺延。</w:t>
      </w:r>
    </w:p>
    <w:p w14:paraId="51D8B355">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因法律变化引起的合同价格和工期调整，合同当事人无法达成一致的，由总监理工程师按第</w:t>
      </w:r>
      <w:r>
        <w:rPr>
          <w:rFonts w:hAnsi="宋体" w:cs="Times New Roman"/>
          <w:color w:val="auto"/>
          <w:kern w:val="2"/>
          <w:highlight w:val="none"/>
        </w:rPr>
        <w:t>4.4</w:t>
      </w:r>
      <w:r>
        <w:rPr>
          <w:rFonts w:hint="eastAsia" w:hAnsi="宋体" w:cs="Times New Roman"/>
          <w:color w:val="auto"/>
          <w:kern w:val="2"/>
          <w:highlight w:val="none"/>
        </w:rPr>
        <w:t>款〔商定或确定〕的约定处理。</w:t>
      </w:r>
    </w:p>
    <w:p w14:paraId="4E0A77BF">
      <w:pPr>
        <w:spacing w:line="360" w:lineRule="auto"/>
        <w:ind w:firstLine="420" w:firstLineChars="200"/>
        <w:rPr>
          <w:rFonts w:hAnsi="宋体" w:cs="Times New Roman"/>
          <w:color w:val="auto"/>
          <w:kern w:val="2"/>
          <w:highlight w:val="none"/>
        </w:rPr>
      </w:pPr>
      <w:r>
        <w:rPr>
          <w:rFonts w:hint="eastAsia" w:hAnsi="宋体" w:cs="Times New Roman"/>
          <w:color w:val="auto"/>
          <w:highlight w:val="none"/>
        </w:rPr>
        <w:t>因承包人原因造成工期延误，在工期延误期间出现法律变化的，由此增加的费用和（或）延误的工期由承包人承担。</w:t>
      </w:r>
    </w:p>
    <w:p w14:paraId="0721B9D2">
      <w:pPr>
        <w:keepNext/>
        <w:keepLines/>
        <w:spacing w:line="360" w:lineRule="auto"/>
        <w:outlineLvl w:val="2"/>
        <w:rPr>
          <w:rFonts w:hAnsi="宋体" w:cs="Times New Roman"/>
          <w:b/>
          <w:bCs/>
          <w:color w:val="auto"/>
          <w:kern w:val="2"/>
          <w:szCs w:val="32"/>
          <w:highlight w:val="none"/>
        </w:rPr>
      </w:pPr>
      <w:bookmarkStart w:id="451" w:name="_Toc351203580"/>
      <w:bookmarkStart w:id="452" w:name="_Toc527130429"/>
      <w:bookmarkStart w:id="453" w:name="_Toc532839947"/>
      <w:bookmarkStart w:id="454" w:name="_Toc512691383"/>
      <w:bookmarkStart w:id="455" w:name="_Toc337558799"/>
      <w:bookmarkStart w:id="456" w:name="_Toc296346597"/>
      <w:bookmarkStart w:id="457" w:name="_Toc296503096"/>
      <w:r>
        <w:rPr>
          <w:rFonts w:hAnsi="宋体" w:cs="Times New Roman"/>
          <w:b/>
          <w:bCs/>
          <w:color w:val="auto"/>
          <w:kern w:val="2"/>
          <w:szCs w:val="32"/>
          <w:highlight w:val="none"/>
        </w:rPr>
        <w:t xml:space="preserve">12. </w:t>
      </w:r>
      <w:r>
        <w:rPr>
          <w:rFonts w:hint="eastAsia" w:hAnsi="宋体" w:cs="Times New Roman"/>
          <w:b/>
          <w:bCs/>
          <w:color w:val="auto"/>
          <w:kern w:val="2"/>
          <w:szCs w:val="32"/>
          <w:highlight w:val="none"/>
        </w:rPr>
        <w:t>合同价格、计量与支付</w:t>
      </w:r>
      <w:bookmarkEnd w:id="451"/>
      <w:bookmarkEnd w:id="452"/>
      <w:bookmarkEnd w:id="453"/>
      <w:bookmarkEnd w:id="454"/>
    </w:p>
    <w:bookmarkEnd w:id="455"/>
    <w:p w14:paraId="78CCF8A3">
      <w:pPr>
        <w:keepNext/>
        <w:keepLines/>
        <w:spacing w:line="360" w:lineRule="auto"/>
        <w:outlineLvl w:val="3"/>
        <w:rPr>
          <w:rFonts w:hAnsi="宋体" w:cs="Times New Roman"/>
          <w:b/>
          <w:bCs/>
          <w:color w:val="auto"/>
          <w:kern w:val="2"/>
          <w:szCs w:val="28"/>
          <w:highlight w:val="none"/>
        </w:rPr>
      </w:pPr>
      <w:bookmarkStart w:id="458" w:name="_Toc532839948"/>
      <w:bookmarkStart w:id="459" w:name="_Toc351203581"/>
      <w:bookmarkStart w:id="460" w:name="_Toc337558800"/>
      <w:r>
        <w:rPr>
          <w:rFonts w:hAnsi="宋体" w:cs="Times New Roman"/>
          <w:b/>
          <w:bCs/>
          <w:color w:val="auto"/>
          <w:kern w:val="2"/>
          <w:szCs w:val="28"/>
          <w:highlight w:val="none"/>
        </w:rPr>
        <w:t xml:space="preserve">12.1 </w:t>
      </w:r>
      <w:r>
        <w:rPr>
          <w:rFonts w:hint="eastAsia" w:hAnsi="宋体"/>
          <w:b/>
          <w:bCs/>
          <w:color w:val="auto"/>
          <w:kern w:val="2"/>
          <w:szCs w:val="28"/>
          <w:highlight w:val="none"/>
        </w:rPr>
        <w:t>合同价</w:t>
      </w:r>
      <w:bookmarkEnd w:id="456"/>
      <w:bookmarkEnd w:id="457"/>
      <w:r>
        <w:rPr>
          <w:rFonts w:hint="eastAsia" w:hAnsi="宋体"/>
          <w:b/>
          <w:bCs/>
          <w:color w:val="auto"/>
          <w:kern w:val="2"/>
          <w:szCs w:val="28"/>
          <w:highlight w:val="none"/>
        </w:rPr>
        <w:t>格形式</w:t>
      </w:r>
      <w:bookmarkEnd w:id="458"/>
      <w:bookmarkEnd w:id="459"/>
    </w:p>
    <w:bookmarkEnd w:id="460"/>
    <w:p w14:paraId="6ABF593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发包人和承包人应在合同协议书中选择下列一种合同价格形式：</w:t>
      </w:r>
      <w:r>
        <w:rPr>
          <w:rFonts w:hAnsi="宋体" w:cs="Times New Roman"/>
          <w:color w:val="auto"/>
          <w:highlight w:val="none"/>
        </w:rPr>
        <w:t xml:space="preserve"> </w:t>
      </w:r>
    </w:p>
    <w:p w14:paraId="488F98C3">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1</w:t>
      </w:r>
      <w:r>
        <w:rPr>
          <w:rFonts w:hint="eastAsia" w:hAnsi="宋体" w:cs="Times New Roman"/>
          <w:color w:val="auto"/>
          <w:highlight w:val="none"/>
        </w:rPr>
        <w:t>、单价合同</w:t>
      </w:r>
    </w:p>
    <w:p w14:paraId="79DD5AF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单价合同是指合同当事人约定以工程量清单及其综合单价进行合同价格计算、调整和确认的建设工程施工合同，</w:t>
      </w:r>
      <w:r>
        <w:rPr>
          <w:rFonts w:hint="eastAsia" w:hAnsi="宋体" w:cs="Times New Roman"/>
          <w:color w:val="auto"/>
          <w:kern w:val="2"/>
          <w:highlight w:val="none"/>
        </w:rPr>
        <w:t>在约定的范围内合同单价不作调整</w:t>
      </w:r>
      <w:r>
        <w:rPr>
          <w:rFonts w:hint="eastAsia" w:hAnsi="宋体" w:cs="Times New Roman"/>
          <w:color w:val="auto"/>
          <w:highlight w:val="none"/>
        </w:rPr>
        <w:t>。合同当事人应在专用合同条款中约定综合单价包含的风险范围和风险费用的计算方法</w:t>
      </w:r>
      <w:r>
        <w:rPr>
          <w:rFonts w:hint="eastAsia" w:hAnsi="宋体" w:cs="Times New Roman"/>
          <w:color w:val="auto"/>
          <w:kern w:val="2"/>
          <w:highlight w:val="none"/>
        </w:rPr>
        <w:t>，</w:t>
      </w:r>
      <w:r>
        <w:rPr>
          <w:rFonts w:hint="eastAsia" w:hAnsi="宋体" w:cs="Times New Roman"/>
          <w:color w:val="auto"/>
          <w:highlight w:val="none"/>
        </w:rPr>
        <w:t>并约定风险范围以外的合同价格的调整方法，其中因市场价格波动引起的调整按第</w:t>
      </w:r>
      <w:r>
        <w:rPr>
          <w:rFonts w:hAnsi="宋体" w:cs="Times New Roman"/>
          <w:color w:val="auto"/>
          <w:highlight w:val="none"/>
        </w:rPr>
        <w:t>11.1</w:t>
      </w:r>
      <w:r>
        <w:rPr>
          <w:rFonts w:hint="eastAsia" w:hAnsi="宋体" w:cs="Times New Roman"/>
          <w:color w:val="auto"/>
          <w:highlight w:val="none"/>
        </w:rPr>
        <w:t>款〔市场价格波动引起的调整〕约定执行。</w:t>
      </w:r>
    </w:p>
    <w:p w14:paraId="1608D9F8">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2</w:t>
      </w:r>
      <w:r>
        <w:rPr>
          <w:rFonts w:hint="eastAsia" w:hAnsi="宋体" w:cs="Times New Roman"/>
          <w:color w:val="auto"/>
          <w:highlight w:val="none"/>
        </w:rPr>
        <w:t>、总价合同</w:t>
      </w:r>
    </w:p>
    <w:p w14:paraId="0B1BE2A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总价合同是指合同当事人约定以施工图、已标价工程量清单或预算书及有关条件进行合同价格计算、调整和确认的建设工程施工合同，</w:t>
      </w:r>
      <w:r>
        <w:rPr>
          <w:rFonts w:hint="eastAsia" w:hAnsi="宋体" w:cs="Times New Roman"/>
          <w:color w:val="auto"/>
          <w:kern w:val="2"/>
          <w:highlight w:val="none"/>
        </w:rPr>
        <w:t>在约定的范围内合同总价不作调整</w:t>
      </w:r>
      <w:r>
        <w:rPr>
          <w:rFonts w:hint="eastAsia" w:hAnsi="宋体" w:cs="Times New Roman"/>
          <w:color w:val="auto"/>
          <w:highlight w:val="none"/>
        </w:rPr>
        <w:t>。合同当事人应在专用合同条款中约定总价包含的风险范围和风险费用的计算方法，并约定风险范围以外的合同价格的调整方法，其中因市场价格波动引起的调整按第</w:t>
      </w:r>
      <w:r>
        <w:rPr>
          <w:rFonts w:hAnsi="宋体" w:cs="Times New Roman"/>
          <w:color w:val="auto"/>
          <w:highlight w:val="none"/>
        </w:rPr>
        <w:t>11.1</w:t>
      </w:r>
      <w:r>
        <w:rPr>
          <w:rFonts w:hint="eastAsia" w:hAnsi="宋体" w:cs="Times New Roman"/>
          <w:color w:val="auto"/>
          <w:highlight w:val="none"/>
        </w:rPr>
        <w:t>款〔市场价格波动引起的调整〕、因法律变化引起的调整按第</w:t>
      </w:r>
      <w:r>
        <w:rPr>
          <w:rFonts w:hAnsi="宋体" w:cs="Times New Roman"/>
          <w:color w:val="auto"/>
          <w:highlight w:val="none"/>
        </w:rPr>
        <w:t>11.2</w:t>
      </w:r>
      <w:r>
        <w:rPr>
          <w:rFonts w:hint="eastAsia" w:hAnsi="宋体" w:cs="Times New Roman"/>
          <w:color w:val="auto"/>
          <w:highlight w:val="none"/>
        </w:rPr>
        <w:t>款〔法律变化引起的调整〕约定执行。</w:t>
      </w:r>
    </w:p>
    <w:p w14:paraId="105E04BB">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3</w:t>
      </w:r>
      <w:r>
        <w:rPr>
          <w:rFonts w:hint="eastAsia" w:hAnsi="宋体" w:cs="Times New Roman"/>
          <w:color w:val="auto"/>
          <w:highlight w:val="none"/>
        </w:rPr>
        <w:t>、其它价格形式</w:t>
      </w:r>
    </w:p>
    <w:p w14:paraId="655063AF">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合同当事人可在专用合同条款中约定其他合同价格形式。</w:t>
      </w:r>
    </w:p>
    <w:p w14:paraId="3179CC60">
      <w:pPr>
        <w:keepNext/>
        <w:keepLines/>
        <w:spacing w:line="360" w:lineRule="auto"/>
        <w:outlineLvl w:val="3"/>
        <w:rPr>
          <w:rFonts w:hAnsi="宋体" w:cs="Times New Roman"/>
          <w:b/>
          <w:bCs/>
          <w:color w:val="auto"/>
          <w:kern w:val="2"/>
          <w:szCs w:val="28"/>
          <w:highlight w:val="none"/>
        </w:rPr>
      </w:pPr>
      <w:bookmarkStart w:id="461" w:name="_Toc296346598"/>
      <w:bookmarkStart w:id="462" w:name="_Toc296503097"/>
      <w:bookmarkStart w:id="463" w:name="_Toc351203582"/>
      <w:bookmarkStart w:id="464" w:name="_Toc532839949"/>
      <w:bookmarkStart w:id="465" w:name="_Toc337558801"/>
      <w:r>
        <w:rPr>
          <w:rFonts w:hAnsi="宋体" w:cs="Times New Roman"/>
          <w:b/>
          <w:bCs/>
          <w:color w:val="auto"/>
          <w:kern w:val="2"/>
          <w:szCs w:val="28"/>
          <w:highlight w:val="none"/>
        </w:rPr>
        <w:t>12.2</w:t>
      </w:r>
      <w:r>
        <w:rPr>
          <w:rFonts w:hint="eastAsia" w:hAnsi="宋体"/>
          <w:b/>
          <w:bCs/>
          <w:color w:val="auto"/>
          <w:kern w:val="2"/>
          <w:szCs w:val="28"/>
          <w:highlight w:val="none"/>
        </w:rPr>
        <w:t>预</w:t>
      </w:r>
      <w:bookmarkEnd w:id="461"/>
      <w:bookmarkEnd w:id="462"/>
      <w:bookmarkStart w:id="466" w:name="_Toc296503100"/>
      <w:bookmarkStart w:id="467" w:name="_Toc296346601"/>
      <w:r>
        <w:rPr>
          <w:rFonts w:hint="eastAsia" w:hAnsi="宋体"/>
          <w:b/>
          <w:bCs/>
          <w:color w:val="auto"/>
          <w:kern w:val="2"/>
          <w:szCs w:val="28"/>
          <w:highlight w:val="none"/>
        </w:rPr>
        <w:t>付款</w:t>
      </w:r>
      <w:bookmarkEnd w:id="463"/>
      <w:bookmarkEnd w:id="464"/>
    </w:p>
    <w:bookmarkEnd w:id="465"/>
    <w:bookmarkEnd w:id="466"/>
    <w:bookmarkEnd w:id="467"/>
    <w:p w14:paraId="77845BF3">
      <w:pPr>
        <w:spacing w:line="360" w:lineRule="auto"/>
        <w:ind w:firstLine="420" w:firstLineChars="200"/>
        <w:jc w:val="left"/>
        <w:rPr>
          <w:rFonts w:hAnsi="宋体" w:cs="Times New Roman"/>
          <w:color w:val="auto"/>
          <w:highlight w:val="none"/>
        </w:rPr>
      </w:pPr>
      <w:r>
        <w:rPr>
          <w:rFonts w:hAnsi="宋体" w:cs="Times New Roman"/>
          <w:color w:val="auto"/>
          <w:kern w:val="2"/>
          <w:highlight w:val="none"/>
        </w:rPr>
        <w:t>12.2.</w:t>
      </w:r>
      <w:r>
        <w:rPr>
          <w:rFonts w:hAnsi="宋体" w:cs="Times New Roman"/>
          <w:color w:val="auto"/>
          <w:highlight w:val="none"/>
        </w:rPr>
        <w:t>1</w:t>
      </w:r>
      <w:r>
        <w:rPr>
          <w:rFonts w:hint="eastAsia" w:hAnsi="宋体" w:cs="Times New Roman"/>
          <w:color w:val="auto"/>
          <w:highlight w:val="none"/>
        </w:rPr>
        <w:t>预付款的支付</w:t>
      </w:r>
    </w:p>
    <w:p w14:paraId="7357B5A7">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预付款的支付按照专用合同条款约定执行，但至迟应在开工通知载明的开工日期</w:t>
      </w:r>
      <w:r>
        <w:rPr>
          <w:rFonts w:hAnsi="宋体" w:cs="Times New Roman"/>
          <w:color w:val="auto"/>
          <w:highlight w:val="none"/>
        </w:rPr>
        <w:t>7</w:t>
      </w:r>
      <w:r>
        <w:rPr>
          <w:rFonts w:hint="eastAsia" w:hAnsi="宋体" w:cs="Times New Roman"/>
          <w:color w:val="auto"/>
          <w:highlight w:val="none"/>
        </w:rPr>
        <w:t>天前支付。预付款应当用于材料、工程设备、施工设备的采购及修建临时工程、组织施工队伍进场等。</w:t>
      </w:r>
    </w:p>
    <w:p w14:paraId="3EBB589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除专用合同条款另有约定外，预付款在进度付款中同比例扣回。在颁发工程接收证书前，提前解除合同的，尚未扣完的预付款应与合同价款一并结算。</w:t>
      </w:r>
    </w:p>
    <w:p w14:paraId="48F7A0C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发包人逾期支付预付款超过</w:t>
      </w:r>
      <w:r>
        <w:rPr>
          <w:rFonts w:hAnsi="宋体" w:cs="Times New Roman"/>
          <w:color w:val="auto"/>
          <w:highlight w:val="none"/>
        </w:rPr>
        <w:t>7</w:t>
      </w:r>
      <w:r>
        <w:rPr>
          <w:rFonts w:hint="eastAsia" w:hAnsi="宋体" w:cs="Times New Roman"/>
          <w:color w:val="auto"/>
          <w:highlight w:val="none"/>
        </w:rPr>
        <w:t>天的，承包人有权向发包人发出要求预付的催告通知，发包人收到通知后</w:t>
      </w:r>
      <w:r>
        <w:rPr>
          <w:rFonts w:hAnsi="宋体" w:cs="Times New Roman"/>
          <w:color w:val="auto"/>
          <w:highlight w:val="none"/>
        </w:rPr>
        <w:t>7</w:t>
      </w:r>
      <w:r>
        <w:rPr>
          <w:rFonts w:hint="eastAsia" w:hAnsi="宋体" w:cs="Times New Roman"/>
          <w:color w:val="auto"/>
          <w:highlight w:val="none"/>
        </w:rPr>
        <w:t>天内仍未支付的，承包人有权暂停施工，并按第</w:t>
      </w:r>
      <w:r>
        <w:rPr>
          <w:rFonts w:hAnsi="宋体" w:cs="Times New Roman"/>
          <w:color w:val="auto"/>
          <w:highlight w:val="none"/>
        </w:rPr>
        <w:t>16.1.1</w:t>
      </w:r>
      <w:r>
        <w:rPr>
          <w:rFonts w:hint="eastAsia" w:hAnsi="宋体" w:cs="Times New Roman"/>
          <w:color w:val="auto"/>
          <w:highlight w:val="none"/>
        </w:rPr>
        <w:t>项〔发包人违约的情形〕执行。</w:t>
      </w:r>
    </w:p>
    <w:p w14:paraId="01214F1F">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12.2.2 </w:t>
      </w:r>
      <w:r>
        <w:rPr>
          <w:rFonts w:hint="eastAsia" w:hAnsi="宋体" w:cs="Times New Roman"/>
          <w:color w:val="auto"/>
          <w:kern w:val="2"/>
          <w:highlight w:val="none"/>
        </w:rPr>
        <w:t>预付款担保</w:t>
      </w:r>
    </w:p>
    <w:p w14:paraId="1E041141">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发包人要求承包人提供预付款担保的，承包人应在发包人支付预付款</w:t>
      </w:r>
      <w:r>
        <w:rPr>
          <w:rFonts w:hAnsi="宋体" w:cs="Times New Roman"/>
          <w:color w:val="auto"/>
          <w:highlight w:val="none"/>
        </w:rPr>
        <w:t>7</w:t>
      </w:r>
      <w:r>
        <w:rPr>
          <w:rFonts w:hint="eastAsia" w:hAnsi="宋体" w:cs="Times New Roman"/>
          <w:color w:val="auto"/>
          <w:highlight w:val="none"/>
        </w:rPr>
        <w:t>天前提供预付款担保，专用合同条款另有约定除外。预付款担保可采用银行保函、担保公司担保等形式，具体由合同当事人在专用合同条款中约定。在预付款完全扣回之前，承包人应保证预付款担保持续有效。</w:t>
      </w:r>
    </w:p>
    <w:p w14:paraId="3BBA425C">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发包人在工程款中逐期扣回预付款后，预付款担保额度应相应减少，但剩余的预付款担保金额不得低于未被扣回的预付款金额。</w:t>
      </w:r>
    </w:p>
    <w:p w14:paraId="1F92291F">
      <w:pPr>
        <w:keepNext/>
        <w:keepLines/>
        <w:spacing w:line="360" w:lineRule="auto"/>
        <w:outlineLvl w:val="3"/>
        <w:rPr>
          <w:rFonts w:hAnsi="宋体" w:cs="Times New Roman"/>
          <w:b/>
          <w:bCs/>
          <w:color w:val="auto"/>
          <w:kern w:val="2"/>
          <w:szCs w:val="28"/>
          <w:highlight w:val="none"/>
        </w:rPr>
      </w:pPr>
      <w:bookmarkStart w:id="468" w:name="_Toc351203583"/>
      <w:bookmarkStart w:id="469" w:name="_Toc532839950"/>
      <w:bookmarkStart w:id="470" w:name="_Toc337558802"/>
      <w:r>
        <w:rPr>
          <w:rFonts w:hAnsi="宋体" w:cs="Times New Roman"/>
          <w:b/>
          <w:bCs/>
          <w:color w:val="auto"/>
          <w:kern w:val="2"/>
          <w:szCs w:val="28"/>
          <w:highlight w:val="none"/>
        </w:rPr>
        <w:t>12.3</w:t>
      </w:r>
      <w:r>
        <w:rPr>
          <w:rFonts w:hint="eastAsia" w:hAnsi="宋体"/>
          <w:b/>
          <w:bCs/>
          <w:color w:val="auto"/>
          <w:kern w:val="2"/>
          <w:szCs w:val="28"/>
          <w:highlight w:val="none"/>
        </w:rPr>
        <w:t>计量</w:t>
      </w:r>
      <w:bookmarkEnd w:id="468"/>
      <w:bookmarkEnd w:id="469"/>
    </w:p>
    <w:bookmarkEnd w:id="470"/>
    <w:p w14:paraId="5CB8EA97">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12.3.1 </w:t>
      </w:r>
      <w:r>
        <w:rPr>
          <w:rFonts w:hint="eastAsia" w:hAnsi="宋体" w:cs="Times New Roman"/>
          <w:color w:val="auto"/>
          <w:highlight w:val="none"/>
        </w:rPr>
        <w:t>计量原则</w:t>
      </w:r>
    </w:p>
    <w:p w14:paraId="5377AF8B">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工程量计量按照合同约定的工程量计算规则、图纸及变更指示等进行计量。工程量计算规则应以相关的国家标准、行业标准等为依据，由合同当事人在专用合同条款中约定。</w:t>
      </w:r>
    </w:p>
    <w:p w14:paraId="07AB648B">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12.3.2 </w:t>
      </w:r>
      <w:r>
        <w:rPr>
          <w:rFonts w:hint="eastAsia" w:hAnsi="宋体" w:cs="Times New Roman"/>
          <w:color w:val="auto"/>
          <w:highlight w:val="none"/>
        </w:rPr>
        <w:t>计量周期</w:t>
      </w:r>
    </w:p>
    <w:p w14:paraId="2F3CF97F">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除专用合同条款另有约定外，工程量的计量按月进行。</w:t>
      </w:r>
    </w:p>
    <w:p w14:paraId="64FACE1C">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12.3.3 </w:t>
      </w:r>
      <w:r>
        <w:rPr>
          <w:rFonts w:hint="eastAsia" w:hAnsi="宋体" w:cs="Times New Roman"/>
          <w:color w:val="auto"/>
          <w:highlight w:val="none"/>
        </w:rPr>
        <w:t>单价合同的计量</w:t>
      </w:r>
    </w:p>
    <w:p w14:paraId="3680550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除专用合同条款另有约定外，单价合同的计量按照本项约定执行：</w:t>
      </w:r>
    </w:p>
    <w:p w14:paraId="39FF02C7">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）承包人应于每月</w:t>
      </w:r>
      <w:r>
        <w:rPr>
          <w:rFonts w:hAnsi="宋体" w:cs="Times New Roman"/>
          <w:color w:val="auto"/>
          <w:highlight w:val="none"/>
        </w:rPr>
        <w:t>25</w:t>
      </w:r>
      <w:r>
        <w:rPr>
          <w:rFonts w:hint="eastAsia" w:hAnsi="宋体" w:cs="Times New Roman"/>
          <w:color w:val="auto"/>
          <w:highlight w:val="none"/>
        </w:rPr>
        <w:t>日向监理人报送上月</w:t>
      </w:r>
      <w:r>
        <w:rPr>
          <w:rFonts w:hAnsi="宋体" w:cs="Times New Roman"/>
          <w:color w:val="auto"/>
          <w:highlight w:val="none"/>
        </w:rPr>
        <w:t>20</w:t>
      </w:r>
      <w:r>
        <w:rPr>
          <w:rFonts w:hint="eastAsia" w:hAnsi="宋体" w:cs="Times New Roman"/>
          <w:color w:val="auto"/>
          <w:highlight w:val="none"/>
        </w:rPr>
        <w:t>日至当月</w:t>
      </w:r>
      <w:r>
        <w:rPr>
          <w:rFonts w:hAnsi="宋体" w:cs="Times New Roman"/>
          <w:color w:val="auto"/>
          <w:highlight w:val="none"/>
        </w:rPr>
        <w:t>19</w:t>
      </w:r>
      <w:r>
        <w:rPr>
          <w:rFonts w:hint="eastAsia" w:hAnsi="宋体" w:cs="Times New Roman"/>
          <w:color w:val="auto"/>
          <w:highlight w:val="none"/>
        </w:rPr>
        <w:t>日已完成的工程量报告，并附具进度付款申请单、已完成工程量报表和有关资料。</w:t>
      </w:r>
    </w:p>
    <w:p w14:paraId="2BFB155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）监理人应在收到承包人提交的工程量报告后</w:t>
      </w:r>
      <w:r>
        <w:rPr>
          <w:rFonts w:hAnsi="宋体" w:cs="Times New Roman"/>
          <w:color w:val="auto"/>
          <w:highlight w:val="none"/>
        </w:rPr>
        <w:t>7</w:t>
      </w:r>
      <w:r>
        <w:rPr>
          <w:rFonts w:hint="eastAsia" w:hAnsi="宋体" w:cs="Times New Roman"/>
          <w:color w:val="auto"/>
          <w:highlight w:val="none"/>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7611C7E">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）监理人未在收到承包人提交的工程量报表后的</w:t>
      </w:r>
      <w:r>
        <w:rPr>
          <w:rFonts w:hAnsi="宋体" w:cs="Times New Roman"/>
          <w:color w:val="auto"/>
          <w:highlight w:val="none"/>
        </w:rPr>
        <w:t>7</w:t>
      </w:r>
      <w:r>
        <w:rPr>
          <w:rFonts w:hint="eastAsia" w:hAnsi="宋体" w:cs="Times New Roman"/>
          <w:color w:val="auto"/>
          <w:highlight w:val="none"/>
        </w:rPr>
        <w:t>天内完成审核的，承包人报送的工程量报告中的工程量视为承包人实际完成的工程量，据此计算工程价款。</w:t>
      </w:r>
    </w:p>
    <w:p w14:paraId="49A3BFE6">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12.3.4 </w:t>
      </w:r>
      <w:r>
        <w:rPr>
          <w:rFonts w:hint="eastAsia" w:hAnsi="宋体" w:cs="Times New Roman"/>
          <w:color w:val="auto"/>
          <w:highlight w:val="none"/>
        </w:rPr>
        <w:t>总价合同的计量</w:t>
      </w:r>
    </w:p>
    <w:p w14:paraId="327E3C8E">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除专用合同条款另有约定外，按月计量支付的总价合同，按照本项约定执行：</w:t>
      </w:r>
    </w:p>
    <w:p w14:paraId="786EED84">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）承包人应于每月</w:t>
      </w:r>
      <w:r>
        <w:rPr>
          <w:rFonts w:hAnsi="宋体" w:cs="Times New Roman"/>
          <w:color w:val="auto"/>
          <w:highlight w:val="none"/>
        </w:rPr>
        <w:t>25</w:t>
      </w:r>
      <w:r>
        <w:rPr>
          <w:rFonts w:hint="eastAsia" w:hAnsi="宋体" w:cs="Times New Roman"/>
          <w:color w:val="auto"/>
          <w:highlight w:val="none"/>
        </w:rPr>
        <w:t>日向监理人报送上月</w:t>
      </w:r>
      <w:r>
        <w:rPr>
          <w:rFonts w:hAnsi="宋体" w:cs="Times New Roman"/>
          <w:color w:val="auto"/>
          <w:highlight w:val="none"/>
        </w:rPr>
        <w:t>20</w:t>
      </w:r>
      <w:r>
        <w:rPr>
          <w:rFonts w:hint="eastAsia" w:hAnsi="宋体" w:cs="Times New Roman"/>
          <w:color w:val="auto"/>
          <w:highlight w:val="none"/>
        </w:rPr>
        <w:t>日至当月</w:t>
      </w:r>
      <w:r>
        <w:rPr>
          <w:rFonts w:hAnsi="宋体" w:cs="Times New Roman"/>
          <w:color w:val="auto"/>
          <w:highlight w:val="none"/>
        </w:rPr>
        <w:t>19</w:t>
      </w:r>
      <w:r>
        <w:rPr>
          <w:rFonts w:hint="eastAsia" w:hAnsi="宋体" w:cs="Times New Roman"/>
          <w:color w:val="auto"/>
          <w:highlight w:val="none"/>
        </w:rPr>
        <w:t>日已完成的工程量报告，并附具进度付款申请单、已完成工程量报表和有关资料。</w:t>
      </w:r>
    </w:p>
    <w:p w14:paraId="750A909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）监理人应在收到承包人提交的工程量报告后</w:t>
      </w:r>
      <w:r>
        <w:rPr>
          <w:rFonts w:hAnsi="宋体" w:cs="Times New Roman"/>
          <w:color w:val="auto"/>
          <w:highlight w:val="none"/>
        </w:rPr>
        <w:t>7</w:t>
      </w:r>
      <w:r>
        <w:rPr>
          <w:rFonts w:hint="eastAsia" w:hAnsi="宋体" w:cs="Times New Roman"/>
          <w:color w:val="auto"/>
          <w:highlight w:val="none"/>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097D3677">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）监理人未在收到承包人提交的工程量报表后的</w:t>
      </w:r>
      <w:r>
        <w:rPr>
          <w:rFonts w:hAnsi="宋体" w:cs="Times New Roman"/>
          <w:color w:val="auto"/>
          <w:highlight w:val="none"/>
        </w:rPr>
        <w:t>7</w:t>
      </w:r>
      <w:r>
        <w:rPr>
          <w:rFonts w:hint="eastAsia" w:hAnsi="宋体" w:cs="Times New Roman"/>
          <w:color w:val="auto"/>
          <w:highlight w:val="none"/>
        </w:rPr>
        <w:t>天内完成复核的，承包人提交的工程量报告中的工程量视为承包人实际完成的工程量。</w:t>
      </w:r>
    </w:p>
    <w:p w14:paraId="2A45ECD5">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12.3.5 </w:t>
      </w:r>
      <w:r>
        <w:rPr>
          <w:rFonts w:hint="eastAsia" w:hAnsi="宋体" w:cs="Times New Roman"/>
          <w:color w:val="auto"/>
          <w:highlight w:val="none"/>
        </w:rPr>
        <w:t>总价合同采用支付分解表计量支付的，可以按照第</w:t>
      </w:r>
      <w:r>
        <w:rPr>
          <w:rFonts w:hAnsi="宋体" w:cs="Times New Roman"/>
          <w:color w:val="auto"/>
          <w:highlight w:val="none"/>
        </w:rPr>
        <w:t>12.3.4</w:t>
      </w:r>
      <w:r>
        <w:rPr>
          <w:rFonts w:hint="eastAsia" w:hAnsi="宋体" w:cs="Times New Roman"/>
          <w:color w:val="auto"/>
          <w:highlight w:val="none"/>
        </w:rPr>
        <w:t>项〔总价合同的计量〕约定进行计量，但合同价款按照支付分解表进行支付。</w:t>
      </w:r>
    </w:p>
    <w:p w14:paraId="64C2866A">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12.3.6 </w:t>
      </w:r>
      <w:r>
        <w:rPr>
          <w:rFonts w:hint="eastAsia" w:hAnsi="宋体" w:cs="Times New Roman"/>
          <w:color w:val="auto"/>
          <w:highlight w:val="none"/>
        </w:rPr>
        <w:t>其他价格形式合同的计量</w:t>
      </w:r>
    </w:p>
    <w:p w14:paraId="7F1DA249">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合同当事人可在专用合同条款中约定其他价格形式合同的计量方式和程序。</w:t>
      </w:r>
    </w:p>
    <w:p w14:paraId="1B815E70">
      <w:pPr>
        <w:keepNext/>
        <w:keepLines/>
        <w:spacing w:line="360" w:lineRule="auto"/>
        <w:outlineLvl w:val="3"/>
        <w:rPr>
          <w:rFonts w:hAnsi="宋体" w:cs="Times New Roman"/>
          <w:b/>
          <w:bCs/>
          <w:color w:val="auto"/>
          <w:kern w:val="2"/>
          <w:szCs w:val="28"/>
          <w:highlight w:val="none"/>
        </w:rPr>
      </w:pPr>
      <w:bookmarkStart w:id="471" w:name="_Toc296346602"/>
      <w:bookmarkStart w:id="472" w:name="_Toc296503101"/>
      <w:bookmarkStart w:id="473" w:name="_Toc351203584"/>
      <w:bookmarkStart w:id="474" w:name="_Toc532839951"/>
      <w:bookmarkStart w:id="475" w:name="_Toc337558803"/>
      <w:r>
        <w:rPr>
          <w:rFonts w:hAnsi="宋体" w:cs="Times New Roman"/>
          <w:b/>
          <w:bCs/>
          <w:color w:val="auto"/>
          <w:kern w:val="2"/>
          <w:szCs w:val="28"/>
          <w:highlight w:val="none"/>
        </w:rPr>
        <w:t>12.4</w:t>
      </w:r>
      <w:r>
        <w:rPr>
          <w:rFonts w:hint="eastAsia" w:hAnsi="宋体" w:cs="Times New Roman"/>
          <w:b/>
          <w:bCs/>
          <w:color w:val="auto"/>
          <w:kern w:val="2"/>
          <w:szCs w:val="28"/>
          <w:highlight w:val="none"/>
        </w:rPr>
        <w:t>工程进度款支</w:t>
      </w:r>
      <w:bookmarkEnd w:id="471"/>
      <w:bookmarkEnd w:id="472"/>
      <w:r>
        <w:rPr>
          <w:rFonts w:hint="eastAsia" w:hAnsi="宋体" w:cs="Times New Roman"/>
          <w:b/>
          <w:bCs/>
          <w:color w:val="auto"/>
          <w:kern w:val="2"/>
          <w:szCs w:val="28"/>
          <w:highlight w:val="none"/>
        </w:rPr>
        <w:t>付</w:t>
      </w:r>
      <w:bookmarkEnd w:id="473"/>
      <w:bookmarkEnd w:id="474"/>
    </w:p>
    <w:bookmarkEnd w:id="475"/>
    <w:p w14:paraId="012A0648">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kern w:val="2"/>
          <w:highlight w:val="none"/>
        </w:rPr>
        <w:t>12.4</w:t>
      </w:r>
      <w:r>
        <w:rPr>
          <w:rFonts w:hAnsi="宋体" w:cs="Times New Roman"/>
          <w:color w:val="auto"/>
          <w:highlight w:val="none"/>
        </w:rPr>
        <w:t xml:space="preserve">.1 </w:t>
      </w:r>
      <w:r>
        <w:rPr>
          <w:rFonts w:hint="eastAsia" w:hAnsi="宋体" w:cs="Times New Roman"/>
          <w:color w:val="auto"/>
          <w:highlight w:val="none"/>
        </w:rPr>
        <w:t>付款周期</w:t>
      </w:r>
    </w:p>
    <w:p w14:paraId="062E2345">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除专用合同条款另有约定外，付款周期应按照第</w:t>
      </w:r>
      <w:r>
        <w:rPr>
          <w:rFonts w:hAnsi="宋体" w:cs="Times New Roman"/>
          <w:color w:val="auto"/>
          <w:highlight w:val="none"/>
        </w:rPr>
        <w:t>12.3.2</w:t>
      </w:r>
      <w:r>
        <w:rPr>
          <w:rFonts w:hint="eastAsia" w:hAnsi="宋体" w:cs="Times New Roman"/>
          <w:color w:val="auto"/>
          <w:highlight w:val="none"/>
        </w:rPr>
        <w:t>项〔计量周期〕的约定与计量周期保持一致。</w:t>
      </w:r>
    </w:p>
    <w:p w14:paraId="27E73F23">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kern w:val="2"/>
          <w:highlight w:val="none"/>
        </w:rPr>
        <w:t>12.4</w:t>
      </w:r>
      <w:r>
        <w:rPr>
          <w:rFonts w:hAnsi="宋体" w:cs="Times New Roman"/>
          <w:color w:val="auto"/>
          <w:highlight w:val="none"/>
        </w:rPr>
        <w:t xml:space="preserve">.2 </w:t>
      </w:r>
      <w:r>
        <w:rPr>
          <w:rFonts w:hint="eastAsia" w:hAnsi="宋体" w:cs="Times New Roman"/>
          <w:color w:val="auto"/>
          <w:highlight w:val="none"/>
        </w:rPr>
        <w:t>进度付款申请单的编制</w:t>
      </w:r>
    </w:p>
    <w:p w14:paraId="406A842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除专用合同条款另有约定外，进度付款申请单应包括下列内容：</w:t>
      </w:r>
    </w:p>
    <w:p w14:paraId="789500C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）截至本次付款周期已完成工作对应的金额；</w:t>
      </w:r>
    </w:p>
    <w:p w14:paraId="62CE5AB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）根据第</w:t>
      </w:r>
      <w:r>
        <w:rPr>
          <w:rFonts w:hAnsi="宋体" w:cs="Times New Roman"/>
          <w:color w:val="auto"/>
          <w:highlight w:val="none"/>
        </w:rPr>
        <w:t>10</w:t>
      </w:r>
      <w:r>
        <w:rPr>
          <w:rFonts w:hint="eastAsia" w:hAnsi="宋体" w:cs="Times New Roman"/>
          <w:color w:val="auto"/>
          <w:highlight w:val="none"/>
        </w:rPr>
        <w:t>条〔变更〕应增加和扣减的变更金额；</w:t>
      </w:r>
    </w:p>
    <w:p w14:paraId="7735E76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）根据第</w:t>
      </w:r>
      <w:r>
        <w:rPr>
          <w:rFonts w:hAnsi="宋体" w:cs="Times New Roman"/>
          <w:color w:val="auto"/>
          <w:highlight w:val="none"/>
        </w:rPr>
        <w:t>12.2</w:t>
      </w:r>
      <w:r>
        <w:rPr>
          <w:rFonts w:hint="eastAsia" w:hAnsi="宋体" w:cs="Times New Roman"/>
          <w:color w:val="auto"/>
          <w:highlight w:val="none"/>
        </w:rPr>
        <w:t>款〔预付款〕约定应支付的预付款和扣减的返还预付款；</w:t>
      </w:r>
    </w:p>
    <w:p w14:paraId="0303B4B9">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）根据第</w:t>
      </w:r>
      <w:r>
        <w:rPr>
          <w:rFonts w:hAnsi="宋体" w:cs="Times New Roman"/>
          <w:color w:val="auto"/>
          <w:highlight w:val="none"/>
        </w:rPr>
        <w:t>15.3</w:t>
      </w:r>
      <w:r>
        <w:rPr>
          <w:rFonts w:hint="eastAsia" w:hAnsi="宋体" w:cs="Times New Roman"/>
          <w:color w:val="auto"/>
          <w:highlight w:val="none"/>
        </w:rPr>
        <w:t>款〔质量保证金〕约定应扣减的质量保证金；</w:t>
      </w:r>
    </w:p>
    <w:p w14:paraId="41125B6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）根据第</w:t>
      </w:r>
      <w:r>
        <w:rPr>
          <w:rFonts w:hAnsi="宋体" w:cs="Times New Roman"/>
          <w:color w:val="auto"/>
          <w:highlight w:val="none"/>
        </w:rPr>
        <w:t>19</w:t>
      </w:r>
      <w:r>
        <w:rPr>
          <w:rFonts w:hint="eastAsia" w:hAnsi="宋体" w:cs="Times New Roman"/>
          <w:color w:val="auto"/>
          <w:highlight w:val="none"/>
        </w:rPr>
        <w:t>条〔索赔〕应增加和扣减的索赔金额；</w:t>
      </w:r>
    </w:p>
    <w:p w14:paraId="0FB44B0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6</w:t>
      </w:r>
      <w:r>
        <w:rPr>
          <w:rFonts w:hint="eastAsia" w:hAnsi="宋体" w:cs="Times New Roman"/>
          <w:color w:val="auto"/>
          <w:highlight w:val="none"/>
        </w:rPr>
        <w:t>）对已签发的进度款支付证书中出现错误的修正，应在本次进度付款中支付或扣除的金额；</w:t>
      </w:r>
    </w:p>
    <w:p w14:paraId="3CB1A70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7</w:t>
      </w:r>
      <w:r>
        <w:rPr>
          <w:rFonts w:hint="eastAsia" w:hAnsi="宋体" w:cs="Times New Roman"/>
          <w:color w:val="auto"/>
          <w:highlight w:val="none"/>
        </w:rPr>
        <w:t>）根据合同约定应增加和扣减的其他金额。</w:t>
      </w:r>
    </w:p>
    <w:p w14:paraId="549F26D2">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12.4.3 </w:t>
      </w:r>
      <w:r>
        <w:rPr>
          <w:rFonts w:hint="eastAsia" w:hAnsi="宋体" w:cs="Times New Roman"/>
          <w:color w:val="auto"/>
          <w:highlight w:val="none"/>
        </w:rPr>
        <w:t>进度付款申请单的提交</w:t>
      </w:r>
    </w:p>
    <w:p w14:paraId="5259E51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）单价合同进度付款申请单的提交</w:t>
      </w:r>
    </w:p>
    <w:p w14:paraId="416F169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单价合同的进度付款申请单，按照第</w:t>
      </w:r>
      <w:r>
        <w:rPr>
          <w:rFonts w:hAnsi="宋体" w:cs="Times New Roman"/>
          <w:color w:val="auto"/>
          <w:highlight w:val="none"/>
        </w:rPr>
        <w:t>12.3.3</w:t>
      </w:r>
      <w:r>
        <w:rPr>
          <w:rFonts w:hint="eastAsia" w:hAnsi="宋体" w:cs="Times New Roman"/>
          <w:color w:val="auto"/>
          <w:highlight w:val="none"/>
        </w:rPr>
        <w:t>项〔单价合同的计量〕约定的时间按月向监理人提交，并附上已完成工程量报表和有关资料。单价合同中的总价项目按月进行支付分解，并汇总列入当期进度付款申请单。</w:t>
      </w:r>
    </w:p>
    <w:p w14:paraId="2BB93FB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）总价合同进度付款申请单的提交</w:t>
      </w:r>
    </w:p>
    <w:p w14:paraId="4857CA3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总价合同按月计量支付的，承包人按照第</w:t>
      </w:r>
      <w:r>
        <w:rPr>
          <w:rFonts w:hAnsi="宋体" w:cs="Times New Roman"/>
          <w:color w:val="auto"/>
          <w:highlight w:val="none"/>
        </w:rPr>
        <w:t>12.3.4</w:t>
      </w:r>
      <w:r>
        <w:rPr>
          <w:rFonts w:hint="eastAsia" w:hAnsi="宋体" w:cs="Times New Roman"/>
          <w:color w:val="auto"/>
          <w:highlight w:val="none"/>
        </w:rPr>
        <w:t>项〔总价合同的计量〕约定的时间按月向监理人提交进度付款申请单，并附上已完成工程量报表和有关资料。</w:t>
      </w:r>
    </w:p>
    <w:p w14:paraId="409BB8E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总价合同按支付分解表支付的，承包人应按照第</w:t>
      </w:r>
      <w:r>
        <w:rPr>
          <w:rFonts w:hAnsi="宋体" w:cs="Times New Roman"/>
          <w:color w:val="auto"/>
          <w:highlight w:val="none"/>
        </w:rPr>
        <w:t>12.4.6</w:t>
      </w:r>
      <w:r>
        <w:rPr>
          <w:rFonts w:hint="eastAsia" w:hAnsi="宋体" w:cs="Times New Roman"/>
          <w:color w:val="auto"/>
          <w:highlight w:val="none"/>
        </w:rPr>
        <w:t>项〔支付分解表〕及第</w:t>
      </w:r>
      <w:r>
        <w:rPr>
          <w:rFonts w:hAnsi="宋体" w:cs="Times New Roman"/>
          <w:color w:val="auto"/>
          <w:highlight w:val="none"/>
        </w:rPr>
        <w:t>12.4.2</w:t>
      </w:r>
      <w:r>
        <w:rPr>
          <w:rFonts w:hint="eastAsia" w:hAnsi="宋体" w:cs="Times New Roman"/>
          <w:color w:val="auto"/>
          <w:highlight w:val="none"/>
        </w:rPr>
        <w:t>项〔进度付款申请单的编制〕的约定向监理人提交进度付款申请单。</w:t>
      </w:r>
    </w:p>
    <w:p w14:paraId="7B4F764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）其他价格形式合同的进度付款申请单的提交</w:t>
      </w:r>
    </w:p>
    <w:p w14:paraId="55B83E0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合同当事人可在专用合同条款中约定其他价格形式合同的进度付款申请单的编制和提交程序。</w:t>
      </w:r>
    </w:p>
    <w:p w14:paraId="28CD69C3">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kern w:val="2"/>
          <w:highlight w:val="none"/>
        </w:rPr>
        <w:t>12.4</w:t>
      </w:r>
      <w:r>
        <w:rPr>
          <w:rFonts w:hAnsi="宋体" w:cs="Times New Roman"/>
          <w:color w:val="auto"/>
          <w:highlight w:val="none"/>
        </w:rPr>
        <w:t xml:space="preserve">.4 </w:t>
      </w:r>
      <w:r>
        <w:rPr>
          <w:rFonts w:hint="eastAsia" w:hAnsi="宋体" w:cs="Times New Roman"/>
          <w:color w:val="auto"/>
          <w:highlight w:val="none"/>
        </w:rPr>
        <w:t>进度款审核和支付</w:t>
      </w:r>
    </w:p>
    <w:p w14:paraId="2A2C8D0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）除专用合同条款另有约定外，监理人应在收到承包人进度付款申请单以及相关资料后</w:t>
      </w:r>
      <w:r>
        <w:rPr>
          <w:rFonts w:hAnsi="宋体" w:cs="Times New Roman"/>
          <w:color w:val="auto"/>
          <w:highlight w:val="none"/>
        </w:rPr>
        <w:t>7</w:t>
      </w:r>
      <w:r>
        <w:rPr>
          <w:rFonts w:hint="eastAsia" w:hAnsi="宋体" w:cs="Times New Roman"/>
          <w:color w:val="auto"/>
          <w:highlight w:val="none"/>
        </w:rPr>
        <w:t>天内完成审查并报送发包人，发包人应在收到后</w:t>
      </w:r>
      <w:r>
        <w:rPr>
          <w:rFonts w:hAnsi="宋体" w:cs="Times New Roman"/>
          <w:color w:val="auto"/>
          <w:highlight w:val="none"/>
        </w:rPr>
        <w:t>7</w:t>
      </w:r>
      <w:r>
        <w:rPr>
          <w:rFonts w:hint="eastAsia" w:hAnsi="宋体" w:cs="Times New Roman"/>
          <w:color w:val="auto"/>
          <w:highlight w:val="none"/>
        </w:rPr>
        <w:t>天内完成审批并签发进度款支付证书。发包人逾期未完成审批且未提出异议的，视为已签发进度款支付证书。</w:t>
      </w:r>
    </w:p>
    <w:p w14:paraId="3B76232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发包人和监理人对承包人的进度付款申请单有异议的，有权要求承包人修正和提供补充资料，承包人应提交修正后的进度付款申请单。监理人应在收到承包人修正后的进度付款申请单及相关资料后</w:t>
      </w:r>
      <w:r>
        <w:rPr>
          <w:rFonts w:hAnsi="宋体" w:cs="Times New Roman"/>
          <w:color w:val="auto"/>
          <w:highlight w:val="none"/>
        </w:rPr>
        <w:t>7</w:t>
      </w:r>
      <w:r>
        <w:rPr>
          <w:rFonts w:hint="eastAsia" w:hAnsi="宋体" w:cs="Times New Roman"/>
          <w:color w:val="auto"/>
          <w:highlight w:val="none"/>
        </w:rPr>
        <w:t>天内完成审查并报送发包人，发包人应在收到监理人报送的进度付款申请单及相关资料后</w:t>
      </w:r>
      <w:r>
        <w:rPr>
          <w:rFonts w:hAnsi="宋体" w:cs="Times New Roman"/>
          <w:color w:val="auto"/>
          <w:highlight w:val="none"/>
        </w:rPr>
        <w:t>7</w:t>
      </w:r>
      <w:r>
        <w:rPr>
          <w:rFonts w:hint="eastAsia" w:hAnsi="宋体" w:cs="Times New Roman"/>
          <w:color w:val="auto"/>
          <w:highlight w:val="none"/>
        </w:rPr>
        <w:t>天内，向承包人签发无异议部分的临时进度款支付证书。存在争议的部分，按照第</w:t>
      </w:r>
      <w:r>
        <w:rPr>
          <w:rFonts w:hAnsi="宋体" w:cs="Times New Roman"/>
          <w:color w:val="auto"/>
          <w:highlight w:val="none"/>
        </w:rPr>
        <w:t>20</w:t>
      </w:r>
      <w:r>
        <w:rPr>
          <w:rFonts w:hint="eastAsia" w:hAnsi="宋体" w:cs="Times New Roman"/>
          <w:color w:val="auto"/>
          <w:highlight w:val="none"/>
        </w:rPr>
        <w:t>条〔争议解决〕的约定处理。</w:t>
      </w:r>
    </w:p>
    <w:p w14:paraId="0B45C36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）除专用合同条款另有约定外，发包人应在进度款支付证书或临时进度款支付证书签发后</w:t>
      </w:r>
      <w:r>
        <w:rPr>
          <w:rFonts w:hAnsi="宋体" w:cs="Times New Roman"/>
          <w:color w:val="auto"/>
          <w:highlight w:val="none"/>
        </w:rPr>
        <w:t>14</w:t>
      </w:r>
      <w:r>
        <w:rPr>
          <w:rFonts w:hint="eastAsia" w:hAnsi="宋体" w:cs="Times New Roman"/>
          <w:color w:val="auto"/>
          <w:highlight w:val="none"/>
        </w:rPr>
        <w:t>天内完成支付，发包人逾期支付进度款的，应按照中国人民银行发布的同期同类贷款基准利率支付违约金。</w:t>
      </w:r>
    </w:p>
    <w:p w14:paraId="049057F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）发包人签发进度款支付证书或临时进度款支付证书，不表明发包人已同意、批准或接受了承包人完成的相应部分的工作。</w:t>
      </w:r>
    </w:p>
    <w:p w14:paraId="0AAC0D48">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12.4.5 </w:t>
      </w:r>
      <w:r>
        <w:rPr>
          <w:rFonts w:hint="eastAsia" w:hAnsi="宋体" w:cs="Times New Roman"/>
          <w:color w:val="auto"/>
          <w:highlight w:val="none"/>
        </w:rPr>
        <w:t>进度付款的修正</w:t>
      </w:r>
    </w:p>
    <w:p w14:paraId="174B7F3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在对已签发的进度款支付证书进行阶段汇总和复核中发现错误、遗漏或重复的，发包人和承包人均有权提出修正申请。经发包人和承包人同意的修正，应在下期进度付款中支付或扣除。</w:t>
      </w:r>
    </w:p>
    <w:p w14:paraId="7DF9F2E9">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12.4.6 </w:t>
      </w:r>
      <w:r>
        <w:rPr>
          <w:rFonts w:hint="eastAsia" w:hAnsi="宋体" w:cs="Times New Roman"/>
          <w:color w:val="auto"/>
          <w:highlight w:val="none"/>
        </w:rPr>
        <w:t>支付分解表</w:t>
      </w:r>
    </w:p>
    <w:p w14:paraId="6BAE7A8F">
      <w:pPr>
        <w:spacing w:line="360" w:lineRule="auto"/>
        <w:ind w:firstLine="420" w:firstLineChars="200"/>
        <w:jc w:val="left"/>
        <w:rPr>
          <w:rFonts w:hAnsi="宋体" w:cs="Times New Roman"/>
          <w:color w:val="auto"/>
          <w:highlight w:val="none"/>
        </w:rPr>
      </w:pPr>
      <w:r>
        <w:rPr>
          <w:rFonts w:hAnsi="宋体" w:cs="Times New Roman"/>
          <w:color w:val="auto"/>
          <w:highlight w:val="none"/>
        </w:rPr>
        <w:t>1</w:t>
      </w:r>
      <w:r>
        <w:rPr>
          <w:rFonts w:hint="eastAsia" w:hAnsi="宋体" w:cs="Times New Roman"/>
          <w:color w:val="auto"/>
          <w:highlight w:val="none"/>
        </w:rPr>
        <w:t>、支付分解表的编制要求</w:t>
      </w:r>
    </w:p>
    <w:p w14:paraId="672F0D81">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）支付分解表中所列的每期付款金额，应为第</w:t>
      </w:r>
      <w:r>
        <w:rPr>
          <w:rFonts w:hAnsi="宋体" w:cs="Times New Roman"/>
          <w:color w:val="auto"/>
          <w:highlight w:val="none"/>
        </w:rPr>
        <w:t>12.4.2</w:t>
      </w:r>
      <w:r>
        <w:rPr>
          <w:rFonts w:hint="eastAsia" w:hAnsi="宋体" w:cs="Times New Roman"/>
          <w:color w:val="auto"/>
          <w:highlight w:val="none"/>
        </w:rPr>
        <w:t>项〔进度付款申请单的编制〕第（</w:t>
      </w:r>
      <w:r>
        <w:rPr>
          <w:rFonts w:hAnsi="宋体" w:cs="Times New Roman"/>
          <w:color w:val="auto"/>
          <w:highlight w:val="none"/>
        </w:rPr>
        <w:t>1</w:t>
      </w:r>
      <w:r>
        <w:rPr>
          <w:rFonts w:hint="eastAsia" w:hAnsi="宋体" w:cs="Times New Roman"/>
          <w:color w:val="auto"/>
          <w:highlight w:val="none"/>
        </w:rPr>
        <w:t>）目的估算金额；</w:t>
      </w:r>
    </w:p>
    <w:p w14:paraId="5A8B224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）实际进度与施工进度计划不一致的，合同当事人可按照第</w:t>
      </w:r>
      <w:r>
        <w:rPr>
          <w:rFonts w:hAnsi="宋体" w:cs="Times New Roman"/>
          <w:color w:val="auto"/>
          <w:highlight w:val="none"/>
        </w:rPr>
        <w:t>4.4</w:t>
      </w:r>
      <w:r>
        <w:rPr>
          <w:rFonts w:hint="eastAsia" w:hAnsi="宋体" w:cs="Times New Roman"/>
          <w:color w:val="auto"/>
          <w:highlight w:val="none"/>
        </w:rPr>
        <w:t>款〔商定或确定〕修改支付分解表；</w:t>
      </w:r>
    </w:p>
    <w:p w14:paraId="62E8A789">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）不采用支付分解表的，承包人应向发包人和监理人提交按季度编制的支付估算分解表，用于支付参考。</w:t>
      </w:r>
    </w:p>
    <w:p w14:paraId="01BB61DF">
      <w:pPr>
        <w:spacing w:line="360" w:lineRule="auto"/>
        <w:ind w:firstLine="420" w:firstLineChars="200"/>
        <w:jc w:val="left"/>
        <w:rPr>
          <w:rFonts w:hAnsi="宋体" w:cs="Times New Roman"/>
          <w:color w:val="auto"/>
          <w:highlight w:val="none"/>
        </w:rPr>
      </w:pPr>
      <w:r>
        <w:rPr>
          <w:rFonts w:hAnsi="宋体" w:cs="Times New Roman"/>
          <w:color w:val="auto"/>
          <w:highlight w:val="none"/>
        </w:rPr>
        <w:t>2</w:t>
      </w:r>
      <w:r>
        <w:rPr>
          <w:rFonts w:hint="eastAsia" w:hAnsi="宋体" w:cs="Times New Roman"/>
          <w:color w:val="auto"/>
          <w:highlight w:val="none"/>
        </w:rPr>
        <w:t>、总价合同支付分解表的编制与审批</w:t>
      </w:r>
    </w:p>
    <w:p w14:paraId="36D54D7E">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）除专用合同条款另有约定外，承包人应根据第</w:t>
      </w:r>
      <w:r>
        <w:rPr>
          <w:rFonts w:hAnsi="宋体" w:cs="Times New Roman"/>
          <w:color w:val="auto"/>
          <w:highlight w:val="none"/>
        </w:rPr>
        <w:t>7.2</w:t>
      </w:r>
      <w:r>
        <w:rPr>
          <w:rFonts w:hint="eastAsia" w:hAnsi="宋体" w:cs="Times New Roman"/>
          <w:color w:val="auto"/>
          <w:highlight w:val="none"/>
        </w:rPr>
        <w:t>款〔施工进度计划〕约定的施工进度计划、签约合同价和工程量等因素对总价合同按月进行分解，编制支付分解表。承包人应当在收到监理人和发包人批准的施工进度计划后</w:t>
      </w:r>
      <w:r>
        <w:rPr>
          <w:rFonts w:hAnsi="宋体" w:cs="Times New Roman"/>
          <w:color w:val="auto"/>
          <w:highlight w:val="none"/>
        </w:rPr>
        <w:t>7</w:t>
      </w:r>
      <w:r>
        <w:rPr>
          <w:rFonts w:hint="eastAsia" w:hAnsi="宋体" w:cs="Times New Roman"/>
          <w:color w:val="auto"/>
          <w:highlight w:val="none"/>
        </w:rPr>
        <w:t>天内，将支付分解表及编制支付分解表的支持性资料报送监理人。</w:t>
      </w:r>
    </w:p>
    <w:p w14:paraId="2E3F07A6">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）监理人应在收到支付分解表后</w:t>
      </w:r>
      <w:r>
        <w:rPr>
          <w:rFonts w:hAnsi="宋体" w:cs="Times New Roman"/>
          <w:color w:val="auto"/>
          <w:highlight w:val="none"/>
        </w:rPr>
        <w:t>7</w:t>
      </w:r>
      <w:r>
        <w:rPr>
          <w:rFonts w:hint="eastAsia" w:hAnsi="宋体" w:cs="Times New Roman"/>
          <w:color w:val="auto"/>
          <w:highlight w:val="none"/>
        </w:rPr>
        <w:t>天内完成审核并报送发包人。发包人应在收到经监理人审核的支付分解表后</w:t>
      </w:r>
      <w:r>
        <w:rPr>
          <w:rFonts w:hAnsi="宋体" w:cs="Times New Roman"/>
          <w:color w:val="auto"/>
          <w:highlight w:val="none"/>
        </w:rPr>
        <w:t>7</w:t>
      </w:r>
      <w:r>
        <w:rPr>
          <w:rFonts w:hint="eastAsia" w:hAnsi="宋体" w:cs="Times New Roman"/>
          <w:color w:val="auto"/>
          <w:highlight w:val="none"/>
        </w:rPr>
        <w:t>天内完成审批，经发包人批准的支付分解表为有约束力的支付分解表。</w:t>
      </w:r>
    </w:p>
    <w:p w14:paraId="5F16E87F">
      <w:pPr>
        <w:spacing w:line="360" w:lineRule="auto"/>
        <w:jc w:val="left"/>
        <w:rPr>
          <w:rFonts w:hAnsi="宋体" w:cs="Times New Roman"/>
          <w:color w:val="auto"/>
          <w:highlight w:val="none"/>
        </w:rPr>
      </w:pPr>
      <w:r>
        <w:rPr>
          <w:rFonts w:hAnsi="宋体" w:cs="Times New Roman"/>
          <w:color w:val="auto"/>
          <w:highlight w:val="none"/>
        </w:rPr>
        <w:t xml:space="preserve">    </w:t>
      </w: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）发包人逾期未完成支付分解表审批的，也未及时要求承包人进行修正和提供补充资料的，则承包人提交的支付分解表视为已经获得发包人批准。</w:t>
      </w:r>
    </w:p>
    <w:p w14:paraId="4C59C110">
      <w:pPr>
        <w:spacing w:line="360" w:lineRule="auto"/>
        <w:ind w:firstLine="420" w:firstLineChars="200"/>
        <w:jc w:val="left"/>
        <w:rPr>
          <w:rFonts w:hAnsi="宋体" w:cs="Times New Roman"/>
          <w:color w:val="auto"/>
          <w:highlight w:val="none"/>
        </w:rPr>
      </w:pPr>
      <w:r>
        <w:rPr>
          <w:rFonts w:hAnsi="宋体" w:cs="Times New Roman"/>
          <w:color w:val="auto"/>
          <w:highlight w:val="none"/>
        </w:rPr>
        <w:t>3</w:t>
      </w:r>
      <w:r>
        <w:rPr>
          <w:rFonts w:hint="eastAsia" w:hAnsi="宋体" w:cs="Times New Roman"/>
          <w:color w:val="auto"/>
          <w:highlight w:val="none"/>
        </w:rPr>
        <w:t>、单价合同的总价项目支付分解表的编制与审批</w:t>
      </w:r>
    </w:p>
    <w:p w14:paraId="02F3CDD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214CFBF0">
      <w:pPr>
        <w:keepNext/>
        <w:keepLines/>
        <w:spacing w:line="360" w:lineRule="auto"/>
        <w:outlineLvl w:val="3"/>
        <w:rPr>
          <w:rFonts w:hAnsi="宋体" w:cs="Times New Roman"/>
          <w:b/>
          <w:bCs/>
          <w:color w:val="auto"/>
          <w:kern w:val="2"/>
          <w:szCs w:val="28"/>
          <w:highlight w:val="none"/>
        </w:rPr>
      </w:pPr>
      <w:bookmarkStart w:id="476" w:name="_Toc532839952"/>
      <w:bookmarkStart w:id="477" w:name="_Toc351203585"/>
      <w:r>
        <w:rPr>
          <w:rFonts w:hAnsi="宋体" w:cs="Times New Roman"/>
          <w:b/>
          <w:bCs/>
          <w:color w:val="auto"/>
          <w:kern w:val="2"/>
          <w:szCs w:val="28"/>
          <w:highlight w:val="none"/>
        </w:rPr>
        <w:t>12.5</w:t>
      </w:r>
      <w:r>
        <w:rPr>
          <w:rFonts w:hint="eastAsia" w:hAnsi="宋体"/>
          <w:b/>
          <w:bCs/>
          <w:color w:val="auto"/>
          <w:kern w:val="2"/>
          <w:szCs w:val="28"/>
          <w:highlight w:val="none"/>
        </w:rPr>
        <w:t>支付账户</w:t>
      </w:r>
      <w:bookmarkEnd w:id="476"/>
      <w:bookmarkEnd w:id="477"/>
    </w:p>
    <w:p w14:paraId="7F8F8295">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发包人应将合同价款支付至合同协议书中约定的承包人账户。</w:t>
      </w:r>
    </w:p>
    <w:p w14:paraId="5D72B95D">
      <w:pPr>
        <w:keepNext/>
        <w:keepLines/>
        <w:spacing w:line="360" w:lineRule="auto"/>
        <w:outlineLvl w:val="2"/>
        <w:rPr>
          <w:rFonts w:hAnsi="宋体" w:cs="Times New Roman"/>
          <w:b/>
          <w:bCs/>
          <w:color w:val="auto"/>
          <w:kern w:val="2"/>
          <w:szCs w:val="32"/>
          <w:highlight w:val="none"/>
        </w:rPr>
      </w:pPr>
      <w:bookmarkStart w:id="478" w:name="_Toc527130430"/>
      <w:bookmarkStart w:id="479" w:name="_Toc512691384"/>
      <w:bookmarkStart w:id="480" w:name="_Toc351203586"/>
      <w:bookmarkStart w:id="481" w:name="_Toc532839953"/>
      <w:bookmarkStart w:id="482" w:name="_Toc296503106"/>
      <w:bookmarkStart w:id="483" w:name="_Toc322522574"/>
      <w:bookmarkStart w:id="484" w:name="_Toc337558804"/>
      <w:bookmarkStart w:id="485" w:name="_Toc296346607"/>
      <w:r>
        <w:rPr>
          <w:rFonts w:hAnsi="宋体" w:cs="Times New Roman"/>
          <w:b/>
          <w:bCs/>
          <w:color w:val="auto"/>
          <w:kern w:val="2"/>
          <w:szCs w:val="32"/>
          <w:highlight w:val="none"/>
        </w:rPr>
        <w:t xml:space="preserve">13. </w:t>
      </w:r>
      <w:r>
        <w:rPr>
          <w:rFonts w:hint="eastAsia" w:hAnsi="宋体" w:cs="Times New Roman"/>
          <w:b/>
          <w:bCs/>
          <w:color w:val="auto"/>
          <w:kern w:val="2"/>
          <w:szCs w:val="32"/>
          <w:highlight w:val="none"/>
        </w:rPr>
        <w:t>验收和工程试车</w:t>
      </w:r>
      <w:bookmarkEnd w:id="478"/>
      <w:bookmarkEnd w:id="479"/>
      <w:bookmarkEnd w:id="480"/>
      <w:bookmarkEnd w:id="481"/>
    </w:p>
    <w:bookmarkEnd w:id="482"/>
    <w:bookmarkEnd w:id="483"/>
    <w:bookmarkEnd w:id="484"/>
    <w:bookmarkEnd w:id="485"/>
    <w:p w14:paraId="5D6B73F6">
      <w:pPr>
        <w:keepNext/>
        <w:keepLines/>
        <w:spacing w:line="360" w:lineRule="auto"/>
        <w:outlineLvl w:val="3"/>
        <w:rPr>
          <w:rFonts w:hAnsi="宋体" w:cs="Times New Roman"/>
          <w:b/>
          <w:bCs/>
          <w:color w:val="auto"/>
          <w:kern w:val="2"/>
          <w:szCs w:val="28"/>
          <w:highlight w:val="none"/>
        </w:rPr>
      </w:pPr>
      <w:bookmarkStart w:id="486" w:name="_Toc351203587"/>
      <w:bookmarkStart w:id="487" w:name="_Toc532839954"/>
      <w:bookmarkStart w:id="488" w:name="_Toc337558805"/>
      <w:bookmarkStart w:id="489" w:name="_Toc296346611"/>
      <w:bookmarkStart w:id="490" w:name="_Toc296503110"/>
      <w:r>
        <w:rPr>
          <w:rFonts w:hAnsi="宋体" w:cs="Times New Roman"/>
          <w:b/>
          <w:bCs/>
          <w:color w:val="auto"/>
          <w:kern w:val="2"/>
          <w:szCs w:val="28"/>
          <w:highlight w:val="none"/>
        </w:rPr>
        <w:t>13.1</w:t>
      </w:r>
      <w:r>
        <w:rPr>
          <w:rFonts w:hint="eastAsia" w:hAnsi="宋体" w:cs="Times New Roman"/>
          <w:b/>
          <w:bCs/>
          <w:color w:val="auto"/>
          <w:kern w:val="2"/>
          <w:szCs w:val="28"/>
          <w:highlight w:val="none"/>
        </w:rPr>
        <w:t>分部分项工程验收</w:t>
      </w:r>
      <w:bookmarkEnd w:id="486"/>
      <w:bookmarkEnd w:id="487"/>
    </w:p>
    <w:bookmarkEnd w:id="488"/>
    <w:p w14:paraId="39034690">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13.1.1 </w:t>
      </w:r>
      <w:r>
        <w:rPr>
          <w:rFonts w:hint="eastAsia" w:hAnsi="宋体" w:cs="Times New Roman"/>
          <w:color w:val="auto"/>
          <w:kern w:val="2"/>
          <w:highlight w:val="none"/>
        </w:rPr>
        <w:t>分部分项工程质量应符合国家有关工程施工验收规范、标准及合同约定，承包人应按照施工组织设计的要求完成分部分项工程施工。</w:t>
      </w:r>
    </w:p>
    <w:p w14:paraId="088B92DA">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13.1.2 </w:t>
      </w:r>
      <w:r>
        <w:rPr>
          <w:rFonts w:hint="eastAsia" w:hAnsi="宋体" w:cs="Times New Roman"/>
          <w:color w:val="auto"/>
          <w:kern w:val="2"/>
          <w:highlight w:val="none"/>
        </w:rPr>
        <w:t>除专用合同条款另有约定外，分部分项工程经承包人自检合格并具备验收条件的，承包人应提前</w:t>
      </w:r>
      <w:r>
        <w:rPr>
          <w:rFonts w:hAnsi="宋体" w:cs="Times New Roman"/>
          <w:color w:val="auto"/>
          <w:kern w:val="2"/>
          <w:highlight w:val="none"/>
        </w:rPr>
        <w:t>48</w:t>
      </w:r>
      <w:r>
        <w:rPr>
          <w:rFonts w:hint="eastAsia" w:hAnsi="宋体" w:cs="Times New Roman"/>
          <w:color w:val="auto"/>
          <w:kern w:val="2"/>
          <w:highlight w:val="none"/>
        </w:rPr>
        <w:t>小时通知监理人进行验收。</w:t>
      </w:r>
      <w:r>
        <w:rPr>
          <w:rFonts w:hint="eastAsia" w:hAnsi="宋体" w:cs="Times New Roman"/>
          <w:color w:val="auto"/>
          <w:highlight w:val="none"/>
        </w:rPr>
        <w:t>监理人不能按时进行验收的，应在验收前</w:t>
      </w:r>
      <w:r>
        <w:rPr>
          <w:rFonts w:hAnsi="宋体" w:cs="Times New Roman"/>
          <w:color w:val="auto"/>
          <w:highlight w:val="none"/>
        </w:rPr>
        <w:t>24</w:t>
      </w:r>
      <w:r>
        <w:rPr>
          <w:rFonts w:hint="eastAsia" w:hAnsi="宋体" w:cs="Times New Roman"/>
          <w:color w:val="auto"/>
          <w:highlight w:val="none"/>
        </w:rPr>
        <w:t>小时向承包人提交书面延期要求，但延期不能超过</w:t>
      </w:r>
      <w:r>
        <w:rPr>
          <w:rFonts w:hAnsi="宋体" w:cs="Times New Roman"/>
          <w:color w:val="auto"/>
          <w:highlight w:val="none"/>
        </w:rPr>
        <w:t>48</w:t>
      </w:r>
      <w:r>
        <w:rPr>
          <w:rFonts w:hint="eastAsia" w:hAnsi="宋体" w:cs="Times New Roman"/>
          <w:color w:val="auto"/>
          <w:highlight w:val="none"/>
        </w:rPr>
        <w:t>小时。监理人未按时进行验收，也未提出延期要求的，承包人有权自行验收，监理人应认可验收结果。</w:t>
      </w:r>
      <w:r>
        <w:rPr>
          <w:rFonts w:hint="eastAsia" w:hAnsi="宋体" w:cs="Times New Roman"/>
          <w:color w:val="auto"/>
          <w:kern w:val="2"/>
          <w:highlight w:val="none"/>
        </w:rPr>
        <w:t>分部分项工程未经验收的，不得进入下一道工序施工。</w:t>
      </w:r>
    </w:p>
    <w:p w14:paraId="3FD930A4">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分部分项工程的验收资料应当作为竣工资料的组成部分。</w:t>
      </w:r>
    </w:p>
    <w:p w14:paraId="13311CEE">
      <w:pPr>
        <w:keepNext/>
        <w:keepLines/>
        <w:spacing w:line="360" w:lineRule="auto"/>
        <w:outlineLvl w:val="3"/>
        <w:rPr>
          <w:rFonts w:hAnsi="宋体" w:cs="Times New Roman"/>
          <w:b/>
          <w:bCs/>
          <w:color w:val="auto"/>
          <w:kern w:val="2"/>
          <w:szCs w:val="28"/>
          <w:highlight w:val="none"/>
        </w:rPr>
      </w:pPr>
      <w:bookmarkStart w:id="491" w:name="_Toc351203588"/>
      <w:bookmarkStart w:id="492" w:name="_Toc532839955"/>
      <w:bookmarkStart w:id="493" w:name="_Toc337558806"/>
      <w:r>
        <w:rPr>
          <w:rFonts w:hAnsi="宋体" w:cs="Times New Roman"/>
          <w:b/>
          <w:bCs/>
          <w:color w:val="auto"/>
          <w:kern w:val="2"/>
          <w:szCs w:val="28"/>
          <w:highlight w:val="none"/>
        </w:rPr>
        <w:t>13.2</w:t>
      </w:r>
      <w:r>
        <w:rPr>
          <w:rFonts w:hint="eastAsia" w:hAnsi="宋体"/>
          <w:b/>
          <w:bCs/>
          <w:color w:val="auto"/>
          <w:kern w:val="2"/>
          <w:szCs w:val="28"/>
          <w:highlight w:val="none"/>
        </w:rPr>
        <w:t>竣工验收</w:t>
      </w:r>
      <w:bookmarkEnd w:id="491"/>
      <w:bookmarkEnd w:id="492"/>
    </w:p>
    <w:bookmarkEnd w:id="489"/>
    <w:bookmarkEnd w:id="490"/>
    <w:bookmarkEnd w:id="493"/>
    <w:p w14:paraId="6AFD35B7">
      <w:pPr>
        <w:spacing w:line="360" w:lineRule="auto"/>
        <w:ind w:firstLine="420" w:firstLineChars="200"/>
        <w:jc w:val="left"/>
        <w:rPr>
          <w:rFonts w:hAnsi="宋体" w:cs="Times New Roman"/>
          <w:color w:val="auto"/>
          <w:highlight w:val="none"/>
        </w:rPr>
      </w:pPr>
      <w:r>
        <w:rPr>
          <w:rFonts w:hAnsi="宋体" w:cs="Times New Roman"/>
          <w:color w:val="auto"/>
          <w:highlight w:val="none"/>
        </w:rPr>
        <w:t>13.2.1</w:t>
      </w:r>
      <w:r>
        <w:rPr>
          <w:rFonts w:hint="eastAsia" w:hAnsi="宋体" w:cs="Times New Roman"/>
          <w:color w:val="auto"/>
          <w:highlight w:val="none"/>
        </w:rPr>
        <w:t>竣工验收条件</w:t>
      </w:r>
    </w:p>
    <w:p w14:paraId="34C66713">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工程具备以下条件的，承包人可以申请竣工验收：</w:t>
      </w:r>
    </w:p>
    <w:p w14:paraId="60CB0CC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）除发包人同意的甩项工作和缺陷修补工作外，合同范围内的全部工程以及有关工作，包括合同要求的试验、试运行以及检验均已完成，并符合合同要求；</w:t>
      </w:r>
    </w:p>
    <w:p w14:paraId="71265506">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）已按合同约定编制了甩项工作和缺陷修补工作清单以及相应的施工计划；</w:t>
      </w:r>
    </w:p>
    <w:p w14:paraId="1930F68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）已按合同约定的内容和份数备齐竣工资料。</w:t>
      </w:r>
    </w:p>
    <w:p w14:paraId="76FB2616">
      <w:pPr>
        <w:spacing w:line="360" w:lineRule="auto"/>
        <w:ind w:firstLine="420" w:firstLineChars="200"/>
        <w:jc w:val="left"/>
        <w:rPr>
          <w:rFonts w:hAnsi="宋体" w:cs="Times New Roman"/>
          <w:color w:val="auto"/>
          <w:highlight w:val="none"/>
        </w:rPr>
      </w:pPr>
      <w:r>
        <w:rPr>
          <w:rFonts w:hAnsi="宋体" w:cs="Times New Roman"/>
          <w:color w:val="auto"/>
          <w:highlight w:val="none"/>
        </w:rPr>
        <w:t>13.2.2</w:t>
      </w:r>
      <w:r>
        <w:rPr>
          <w:rFonts w:hint="eastAsia" w:hAnsi="宋体" w:cs="Times New Roman"/>
          <w:color w:val="auto"/>
          <w:highlight w:val="none"/>
        </w:rPr>
        <w:t>竣工验收程序</w:t>
      </w:r>
    </w:p>
    <w:p w14:paraId="1AAAF44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除专用合同条款另有约定外，承包人申请竣工验收的，应当按照以下程序进行：</w:t>
      </w:r>
    </w:p>
    <w:p w14:paraId="5CD79C67">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）承包人向监理人报送竣工验收申请报告，监理人应在收到竣工验收申请报告后</w:t>
      </w:r>
      <w:r>
        <w:rPr>
          <w:rFonts w:hAnsi="宋体" w:cs="Times New Roman"/>
          <w:color w:val="auto"/>
          <w:highlight w:val="none"/>
        </w:rPr>
        <w:t>14</w:t>
      </w:r>
      <w:r>
        <w:rPr>
          <w:rFonts w:hint="eastAsia" w:hAnsi="宋体" w:cs="Times New Roman"/>
          <w:color w:val="auto"/>
          <w:highlight w:val="none"/>
        </w:rPr>
        <w:t>天内完成审查并报送发包人。监理人审查后认为尚不具备验收条件的，应通知承包人在竣工验收前承包人还需完成的工作内容，承包人应在完成监理人通知的全部工作内容后，再次提交竣工验收申请报告。</w:t>
      </w:r>
    </w:p>
    <w:p w14:paraId="5758ACD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）监理人审查后认为已具备竣工验收条件的，应将竣工验收申请报告提交发包人，发包人应在收到经监理人审核的竣工验收申请报告后</w:t>
      </w:r>
      <w:r>
        <w:rPr>
          <w:rFonts w:hAnsi="宋体" w:cs="Times New Roman"/>
          <w:color w:val="auto"/>
          <w:highlight w:val="none"/>
        </w:rPr>
        <w:t>28</w:t>
      </w:r>
      <w:r>
        <w:rPr>
          <w:rFonts w:hint="eastAsia" w:hAnsi="宋体" w:cs="Times New Roman"/>
          <w:color w:val="auto"/>
          <w:highlight w:val="none"/>
        </w:rPr>
        <w:t>天内审批完毕并组织监理人、承包人、设计人等相关单位完成竣工验收。</w:t>
      </w:r>
    </w:p>
    <w:p w14:paraId="2FD5C12E">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）竣工验收合格的，发包人应在验收合格后</w:t>
      </w:r>
      <w:r>
        <w:rPr>
          <w:rFonts w:hAnsi="宋体" w:cs="Times New Roman"/>
          <w:color w:val="auto"/>
          <w:highlight w:val="none"/>
        </w:rPr>
        <w:t>14</w:t>
      </w:r>
      <w:r>
        <w:rPr>
          <w:rFonts w:hint="eastAsia" w:hAnsi="宋体" w:cs="Times New Roman"/>
          <w:color w:val="auto"/>
          <w:highlight w:val="none"/>
        </w:rPr>
        <w:t>天内向承包人签发工程接收证书。发包人无正当理由逾期不颁发工程接收证书的，自验收合格后第</w:t>
      </w:r>
      <w:r>
        <w:rPr>
          <w:rFonts w:hAnsi="宋体" w:cs="Times New Roman"/>
          <w:color w:val="auto"/>
          <w:highlight w:val="none"/>
        </w:rPr>
        <w:t>15</w:t>
      </w:r>
      <w:r>
        <w:rPr>
          <w:rFonts w:hint="eastAsia" w:hAnsi="宋体" w:cs="Times New Roman"/>
          <w:color w:val="auto"/>
          <w:highlight w:val="none"/>
        </w:rPr>
        <w:t>天起视为已颁发工程接收证书。</w:t>
      </w:r>
    </w:p>
    <w:p w14:paraId="456A3B1E">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A70A74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）工程未经验收或验收不合格，发包人擅自使用的，应在转移占有工程后</w:t>
      </w:r>
      <w:r>
        <w:rPr>
          <w:rFonts w:hAnsi="宋体" w:cs="Times New Roman"/>
          <w:color w:val="auto"/>
          <w:highlight w:val="none"/>
        </w:rPr>
        <w:t>7</w:t>
      </w:r>
      <w:r>
        <w:rPr>
          <w:rFonts w:hint="eastAsia" w:hAnsi="宋体" w:cs="Times New Roman"/>
          <w:color w:val="auto"/>
          <w:highlight w:val="none"/>
        </w:rPr>
        <w:t>天内向承包人颁发工程接收证书；发包人无正当理由逾期不颁发工程接收证书的，自转移占有后第</w:t>
      </w:r>
      <w:r>
        <w:rPr>
          <w:rFonts w:hAnsi="宋体" w:cs="Times New Roman"/>
          <w:color w:val="auto"/>
          <w:highlight w:val="none"/>
        </w:rPr>
        <w:t>15</w:t>
      </w:r>
      <w:r>
        <w:rPr>
          <w:rFonts w:hint="eastAsia" w:hAnsi="宋体" w:cs="Times New Roman"/>
          <w:color w:val="auto"/>
          <w:highlight w:val="none"/>
        </w:rPr>
        <w:t>天起视为已颁发工程接收证书。</w:t>
      </w:r>
    </w:p>
    <w:p w14:paraId="42772074">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0D144995">
      <w:pPr>
        <w:spacing w:line="360" w:lineRule="auto"/>
        <w:ind w:firstLine="420" w:firstLineChars="200"/>
        <w:jc w:val="left"/>
        <w:rPr>
          <w:rFonts w:hAnsi="宋体" w:cs="Times New Roman"/>
          <w:color w:val="auto"/>
          <w:highlight w:val="none"/>
        </w:rPr>
      </w:pPr>
      <w:r>
        <w:rPr>
          <w:rFonts w:hAnsi="宋体" w:cs="Times New Roman"/>
          <w:color w:val="auto"/>
          <w:highlight w:val="none"/>
        </w:rPr>
        <w:t>13.2.3</w:t>
      </w:r>
      <w:r>
        <w:rPr>
          <w:rFonts w:hint="eastAsia" w:hAnsi="宋体" w:cs="Times New Roman"/>
          <w:color w:val="auto"/>
          <w:highlight w:val="none"/>
        </w:rPr>
        <w:t>竣工日期</w:t>
      </w:r>
    </w:p>
    <w:p w14:paraId="3CE5195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工程经竣工验收合格的，以承包人提交竣工验收申请报告之日为实际竣工日期，并在工程接收证书中载明；因发包人原因，未在监理人收到承包人提交的竣工验收申请报告</w:t>
      </w:r>
      <w:r>
        <w:rPr>
          <w:rFonts w:hAnsi="宋体" w:cs="Times New Roman"/>
          <w:color w:val="auto"/>
          <w:highlight w:val="none"/>
        </w:rPr>
        <w:t>42</w:t>
      </w:r>
      <w:r>
        <w:rPr>
          <w:rFonts w:hint="eastAsia" w:hAnsi="宋体" w:cs="Times New Roman"/>
          <w:color w:val="auto"/>
          <w:highlight w:val="none"/>
        </w:rPr>
        <w:t>天内完成竣工验收，或完成竣工验收不予签发工程接收证书的，以提交竣工验</w:t>
      </w:r>
      <w:bookmarkStart w:id="494" w:name="#go14"/>
      <w:bookmarkEnd w:id="494"/>
      <w:r>
        <w:rPr>
          <w:rFonts w:hint="eastAsia" w:hAnsi="宋体" w:cs="Times New Roman"/>
          <w:color w:val="auto"/>
          <w:highlight w:val="none"/>
        </w:rPr>
        <w:t>收申请报告的日期为实际竣工日期；工程未经竣工验收，发包人擅自使用的，以转移占有工程之日为实际竣工日期。</w:t>
      </w:r>
    </w:p>
    <w:p w14:paraId="4F99DBE4">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13.2.4 </w:t>
      </w:r>
      <w:r>
        <w:rPr>
          <w:rFonts w:hint="eastAsia" w:hAnsi="宋体" w:cs="Times New Roman"/>
          <w:color w:val="auto"/>
          <w:highlight w:val="none"/>
        </w:rPr>
        <w:t>拒绝接收全部或部分工程</w:t>
      </w:r>
    </w:p>
    <w:p w14:paraId="4F04C99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4633FB2C">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13.2.5 </w:t>
      </w:r>
      <w:r>
        <w:rPr>
          <w:rFonts w:hint="eastAsia" w:hAnsi="宋体" w:cs="Times New Roman"/>
          <w:color w:val="auto"/>
          <w:highlight w:val="none"/>
        </w:rPr>
        <w:t>移交、接收全部与部分工程</w:t>
      </w:r>
    </w:p>
    <w:p w14:paraId="405A368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除专用合同条款另有约定外，合同当事人应当在颁发工程接收证书后</w:t>
      </w:r>
      <w:r>
        <w:rPr>
          <w:rFonts w:hAnsi="宋体" w:cs="Times New Roman"/>
          <w:color w:val="auto"/>
          <w:highlight w:val="none"/>
        </w:rPr>
        <w:t>7</w:t>
      </w:r>
      <w:r>
        <w:rPr>
          <w:rFonts w:hint="eastAsia" w:hAnsi="宋体" w:cs="Times New Roman"/>
          <w:color w:val="auto"/>
          <w:highlight w:val="none"/>
        </w:rPr>
        <w:t>天内完成工程的移交。</w:t>
      </w:r>
    </w:p>
    <w:p w14:paraId="1431162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046C7BA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0D8B8B12">
      <w:pPr>
        <w:keepNext/>
        <w:keepLines/>
        <w:spacing w:line="360" w:lineRule="auto"/>
        <w:outlineLvl w:val="3"/>
        <w:rPr>
          <w:rFonts w:hAnsi="宋体" w:cs="Times New Roman"/>
          <w:b/>
          <w:bCs/>
          <w:color w:val="auto"/>
          <w:kern w:val="2"/>
          <w:szCs w:val="28"/>
          <w:highlight w:val="none"/>
        </w:rPr>
      </w:pPr>
      <w:bookmarkStart w:id="495" w:name="_Toc532839956"/>
      <w:bookmarkStart w:id="496" w:name="_Toc351203589"/>
      <w:bookmarkStart w:id="497" w:name="_Toc337558807"/>
      <w:bookmarkStart w:id="498" w:name="_Toc296503111"/>
      <w:bookmarkStart w:id="499" w:name="_Toc296346612"/>
      <w:r>
        <w:rPr>
          <w:rFonts w:hAnsi="宋体" w:cs="Times New Roman"/>
          <w:b/>
          <w:bCs/>
          <w:color w:val="auto"/>
          <w:kern w:val="2"/>
          <w:szCs w:val="28"/>
          <w:highlight w:val="none"/>
        </w:rPr>
        <w:t>13.3</w:t>
      </w:r>
      <w:r>
        <w:rPr>
          <w:rFonts w:hint="eastAsia" w:hAnsi="宋体"/>
          <w:b/>
          <w:bCs/>
          <w:color w:val="auto"/>
          <w:kern w:val="2"/>
          <w:szCs w:val="28"/>
          <w:highlight w:val="none"/>
        </w:rPr>
        <w:t>工程试车</w:t>
      </w:r>
      <w:bookmarkEnd w:id="495"/>
      <w:bookmarkEnd w:id="496"/>
    </w:p>
    <w:bookmarkEnd w:id="497"/>
    <w:bookmarkEnd w:id="498"/>
    <w:bookmarkEnd w:id="499"/>
    <w:p w14:paraId="21B50DD1">
      <w:pPr>
        <w:spacing w:line="360" w:lineRule="auto"/>
        <w:ind w:firstLine="420" w:firstLineChars="200"/>
        <w:jc w:val="left"/>
        <w:rPr>
          <w:rFonts w:hAnsi="宋体" w:cs="Times New Roman"/>
          <w:color w:val="auto"/>
          <w:highlight w:val="none"/>
        </w:rPr>
      </w:pPr>
      <w:r>
        <w:rPr>
          <w:rFonts w:hAnsi="宋体" w:cs="Times New Roman"/>
          <w:color w:val="auto"/>
          <w:highlight w:val="none"/>
        </w:rPr>
        <w:t>13.3.1</w:t>
      </w:r>
      <w:r>
        <w:rPr>
          <w:rFonts w:hint="eastAsia" w:hAnsi="宋体" w:cs="Times New Roman"/>
          <w:color w:val="auto"/>
          <w:highlight w:val="none"/>
        </w:rPr>
        <w:t>试车程序</w:t>
      </w:r>
    </w:p>
    <w:p w14:paraId="486A048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工程需要试车的，除专用合同条款另有约定外，试车内容应与承包人承包范围相一致，试车费用由承包人承担。工程试车应按如下程序进行：</w:t>
      </w:r>
    </w:p>
    <w:p w14:paraId="54106B2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）具备单机无负荷试车条件，承包人组织试车，并在试车前</w:t>
      </w:r>
      <w:r>
        <w:rPr>
          <w:rFonts w:hAnsi="宋体" w:cs="Times New Roman"/>
          <w:color w:val="auto"/>
          <w:highlight w:val="none"/>
        </w:rPr>
        <w:t>48</w:t>
      </w:r>
      <w:r>
        <w:rPr>
          <w:rFonts w:hint="eastAsia" w:hAnsi="宋体" w:cs="Times New Roman"/>
          <w:color w:val="auto"/>
          <w:highlight w:val="none"/>
        </w:rPr>
        <w:t>小时书面通知监理人，通知中应载明试车内容、时间、地点。承包人准备试车记录，发包人根据承包人要求为试车提供必要条件。试车合格的，监理人在试车记录上签字。监理人在试车合格后不在试车记录上签字，自试车结束满</w:t>
      </w:r>
      <w:r>
        <w:rPr>
          <w:rFonts w:hAnsi="宋体" w:cs="Times New Roman"/>
          <w:color w:val="auto"/>
          <w:highlight w:val="none"/>
        </w:rPr>
        <w:t>24</w:t>
      </w:r>
      <w:r>
        <w:rPr>
          <w:rFonts w:hint="eastAsia" w:hAnsi="宋体" w:cs="Times New Roman"/>
          <w:color w:val="auto"/>
          <w:highlight w:val="none"/>
        </w:rPr>
        <w:t>小时后视为监理人已经认可试车记录，承包人可继续施工或办理竣工验收手续。</w:t>
      </w:r>
    </w:p>
    <w:p w14:paraId="56221667">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监理人不能按时参加试车，应在试车前</w:t>
      </w:r>
      <w:r>
        <w:rPr>
          <w:rFonts w:hAnsi="宋体" w:cs="Times New Roman"/>
          <w:color w:val="auto"/>
          <w:highlight w:val="none"/>
        </w:rPr>
        <w:t>24</w:t>
      </w:r>
      <w:r>
        <w:rPr>
          <w:rFonts w:hint="eastAsia" w:hAnsi="宋体" w:cs="Times New Roman"/>
          <w:color w:val="auto"/>
          <w:highlight w:val="none"/>
        </w:rPr>
        <w:t>小时以书面形式向承包人提出延期要求，但延期不能超过</w:t>
      </w:r>
      <w:r>
        <w:rPr>
          <w:rFonts w:hAnsi="宋体" w:cs="Times New Roman"/>
          <w:color w:val="auto"/>
          <w:highlight w:val="none"/>
        </w:rPr>
        <w:t>48</w:t>
      </w:r>
      <w:r>
        <w:rPr>
          <w:rFonts w:hint="eastAsia" w:hAnsi="宋体" w:cs="Times New Roman"/>
          <w:color w:val="auto"/>
          <w:highlight w:val="none"/>
        </w:rPr>
        <w:t>小时，由此导致工期延误的，工期应予以顺延。监理人未能在前述期限内提出延期要求，又不参加试车的，视为认可试车记录。</w:t>
      </w:r>
    </w:p>
    <w:p w14:paraId="163EED05">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）具备无负荷联动试车条件，发包人组织试车，并在试车前</w:t>
      </w:r>
      <w:r>
        <w:rPr>
          <w:rFonts w:hAnsi="宋体" w:cs="Times New Roman"/>
          <w:color w:val="auto"/>
          <w:highlight w:val="none"/>
        </w:rPr>
        <w:t>48</w:t>
      </w:r>
      <w:r>
        <w:rPr>
          <w:rFonts w:hint="eastAsia" w:hAnsi="宋体" w:cs="Times New Roman"/>
          <w:color w:val="auto"/>
          <w:highlight w:val="none"/>
        </w:rPr>
        <w:t>小时以书面形式通知承包人。通知中应载明试车内容、时间、地点和对承包人的要求，承包人按要求做好准备工作。试车合格，合同当事人在试车记录上签字。承包人无正当理由不参加试车的，视为认可试车记录。</w:t>
      </w:r>
    </w:p>
    <w:p w14:paraId="332B6536">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13.3.2 </w:t>
      </w:r>
      <w:r>
        <w:rPr>
          <w:rFonts w:hint="eastAsia" w:hAnsi="宋体" w:cs="Times New Roman"/>
          <w:color w:val="auto"/>
          <w:highlight w:val="none"/>
        </w:rPr>
        <w:t>试车中的责任</w:t>
      </w:r>
    </w:p>
    <w:p w14:paraId="09D919ED">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D244991">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69650C1">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13.3.3 </w:t>
      </w:r>
      <w:r>
        <w:rPr>
          <w:rFonts w:hint="eastAsia" w:hAnsi="宋体" w:cs="Times New Roman"/>
          <w:color w:val="auto"/>
          <w:highlight w:val="none"/>
        </w:rPr>
        <w:t>投料试车</w:t>
      </w:r>
    </w:p>
    <w:p w14:paraId="610A3076">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如需进行投料试车的，发包人应在工程竣工验收后组织投料试车。发包人要求在工程竣工验收前进行或需要承包人配合时，应征得承包人同意，并在专用合同条款中约定有关事项。</w:t>
      </w:r>
    </w:p>
    <w:p w14:paraId="61A44396">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1DF09106">
      <w:pPr>
        <w:keepNext/>
        <w:keepLines/>
        <w:spacing w:line="360" w:lineRule="auto"/>
        <w:outlineLvl w:val="3"/>
        <w:rPr>
          <w:rFonts w:hAnsi="宋体" w:cs="Times New Roman"/>
          <w:b/>
          <w:bCs/>
          <w:color w:val="auto"/>
          <w:kern w:val="2"/>
          <w:szCs w:val="28"/>
          <w:highlight w:val="none"/>
        </w:rPr>
      </w:pPr>
      <w:bookmarkStart w:id="500" w:name="_Toc351203590"/>
      <w:bookmarkStart w:id="501" w:name="_Toc532839957"/>
      <w:bookmarkStart w:id="502" w:name="_Toc337558808"/>
      <w:r>
        <w:rPr>
          <w:rFonts w:hAnsi="宋体" w:cs="Times New Roman"/>
          <w:b/>
          <w:bCs/>
          <w:color w:val="auto"/>
          <w:kern w:val="2"/>
          <w:szCs w:val="28"/>
          <w:highlight w:val="none"/>
        </w:rPr>
        <w:t>13.4</w:t>
      </w:r>
      <w:r>
        <w:rPr>
          <w:rFonts w:hint="eastAsia" w:hAnsi="宋体" w:cs="Times New Roman"/>
          <w:b/>
          <w:bCs/>
          <w:color w:val="auto"/>
          <w:kern w:val="2"/>
          <w:szCs w:val="28"/>
          <w:highlight w:val="none"/>
        </w:rPr>
        <w:t>提前交付单位工程的验收</w:t>
      </w:r>
      <w:bookmarkEnd w:id="500"/>
      <w:bookmarkEnd w:id="501"/>
    </w:p>
    <w:bookmarkEnd w:id="502"/>
    <w:p w14:paraId="07C80EA1">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13.4.1 </w:t>
      </w:r>
      <w:r>
        <w:rPr>
          <w:rFonts w:hint="eastAsia" w:hAnsi="宋体" w:cs="Times New Roman"/>
          <w:color w:val="auto"/>
          <w:highlight w:val="none"/>
        </w:rPr>
        <w:t>发包人需要在工程竣工前使用单位工程的，或承包人提出提前交付已经竣工的单位工程且经发包人同意的，可进行单位工程验收，验收的程序按照第</w:t>
      </w:r>
      <w:r>
        <w:rPr>
          <w:rFonts w:hAnsi="宋体" w:cs="Times New Roman"/>
          <w:color w:val="auto"/>
          <w:highlight w:val="none"/>
        </w:rPr>
        <w:t>13.2</w:t>
      </w:r>
      <w:r>
        <w:rPr>
          <w:rFonts w:hint="eastAsia" w:hAnsi="宋体" w:cs="Times New Roman"/>
          <w:color w:val="auto"/>
          <w:highlight w:val="none"/>
        </w:rPr>
        <w:t>款〔竣工验收〕的约定进行。</w:t>
      </w:r>
    </w:p>
    <w:p w14:paraId="5E28FDB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67B3BA19">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13.4.2 </w:t>
      </w:r>
      <w:r>
        <w:rPr>
          <w:rFonts w:hint="eastAsia" w:hAnsi="宋体" w:cs="Times New Roman"/>
          <w:color w:val="auto"/>
          <w:highlight w:val="none"/>
        </w:rPr>
        <w:t>发包人要求在工程竣工前交付单位工程，由此导致承包人费用增加和（或）工期延误的，由发包人承担由此增加的费用和（或）延误的工期，并支付承包人合理的利润。</w:t>
      </w:r>
    </w:p>
    <w:p w14:paraId="2D601EC5">
      <w:pPr>
        <w:keepNext/>
        <w:keepLines/>
        <w:spacing w:line="360" w:lineRule="auto"/>
        <w:outlineLvl w:val="3"/>
        <w:rPr>
          <w:rFonts w:hAnsi="宋体" w:cs="Times New Roman"/>
          <w:b/>
          <w:bCs/>
          <w:color w:val="auto"/>
          <w:kern w:val="2"/>
          <w:szCs w:val="28"/>
          <w:highlight w:val="none"/>
        </w:rPr>
      </w:pPr>
      <w:bookmarkStart w:id="503" w:name="_Toc532839958"/>
      <w:bookmarkStart w:id="504" w:name="_Toc351203591"/>
      <w:r>
        <w:rPr>
          <w:rFonts w:hAnsi="宋体" w:cs="Times New Roman"/>
          <w:b/>
          <w:bCs/>
          <w:color w:val="auto"/>
          <w:kern w:val="2"/>
          <w:szCs w:val="28"/>
          <w:highlight w:val="none"/>
        </w:rPr>
        <w:t xml:space="preserve">13.5 </w:t>
      </w:r>
      <w:r>
        <w:rPr>
          <w:rFonts w:hint="eastAsia" w:hAnsi="宋体"/>
          <w:b/>
          <w:bCs/>
          <w:color w:val="auto"/>
          <w:kern w:val="2"/>
          <w:szCs w:val="28"/>
          <w:highlight w:val="none"/>
        </w:rPr>
        <w:t>施工期运行</w:t>
      </w:r>
      <w:bookmarkEnd w:id="503"/>
      <w:bookmarkEnd w:id="504"/>
    </w:p>
    <w:p w14:paraId="2C4A2968">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13.5.1 </w:t>
      </w:r>
      <w:r>
        <w:rPr>
          <w:rFonts w:hint="eastAsia" w:hAnsi="宋体" w:cs="Times New Roman"/>
          <w:color w:val="auto"/>
          <w:highlight w:val="none"/>
        </w:rPr>
        <w:t>施工期运行是指合同工程尚未全部竣工，其中某项或某几项单位工程或工程设备安装已竣工，根据专用合同条款约定，需要投入施工期运行的，经发包人按第</w:t>
      </w:r>
      <w:r>
        <w:rPr>
          <w:rFonts w:hAnsi="宋体" w:cs="Times New Roman"/>
          <w:color w:val="auto"/>
          <w:highlight w:val="none"/>
        </w:rPr>
        <w:t>13.4</w:t>
      </w:r>
      <w:r>
        <w:rPr>
          <w:rFonts w:hint="eastAsia" w:hAnsi="宋体" w:cs="Times New Roman"/>
          <w:color w:val="auto"/>
          <w:highlight w:val="none"/>
        </w:rPr>
        <w:t>款〔提前交付单位工程的验收〕的约定验收合格，证明能确保安全后，才能在施工期投入运行。</w:t>
      </w:r>
    </w:p>
    <w:p w14:paraId="3B99CCF3">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13.5.2 </w:t>
      </w:r>
      <w:r>
        <w:rPr>
          <w:rFonts w:hint="eastAsia" w:hAnsi="宋体" w:cs="Times New Roman"/>
          <w:color w:val="auto"/>
          <w:highlight w:val="none"/>
        </w:rPr>
        <w:t>在施工期运行中发现工程或工程设备损坏或存在缺陷的，由承包人按第</w:t>
      </w:r>
      <w:r>
        <w:rPr>
          <w:rFonts w:hAnsi="宋体" w:cs="Times New Roman"/>
          <w:color w:val="auto"/>
          <w:highlight w:val="none"/>
        </w:rPr>
        <w:t>15.2</w:t>
      </w:r>
      <w:r>
        <w:rPr>
          <w:rFonts w:hint="eastAsia" w:hAnsi="宋体" w:cs="Times New Roman"/>
          <w:color w:val="auto"/>
          <w:highlight w:val="none"/>
        </w:rPr>
        <w:t>款〔缺陷责任期〕约定进行修复。</w:t>
      </w:r>
    </w:p>
    <w:p w14:paraId="00771291">
      <w:pPr>
        <w:keepNext/>
        <w:keepLines/>
        <w:spacing w:line="360" w:lineRule="auto"/>
        <w:outlineLvl w:val="3"/>
        <w:rPr>
          <w:rFonts w:hAnsi="宋体" w:cs="Times New Roman"/>
          <w:b/>
          <w:bCs/>
          <w:color w:val="auto"/>
          <w:kern w:val="2"/>
          <w:szCs w:val="28"/>
          <w:highlight w:val="none"/>
        </w:rPr>
      </w:pPr>
      <w:bookmarkStart w:id="505" w:name="_Toc296503112"/>
      <w:bookmarkStart w:id="506" w:name="_Toc296346613"/>
      <w:bookmarkStart w:id="507" w:name="_Toc351203592"/>
      <w:bookmarkStart w:id="508" w:name="_Toc532839959"/>
      <w:bookmarkStart w:id="509" w:name="_Toc337558809"/>
      <w:r>
        <w:rPr>
          <w:rFonts w:hAnsi="宋体" w:cs="Times New Roman"/>
          <w:b/>
          <w:bCs/>
          <w:color w:val="auto"/>
          <w:kern w:val="2"/>
          <w:szCs w:val="28"/>
          <w:highlight w:val="none"/>
        </w:rPr>
        <w:t xml:space="preserve">13.6 </w:t>
      </w:r>
      <w:r>
        <w:rPr>
          <w:rFonts w:hint="eastAsia" w:hAnsi="宋体"/>
          <w:b/>
          <w:bCs/>
          <w:color w:val="auto"/>
          <w:kern w:val="2"/>
          <w:szCs w:val="28"/>
          <w:highlight w:val="none"/>
        </w:rPr>
        <w:t>竣工退</w:t>
      </w:r>
      <w:bookmarkEnd w:id="505"/>
      <w:bookmarkEnd w:id="506"/>
      <w:r>
        <w:rPr>
          <w:rFonts w:hint="eastAsia" w:hAnsi="宋体"/>
          <w:b/>
          <w:bCs/>
          <w:color w:val="auto"/>
          <w:kern w:val="2"/>
          <w:szCs w:val="28"/>
          <w:highlight w:val="none"/>
        </w:rPr>
        <w:t>场</w:t>
      </w:r>
      <w:bookmarkEnd w:id="507"/>
      <w:bookmarkEnd w:id="508"/>
    </w:p>
    <w:bookmarkEnd w:id="509"/>
    <w:p w14:paraId="1394710F">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13.6.1 </w:t>
      </w:r>
      <w:r>
        <w:rPr>
          <w:rFonts w:hint="eastAsia" w:hAnsi="宋体" w:cs="Times New Roman"/>
          <w:color w:val="auto"/>
          <w:highlight w:val="none"/>
        </w:rPr>
        <w:t>竣工退场</w:t>
      </w:r>
    </w:p>
    <w:p w14:paraId="52C09AEE">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颁发工程接收证书后，承包人应按以下要求对施工现场进行清理：</w:t>
      </w:r>
    </w:p>
    <w:p w14:paraId="32CB6911">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）施工现场内残留的垃圾已全部清除出场；</w:t>
      </w:r>
    </w:p>
    <w:p w14:paraId="0F7A4F36">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）临时工程已拆除，场地已进行清理、平整或复原；</w:t>
      </w:r>
    </w:p>
    <w:p w14:paraId="3DD2E346">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）按合同约定应撤离的人员、承包人施工设备和剩余的材料，包括废弃的施工设备和材料，已按计划撤离施工现场；</w:t>
      </w:r>
    </w:p>
    <w:p w14:paraId="2AC281C3">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）施工现场周边及其附近道路、河道的施工堆积物，已全部清理；</w:t>
      </w:r>
    </w:p>
    <w:p w14:paraId="5CA3CC6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）施工现场其他场地清理工作已全部完成。</w:t>
      </w:r>
    </w:p>
    <w:p w14:paraId="08C4FAF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5F4FA78">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13.6.2 </w:t>
      </w:r>
      <w:r>
        <w:rPr>
          <w:rFonts w:hint="eastAsia" w:hAnsi="宋体" w:cs="Times New Roman"/>
          <w:color w:val="auto"/>
          <w:highlight w:val="none"/>
        </w:rPr>
        <w:t>地表还原</w:t>
      </w:r>
    </w:p>
    <w:p w14:paraId="21743B1C">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2648FBB9">
      <w:pPr>
        <w:keepNext/>
        <w:keepLines/>
        <w:spacing w:line="360" w:lineRule="auto"/>
        <w:outlineLvl w:val="2"/>
        <w:rPr>
          <w:rFonts w:hAnsi="宋体" w:cs="Times New Roman"/>
          <w:b/>
          <w:bCs/>
          <w:color w:val="auto"/>
          <w:kern w:val="2"/>
          <w:szCs w:val="32"/>
          <w:highlight w:val="none"/>
        </w:rPr>
      </w:pPr>
      <w:bookmarkStart w:id="510" w:name="_Toc351203593"/>
      <w:bookmarkStart w:id="511" w:name="_Toc532839960"/>
      <w:bookmarkStart w:id="512" w:name="_Toc527130431"/>
      <w:bookmarkStart w:id="513" w:name="_Toc512691385"/>
      <w:bookmarkStart w:id="514" w:name="_Toc337558810"/>
      <w:bookmarkStart w:id="515" w:name="_Toc296503113"/>
      <w:bookmarkStart w:id="516" w:name="_Toc296346614"/>
      <w:r>
        <w:rPr>
          <w:rFonts w:hAnsi="宋体" w:cs="Times New Roman"/>
          <w:b/>
          <w:bCs/>
          <w:color w:val="auto"/>
          <w:kern w:val="2"/>
          <w:szCs w:val="32"/>
          <w:highlight w:val="none"/>
        </w:rPr>
        <w:t xml:space="preserve">14. </w:t>
      </w:r>
      <w:r>
        <w:rPr>
          <w:rFonts w:hint="eastAsia" w:hAnsi="宋体"/>
          <w:b/>
          <w:bCs/>
          <w:color w:val="auto"/>
          <w:kern w:val="2"/>
          <w:szCs w:val="32"/>
          <w:highlight w:val="none"/>
        </w:rPr>
        <w:t>竣工结算</w:t>
      </w:r>
      <w:bookmarkEnd w:id="510"/>
      <w:bookmarkEnd w:id="511"/>
      <w:bookmarkEnd w:id="512"/>
      <w:bookmarkEnd w:id="513"/>
    </w:p>
    <w:bookmarkEnd w:id="514"/>
    <w:p w14:paraId="0F16DC41">
      <w:pPr>
        <w:keepNext/>
        <w:keepLines/>
        <w:spacing w:line="360" w:lineRule="auto"/>
        <w:outlineLvl w:val="3"/>
        <w:rPr>
          <w:rFonts w:hAnsi="宋体" w:cs="Times New Roman"/>
          <w:b/>
          <w:bCs/>
          <w:color w:val="auto"/>
          <w:kern w:val="2"/>
          <w:szCs w:val="28"/>
          <w:highlight w:val="none"/>
        </w:rPr>
      </w:pPr>
      <w:bookmarkStart w:id="517" w:name="_Toc532839961"/>
      <w:bookmarkStart w:id="518" w:name="_Toc351203594"/>
      <w:bookmarkStart w:id="519" w:name="_Toc337558811"/>
      <w:r>
        <w:rPr>
          <w:rFonts w:hAnsi="宋体" w:cs="Times New Roman"/>
          <w:b/>
          <w:bCs/>
          <w:color w:val="auto"/>
          <w:kern w:val="2"/>
          <w:szCs w:val="28"/>
          <w:highlight w:val="none"/>
        </w:rPr>
        <w:t xml:space="preserve">14.1 </w:t>
      </w:r>
      <w:r>
        <w:rPr>
          <w:rFonts w:hint="eastAsia" w:hAnsi="宋体"/>
          <w:b/>
          <w:bCs/>
          <w:color w:val="auto"/>
          <w:kern w:val="2"/>
          <w:szCs w:val="28"/>
          <w:highlight w:val="none"/>
        </w:rPr>
        <w:t>竣工结算申请</w:t>
      </w:r>
      <w:bookmarkEnd w:id="517"/>
      <w:bookmarkEnd w:id="518"/>
    </w:p>
    <w:bookmarkEnd w:id="519"/>
    <w:p w14:paraId="6F4DF6BB">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highlight w:val="none"/>
        </w:rPr>
        <w:t>除专用合同条款另有约定外，</w:t>
      </w:r>
      <w:r>
        <w:rPr>
          <w:rFonts w:hint="eastAsia" w:hAnsi="宋体" w:cs="Times New Roman"/>
          <w:color w:val="auto"/>
          <w:kern w:val="2"/>
          <w:highlight w:val="none"/>
        </w:rPr>
        <w:t>承包人应在工程竣工验收合格后</w:t>
      </w:r>
      <w:r>
        <w:rPr>
          <w:rFonts w:hAnsi="宋体" w:cs="Times New Roman"/>
          <w:color w:val="auto"/>
          <w:kern w:val="2"/>
          <w:highlight w:val="none"/>
        </w:rPr>
        <w:t>28</w:t>
      </w:r>
      <w:r>
        <w:rPr>
          <w:rFonts w:hint="eastAsia" w:hAnsi="宋体" w:cs="Times New Roman"/>
          <w:color w:val="auto"/>
          <w:kern w:val="2"/>
          <w:highlight w:val="none"/>
        </w:rPr>
        <w:t>天内向发包人和监理人提交竣工结算申请单，并提交完整的结算资料，有关竣工结算申请单的资料清单和份数等要求由合同当事人在专用合同条款中约定。</w:t>
      </w:r>
    </w:p>
    <w:p w14:paraId="373945D9">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除专用合同条款另有约定外，竣工结算申请单应包括以下内容：</w:t>
      </w:r>
    </w:p>
    <w:p w14:paraId="68AC532F">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1</w:t>
      </w:r>
      <w:r>
        <w:rPr>
          <w:rFonts w:hint="eastAsia" w:hAnsi="宋体" w:cs="Times New Roman"/>
          <w:color w:val="auto"/>
          <w:kern w:val="2"/>
          <w:highlight w:val="none"/>
        </w:rPr>
        <w:t>）竣工结算合同价格；</w:t>
      </w:r>
    </w:p>
    <w:p w14:paraId="4F2A82EF">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2</w:t>
      </w:r>
      <w:r>
        <w:rPr>
          <w:rFonts w:hint="eastAsia" w:hAnsi="宋体" w:cs="Times New Roman"/>
          <w:color w:val="auto"/>
          <w:kern w:val="2"/>
          <w:highlight w:val="none"/>
        </w:rPr>
        <w:t>）发包人已支付承包人的款项；</w:t>
      </w:r>
    </w:p>
    <w:p w14:paraId="1CDC1798">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3</w:t>
      </w:r>
      <w:r>
        <w:rPr>
          <w:rFonts w:hint="eastAsia" w:hAnsi="宋体" w:cs="Times New Roman"/>
          <w:color w:val="auto"/>
          <w:kern w:val="2"/>
          <w:highlight w:val="none"/>
        </w:rPr>
        <w:t>）应扣留的质量保证金；</w:t>
      </w:r>
      <w:r>
        <w:rPr>
          <w:rFonts w:hAnsi="宋体" w:cs="Times New Roman"/>
          <w:color w:val="auto"/>
          <w:kern w:val="2"/>
          <w:highlight w:val="none"/>
        </w:rPr>
        <w:t xml:space="preserve"> </w:t>
      </w:r>
    </w:p>
    <w:p w14:paraId="308243D6">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4</w:t>
      </w:r>
      <w:r>
        <w:rPr>
          <w:rFonts w:hint="eastAsia" w:hAnsi="宋体" w:cs="Times New Roman"/>
          <w:color w:val="auto"/>
          <w:kern w:val="2"/>
          <w:highlight w:val="none"/>
        </w:rPr>
        <w:t>）发包人应支付承包人的合同价款。</w:t>
      </w:r>
    </w:p>
    <w:p w14:paraId="05B4D7E7">
      <w:pPr>
        <w:keepNext/>
        <w:keepLines/>
        <w:spacing w:line="360" w:lineRule="auto"/>
        <w:outlineLvl w:val="3"/>
        <w:rPr>
          <w:rFonts w:hAnsi="宋体" w:cs="Times New Roman"/>
          <w:b/>
          <w:bCs/>
          <w:color w:val="auto"/>
          <w:kern w:val="2"/>
          <w:szCs w:val="28"/>
          <w:highlight w:val="none"/>
        </w:rPr>
      </w:pPr>
      <w:bookmarkStart w:id="520" w:name="_Toc351203595"/>
      <w:bookmarkStart w:id="521" w:name="_Toc532839962"/>
      <w:bookmarkStart w:id="522" w:name="_Toc337558812"/>
      <w:r>
        <w:rPr>
          <w:rFonts w:hAnsi="宋体" w:cs="Times New Roman"/>
          <w:b/>
          <w:bCs/>
          <w:color w:val="auto"/>
          <w:kern w:val="2"/>
          <w:szCs w:val="28"/>
          <w:highlight w:val="none"/>
        </w:rPr>
        <w:t xml:space="preserve">14.2 </w:t>
      </w:r>
      <w:r>
        <w:rPr>
          <w:rFonts w:hint="eastAsia" w:hAnsi="宋体"/>
          <w:b/>
          <w:bCs/>
          <w:color w:val="auto"/>
          <w:kern w:val="2"/>
          <w:szCs w:val="28"/>
          <w:highlight w:val="none"/>
        </w:rPr>
        <w:t>竣工结算审核</w:t>
      </w:r>
      <w:bookmarkEnd w:id="520"/>
      <w:bookmarkEnd w:id="521"/>
    </w:p>
    <w:bookmarkEnd w:id="522"/>
    <w:p w14:paraId="505D05D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）除专用合同条款另有约定外，监理人应在收到竣工结算申请单后</w:t>
      </w:r>
      <w:r>
        <w:rPr>
          <w:rFonts w:hAnsi="宋体" w:cs="Times New Roman"/>
          <w:color w:val="auto"/>
          <w:highlight w:val="none"/>
        </w:rPr>
        <w:t>14</w:t>
      </w:r>
      <w:r>
        <w:rPr>
          <w:rFonts w:hint="eastAsia" w:hAnsi="宋体" w:cs="Times New Roman"/>
          <w:color w:val="auto"/>
          <w:highlight w:val="none"/>
        </w:rPr>
        <w:t>天内完成核查并报送发包人。发包人应在收到监理人提交的经审核的竣工结算申请单后</w:t>
      </w:r>
      <w:r>
        <w:rPr>
          <w:rFonts w:hAnsi="宋体" w:cs="Times New Roman"/>
          <w:color w:val="auto"/>
          <w:highlight w:val="none"/>
        </w:rPr>
        <w:t>14</w:t>
      </w:r>
      <w:r>
        <w:rPr>
          <w:rFonts w:hint="eastAsia" w:hAnsi="宋体" w:cs="Times New Roman"/>
          <w:color w:val="auto"/>
          <w:highlight w:val="none"/>
        </w:rPr>
        <w:t>天内完成审批，并由监理人向承包人签发经发包人签认的竣工付款证书。监理人或</w:t>
      </w:r>
      <w:r>
        <w:rPr>
          <w:rFonts w:hint="eastAsia" w:hAnsi="宋体" w:cs="Times New Roman"/>
          <w:color w:val="auto"/>
          <w:kern w:val="2"/>
          <w:highlight w:val="none"/>
        </w:rPr>
        <w:t>发包人对竣工</w:t>
      </w:r>
      <w:r>
        <w:rPr>
          <w:rFonts w:hint="eastAsia" w:hAnsi="宋体" w:cs="Times New Roman"/>
          <w:color w:val="auto"/>
          <w:highlight w:val="none"/>
        </w:rPr>
        <w:t>结算</w:t>
      </w:r>
      <w:r>
        <w:rPr>
          <w:rFonts w:hint="eastAsia" w:hAnsi="宋体" w:cs="Times New Roman"/>
          <w:color w:val="auto"/>
          <w:kern w:val="2"/>
          <w:highlight w:val="none"/>
        </w:rPr>
        <w:t>申请单有异议的，有权要求承包人进行修正和提供补充资料，承包人应提交修正后的竣工</w:t>
      </w:r>
      <w:r>
        <w:rPr>
          <w:rFonts w:hint="eastAsia" w:hAnsi="宋体" w:cs="Times New Roman"/>
          <w:color w:val="auto"/>
          <w:highlight w:val="none"/>
        </w:rPr>
        <w:t>结算</w:t>
      </w:r>
      <w:r>
        <w:rPr>
          <w:rFonts w:hint="eastAsia" w:hAnsi="宋体" w:cs="Times New Roman"/>
          <w:color w:val="auto"/>
          <w:kern w:val="2"/>
          <w:highlight w:val="none"/>
        </w:rPr>
        <w:t>申请单。</w:t>
      </w:r>
    </w:p>
    <w:p w14:paraId="0C2B6E3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发包人在收到承包人提交竣工结算申请书后</w:t>
      </w:r>
      <w:r>
        <w:rPr>
          <w:rFonts w:hAnsi="宋体" w:cs="Times New Roman"/>
          <w:color w:val="auto"/>
          <w:highlight w:val="none"/>
        </w:rPr>
        <w:t>28</w:t>
      </w:r>
      <w:r>
        <w:rPr>
          <w:rFonts w:hint="eastAsia" w:hAnsi="宋体" w:cs="Times New Roman"/>
          <w:color w:val="auto"/>
          <w:highlight w:val="none"/>
        </w:rPr>
        <w:t>天内未完成审批且未提出异议的，视为发包人认可承包人提交的竣工结算申请单，并自发包人收到承包人提交的竣工结算申请单后第</w:t>
      </w:r>
      <w:r>
        <w:rPr>
          <w:rFonts w:hAnsi="宋体" w:cs="Times New Roman"/>
          <w:color w:val="auto"/>
          <w:highlight w:val="none"/>
        </w:rPr>
        <w:t>29</w:t>
      </w:r>
      <w:r>
        <w:rPr>
          <w:rFonts w:hint="eastAsia" w:hAnsi="宋体" w:cs="Times New Roman"/>
          <w:color w:val="auto"/>
          <w:highlight w:val="none"/>
        </w:rPr>
        <w:t>天起视为已签发竣工付款证书。</w:t>
      </w:r>
    </w:p>
    <w:p w14:paraId="2C24C65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）除专用合同条款另有约定外，发包人应在签发竣工付款证书后的</w:t>
      </w:r>
      <w:r>
        <w:rPr>
          <w:rFonts w:hAnsi="宋体" w:cs="Times New Roman"/>
          <w:color w:val="auto"/>
          <w:highlight w:val="none"/>
        </w:rPr>
        <w:t xml:space="preserve">14 </w:t>
      </w:r>
      <w:r>
        <w:rPr>
          <w:rFonts w:hint="eastAsia" w:hAnsi="宋体" w:cs="Times New Roman"/>
          <w:color w:val="auto"/>
          <w:highlight w:val="none"/>
        </w:rPr>
        <w:t>天内，完成对承包人的竣工付款。发包人逾期支付的，按照中国人民银行发布的同期同类贷款基准利率支付违约金；逾期支付超过</w:t>
      </w:r>
      <w:r>
        <w:rPr>
          <w:rFonts w:hAnsi="宋体" w:cs="Times New Roman"/>
          <w:color w:val="auto"/>
          <w:highlight w:val="none"/>
        </w:rPr>
        <w:t>56</w:t>
      </w:r>
      <w:r>
        <w:rPr>
          <w:rFonts w:hint="eastAsia" w:hAnsi="宋体" w:cs="Times New Roman"/>
          <w:color w:val="auto"/>
          <w:highlight w:val="none"/>
        </w:rPr>
        <w:t>天的，按照中国人民银行发布的同期同类贷款基准利率的两倍支付违约金。</w:t>
      </w:r>
    </w:p>
    <w:p w14:paraId="6C3815A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）承包人对发包人签认的竣工付款证书有异议的，对于有异议部分应在收到发包人签认的竣工付款证书后</w:t>
      </w:r>
      <w:r>
        <w:rPr>
          <w:rFonts w:hAnsi="宋体" w:cs="Times New Roman"/>
          <w:color w:val="auto"/>
          <w:highlight w:val="none"/>
        </w:rPr>
        <w:t>7</w:t>
      </w:r>
      <w:r>
        <w:rPr>
          <w:rFonts w:hint="eastAsia" w:hAnsi="宋体" w:cs="Times New Roman"/>
          <w:color w:val="auto"/>
          <w:highlight w:val="none"/>
        </w:rPr>
        <w:t>天内提出异议，并由合同当事人按照专用合同条款约定的方式和程序进行复核，或按照第</w:t>
      </w:r>
      <w:r>
        <w:rPr>
          <w:rFonts w:hAnsi="宋体" w:cs="Times New Roman"/>
          <w:color w:val="auto"/>
          <w:highlight w:val="none"/>
        </w:rPr>
        <w:t>20</w:t>
      </w:r>
      <w:r>
        <w:rPr>
          <w:rFonts w:hint="eastAsia" w:hAnsi="宋体" w:cs="Times New Roman"/>
          <w:color w:val="auto"/>
          <w:highlight w:val="none"/>
        </w:rPr>
        <w:t>条〔争议解决〕约定处理。对于无异议部分，发包人应签发临时竣工付款证书，并按本款第（</w:t>
      </w:r>
      <w:r>
        <w:rPr>
          <w:rFonts w:hAnsi="宋体" w:cs="Times New Roman"/>
          <w:color w:val="auto"/>
          <w:highlight w:val="none"/>
        </w:rPr>
        <w:t>2</w:t>
      </w:r>
      <w:r>
        <w:rPr>
          <w:rFonts w:hint="eastAsia" w:hAnsi="宋体" w:cs="Times New Roman"/>
          <w:color w:val="auto"/>
          <w:highlight w:val="none"/>
        </w:rPr>
        <w:t>）项完成付款。承包人逾期未提出异议的，视为认可发包人的审批结果。</w:t>
      </w:r>
    </w:p>
    <w:p w14:paraId="5760B18D">
      <w:pPr>
        <w:keepNext/>
        <w:keepLines/>
        <w:spacing w:line="360" w:lineRule="auto"/>
        <w:outlineLvl w:val="3"/>
        <w:rPr>
          <w:rFonts w:hAnsi="宋体" w:cs="Times New Roman"/>
          <w:b/>
          <w:bCs/>
          <w:color w:val="auto"/>
          <w:kern w:val="2"/>
          <w:szCs w:val="28"/>
          <w:highlight w:val="none"/>
        </w:rPr>
      </w:pPr>
      <w:bookmarkStart w:id="523" w:name="_Toc532839963"/>
      <w:bookmarkStart w:id="524" w:name="_Toc351203596"/>
      <w:bookmarkStart w:id="525" w:name="_Toc337558813"/>
      <w:r>
        <w:rPr>
          <w:rFonts w:hAnsi="宋体" w:cs="Times New Roman"/>
          <w:b/>
          <w:bCs/>
          <w:color w:val="auto"/>
          <w:kern w:val="2"/>
          <w:szCs w:val="28"/>
          <w:highlight w:val="none"/>
        </w:rPr>
        <w:t xml:space="preserve">14.3 </w:t>
      </w:r>
      <w:r>
        <w:rPr>
          <w:rFonts w:hint="eastAsia" w:hAnsi="宋体"/>
          <w:b/>
          <w:bCs/>
          <w:color w:val="auto"/>
          <w:kern w:val="2"/>
          <w:szCs w:val="28"/>
          <w:highlight w:val="none"/>
        </w:rPr>
        <w:t>甩项竣工协议</w:t>
      </w:r>
      <w:bookmarkEnd w:id="523"/>
      <w:bookmarkEnd w:id="524"/>
    </w:p>
    <w:bookmarkEnd w:id="525"/>
    <w:p w14:paraId="0899DE42">
      <w:pPr>
        <w:autoSpaceDE w:val="0"/>
        <w:autoSpaceDN w:val="0"/>
        <w:adjustRightInd w:val="0"/>
        <w:spacing w:line="360" w:lineRule="auto"/>
        <w:ind w:firstLine="411" w:firstLineChars="196"/>
        <w:jc w:val="left"/>
        <w:rPr>
          <w:rFonts w:hAnsi="宋体" w:cs="Times New Roman"/>
          <w:color w:val="auto"/>
          <w:highlight w:val="none"/>
        </w:rPr>
      </w:pPr>
      <w:r>
        <w:rPr>
          <w:rFonts w:hint="eastAsia" w:hAnsi="宋体" w:cs="Times New Roman"/>
          <w:color w:val="auto"/>
          <w:kern w:val="2"/>
          <w:highlight w:val="none"/>
        </w:rPr>
        <w:t>发包人要求甩项竣工的，合同当事人应签订甩项竣工协议。在甩项竣工协议中应明确，合同当事人按照第</w:t>
      </w:r>
      <w:r>
        <w:rPr>
          <w:rFonts w:hAnsi="宋体" w:cs="Times New Roman"/>
          <w:color w:val="auto"/>
          <w:kern w:val="2"/>
          <w:highlight w:val="none"/>
        </w:rPr>
        <w:t>14.1</w:t>
      </w:r>
      <w:r>
        <w:rPr>
          <w:rFonts w:hint="eastAsia" w:hAnsi="宋体" w:cs="Times New Roman"/>
          <w:color w:val="auto"/>
          <w:kern w:val="2"/>
          <w:highlight w:val="none"/>
        </w:rPr>
        <w:t>款〔竣工结算申请〕及</w:t>
      </w:r>
      <w:r>
        <w:rPr>
          <w:rFonts w:hAnsi="宋体" w:cs="Times New Roman"/>
          <w:color w:val="auto"/>
          <w:kern w:val="2"/>
          <w:highlight w:val="none"/>
        </w:rPr>
        <w:t>14.2</w:t>
      </w:r>
      <w:r>
        <w:rPr>
          <w:rFonts w:hint="eastAsia" w:hAnsi="宋体" w:cs="Times New Roman"/>
          <w:color w:val="auto"/>
          <w:kern w:val="2"/>
          <w:highlight w:val="none"/>
        </w:rPr>
        <w:t>款〔竣工结算审核〕的约定，对已完合格工程进行结算，并支付相应合同价款。</w:t>
      </w:r>
    </w:p>
    <w:p w14:paraId="3102753D">
      <w:pPr>
        <w:keepNext/>
        <w:keepLines/>
        <w:spacing w:line="360" w:lineRule="auto"/>
        <w:outlineLvl w:val="3"/>
        <w:rPr>
          <w:rFonts w:hAnsi="宋体" w:cs="Times New Roman"/>
          <w:b/>
          <w:bCs/>
          <w:color w:val="auto"/>
          <w:kern w:val="2"/>
          <w:szCs w:val="28"/>
          <w:highlight w:val="none"/>
        </w:rPr>
      </w:pPr>
      <w:bookmarkStart w:id="526" w:name="_Toc351203597"/>
      <w:bookmarkStart w:id="527" w:name="_Toc532839964"/>
      <w:bookmarkStart w:id="528" w:name="_Toc337558814"/>
      <w:r>
        <w:rPr>
          <w:rFonts w:hAnsi="宋体" w:cs="Times New Roman"/>
          <w:b/>
          <w:bCs/>
          <w:color w:val="auto"/>
          <w:kern w:val="2"/>
          <w:szCs w:val="28"/>
          <w:highlight w:val="none"/>
        </w:rPr>
        <w:t xml:space="preserve">14.4 </w:t>
      </w:r>
      <w:r>
        <w:rPr>
          <w:rFonts w:hint="eastAsia" w:hAnsi="宋体"/>
          <w:b/>
          <w:bCs/>
          <w:color w:val="auto"/>
          <w:kern w:val="2"/>
          <w:szCs w:val="28"/>
          <w:highlight w:val="none"/>
        </w:rPr>
        <w:t>最终结清</w:t>
      </w:r>
      <w:bookmarkEnd w:id="526"/>
      <w:bookmarkEnd w:id="527"/>
    </w:p>
    <w:bookmarkEnd w:id="528"/>
    <w:p w14:paraId="4AF489AC">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14.4.1 </w:t>
      </w:r>
      <w:r>
        <w:rPr>
          <w:rFonts w:hint="eastAsia" w:hAnsi="宋体" w:cs="Times New Roman"/>
          <w:color w:val="auto"/>
          <w:highlight w:val="none"/>
        </w:rPr>
        <w:t>最终结清申请单</w:t>
      </w:r>
    </w:p>
    <w:p w14:paraId="53B9BB5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）除专用合同条款另有约定外，承包人应在缺陷责任期终止证书颁发后</w:t>
      </w:r>
      <w:r>
        <w:rPr>
          <w:rFonts w:hAnsi="宋体" w:cs="Times New Roman"/>
          <w:color w:val="auto"/>
          <w:highlight w:val="none"/>
        </w:rPr>
        <w:t>7</w:t>
      </w:r>
      <w:r>
        <w:rPr>
          <w:rFonts w:hint="eastAsia" w:hAnsi="宋体" w:cs="Times New Roman"/>
          <w:color w:val="auto"/>
          <w:highlight w:val="none"/>
        </w:rPr>
        <w:t>天内，按专用合同条款约定的份数向发包人提交最终结清申请单，并提供相关证明材料。</w:t>
      </w:r>
    </w:p>
    <w:p w14:paraId="7B01FF00">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除专用合同条款另有约定外，</w:t>
      </w:r>
      <w:r>
        <w:rPr>
          <w:rFonts w:hint="eastAsia" w:hAnsi="宋体" w:cs="Times New Roman"/>
          <w:color w:val="auto"/>
          <w:highlight w:val="none"/>
        </w:rPr>
        <w:t>最终结清申请单</w:t>
      </w:r>
      <w:r>
        <w:rPr>
          <w:rFonts w:hint="eastAsia" w:hAnsi="宋体" w:cs="Times New Roman"/>
          <w:color w:val="auto"/>
          <w:kern w:val="2"/>
          <w:highlight w:val="none"/>
        </w:rPr>
        <w:t>应列明质量保证金、应扣除的质量保证金、缺陷责任期内发生的增减费用。</w:t>
      </w:r>
    </w:p>
    <w:p w14:paraId="2B20B2A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）发包人对最终结清申请单内容有异议的，有权要求承包人进行修正和提供补充资料，承包人应向发包人提交修正后的最终结清申请单。</w:t>
      </w:r>
    </w:p>
    <w:p w14:paraId="06307DD4">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14.4.2 </w:t>
      </w:r>
      <w:r>
        <w:rPr>
          <w:rFonts w:hint="eastAsia" w:hAnsi="宋体" w:cs="Times New Roman"/>
          <w:color w:val="auto"/>
          <w:highlight w:val="none"/>
        </w:rPr>
        <w:t>最终结清证书和支付</w:t>
      </w:r>
    </w:p>
    <w:p w14:paraId="6E7697D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）除专用合同条款另有约定外，发包人应在收到承包人提交的最终结清申请单后</w:t>
      </w:r>
      <w:r>
        <w:rPr>
          <w:rFonts w:hAnsi="宋体" w:cs="Times New Roman"/>
          <w:color w:val="auto"/>
          <w:highlight w:val="none"/>
        </w:rPr>
        <w:t>14</w:t>
      </w:r>
      <w:r>
        <w:rPr>
          <w:rFonts w:hint="eastAsia" w:hAnsi="宋体" w:cs="Times New Roman"/>
          <w:color w:val="auto"/>
          <w:highlight w:val="none"/>
        </w:rPr>
        <w:t>天内完成审批并向承包人颁发最终结清证书。发包人逾期未完成审批，又未提出修改意见的，视为发包人同意承包人提交的最终结清申请单，且自发包人收到承包人提交的最终结清申请单后</w:t>
      </w:r>
      <w:r>
        <w:rPr>
          <w:rFonts w:hAnsi="宋体" w:cs="Times New Roman"/>
          <w:color w:val="auto"/>
          <w:highlight w:val="none"/>
        </w:rPr>
        <w:t>15</w:t>
      </w:r>
      <w:r>
        <w:rPr>
          <w:rFonts w:hint="eastAsia" w:hAnsi="宋体" w:cs="Times New Roman"/>
          <w:color w:val="auto"/>
          <w:highlight w:val="none"/>
        </w:rPr>
        <w:t>天起视为已颁发最终结清证书。</w:t>
      </w:r>
    </w:p>
    <w:p w14:paraId="09E0965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）除专用合同条款另有约定外，发包人应在颁发最终结清证书后</w:t>
      </w:r>
      <w:r>
        <w:rPr>
          <w:rFonts w:hAnsi="宋体" w:cs="Times New Roman"/>
          <w:color w:val="auto"/>
          <w:highlight w:val="none"/>
        </w:rPr>
        <w:t>7</w:t>
      </w:r>
      <w:r>
        <w:rPr>
          <w:rFonts w:hint="eastAsia" w:hAnsi="宋体" w:cs="Times New Roman"/>
          <w:color w:val="auto"/>
          <w:highlight w:val="none"/>
        </w:rPr>
        <w:t>天内完成支付。发包人逾期支付的，按照中国人民银行发布的同期同类贷款基准利率支付违约金；逾期支付超过</w:t>
      </w:r>
      <w:r>
        <w:rPr>
          <w:rFonts w:hAnsi="宋体" w:cs="Times New Roman"/>
          <w:color w:val="auto"/>
          <w:highlight w:val="none"/>
        </w:rPr>
        <w:t>56</w:t>
      </w:r>
      <w:r>
        <w:rPr>
          <w:rFonts w:hint="eastAsia" w:hAnsi="宋体" w:cs="Times New Roman"/>
          <w:color w:val="auto"/>
          <w:highlight w:val="none"/>
        </w:rPr>
        <w:t>天的，按照中国人民银行发布的同期同类贷款基准利率的两倍支付违约金。</w:t>
      </w:r>
    </w:p>
    <w:p w14:paraId="45DB3A6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）承包人对发包人颁发的最终结清证书有异议的，按第</w:t>
      </w:r>
      <w:r>
        <w:rPr>
          <w:rFonts w:hAnsi="宋体" w:cs="Times New Roman"/>
          <w:color w:val="auto"/>
          <w:highlight w:val="none"/>
        </w:rPr>
        <w:t>20</w:t>
      </w:r>
      <w:r>
        <w:rPr>
          <w:rFonts w:hint="eastAsia" w:hAnsi="宋体" w:cs="Times New Roman"/>
          <w:color w:val="auto"/>
          <w:highlight w:val="none"/>
        </w:rPr>
        <w:t>条〔争议解决〕的约定办理。</w:t>
      </w:r>
    </w:p>
    <w:p w14:paraId="78965F8C">
      <w:pPr>
        <w:keepNext/>
        <w:keepLines/>
        <w:spacing w:line="360" w:lineRule="auto"/>
        <w:outlineLvl w:val="2"/>
        <w:rPr>
          <w:rFonts w:hAnsi="宋体" w:cs="Times New Roman"/>
          <w:b/>
          <w:bCs/>
          <w:color w:val="auto"/>
          <w:kern w:val="2"/>
          <w:szCs w:val="32"/>
          <w:highlight w:val="none"/>
        </w:rPr>
      </w:pPr>
      <w:bookmarkStart w:id="529" w:name="_Toc512691386"/>
      <w:bookmarkStart w:id="530" w:name="_Toc532839965"/>
      <w:bookmarkStart w:id="531" w:name="_Toc351203598"/>
      <w:bookmarkStart w:id="532" w:name="_Toc527130432"/>
      <w:bookmarkStart w:id="533" w:name="_Toc337558815"/>
      <w:r>
        <w:rPr>
          <w:rFonts w:hAnsi="宋体" w:cs="Times New Roman"/>
          <w:b/>
          <w:bCs/>
          <w:color w:val="auto"/>
          <w:kern w:val="2"/>
          <w:szCs w:val="32"/>
          <w:highlight w:val="none"/>
        </w:rPr>
        <w:t xml:space="preserve">15. </w:t>
      </w:r>
      <w:r>
        <w:rPr>
          <w:rFonts w:hint="eastAsia" w:hAnsi="宋体" w:cs="Times New Roman"/>
          <w:b/>
          <w:bCs/>
          <w:color w:val="auto"/>
          <w:kern w:val="2"/>
          <w:szCs w:val="32"/>
          <w:highlight w:val="none"/>
        </w:rPr>
        <w:t>缺陷责任与保修</w:t>
      </w:r>
      <w:bookmarkEnd w:id="529"/>
      <w:bookmarkEnd w:id="530"/>
      <w:bookmarkEnd w:id="531"/>
      <w:bookmarkEnd w:id="532"/>
    </w:p>
    <w:bookmarkEnd w:id="515"/>
    <w:bookmarkEnd w:id="516"/>
    <w:bookmarkEnd w:id="533"/>
    <w:p w14:paraId="472C2A60">
      <w:pPr>
        <w:keepNext/>
        <w:keepLines/>
        <w:spacing w:line="360" w:lineRule="auto"/>
        <w:outlineLvl w:val="3"/>
        <w:rPr>
          <w:rFonts w:hAnsi="宋体" w:cs="Times New Roman"/>
          <w:b/>
          <w:bCs/>
          <w:color w:val="auto"/>
          <w:kern w:val="2"/>
          <w:szCs w:val="28"/>
          <w:highlight w:val="none"/>
        </w:rPr>
      </w:pPr>
      <w:bookmarkStart w:id="534" w:name="_Toc532839966"/>
      <w:bookmarkStart w:id="535" w:name="_Toc351203599"/>
      <w:bookmarkStart w:id="536" w:name="_Toc337558816"/>
      <w:bookmarkStart w:id="537" w:name="_Toc296503114"/>
      <w:bookmarkStart w:id="538" w:name="_Toc296346615"/>
      <w:r>
        <w:rPr>
          <w:rFonts w:hAnsi="宋体" w:cs="Times New Roman"/>
          <w:b/>
          <w:bCs/>
          <w:color w:val="auto"/>
          <w:kern w:val="2"/>
          <w:szCs w:val="28"/>
          <w:highlight w:val="none"/>
        </w:rPr>
        <w:t xml:space="preserve">15.1 </w:t>
      </w:r>
      <w:r>
        <w:rPr>
          <w:rFonts w:hint="eastAsia" w:hAnsi="宋体" w:cs="Times New Roman"/>
          <w:b/>
          <w:bCs/>
          <w:color w:val="auto"/>
          <w:kern w:val="2"/>
          <w:szCs w:val="28"/>
          <w:highlight w:val="none"/>
        </w:rPr>
        <w:t>工程保修的原则</w:t>
      </w:r>
      <w:bookmarkEnd w:id="534"/>
      <w:bookmarkEnd w:id="535"/>
    </w:p>
    <w:bookmarkEnd w:id="536"/>
    <w:p w14:paraId="1872380F">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在工程移交发包人后，因承包人原因产生的质量缺陷，承包人应承担质量缺陷责任和保修义务。缺陷责任期届满，承包人仍应按合同约定的工程各部位保修年限承担保修义务。</w:t>
      </w:r>
    </w:p>
    <w:p w14:paraId="309495E5">
      <w:pPr>
        <w:keepNext/>
        <w:keepLines/>
        <w:spacing w:line="360" w:lineRule="auto"/>
        <w:outlineLvl w:val="3"/>
        <w:rPr>
          <w:rFonts w:hAnsi="宋体" w:cs="Times New Roman"/>
          <w:b/>
          <w:bCs/>
          <w:color w:val="auto"/>
          <w:kern w:val="2"/>
          <w:szCs w:val="28"/>
          <w:highlight w:val="none"/>
        </w:rPr>
      </w:pPr>
      <w:bookmarkStart w:id="539" w:name="_Toc532839967"/>
      <w:bookmarkStart w:id="540" w:name="_Toc351203600"/>
      <w:bookmarkStart w:id="541" w:name="_Toc337558817"/>
      <w:r>
        <w:rPr>
          <w:rFonts w:hAnsi="宋体" w:cs="Times New Roman"/>
          <w:b/>
          <w:bCs/>
          <w:color w:val="auto"/>
          <w:kern w:val="2"/>
          <w:szCs w:val="28"/>
          <w:highlight w:val="none"/>
        </w:rPr>
        <w:t xml:space="preserve">15.2 </w:t>
      </w:r>
      <w:r>
        <w:rPr>
          <w:rFonts w:hint="eastAsia" w:hAnsi="宋体"/>
          <w:b/>
          <w:bCs/>
          <w:color w:val="auto"/>
          <w:kern w:val="2"/>
          <w:szCs w:val="28"/>
          <w:highlight w:val="none"/>
        </w:rPr>
        <w:t>缺陷责任期</w:t>
      </w:r>
      <w:bookmarkEnd w:id="537"/>
      <w:bookmarkEnd w:id="538"/>
      <w:bookmarkEnd w:id="539"/>
      <w:bookmarkEnd w:id="540"/>
    </w:p>
    <w:bookmarkEnd w:id="541"/>
    <w:p w14:paraId="7D0C3B23">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15.2.1 </w:t>
      </w:r>
      <w:r>
        <w:rPr>
          <w:rFonts w:hint="eastAsia" w:hAnsi="宋体" w:cs="Times New Roman"/>
          <w:color w:val="auto"/>
          <w:highlight w:val="none"/>
        </w:rPr>
        <w:t>缺陷责任期自实际竣工日期起计算，合同当事人应在专用合同条款约定缺陷责任期的具体期限，但该期限最长不超过</w:t>
      </w:r>
      <w:r>
        <w:rPr>
          <w:rFonts w:hAnsi="宋体" w:cs="Times New Roman"/>
          <w:color w:val="auto"/>
          <w:highlight w:val="none"/>
        </w:rPr>
        <w:t>24</w:t>
      </w:r>
      <w:r>
        <w:rPr>
          <w:rFonts w:hint="eastAsia" w:hAnsi="宋体" w:cs="Times New Roman"/>
          <w:color w:val="auto"/>
          <w:highlight w:val="none"/>
        </w:rPr>
        <w:t>个月。</w:t>
      </w:r>
    </w:p>
    <w:p w14:paraId="4259930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14C76A2F">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15.2.2 </w:t>
      </w:r>
      <w:r>
        <w:rPr>
          <w:rFonts w:hint="eastAsia" w:hAnsi="宋体" w:cs="Times New Roman"/>
          <w:color w:val="auto"/>
          <w:highlight w:val="none"/>
        </w:rPr>
        <w:t>工程竣工验收合格后，因承包人原因导致的缺陷或损坏致使工程、单位工程或某项主要设备不能按原定目的使用的，则发包人有权要求承</w:t>
      </w:r>
      <w:r>
        <w:rPr>
          <w:rFonts w:hint="eastAsia" w:hAnsi="宋体" w:cs="Times New Roman"/>
          <w:bCs/>
          <w:color w:val="auto"/>
          <w:kern w:val="2"/>
          <w:highlight w:val="none"/>
        </w:rPr>
        <w:t>包人延长缺陷责任期，</w:t>
      </w:r>
      <w:r>
        <w:rPr>
          <w:rFonts w:hint="eastAsia" w:hAnsi="宋体" w:cs="Times New Roman"/>
          <w:color w:val="auto"/>
          <w:highlight w:val="none"/>
        </w:rPr>
        <w:t>并应在原缺陷责任期届满前发出延长通知，</w:t>
      </w:r>
      <w:r>
        <w:rPr>
          <w:rFonts w:hint="eastAsia" w:hAnsi="宋体" w:cs="Times New Roman"/>
          <w:bCs/>
          <w:color w:val="auto"/>
          <w:kern w:val="2"/>
          <w:highlight w:val="none"/>
        </w:rPr>
        <w:t>但缺陷责任期最长</w:t>
      </w:r>
      <w:r>
        <w:rPr>
          <w:rFonts w:hint="eastAsia" w:hAnsi="宋体" w:cs="Times New Roman"/>
          <w:color w:val="auto"/>
          <w:highlight w:val="none"/>
        </w:rPr>
        <w:t>不能超过</w:t>
      </w:r>
      <w:r>
        <w:rPr>
          <w:rFonts w:hAnsi="宋体" w:cs="Times New Roman"/>
          <w:color w:val="auto"/>
          <w:highlight w:val="none"/>
        </w:rPr>
        <w:t>24</w:t>
      </w:r>
      <w:r>
        <w:rPr>
          <w:rFonts w:hint="eastAsia" w:hAnsi="宋体" w:cs="Times New Roman"/>
          <w:color w:val="auto"/>
          <w:highlight w:val="none"/>
        </w:rPr>
        <w:t>个月。</w:t>
      </w:r>
    </w:p>
    <w:p w14:paraId="445E919A">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15.2.3 </w:t>
      </w:r>
      <w:r>
        <w:rPr>
          <w:rFonts w:hint="eastAsia" w:hAnsi="宋体" w:cs="Times New Roman"/>
          <w:color w:val="auto"/>
          <w:highlight w:val="none"/>
        </w:rPr>
        <w:t>任何一项缺陷或损坏修复后，经检查证明其影响了工程或工程设备的使用性能，承包人应重新进行合同约定的试验和试运行，试验和试运行的全部费用应由责任方承担。</w:t>
      </w:r>
    </w:p>
    <w:p w14:paraId="3658E8F0">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15.2.4 </w:t>
      </w:r>
      <w:r>
        <w:rPr>
          <w:rFonts w:hint="eastAsia" w:hAnsi="宋体" w:cs="Times New Roman"/>
          <w:color w:val="auto"/>
          <w:highlight w:val="none"/>
        </w:rPr>
        <w:t>除专用合同条款另有约定外，承包人应于缺陷责任期届满后</w:t>
      </w:r>
      <w:r>
        <w:rPr>
          <w:rFonts w:hAnsi="宋体" w:cs="Times New Roman"/>
          <w:color w:val="auto"/>
          <w:highlight w:val="none"/>
        </w:rPr>
        <w:t>7</w:t>
      </w:r>
      <w:r>
        <w:rPr>
          <w:rFonts w:hint="eastAsia" w:hAnsi="宋体" w:cs="Times New Roman"/>
          <w:color w:val="auto"/>
          <w:highlight w:val="none"/>
        </w:rPr>
        <w:t>天内向发包人发出缺陷责任期届满通知，发包人应在收到缺陷责任期满通知后</w:t>
      </w:r>
      <w:r>
        <w:rPr>
          <w:rFonts w:hAnsi="宋体" w:cs="Times New Roman"/>
          <w:color w:val="auto"/>
          <w:highlight w:val="none"/>
        </w:rPr>
        <w:t>14</w:t>
      </w:r>
      <w:r>
        <w:rPr>
          <w:rFonts w:hint="eastAsia" w:hAnsi="宋体" w:cs="Times New Roman"/>
          <w:color w:val="auto"/>
          <w:highlight w:val="none"/>
        </w:rPr>
        <w:t>天内核实承包人是否履行缺陷修复义务，承包人未能履行缺陷修复义务的，发包人有权扣除相应金额的维修费用。发包人应在收到缺陷责任期届满通知后</w:t>
      </w:r>
      <w:r>
        <w:rPr>
          <w:rFonts w:hAnsi="宋体" w:cs="Times New Roman"/>
          <w:color w:val="auto"/>
          <w:highlight w:val="none"/>
        </w:rPr>
        <w:t>14</w:t>
      </w:r>
      <w:r>
        <w:rPr>
          <w:rFonts w:hint="eastAsia" w:hAnsi="宋体" w:cs="Times New Roman"/>
          <w:color w:val="auto"/>
          <w:highlight w:val="none"/>
        </w:rPr>
        <w:t>天内，向承包人颁发缺陷责任期终止证书。</w:t>
      </w:r>
    </w:p>
    <w:p w14:paraId="2EA6DE8B">
      <w:pPr>
        <w:keepNext/>
        <w:keepLines/>
        <w:spacing w:line="360" w:lineRule="auto"/>
        <w:outlineLvl w:val="3"/>
        <w:rPr>
          <w:rFonts w:hAnsi="宋体" w:cs="Times New Roman"/>
          <w:b/>
          <w:bCs/>
          <w:color w:val="auto"/>
          <w:kern w:val="2"/>
          <w:szCs w:val="28"/>
          <w:highlight w:val="none"/>
        </w:rPr>
      </w:pPr>
      <w:bookmarkStart w:id="542" w:name="_Toc532839968"/>
      <w:bookmarkStart w:id="543" w:name="_Toc351203601"/>
      <w:bookmarkStart w:id="544" w:name="_Toc337558818"/>
      <w:bookmarkStart w:id="545" w:name="_Toc296503115"/>
      <w:bookmarkStart w:id="546" w:name="_Toc296346616"/>
      <w:r>
        <w:rPr>
          <w:rFonts w:hAnsi="宋体" w:cs="Times New Roman"/>
          <w:b/>
          <w:bCs/>
          <w:color w:val="auto"/>
          <w:kern w:val="2"/>
          <w:szCs w:val="28"/>
          <w:highlight w:val="none"/>
        </w:rPr>
        <w:t xml:space="preserve">15.3 </w:t>
      </w:r>
      <w:r>
        <w:rPr>
          <w:rFonts w:hint="eastAsia" w:hAnsi="宋体"/>
          <w:b/>
          <w:bCs/>
          <w:color w:val="auto"/>
          <w:kern w:val="2"/>
          <w:szCs w:val="28"/>
          <w:highlight w:val="none"/>
        </w:rPr>
        <w:t>质量保证金</w:t>
      </w:r>
      <w:bookmarkEnd w:id="542"/>
      <w:bookmarkEnd w:id="543"/>
    </w:p>
    <w:bookmarkEnd w:id="544"/>
    <w:p w14:paraId="4CA6F7A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经合同当事人协商一致扣留质量保证金的，应在专用合同条款中予以明确。</w:t>
      </w:r>
    </w:p>
    <w:p w14:paraId="5421246D">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15.3.1 </w:t>
      </w:r>
      <w:r>
        <w:rPr>
          <w:rFonts w:hint="eastAsia" w:hAnsi="宋体" w:cs="Times New Roman"/>
          <w:color w:val="auto"/>
          <w:highlight w:val="none"/>
        </w:rPr>
        <w:t>承包人提供质量保证金的方式</w:t>
      </w:r>
    </w:p>
    <w:p w14:paraId="5A93ED1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承包人提供质量保证金有以下三种方式：</w:t>
      </w:r>
    </w:p>
    <w:p w14:paraId="1A32712E">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）质量保证金保函；</w:t>
      </w:r>
      <w:r>
        <w:rPr>
          <w:rFonts w:hAnsi="宋体" w:cs="Times New Roman"/>
          <w:color w:val="auto"/>
          <w:highlight w:val="none"/>
        </w:rPr>
        <w:t xml:space="preserve"> </w:t>
      </w:r>
    </w:p>
    <w:p w14:paraId="2AEC1A1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）相应比例的工程款；</w:t>
      </w:r>
    </w:p>
    <w:p w14:paraId="185E7A6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）双方约定的其他方式。</w:t>
      </w:r>
    </w:p>
    <w:p w14:paraId="561B021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除专用合同条款另有约定外，质量保证金原则上采用上述第（</w:t>
      </w:r>
      <w:r>
        <w:rPr>
          <w:rFonts w:hAnsi="宋体" w:cs="Times New Roman"/>
          <w:color w:val="auto"/>
          <w:highlight w:val="none"/>
        </w:rPr>
        <w:t>1</w:t>
      </w:r>
      <w:r>
        <w:rPr>
          <w:rFonts w:hint="eastAsia" w:hAnsi="宋体" w:cs="Times New Roman"/>
          <w:color w:val="auto"/>
          <w:highlight w:val="none"/>
        </w:rPr>
        <w:t>）种方式。</w:t>
      </w:r>
    </w:p>
    <w:p w14:paraId="30CD5776">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15.3.2 </w:t>
      </w:r>
      <w:r>
        <w:rPr>
          <w:rFonts w:hint="eastAsia" w:hAnsi="宋体" w:cs="Times New Roman"/>
          <w:color w:val="auto"/>
          <w:highlight w:val="none"/>
        </w:rPr>
        <w:t>质量保证金的扣留</w:t>
      </w:r>
    </w:p>
    <w:p w14:paraId="4112ED6E">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质量保证金的扣留有以下三种方式：</w:t>
      </w:r>
    </w:p>
    <w:p w14:paraId="33CE548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）在支付工程进度款时逐次扣留，在此情形下，质量保证金的计算基数不包括预付款的支付、扣回以及价格调整的金额；</w:t>
      </w:r>
    </w:p>
    <w:p w14:paraId="5BE234B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）工</w:t>
      </w:r>
      <w:bookmarkStart w:id="547" w:name="#go6"/>
      <w:bookmarkEnd w:id="547"/>
      <w:r>
        <w:rPr>
          <w:rFonts w:hint="eastAsia" w:hAnsi="宋体" w:cs="Times New Roman"/>
          <w:color w:val="auto"/>
          <w:highlight w:val="none"/>
        </w:rPr>
        <w:t>程竣工结算时一次性扣留质量保证金；</w:t>
      </w:r>
    </w:p>
    <w:p w14:paraId="5F03750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）双方约定的其他扣留方式。</w:t>
      </w:r>
    </w:p>
    <w:p w14:paraId="3A02059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除专用合同条款另有约定外，质量保证金的扣留原则上采用上述第（</w:t>
      </w:r>
      <w:r>
        <w:rPr>
          <w:rFonts w:hAnsi="宋体" w:cs="Times New Roman"/>
          <w:color w:val="auto"/>
          <w:highlight w:val="none"/>
        </w:rPr>
        <w:t>1</w:t>
      </w:r>
      <w:r>
        <w:rPr>
          <w:rFonts w:hint="eastAsia" w:hAnsi="宋体" w:cs="Times New Roman"/>
          <w:color w:val="auto"/>
          <w:highlight w:val="none"/>
        </w:rPr>
        <w:t>）种方式。</w:t>
      </w:r>
    </w:p>
    <w:p w14:paraId="1D13F20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w:t>
      </w:r>
      <w:bookmarkStart w:id="548" w:name="#go4"/>
      <w:bookmarkEnd w:id="548"/>
      <w:r>
        <w:rPr>
          <w:rFonts w:hint="eastAsia" w:hAnsi="宋体" w:cs="Times New Roman"/>
          <w:color w:val="auto"/>
          <w:highlight w:val="none"/>
        </w:rPr>
        <w:t>包人累计扣留的质量保证金不得超过结算合同价格的</w:t>
      </w:r>
      <w:r>
        <w:rPr>
          <w:rFonts w:hAnsi="宋体" w:cs="Times New Roman"/>
          <w:color w:val="auto"/>
          <w:highlight w:val="none"/>
        </w:rPr>
        <w:t>5%</w:t>
      </w:r>
      <w:r>
        <w:rPr>
          <w:rFonts w:hint="eastAsia" w:hAnsi="宋体" w:cs="Times New Roman"/>
          <w:color w:val="auto"/>
          <w:highlight w:val="none"/>
        </w:rPr>
        <w:t>，如承包人在发包人签发竣工付款证书后</w:t>
      </w:r>
      <w:r>
        <w:rPr>
          <w:rFonts w:hAnsi="宋体" w:cs="Times New Roman"/>
          <w:color w:val="auto"/>
          <w:highlight w:val="none"/>
        </w:rPr>
        <w:t>28</w:t>
      </w:r>
      <w:r>
        <w:rPr>
          <w:rFonts w:hint="eastAsia" w:hAnsi="宋体" w:cs="Times New Roman"/>
          <w:color w:val="auto"/>
          <w:highlight w:val="none"/>
        </w:rPr>
        <w:t>天内提交质量保证金保函，发包人应同时退还扣留的作为质量保证金的工程价款。</w:t>
      </w:r>
    </w:p>
    <w:p w14:paraId="47CF24DE">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15.3.3 </w:t>
      </w:r>
      <w:r>
        <w:rPr>
          <w:rFonts w:hint="eastAsia" w:hAnsi="宋体" w:cs="Times New Roman"/>
          <w:color w:val="auto"/>
          <w:kern w:val="2"/>
          <w:highlight w:val="none"/>
        </w:rPr>
        <w:t>质量保证金</w:t>
      </w:r>
      <w:r>
        <w:rPr>
          <w:rFonts w:hint="eastAsia" w:hAnsi="宋体" w:cs="Times New Roman"/>
          <w:color w:val="auto"/>
          <w:highlight w:val="none"/>
        </w:rPr>
        <w:t>的退还</w:t>
      </w:r>
    </w:p>
    <w:p w14:paraId="128CF2B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发包人应按</w:t>
      </w:r>
      <w:r>
        <w:rPr>
          <w:rFonts w:hAnsi="宋体" w:cs="Times New Roman"/>
          <w:color w:val="auto"/>
          <w:highlight w:val="none"/>
        </w:rPr>
        <w:t>14.4</w:t>
      </w:r>
      <w:r>
        <w:rPr>
          <w:rFonts w:hint="eastAsia" w:hAnsi="宋体" w:cs="Times New Roman"/>
          <w:color w:val="auto"/>
          <w:highlight w:val="none"/>
        </w:rPr>
        <w:t>款〔最终结清〕的约定退还质量保证金。</w:t>
      </w:r>
    </w:p>
    <w:p w14:paraId="536F8748">
      <w:pPr>
        <w:keepNext/>
        <w:keepLines/>
        <w:spacing w:line="360" w:lineRule="auto"/>
        <w:outlineLvl w:val="3"/>
        <w:rPr>
          <w:rFonts w:hAnsi="宋体" w:cs="Times New Roman"/>
          <w:b/>
          <w:bCs/>
          <w:color w:val="auto"/>
          <w:kern w:val="2"/>
          <w:szCs w:val="28"/>
          <w:highlight w:val="none"/>
        </w:rPr>
      </w:pPr>
      <w:bookmarkStart w:id="549" w:name="_Toc351203602"/>
      <w:bookmarkStart w:id="550" w:name="_Toc532839969"/>
      <w:bookmarkStart w:id="551" w:name="_Toc337558819"/>
      <w:r>
        <w:rPr>
          <w:rFonts w:hAnsi="宋体" w:cs="Times New Roman"/>
          <w:b/>
          <w:bCs/>
          <w:color w:val="auto"/>
          <w:kern w:val="2"/>
          <w:szCs w:val="28"/>
          <w:highlight w:val="none"/>
        </w:rPr>
        <w:t xml:space="preserve">15.4 </w:t>
      </w:r>
      <w:r>
        <w:rPr>
          <w:rFonts w:hint="eastAsia" w:hAnsi="宋体"/>
          <w:b/>
          <w:bCs/>
          <w:color w:val="auto"/>
          <w:kern w:val="2"/>
          <w:szCs w:val="28"/>
          <w:highlight w:val="none"/>
        </w:rPr>
        <w:t>保修</w:t>
      </w:r>
      <w:bookmarkEnd w:id="549"/>
      <w:bookmarkEnd w:id="550"/>
    </w:p>
    <w:bookmarkEnd w:id="545"/>
    <w:bookmarkEnd w:id="546"/>
    <w:bookmarkEnd w:id="551"/>
    <w:p w14:paraId="68DDB300">
      <w:pPr>
        <w:spacing w:line="360" w:lineRule="auto"/>
        <w:ind w:firstLine="420" w:firstLineChars="200"/>
        <w:jc w:val="left"/>
        <w:rPr>
          <w:rFonts w:hAnsi="宋体" w:cs="Times New Roman"/>
          <w:color w:val="auto"/>
          <w:highlight w:val="none"/>
        </w:rPr>
      </w:pPr>
      <w:r>
        <w:rPr>
          <w:rFonts w:hAnsi="宋体" w:cs="Times New Roman"/>
          <w:color w:val="auto"/>
          <w:highlight w:val="none"/>
        </w:rPr>
        <w:t>15.4.1</w:t>
      </w:r>
      <w:r>
        <w:rPr>
          <w:rFonts w:hint="eastAsia" w:hAnsi="宋体" w:cs="Times New Roman"/>
          <w:color w:val="auto"/>
          <w:highlight w:val="none"/>
        </w:rPr>
        <w:t>保修责任</w:t>
      </w:r>
    </w:p>
    <w:p w14:paraId="062EE237">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B776710">
      <w:pPr>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发包人未经竣工验收擅自使用工程的，保修期自</w:t>
      </w:r>
      <w:r>
        <w:rPr>
          <w:rFonts w:hint="eastAsia" w:hAnsi="宋体" w:cs="Times New Roman"/>
          <w:color w:val="auto"/>
          <w:highlight w:val="none"/>
        </w:rPr>
        <w:t>转移占有之日起算</w:t>
      </w:r>
      <w:r>
        <w:rPr>
          <w:rFonts w:hint="eastAsia" w:hAnsi="宋体" w:cs="Times New Roman"/>
          <w:color w:val="auto"/>
          <w:kern w:val="2"/>
          <w:highlight w:val="none"/>
        </w:rPr>
        <w:t>。</w:t>
      </w:r>
    </w:p>
    <w:p w14:paraId="49F3D895">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15.4.2 </w:t>
      </w:r>
      <w:r>
        <w:rPr>
          <w:rFonts w:hint="eastAsia" w:hAnsi="宋体" w:cs="Times New Roman"/>
          <w:color w:val="auto"/>
          <w:highlight w:val="none"/>
        </w:rPr>
        <w:t>修复费用</w:t>
      </w:r>
    </w:p>
    <w:p w14:paraId="7DD53E4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保修期内，修复的费用按照以下约定处理：</w:t>
      </w:r>
    </w:p>
    <w:p w14:paraId="1B137ED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）保修期内，因承包人原因造成工程的缺陷、损坏，承包人应负责修复，并承担修复的费用以及因工程的缺陷、损坏造成的人身伤害和财产损失；</w:t>
      </w:r>
    </w:p>
    <w:p w14:paraId="3A75098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）保修期内，因发包人使用不当造成工程的缺陷、损坏，可以委托承包人修复，但发包人应承担修复的费用，并支付承包人合理利润；</w:t>
      </w:r>
    </w:p>
    <w:p w14:paraId="00A7374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）因其他原因造成工程的缺陷、损坏，可以委托承包人修复，发包人应承担修复的费用，并支付承包人合理的利润，因工程的缺陷、损坏造成的人身伤害和财产损失由责任方承担。</w:t>
      </w:r>
    </w:p>
    <w:p w14:paraId="3D78BB8B">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15.4.3 </w:t>
      </w:r>
      <w:r>
        <w:rPr>
          <w:rFonts w:hint="eastAsia" w:hAnsi="宋体" w:cs="Times New Roman"/>
          <w:color w:val="auto"/>
          <w:highlight w:val="none"/>
        </w:rPr>
        <w:t>修复通知</w:t>
      </w:r>
    </w:p>
    <w:p w14:paraId="729132D3">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在保修期内，发包人在使用过程中，发现已接收的工程存在缺陷或损坏的，应书面通知承包人予以修复，但情况紧急必须立即修复缺陷或损坏的，发包人可以口头通知承包人并在口头通知后</w:t>
      </w:r>
      <w:r>
        <w:rPr>
          <w:rFonts w:hAnsi="宋体" w:cs="Times New Roman"/>
          <w:color w:val="auto"/>
          <w:highlight w:val="none"/>
        </w:rPr>
        <w:t>48</w:t>
      </w:r>
      <w:r>
        <w:rPr>
          <w:rFonts w:hint="eastAsia" w:hAnsi="宋体" w:cs="Times New Roman"/>
          <w:color w:val="auto"/>
          <w:highlight w:val="none"/>
        </w:rPr>
        <w:t>小时内书面确认，承包人应在专用合同条款约定的合理期限内到达工程现场并修复缺陷或损坏。</w:t>
      </w:r>
    </w:p>
    <w:p w14:paraId="20C6D99E">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15.4.4 </w:t>
      </w:r>
      <w:r>
        <w:rPr>
          <w:rFonts w:hint="eastAsia" w:hAnsi="宋体" w:cs="Times New Roman"/>
          <w:color w:val="auto"/>
          <w:highlight w:val="none"/>
        </w:rPr>
        <w:t>未能修复</w:t>
      </w:r>
    </w:p>
    <w:p w14:paraId="5649872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7B99BA6F">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15.4.5 </w:t>
      </w:r>
      <w:r>
        <w:rPr>
          <w:rFonts w:hint="eastAsia" w:hAnsi="宋体" w:cs="Times New Roman"/>
          <w:color w:val="auto"/>
          <w:highlight w:val="none"/>
        </w:rPr>
        <w:t>承包人出入权</w:t>
      </w:r>
    </w:p>
    <w:p w14:paraId="1F7194C5">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在保修期内，为了修复缺陷或损坏，承包人有权出入工程现场，除情况紧急必须立即修复缺陷或损坏外，承包人应提前</w:t>
      </w:r>
      <w:r>
        <w:rPr>
          <w:rFonts w:hAnsi="宋体" w:cs="Times New Roman"/>
          <w:color w:val="auto"/>
          <w:highlight w:val="none"/>
        </w:rPr>
        <w:t>24</w:t>
      </w:r>
      <w:r>
        <w:rPr>
          <w:rFonts w:hint="eastAsia" w:hAnsi="宋体" w:cs="Times New Roman"/>
          <w:color w:val="auto"/>
          <w:highlight w:val="none"/>
        </w:rPr>
        <w:t>小时通知发包人进场修复的时间。承包人进入工程现场前应获得发包人同意，且不应影响发包人正常的生产经营，并应遵守发包人有关保安和保密等规定。</w:t>
      </w:r>
    </w:p>
    <w:p w14:paraId="4A4A8B4A">
      <w:pPr>
        <w:keepNext/>
        <w:keepLines/>
        <w:spacing w:line="360" w:lineRule="auto"/>
        <w:outlineLvl w:val="2"/>
        <w:rPr>
          <w:rFonts w:hAnsi="宋体" w:cs="Times New Roman"/>
          <w:b/>
          <w:bCs/>
          <w:color w:val="auto"/>
          <w:kern w:val="2"/>
          <w:szCs w:val="32"/>
          <w:highlight w:val="none"/>
        </w:rPr>
      </w:pPr>
      <w:bookmarkStart w:id="552" w:name="_Toc351203603"/>
      <w:bookmarkStart w:id="553" w:name="_Toc532839970"/>
      <w:bookmarkStart w:id="554" w:name="_Toc527130433"/>
      <w:bookmarkStart w:id="555" w:name="_Toc512691387"/>
      <w:bookmarkStart w:id="556" w:name="_Toc337558820"/>
      <w:r>
        <w:rPr>
          <w:rFonts w:hAnsi="宋体" w:cs="Times New Roman"/>
          <w:b/>
          <w:bCs/>
          <w:color w:val="auto"/>
          <w:kern w:val="2"/>
          <w:szCs w:val="32"/>
          <w:highlight w:val="none"/>
        </w:rPr>
        <w:t xml:space="preserve">16. </w:t>
      </w:r>
      <w:r>
        <w:rPr>
          <w:rFonts w:hint="eastAsia" w:hAnsi="宋体"/>
          <w:b/>
          <w:bCs/>
          <w:color w:val="auto"/>
          <w:kern w:val="2"/>
          <w:szCs w:val="32"/>
          <w:highlight w:val="none"/>
        </w:rPr>
        <w:t>违约</w:t>
      </w:r>
      <w:bookmarkEnd w:id="552"/>
      <w:bookmarkEnd w:id="553"/>
      <w:bookmarkEnd w:id="554"/>
      <w:bookmarkEnd w:id="555"/>
    </w:p>
    <w:bookmarkEnd w:id="556"/>
    <w:p w14:paraId="4BBA9068">
      <w:pPr>
        <w:keepNext/>
        <w:keepLines/>
        <w:spacing w:line="360" w:lineRule="auto"/>
        <w:outlineLvl w:val="3"/>
        <w:rPr>
          <w:rFonts w:hAnsi="宋体" w:cs="Times New Roman"/>
          <w:b/>
          <w:bCs/>
          <w:color w:val="auto"/>
          <w:kern w:val="2"/>
          <w:szCs w:val="28"/>
          <w:highlight w:val="none"/>
        </w:rPr>
      </w:pPr>
      <w:bookmarkStart w:id="557" w:name="_Toc296346630"/>
      <w:bookmarkStart w:id="558" w:name="_Toc296503129"/>
      <w:bookmarkStart w:id="559" w:name="_Toc351203604"/>
      <w:bookmarkStart w:id="560" w:name="_Toc532839971"/>
      <w:bookmarkStart w:id="561" w:name="_Toc337558821"/>
      <w:r>
        <w:rPr>
          <w:rFonts w:hAnsi="宋体" w:cs="Times New Roman"/>
          <w:b/>
          <w:bCs/>
          <w:color w:val="auto"/>
          <w:kern w:val="2"/>
          <w:szCs w:val="28"/>
          <w:highlight w:val="none"/>
        </w:rPr>
        <w:t xml:space="preserve">16.1 </w:t>
      </w:r>
      <w:r>
        <w:rPr>
          <w:rFonts w:hint="eastAsia" w:hAnsi="宋体"/>
          <w:b/>
          <w:bCs/>
          <w:color w:val="auto"/>
          <w:kern w:val="2"/>
          <w:szCs w:val="28"/>
          <w:highlight w:val="none"/>
        </w:rPr>
        <w:t>发</w:t>
      </w:r>
      <w:bookmarkEnd w:id="557"/>
      <w:bookmarkEnd w:id="558"/>
      <w:r>
        <w:rPr>
          <w:rFonts w:hint="eastAsia" w:hAnsi="宋体"/>
          <w:b/>
          <w:bCs/>
          <w:color w:val="auto"/>
          <w:kern w:val="2"/>
          <w:szCs w:val="28"/>
          <w:highlight w:val="none"/>
        </w:rPr>
        <w:t>包人违约</w:t>
      </w:r>
      <w:bookmarkEnd w:id="559"/>
      <w:bookmarkEnd w:id="560"/>
    </w:p>
    <w:bookmarkEnd w:id="561"/>
    <w:p w14:paraId="145DBAB4">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16.1.1 </w:t>
      </w:r>
      <w:r>
        <w:rPr>
          <w:rFonts w:hint="eastAsia" w:hAnsi="宋体" w:cs="Times New Roman"/>
          <w:color w:val="auto"/>
          <w:highlight w:val="none"/>
        </w:rPr>
        <w:t>发包人违约的情形</w:t>
      </w:r>
    </w:p>
    <w:p w14:paraId="6A7FBC9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在合同履行过程中发生的下列情形，属于发包人违约：</w:t>
      </w:r>
    </w:p>
    <w:p w14:paraId="212EA04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）因发包人原因未能在计划开工日期前</w:t>
      </w:r>
      <w:r>
        <w:rPr>
          <w:rFonts w:hAnsi="宋体" w:cs="Times New Roman"/>
          <w:color w:val="auto"/>
          <w:highlight w:val="none"/>
        </w:rPr>
        <w:t>7</w:t>
      </w:r>
      <w:r>
        <w:rPr>
          <w:rFonts w:hint="eastAsia" w:hAnsi="宋体" w:cs="Times New Roman"/>
          <w:color w:val="auto"/>
          <w:highlight w:val="none"/>
        </w:rPr>
        <w:t>天内下达开工通知的；</w:t>
      </w:r>
    </w:p>
    <w:p w14:paraId="33F9FA2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）因发包人原因未能按合同约定支付合同价款的；</w:t>
      </w:r>
    </w:p>
    <w:p w14:paraId="5CD8620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）发包人违反第</w:t>
      </w:r>
      <w:r>
        <w:rPr>
          <w:rFonts w:hAnsi="宋体" w:cs="Times New Roman"/>
          <w:color w:val="auto"/>
          <w:highlight w:val="none"/>
        </w:rPr>
        <w:t>10.1</w:t>
      </w:r>
      <w:r>
        <w:rPr>
          <w:rFonts w:hint="eastAsia" w:hAnsi="宋体" w:cs="Times New Roman"/>
          <w:color w:val="auto"/>
          <w:highlight w:val="none"/>
        </w:rPr>
        <w:t>款〔变更的范围〕第（</w:t>
      </w:r>
      <w:r>
        <w:rPr>
          <w:rFonts w:hAnsi="宋体" w:cs="Times New Roman"/>
          <w:color w:val="auto"/>
          <w:highlight w:val="none"/>
        </w:rPr>
        <w:t>2</w:t>
      </w:r>
      <w:r>
        <w:rPr>
          <w:rFonts w:hint="eastAsia" w:hAnsi="宋体" w:cs="Times New Roman"/>
          <w:color w:val="auto"/>
          <w:highlight w:val="none"/>
        </w:rPr>
        <w:t>）项约定，自行实施被取消的工作或转由他人实施的；</w:t>
      </w:r>
    </w:p>
    <w:p w14:paraId="445BF54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）发包人提供的材料、工程设备的规格、数量或质量不符合合同约定，或因发包人原因导致交货日期延误或交货地点变更等情况的；</w:t>
      </w:r>
    </w:p>
    <w:p w14:paraId="0AAFA3C9">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）因发包人违反合同约定造成暂停施工的；</w:t>
      </w:r>
    </w:p>
    <w:p w14:paraId="24243F4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6</w:t>
      </w:r>
      <w:r>
        <w:rPr>
          <w:rFonts w:hint="eastAsia" w:hAnsi="宋体" w:cs="Times New Roman"/>
          <w:color w:val="auto"/>
          <w:highlight w:val="none"/>
        </w:rPr>
        <w:t>）发包人无正当理由没有在约定期限内发出复工指示，导致承包人无法复工的；</w:t>
      </w:r>
    </w:p>
    <w:p w14:paraId="7CE1296F">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7</w:t>
      </w:r>
      <w:r>
        <w:rPr>
          <w:rFonts w:hint="eastAsia" w:hAnsi="宋体" w:cs="Times New Roman"/>
          <w:color w:val="auto"/>
          <w:highlight w:val="none"/>
        </w:rPr>
        <w:t>）发包人明确表示或者以其行为表明不履行合同主要义务的；</w:t>
      </w:r>
    </w:p>
    <w:p w14:paraId="0863AE2F">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8</w:t>
      </w:r>
      <w:r>
        <w:rPr>
          <w:rFonts w:hint="eastAsia" w:hAnsi="宋体" w:cs="Times New Roman"/>
          <w:color w:val="auto"/>
          <w:highlight w:val="none"/>
        </w:rPr>
        <w:t>）发包人未能按照合同约定履行其他义务的。</w:t>
      </w:r>
    </w:p>
    <w:p w14:paraId="7D76E93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发包人发生除本项第（</w:t>
      </w:r>
      <w:r>
        <w:rPr>
          <w:rFonts w:hAnsi="宋体" w:cs="Times New Roman"/>
          <w:color w:val="auto"/>
          <w:highlight w:val="none"/>
        </w:rPr>
        <w:t>7</w:t>
      </w:r>
      <w:r>
        <w:rPr>
          <w:rFonts w:hint="eastAsia" w:hAnsi="宋体" w:cs="Times New Roman"/>
          <w:color w:val="auto"/>
          <w:highlight w:val="none"/>
        </w:rPr>
        <w:t>）目以外的违约情况时，承包人可向发包人发出通知，要求发包人采取有效措施纠正违约行为。发包人收到承包人通知后</w:t>
      </w:r>
      <w:r>
        <w:rPr>
          <w:rFonts w:hAnsi="宋体" w:cs="Times New Roman"/>
          <w:color w:val="auto"/>
          <w:highlight w:val="none"/>
        </w:rPr>
        <w:t>28</w:t>
      </w:r>
      <w:r>
        <w:rPr>
          <w:rFonts w:hint="eastAsia" w:hAnsi="宋体" w:cs="Times New Roman"/>
          <w:color w:val="auto"/>
          <w:highlight w:val="none"/>
        </w:rPr>
        <w:t>天内仍不纠正违约行为的，承包人有权暂停相应部位工程施工，并通知监理人。</w:t>
      </w:r>
    </w:p>
    <w:p w14:paraId="3AF1F644">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16.1.2 </w:t>
      </w:r>
      <w:r>
        <w:rPr>
          <w:rFonts w:hint="eastAsia" w:hAnsi="宋体" w:cs="Times New Roman"/>
          <w:color w:val="auto"/>
          <w:highlight w:val="none"/>
        </w:rPr>
        <w:t>发包人违约的责任</w:t>
      </w:r>
    </w:p>
    <w:p w14:paraId="71C858A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发包人应承担因其违约给承包人增加的费用和（或）延误的工期，并支付承包人合理的利润。此外，合同当事人可在专用合同条款中另行约定发包人违约责任的承担方式和计算方法。</w:t>
      </w:r>
    </w:p>
    <w:p w14:paraId="4CAB525A">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16.1.3 </w:t>
      </w:r>
      <w:r>
        <w:rPr>
          <w:rFonts w:hint="eastAsia" w:hAnsi="宋体" w:cs="Times New Roman"/>
          <w:color w:val="auto"/>
          <w:highlight w:val="none"/>
        </w:rPr>
        <w:t>因发包人违约解除合同</w:t>
      </w:r>
    </w:p>
    <w:p w14:paraId="62D4ADF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除专用合同条款另有约定外，承包人按第</w:t>
      </w:r>
      <w:r>
        <w:rPr>
          <w:rFonts w:hAnsi="宋体" w:cs="Times New Roman"/>
          <w:color w:val="auto"/>
          <w:highlight w:val="none"/>
        </w:rPr>
        <w:t>16.1.1</w:t>
      </w:r>
      <w:r>
        <w:rPr>
          <w:rFonts w:hint="eastAsia" w:hAnsi="宋体" w:cs="Times New Roman"/>
          <w:color w:val="auto"/>
          <w:highlight w:val="none"/>
        </w:rPr>
        <w:t>项〔发包人违约的情形〕约定暂停施工满</w:t>
      </w:r>
      <w:r>
        <w:rPr>
          <w:rFonts w:hAnsi="宋体" w:cs="Times New Roman"/>
          <w:color w:val="auto"/>
          <w:highlight w:val="none"/>
        </w:rPr>
        <w:t>28</w:t>
      </w:r>
      <w:r>
        <w:rPr>
          <w:rFonts w:hint="eastAsia" w:hAnsi="宋体" w:cs="Times New Roman"/>
          <w:color w:val="auto"/>
          <w:highlight w:val="none"/>
        </w:rPr>
        <w:t>天后，发包人仍不纠正其违约行为并致使合同目的不能实现的，或出现第</w:t>
      </w:r>
      <w:r>
        <w:rPr>
          <w:rFonts w:hAnsi="宋体" w:cs="Times New Roman"/>
          <w:color w:val="auto"/>
          <w:highlight w:val="none"/>
        </w:rPr>
        <w:t>16.1.1</w:t>
      </w:r>
      <w:r>
        <w:rPr>
          <w:rFonts w:hint="eastAsia" w:hAnsi="宋体" w:cs="Times New Roman"/>
          <w:color w:val="auto"/>
          <w:highlight w:val="none"/>
        </w:rPr>
        <w:t>项〔发包人违约的情形〕第（</w:t>
      </w:r>
      <w:r>
        <w:rPr>
          <w:rFonts w:hAnsi="宋体" w:cs="Times New Roman"/>
          <w:color w:val="auto"/>
          <w:highlight w:val="none"/>
        </w:rPr>
        <w:t>7</w:t>
      </w:r>
      <w:r>
        <w:rPr>
          <w:rFonts w:hint="eastAsia" w:hAnsi="宋体" w:cs="Times New Roman"/>
          <w:color w:val="auto"/>
          <w:highlight w:val="none"/>
        </w:rPr>
        <w:t>）目约定的违约情况，承包人有权解除合同，发包人应承担由此增加的费用，并支付承包人合理的利润。</w:t>
      </w:r>
    </w:p>
    <w:p w14:paraId="337B0558">
      <w:pPr>
        <w:autoSpaceDE w:val="0"/>
        <w:autoSpaceDN w:val="0"/>
        <w:adjustRightInd w:val="0"/>
        <w:spacing w:line="360" w:lineRule="auto"/>
        <w:ind w:firstLine="420" w:firstLineChars="200"/>
        <w:jc w:val="left"/>
        <w:rPr>
          <w:rFonts w:hAnsi="宋体" w:cs="Times New Roman"/>
          <w:color w:val="auto"/>
          <w:kern w:val="2"/>
          <w:highlight w:val="none"/>
        </w:rPr>
      </w:pPr>
      <w:r>
        <w:rPr>
          <w:rFonts w:hAnsi="宋体" w:cs="Times New Roman"/>
          <w:color w:val="auto"/>
          <w:highlight w:val="none"/>
        </w:rPr>
        <w:t xml:space="preserve">16.1.4 </w:t>
      </w:r>
      <w:r>
        <w:rPr>
          <w:rFonts w:hint="eastAsia" w:hAnsi="宋体" w:cs="Times New Roman"/>
          <w:color w:val="auto"/>
          <w:highlight w:val="none"/>
        </w:rPr>
        <w:t>因发包人违约解除合同后的付款</w:t>
      </w:r>
    </w:p>
    <w:p w14:paraId="00C18165">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承包人按照本款约定解除合同的，发包人应在解除合同后</w:t>
      </w:r>
      <w:r>
        <w:rPr>
          <w:rFonts w:hAnsi="宋体" w:cs="Times New Roman"/>
          <w:color w:val="auto"/>
          <w:highlight w:val="none"/>
        </w:rPr>
        <w:t>28</w:t>
      </w:r>
      <w:r>
        <w:rPr>
          <w:rFonts w:hint="eastAsia" w:hAnsi="宋体" w:cs="Times New Roman"/>
          <w:color w:val="auto"/>
          <w:highlight w:val="none"/>
        </w:rPr>
        <w:t>天内支付下列款项，并解除履约担保：</w:t>
      </w:r>
    </w:p>
    <w:p w14:paraId="7FE1C969">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）合同解除前所完成工作的价款；</w:t>
      </w:r>
    </w:p>
    <w:p w14:paraId="5CAC169D">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）承包人为工程施工订购并已付款的材料、工程设备和其他物品的价款；</w:t>
      </w:r>
    </w:p>
    <w:p w14:paraId="5F6CAC57">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）承包人撤离施工现场以及遣散承包人人员的款项；</w:t>
      </w:r>
    </w:p>
    <w:p w14:paraId="4A146B3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）按照合同约定在合同解除前应支付的违约金；</w:t>
      </w:r>
    </w:p>
    <w:p w14:paraId="1BD6E3D4">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）按照合同约定应当支付给承包人的其他款项；</w:t>
      </w:r>
    </w:p>
    <w:p w14:paraId="25985E1B">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6</w:t>
      </w:r>
      <w:r>
        <w:rPr>
          <w:rFonts w:hint="eastAsia" w:hAnsi="宋体" w:cs="Times New Roman"/>
          <w:color w:val="auto"/>
          <w:highlight w:val="none"/>
        </w:rPr>
        <w:t>）按照合同约定应退还的质量保证金；</w:t>
      </w:r>
    </w:p>
    <w:p w14:paraId="531E1C7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7</w:t>
      </w:r>
      <w:r>
        <w:rPr>
          <w:rFonts w:hint="eastAsia" w:hAnsi="宋体" w:cs="Times New Roman"/>
          <w:color w:val="auto"/>
          <w:highlight w:val="none"/>
        </w:rPr>
        <w:t>）因解除合同给承包人造成的损失。</w:t>
      </w:r>
    </w:p>
    <w:p w14:paraId="77E8BB30">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合同当事人未能就解除合同后的结清达成一致的，按照第</w:t>
      </w:r>
      <w:r>
        <w:rPr>
          <w:rFonts w:hAnsi="宋体" w:cs="Times New Roman"/>
          <w:color w:val="auto"/>
          <w:highlight w:val="none"/>
        </w:rPr>
        <w:t>20</w:t>
      </w:r>
      <w:r>
        <w:rPr>
          <w:rFonts w:hint="eastAsia" w:hAnsi="宋体" w:cs="Times New Roman"/>
          <w:color w:val="auto"/>
          <w:highlight w:val="none"/>
        </w:rPr>
        <w:t>条〔争议解决〕的约定处理。</w:t>
      </w:r>
    </w:p>
    <w:p w14:paraId="2F4ED016">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承包人应妥善做好已完工程和与工程有关的已购材料、工程设备的保护和移交工作，并将施工设备和人员撤出施工现场，发包人应为承包人撤出提供必要条件。</w:t>
      </w:r>
    </w:p>
    <w:p w14:paraId="71BA5520">
      <w:pPr>
        <w:keepNext/>
        <w:keepLines/>
        <w:spacing w:line="360" w:lineRule="auto"/>
        <w:outlineLvl w:val="3"/>
        <w:rPr>
          <w:rFonts w:hAnsi="宋体" w:cs="Times New Roman"/>
          <w:b/>
          <w:bCs/>
          <w:color w:val="auto"/>
          <w:kern w:val="2"/>
          <w:szCs w:val="28"/>
          <w:highlight w:val="none"/>
        </w:rPr>
      </w:pPr>
      <w:bookmarkStart w:id="562" w:name="_Toc351203605"/>
      <w:bookmarkStart w:id="563" w:name="_Toc532839972"/>
      <w:bookmarkStart w:id="564" w:name="_Toc296346632"/>
      <w:bookmarkStart w:id="565" w:name="_Toc296503131"/>
      <w:bookmarkStart w:id="566" w:name="_Toc337558822"/>
      <w:r>
        <w:rPr>
          <w:rFonts w:hAnsi="宋体" w:cs="Times New Roman"/>
          <w:b/>
          <w:bCs/>
          <w:color w:val="auto"/>
          <w:kern w:val="2"/>
          <w:szCs w:val="28"/>
          <w:highlight w:val="none"/>
        </w:rPr>
        <w:t xml:space="preserve">16.2 </w:t>
      </w:r>
      <w:r>
        <w:rPr>
          <w:rFonts w:hint="eastAsia" w:hAnsi="宋体"/>
          <w:b/>
          <w:bCs/>
          <w:color w:val="auto"/>
          <w:kern w:val="2"/>
          <w:szCs w:val="28"/>
          <w:highlight w:val="none"/>
        </w:rPr>
        <w:t>承包人违约</w:t>
      </w:r>
      <w:bookmarkEnd w:id="562"/>
      <w:bookmarkEnd w:id="563"/>
    </w:p>
    <w:bookmarkEnd w:id="564"/>
    <w:bookmarkEnd w:id="565"/>
    <w:bookmarkEnd w:id="566"/>
    <w:p w14:paraId="7D8E6F3B">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16.2.1 </w:t>
      </w:r>
      <w:r>
        <w:rPr>
          <w:rFonts w:hint="eastAsia" w:hAnsi="宋体" w:cs="Times New Roman"/>
          <w:color w:val="auto"/>
          <w:highlight w:val="none"/>
        </w:rPr>
        <w:t>承包人违约的情形</w:t>
      </w:r>
    </w:p>
    <w:p w14:paraId="3D83462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在合同履行过程中发生的下列情形，属于承包人违约：</w:t>
      </w:r>
    </w:p>
    <w:p w14:paraId="02131B9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）承包人违反合同约定进行转包或违法分包的；</w:t>
      </w:r>
    </w:p>
    <w:p w14:paraId="59363BE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）承包人违反合同约定采购和使用不合格的材料和工程设备的；</w:t>
      </w:r>
    </w:p>
    <w:p w14:paraId="1B0F1A4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）因承包人原因导致工程质量不符合合同要求的；</w:t>
      </w:r>
      <w:r>
        <w:rPr>
          <w:rFonts w:hAnsi="宋体" w:cs="Times New Roman"/>
          <w:color w:val="auto"/>
          <w:highlight w:val="none"/>
        </w:rPr>
        <w:t xml:space="preserve"> </w:t>
      </w:r>
    </w:p>
    <w:p w14:paraId="6A5F1A1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）承包人违反第</w:t>
      </w:r>
      <w:r>
        <w:rPr>
          <w:rFonts w:hAnsi="宋体" w:cs="Times New Roman"/>
          <w:color w:val="auto"/>
          <w:highlight w:val="none"/>
        </w:rPr>
        <w:t>8.9</w:t>
      </w:r>
      <w:r>
        <w:rPr>
          <w:rFonts w:hint="eastAsia" w:hAnsi="宋体" w:cs="Times New Roman"/>
          <w:color w:val="auto"/>
          <w:highlight w:val="none"/>
        </w:rPr>
        <w:t>款〔材料与设备专用要求〕的约定，未经批准，私自将已按照合同约定进入施工现场的材料或设备撤离施工现场的；</w:t>
      </w:r>
    </w:p>
    <w:p w14:paraId="17F775BF">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）承包人未能按施工进度计划及时完成合同约定的工作，造成工期延误的；</w:t>
      </w:r>
    </w:p>
    <w:p w14:paraId="353FDFB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6</w:t>
      </w:r>
      <w:r>
        <w:rPr>
          <w:rFonts w:hint="eastAsia" w:hAnsi="宋体" w:cs="Times New Roman"/>
          <w:color w:val="auto"/>
          <w:highlight w:val="none"/>
        </w:rPr>
        <w:t>）承包人在缺陷责任期及保修期内，未能在合理期限对工程缺陷进行修复，或拒绝按发包人要求进行修复的；</w:t>
      </w:r>
    </w:p>
    <w:p w14:paraId="01A6399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7</w:t>
      </w:r>
      <w:r>
        <w:rPr>
          <w:rFonts w:hint="eastAsia" w:hAnsi="宋体" w:cs="Times New Roman"/>
          <w:color w:val="auto"/>
          <w:highlight w:val="none"/>
        </w:rPr>
        <w:t>）承包人明确表示或者以其行为表明不履行合同主要义务的；</w:t>
      </w:r>
    </w:p>
    <w:p w14:paraId="540E0D0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8</w:t>
      </w:r>
      <w:r>
        <w:rPr>
          <w:rFonts w:hint="eastAsia" w:hAnsi="宋体" w:cs="Times New Roman"/>
          <w:color w:val="auto"/>
          <w:highlight w:val="none"/>
        </w:rPr>
        <w:t>）承包人未能按照合同约定履行其他义务的。</w:t>
      </w:r>
    </w:p>
    <w:p w14:paraId="784D4C2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承包人发生除本项第（</w:t>
      </w:r>
      <w:r>
        <w:rPr>
          <w:rFonts w:hAnsi="宋体" w:cs="Times New Roman"/>
          <w:color w:val="auto"/>
          <w:highlight w:val="none"/>
        </w:rPr>
        <w:t>7</w:t>
      </w:r>
      <w:r>
        <w:rPr>
          <w:rFonts w:hint="eastAsia" w:hAnsi="宋体" w:cs="Times New Roman"/>
          <w:color w:val="auto"/>
          <w:highlight w:val="none"/>
        </w:rPr>
        <w:t>）目约定以外的其他违约情况时，监理人可向承包人发出整改通知，要求其在指定的期限内改正。</w:t>
      </w:r>
    </w:p>
    <w:p w14:paraId="2A49837E">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16.2.2 </w:t>
      </w:r>
      <w:r>
        <w:rPr>
          <w:rFonts w:hint="eastAsia" w:hAnsi="宋体" w:cs="Times New Roman"/>
          <w:color w:val="auto"/>
          <w:highlight w:val="none"/>
        </w:rPr>
        <w:t>承包人违约的责任</w:t>
      </w:r>
    </w:p>
    <w:p w14:paraId="0FBF079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承包人应承担因其违约行为而增加的费用和（或）延误的工期。此外，合同当事人可在专用合同条款中另行约定承包人违约责任的承担方式和计算方法。</w:t>
      </w:r>
    </w:p>
    <w:p w14:paraId="3F09813B">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16.2.3 </w:t>
      </w:r>
      <w:r>
        <w:rPr>
          <w:rFonts w:hint="eastAsia" w:hAnsi="宋体" w:cs="Times New Roman"/>
          <w:color w:val="auto"/>
          <w:highlight w:val="none"/>
        </w:rPr>
        <w:t>因承包人违约解除合同</w:t>
      </w:r>
    </w:p>
    <w:p w14:paraId="740C44B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除专用合同条款另有约定外，出现第</w:t>
      </w:r>
      <w:r>
        <w:rPr>
          <w:rFonts w:hAnsi="宋体" w:cs="Times New Roman"/>
          <w:color w:val="auto"/>
          <w:highlight w:val="none"/>
        </w:rPr>
        <w:t>16.2.1</w:t>
      </w:r>
      <w:r>
        <w:rPr>
          <w:rFonts w:hint="eastAsia" w:hAnsi="宋体" w:cs="Times New Roman"/>
          <w:color w:val="auto"/>
          <w:highlight w:val="none"/>
        </w:rPr>
        <w:t>项〔承包人违约的情形〕第（</w:t>
      </w:r>
      <w:r>
        <w:rPr>
          <w:rFonts w:hAnsi="宋体" w:cs="Times New Roman"/>
          <w:color w:val="auto"/>
          <w:highlight w:val="none"/>
        </w:rPr>
        <w:t>7</w:t>
      </w:r>
      <w:r>
        <w:rPr>
          <w:rFonts w:hint="eastAsia" w:hAnsi="宋体" w:cs="Times New Roman"/>
          <w:color w:val="auto"/>
          <w:highlight w:val="none"/>
        </w:rPr>
        <w:t>）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A027DED">
      <w:pPr>
        <w:spacing w:line="360" w:lineRule="auto"/>
        <w:ind w:firstLine="420" w:firstLineChars="200"/>
        <w:jc w:val="left"/>
        <w:rPr>
          <w:rFonts w:hAnsi="宋体" w:cs="Times New Roman"/>
          <w:color w:val="auto"/>
          <w:highlight w:val="none"/>
        </w:rPr>
      </w:pPr>
      <w:r>
        <w:rPr>
          <w:rFonts w:hAnsi="宋体" w:cs="Times New Roman"/>
          <w:color w:val="auto"/>
          <w:highlight w:val="none"/>
        </w:rPr>
        <w:t>16.2.4</w:t>
      </w:r>
      <w:r>
        <w:rPr>
          <w:rFonts w:hint="eastAsia" w:hAnsi="宋体" w:cs="Times New Roman"/>
          <w:color w:val="auto"/>
          <w:highlight w:val="none"/>
        </w:rPr>
        <w:t>因承包人违约解除合同后的处理</w:t>
      </w:r>
    </w:p>
    <w:p w14:paraId="40A92F8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因承包人原因导致合同解除的，则合同当事人应在合同解除后</w:t>
      </w:r>
      <w:r>
        <w:rPr>
          <w:rFonts w:hAnsi="宋体" w:cs="Times New Roman"/>
          <w:color w:val="auto"/>
          <w:highlight w:val="none"/>
        </w:rPr>
        <w:t>28</w:t>
      </w:r>
      <w:r>
        <w:rPr>
          <w:rFonts w:hint="eastAsia" w:hAnsi="宋体" w:cs="Times New Roman"/>
          <w:color w:val="auto"/>
          <w:highlight w:val="none"/>
        </w:rPr>
        <w:t>天内完成估价、付款和清算，并按以下约定执行：</w:t>
      </w:r>
    </w:p>
    <w:p w14:paraId="7D5ADC03">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）合同解除后，按第</w:t>
      </w:r>
      <w:r>
        <w:rPr>
          <w:rFonts w:hAnsi="宋体" w:cs="Times New Roman"/>
          <w:color w:val="auto"/>
          <w:highlight w:val="none"/>
        </w:rPr>
        <w:t>4.4</w:t>
      </w:r>
      <w:r>
        <w:rPr>
          <w:rFonts w:hint="eastAsia" w:hAnsi="宋体" w:cs="Times New Roman"/>
          <w:color w:val="auto"/>
          <w:highlight w:val="none"/>
        </w:rPr>
        <w:t>款〔商定或确定〕商定或确定承包人实际完成工作对应的合同价款，以及承包人已提供的材料、工程设备、施工设备和临时工程等的价值；</w:t>
      </w:r>
    </w:p>
    <w:p w14:paraId="14FD75FE">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）合同解除后，承包人应支付的违约金；</w:t>
      </w:r>
    </w:p>
    <w:p w14:paraId="6334D407">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）合同解除后，因解除合同给发包人造成的损失；</w:t>
      </w:r>
    </w:p>
    <w:p w14:paraId="1E2F6087">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）合同解除后，承包人应按照发包人要求和监理人的指示完成现场的清理和撤离；</w:t>
      </w:r>
    </w:p>
    <w:p w14:paraId="4476A9F4">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）发包人和承包人应在合同解除后进行清算，出具最终结清付款证书，结清全部款项。</w:t>
      </w:r>
    </w:p>
    <w:p w14:paraId="2E70C59E">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因承包人违约解除合同的，发包人有权暂停对承包人的付款，查清各项付款和已扣款项。发包人和承包人未能就合同解除后的清算和款项支付达成一致的，按照第</w:t>
      </w:r>
      <w:r>
        <w:rPr>
          <w:rFonts w:hAnsi="宋体" w:cs="Times New Roman"/>
          <w:color w:val="auto"/>
          <w:highlight w:val="none"/>
        </w:rPr>
        <w:t>20</w:t>
      </w:r>
      <w:r>
        <w:rPr>
          <w:rFonts w:hint="eastAsia" w:hAnsi="宋体" w:cs="Times New Roman"/>
          <w:color w:val="auto"/>
          <w:highlight w:val="none"/>
        </w:rPr>
        <w:t>条〔争议解决〕的约定处理。</w:t>
      </w:r>
    </w:p>
    <w:p w14:paraId="61A75901">
      <w:pPr>
        <w:spacing w:line="360" w:lineRule="auto"/>
        <w:ind w:firstLine="420" w:firstLineChars="200"/>
        <w:jc w:val="left"/>
        <w:rPr>
          <w:rFonts w:hAnsi="宋体" w:cs="Times New Roman"/>
          <w:color w:val="auto"/>
          <w:highlight w:val="none"/>
        </w:rPr>
      </w:pPr>
      <w:r>
        <w:rPr>
          <w:rFonts w:hAnsi="宋体" w:cs="Times New Roman"/>
          <w:color w:val="auto"/>
          <w:highlight w:val="none"/>
        </w:rPr>
        <w:t>16.2.5</w:t>
      </w:r>
      <w:r>
        <w:rPr>
          <w:rFonts w:hint="eastAsia" w:hAnsi="宋体" w:cs="Times New Roman"/>
          <w:color w:val="auto"/>
          <w:highlight w:val="none"/>
        </w:rPr>
        <w:t>采购合同权益转让</w:t>
      </w:r>
    </w:p>
    <w:p w14:paraId="5FE0FF8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因承包人违约解除合同的，发包人有权要求承包人将其为实施合同而签订的材料和设备的采购合同的权益转让给发包人，承包人应在收到解除合同通知后</w:t>
      </w:r>
      <w:r>
        <w:rPr>
          <w:rFonts w:hAnsi="宋体" w:cs="Times New Roman"/>
          <w:color w:val="auto"/>
          <w:highlight w:val="none"/>
        </w:rPr>
        <w:t>14</w:t>
      </w:r>
      <w:r>
        <w:rPr>
          <w:rFonts w:hint="eastAsia" w:hAnsi="宋体" w:cs="Times New Roman"/>
          <w:color w:val="auto"/>
          <w:highlight w:val="none"/>
        </w:rPr>
        <w:t>天内，协助发包人与采购合同的供应商达成相关的转让协议。</w:t>
      </w:r>
    </w:p>
    <w:p w14:paraId="48E4C547">
      <w:pPr>
        <w:keepNext/>
        <w:keepLines/>
        <w:spacing w:line="360" w:lineRule="auto"/>
        <w:outlineLvl w:val="3"/>
        <w:rPr>
          <w:rFonts w:hAnsi="宋体" w:cs="Times New Roman"/>
          <w:b/>
          <w:bCs/>
          <w:color w:val="auto"/>
          <w:kern w:val="2"/>
          <w:szCs w:val="28"/>
          <w:highlight w:val="none"/>
        </w:rPr>
      </w:pPr>
      <w:bookmarkStart w:id="567" w:name="_Toc532839973"/>
      <w:bookmarkStart w:id="568" w:name="_Toc351203606"/>
      <w:r>
        <w:rPr>
          <w:rFonts w:hAnsi="宋体" w:cs="Times New Roman"/>
          <w:b/>
          <w:bCs/>
          <w:color w:val="auto"/>
          <w:kern w:val="2"/>
          <w:szCs w:val="28"/>
          <w:highlight w:val="none"/>
        </w:rPr>
        <w:t xml:space="preserve">16.3 </w:t>
      </w:r>
      <w:r>
        <w:rPr>
          <w:rFonts w:hint="eastAsia" w:hAnsi="宋体" w:cs="Times New Roman"/>
          <w:b/>
          <w:bCs/>
          <w:color w:val="auto"/>
          <w:kern w:val="2"/>
          <w:szCs w:val="28"/>
          <w:highlight w:val="none"/>
        </w:rPr>
        <w:t>第三人造成的违约</w:t>
      </w:r>
      <w:bookmarkEnd w:id="567"/>
      <w:bookmarkEnd w:id="568"/>
    </w:p>
    <w:p w14:paraId="4CC4480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在履行合同过程中，一方当事人因第三人的原因造成违约的，应当向对方当事人承担违约责任。一方当事人和第三人之间的纠纷，依照法律规定或者按照约定解决。</w:t>
      </w:r>
    </w:p>
    <w:p w14:paraId="5EA32FF5">
      <w:pPr>
        <w:keepNext/>
        <w:keepLines/>
        <w:spacing w:line="360" w:lineRule="auto"/>
        <w:outlineLvl w:val="2"/>
        <w:rPr>
          <w:rFonts w:hAnsi="宋体" w:cs="Times New Roman"/>
          <w:b/>
          <w:bCs/>
          <w:color w:val="auto"/>
          <w:kern w:val="2"/>
          <w:szCs w:val="32"/>
          <w:highlight w:val="none"/>
        </w:rPr>
      </w:pPr>
      <w:bookmarkStart w:id="569" w:name="_Toc532839974"/>
      <w:bookmarkStart w:id="570" w:name="_Toc527130434"/>
      <w:bookmarkStart w:id="571" w:name="_Toc351203607"/>
      <w:bookmarkStart w:id="572" w:name="_Toc512691388"/>
      <w:bookmarkStart w:id="573" w:name="_Toc296346617"/>
      <w:bookmarkStart w:id="574" w:name="_Toc296503116"/>
      <w:bookmarkStart w:id="575" w:name="_Toc337558823"/>
      <w:r>
        <w:rPr>
          <w:rFonts w:hAnsi="宋体" w:cs="Times New Roman"/>
          <w:b/>
          <w:bCs/>
          <w:color w:val="auto"/>
          <w:kern w:val="2"/>
          <w:szCs w:val="32"/>
          <w:highlight w:val="none"/>
        </w:rPr>
        <w:t xml:space="preserve">17. </w:t>
      </w:r>
      <w:r>
        <w:rPr>
          <w:rFonts w:hint="eastAsia" w:hAnsi="宋体"/>
          <w:b/>
          <w:bCs/>
          <w:color w:val="auto"/>
          <w:kern w:val="2"/>
          <w:szCs w:val="32"/>
          <w:highlight w:val="none"/>
        </w:rPr>
        <w:t>不可抗力</w:t>
      </w:r>
      <w:bookmarkEnd w:id="569"/>
      <w:bookmarkEnd w:id="570"/>
      <w:bookmarkEnd w:id="571"/>
      <w:bookmarkEnd w:id="572"/>
      <w:r>
        <w:rPr>
          <w:rFonts w:hAnsi="宋体" w:cs="Times New Roman"/>
          <w:b/>
          <w:bCs/>
          <w:color w:val="auto"/>
          <w:kern w:val="2"/>
          <w:szCs w:val="32"/>
          <w:highlight w:val="none"/>
        </w:rPr>
        <w:t xml:space="preserve"> </w:t>
      </w:r>
      <w:bookmarkEnd w:id="573"/>
      <w:bookmarkEnd w:id="574"/>
      <w:bookmarkEnd w:id="575"/>
    </w:p>
    <w:p w14:paraId="6F8803B1">
      <w:pPr>
        <w:keepNext/>
        <w:keepLines/>
        <w:spacing w:line="360" w:lineRule="auto"/>
        <w:outlineLvl w:val="3"/>
        <w:rPr>
          <w:rFonts w:hAnsi="宋体" w:cs="Times New Roman"/>
          <w:b/>
          <w:bCs/>
          <w:color w:val="auto"/>
          <w:kern w:val="2"/>
          <w:szCs w:val="28"/>
          <w:highlight w:val="none"/>
        </w:rPr>
      </w:pPr>
      <w:bookmarkStart w:id="576" w:name="_Toc351203608"/>
      <w:bookmarkStart w:id="577" w:name="_Toc532839975"/>
      <w:bookmarkStart w:id="578" w:name="_Toc296503117"/>
      <w:bookmarkStart w:id="579" w:name="_Toc296346618"/>
      <w:bookmarkStart w:id="580" w:name="_Toc337558824"/>
      <w:r>
        <w:rPr>
          <w:rFonts w:hAnsi="宋体" w:cs="Times New Roman"/>
          <w:b/>
          <w:bCs/>
          <w:color w:val="auto"/>
          <w:kern w:val="2"/>
          <w:szCs w:val="28"/>
          <w:highlight w:val="none"/>
        </w:rPr>
        <w:t xml:space="preserve">17.1 </w:t>
      </w:r>
      <w:r>
        <w:rPr>
          <w:rFonts w:hint="eastAsia" w:hAnsi="宋体" w:cs="Times New Roman"/>
          <w:b/>
          <w:bCs/>
          <w:color w:val="auto"/>
          <w:kern w:val="2"/>
          <w:szCs w:val="28"/>
          <w:highlight w:val="none"/>
        </w:rPr>
        <w:t>不可抗力的确认</w:t>
      </w:r>
      <w:bookmarkEnd w:id="576"/>
      <w:bookmarkEnd w:id="577"/>
    </w:p>
    <w:bookmarkEnd w:id="578"/>
    <w:bookmarkEnd w:id="579"/>
    <w:bookmarkEnd w:id="580"/>
    <w:p w14:paraId="0411466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2B7F0AD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不可抗力发生后，发包人和承包人应收集证明不可抗力发生及不可抗力造成损失的证据，并及时认真统计所造成的损失。合同当事人对是否属于不可抗力或其损失的意见不一致的，由监理人按第</w:t>
      </w:r>
      <w:r>
        <w:rPr>
          <w:rFonts w:hAnsi="宋体" w:cs="Times New Roman"/>
          <w:color w:val="auto"/>
          <w:highlight w:val="none"/>
        </w:rPr>
        <w:t>4.4</w:t>
      </w:r>
      <w:r>
        <w:rPr>
          <w:rFonts w:hint="eastAsia" w:hAnsi="宋体" w:cs="Times New Roman"/>
          <w:color w:val="auto"/>
          <w:highlight w:val="none"/>
        </w:rPr>
        <w:t>款〔商定或确定〕的约定处理。发生争议时，按第</w:t>
      </w:r>
      <w:r>
        <w:rPr>
          <w:rFonts w:hAnsi="宋体" w:cs="Times New Roman"/>
          <w:color w:val="auto"/>
          <w:highlight w:val="none"/>
        </w:rPr>
        <w:t>20</w:t>
      </w:r>
      <w:r>
        <w:rPr>
          <w:rFonts w:hint="eastAsia" w:hAnsi="宋体" w:cs="Times New Roman"/>
          <w:color w:val="auto"/>
          <w:highlight w:val="none"/>
        </w:rPr>
        <w:t>条〔争议解决〕的约定处理。</w:t>
      </w:r>
    </w:p>
    <w:p w14:paraId="327F4902">
      <w:pPr>
        <w:keepNext/>
        <w:keepLines/>
        <w:spacing w:line="360" w:lineRule="auto"/>
        <w:outlineLvl w:val="3"/>
        <w:rPr>
          <w:rFonts w:hAnsi="宋体" w:cs="Times New Roman"/>
          <w:b/>
          <w:bCs/>
          <w:color w:val="auto"/>
          <w:kern w:val="2"/>
          <w:szCs w:val="28"/>
          <w:highlight w:val="none"/>
        </w:rPr>
      </w:pPr>
      <w:bookmarkStart w:id="581" w:name="_Toc351203609"/>
      <w:bookmarkStart w:id="582" w:name="_Toc532839976"/>
      <w:bookmarkStart w:id="583" w:name="_Toc296346619"/>
      <w:bookmarkStart w:id="584" w:name="_Toc337558825"/>
      <w:bookmarkStart w:id="585" w:name="_Toc296503118"/>
      <w:r>
        <w:rPr>
          <w:rFonts w:hAnsi="宋体" w:cs="Times New Roman"/>
          <w:b/>
          <w:bCs/>
          <w:color w:val="auto"/>
          <w:kern w:val="2"/>
          <w:szCs w:val="28"/>
          <w:highlight w:val="none"/>
        </w:rPr>
        <w:t xml:space="preserve">17.2 </w:t>
      </w:r>
      <w:r>
        <w:rPr>
          <w:rFonts w:hint="eastAsia" w:hAnsi="宋体" w:cs="Times New Roman"/>
          <w:b/>
          <w:bCs/>
          <w:color w:val="auto"/>
          <w:kern w:val="2"/>
          <w:szCs w:val="28"/>
          <w:highlight w:val="none"/>
        </w:rPr>
        <w:t>不可抗力的通知</w:t>
      </w:r>
      <w:bookmarkEnd w:id="581"/>
      <w:bookmarkEnd w:id="582"/>
    </w:p>
    <w:bookmarkEnd w:id="583"/>
    <w:bookmarkEnd w:id="584"/>
    <w:bookmarkEnd w:id="585"/>
    <w:p w14:paraId="7E4BE89F">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合同一方当事人遇到不可抗力事件，使其履行合同义务受到阻碍时，应立即通知合同另一方当事人和监理人，书面说明不可抗力和受阻碍的详细情况，并提供必要的证明。</w:t>
      </w:r>
    </w:p>
    <w:p w14:paraId="251D16D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不可抗力持续发生的，合同一方当事人应及时向合同另一方当事人和监理人提交中间报告，说明不可抗力和履行合同受阻的情况，并于不可抗力事件结束后</w:t>
      </w:r>
      <w:r>
        <w:rPr>
          <w:rFonts w:hAnsi="宋体" w:cs="Times New Roman"/>
          <w:color w:val="auto"/>
          <w:highlight w:val="none"/>
        </w:rPr>
        <w:t>28</w:t>
      </w:r>
      <w:r>
        <w:rPr>
          <w:rFonts w:hint="eastAsia" w:hAnsi="宋体" w:cs="Times New Roman"/>
          <w:color w:val="auto"/>
          <w:highlight w:val="none"/>
        </w:rPr>
        <w:t>天内提交最终报告及有关资料。</w:t>
      </w:r>
    </w:p>
    <w:p w14:paraId="1E042C99">
      <w:pPr>
        <w:keepNext/>
        <w:keepLines/>
        <w:spacing w:line="360" w:lineRule="auto"/>
        <w:outlineLvl w:val="3"/>
        <w:rPr>
          <w:rFonts w:hAnsi="宋体" w:cs="Times New Roman"/>
          <w:b/>
          <w:bCs/>
          <w:color w:val="auto"/>
          <w:kern w:val="2"/>
          <w:szCs w:val="28"/>
          <w:highlight w:val="none"/>
        </w:rPr>
      </w:pPr>
      <w:bookmarkStart w:id="586" w:name="_Toc351203610"/>
      <w:bookmarkStart w:id="587" w:name="_Toc532839977"/>
      <w:bookmarkStart w:id="588" w:name="_Toc296503119"/>
      <w:bookmarkStart w:id="589" w:name="_Toc296346620"/>
      <w:bookmarkStart w:id="590" w:name="_Toc337558826"/>
      <w:r>
        <w:rPr>
          <w:rFonts w:hAnsi="宋体" w:cs="Times New Roman"/>
          <w:b/>
          <w:bCs/>
          <w:color w:val="auto"/>
          <w:kern w:val="2"/>
          <w:szCs w:val="28"/>
          <w:highlight w:val="none"/>
        </w:rPr>
        <w:t xml:space="preserve">17.3 </w:t>
      </w:r>
      <w:r>
        <w:rPr>
          <w:rFonts w:hint="eastAsia" w:hAnsi="宋体" w:cs="Times New Roman"/>
          <w:b/>
          <w:bCs/>
          <w:color w:val="auto"/>
          <w:kern w:val="2"/>
          <w:szCs w:val="28"/>
          <w:highlight w:val="none"/>
        </w:rPr>
        <w:t>不可抗力后果的承担</w:t>
      </w:r>
      <w:bookmarkEnd w:id="586"/>
      <w:bookmarkEnd w:id="587"/>
    </w:p>
    <w:bookmarkEnd w:id="588"/>
    <w:bookmarkEnd w:id="589"/>
    <w:bookmarkEnd w:id="590"/>
    <w:p w14:paraId="4CC7BCEE">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17.3.1 </w:t>
      </w:r>
      <w:r>
        <w:rPr>
          <w:rFonts w:hint="eastAsia" w:hAnsi="宋体" w:cs="Times New Roman"/>
          <w:color w:val="auto"/>
          <w:highlight w:val="none"/>
        </w:rPr>
        <w:t>不可抗力引起的后果及造成的损失由合同当事人按照法律规定及合同约定各自承担。不可抗力发生前已完成的工程应当按照合同约定进行计量支付。</w:t>
      </w:r>
    </w:p>
    <w:p w14:paraId="18851779">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17.3.2 </w:t>
      </w:r>
      <w:r>
        <w:rPr>
          <w:rFonts w:hint="eastAsia" w:hAnsi="宋体" w:cs="Times New Roman"/>
          <w:color w:val="auto"/>
          <w:highlight w:val="none"/>
        </w:rPr>
        <w:t>不可抗力导致的人员伤亡、财产损失、费用增加和（或）工期延误等后果，由合同当事人按以下原则承担：</w:t>
      </w:r>
    </w:p>
    <w:p w14:paraId="6F64E43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）永久工程、已运至施工现场的材料和工程设备的损坏，以及因工程损坏造成的第三人人员伤亡和财产损失由发包人承担；</w:t>
      </w:r>
    </w:p>
    <w:p w14:paraId="27714EE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）承包人施工设备的损坏由承包人承担；</w:t>
      </w:r>
    </w:p>
    <w:p w14:paraId="4D83B27F">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）发包人和承包人承担各自人员伤亡和财产的损失；</w:t>
      </w:r>
    </w:p>
    <w:p w14:paraId="0FAFEE09">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）因不可抗力影响承包人履行合同约定的义务，已经引起或将引起工期延误的，应当顺延工期，由此导致承包人停工的费用损失由发包人和承包人合理分担，停工期间必须支付的工人工资由发包人承担；</w:t>
      </w:r>
    </w:p>
    <w:p w14:paraId="66FB1C1F">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）因不可抗力引起或将引起工期延误，发包人要求赶工的，由此增加的赶工费用由发包人承担；</w:t>
      </w:r>
    </w:p>
    <w:p w14:paraId="5F1B798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6</w:t>
      </w:r>
      <w:r>
        <w:rPr>
          <w:rFonts w:hint="eastAsia" w:hAnsi="宋体" w:cs="Times New Roman"/>
          <w:color w:val="auto"/>
          <w:highlight w:val="none"/>
        </w:rPr>
        <w:t>）承包人在停工期间按照发包人要求照管、清理和修复工程的费用由发包人承担。</w:t>
      </w:r>
    </w:p>
    <w:p w14:paraId="6D98266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不可抗力发生后，合同当事人均应采取措施尽量避免和减少损失的扩大，任何一方当事人没有采取有效措施导致损失扩大的，应对扩大的损失承担责任。</w:t>
      </w:r>
    </w:p>
    <w:p w14:paraId="4816390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因合同一方迟延履行合同义务，在迟延履行期间遭遇不可抗力的，不免除其违约责任。</w:t>
      </w:r>
    </w:p>
    <w:p w14:paraId="4DAA82C4">
      <w:pPr>
        <w:keepNext/>
        <w:keepLines/>
        <w:spacing w:line="360" w:lineRule="auto"/>
        <w:outlineLvl w:val="3"/>
        <w:rPr>
          <w:rFonts w:hAnsi="宋体" w:cs="Times New Roman"/>
          <w:b/>
          <w:bCs/>
          <w:color w:val="auto"/>
          <w:kern w:val="2"/>
          <w:szCs w:val="28"/>
          <w:highlight w:val="none"/>
        </w:rPr>
      </w:pPr>
      <w:bookmarkStart w:id="591" w:name="_Toc532839978"/>
      <w:bookmarkStart w:id="592" w:name="_Toc351203611"/>
      <w:bookmarkStart w:id="593" w:name="_Toc337558827"/>
      <w:r>
        <w:rPr>
          <w:rFonts w:hAnsi="宋体" w:cs="Times New Roman"/>
          <w:b/>
          <w:bCs/>
          <w:color w:val="auto"/>
          <w:kern w:val="2"/>
          <w:szCs w:val="28"/>
          <w:highlight w:val="none"/>
        </w:rPr>
        <w:t xml:space="preserve">17.4 </w:t>
      </w:r>
      <w:r>
        <w:rPr>
          <w:rFonts w:hint="eastAsia" w:hAnsi="宋体" w:cs="Times New Roman"/>
          <w:b/>
          <w:bCs/>
          <w:color w:val="auto"/>
          <w:kern w:val="2"/>
          <w:szCs w:val="28"/>
          <w:highlight w:val="none"/>
        </w:rPr>
        <w:t>因不可抗力解除合同</w:t>
      </w:r>
      <w:bookmarkEnd w:id="591"/>
      <w:bookmarkEnd w:id="592"/>
    </w:p>
    <w:bookmarkEnd w:id="593"/>
    <w:p w14:paraId="48276E0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因不可抗力导致合同无法履行连续超过</w:t>
      </w:r>
      <w:r>
        <w:rPr>
          <w:rFonts w:hAnsi="宋体" w:cs="Times New Roman"/>
          <w:color w:val="auto"/>
          <w:highlight w:val="none"/>
        </w:rPr>
        <w:t>84</w:t>
      </w:r>
      <w:r>
        <w:rPr>
          <w:rFonts w:hint="eastAsia" w:hAnsi="宋体" w:cs="Times New Roman"/>
          <w:color w:val="auto"/>
          <w:highlight w:val="none"/>
        </w:rPr>
        <w:t>天或累计超过</w:t>
      </w:r>
      <w:r>
        <w:rPr>
          <w:rFonts w:hAnsi="宋体" w:cs="Times New Roman"/>
          <w:color w:val="auto"/>
          <w:highlight w:val="none"/>
        </w:rPr>
        <w:t>140</w:t>
      </w:r>
      <w:r>
        <w:rPr>
          <w:rFonts w:hint="eastAsia" w:hAnsi="宋体" w:cs="Times New Roman"/>
          <w:color w:val="auto"/>
          <w:highlight w:val="none"/>
        </w:rPr>
        <w:t>天的，发包人和承包人均有权解除合同。合同解除后，由双方当事人按照第</w:t>
      </w:r>
      <w:r>
        <w:rPr>
          <w:rFonts w:hAnsi="宋体" w:cs="Times New Roman"/>
          <w:color w:val="auto"/>
          <w:highlight w:val="none"/>
        </w:rPr>
        <w:t>4.4</w:t>
      </w:r>
      <w:r>
        <w:rPr>
          <w:rFonts w:hint="eastAsia" w:hAnsi="宋体" w:cs="Times New Roman"/>
          <w:color w:val="auto"/>
          <w:highlight w:val="none"/>
        </w:rPr>
        <w:t>款〔商定或确定〕商定或确定发包人应支付的款项，该款项包括：</w:t>
      </w:r>
    </w:p>
    <w:p w14:paraId="70DCE6B9">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）合同解除前承包人已完成工作的价款；</w:t>
      </w:r>
    </w:p>
    <w:p w14:paraId="2AE07857">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）承包人为工程订购的并已交付给承包人，或承包人有责任接受交付的材料、工程设备和其他物品的价款；</w:t>
      </w:r>
    </w:p>
    <w:p w14:paraId="5C9CB5C7">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）发包人要求承包人退货或解除订货合同而产生的费用，或因不能退货或解除合同而产生的损失；</w:t>
      </w:r>
    </w:p>
    <w:p w14:paraId="274A2669">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）承包人撤离施工现场以及遣散承包人人员的费用；</w:t>
      </w:r>
    </w:p>
    <w:p w14:paraId="130BCECC">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）按照合同约定在合同解除前应支付给承包人的其他款项；</w:t>
      </w:r>
    </w:p>
    <w:p w14:paraId="3416F2E3">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6</w:t>
      </w:r>
      <w:r>
        <w:rPr>
          <w:rFonts w:hint="eastAsia" w:hAnsi="宋体" w:cs="Times New Roman"/>
          <w:color w:val="auto"/>
          <w:highlight w:val="none"/>
        </w:rPr>
        <w:t>）扣减承包人按照合同约定应向发包人支付的款项；</w:t>
      </w:r>
    </w:p>
    <w:p w14:paraId="47D02FEF">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7</w:t>
      </w:r>
      <w:r>
        <w:rPr>
          <w:rFonts w:hint="eastAsia" w:hAnsi="宋体" w:cs="Times New Roman"/>
          <w:color w:val="auto"/>
          <w:highlight w:val="none"/>
        </w:rPr>
        <w:t>）双方商定或确定的其他款项。</w:t>
      </w:r>
    </w:p>
    <w:p w14:paraId="0279E11E">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除专用合同条款另有约定外，合同解除后，发包人应在商定或确定上述款项后</w:t>
      </w:r>
      <w:r>
        <w:rPr>
          <w:rFonts w:hAnsi="宋体" w:cs="Times New Roman"/>
          <w:color w:val="auto"/>
          <w:highlight w:val="none"/>
        </w:rPr>
        <w:t>28</w:t>
      </w:r>
      <w:r>
        <w:rPr>
          <w:rFonts w:hint="eastAsia" w:hAnsi="宋体" w:cs="Times New Roman"/>
          <w:color w:val="auto"/>
          <w:highlight w:val="none"/>
        </w:rPr>
        <w:t>天内完成上述款项的支付。</w:t>
      </w:r>
    </w:p>
    <w:p w14:paraId="4D4D67B2">
      <w:pPr>
        <w:keepNext/>
        <w:keepLines/>
        <w:spacing w:line="360" w:lineRule="auto"/>
        <w:outlineLvl w:val="2"/>
        <w:rPr>
          <w:rFonts w:hAnsi="宋体" w:cs="Times New Roman"/>
          <w:b/>
          <w:bCs/>
          <w:color w:val="auto"/>
          <w:kern w:val="2"/>
          <w:szCs w:val="32"/>
          <w:highlight w:val="none"/>
        </w:rPr>
      </w:pPr>
      <w:bookmarkStart w:id="594" w:name="_Toc532839979"/>
      <w:bookmarkStart w:id="595" w:name="_Toc351203612"/>
      <w:bookmarkStart w:id="596" w:name="_Toc527130435"/>
      <w:bookmarkStart w:id="597" w:name="_Toc512691389"/>
      <w:bookmarkStart w:id="598" w:name="_Toc296346621"/>
      <w:bookmarkStart w:id="599" w:name="_Toc296503120"/>
      <w:bookmarkStart w:id="600" w:name="_Toc337558828"/>
      <w:r>
        <w:rPr>
          <w:rFonts w:hAnsi="宋体" w:cs="Times New Roman"/>
          <w:b/>
          <w:bCs/>
          <w:color w:val="auto"/>
          <w:kern w:val="2"/>
          <w:szCs w:val="32"/>
          <w:highlight w:val="none"/>
        </w:rPr>
        <w:t xml:space="preserve">18. </w:t>
      </w:r>
      <w:r>
        <w:rPr>
          <w:rFonts w:hint="eastAsia" w:hAnsi="宋体"/>
          <w:b/>
          <w:bCs/>
          <w:color w:val="auto"/>
          <w:kern w:val="2"/>
          <w:szCs w:val="32"/>
          <w:highlight w:val="none"/>
        </w:rPr>
        <w:t>保险</w:t>
      </w:r>
      <w:bookmarkEnd w:id="594"/>
      <w:bookmarkEnd w:id="595"/>
      <w:bookmarkEnd w:id="596"/>
      <w:bookmarkEnd w:id="597"/>
    </w:p>
    <w:bookmarkEnd w:id="598"/>
    <w:bookmarkEnd w:id="599"/>
    <w:bookmarkEnd w:id="600"/>
    <w:p w14:paraId="018C5C7D">
      <w:pPr>
        <w:keepNext/>
        <w:keepLines/>
        <w:spacing w:line="360" w:lineRule="auto"/>
        <w:outlineLvl w:val="3"/>
        <w:rPr>
          <w:rFonts w:hAnsi="宋体" w:cs="Times New Roman"/>
          <w:b/>
          <w:bCs/>
          <w:color w:val="auto"/>
          <w:kern w:val="2"/>
          <w:szCs w:val="28"/>
          <w:highlight w:val="none"/>
        </w:rPr>
      </w:pPr>
      <w:bookmarkStart w:id="601" w:name="_Toc351203613"/>
      <w:bookmarkStart w:id="602" w:name="_Toc532839980"/>
      <w:bookmarkStart w:id="603" w:name="_Toc296503121"/>
      <w:bookmarkStart w:id="604" w:name="_Toc337558829"/>
      <w:bookmarkStart w:id="605" w:name="_Toc296346622"/>
      <w:r>
        <w:rPr>
          <w:rFonts w:hAnsi="宋体" w:cs="Times New Roman"/>
          <w:b/>
          <w:bCs/>
          <w:color w:val="auto"/>
          <w:kern w:val="2"/>
          <w:szCs w:val="28"/>
          <w:highlight w:val="none"/>
        </w:rPr>
        <w:t xml:space="preserve">18.1 </w:t>
      </w:r>
      <w:r>
        <w:rPr>
          <w:rFonts w:hint="eastAsia" w:hAnsi="宋体"/>
          <w:b/>
          <w:bCs/>
          <w:color w:val="auto"/>
          <w:kern w:val="2"/>
          <w:szCs w:val="28"/>
          <w:highlight w:val="none"/>
        </w:rPr>
        <w:t>工程保险</w:t>
      </w:r>
      <w:bookmarkEnd w:id="601"/>
      <w:bookmarkEnd w:id="602"/>
    </w:p>
    <w:bookmarkEnd w:id="603"/>
    <w:bookmarkEnd w:id="604"/>
    <w:bookmarkEnd w:id="605"/>
    <w:p w14:paraId="2AC5AEC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除专用合同条款另有约定外，发包人应投保建筑工程一切险或安装工程一切险；发包人委托承包人投保的，因投保产生的保险费和其他相关费用由发包人承担。</w:t>
      </w:r>
    </w:p>
    <w:p w14:paraId="29AB15B8">
      <w:pPr>
        <w:keepNext/>
        <w:keepLines/>
        <w:spacing w:line="360" w:lineRule="auto"/>
        <w:outlineLvl w:val="3"/>
        <w:rPr>
          <w:rFonts w:hAnsi="宋体" w:cs="Times New Roman"/>
          <w:b/>
          <w:bCs/>
          <w:color w:val="auto"/>
          <w:kern w:val="2"/>
          <w:szCs w:val="28"/>
          <w:highlight w:val="none"/>
        </w:rPr>
      </w:pPr>
      <w:bookmarkStart w:id="606" w:name="_Toc532839981"/>
      <w:bookmarkStart w:id="607" w:name="_Toc351203614"/>
      <w:bookmarkStart w:id="608" w:name="_Toc337558830"/>
      <w:bookmarkStart w:id="609" w:name="_Toc296346623"/>
      <w:bookmarkStart w:id="610" w:name="_Toc296503122"/>
      <w:r>
        <w:rPr>
          <w:rFonts w:hAnsi="宋体" w:cs="Times New Roman"/>
          <w:b/>
          <w:bCs/>
          <w:color w:val="auto"/>
          <w:kern w:val="2"/>
          <w:szCs w:val="28"/>
          <w:highlight w:val="none"/>
        </w:rPr>
        <w:t xml:space="preserve">18.2 </w:t>
      </w:r>
      <w:r>
        <w:rPr>
          <w:rFonts w:hint="eastAsia" w:hAnsi="宋体"/>
          <w:b/>
          <w:bCs/>
          <w:color w:val="auto"/>
          <w:kern w:val="2"/>
          <w:szCs w:val="28"/>
          <w:highlight w:val="none"/>
        </w:rPr>
        <w:t>工伤保险</w:t>
      </w:r>
      <w:bookmarkEnd w:id="606"/>
      <w:bookmarkEnd w:id="607"/>
    </w:p>
    <w:bookmarkEnd w:id="608"/>
    <w:bookmarkEnd w:id="609"/>
    <w:bookmarkEnd w:id="610"/>
    <w:p w14:paraId="0B0139B8">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18.2.1 </w:t>
      </w:r>
      <w:r>
        <w:rPr>
          <w:rFonts w:hint="eastAsia" w:hAnsi="宋体" w:cs="Times New Roman"/>
          <w:color w:val="auto"/>
          <w:highlight w:val="none"/>
        </w:rPr>
        <w:t>发包人应依照法律规定参加工伤保险，并为在施工现场的全部员工办理工伤保险，缴纳工伤保险费，并要求监理人及由发包人为履行合同聘请的第三方依法参加工伤保险。</w:t>
      </w:r>
    </w:p>
    <w:p w14:paraId="018BF412">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18.2.2 </w:t>
      </w:r>
      <w:r>
        <w:rPr>
          <w:rFonts w:hint="eastAsia" w:hAnsi="宋体" w:cs="Times New Roman"/>
          <w:color w:val="auto"/>
          <w:highlight w:val="none"/>
        </w:rPr>
        <w:t>承包人应依照法律规定参加工伤保险，并为其履行合同的全部员工办理工伤保险，缴纳工伤保险费，并要求分包人及由承包人为履行合同聘请的第三方依法参加工伤保险。</w:t>
      </w:r>
    </w:p>
    <w:p w14:paraId="5130E824">
      <w:pPr>
        <w:keepNext/>
        <w:keepLines/>
        <w:spacing w:line="360" w:lineRule="auto"/>
        <w:outlineLvl w:val="3"/>
        <w:rPr>
          <w:rFonts w:hAnsi="宋体" w:cs="Times New Roman"/>
          <w:b/>
          <w:bCs/>
          <w:color w:val="auto"/>
          <w:kern w:val="2"/>
          <w:szCs w:val="28"/>
          <w:highlight w:val="none"/>
        </w:rPr>
      </w:pPr>
      <w:bookmarkStart w:id="611" w:name="_Toc532839982"/>
      <w:bookmarkStart w:id="612" w:name="_Toc351203615"/>
      <w:bookmarkStart w:id="613" w:name="_Toc337558831"/>
      <w:bookmarkStart w:id="614" w:name="_Toc296346626"/>
      <w:bookmarkStart w:id="615" w:name="_Toc296503125"/>
      <w:r>
        <w:rPr>
          <w:rFonts w:hAnsi="宋体" w:cs="Times New Roman"/>
          <w:b/>
          <w:bCs/>
          <w:color w:val="auto"/>
          <w:kern w:val="2"/>
          <w:szCs w:val="28"/>
          <w:highlight w:val="none"/>
        </w:rPr>
        <w:t>18.3</w:t>
      </w:r>
      <w:r>
        <w:rPr>
          <w:rFonts w:hint="eastAsia" w:hAnsi="宋体"/>
          <w:b/>
          <w:bCs/>
          <w:color w:val="auto"/>
          <w:kern w:val="2"/>
          <w:szCs w:val="28"/>
          <w:highlight w:val="none"/>
        </w:rPr>
        <w:t>其他保险</w:t>
      </w:r>
      <w:bookmarkEnd w:id="611"/>
      <w:bookmarkEnd w:id="612"/>
    </w:p>
    <w:bookmarkEnd w:id="613"/>
    <w:bookmarkEnd w:id="614"/>
    <w:bookmarkEnd w:id="615"/>
    <w:p w14:paraId="58DF52F3">
      <w:pPr>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发包人和承包人可以为其施工现场的全部人员办理意外伤害保险并支付保险费，包括其员工及为履行合同聘请的第三方的人员，具体事项由合同当事人在专用合同条款约定。</w:t>
      </w:r>
    </w:p>
    <w:p w14:paraId="72DAD17A">
      <w:pPr>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除专用合同条款另有约定外，承包人应为其施工设备等办理财产保险。</w:t>
      </w:r>
    </w:p>
    <w:p w14:paraId="26FEDA32">
      <w:pPr>
        <w:keepNext/>
        <w:keepLines/>
        <w:spacing w:line="360" w:lineRule="auto"/>
        <w:outlineLvl w:val="3"/>
        <w:rPr>
          <w:rFonts w:hAnsi="宋体" w:cs="Times New Roman"/>
          <w:b/>
          <w:bCs/>
          <w:color w:val="auto"/>
          <w:kern w:val="2"/>
          <w:szCs w:val="28"/>
          <w:highlight w:val="none"/>
        </w:rPr>
      </w:pPr>
      <w:bookmarkStart w:id="616" w:name="_Toc351203616"/>
      <w:bookmarkStart w:id="617" w:name="_Toc532839983"/>
      <w:r>
        <w:rPr>
          <w:rFonts w:hAnsi="宋体" w:cs="Times New Roman"/>
          <w:b/>
          <w:bCs/>
          <w:color w:val="auto"/>
          <w:kern w:val="2"/>
          <w:szCs w:val="28"/>
          <w:highlight w:val="none"/>
        </w:rPr>
        <w:t>18.4</w:t>
      </w:r>
      <w:r>
        <w:rPr>
          <w:rFonts w:hint="eastAsia" w:hAnsi="宋体"/>
          <w:b/>
          <w:bCs/>
          <w:color w:val="auto"/>
          <w:kern w:val="2"/>
          <w:szCs w:val="28"/>
          <w:highlight w:val="none"/>
        </w:rPr>
        <w:t>持续保险</w:t>
      </w:r>
      <w:bookmarkEnd w:id="616"/>
      <w:bookmarkEnd w:id="617"/>
    </w:p>
    <w:p w14:paraId="40E32901">
      <w:pPr>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合同当事人应与保险人保持联系，使保险人能够随时了解工程实施中的变动，并确保按保险合同条款要求持续保险。</w:t>
      </w:r>
    </w:p>
    <w:p w14:paraId="206BF3C9">
      <w:pPr>
        <w:keepNext/>
        <w:keepLines/>
        <w:spacing w:line="360" w:lineRule="auto"/>
        <w:outlineLvl w:val="3"/>
        <w:rPr>
          <w:rFonts w:hAnsi="宋体" w:cs="Times New Roman"/>
          <w:b/>
          <w:bCs/>
          <w:color w:val="auto"/>
          <w:kern w:val="2"/>
          <w:szCs w:val="28"/>
          <w:highlight w:val="none"/>
        </w:rPr>
      </w:pPr>
      <w:bookmarkStart w:id="618" w:name="_Toc532839984"/>
      <w:bookmarkStart w:id="619" w:name="_Toc351203617"/>
      <w:bookmarkStart w:id="620" w:name="_Toc296346627"/>
      <w:bookmarkStart w:id="621" w:name="_Toc296503126"/>
      <w:bookmarkStart w:id="622" w:name="_Toc337558832"/>
      <w:r>
        <w:rPr>
          <w:rFonts w:hAnsi="宋体" w:cs="Times New Roman"/>
          <w:b/>
          <w:bCs/>
          <w:color w:val="auto"/>
          <w:kern w:val="2"/>
          <w:szCs w:val="28"/>
          <w:highlight w:val="none"/>
        </w:rPr>
        <w:t xml:space="preserve">18.5 </w:t>
      </w:r>
      <w:r>
        <w:rPr>
          <w:rFonts w:hint="eastAsia" w:hAnsi="宋体"/>
          <w:b/>
          <w:bCs/>
          <w:color w:val="auto"/>
          <w:kern w:val="2"/>
          <w:szCs w:val="28"/>
          <w:highlight w:val="none"/>
        </w:rPr>
        <w:t>保险凭证</w:t>
      </w:r>
      <w:bookmarkEnd w:id="618"/>
      <w:bookmarkEnd w:id="619"/>
    </w:p>
    <w:bookmarkEnd w:id="620"/>
    <w:bookmarkEnd w:id="621"/>
    <w:bookmarkEnd w:id="622"/>
    <w:p w14:paraId="5642B3E4">
      <w:pPr>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合同当事人应及时向另一方当事人提交其已投保的各项保险的凭证和保险单复印件。</w:t>
      </w:r>
    </w:p>
    <w:p w14:paraId="5D32787D">
      <w:pPr>
        <w:keepNext/>
        <w:keepLines/>
        <w:spacing w:line="360" w:lineRule="auto"/>
        <w:outlineLvl w:val="3"/>
        <w:rPr>
          <w:rFonts w:hAnsi="宋体" w:cs="Times New Roman"/>
          <w:b/>
          <w:bCs/>
          <w:color w:val="auto"/>
          <w:kern w:val="2"/>
          <w:szCs w:val="28"/>
          <w:highlight w:val="none"/>
        </w:rPr>
      </w:pPr>
      <w:bookmarkStart w:id="623" w:name="_Toc351203618"/>
      <w:bookmarkStart w:id="624" w:name="_Toc532839985"/>
      <w:bookmarkStart w:id="625" w:name="_Toc337558833"/>
      <w:bookmarkStart w:id="626" w:name="_Toc296346628"/>
      <w:bookmarkStart w:id="627" w:name="_Toc296503127"/>
      <w:r>
        <w:rPr>
          <w:rFonts w:hAnsi="宋体" w:cs="Times New Roman"/>
          <w:b/>
          <w:bCs/>
          <w:color w:val="auto"/>
          <w:kern w:val="2"/>
          <w:szCs w:val="28"/>
          <w:highlight w:val="none"/>
        </w:rPr>
        <w:t xml:space="preserve">18.6 </w:t>
      </w:r>
      <w:r>
        <w:rPr>
          <w:rFonts w:hint="eastAsia" w:hAnsi="宋体" w:cs="Times New Roman"/>
          <w:b/>
          <w:bCs/>
          <w:color w:val="auto"/>
          <w:kern w:val="2"/>
          <w:szCs w:val="28"/>
          <w:highlight w:val="none"/>
        </w:rPr>
        <w:t>未按约定投保的补救</w:t>
      </w:r>
      <w:bookmarkEnd w:id="623"/>
      <w:bookmarkEnd w:id="624"/>
    </w:p>
    <w:bookmarkEnd w:id="625"/>
    <w:bookmarkEnd w:id="626"/>
    <w:bookmarkEnd w:id="627"/>
    <w:p w14:paraId="17A1E4B0">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18.6.1</w:t>
      </w:r>
      <w:r>
        <w:rPr>
          <w:rFonts w:hint="eastAsia" w:hAnsi="宋体" w:cs="Times New Roman"/>
          <w:color w:val="auto"/>
          <w:kern w:val="2"/>
          <w:highlight w:val="none"/>
        </w:rPr>
        <w:t>发包人未按合同约定办理保险，或未能使保险持续有效的，则承包人可代为办理，所需费用由发包人承担。发包人未按合同约定办理保险，导致未能得到足额赔偿的，由发包人负责补足。</w:t>
      </w:r>
    </w:p>
    <w:p w14:paraId="218ECD44">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18.6.2</w:t>
      </w:r>
      <w:r>
        <w:rPr>
          <w:rFonts w:hint="eastAsia" w:hAnsi="宋体" w:cs="Times New Roman"/>
          <w:color w:val="auto"/>
          <w:kern w:val="2"/>
          <w:highlight w:val="none"/>
        </w:rPr>
        <w:t>承包人未按合同约定办理保险，或未能使保险持续有效的，则发包人可代为办理，所需费用由承包人承担。承包人未按合同约定办理保险，导致未能得到足额赔偿的，由承包人负责补足。</w:t>
      </w:r>
    </w:p>
    <w:p w14:paraId="12D7AE58">
      <w:pPr>
        <w:keepNext/>
        <w:keepLines/>
        <w:spacing w:line="360" w:lineRule="auto"/>
        <w:outlineLvl w:val="3"/>
        <w:rPr>
          <w:rFonts w:hAnsi="宋体" w:cs="Times New Roman"/>
          <w:b/>
          <w:bCs/>
          <w:color w:val="auto"/>
          <w:kern w:val="2"/>
          <w:szCs w:val="28"/>
          <w:highlight w:val="none"/>
        </w:rPr>
      </w:pPr>
      <w:bookmarkStart w:id="628" w:name="_Toc532839986"/>
      <w:bookmarkStart w:id="629" w:name="_Toc351203619"/>
      <w:bookmarkStart w:id="630" w:name="_Toc337558834"/>
      <w:r>
        <w:rPr>
          <w:rFonts w:hAnsi="宋体" w:cs="Times New Roman"/>
          <w:b/>
          <w:bCs/>
          <w:color w:val="auto"/>
          <w:kern w:val="2"/>
          <w:szCs w:val="28"/>
          <w:highlight w:val="none"/>
        </w:rPr>
        <w:t xml:space="preserve">18.7 </w:t>
      </w:r>
      <w:r>
        <w:rPr>
          <w:rFonts w:hint="eastAsia" w:hAnsi="宋体"/>
          <w:b/>
          <w:bCs/>
          <w:color w:val="auto"/>
          <w:kern w:val="2"/>
          <w:szCs w:val="28"/>
          <w:highlight w:val="none"/>
        </w:rPr>
        <w:t>通知义务</w:t>
      </w:r>
      <w:bookmarkEnd w:id="628"/>
      <w:bookmarkEnd w:id="629"/>
    </w:p>
    <w:bookmarkEnd w:id="630"/>
    <w:p w14:paraId="00FF83F3">
      <w:pPr>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0DB6F410">
      <w:pPr>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保险事故发生时，投保人应按照保险合同规定的条件和期限及时向保险人报告。发包人和承包人应当在知道保险事故发生后及时通知对方。</w:t>
      </w:r>
    </w:p>
    <w:p w14:paraId="410D6C21">
      <w:pPr>
        <w:keepNext/>
        <w:keepLines/>
        <w:spacing w:line="360" w:lineRule="auto"/>
        <w:outlineLvl w:val="2"/>
        <w:rPr>
          <w:rFonts w:hAnsi="宋体" w:cs="Times New Roman"/>
          <w:b/>
          <w:bCs/>
          <w:color w:val="auto"/>
          <w:kern w:val="2"/>
          <w:szCs w:val="32"/>
          <w:highlight w:val="none"/>
        </w:rPr>
      </w:pPr>
      <w:bookmarkStart w:id="631" w:name="_Toc351203620"/>
      <w:bookmarkStart w:id="632" w:name="_Toc527130436"/>
      <w:bookmarkStart w:id="633" w:name="_Toc532839987"/>
      <w:bookmarkStart w:id="634" w:name="_Toc512691390"/>
      <w:bookmarkStart w:id="635" w:name="_Toc296503140"/>
      <w:bookmarkStart w:id="636" w:name="_Toc337558835"/>
      <w:bookmarkStart w:id="637" w:name="_Toc296346641"/>
      <w:r>
        <w:rPr>
          <w:rFonts w:hAnsi="宋体" w:cs="Times New Roman"/>
          <w:b/>
          <w:bCs/>
          <w:color w:val="auto"/>
          <w:kern w:val="2"/>
          <w:szCs w:val="32"/>
          <w:highlight w:val="none"/>
        </w:rPr>
        <w:t xml:space="preserve">19. </w:t>
      </w:r>
      <w:r>
        <w:rPr>
          <w:rFonts w:hint="eastAsia" w:hAnsi="宋体"/>
          <w:b/>
          <w:bCs/>
          <w:color w:val="auto"/>
          <w:kern w:val="2"/>
          <w:szCs w:val="32"/>
          <w:highlight w:val="none"/>
        </w:rPr>
        <w:t>索赔</w:t>
      </w:r>
      <w:bookmarkEnd w:id="631"/>
      <w:bookmarkEnd w:id="632"/>
      <w:bookmarkEnd w:id="633"/>
      <w:bookmarkEnd w:id="634"/>
    </w:p>
    <w:bookmarkEnd w:id="635"/>
    <w:bookmarkEnd w:id="636"/>
    <w:bookmarkEnd w:id="637"/>
    <w:p w14:paraId="18069417">
      <w:pPr>
        <w:keepNext/>
        <w:keepLines/>
        <w:spacing w:line="360" w:lineRule="auto"/>
        <w:outlineLvl w:val="3"/>
        <w:rPr>
          <w:rFonts w:hAnsi="宋体" w:cs="Times New Roman"/>
          <w:b/>
          <w:bCs/>
          <w:color w:val="auto"/>
          <w:kern w:val="2"/>
          <w:szCs w:val="28"/>
          <w:highlight w:val="none"/>
        </w:rPr>
      </w:pPr>
      <w:bookmarkStart w:id="638" w:name="_Toc532839988"/>
      <w:bookmarkStart w:id="639" w:name="_Toc351203621"/>
      <w:bookmarkStart w:id="640" w:name="_Toc337558836"/>
      <w:bookmarkStart w:id="641" w:name="_Toc296346642"/>
      <w:bookmarkStart w:id="642" w:name="_Toc296503141"/>
      <w:r>
        <w:rPr>
          <w:rFonts w:hAnsi="宋体" w:cs="Times New Roman"/>
          <w:b/>
          <w:bCs/>
          <w:color w:val="auto"/>
          <w:kern w:val="2"/>
          <w:szCs w:val="28"/>
          <w:highlight w:val="none"/>
        </w:rPr>
        <w:t>19.1</w:t>
      </w:r>
      <w:r>
        <w:rPr>
          <w:rFonts w:hint="eastAsia" w:hAnsi="宋体" w:cs="Times New Roman"/>
          <w:b/>
          <w:bCs/>
          <w:color w:val="auto"/>
          <w:kern w:val="2"/>
          <w:szCs w:val="28"/>
          <w:highlight w:val="none"/>
        </w:rPr>
        <w:t>承包人的索赔</w:t>
      </w:r>
      <w:bookmarkEnd w:id="638"/>
      <w:bookmarkEnd w:id="639"/>
    </w:p>
    <w:bookmarkEnd w:id="640"/>
    <w:bookmarkEnd w:id="641"/>
    <w:bookmarkEnd w:id="642"/>
    <w:p w14:paraId="65CBC32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根据合同约定，承包人认为有权得到追加付款和（或）延长工期的，应按以下程序向发包人提出索赔：</w:t>
      </w:r>
    </w:p>
    <w:p w14:paraId="646127D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）承包人应在知道或应当知道索赔事件发生后</w:t>
      </w:r>
      <w:r>
        <w:rPr>
          <w:rFonts w:hAnsi="宋体" w:cs="Times New Roman"/>
          <w:color w:val="auto"/>
          <w:highlight w:val="none"/>
        </w:rPr>
        <w:t>28</w:t>
      </w:r>
      <w:r>
        <w:rPr>
          <w:rFonts w:hint="eastAsia" w:hAnsi="宋体" w:cs="Times New Roman"/>
          <w:color w:val="auto"/>
          <w:highlight w:val="none"/>
        </w:rPr>
        <w:t>天内，向监理人递交索赔意向通知书，并说明发生索赔事件的事由；承包人未在前述</w:t>
      </w:r>
      <w:r>
        <w:rPr>
          <w:rFonts w:hAnsi="宋体" w:cs="Times New Roman"/>
          <w:color w:val="auto"/>
          <w:highlight w:val="none"/>
        </w:rPr>
        <w:t>28</w:t>
      </w:r>
      <w:r>
        <w:rPr>
          <w:rFonts w:hint="eastAsia" w:hAnsi="宋体" w:cs="Times New Roman"/>
          <w:color w:val="auto"/>
          <w:highlight w:val="none"/>
        </w:rPr>
        <w:t>天内发出索赔意向通知书的，丧失要求追加付款和（或）延长工期的权利；</w:t>
      </w:r>
    </w:p>
    <w:p w14:paraId="77B450A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）承包人应在发出索赔意向通知书后</w:t>
      </w:r>
      <w:r>
        <w:rPr>
          <w:rFonts w:hAnsi="宋体" w:cs="Times New Roman"/>
          <w:color w:val="auto"/>
          <w:highlight w:val="none"/>
        </w:rPr>
        <w:t>28</w:t>
      </w:r>
      <w:r>
        <w:rPr>
          <w:rFonts w:hint="eastAsia" w:hAnsi="宋体" w:cs="Times New Roman"/>
          <w:color w:val="auto"/>
          <w:highlight w:val="none"/>
        </w:rPr>
        <w:t>天内，向监理人正式递交索赔报告；索赔报告应详细说明索赔理由以及要求追加的付款金额和（或）延长的工期，并附必要的记录和证明材料；</w:t>
      </w:r>
    </w:p>
    <w:p w14:paraId="3F4C62A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）索赔事件具有持续影响的，承包人应按合理时间间隔继续递交延续索赔通知，说明持续影响的实际情况和记录，列出累计的追加付款金额和（或）工期延长天数；</w:t>
      </w:r>
    </w:p>
    <w:p w14:paraId="45AC207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）在索赔事件影响结束后</w:t>
      </w:r>
      <w:r>
        <w:rPr>
          <w:rFonts w:hAnsi="宋体" w:cs="Times New Roman"/>
          <w:color w:val="auto"/>
          <w:highlight w:val="none"/>
        </w:rPr>
        <w:t>28</w:t>
      </w:r>
      <w:r>
        <w:rPr>
          <w:rFonts w:hint="eastAsia" w:hAnsi="宋体" w:cs="Times New Roman"/>
          <w:color w:val="auto"/>
          <w:highlight w:val="none"/>
        </w:rPr>
        <w:t>天内，承包人应向监理人递交最终索赔报告，说明最终要求索赔的追加付款金额和（或）延长的工期，并附必要的记录和证明材料。</w:t>
      </w:r>
    </w:p>
    <w:p w14:paraId="3530588E">
      <w:pPr>
        <w:keepNext/>
        <w:keepLines/>
        <w:spacing w:line="360" w:lineRule="auto"/>
        <w:outlineLvl w:val="3"/>
        <w:rPr>
          <w:rFonts w:hAnsi="宋体" w:cs="Times New Roman"/>
          <w:b/>
          <w:bCs/>
          <w:color w:val="auto"/>
          <w:kern w:val="2"/>
          <w:szCs w:val="28"/>
          <w:highlight w:val="none"/>
        </w:rPr>
      </w:pPr>
      <w:bookmarkStart w:id="643" w:name="_Toc532839989"/>
      <w:bookmarkStart w:id="644" w:name="_Toc351203622"/>
      <w:bookmarkStart w:id="645" w:name="_Toc296346643"/>
      <w:bookmarkStart w:id="646" w:name="_Toc337558837"/>
      <w:bookmarkStart w:id="647" w:name="_Toc296503142"/>
      <w:r>
        <w:rPr>
          <w:rFonts w:hAnsi="宋体" w:cs="Times New Roman"/>
          <w:b/>
          <w:bCs/>
          <w:color w:val="auto"/>
          <w:kern w:val="2"/>
          <w:szCs w:val="28"/>
          <w:highlight w:val="none"/>
        </w:rPr>
        <w:t xml:space="preserve">19.2 </w:t>
      </w:r>
      <w:r>
        <w:rPr>
          <w:rFonts w:hint="eastAsia" w:hAnsi="宋体" w:cs="Times New Roman"/>
          <w:b/>
          <w:bCs/>
          <w:color w:val="auto"/>
          <w:kern w:val="2"/>
          <w:szCs w:val="28"/>
          <w:highlight w:val="none"/>
        </w:rPr>
        <w:t>对承包人索赔的处理</w:t>
      </w:r>
      <w:bookmarkEnd w:id="643"/>
      <w:bookmarkEnd w:id="644"/>
    </w:p>
    <w:bookmarkEnd w:id="645"/>
    <w:bookmarkEnd w:id="646"/>
    <w:bookmarkEnd w:id="647"/>
    <w:p w14:paraId="21D80B1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对承包人索赔的处理如下：</w:t>
      </w:r>
    </w:p>
    <w:p w14:paraId="78DDFE2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）监理人应在收到索赔报告后</w:t>
      </w:r>
      <w:r>
        <w:rPr>
          <w:rFonts w:hAnsi="宋体" w:cs="Times New Roman"/>
          <w:color w:val="auto"/>
          <w:highlight w:val="none"/>
        </w:rPr>
        <w:t>14</w:t>
      </w:r>
      <w:r>
        <w:rPr>
          <w:rFonts w:hint="eastAsia" w:hAnsi="宋体" w:cs="Times New Roman"/>
          <w:color w:val="auto"/>
          <w:highlight w:val="none"/>
        </w:rPr>
        <w:t>天内完成审查并报送发包人。监理人对索赔报告存在异议的，有权要求承包人提交全部原始记录副本；</w:t>
      </w:r>
    </w:p>
    <w:p w14:paraId="28995EF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）发包人应在监理人收到索赔报告或有关索赔的进一步证明材料后的</w:t>
      </w:r>
      <w:r>
        <w:rPr>
          <w:rFonts w:hAnsi="宋体" w:cs="Times New Roman"/>
          <w:color w:val="auto"/>
          <w:highlight w:val="none"/>
        </w:rPr>
        <w:t>28</w:t>
      </w:r>
      <w:r>
        <w:rPr>
          <w:rFonts w:hint="eastAsia" w:hAnsi="宋体" w:cs="Times New Roman"/>
          <w:color w:val="auto"/>
          <w:highlight w:val="none"/>
        </w:rPr>
        <w:t>天内，由监理人向承包人出具经发包人签认的索赔处理结果。发包人逾期答复的，则视为认可承包人的索赔要求；</w:t>
      </w:r>
    </w:p>
    <w:p w14:paraId="5504FAC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）承包人接受索赔处理结果的，索赔款项在当期进度款中进行支付；承包人不接受索赔处理结果的，按照第</w:t>
      </w:r>
      <w:r>
        <w:rPr>
          <w:rFonts w:hAnsi="宋体" w:cs="Times New Roman"/>
          <w:color w:val="auto"/>
          <w:highlight w:val="none"/>
        </w:rPr>
        <w:t>20</w:t>
      </w:r>
      <w:r>
        <w:rPr>
          <w:rFonts w:hint="eastAsia" w:hAnsi="宋体" w:cs="Times New Roman"/>
          <w:color w:val="auto"/>
          <w:highlight w:val="none"/>
        </w:rPr>
        <w:t>条〔争议解决〕约定处理。</w:t>
      </w:r>
    </w:p>
    <w:p w14:paraId="145676A7">
      <w:pPr>
        <w:keepNext/>
        <w:keepLines/>
        <w:spacing w:line="360" w:lineRule="auto"/>
        <w:outlineLvl w:val="3"/>
        <w:rPr>
          <w:rFonts w:hAnsi="宋体" w:cs="Times New Roman"/>
          <w:b/>
          <w:bCs/>
          <w:color w:val="auto"/>
          <w:kern w:val="2"/>
          <w:szCs w:val="28"/>
          <w:highlight w:val="none"/>
        </w:rPr>
      </w:pPr>
      <w:bookmarkStart w:id="648" w:name="_Toc351203623"/>
      <w:bookmarkStart w:id="649" w:name="_Toc532839990"/>
      <w:bookmarkStart w:id="650" w:name="_Toc296503143"/>
      <w:bookmarkStart w:id="651" w:name="_Toc337558838"/>
      <w:bookmarkStart w:id="652" w:name="_Toc296346644"/>
      <w:r>
        <w:rPr>
          <w:rFonts w:hAnsi="宋体" w:cs="Times New Roman"/>
          <w:b/>
          <w:bCs/>
          <w:color w:val="auto"/>
          <w:kern w:val="2"/>
          <w:szCs w:val="28"/>
          <w:highlight w:val="none"/>
        </w:rPr>
        <w:t>19.3</w:t>
      </w:r>
      <w:r>
        <w:rPr>
          <w:rFonts w:hint="eastAsia" w:hAnsi="宋体" w:cs="Times New Roman"/>
          <w:b/>
          <w:bCs/>
          <w:color w:val="auto"/>
          <w:kern w:val="2"/>
          <w:szCs w:val="28"/>
          <w:highlight w:val="none"/>
        </w:rPr>
        <w:t>发包人的索赔</w:t>
      </w:r>
      <w:bookmarkEnd w:id="648"/>
      <w:bookmarkEnd w:id="649"/>
    </w:p>
    <w:bookmarkEnd w:id="650"/>
    <w:bookmarkEnd w:id="651"/>
    <w:bookmarkEnd w:id="652"/>
    <w:p w14:paraId="5DD860D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根据合同约定，发包人认为有权得到赔付金额和（或）延长缺陷责任期的，监理人应向承包人发出通知并附有详细的证明。</w:t>
      </w:r>
    </w:p>
    <w:p w14:paraId="6000A62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发包人应在知道或应当知道索赔事件发生后</w:t>
      </w:r>
      <w:r>
        <w:rPr>
          <w:rFonts w:hAnsi="宋体" w:cs="Times New Roman"/>
          <w:color w:val="auto"/>
          <w:highlight w:val="none"/>
        </w:rPr>
        <w:t>28</w:t>
      </w:r>
      <w:r>
        <w:rPr>
          <w:rFonts w:hint="eastAsia" w:hAnsi="宋体" w:cs="Times New Roman"/>
          <w:color w:val="auto"/>
          <w:highlight w:val="none"/>
        </w:rPr>
        <w:t>天内通过监理人向承包人提出索赔意向通知书，发包人未在前述</w:t>
      </w:r>
      <w:r>
        <w:rPr>
          <w:rFonts w:hAnsi="宋体" w:cs="Times New Roman"/>
          <w:color w:val="auto"/>
          <w:highlight w:val="none"/>
        </w:rPr>
        <w:t>28</w:t>
      </w:r>
      <w:r>
        <w:rPr>
          <w:rFonts w:hint="eastAsia" w:hAnsi="宋体" w:cs="Times New Roman"/>
          <w:color w:val="auto"/>
          <w:highlight w:val="none"/>
        </w:rPr>
        <w:t>天内发出索赔意向通知书的，丧失要求赔付金额和（或）延长缺陷责任期的权利。发包人应在发出索赔意向通知书后</w:t>
      </w:r>
      <w:r>
        <w:rPr>
          <w:rFonts w:hAnsi="宋体" w:cs="Times New Roman"/>
          <w:color w:val="auto"/>
          <w:highlight w:val="none"/>
        </w:rPr>
        <w:t>28</w:t>
      </w:r>
      <w:r>
        <w:rPr>
          <w:rFonts w:hint="eastAsia" w:hAnsi="宋体" w:cs="Times New Roman"/>
          <w:color w:val="auto"/>
          <w:highlight w:val="none"/>
        </w:rPr>
        <w:t>天内，通过监理人向承包人正式递交索赔报告。</w:t>
      </w:r>
    </w:p>
    <w:p w14:paraId="3884EF45">
      <w:pPr>
        <w:keepNext/>
        <w:keepLines/>
        <w:spacing w:line="360" w:lineRule="auto"/>
        <w:outlineLvl w:val="3"/>
        <w:rPr>
          <w:rFonts w:hAnsi="宋体" w:cs="Times New Roman"/>
          <w:b/>
          <w:bCs/>
          <w:color w:val="auto"/>
          <w:kern w:val="2"/>
          <w:szCs w:val="28"/>
          <w:highlight w:val="none"/>
        </w:rPr>
      </w:pPr>
      <w:bookmarkStart w:id="653" w:name="_Toc351203624"/>
      <w:bookmarkStart w:id="654" w:name="_Toc532839991"/>
      <w:bookmarkStart w:id="655" w:name="_Toc337558839"/>
      <w:bookmarkStart w:id="656" w:name="_Toc296346645"/>
      <w:bookmarkStart w:id="657" w:name="_Toc296503144"/>
      <w:r>
        <w:rPr>
          <w:rFonts w:hAnsi="宋体" w:cs="Times New Roman"/>
          <w:b/>
          <w:bCs/>
          <w:color w:val="auto"/>
          <w:kern w:val="2"/>
          <w:szCs w:val="28"/>
          <w:highlight w:val="none"/>
        </w:rPr>
        <w:t xml:space="preserve">19.4 </w:t>
      </w:r>
      <w:r>
        <w:rPr>
          <w:rFonts w:hint="eastAsia" w:hAnsi="宋体" w:cs="Times New Roman"/>
          <w:b/>
          <w:bCs/>
          <w:color w:val="auto"/>
          <w:kern w:val="2"/>
          <w:szCs w:val="28"/>
          <w:highlight w:val="none"/>
        </w:rPr>
        <w:t>对发包人索赔的处理</w:t>
      </w:r>
      <w:bookmarkEnd w:id="653"/>
      <w:bookmarkEnd w:id="654"/>
    </w:p>
    <w:bookmarkEnd w:id="655"/>
    <w:bookmarkEnd w:id="656"/>
    <w:bookmarkEnd w:id="657"/>
    <w:p w14:paraId="20B2C26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对发包人索赔的处理如下：</w:t>
      </w:r>
    </w:p>
    <w:p w14:paraId="51A2EF2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）承包人收到发包人提交的索赔报告后，应及时审查索赔报告的内容、查验发包人证明材料；</w:t>
      </w:r>
    </w:p>
    <w:p w14:paraId="0E81F7EE">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）承包人应在收到索赔报告或有关索赔的进一步证明材料后</w:t>
      </w:r>
      <w:r>
        <w:rPr>
          <w:rFonts w:hAnsi="宋体" w:cs="Times New Roman"/>
          <w:color w:val="auto"/>
          <w:highlight w:val="none"/>
        </w:rPr>
        <w:t>28</w:t>
      </w:r>
      <w:r>
        <w:rPr>
          <w:rFonts w:hint="eastAsia" w:hAnsi="宋体" w:cs="Times New Roman"/>
          <w:color w:val="auto"/>
          <w:highlight w:val="none"/>
        </w:rPr>
        <w:t>天内，将索赔处理结果答复发包人。如果承包人未在上述期限内作出答复的，则视为对发包人索赔要求的认可；</w:t>
      </w:r>
    </w:p>
    <w:p w14:paraId="5980923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）承包人接受索赔处理结果的，发包人可从应支付给承包人的合同价款中扣除赔付的金额或延长缺陷责任期；发包人不接受索赔处理结果的，按第</w:t>
      </w:r>
      <w:r>
        <w:rPr>
          <w:rFonts w:hAnsi="宋体" w:cs="Times New Roman"/>
          <w:color w:val="auto"/>
          <w:highlight w:val="none"/>
        </w:rPr>
        <w:t>20</w:t>
      </w:r>
      <w:r>
        <w:rPr>
          <w:rFonts w:hint="eastAsia" w:hAnsi="宋体" w:cs="Times New Roman"/>
          <w:color w:val="auto"/>
          <w:highlight w:val="none"/>
        </w:rPr>
        <w:t>条〔争议解决〕约定处理。</w:t>
      </w:r>
    </w:p>
    <w:p w14:paraId="5CF50B06">
      <w:pPr>
        <w:keepNext/>
        <w:keepLines/>
        <w:spacing w:line="360" w:lineRule="auto"/>
        <w:outlineLvl w:val="3"/>
        <w:rPr>
          <w:rFonts w:hAnsi="宋体" w:cs="Times New Roman"/>
          <w:b/>
          <w:bCs/>
          <w:color w:val="auto"/>
          <w:kern w:val="2"/>
          <w:szCs w:val="28"/>
          <w:highlight w:val="none"/>
        </w:rPr>
      </w:pPr>
      <w:bookmarkStart w:id="658" w:name="_Toc532839992"/>
      <w:bookmarkStart w:id="659" w:name="_Toc351203625"/>
      <w:r>
        <w:rPr>
          <w:rFonts w:hAnsi="宋体" w:cs="Times New Roman"/>
          <w:b/>
          <w:bCs/>
          <w:color w:val="auto"/>
          <w:kern w:val="2"/>
          <w:szCs w:val="28"/>
          <w:highlight w:val="none"/>
        </w:rPr>
        <w:t xml:space="preserve">19.5 </w:t>
      </w:r>
      <w:r>
        <w:rPr>
          <w:rFonts w:hint="eastAsia" w:hAnsi="宋体" w:cs="Times New Roman"/>
          <w:b/>
          <w:bCs/>
          <w:color w:val="auto"/>
          <w:kern w:val="2"/>
          <w:szCs w:val="28"/>
          <w:highlight w:val="none"/>
        </w:rPr>
        <w:t>提出索赔的期限</w:t>
      </w:r>
      <w:bookmarkEnd w:id="658"/>
      <w:bookmarkEnd w:id="659"/>
    </w:p>
    <w:p w14:paraId="1A05A84C">
      <w:pPr>
        <w:spacing w:line="360" w:lineRule="auto"/>
        <w:ind w:firstLine="420" w:firstLineChars="200"/>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）承包人按第</w:t>
      </w:r>
      <w:r>
        <w:rPr>
          <w:rFonts w:hAnsi="宋体" w:cs="Times New Roman"/>
          <w:color w:val="auto"/>
          <w:highlight w:val="none"/>
        </w:rPr>
        <w:t>14.2</w:t>
      </w:r>
      <w:r>
        <w:rPr>
          <w:rFonts w:hint="eastAsia" w:hAnsi="宋体" w:cs="Times New Roman"/>
          <w:color w:val="auto"/>
          <w:highlight w:val="none"/>
        </w:rPr>
        <w:t>款〔竣工结算审核〕约定接收竣工付款证书后，应被视为已无权再提出在工程接收证书颁发前所发生的任何索赔。</w:t>
      </w:r>
    </w:p>
    <w:p w14:paraId="64AAF45A">
      <w:pPr>
        <w:spacing w:line="360" w:lineRule="auto"/>
        <w:ind w:firstLine="420" w:firstLineChars="200"/>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）承包人按第</w:t>
      </w:r>
      <w:r>
        <w:rPr>
          <w:rFonts w:hAnsi="宋体" w:cs="Times New Roman"/>
          <w:color w:val="auto"/>
          <w:highlight w:val="none"/>
        </w:rPr>
        <w:t>14.4</w:t>
      </w:r>
      <w:r>
        <w:rPr>
          <w:rFonts w:hint="eastAsia" w:hAnsi="宋体" w:cs="Times New Roman"/>
          <w:color w:val="auto"/>
          <w:highlight w:val="none"/>
        </w:rPr>
        <w:t>款〔最终结清〕提交的最终结清申请单中，只限于提出工程接收证书颁发后发生的索赔。提出索赔的期限自接受最终结清证书时终止。</w:t>
      </w:r>
    </w:p>
    <w:p w14:paraId="493A1D24">
      <w:pPr>
        <w:keepNext/>
        <w:keepLines/>
        <w:spacing w:line="360" w:lineRule="auto"/>
        <w:outlineLvl w:val="2"/>
        <w:rPr>
          <w:rFonts w:hAnsi="宋体" w:cs="Times New Roman"/>
          <w:b/>
          <w:bCs/>
          <w:color w:val="auto"/>
          <w:kern w:val="2"/>
          <w:szCs w:val="32"/>
          <w:highlight w:val="none"/>
        </w:rPr>
      </w:pPr>
      <w:bookmarkStart w:id="660" w:name="_Toc527130437"/>
      <w:bookmarkStart w:id="661" w:name="_Toc532839993"/>
      <w:bookmarkStart w:id="662" w:name="_Toc512691391"/>
      <w:bookmarkStart w:id="663" w:name="_Toc351203626"/>
      <w:r>
        <w:rPr>
          <w:rFonts w:hAnsi="宋体" w:cs="Times New Roman"/>
          <w:b/>
          <w:bCs/>
          <w:color w:val="auto"/>
          <w:kern w:val="2"/>
          <w:szCs w:val="32"/>
          <w:highlight w:val="none"/>
        </w:rPr>
        <w:t>20</w:t>
      </w:r>
      <w:bookmarkStart w:id="664" w:name="_Toc337558840"/>
      <w:bookmarkStart w:id="665" w:name="_Toc296503146"/>
      <w:bookmarkStart w:id="666" w:name="_Toc296346647"/>
      <w:r>
        <w:rPr>
          <w:rFonts w:hAnsi="宋体" w:cs="Times New Roman"/>
          <w:b/>
          <w:bCs/>
          <w:color w:val="auto"/>
          <w:kern w:val="2"/>
          <w:szCs w:val="32"/>
          <w:highlight w:val="none"/>
        </w:rPr>
        <w:t xml:space="preserve">. </w:t>
      </w:r>
      <w:r>
        <w:rPr>
          <w:rFonts w:hint="eastAsia" w:hAnsi="宋体"/>
          <w:b/>
          <w:bCs/>
          <w:color w:val="auto"/>
          <w:kern w:val="2"/>
          <w:szCs w:val="32"/>
          <w:highlight w:val="none"/>
        </w:rPr>
        <w:t>争议解决</w:t>
      </w:r>
      <w:bookmarkEnd w:id="660"/>
      <w:bookmarkEnd w:id="661"/>
      <w:bookmarkEnd w:id="662"/>
      <w:bookmarkEnd w:id="663"/>
    </w:p>
    <w:bookmarkEnd w:id="664"/>
    <w:bookmarkEnd w:id="665"/>
    <w:bookmarkEnd w:id="666"/>
    <w:p w14:paraId="0CA23530">
      <w:pPr>
        <w:keepNext/>
        <w:keepLines/>
        <w:spacing w:line="360" w:lineRule="auto"/>
        <w:outlineLvl w:val="3"/>
        <w:rPr>
          <w:rFonts w:hAnsi="宋体" w:cs="Times New Roman"/>
          <w:b/>
          <w:bCs/>
          <w:color w:val="auto"/>
          <w:kern w:val="2"/>
          <w:szCs w:val="28"/>
          <w:highlight w:val="none"/>
        </w:rPr>
      </w:pPr>
      <w:bookmarkStart w:id="667" w:name="_Toc532839994"/>
      <w:bookmarkStart w:id="668" w:name="_Toc351203627"/>
      <w:bookmarkStart w:id="669" w:name="_Toc296346648"/>
      <w:bookmarkStart w:id="670" w:name="_Toc337558841"/>
      <w:bookmarkStart w:id="671" w:name="_Toc296503147"/>
      <w:r>
        <w:rPr>
          <w:rFonts w:hAnsi="宋体" w:cs="Times New Roman"/>
          <w:b/>
          <w:bCs/>
          <w:color w:val="auto"/>
          <w:kern w:val="2"/>
          <w:szCs w:val="28"/>
          <w:highlight w:val="none"/>
        </w:rPr>
        <w:t>20.1</w:t>
      </w:r>
      <w:r>
        <w:rPr>
          <w:rFonts w:hint="eastAsia" w:hAnsi="宋体"/>
          <w:b/>
          <w:bCs/>
          <w:color w:val="auto"/>
          <w:kern w:val="2"/>
          <w:szCs w:val="28"/>
          <w:highlight w:val="none"/>
        </w:rPr>
        <w:t>和解</w:t>
      </w:r>
      <w:bookmarkEnd w:id="667"/>
      <w:bookmarkEnd w:id="668"/>
    </w:p>
    <w:bookmarkEnd w:id="669"/>
    <w:bookmarkEnd w:id="670"/>
    <w:bookmarkEnd w:id="671"/>
    <w:p w14:paraId="4F4BD06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合同当事人可以就争议自行和解，自行和解达成协议的经双方签字并盖章后作为合同补充文件，双方均应遵照执行。</w:t>
      </w:r>
    </w:p>
    <w:p w14:paraId="596E5348">
      <w:pPr>
        <w:keepNext/>
        <w:keepLines/>
        <w:spacing w:line="360" w:lineRule="auto"/>
        <w:outlineLvl w:val="3"/>
        <w:rPr>
          <w:rFonts w:hAnsi="宋体" w:cs="Times New Roman"/>
          <w:b/>
          <w:bCs/>
          <w:color w:val="auto"/>
          <w:kern w:val="2"/>
          <w:szCs w:val="28"/>
          <w:highlight w:val="none"/>
        </w:rPr>
      </w:pPr>
      <w:bookmarkStart w:id="672" w:name="_Toc351203628"/>
      <w:bookmarkStart w:id="673" w:name="_Toc532839995"/>
      <w:r>
        <w:rPr>
          <w:rFonts w:hAnsi="宋体" w:cs="Times New Roman"/>
          <w:b/>
          <w:bCs/>
          <w:color w:val="auto"/>
          <w:kern w:val="2"/>
          <w:szCs w:val="28"/>
          <w:highlight w:val="none"/>
        </w:rPr>
        <w:t>20</w:t>
      </w:r>
      <w:bookmarkStart w:id="674" w:name="_Toc296503148"/>
      <w:bookmarkStart w:id="675" w:name="_Toc337558842"/>
      <w:bookmarkStart w:id="676" w:name="_Toc296346649"/>
      <w:r>
        <w:rPr>
          <w:rFonts w:hAnsi="宋体" w:cs="Times New Roman"/>
          <w:b/>
          <w:bCs/>
          <w:color w:val="auto"/>
          <w:kern w:val="2"/>
          <w:szCs w:val="28"/>
          <w:highlight w:val="none"/>
        </w:rPr>
        <w:t>.2</w:t>
      </w:r>
      <w:r>
        <w:rPr>
          <w:rFonts w:hint="eastAsia" w:hAnsi="宋体"/>
          <w:b/>
          <w:bCs/>
          <w:color w:val="auto"/>
          <w:kern w:val="2"/>
          <w:szCs w:val="28"/>
          <w:highlight w:val="none"/>
        </w:rPr>
        <w:t>调解</w:t>
      </w:r>
      <w:bookmarkEnd w:id="672"/>
      <w:bookmarkEnd w:id="673"/>
    </w:p>
    <w:bookmarkEnd w:id="674"/>
    <w:bookmarkEnd w:id="675"/>
    <w:bookmarkEnd w:id="676"/>
    <w:p w14:paraId="295352C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合同当事人可以就争议请求建设行政主管部门、行业协会或其他第三方进行调解，调解达成协议的，经双方签字并盖章后作为合同补充文件，双方均应遵照执行。</w:t>
      </w:r>
    </w:p>
    <w:p w14:paraId="5CD4224E">
      <w:pPr>
        <w:keepNext/>
        <w:keepLines/>
        <w:spacing w:line="360" w:lineRule="auto"/>
        <w:outlineLvl w:val="3"/>
        <w:rPr>
          <w:rFonts w:hAnsi="宋体" w:cs="Times New Roman"/>
          <w:b/>
          <w:bCs/>
          <w:color w:val="auto"/>
          <w:kern w:val="2"/>
          <w:szCs w:val="28"/>
          <w:highlight w:val="none"/>
        </w:rPr>
      </w:pPr>
      <w:bookmarkStart w:id="677" w:name="_Toc532839996"/>
      <w:bookmarkStart w:id="678" w:name="_Toc351203629"/>
      <w:bookmarkStart w:id="679" w:name="_Toc296346650"/>
      <w:bookmarkStart w:id="680" w:name="_Toc296503149"/>
      <w:bookmarkStart w:id="681" w:name="_Toc337558843"/>
      <w:r>
        <w:rPr>
          <w:rFonts w:hAnsi="宋体" w:cs="Times New Roman"/>
          <w:b/>
          <w:bCs/>
          <w:color w:val="auto"/>
          <w:kern w:val="2"/>
          <w:szCs w:val="28"/>
          <w:highlight w:val="none"/>
        </w:rPr>
        <w:t>20.3</w:t>
      </w:r>
      <w:r>
        <w:rPr>
          <w:rFonts w:hint="eastAsia" w:hAnsi="宋体"/>
          <w:b/>
          <w:bCs/>
          <w:color w:val="auto"/>
          <w:kern w:val="2"/>
          <w:szCs w:val="28"/>
          <w:highlight w:val="none"/>
        </w:rPr>
        <w:t>争议评审</w:t>
      </w:r>
      <w:bookmarkEnd w:id="677"/>
      <w:bookmarkEnd w:id="678"/>
    </w:p>
    <w:bookmarkEnd w:id="679"/>
    <w:bookmarkEnd w:id="680"/>
    <w:bookmarkEnd w:id="681"/>
    <w:p w14:paraId="59F0585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合同当事人在专用合同条款中约定采取争议评审方式解决争议以及评审规则，并按下列约定执行：</w:t>
      </w:r>
      <w:r>
        <w:rPr>
          <w:rFonts w:hAnsi="宋体" w:cs="Times New Roman"/>
          <w:color w:val="auto"/>
          <w:highlight w:val="none"/>
        </w:rPr>
        <w:t xml:space="preserve"> </w:t>
      </w:r>
    </w:p>
    <w:p w14:paraId="148B5E00">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20.3.1 </w:t>
      </w:r>
      <w:r>
        <w:rPr>
          <w:rFonts w:hint="eastAsia" w:hAnsi="宋体" w:cs="Times New Roman"/>
          <w:color w:val="auto"/>
          <w:highlight w:val="none"/>
        </w:rPr>
        <w:t>争议评审小组的确定</w:t>
      </w:r>
    </w:p>
    <w:p w14:paraId="102AD0F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合同当事人可以共同选择一名或三名争议评审员，组成争议评审小组。除专用合同条款另有约定外，合同当事人应当自合同签订后</w:t>
      </w:r>
      <w:r>
        <w:rPr>
          <w:rFonts w:hAnsi="宋体" w:cs="Times New Roman"/>
          <w:color w:val="auto"/>
          <w:highlight w:val="none"/>
        </w:rPr>
        <w:t>28</w:t>
      </w:r>
      <w:r>
        <w:rPr>
          <w:rFonts w:hint="eastAsia" w:hAnsi="宋体" w:cs="Times New Roman"/>
          <w:color w:val="auto"/>
          <w:highlight w:val="none"/>
        </w:rPr>
        <w:t>天内，或者争议发生后</w:t>
      </w:r>
      <w:r>
        <w:rPr>
          <w:rFonts w:hAnsi="宋体" w:cs="Times New Roman"/>
          <w:color w:val="auto"/>
          <w:highlight w:val="none"/>
        </w:rPr>
        <w:t>14</w:t>
      </w:r>
      <w:r>
        <w:rPr>
          <w:rFonts w:hint="eastAsia" w:hAnsi="宋体" w:cs="Times New Roman"/>
          <w:color w:val="auto"/>
          <w:highlight w:val="none"/>
        </w:rPr>
        <w:t>天内，选定争议评审员。</w:t>
      </w:r>
    </w:p>
    <w:p w14:paraId="4DD6C59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r>
        <w:rPr>
          <w:rFonts w:hAnsi="宋体" w:cs="Times New Roman"/>
          <w:color w:val="auto"/>
          <w:highlight w:val="none"/>
        </w:rPr>
        <w:t xml:space="preserve"> </w:t>
      </w:r>
    </w:p>
    <w:p w14:paraId="0BB14E3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除专用合同条款另有约定外，评审员报酬由发包人和承包人各承担一半。</w:t>
      </w:r>
    </w:p>
    <w:p w14:paraId="38F5B650">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20.3.2 </w:t>
      </w:r>
      <w:r>
        <w:rPr>
          <w:rFonts w:hint="eastAsia" w:hAnsi="宋体" w:cs="Times New Roman"/>
          <w:color w:val="auto"/>
          <w:highlight w:val="none"/>
        </w:rPr>
        <w:t>争议评审小组的决定</w:t>
      </w:r>
    </w:p>
    <w:p w14:paraId="5EAA0A0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rFonts w:hAnsi="宋体" w:cs="Times New Roman"/>
          <w:color w:val="auto"/>
          <w:highlight w:val="none"/>
        </w:rPr>
        <w:t>14</w:t>
      </w:r>
      <w:r>
        <w:rPr>
          <w:rFonts w:hint="eastAsia" w:hAnsi="宋体" w:cs="Times New Roman"/>
          <w:color w:val="auto"/>
          <w:highlight w:val="none"/>
        </w:rPr>
        <w:t>天内作出书面决定，并说明理由。合同当事人可以在专用合同条款中对本项事项另行约定。</w:t>
      </w:r>
    </w:p>
    <w:p w14:paraId="6B8BEE83">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20.3.3 </w:t>
      </w:r>
      <w:r>
        <w:rPr>
          <w:rFonts w:hint="eastAsia" w:hAnsi="宋体" w:cs="Times New Roman"/>
          <w:color w:val="auto"/>
          <w:highlight w:val="none"/>
        </w:rPr>
        <w:t>争议评审小组决定的效力</w:t>
      </w:r>
    </w:p>
    <w:p w14:paraId="03E8B3F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争议评审小组作出的书面决定经合同当事人签字确认后，对双方具有约束力，双方应遵照执行。</w:t>
      </w:r>
    </w:p>
    <w:p w14:paraId="3E961A0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任何一方当事人不接受争议评审小组决定或不履行争议评审小组决定的，双方可选择采用其他争议解决方式。</w:t>
      </w:r>
    </w:p>
    <w:p w14:paraId="1D5BD639">
      <w:pPr>
        <w:keepNext/>
        <w:keepLines/>
        <w:spacing w:line="360" w:lineRule="auto"/>
        <w:outlineLvl w:val="3"/>
        <w:rPr>
          <w:rFonts w:hAnsi="宋体" w:cs="Times New Roman"/>
          <w:b/>
          <w:bCs/>
          <w:color w:val="auto"/>
          <w:kern w:val="2"/>
          <w:szCs w:val="28"/>
          <w:highlight w:val="none"/>
        </w:rPr>
      </w:pPr>
      <w:bookmarkStart w:id="682" w:name="_Toc351203630"/>
      <w:bookmarkStart w:id="683" w:name="_Toc532839997"/>
      <w:bookmarkStart w:id="684" w:name="_Toc296503150"/>
      <w:bookmarkStart w:id="685" w:name="_Toc296346651"/>
      <w:bookmarkStart w:id="686" w:name="_Toc337558844"/>
      <w:r>
        <w:rPr>
          <w:rFonts w:hAnsi="宋体" w:cs="Times New Roman"/>
          <w:b/>
          <w:bCs/>
          <w:color w:val="auto"/>
          <w:kern w:val="2"/>
          <w:szCs w:val="28"/>
          <w:highlight w:val="none"/>
        </w:rPr>
        <w:t>20.4</w:t>
      </w:r>
      <w:r>
        <w:rPr>
          <w:rFonts w:hint="eastAsia" w:hAnsi="宋体"/>
          <w:b/>
          <w:bCs/>
          <w:color w:val="auto"/>
          <w:kern w:val="2"/>
          <w:szCs w:val="28"/>
          <w:highlight w:val="none"/>
        </w:rPr>
        <w:t>仲裁或诉讼</w:t>
      </w:r>
      <w:bookmarkEnd w:id="682"/>
      <w:bookmarkEnd w:id="683"/>
    </w:p>
    <w:bookmarkEnd w:id="684"/>
    <w:bookmarkEnd w:id="685"/>
    <w:bookmarkEnd w:id="686"/>
    <w:p w14:paraId="5A01F12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因合同及合同有关事项产生的争议，合同当事人可以在专用合同条款中约定以下一种方式解决争议：</w:t>
      </w:r>
    </w:p>
    <w:p w14:paraId="6634BECE">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）向约定的仲裁委员会申请仲裁；</w:t>
      </w:r>
    </w:p>
    <w:p w14:paraId="0FF0F809">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）向有管辖权的人民法院起诉。</w:t>
      </w:r>
    </w:p>
    <w:p w14:paraId="38B771FD">
      <w:pPr>
        <w:keepNext/>
        <w:keepLines/>
        <w:spacing w:line="360" w:lineRule="auto"/>
        <w:outlineLvl w:val="3"/>
        <w:rPr>
          <w:rFonts w:hAnsi="宋体" w:cs="Times New Roman"/>
          <w:b/>
          <w:bCs/>
          <w:color w:val="auto"/>
          <w:kern w:val="2"/>
          <w:szCs w:val="28"/>
          <w:highlight w:val="none"/>
        </w:rPr>
      </w:pPr>
      <w:bookmarkStart w:id="687" w:name="_Toc532839998"/>
      <w:bookmarkStart w:id="688" w:name="_Toc351203631"/>
      <w:bookmarkStart w:id="689" w:name="_Toc296346653"/>
      <w:bookmarkStart w:id="690" w:name="_Toc296503152"/>
      <w:bookmarkStart w:id="691" w:name="_Toc337558845"/>
      <w:r>
        <w:rPr>
          <w:rFonts w:hAnsi="宋体" w:cs="Times New Roman"/>
          <w:b/>
          <w:bCs/>
          <w:color w:val="auto"/>
          <w:kern w:val="2"/>
          <w:szCs w:val="28"/>
          <w:highlight w:val="none"/>
        </w:rPr>
        <w:t>20.5</w:t>
      </w:r>
      <w:r>
        <w:rPr>
          <w:rFonts w:hint="eastAsia" w:hAnsi="宋体" w:cs="Times New Roman"/>
          <w:b/>
          <w:bCs/>
          <w:color w:val="auto"/>
          <w:kern w:val="2"/>
          <w:szCs w:val="28"/>
          <w:highlight w:val="none"/>
        </w:rPr>
        <w:t>争议解决条款效力</w:t>
      </w:r>
      <w:bookmarkEnd w:id="687"/>
      <w:bookmarkEnd w:id="688"/>
    </w:p>
    <w:bookmarkEnd w:id="689"/>
    <w:bookmarkEnd w:id="690"/>
    <w:bookmarkEnd w:id="691"/>
    <w:p w14:paraId="67CA3A3A">
      <w:pPr>
        <w:spacing w:line="360" w:lineRule="auto"/>
        <w:ind w:firstLine="420" w:firstLineChars="200"/>
        <w:rPr>
          <w:rFonts w:hAnsi="宋体" w:cs="Times New Roman"/>
          <w:color w:val="auto"/>
          <w:kern w:val="2"/>
          <w:highlight w:val="none"/>
        </w:rPr>
      </w:pPr>
      <w:r>
        <w:rPr>
          <w:rFonts w:hint="eastAsia" w:hAnsi="宋体" w:cs="Times New Roman"/>
          <w:color w:val="auto"/>
          <w:highlight w:val="none"/>
        </w:rPr>
        <w:t>合同有关争议解决的条款独立存在，合同的变更、解除、终止、无效或者被撤销均不影响其效力。</w:t>
      </w:r>
    </w:p>
    <w:p w14:paraId="383A070D">
      <w:pPr>
        <w:rPr>
          <w:rFonts w:hAnsi="宋体" w:cs="Times New Roman"/>
          <w:color w:val="auto"/>
          <w:kern w:val="2"/>
          <w:szCs w:val="24"/>
          <w:highlight w:val="none"/>
        </w:rPr>
      </w:pPr>
    </w:p>
    <w:p w14:paraId="4E3D68FE">
      <w:pPr>
        <w:rPr>
          <w:rFonts w:hAnsi="宋体" w:cs="Times New Roman"/>
          <w:color w:val="auto"/>
          <w:kern w:val="2"/>
          <w:szCs w:val="24"/>
          <w:highlight w:val="none"/>
        </w:rPr>
      </w:pPr>
    </w:p>
    <w:p w14:paraId="38869A75">
      <w:pPr>
        <w:spacing w:line="360" w:lineRule="auto"/>
        <w:jc w:val="center"/>
        <w:outlineLvl w:val="1"/>
        <w:rPr>
          <w:rFonts w:hAnsi="宋体" w:cs="Times New Roman"/>
          <w:b/>
          <w:bCs/>
          <w:color w:val="auto"/>
          <w:kern w:val="44"/>
          <w:sz w:val="30"/>
          <w:szCs w:val="30"/>
          <w:highlight w:val="none"/>
        </w:rPr>
      </w:pPr>
      <w:bookmarkStart w:id="692" w:name="_Toc512691392"/>
      <w:r>
        <w:rPr>
          <w:rFonts w:hAnsi="宋体" w:cs="Times New Roman"/>
          <w:b/>
          <w:bCs/>
          <w:color w:val="auto"/>
          <w:kern w:val="44"/>
          <w:sz w:val="30"/>
          <w:szCs w:val="30"/>
          <w:highlight w:val="none"/>
        </w:rPr>
        <w:br w:type="page"/>
      </w:r>
      <w:bookmarkStart w:id="693" w:name="_Toc53129786"/>
      <w:bookmarkStart w:id="694" w:name="_Toc37834291"/>
      <w:bookmarkStart w:id="695" w:name="_Toc532839999"/>
      <w:bookmarkStart w:id="696" w:name="_Toc15973715"/>
      <w:bookmarkStart w:id="697" w:name="_Toc61961176"/>
      <w:r>
        <w:rPr>
          <w:rFonts w:hint="eastAsia" w:hAnsi="宋体" w:cs="Times New Roman"/>
          <w:b/>
          <w:bCs/>
          <w:color w:val="auto"/>
          <w:kern w:val="44"/>
          <w:sz w:val="30"/>
          <w:szCs w:val="30"/>
          <w:highlight w:val="none"/>
        </w:rPr>
        <w:t>第三部分</w:t>
      </w:r>
      <w:r>
        <w:rPr>
          <w:rFonts w:hAnsi="宋体" w:cs="Times New Roman"/>
          <w:b/>
          <w:bCs/>
          <w:color w:val="auto"/>
          <w:kern w:val="44"/>
          <w:sz w:val="30"/>
          <w:szCs w:val="30"/>
          <w:highlight w:val="none"/>
        </w:rPr>
        <w:t xml:space="preserve"> </w:t>
      </w:r>
      <w:r>
        <w:rPr>
          <w:rFonts w:hint="eastAsia" w:hAnsi="宋体" w:cs="Times New Roman"/>
          <w:b/>
          <w:bCs/>
          <w:color w:val="auto"/>
          <w:kern w:val="44"/>
          <w:sz w:val="30"/>
          <w:szCs w:val="30"/>
          <w:highlight w:val="none"/>
        </w:rPr>
        <w:t>专用合同条款</w:t>
      </w:r>
      <w:bookmarkEnd w:id="692"/>
      <w:bookmarkEnd w:id="693"/>
      <w:bookmarkEnd w:id="694"/>
      <w:bookmarkEnd w:id="695"/>
      <w:bookmarkEnd w:id="696"/>
      <w:bookmarkEnd w:id="697"/>
      <w:r>
        <w:rPr>
          <w:rFonts w:hAnsi="宋体" w:cs="Times New Roman"/>
          <w:b/>
          <w:bCs/>
          <w:color w:val="auto"/>
          <w:kern w:val="44"/>
          <w:sz w:val="30"/>
          <w:szCs w:val="30"/>
          <w:highlight w:val="none"/>
        </w:rPr>
        <w:t xml:space="preserve"> </w:t>
      </w:r>
    </w:p>
    <w:p w14:paraId="2FDDE3CE">
      <w:pPr>
        <w:keepNext/>
        <w:keepLines/>
        <w:spacing w:before="260" w:after="260" w:line="416" w:lineRule="auto"/>
        <w:outlineLvl w:val="2"/>
        <w:rPr>
          <w:rFonts w:ascii="Calibri" w:hAnsi="Calibri" w:cs="Times New Roman"/>
          <w:b/>
          <w:bCs/>
          <w:color w:val="auto"/>
          <w:kern w:val="2"/>
          <w:sz w:val="32"/>
          <w:szCs w:val="32"/>
          <w:highlight w:val="none"/>
        </w:rPr>
      </w:pPr>
      <w:bookmarkStart w:id="698" w:name="_Toc494549191"/>
      <w:bookmarkStart w:id="699" w:name="_Toc407135195"/>
      <w:bookmarkStart w:id="700" w:name="_Toc512691394"/>
      <w:bookmarkStart w:id="701" w:name="_Toc532840000"/>
      <w:bookmarkStart w:id="702" w:name="_Toc373227693"/>
      <w:bookmarkStart w:id="703" w:name="_Toc508894056"/>
      <w:bookmarkStart w:id="704" w:name="_Toc530658018"/>
      <w:bookmarkStart w:id="705" w:name="_Toc485400587"/>
      <w:bookmarkStart w:id="706" w:name="_Toc389065259"/>
      <w:bookmarkStart w:id="707" w:name="_Toc373478340"/>
      <w:bookmarkStart w:id="708" w:name="_Toc493774755"/>
      <w:r>
        <w:rPr>
          <w:rFonts w:ascii="Calibri" w:hAnsi="Calibri" w:cs="Times New Roman"/>
          <w:b/>
          <w:bCs/>
          <w:color w:val="auto"/>
          <w:kern w:val="2"/>
          <w:sz w:val="32"/>
          <w:szCs w:val="32"/>
          <w:highlight w:val="none"/>
        </w:rPr>
        <w:t xml:space="preserve">1.1 </w:t>
      </w:r>
      <w:r>
        <w:rPr>
          <w:rFonts w:hint="eastAsia" w:ascii="Calibri" w:hAnsi="宋体" w:cs="Times New Roman"/>
          <w:b/>
          <w:bCs/>
          <w:color w:val="auto"/>
          <w:kern w:val="2"/>
          <w:sz w:val="32"/>
          <w:szCs w:val="32"/>
          <w:highlight w:val="none"/>
        </w:rPr>
        <w:t>词语定义</w:t>
      </w:r>
      <w:bookmarkEnd w:id="698"/>
      <w:bookmarkEnd w:id="699"/>
      <w:bookmarkEnd w:id="700"/>
      <w:bookmarkEnd w:id="701"/>
      <w:bookmarkEnd w:id="702"/>
      <w:bookmarkEnd w:id="703"/>
      <w:bookmarkEnd w:id="704"/>
      <w:bookmarkEnd w:id="705"/>
      <w:bookmarkEnd w:id="706"/>
      <w:bookmarkEnd w:id="707"/>
      <w:bookmarkEnd w:id="708"/>
    </w:p>
    <w:p w14:paraId="3AF2B4DD">
      <w:pPr>
        <w:spacing w:line="360" w:lineRule="auto"/>
        <w:ind w:firstLine="420" w:firstLineChars="200"/>
        <w:rPr>
          <w:rFonts w:ascii="Calibri" w:hAnsi="Calibri" w:cs="Times New Roman"/>
          <w:color w:val="auto"/>
          <w:highlight w:val="none"/>
        </w:rPr>
      </w:pPr>
      <w:r>
        <w:rPr>
          <w:rFonts w:ascii="Calibri" w:hAnsi="Calibri" w:cs="Times New Roman"/>
          <w:color w:val="auto"/>
          <w:highlight w:val="none"/>
        </w:rPr>
        <w:t xml:space="preserve">1.1.1 </w:t>
      </w:r>
      <w:r>
        <w:rPr>
          <w:rFonts w:hint="eastAsia" w:ascii="Calibri" w:hAnsi="宋体" w:cs="Times New Roman"/>
          <w:color w:val="auto"/>
          <w:highlight w:val="none"/>
        </w:rPr>
        <w:t>合同</w:t>
      </w:r>
    </w:p>
    <w:p w14:paraId="4D734B24">
      <w:pPr>
        <w:spacing w:line="360" w:lineRule="auto"/>
        <w:ind w:firstLine="420" w:firstLineChars="200"/>
        <w:rPr>
          <w:rFonts w:ascii="Calibri" w:hAnsi="Calibri" w:cs="Times New Roman"/>
          <w:color w:val="auto"/>
          <w:highlight w:val="none"/>
        </w:rPr>
      </w:pPr>
      <w:r>
        <w:rPr>
          <w:rFonts w:ascii="Calibri" w:hAnsi="Calibri" w:cs="Times New Roman"/>
          <w:color w:val="auto"/>
          <w:highlight w:val="none"/>
        </w:rPr>
        <w:t xml:space="preserve">1.1.1.10 </w:t>
      </w:r>
      <w:r>
        <w:rPr>
          <w:rFonts w:hint="eastAsia" w:ascii="Calibri" w:hAnsi="宋体" w:cs="Times New Roman"/>
          <w:color w:val="auto"/>
          <w:highlight w:val="none"/>
        </w:rPr>
        <w:t>其他合同文件包括：</w:t>
      </w:r>
      <w:r>
        <w:rPr>
          <w:rFonts w:hint="eastAsia" w:ascii="Calibri" w:hAnsi="宋体" w:cs="Times New Roman"/>
          <w:color w:val="auto"/>
          <w:kern w:val="2"/>
          <w:highlight w:val="none"/>
          <w:u w:val="single"/>
        </w:rPr>
        <w:t>合同履行中，发包人承包人有关工程的洽商、变更等书面协议或文件视为本合同的组成部分</w:t>
      </w:r>
      <w:r>
        <w:rPr>
          <w:rFonts w:hint="eastAsia" w:ascii="Calibri" w:hAnsi="宋体" w:cs="Times New Roman"/>
          <w:color w:val="auto"/>
          <w:kern w:val="2"/>
          <w:highlight w:val="none"/>
        </w:rPr>
        <w:t>。</w:t>
      </w:r>
    </w:p>
    <w:p w14:paraId="1BCC1FC7">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1.1.2 </w:t>
      </w:r>
      <w:r>
        <w:rPr>
          <w:rFonts w:hint="eastAsia" w:ascii="Calibri" w:hAnsi="宋体" w:cs="Times New Roman"/>
          <w:color w:val="auto"/>
          <w:kern w:val="2"/>
          <w:highlight w:val="none"/>
        </w:rPr>
        <w:t>合同当事人及其他相关方</w:t>
      </w:r>
    </w:p>
    <w:p w14:paraId="160C7933">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1.1.2.4 </w:t>
      </w:r>
      <w:r>
        <w:rPr>
          <w:rFonts w:hint="eastAsia" w:ascii="Calibri" w:hAnsi="宋体" w:cs="Times New Roman"/>
          <w:color w:val="auto"/>
          <w:kern w:val="2"/>
          <w:highlight w:val="none"/>
        </w:rPr>
        <w:t>监理人：</w:t>
      </w:r>
    </w:p>
    <w:p w14:paraId="0F0F7144">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名</w:t>
      </w:r>
      <w:r>
        <w:rPr>
          <w:rFonts w:ascii="Calibri" w:hAnsi="Calibri" w:cs="Times New Roman"/>
          <w:color w:val="auto"/>
          <w:kern w:val="2"/>
          <w:highlight w:val="none"/>
        </w:rPr>
        <w:t xml:space="preserve">    </w:t>
      </w:r>
      <w:r>
        <w:rPr>
          <w:rFonts w:hint="eastAsia" w:ascii="Calibri" w:hAnsi="宋体" w:cs="Times New Roman"/>
          <w:color w:val="auto"/>
          <w:kern w:val="2"/>
          <w:highlight w:val="none"/>
        </w:rPr>
        <w:t>称：</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4E2CF9DF">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资质类别和等级：</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366198A0">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联系电话：</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0EEBD8B0">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电子信箱：</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3B23435D">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通信地址：</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23903D2F">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1.1.2.5 </w:t>
      </w:r>
      <w:r>
        <w:rPr>
          <w:rFonts w:hint="eastAsia" w:ascii="Calibri" w:hAnsi="宋体" w:cs="Times New Roman"/>
          <w:color w:val="auto"/>
          <w:kern w:val="2"/>
          <w:highlight w:val="none"/>
        </w:rPr>
        <w:t>设计人：</w:t>
      </w:r>
    </w:p>
    <w:p w14:paraId="38F5F53F">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名</w:t>
      </w:r>
      <w:r>
        <w:rPr>
          <w:rFonts w:ascii="Calibri" w:hAnsi="Calibri" w:cs="Times New Roman"/>
          <w:color w:val="auto"/>
          <w:kern w:val="2"/>
          <w:highlight w:val="none"/>
        </w:rPr>
        <w:t xml:space="preserve">    </w:t>
      </w:r>
      <w:r>
        <w:rPr>
          <w:rFonts w:hint="eastAsia" w:ascii="Calibri" w:hAnsi="宋体" w:cs="Times New Roman"/>
          <w:color w:val="auto"/>
          <w:kern w:val="2"/>
          <w:highlight w:val="none"/>
        </w:rPr>
        <w:t>称：</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3DA3BFA7">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资质类别和等级：</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6F732A3D">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联系电话：</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77877967">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电子信箱：</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3BD0DFBC">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通信地址：</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2F671166">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1.1.3 </w:t>
      </w:r>
      <w:r>
        <w:rPr>
          <w:rFonts w:hint="eastAsia" w:ascii="Calibri" w:hAnsi="宋体" w:cs="Times New Roman"/>
          <w:color w:val="auto"/>
          <w:kern w:val="2"/>
          <w:highlight w:val="none"/>
        </w:rPr>
        <w:t>工程和设备</w:t>
      </w:r>
    </w:p>
    <w:p w14:paraId="3D1C6D62">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1.1.3.7 </w:t>
      </w:r>
      <w:r>
        <w:rPr>
          <w:rFonts w:hint="eastAsia" w:ascii="Calibri" w:hAnsi="宋体" w:cs="Times New Roman"/>
          <w:color w:val="auto"/>
          <w:kern w:val="2"/>
          <w:highlight w:val="none"/>
        </w:rPr>
        <w:t>作为施工现场组成部分的其他场所包括：</w:t>
      </w:r>
      <w:r>
        <w:rPr>
          <w:rFonts w:hint="eastAsia" w:ascii="Calibri" w:hAnsi="宋体" w:cs="Times New Roman"/>
          <w:color w:val="auto"/>
          <w:kern w:val="2"/>
          <w:highlight w:val="none"/>
          <w:u w:val="single"/>
        </w:rPr>
        <w:t>永久及临时占地、施工道路、工棚、施工办公生活区、加工场等</w:t>
      </w:r>
      <w:r>
        <w:rPr>
          <w:rFonts w:hint="eastAsia" w:ascii="Calibri" w:hAnsi="宋体" w:cs="Times New Roman"/>
          <w:color w:val="auto"/>
          <w:kern w:val="2"/>
          <w:highlight w:val="none"/>
        </w:rPr>
        <w:t>。</w:t>
      </w:r>
    </w:p>
    <w:p w14:paraId="5B028413">
      <w:pPr>
        <w:spacing w:line="360" w:lineRule="auto"/>
        <w:ind w:firstLine="420" w:firstLineChars="200"/>
        <w:jc w:val="left"/>
        <w:rPr>
          <w:rFonts w:ascii="Calibri" w:hAnsi="Calibri" w:cs="Times New Roman"/>
          <w:color w:val="auto"/>
          <w:highlight w:val="none"/>
        </w:rPr>
      </w:pPr>
      <w:r>
        <w:rPr>
          <w:rFonts w:ascii="Calibri" w:hAnsi="Calibri" w:cs="Times New Roman"/>
          <w:color w:val="auto"/>
          <w:highlight w:val="none"/>
        </w:rPr>
        <w:t xml:space="preserve">1.1.3.9 </w:t>
      </w:r>
      <w:r>
        <w:rPr>
          <w:rFonts w:hint="eastAsia" w:ascii="Calibri" w:hAnsi="宋体" w:cs="Times New Roman"/>
          <w:color w:val="auto"/>
          <w:highlight w:val="none"/>
        </w:rPr>
        <w:t>永久占地包括：</w:t>
      </w:r>
      <w:r>
        <w:rPr>
          <w:rFonts w:hint="eastAsia" w:ascii="Calibri" w:hAnsi="Calibri" w:cs="Times New Roman"/>
          <w:color w:val="auto"/>
          <w:kern w:val="2"/>
          <w:highlight w:val="none"/>
          <w:u w:val="single"/>
        </w:rPr>
        <w:t>施工图所示占地线范围，范围、坐标详见施工图</w:t>
      </w:r>
      <w:r>
        <w:rPr>
          <w:rFonts w:hint="eastAsia" w:ascii="Calibri" w:hAnsi="宋体" w:cs="Times New Roman"/>
          <w:color w:val="auto"/>
          <w:highlight w:val="none"/>
        </w:rPr>
        <w:t>。</w:t>
      </w:r>
    </w:p>
    <w:p w14:paraId="381DACAD">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highlight w:val="none"/>
        </w:rPr>
        <w:t xml:space="preserve">1.1.3.10 </w:t>
      </w:r>
      <w:r>
        <w:rPr>
          <w:rFonts w:hint="eastAsia" w:ascii="Calibri" w:hAnsi="宋体" w:cs="Times New Roman"/>
          <w:color w:val="auto"/>
          <w:highlight w:val="none"/>
        </w:rPr>
        <w:t>临时占地包括：</w:t>
      </w:r>
      <w:r>
        <w:rPr>
          <w:rFonts w:hint="eastAsia" w:ascii="Calibri" w:hAnsi="Calibri" w:cs="Times New Roman"/>
          <w:color w:val="auto"/>
          <w:kern w:val="2"/>
          <w:highlight w:val="none"/>
          <w:u w:val="single"/>
        </w:rPr>
        <w:t>合同签订后</w:t>
      </w:r>
      <w:r>
        <w:rPr>
          <w:rFonts w:ascii="Calibri" w:hAnsi="Calibri" w:cs="Times New Roman"/>
          <w:color w:val="auto"/>
          <w:kern w:val="2"/>
          <w:highlight w:val="none"/>
          <w:u w:val="single"/>
        </w:rPr>
        <w:t>3</w:t>
      </w:r>
      <w:r>
        <w:rPr>
          <w:rFonts w:hint="eastAsia" w:ascii="Calibri" w:hAnsi="Calibri" w:cs="Times New Roman"/>
          <w:color w:val="auto"/>
          <w:kern w:val="2"/>
          <w:highlight w:val="none"/>
          <w:u w:val="single"/>
        </w:rPr>
        <w:t>日内发包人提交不少于</w:t>
      </w:r>
      <w:r>
        <w:rPr>
          <w:rFonts w:ascii="Calibri" w:hAnsi="Calibri" w:cs="Times New Roman"/>
          <w:color w:val="auto"/>
          <w:kern w:val="2"/>
          <w:highlight w:val="none"/>
          <w:u w:val="single"/>
        </w:rPr>
        <w:t>5</w:t>
      </w:r>
      <w:r>
        <w:rPr>
          <w:rFonts w:hint="eastAsia" w:ascii="Calibri" w:hAnsi="Calibri" w:cs="Times New Roman"/>
          <w:color w:val="auto"/>
          <w:kern w:val="2"/>
          <w:highlight w:val="none"/>
          <w:u w:val="single"/>
        </w:rPr>
        <w:t>份的临时占地资料，在不影响施工的前提下，经发包人、监理单位审批，可免费提供红线范围内的场地作为施工临时占地</w:t>
      </w:r>
      <w:r>
        <w:rPr>
          <w:rFonts w:hint="eastAsia" w:ascii="Calibri" w:hAnsi="宋体" w:cs="Times New Roman"/>
          <w:color w:val="auto"/>
          <w:highlight w:val="none"/>
        </w:rPr>
        <w:t>。</w:t>
      </w:r>
    </w:p>
    <w:p w14:paraId="30E14E5B">
      <w:pPr>
        <w:keepNext/>
        <w:keepLines/>
        <w:spacing w:before="260" w:after="260" w:line="416" w:lineRule="auto"/>
        <w:outlineLvl w:val="2"/>
        <w:rPr>
          <w:rFonts w:ascii="Calibri" w:hAnsi="Calibri" w:cs="Times New Roman"/>
          <w:b/>
          <w:bCs/>
          <w:color w:val="auto"/>
          <w:kern w:val="2"/>
          <w:sz w:val="32"/>
          <w:szCs w:val="32"/>
          <w:highlight w:val="none"/>
        </w:rPr>
      </w:pPr>
      <w:bookmarkStart w:id="709" w:name="_Toc512691395"/>
      <w:bookmarkStart w:id="710" w:name="_Toc373478341"/>
      <w:bookmarkStart w:id="711" w:name="_Toc485400588"/>
      <w:bookmarkStart w:id="712" w:name="_Toc493774756"/>
      <w:bookmarkStart w:id="713" w:name="_Toc530658019"/>
      <w:bookmarkStart w:id="714" w:name="_Toc407135196"/>
      <w:bookmarkStart w:id="715" w:name="_Toc494549192"/>
      <w:bookmarkStart w:id="716" w:name="_Toc508894057"/>
      <w:bookmarkStart w:id="717" w:name="_Toc389065260"/>
      <w:bookmarkStart w:id="718" w:name="_Toc373227694"/>
      <w:bookmarkStart w:id="719" w:name="_Toc532840001"/>
      <w:r>
        <w:rPr>
          <w:rFonts w:ascii="Calibri" w:hAnsi="Calibri" w:cs="Times New Roman"/>
          <w:b/>
          <w:bCs/>
          <w:color w:val="auto"/>
          <w:kern w:val="2"/>
          <w:sz w:val="32"/>
          <w:szCs w:val="32"/>
          <w:highlight w:val="none"/>
        </w:rPr>
        <w:t xml:space="preserve">1.3 </w:t>
      </w:r>
      <w:r>
        <w:rPr>
          <w:rFonts w:hint="eastAsia" w:ascii="Calibri" w:hAnsi="宋体" w:cs="Times New Roman"/>
          <w:b/>
          <w:bCs/>
          <w:color w:val="auto"/>
          <w:kern w:val="2"/>
          <w:sz w:val="32"/>
          <w:szCs w:val="32"/>
          <w:highlight w:val="none"/>
        </w:rPr>
        <w:t>法律</w:t>
      </w:r>
      <w:bookmarkEnd w:id="709"/>
      <w:bookmarkEnd w:id="710"/>
      <w:bookmarkEnd w:id="711"/>
      <w:bookmarkEnd w:id="712"/>
      <w:bookmarkEnd w:id="713"/>
      <w:bookmarkEnd w:id="714"/>
      <w:bookmarkEnd w:id="715"/>
      <w:bookmarkEnd w:id="716"/>
      <w:bookmarkEnd w:id="717"/>
      <w:bookmarkEnd w:id="718"/>
      <w:bookmarkEnd w:id="719"/>
    </w:p>
    <w:p w14:paraId="763B271E">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适用于合同的其他规范性文件：</w:t>
      </w:r>
      <w:r>
        <w:rPr>
          <w:rFonts w:hint="eastAsia" w:ascii="Calibri" w:hAnsi="宋体" w:cs="Times New Roman"/>
          <w:color w:val="auto"/>
          <w:kern w:val="2"/>
          <w:highlight w:val="none"/>
          <w:u w:val="single"/>
        </w:rPr>
        <w:t>包括中华人民共和国法律、行政法规、部门规章，以及工程所在地的地方法规、自治条例、单行条例和地方政府规章</w:t>
      </w:r>
      <w:r>
        <w:rPr>
          <w:rFonts w:hint="eastAsia" w:ascii="Calibri" w:hAnsi="宋体" w:cs="Times New Roman"/>
          <w:color w:val="auto"/>
          <w:kern w:val="2"/>
          <w:highlight w:val="none"/>
        </w:rPr>
        <w:t>。</w:t>
      </w:r>
    </w:p>
    <w:p w14:paraId="1DE7B3F1">
      <w:pPr>
        <w:keepNext/>
        <w:keepLines/>
        <w:spacing w:before="260" w:after="260" w:line="416" w:lineRule="auto"/>
        <w:outlineLvl w:val="2"/>
        <w:rPr>
          <w:rFonts w:ascii="Calibri" w:hAnsi="Calibri" w:cs="Times New Roman"/>
          <w:b/>
          <w:bCs/>
          <w:color w:val="auto"/>
          <w:kern w:val="2"/>
          <w:sz w:val="32"/>
          <w:szCs w:val="32"/>
          <w:highlight w:val="none"/>
        </w:rPr>
      </w:pPr>
      <w:bookmarkStart w:id="720" w:name="_Toc493774757"/>
      <w:bookmarkStart w:id="721" w:name="_Toc532840002"/>
      <w:bookmarkStart w:id="722" w:name="_Toc485400589"/>
      <w:bookmarkStart w:id="723" w:name="_Toc389065261"/>
      <w:bookmarkStart w:id="724" w:name="_Toc494549193"/>
      <w:bookmarkStart w:id="725" w:name="_Toc530658020"/>
      <w:bookmarkStart w:id="726" w:name="_Toc373227695"/>
      <w:bookmarkStart w:id="727" w:name="_Toc407135197"/>
      <w:bookmarkStart w:id="728" w:name="_Toc508894058"/>
      <w:bookmarkStart w:id="729" w:name="_Toc373478342"/>
      <w:bookmarkStart w:id="730" w:name="_Toc512691396"/>
      <w:r>
        <w:rPr>
          <w:rFonts w:ascii="Calibri" w:hAnsi="Calibri" w:cs="Times New Roman"/>
          <w:b/>
          <w:bCs/>
          <w:color w:val="auto"/>
          <w:kern w:val="2"/>
          <w:sz w:val="32"/>
          <w:szCs w:val="32"/>
          <w:highlight w:val="none"/>
        </w:rPr>
        <w:t xml:space="preserve">1.4 </w:t>
      </w:r>
      <w:r>
        <w:rPr>
          <w:rFonts w:hint="eastAsia" w:ascii="Calibri" w:hAnsi="宋体" w:cs="Times New Roman"/>
          <w:b/>
          <w:bCs/>
          <w:color w:val="auto"/>
          <w:kern w:val="2"/>
          <w:sz w:val="32"/>
          <w:szCs w:val="32"/>
          <w:highlight w:val="none"/>
        </w:rPr>
        <w:t>标准和规范</w:t>
      </w:r>
      <w:bookmarkEnd w:id="720"/>
      <w:bookmarkEnd w:id="721"/>
      <w:bookmarkEnd w:id="722"/>
      <w:bookmarkEnd w:id="723"/>
      <w:bookmarkEnd w:id="724"/>
      <w:bookmarkEnd w:id="725"/>
      <w:bookmarkEnd w:id="726"/>
      <w:bookmarkEnd w:id="727"/>
      <w:bookmarkEnd w:id="728"/>
      <w:bookmarkEnd w:id="729"/>
      <w:bookmarkEnd w:id="730"/>
    </w:p>
    <w:p w14:paraId="65FFC054">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1.4.1 </w:t>
      </w:r>
      <w:r>
        <w:rPr>
          <w:rFonts w:hint="eastAsia" w:ascii="Calibri" w:hAnsi="宋体" w:cs="Times New Roman"/>
          <w:color w:val="auto"/>
          <w:kern w:val="2"/>
          <w:highlight w:val="none"/>
        </w:rPr>
        <w:t>适用于工程的标准规范包括：</w:t>
      </w:r>
      <w:r>
        <w:rPr>
          <w:rFonts w:hint="eastAsia" w:ascii="Calibri" w:hAnsi="宋体" w:cs="Times New Roman"/>
          <w:color w:val="auto"/>
          <w:kern w:val="2"/>
          <w:highlight w:val="none"/>
          <w:u w:val="single"/>
        </w:rPr>
        <w:t>现行国家、地方、部门有关标准规范</w:t>
      </w:r>
      <w:r>
        <w:rPr>
          <w:rFonts w:hint="eastAsia" w:ascii="Calibri" w:hAnsi="宋体" w:cs="Times New Roman"/>
          <w:color w:val="auto"/>
          <w:kern w:val="2"/>
          <w:highlight w:val="none"/>
        </w:rPr>
        <w:t>。</w:t>
      </w:r>
    </w:p>
    <w:p w14:paraId="5401775B">
      <w:pPr>
        <w:spacing w:line="360" w:lineRule="auto"/>
        <w:ind w:firstLine="420" w:firstLineChars="200"/>
        <w:rPr>
          <w:rFonts w:ascii="Calibri" w:hAnsi="Calibri" w:cs="Times New Roman"/>
          <w:color w:val="auto"/>
          <w:highlight w:val="none"/>
        </w:rPr>
      </w:pPr>
      <w:r>
        <w:rPr>
          <w:rFonts w:ascii="Calibri" w:hAnsi="Calibri" w:cs="Times New Roman"/>
          <w:color w:val="auto"/>
          <w:highlight w:val="none"/>
        </w:rPr>
        <w:t xml:space="preserve">1.4.2 </w:t>
      </w:r>
      <w:r>
        <w:rPr>
          <w:rFonts w:hint="eastAsia" w:ascii="Calibri" w:hAnsi="宋体" w:cs="Times New Roman"/>
          <w:color w:val="auto"/>
          <w:highlight w:val="none"/>
        </w:rPr>
        <w:t>发包人提供国外标准、规范的名称：</w:t>
      </w:r>
      <w:r>
        <w:rPr>
          <w:rFonts w:ascii="Calibri" w:hAnsi="宋体" w:cs="Times New Roman"/>
          <w:color w:val="auto"/>
          <w:kern w:val="2"/>
          <w:highlight w:val="none"/>
          <w:u w:val="single"/>
        </w:rPr>
        <w:t>/</w:t>
      </w:r>
      <w:r>
        <w:rPr>
          <w:rFonts w:hint="eastAsia" w:ascii="Calibri" w:hAnsi="宋体" w:cs="Times New Roman"/>
          <w:color w:val="auto"/>
          <w:kern w:val="2"/>
          <w:highlight w:val="none"/>
        </w:rPr>
        <w:t>；</w:t>
      </w:r>
    </w:p>
    <w:p w14:paraId="0923595F">
      <w:pPr>
        <w:spacing w:line="360" w:lineRule="auto"/>
        <w:ind w:firstLine="420" w:firstLineChars="200"/>
        <w:rPr>
          <w:rFonts w:ascii="Calibri" w:hAnsi="Calibri" w:cs="Times New Roman"/>
          <w:color w:val="auto"/>
          <w:highlight w:val="none"/>
        </w:rPr>
      </w:pPr>
      <w:r>
        <w:rPr>
          <w:rFonts w:hint="eastAsia" w:ascii="Calibri" w:hAnsi="宋体" w:cs="Times New Roman"/>
          <w:color w:val="auto"/>
          <w:highlight w:val="none"/>
        </w:rPr>
        <w:t>发包人提供国外标准、规范的份数：</w:t>
      </w:r>
      <w:r>
        <w:rPr>
          <w:rFonts w:ascii="Calibri" w:hAnsi="Calibri" w:cs="Times New Roman"/>
          <w:color w:val="auto"/>
          <w:highlight w:val="none"/>
          <w:u w:val="single"/>
        </w:rPr>
        <w:t>/</w:t>
      </w:r>
      <w:r>
        <w:rPr>
          <w:rFonts w:hint="eastAsia" w:ascii="Calibri" w:hAnsi="宋体" w:cs="Times New Roman"/>
          <w:color w:val="auto"/>
          <w:highlight w:val="none"/>
        </w:rPr>
        <w:t>；</w:t>
      </w:r>
    </w:p>
    <w:p w14:paraId="356F2B26">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highlight w:val="none"/>
        </w:rPr>
        <w:t>发包人提供国外标准、规范的名称：</w:t>
      </w:r>
      <w:r>
        <w:rPr>
          <w:rFonts w:ascii="Calibri" w:hAnsi="Calibri" w:cs="Times New Roman"/>
          <w:color w:val="auto"/>
          <w:highlight w:val="none"/>
          <w:u w:val="single"/>
        </w:rPr>
        <w:t>/</w:t>
      </w:r>
      <w:r>
        <w:rPr>
          <w:rFonts w:hint="eastAsia" w:ascii="Calibri" w:hAnsi="宋体" w:cs="Times New Roman"/>
          <w:color w:val="auto"/>
          <w:highlight w:val="none"/>
        </w:rPr>
        <w:t>。</w:t>
      </w:r>
    </w:p>
    <w:p w14:paraId="571F9770">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1.4.3 </w:t>
      </w:r>
      <w:r>
        <w:rPr>
          <w:rFonts w:hint="eastAsia" w:ascii="Calibri" w:hAnsi="宋体" w:cs="Times New Roman"/>
          <w:color w:val="auto"/>
          <w:kern w:val="2"/>
          <w:highlight w:val="none"/>
        </w:rPr>
        <w:t>发包人对工程的技术标准和功能要求的特殊要求：</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2BF55B2E">
      <w:pPr>
        <w:keepNext/>
        <w:keepLines/>
        <w:spacing w:before="260" w:after="260" w:line="416" w:lineRule="auto"/>
        <w:outlineLvl w:val="2"/>
        <w:rPr>
          <w:rFonts w:ascii="Calibri" w:hAnsi="Calibri" w:cs="Times New Roman"/>
          <w:b/>
          <w:bCs/>
          <w:color w:val="auto"/>
          <w:kern w:val="2"/>
          <w:sz w:val="32"/>
          <w:szCs w:val="32"/>
          <w:highlight w:val="none"/>
        </w:rPr>
      </w:pPr>
      <w:bookmarkStart w:id="731" w:name="_Toc373478343"/>
      <w:bookmarkStart w:id="732" w:name="_Toc373227696"/>
      <w:bookmarkStart w:id="733" w:name="_Toc530658021"/>
      <w:bookmarkStart w:id="734" w:name="_Toc508894059"/>
      <w:bookmarkStart w:id="735" w:name="_Toc407135198"/>
      <w:bookmarkStart w:id="736" w:name="_Toc512691397"/>
      <w:bookmarkStart w:id="737" w:name="_Toc493774758"/>
      <w:bookmarkStart w:id="738" w:name="_Toc389065262"/>
      <w:bookmarkStart w:id="739" w:name="_Toc485400590"/>
      <w:bookmarkStart w:id="740" w:name="_Toc494549194"/>
      <w:bookmarkStart w:id="741" w:name="_Toc532840003"/>
      <w:r>
        <w:rPr>
          <w:rFonts w:ascii="Calibri" w:hAnsi="Calibri" w:cs="Times New Roman"/>
          <w:b/>
          <w:bCs/>
          <w:color w:val="auto"/>
          <w:kern w:val="2"/>
          <w:sz w:val="32"/>
          <w:szCs w:val="32"/>
          <w:highlight w:val="none"/>
        </w:rPr>
        <w:t xml:space="preserve">1.5 </w:t>
      </w:r>
      <w:r>
        <w:rPr>
          <w:rFonts w:hint="eastAsia" w:ascii="Calibri" w:hAnsi="Calibri" w:cs="Times New Roman"/>
          <w:b/>
          <w:bCs/>
          <w:color w:val="auto"/>
          <w:kern w:val="2"/>
          <w:sz w:val="32"/>
          <w:szCs w:val="32"/>
          <w:highlight w:val="none"/>
        </w:rPr>
        <w:t>合同文件的优先顺序</w:t>
      </w:r>
      <w:bookmarkEnd w:id="731"/>
      <w:bookmarkEnd w:id="732"/>
      <w:bookmarkEnd w:id="733"/>
      <w:bookmarkEnd w:id="734"/>
      <w:bookmarkEnd w:id="735"/>
      <w:bookmarkEnd w:id="736"/>
      <w:bookmarkEnd w:id="737"/>
      <w:bookmarkEnd w:id="738"/>
      <w:bookmarkEnd w:id="739"/>
      <w:bookmarkEnd w:id="740"/>
      <w:bookmarkEnd w:id="741"/>
    </w:p>
    <w:p w14:paraId="5E61CACF">
      <w:pPr>
        <w:spacing w:line="360" w:lineRule="auto"/>
        <w:ind w:firstLine="420" w:firstLineChars="200"/>
        <w:rPr>
          <w:rFonts w:ascii="Calibri" w:hAnsi="宋体" w:cs="Times New Roman"/>
          <w:color w:val="auto"/>
          <w:kern w:val="2"/>
          <w:highlight w:val="none"/>
        </w:rPr>
      </w:pPr>
      <w:r>
        <w:rPr>
          <w:rFonts w:hint="eastAsia" w:ascii="Calibri" w:hAnsi="宋体" w:cs="Times New Roman"/>
          <w:color w:val="auto"/>
          <w:kern w:val="2"/>
          <w:highlight w:val="none"/>
        </w:rPr>
        <w:t>合同文件组成及优先顺序为：</w:t>
      </w:r>
    </w:p>
    <w:p w14:paraId="6518325D">
      <w:pPr>
        <w:spacing w:line="360" w:lineRule="auto"/>
        <w:ind w:firstLine="420" w:firstLineChars="200"/>
        <w:rPr>
          <w:rFonts w:ascii="Calibri" w:hAnsi="宋体" w:cs="Times New Roman"/>
          <w:color w:val="auto"/>
          <w:highlight w:val="none"/>
        </w:rPr>
      </w:pPr>
      <w:r>
        <w:rPr>
          <w:rFonts w:hint="eastAsia" w:ascii="Calibri" w:hAnsi="宋体" w:cs="Times New Roman"/>
          <w:color w:val="auto"/>
          <w:highlight w:val="none"/>
        </w:rPr>
        <w:t>（</w:t>
      </w:r>
      <w:r>
        <w:rPr>
          <w:rFonts w:ascii="Calibri" w:hAnsi="宋体" w:cs="Times New Roman"/>
          <w:color w:val="auto"/>
          <w:highlight w:val="none"/>
        </w:rPr>
        <w:t>1</w:t>
      </w:r>
      <w:r>
        <w:rPr>
          <w:rFonts w:hint="eastAsia" w:ascii="Calibri" w:hAnsi="宋体" w:cs="Times New Roman"/>
          <w:color w:val="auto"/>
          <w:highlight w:val="none"/>
        </w:rPr>
        <w:t>）合同协议书</w:t>
      </w:r>
    </w:p>
    <w:p w14:paraId="7C7A57E5">
      <w:pPr>
        <w:spacing w:line="360" w:lineRule="auto"/>
        <w:ind w:firstLine="420" w:firstLineChars="200"/>
        <w:rPr>
          <w:rFonts w:ascii="Calibri" w:hAnsi="宋体" w:cs="Times New Roman"/>
          <w:color w:val="auto"/>
          <w:highlight w:val="none"/>
        </w:rPr>
      </w:pPr>
      <w:r>
        <w:rPr>
          <w:rFonts w:hint="eastAsia" w:ascii="Calibri" w:hAnsi="宋体" w:cs="Times New Roman"/>
          <w:color w:val="auto"/>
          <w:highlight w:val="none"/>
        </w:rPr>
        <w:t>（</w:t>
      </w:r>
      <w:r>
        <w:rPr>
          <w:rFonts w:ascii="Calibri" w:hAnsi="宋体" w:cs="Times New Roman"/>
          <w:color w:val="auto"/>
          <w:highlight w:val="none"/>
        </w:rPr>
        <w:t>2</w:t>
      </w:r>
      <w:r>
        <w:rPr>
          <w:rFonts w:hint="eastAsia" w:ascii="Calibri" w:hAnsi="宋体" w:cs="Times New Roman"/>
          <w:color w:val="auto"/>
          <w:highlight w:val="none"/>
        </w:rPr>
        <w:t>）中标通知书；</w:t>
      </w:r>
    </w:p>
    <w:p w14:paraId="443CE2BD">
      <w:pPr>
        <w:spacing w:line="360" w:lineRule="auto"/>
        <w:ind w:firstLine="420" w:firstLineChars="200"/>
        <w:rPr>
          <w:rFonts w:ascii="Calibri" w:hAnsi="宋体" w:cs="Times New Roman"/>
          <w:color w:val="auto"/>
          <w:highlight w:val="none"/>
        </w:rPr>
      </w:pPr>
      <w:r>
        <w:rPr>
          <w:rFonts w:hint="eastAsia" w:ascii="Calibri" w:hAnsi="宋体" w:cs="Times New Roman"/>
          <w:color w:val="auto"/>
          <w:highlight w:val="none"/>
        </w:rPr>
        <w:t>（</w:t>
      </w:r>
      <w:r>
        <w:rPr>
          <w:rFonts w:ascii="Calibri" w:hAnsi="宋体" w:cs="Times New Roman"/>
          <w:color w:val="auto"/>
          <w:highlight w:val="none"/>
        </w:rPr>
        <w:t>3</w:t>
      </w:r>
      <w:r>
        <w:rPr>
          <w:rFonts w:hint="eastAsia" w:ascii="Calibri" w:hAnsi="宋体" w:cs="Times New Roman"/>
          <w:color w:val="auto"/>
          <w:highlight w:val="none"/>
        </w:rPr>
        <w:t>）投标函及其附录；</w:t>
      </w:r>
    </w:p>
    <w:p w14:paraId="3A66DE85">
      <w:pPr>
        <w:spacing w:line="360" w:lineRule="auto"/>
        <w:ind w:firstLine="420" w:firstLineChars="200"/>
        <w:rPr>
          <w:rFonts w:ascii="Calibri" w:hAnsi="宋体" w:cs="Times New Roman"/>
          <w:color w:val="auto"/>
          <w:highlight w:val="none"/>
        </w:rPr>
      </w:pPr>
      <w:r>
        <w:rPr>
          <w:rFonts w:hint="eastAsia" w:ascii="Calibri" w:hAnsi="宋体" w:cs="Times New Roman"/>
          <w:color w:val="auto"/>
          <w:highlight w:val="none"/>
        </w:rPr>
        <w:t>（</w:t>
      </w:r>
      <w:r>
        <w:rPr>
          <w:rFonts w:ascii="Calibri" w:hAnsi="宋体" w:cs="Times New Roman"/>
          <w:color w:val="auto"/>
          <w:highlight w:val="none"/>
        </w:rPr>
        <w:t>4</w:t>
      </w:r>
      <w:r>
        <w:rPr>
          <w:rFonts w:hint="eastAsia" w:ascii="Calibri" w:hAnsi="宋体" w:cs="Times New Roman"/>
          <w:color w:val="auto"/>
          <w:highlight w:val="none"/>
        </w:rPr>
        <w:t>）专用合同条款及其附件；</w:t>
      </w:r>
    </w:p>
    <w:p w14:paraId="749CB449">
      <w:pPr>
        <w:spacing w:line="360" w:lineRule="auto"/>
        <w:ind w:firstLine="420" w:firstLineChars="200"/>
        <w:rPr>
          <w:rFonts w:ascii="Calibri" w:hAnsi="宋体" w:cs="Times New Roman"/>
          <w:color w:val="auto"/>
          <w:highlight w:val="none"/>
        </w:rPr>
      </w:pPr>
      <w:r>
        <w:rPr>
          <w:rFonts w:hint="eastAsia" w:ascii="Calibri" w:hAnsi="宋体" w:cs="Times New Roman"/>
          <w:color w:val="auto"/>
          <w:highlight w:val="none"/>
        </w:rPr>
        <w:t>（</w:t>
      </w:r>
      <w:r>
        <w:rPr>
          <w:rFonts w:ascii="Calibri" w:hAnsi="宋体" w:cs="Times New Roman"/>
          <w:color w:val="auto"/>
          <w:highlight w:val="none"/>
        </w:rPr>
        <w:t>5</w:t>
      </w:r>
      <w:r>
        <w:rPr>
          <w:rFonts w:hint="eastAsia" w:ascii="Calibri" w:hAnsi="宋体" w:cs="Times New Roman"/>
          <w:color w:val="auto"/>
          <w:highlight w:val="none"/>
        </w:rPr>
        <w:t>）通用合同条款；</w:t>
      </w:r>
    </w:p>
    <w:p w14:paraId="02C4D071">
      <w:pPr>
        <w:spacing w:line="360" w:lineRule="auto"/>
        <w:ind w:firstLine="420" w:firstLineChars="200"/>
        <w:rPr>
          <w:rFonts w:ascii="Calibri" w:hAnsi="宋体" w:cs="Times New Roman"/>
          <w:color w:val="auto"/>
          <w:highlight w:val="none"/>
        </w:rPr>
      </w:pPr>
      <w:r>
        <w:rPr>
          <w:rFonts w:hint="eastAsia" w:ascii="Calibri" w:hAnsi="宋体" w:cs="Times New Roman"/>
          <w:color w:val="auto"/>
          <w:highlight w:val="none"/>
        </w:rPr>
        <w:t>（</w:t>
      </w:r>
      <w:r>
        <w:rPr>
          <w:rFonts w:ascii="Calibri" w:hAnsi="宋体" w:cs="Times New Roman"/>
          <w:color w:val="auto"/>
          <w:highlight w:val="none"/>
        </w:rPr>
        <w:t>6</w:t>
      </w:r>
      <w:r>
        <w:rPr>
          <w:rFonts w:hint="eastAsia" w:ascii="Calibri" w:hAnsi="宋体" w:cs="Times New Roman"/>
          <w:color w:val="auto"/>
          <w:highlight w:val="none"/>
        </w:rPr>
        <w:t>）</w:t>
      </w:r>
      <w:r>
        <w:rPr>
          <w:rFonts w:hint="eastAsia" w:ascii="Calibri" w:hAnsi="宋体" w:cs="Times New Roman"/>
          <w:color w:val="auto"/>
          <w:highlight w:val="none"/>
          <w:u w:val="none"/>
        </w:rPr>
        <w:t>技术标准和要求</w:t>
      </w:r>
      <w:r>
        <w:rPr>
          <w:rFonts w:hint="eastAsia" w:ascii="Calibri" w:hAnsi="宋体" w:cs="Times New Roman"/>
          <w:color w:val="auto"/>
          <w:highlight w:val="none"/>
        </w:rPr>
        <w:t>；</w:t>
      </w:r>
    </w:p>
    <w:p w14:paraId="1085334B">
      <w:pPr>
        <w:spacing w:line="360" w:lineRule="auto"/>
        <w:ind w:firstLine="420" w:firstLineChars="200"/>
        <w:rPr>
          <w:rFonts w:ascii="Calibri" w:hAnsi="宋体" w:cs="Times New Roman"/>
          <w:color w:val="auto"/>
          <w:highlight w:val="none"/>
        </w:rPr>
      </w:pPr>
      <w:r>
        <w:rPr>
          <w:rFonts w:hint="eastAsia" w:ascii="Calibri" w:hAnsi="宋体" w:cs="Times New Roman"/>
          <w:color w:val="auto"/>
          <w:highlight w:val="none"/>
        </w:rPr>
        <w:t>（</w:t>
      </w:r>
      <w:r>
        <w:rPr>
          <w:rFonts w:ascii="Calibri" w:hAnsi="宋体" w:cs="Times New Roman"/>
          <w:color w:val="auto"/>
          <w:highlight w:val="none"/>
        </w:rPr>
        <w:t>7</w:t>
      </w:r>
      <w:r>
        <w:rPr>
          <w:rFonts w:hint="eastAsia" w:ascii="Calibri" w:hAnsi="宋体" w:cs="Times New Roman"/>
          <w:color w:val="auto"/>
          <w:highlight w:val="none"/>
        </w:rPr>
        <w:t>）</w:t>
      </w:r>
      <w:r>
        <w:rPr>
          <w:rFonts w:hint="eastAsia" w:ascii="Calibri" w:hAnsi="宋体" w:cs="Times New Roman"/>
          <w:color w:val="auto"/>
          <w:highlight w:val="none"/>
          <w:u w:val="none"/>
        </w:rPr>
        <w:t>已标价工程量清单或预算书</w:t>
      </w:r>
      <w:r>
        <w:rPr>
          <w:rFonts w:hint="eastAsia" w:ascii="Calibri" w:hAnsi="宋体" w:cs="Times New Roman"/>
          <w:color w:val="auto"/>
          <w:highlight w:val="none"/>
        </w:rPr>
        <w:t>；</w:t>
      </w:r>
    </w:p>
    <w:p w14:paraId="122A9F55">
      <w:pPr>
        <w:spacing w:line="360" w:lineRule="auto"/>
        <w:ind w:firstLine="420" w:firstLineChars="200"/>
        <w:rPr>
          <w:rFonts w:ascii="Calibri" w:hAnsi="宋体" w:cs="Times New Roman"/>
          <w:color w:val="auto"/>
          <w:highlight w:val="none"/>
        </w:rPr>
      </w:pPr>
      <w:r>
        <w:rPr>
          <w:rFonts w:hint="eastAsia" w:ascii="Calibri" w:hAnsi="宋体" w:cs="Times New Roman"/>
          <w:color w:val="auto"/>
          <w:highlight w:val="none"/>
        </w:rPr>
        <w:t>（</w:t>
      </w:r>
      <w:r>
        <w:rPr>
          <w:rFonts w:ascii="Calibri" w:hAnsi="宋体" w:cs="Times New Roman"/>
          <w:color w:val="auto"/>
          <w:highlight w:val="none"/>
        </w:rPr>
        <w:t>8</w:t>
      </w:r>
      <w:r>
        <w:rPr>
          <w:rFonts w:hint="eastAsia" w:ascii="Calibri" w:hAnsi="宋体" w:cs="Times New Roman"/>
          <w:color w:val="auto"/>
          <w:highlight w:val="none"/>
        </w:rPr>
        <w:t>）</w:t>
      </w:r>
      <w:r>
        <w:rPr>
          <w:rFonts w:hint="eastAsia" w:ascii="Calibri" w:hAnsi="宋体" w:cs="Times New Roman"/>
          <w:color w:val="auto"/>
          <w:highlight w:val="none"/>
          <w:u w:val="none"/>
        </w:rPr>
        <w:t>图纸</w:t>
      </w:r>
      <w:r>
        <w:rPr>
          <w:rFonts w:hint="eastAsia" w:ascii="Calibri" w:hAnsi="宋体" w:cs="Times New Roman"/>
          <w:color w:val="auto"/>
          <w:highlight w:val="none"/>
        </w:rPr>
        <w:t>；</w:t>
      </w:r>
    </w:p>
    <w:p w14:paraId="376266D9">
      <w:pPr>
        <w:spacing w:line="360" w:lineRule="auto"/>
        <w:ind w:firstLine="420" w:firstLineChars="200"/>
        <w:rPr>
          <w:rFonts w:ascii="Calibri" w:hAnsi="宋体" w:cs="Times New Roman"/>
          <w:color w:val="auto"/>
          <w:highlight w:val="none"/>
        </w:rPr>
      </w:pPr>
      <w:r>
        <w:rPr>
          <w:rFonts w:hint="eastAsia" w:ascii="Calibri" w:hAnsi="宋体" w:cs="Times New Roman"/>
          <w:color w:val="auto"/>
          <w:highlight w:val="none"/>
        </w:rPr>
        <w:t>（</w:t>
      </w:r>
      <w:r>
        <w:rPr>
          <w:rFonts w:ascii="Calibri" w:hAnsi="宋体" w:cs="Times New Roman"/>
          <w:color w:val="auto"/>
          <w:highlight w:val="none"/>
        </w:rPr>
        <w:t>9</w:t>
      </w:r>
      <w:r>
        <w:rPr>
          <w:rFonts w:hint="eastAsia" w:ascii="Calibri" w:hAnsi="宋体" w:cs="Times New Roman"/>
          <w:color w:val="auto"/>
          <w:highlight w:val="none"/>
        </w:rPr>
        <w:t>）</w:t>
      </w:r>
      <w:r>
        <w:rPr>
          <w:rFonts w:hint="eastAsia" w:ascii="Calibri" w:hAnsi="宋体" w:cs="Times New Roman"/>
          <w:color w:val="auto"/>
          <w:highlight w:val="none"/>
          <w:u w:val="none"/>
        </w:rPr>
        <w:t>其他合同文件</w:t>
      </w:r>
      <w:r>
        <w:rPr>
          <w:rFonts w:hint="eastAsia" w:ascii="Calibri" w:hAnsi="宋体" w:cs="Times New Roman"/>
          <w:color w:val="auto"/>
          <w:highlight w:val="none"/>
        </w:rPr>
        <w:t>。</w:t>
      </w:r>
    </w:p>
    <w:p w14:paraId="2AAE281B">
      <w:pPr>
        <w:keepNext/>
        <w:keepLines/>
        <w:spacing w:before="260" w:after="260" w:line="416" w:lineRule="auto"/>
        <w:outlineLvl w:val="2"/>
        <w:rPr>
          <w:rFonts w:ascii="Calibri" w:hAnsi="Calibri" w:cs="Times New Roman"/>
          <w:b/>
          <w:bCs/>
          <w:color w:val="auto"/>
          <w:kern w:val="2"/>
          <w:sz w:val="32"/>
          <w:szCs w:val="32"/>
          <w:highlight w:val="none"/>
        </w:rPr>
      </w:pPr>
      <w:bookmarkStart w:id="742" w:name="_Toc532840004"/>
      <w:bookmarkStart w:id="743" w:name="_Toc407135199"/>
      <w:bookmarkStart w:id="744" w:name="_Toc512691398"/>
      <w:bookmarkStart w:id="745" w:name="_Toc389065263"/>
      <w:bookmarkStart w:id="746" w:name="_Toc485400591"/>
      <w:bookmarkStart w:id="747" w:name="_Toc508894060"/>
      <w:bookmarkStart w:id="748" w:name="_Toc494549195"/>
      <w:bookmarkStart w:id="749" w:name="_Toc373478344"/>
      <w:bookmarkStart w:id="750" w:name="_Toc530658022"/>
      <w:bookmarkStart w:id="751" w:name="_Toc493774759"/>
      <w:bookmarkStart w:id="752" w:name="_Toc373227697"/>
      <w:r>
        <w:rPr>
          <w:rFonts w:ascii="Calibri" w:hAnsi="Calibri" w:cs="Times New Roman"/>
          <w:b/>
          <w:bCs/>
          <w:color w:val="auto"/>
          <w:kern w:val="2"/>
          <w:sz w:val="32"/>
          <w:szCs w:val="32"/>
          <w:highlight w:val="none"/>
        </w:rPr>
        <w:t xml:space="preserve">1.6 </w:t>
      </w:r>
      <w:r>
        <w:rPr>
          <w:rFonts w:hint="eastAsia" w:ascii="Calibri" w:hAnsi="Calibri" w:cs="Times New Roman"/>
          <w:b/>
          <w:bCs/>
          <w:color w:val="auto"/>
          <w:kern w:val="2"/>
          <w:sz w:val="32"/>
          <w:szCs w:val="32"/>
          <w:highlight w:val="none"/>
        </w:rPr>
        <w:t>图纸和承包人文件</w:t>
      </w:r>
      <w:bookmarkEnd w:id="742"/>
      <w:bookmarkEnd w:id="743"/>
      <w:bookmarkEnd w:id="744"/>
      <w:bookmarkEnd w:id="745"/>
      <w:bookmarkEnd w:id="746"/>
      <w:bookmarkEnd w:id="747"/>
      <w:bookmarkEnd w:id="748"/>
      <w:bookmarkEnd w:id="749"/>
      <w:bookmarkEnd w:id="750"/>
      <w:bookmarkEnd w:id="751"/>
      <w:bookmarkEnd w:id="752"/>
      <w:r>
        <w:rPr>
          <w:rFonts w:ascii="Calibri" w:hAnsi="Calibri" w:cs="Times New Roman"/>
          <w:b/>
          <w:bCs/>
          <w:color w:val="auto"/>
          <w:kern w:val="2"/>
          <w:sz w:val="32"/>
          <w:szCs w:val="32"/>
          <w:highlight w:val="none"/>
        </w:rPr>
        <w:tab/>
      </w:r>
    </w:p>
    <w:p w14:paraId="3959AA14">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1.6.1 </w:t>
      </w:r>
      <w:r>
        <w:rPr>
          <w:rFonts w:hint="eastAsia" w:ascii="Calibri" w:hAnsi="宋体" w:cs="Times New Roman"/>
          <w:color w:val="auto"/>
          <w:kern w:val="2"/>
          <w:highlight w:val="none"/>
        </w:rPr>
        <w:t>图纸的提供</w:t>
      </w:r>
    </w:p>
    <w:p w14:paraId="7BD3AAE4">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发包人向承包人提供图纸的期限：</w:t>
      </w:r>
      <w:r>
        <w:rPr>
          <w:rFonts w:hint="eastAsia" w:ascii="Calibri" w:hAnsi="宋体" w:cs="Times New Roman"/>
          <w:color w:val="auto"/>
          <w:kern w:val="2"/>
          <w:highlight w:val="none"/>
          <w:u w:val="single"/>
        </w:rPr>
        <w:t>合同生效后</w:t>
      </w:r>
      <w:r>
        <w:rPr>
          <w:rFonts w:ascii="Calibri" w:hAnsi="宋体" w:cs="Times New Roman"/>
          <w:color w:val="auto"/>
          <w:kern w:val="2"/>
          <w:highlight w:val="none"/>
          <w:u w:val="single"/>
        </w:rPr>
        <w:t>7</w:t>
      </w:r>
      <w:r>
        <w:rPr>
          <w:rFonts w:hint="eastAsia" w:ascii="Calibri" w:hAnsi="宋体" w:cs="Times New Roman"/>
          <w:color w:val="auto"/>
          <w:kern w:val="2"/>
          <w:highlight w:val="none"/>
          <w:u w:val="single"/>
        </w:rPr>
        <w:t>天内</w:t>
      </w:r>
      <w:r>
        <w:rPr>
          <w:rFonts w:hint="eastAsia" w:ascii="Calibri" w:hAnsi="宋体" w:cs="Times New Roman"/>
          <w:color w:val="auto"/>
          <w:kern w:val="2"/>
          <w:highlight w:val="none"/>
        </w:rPr>
        <w:t>；</w:t>
      </w:r>
    </w:p>
    <w:p w14:paraId="525B7AE5">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发包人向承包人提供图纸的数量：</w:t>
      </w:r>
      <w:r>
        <w:rPr>
          <w:rFonts w:hint="eastAsia" w:ascii="Calibri" w:hAnsi="宋体" w:cs="Times New Roman"/>
          <w:color w:val="auto"/>
          <w:kern w:val="2"/>
          <w:highlight w:val="none"/>
          <w:u w:val="single"/>
        </w:rPr>
        <w:t>两套，承包人需要增加图纸数量的，发包人应代为复印，复印费用由承包人承担</w:t>
      </w:r>
      <w:r>
        <w:rPr>
          <w:rFonts w:hint="eastAsia" w:ascii="Calibri" w:hAnsi="宋体" w:cs="Times New Roman"/>
          <w:color w:val="auto"/>
          <w:kern w:val="2"/>
          <w:highlight w:val="none"/>
        </w:rPr>
        <w:t>；</w:t>
      </w:r>
    </w:p>
    <w:p w14:paraId="17E7D855">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发包人向承包人提供图纸的内容：</w:t>
      </w:r>
      <w:r>
        <w:rPr>
          <w:rFonts w:hint="eastAsia" w:ascii="Calibri" w:hAnsi="宋体" w:cs="Times New Roman"/>
          <w:color w:val="auto"/>
          <w:kern w:val="2"/>
          <w:highlight w:val="none"/>
          <w:u w:val="single"/>
        </w:rPr>
        <w:t>本合同发包内容中的全部图纸</w:t>
      </w:r>
      <w:r>
        <w:rPr>
          <w:rFonts w:hint="eastAsia" w:ascii="Calibri" w:hAnsi="宋体" w:cs="Times New Roman"/>
          <w:color w:val="auto"/>
          <w:kern w:val="2"/>
          <w:highlight w:val="none"/>
        </w:rPr>
        <w:t>。</w:t>
      </w:r>
    </w:p>
    <w:p w14:paraId="4F77BADE">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1.6.4 </w:t>
      </w:r>
      <w:r>
        <w:rPr>
          <w:rFonts w:hint="eastAsia" w:ascii="Calibri" w:hAnsi="宋体" w:cs="Times New Roman"/>
          <w:color w:val="auto"/>
          <w:kern w:val="2"/>
          <w:highlight w:val="none"/>
        </w:rPr>
        <w:t>承包人文件</w:t>
      </w:r>
    </w:p>
    <w:p w14:paraId="7164516B">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需要由承包人提供的文件，包括：</w:t>
      </w:r>
      <w:r>
        <w:rPr>
          <w:rFonts w:hint="eastAsia" w:ascii="Calibri" w:hAnsi="宋体" w:cs="Times New Roman"/>
          <w:color w:val="auto"/>
          <w:kern w:val="2"/>
          <w:highlight w:val="none"/>
          <w:u w:val="single"/>
        </w:rPr>
        <w:t>必要的加工图和大样图，均不是合同计量与支付的依据文件。施工组织设计、专项施工方案、安全应急方案、进度报表、次月进度计划等</w:t>
      </w:r>
      <w:r>
        <w:rPr>
          <w:rFonts w:hint="eastAsia" w:ascii="Calibri" w:hAnsi="宋体" w:cs="Times New Roman"/>
          <w:color w:val="auto"/>
          <w:kern w:val="2"/>
          <w:highlight w:val="none"/>
        </w:rPr>
        <w:t>；</w:t>
      </w:r>
    </w:p>
    <w:p w14:paraId="0AEA58A7">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承包人提供的文件的期限为：</w:t>
      </w:r>
      <w:r>
        <w:rPr>
          <w:rFonts w:hint="eastAsia" w:ascii="Calibri" w:hAnsi="宋体" w:cs="Times New Roman"/>
          <w:color w:val="auto"/>
          <w:kern w:val="2"/>
          <w:highlight w:val="none"/>
          <w:u w:val="single"/>
          <w:lang w:eastAsia="zh-CN"/>
        </w:rPr>
        <w:t>开工前</w:t>
      </w:r>
      <w:r>
        <w:rPr>
          <w:rFonts w:ascii="Calibri" w:hAnsi="宋体" w:cs="Times New Roman"/>
          <w:color w:val="auto"/>
          <w:kern w:val="2"/>
          <w:highlight w:val="none"/>
          <w:u w:val="single"/>
        </w:rPr>
        <w:t>15</w:t>
      </w:r>
      <w:r>
        <w:rPr>
          <w:rFonts w:hint="eastAsia" w:ascii="Calibri" w:hAnsi="宋体" w:cs="Times New Roman"/>
          <w:color w:val="auto"/>
          <w:kern w:val="2"/>
          <w:highlight w:val="none"/>
          <w:u w:val="single"/>
        </w:rPr>
        <w:t>天内</w:t>
      </w:r>
      <w:r>
        <w:rPr>
          <w:rFonts w:hint="eastAsia" w:ascii="Calibri" w:hAnsi="宋体" w:cs="Times New Roman"/>
          <w:color w:val="auto"/>
          <w:kern w:val="2"/>
          <w:highlight w:val="none"/>
        </w:rPr>
        <w:t>；</w:t>
      </w:r>
    </w:p>
    <w:p w14:paraId="155A9D12">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承包人提供的文件的数量为：</w:t>
      </w:r>
      <w:r>
        <w:rPr>
          <w:rFonts w:hint="eastAsia" w:ascii="Calibri" w:hAnsi="宋体" w:cs="Times New Roman"/>
          <w:color w:val="auto"/>
          <w:kern w:val="2"/>
          <w:highlight w:val="none"/>
          <w:u w:val="single"/>
        </w:rPr>
        <w:t>提供施工组织设计和安全应急方案一式三份</w:t>
      </w:r>
      <w:r>
        <w:rPr>
          <w:rFonts w:ascii="Calibri" w:hAnsi="宋体" w:cs="Times New Roman"/>
          <w:color w:val="auto"/>
          <w:kern w:val="2"/>
          <w:highlight w:val="none"/>
          <w:u w:val="single"/>
        </w:rPr>
        <w:t>,</w:t>
      </w:r>
      <w:r>
        <w:rPr>
          <w:rFonts w:hint="eastAsia" w:ascii="Calibri" w:hAnsi="宋体" w:cs="Times New Roman"/>
          <w:color w:val="auto"/>
          <w:kern w:val="2"/>
          <w:highlight w:val="none"/>
          <w:u w:val="single"/>
        </w:rPr>
        <w:t>专项工程合同签订后</w:t>
      </w:r>
      <w:r>
        <w:rPr>
          <w:rFonts w:ascii="Calibri" w:hAnsi="宋体" w:cs="Times New Roman"/>
          <w:color w:val="auto"/>
          <w:kern w:val="2"/>
          <w:highlight w:val="none"/>
          <w:u w:val="single"/>
        </w:rPr>
        <w:t>15</w:t>
      </w:r>
      <w:r>
        <w:rPr>
          <w:rFonts w:hint="eastAsia" w:ascii="Calibri" w:hAnsi="宋体" w:cs="Times New Roman"/>
          <w:color w:val="auto"/>
          <w:kern w:val="2"/>
          <w:highlight w:val="none"/>
          <w:u w:val="single"/>
        </w:rPr>
        <w:t>天提供专项施工方案一式三份</w:t>
      </w:r>
      <w:r>
        <w:rPr>
          <w:rFonts w:ascii="Calibri" w:hAnsi="宋体" w:cs="Times New Roman"/>
          <w:color w:val="auto"/>
          <w:kern w:val="2"/>
          <w:highlight w:val="none"/>
          <w:u w:val="single"/>
        </w:rPr>
        <w:t>,</w:t>
      </w:r>
      <w:r>
        <w:rPr>
          <w:rFonts w:hint="eastAsia" w:ascii="Calibri" w:hAnsi="宋体" w:cs="Times New Roman"/>
          <w:color w:val="auto"/>
          <w:kern w:val="2"/>
          <w:highlight w:val="none"/>
          <w:u w:val="single"/>
        </w:rPr>
        <w:t>每月</w:t>
      </w:r>
      <w:r>
        <w:rPr>
          <w:rFonts w:ascii="Calibri" w:hAnsi="宋体" w:cs="Times New Roman"/>
          <w:color w:val="auto"/>
          <w:kern w:val="2"/>
          <w:highlight w:val="none"/>
          <w:u w:val="single"/>
        </w:rPr>
        <w:t>25</w:t>
      </w:r>
      <w:r>
        <w:rPr>
          <w:rFonts w:hint="eastAsia" w:ascii="Calibri" w:hAnsi="宋体" w:cs="Times New Roman"/>
          <w:color w:val="auto"/>
          <w:kern w:val="2"/>
          <w:highlight w:val="none"/>
          <w:u w:val="single"/>
        </w:rPr>
        <w:t>日提供本月完成进度报表和次月进度计划一式三份</w:t>
      </w:r>
      <w:r>
        <w:rPr>
          <w:rFonts w:hint="eastAsia" w:ascii="Calibri" w:hAnsi="宋体" w:cs="Times New Roman"/>
          <w:color w:val="auto"/>
          <w:kern w:val="2"/>
          <w:highlight w:val="none"/>
        </w:rPr>
        <w:t>；</w:t>
      </w:r>
    </w:p>
    <w:p w14:paraId="57414CF9">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承包人提供的文件的形式为：</w:t>
      </w:r>
      <w:r>
        <w:rPr>
          <w:rFonts w:hint="eastAsia" w:ascii="Calibri" w:hAnsi="宋体" w:cs="Times New Roman"/>
          <w:color w:val="auto"/>
          <w:kern w:val="2"/>
          <w:highlight w:val="none"/>
          <w:u w:val="single"/>
        </w:rPr>
        <w:t>书面及电子文件</w:t>
      </w:r>
      <w:r>
        <w:rPr>
          <w:rFonts w:hint="eastAsia" w:ascii="Calibri" w:hAnsi="宋体" w:cs="Times New Roman"/>
          <w:color w:val="auto"/>
          <w:kern w:val="2"/>
          <w:highlight w:val="none"/>
          <w:u w:val="single"/>
          <w:lang w:eastAsia="zh-CN"/>
        </w:rPr>
        <w:t>及</w:t>
      </w:r>
      <w:r>
        <w:rPr>
          <w:rFonts w:hint="eastAsia" w:ascii="Calibri" w:hAnsi="宋体" w:cs="Times New Roman"/>
          <w:color w:val="auto"/>
          <w:kern w:val="2"/>
          <w:highlight w:val="none"/>
          <w:u w:val="single"/>
        </w:rPr>
        <w:t>公证送达</w:t>
      </w:r>
      <w:r>
        <w:rPr>
          <w:rFonts w:hint="eastAsia" w:ascii="Calibri" w:hAnsi="宋体" w:cs="Times New Roman"/>
          <w:color w:val="auto"/>
          <w:kern w:val="2"/>
          <w:highlight w:val="none"/>
        </w:rPr>
        <w:t>；</w:t>
      </w:r>
    </w:p>
    <w:p w14:paraId="6C3F58C8">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发包人审批承包人文件的期限：</w:t>
      </w:r>
      <w:r>
        <w:rPr>
          <w:rFonts w:hint="eastAsia" w:ascii="Calibri" w:hAnsi="宋体" w:cs="Times New Roman"/>
          <w:color w:val="auto"/>
          <w:kern w:val="2"/>
          <w:highlight w:val="none"/>
          <w:u w:val="single"/>
        </w:rPr>
        <w:t>收到提供的文件后</w:t>
      </w:r>
      <w:r>
        <w:rPr>
          <w:rFonts w:ascii="Calibri" w:hAnsi="宋体" w:cs="Times New Roman"/>
          <w:color w:val="auto"/>
          <w:kern w:val="2"/>
          <w:highlight w:val="none"/>
          <w:u w:val="single"/>
        </w:rPr>
        <w:t>7</w:t>
      </w:r>
      <w:r>
        <w:rPr>
          <w:rFonts w:hint="eastAsia" w:ascii="Calibri" w:hAnsi="宋体" w:cs="Times New Roman"/>
          <w:color w:val="auto"/>
          <w:kern w:val="2"/>
          <w:highlight w:val="none"/>
          <w:u w:val="single"/>
        </w:rPr>
        <w:t>天内</w:t>
      </w:r>
      <w:r>
        <w:rPr>
          <w:rFonts w:ascii="Calibri" w:hAnsi="宋体" w:cs="Times New Roman"/>
          <w:color w:val="auto"/>
          <w:kern w:val="2"/>
          <w:highlight w:val="none"/>
          <w:u w:val="single"/>
        </w:rPr>
        <w:t>,</w:t>
      </w:r>
      <w:r>
        <w:rPr>
          <w:rFonts w:hint="eastAsia" w:ascii="Calibri" w:hAnsi="宋体" w:cs="Times New Roman"/>
          <w:color w:val="auto"/>
          <w:kern w:val="2"/>
          <w:highlight w:val="none"/>
          <w:u w:val="single"/>
        </w:rPr>
        <w:t>逾期不确认也不提出书面意见的，视为同意</w:t>
      </w:r>
      <w:r>
        <w:rPr>
          <w:rFonts w:hint="eastAsia" w:ascii="Calibri" w:hAnsi="宋体" w:cs="Times New Roman"/>
          <w:color w:val="auto"/>
          <w:kern w:val="2"/>
          <w:highlight w:val="none"/>
        </w:rPr>
        <w:t>。</w:t>
      </w:r>
    </w:p>
    <w:p w14:paraId="367499E5">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1.6.5 </w:t>
      </w:r>
      <w:r>
        <w:rPr>
          <w:rFonts w:hint="eastAsia" w:ascii="Calibri" w:hAnsi="宋体" w:cs="Times New Roman"/>
          <w:color w:val="auto"/>
          <w:kern w:val="2"/>
          <w:highlight w:val="none"/>
        </w:rPr>
        <w:t>现场图纸准备</w:t>
      </w:r>
    </w:p>
    <w:p w14:paraId="1D276BB7">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关于现场图纸准备的约定：</w:t>
      </w:r>
      <w:r>
        <w:rPr>
          <w:rFonts w:hint="eastAsia" w:ascii="Calibri" w:hAnsi="宋体" w:cs="Times New Roman"/>
          <w:color w:val="auto"/>
          <w:kern w:val="2"/>
          <w:highlight w:val="none"/>
          <w:u w:val="single"/>
        </w:rPr>
        <w:t>由承包方准备</w:t>
      </w:r>
      <w:r>
        <w:rPr>
          <w:rFonts w:hint="eastAsia" w:ascii="Calibri" w:hAnsi="宋体" w:cs="Times New Roman"/>
          <w:color w:val="auto"/>
          <w:kern w:val="2"/>
          <w:highlight w:val="none"/>
        </w:rPr>
        <w:t>。</w:t>
      </w:r>
    </w:p>
    <w:p w14:paraId="49CA6001">
      <w:pPr>
        <w:keepNext/>
        <w:keepLines/>
        <w:spacing w:before="260" w:after="260" w:line="416" w:lineRule="auto"/>
        <w:outlineLvl w:val="2"/>
        <w:rPr>
          <w:rFonts w:ascii="Calibri" w:hAnsi="Calibri" w:cs="Times New Roman"/>
          <w:b/>
          <w:bCs/>
          <w:color w:val="auto"/>
          <w:kern w:val="2"/>
          <w:sz w:val="32"/>
          <w:szCs w:val="32"/>
          <w:highlight w:val="none"/>
        </w:rPr>
      </w:pPr>
      <w:bookmarkStart w:id="753" w:name="_Toc512691399"/>
      <w:bookmarkStart w:id="754" w:name="_Toc494549196"/>
      <w:bookmarkStart w:id="755" w:name="_Toc532840005"/>
      <w:bookmarkStart w:id="756" w:name="_Toc485400592"/>
      <w:bookmarkStart w:id="757" w:name="_Toc373227698"/>
      <w:bookmarkStart w:id="758" w:name="_Toc530658023"/>
      <w:bookmarkStart w:id="759" w:name="_Toc508894061"/>
      <w:bookmarkStart w:id="760" w:name="_Toc373478345"/>
      <w:bookmarkStart w:id="761" w:name="_Toc389065264"/>
      <w:bookmarkStart w:id="762" w:name="_Toc493774760"/>
      <w:bookmarkStart w:id="763" w:name="_Toc407135200"/>
      <w:r>
        <w:rPr>
          <w:rFonts w:ascii="Calibri" w:hAnsi="Calibri" w:cs="Times New Roman"/>
          <w:b/>
          <w:bCs/>
          <w:color w:val="auto"/>
          <w:kern w:val="2"/>
          <w:sz w:val="32"/>
          <w:szCs w:val="32"/>
          <w:highlight w:val="none"/>
        </w:rPr>
        <w:t xml:space="preserve">1.7 </w:t>
      </w:r>
      <w:r>
        <w:rPr>
          <w:rFonts w:hint="eastAsia" w:ascii="Calibri" w:hAnsi="宋体" w:cs="Times New Roman"/>
          <w:b/>
          <w:bCs/>
          <w:color w:val="auto"/>
          <w:kern w:val="2"/>
          <w:sz w:val="32"/>
          <w:szCs w:val="32"/>
          <w:highlight w:val="none"/>
        </w:rPr>
        <w:t>联络</w:t>
      </w:r>
      <w:bookmarkEnd w:id="753"/>
      <w:bookmarkEnd w:id="754"/>
      <w:bookmarkEnd w:id="755"/>
      <w:bookmarkEnd w:id="756"/>
      <w:bookmarkEnd w:id="757"/>
      <w:bookmarkEnd w:id="758"/>
      <w:bookmarkEnd w:id="759"/>
      <w:bookmarkEnd w:id="760"/>
      <w:bookmarkEnd w:id="761"/>
      <w:bookmarkEnd w:id="762"/>
      <w:bookmarkEnd w:id="763"/>
    </w:p>
    <w:p w14:paraId="632E502B">
      <w:pPr>
        <w:spacing w:line="360" w:lineRule="auto"/>
        <w:ind w:firstLine="420" w:firstLineChars="200"/>
        <w:rPr>
          <w:rFonts w:ascii="Calibri" w:hAnsi="Calibri" w:cs="Times New Roman"/>
          <w:color w:val="auto"/>
          <w:highlight w:val="none"/>
        </w:rPr>
      </w:pPr>
      <w:r>
        <w:rPr>
          <w:rFonts w:ascii="Calibri" w:hAnsi="Calibri" w:cs="Times New Roman"/>
          <w:color w:val="auto"/>
          <w:highlight w:val="none"/>
        </w:rPr>
        <w:t>1.7.1</w:t>
      </w:r>
      <w:r>
        <w:rPr>
          <w:rFonts w:hint="eastAsia" w:ascii="Calibri" w:hAnsi="宋体" w:cs="Times New Roman"/>
          <w:color w:val="auto"/>
          <w:highlight w:val="none"/>
        </w:rPr>
        <w:t>发包人和承包人应当在</w:t>
      </w:r>
      <w:r>
        <w:rPr>
          <w:rFonts w:ascii="Calibri" w:hAnsi="宋体" w:cs="Times New Roman"/>
          <w:color w:val="auto"/>
          <w:kern w:val="2"/>
          <w:highlight w:val="none"/>
          <w:u w:val="single"/>
        </w:rPr>
        <w:t>7</w:t>
      </w:r>
      <w:r>
        <w:rPr>
          <w:rFonts w:hint="eastAsia" w:ascii="Calibri" w:hAnsi="宋体" w:cs="Times New Roman"/>
          <w:color w:val="auto"/>
          <w:highlight w:val="none"/>
        </w:rPr>
        <w:t>天内将与合同有关的通知、批准、证明、证书、指示、指令、要求、请求、同意、意见、确定和决定等书面函件送达对方当事人。</w:t>
      </w:r>
    </w:p>
    <w:p w14:paraId="01E1DDDA">
      <w:pPr>
        <w:spacing w:line="360" w:lineRule="auto"/>
        <w:ind w:firstLine="420" w:firstLineChars="200"/>
        <w:rPr>
          <w:rFonts w:ascii="Calibri" w:hAnsi="Calibri" w:cs="Times New Roman"/>
          <w:color w:val="auto"/>
          <w:highlight w:val="none"/>
        </w:rPr>
      </w:pPr>
      <w:r>
        <w:rPr>
          <w:rFonts w:ascii="Calibri" w:hAnsi="Calibri" w:cs="Times New Roman"/>
          <w:color w:val="auto"/>
          <w:highlight w:val="none"/>
        </w:rPr>
        <w:t xml:space="preserve">1.7.2 </w:t>
      </w:r>
      <w:r>
        <w:rPr>
          <w:rFonts w:hint="eastAsia" w:ascii="Calibri" w:hAnsi="宋体" w:cs="Times New Roman"/>
          <w:color w:val="auto"/>
          <w:highlight w:val="none"/>
        </w:rPr>
        <w:t>发包人接收文件的地点：</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5FED9940">
      <w:pPr>
        <w:spacing w:line="360" w:lineRule="auto"/>
        <w:ind w:firstLine="420" w:firstLineChars="200"/>
        <w:rPr>
          <w:rFonts w:ascii="Calibri" w:hAnsi="Calibri" w:cs="Times New Roman"/>
          <w:color w:val="auto"/>
          <w:highlight w:val="none"/>
        </w:rPr>
      </w:pPr>
      <w:r>
        <w:rPr>
          <w:rFonts w:hint="eastAsia" w:ascii="Calibri" w:hAnsi="宋体" w:cs="Times New Roman"/>
          <w:color w:val="auto"/>
          <w:highlight w:val="none"/>
        </w:rPr>
        <w:t>发包人指定的接收人为：</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6B1BB6B1">
      <w:pPr>
        <w:spacing w:line="360" w:lineRule="auto"/>
        <w:ind w:firstLine="420" w:firstLineChars="200"/>
        <w:rPr>
          <w:rFonts w:ascii="Calibri" w:hAnsi="Calibri" w:cs="Times New Roman"/>
          <w:color w:val="auto"/>
          <w:highlight w:val="none"/>
        </w:rPr>
      </w:pPr>
      <w:r>
        <w:rPr>
          <w:rFonts w:hint="eastAsia" w:ascii="Calibri" w:hAnsi="宋体" w:cs="Times New Roman"/>
          <w:color w:val="auto"/>
          <w:highlight w:val="none"/>
        </w:rPr>
        <w:t>承包人接收文件的地点：</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14C9C7E0">
      <w:pPr>
        <w:spacing w:line="360" w:lineRule="auto"/>
        <w:ind w:firstLine="420" w:firstLineChars="200"/>
        <w:rPr>
          <w:rFonts w:hint="eastAsia" w:ascii="Calibri" w:hAnsi="宋体" w:cs="Times New Roman"/>
          <w:color w:val="auto"/>
          <w:kern w:val="2"/>
          <w:highlight w:val="none"/>
        </w:rPr>
      </w:pPr>
      <w:r>
        <w:rPr>
          <w:rFonts w:hint="eastAsia" w:ascii="Calibri" w:hAnsi="宋体" w:cs="Times New Roman"/>
          <w:color w:val="auto"/>
          <w:highlight w:val="none"/>
        </w:rPr>
        <w:t>承包人指定的接收人为：</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64BCA98D">
      <w:pPr>
        <w:pStyle w:val="375"/>
        <w:pageBreakBefore w:val="0"/>
        <w:widowControl/>
        <w:kinsoku/>
        <w:wordWrap/>
        <w:overflowPunct/>
        <w:topLinePunct w:val="0"/>
        <w:bidi w:val="0"/>
        <w:spacing w:line="360" w:lineRule="auto"/>
        <w:ind w:firstLine="420" w:firstLineChars="200"/>
        <w:textAlignment w:val="auto"/>
        <w:rPr>
          <w:rFonts w:hint="eastAsia" w:ascii="Calibri" w:hAnsi="宋体" w:eastAsia="宋体" w:cs="Times New Roman"/>
          <w:color w:val="auto"/>
          <w:kern w:val="0"/>
          <w:sz w:val="21"/>
          <w:szCs w:val="21"/>
          <w:highlight w:val="none"/>
          <w:lang w:val="en-US" w:eastAsia="zh-CN" w:bidi="ar-SA"/>
        </w:rPr>
      </w:pPr>
      <w:r>
        <w:rPr>
          <w:rFonts w:hint="eastAsia" w:ascii="Calibri" w:hAnsi="宋体" w:eastAsia="宋体" w:cs="Times New Roman"/>
          <w:color w:val="auto"/>
          <w:kern w:val="0"/>
          <w:sz w:val="21"/>
          <w:szCs w:val="21"/>
          <w:highlight w:val="none"/>
          <w:lang w:val="en-US" w:eastAsia="zh-CN" w:bidi="ar-SA"/>
        </w:rPr>
        <w:t>承包人文件送达的形式：</w:t>
      </w:r>
      <w:r>
        <w:rPr>
          <w:rFonts w:hint="eastAsia" w:ascii="Calibri" w:hAnsi="宋体" w:eastAsia="宋体" w:cs="Times New Roman"/>
          <w:color w:val="auto"/>
          <w:kern w:val="0"/>
          <w:sz w:val="21"/>
          <w:szCs w:val="21"/>
          <w:highlight w:val="none"/>
          <w:u w:val="single"/>
          <w:lang w:val="en-US" w:eastAsia="zh-CN" w:bidi="ar-SA"/>
        </w:rPr>
        <w:t>书面文件、电子文件、公证送达</w:t>
      </w:r>
      <w:r>
        <w:rPr>
          <w:rFonts w:hint="eastAsia" w:ascii="Calibri" w:hAnsi="宋体" w:eastAsia="宋体" w:cs="Times New Roman"/>
          <w:color w:val="auto"/>
          <w:kern w:val="0"/>
          <w:sz w:val="21"/>
          <w:szCs w:val="21"/>
          <w:highlight w:val="none"/>
          <w:lang w:val="en-US" w:eastAsia="zh-CN" w:bidi="ar-SA"/>
        </w:rPr>
        <w:t>；</w:t>
      </w:r>
    </w:p>
    <w:p w14:paraId="46B17327">
      <w:pPr>
        <w:spacing w:line="360" w:lineRule="auto"/>
        <w:ind w:firstLine="420" w:firstLineChars="200"/>
        <w:rPr>
          <w:rFonts w:ascii="Calibri" w:hAnsi="Calibri" w:cs="Times New Roman"/>
          <w:color w:val="auto"/>
          <w:highlight w:val="none"/>
        </w:rPr>
      </w:pPr>
      <w:r>
        <w:rPr>
          <w:rFonts w:hint="eastAsia" w:ascii="Calibri" w:hAnsi="宋体" w:cs="Times New Roman"/>
          <w:color w:val="auto"/>
          <w:highlight w:val="none"/>
        </w:rPr>
        <w:t>监理人接收文件的地点：</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45149FDE">
      <w:pPr>
        <w:spacing w:line="360" w:lineRule="auto"/>
        <w:ind w:firstLine="420" w:firstLineChars="200"/>
        <w:rPr>
          <w:rFonts w:ascii="Calibri" w:hAnsi="Calibri" w:cs="Times New Roman"/>
          <w:color w:val="auto"/>
          <w:highlight w:val="none"/>
        </w:rPr>
      </w:pPr>
      <w:r>
        <w:rPr>
          <w:rFonts w:hint="eastAsia" w:ascii="Calibri" w:hAnsi="宋体" w:cs="Times New Roman"/>
          <w:color w:val="auto"/>
          <w:highlight w:val="none"/>
        </w:rPr>
        <w:t>监理人指定的接收人为：</w:t>
      </w:r>
      <w:r>
        <w:rPr>
          <w:rFonts w:ascii="Calibri" w:hAnsi="宋体" w:cs="Times New Roman"/>
          <w:color w:val="auto"/>
          <w:kern w:val="2"/>
          <w:highlight w:val="none"/>
          <w:u w:val="single"/>
        </w:rPr>
        <w:t xml:space="preserve">                 </w:t>
      </w:r>
      <w:r>
        <w:rPr>
          <w:rFonts w:hint="eastAsia" w:ascii="Calibri" w:hAnsi="宋体" w:cs="Times New Roman"/>
          <w:color w:val="auto"/>
          <w:highlight w:val="none"/>
        </w:rPr>
        <w:t>。</w:t>
      </w:r>
    </w:p>
    <w:p w14:paraId="3BAFE84D">
      <w:pPr>
        <w:keepNext/>
        <w:keepLines/>
        <w:spacing w:before="260" w:after="260" w:line="416" w:lineRule="auto"/>
        <w:outlineLvl w:val="2"/>
        <w:rPr>
          <w:rFonts w:ascii="Calibri" w:hAnsi="Calibri" w:cs="Times New Roman"/>
          <w:b/>
          <w:bCs/>
          <w:color w:val="auto"/>
          <w:kern w:val="2"/>
          <w:sz w:val="32"/>
          <w:szCs w:val="32"/>
          <w:highlight w:val="none"/>
        </w:rPr>
      </w:pPr>
      <w:bookmarkStart w:id="764" w:name="_Toc407135201"/>
      <w:bookmarkStart w:id="765" w:name="_Toc494549197"/>
      <w:bookmarkStart w:id="766" w:name="_Toc532840006"/>
      <w:bookmarkStart w:id="767" w:name="_Toc485400593"/>
      <w:bookmarkStart w:id="768" w:name="_Toc373478346"/>
      <w:bookmarkStart w:id="769" w:name="_Toc508894062"/>
      <w:bookmarkStart w:id="770" w:name="_Toc512691400"/>
      <w:bookmarkStart w:id="771" w:name="_Toc389065265"/>
      <w:bookmarkStart w:id="772" w:name="_Toc373227699"/>
      <w:bookmarkStart w:id="773" w:name="_Toc530658024"/>
      <w:bookmarkStart w:id="774" w:name="_Toc493774761"/>
      <w:r>
        <w:rPr>
          <w:rFonts w:ascii="Calibri" w:hAnsi="Calibri" w:cs="Times New Roman"/>
          <w:b/>
          <w:bCs/>
          <w:color w:val="auto"/>
          <w:kern w:val="2"/>
          <w:sz w:val="32"/>
          <w:szCs w:val="32"/>
          <w:highlight w:val="none"/>
        </w:rPr>
        <w:t xml:space="preserve">1.10 </w:t>
      </w:r>
      <w:r>
        <w:rPr>
          <w:rFonts w:hint="eastAsia" w:ascii="Calibri" w:hAnsi="宋体" w:cs="Times New Roman"/>
          <w:b/>
          <w:bCs/>
          <w:color w:val="auto"/>
          <w:kern w:val="2"/>
          <w:sz w:val="32"/>
          <w:szCs w:val="32"/>
          <w:highlight w:val="none"/>
        </w:rPr>
        <w:t>交通运输</w:t>
      </w:r>
      <w:bookmarkEnd w:id="764"/>
      <w:bookmarkEnd w:id="765"/>
      <w:bookmarkEnd w:id="766"/>
      <w:bookmarkEnd w:id="767"/>
      <w:bookmarkEnd w:id="768"/>
      <w:bookmarkEnd w:id="769"/>
      <w:bookmarkEnd w:id="770"/>
      <w:bookmarkEnd w:id="771"/>
      <w:bookmarkEnd w:id="772"/>
      <w:bookmarkEnd w:id="773"/>
      <w:bookmarkEnd w:id="774"/>
    </w:p>
    <w:p w14:paraId="452E9538">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1</w:t>
      </w:r>
      <w:bookmarkStart w:id="775" w:name="_Toc312677986"/>
      <w:bookmarkStart w:id="776" w:name="_Toc318581155"/>
      <w:bookmarkStart w:id="777" w:name="_Toc303539100"/>
      <w:bookmarkStart w:id="778" w:name="_Toc300934943"/>
      <w:bookmarkStart w:id="779" w:name="_Toc304295521"/>
      <w:r>
        <w:rPr>
          <w:rFonts w:ascii="Calibri" w:hAnsi="Calibri" w:cs="Times New Roman"/>
          <w:color w:val="auto"/>
          <w:kern w:val="2"/>
          <w:highlight w:val="none"/>
        </w:rPr>
        <w:t xml:space="preserve">.10.1 </w:t>
      </w:r>
      <w:r>
        <w:rPr>
          <w:rFonts w:hint="eastAsia" w:ascii="Calibri" w:hAnsi="宋体" w:cs="Times New Roman"/>
          <w:color w:val="auto"/>
          <w:kern w:val="2"/>
          <w:highlight w:val="none"/>
        </w:rPr>
        <w:t>出入现场的权利</w:t>
      </w:r>
    </w:p>
    <w:p w14:paraId="43BC4534">
      <w:pPr>
        <w:spacing w:line="360" w:lineRule="auto"/>
        <w:ind w:firstLine="420" w:firstLineChars="200"/>
        <w:rPr>
          <w:rFonts w:ascii="Calibri" w:hAnsi="Calibri" w:cs="Times New Roman"/>
          <w:color w:val="auto"/>
          <w:kern w:val="2"/>
          <w:highlight w:val="none"/>
          <w:u w:val="single"/>
        </w:rPr>
      </w:pPr>
      <w:r>
        <w:rPr>
          <w:rFonts w:hint="eastAsia" w:ascii="Calibri" w:hAnsi="宋体" w:cs="Times New Roman"/>
          <w:color w:val="auto"/>
          <w:kern w:val="2"/>
          <w:highlight w:val="none"/>
        </w:rPr>
        <w:t>关于出入现场的权利的约定：</w:t>
      </w:r>
      <w:r>
        <w:rPr>
          <w:rFonts w:hint="eastAsia" w:ascii="Calibri" w:hAnsi="宋体" w:cs="Times New Roman"/>
          <w:color w:val="auto"/>
          <w:kern w:val="2"/>
          <w:highlight w:val="none"/>
          <w:u w:val="single"/>
        </w:rPr>
        <w:t>与施工无关的人员需出入现场须经承发包双方同意</w:t>
      </w:r>
      <w:r>
        <w:rPr>
          <w:rFonts w:hint="eastAsia" w:ascii="Calibri" w:hAnsi="宋体" w:cs="Times New Roman"/>
          <w:color w:val="auto"/>
          <w:kern w:val="2"/>
          <w:highlight w:val="none"/>
        </w:rPr>
        <w:t>。</w:t>
      </w:r>
    </w:p>
    <w:bookmarkEnd w:id="775"/>
    <w:bookmarkEnd w:id="776"/>
    <w:bookmarkEnd w:id="777"/>
    <w:bookmarkEnd w:id="778"/>
    <w:bookmarkEnd w:id="779"/>
    <w:p w14:paraId="1A3A7DED">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1</w:t>
      </w:r>
      <w:bookmarkStart w:id="780" w:name="_Toc312677987"/>
      <w:bookmarkStart w:id="781" w:name="_Toc318581156"/>
      <w:bookmarkStart w:id="782" w:name="_Toc300934944"/>
      <w:bookmarkStart w:id="783" w:name="_Toc303539101"/>
      <w:bookmarkStart w:id="784" w:name="_Toc304295522"/>
      <w:r>
        <w:rPr>
          <w:rFonts w:ascii="Calibri" w:hAnsi="Calibri" w:cs="Times New Roman"/>
          <w:color w:val="auto"/>
          <w:kern w:val="2"/>
          <w:highlight w:val="none"/>
        </w:rPr>
        <w:t xml:space="preserve">.10.3 </w:t>
      </w:r>
      <w:r>
        <w:rPr>
          <w:rFonts w:hint="eastAsia" w:ascii="Calibri" w:hAnsi="宋体" w:cs="Times New Roman"/>
          <w:color w:val="auto"/>
          <w:kern w:val="2"/>
          <w:highlight w:val="none"/>
        </w:rPr>
        <w:t>场内交通</w:t>
      </w:r>
    </w:p>
    <w:p w14:paraId="169912C8">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关于场外交通和场内交通的边界的约定：</w:t>
      </w:r>
      <w:r>
        <w:rPr>
          <w:rFonts w:hint="eastAsia" w:ascii="Calibri" w:hAnsi="宋体" w:cs="Times New Roman"/>
          <w:color w:val="auto"/>
          <w:kern w:val="2"/>
          <w:highlight w:val="none"/>
          <w:u w:val="single"/>
        </w:rPr>
        <w:t>按经批准的施工组织设计规定</w:t>
      </w:r>
      <w:r>
        <w:rPr>
          <w:rFonts w:hint="eastAsia" w:ascii="Calibri" w:hAnsi="宋体" w:cs="Times New Roman"/>
          <w:color w:val="auto"/>
          <w:kern w:val="2"/>
          <w:highlight w:val="none"/>
        </w:rPr>
        <w:t>。</w:t>
      </w:r>
    </w:p>
    <w:p w14:paraId="481C6762">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关于发包人向承包人免费提供满足工程施工需要的场内道路和交通设施的约定：</w:t>
      </w:r>
      <w:r>
        <w:rPr>
          <w:rFonts w:hint="eastAsia" w:ascii="Calibri" w:hAnsi="宋体" w:cs="Times New Roman"/>
          <w:color w:val="auto"/>
          <w:kern w:val="2"/>
          <w:highlight w:val="none"/>
          <w:u w:val="single"/>
        </w:rPr>
        <w:t>按经批准的施工组织设计规定，工程竣工后承包人须恢复，施工现场内临时道路由承包人负责建设并承担相关费用</w:t>
      </w:r>
      <w:r>
        <w:rPr>
          <w:rFonts w:hint="eastAsia" w:ascii="Calibri" w:hAnsi="宋体" w:cs="Times New Roman"/>
          <w:color w:val="auto"/>
          <w:kern w:val="2"/>
          <w:highlight w:val="none"/>
        </w:rPr>
        <w:t>。</w:t>
      </w:r>
      <w:bookmarkEnd w:id="780"/>
      <w:bookmarkEnd w:id="781"/>
      <w:bookmarkEnd w:id="782"/>
      <w:bookmarkEnd w:id="783"/>
      <w:bookmarkEnd w:id="784"/>
      <w:bookmarkStart w:id="785" w:name="_Toc318581157"/>
    </w:p>
    <w:p w14:paraId="190175E3">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1.10.4 </w:t>
      </w:r>
      <w:r>
        <w:rPr>
          <w:rFonts w:hint="eastAsia" w:ascii="Calibri" w:hAnsi="宋体" w:cs="Times New Roman"/>
          <w:color w:val="auto"/>
          <w:kern w:val="2"/>
          <w:highlight w:val="none"/>
        </w:rPr>
        <w:t>超大件和超重件的运输</w:t>
      </w:r>
    </w:p>
    <w:p w14:paraId="54AF001F">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运输超大件或超重件所需的道路和桥梁临时加固改造费用和其他有关费用由</w:t>
      </w:r>
      <w:r>
        <w:rPr>
          <w:rFonts w:hint="eastAsia" w:ascii="Calibri" w:hAnsi="Calibri" w:cs="Times New Roman"/>
          <w:color w:val="auto"/>
          <w:kern w:val="2"/>
          <w:highlight w:val="none"/>
          <w:u w:val="single"/>
        </w:rPr>
        <w:t>承包人</w:t>
      </w:r>
      <w:r>
        <w:rPr>
          <w:rFonts w:hint="eastAsia" w:ascii="Calibri" w:hAnsi="宋体" w:cs="Times New Roman"/>
          <w:color w:val="auto"/>
          <w:kern w:val="2"/>
          <w:highlight w:val="none"/>
        </w:rPr>
        <w:t>承担。</w:t>
      </w:r>
    </w:p>
    <w:bookmarkEnd w:id="785"/>
    <w:p w14:paraId="1F420A68">
      <w:pPr>
        <w:keepNext/>
        <w:keepLines/>
        <w:spacing w:before="260" w:after="260" w:line="416" w:lineRule="auto"/>
        <w:outlineLvl w:val="2"/>
        <w:rPr>
          <w:rFonts w:ascii="Calibri" w:hAnsi="Calibri" w:cs="Times New Roman"/>
          <w:b/>
          <w:bCs/>
          <w:color w:val="auto"/>
          <w:kern w:val="2"/>
          <w:sz w:val="32"/>
          <w:szCs w:val="32"/>
          <w:highlight w:val="none"/>
        </w:rPr>
      </w:pPr>
      <w:bookmarkStart w:id="786" w:name="_Toc493774762"/>
      <w:bookmarkStart w:id="787" w:name="_Toc373227700"/>
      <w:bookmarkStart w:id="788" w:name="_Toc485400594"/>
      <w:bookmarkStart w:id="789" w:name="_Toc508894063"/>
      <w:bookmarkStart w:id="790" w:name="_Toc512691401"/>
      <w:bookmarkStart w:id="791" w:name="_Toc389065266"/>
      <w:bookmarkStart w:id="792" w:name="_Toc532840007"/>
      <w:bookmarkStart w:id="793" w:name="_Toc530658025"/>
      <w:bookmarkStart w:id="794" w:name="_Toc494549198"/>
      <w:bookmarkStart w:id="795" w:name="_Toc373478347"/>
      <w:bookmarkStart w:id="796" w:name="_Toc407135202"/>
      <w:r>
        <w:rPr>
          <w:rFonts w:ascii="Calibri" w:hAnsi="Calibri" w:cs="Times New Roman"/>
          <w:b/>
          <w:bCs/>
          <w:color w:val="auto"/>
          <w:kern w:val="2"/>
          <w:sz w:val="32"/>
          <w:szCs w:val="32"/>
          <w:highlight w:val="none"/>
        </w:rPr>
        <w:t xml:space="preserve">1.11 </w:t>
      </w:r>
      <w:r>
        <w:rPr>
          <w:rFonts w:hint="eastAsia" w:ascii="Calibri" w:hAnsi="宋体" w:cs="Times New Roman"/>
          <w:b/>
          <w:bCs/>
          <w:color w:val="auto"/>
          <w:kern w:val="2"/>
          <w:sz w:val="32"/>
          <w:szCs w:val="32"/>
          <w:highlight w:val="none"/>
        </w:rPr>
        <w:t>知识产权</w:t>
      </w:r>
      <w:bookmarkEnd w:id="786"/>
      <w:bookmarkEnd w:id="787"/>
      <w:bookmarkEnd w:id="788"/>
      <w:bookmarkEnd w:id="789"/>
      <w:bookmarkEnd w:id="790"/>
      <w:bookmarkEnd w:id="791"/>
      <w:bookmarkEnd w:id="792"/>
      <w:bookmarkEnd w:id="793"/>
      <w:bookmarkEnd w:id="794"/>
      <w:bookmarkEnd w:id="795"/>
      <w:bookmarkEnd w:id="796"/>
    </w:p>
    <w:p w14:paraId="76BD0DA1">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1.11.1 </w:t>
      </w:r>
      <w:r>
        <w:rPr>
          <w:rFonts w:hint="eastAsia" w:ascii="Calibri" w:hAnsi="宋体" w:cs="Times New Roman"/>
          <w:color w:val="auto"/>
          <w:kern w:val="2"/>
          <w:highlight w:val="none"/>
        </w:rPr>
        <w:t>关于发包人提供给承包人的图纸、发包人为实施工程自行编制或委托编制的技术规范以及反映发包人关于合同要求或其他类似性质的文件的著作权的归属：</w:t>
      </w:r>
      <w:r>
        <w:rPr>
          <w:rFonts w:hint="eastAsia" w:ascii="Calibri" w:hAnsi="宋体" w:cs="Times New Roman"/>
          <w:color w:val="auto"/>
          <w:kern w:val="2"/>
          <w:highlight w:val="none"/>
          <w:u w:val="single"/>
        </w:rPr>
        <w:t>发包人</w:t>
      </w:r>
      <w:r>
        <w:rPr>
          <w:rFonts w:hint="eastAsia" w:ascii="Calibri" w:hAnsi="宋体" w:cs="Times New Roman"/>
          <w:color w:val="auto"/>
          <w:kern w:val="2"/>
          <w:highlight w:val="none"/>
        </w:rPr>
        <w:t>。</w:t>
      </w:r>
    </w:p>
    <w:p w14:paraId="0598D352">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关于发包人提供的上述文件的使用限制的要求：</w:t>
      </w:r>
      <w:r>
        <w:rPr>
          <w:rFonts w:hint="eastAsia" w:ascii="Calibri" w:hAnsi="Calibri" w:cs="Times New Roman"/>
          <w:color w:val="auto"/>
          <w:kern w:val="2"/>
          <w:highlight w:val="none"/>
          <w:u w:val="single"/>
        </w:rPr>
        <w:t>只能用于本项目，未经发包人同意不得向第三方提供图纸</w:t>
      </w:r>
      <w:r>
        <w:rPr>
          <w:rFonts w:hint="eastAsia" w:ascii="Calibri" w:hAnsi="宋体" w:cs="Times New Roman"/>
          <w:color w:val="auto"/>
          <w:kern w:val="2"/>
          <w:highlight w:val="none"/>
        </w:rPr>
        <w:t>。</w:t>
      </w:r>
    </w:p>
    <w:p w14:paraId="6FBBBFE9">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1.11.2 </w:t>
      </w:r>
      <w:r>
        <w:rPr>
          <w:rFonts w:hint="eastAsia" w:ascii="Calibri" w:hAnsi="宋体" w:cs="Times New Roman"/>
          <w:color w:val="auto"/>
          <w:kern w:val="2"/>
          <w:highlight w:val="none"/>
        </w:rPr>
        <w:t>关于承包人为实施工程所编制文件的著作权的归属：</w:t>
      </w:r>
      <w:r>
        <w:rPr>
          <w:rFonts w:hint="eastAsia" w:ascii="Calibri" w:hAnsi="Calibri" w:cs="Times New Roman"/>
          <w:color w:val="auto"/>
          <w:kern w:val="2"/>
          <w:highlight w:val="none"/>
          <w:u w:val="single"/>
        </w:rPr>
        <w:t>承包人、发包人</w:t>
      </w:r>
      <w:r>
        <w:rPr>
          <w:rFonts w:hint="eastAsia" w:ascii="Calibri" w:hAnsi="宋体" w:cs="Times New Roman"/>
          <w:color w:val="auto"/>
          <w:kern w:val="2"/>
          <w:highlight w:val="none"/>
        </w:rPr>
        <w:t>。</w:t>
      </w:r>
    </w:p>
    <w:p w14:paraId="5E4A8F7F">
      <w:pPr>
        <w:spacing w:line="360" w:lineRule="auto"/>
        <w:ind w:firstLine="420" w:firstLineChars="200"/>
        <w:rPr>
          <w:rFonts w:ascii="Calibri" w:hAnsi="Calibri" w:cs="Times New Roman"/>
          <w:color w:val="auto"/>
          <w:kern w:val="2"/>
          <w:highlight w:val="none"/>
          <w:u w:val="single"/>
        </w:rPr>
      </w:pPr>
      <w:r>
        <w:rPr>
          <w:rFonts w:hint="eastAsia" w:ascii="Calibri" w:hAnsi="宋体" w:cs="Times New Roman"/>
          <w:color w:val="auto"/>
          <w:kern w:val="2"/>
          <w:highlight w:val="none"/>
        </w:rPr>
        <w:t>关于承包人提供的上述文件的使用限制的要求：</w:t>
      </w:r>
      <w:r>
        <w:rPr>
          <w:rFonts w:hint="eastAsia" w:ascii="Calibri" w:hAnsi="宋体" w:cs="Times New Roman"/>
          <w:color w:val="auto"/>
          <w:kern w:val="2"/>
          <w:highlight w:val="none"/>
          <w:u w:val="single"/>
        </w:rPr>
        <w:t>只能用于本工地施工、保修，未经承包人同意不得向第三方提供</w:t>
      </w:r>
      <w:r>
        <w:rPr>
          <w:rFonts w:hint="eastAsia" w:ascii="Calibri" w:hAnsi="宋体" w:cs="Times New Roman"/>
          <w:color w:val="auto"/>
          <w:kern w:val="2"/>
          <w:highlight w:val="none"/>
        </w:rPr>
        <w:t>。</w:t>
      </w:r>
    </w:p>
    <w:p w14:paraId="2C1E641F">
      <w:pPr>
        <w:spacing w:line="360" w:lineRule="auto"/>
        <w:ind w:firstLine="420" w:firstLineChars="200"/>
        <w:rPr>
          <w:rFonts w:ascii="Calibri" w:hAnsi="Calibri" w:cs="Times New Roman"/>
          <w:color w:val="auto"/>
          <w:highlight w:val="none"/>
        </w:rPr>
      </w:pPr>
      <w:r>
        <w:rPr>
          <w:rFonts w:ascii="Calibri" w:hAnsi="Calibri" w:cs="Times New Roman"/>
          <w:color w:val="auto"/>
          <w:kern w:val="2"/>
          <w:highlight w:val="none"/>
        </w:rPr>
        <w:t xml:space="preserve">1.11.4 </w:t>
      </w:r>
      <w:r>
        <w:rPr>
          <w:rFonts w:hint="eastAsia" w:ascii="Calibri" w:hAnsi="宋体" w:cs="Times New Roman"/>
          <w:color w:val="auto"/>
          <w:kern w:val="2"/>
          <w:highlight w:val="none"/>
        </w:rPr>
        <w:t>承包人在施工过程中所采用的专利、专有技术、技术秘密的使用费的承担方式：</w:t>
      </w:r>
      <w:r>
        <w:rPr>
          <w:rFonts w:hint="eastAsia" w:ascii="Calibri" w:hAnsi="宋体" w:cs="Times New Roman"/>
          <w:color w:val="auto"/>
          <w:kern w:val="2"/>
          <w:highlight w:val="none"/>
          <w:u w:val="single"/>
        </w:rPr>
        <w:t>由承包人承担</w:t>
      </w:r>
      <w:r>
        <w:rPr>
          <w:rFonts w:hint="eastAsia" w:ascii="Calibri" w:hAnsi="宋体" w:cs="Times New Roman"/>
          <w:color w:val="auto"/>
          <w:highlight w:val="none"/>
        </w:rPr>
        <w:t>。</w:t>
      </w:r>
    </w:p>
    <w:p w14:paraId="4E52BC4E">
      <w:pPr>
        <w:keepNext/>
        <w:keepLines/>
        <w:spacing w:before="260" w:after="260" w:line="416" w:lineRule="auto"/>
        <w:outlineLvl w:val="2"/>
        <w:rPr>
          <w:rFonts w:ascii="Calibri" w:hAnsi="Calibri" w:cs="Times New Roman"/>
          <w:b/>
          <w:bCs/>
          <w:color w:val="auto"/>
          <w:kern w:val="2"/>
          <w:sz w:val="32"/>
          <w:szCs w:val="32"/>
          <w:highlight w:val="none"/>
        </w:rPr>
      </w:pPr>
      <w:bookmarkStart w:id="797" w:name="_Toc373478348"/>
      <w:bookmarkStart w:id="798" w:name="_Toc407135203"/>
      <w:bookmarkStart w:id="799" w:name="_Toc530658026"/>
      <w:bookmarkStart w:id="800" w:name="_Toc373227701"/>
      <w:bookmarkStart w:id="801" w:name="_Toc532840008"/>
      <w:bookmarkStart w:id="802" w:name="_Toc493774763"/>
      <w:bookmarkStart w:id="803" w:name="_Toc512691402"/>
      <w:bookmarkStart w:id="804" w:name="_Toc508894064"/>
      <w:bookmarkStart w:id="805" w:name="_Toc485400595"/>
      <w:bookmarkStart w:id="806" w:name="_Toc494549199"/>
      <w:bookmarkStart w:id="807" w:name="_Toc389065267"/>
      <w:r>
        <w:rPr>
          <w:rFonts w:ascii="Calibri" w:hAnsi="Calibri" w:cs="Times New Roman"/>
          <w:b/>
          <w:bCs/>
          <w:color w:val="auto"/>
          <w:kern w:val="2"/>
          <w:sz w:val="32"/>
          <w:szCs w:val="32"/>
          <w:highlight w:val="none"/>
        </w:rPr>
        <w:t>1.13</w:t>
      </w:r>
      <w:r>
        <w:rPr>
          <w:rFonts w:hint="eastAsia" w:ascii="Calibri" w:hAnsi="Calibri" w:cs="Times New Roman"/>
          <w:b/>
          <w:bCs/>
          <w:color w:val="auto"/>
          <w:kern w:val="2"/>
          <w:sz w:val="32"/>
          <w:szCs w:val="32"/>
          <w:highlight w:val="none"/>
        </w:rPr>
        <w:t>工程量清单错误的修正</w:t>
      </w:r>
      <w:bookmarkEnd w:id="797"/>
      <w:bookmarkEnd w:id="798"/>
      <w:bookmarkEnd w:id="799"/>
      <w:bookmarkEnd w:id="800"/>
      <w:bookmarkEnd w:id="801"/>
      <w:bookmarkEnd w:id="802"/>
      <w:bookmarkEnd w:id="803"/>
      <w:bookmarkEnd w:id="804"/>
      <w:bookmarkEnd w:id="805"/>
      <w:bookmarkEnd w:id="806"/>
      <w:bookmarkEnd w:id="807"/>
    </w:p>
    <w:p w14:paraId="1B988FAB">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出现工程量清单工程量偏差时，是否调整合同价格：</w:t>
      </w:r>
      <w:r>
        <w:rPr>
          <w:rFonts w:hint="eastAsia" w:ascii="Calibri" w:hAnsi="Calibri" w:cs="Times New Roman"/>
          <w:color w:val="auto"/>
          <w:kern w:val="2"/>
          <w:highlight w:val="none"/>
          <w:u w:val="single"/>
        </w:rPr>
        <w:t>是，合同履行期间，由于招标工程量清单缺项、漏项，新增分部分项工程清单项目的，按照以下规定确定单价，并调整合同价格：（</w:t>
      </w:r>
      <w:r>
        <w:rPr>
          <w:rFonts w:ascii="Calibri" w:hAnsi="Calibri" w:cs="Times New Roman"/>
          <w:color w:val="auto"/>
          <w:kern w:val="2"/>
          <w:highlight w:val="none"/>
          <w:u w:val="single"/>
        </w:rPr>
        <w:t>1</w:t>
      </w:r>
      <w:r>
        <w:rPr>
          <w:rFonts w:hint="eastAsia" w:ascii="Calibri" w:hAnsi="Calibri" w:cs="Times New Roman"/>
          <w:color w:val="auto"/>
          <w:kern w:val="2"/>
          <w:highlight w:val="none"/>
          <w:u w:val="single"/>
        </w:rPr>
        <w:t>）合同中已有适用的综合单价，按合同中已有的综合单价确定；（</w:t>
      </w:r>
      <w:r>
        <w:rPr>
          <w:rFonts w:ascii="Calibri" w:hAnsi="Calibri" w:cs="Times New Roman"/>
          <w:color w:val="auto"/>
          <w:kern w:val="2"/>
          <w:highlight w:val="none"/>
          <w:u w:val="single"/>
        </w:rPr>
        <w:t>2</w:t>
      </w:r>
      <w:r>
        <w:rPr>
          <w:rFonts w:hint="eastAsia" w:ascii="Calibri" w:hAnsi="Calibri" w:cs="Times New Roman"/>
          <w:color w:val="auto"/>
          <w:kern w:val="2"/>
          <w:highlight w:val="none"/>
          <w:u w:val="single"/>
        </w:rPr>
        <w:t>）合同中有类似的综合单价，参照类似的综合单价确定；（</w:t>
      </w:r>
      <w:r>
        <w:rPr>
          <w:rFonts w:ascii="Calibri" w:hAnsi="Calibri" w:cs="Times New Roman"/>
          <w:color w:val="auto"/>
          <w:kern w:val="2"/>
          <w:highlight w:val="none"/>
          <w:u w:val="single"/>
        </w:rPr>
        <w:t>3</w:t>
      </w:r>
      <w:r>
        <w:rPr>
          <w:rFonts w:hint="eastAsia" w:ascii="Calibri" w:hAnsi="Calibri" w:cs="Times New Roman"/>
          <w:color w:val="auto"/>
          <w:kern w:val="2"/>
          <w:highlight w:val="none"/>
          <w:u w:val="single"/>
        </w:rPr>
        <w:t>）合同中没有适用或类似的综合单价，由承包人提出综合单价，经发包人确认后执行。由于招标工程量清单项目多列或重复列项的，按照投标人投标综合单价确定单价，并调整合同价格。</w:t>
      </w:r>
    </w:p>
    <w:p w14:paraId="578CE1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宋体" w:cs="Times New Roman"/>
          <w:color w:val="auto"/>
          <w:kern w:val="2"/>
          <w:highlight w:val="none"/>
        </w:rPr>
      </w:pPr>
      <w:r>
        <w:rPr>
          <w:rFonts w:hint="eastAsia" w:ascii="Calibri" w:hAnsi="宋体" w:cs="Times New Roman"/>
          <w:color w:val="auto"/>
          <w:kern w:val="2"/>
          <w:highlight w:val="none"/>
        </w:rPr>
        <w:t>允许调整合同价格的工程量偏差范围及其调整办法：</w:t>
      </w:r>
    </w:p>
    <w:p w14:paraId="059429E5">
      <w:pPr>
        <w:keepNext w:val="0"/>
        <w:keepLines w:val="0"/>
        <w:pageBreakBefore w:val="0"/>
        <w:widowControl w:val="0"/>
        <w:kinsoku/>
        <w:wordWrap/>
        <w:overflowPunct/>
        <w:topLinePunct w:val="0"/>
        <w:bidi w:val="0"/>
        <w:adjustRightInd w:val="0"/>
        <w:snapToGrid w:val="0"/>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允许调整合同价格的工程量偏差范围：</w:t>
      </w:r>
    </w:p>
    <w:p w14:paraId="4496AC6C">
      <w:pPr>
        <w:keepNext w:val="0"/>
        <w:keepLines w:val="0"/>
        <w:pageBreakBefore w:val="0"/>
        <w:widowControl w:val="0"/>
        <w:kinsoku/>
        <w:wordWrap/>
        <w:overflowPunct/>
        <w:topLinePunct w:val="0"/>
        <w:bidi w:val="0"/>
        <w:adjustRightInd w:val="0"/>
        <w:snapToGrid w:val="0"/>
        <w:spacing w:line="400" w:lineRule="exact"/>
        <w:ind w:firstLine="420" w:firstLineChars="200"/>
        <w:jc w:val="lef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工程量清单存在缺项、漏项的,按实计算。</w:t>
      </w:r>
    </w:p>
    <w:p w14:paraId="13221075">
      <w:pPr>
        <w:keepNext w:val="0"/>
        <w:keepLines w:val="0"/>
        <w:pageBreakBefore w:val="0"/>
        <w:widowControl w:val="0"/>
        <w:kinsoku/>
        <w:wordWrap/>
        <w:overflowPunct/>
        <w:topLinePunct w:val="0"/>
        <w:bidi w:val="0"/>
        <w:adjustRightInd w:val="0"/>
        <w:snapToGrid w:val="0"/>
        <w:spacing w:line="400" w:lineRule="exact"/>
        <w:ind w:firstLine="420" w:firstLineChars="200"/>
        <w:jc w:val="left"/>
        <w:textAlignment w:val="auto"/>
        <w:outlineLvl w:val="9"/>
        <w:rPr>
          <w:rFonts w:hint="eastAsia" w:ascii="仿宋" w:hAnsi="仿宋" w:eastAsia="仿宋" w:cs="仿宋"/>
          <w:color w:val="auto"/>
          <w:sz w:val="24"/>
          <w:szCs w:val="24"/>
          <w:highlight w:val="none"/>
          <w:u w:val="single"/>
        </w:rPr>
      </w:pP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除严重不平衡报价外，无论分部分项工程量清单项目中的工程量变化多少均不调整</w:t>
      </w:r>
      <w:r>
        <w:rPr>
          <w:rFonts w:hint="eastAsia" w:ascii="宋体" w:hAnsi="宋体" w:eastAsia="宋体" w:cs="宋体"/>
          <w:color w:val="auto"/>
          <w:sz w:val="21"/>
          <w:szCs w:val="21"/>
          <w:highlight w:val="none"/>
          <w:u w:val="single"/>
          <w:lang w:val="en-US" w:eastAsia="zh-CN"/>
        </w:rPr>
        <w:t>单价</w:t>
      </w:r>
      <w:r>
        <w:rPr>
          <w:rFonts w:hint="eastAsia" w:ascii="宋体" w:hAnsi="宋体" w:eastAsia="宋体" w:cs="宋体"/>
          <w:color w:val="auto"/>
          <w:sz w:val="21"/>
          <w:szCs w:val="21"/>
          <w:highlight w:val="none"/>
          <w:u w:val="single"/>
        </w:rPr>
        <w:t>。</w:t>
      </w:r>
    </w:p>
    <w:p w14:paraId="55F0C29A">
      <w:pPr>
        <w:keepNext/>
        <w:keepLines/>
        <w:spacing w:line="360" w:lineRule="auto"/>
        <w:outlineLvl w:val="2"/>
        <w:rPr>
          <w:rFonts w:ascii="Cambria" w:hAnsi="Cambria" w:cs="Times New Roman"/>
          <w:color w:val="auto"/>
          <w:kern w:val="2"/>
          <w:sz w:val="32"/>
          <w:szCs w:val="32"/>
          <w:highlight w:val="none"/>
          <w:lang w:val="zh-CN"/>
        </w:rPr>
      </w:pPr>
      <w:bookmarkStart w:id="808" w:name="_Toc512691403"/>
      <w:bookmarkStart w:id="809" w:name="_Toc493774764"/>
      <w:bookmarkStart w:id="810" w:name="_Toc407135204"/>
      <w:bookmarkStart w:id="811" w:name="_Toc485400596"/>
      <w:bookmarkStart w:id="812" w:name="_Toc389065268"/>
      <w:bookmarkStart w:id="813" w:name="_Toc508894065"/>
      <w:bookmarkStart w:id="814" w:name="_Toc351203634"/>
      <w:bookmarkStart w:id="815" w:name="_Toc373478349"/>
      <w:bookmarkStart w:id="816" w:name="_Toc373227702"/>
      <w:bookmarkStart w:id="817" w:name="_Toc494549200"/>
      <w:bookmarkStart w:id="818" w:name="_Toc532840009"/>
      <w:bookmarkStart w:id="819" w:name="_Toc530658027"/>
    </w:p>
    <w:p w14:paraId="6A499B03">
      <w:pPr>
        <w:keepNext/>
        <w:keepLines/>
        <w:spacing w:line="360" w:lineRule="auto"/>
        <w:outlineLvl w:val="2"/>
        <w:rPr>
          <w:rFonts w:ascii="Cambria" w:hAnsi="Cambria" w:cs="Times New Roman"/>
          <w:color w:val="auto"/>
          <w:kern w:val="2"/>
          <w:sz w:val="32"/>
          <w:szCs w:val="32"/>
          <w:highlight w:val="none"/>
          <w:lang w:val="zh-CN"/>
        </w:rPr>
      </w:pPr>
      <w:r>
        <w:rPr>
          <w:rFonts w:ascii="Cambria" w:hAnsi="Cambria" w:cs="Times New Roman"/>
          <w:color w:val="auto"/>
          <w:kern w:val="2"/>
          <w:sz w:val="32"/>
          <w:szCs w:val="32"/>
          <w:highlight w:val="none"/>
          <w:lang w:val="zh-CN"/>
        </w:rPr>
        <w:t>2</w:t>
      </w:r>
      <w:bookmarkStart w:id="820" w:name="_Toc296503157"/>
      <w:bookmarkStart w:id="821" w:name="_Toc297048343"/>
      <w:bookmarkStart w:id="822" w:name="_Toc296347156"/>
      <w:bookmarkStart w:id="823" w:name="_Toc296891197"/>
      <w:bookmarkStart w:id="824" w:name="_Toc292559362"/>
      <w:bookmarkStart w:id="825" w:name="_Toc296346658"/>
      <w:bookmarkStart w:id="826" w:name="_Toc296890985"/>
      <w:bookmarkStart w:id="827" w:name="_Toc292559867"/>
      <w:bookmarkStart w:id="828" w:name="_Toc297120457"/>
      <w:bookmarkStart w:id="829" w:name="_Toc296944496"/>
      <w:r>
        <w:rPr>
          <w:rFonts w:ascii="Cambria" w:hAnsi="Cambria" w:cs="Times New Roman"/>
          <w:color w:val="auto"/>
          <w:kern w:val="2"/>
          <w:sz w:val="32"/>
          <w:szCs w:val="32"/>
          <w:highlight w:val="none"/>
          <w:lang w:val="zh-CN"/>
        </w:rPr>
        <w:t xml:space="preserve">. </w:t>
      </w:r>
      <w:r>
        <w:rPr>
          <w:rFonts w:hint="eastAsia" w:ascii="Cambria" w:hAnsi="宋体" w:cs="Times New Roman"/>
          <w:color w:val="auto"/>
          <w:kern w:val="2"/>
          <w:sz w:val="32"/>
          <w:szCs w:val="32"/>
          <w:highlight w:val="none"/>
          <w:lang w:val="zh-CN"/>
        </w:rPr>
        <w:t>发包人</w:t>
      </w:r>
      <w:bookmarkEnd w:id="808"/>
      <w:bookmarkEnd w:id="809"/>
      <w:bookmarkEnd w:id="810"/>
      <w:bookmarkEnd w:id="811"/>
      <w:bookmarkEnd w:id="812"/>
      <w:bookmarkEnd w:id="813"/>
      <w:bookmarkEnd w:id="814"/>
      <w:bookmarkEnd w:id="815"/>
      <w:bookmarkEnd w:id="816"/>
      <w:bookmarkEnd w:id="817"/>
      <w:bookmarkEnd w:id="818"/>
      <w:bookmarkEnd w:id="819"/>
    </w:p>
    <w:bookmarkEnd w:id="820"/>
    <w:bookmarkEnd w:id="821"/>
    <w:bookmarkEnd w:id="822"/>
    <w:bookmarkEnd w:id="823"/>
    <w:bookmarkEnd w:id="824"/>
    <w:bookmarkEnd w:id="825"/>
    <w:bookmarkEnd w:id="826"/>
    <w:bookmarkEnd w:id="827"/>
    <w:bookmarkEnd w:id="828"/>
    <w:bookmarkEnd w:id="829"/>
    <w:p w14:paraId="7AF500D8">
      <w:pPr>
        <w:keepNext/>
        <w:keepLines/>
        <w:spacing w:before="260" w:after="260" w:line="416" w:lineRule="auto"/>
        <w:outlineLvl w:val="2"/>
        <w:rPr>
          <w:rFonts w:ascii="Calibri" w:hAnsi="Calibri" w:cs="Times New Roman"/>
          <w:b/>
          <w:bCs/>
          <w:color w:val="auto"/>
          <w:kern w:val="2"/>
          <w:sz w:val="32"/>
          <w:szCs w:val="32"/>
          <w:highlight w:val="none"/>
        </w:rPr>
      </w:pPr>
      <w:bookmarkStart w:id="830" w:name="_Toc532840010"/>
      <w:bookmarkStart w:id="831" w:name="_Toc389065269"/>
      <w:bookmarkStart w:id="832" w:name="_Toc373478350"/>
      <w:bookmarkStart w:id="833" w:name="_Toc485400597"/>
      <w:bookmarkStart w:id="834" w:name="_Toc493774765"/>
      <w:bookmarkStart w:id="835" w:name="_Toc407135205"/>
      <w:bookmarkStart w:id="836" w:name="_Toc512691404"/>
      <w:bookmarkStart w:id="837" w:name="_Toc494549201"/>
      <w:bookmarkStart w:id="838" w:name="_Toc373227703"/>
      <w:bookmarkStart w:id="839" w:name="_Toc508894066"/>
      <w:bookmarkStart w:id="840" w:name="_Toc530658028"/>
      <w:r>
        <w:rPr>
          <w:rFonts w:ascii="Calibri" w:hAnsi="Calibri" w:cs="Times New Roman"/>
          <w:b/>
          <w:bCs/>
          <w:color w:val="auto"/>
          <w:kern w:val="2"/>
          <w:sz w:val="32"/>
          <w:szCs w:val="32"/>
          <w:highlight w:val="none"/>
        </w:rPr>
        <w:t xml:space="preserve">2.2 </w:t>
      </w:r>
      <w:r>
        <w:rPr>
          <w:rFonts w:hint="eastAsia" w:ascii="Calibri" w:hAnsi="宋体" w:cs="Times New Roman"/>
          <w:b/>
          <w:bCs/>
          <w:color w:val="auto"/>
          <w:kern w:val="2"/>
          <w:sz w:val="32"/>
          <w:szCs w:val="32"/>
          <w:highlight w:val="none"/>
        </w:rPr>
        <w:t>发包人代表</w:t>
      </w:r>
      <w:bookmarkEnd w:id="830"/>
      <w:bookmarkEnd w:id="831"/>
      <w:bookmarkEnd w:id="832"/>
      <w:bookmarkEnd w:id="833"/>
      <w:bookmarkEnd w:id="834"/>
      <w:bookmarkEnd w:id="835"/>
      <w:bookmarkEnd w:id="836"/>
      <w:bookmarkEnd w:id="837"/>
      <w:bookmarkEnd w:id="838"/>
      <w:bookmarkEnd w:id="839"/>
      <w:bookmarkEnd w:id="840"/>
    </w:p>
    <w:p w14:paraId="2404022B">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发包人代表：</w:t>
      </w:r>
    </w:p>
    <w:p w14:paraId="4D5E9E01">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姓</w:t>
      </w:r>
      <w:r>
        <w:rPr>
          <w:rFonts w:ascii="Calibri" w:hAnsi="Calibri" w:cs="Times New Roman"/>
          <w:color w:val="auto"/>
          <w:kern w:val="2"/>
          <w:highlight w:val="none"/>
        </w:rPr>
        <w:t xml:space="preserve">    </w:t>
      </w:r>
      <w:r>
        <w:rPr>
          <w:rFonts w:hint="eastAsia" w:ascii="Calibri" w:hAnsi="宋体" w:cs="Times New Roman"/>
          <w:color w:val="auto"/>
          <w:kern w:val="2"/>
          <w:highlight w:val="none"/>
        </w:rPr>
        <w:t>名：</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15DE976B">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身份证号：</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385B0B70">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职</w:t>
      </w:r>
      <w:r>
        <w:rPr>
          <w:rFonts w:ascii="Calibri" w:hAnsi="Calibri" w:cs="Times New Roman"/>
          <w:color w:val="auto"/>
          <w:kern w:val="2"/>
          <w:highlight w:val="none"/>
        </w:rPr>
        <w:t xml:space="preserve">    </w:t>
      </w:r>
      <w:r>
        <w:rPr>
          <w:rFonts w:hint="eastAsia" w:ascii="Calibri" w:hAnsi="宋体" w:cs="Times New Roman"/>
          <w:color w:val="auto"/>
          <w:kern w:val="2"/>
          <w:highlight w:val="none"/>
        </w:rPr>
        <w:t>务：</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3A98D866">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联系电话：</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6E151643">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电子信箱：</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2FFD5790">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通信地址：</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0A379ACC">
      <w:pPr>
        <w:spacing w:line="360" w:lineRule="auto"/>
        <w:ind w:firstLine="420" w:firstLineChars="200"/>
        <w:rPr>
          <w:rFonts w:ascii="Calibri" w:hAnsi="Calibri" w:cs="Times New Roman"/>
          <w:color w:val="auto"/>
          <w:kern w:val="2"/>
          <w:highlight w:val="none"/>
          <w:u w:val="single"/>
        </w:rPr>
      </w:pPr>
      <w:r>
        <w:rPr>
          <w:rFonts w:hint="eastAsia" w:ascii="Calibri" w:hAnsi="宋体" w:cs="Times New Roman"/>
          <w:color w:val="auto"/>
          <w:kern w:val="2"/>
          <w:highlight w:val="none"/>
        </w:rPr>
        <w:t>发包人对发包人代表的授权范围如下：</w:t>
      </w:r>
      <w:r>
        <w:rPr>
          <w:rFonts w:hint="eastAsia" w:ascii="Calibri" w:hAnsi="宋体" w:cs="Times New Roman"/>
          <w:color w:val="auto"/>
          <w:kern w:val="2"/>
          <w:highlight w:val="none"/>
          <w:u w:val="single"/>
        </w:rPr>
        <w:t>对工程进度、质量进行监督，办理中间交工工程验收手续，负责现场签证，解决由发包人授权处理的事宜</w:t>
      </w:r>
      <w:r>
        <w:rPr>
          <w:rFonts w:hint="eastAsia" w:ascii="Calibri" w:hAnsi="宋体" w:cs="Times New Roman"/>
          <w:color w:val="auto"/>
          <w:kern w:val="2"/>
          <w:highlight w:val="none"/>
        </w:rPr>
        <w:t>。</w:t>
      </w:r>
    </w:p>
    <w:p w14:paraId="02AE2427">
      <w:pPr>
        <w:keepNext/>
        <w:keepLines/>
        <w:spacing w:before="260" w:after="260" w:line="416" w:lineRule="auto"/>
        <w:outlineLvl w:val="2"/>
        <w:rPr>
          <w:rFonts w:ascii="Calibri" w:hAnsi="Calibri" w:cs="Times New Roman"/>
          <w:b/>
          <w:bCs/>
          <w:color w:val="auto"/>
          <w:kern w:val="2"/>
          <w:sz w:val="32"/>
          <w:szCs w:val="32"/>
          <w:highlight w:val="none"/>
        </w:rPr>
      </w:pPr>
      <w:bookmarkStart w:id="841" w:name="_Toc407135206"/>
      <w:bookmarkStart w:id="842" w:name="_Toc512691405"/>
      <w:bookmarkStart w:id="843" w:name="_Toc494549202"/>
      <w:bookmarkStart w:id="844" w:name="_Toc530658029"/>
      <w:bookmarkStart w:id="845" w:name="_Toc373478351"/>
      <w:bookmarkStart w:id="846" w:name="_Toc389065270"/>
      <w:bookmarkStart w:id="847" w:name="_Toc485400598"/>
      <w:bookmarkStart w:id="848" w:name="_Toc373227704"/>
      <w:bookmarkStart w:id="849" w:name="_Toc532840011"/>
      <w:bookmarkStart w:id="850" w:name="_Toc493774766"/>
      <w:bookmarkStart w:id="851" w:name="_Toc508894067"/>
      <w:r>
        <w:rPr>
          <w:rFonts w:ascii="Calibri" w:hAnsi="Calibri" w:cs="Times New Roman"/>
          <w:b/>
          <w:bCs/>
          <w:color w:val="auto"/>
          <w:kern w:val="2"/>
          <w:sz w:val="32"/>
          <w:szCs w:val="32"/>
          <w:highlight w:val="none"/>
        </w:rPr>
        <w:t xml:space="preserve">2.4 </w:t>
      </w:r>
      <w:r>
        <w:rPr>
          <w:rFonts w:hint="eastAsia" w:ascii="Calibri" w:hAnsi="Calibri" w:cs="Times New Roman"/>
          <w:b/>
          <w:bCs/>
          <w:color w:val="auto"/>
          <w:kern w:val="2"/>
          <w:sz w:val="32"/>
          <w:szCs w:val="32"/>
          <w:highlight w:val="none"/>
        </w:rPr>
        <w:t>施工现场、施工条件和基础资料的提供</w:t>
      </w:r>
      <w:bookmarkEnd w:id="841"/>
      <w:bookmarkEnd w:id="842"/>
      <w:bookmarkEnd w:id="843"/>
      <w:bookmarkEnd w:id="844"/>
      <w:bookmarkEnd w:id="845"/>
      <w:bookmarkEnd w:id="846"/>
      <w:bookmarkEnd w:id="847"/>
      <w:bookmarkEnd w:id="848"/>
      <w:bookmarkEnd w:id="849"/>
      <w:bookmarkEnd w:id="850"/>
      <w:bookmarkEnd w:id="851"/>
    </w:p>
    <w:p w14:paraId="32C05CFA">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2.4.1 </w:t>
      </w:r>
      <w:r>
        <w:rPr>
          <w:rFonts w:hint="eastAsia" w:ascii="Calibri" w:hAnsi="宋体" w:cs="Times New Roman"/>
          <w:color w:val="auto"/>
          <w:kern w:val="2"/>
          <w:highlight w:val="none"/>
        </w:rPr>
        <w:t>提供施工现场</w:t>
      </w:r>
    </w:p>
    <w:p w14:paraId="395BB4E4">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关于发包人移交施工现场的期限要求：</w:t>
      </w:r>
      <w:r>
        <w:rPr>
          <w:rFonts w:hint="eastAsia" w:ascii="Calibri" w:hAnsi="宋体" w:cs="Times New Roman"/>
          <w:color w:val="auto"/>
          <w:kern w:val="2"/>
          <w:highlight w:val="none"/>
          <w:u w:val="single"/>
        </w:rPr>
        <w:t>施工场地应当在监理人发出的开工通知中载明的开工日期前</w:t>
      </w:r>
      <w:r>
        <w:rPr>
          <w:rFonts w:ascii="Calibri" w:hAnsi="宋体" w:cs="Times New Roman"/>
          <w:color w:val="auto"/>
          <w:kern w:val="2"/>
          <w:highlight w:val="none"/>
          <w:u w:val="single"/>
        </w:rPr>
        <w:t xml:space="preserve"> 7 </w:t>
      </w:r>
      <w:r>
        <w:rPr>
          <w:rFonts w:hint="eastAsia" w:ascii="Calibri" w:hAnsi="宋体" w:cs="Times New Roman"/>
          <w:color w:val="auto"/>
          <w:kern w:val="2"/>
          <w:highlight w:val="none"/>
          <w:u w:val="single"/>
        </w:rPr>
        <w:t>天具备施工条件并移交给承包人</w:t>
      </w:r>
      <w:r>
        <w:rPr>
          <w:rFonts w:hint="eastAsia" w:ascii="Calibri" w:hAnsi="宋体" w:cs="Times New Roman"/>
          <w:color w:val="auto"/>
          <w:kern w:val="2"/>
          <w:highlight w:val="none"/>
        </w:rPr>
        <w:t>。</w:t>
      </w:r>
    </w:p>
    <w:p w14:paraId="4BB5D98C">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2.4.2 </w:t>
      </w:r>
      <w:r>
        <w:rPr>
          <w:rFonts w:hint="eastAsia" w:ascii="Calibri" w:hAnsi="宋体" w:cs="Times New Roman"/>
          <w:color w:val="auto"/>
          <w:kern w:val="2"/>
          <w:highlight w:val="none"/>
        </w:rPr>
        <w:t>提供施工条件</w:t>
      </w:r>
    </w:p>
    <w:p w14:paraId="5E9D3D04">
      <w:pPr>
        <w:spacing w:line="360" w:lineRule="auto"/>
        <w:ind w:firstLine="420" w:firstLineChars="200"/>
        <w:rPr>
          <w:rFonts w:ascii="Calibri" w:hAnsi="Calibri" w:cs="Times New Roman"/>
          <w:color w:val="auto"/>
          <w:kern w:val="2"/>
          <w:highlight w:val="none"/>
          <w:u w:val="single"/>
        </w:rPr>
      </w:pPr>
      <w:r>
        <w:rPr>
          <w:rFonts w:hint="eastAsia" w:ascii="Calibri" w:hAnsi="宋体" w:cs="Times New Roman"/>
          <w:color w:val="auto"/>
          <w:kern w:val="2"/>
          <w:highlight w:val="none"/>
        </w:rPr>
        <w:t>关于发包人应负责提供施工所需要的条件，包括：</w:t>
      </w:r>
      <w:r>
        <w:rPr>
          <w:rFonts w:hint="eastAsia" w:ascii="Calibri" w:hAnsi="Calibri" w:cs="Times New Roman"/>
          <w:color w:val="auto"/>
          <w:kern w:val="2"/>
          <w:highlight w:val="none"/>
          <w:u w:val="single"/>
        </w:rPr>
        <w:t>①发包人最迟应当在移交施工场地的同时向承包人提供施工场地内地下管线和地下设施等有关资料，并保证资料的真实、准确和完整，组织设计交底等。②将施工所需的水、电线路接至施工场地的时间、地点和供应要求：发包人于开工前</w:t>
      </w:r>
      <w:r>
        <w:rPr>
          <w:rFonts w:ascii="Calibri" w:hAnsi="Calibri" w:cs="Times New Roman"/>
          <w:color w:val="auto"/>
          <w:kern w:val="2"/>
          <w:highlight w:val="none"/>
          <w:u w:val="single"/>
        </w:rPr>
        <w:t>7</w:t>
      </w:r>
      <w:r>
        <w:rPr>
          <w:rFonts w:hint="eastAsia" w:ascii="Calibri" w:hAnsi="Calibri" w:cs="Times New Roman"/>
          <w:color w:val="auto"/>
          <w:kern w:val="2"/>
          <w:highlight w:val="none"/>
          <w:u w:val="single"/>
        </w:rPr>
        <w:t>日负责把水、电接口接至到施工场地，接口后的水、电线路由承包方自行负责。③水准点与座标控制点交验要求：</w:t>
      </w:r>
      <w:r>
        <w:rPr>
          <w:rFonts w:ascii="Calibri" w:hAnsi="Calibri" w:cs="Times New Roman"/>
          <w:color w:val="auto"/>
          <w:kern w:val="2"/>
          <w:highlight w:val="none"/>
          <w:u w:val="single"/>
        </w:rPr>
        <w:t xml:space="preserve"> </w:t>
      </w:r>
      <w:r>
        <w:rPr>
          <w:rFonts w:hint="eastAsia" w:ascii="Calibri" w:hAnsi="Calibri" w:cs="Times New Roman"/>
          <w:color w:val="auto"/>
          <w:kern w:val="2"/>
          <w:highlight w:val="none"/>
          <w:u w:val="single"/>
        </w:rPr>
        <w:t>于开工前</w:t>
      </w:r>
      <w:r>
        <w:rPr>
          <w:rFonts w:ascii="Calibri" w:hAnsi="Calibri" w:cs="Times New Roman"/>
          <w:color w:val="auto"/>
          <w:kern w:val="2"/>
          <w:highlight w:val="none"/>
          <w:u w:val="single"/>
        </w:rPr>
        <w:t>7</w:t>
      </w:r>
      <w:r>
        <w:rPr>
          <w:rFonts w:hint="eastAsia" w:ascii="Calibri" w:hAnsi="Calibri" w:cs="Times New Roman"/>
          <w:color w:val="auto"/>
          <w:kern w:val="2"/>
          <w:highlight w:val="none"/>
          <w:u w:val="single"/>
        </w:rPr>
        <w:t>日内现场交验，双方做好签认工作。④由发包人办理的施工所需证件、批件的名称和完成时间：由发包人负责办理</w:t>
      </w:r>
      <w:r>
        <w:rPr>
          <w:rFonts w:hint="eastAsia" w:ascii="Calibri" w:hAnsi="宋体" w:cs="Times New Roman"/>
          <w:color w:val="auto"/>
          <w:kern w:val="2"/>
          <w:highlight w:val="none"/>
        </w:rPr>
        <w:t>。</w:t>
      </w:r>
    </w:p>
    <w:p w14:paraId="4C6A0067">
      <w:pPr>
        <w:keepNext/>
        <w:keepLines/>
        <w:spacing w:before="260" w:after="260" w:line="416" w:lineRule="auto"/>
        <w:outlineLvl w:val="2"/>
        <w:rPr>
          <w:rFonts w:ascii="Calibri" w:hAnsi="Calibri" w:cs="Times New Roman"/>
          <w:b/>
          <w:bCs/>
          <w:color w:val="auto"/>
          <w:kern w:val="2"/>
          <w:sz w:val="32"/>
          <w:szCs w:val="32"/>
          <w:highlight w:val="none"/>
        </w:rPr>
      </w:pPr>
      <w:bookmarkStart w:id="852" w:name="_Toc532840012"/>
      <w:bookmarkStart w:id="853" w:name="_Toc373478352"/>
      <w:bookmarkStart w:id="854" w:name="_Toc512691406"/>
      <w:bookmarkStart w:id="855" w:name="_Toc373227705"/>
      <w:bookmarkStart w:id="856" w:name="_Toc485400599"/>
      <w:bookmarkStart w:id="857" w:name="_Toc530658030"/>
      <w:bookmarkStart w:id="858" w:name="_Toc508894068"/>
      <w:bookmarkStart w:id="859" w:name="_Toc493774767"/>
      <w:bookmarkStart w:id="860" w:name="_Toc389065271"/>
      <w:bookmarkStart w:id="861" w:name="_Toc407135207"/>
      <w:bookmarkStart w:id="862" w:name="_Toc494549203"/>
      <w:r>
        <w:rPr>
          <w:rFonts w:ascii="Calibri" w:hAnsi="Calibri" w:cs="Times New Roman"/>
          <w:b/>
          <w:bCs/>
          <w:color w:val="auto"/>
          <w:kern w:val="2"/>
          <w:sz w:val="32"/>
          <w:szCs w:val="32"/>
          <w:highlight w:val="none"/>
        </w:rPr>
        <w:t xml:space="preserve">2.5 </w:t>
      </w:r>
      <w:r>
        <w:rPr>
          <w:rFonts w:hint="eastAsia" w:ascii="Calibri" w:hAnsi="Calibri" w:cs="Times New Roman"/>
          <w:b/>
          <w:bCs/>
          <w:color w:val="auto"/>
          <w:kern w:val="2"/>
          <w:sz w:val="32"/>
          <w:szCs w:val="32"/>
          <w:highlight w:val="none"/>
        </w:rPr>
        <w:t>资金来源证明及支付担保</w:t>
      </w:r>
      <w:bookmarkEnd w:id="852"/>
      <w:bookmarkEnd w:id="853"/>
      <w:bookmarkEnd w:id="854"/>
      <w:bookmarkEnd w:id="855"/>
      <w:bookmarkEnd w:id="856"/>
      <w:bookmarkEnd w:id="857"/>
      <w:bookmarkEnd w:id="858"/>
      <w:bookmarkEnd w:id="859"/>
      <w:bookmarkEnd w:id="860"/>
      <w:bookmarkEnd w:id="861"/>
      <w:bookmarkEnd w:id="862"/>
    </w:p>
    <w:p w14:paraId="411D50D6">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发包人提供资金来源证明的期限要求：</w:t>
      </w:r>
      <w:r>
        <w:rPr>
          <w:rFonts w:hint="eastAsia" w:ascii="Calibri" w:hAnsi="宋体" w:cs="Times New Roman"/>
          <w:color w:val="auto"/>
          <w:kern w:val="2"/>
          <w:highlight w:val="none"/>
          <w:u w:val="single"/>
          <w:lang w:eastAsia="zh-CN"/>
        </w:rPr>
        <w:t>无</w:t>
      </w:r>
      <w:r>
        <w:rPr>
          <w:rFonts w:hint="eastAsia" w:ascii="Calibri" w:hAnsi="宋体" w:cs="Times New Roman"/>
          <w:color w:val="auto"/>
          <w:kern w:val="2"/>
          <w:highlight w:val="none"/>
        </w:rPr>
        <w:t>。</w:t>
      </w:r>
    </w:p>
    <w:p w14:paraId="79A29287">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发包人是否提供支付担保：</w:t>
      </w:r>
      <w:r>
        <w:rPr>
          <w:rFonts w:hint="eastAsia" w:ascii="Calibri" w:hAnsi="宋体" w:cs="Times New Roman"/>
          <w:color w:val="auto"/>
          <w:kern w:val="2"/>
          <w:highlight w:val="none"/>
          <w:u w:val="single"/>
          <w:lang w:eastAsia="zh-CN"/>
        </w:rPr>
        <w:t>无</w:t>
      </w:r>
      <w:r>
        <w:rPr>
          <w:rFonts w:hint="eastAsia" w:ascii="Calibri" w:hAnsi="宋体" w:cs="Times New Roman"/>
          <w:color w:val="auto"/>
          <w:kern w:val="2"/>
          <w:highlight w:val="none"/>
        </w:rPr>
        <w:t>。</w:t>
      </w:r>
    </w:p>
    <w:p w14:paraId="25F90224">
      <w:pPr>
        <w:spacing w:line="360" w:lineRule="auto"/>
        <w:ind w:firstLine="420" w:firstLineChars="200"/>
        <w:rPr>
          <w:rFonts w:ascii="Calibri" w:hAnsi="宋体" w:cs="Times New Roman"/>
          <w:color w:val="auto"/>
          <w:kern w:val="2"/>
          <w:highlight w:val="none"/>
        </w:rPr>
      </w:pPr>
      <w:r>
        <w:rPr>
          <w:rFonts w:hint="eastAsia" w:ascii="Calibri" w:hAnsi="宋体" w:cs="Times New Roman"/>
          <w:color w:val="auto"/>
          <w:kern w:val="2"/>
          <w:highlight w:val="none"/>
        </w:rPr>
        <w:t>发包人提供支付担保的形式：</w:t>
      </w:r>
      <w:r>
        <w:rPr>
          <w:rFonts w:hint="eastAsia" w:ascii="Calibri" w:hAnsi="宋体" w:cs="Times New Roman"/>
          <w:color w:val="auto"/>
          <w:kern w:val="2"/>
          <w:highlight w:val="none"/>
          <w:u w:val="single"/>
          <w:lang w:eastAsia="zh-CN"/>
        </w:rPr>
        <w:t>无</w:t>
      </w:r>
      <w:r>
        <w:rPr>
          <w:rFonts w:hint="eastAsia" w:ascii="Calibri" w:hAnsi="宋体" w:cs="Times New Roman"/>
          <w:color w:val="auto"/>
          <w:kern w:val="2"/>
          <w:highlight w:val="none"/>
        </w:rPr>
        <w:t>。</w:t>
      </w:r>
    </w:p>
    <w:p w14:paraId="464A0F33">
      <w:pPr>
        <w:spacing w:line="360" w:lineRule="auto"/>
        <w:ind w:firstLine="420" w:firstLineChars="200"/>
        <w:rPr>
          <w:rFonts w:ascii="Calibri" w:hAnsi="Calibri" w:cs="Times New Roman"/>
          <w:color w:val="auto"/>
          <w:kern w:val="2"/>
          <w:highlight w:val="none"/>
          <w:u w:val="single"/>
        </w:rPr>
      </w:pPr>
      <w:r>
        <w:rPr>
          <w:rFonts w:hint="eastAsia" w:ascii="Calibri" w:hAnsi="宋体" w:cs="Times New Roman"/>
          <w:color w:val="auto"/>
          <w:kern w:val="2"/>
          <w:highlight w:val="none"/>
        </w:rPr>
        <w:t>发包人提供的支付担保格式见合同附件</w:t>
      </w:r>
      <w:r>
        <w:rPr>
          <w:rFonts w:ascii="Calibri" w:hAnsi="宋体" w:cs="Times New Roman"/>
          <w:color w:val="auto"/>
          <w:kern w:val="2"/>
          <w:highlight w:val="none"/>
        </w:rPr>
        <w:t>2</w:t>
      </w:r>
      <w:r>
        <w:rPr>
          <w:rFonts w:hint="eastAsia" w:ascii="Calibri" w:hAnsi="宋体" w:cs="Times New Roman"/>
          <w:color w:val="auto"/>
          <w:kern w:val="2"/>
          <w:highlight w:val="none"/>
        </w:rPr>
        <w:t>。</w:t>
      </w:r>
    </w:p>
    <w:p w14:paraId="3290F991">
      <w:pPr>
        <w:keepNext/>
        <w:keepLines/>
        <w:spacing w:line="360" w:lineRule="auto"/>
        <w:outlineLvl w:val="2"/>
        <w:rPr>
          <w:rFonts w:ascii="Cambria" w:hAnsi="Cambria" w:cs="Times New Roman"/>
          <w:color w:val="auto"/>
          <w:kern w:val="2"/>
          <w:sz w:val="32"/>
          <w:szCs w:val="32"/>
          <w:highlight w:val="none"/>
          <w:lang w:val="zh-CN"/>
        </w:rPr>
      </w:pPr>
      <w:bookmarkStart w:id="863" w:name="_Toc351203635"/>
      <w:bookmarkStart w:id="864" w:name="_Toc494549204"/>
      <w:bookmarkStart w:id="865" w:name="_Toc373478353"/>
      <w:bookmarkStart w:id="866" w:name="_Toc512691407"/>
      <w:bookmarkStart w:id="867" w:name="_Toc407135208"/>
      <w:bookmarkStart w:id="868" w:name="_Toc485400600"/>
      <w:bookmarkStart w:id="869" w:name="_Toc493774768"/>
      <w:bookmarkStart w:id="870" w:name="_Toc373227706"/>
      <w:bookmarkStart w:id="871" w:name="_Toc389065272"/>
      <w:bookmarkStart w:id="872" w:name="_Toc532840013"/>
      <w:bookmarkStart w:id="873" w:name="_Toc508894069"/>
      <w:bookmarkStart w:id="874" w:name="_Toc530658031"/>
      <w:r>
        <w:rPr>
          <w:rFonts w:ascii="Cambria" w:hAnsi="Cambria" w:cs="Times New Roman"/>
          <w:color w:val="auto"/>
          <w:kern w:val="2"/>
          <w:sz w:val="32"/>
          <w:szCs w:val="32"/>
          <w:highlight w:val="none"/>
          <w:lang w:val="zh-CN"/>
        </w:rPr>
        <w:t>3</w:t>
      </w:r>
      <w:bookmarkStart w:id="875" w:name="_Toc297120458"/>
      <w:bookmarkStart w:id="876" w:name="_Toc296346659"/>
      <w:bookmarkStart w:id="877" w:name="_Toc296944497"/>
      <w:bookmarkStart w:id="878" w:name="_Toc296890986"/>
      <w:bookmarkStart w:id="879" w:name="_Toc297048344"/>
      <w:bookmarkStart w:id="880" w:name="_Toc292559868"/>
      <w:bookmarkStart w:id="881" w:name="_Toc296347157"/>
      <w:bookmarkStart w:id="882" w:name="_Toc292559363"/>
      <w:bookmarkStart w:id="883" w:name="_Toc296503158"/>
      <w:bookmarkStart w:id="884" w:name="_Toc296891198"/>
      <w:r>
        <w:rPr>
          <w:rFonts w:ascii="Cambria" w:hAnsi="Cambria" w:cs="Times New Roman"/>
          <w:color w:val="auto"/>
          <w:kern w:val="2"/>
          <w:sz w:val="32"/>
          <w:szCs w:val="32"/>
          <w:highlight w:val="none"/>
          <w:lang w:val="zh-CN"/>
        </w:rPr>
        <w:t xml:space="preserve">. </w:t>
      </w:r>
      <w:r>
        <w:rPr>
          <w:rFonts w:hint="eastAsia" w:ascii="Cambria" w:hAnsi="宋体" w:cs="Times New Roman"/>
          <w:color w:val="auto"/>
          <w:kern w:val="2"/>
          <w:sz w:val="32"/>
          <w:szCs w:val="32"/>
          <w:highlight w:val="none"/>
          <w:lang w:val="zh-CN"/>
        </w:rPr>
        <w:t>承包人</w:t>
      </w:r>
      <w:bookmarkEnd w:id="863"/>
      <w:bookmarkEnd w:id="864"/>
      <w:bookmarkEnd w:id="865"/>
      <w:bookmarkEnd w:id="866"/>
      <w:bookmarkEnd w:id="867"/>
      <w:bookmarkEnd w:id="868"/>
      <w:bookmarkEnd w:id="869"/>
      <w:bookmarkEnd w:id="870"/>
      <w:bookmarkEnd w:id="871"/>
      <w:bookmarkEnd w:id="872"/>
      <w:bookmarkEnd w:id="873"/>
      <w:bookmarkEnd w:id="874"/>
    </w:p>
    <w:bookmarkEnd w:id="875"/>
    <w:bookmarkEnd w:id="876"/>
    <w:bookmarkEnd w:id="877"/>
    <w:bookmarkEnd w:id="878"/>
    <w:bookmarkEnd w:id="879"/>
    <w:bookmarkEnd w:id="880"/>
    <w:bookmarkEnd w:id="881"/>
    <w:bookmarkEnd w:id="882"/>
    <w:bookmarkEnd w:id="883"/>
    <w:bookmarkEnd w:id="884"/>
    <w:p w14:paraId="0EC6F755">
      <w:pPr>
        <w:keepNext/>
        <w:keepLines/>
        <w:spacing w:before="260" w:after="260" w:line="416" w:lineRule="auto"/>
        <w:outlineLvl w:val="2"/>
        <w:rPr>
          <w:rFonts w:ascii="Calibri" w:hAnsi="Calibri" w:cs="Times New Roman"/>
          <w:b/>
          <w:bCs/>
          <w:color w:val="auto"/>
          <w:kern w:val="2"/>
          <w:sz w:val="32"/>
          <w:szCs w:val="32"/>
          <w:highlight w:val="none"/>
        </w:rPr>
      </w:pPr>
      <w:bookmarkStart w:id="885" w:name="_Toc512691408"/>
      <w:bookmarkStart w:id="886" w:name="_Toc389065273"/>
      <w:bookmarkStart w:id="887" w:name="_Toc373227707"/>
      <w:bookmarkStart w:id="888" w:name="_Toc493774769"/>
      <w:bookmarkStart w:id="889" w:name="_Toc485400601"/>
      <w:bookmarkStart w:id="890" w:name="_Toc508894070"/>
      <w:bookmarkStart w:id="891" w:name="_Toc373478354"/>
      <w:bookmarkStart w:id="892" w:name="_Toc407135209"/>
      <w:bookmarkStart w:id="893" w:name="_Toc532840014"/>
      <w:bookmarkStart w:id="894" w:name="_Toc530658032"/>
      <w:bookmarkStart w:id="895" w:name="_Toc494549205"/>
      <w:r>
        <w:rPr>
          <w:rFonts w:ascii="Calibri" w:hAnsi="Calibri" w:cs="Times New Roman"/>
          <w:b/>
          <w:bCs/>
          <w:color w:val="auto"/>
          <w:kern w:val="2"/>
          <w:sz w:val="32"/>
          <w:szCs w:val="32"/>
          <w:highlight w:val="none"/>
        </w:rPr>
        <w:t xml:space="preserve">3.1 </w:t>
      </w:r>
      <w:r>
        <w:rPr>
          <w:rFonts w:hint="eastAsia" w:ascii="Calibri" w:hAnsi="Calibri" w:cs="Times New Roman"/>
          <w:b/>
          <w:bCs/>
          <w:color w:val="auto"/>
          <w:kern w:val="2"/>
          <w:sz w:val="32"/>
          <w:szCs w:val="32"/>
          <w:highlight w:val="none"/>
        </w:rPr>
        <w:t>承包人的一般义务</w:t>
      </w:r>
      <w:bookmarkEnd w:id="885"/>
      <w:bookmarkEnd w:id="886"/>
      <w:bookmarkEnd w:id="887"/>
      <w:bookmarkEnd w:id="888"/>
      <w:bookmarkEnd w:id="889"/>
      <w:bookmarkEnd w:id="890"/>
      <w:bookmarkEnd w:id="891"/>
      <w:bookmarkEnd w:id="892"/>
      <w:bookmarkEnd w:id="893"/>
      <w:bookmarkEnd w:id="894"/>
      <w:bookmarkEnd w:id="895"/>
    </w:p>
    <w:p w14:paraId="6DFBA9C2">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highlight w:val="none"/>
        </w:rPr>
        <w:t>（</w:t>
      </w:r>
      <w:r>
        <w:rPr>
          <w:rFonts w:ascii="Calibri" w:hAnsi="Calibri" w:cs="Times New Roman"/>
          <w:color w:val="auto"/>
          <w:highlight w:val="none"/>
        </w:rPr>
        <w:t>9</w:t>
      </w:r>
      <w:r>
        <w:rPr>
          <w:rFonts w:hint="eastAsia" w:ascii="Calibri" w:hAnsi="宋体" w:cs="Times New Roman"/>
          <w:color w:val="auto"/>
          <w:highlight w:val="none"/>
        </w:rPr>
        <w:t>）</w:t>
      </w:r>
      <w:r>
        <w:rPr>
          <w:rFonts w:hint="eastAsia" w:ascii="Calibri" w:hAnsi="宋体" w:cs="Times New Roman"/>
          <w:color w:val="auto"/>
          <w:kern w:val="2"/>
          <w:highlight w:val="none"/>
        </w:rPr>
        <w:t>承包人提交的竣工资料的内容：</w:t>
      </w:r>
      <w:r>
        <w:rPr>
          <w:rFonts w:hint="eastAsia" w:ascii="Calibri" w:hAnsi="宋体" w:cs="Times New Roman"/>
          <w:color w:val="auto"/>
          <w:kern w:val="2"/>
          <w:highlight w:val="none"/>
          <w:u w:val="single"/>
        </w:rPr>
        <w:t>按照法律规定和合同约定编制竣工资料，完成竣工资料立卷及归档，并按如下约定的竣工资料的套数、内容、时间等要求移交发包人</w:t>
      </w:r>
      <w:r>
        <w:rPr>
          <w:rFonts w:hint="eastAsia" w:ascii="Calibri" w:hAnsi="宋体" w:cs="Times New Roman"/>
          <w:color w:val="auto"/>
          <w:kern w:val="2"/>
          <w:highlight w:val="none"/>
        </w:rPr>
        <w:t>。</w:t>
      </w:r>
    </w:p>
    <w:p w14:paraId="39A2AD31">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承包人需要提交的竣工资料套数：</w:t>
      </w:r>
      <w:r>
        <w:rPr>
          <w:rFonts w:hint="eastAsia" w:ascii="Calibri" w:hAnsi="Calibri" w:cs="Times New Roman"/>
          <w:color w:val="auto"/>
          <w:kern w:val="2"/>
          <w:highlight w:val="none"/>
          <w:u w:val="single"/>
        </w:rPr>
        <w:t>陆份</w:t>
      </w:r>
      <w:r>
        <w:rPr>
          <w:rFonts w:hint="eastAsia" w:ascii="Calibri" w:hAnsi="宋体" w:cs="Times New Roman"/>
          <w:color w:val="auto"/>
          <w:kern w:val="2"/>
          <w:highlight w:val="none"/>
        </w:rPr>
        <w:t>。</w:t>
      </w:r>
    </w:p>
    <w:p w14:paraId="71556E60">
      <w:pPr>
        <w:spacing w:line="360" w:lineRule="auto"/>
        <w:ind w:left="424" w:leftChars="202"/>
        <w:jc w:val="left"/>
        <w:rPr>
          <w:rFonts w:ascii="Calibri" w:hAnsi="Calibri" w:cs="Times New Roman"/>
          <w:color w:val="auto"/>
          <w:kern w:val="2"/>
          <w:highlight w:val="none"/>
        </w:rPr>
      </w:pPr>
      <w:r>
        <w:rPr>
          <w:rFonts w:hint="eastAsia" w:ascii="Calibri" w:hAnsi="宋体" w:cs="Times New Roman"/>
          <w:color w:val="auto"/>
          <w:kern w:val="2"/>
          <w:highlight w:val="none"/>
        </w:rPr>
        <w:t>承包人提交的竣工资料的费用承担：</w:t>
      </w:r>
      <w:r>
        <w:rPr>
          <w:rFonts w:hint="eastAsia" w:ascii="Calibri" w:hAnsi="Calibri" w:cs="Times New Roman"/>
          <w:color w:val="auto"/>
          <w:kern w:val="2"/>
          <w:highlight w:val="none"/>
          <w:u w:val="single"/>
        </w:rPr>
        <w:t>由承包人承担</w:t>
      </w:r>
      <w:r>
        <w:rPr>
          <w:rFonts w:hint="eastAsia" w:ascii="Calibri" w:hAnsi="宋体" w:cs="Times New Roman"/>
          <w:color w:val="auto"/>
          <w:kern w:val="2"/>
          <w:highlight w:val="none"/>
        </w:rPr>
        <w:t>。</w:t>
      </w:r>
    </w:p>
    <w:p w14:paraId="5F218821">
      <w:pPr>
        <w:spacing w:line="360" w:lineRule="auto"/>
        <w:ind w:left="424" w:leftChars="202"/>
        <w:jc w:val="left"/>
        <w:rPr>
          <w:rFonts w:ascii="Calibri" w:hAnsi="Calibri" w:cs="Times New Roman"/>
          <w:color w:val="auto"/>
          <w:kern w:val="2"/>
          <w:highlight w:val="none"/>
        </w:rPr>
      </w:pPr>
      <w:r>
        <w:rPr>
          <w:rFonts w:hint="eastAsia" w:ascii="Calibri" w:hAnsi="宋体" w:cs="Times New Roman"/>
          <w:color w:val="auto"/>
          <w:kern w:val="2"/>
          <w:highlight w:val="none"/>
        </w:rPr>
        <w:t>承包人提交的竣工资料移交时间：</w:t>
      </w:r>
      <w:r>
        <w:rPr>
          <w:rFonts w:hint="eastAsia" w:ascii="Calibri" w:hAnsi="Calibri" w:cs="Times New Roman"/>
          <w:color w:val="auto"/>
          <w:kern w:val="2"/>
          <w:highlight w:val="none"/>
          <w:u w:val="single"/>
        </w:rPr>
        <w:t>竣工验收正式通过后</w:t>
      </w:r>
      <w:r>
        <w:rPr>
          <w:rFonts w:hint="eastAsia" w:ascii="Calibri" w:hAnsi="Calibri" w:cs="Times New Roman"/>
          <w:color w:val="auto"/>
          <w:kern w:val="2"/>
          <w:highlight w:val="none"/>
          <w:u w:val="single"/>
          <w:lang w:val="en-US" w:eastAsia="zh-CN"/>
        </w:rPr>
        <w:t>90</w:t>
      </w:r>
      <w:r>
        <w:rPr>
          <w:rFonts w:hint="eastAsia" w:ascii="Calibri" w:hAnsi="Calibri" w:cs="Times New Roman"/>
          <w:color w:val="auto"/>
          <w:kern w:val="2"/>
          <w:highlight w:val="none"/>
          <w:u w:val="single"/>
        </w:rPr>
        <w:t>天内</w:t>
      </w:r>
      <w:r>
        <w:rPr>
          <w:rFonts w:hint="eastAsia" w:ascii="Calibri" w:hAnsi="宋体" w:cs="Times New Roman"/>
          <w:color w:val="auto"/>
          <w:kern w:val="2"/>
          <w:highlight w:val="none"/>
        </w:rPr>
        <w:t>。</w:t>
      </w:r>
    </w:p>
    <w:p w14:paraId="55B62A2F">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承包人提交的竣工资料形式要求：</w:t>
      </w:r>
      <w:r>
        <w:rPr>
          <w:rFonts w:hint="eastAsia" w:ascii="Calibri" w:hAnsi="Calibri" w:cs="Times New Roman"/>
          <w:color w:val="auto"/>
          <w:kern w:val="2"/>
          <w:highlight w:val="none"/>
          <w:u w:val="single"/>
        </w:rPr>
        <w:t>按竣工资料移交的有关规定办理</w:t>
      </w:r>
      <w:r>
        <w:rPr>
          <w:rFonts w:hint="eastAsia" w:ascii="Calibri" w:hAnsi="宋体" w:cs="Times New Roman"/>
          <w:color w:val="auto"/>
          <w:kern w:val="2"/>
          <w:highlight w:val="none"/>
        </w:rPr>
        <w:t>。</w:t>
      </w:r>
    </w:p>
    <w:p w14:paraId="4F2C0067">
      <w:pPr>
        <w:spacing w:line="360" w:lineRule="auto"/>
        <w:ind w:firstLine="420" w:firstLineChars="200"/>
        <w:rPr>
          <w:rFonts w:ascii="Calibri" w:hAnsi="Calibri"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10</w:t>
      </w:r>
      <w:r>
        <w:rPr>
          <w:rFonts w:hint="eastAsia" w:ascii="Calibri" w:hAnsi="宋体" w:cs="Times New Roman"/>
          <w:color w:val="auto"/>
          <w:highlight w:val="none"/>
        </w:rPr>
        <w:t>）承包人应履行的其他义务：</w:t>
      </w:r>
    </w:p>
    <w:p w14:paraId="1493A6CD">
      <w:pPr>
        <w:spacing w:line="360" w:lineRule="auto"/>
        <w:ind w:firstLine="420" w:firstLineChars="200"/>
        <w:rPr>
          <w:rFonts w:ascii="Calibri" w:hAnsi="Calibri" w:cs="Times New Roman"/>
          <w:color w:val="auto"/>
          <w:highlight w:val="none"/>
        </w:rPr>
      </w:pPr>
      <w:r>
        <w:rPr>
          <w:rFonts w:hint="eastAsia" w:ascii="Calibri" w:hAnsi="Calibri" w:cs="Times New Roman"/>
          <w:color w:val="auto"/>
          <w:highlight w:val="none"/>
          <w:u w:val="single"/>
        </w:rPr>
        <w:t>全面完成合同约定的有关承包人的义务，包括但不限于：①取土场及弃土场由承包人自行解决，但不得违反相关管理规定，并承担相关费用。②向发包人提供的</w:t>
      </w:r>
      <w:r>
        <w:rPr>
          <w:rFonts w:hint="eastAsia"/>
          <w:color w:val="auto"/>
          <w:highlight w:val="none"/>
          <w:u w:val="single"/>
          <w:lang w:eastAsia="zh-CN"/>
        </w:rPr>
        <w:t>在项目</w:t>
      </w:r>
      <w:r>
        <w:rPr>
          <w:rFonts w:hint="eastAsia" w:ascii="Calibri" w:hAnsi="Calibri" w:cs="Times New Roman"/>
          <w:color w:val="auto"/>
          <w:highlight w:val="none"/>
          <w:u w:val="single"/>
        </w:rPr>
        <w:t>办公和生活房屋及设施的要求：承包人搭建，由承包人承担相应费用。③按时足额将农民工工资保障金存入建设行政主管部门指定的账户或</w:t>
      </w:r>
      <w:r>
        <w:rPr>
          <w:rFonts w:hint="eastAsia" w:ascii="Calibri" w:hAnsi="宋体" w:cs="Times New Roman"/>
          <w:color w:val="auto"/>
          <w:kern w:val="2"/>
          <w:szCs w:val="22"/>
          <w:highlight w:val="none"/>
          <w:u w:val="single"/>
        </w:rPr>
        <w:t>采用银行保函、工程担保</w:t>
      </w:r>
      <w:r>
        <w:rPr>
          <w:rFonts w:hint="eastAsia" w:hAnsi="宋体" w:cs="Times New Roman"/>
          <w:color w:val="auto"/>
          <w:kern w:val="2"/>
          <w:highlight w:val="none"/>
          <w:u w:val="single"/>
        </w:rPr>
        <w:t>等方式提交</w:t>
      </w:r>
      <w:r>
        <w:rPr>
          <w:rFonts w:hint="eastAsia" w:ascii="Calibri" w:hAnsi="Calibri" w:cs="Times New Roman"/>
          <w:color w:val="auto"/>
          <w:highlight w:val="none"/>
          <w:u w:val="single"/>
        </w:rPr>
        <w:t>，对农民工工资保障金的使用做出承诺</w:t>
      </w:r>
      <w:r>
        <w:rPr>
          <w:rFonts w:hint="eastAsia" w:hAnsi="宋体"/>
          <w:color w:val="auto"/>
          <w:highlight w:val="none"/>
          <w:u w:val="single"/>
        </w:rPr>
        <w:t>或按当地现行政策规定执行</w:t>
      </w:r>
      <w:r>
        <w:rPr>
          <w:rFonts w:hint="eastAsia" w:ascii="Calibri" w:hAnsi="Calibri" w:cs="Times New Roman"/>
          <w:color w:val="auto"/>
          <w:highlight w:val="none"/>
          <w:u w:val="single"/>
        </w:rPr>
        <w:t>。不尽事宜由双方另行协商确定④承包人必须配合发包人做好竣工财务决算工作</w:t>
      </w:r>
      <w:r>
        <w:rPr>
          <w:rFonts w:hint="eastAsia" w:ascii="Calibri" w:hAnsi="宋体" w:cs="Times New Roman"/>
          <w:color w:val="auto"/>
          <w:highlight w:val="none"/>
        </w:rPr>
        <w:t>。</w:t>
      </w:r>
    </w:p>
    <w:p w14:paraId="1FB29341">
      <w:pPr>
        <w:keepNext/>
        <w:keepLines/>
        <w:spacing w:before="260" w:after="260" w:line="416" w:lineRule="auto"/>
        <w:outlineLvl w:val="2"/>
        <w:rPr>
          <w:rFonts w:ascii="Calibri" w:hAnsi="Calibri" w:cs="Times New Roman"/>
          <w:b/>
          <w:bCs/>
          <w:color w:val="auto"/>
          <w:kern w:val="2"/>
          <w:sz w:val="32"/>
          <w:szCs w:val="32"/>
          <w:highlight w:val="none"/>
        </w:rPr>
      </w:pPr>
      <w:bookmarkStart w:id="896" w:name="_Toc512691409"/>
      <w:bookmarkStart w:id="897" w:name="_Toc407135210"/>
      <w:bookmarkStart w:id="898" w:name="_Toc494549206"/>
      <w:bookmarkStart w:id="899" w:name="_Toc373478355"/>
      <w:bookmarkStart w:id="900" w:name="_Toc389065274"/>
      <w:bookmarkStart w:id="901" w:name="_Toc532840015"/>
      <w:bookmarkStart w:id="902" w:name="_Toc485400602"/>
      <w:bookmarkStart w:id="903" w:name="_Toc493774770"/>
      <w:bookmarkStart w:id="904" w:name="_Toc530658033"/>
      <w:bookmarkStart w:id="905" w:name="_Toc373227708"/>
      <w:bookmarkStart w:id="906" w:name="_Toc508894071"/>
      <w:r>
        <w:rPr>
          <w:rFonts w:ascii="Calibri" w:hAnsi="Calibri" w:cs="Times New Roman"/>
          <w:b/>
          <w:bCs/>
          <w:color w:val="auto"/>
          <w:kern w:val="2"/>
          <w:sz w:val="32"/>
          <w:szCs w:val="32"/>
          <w:highlight w:val="none"/>
        </w:rPr>
        <w:t xml:space="preserve">3.2 </w:t>
      </w:r>
      <w:r>
        <w:rPr>
          <w:rFonts w:hint="eastAsia" w:ascii="Calibri" w:hAnsi="宋体" w:cs="Times New Roman"/>
          <w:b/>
          <w:bCs/>
          <w:color w:val="auto"/>
          <w:kern w:val="2"/>
          <w:sz w:val="32"/>
          <w:szCs w:val="32"/>
          <w:highlight w:val="none"/>
        </w:rPr>
        <w:t>项目经理</w:t>
      </w:r>
      <w:bookmarkEnd w:id="896"/>
      <w:bookmarkEnd w:id="897"/>
      <w:bookmarkEnd w:id="898"/>
      <w:bookmarkEnd w:id="899"/>
      <w:bookmarkEnd w:id="900"/>
      <w:bookmarkEnd w:id="901"/>
      <w:bookmarkEnd w:id="902"/>
      <w:bookmarkEnd w:id="903"/>
      <w:bookmarkEnd w:id="904"/>
      <w:bookmarkEnd w:id="905"/>
      <w:bookmarkEnd w:id="906"/>
    </w:p>
    <w:p w14:paraId="1AFEDC84">
      <w:pPr>
        <w:spacing w:line="360" w:lineRule="auto"/>
        <w:ind w:firstLine="420" w:firstLineChars="200"/>
        <w:rPr>
          <w:rFonts w:ascii="Calibri" w:hAnsi="Calibri" w:cs="Times New Roman"/>
          <w:b/>
          <w:color w:val="auto"/>
          <w:kern w:val="2"/>
          <w:highlight w:val="none"/>
        </w:rPr>
      </w:pPr>
      <w:r>
        <w:rPr>
          <w:rFonts w:ascii="Calibri" w:hAnsi="Calibri" w:cs="Times New Roman"/>
          <w:color w:val="auto"/>
          <w:highlight w:val="none"/>
        </w:rPr>
        <w:t xml:space="preserve">3.2.1 </w:t>
      </w:r>
      <w:r>
        <w:rPr>
          <w:rFonts w:hint="eastAsia" w:ascii="Calibri" w:hAnsi="宋体" w:cs="Times New Roman"/>
          <w:color w:val="auto"/>
          <w:kern w:val="2"/>
          <w:highlight w:val="none"/>
        </w:rPr>
        <w:t>项目经理：</w:t>
      </w:r>
    </w:p>
    <w:p w14:paraId="1BDCE7B0">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姓</w:t>
      </w:r>
      <w:r>
        <w:rPr>
          <w:rFonts w:ascii="Calibri" w:hAnsi="Calibri" w:cs="Times New Roman"/>
          <w:color w:val="auto"/>
          <w:kern w:val="2"/>
          <w:highlight w:val="none"/>
        </w:rPr>
        <w:t xml:space="preserve">    </w:t>
      </w:r>
      <w:r>
        <w:rPr>
          <w:rFonts w:hint="eastAsia" w:ascii="Calibri" w:hAnsi="宋体" w:cs="Times New Roman"/>
          <w:color w:val="auto"/>
          <w:kern w:val="2"/>
          <w:highlight w:val="none"/>
        </w:rPr>
        <w:t>名：</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60F86714">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身份证号：</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0AC8F64E">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执业资格等级：</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1CD83498">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lang w:val="en-US" w:eastAsia="zh-CN"/>
        </w:rPr>
        <w:t>责任工程师证书号</w:t>
      </w:r>
      <w:r>
        <w:rPr>
          <w:rFonts w:hint="eastAsia" w:ascii="Calibri" w:hAnsi="宋体" w:cs="Times New Roman"/>
          <w:color w:val="auto"/>
          <w:kern w:val="2"/>
          <w:highlight w:val="none"/>
        </w:rPr>
        <w:t>：</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682F9C35">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联系电话：</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1D510372">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电子信箱：</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13CF2457">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通信地址：</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4752BF5C">
      <w:pPr>
        <w:pStyle w:val="378"/>
        <w:pageBreakBefore w:val="0"/>
        <w:widowControl/>
        <w:kinsoku/>
        <w:wordWrap/>
        <w:overflowPunct/>
        <w:topLinePunct w:val="0"/>
        <w:bidi w:val="0"/>
        <w:spacing w:line="360" w:lineRule="auto"/>
        <w:textAlignment w:val="auto"/>
        <w:rPr>
          <w:rFonts w:hint="eastAsia" w:ascii="Calibri" w:hAnsi="Calibri" w:eastAsia="宋体" w:cs="Times New Roman"/>
          <w:color w:val="auto"/>
          <w:kern w:val="2"/>
          <w:highlight w:val="none"/>
          <w:lang w:eastAsia="zh-CN"/>
        </w:rPr>
      </w:pPr>
      <w:r>
        <w:rPr>
          <w:rFonts w:hint="eastAsia" w:ascii="Calibri" w:hAnsi="宋体" w:cs="Times New Roman"/>
          <w:color w:val="auto"/>
          <w:kern w:val="2"/>
          <w:highlight w:val="none"/>
        </w:rPr>
        <w:t>承包人对项目经理的授权范围如下：</w:t>
      </w:r>
      <w:r>
        <w:rPr>
          <w:rFonts w:hint="eastAsia" w:hAnsi="宋体" w:cs="Times New Roman"/>
          <w:color w:val="auto"/>
          <w:kern w:val="2"/>
          <w:highlight w:val="none"/>
          <w:u w:val="single"/>
          <w:lang w:val="en-US" w:eastAsia="zh-CN"/>
        </w:rPr>
        <w:t>1.</w:t>
      </w:r>
      <w:r>
        <w:rPr>
          <w:rFonts w:hint="eastAsia" w:ascii="Calibri" w:hAnsi="Calibri" w:cs="Times New Roman"/>
          <w:color w:val="auto"/>
          <w:kern w:val="2"/>
          <w:highlight w:val="none"/>
          <w:u w:val="single"/>
        </w:rPr>
        <w:t>对施工现场的日常施工管理，如需具体授权以授权委托书为准；</w:t>
      </w:r>
      <w:r>
        <w:rPr>
          <w:rFonts w:ascii="Calibri" w:hAnsi="Calibri" w:cs="Times New Roman"/>
          <w:color w:val="auto"/>
          <w:kern w:val="2"/>
          <w:highlight w:val="none"/>
          <w:u w:val="single"/>
        </w:rPr>
        <w:t>2.</w:t>
      </w:r>
      <w:r>
        <w:rPr>
          <w:rFonts w:hint="eastAsia" w:ascii="Calibri" w:hAnsi="Calibri" w:cs="Times New Roman"/>
          <w:color w:val="auto"/>
          <w:kern w:val="2"/>
          <w:highlight w:val="none"/>
          <w:u w:val="single"/>
        </w:rPr>
        <w:t>因本工程施工必须签订其他合同或产生债权债务文书的，合同应加盖承包人在公安及工商部门登记备案的法人公章，不可由项目经理或他人私自签订</w:t>
      </w:r>
      <w:r>
        <w:rPr>
          <w:rFonts w:hint="eastAsia"/>
          <w:color w:val="auto"/>
          <w:highlight w:val="none"/>
          <w:u w:val="single"/>
          <w:lang w:eastAsia="zh-CN"/>
        </w:rPr>
        <w:t>；</w:t>
      </w:r>
      <w:r>
        <w:rPr>
          <w:rFonts w:hint="eastAsia" w:ascii="Calibri" w:hAnsi="Calibri" w:eastAsia="宋体" w:cs="Times New Roman"/>
          <w:color w:val="auto"/>
          <w:kern w:val="2"/>
          <w:highlight w:val="none"/>
          <w:u w:val="single"/>
        </w:rPr>
        <w:t>3.项目经理仅限于工程的现场施工管理，但未经承包人盖章同意，不得以承包人名义向外采购材料设备、租用建筑周转材料、雇用劳动力、签订分包合同等从事一切为承包人设立义务或责任的行为。</w:t>
      </w:r>
    </w:p>
    <w:p w14:paraId="7A14D738">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关于项目经理每月在施工现场的时间要求：</w:t>
      </w:r>
      <w:r>
        <w:rPr>
          <w:rFonts w:hint="eastAsia" w:ascii="Calibri" w:hAnsi="Calibri" w:cs="Times New Roman"/>
          <w:color w:val="auto"/>
          <w:kern w:val="2"/>
          <w:highlight w:val="none"/>
          <w:u w:val="single"/>
        </w:rPr>
        <w:t>项目经理每月在现场时间不得少于</w:t>
      </w:r>
      <w:r>
        <w:rPr>
          <w:rFonts w:ascii="Calibri" w:hAnsi="Calibri" w:cs="Times New Roman"/>
          <w:color w:val="auto"/>
          <w:kern w:val="2"/>
          <w:highlight w:val="none"/>
          <w:u w:val="single"/>
        </w:rPr>
        <w:t>22</w:t>
      </w:r>
      <w:r>
        <w:rPr>
          <w:rFonts w:hint="eastAsia" w:ascii="Calibri" w:hAnsi="Calibri" w:cs="Times New Roman"/>
          <w:color w:val="auto"/>
          <w:kern w:val="2"/>
          <w:highlight w:val="none"/>
          <w:u w:val="single"/>
        </w:rPr>
        <w:t>日历天</w:t>
      </w:r>
      <w:r>
        <w:rPr>
          <w:rFonts w:hint="eastAsia" w:ascii="Calibri" w:hAnsi="宋体" w:cs="Times New Roman"/>
          <w:color w:val="auto"/>
          <w:kern w:val="2"/>
          <w:highlight w:val="none"/>
        </w:rPr>
        <w:t>。</w:t>
      </w:r>
    </w:p>
    <w:p w14:paraId="4CEEB6B8">
      <w:pPr>
        <w:spacing w:line="360" w:lineRule="auto"/>
        <w:ind w:firstLine="420" w:firstLineChars="200"/>
        <w:rPr>
          <w:rFonts w:ascii="Calibri" w:hAnsi="Calibri" w:cs="Times New Roman"/>
          <w:color w:val="auto"/>
          <w:highlight w:val="none"/>
        </w:rPr>
      </w:pPr>
      <w:r>
        <w:rPr>
          <w:rFonts w:hint="eastAsia" w:ascii="Calibri" w:hAnsi="宋体" w:cs="Times New Roman"/>
          <w:color w:val="auto"/>
          <w:highlight w:val="none"/>
        </w:rPr>
        <w:t>承包人未提交劳动合同，以及没有为项目经理缴纳社会保险证明的违约责任：</w:t>
      </w:r>
      <w:r>
        <w:rPr>
          <w:rFonts w:hint="eastAsia" w:ascii="Calibri" w:hAnsi="Calibri" w:cs="Times New Roman"/>
          <w:color w:val="auto"/>
          <w:kern w:val="2"/>
          <w:highlight w:val="none"/>
          <w:u w:val="single"/>
        </w:rPr>
        <w:t>项目经理无权履行职责，由此影响工程进度或发生其它问题的，由承包人承担责任</w:t>
      </w:r>
      <w:r>
        <w:rPr>
          <w:rFonts w:hint="eastAsia" w:ascii="Calibri" w:hAnsi="宋体" w:cs="Times New Roman"/>
          <w:color w:val="auto"/>
          <w:kern w:val="2"/>
          <w:highlight w:val="none"/>
        </w:rPr>
        <w:t>。</w:t>
      </w:r>
    </w:p>
    <w:p w14:paraId="2BDFB557">
      <w:pPr>
        <w:spacing w:line="360" w:lineRule="auto"/>
        <w:ind w:firstLine="420" w:firstLineChars="200"/>
        <w:rPr>
          <w:rFonts w:ascii="Calibri" w:hAnsi="Calibri" w:cs="Times New Roman"/>
          <w:color w:val="auto"/>
          <w:kern w:val="2"/>
          <w:highlight w:val="none"/>
          <w:u w:val="single"/>
        </w:rPr>
      </w:pPr>
      <w:r>
        <w:rPr>
          <w:rFonts w:hint="eastAsia" w:ascii="Calibri" w:hAnsi="宋体" w:cs="Times New Roman"/>
          <w:color w:val="auto"/>
          <w:highlight w:val="none"/>
        </w:rPr>
        <w:t>项目经理未经批准，擅自离开施工现场的违约责任：</w:t>
      </w:r>
      <w:r>
        <w:rPr>
          <w:rFonts w:hint="eastAsia" w:ascii="Calibri" w:hAnsi="宋体" w:cs="Times New Roman"/>
          <w:color w:val="auto"/>
          <w:kern w:val="2"/>
          <w:highlight w:val="none"/>
          <w:u w:val="single"/>
        </w:rPr>
        <w:t>项目经理每月在岗带班时间不得少于当月施工时间的</w:t>
      </w:r>
      <w:r>
        <w:rPr>
          <w:rFonts w:ascii="Calibri" w:hAnsi="宋体" w:cs="Times New Roman"/>
          <w:color w:val="auto"/>
          <w:kern w:val="2"/>
          <w:highlight w:val="none"/>
          <w:u w:val="single"/>
        </w:rPr>
        <w:t>80%</w:t>
      </w:r>
      <w:r>
        <w:rPr>
          <w:rFonts w:hint="eastAsia" w:ascii="Calibri" w:hAnsi="宋体" w:cs="Times New Roman"/>
          <w:color w:val="auto"/>
          <w:kern w:val="2"/>
          <w:highlight w:val="none"/>
          <w:u w:val="single"/>
        </w:rPr>
        <w:t>。未经发包人同意或正当理由，项目经理每月在岗带班时间少于当月施工时间</w:t>
      </w:r>
      <w:r>
        <w:rPr>
          <w:rFonts w:ascii="Calibri" w:hAnsi="宋体" w:cs="Times New Roman"/>
          <w:color w:val="auto"/>
          <w:kern w:val="2"/>
          <w:highlight w:val="none"/>
          <w:u w:val="single"/>
        </w:rPr>
        <w:t>80%</w:t>
      </w:r>
      <w:r>
        <w:rPr>
          <w:rFonts w:hint="eastAsia" w:ascii="Calibri" w:hAnsi="宋体" w:cs="Times New Roman"/>
          <w:color w:val="auto"/>
          <w:kern w:val="2"/>
          <w:highlight w:val="none"/>
          <w:u w:val="single"/>
        </w:rPr>
        <w:t>的，少在岗带班一天，发包人有权处违约金</w:t>
      </w:r>
      <w:r>
        <w:rPr>
          <w:rFonts w:hint="eastAsia" w:ascii="Calibri" w:hAnsi="宋体" w:cs="Times New Roman"/>
          <w:color w:val="auto"/>
          <w:kern w:val="2"/>
          <w:highlight w:val="none"/>
          <w:u w:val="single"/>
          <w:lang w:val="en-US" w:eastAsia="zh-CN"/>
        </w:rPr>
        <w:t>200</w:t>
      </w:r>
      <w:r>
        <w:rPr>
          <w:rFonts w:hint="eastAsia" w:ascii="Calibri" w:hAnsi="宋体" w:cs="Times New Roman"/>
          <w:color w:val="auto"/>
          <w:kern w:val="2"/>
          <w:highlight w:val="none"/>
          <w:u w:val="single"/>
        </w:rPr>
        <w:t>元</w:t>
      </w:r>
      <w:r>
        <w:rPr>
          <w:rFonts w:ascii="Calibri" w:hAnsi="Calibri" w:cs="Times New Roman"/>
          <w:color w:val="auto"/>
          <w:kern w:val="2"/>
          <w:highlight w:val="none"/>
          <w:u w:val="single"/>
        </w:rPr>
        <w:t>/</w:t>
      </w:r>
      <w:r>
        <w:rPr>
          <w:rFonts w:hint="eastAsia" w:ascii="Calibri" w:hAnsi="Calibri" w:cs="Times New Roman"/>
          <w:color w:val="auto"/>
          <w:kern w:val="2"/>
          <w:highlight w:val="none"/>
          <w:u w:val="single"/>
        </w:rPr>
        <w:t>日（</w:t>
      </w:r>
      <w:r>
        <w:rPr>
          <w:rFonts w:hint="eastAsia" w:ascii="Calibri" w:hAnsi="宋体" w:cs="Times New Roman"/>
          <w:color w:val="auto"/>
          <w:kern w:val="2"/>
          <w:highlight w:val="none"/>
          <w:u w:val="single"/>
        </w:rPr>
        <w:t>人民币</w:t>
      </w:r>
      <w:r>
        <w:rPr>
          <w:rFonts w:hint="eastAsia" w:ascii="Calibri" w:hAnsi="Calibri" w:cs="Times New Roman"/>
          <w:color w:val="auto"/>
          <w:kern w:val="2"/>
          <w:highlight w:val="none"/>
          <w:u w:val="single"/>
        </w:rPr>
        <w:t>）</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rPr>
        <w:t>。</w:t>
      </w:r>
    </w:p>
    <w:p w14:paraId="2028BC26">
      <w:pPr>
        <w:spacing w:line="360" w:lineRule="auto"/>
        <w:ind w:firstLine="420" w:firstLineChars="200"/>
        <w:rPr>
          <w:rFonts w:ascii="Calibri" w:hAnsi="宋体" w:cs="Times New Roman"/>
          <w:color w:val="auto"/>
          <w:kern w:val="2"/>
          <w:highlight w:val="none"/>
        </w:rPr>
      </w:pPr>
      <w:r>
        <w:rPr>
          <w:rFonts w:ascii="Calibri" w:hAnsi="Calibri" w:cs="Times New Roman"/>
          <w:color w:val="auto"/>
          <w:kern w:val="2"/>
          <w:highlight w:val="none"/>
        </w:rPr>
        <w:t xml:space="preserve">3.2.3 </w:t>
      </w:r>
      <w:r>
        <w:rPr>
          <w:rFonts w:hint="eastAsia" w:ascii="Calibri" w:hAnsi="宋体" w:cs="Times New Roman"/>
          <w:color w:val="auto"/>
          <w:kern w:val="2"/>
          <w:highlight w:val="none"/>
        </w:rPr>
        <w:t>承包人擅自更换项目经理的违约责任：</w:t>
      </w:r>
      <w:r>
        <w:rPr>
          <w:rFonts w:hint="eastAsia" w:ascii="Calibri" w:hAnsi="宋体" w:cs="Times New Roman"/>
          <w:color w:val="auto"/>
          <w:kern w:val="2"/>
          <w:highlight w:val="none"/>
          <w:u w:val="single"/>
        </w:rPr>
        <w:t>承包人项目经理必须与承包人投标时所承诺的人员一致，并在开工日期</w:t>
      </w:r>
      <w:r>
        <w:rPr>
          <w:rFonts w:ascii="Calibri" w:hAnsi="宋体" w:cs="Times New Roman"/>
          <w:color w:val="auto"/>
          <w:kern w:val="2"/>
          <w:highlight w:val="none"/>
          <w:u w:val="single"/>
        </w:rPr>
        <w:tab/>
      </w:r>
      <w:r>
        <w:rPr>
          <w:rFonts w:hint="eastAsia" w:ascii="Calibri" w:hAnsi="宋体" w:cs="Times New Roman"/>
          <w:color w:val="auto"/>
          <w:kern w:val="2"/>
          <w:highlight w:val="none"/>
          <w:u w:val="single"/>
        </w:rPr>
        <w:t>前到任。在监理人向承包人颁发</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u w:val="single"/>
        </w:rPr>
        <w:t>（竣工证明材料名称）</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u w:val="single"/>
        </w:rPr>
        <w:t>前，项目经理不得同时兼任其他任何项目的项目经理</w:t>
      </w:r>
      <w:r>
        <w:rPr>
          <w:rFonts w:hint="eastAsia" w:ascii="Calibri" w:hAnsi="宋体" w:cs="Times New Roman"/>
          <w:color w:val="auto"/>
          <w:highlight w:val="none"/>
          <w:u w:val="single"/>
        </w:rPr>
        <w:t>（符合桂建管</w:t>
      </w:r>
      <w:r>
        <w:rPr>
          <w:rFonts w:hint="eastAsia" w:ascii="Calibri" w:hAnsi="宋体" w:cs="Times New Roman"/>
          <w:color w:val="auto"/>
          <w:kern w:val="2"/>
          <w:highlight w:val="none"/>
          <w:u w:val="single"/>
        </w:rPr>
        <w:t>﹝</w:t>
      </w:r>
      <w:r>
        <w:rPr>
          <w:rFonts w:ascii="Calibri" w:hAnsi="Calibri" w:cs="Times New Roman"/>
          <w:color w:val="auto"/>
          <w:kern w:val="2"/>
          <w:highlight w:val="none"/>
          <w:u w:val="single"/>
        </w:rPr>
        <w:t>2013</w:t>
      </w:r>
      <w:r>
        <w:rPr>
          <w:rFonts w:hint="eastAsia" w:ascii="Calibri" w:hAnsi="宋体" w:cs="Times New Roman"/>
          <w:color w:val="auto"/>
          <w:kern w:val="2"/>
          <w:highlight w:val="none"/>
          <w:u w:val="single"/>
        </w:rPr>
        <w:t>﹞</w:t>
      </w:r>
      <w:r>
        <w:rPr>
          <w:rFonts w:ascii="Calibri" w:hAnsi="Calibri" w:cs="Times New Roman"/>
          <w:color w:val="auto"/>
          <w:highlight w:val="none"/>
          <w:u w:val="single"/>
        </w:rPr>
        <w:t>17</w:t>
      </w:r>
      <w:r>
        <w:rPr>
          <w:rFonts w:hint="eastAsia" w:ascii="Calibri" w:hAnsi="宋体" w:cs="Times New Roman"/>
          <w:color w:val="auto"/>
          <w:highlight w:val="none"/>
          <w:u w:val="single"/>
        </w:rPr>
        <w:t>号和</w:t>
      </w:r>
      <w:r>
        <w:rPr>
          <w:rFonts w:hint="eastAsia" w:ascii="Calibri" w:hAnsi="宋体" w:cs="Times New Roman"/>
          <w:color w:val="auto"/>
          <w:kern w:val="2"/>
          <w:highlight w:val="none"/>
          <w:u w:val="single"/>
        </w:rPr>
        <w:t>桂建管﹝</w:t>
      </w:r>
      <w:r>
        <w:rPr>
          <w:rFonts w:ascii="Calibri" w:hAnsi="Calibri" w:cs="Times New Roman"/>
          <w:color w:val="auto"/>
          <w:kern w:val="2"/>
          <w:highlight w:val="none"/>
          <w:u w:val="single"/>
        </w:rPr>
        <w:t>2014</w:t>
      </w:r>
      <w:r>
        <w:rPr>
          <w:rFonts w:hint="eastAsia" w:ascii="Calibri" w:hAnsi="宋体" w:cs="Times New Roman"/>
          <w:color w:val="auto"/>
          <w:kern w:val="2"/>
          <w:highlight w:val="none"/>
          <w:u w:val="single"/>
        </w:rPr>
        <w:t>﹞</w:t>
      </w:r>
      <w:r>
        <w:rPr>
          <w:rFonts w:ascii="Calibri" w:hAnsi="Calibri" w:cs="Times New Roman"/>
          <w:color w:val="auto"/>
          <w:kern w:val="2"/>
          <w:highlight w:val="none"/>
          <w:u w:val="single"/>
        </w:rPr>
        <w:t>25</w:t>
      </w:r>
      <w:r>
        <w:rPr>
          <w:rFonts w:hint="eastAsia" w:ascii="Calibri" w:hAnsi="宋体" w:cs="Times New Roman"/>
          <w:color w:val="auto"/>
          <w:kern w:val="2"/>
          <w:highlight w:val="none"/>
          <w:u w:val="single"/>
        </w:rPr>
        <w:t>号</w:t>
      </w:r>
      <w:r>
        <w:rPr>
          <w:rFonts w:hint="eastAsia" w:ascii="Calibri" w:hAnsi="宋体" w:cs="Times New Roman"/>
          <w:color w:val="auto"/>
          <w:highlight w:val="none"/>
          <w:u w:val="single"/>
        </w:rPr>
        <w:t>文除外）</w:t>
      </w:r>
      <w:r>
        <w:rPr>
          <w:rFonts w:hint="eastAsia" w:ascii="Calibri" w:hAnsi="宋体" w:cs="Times New Roman"/>
          <w:color w:val="auto"/>
          <w:kern w:val="2"/>
          <w:highlight w:val="none"/>
          <w:u w:val="single"/>
        </w:rPr>
        <w:t>。未经发包人书面同意，承包人擅自更换项目经理的视为违约，违约金处</w:t>
      </w:r>
      <w:r>
        <w:rPr>
          <w:rFonts w:hint="eastAsia" w:ascii="Calibri" w:hAnsi="宋体" w:cs="Times New Roman"/>
          <w:color w:val="auto"/>
          <w:kern w:val="2"/>
          <w:highlight w:val="none"/>
          <w:u w:val="single"/>
          <w:lang w:val="en-US" w:eastAsia="zh-CN"/>
        </w:rPr>
        <w:t>1000</w:t>
      </w:r>
      <w:r>
        <w:rPr>
          <w:rFonts w:hint="eastAsia" w:ascii="Calibri" w:hAnsi="宋体" w:cs="Times New Roman"/>
          <w:color w:val="auto"/>
          <w:kern w:val="2"/>
          <w:highlight w:val="none"/>
          <w:u w:val="single"/>
        </w:rPr>
        <w:t>元</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人</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次</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人民币</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rPr>
        <w:t>。</w:t>
      </w:r>
    </w:p>
    <w:p w14:paraId="048E604D">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3.2.4 </w:t>
      </w:r>
      <w:r>
        <w:rPr>
          <w:rFonts w:hint="eastAsia" w:ascii="Calibri" w:hAnsi="宋体" w:cs="Times New Roman"/>
          <w:color w:val="auto"/>
          <w:kern w:val="2"/>
          <w:highlight w:val="none"/>
        </w:rPr>
        <w:t>承包人无正当理由拒绝更换项目经理的违约责任：</w:t>
      </w:r>
      <w:r>
        <w:rPr>
          <w:rFonts w:hint="eastAsia" w:ascii="Calibri" w:hAnsi="宋体" w:cs="Times New Roman"/>
          <w:color w:val="auto"/>
          <w:kern w:val="2"/>
          <w:highlight w:val="none"/>
          <w:u w:val="single"/>
        </w:rPr>
        <w:t>因承包人项目经理不称职，发包人要求调换而未及时调换的，视为承包人违约，必须向发包人交纳处罚金</w:t>
      </w:r>
      <w:r>
        <w:rPr>
          <w:rFonts w:hint="eastAsia" w:ascii="Calibri" w:hAnsi="宋体" w:cs="Times New Roman"/>
          <w:color w:val="auto"/>
          <w:kern w:val="2"/>
          <w:highlight w:val="none"/>
          <w:u w:val="single"/>
          <w:lang w:val="en-US" w:eastAsia="zh-CN"/>
        </w:rPr>
        <w:t>1000</w:t>
      </w:r>
      <w:r>
        <w:rPr>
          <w:rFonts w:hint="eastAsia" w:ascii="Calibri" w:hAnsi="宋体" w:cs="Times New Roman"/>
          <w:color w:val="auto"/>
          <w:kern w:val="2"/>
          <w:highlight w:val="none"/>
          <w:u w:val="single"/>
        </w:rPr>
        <w:t>元</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人</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次</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人民币</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rPr>
        <w:t>。</w:t>
      </w:r>
    </w:p>
    <w:p w14:paraId="76D457DC">
      <w:pPr>
        <w:keepNext/>
        <w:keepLines/>
        <w:spacing w:before="260" w:after="260" w:line="416" w:lineRule="auto"/>
        <w:outlineLvl w:val="2"/>
        <w:rPr>
          <w:rFonts w:ascii="Calibri" w:hAnsi="Calibri" w:cs="Times New Roman"/>
          <w:b/>
          <w:bCs/>
          <w:color w:val="auto"/>
          <w:kern w:val="2"/>
          <w:sz w:val="32"/>
          <w:szCs w:val="32"/>
          <w:highlight w:val="none"/>
        </w:rPr>
      </w:pPr>
      <w:bookmarkStart w:id="907" w:name="_Toc407135211"/>
      <w:bookmarkStart w:id="908" w:name="_Toc530658034"/>
      <w:bookmarkStart w:id="909" w:name="_Toc485400603"/>
      <w:bookmarkStart w:id="910" w:name="_Toc493774771"/>
      <w:bookmarkStart w:id="911" w:name="_Toc373227709"/>
      <w:bookmarkStart w:id="912" w:name="_Toc532840016"/>
      <w:bookmarkStart w:id="913" w:name="_Toc512691410"/>
      <w:bookmarkStart w:id="914" w:name="_Toc508894072"/>
      <w:bookmarkStart w:id="915" w:name="_Toc494549207"/>
      <w:bookmarkStart w:id="916" w:name="_Toc373478356"/>
      <w:bookmarkStart w:id="917" w:name="_Toc389065275"/>
      <w:r>
        <w:rPr>
          <w:rFonts w:ascii="Calibri" w:hAnsi="Calibri" w:cs="Times New Roman"/>
          <w:b/>
          <w:bCs/>
          <w:color w:val="auto"/>
          <w:kern w:val="2"/>
          <w:sz w:val="32"/>
          <w:szCs w:val="32"/>
          <w:highlight w:val="none"/>
        </w:rPr>
        <w:t xml:space="preserve">3.3 </w:t>
      </w:r>
      <w:r>
        <w:rPr>
          <w:rFonts w:hint="eastAsia" w:ascii="Calibri" w:hAnsi="宋体" w:cs="Times New Roman"/>
          <w:b/>
          <w:bCs/>
          <w:color w:val="auto"/>
          <w:kern w:val="2"/>
          <w:sz w:val="32"/>
          <w:szCs w:val="32"/>
          <w:highlight w:val="none"/>
        </w:rPr>
        <w:t>承包人人员</w:t>
      </w:r>
      <w:bookmarkEnd w:id="907"/>
      <w:bookmarkEnd w:id="908"/>
      <w:bookmarkEnd w:id="909"/>
      <w:bookmarkEnd w:id="910"/>
      <w:bookmarkEnd w:id="911"/>
      <w:bookmarkEnd w:id="912"/>
      <w:bookmarkEnd w:id="913"/>
      <w:bookmarkEnd w:id="914"/>
      <w:bookmarkEnd w:id="915"/>
      <w:bookmarkEnd w:id="916"/>
      <w:bookmarkEnd w:id="917"/>
    </w:p>
    <w:p w14:paraId="19DE78AB">
      <w:pPr>
        <w:spacing w:line="360" w:lineRule="auto"/>
        <w:ind w:firstLine="420" w:firstLineChars="200"/>
        <w:rPr>
          <w:rFonts w:ascii="Calibri" w:hAnsi="宋体" w:cs="Times New Roman"/>
          <w:color w:val="auto"/>
          <w:kern w:val="2"/>
          <w:highlight w:val="none"/>
        </w:rPr>
      </w:pPr>
      <w:r>
        <w:rPr>
          <w:rFonts w:ascii="Calibri" w:hAnsi="Calibri" w:cs="Times New Roman"/>
          <w:color w:val="auto"/>
          <w:kern w:val="2"/>
          <w:highlight w:val="none"/>
        </w:rPr>
        <w:t xml:space="preserve">3.3.1 </w:t>
      </w:r>
      <w:r>
        <w:rPr>
          <w:rFonts w:hint="eastAsia" w:ascii="Calibri" w:hAnsi="宋体" w:cs="Times New Roman"/>
          <w:color w:val="auto"/>
          <w:kern w:val="2"/>
          <w:highlight w:val="none"/>
        </w:rPr>
        <w:t>承包人提交项目管理机构及施工现场管理人员安排报告（格式见合同附件</w:t>
      </w:r>
      <w:r>
        <w:rPr>
          <w:rFonts w:ascii="Calibri" w:hAnsi="宋体" w:cs="Times New Roman"/>
          <w:color w:val="auto"/>
          <w:kern w:val="2"/>
          <w:highlight w:val="none"/>
        </w:rPr>
        <w:t>3</w:t>
      </w:r>
      <w:r>
        <w:rPr>
          <w:rFonts w:hint="eastAsia" w:ascii="Calibri" w:hAnsi="宋体" w:cs="Times New Roman"/>
          <w:color w:val="auto"/>
          <w:kern w:val="2"/>
          <w:highlight w:val="none"/>
        </w:rPr>
        <w:t>）的期限：</w:t>
      </w:r>
    </w:p>
    <w:p w14:paraId="00D91029">
      <w:pPr>
        <w:spacing w:line="360" w:lineRule="auto"/>
        <w:rPr>
          <w:rFonts w:ascii="Calibri" w:hAnsi="Calibri" w:cs="Times New Roman"/>
          <w:color w:val="auto"/>
          <w:kern w:val="2"/>
          <w:highlight w:val="none"/>
        </w:rPr>
      </w:pPr>
      <w:r>
        <w:rPr>
          <w:rFonts w:hint="eastAsia" w:ascii="Calibri" w:hAnsi="Calibri" w:cs="Times New Roman"/>
          <w:color w:val="auto"/>
          <w:kern w:val="2"/>
          <w:highlight w:val="none"/>
          <w:u w:val="single"/>
        </w:rPr>
        <w:t>合同签订后</w:t>
      </w:r>
      <w:r>
        <w:rPr>
          <w:rFonts w:ascii="Calibri" w:hAnsi="Calibri" w:cs="Times New Roman"/>
          <w:color w:val="auto"/>
          <w:kern w:val="2"/>
          <w:highlight w:val="none"/>
          <w:u w:val="single"/>
        </w:rPr>
        <w:t>14</w:t>
      </w:r>
      <w:r>
        <w:rPr>
          <w:rFonts w:hint="eastAsia" w:ascii="Calibri" w:hAnsi="Calibri" w:cs="Times New Roman"/>
          <w:color w:val="auto"/>
          <w:kern w:val="2"/>
          <w:highlight w:val="none"/>
          <w:u w:val="single"/>
        </w:rPr>
        <w:t>天内</w:t>
      </w:r>
      <w:r>
        <w:rPr>
          <w:rFonts w:hint="eastAsia" w:ascii="Calibri" w:hAnsi="宋体" w:cs="Times New Roman"/>
          <w:color w:val="auto"/>
          <w:kern w:val="2"/>
          <w:highlight w:val="none"/>
        </w:rPr>
        <w:t>。</w:t>
      </w:r>
    </w:p>
    <w:p w14:paraId="038C72DA">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3.3.3 </w:t>
      </w:r>
      <w:r>
        <w:rPr>
          <w:rFonts w:hint="eastAsia" w:ascii="Calibri" w:hAnsi="宋体" w:cs="Times New Roman"/>
          <w:color w:val="auto"/>
          <w:kern w:val="2"/>
          <w:highlight w:val="none"/>
        </w:rPr>
        <w:t>承包人无正当理由拒绝撤换主要施工管理人员的违约责任：</w:t>
      </w:r>
      <w:r>
        <w:rPr>
          <w:rFonts w:hint="eastAsia" w:ascii="Calibri" w:hAnsi="宋体" w:cs="Times New Roman"/>
          <w:color w:val="auto"/>
          <w:kern w:val="2"/>
          <w:highlight w:val="none"/>
          <w:u w:val="single"/>
        </w:rPr>
        <w:t>因承包人主要施工管理人员不称职，发包人要求调换而无正当理由拒绝撤换或未及时调换的，视为承包人违约，必须向发包人交纳处罚金，处罚标准：技术负责人</w:t>
      </w:r>
      <w:r>
        <w:rPr>
          <w:rFonts w:hint="eastAsia" w:ascii="Calibri" w:hAnsi="宋体" w:cs="Times New Roman"/>
          <w:color w:val="auto"/>
          <w:kern w:val="2"/>
          <w:highlight w:val="none"/>
          <w:u w:val="single"/>
          <w:lang w:val="en-US" w:eastAsia="zh-CN"/>
        </w:rPr>
        <w:t>500</w:t>
      </w:r>
      <w:r>
        <w:rPr>
          <w:rFonts w:hint="eastAsia" w:ascii="Calibri" w:hAnsi="宋体" w:cs="Times New Roman"/>
          <w:color w:val="auto"/>
          <w:kern w:val="2"/>
          <w:highlight w:val="none"/>
          <w:u w:val="single"/>
        </w:rPr>
        <w:t>元</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人</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次</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人民币</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；专业工程师</w:t>
      </w:r>
      <w:r>
        <w:rPr>
          <w:rFonts w:hint="eastAsia" w:ascii="Calibri" w:hAnsi="宋体" w:cs="Times New Roman"/>
          <w:color w:val="auto"/>
          <w:kern w:val="2"/>
          <w:highlight w:val="none"/>
          <w:u w:val="single"/>
          <w:lang w:val="en-US" w:eastAsia="zh-CN"/>
        </w:rPr>
        <w:t>200</w:t>
      </w:r>
      <w:r>
        <w:rPr>
          <w:rFonts w:hint="eastAsia" w:ascii="Calibri" w:hAnsi="宋体" w:cs="Times New Roman"/>
          <w:color w:val="auto"/>
          <w:kern w:val="2"/>
          <w:highlight w:val="none"/>
          <w:u w:val="single"/>
        </w:rPr>
        <w:t>元</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人</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次</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人民币</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rPr>
        <w:t>。</w:t>
      </w:r>
    </w:p>
    <w:p w14:paraId="6C34B89E">
      <w:pPr>
        <w:spacing w:line="360" w:lineRule="auto"/>
        <w:ind w:firstLine="420" w:firstLineChars="200"/>
        <w:rPr>
          <w:rFonts w:ascii="Calibri" w:hAnsi="Calibri" w:cs="Times New Roman"/>
          <w:color w:val="auto"/>
          <w:kern w:val="2"/>
          <w:highlight w:val="none"/>
          <w:u w:val="single"/>
        </w:rPr>
      </w:pPr>
      <w:r>
        <w:rPr>
          <w:rFonts w:ascii="Calibri" w:hAnsi="Calibri" w:cs="Times New Roman"/>
          <w:color w:val="auto"/>
          <w:kern w:val="2"/>
          <w:highlight w:val="none"/>
        </w:rPr>
        <w:t xml:space="preserve">3.3.4 </w:t>
      </w:r>
      <w:r>
        <w:rPr>
          <w:rFonts w:hint="eastAsia" w:ascii="Calibri" w:hAnsi="宋体" w:cs="Times New Roman"/>
          <w:color w:val="auto"/>
          <w:kern w:val="2"/>
          <w:highlight w:val="none"/>
        </w:rPr>
        <w:t>承包人主要施工管理人员离开施工现场的批准要求：</w:t>
      </w:r>
      <w:r>
        <w:rPr>
          <w:rFonts w:hint="eastAsia" w:ascii="Calibri" w:hAnsi="Calibri" w:cs="Times New Roman"/>
          <w:color w:val="auto"/>
          <w:kern w:val="2"/>
          <w:highlight w:val="none"/>
          <w:u w:val="single"/>
        </w:rPr>
        <w:t>应经发包人和监理工程师批准</w:t>
      </w:r>
      <w:r>
        <w:rPr>
          <w:rFonts w:hint="eastAsia" w:ascii="Calibri" w:hAnsi="宋体" w:cs="Times New Roman"/>
          <w:color w:val="auto"/>
          <w:kern w:val="2"/>
          <w:highlight w:val="none"/>
        </w:rPr>
        <w:t>。</w:t>
      </w:r>
    </w:p>
    <w:p w14:paraId="0AA221DF">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3.3.5 </w:t>
      </w:r>
      <w:r>
        <w:rPr>
          <w:rFonts w:hint="eastAsia" w:ascii="Calibri" w:hAnsi="宋体" w:cs="Times New Roman"/>
          <w:color w:val="auto"/>
          <w:kern w:val="2"/>
          <w:highlight w:val="none"/>
        </w:rPr>
        <w:t>承包人擅自更换主要施工管理人员的违约责任：</w:t>
      </w:r>
      <w:r>
        <w:rPr>
          <w:rFonts w:hint="eastAsia" w:ascii="Calibri" w:hAnsi="宋体" w:cs="Times New Roman"/>
          <w:color w:val="auto"/>
          <w:kern w:val="2"/>
          <w:highlight w:val="none"/>
          <w:u w:val="single"/>
        </w:rPr>
        <w:t>项目技术负责人、专职安全员及其承诺的其它在场管理人员未经发包人书面同意不准擅自更换，擅自更换项目技术负责人处</w:t>
      </w:r>
      <w:r>
        <w:rPr>
          <w:rFonts w:hint="eastAsia" w:ascii="Calibri" w:hAnsi="宋体" w:cs="Times New Roman"/>
          <w:color w:val="auto"/>
          <w:kern w:val="2"/>
          <w:highlight w:val="none"/>
          <w:u w:val="single"/>
          <w:lang w:val="en-US" w:eastAsia="zh-CN"/>
        </w:rPr>
        <w:t>500</w:t>
      </w:r>
      <w:r>
        <w:rPr>
          <w:rFonts w:hint="eastAsia" w:ascii="Calibri" w:hAnsi="宋体" w:cs="Times New Roman"/>
          <w:color w:val="auto"/>
          <w:kern w:val="2"/>
          <w:highlight w:val="none"/>
          <w:u w:val="single"/>
        </w:rPr>
        <w:t>元</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人</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次</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人民币</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违约金；擅自更换专职安全员处</w:t>
      </w:r>
      <w:r>
        <w:rPr>
          <w:rFonts w:hint="eastAsia" w:ascii="Calibri" w:hAnsi="宋体" w:cs="Times New Roman"/>
          <w:color w:val="auto"/>
          <w:kern w:val="2"/>
          <w:highlight w:val="none"/>
          <w:u w:val="single"/>
          <w:lang w:val="en-US" w:eastAsia="zh-CN"/>
        </w:rPr>
        <w:t>500</w:t>
      </w:r>
      <w:r>
        <w:rPr>
          <w:rFonts w:hint="eastAsia" w:ascii="Calibri" w:hAnsi="宋体" w:cs="Times New Roman"/>
          <w:color w:val="auto"/>
          <w:kern w:val="2"/>
          <w:highlight w:val="none"/>
          <w:u w:val="single"/>
        </w:rPr>
        <w:t>元</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人</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次</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人民币</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违约金；擅自更换其它在场管理人员处</w:t>
      </w:r>
      <w:r>
        <w:rPr>
          <w:rFonts w:hint="eastAsia" w:ascii="Calibri" w:hAnsi="宋体" w:cs="Times New Roman"/>
          <w:color w:val="auto"/>
          <w:kern w:val="2"/>
          <w:highlight w:val="none"/>
          <w:u w:val="single"/>
          <w:lang w:val="en-US" w:eastAsia="zh-CN"/>
        </w:rPr>
        <w:t>300</w:t>
      </w:r>
      <w:r>
        <w:rPr>
          <w:rFonts w:hint="eastAsia" w:ascii="Calibri" w:hAnsi="宋体" w:cs="Times New Roman"/>
          <w:color w:val="auto"/>
          <w:kern w:val="2"/>
          <w:highlight w:val="none"/>
          <w:u w:val="single"/>
        </w:rPr>
        <w:t>元</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人</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次</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人民币</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违约金</w:t>
      </w:r>
      <w:r>
        <w:rPr>
          <w:rFonts w:hint="eastAsia" w:ascii="Calibri" w:hAnsi="宋体" w:cs="Times New Roman"/>
          <w:color w:val="auto"/>
          <w:kern w:val="2"/>
          <w:highlight w:val="none"/>
        </w:rPr>
        <w:t>。</w:t>
      </w:r>
    </w:p>
    <w:p w14:paraId="113D2E5B">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承包人主要施工管理人员擅自离开施工现场的违约责任：</w:t>
      </w:r>
      <w:r>
        <w:rPr>
          <w:rFonts w:hint="eastAsia" w:ascii="Calibri" w:hAnsi="宋体" w:cs="Times New Roman"/>
          <w:color w:val="auto"/>
          <w:kern w:val="2"/>
          <w:highlight w:val="none"/>
          <w:u w:val="single"/>
        </w:rPr>
        <w:t>未经发包人同意，项目技术负责人擅自离岗的，视为承包人违约，发包人有权处违约金</w:t>
      </w:r>
      <w:r>
        <w:rPr>
          <w:rFonts w:hint="eastAsia" w:ascii="Calibri" w:hAnsi="宋体" w:cs="Times New Roman"/>
          <w:color w:val="auto"/>
          <w:kern w:val="2"/>
          <w:highlight w:val="none"/>
          <w:u w:val="single"/>
          <w:lang w:val="en-US" w:eastAsia="zh-CN"/>
        </w:rPr>
        <w:t>200</w:t>
      </w:r>
      <w:r>
        <w:rPr>
          <w:rFonts w:hint="eastAsia" w:ascii="Calibri" w:hAnsi="宋体" w:cs="Times New Roman"/>
          <w:color w:val="auto"/>
          <w:kern w:val="2"/>
          <w:highlight w:val="none"/>
          <w:u w:val="single"/>
        </w:rPr>
        <w:t>元</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人</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次</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人民币</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；未经发包人同意，专职安全员擅自离岗的，视为承包人违约，发包人有权处违约金</w:t>
      </w:r>
      <w:r>
        <w:rPr>
          <w:rFonts w:hint="eastAsia" w:ascii="Calibri" w:hAnsi="宋体" w:cs="Times New Roman"/>
          <w:color w:val="auto"/>
          <w:kern w:val="2"/>
          <w:highlight w:val="none"/>
          <w:u w:val="single"/>
          <w:lang w:val="en-US" w:eastAsia="zh-CN"/>
        </w:rPr>
        <w:t>200</w:t>
      </w:r>
      <w:r>
        <w:rPr>
          <w:rFonts w:hint="eastAsia" w:ascii="Calibri" w:hAnsi="宋体" w:cs="Times New Roman"/>
          <w:color w:val="auto"/>
          <w:kern w:val="2"/>
          <w:highlight w:val="none"/>
          <w:u w:val="single"/>
        </w:rPr>
        <w:t>元</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人</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次</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人民币</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；其它在场管理人员擅自离岗的，视为承包人违约，发包人有权处违约金</w:t>
      </w:r>
      <w:r>
        <w:rPr>
          <w:rFonts w:hint="eastAsia" w:ascii="Calibri" w:hAnsi="宋体" w:cs="Times New Roman"/>
          <w:color w:val="auto"/>
          <w:kern w:val="2"/>
          <w:highlight w:val="none"/>
          <w:u w:val="single"/>
          <w:lang w:val="en-US" w:eastAsia="zh-CN"/>
        </w:rPr>
        <w:t>100</w:t>
      </w:r>
      <w:r>
        <w:rPr>
          <w:rFonts w:hint="eastAsia" w:ascii="Calibri" w:hAnsi="宋体" w:cs="Times New Roman"/>
          <w:color w:val="auto"/>
          <w:kern w:val="2"/>
          <w:highlight w:val="none"/>
          <w:u w:val="single"/>
        </w:rPr>
        <w:t>元</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人</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次</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人民币</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rPr>
        <w:t>。</w:t>
      </w:r>
    </w:p>
    <w:p w14:paraId="36B6F2F7">
      <w:pPr>
        <w:keepNext/>
        <w:keepLines/>
        <w:spacing w:before="260" w:after="260" w:line="416" w:lineRule="auto"/>
        <w:outlineLvl w:val="2"/>
        <w:rPr>
          <w:rFonts w:ascii="Calibri" w:hAnsi="Calibri" w:cs="Times New Roman"/>
          <w:b/>
          <w:bCs/>
          <w:color w:val="auto"/>
          <w:kern w:val="2"/>
          <w:sz w:val="32"/>
          <w:szCs w:val="32"/>
          <w:highlight w:val="none"/>
        </w:rPr>
      </w:pPr>
      <w:bookmarkStart w:id="918" w:name="_Toc508894073"/>
      <w:bookmarkStart w:id="919" w:name="_Toc494549208"/>
      <w:bookmarkStart w:id="920" w:name="_Toc512691411"/>
      <w:bookmarkStart w:id="921" w:name="_Toc485400604"/>
      <w:bookmarkStart w:id="922" w:name="_Toc530658035"/>
      <w:bookmarkStart w:id="923" w:name="_Toc532840017"/>
      <w:bookmarkStart w:id="924" w:name="_Toc373227710"/>
      <w:bookmarkStart w:id="925" w:name="_Toc493774772"/>
      <w:bookmarkStart w:id="926" w:name="_Toc389065276"/>
      <w:bookmarkStart w:id="927" w:name="_Toc373478357"/>
      <w:bookmarkStart w:id="928" w:name="_Toc407135212"/>
      <w:r>
        <w:rPr>
          <w:rFonts w:ascii="Calibri" w:hAnsi="Calibri" w:cs="Times New Roman"/>
          <w:b/>
          <w:bCs/>
          <w:color w:val="auto"/>
          <w:kern w:val="2"/>
          <w:sz w:val="32"/>
          <w:szCs w:val="32"/>
          <w:highlight w:val="none"/>
        </w:rPr>
        <w:t>3</w:t>
      </w:r>
      <w:bookmarkStart w:id="929" w:name="_Toc304295523"/>
      <w:bookmarkStart w:id="930" w:name="_Toc296890987"/>
      <w:bookmarkStart w:id="931" w:name="_Toc292559869"/>
      <w:bookmarkStart w:id="932" w:name="_Toc292559364"/>
      <w:bookmarkStart w:id="933" w:name="_Toc296503159"/>
      <w:bookmarkStart w:id="934" w:name="_Toc297120459"/>
      <w:bookmarkStart w:id="935" w:name="_Toc296346660"/>
      <w:bookmarkStart w:id="936" w:name="_Toc303539102"/>
      <w:bookmarkStart w:id="937" w:name="_Toc297048345"/>
      <w:bookmarkStart w:id="938" w:name="_Toc296891199"/>
      <w:bookmarkStart w:id="939" w:name="_Toc297123492"/>
      <w:bookmarkStart w:id="940" w:name="_Toc296347158"/>
      <w:bookmarkStart w:id="941" w:name="_Toc296944498"/>
      <w:bookmarkStart w:id="942" w:name="_Toc297216151"/>
      <w:bookmarkStart w:id="943" w:name="_Toc312677988"/>
      <w:bookmarkStart w:id="944" w:name="_Toc300934945"/>
      <w:r>
        <w:rPr>
          <w:rFonts w:ascii="Calibri" w:hAnsi="Calibri" w:cs="Times New Roman"/>
          <w:b/>
          <w:bCs/>
          <w:color w:val="auto"/>
          <w:kern w:val="2"/>
          <w:sz w:val="32"/>
          <w:szCs w:val="32"/>
          <w:highlight w:val="none"/>
        </w:rPr>
        <w:t xml:space="preserve">.5 </w:t>
      </w:r>
      <w:r>
        <w:rPr>
          <w:rFonts w:hint="eastAsia" w:ascii="Calibri" w:hAnsi="宋体" w:cs="Times New Roman"/>
          <w:b/>
          <w:bCs/>
          <w:color w:val="auto"/>
          <w:kern w:val="2"/>
          <w:sz w:val="32"/>
          <w:szCs w:val="32"/>
          <w:highlight w:val="none"/>
        </w:rPr>
        <w:t>分包</w:t>
      </w:r>
      <w:bookmarkEnd w:id="918"/>
      <w:bookmarkEnd w:id="919"/>
      <w:bookmarkEnd w:id="920"/>
      <w:bookmarkEnd w:id="921"/>
      <w:bookmarkEnd w:id="922"/>
      <w:bookmarkEnd w:id="923"/>
      <w:bookmarkEnd w:id="924"/>
      <w:bookmarkEnd w:id="925"/>
      <w:bookmarkEnd w:id="926"/>
      <w:bookmarkEnd w:id="927"/>
      <w:bookmarkEnd w:id="928"/>
    </w:p>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14:paraId="275CBB59">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3</w:t>
      </w:r>
      <w:bookmarkStart w:id="945" w:name="_Toc296891200"/>
      <w:bookmarkStart w:id="946" w:name="_Toc303539103"/>
      <w:bookmarkStart w:id="947" w:name="_Toc304295524"/>
      <w:bookmarkStart w:id="948" w:name="_Toc297048346"/>
      <w:bookmarkStart w:id="949" w:name="_Toc297216152"/>
      <w:bookmarkStart w:id="950" w:name="_Toc296347159"/>
      <w:bookmarkStart w:id="951" w:name="_Toc318581158"/>
      <w:bookmarkStart w:id="952" w:name="_Toc296346661"/>
      <w:bookmarkStart w:id="953" w:name="_Toc312677989"/>
      <w:bookmarkStart w:id="954" w:name="_Toc297120460"/>
      <w:bookmarkStart w:id="955" w:name="_Toc292559870"/>
      <w:bookmarkStart w:id="956" w:name="_Toc296944499"/>
      <w:bookmarkStart w:id="957" w:name="_Toc296503160"/>
      <w:bookmarkStart w:id="958" w:name="_Toc297123493"/>
      <w:bookmarkStart w:id="959" w:name="_Toc296890988"/>
      <w:bookmarkStart w:id="960" w:name="_Toc300934946"/>
      <w:bookmarkStart w:id="961" w:name="_Toc292559365"/>
      <w:r>
        <w:rPr>
          <w:rFonts w:ascii="Calibri" w:hAnsi="Calibri" w:cs="Times New Roman"/>
          <w:color w:val="auto"/>
          <w:kern w:val="2"/>
          <w:highlight w:val="none"/>
        </w:rPr>
        <w:t xml:space="preserve">.5.1 </w:t>
      </w:r>
      <w:r>
        <w:rPr>
          <w:rFonts w:hint="eastAsia" w:ascii="Calibri" w:hAnsi="宋体" w:cs="Times New Roman"/>
          <w:color w:val="auto"/>
          <w:kern w:val="2"/>
          <w:highlight w:val="none"/>
        </w:rPr>
        <w:t>分包的一般约定</w:t>
      </w:r>
    </w:p>
    <w:p w14:paraId="3C624148">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禁止分包的工程包括：</w:t>
      </w:r>
      <w:r>
        <w:rPr>
          <w:rFonts w:hint="eastAsia" w:ascii="Calibri" w:hAnsi="宋体" w:cs="Times New Roman"/>
          <w:color w:val="auto"/>
          <w:kern w:val="2"/>
          <w:highlight w:val="none"/>
          <w:u w:val="single"/>
          <w:lang w:val="en-US" w:eastAsia="zh-CN"/>
        </w:rPr>
        <w:t>主体结构、关键性工作</w:t>
      </w:r>
      <w:r>
        <w:rPr>
          <w:rFonts w:hint="eastAsia" w:ascii="Calibri" w:hAnsi="宋体" w:cs="Times New Roman"/>
          <w:color w:val="auto"/>
          <w:kern w:val="2"/>
          <w:highlight w:val="none"/>
          <w:u w:val="single"/>
        </w:rPr>
        <w:t>不允许分包</w:t>
      </w:r>
      <w:r>
        <w:rPr>
          <w:rFonts w:hint="eastAsia" w:ascii="Calibri" w:hAnsi="宋体" w:cs="Times New Roman"/>
          <w:color w:val="auto"/>
          <w:kern w:val="2"/>
          <w:highlight w:val="none"/>
        </w:rPr>
        <w:t>。</w:t>
      </w:r>
    </w:p>
    <w:p w14:paraId="7B127AB3">
      <w:pPr>
        <w:spacing w:line="360" w:lineRule="auto"/>
        <w:ind w:firstLine="420" w:firstLineChars="200"/>
        <w:jc w:val="left"/>
        <w:rPr>
          <w:rFonts w:ascii="Calibri" w:hAnsi="宋体" w:cs="Times New Roman"/>
          <w:color w:val="auto"/>
          <w:kern w:val="2"/>
          <w:highlight w:val="none"/>
        </w:rPr>
      </w:pPr>
      <w:r>
        <w:rPr>
          <w:rFonts w:hint="eastAsia" w:ascii="Calibri" w:hAnsi="宋体" w:cs="Times New Roman"/>
          <w:color w:val="auto"/>
          <w:kern w:val="2"/>
          <w:highlight w:val="none"/>
        </w:rPr>
        <w:t>主体结构、关键性工作的范围：</w:t>
      </w:r>
      <w:r>
        <w:rPr>
          <w:rFonts w:ascii="Calibri" w:hAnsi="宋体" w:cs="Times New Roman"/>
          <w:color w:val="auto"/>
          <w:kern w:val="2"/>
          <w:highlight w:val="none"/>
          <w:u w:val="single"/>
        </w:rPr>
        <w:t>/</w:t>
      </w:r>
      <w:r>
        <w:rPr>
          <w:rFonts w:hint="eastAsia" w:ascii="Calibri" w:hAnsi="宋体" w:cs="Times New Roman"/>
          <w:color w:val="auto"/>
          <w:kern w:val="2"/>
          <w:highlight w:val="none"/>
        </w:rPr>
        <w:t>。</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 w14:paraId="03A9D56D">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3</w:t>
      </w:r>
      <w:bookmarkStart w:id="962" w:name="_Toc318581159"/>
      <w:bookmarkStart w:id="963" w:name="_Toc312677990"/>
      <w:r>
        <w:rPr>
          <w:rFonts w:ascii="Calibri" w:hAnsi="Calibri" w:cs="Times New Roman"/>
          <w:color w:val="auto"/>
          <w:kern w:val="2"/>
          <w:highlight w:val="none"/>
        </w:rPr>
        <w:t xml:space="preserve">.5.2 </w:t>
      </w:r>
      <w:r>
        <w:rPr>
          <w:rFonts w:hint="eastAsia" w:ascii="Calibri" w:hAnsi="宋体" w:cs="Times New Roman"/>
          <w:color w:val="auto"/>
          <w:kern w:val="2"/>
          <w:highlight w:val="none"/>
        </w:rPr>
        <w:t>分包的确定</w:t>
      </w:r>
    </w:p>
    <w:p w14:paraId="4241B690">
      <w:pPr>
        <w:spacing w:line="360" w:lineRule="auto"/>
        <w:ind w:firstLine="420" w:firstLineChars="200"/>
        <w:rPr>
          <w:rFonts w:ascii="Calibri" w:hAnsi="Calibri" w:cs="Times New Roman"/>
          <w:color w:val="auto"/>
          <w:kern w:val="2"/>
          <w:highlight w:val="none"/>
          <w:u w:val="single"/>
        </w:rPr>
      </w:pPr>
      <w:r>
        <w:rPr>
          <w:rFonts w:hint="eastAsia" w:ascii="Calibri" w:hAnsi="宋体" w:cs="Times New Roman"/>
          <w:color w:val="auto"/>
          <w:kern w:val="2"/>
          <w:highlight w:val="none"/>
        </w:rPr>
        <w:t>允许分包的专业工程包括：</w:t>
      </w:r>
      <w:r>
        <w:rPr>
          <w:rFonts w:ascii="Calibri" w:hAnsi="宋体" w:cs="Times New Roman"/>
          <w:color w:val="auto"/>
          <w:kern w:val="2"/>
          <w:highlight w:val="none"/>
          <w:u w:val="single"/>
        </w:rPr>
        <w:t>/</w:t>
      </w:r>
      <w:r>
        <w:rPr>
          <w:rFonts w:hint="eastAsia" w:ascii="Calibri" w:hAnsi="宋体" w:cs="Times New Roman"/>
          <w:color w:val="auto"/>
          <w:kern w:val="2"/>
          <w:highlight w:val="none"/>
        </w:rPr>
        <w:t>。</w:t>
      </w:r>
    </w:p>
    <w:p w14:paraId="244E2B5E">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其他关于分包的约定：</w:t>
      </w:r>
    </w:p>
    <w:p w14:paraId="25C65BF9">
      <w:pPr>
        <w:spacing w:line="360" w:lineRule="auto"/>
        <w:ind w:firstLine="420" w:firstLineChars="200"/>
        <w:rPr>
          <w:rFonts w:ascii="Calibri" w:hAnsi="Calibri" w:cs="Times New Roman"/>
          <w:color w:val="auto"/>
          <w:kern w:val="2"/>
          <w:highlight w:val="none"/>
        </w:rPr>
      </w:pPr>
      <w:r>
        <w:rPr>
          <w:rFonts w:hint="eastAsia" w:ascii="Calibri" w:hAnsi="Calibri" w:cs="Times New Roman"/>
          <w:color w:val="auto"/>
          <w:kern w:val="2"/>
          <w:highlight w:val="none"/>
        </w:rPr>
        <w:t>（</w:t>
      </w:r>
      <w:r>
        <w:rPr>
          <w:rFonts w:ascii="Calibri" w:hAnsi="Calibri" w:cs="Times New Roman"/>
          <w:color w:val="auto"/>
          <w:kern w:val="2"/>
          <w:highlight w:val="none"/>
        </w:rPr>
        <w:t>1</w:t>
      </w:r>
      <w:r>
        <w:rPr>
          <w:rFonts w:hint="eastAsia" w:ascii="Calibri" w:hAnsi="Calibri" w:cs="Times New Roman"/>
          <w:color w:val="auto"/>
          <w:kern w:val="2"/>
          <w:highlight w:val="none"/>
        </w:rPr>
        <w:t>）</w:t>
      </w:r>
      <w:r>
        <w:rPr>
          <w:rFonts w:hint="eastAsia" w:ascii="Calibri" w:hAnsi="宋体" w:cs="Times New Roman"/>
          <w:color w:val="auto"/>
          <w:kern w:val="2"/>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ascii="Calibri" w:hAnsi="宋体" w:cs="Times New Roman"/>
          <w:color w:val="auto"/>
          <w:kern w:val="2"/>
          <w:highlight w:val="none"/>
        </w:rPr>
        <w:t>4</w:t>
      </w:r>
      <w:r>
        <w:rPr>
          <w:rFonts w:hint="eastAsia" w:ascii="Calibri" w:hAnsi="宋体" w:cs="Times New Roman"/>
          <w:color w:val="auto"/>
          <w:kern w:val="2"/>
          <w:highlight w:val="none"/>
        </w:rPr>
        <w:t>。</w:t>
      </w:r>
    </w:p>
    <w:p w14:paraId="6BAF5B8D">
      <w:pPr>
        <w:spacing w:line="360" w:lineRule="auto"/>
        <w:ind w:firstLine="420" w:firstLineChars="200"/>
        <w:rPr>
          <w:rFonts w:ascii="Calibri" w:hAnsi="Calibri" w:cs="Times New Roman"/>
          <w:color w:val="auto"/>
          <w:kern w:val="2"/>
          <w:highlight w:val="none"/>
          <w:u w:val="single"/>
        </w:rPr>
      </w:pPr>
      <w:r>
        <w:rPr>
          <w:rFonts w:hint="eastAsia" w:ascii="Calibri" w:hAnsi="Calibri" w:cs="Times New Roman"/>
          <w:color w:val="auto"/>
          <w:kern w:val="2"/>
          <w:highlight w:val="none"/>
        </w:rPr>
        <w:t>（</w:t>
      </w:r>
      <w:r>
        <w:rPr>
          <w:rFonts w:ascii="Calibri" w:hAnsi="Calibri" w:cs="Times New Roman"/>
          <w:color w:val="auto"/>
          <w:kern w:val="2"/>
          <w:highlight w:val="none"/>
        </w:rPr>
        <w:t>2</w:t>
      </w:r>
      <w:r>
        <w:rPr>
          <w:rFonts w:hint="eastAsia" w:ascii="Calibri" w:hAnsi="Calibri" w:cs="Times New Roman"/>
          <w:color w:val="auto"/>
          <w:kern w:val="2"/>
          <w:highlight w:val="none"/>
        </w:rPr>
        <w:t>）</w:t>
      </w:r>
      <w:r>
        <w:rPr>
          <w:rFonts w:hint="eastAsia" w:ascii="Calibri" w:hAnsi="宋体" w:cs="Times New Roman"/>
          <w:color w:val="auto"/>
          <w:kern w:val="2"/>
          <w:highlight w:val="none"/>
        </w:rPr>
        <w:t>在相关分包合同签订并报送有关建设行政主管部门备案后</w:t>
      </w:r>
      <w:r>
        <w:rPr>
          <w:rFonts w:ascii="Calibri" w:hAnsi="Calibri" w:cs="Times New Roman"/>
          <w:color w:val="auto"/>
          <w:kern w:val="2"/>
          <w:highlight w:val="none"/>
        </w:rPr>
        <w:t>7</w:t>
      </w:r>
      <w:r>
        <w:rPr>
          <w:rFonts w:hint="eastAsia" w:ascii="Calibri" w:hAnsi="宋体" w:cs="Times New Roman"/>
          <w:color w:val="auto"/>
          <w:kern w:val="2"/>
          <w:highlight w:val="none"/>
        </w:rPr>
        <w:t>天内，承包人应当将一份副本提交给监理人，承包人应保障分包工作不得再次分包。</w:t>
      </w:r>
    </w:p>
    <w:p w14:paraId="2DF925A1">
      <w:pPr>
        <w:spacing w:line="360" w:lineRule="auto"/>
        <w:ind w:firstLine="420" w:firstLineChars="200"/>
        <w:rPr>
          <w:rFonts w:ascii="Calibri" w:hAnsi="Calibri" w:cs="Times New Roman"/>
          <w:color w:val="auto"/>
          <w:kern w:val="2"/>
          <w:highlight w:val="none"/>
        </w:rPr>
      </w:pPr>
      <w:r>
        <w:rPr>
          <w:rFonts w:hint="eastAsia" w:ascii="Calibri" w:hAnsi="Calibri" w:cs="Times New Roman"/>
          <w:color w:val="auto"/>
          <w:kern w:val="2"/>
          <w:highlight w:val="none"/>
        </w:rPr>
        <w:t>（</w:t>
      </w:r>
      <w:r>
        <w:rPr>
          <w:rFonts w:ascii="Calibri" w:hAnsi="Calibri" w:cs="Times New Roman"/>
          <w:color w:val="auto"/>
          <w:kern w:val="2"/>
          <w:highlight w:val="none"/>
        </w:rPr>
        <w:t>3</w:t>
      </w:r>
      <w:r>
        <w:rPr>
          <w:rFonts w:hint="eastAsia" w:ascii="Calibri" w:hAnsi="Calibri" w:cs="Times New Roman"/>
          <w:color w:val="auto"/>
          <w:kern w:val="2"/>
          <w:highlight w:val="none"/>
        </w:rPr>
        <w:t>）</w:t>
      </w:r>
      <w:r>
        <w:rPr>
          <w:rFonts w:hint="eastAsia" w:ascii="Calibri" w:hAnsi="宋体" w:cs="Times New Roman"/>
          <w:color w:val="auto"/>
          <w:kern w:val="2"/>
          <w:highlight w:val="none"/>
        </w:rPr>
        <w:t>未经承包人和监理人审批同意的分包工程和分包人，承包人有权拒绝验收分包工程和支付相应款项，由此引起的发包人费用增加和</w:t>
      </w:r>
      <w:r>
        <w:rPr>
          <w:rFonts w:ascii="Calibri" w:hAnsi="Calibri" w:cs="Times New Roman"/>
          <w:color w:val="auto"/>
          <w:kern w:val="2"/>
          <w:highlight w:val="none"/>
        </w:rPr>
        <w:t>(</w:t>
      </w:r>
      <w:r>
        <w:rPr>
          <w:rFonts w:hint="eastAsia" w:ascii="Calibri" w:hAnsi="宋体" w:cs="Times New Roman"/>
          <w:color w:val="auto"/>
          <w:kern w:val="2"/>
          <w:highlight w:val="none"/>
        </w:rPr>
        <w:t>或</w:t>
      </w:r>
      <w:r>
        <w:rPr>
          <w:rFonts w:ascii="Calibri" w:hAnsi="Calibri" w:cs="Times New Roman"/>
          <w:color w:val="auto"/>
          <w:kern w:val="2"/>
          <w:highlight w:val="none"/>
        </w:rPr>
        <w:t>)</w:t>
      </w:r>
      <w:r>
        <w:rPr>
          <w:rFonts w:hint="eastAsia" w:ascii="Calibri" w:hAnsi="宋体" w:cs="Times New Roman"/>
          <w:color w:val="auto"/>
          <w:kern w:val="2"/>
          <w:highlight w:val="none"/>
        </w:rPr>
        <w:t>延误的工期由发包人承担。</w:t>
      </w:r>
    </w:p>
    <w:p w14:paraId="2D17FB20">
      <w:pPr>
        <w:spacing w:line="360" w:lineRule="auto"/>
        <w:ind w:firstLine="420" w:firstLineChars="200"/>
        <w:rPr>
          <w:rFonts w:ascii="Times New Roman" w:cs="Times New Roman"/>
          <w:color w:val="auto"/>
          <w:kern w:val="2"/>
          <w:highlight w:val="none"/>
        </w:rPr>
      </w:pPr>
      <w:r>
        <w:rPr>
          <w:rFonts w:hint="eastAsia" w:ascii="Times New Roman" w:cs="Times New Roman"/>
          <w:color w:val="auto"/>
          <w:kern w:val="2"/>
          <w:highlight w:val="none"/>
        </w:rPr>
        <w:t>（</w:t>
      </w:r>
      <w:r>
        <w:rPr>
          <w:rFonts w:ascii="Times New Roman" w:cs="Times New Roman"/>
          <w:color w:val="auto"/>
          <w:kern w:val="2"/>
          <w:highlight w:val="none"/>
        </w:rPr>
        <w:t>4</w:t>
      </w:r>
      <w:r>
        <w:rPr>
          <w:rFonts w:hint="eastAsia" w:ascii="Times New Roman" w:cs="Times New Roman"/>
          <w:color w:val="auto"/>
          <w:kern w:val="2"/>
          <w:highlight w:val="none"/>
        </w:rPr>
        <w:t>）</w:t>
      </w:r>
      <w:r>
        <w:rPr>
          <w:rFonts w:hint="eastAsia" w:ascii="Times New Roman" w:hAnsi="宋体" w:cs="Times New Roman"/>
          <w:color w:val="auto"/>
          <w:kern w:val="2"/>
          <w:highlight w:val="none"/>
        </w:rPr>
        <w:t>承包人有以下情况之一者，发包人有权解除合同：</w:t>
      </w:r>
    </w:p>
    <w:p w14:paraId="380488E3">
      <w:pPr>
        <w:spacing w:line="360" w:lineRule="auto"/>
        <w:ind w:firstLine="441" w:firstLineChars="210"/>
        <w:rPr>
          <w:rFonts w:ascii="Times New Roman" w:cs="Times New Roman"/>
          <w:color w:val="auto"/>
          <w:kern w:val="2"/>
          <w:highlight w:val="none"/>
        </w:rPr>
      </w:pPr>
      <w:r>
        <w:rPr>
          <w:rFonts w:hint="eastAsia" w:ascii="Times New Roman" w:hAnsi="宋体" w:cs="Times New Roman"/>
          <w:color w:val="auto"/>
          <w:kern w:val="2"/>
          <w:highlight w:val="none"/>
        </w:rPr>
        <w:t>①个人承包工程，包括本人单位及外单位人员承包，发包人不承认其个人拥有任何资质等级及营业许可资格。</w:t>
      </w:r>
    </w:p>
    <w:p w14:paraId="2DD8D88E">
      <w:pPr>
        <w:spacing w:line="360" w:lineRule="auto"/>
        <w:ind w:firstLine="441" w:firstLineChars="210"/>
        <w:rPr>
          <w:rFonts w:ascii="Times New Roman" w:cs="Times New Roman"/>
          <w:color w:val="auto"/>
          <w:kern w:val="2"/>
          <w:highlight w:val="none"/>
        </w:rPr>
      </w:pPr>
      <w:r>
        <w:rPr>
          <w:rFonts w:hint="eastAsia" w:ascii="Times New Roman" w:hAnsi="宋体" w:cs="Times New Roman"/>
          <w:color w:val="auto"/>
          <w:kern w:val="2"/>
          <w:highlight w:val="none"/>
        </w:rPr>
        <w:t>②几个人联合承包工程，就地组织暗分包队伍，不具备完成本工程的技术、机械能力，被发包人判定为没有能力履行的承包人。</w:t>
      </w:r>
    </w:p>
    <w:p w14:paraId="54E86BD3">
      <w:pPr>
        <w:spacing w:line="360" w:lineRule="auto"/>
        <w:ind w:firstLine="441" w:firstLineChars="210"/>
        <w:rPr>
          <w:rFonts w:ascii="Times New Roman" w:cs="Times New Roman"/>
          <w:color w:val="auto"/>
          <w:kern w:val="2"/>
          <w:highlight w:val="none"/>
        </w:rPr>
      </w:pPr>
      <w:r>
        <w:rPr>
          <w:rFonts w:hint="eastAsia" w:ascii="Times New Roman" w:hAnsi="宋体" w:cs="Times New Roman"/>
          <w:color w:val="auto"/>
          <w:kern w:val="2"/>
          <w:highlight w:val="none"/>
        </w:rPr>
        <w:t>③就地转包全部的工程，以谋取高额转让费、管理费的承包人。</w:t>
      </w:r>
    </w:p>
    <w:p w14:paraId="0A5680FA">
      <w:pPr>
        <w:spacing w:line="360" w:lineRule="auto"/>
        <w:ind w:firstLine="420" w:firstLineChars="200"/>
        <w:rPr>
          <w:rFonts w:ascii="Calibri" w:hAnsi="Calibri" w:cs="Times New Roman"/>
          <w:color w:val="auto"/>
          <w:kern w:val="2"/>
          <w:highlight w:val="none"/>
          <w:u w:val="single"/>
        </w:rPr>
      </w:pPr>
      <w:r>
        <w:rPr>
          <w:rFonts w:hint="eastAsia" w:ascii="Calibri" w:hAnsi="宋体" w:cs="Times New Roman"/>
          <w:color w:val="auto"/>
          <w:kern w:val="2"/>
          <w:highlight w:val="none"/>
        </w:rPr>
        <w:t>④承包人有部分分包现象（其中包括冒充承包人下属单位的挂勾单位，凭口头协议参与施工的分包人及其他暗分包个体户），一经发现核实，发包人将采取驱逐该暗分包人措施。</w:t>
      </w:r>
    </w:p>
    <w:p w14:paraId="239A96AA">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3.5.4 </w:t>
      </w:r>
      <w:r>
        <w:rPr>
          <w:rFonts w:hint="eastAsia" w:ascii="Calibri" w:hAnsi="宋体" w:cs="Times New Roman"/>
          <w:color w:val="auto"/>
          <w:kern w:val="2"/>
          <w:highlight w:val="none"/>
        </w:rPr>
        <w:t>分包合同价款</w:t>
      </w:r>
    </w:p>
    <w:bookmarkEnd w:id="962"/>
    <w:bookmarkEnd w:id="963"/>
    <w:p w14:paraId="491AFABB">
      <w:pPr>
        <w:spacing w:line="360" w:lineRule="auto"/>
        <w:ind w:firstLine="420" w:firstLineChars="200"/>
        <w:rPr>
          <w:rFonts w:ascii="Calibri" w:hAnsi="Calibri" w:cs="Times New Roman"/>
          <w:color w:val="auto"/>
          <w:kern w:val="2"/>
          <w:highlight w:val="none"/>
        </w:rPr>
      </w:pPr>
      <w:bookmarkStart w:id="964" w:name="_Toc389065277"/>
      <w:bookmarkStart w:id="965" w:name="_Toc373227711"/>
      <w:bookmarkStart w:id="966" w:name="_Toc373478358"/>
      <w:r>
        <w:rPr>
          <w:rFonts w:hint="eastAsia" w:ascii="Calibri" w:hAnsi="宋体" w:cs="Times New Roman"/>
          <w:color w:val="auto"/>
          <w:kern w:val="2"/>
          <w:highlight w:val="none"/>
        </w:rPr>
        <w:t>关于分包合同价款支付的约定：</w:t>
      </w:r>
      <w:r>
        <w:rPr>
          <w:rFonts w:hint="eastAsia" w:ascii="Calibri" w:hAnsi="宋体" w:cs="Times New Roman"/>
          <w:color w:val="auto"/>
          <w:kern w:val="2"/>
          <w:highlight w:val="none"/>
          <w:u w:val="single"/>
        </w:rPr>
        <w:t>分包工程价款由承包人与分包人</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包括专业分包人</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结算。发包人未经承包人同意不得以任何形式向分包人</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包括专业分包人</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支付相关分包合同项下的任何工程款项。因发包人未经承包人同意直接向分包人</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包括专业分包人</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支付相关分包合同项下的任何工程款项而影响承包人工作的，所造成的承包人费用增加和</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或</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延误的工期由发包人承担。</w:t>
      </w:r>
    </w:p>
    <w:p w14:paraId="6A539912">
      <w:pPr>
        <w:keepNext/>
        <w:keepLines/>
        <w:spacing w:before="260" w:after="260" w:line="416" w:lineRule="auto"/>
        <w:outlineLvl w:val="2"/>
        <w:rPr>
          <w:rFonts w:ascii="Calibri" w:hAnsi="Calibri" w:cs="Times New Roman"/>
          <w:b/>
          <w:bCs/>
          <w:color w:val="auto"/>
          <w:kern w:val="2"/>
          <w:sz w:val="32"/>
          <w:szCs w:val="32"/>
          <w:highlight w:val="none"/>
        </w:rPr>
      </w:pPr>
      <w:bookmarkStart w:id="967" w:name="_Toc407135213"/>
      <w:bookmarkStart w:id="968" w:name="_Toc512691412"/>
      <w:bookmarkStart w:id="969" w:name="_Toc493774773"/>
      <w:bookmarkStart w:id="970" w:name="_Toc532840018"/>
      <w:bookmarkStart w:id="971" w:name="_Toc494549209"/>
      <w:bookmarkStart w:id="972" w:name="_Toc530658036"/>
      <w:bookmarkStart w:id="973" w:name="_Toc508894074"/>
      <w:bookmarkStart w:id="974" w:name="_Toc485400605"/>
      <w:r>
        <w:rPr>
          <w:rFonts w:ascii="Calibri" w:hAnsi="Calibri" w:cs="Times New Roman"/>
          <w:b/>
          <w:bCs/>
          <w:color w:val="auto"/>
          <w:kern w:val="2"/>
          <w:sz w:val="32"/>
          <w:szCs w:val="32"/>
          <w:highlight w:val="none"/>
        </w:rPr>
        <w:t xml:space="preserve">3.6 </w:t>
      </w:r>
      <w:r>
        <w:rPr>
          <w:rFonts w:hint="eastAsia" w:ascii="Calibri" w:hAnsi="Calibri" w:cs="Times New Roman"/>
          <w:b/>
          <w:bCs/>
          <w:color w:val="auto"/>
          <w:kern w:val="2"/>
          <w:sz w:val="32"/>
          <w:szCs w:val="32"/>
          <w:highlight w:val="none"/>
        </w:rPr>
        <w:t>工程照管与成品、半成品保护</w:t>
      </w:r>
      <w:bookmarkEnd w:id="964"/>
      <w:bookmarkEnd w:id="965"/>
      <w:bookmarkEnd w:id="966"/>
      <w:bookmarkEnd w:id="967"/>
      <w:bookmarkEnd w:id="968"/>
      <w:bookmarkEnd w:id="969"/>
      <w:bookmarkEnd w:id="970"/>
      <w:bookmarkEnd w:id="971"/>
      <w:bookmarkEnd w:id="972"/>
      <w:bookmarkEnd w:id="973"/>
      <w:bookmarkEnd w:id="974"/>
    </w:p>
    <w:p w14:paraId="1528F1FA">
      <w:pPr>
        <w:spacing w:line="360" w:lineRule="auto"/>
        <w:ind w:firstLine="420" w:firstLineChars="200"/>
        <w:rPr>
          <w:rFonts w:ascii="Calibri" w:hAnsi="Calibri" w:cs="Times New Roman"/>
          <w:color w:val="auto"/>
          <w:highlight w:val="none"/>
          <w:u w:val="single"/>
        </w:rPr>
      </w:pPr>
      <w:r>
        <w:rPr>
          <w:rFonts w:hint="eastAsia" w:ascii="Calibri" w:hAnsi="宋体" w:cs="Times New Roman"/>
          <w:color w:val="auto"/>
          <w:highlight w:val="none"/>
        </w:rPr>
        <w:t>承包人负责照管工程及工程相关的材料、工程设备的起始时间：</w:t>
      </w:r>
      <w:r>
        <w:rPr>
          <w:rFonts w:hint="eastAsia" w:ascii="Calibri" w:hAnsi="Calibri" w:cs="Times New Roman"/>
          <w:color w:val="auto"/>
          <w:highlight w:val="none"/>
          <w:u w:val="single"/>
        </w:rPr>
        <w:t>从承包人进场到工程竣工验收合格并交付承包人后</w:t>
      </w:r>
      <w:r>
        <w:rPr>
          <w:rFonts w:hint="eastAsia" w:ascii="Calibri" w:hAnsi="宋体" w:cs="Times New Roman"/>
          <w:color w:val="auto"/>
          <w:highlight w:val="none"/>
        </w:rPr>
        <w:t>。</w:t>
      </w:r>
    </w:p>
    <w:p w14:paraId="3F801EA1">
      <w:pPr>
        <w:keepNext/>
        <w:keepLines/>
        <w:spacing w:before="260" w:after="260" w:line="416" w:lineRule="auto"/>
        <w:outlineLvl w:val="2"/>
        <w:rPr>
          <w:rFonts w:ascii="Calibri" w:hAnsi="Calibri" w:cs="Times New Roman"/>
          <w:b/>
          <w:bCs/>
          <w:color w:val="auto"/>
          <w:kern w:val="2"/>
          <w:sz w:val="32"/>
          <w:szCs w:val="32"/>
          <w:highlight w:val="none"/>
        </w:rPr>
      </w:pPr>
      <w:bookmarkStart w:id="975" w:name="_Toc373478359"/>
      <w:bookmarkStart w:id="976" w:name="_Toc389065278"/>
      <w:bookmarkStart w:id="977" w:name="_Toc373227712"/>
      <w:bookmarkStart w:id="978" w:name="_Toc493774774"/>
      <w:bookmarkStart w:id="979" w:name="_Toc485400606"/>
      <w:bookmarkStart w:id="980" w:name="_Toc512691413"/>
      <w:bookmarkStart w:id="981" w:name="_Toc530658037"/>
      <w:bookmarkStart w:id="982" w:name="_Toc494549210"/>
      <w:bookmarkStart w:id="983" w:name="_Toc532840019"/>
      <w:bookmarkStart w:id="984" w:name="_Toc407135214"/>
      <w:bookmarkStart w:id="985" w:name="_Toc508894075"/>
      <w:r>
        <w:rPr>
          <w:rFonts w:ascii="Calibri" w:hAnsi="Calibri" w:cs="Times New Roman"/>
          <w:b/>
          <w:bCs/>
          <w:color w:val="auto"/>
          <w:kern w:val="2"/>
          <w:sz w:val="32"/>
          <w:szCs w:val="32"/>
          <w:highlight w:val="none"/>
        </w:rPr>
        <w:t xml:space="preserve">3.7 </w:t>
      </w:r>
      <w:r>
        <w:rPr>
          <w:rFonts w:hint="eastAsia" w:ascii="Calibri" w:hAnsi="宋体" w:cs="Times New Roman"/>
          <w:b/>
          <w:bCs/>
          <w:color w:val="auto"/>
          <w:kern w:val="2"/>
          <w:sz w:val="32"/>
          <w:szCs w:val="32"/>
          <w:highlight w:val="none"/>
        </w:rPr>
        <w:t>履约</w:t>
      </w:r>
      <w:bookmarkEnd w:id="975"/>
      <w:bookmarkEnd w:id="976"/>
      <w:bookmarkEnd w:id="977"/>
      <w:r>
        <w:rPr>
          <w:rFonts w:hint="eastAsia" w:ascii="Calibri" w:hAnsi="宋体" w:cs="Times New Roman"/>
          <w:b/>
          <w:bCs/>
          <w:color w:val="auto"/>
          <w:kern w:val="2"/>
          <w:sz w:val="32"/>
          <w:szCs w:val="32"/>
          <w:highlight w:val="none"/>
        </w:rPr>
        <w:t>保证金</w:t>
      </w:r>
      <w:bookmarkEnd w:id="978"/>
      <w:bookmarkEnd w:id="979"/>
      <w:bookmarkEnd w:id="980"/>
      <w:bookmarkEnd w:id="981"/>
      <w:bookmarkEnd w:id="982"/>
      <w:bookmarkEnd w:id="983"/>
      <w:bookmarkEnd w:id="984"/>
      <w:bookmarkEnd w:id="985"/>
    </w:p>
    <w:p w14:paraId="1118A866">
      <w:pPr>
        <w:spacing w:line="360" w:lineRule="auto"/>
        <w:ind w:firstLine="420" w:firstLineChars="200"/>
        <w:jc w:val="left"/>
        <w:rPr>
          <w:rFonts w:ascii="Calibri" w:hAnsi="Calibri" w:cs="Times New Roman"/>
          <w:color w:val="auto"/>
          <w:kern w:val="2"/>
          <w:highlight w:val="none"/>
          <w:u w:val="single"/>
        </w:rPr>
      </w:pPr>
      <w:bookmarkStart w:id="986" w:name="_Toc373478360"/>
      <w:bookmarkStart w:id="987" w:name="_Toc389065279"/>
      <w:bookmarkStart w:id="988" w:name="_Toc351203636"/>
      <w:bookmarkStart w:id="989" w:name="_Toc373227713"/>
      <w:r>
        <w:rPr>
          <w:rFonts w:hint="eastAsia" w:ascii="Calibri" w:hAnsi="宋体" w:cs="Times New Roman"/>
          <w:color w:val="auto"/>
          <w:kern w:val="2"/>
          <w:highlight w:val="none"/>
        </w:rPr>
        <w:t>承包人提供履约担保的形式、金额及期限的</w:t>
      </w:r>
      <w:r>
        <w:rPr>
          <w:rFonts w:hint="eastAsia" w:ascii="Calibri" w:hAnsi="宋体" w:cs="Times New Roman"/>
          <w:color w:val="auto"/>
          <w:kern w:val="2"/>
          <w:sz w:val="22"/>
          <w:highlight w:val="none"/>
        </w:rPr>
        <w:t>：</w:t>
      </w:r>
      <w:r>
        <w:rPr>
          <w:rFonts w:hint="eastAsia" w:ascii="Calibri" w:hAnsi="Calibri" w:cs="Times New Roman"/>
          <w:color w:val="auto"/>
          <w:kern w:val="2"/>
          <w:highlight w:val="none"/>
          <w:u w:val="single"/>
        </w:rPr>
        <w:t>本项目不需提交履约保证金。</w:t>
      </w:r>
    </w:p>
    <w:p w14:paraId="3123C135">
      <w:pPr>
        <w:spacing w:line="360" w:lineRule="auto"/>
        <w:ind w:firstLine="420" w:firstLineChars="200"/>
        <w:rPr>
          <w:rFonts w:ascii="Calibri" w:hAnsi="宋体" w:cs="Times New Roman"/>
          <w:color w:val="auto"/>
          <w:kern w:val="2"/>
          <w:highlight w:val="none"/>
          <w:u w:val="single"/>
        </w:rPr>
      </w:pPr>
      <w:r>
        <w:rPr>
          <w:rFonts w:hint="eastAsia" w:ascii="Calibri" w:hAnsi="宋体" w:cs="Times New Roman"/>
          <w:color w:val="auto"/>
          <w:kern w:val="2"/>
          <w:highlight w:val="none"/>
          <w:u w:val="single"/>
        </w:rPr>
        <w:t>承包人在中标后</w:t>
      </w:r>
      <w:r>
        <w:rPr>
          <w:rFonts w:ascii="Calibri" w:hAnsi="Calibri" w:cs="Times New Roman"/>
          <w:color w:val="auto"/>
          <w:kern w:val="2"/>
          <w:highlight w:val="none"/>
          <w:u w:val="single"/>
        </w:rPr>
        <w:t>7</w:t>
      </w:r>
      <w:r>
        <w:rPr>
          <w:rFonts w:hint="eastAsia" w:ascii="Calibri" w:hAnsi="宋体" w:cs="Times New Roman"/>
          <w:color w:val="auto"/>
          <w:kern w:val="2"/>
          <w:highlight w:val="none"/>
          <w:u w:val="single"/>
        </w:rPr>
        <w:t>个工作日内，按</w:t>
      </w:r>
      <w:r>
        <w:rPr>
          <w:rFonts w:hint="eastAsia" w:ascii="Calibri" w:hAnsi="Calibri" w:cs="Times New Roman"/>
          <w:color w:val="auto"/>
          <w:kern w:val="2"/>
          <w:highlight w:val="none"/>
          <w:u w:val="single"/>
        </w:rPr>
        <w:t>贺州市住房和城乡建设局</w:t>
      </w:r>
      <w:r>
        <w:rPr>
          <w:rFonts w:hint="eastAsia" w:ascii="Calibri" w:hAnsi="宋体" w:cs="Times New Roman"/>
          <w:color w:val="auto"/>
          <w:kern w:val="2"/>
          <w:highlight w:val="none"/>
          <w:u w:val="single"/>
        </w:rPr>
        <w:t>规定将农民工工资保障金存入帐户</w:t>
      </w:r>
      <w:r>
        <w:rPr>
          <w:rFonts w:hint="eastAsia" w:ascii="Calibri" w:hAnsi="宋体" w:cs="Times New Roman"/>
          <w:color w:val="auto"/>
          <w:kern w:val="2"/>
          <w:szCs w:val="22"/>
          <w:highlight w:val="none"/>
          <w:u w:val="single"/>
        </w:rPr>
        <w:t>或采用银行保函、工程担保</w:t>
      </w:r>
      <w:r>
        <w:rPr>
          <w:rFonts w:hint="eastAsia" w:hAnsi="宋体" w:cs="Times New Roman"/>
          <w:color w:val="auto"/>
          <w:kern w:val="2"/>
          <w:highlight w:val="none"/>
          <w:u w:val="single"/>
        </w:rPr>
        <w:t>等方式提交，履约担保的有效期应当自本合同生效之日起至发包人签认并由监理人向承包人出具</w:t>
      </w:r>
      <w:r>
        <w:rPr>
          <w:rFonts w:hAnsi="宋体" w:cs="Times New Roman"/>
          <w:color w:val="auto"/>
          <w:kern w:val="2"/>
          <w:highlight w:val="none"/>
          <w:u w:val="single"/>
        </w:rPr>
        <w:t xml:space="preserve">      </w:t>
      </w:r>
      <w:r>
        <w:rPr>
          <w:rFonts w:hint="eastAsia" w:hAnsi="宋体" w:cs="Times New Roman"/>
          <w:color w:val="auto"/>
          <w:kern w:val="2"/>
          <w:highlight w:val="none"/>
          <w:u w:val="single"/>
        </w:rPr>
        <w:t>（竣工证明材料名称）之日止。</w:t>
      </w:r>
      <w:r>
        <w:rPr>
          <w:rFonts w:hint="eastAsia" w:ascii="Calibri" w:hAnsi="宋体" w:cs="Times New Roman"/>
          <w:color w:val="auto"/>
          <w:kern w:val="2"/>
          <w:highlight w:val="none"/>
          <w:u w:val="single"/>
        </w:rPr>
        <w:t>工程竣工验收结算经审定后，按照规定程序，将农民工工资保障金没有使用或剩余的金额退还给承包人。</w:t>
      </w:r>
    </w:p>
    <w:p w14:paraId="3B075C2D">
      <w:pPr>
        <w:spacing w:line="360" w:lineRule="auto"/>
        <w:ind w:firstLine="420" w:firstLineChars="200"/>
        <w:rPr>
          <w:rFonts w:ascii="Calibri" w:hAnsi="Calibri" w:cs="Times New Roman"/>
          <w:color w:val="auto"/>
          <w:kern w:val="2"/>
          <w:highlight w:val="none"/>
          <w:u w:val="single"/>
        </w:rPr>
      </w:pPr>
    </w:p>
    <w:p w14:paraId="79C2536E">
      <w:pPr>
        <w:keepNext/>
        <w:keepLines/>
        <w:spacing w:line="360" w:lineRule="auto"/>
        <w:outlineLvl w:val="2"/>
        <w:rPr>
          <w:rFonts w:ascii="Cambria" w:hAnsi="Cambria" w:cs="Times New Roman"/>
          <w:color w:val="auto"/>
          <w:kern w:val="2"/>
          <w:sz w:val="32"/>
          <w:szCs w:val="32"/>
          <w:highlight w:val="none"/>
          <w:lang w:val="zh-CN"/>
        </w:rPr>
      </w:pPr>
      <w:bookmarkStart w:id="990" w:name="_Toc532840020"/>
      <w:bookmarkStart w:id="991" w:name="_Toc494549211"/>
      <w:bookmarkStart w:id="992" w:name="_Toc407135215"/>
      <w:bookmarkStart w:id="993" w:name="_Toc493774775"/>
      <w:bookmarkStart w:id="994" w:name="_Toc508894076"/>
      <w:bookmarkStart w:id="995" w:name="_Toc512691414"/>
      <w:bookmarkStart w:id="996" w:name="_Toc530658038"/>
      <w:bookmarkStart w:id="997" w:name="_Toc485400607"/>
      <w:r>
        <w:rPr>
          <w:rFonts w:ascii="Cambria" w:hAnsi="Cambria" w:cs="Times New Roman"/>
          <w:color w:val="auto"/>
          <w:kern w:val="2"/>
          <w:sz w:val="32"/>
          <w:szCs w:val="32"/>
          <w:highlight w:val="none"/>
          <w:lang w:val="zh-CN"/>
        </w:rPr>
        <w:t>4</w:t>
      </w:r>
      <w:bookmarkStart w:id="998" w:name="_Toc296944501"/>
      <w:bookmarkStart w:id="999" w:name="_Toc297048348"/>
      <w:bookmarkStart w:id="1000" w:name="_Toc292559871"/>
      <w:bookmarkStart w:id="1001" w:name="_Toc297120462"/>
      <w:bookmarkStart w:id="1002" w:name="_Toc296890990"/>
      <w:bookmarkStart w:id="1003" w:name="_Toc296891202"/>
      <w:bookmarkStart w:id="1004" w:name="_Toc267251413"/>
      <w:bookmarkStart w:id="1005" w:name="_Toc292559366"/>
      <w:bookmarkStart w:id="1006" w:name="_Toc296346663"/>
      <w:bookmarkStart w:id="1007" w:name="_Toc296503162"/>
      <w:bookmarkStart w:id="1008" w:name="_Toc296347161"/>
      <w:r>
        <w:rPr>
          <w:rFonts w:ascii="Cambria" w:hAnsi="Cambria" w:cs="Times New Roman"/>
          <w:color w:val="auto"/>
          <w:kern w:val="2"/>
          <w:sz w:val="32"/>
          <w:szCs w:val="32"/>
          <w:highlight w:val="none"/>
          <w:lang w:val="zh-CN"/>
        </w:rPr>
        <w:t xml:space="preserve">. </w:t>
      </w:r>
      <w:r>
        <w:rPr>
          <w:rFonts w:hint="eastAsia" w:ascii="Cambria" w:hAnsi="宋体" w:cs="Times New Roman"/>
          <w:color w:val="auto"/>
          <w:kern w:val="2"/>
          <w:sz w:val="32"/>
          <w:szCs w:val="32"/>
          <w:highlight w:val="none"/>
          <w:lang w:val="zh-CN"/>
        </w:rPr>
        <w:t>监</w:t>
      </w:r>
      <w:bookmarkEnd w:id="998"/>
      <w:bookmarkEnd w:id="999"/>
      <w:bookmarkEnd w:id="1000"/>
      <w:bookmarkEnd w:id="1001"/>
      <w:bookmarkEnd w:id="1002"/>
      <w:bookmarkEnd w:id="1003"/>
      <w:bookmarkEnd w:id="1004"/>
      <w:bookmarkEnd w:id="1005"/>
      <w:bookmarkEnd w:id="1006"/>
      <w:bookmarkEnd w:id="1007"/>
      <w:bookmarkEnd w:id="1008"/>
      <w:r>
        <w:rPr>
          <w:rFonts w:hint="eastAsia" w:ascii="Cambria" w:hAnsi="宋体" w:cs="Times New Roman"/>
          <w:color w:val="auto"/>
          <w:kern w:val="2"/>
          <w:sz w:val="32"/>
          <w:szCs w:val="32"/>
          <w:highlight w:val="none"/>
          <w:lang w:val="zh-CN"/>
        </w:rPr>
        <w:t>理人</w:t>
      </w:r>
      <w:bookmarkEnd w:id="986"/>
      <w:bookmarkEnd w:id="987"/>
      <w:bookmarkEnd w:id="988"/>
      <w:bookmarkEnd w:id="989"/>
      <w:bookmarkEnd w:id="990"/>
      <w:bookmarkEnd w:id="991"/>
      <w:bookmarkEnd w:id="992"/>
      <w:bookmarkEnd w:id="993"/>
      <w:bookmarkEnd w:id="994"/>
      <w:bookmarkEnd w:id="995"/>
      <w:bookmarkEnd w:id="996"/>
      <w:bookmarkEnd w:id="997"/>
    </w:p>
    <w:p w14:paraId="1980DA6E">
      <w:pPr>
        <w:keepNext/>
        <w:keepLines/>
        <w:spacing w:before="260" w:after="260" w:line="416" w:lineRule="auto"/>
        <w:outlineLvl w:val="2"/>
        <w:rPr>
          <w:rFonts w:ascii="Calibri" w:hAnsi="Calibri" w:cs="Times New Roman"/>
          <w:b/>
          <w:bCs/>
          <w:color w:val="auto"/>
          <w:kern w:val="2"/>
          <w:sz w:val="32"/>
          <w:szCs w:val="32"/>
          <w:highlight w:val="none"/>
        </w:rPr>
      </w:pPr>
      <w:bookmarkStart w:id="1009" w:name="_Toc485400608"/>
      <w:bookmarkStart w:id="1010" w:name="_Toc373227714"/>
      <w:bookmarkStart w:id="1011" w:name="_Toc532840021"/>
      <w:bookmarkStart w:id="1012" w:name="_Toc389065280"/>
      <w:bookmarkStart w:id="1013" w:name="_Toc512691415"/>
      <w:bookmarkStart w:id="1014" w:name="_Toc407135216"/>
      <w:bookmarkStart w:id="1015" w:name="_Toc530658039"/>
      <w:bookmarkStart w:id="1016" w:name="_Toc494549212"/>
      <w:bookmarkStart w:id="1017" w:name="_Toc373478361"/>
      <w:bookmarkStart w:id="1018" w:name="_Toc508894077"/>
      <w:bookmarkStart w:id="1019" w:name="_Toc493774776"/>
      <w:r>
        <w:rPr>
          <w:rFonts w:ascii="Calibri" w:hAnsi="Calibri" w:cs="Times New Roman"/>
          <w:b/>
          <w:bCs/>
          <w:color w:val="auto"/>
          <w:kern w:val="2"/>
          <w:sz w:val="32"/>
          <w:szCs w:val="32"/>
          <w:highlight w:val="none"/>
        </w:rPr>
        <w:t xml:space="preserve">4.1 </w:t>
      </w:r>
      <w:r>
        <w:rPr>
          <w:rFonts w:hint="eastAsia" w:ascii="Calibri" w:hAnsi="Calibri" w:cs="Times New Roman"/>
          <w:b/>
          <w:bCs/>
          <w:color w:val="auto"/>
          <w:kern w:val="2"/>
          <w:sz w:val="32"/>
          <w:szCs w:val="32"/>
          <w:highlight w:val="none"/>
        </w:rPr>
        <w:t>监理人的一般规定</w:t>
      </w:r>
      <w:bookmarkEnd w:id="1009"/>
      <w:bookmarkEnd w:id="1010"/>
      <w:bookmarkEnd w:id="1011"/>
      <w:bookmarkEnd w:id="1012"/>
      <w:bookmarkEnd w:id="1013"/>
      <w:bookmarkEnd w:id="1014"/>
      <w:bookmarkEnd w:id="1015"/>
      <w:bookmarkEnd w:id="1016"/>
      <w:bookmarkEnd w:id="1017"/>
      <w:bookmarkEnd w:id="1018"/>
      <w:bookmarkEnd w:id="1019"/>
    </w:p>
    <w:p w14:paraId="1F55A9B7">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关于监理人的监理内容：</w:t>
      </w:r>
      <w:r>
        <w:rPr>
          <w:rFonts w:hint="eastAsia" w:ascii="Calibri" w:hAnsi="Calibri" w:cs="Times New Roman"/>
          <w:color w:val="auto"/>
          <w:kern w:val="2"/>
          <w:highlight w:val="none"/>
          <w:u w:val="single"/>
        </w:rPr>
        <w:t>详见监理合同</w:t>
      </w:r>
      <w:r>
        <w:rPr>
          <w:rFonts w:hint="eastAsia" w:ascii="Calibri" w:hAnsi="宋体" w:cs="Times New Roman"/>
          <w:color w:val="auto"/>
          <w:kern w:val="2"/>
          <w:highlight w:val="none"/>
        </w:rPr>
        <w:t>。</w:t>
      </w:r>
    </w:p>
    <w:p w14:paraId="4DE7E4FC">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关于监理人的监理权限：</w:t>
      </w:r>
      <w:r>
        <w:rPr>
          <w:rFonts w:hint="eastAsia" w:ascii="Calibri" w:hAnsi="Calibri" w:cs="Times New Roman"/>
          <w:color w:val="auto"/>
          <w:kern w:val="2"/>
          <w:highlight w:val="none"/>
          <w:u w:val="single"/>
        </w:rPr>
        <w:t>详见监理合同</w:t>
      </w:r>
      <w:r>
        <w:rPr>
          <w:rFonts w:hint="eastAsia" w:ascii="Calibri" w:hAnsi="宋体" w:cs="Times New Roman"/>
          <w:color w:val="auto"/>
          <w:kern w:val="2"/>
          <w:highlight w:val="none"/>
        </w:rPr>
        <w:t>。</w:t>
      </w:r>
      <w:r>
        <w:rPr>
          <w:rFonts w:ascii="Calibri" w:hAnsi="Calibri" w:cs="Times New Roman"/>
          <w:color w:val="auto"/>
          <w:kern w:val="2"/>
          <w:highlight w:val="none"/>
        </w:rPr>
        <w:t xml:space="preserve"> </w:t>
      </w:r>
    </w:p>
    <w:p w14:paraId="5B744453">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关于监理人在施工现场的办公场所、生活场所的提供和费用承担的约定：</w:t>
      </w:r>
      <w:r>
        <w:rPr>
          <w:rFonts w:hint="eastAsia" w:ascii="Calibri" w:hAnsi="Calibri" w:cs="Times New Roman"/>
          <w:color w:val="auto"/>
          <w:kern w:val="2"/>
          <w:highlight w:val="none"/>
          <w:u w:val="single"/>
        </w:rPr>
        <w:t>详见监理合同，发包人于开工前</w:t>
      </w:r>
      <w:r>
        <w:rPr>
          <w:rFonts w:ascii="Calibri" w:hAnsi="Calibri" w:cs="Times New Roman"/>
          <w:color w:val="auto"/>
          <w:kern w:val="2"/>
          <w:highlight w:val="none"/>
          <w:u w:val="single"/>
        </w:rPr>
        <w:t>7</w:t>
      </w:r>
      <w:r>
        <w:rPr>
          <w:rFonts w:hint="eastAsia" w:ascii="Calibri" w:hAnsi="Calibri" w:cs="Times New Roman"/>
          <w:color w:val="auto"/>
          <w:kern w:val="2"/>
          <w:highlight w:val="none"/>
          <w:u w:val="single"/>
        </w:rPr>
        <w:t>天向承包人提供一份本工程的《建设工程委托监理合同》原件</w:t>
      </w:r>
      <w:r>
        <w:rPr>
          <w:rFonts w:hint="eastAsia" w:ascii="Calibri" w:hAnsi="宋体" w:cs="Times New Roman"/>
          <w:color w:val="auto"/>
          <w:kern w:val="2"/>
          <w:highlight w:val="none"/>
        </w:rPr>
        <w:t>。</w:t>
      </w:r>
    </w:p>
    <w:p w14:paraId="6DDE20C9">
      <w:pPr>
        <w:keepNext/>
        <w:keepLines/>
        <w:spacing w:before="260" w:after="260" w:line="416" w:lineRule="auto"/>
        <w:outlineLvl w:val="2"/>
        <w:rPr>
          <w:rFonts w:ascii="Calibri" w:hAnsi="Calibri" w:cs="Times New Roman"/>
          <w:b/>
          <w:bCs/>
          <w:color w:val="auto"/>
          <w:kern w:val="2"/>
          <w:sz w:val="32"/>
          <w:szCs w:val="32"/>
          <w:highlight w:val="none"/>
        </w:rPr>
      </w:pPr>
      <w:bookmarkStart w:id="1020" w:name="_Toc512691416"/>
      <w:bookmarkStart w:id="1021" w:name="_Toc494549213"/>
      <w:bookmarkStart w:id="1022" w:name="_Toc530658040"/>
      <w:bookmarkStart w:id="1023" w:name="_Toc373478362"/>
      <w:bookmarkStart w:id="1024" w:name="_Toc508894078"/>
      <w:bookmarkStart w:id="1025" w:name="_Toc373227715"/>
      <w:bookmarkStart w:id="1026" w:name="_Toc485400609"/>
      <w:bookmarkStart w:id="1027" w:name="_Toc493774777"/>
      <w:bookmarkStart w:id="1028" w:name="_Toc407135217"/>
      <w:bookmarkStart w:id="1029" w:name="_Toc532840022"/>
      <w:bookmarkStart w:id="1030" w:name="_Toc389065281"/>
      <w:r>
        <w:rPr>
          <w:rFonts w:ascii="Calibri" w:hAnsi="Calibri" w:cs="Times New Roman"/>
          <w:b/>
          <w:bCs/>
          <w:color w:val="auto"/>
          <w:kern w:val="2"/>
          <w:sz w:val="32"/>
          <w:szCs w:val="32"/>
          <w:highlight w:val="none"/>
        </w:rPr>
        <w:t xml:space="preserve">4.2 </w:t>
      </w:r>
      <w:r>
        <w:rPr>
          <w:rFonts w:hint="eastAsia" w:ascii="Calibri" w:hAnsi="宋体" w:cs="Times New Roman"/>
          <w:b/>
          <w:bCs/>
          <w:color w:val="auto"/>
          <w:kern w:val="2"/>
          <w:sz w:val="32"/>
          <w:szCs w:val="32"/>
          <w:highlight w:val="none"/>
        </w:rPr>
        <w:t>监理人员</w:t>
      </w:r>
      <w:bookmarkEnd w:id="1020"/>
      <w:bookmarkEnd w:id="1021"/>
      <w:bookmarkEnd w:id="1022"/>
      <w:bookmarkEnd w:id="1023"/>
      <w:bookmarkEnd w:id="1024"/>
      <w:bookmarkEnd w:id="1025"/>
      <w:bookmarkEnd w:id="1026"/>
      <w:bookmarkEnd w:id="1027"/>
      <w:bookmarkEnd w:id="1028"/>
      <w:bookmarkEnd w:id="1029"/>
      <w:bookmarkEnd w:id="1030"/>
    </w:p>
    <w:p w14:paraId="3D8898C5">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总监理工程师：</w:t>
      </w:r>
    </w:p>
    <w:p w14:paraId="07DC9C33">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姓</w:t>
      </w:r>
      <w:r>
        <w:rPr>
          <w:rFonts w:ascii="Calibri" w:hAnsi="Calibri" w:cs="Times New Roman"/>
          <w:color w:val="auto"/>
          <w:kern w:val="2"/>
          <w:highlight w:val="none"/>
        </w:rPr>
        <w:t xml:space="preserve">    </w:t>
      </w:r>
      <w:r>
        <w:rPr>
          <w:rFonts w:hint="eastAsia" w:ascii="Calibri" w:hAnsi="宋体" w:cs="Times New Roman"/>
          <w:color w:val="auto"/>
          <w:kern w:val="2"/>
          <w:highlight w:val="none"/>
        </w:rPr>
        <w:t>名：</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5F5AEB83">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职</w:t>
      </w:r>
      <w:r>
        <w:rPr>
          <w:rFonts w:ascii="Calibri" w:hAnsi="Calibri" w:cs="Times New Roman"/>
          <w:color w:val="auto"/>
          <w:kern w:val="2"/>
          <w:highlight w:val="none"/>
        </w:rPr>
        <w:t xml:space="preserve">    </w:t>
      </w:r>
      <w:r>
        <w:rPr>
          <w:rFonts w:hint="eastAsia" w:ascii="Calibri" w:hAnsi="宋体" w:cs="Times New Roman"/>
          <w:color w:val="auto"/>
          <w:kern w:val="2"/>
          <w:highlight w:val="none"/>
        </w:rPr>
        <w:t>务：</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5BEA87DF">
      <w:pPr>
        <w:spacing w:line="360" w:lineRule="auto"/>
        <w:ind w:firstLine="420" w:firstLineChars="200"/>
        <w:rPr>
          <w:rFonts w:ascii="Calibri" w:hAnsi="宋体" w:cs="Times New Roman"/>
          <w:color w:val="auto"/>
          <w:kern w:val="2"/>
          <w:highlight w:val="none"/>
        </w:rPr>
      </w:pPr>
      <w:r>
        <w:rPr>
          <w:rFonts w:hint="eastAsia" w:ascii="Calibri" w:hAnsi="宋体" w:cs="Times New Roman"/>
          <w:color w:val="auto"/>
          <w:kern w:val="2"/>
          <w:highlight w:val="none"/>
        </w:rPr>
        <w:t>监理工程师执业资格证书号：</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1B234DF1">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联系电话：</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54389B33">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电子信箱：</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2F71DCD8">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通信地址：</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127C98CA">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关于监理人的其他约定：</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5DC170C0">
      <w:pPr>
        <w:keepNext/>
        <w:keepLines/>
        <w:spacing w:before="260" w:after="260" w:line="416" w:lineRule="auto"/>
        <w:outlineLvl w:val="2"/>
        <w:rPr>
          <w:rFonts w:ascii="Calibri" w:hAnsi="Calibri" w:cs="Times New Roman"/>
          <w:b/>
          <w:bCs/>
          <w:color w:val="auto"/>
          <w:kern w:val="2"/>
          <w:sz w:val="32"/>
          <w:szCs w:val="32"/>
          <w:highlight w:val="none"/>
        </w:rPr>
      </w:pPr>
      <w:bookmarkStart w:id="1031" w:name="_Toc530658041"/>
      <w:bookmarkStart w:id="1032" w:name="_Toc373478363"/>
      <w:bookmarkStart w:id="1033" w:name="_Toc373227716"/>
      <w:bookmarkStart w:id="1034" w:name="_Toc512691417"/>
      <w:bookmarkStart w:id="1035" w:name="_Toc389065282"/>
      <w:bookmarkStart w:id="1036" w:name="_Toc494549214"/>
      <w:bookmarkStart w:id="1037" w:name="_Toc493774778"/>
      <w:bookmarkStart w:id="1038" w:name="_Toc485400610"/>
      <w:bookmarkStart w:id="1039" w:name="_Toc407135218"/>
      <w:bookmarkStart w:id="1040" w:name="_Toc508894079"/>
      <w:bookmarkStart w:id="1041" w:name="_Toc532840023"/>
      <w:r>
        <w:rPr>
          <w:rFonts w:ascii="Calibri" w:hAnsi="Calibri" w:cs="Times New Roman"/>
          <w:b/>
          <w:bCs/>
          <w:color w:val="auto"/>
          <w:kern w:val="2"/>
          <w:sz w:val="32"/>
          <w:szCs w:val="32"/>
          <w:highlight w:val="none"/>
        </w:rPr>
        <w:t xml:space="preserve">4.4 </w:t>
      </w:r>
      <w:r>
        <w:rPr>
          <w:rFonts w:hint="eastAsia" w:ascii="Calibri" w:hAnsi="宋体" w:cs="Times New Roman"/>
          <w:b/>
          <w:bCs/>
          <w:color w:val="auto"/>
          <w:kern w:val="2"/>
          <w:sz w:val="32"/>
          <w:szCs w:val="32"/>
          <w:highlight w:val="none"/>
        </w:rPr>
        <w:t>商定或确定</w:t>
      </w:r>
      <w:bookmarkEnd w:id="1031"/>
      <w:bookmarkEnd w:id="1032"/>
      <w:bookmarkEnd w:id="1033"/>
      <w:bookmarkEnd w:id="1034"/>
      <w:bookmarkEnd w:id="1035"/>
      <w:bookmarkEnd w:id="1036"/>
      <w:bookmarkEnd w:id="1037"/>
      <w:bookmarkEnd w:id="1038"/>
      <w:bookmarkEnd w:id="1039"/>
      <w:bookmarkEnd w:id="1040"/>
      <w:bookmarkEnd w:id="1041"/>
    </w:p>
    <w:p w14:paraId="32581D97">
      <w:pPr>
        <w:spacing w:line="360" w:lineRule="auto"/>
        <w:ind w:firstLine="420" w:firstLineChars="200"/>
        <w:rPr>
          <w:rFonts w:ascii="Calibri" w:hAnsi="Calibri" w:cs="Times New Roman"/>
          <w:color w:val="auto"/>
          <w:kern w:val="2"/>
          <w:highlight w:val="none"/>
        </w:rPr>
      </w:pPr>
      <w:bookmarkStart w:id="1042" w:name="_Toc267251418"/>
      <w:r>
        <w:rPr>
          <w:rFonts w:hint="eastAsia" w:ascii="Calibri" w:hAnsi="宋体" w:cs="Times New Roman"/>
          <w:color w:val="auto"/>
          <w:kern w:val="2"/>
          <w:highlight w:val="none"/>
        </w:rPr>
        <w:t>在发包人和承包人不能通过协商达成一致意见时，发包人授权监理人对以下事项进行确定：</w:t>
      </w:r>
    </w:p>
    <w:p w14:paraId="7D9742DC">
      <w:pPr>
        <w:autoSpaceDE w:val="0"/>
        <w:autoSpaceDN w:val="0"/>
        <w:adjustRightInd w:val="0"/>
        <w:spacing w:line="440" w:lineRule="exact"/>
        <w:ind w:firstLine="630" w:firstLineChars="3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w:t>
      </w:r>
      <w:r>
        <w:rPr>
          <w:rFonts w:hint="eastAsia" w:hAnsi="宋体" w:cs="Times New Roman"/>
          <w:color w:val="auto"/>
          <w:kern w:val="2"/>
          <w:highlight w:val="none"/>
          <w:u w:val="single"/>
        </w:rPr>
        <w:t>工程质量的鉴定、验收</w:t>
      </w:r>
      <w:r>
        <w:rPr>
          <w:rFonts w:hint="eastAsia" w:hAnsi="宋体" w:cs="Times New Roman"/>
          <w:color w:val="auto"/>
          <w:kern w:val="2"/>
          <w:highlight w:val="none"/>
        </w:rPr>
        <w:t>；</w:t>
      </w:r>
    </w:p>
    <w:p w14:paraId="7C786AD3">
      <w:pPr>
        <w:autoSpaceDE w:val="0"/>
        <w:autoSpaceDN w:val="0"/>
        <w:adjustRightInd w:val="0"/>
        <w:spacing w:line="440" w:lineRule="exact"/>
        <w:ind w:firstLine="630" w:firstLineChars="3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w:t>
      </w:r>
      <w:r>
        <w:rPr>
          <w:rFonts w:hint="eastAsia" w:hAnsi="宋体" w:cs="Times New Roman"/>
          <w:color w:val="auto"/>
          <w:kern w:val="2"/>
          <w:highlight w:val="none"/>
          <w:u w:val="single"/>
        </w:rPr>
        <w:t>中间验收</w:t>
      </w:r>
      <w:r>
        <w:rPr>
          <w:rFonts w:hint="eastAsia" w:hAnsi="宋体" w:cs="Times New Roman"/>
          <w:color w:val="auto"/>
          <w:kern w:val="2"/>
          <w:highlight w:val="none"/>
        </w:rPr>
        <w:t>。</w:t>
      </w:r>
    </w:p>
    <w:p w14:paraId="34CE6ADA">
      <w:pPr>
        <w:keepNext/>
        <w:keepLines/>
        <w:spacing w:line="360" w:lineRule="auto"/>
        <w:outlineLvl w:val="2"/>
        <w:rPr>
          <w:rFonts w:ascii="Cambria" w:hAnsi="Cambria" w:cs="Times New Roman"/>
          <w:color w:val="auto"/>
          <w:kern w:val="2"/>
          <w:sz w:val="32"/>
          <w:szCs w:val="32"/>
          <w:highlight w:val="none"/>
          <w:lang w:val="zh-CN"/>
        </w:rPr>
      </w:pPr>
      <w:bookmarkStart w:id="1043" w:name="_Toc373227717"/>
      <w:bookmarkStart w:id="1044" w:name="_Toc485400611"/>
      <w:bookmarkStart w:id="1045" w:name="_Toc407135219"/>
      <w:bookmarkStart w:id="1046" w:name="_Toc508894080"/>
      <w:bookmarkStart w:id="1047" w:name="_Toc389065283"/>
      <w:bookmarkStart w:id="1048" w:name="_Toc493774779"/>
      <w:bookmarkStart w:id="1049" w:name="_Toc530658042"/>
      <w:bookmarkStart w:id="1050" w:name="_Toc532840024"/>
      <w:bookmarkStart w:id="1051" w:name="_Toc351203637"/>
      <w:bookmarkStart w:id="1052" w:name="_Toc512691418"/>
      <w:bookmarkStart w:id="1053" w:name="_Toc494549215"/>
      <w:bookmarkStart w:id="1054" w:name="_Toc373478364"/>
      <w:r>
        <w:rPr>
          <w:rFonts w:ascii="Cambria" w:hAnsi="Cambria" w:cs="Times New Roman"/>
          <w:color w:val="auto"/>
          <w:kern w:val="2"/>
          <w:sz w:val="32"/>
          <w:szCs w:val="32"/>
          <w:highlight w:val="none"/>
          <w:lang w:val="zh-CN"/>
        </w:rPr>
        <w:t>5</w:t>
      </w:r>
      <w:bookmarkEnd w:id="1042"/>
      <w:bookmarkStart w:id="1055" w:name="_Toc296346664"/>
      <w:bookmarkStart w:id="1056" w:name="_Toc297120463"/>
      <w:bookmarkStart w:id="1057" w:name="_Toc292559367"/>
      <w:bookmarkStart w:id="1058" w:name="_Toc296347162"/>
      <w:bookmarkStart w:id="1059" w:name="_Toc296890991"/>
      <w:bookmarkStart w:id="1060" w:name="_Toc292559872"/>
      <w:bookmarkStart w:id="1061" w:name="_Toc296503163"/>
      <w:bookmarkStart w:id="1062" w:name="_Toc297048349"/>
      <w:bookmarkStart w:id="1063" w:name="_Toc296944502"/>
      <w:bookmarkStart w:id="1064" w:name="_Toc296891203"/>
      <w:r>
        <w:rPr>
          <w:rFonts w:ascii="Cambria" w:hAnsi="Cambria" w:cs="Times New Roman"/>
          <w:color w:val="auto"/>
          <w:kern w:val="2"/>
          <w:sz w:val="32"/>
          <w:szCs w:val="32"/>
          <w:highlight w:val="none"/>
          <w:lang w:val="zh-CN"/>
        </w:rPr>
        <w:t xml:space="preserve">. </w:t>
      </w:r>
      <w:r>
        <w:rPr>
          <w:rFonts w:hint="eastAsia" w:ascii="Cambria" w:hAnsi="宋体" w:cs="Times New Roman"/>
          <w:color w:val="auto"/>
          <w:kern w:val="2"/>
          <w:sz w:val="32"/>
          <w:szCs w:val="32"/>
          <w:highlight w:val="none"/>
          <w:lang w:val="zh-CN"/>
        </w:rPr>
        <w:t>工程质量</w:t>
      </w:r>
      <w:bookmarkEnd w:id="1043"/>
      <w:bookmarkEnd w:id="1044"/>
      <w:bookmarkEnd w:id="1045"/>
      <w:bookmarkEnd w:id="1046"/>
      <w:bookmarkEnd w:id="1047"/>
      <w:bookmarkEnd w:id="1048"/>
      <w:bookmarkEnd w:id="1049"/>
      <w:bookmarkEnd w:id="1050"/>
      <w:bookmarkEnd w:id="1051"/>
      <w:bookmarkEnd w:id="1052"/>
      <w:bookmarkEnd w:id="1053"/>
      <w:bookmarkEnd w:id="1054"/>
    </w:p>
    <w:p w14:paraId="4D7D2125">
      <w:pPr>
        <w:keepNext/>
        <w:keepLines/>
        <w:spacing w:before="260" w:after="260" w:line="416" w:lineRule="auto"/>
        <w:outlineLvl w:val="2"/>
        <w:rPr>
          <w:rFonts w:ascii="Calibri" w:hAnsi="Calibri" w:cs="Times New Roman"/>
          <w:b/>
          <w:bCs/>
          <w:color w:val="auto"/>
          <w:kern w:val="2"/>
          <w:sz w:val="32"/>
          <w:szCs w:val="32"/>
          <w:highlight w:val="none"/>
        </w:rPr>
      </w:pPr>
      <w:bookmarkStart w:id="1065" w:name="_Toc493774780"/>
      <w:bookmarkStart w:id="1066" w:name="_Toc494549216"/>
      <w:bookmarkStart w:id="1067" w:name="_Toc530658043"/>
      <w:bookmarkStart w:id="1068" w:name="_Toc373478365"/>
      <w:bookmarkStart w:id="1069" w:name="_Toc508894081"/>
      <w:bookmarkStart w:id="1070" w:name="_Toc373227718"/>
      <w:bookmarkStart w:id="1071" w:name="_Toc512691419"/>
      <w:bookmarkStart w:id="1072" w:name="_Toc485400612"/>
      <w:bookmarkStart w:id="1073" w:name="_Toc532840025"/>
      <w:bookmarkStart w:id="1074" w:name="_Toc407135220"/>
      <w:bookmarkStart w:id="1075" w:name="_Toc389065284"/>
      <w:r>
        <w:rPr>
          <w:rFonts w:ascii="Calibri" w:hAnsi="Calibri" w:cs="Times New Roman"/>
          <w:b/>
          <w:bCs/>
          <w:color w:val="auto"/>
          <w:kern w:val="2"/>
          <w:sz w:val="32"/>
          <w:szCs w:val="32"/>
          <w:highlight w:val="none"/>
        </w:rPr>
        <w:t xml:space="preserve">5.1 </w:t>
      </w:r>
      <w:r>
        <w:rPr>
          <w:rFonts w:hint="eastAsia" w:ascii="Calibri" w:hAnsi="宋体" w:cs="Times New Roman"/>
          <w:b/>
          <w:bCs/>
          <w:color w:val="auto"/>
          <w:kern w:val="2"/>
          <w:sz w:val="32"/>
          <w:szCs w:val="32"/>
          <w:highlight w:val="none"/>
        </w:rPr>
        <w:t>质量要求</w:t>
      </w:r>
      <w:bookmarkEnd w:id="1065"/>
      <w:bookmarkEnd w:id="1066"/>
      <w:bookmarkEnd w:id="1067"/>
      <w:bookmarkEnd w:id="1068"/>
      <w:bookmarkEnd w:id="1069"/>
      <w:bookmarkEnd w:id="1070"/>
      <w:bookmarkEnd w:id="1071"/>
      <w:bookmarkEnd w:id="1072"/>
      <w:bookmarkEnd w:id="1073"/>
      <w:bookmarkEnd w:id="1074"/>
      <w:bookmarkEnd w:id="1075"/>
    </w:p>
    <w:p w14:paraId="650B25AC">
      <w:pPr>
        <w:spacing w:line="360" w:lineRule="auto"/>
        <w:ind w:firstLine="420" w:firstLineChars="200"/>
        <w:jc w:val="left"/>
        <w:rPr>
          <w:rFonts w:ascii="Calibri" w:hAnsi="Calibri" w:cs="Times New Roman"/>
          <w:color w:val="auto"/>
          <w:kern w:val="2"/>
          <w:highlight w:val="none"/>
          <w:u w:val="single"/>
        </w:rPr>
      </w:pPr>
      <w:r>
        <w:rPr>
          <w:rFonts w:ascii="Calibri" w:hAnsi="Calibri" w:cs="Times New Roman"/>
          <w:color w:val="auto"/>
          <w:kern w:val="2"/>
          <w:highlight w:val="none"/>
        </w:rPr>
        <w:t>5</w:t>
      </w:r>
      <w:bookmarkStart w:id="1076" w:name="_Toc297216155"/>
      <w:bookmarkStart w:id="1077" w:name="_Toc318581164"/>
      <w:bookmarkStart w:id="1078" w:name="_Toc297123496"/>
      <w:bookmarkStart w:id="1079" w:name="_Toc303539106"/>
      <w:bookmarkStart w:id="1080" w:name="_Toc312677997"/>
      <w:bookmarkStart w:id="1081" w:name="_Toc300934949"/>
      <w:bookmarkStart w:id="1082" w:name="_Toc304295527"/>
      <w:r>
        <w:rPr>
          <w:rFonts w:ascii="Calibri" w:hAnsi="Calibri" w:cs="Times New Roman"/>
          <w:color w:val="auto"/>
          <w:kern w:val="2"/>
          <w:highlight w:val="none"/>
        </w:rPr>
        <w:t xml:space="preserve">.1.1 </w:t>
      </w:r>
      <w:r>
        <w:rPr>
          <w:rFonts w:hint="eastAsia" w:ascii="Calibri" w:hAnsi="宋体" w:cs="Times New Roman"/>
          <w:color w:val="auto"/>
          <w:kern w:val="2"/>
          <w:highlight w:val="none"/>
        </w:rPr>
        <w:t>特殊质量标准和要求：</w:t>
      </w:r>
      <w:r>
        <w:rPr>
          <w:rFonts w:hint="eastAsia" w:ascii="Calibri" w:hAnsi="宋体" w:cs="Times New Roman"/>
          <w:color w:val="auto"/>
          <w:kern w:val="2"/>
          <w:highlight w:val="none"/>
          <w:u w:val="single"/>
          <w:lang w:eastAsia="zh-CN"/>
        </w:rPr>
        <w:t>无</w:t>
      </w:r>
      <w:r>
        <w:rPr>
          <w:rFonts w:hint="eastAsia" w:ascii="Calibri" w:hAnsi="宋体" w:cs="Times New Roman"/>
          <w:color w:val="auto"/>
          <w:kern w:val="2"/>
          <w:highlight w:val="none"/>
        </w:rPr>
        <w:t>。</w:t>
      </w:r>
    </w:p>
    <w:p w14:paraId="40317ADB">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关于工程奖项的约定：</w:t>
      </w:r>
      <w:r>
        <w:rPr>
          <w:rFonts w:hint="eastAsia" w:ascii="Calibri" w:hAnsi="宋体" w:cs="Times New Roman"/>
          <w:color w:val="auto"/>
          <w:kern w:val="2"/>
          <w:highlight w:val="none"/>
          <w:u w:val="single"/>
          <w:lang w:eastAsia="zh-CN"/>
        </w:rPr>
        <w:t>无</w:t>
      </w:r>
      <w:r>
        <w:rPr>
          <w:rFonts w:hint="eastAsia" w:ascii="Calibri" w:hAnsi="宋体" w:cs="Times New Roman"/>
          <w:color w:val="auto"/>
          <w:kern w:val="2"/>
          <w:highlight w:val="none"/>
        </w:rPr>
        <w:t>。</w:t>
      </w:r>
    </w:p>
    <w:p w14:paraId="1E2D001C">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5.3 </w:t>
      </w:r>
      <w:r>
        <w:rPr>
          <w:rFonts w:hint="eastAsia" w:ascii="Calibri" w:hAnsi="宋体" w:cs="Times New Roman"/>
          <w:color w:val="auto"/>
          <w:kern w:val="2"/>
          <w:highlight w:val="none"/>
        </w:rPr>
        <w:t>隐蔽工程检查</w:t>
      </w:r>
    </w:p>
    <w:p w14:paraId="2AB9AFAA">
      <w:pPr>
        <w:spacing w:line="360" w:lineRule="auto"/>
        <w:ind w:firstLine="420" w:firstLineChars="200"/>
        <w:jc w:val="left"/>
        <w:rPr>
          <w:rFonts w:ascii="Calibri" w:hAnsi="Calibri" w:cs="Times New Roman"/>
          <w:color w:val="auto"/>
          <w:kern w:val="2"/>
          <w:highlight w:val="none"/>
          <w:u w:val="single"/>
        </w:rPr>
      </w:pPr>
      <w:r>
        <w:rPr>
          <w:rFonts w:ascii="Calibri" w:hAnsi="Calibri" w:cs="Times New Roman"/>
          <w:color w:val="auto"/>
          <w:kern w:val="2"/>
          <w:highlight w:val="none"/>
        </w:rPr>
        <w:t>5.3.2</w:t>
      </w:r>
      <w:r>
        <w:rPr>
          <w:rFonts w:hint="eastAsia" w:ascii="Calibri" w:hAnsi="宋体" w:cs="Times New Roman"/>
          <w:color w:val="auto"/>
          <w:kern w:val="2"/>
          <w:highlight w:val="none"/>
        </w:rPr>
        <w:t>承包人提前通知监理人隐蔽工程检查的期限的约定：</w:t>
      </w:r>
      <w:r>
        <w:rPr>
          <w:rFonts w:hint="eastAsia" w:ascii="Calibri" w:hAnsi="宋体" w:cs="Times New Roman"/>
          <w:bCs/>
          <w:color w:val="auto"/>
          <w:kern w:val="2"/>
          <w:highlight w:val="none"/>
        </w:rPr>
        <w:t>工程隐蔽或中间验收前</w:t>
      </w:r>
      <w:r>
        <w:rPr>
          <w:rFonts w:ascii="Calibri" w:hAnsi="Calibri" w:cs="Times New Roman"/>
          <w:bCs/>
          <w:color w:val="auto"/>
          <w:kern w:val="2"/>
          <w:highlight w:val="none"/>
        </w:rPr>
        <w:t>12</w:t>
      </w:r>
      <w:r>
        <w:rPr>
          <w:rFonts w:hint="eastAsia" w:ascii="Calibri" w:hAnsi="宋体" w:cs="Times New Roman"/>
          <w:bCs/>
          <w:color w:val="auto"/>
          <w:kern w:val="2"/>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4E738B86">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监理人不能按时进行检查时，应提前</w:t>
      </w:r>
      <w:r>
        <w:rPr>
          <w:rFonts w:ascii="Calibri" w:hAnsi="宋体" w:cs="Times New Roman"/>
          <w:color w:val="auto"/>
          <w:kern w:val="2"/>
          <w:highlight w:val="none"/>
        </w:rPr>
        <w:t>24</w:t>
      </w:r>
      <w:r>
        <w:rPr>
          <w:rFonts w:hint="eastAsia" w:ascii="Calibri" w:hAnsi="宋体" w:cs="Times New Roman"/>
          <w:color w:val="auto"/>
          <w:kern w:val="2"/>
          <w:highlight w:val="none"/>
        </w:rPr>
        <w:t>小时提交书面延期要求。</w:t>
      </w:r>
    </w:p>
    <w:p w14:paraId="397F2E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Calibri" w:hAnsi="宋体" w:cs="Times New Roman"/>
          <w:color w:val="auto"/>
          <w:kern w:val="2"/>
          <w:highlight w:val="none"/>
        </w:rPr>
      </w:pPr>
      <w:r>
        <w:rPr>
          <w:rFonts w:hint="eastAsia" w:ascii="Calibri" w:hAnsi="宋体" w:cs="Times New Roman"/>
          <w:color w:val="auto"/>
          <w:kern w:val="2"/>
          <w:highlight w:val="none"/>
        </w:rPr>
        <w:t>关于延期最长不得超过：</w:t>
      </w:r>
      <w:r>
        <w:rPr>
          <w:rFonts w:ascii="Calibri" w:hAnsi="宋体" w:cs="Times New Roman"/>
          <w:color w:val="auto"/>
          <w:kern w:val="2"/>
          <w:highlight w:val="none"/>
        </w:rPr>
        <w:t>48</w:t>
      </w:r>
      <w:r>
        <w:rPr>
          <w:rFonts w:hint="eastAsia" w:ascii="Calibri" w:hAnsi="宋体" w:cs="Times New Roman"/>
          <w:color w:val="auto"/>
          <w:kern w:val="2"/>
          <w:highlight w:val="none"/>
        </w:rPr>
        <w:t>小时。</w:t>
      </w:r>
    </w:p>
    <w:p w14:paraId="41DD305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eastAsia="宋体" w:cs="Times New Roman"/>
          <w:color w:val="auto"/>
          <w:kern w:val="2"/>
          <w:sz w:val="21"/>
          <w:szCs w:val="21"/>
          <w:highlight w:val="none"/>
          <w:lang w:val="en-US" w:eastAsia="zh-CN" w:bidi="ar-SA"/>
        </w:rPr>
      </w:pPr>
      <w:r>
        <w:rPr>
          <w:rFonts w:hint="eastAsia" w:ascii="Calibri" w:hAnsi="宋体" w:eastAsia="宋体" w:cs="Times New Roman"/>
          <w:color w:val="auto"/>
          <w:kern w:val="2"/>
          <w:sz w:val="21"/>
          <w:szCs w:val="21"/>
          <w:highlight w:val="none"/>
          <w:lang w:val="en-US" w:eastAsia="zh-CN" w:bidi="ar-SA"/>
        </w:rPr>
        <w:t>如超过最长延期时间未能按时进行检查，承包人可进行隐蔽和继续施工。</w:t>
      </w:r>
    </w:p>
    <w:p w14:paraId="48619A89">
      <w:pPr>
        <w:keepNext/>
        <w:keepLines/>
        <w:spacing w:line="360" w:lineRule="auto"/>
        <w:outlineLvl w:val="2"/>
        <w:rPr>
          <w:rFonts w:ascii="Cambria" w:hAnsi="Cambria" w:cs="Times New Roman"/>
          <w:color w:val="auto"/>
          <w:kern w:val="2"/>
          <w:sz w:val="32"/>
          <w:szCs w:val="32"/>
          <w:highlight w:val="none"/>
          <w:lang w:val="zh-CN"/>
        </w:rPr>
      </w:pPr>
      <w:bookmarkStart w:id="1083" w:name="_Toc508894082"/>
      <w:bookmarkStart w:id="1084" w:name="_Toc351203638"/>
      <w:bookmarkStart w:id="1085" w:name="_Toc373478366"/>
      <w:bookmarkStart w:id="1086" w:name="_Toc512691420"/>
      <w:bookmarkStart w:id="1087" w:name="_Toc530658044"/>
      <w:bookmarkStart w:id="1088" w:name="_Toc532840026"/>
      <w:bookmarkStart w:id="1089" w:name="_Toc407135221"/>
      <w:bookmarkStart w:id="1090" w:name="_Toc494549217"/>
      <w:bookmarkStart w:id="1091" w:name="_Toc493774781"/>
      <w:bookmarkStart w:id="1092" w:name="_Toc373227719"/>
      <w:bookmarkStart w:id="1093" w:name="_Toc389065285"/>
      <w:bookmarkStart w:id="1094" w:name="_Toc485400613"/>
      <w:r>
        <w:rPr>
          <w:rFonts w:ascii="Cambria" w:hAnsi="Cambria" w:cs="Times New Roman"/>
          <w:color w:val="auto"/>
          <w:kern w:val="2"/>
          <w:sz w:val="32"/>
          <w:szCs w:val="32"/>
          <w:highlight w:val="none"/>
          <w:lang w:val="zh-CN"/>
        </w:rPr>
        <w:t xml:space="preserve">6. </w:t>
      </w:r>
      <w:r>
        <w:rPr>
          <w:rFonts w:hint="eastAsia" w:ascii="Cambria" w:hAnsi="Cambria" w:cs="Times New Roman"/>
          <w:color w:val="auto"/>
          <w:kern w:val="2"/>
          <w:sz w:val="32"/>
          <w:szCs w:val="32"/>
          <w:highlight w:val="none"/>
          <w:lang w:val="zh-CN"/>
        </w:rPr>
        <w:t>安全文明施工与环境保护</w:t>
      </w:r>
      <w:bookmarkEnd w:id="1083"/>
      <w:bookmarkEnd w:id="1084"/>
      <w:bookmarkEnd w:id="1085"/>
      <w:bookmarkEnd w:id="1086"/>
      <w:bookmarkEnd w:id="1087"/>
      <w:bookmarkEnd w:id="1088"/>
      <w:bookmarkEnd w:id="1089"/>
      <w:bookmarkEnd w:id="1090"/>
      <w:bookmarkEnd w:id="1091"/>
      <w:bookmarkEnd w:id="1092"/>
      <w:bookmarkEnd w:id="1093"/>
      <w:bookmarkEnd w:id="1094"/>
    </w:p>
    <w:p w14:paraId="6B1E2181">
      <w:pPr>
        <w:keepNext/>
        <w:keepLines/>
        <w:spacing w:before="260" w:after="260" w:line="416" w:lineRule="auto"/>
        <w:outlineLvl w:val="2"/>
        <w:rPr>
          <w:rFonts w:ascii="Calibri" w:hAnsi="Calibri" w:cs="Times New Roman"/>
          <w:b/>
          <w:bCs/>
          <w:color w:val="auto"/>
          <w:kern w:val="2"/>
          <w:sz w:val="32"/>
          <w:szCs w:val="32"/>
          <w:highlight w:val="none"/>
        </w:rPr>
      </w:pPr>
      <w:bookmarkStart w:id="1095" w:name="_Toc389065286"/>
      <w:bookmarkStart w:id="1096" w:name="_Toc512691421"/>
      <w:bookmarkStart w:id="1097" w:name="_Toc530658045"/>
      <w:bookmarkStart w:id="1098" w:name="_Toc407135222"/>
      <w:bookmarkStart w:id="1099" w:name="_Toc494549218"/>
      <w:bookmarkStart w:id="1100" w:name="_Toc508894083"/>
      <w:bookmarkStart w:id="1101" w:name="_Toc373227720"/>
      <w:bookmarkStart w:id="1102" w:name="_Toc373478367"/>
      <w:bookmarkStart w:id="1103" w:name="_Toc485400614"/>
      <w:bookmarkStart w:id="1104" w:name="_Toc532840027"/>
      <w:bookmarkStart w:id="1105" w:name="_Toc493774782"/>
      <w:r>
        <w:rPr>
          <w:rFonts w:ascii="Calibri" w:hAnsi="Calibri" w:cs="Times New Roman"/>
          <w:b/>
          <w:bCs/>
          <w:color w:val="auto"/>
          <w:kern w:val="2"/>
          <w:sz w:val="32"/>
          <w:szCs w:val="32"/>
          <w:highlight w:val="none"/>
        </w:rPr>
        <w:t xml:space="preserve">6.1 </w:t>
      </w:r>
      <w:r>
        <w:rPr>
          <w:rFonts w:hint="eastAsia" w:ascii="Calibri" w:hAnsi="Calibri" w:cs="Times New Roman"/>
          <w:b/>
          <w:bCs/>
          <w:color w:val="auto"/>
          <w:kern w:val="2"/>
          <w:sz w:val="32"/>
          <w:szCs w:val="32"/>
          <w:highlight w:val="none"/>
        </w:rPr>
        <w:t>安全文明施工</w:t>
      </w:r>
      <w:bookmarkEnd w:id="1095"/>
      <w:bookmarkEnd w:id="1096"/>
      <w:bookmarkEnd w:id="1097"/>
      <w:bookmarkEnd w:id="1098"/>
      <w:bookmarkEnd w:id="1099"/>
      <w:bookmarkEnd w:id="1100"/>
      <w:bookmarkEnd w:id="1101"/>
      <w:bookmarkEnd w:id="1102"/>
      <w:bookmarkEnd w:id="1103"/>
      <w:bookmarkEnd w:id="1104"/>
      <w:bookmarkEnd w:id="1105"/>
    </w:p>
    <w:p w14:paraId="1E609B5D">
      <w:pPr>
        <w:spacing w:line="360" w:lineRule="auto"/>
        <w:ind w:firstLine="420" w:firstLineChars="200"/>
        <w:jc w:val="left"/>
        <w:rPr>
          <w:rFonts w:ascii="Calibri" w:hAnsi="宋体" w:cs="Times New Roman"/>
          <w:color w:val="auto"/>
          <w:kern w:val="2"/>
          <w:highlight w:val="none"/>
        </w:rPr>
      </w:pPr>
      <w:r>
        <w:rPr>
          <w:rFonts w:ascii="Calibri" w:hAnsi="Calibri" w:cs="Times New Roman"/>
          <w:color w:val="auto"/>
          <w:kern w:val="2"/>
          <w:highlight w:val="none"/>
        </w:rPr>
        <w:t xml:space="preserve">6.1.1 </w:t>
      </w:r>
      <w:r>
        <w:rPr>
          <w:rFonts w:hint="eastAsia" w:ascii="Calibri" w:hAnsi="宋体" w:cs="Times New Roman"/>
          <w:color w:val="auto"/>
          <w:kern w:val="2"/>
          <w:highlight w:val="none"/>
        </w:rPr>
        <w:t>项目安全生产的达标目标及相应事项的约定：</w:t>
      </w:r>
      <w:r>
        <w:rPr>
          <w:rFonts w:hint="eastAsia" w:ascii="Calibri" w:hAnsi="Calibri" w:cs="Times New Roman"/>
          <w:color w:val="auto"/>
          <w:kern w:val="2"/>
          <w:highlight w:val="none"/>
          <w:u w:val="single"/>
        </w:rPr>
        <w:t>承包人应制定《房屋建筑和市政基础设施工程施工扬尘控制工作方案》、《房屋建筑和市政基础设施工程现场文明施工标准》等相关规定并履行好施工扬尘控制、文明施工等责任，承包人必须按照国家环保部门及相关环境管理部门的扬尘治理相关规定和现行规范执行，如未达到国家环保部门及相关环境管理部门的规定及规范要求，则按照现行相关规定进行处罚，且发包人有权追究相应责任并要求整改。承包人需自行办理的有关施工场地交通、环卫和施工噪音管理等手续，并应符合国家相关规定，并自行承担其费用</w:t>
      </w:r>
      <w:r>
        <w:rPr>
          <w:rFonts w:hint="eastAsia" w:ascii="Calibri" w:hAnsi="宋体" w:cs="Times New Roman"/>
          <w:color w:val="auto"/>
          <w:kern w:val="2"/>
          <w:highlight w:val="none"/>
        </w:rPr>
        <w:t>。</w:t>
      </w:r>
    </w:p>
    <w:p w14:paraId="26564529">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关于安全文明施工奖项的约定：</w:t>
      </w:r>
      <w:r>
        <w:rPr>
          <w:rFonts w:ascii="Calibri" w:hAnsi="Calibri" w:cs="Times New Roman"/>
          <w:color w:val="auto"/>
          <w:kern w:val="2"/>
          <w:highlight w:val="none"/>
          <w:u w:val="single"/>
        </w:rPr>
        <w:t xml:space="preserve"> /  </w:t>
      </w:r>
      <w:r>
        <w:rPr>
          <w:rFonts w:hint="eastAsia" w:ascii="Calibri" w:hAnsi="宋体" w:cs="Times New Roman"/>
          <w:color w:val="auto"/>
          <w:kern w:val="2"/>
          <w:highlight w:val="none"/>
        </w:rPr>
        <w:t>。</w:t>
      </w:r>
    </w:p>
    <w:p w14:paraId="6ED3518D">
      <w:pPr>
        <w:spacing w:line="360" w:lineRule="auto"/>
        <w:ind w:firstLine="420" w:firstLineChars="200"/>
        <w:jc w:val="left"/>
        <w:rPr>
          <w:rFonts w:ascii="Calibri" w:hAnsi="Calibri" w:cs="Times New Roman"/>
          <w:color w:val="auto"/>
          <w:kern w:val="2"/>
          <w:highlight w:val="none"/>
          <w:u w:val="single"/>
        </w:rPr>
      </w:pPr>
      <w:r>
        <w:rPr>
          <w:rFonts w:ascii="Calibri" w:hAnsi="Calibri" w:cs="Times New Roman"/>
          <w:color w:val="auto"/>
          <w:kern w:val="2"/>
          <w:highlight w:val="none"/>
        </w:rPr>
        <w:t xml:space="preserve">6.1.4 </w:t>
      </w:r>
      <w:r>
        <w:rPr>
          <w:rFonts w:hint="eastAsia" w:ascii="Calibri" w:hAnsi="宋体" w:cs="Times New Roman"/>
          <w:color w:val="auto"/>
          <w:kern w:val="2"/>
          <w:highlight w:val="none"/>
        </w:rPr>
        <w:t>关于治安保卫的特别约定：</w:t>
      </w:r>
      <w:r>
        <w:rPr>
          <w:rFonts w:hint="eastAsia" w:ascii="Calibri" w:hAnsi="宋体" w:cs="Times New Roman"/>
          <w:color w:val="auto"/>
          <w:kern w:val="2"/>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1359A754">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关于编制施工场地治安管理计划的约定：</w:t>
      </w:r>
      <w:r>
        <w:rPr>
          <w:rFonts w:hint="eastAsia" w:ascii="Calibri" w:hAnsi="Calibri" w:cs="Times New Roman"/>
          <w:color w:val="auto"/>
          <w:kern w:val="2"/>
          <w:highlight w:val="none"/>
          <w:u w:val="single"/>
        </w:rPr>
        <w:t>承包人在图纸会审和设计交底之日起</w:t>
      </w:r>
      <w:r>
        <w:rPr>
          <w:rFonts w:ascii="Calibri" w:hAnsi="Calibri" w:cs="Times New Roman"/>
          <w:color w:val="auto"/>
          <w:kern w:val="2"/>
          <w:highlight w:val="none"/>
          <w:u w:val="single"/>
        </w:rPr>
        <w:t>7</w:t>
      </w:r>
      <w:r>
        <w:rPr>
          <w:rFonts w:hint="eastAsia" w:ascii="Calibri" w:hAnsi="Calibri" w:cs="Times New Roman"/>
          <w:color w:val="auto"/>
          <w:kern w:val="2"/>
          <w:highlight w:val="none"/>
          <w:u w:val="single"/>
        </w:rPr>
        <w:t>天内报送</w:t>
      </w:r>
      <w:r>
        <w:rPr>
          <w:rFonts w:hint="eastAsia" w:ascii="Calibri" w:hAnsi="宋体" w:cs="Times New Roman"/>
          <w:color w:val="auto"/>
          <w:kern w:val="2"/>
          <w:highlight w:val="none"/>
        </w:rPr>
        <w:t>。</w:t>
      </w:r>
    </w:p>
    <w:p w14:paraId="3278D7F4">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6.1.5 </w:t>
      </w:r>
      <w:r>
        <w:rPr>
          <w:rFonts w:hint="eastAsia" w:ascii="Calibri" w:hAnsi="宋体" w:cs="Times New Roman"/>
          <w:color w:val="auto"/>
          <w:kern w:val="2"/>
          <w:highlight w:val="none"/>
        </w:rPr>
        <w:t>文明施工</w:t>
      </w:r>
    </w:p>
    <w:p w14:paraId="78298841">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合同当事人对文明施工的要求：</w:t>
      </w:r>
      <w:r>
        <w:rPr>
          <w:rFonts w:hint="eastAsia" w:ascii="Calibri" w:hAnsi="Calibri" w:cs="Times New Roman"/>
          <w:color w:val="auto"/>
          <w:kern w:val="2"/>
          <w:highlight w:val="none"/>
          <w:u w:val="single"/>
        </w:rPr>
        <w:t>要求达到《建筑施工安全检查标准》（</w:t>
      </w:r>
      <w:r>
        <w:rPr>
          <w:rFonts w:ascii="Calibri" w:hAnsi="Calibri" w:cs="Times New Roman"/>
          <w:color w:val="auto"/>
          <w:kern w:val="2"/>
          <w:highlight w:val="none"/>
          <w:u w:val="single"/>
        </w:rPr>
        <w:t>JGJ59-2011</w:t>
      </w:r>
      <w:r>
        <w:rPr>
          <w:rFonts w:hint="eastAsia" w:ascii="Calibri" w:hAnsi="Calibri" w:cs="Times New Roman"/>
          <w:color w:val="auto"/>
          <w:kern w:val="2"/>
          <w:highlight w:val="none"/>
          <w:u w:val="single"/>
        </w:rPr>
        <w:t>）的标准和符合《广西壮族自治区建设工程安全文明施工费使用管理细则》（桂建质〔</w:t>
      </w:r>
      <w:r>
        <w:rPr>
          <w:rFonts w:ascii="Calibri" w:hAnsi="Calibri" w:cs="Times New Roman"/>
          <w:color w:val="auto"/>
          <w:kern w:val="2"/>
          <w:highlight w:val="none"/>
          <w:u w:val="single"/>
        </w:rPr>
        <w:t>2015</w:t>
      </w:r>
      <w:r>
        <w:rPr>
          <w:rFonts w:hint="eastAsia" w:ascii="Calibri" w:hAnsi="Calibri" w:cs="Times New Roman"/>
          <w:color w:val="auto"/>
          <w:kern w:val="2"/>
          <w:highlight w:val="none"/>
          <w:u w:val="single"/>
        </w:rPr>
        <w:t>〕</w:t>
      </w:r>
      <w:r>
        <w:rPr>
          <w:rFonts w:ascii="Calibri" w:hAnsi="Calibri" w:cs="Times New Roman"/>
          <w:color w:val="auto"/>
          <w:kern w:val="2"/>
          <w:highlight w:val="none"/>
          <w:u w:val="single"/>
        </w:rPr>
        <w:t>16</w:t>
      </w:r>
      <w:r>
        <w:rPr>
          <w:rFonts w:hint="eastAsia" w:ascii="Calibri" w:hAnsi="Calibri" w:cs="Times New Roman"/>
          <w:color w:val="auto"/>
          <w:kern w:val="2"/>
          <w:highlight w:val="none"/>
          <w:u w:val="single"/>
        </w:rPr>
        <w:t>号）的要求</w:t>
      </w:r>
      <w:r>
        <w:rPr>
          <w:rFonts w:hint="eastAsia" w:ascii="Calibri" w:hAnsi="Calibri" w:cs="Times New Roman"/>
          <w:color w:val="auto"/>
          <w:kern w:val="2"/>
          <w:highlight w:val="none"/>
        </w:rPr>
        <w:t>。</w:t>
      </w:r>
    </w:p>
    <w:p w14:paraId="20E5723E">
      <w:pPr>
        <w:keepNext/>
        <w:keepLines/>
        <w:spacing w:before="260" w:after="260" w:line="416" w:lineRule="auto"/>
        <w:outlineLvl w:val="2"/>
        <w:rPr>
          <w:rFonts w:ascii="Calibri" w:hAnsi="Calibri" w:cs="Times New Roman"/>
          <w:b/>
          <w:bCs/>
          <w:color w:val="auto"/>
          <w:kern w:val="2"/>
          <w:sz w:val="32"/>
          <w:szCs w:val="32"/>
          <w:highlight w:val="none"/>
        </w:rPr>
      </w:pPr>
      <w:bookmarkStart w:id="1106" w:name="_Toc407135223"/>
      <w:bookmarkStart w:id="1107" w:name="_Toc494549219"/>
      <w:bookmarkStart w:id="1108" w:name="_Toc508894084"/>
      <w:bookmarkStart w:id="1109" w:name="_Toc532840028"/>
      <w:bookmarkStart w:id="1110" w:name="_Toc373478368"/>
      <w:bookmarkStart w:id="1111" w:name="_Toc512691422"/>
      <w:bookmarkStart w:id="1112" w:name="_Toc373227721"/>
      <w:bookmarkStart w:id="1113" w:name="_Toc485400615"/>
      <w:bookmarkStart w:id="1114" w:name="_Toc389065287"/>
      <w:bookmarkStart w:id="1115" w:name="_Toc530658046"/>
      <w:bookmarkStart w:id="1116" w:name="_Toc493774783"/>
      <w:r>
        <w:rPr>
          <w:rFonts w:ascii="Calibri" w:hAnsi="Calibri" w:cs="Times New Roman"/>
          <w:b/>
          <w:bCs/>
          <w:color w:val="auto"/>
          <w:kern w:val="2"/>
          <w:sz w:val="32"/>
          <w:szCs w:val="32"/>
          <w:highlight w:val="none"/>
        </w:rPr>
        <w:t xml:space="preserve">6.3 </w:t>
      </w:r>
      <w:r>
        <w:rPr>
          <w:rFonts w:hint="eastAsia" w:ascii="Calibri" w:hAnsi="宋体" w:cs="Times New Roman"/>
          <w:b/>
          <w:bCs/>
          <w:color w:val="auto"/>
          <w:kern w:val="2"/>
          <w:sz w:val="32"/>
          <w:szCs w:val="32"/>
          <w:highlight w:val="none"/>
        </w:rPr>
        <w:t>环境保护</w:t>
      </w:r>
      <w:bookmarkEnd w:id="1106"/>
      <w:bookmarkEnd w:id="1107"/>
      <w:bookmarkEnd w:id="1108"/>
      <w:bookmarkEnd w:id="1109"/>
      <w:bookmarkEnd w:id="1110"/>
      <w:bookmarkEnd w:id="1111"/>
      <w:bookmarkEnd w:id="1112"/>
      <w:bookmarkEnd w:id="1113"/>
      <w:bookmarkEnd w:id="1114"/>
      <w:bookmarkEnd w:id="1115"/>
      <w:bookmarkEnd w:id="1116"/>
    </w:p>
    <w:p w14:paraId="0F8F9380">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u w:val="single"/>
        </w:rPr>
        <w:t>因施工需要，经发包人批准，由承包人办理有关施工场地交通、环卫和施工噪音管理等手续，费用由承包人负责。</w:t>
      </w:r>
    </w:p>
    <w:p w14:paraId="32008E23">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u w:val="single"/>
        </w:rPr>
        <w:t>经过城市道路的施工车辆，必须按交警、城管、运输等部门相关规定执行。由于施工车辆造成的道路、环境等污染，其责任和费用均由承包人承担。</w:t>
      </w:r>
    </w:p>
    <w:bookmarkEnd w:id="1076"/>
    <w:bookmarkEnd w:id="1077"/>
    <w:bookmarkEnd w:id="1078"/>
    <w:bookmarkEnd w:id="1079"/>
    <w:bookmarkEnd w:id="1080"/>
    <w:bookmarkEnd w:id="1081"/>
    <w:bookmarkEnd w:id="1082"/>
    <w:p w14:paraId="204BF4A0">
      <w:pPr>
        <w:keepNext/>
        <w:keepLines/>
        <w:spacing w:line="360" w:lineRule="auto"/>
        <w:outlineLvl w:val="2"/>
        <w:rPr>
          <w:rFonts w:ascii="Cambria" w:hAnsi="Cambria" w:cs="Times New Roman"/>
          <w:color w:val="auto"/>
          <w:kern w:val="2"/>
          <w:sz w:val="32"/>
          <w:szCs w:val="32"/>
          <w:highlight w:val="none"/>
          <w:lang w:val="zh-CN"/>
        </w:rPr>
      </w:pPr>
      <w:bookmarkStart w:id="1117" w:name="_Toc373478369"/>
      <w:bookmarkStart w:id="1118" w:name="_Toc485400616"/>
      <w:bookmarkStart w:id="1119" w:name="_Toc351203639"/>
      <w:bookmarkStart w:id="1120" w:name="_Toc494549220"/>
      <w:bookmarkStart w:id="1121" w:name="_Toc373227722"/>
      <w:bookmarkStart w:id="1122" w:name="_Toc407135224"/>
      <w:bookmarkStart w:id="1123" w:name="_Toc493774784"/>
      <w:bookmarkStart w:id="1124" w:name="_Toc532840029"/>
      <w:bookmarkStart w:id="1125" w:name="_Toc530658047"/>
      <w:bookmarkStart w:id="1126" w:name="_Toc389065288"/>
      <w:bookmarkStart w:id="1127" w:name="_Toc512691423"/>
      <w:bookmarkStart w:id="1128" w:name="_Toc508894085"/>
      <w:r>
        <w:rPr>
          <w:rFonts w:ascii="Cambria" w:hAnsi="Cambria" w:cs="Times New Roman"/>
          <w:color w:val="auto"/>
          <w:kern w:val="2"/>
          <w:sz w:val="32"/>
          <w:szCs w:val="32"/>
          <w:highlight w:val="none"/>
          <w:lang w:val="zh-CN"/>
        </w:rPr>
        <w:t xml:space="preserve">7. </w:t>
      </w:r>
      <w:r>
        <w:rPr>
          <w:rFonts w:hint="eastAsia" w:ascii="Cambria" w:hAnsi="Cambria" w:cs="Times New Roman"/>
          <w:color w:val="auto"/>
          <w:kern w:val="2"/>
          <w:sz w:val="32"/>
          <w:szCs w:val="32"/>
          <w:highlight w:val="none"/>
          <w:lang w:val="zh-CN"/>
        </w:rPr>
        <w:t>工期和进度</w:t>
      </w:r>
      <w:bookmarkEnd w:id="1117"/>
      <w:bookmarkEnd w:id="1118"/>
      <w:bookmarkEnd w:id="1119"/>
      <w:bookmarkEnd w:id="1120"/>
      <w:bookmarkEnd w:id="1121"/>
      <w:bookmarkEnd w:id="1122"/>
      <w:bookmarkEnd w:id="1123"/>
      <w:bookmarkEnd w:id="1124"/>
      <w:bookmarkEnd w:id="1125"/>
      <w:bookmarkEnd w:id="1126"/>
      <w:bookmarkEnd w:id="1127"/>
      <w:bookmarkEnd w:id="1128"/>
    </w:p>
    <w:p w14:paraId="0C4F6A9C">
      <w:pPr>
        <w:keepNext/>
        <w:keepLines/>
        <w:spacing w:before="260" w:after="260" w:line="416" w:lineRule="auto"/>
        <w:outlineLvl w:val="2"/>
        <w:rPr>
          <w:rFonts w:ascii="Calibri" w:hAnsi="Calibri" w:cs="Times New Roman"/>
          <w:b/>
          <w:bCs/>
          <w:color w:val="auto"/>
          <w:kern w:val="2"/>
          <w:sz w:val="32"/>
          <w:szCs w:val="32"/>
          <w:highlight w:val="none"/>
        </w:rPr>
      </w:pPr>
      <w:bookmarkStart w:id="1129" w:name="_Toc493774785"/>
      <w:bookmarkStart w:id="1130" w:name="_Toc494549221"/>
      <w:bookmarkStart w:id="1131" w:name="_Toc532840030"/>
      <w:bookmarkStart w:id="1132" w:name="_Toc407135225"/>
      <w:bookmarkStart w:id="1133" w:name="_Toc373227723"/>
      <w:bookmarkStart w:id="1134" w:name="_Toc485400617"/>
      <w:bookmarkStart w:id="1135" w:name="_Toc512691424"/>
      <w:bookmarkStart w:id="1136" w:name="_Toc508894086"/>
      <w:bookmarkStart w:id="1137" w:name="_Toc530658048"/>
      <w:bookmarkStart w:id="1138" w:name="_Toc389065289"/>
      <w:bookmarkStart w:id="1139" w:name="_Toc373478370"/>
      <w:r>
        <w:rPr>
          <w:rFonts w:ascii="Calibri" w:hAnsi="Calibri" w:cs="Times New Roman"/>
          <w:b/>
          <w:bCs/>
          <w:color w:val="auto"/>
          <w:kern w:val="2"/>
          <w:sz w:val="32"/>
          <w:szCs w:val="32"/>
          <w:highlight w:val="none"/>
        </w:rPr>
        <w:t xml:space="preserve">7.1 </w:t>
      </w:r>
      <w:r>
        <w:rPr>
          <w:rFonts w:hint="eastAsia" w:ascii="Calibri" w:hAnsi="Calibri" w:cs="Times New Roman"/>
          <w:b/>
          <w:bCs/>
          <w:color w:val="auto"/>
          <w:kern w:val="2"/>
          <w:sz w:val="32"/>
          <w:szCs w:val="32"/>
          <w:highlight w:val="none"/>
        </w:rPr>
        <w:t>施工组织设计</w:t>
      </w:r>
      <w:bookmarkEnd w:id="1129"/>
      <w:bookmarkEnd w:id="1130"/>
      <w:bookmarkEnd w:id="1131"/>
      <w:bookmarkEnd w:id="1132"/>
      <w:bookmarkEnd w:id="1133"/>
      <w:bookmarkEnd w:id="1134"/>
      <w:bookmarkEnd w:id="1135"/>
      <w:bookmarkEnd w:id="1136"/>
      <w:bookmarkEnd w:id="1137"/>
      <w:bookmarkEnd w:id="1138"/>
      <w:bookmarkEnd w:id="1139"/>
    </w:p>
    <w:p w14:paraId="07DBEF52">
      <w:pPr>
        <w:autoSpaceDE w:val="0"/>
        <w:autoSpaceDN w:val="0"/>
        <w:adjustRightInd w:val="0"/>
        <w:spacing w:line="360" w:lineRule="auto"/>
        <w:ind w:firstLine="420" w:firstLineChars="200"/>
        <w:jc w:val="left"/>
        <w:rPr>
          <w:rFonts w:ascii="Calibri" w:hAnsi="Calibri" w:cs="Times New Roman"/>
          <w:color w:val="auto"/>
          <w:kern w:val="2"/>
          <w:highlight w:val="none"/>
          <w:u w:val="single"/>
        </w:rPr>
      </w:pPr>
      <w:r>
        <w:rPr>
          <w:rFonts w:ascii="Calibri" w:hAnsi="Calibri" w:cs="Times New Roman"/>
          <w:color w:val="auto"/>
          <w:kern w:val="2"/>
          <w:highlight w:val="none"/>
        </w:rPr>
        <w:t xml:space="preserve">7.1.1 </w:t>
      </w:r>
      <w:r>
        <w:rPr>
          <w:rFonts w:hint="eastAsia" w:ascii="Calibri" w:hAnsi="宋体" w:cs="Times New Roman"/>
          <w:color w:val="auto"/>
          <w:kern w:val="2"/>
          <w:highlight w:val="none"/>
        </w:rPr>
        <w:t>合</w:t>
      </w:r>
      <w:r>
        <w:rPr>
          <w:rFonts w:hint="eastAsia" w:ascii="Calibri" w:hAnsi="宋体" w:cs="Times New Roman"/>
          <w:color w:val="auto"/>
          <w:highlight w:val="none"/>
        </w:rPr>
        <w:t>同当事人约定的施工组织设计应包括的其他内容：</w:t>
      </w:r>
      <w:r>
        <w:rPr>
          <w:rFonts w:hint="eastAsia" w:ascii="Calibri" w:hAnsi="Calibri" w:cs="Times New Roman"/>
          <w:color w:val="auto"/>
          <w:kern w:val="2"/>
          <w:highlight w:val="none"/>
          <w:u w:val="single"/>
        </w:rPr>
        <w:t>按行业管理有关要求</w:t>
      </w:r>
      <w:r>
        <w:rPr>
          <w:rFonts w:hint="eastAsia" w:ascii="Calibri" w:hAnsi="宋体" w:cs="Times New Roman"/>
          <w:color w:val="auto"/>
          <w:kern w:val="2"/>
          <w:highlight w:val="none"/>
        </w:rPr>
        <w:t>。</w:t>
      </w:r>
    </w:p>
    <w:p w14:paraId="5DD193B9">
      <w:pPr>
        <w:autoSpaceDE w:val="0"/>
        <w:autoSpaceDN w:val="0"/>
        <w:adjustRightInd w:val="0"/>
        <w:spacing w:line="360" w:lineRule="auto"/>
        <w:ind w:firstLine="420" w:firstLineChars="200"/>
        <w:jc w:val="left"/>
        <w:rPr>
          <w:rFonts w:ascii="Calibri" w:hAnsi="Calibri" w:cs="Times New Roman"/>
          <w:color w:val="auto"/>
          <w:highlight w:val="none"/>
        </w:rPr>
      </w:pPr>
      <w:r>
        <w:rPr>
          <w:rFonts w:ascii="Calibri" w:hAnsi="Calibri" w:cs="Times New Roman"/>
          <w:color w:val="auto"/>
          <w:kern w:val="2"/>
          <w:highlight w:val="none"/>
        </w:rPr>
        <w:t xml:space="preserve">7.1.2 </w:t>
      </w:r>
      <w:r>
        <w:rPr>
          <w:rFonts w:hint="eastAsia" w:ascii="Calibri" w:hAnsi="宋体" w:cs="Times New Roman"/>
          <w:color w:val="auto"/>
          <w:highlight w:val="none"/>
        </w:rPr>
        <w:t>施工组织设计的提交和修改</w:t>
      </w:r>
    </w:p>
    <w:p w14:paraId="7DC1400D">
      <w:pPr>
        <w:autoSpaceDE w:val="0"/>
        <w:autoSpaceDN w:val="0"/>
        <w:adjustRightInd w:val="0"/>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highlight w:val="none"/>
        </w:rPr>
        <w:t>承包人提交详细施工组织设计的期限的约定：</w:t>
      </w:r>
      <w:r>
        <w:rPr>
          <w:rFonts w:hint="eastAsia" w:ascii="Calibri" w:hAnsi="Calibri" w:cs="Times New Roman"/>
          <w:color w:val="auto"/>
          <w:kern w:val="2"/>
          <w:highlight w:val="none"/>
          <w:u w:val="single"/>
        </w:rPr>
        <w:t>承包人在图纸会审和设计交底之日起</w:t>
      </w:r>
      <w:r>
        <w:rPr>
          <w:rFonts w:ascii="Calibri" w:hAnsi="Calibri" w:cs="Times New Roman"/>
          <w:color w:val="auto"/>
          <w:kern w:val="2"/>
          <w:highlight w:val="none"/>
          <w:u w:val="single"/>
        </w:rPr>
        <w:t>30</w:t>
      </w:r>
      <w:r>
        <w:rPr>
          <w:rFonts w:hint="eastAsia" w:ascii="Calibri" w:hAnsi="Calibri" w:cs="Times New Roman"/>
          <w:color w:val="auto"/>
          <w:kern w:val="2"/>
          <w:highlight w:val="none"/>
          <w:u w:val="single"/>
        </w:rPr>
        <w:t>天内报送</w:t>
      </w:r>
      <w:r>
        <w:rPr>
          <w:rFonts w:hint="eastAsia" w:ascii="Calibri" w:hAnsi="宋体" w:cs="Times New Roman"/>
          <w:color w:val="auto"/>
          <w:kern w:val="2"/>
          <w:highlight w:val="none"/>
        </w:rPr>
        <w:t>。</w:t>
      </w:r>
    </w:p>
    <w:p w14:paraId="130CAB5A">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发包人和监理人在收到详细的施工组织设计后确认或提出修改意见的期限：</w:t>
      </w:r>
      <w:r>
        <w:rPr>
          <w:rFonts w:hint="eastAsia" w:ascii="Calibri" w:hAnsi="Calibri" w:cs="Times New Roman"/>
          <w:color w:val="auto"/>
          <w:kern w:val="2"/>
          <w:highlight w:val="none"/>
          <w:u w:val="single"/>
        </w:rPr>
        <w:t>收到之日起</w:t>
      </w:r>
      <w:r>
        <w:rPr>
          <w:rFonts w:ascii="Calibri" w:hAnsi="Calibri" w:cs="Times New Roman"/>
          <w:color w:val="auto"/>
          <w:kern w:val="2"/>
          <w:highlight w:val="none"/>
          <w:u w:val="single"/>
        </w:rPr>
        <w:t>14</w:t>
      </w:r>
      <w:r>
        <w:rPr>
          <w:rFonts w:hint="eastAsia" w:ascii="Calibri" w:hAnsi="Calibri" w:cs="Times New Roman"/>
          <w:color w:val="auto"/>
          <w:kern w:val="2"/>
          <w:highlight w:val="none"/>
          <w:u w:val="single"/>
        </w:rPr>
        <w:t>天内予以确认，如有重大异议必须在收到上述资料之日起五天内以书面形式送达承包人，逾期不确认也不提出书面意见的，视为同意</w:t>
      </w:r>
      <w:r>
        <w:rPr>
          <w:rFonts w:hint="eastAsia" w:ascii="Calibri" w:hAnsi="宋体" w:cs="Times New Roman"/>
          <w:color w:val="auto"/>
          <w:kern w:val="2"/>
          <w:highlight w:val="none"/>
        </w:rPr>
        <w:t>。</w:t>
      </w:r>
    </w:p>
    <w:p w14:paraId="394E30CD">
      <w:pPr>
        <w:keepNext/>
        <w:keepLines/>
        <w:spacing w:before="260" w:after="260" w:line="416" w:lineRule="auto"/>
        <w:outlineLvl w:val="2"/>
        <w:rPr>
          <w:rFonts w:ascii="Calibri" w:hAnsi="Calibri" w:cs="Times New Roman"/>
          <w:b/>
          <w:bCs/>
          <w:color w:val="auto"/>
          <w:kern w:val="2"/>
          <w:sz w:val="32"/>
          <w:szCs w:val="32"/>
          <w:highlight w:val="none"/>
        </w:rPr>
      </w:pPr>
      <w:bookmarkStart w:id="1140" w:name="_Toc373478371"/>
      <w:bookmarkStart w:id="1141" w:name="_Toc493774786"/>
      <w:bookmarkStart w:id="1142" w:name="_Toc494549222"/>
      <w:bookmarkStart w:id="1143" w:name="_Toc508894087"/>
      <w:bookmarkStart w:id="1144" w:name="_Toc485400618"/>
      <w:bookmarkStart w:id="1145" w:name="_Toc532840031"/>
      <w:bookmarkStart w:id="1146" w:name="_Toc530658049"/>
      <w:bookmarkStart w:id="1147" w:name="_Toc389065290"/>
      <w:bookmarkStart w:id="1148" w:name="_Toc512691425"/>
      <w:bookmarkStart w:id="1149" w:name="_Toc407135226"/>
      <w:bookmarkStart w:id="1150" w:name="_Toc373227724"/>
      <w:r>
        <w:rPr>
          <w:rFonts w:ascii="Calibri" w:hAnsi="Calibri" w:cs="Times New Roman"/>
          <w:b/>
          <w:bCs/>
          <w:color w:val="auto"/>
          <w:kern w:val="2"/>
          <w:sz w:val="32"/>
          <w:szCs w:val="32"/>
          <w:highlight w:val="none"/>
        </w:rPr>
        <w:t>7</w:t>
      </w:r>
      <w:bookmarkStart w:id="1151" w:name="_Toc297123514"/>
      <w:bookmarkStart w:id="1152" w:name="_Toc312677479"/>
      <w:bookmarkStart w:id="1153" w:name="_Toc304295541"/>
      <w:bookmarkStart w:id="1154" w:name="_Toc297216173"/>
      <w:bookmarkStart w:id="1155" w:name="_Toc300934966"/>
      <w:bookmarkStart w:id="1156" w:name="_Toc312678005"/>
      <w:bookmarkStart w:id="1157" w:name="_Toc303539123"/>
      <w:r>
        <w:rPr>
          <w:rFonts w:ascii="Calibri" w:hAnsi="Calibri" w:cs="Times New Roman"/>
          <w:b/>
          <w:bCs/>
          <w:color w:val="auto"/>
          <w:kern w:val="2"/>
          <w:sz w:val="32"/>
          <w:szCs w:val="32"/>
          <w:highlight w:val="none"/>
        </w:rPr>
        <w:t xml:space="preserve">.2 </w:t>
      </w:r>
      <w:r>
        <w:rPr>
          <w:rFonts w:hint="eastAsia" w:ascii="Calibri" w:hAnsi="Calibri" w:cs="Times New Roman"/>
          <w:b/>
          <w:bCs/>
          <w:color w:val="auto"/>
          <w:kern w:val="2"/>
          <w:sz w:val="32"/>
          <w:szCs w:val="32"/>
          <w:highlight w:val="none"/>
        </w:rPr>
        <w:t>施工进度计划</w:t>
      </w:r>
      <w:bookmarkEnd w:id="1140"/>
      <w:bookmarkEnd w:id="1141"/>
      <w:bookmarkEnd w:id="1142"/>
      <w:bookmarkEnd w:id="1143"/>
      <w:bookmarkEnd w:id="1144"/>
      <w:bookmarkEnd w:id="1145"/>
      <w:bookmarkEnd w:id="1146"/>
      <w:bookmarkEnd w:id="1147"/>
      <w:bookmarkEnd w:id="1148"/>
      <w:bookmarkEnd w:id="1149"/>
      <w:bookmarkEnd w:id="1150"/>
    </w:p>
    <w:p w14:paraId="77172E01">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7.2.2 </w:t>
      </w:r>
      <w:r>
        <w:rPr>
          <w:rFonts w:hint="eastAsia" w:ascii="Calibri" w:hAnsi="宋体" w:cs="Times New Roman"/>
          <w:color w:val="auto"/>
          <w:kern w:val="2"/>
          <w:highlight w:val="none"/>
        </w:rPr>
        <w:t>施工进度计划的修订</w:t>
      </w:r>
    </w:p>
    <w:p w14:paraId="6CB58ED1">
      <w:pPr>
        <w:pStyle w:val="375"/>
        <w:pageBreakBefore w:val="0"/>
        <w:widowControl/>
        <w:kinsoku/>
        <w:wordWrap/>
        <w:overflowPunct/>
        <w:topLinePunct w:val="0"/>
        <w:bidi w:val="0"/>
        <w:spacing w:line="360" w:lineRule="auto"/>
        <w:ind w:firstLine="420" w:firstLineChars="200"/>
        <w:jc w:val="left"/>
        <w:textAlignment w:val="auto"/>
        <w:rPr>
          <w:rFonts w:ascii="Calibri" w:hAnsi="Calibri" w:cs="Times New Roman"/>
          <w:color w:val="auto"/>
          <w:kern w:val="2"/>
          <w:highlight w:val="none"/>
        </w:rPr>
      </w:pPr>
      <w:r>
        <w:rPr>
          <w:rFonts w:hint="eastAsia" w:ascii="Calibri" w:hAnsi="宋体" w:cs="Times New Roman"/>
          <w:color w:val="auto"/>
          <w:kern w:val="2"/>
          <w:highlight w:val="none"/>
        </w:rPr>
        <w:t>发包人和监理人在收到修订的施工进度计划后确认或提出修改意见的期限</w:t>
      </w:r>
      <w:r>
        <w:rPr>
          <w:rFonts w:hint="eastAsia" w:ascii="Calibri" w:hAnsi="Calibri" w:eastAsia="宋体" w:cs="Times New Roman"/>
          <w:color w:val="auto"/>
          <w:kern w:val="2"/>
          <w:highlight w:val="none"/>
          <w:u w:val="single"/>
        </w:rPr>
        <w:t>：收到之日起14天内</w:t>
      </w:r>
      <w:r>
        <w:rPr>
          <w:rFonts w:hint="eastAsia" w:ascii="Calibri" w:hAnsi="Calibri" w:eastAsia="宋体" w:cs="Times New Roman"/>
          <w:color w:val="auto"/>
          <w:kern w:val="2"/>
          <w:highlight w:val="none"/>
          <w:u w:val="single"/>
          <w:lang w:eastAsia="zh-CN"/>
        </w:rPr>
        <w:t>，</w:t>
      </w:r>
      <w:r>
        <w:rPr>
          <w:rFonts w:hint="eastAsia" w:ascii="Calibri" w:hAnsi="Calibri" w:eastAsia="宋体" w:cs="Times New Roman"/>
          <w:color w:val="auto"/>
          <w:kern w:val="2"/>
          <w:highlight w:val="none"/>
          <w:u w:val="single"/>
        </w:rPr>
        <w:t>逾期不确认也不提出书面意见的，视为同意。</w:t>
      </w:r>
    </w:p>
    <w:p w14:paraId="088D4DE0">
      <w:pPr>
        <w:keepNext/>
        <w:keepLines/>
        <w:spacing w:before="260" w:after="260" w:line="416" w:lineRule="auto"/>
        <w:outlineLvl w:val="2"/>
        <w:rPr>
          <w:rFonts w:ascii="Calibri" w:hAnsi="Calibri" w:cs="Times New Roman"/>
          <w:b/>
          <w:bCs/>
          <w:color w:val="auto"/>
          <w:kern w:val="2"/>
          <w:sz w:val="32"/>
          <w:szCs w:val="32"/>
          <w:highlight w:val="none"/>
        </w:rPr>
      </w:pPr>
      <w:bookmarkStart w:id="1158" w:name="_Toc532840032"/>
      <w:bookmarkStart w:id="1159" w:name="_Toc493774787"/>
      <w:bookmarkStart w:id="1160" w:name="_Toc407135227"/>
      <w:bookmarkStart w:id="1161" w:name="_Toc373478372"/>
      <w:bookmarkStart w:id="1162" w:name="_Toc508894088"/>
      <w:bookmarkStart w:id="1163" w:name="_Toc512691426"/>
      <w:bookmarkStart w:id="1164" w:name="_Toc389065291"/>
      <w:bookmarkStart w:id="1165" w:name="_Toc485400619"/>
      <w:bookmarkStart w:id="1166" w:name="_Toc530658050"/>
      <w:bookmarkStart w:id="1167" w:name="_Toc373227725"/>
      <w:bookmarkStart w:id="1168" w:name="_Toc494549223"/>
      <w:r>
        <w:rPr>
          <w:rFonts w:ascii="Calibri" w:hAnsi="Calibri" w:cs="Times New Roman"/>
          <w:b/>
          <w:bCs/>
          <w:color w:val="auto"/>
          <w:kern w:val="2"/>
          <w:sz w:val="32"/>
          <w:szCs w:val="32"/>
          <w:highlight w:val="none"/>
        </w:rPr>
        <w:t xml:space="preserve">7.3 </w:t>
      </w:r>
      <w:r>
        <w:rPr>
          <w:rFonts w:hint="eastAsia" w:ascii="Calibri" w:hAnsi="Calibri" w:cs="Times New Roman"/>
          <w:b/>
          <w:bCs/>
          <w:color w:val="auto"/>
          <w:kern w:val="2"/>
          <w:sz w:val="32"/>
          <w:szCs w:val="32"/>
          <w:highlight w:val="none"/>
        </w:rPr>
        <w:t>开工</w:t>
      </w:r>
      <w:bookmarkEnd w:id="1158"/>
      <w:bookmarkEnd w:id="1159"/>
      <w:bookmarkEnd w:id="1160"/>
      <w:bookmarkEnd w:id="1161"/>
      <w:bookmarkEnd w:id="1162"/>
      <w:bookmarkEnd w:id="1163"/>
      <w:bookmarkEnd w:id="1164"/>
      <w:bookmarkEnd w:id="1165"/>
      <w:bookmarkEnd w:id="1166"/>
      <w:bookmarkEnd w:id="1167"/>
      <w:bookmarkEnd w:id="1168"/>
    </w:p>
    <w:p w14:paraId="308719E0">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7.3.1 </w:t>
      </w:r>
      <w:r>
        <w:rPr>
          <w:rFonts w:hint="eastAsia" w:ascii="Calibri" w:hAnsi="宋体" w:cs="Times New Roman"/>
          <w:color w:val="auto"/>
          <w:kern w:val="2"/>
          <w:highlight w:val="none"/>
        </w:rPr>
        <w:t>开工准备</w:t>
      </w:r>
    </w:p>
    <w:p w14:paraId="1B073180">
      <w:pPr>
        <w:spacing w:line="360" w:lineRule="auto"/>
        <w:ind w:firstLine="426"/>
        <w:jc w:val="left"/>
        <w:rPr>
          <w:rFonts w:ascii="Calibri" w:hAnsi="Calibri" w:cs="Times New Roman"/>
          <w:color w:val="auto"/>
          <w:kern w:val="2"/>
          <w:highlight w:val="none"/>
          <w:u w:val="single"/>
        </w:rPr>
      </w:pPr>
      <w:r>
        <w:rPr>
          <w:rFonts w:hint="eastAsia" w:ascii="Calibri" w:hAnsi="宋体" w:cs="Times New Roman"/>
          <w:color w:val="auto"/>
          <w:kern w:val="2"/>
          <w:highlight w:val="none"/>
        </w:rPr>
        <w:t>关于承包人提交</w:t>
      </w:r>
      <w:r>
        <w:rPr>
          <w:rFonts w:hint="eastAsia" w:ascii="Calibri" w:hAnsi="宋体" w:cs="Times New Roman"/>
          <w:color w:val="auto"/>
          <w:highlight w:val="none"/>
        </w:rPr>
        <w:t>工程开工报审表的期限：</w:t>
      </w:r>
      <w:r>
        <w:rPr>
          <w:rFonts w:hint="eastAsia" w:ascii="Calibri" w:hAnsi="Calibri" w:cs="Times New Roman"/>
          <w:color w:val="auto"/>
          <w:kern w:val="2"/>
          <w:highlight w:val="none"/>
          <w:u w:val="single"/>
        </w:rPr>
        <w:t>承包人在图纸会审和设计交底之日起</w:t>
      </w:r>
      <w:r>
        <w:rPr>
          <w:rFonts w:ascii="Calibri" w:hAnsi="Calibri" w:cs="Times New Roman"/>
          <w:color w:val="auto"/>
          <w:kern w:val="2"/>
          <w:highlight w:val="none"/>
          <w:u w:val="single"/>
        </w:rPr>
        <w:t>14</w:t>
      </w:r>
      <w:r>
        <w:rPr>
          <w:rFonts w:hint="eastAsia" w:ascii="Calibri" w:hAnsi="Calibri" w:cs="Times New Roman"/>
          <w:color w:val="auto"/>
          <w:kern w:val="2"/>
          <w:highlight w:val="none"/>
          <w:u w:val="single"/>
        </w:rPr>
        <w:t>天内报送</w:t>
      </w:r>
      <w:r>
        <w:rPr>
          <w:rFonts w:hint="eastAsia" w:ascii="Calibri" w:hAnsi="宋体" w:cs="Times New Roman"/>
          <w:color w:val="auto"/>
          <w:kern w:val="2"/>
          <w:highlight w:val="none"/>
        </w:rPr>
        <w:t>。</w:t>
      </w:r>
    </w:p>
    <w:p w14:paraId="2F4ADDAC">
      <w:pPr>
        <w:spacing w:line="360" w:lineRule="auto"/>
        <w:ind w:firstLine="426"/>
        <w:jc w:val="left"/>
        <w:rPr>
          <w:rFonts w:ascii="Calibri" w:hAnsi="Calibri" w:cs="Times New Roman"/>
          <w:color w:val="auto"/>
          <w:kern w:val="2"/>
          <w:highlight w:val="none"/>
          <w:u w:val="single"/>
        </w:rPr>
      </w:pPr>
      <w:r>
        <w:rPr>
          <w:rFonts w:hint="eastAsia" w:ascii="Calibri" w:hAnsi="宋体" w:cs="Times New Roman"/>
          <w:color w:val="auto"/>
          <w:kern w:val="2"/>
          <w:highlight w:val="none"/>
        </w:rPr>
        <w:t>关于发包人应完成的其他开工准备工作及期限：</w:t>
      </w:r>
      <w:r>
        <w:rPr>
          <w:rFonts w:hint="eastAsia" w:ascii="Calibri" w:hAnsi="Calibri" w:cs="Times New Roman"/>
          <w:color w:val="auto"/>
          <w:kern w:val="2"/>
          <w:highlight w:val="none"/>
          <w:u w:val="single"/>
        </w:rPr>
        <w:t>开工许可证发出前</w:t>
      </w:r>
      <w:r>
        <w:rPr>
          <w:rFonts w:hint="eastAsia" w:ascii="Calibri" w:hAnsi="宋体" w:cs="Times New Roman"/>
          <w:color w:val="auto"/>
          <w:kern w:val="2"/>
          <w:highlight w:val="none"/>
        </w:rPr>
        <w:t>。</w:t>
      </w:r>
    </w:p>
    <w:p w14:paraId="4C0786F7">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关于承包人应完成的其他开工准备工作及期限：</w:t>
      </w:r>
      <w:r>
        <w:rPr>
          <w:rFonts w:hint="eastAsia" w:ascii="Calibri" w:hAnsi="Calibri" w:cs="Times New Roman"/>
          <w:color w:val="auto"/>
          <w:kern w:val="2"/>
          <w:highlight w:val="none"/>
          <w:u w:val="single"/>
        </w:rPr>
        <w:t>开工许可证发出</w:t>
      </w:r>
      <w:r>
        <w:rPr>
          <w:rFonts w:ascii="Calibri" w:hAnsi="Calibri" w:cs="Times New Roman"/>
          <w:color w:val="auto"/>
          <w:kern w:val="2"/>
          <w:highlight w:val="none"/>
          <w:u w:val="single"/>
        </w:rPr>
        <w:t>14</w:t>
      </w:r>
      <w:r>
        <w:rPr>
          <w:rFonts w:hint="eastAsia" w:ascii="Calibri" w:hAnsi="Calibri" w:cs="Times New Roman"/>
          <w:color w:val="auto"/>
          <w:kern w:val="2"/>
          <w:highlight w:val="none"/>
          <w:u w:val="single"/>
        </w:rPr>
        <w:t>天内</w:t>
      </w:r>
      <w:r>
        <w:rPr>
          <w:rFonts w:hint="eastAsia" w:ascii="Calibri" w:hAnsi="宋体" w:cs="Times New Roman"/>
          <w:color w:val="auto"/>
          <w:kern w:val="2"/>
          <w:highlight w:val="none"/>
        </w:rPr>
        <w:t>。</w:t>
      </w:r>
    </w:p>
    <w:p w14:paraId="0E76295A">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7.3.2 </w:t>
      </w:r>
      <w:r>
        <w:rPr>
          <w:rFonts w:hint="eastAsia" w:ascii="Calibri" w:hAnsi="宋体" w:cs="Times New Roman"/>
          <w:color w:val="auto"/>
          <w:kern w:val="2"/>
          <w:highlight w:val="none"/>
        </w:rPr>
        <w:t>开工通知</w:t>
      </w:r>
    </w:p>
    <w:p w14:paraId="47A461C1">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因发包人原因造成监理人未能在计划开工日期之日起</w:t>
      </w:r>
      <w:r>
        <w:rPr>
          <w:rFonts w:ascii="Calibri" w:hAnsi="Calibri" w:cs="Times New Roman"/>
          <w:color w:val="auto"/>
          <w:kern w:val="2"/>
          <w:highlight w:val="none"/>
          <w:u w:val="single"/>
        </w:rPr>
        <w:t xml:space="preserve"> 90 </w:t>
      </w:r>
      <w:r>
        <w:rPr>
          <w:rFonts w:hint="eastAsia" w:ascii="Calibri" w:hAnsi="宋体" w:cs="Times New Roman"/>
          <w:color w:val="auto"/>
          <w:kern w:val="2"/>
          <w:highlight w:val="none"/>
        </w:rPr>
        <w:t>天内发出开工通知的，承包人有权提出价格调整要求，或者解除合同。</w:t>
      </w:r>
    </w:p>
    <w:bookmarkEnd w:id="1151"/>
    <w:bookmarkEnd w:id="1152"/>
    <w:bookmarkEnd w:id="1153"/>
    <w:bookmarkEnd w:id="1154"/>
    <w:bookmarkEnd w:id="1155"/>
    <w:bookmarkEnd w:id="1156"/>
    <w:bookmarkEnd w:id="1157"/>
    <w:p w14:paraId="10F5B64C">
      <w:pPr>
        <w:keepNext/>
        <w:keepLines/>
        <w:spacing w:before="260" w:after="260" w:line="416" w:lineRule="auto"/>
        <w:outlineLvl w:val="2"/>
        <w:rPr>
          <w:rFonts w:ascii="Calibri" w:hAnsi="Calibri" w:cs="Times New Roman"/>
          <w:b/>
          <w:bCs/>
          <w:color w:val="auto"/>
          <w:kern w:val="2"/>
          <w:sz w:val="32"/>
          <w:szCs w:val="32"/>
          <w:highlight w:val="none"/>
        </w:rPr>
      </w:pPr>
      <w:bookmarkStart w:id="1169" w:name="_Toc530658051"/>
      <w:bookmarkStart w:id="1170" w:name="_Toc373478373"/>
      <w:bookmarkStart w:id="1171" w:name="_Toc407135228"/>
      <w:bookmarkStart w:id="1172" w:name="_Toc493774788"/>
      <w:bookmarkStart w:id="1173" w:name="_Toc532840033"/>
      <w:bookmarkStart w:id="1174" w:name="_Toc485400620"/>
      <w:bookmarkStart w:id="1175" w:name="_Toc389065292"/>
      <w:bookmarkStart w:id="1176" w:name="_Toc373227726"/>
      <w:bookmarkStart w:id="1177" w:name="_Toc508894089"/>
      <w:bookmarkStart w:id="1178" w:name="_Toc494549224"/>
      <w:bookmarkStart w:id="1179" w:name="_Toc512691427"/>
      <w:r>
        <w:rPr>
          <w:rFonts w:ascii="Calibri" w:hAnsi="Calibri" w:cs="Times New Roman"/>
          <w:b/>
          <w:bCs/>
          <w:color w:val="auto"/>
          <w:kern w:val="2"/>
          <w:sz w:val="32"/>
          <w:szCs w:val="32"/>
          <w:highlight w:val="none"/>
        </w:rPr>
        <w:t xml:space="preserve">7.4 </w:t>
      </w:r>
      <w:r>
        <w:rPr>
          <w:rFonts w:hint="eastAsia" w:ascii="Calibri" w:hAnsi="宋体" w:cs="Times New Roman"/>
          <w:b/>
          <w:bCs/>
          <w:color w:val="auto"/>
          <w:kern w:val="2"/>
          <w:sz w:val="32"/>
          <w:szCs w:val="32"/>
          <w:highlight w:val="none"/>
        </w:rPr>
        <w:t>测量放线</w:t>
      </w:r>
      <w:bookmarkEnd w:id="1169"/>
      <w:bookmarkEnd w:id="1170"/>
      <w:bookmarkEnd w:id="1171"/>
      <w:bookmarkEnd w:id="1172"/>
      <w:bookmarkEnd w:id="1173"/>
      <w:bookmarkEnd w:id="1174"/>
      <w:bookmarkEnd w:id="1175"/>
      <w:bookmarkEnd w:id="1176"/>
      <w:bookmarkEnd w:id="1177"/>
      <w:bookmarkEnd w:id="1178"/>
      <w:bookmarkEnd w:id="1179"/>
    </w:p>
    <w:p w14:paraId="187B0C2E">
      <w:pPr>
        <w:spacing w:line="360" w:lineRule="auto"/>
        <w:ind w:firstLine="420" w:firstLineChars="200"/>
        <w:jc w:val="left"/>
        <w:rPr>
          <w:rFonts w:ascii="Calibri" w:hAnsi="宋体" w:cs="Times New Roman"/>
          <w:color w:val="auto"/>
          <w:kern w:val="2"/>
          <w:highlight w:val="none"/>
        </w:rPr>
      </w:pPr>
      <w:r>
        <w:rPr>
          <w:rFonts w:ascii="Calibri" w:hAnsi="Calibri" w:cs="Times New Roman"/>
          <w:color w:val="auto"/>
          <w:kern w:val="2"/>
          <w:highlight w:val="none"/>
        </w:rPr>
        <w:t>7.4.1</w:t>
      </w:r>
      <w:r>
        <w:rPr>
          <w:rFonts w:hint="eastAsia" w:ascii="Calibri" w:hAnsi="宋体" w:cs="Times New Roman"/>
          <w:color w:val="auto"/>
          <w:kern w:val="2"/>
          <w:highlight w:val="none"/>
        </w:rPr>
        <w:t>发包人通过监理人向承包人提供测量基准点、基准线和水准点及其书面资料的期限：</w:t>
      </w:r>
    </w:p>
    <w:p w14:paraId="43079C46">
      <w:pPr>
        <w:spacing w:line="360" w:lineRule="auto"/>
        <w:jc w:val="left"/>
        <w:rPr>
          <w:rFonts w:ascii="Calibri" w:hAnsi="Calibri" w:cs="Times New Roman"/>
          <w:color w:val="auto"/>
          <w:kern w:val="2"/>
          <w:highlight w:val="none"/>
          <w:u w:val="single"/>
        </w:rPr>
      </w:pPr>
      <w:r>
        <w:rPr>
          <w:rFonts w:hint="eastAsia" w:ascii="Calibri" w:hAnsi="Calibri" w:cs="Times New Roman"/>
          <w:color w:val="auto"/>
          <w:kern w:val="2"/>
          <w:highlight w:val="none"/>
          <w:u w:val="single"/>
        </w:rPr>
        <w:t>开工前</w:t>
      </w:r>
      <w:r>
        <w:rPr>
          <w:rFonts w:ascii="Calibri" w:hAnsi="Calibri" w:cs="Times New Roman"/>
          <w:color w:val="auto"/>
          <w:kern w:val="2"/>
          <w:highlight w:val="none"/>
          <w:u w:val="single"/>
        </w:rPr>
        <w:t>3</w:t>
      </w:r>
      <w:r>
        <w:rPr>
          <w:rFonts w:hint="eastAsia" w:ascii="Calibri" w:hAnsi="Calibri" w:cs="Times New Roman"/>
          <w:color w:val="auto"/>
          <w:kern w:val="2"/>
          <w:highlight w:val="none"/>
          <w:u w:val="single"/>
        </w:rPr>
        <w:t>天内</w:t>
      </w:r>
      <w:r>
        <w:rPr>
          <w:rFonts w:hint="eastAsia" w:ascii="Calibri" w:hAnsi="宋体" w:cs="Times New Roman"/>
          <w:color w:val="auto"/>
          <w:kern w:val="2"/>
          <w:highlight w:val="none"/>
        </w:rPr>
        <w:t>。</w:t>
      </w:r>
    </w:p>
    <w:p w14:paraId="0ED843AB">
      <w:pPr>
        <w:keepNext/>
        <w:keepLines/>
        <w:spacing w:before="260" w:after="260" w:line="416" w:lineRule="auto"/>
        <w:outlineLvl w:val="2"/>
        <w:rPr>
          <w:rFonts w:hint="eastAsia" w:ascii="Calibri" w:hAnsi="Calibri" w:eastAsia="宋体" w:cs="Times New Roman"/>
          <w:b/>
          <w:bCs/>
          <w:color w:val="auto"/>
          <w:kern w:val="2"/>
          <w:sz w:val="32"/>
          <w:szCs w:val="32"/>
          <w:highlight w:val="none"/>
          <w:lang w:eastAsia="zh-CN"/>
        </w:rPr>
      </w:pPr>
      <w:bookmarkStart w:id="1180" w:name="_Toc407135229"/>
      <w:bookmarkStart w:id="1181" w:name="_Toc512691428"/>
      <w:bookmarkStart w:id="1182" w:name="_Toc532840034"/>
      <w:bookmarkStart w:id="1183" w:name="_Toc493774789"/>
      <w:bookmarkStart w:id="1184" w:name="_Toc508894090"/>
      <w:bookmarkStart w:id="1185" w:name="_Toc494549225"/>
      <w:bookmarkStart w:id="1186" w:name="_Toc389065293"/>
      <w:bookmarkStart w:id="1187" w:name="_Toc530658052"/>
      <w:bookmarkStart w:id="1188" w:name="_Toc373478374"/>
      <w:bookmarkStart w:id="1189" w:name="_Toc373227727"/>
      <w:bookmarkStart w:id="1190" w:name="_Toc485400621"/>
      <w:r>
        <w:rPr>
          <w:rFonts w:ascii="Calibri" w:hAnsi="Calibri" w:cs="Times New Roman"/>
          <w:b/>
          <w:bCs/>
          <w:color w:val="auto"/>
          <w:kern w:val="2"/>
          <w:sz w:val="32"/>
          <w:szCs w:val="32"/>
          <w:highlight w:val="none"/>
        </w:rPr>
        <w:t>7</w:t>
      </w:r>
      <w:bookmarkStart w:id="1191" w:name="_Toc303539125"/>
      <w:bookmarkStart w:id="1192" w:name="_Toc312678010"/>
      <w:bookmarkStart w:id="1193" w:name="_Toc300934968"/>
      <w:bookmarkStart w:id="1194" w:name="_Toc297123516"/>
      <w:bookmarkStart w:id="1195" w:name="_Toc304295546"/>
      <w:bookmarkStart w:id="1196" w:name="_Toc297216175"/>
      <w:bookmarkStart w:id="1197" w:name="_Toc312677484"/>
      <w:r>
        <w:rPr>
          <w:rFonts w:ascii="Calibri" w:hAnsi="Calibri" w:cs="Times New Roman"/>
          <w:b/>
          <w:bCs/>
          <w:color w:val="auto"/>
          <w:kern w:val="2"/>
          <w:sz w:val="32"/>
          <w:szCs w:val="32"/>
          <w:highlight w:val="none"/>
        </w:rPr>
        <w:t xml:space="preserve">.5 </w:t>
      </w:r>
      <w:r>
        <w:rPr>
          <w:rFonts w:hint="eastAsia" w:ascii="Calibri" w:hAnsi="宋体" w:cs="Times New Roman"/>
          <w:b/>
          <w:bCs/>
          <w:color w:val="auto"/>
          <w:kern w:val="2"/>
          <w:sz w:val="32"/>
          <w:szCs w:val="32"/>
          <w:highlight w:val="none"/>
        </w:rPr>
        <w:t>工期延误</w:t>
      </w:r>
      <w:bookmarkEnd w:id="1180"/>
      <w:bookmarkEnd w:id="1181"/>
      <w:bookmarkEnd w:id="1182"/>
      <w:bookmarkEnd w:id="1183"/>
      <w:bookmarkEnd w:id="1184"/>
      <w:bookmarkEnd w:id="1185"/>
      <w:bookmarkEnd w:id="1186"/>
      <w:bookmarkEnd w:id="1187"/>
      <w:bookmarkEnd w:id="1188"/>
      <w:bookmarkEnd w:id="1189"/>
      <w:bookmarkEnd w:id="1190"/>
    </w:p>
    <w:bookmarkEnd w:id="1191"/>
    <w:bookmarkEnd w:id="1192"/>
    <w:bookmarkEnd w:id="1193"/>
    <w:bookmarkEnd w:id="1194"/>
    <w:bookmarkEnd w:id="1195"/>
    <w:bookmarkEnd w:id="1196"/>
    <w:bookmarkEnd w:id="1197"/>
    <w:p w14:paraId="1A30B767">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7.5.1 </w:t>
      </w:r>
      <w:r>
        <w:rPr>
          <w:rFonts w:hint="eastAsia" w:ascii="Calibri" w:hAnsi="宋体" w:cs="Times New Roman"/>
          <w:color w:val="auto"/>
          <w:kern w:val="2"/>
          <w:highlight w:val="none"/>
        </w:rPr>
        <w:t>因发包人原因导致工期延误</w:t>
      </w:r>
    </w:p>
    <w:p w14:paraId="7256D8C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cs="Times New Roman"/>
          <w:color w:val="auto"/>
          <w:kern w:val="2"/>
          <w:highlight w:val="none"/>
          <w:u w:val="single"/>
        </w:rPr>
      </w:pPr>
      <w:r>
        <w:rPr>
          <w:rFonts w:hint="eastAsia" w:ascii="Calibri" w:hAnsi="宋体" w:cs="Times New Roman"/>
          <w:color w:val="auto"/>
          <w:kern w:val="2"/>
          <w:highlight w:val="none"/>
        </w:rPr>
        <w:t>（</w:t>
      </w:r>
      <w:r>
        <w:rPr>
          <w:rFonts w:ascii="Calibri" w:hAnsi="Calibri" w:cs="Times New Roman"/>
          <w:color w:val="auto"/>
          <w:kern w:val="2"/>
          <w:highlight w:val="none"/>
        </w:rPr>
        <w:t>7</w:t>
      </w:r>
      <w:r>
        <w:rPr>
          <w:rFonts w:hint="eastAsia" w:ascii="Calibri" w:hAnsi="宋体" w:cs="Times New Roman"/>
          <w:color w:val="auto"/>
          <w:kern w:val="2"/>
          <w:highlight w:val="none"/>
        </w:rPr>
        <w:t>）因发包人原因导致工期延误的其他情形：</w:t>
      </w:r>
      <w:r>
        <w:rPr>
          <w:rFonts w:hint="eastAsia" w:ascii="Calibri" w:hAnsi="Calibri" w:cs="Times New Roman"/>
          <w:color w:val="auto"/>
          <w:kern w:val="2"/>
          <w:highlight w:val="none"/>
          <w:u w:val="single"/>
        </w:rPr>
        <w:t>①</w:t>
      </w:r>
      <w:r>
        <w:rPr>
          <w:rFonts w:hint="eastAsia" w:ascii="Calibri" w:hAnsi="Calibri" w:cs="Times New Roman"/>
          <w:color w:val="auto"/>
          <w:kern w:val="2"/>
          <w:highlight w:val="none"/>
          <w:u w:val="single"/>
        </w:rPr>
        <w:t>图纸变更影响工序施工；②施工期间如因停电、停水连</w:t>
      </w:r>
      <w:r>
        <w:rPr>
          <w:rFonts w:hint="eastAsia" w:ascii="Calibri" w:hAnsi="Calibri" w:cs="Times New Roman"/>
          <w:color w:val="auto"/>
          <w:kern w:val="2"/>
          <w:highlight w:val="none"/>
          <w:u w:val="single"/>
        </w:rPr>
        <w:t>续</w:t>
      </w:r>
      <w:r>
        <w:rPr>
          <w:rFonts w:ascii="Calibri" w:hAnsi="Calibri" w:cs="Times New Roman"/>
          <w:color w:val="auto"/>
          <w:kern w:val="2"/>
          <w:highlight w:val="none"/>
          <w:u w:val="single"/>
        </w:rPr>
        <w:t>8</w:t>
      </w:r>
      <w:r>
        <w:rPr>
          <w:rFonts w:hint="eastAsia" w:ascii="Calibri" w:hAnsi="Calibri" w:cs="Times New Roman"/>
          <w:color w:val="auto"/>
          <w:kern w:val="2"/>
          <w:highlight w:val="none"/>
          <w:u w:val="single"/>
        </w:rPr>
        <w:t>小时以上或一周内间歇性停水、停电累计</w:t>
      </w:r>
      <w:r>
        <w:rPr>
          <w:rFonts w:ascii="Calibri" w:hAnsi="Calibri" w:cs="Times New Roman"/>
          <w:color w:val="auto"/>
          <w:kern w:val="2"/>
          <w:highlight w:val="none"/>
          <w:u w:val="single"/>
        </w:rPr>
        <w:t>8</w:t>
      </w:r>
      <w:r>
        <w:rPr>
          <w:rFonts w:hint="eastAsia" w:ascii="Calibri" w:hAnsi="Calibri" w:cs="Times New Roman"/>
          <w:color w:val="auto"/>
          <w:kern w:val="2"/>
          <w:highlight w:val="none"/>
          <w:u w:val="single"/>
        </w:rPr>
        <w:t>小时（含</w:t>
      </w:r>
      <w:r>
        <w:rPr>
          <w:rFonts w:ascii="Calibri" w:hAnsi="Calibri" w:cs="Times New Roman"/>
          <w:color w:val="auto"/>
          <w:kern w:val="2"/>
          <w:highlight w:val="none"/>
          <w:u w:val="single"/>
        </w:rPr>
        <w:t>8</w:t>
      </w:r>
      <w:r>
        <w:rPr>
          <w:rFonts w:hint="eastAsia" w:ascii="Calibri" w:hAnsi="Calibri" w:cs="Times New Roman"/>
          <w:color w:val="auto"/>
          <w:kern w:val="2"/>
          <w:highlight w:val="none"/>
          <w:u w:val="single"/>
        </w:rPr>
        <w:t>小时）影响正常施工的。③政府指令性停工。④在施工过程中遇到地下障碍物、溶洞、岩石、文物或地下管线的。⑤因发包人未能及时确认变更价格或甲供材料提供延误的。</w:t>
      </w:r>
      <w:r>
        <w:rPr>
          <w:rFonts w:hint="eastAsia" w:ascii="Calibri" w:hAnsi="Calibri" w:eastAsia="宋体" w:cs="Times New Roman"/>
          <w:color w:val="auto"/>
          <w:kern w:val="2"/>
          <w:highlight w:val="none"/>
          <w:u w:val="single"/>
        </w:rPr>
        <w:t>⑥发包人未能按约定日期支付工程预付款、进度款，致使施工不能正常进行</w:t>
      </w:r>
      <w:r>
        <w:rPr>
          <w:rFonts w:hint="eastAsia" w:ascii="Calibri" w:hAnsi="Calibri" w:eastAsia="宋体" w:cs="Times New Roman"/>
          <w:color w:val="auto"/>
          <w:kern w:val="2"/>
          <w:highlight w:val="none"/>
          <w:u w:val="single"/>
          <w:lang w:eastAsia="zh-CN"/>
        </w:rPr>
        <w:t>。</w:t>
      </w:r>
      <w:r>
        <w:rPr>
          <w:rFonts w:hint="eastAsia" w:ascii="Calibri" w:hAnsi="Calibri" w:cs="Times New Roman"/>
          <w:color w:val="auto"/>
          <w:kern w:val="2"/>
          <w:highlight w:val="none"/>
          <w:u w:val="single"/>
        </w:rPr>
        <w:t>⑥非承包人的责任造成的工期延误其他情形</w:t>
      </w:r>
      <w:r>
        <w:rPr>
          <w:rFonts w:hint="eastAsia" w:ascii="Calibri" w:hAnsi="宋体" w:cs="Times New Roman"/>
          <w:color w:val="auto"/>
          <w:kern w:val="2"/>
          <w:highlight w:val="none"/>
        </w:rPr>
        <w:t>。</w:t>
      </w:r>
    </w:p>
    <w:p w14:paraId="0FB851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Calibri" w:hAnsi="Calibri" w:cs="Times New Roman"/>
          <w:color w:val="auto"/>
          <w:kern w:val="2"/>
          <w:highlight w:val="none"/>
        </w:rPr>
      </w:pPr>
      <w:r>
        <w:rPr>
          <w:rFonts w:ascii="Calibri" w:hAnsi="Calibri" w:cs="Times New Roman"/>
          <w:color w:val="auto"/>
          <w:kern w:val="2"/>
          <w:highlight w:val="none"/>
        </w:rPr>
        <w:t>7</w:t>
      </w:r>
      <w:bookmarkStart w:id="1198" w:name="_Toc318581169"/>
      <w:bookmarkStart w:id="1199" w:name="_Toc312677486"/>
      <w:bookmarkStart w:id="1200" w:name="_Toc312678012"/>
      <w:bookmarkStart w:id="1201" w:name="_Toc304295548"/>
      <w:bookmarkStart w:id="1202" w:name="_Toc297123518"/>
      <w:bookmarkStart w:id="1203" w:name="_Toc300934970"/>
      <w:bookmarkStart w:id="1204" w:name="_Toc297216177"/>
      <w:bookmarkStart w:id="1205" w:name="_Toc303539127"/>
      <w:r>
        <w:rPr>
          <w:rFonts w:ascii="Calibri" w:hAnsi="Calibri" w:cs="Times New Roman"/>
          <w:color w:val="auto"/>
          <w:kern w:val="2"/>
          <w:highlight w:val="none"/>
        </w:rPr>
        <w:t xml:space="preserve">.5.2 </w:t>
      </w:r>
      <w:r>
        <w:rPr>
          <w:rFonts w:hint="eastAsia" w:ascii="Calibri" w:hAnsi="宋体" w:cs="Times New Roman"/>
          <w:color w:val="auto"/>
          <w:kern w:val="2"/>
          <w:highlight w:val="none"/>
        </w:rPr>
        <w:t>因承包人原因导致工期延误</w:t>
      </w:r>
    </w:p>
    <w:bookmarkEnd w:id="1198"/>
    <w:bookmarkEnd w:id="1199"/>
    <w:bookmarkEnd w:id="1200"/>
    <w:p w14:paraId="34A0BF77">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双方约定经监理工程师确认，工期相应顺延的情况：</w:t>
      </w:r>
      <w:r>
        <w:rPr>
          <w:rFonts w:hint="eastAsia" w:ascii="Calibri" w:hAnsi="Calibri" w:cs="Times New Roman"/>
          <w:color w:val="auto"/>
          <w:kern w:val="2"/>
          <w:highlight w:val="none"/>
          <w:u w:val="single"/>
        </w:rPr>
        <w:t>当地政策变化引起的延误；建设项目停、缓建；不可预见的地下障碍物和地下文物的处理；属不可抗拒的自然灾害；因发包人原因造成的延误。由于承包人原因引起的过失或违约造成的延误，责任在承包人，由承包人承担费用，不顺延工期</w:t>
      </w:r>
      <w:r>
        <w:rPr>
          <w:rFonts w:hint="eastAsia" w:ascii="Calibri" w:hAnsi="宋体" w:cs="Times New Roman"/>
          <w:color w:val="auto"/>
          <w:kern w:val="2"/>
          <w:highlight w:val="none"/>
        </w:rPr>
        <w:t>。</w:t>
      </w:r>
    </w:p>
    <w:p w14:paraId="5607C79C">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因</w:t>
      </w:r>
      <w:bookmarkStart w:id="1206" w:name="_Toc312677487"/>
      <w:bookmarkStart w:id="1207" w:name="_Toc312678013"/>
      <w:bookmarkStart w:id="1208" w:name="_Toc318581170"/>
      <w:r>
        <w:rPr>
          <w:rFonts w:hint="eastAsia" w:ascii="Calibri" w:hAnsi="宋体" w:cs="Times New Roman"/>
          <w:color w:val="auto"/>
          <w:kern w:val="2"/>
          <w:highlight w:val="none"/>
        </w:rPr>
        <w:t>承包人原因造成工期延误，逾期竣工违约金的计算方法为：</w:t>
      </w:r>
      <w:r>
        <w:rPr>
          <w:rFonts w:hint="eastAsia" w:ascii="Calibri" w:hAnsi="宋体" w:cs="Times New Roman"/>
          <w:color w:val="auto"/>
          <w:kern w:val="2"/>
          <w:highlight w:val="none"/>
          <w:u w:val="single"/>
        </w:rPr>
        <w:t>非上述原因，承包人不能按合同约定的时间竣工，承包人应承担违约责任。应向发包人支付误期赔偿费（每天赔偿金额为合同价款扣除建安劳保费、发包人材料价款、暂估专业工程、暂列金额后的的万分之</w:t>
      </w:r>
      <w:r>
        <w:rPr>
          <w:rFonts w:hint="eastAsia" w:ascii="Calibri" w:hAnsi="Calibri" w:cs="Times New Roman"/>
          <w:color w:val="auto"/>
          <w:kern w:val="2"/>
          <w:highlight w:val="none"/>
          <w:u w:val="single"/>
          <w:lang w:eastAsia="zh-CN"/>
        </w:rPr>
        <w:t>一</w:t>
      </w:r>
      <w:r>
        <w:rPr>
          <w:rFonts w:hint="eastAsia" w:ascii="Calibri" w:hAnsi="宋体" w:cs="Times New Roman"/>
          <w:color w:val="auto"/>
          <w:kern w:val="2"/>
          <w:highlight w:val="none"/>
          <w:u w:val="single"/>
        </w:rPr>
        <w:t>），误期时间从规定竣工日期起直到实际竣工日期的天数（扣除发包人批准顺延的工期）。此款的收回方式需经双方协商确定，此赔偿款的支付并不能解除承包人应完成工程的责任或合同规定的其他责任。</w:t>
      </w:r>
      <w:r>
        <w:rPr>
          <w:rFonts w:ascii="Calibri" w:hAnsi="Calibri" w:cs="Times New Roman"/>
          <w:color w:val="auto"/>
          <w:kern w:val="2"/>
          <w:highlight w:val="none"/>
          <w:u w:val="single"/>
        </w:rPr>
        <w:t xml:space="preserve"> </w:t>
      </w:r>
    </w:p>
    <w:bookmarkEnd w:id="1201"/>
    <w:bookmarkEnd w:id="1202"/>
    <w:bookmarkEnd w:id="1203"/>
    <w:bookmarkEnd w:id="1204"/>
    <w:bookmarkEnd w:id="1205"/>
    <w:bookmarkEnd w:id="1206"/>
    <w:bookmarkEnd w:id="1207"/>
    <w:bookmarkEnd w:id="1208"/>
    <w:p w14:paraId="0684F0CC">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因承包人原因造成工期延误，逾</w:t>
      </w:r>
      <w:bookmarkStart w:id="1209" w:name="_Toc318581171"/>
      <w:bookmarkStart w:id="1210" w:name="_Toc312678014"/>
      <w:r>
        <w:rPr>
          <w:rFonts w:hint="eastAsia" w:ascii="Calibri" w:hAnsi="宋体" w:cs="Times New Roman"/>
          <w:color w:val="auto"/>
          <w:kern w:val="2"/>
          <w:highlight w:val="none"/>
        </w:rPr>
        <w:t>期竣工违约金的上限：</w:t>
      </w:r>
      <w:r>
        <w:rPr>
          <w:rFonts w:hint="eastAsia" w:ascii="Calibri" w:hAnsi="宋体" w:cs="Times New Roman"/>
          <w:color w:val="auto"/>
          <w:kern w:val="2"/>
          <w:highlight w:val="none"/>
          <w:u w:val="single"/>
        </w:rPr>
        <w:t>合同价扣除建安劳保费、发包人材料价款、暂估专业工程、暂列金额后的</w:t>
      </w:r>
      <w:r>
        <w:rPr>
          <w:rFonts w:hint="eastAsia" w:ascii="Calibri" w:hAnsi="宋体" w:cs="Times New Roman"/>
          <w:color w:val="auto"/>
          <w:kern w:val="2"/>
          <w:highlight w:val="none"/>
          <w:u w:val="single"/>
          <w:lang w:val="en-US" w:eastAsia="zh-CN"/>
        </w:rPr>
        <w:t>2</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rPr>
        <w:t>。</w:t>
      </w:r>
    </w:p>
    <w:bookmarkEnd w:id="1209"/>
    <w:bookmarkEnd w:id="1210"/>
    <w:p w14:paraId="4F400C88">
      <w:pPr>
        <w:keepNext/>
        <w:keepLines/>
        <w:spacing w:before="260" w:after="260" w:line="416" w:lineRule="auto"/>
        <w:outlineLvl w:val="2"/>
        <w:rPr>
          <w:rFonts w:ascii="Calibri" w:hAnsi="Calibri" w:cs="Times New Roman"/>
          <w:b/>
          <w:bCs/>
          <w:color w:val="auto"/>
          <w:kern w:val="2"/>
          <w:sz w:val="32"/>
          <w:szCs w:val="32"/>
          <w:highlight w:val="none"/>
        </w:rPr>
      </w:pPr>
      <w:bookmarkStart w:id="1211" w:name="_Toc407135230"/>
      <w:bookmarkStart w:id="1212" w:name="_Toc485400622"/>
      <w:bookmarkStart w:id="1213" w:name="_Toc373227728"/>
      <w:bookmarkStart w:id="1214" w:name="_Toc508894091"/>
      <w:bookmarkStart w:id="1215" w:name="_Toc530658053"/>
      <w:bookmarkStart w:id="1216" w:name="_Toc493774790"/>
      <w:bookmarkStart w:id="1217" w:name="_Toc373478375"/>
      <w:bookmarkStart w:id="1218" w:name="_Toc532840035"/>
      <w:bookmarkStart w:id="1219" w:name="_Toc494549226"/>
      <w:bookmarkStart w:id="1220" w:name="_Toc512691429"/>
      <w:bookmarkStart w:id="1221" w:name="_Toc389065294"/>
      <w:r>
        <w:rPr>
          <w:rFonts w:ascii="Calibri" w:hAnsi="Calibri" w:cs="Times New Roman"/>
          <w:b/>
          <w:bCs/>
          <w:color w:val="auto"/>
          <w:kern w:val="2"/>
          <w:sz w:val="32"/>
          <w:szCs w:val="32"/>
          <w:highlight w:val="none"/>
        </w:rPr>
        <w:t>7</w:t>
      </w:r>
      <w:bookmarkStart w:id="1222" w:name="_Toc300934971"/>
      <w:bookmarkStart w:id="1223" w:name="_Toc304295549"/>
      <w:bookmarkStart w:id="1224" w:name="_Toc312678015"/>
      <w:bookmarkStart w:id="1225" w:name="_Toc303539128"/>
      <w:bookmarkStart w:id="1226" w:name="_Toc297123519"/>
      <w:bookmarkStart w:id="1227" w:name="_Toc297216178"/>
      <w:r>
        <w:rPr>
          <w:rFonts w:ascii="Calibri" w:hAnsi="Calibri" w:cs="Times New Roman"/>
          <w:b/>
          <w:bCs/>
          <w:color w:val="auto"/>
          <w:kern w:val="2"/>
          <w:sz w:val="32"/>
          <w:szCs w:val="32"/>
          <w:highlight w:val="none"/>
        </w:rPr>
        <w:t xml:space="preserve">.6 </w:t>
      </w:r>
      <w:r>
        <w:rPr>
          <w:rFonts w:hint="eastAsia" w:ascii="Calibri" w:hAnsi="Calibri" w:cs="Times New Roman"/>
          <w:b/>
          <w:bCs/>
          <w:color w:val="auto"/>
          <w:kern w:val="2"/>
          <w:sz w:val="32"/>
          <w:szCs w:val="32"/>
          <w:highlight w:val="none"/>
        </w:rPr>
        <w:t>不</w:t>
      </w:r>
      <w:bookmarkEnd w:id="1222"/>
      <w:bookmarkEnd w:id="1223"/>
      <w:bookmarkEnd w:id="1224"/>
      <w:bookmarkEnd w:id="1225"/>
      <w:bookmarkEnd w:id="1226"/>
      <w:bookmarkEnd w:id="1227"/>
      <w:r>
        <w:rPr>
          <w:rFonts w:hint="eastAsia" w:ascii="Calibri" w:hAnsi="Calibri" w:cs="Times New Roman"/>
          <w:b/>
          <w:bCs/>
          <w:color w:val="auto"/>
          <w:kern w:val="2"/>
          <w:sz w:val="32"/>
          <w:szCs w:val="32"/>
          <w:highlight w:val="none"/>
        </w:rPr>
        <w:t>利物质条件</w:t>
      </w:r>
      <w:bookmarkEnd w:id="1211"/>
      <w:bookmarkEnd w:id="1212"/>
      <w:bookmarkEnd w:id="1213"/>
      <w:bookmarkEnd w:id="1214"/>
      <w:bookmarkEnd w:id="1215"/>
      <w:bookmarkEnd w:id="1216"/>
      <w:bookmarkEnd w:id="1217"/>
      <w:bookmarkEnd w:id="1218"/>
      <w:bookmarkEnd w:id="1219"/>
      <w:bookmarkEnd w:id="1220"/>
      <w:bookmarkEnd w:id="1221"/>
    </w:p>
    <w:p w14:paraId="03DA7E53">
      <w:pPr>
        <w:spacing w:line="360" w:lineRule="auto"/>
        <w:ind w:firstLine="420" w:firstLineChars="200"/>
        <w:jc w:val="left"/>
        <w:rPr>
          <w:rFonts w:ascii="Calibri" w:hAnsi="Calibri" w:cs="Times New Roman"/>
          <w:color w:val="auto"/>
          <w:kern w:val="2"/>
          <w:highlight w:val="none"/>
          <w:u w:val="single"/>
        </w:rPr>
      </w:pPr>
      <w:bookmarkStart w:id="1228" w:name="_Toc318581172"/>
      <w:bookmarkStart w:id="1229" w:name="_Toc297216179"/>
      <w:bookmarkStart w:id="1230" w:name="_Toc297123520"/>
      <w:bookmarkStart w:id="1231" w:name="_Toc304295550"/>
      <w:bookmarkStart w:id="1232" w:name="_Toc300934972"/>
      <w:bookmarkStart w:id="1233" w:name="_Toc303539129"/>
      <w:bookmarkStart w:id="1234" w:name="_Toc312678016"/>
      <w:r>
        <w:rPr>
          <w:rFonts w:hint="eastAsia" w:ascii="Calibri" w:hAnsi="宋体" w:cs="Times New Roman"/>
          <w:color w:val="auto"/>
          <w:kern w:val="2"/>
          <w:highlight w:val="none"/>
        </w:rPr>
        <w:t>不利物质条件的其他情形和有关约定：</w:t>
      </w:r>
      <w:r>
        <w:rPr>
          <w:rFonts w:hint="eastAsia" w:ascii="Calibri" w:hAnsi="Calibri" w:cs="Times New Roman"/>
          <w:color w:val="auto"/>
          <w:kern w:val="2"/>
          <w:highlight w:val="none"/>
          <w:u w:val="single"/>
        </w:rPr>
        <w:t>气象台发布的黄色预警及以上天气、恶劣的霜冻与冰冻天气</w:t>
      </w:r>
      <w:r>
        <w:rPr>
          <w:rFonts w:hint="eastAsia" w:ascii="Calibri" w:hAnsi="宋体" w:cs="Times New Roman"/>
          <w:color w:val="auto"/>
          <w:kern w:val="2"/>
          <w:highlight w:val="none"/>
        </w:rPr>
        <w:t>。</w:t>
      </w:r>
    </w:p>
    <w:bookmarkEnd w:id="1228"/>
    <w:bookmarkEnd w:id="1229"/>
    <w:bookmarkEnd w:id="1230"/>
    <w:bookmarkEnd w:id="1231"/>
    <w:bookmarkEnd w:id="1232"/>
    <w:bookmarkEnd w:id="1233"/>
    <w:bookmarkEnd w:id="1234"/>
    <w:p w14:paraId="1E1D6C78">
      <w:pPr>
        <w:keepNext/>
        <w:keepLines/>
        <w:spacing w:before="260" w:after="260" w:line="416" w:lineRule="auto"/>
        <w:outlineLvl w:val="2"/>
        <w:rPr>
          <w:rFonts w:ascii="Calibri" w:hAnsi="Calibri" w:cs="Times New Roman"/>
          <w:b/>
          <w:bCs/>
          <w:color w:val="auto"/>
          <w:kern w:val="2"/>
          <w:sz w:val="32"/>
          <w:szCs w:val="32"/>
          <w:highlight w:val="none"/>
        </w:rPr>
      </w:pPr>
      <w:bookmarkStart w:id="1235" w:name="_Toc494549227"/>
      <w:bookmarkStart w:id="1236" w:name="_Toc485400623"/>
      <w:bookmarkStart w:id="1237" w:name="_Toc373478376"/>
      <w:bookmarkStart w:id="1238" w:name="_Toc407135231"/>
      <w:bookmarkStart w:id="1239" w:name="_Toc508894092"/>
      <w:bookmarkStart w:id="1240" w:name="_Toc530658054"/>
      <w:bookmarkStart w:id="1241" w:name="_Toc512691430"/>
      <w:bookmarkStart w:id="1242" w:name="_Toc493774791"/>
      <w:bookmarkStart w:id="1243" w:name="_Toc389065295"/>
      <w:bookmarkStart w:id="1244" w:name="_Toc532840036"/>
      <w:bookmarkStart w:id="1245" w:name="_Toc373227729"/>
      <w:r>
        <w:rPr>
          <w:rFonts w:ascii="Calibri" w:hAnsi="Calibri" w:cs="Times New Roman"/>
          <w:b/>
          <w:bCs/>
          <w:color w:val="auto"/>
          <w:kern w:val="2"/>
          <w:sz w:val="32"/>
          <w:szCs w:val="32"/>
          <w:highlight w:val="none"/>
        </w:rPr>
        <w:t>7</w:t>
      </w:r>
      <w:bookmarkStart w:id="1246" w:name="_Toc304295551"/>
      <w:bookmarkStart w:id="1247" w:name="_Toc303539130"/>
      <w:bookmarkStart w:id="1248" w:name="_Toc297216180"/>
      <w:bookmarkStart w:id="1249" w:name="_Toc312678017"/>
      <w:bookmarkStart w:id="1250" w:name="_Toc300934973"/>
      <w:bookmarkStart w:id="1251" w:name="_Toc297123521"/>
      <w:r>
        <w:rPr>
          <w:rFonts w:ascii="Calibri" w:hAnsi="Calibri" w:cs="Times New Roman"/>
          <w:b/>
          <w:bCs/>
          <w:color w:val="auto"/>
          <w:kern w:val="2"/>
          <w:sz w:val="32"/>
          <w:szCs w:val="32"/>
          <w:highlight w:val="none"/>
        </w:rPr>
        <w:t xml:space="preserve">.7 </w:t>
      </w:r>
      <w:r>
        <w:rPr>
          <w:rFonts w:hint="eastAsia" w:ascii="Calibri" w:hAnsi="Calibri" w:cs="Times New Roman"/>
          <w:b/>
          <w:bCs/>
          <w:color w:val="auto"/>
          <w:kern w:val="2"/>
          <w:sz w:val="32"/>
          <w:szCs w:val="32"/>
          <w:highlight w:val="none"/>
        </w:rPr>
        <w:t>异常恶劣的气候条件</w:t>
      </w:r>
      <w:bookmarkEnd w:id="1235"/>
      <w:bookmarkEnd w:id="1236"/>
      <w:bookmarkEnd w:id="1237"/>
      <w:bookmarkEnd w:id="1238"/>
      <w:bookmarkEnd w:id="1239"/>
      <w:bookmarkEnd w:id="1240"/>
      <w:bookmarkEnd w:id="1241"/>
      <w:bookmarkEnd w:id="1242"/>
      <w:bookmarkEnd w:id="1243"/>
      <w:bookmarkEnd w:id="1244"/>
      <w:bookmarkEnd w:id="1245"/>
    </w:p>
    <w:bookmarkEnd w:id="1246"/>
    <w:bookmarkEnd w:id="1247"/>
    <w:bookmarkEnd w:id="1248"/>
    <w:bookmarkEnd w:id="1249"/>
    <w:bookmarkEnd w:id="1250"/>
    <w:bookmarkEnd w:id="1251"/>
    <w:p w14:paraId="27CAB281">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发包人和承包人同意以下情形视为异常恶劣的气候条件：</w:t>
      </w:r>
      <w:r>
        <w:rPr>
          <w:rFonts w:hint="eastAsia" w:ascii="Calibri" w:hAnsi="Calibri" w:cs="Times New Roman"/>
          <w:color w:val="auto"/>
          <w:kern w:val="2"/>
          <w:highlight w:val="none"/>
          <w:u w:val="single"/>
        </w:rPr>
        <w:t>中雨级及以上的雨天；持续</w:t>
      </w:r>
      <w:r>
        <w:rPr>
          <w:rFonts w:ascii="Calibri" w:hAnsi="Calibri" w:cs="Times New Roman"/>
          <w:color w:val="auto"/>
          <w:kern w:val="2"/>
          <w:highlight w:val="none"/>
          <w:u w:val="single"/>
        </w:rPr>
        <w:t>2</w:t>
      </w:r>
      <w:r>
        <w:rPr>
          <w:rFonts w:hint="eastAsia" w:ascii="Calibri" w:hAnsi="Calibri" w:cs="Times New Roman"/>
          <w:color w:val="auto"/>
          <w:kern w:val="2"/>
          <w:highlight w:val="none"/>
          <w:u w:val="single"/>
        </w:rPr>
        <w:t>天</w:t>
      </w:r>
      <w:r>
        <w:rPr>
          <w:rFonts w:ascii="Calibri" w:hAnsi="Calibri" w:cs="Times New Roman"/>
          <w:color w:val="auto"/>
          <w:kern w:val="2"/>
          <w:highlight w:val="none"/>
          <w:u w:val="single"/>
        </w:rPr>
        <w:t>38</w:t>
      </w:r>
      <w:r>
        <w:rPr>
          <w:rFonts w:hint="eastAsia" w:ascii="Calibri" w:hAnsi="Calibri" w:cs="Times New Roman"/>
          <w:color w:val="auto"/>
          <w:kern w:val="2"/>
          <w:highlight w:val="none"/>
          <w:u w:val="single"/>
        </w:rPr>
        <w:t>度的高温天气；持续</w:t>
      </w:r>
      <w:r>
        <w:rPr>
          <w:rFonts w:ascii="Calibri" w:hAnsi="Calibri" w:cs="Times New Roman"/>
          <w:color w:val="auto"/>
          <w:kern w:val="2"/>
          <w:highlight w:val="none"/>
          <w:u w:val="single"/>
        </w:rPr>
        <w:t>2</w:t>
      </w:r>
      <w:r>
        <w:rPr>
          <w:rFonts w:hint="eastAsia" w:ascii="Calibri" w:hAnsi="Calibri" w:cs="Times New Roman"/>
          <w:color w:val="auto"/>
          <w:kern w:val="2"/>
          <w:highlight w:val="none"/>
          <w:u w:val="single"/>
        </w:rPr>
        <w:t>天零度以下的低温天气；</w:t>
      </w:r>
      <w:r>
        <w:rPr>
          <w:rFonts w:ascii="Calibri" w:hAnsi="Calibri" w:cs="Times New Roman"/>
          <w:color w:val="auto"/>
          <w:kern w:val="2"/>
          <w:highlight w:val="none"/>
          <w:u w:val="single"/>
        </w:rPr>
        <w:t>25</w:t>
      </w:r>
      <w:r>
        <w:rPr>
          <w:rFonts w:hint="eastAsia" w:ascii="Calibri" w:hAnsi="Calibri" w:cs="Times New Roman"/>
          <w:color w:val="auto"/>
          <w:kern w:val="2"/>
          <w:highlight w:val="none"/>
          <w:u w:val="single"/>
        </w:rPr>
        <w:t>年以上未发生过的洪水；</w:t>
      </w:r>
      <w:r>
        <w:rPr>
          <w:rFonts w:ascii="Calibri" w:hAnsi="Calibri" w:cs="Times New Roman"/>
          <w:color w:val="auto"/>
          <w:kern w:val="2"/>
          <w:highlight w:val="none"/>
          <w:u w:val="single"/>
        </w:rPr>
        <w:t>6</w:t>
      </w:r>
      <w:r>
        <w:rPr>
          <w:rFonts w:hint="eastAsia" w:ascii="Calibri" w:hAnsi="Calibri" w:cs="Times New Roman"/>
          <w:color w:val="auto"/>
          <w:kern w:val="2"/>
          <w:highlight w:val="none"/>
          <w:u w:val="single"/>
        </w:rPr>
        <w:t>级及以上的地震；</w:t>
      </w:r>
      <w:r>
        <w:rPr>
          <w:rFonts w:ascii="Calibri" w:hAnsi="Calibri" w:cs="Times New Roman"/>
          <w:color w:val="auto"/>
          <w:kern w:val="2"/>
          <w:highlight w:val="none"/>
          <w:u w:val="single"/>
        </w:rPr>
        <w:t>6</w:t>
      </w:r>
      <w:r>
        <w:rPr>
          <w:rFonts w:hint="eastAsia" w:ascii="Calibri" w:hAnsi="Calibri" w:cs="Times New Roman"/>
          <w:color w:val="auto"/>
          <w:kern w:val="2"/>
          <w:highlight w:val="none"/>
          <w:u w:val="single"/>
        </w:rPr>
        <w:t>级及以上的大风</w:t>
      </w:r>
      <w:r>
        <w:rPr>
          <w:rFonts w:hint="eastAsia" w:ascii="Calibri" w:hAnsi="宋体" w:cs="Times New Roman"/>
          <w:color w:val="auto"/>
          <w:kern w:val="2"/>
          <w:highlight w:val="none"/>
        </w:rPr>
        <w:t>。</w:t>
      </w:r>
    </w:p>
    <w:p w14:paraId="6A1862F0">
      <w:pPr>
        <w:keepNext/>
        <w:keepLines/>
        <w:spacing w:before="260" w:after="260" w:line="416" w:lineRule="auto"/>
        <w:outlineLvl w:val="2"/>
        <w:rPr>
          <w:rFonts w:ascii="Calibri" w:hAnsi="Calibri" w:cs="Times New Roman"/>
          <w:b/>
          <w:bCs/>
          <w:color w:val="auto"/>
          <w:kern w:val="2"/>
          <w:sz w:val="32"/>
          <w:szCs w:val="32"/>
          <w:highlight w:val="none"/>
        </w:rPr>
      </w:pPr>
      <w:bookmarkStart w:id="1252" w:name="_Toc407135232"/>
      <w:bookmarkStart w:id="1253" w:name="_Toc508894093"/>
      <w:bookmarkStart w:id="1254" w:name="_Toc389065296"/>
      <w:bookmarkStart w:id="1255" w:name="_Toc530658055"/>
      <w:bookmarkStart w:id="1256" w:name="_Toc494549228"/>
      <w:bookmarkStart w:id="1257" w:name="_Toc493774792"/>
      <w:bookmarkStart w:id="1258" w:name="_Toc512691431"/>
      <w:bookmarkStart w:id="1259" w:name="_Toc485400624"/>
      <w:bookmarkStart w:id="1260" w:name="_Toc532840037"/>
      <w:bookmarkStart w:id="1261" w:name="_Toc373227730"/>
      <w:bookmarkStart w:id="1262" w:name="_Toc373478377"/>
      <w:r>
        <w:rPr>
          <w:rFonts w:ascii="Calibri" w:hAnsi="Calibri" w:cs="Times New Roman"/>
          <w:b/>
          <w:bCs/>
          <w:color w:val="auto"/>
          <w:kern w:val="2"/>
          <w:sz w:val="32"/>
          <w:szCs w:val="32"/>
          <w:highlight w:val="none"/>
        </w:rPr>
        <w:t xml:space="preserve">7.9 </w:t>
      </w:r>
      <w:r>
        <w:rPr>
          <w:rFonts w:hint="eastAsia" w:ascii="Calibri" w:hAnsi="宋体" w:cs="Times New Roman"/>
          <w:b/>
          <w:bCs/>
          <w:color w:val="auto"/>
          <w:kern w:val="2"/>
          <w:sz w:val="32"/>
          <w:szCs w:val="32"/>
          <w:highlight w:val="none"/>
        </w:rPr>
        <w:t>提前竣工</w:t>
      </w:r>
      <w:bookmarkEnd w:id="1252"/>
      <w:bookmarkEnd w:id="1253"/>
      <w:bookmarkEnd w:id="1254"/>
      <w:bookmarkEnd w:id="1255"/>
      <w:bookmarkEnd w:id="1256"/>
      <w:bookmarkEnd w:id="1257"/>
      <w:bookmarkEnd w:id="1258"/>
      <w:bookmarkEnd w:id="1259"/>
      <w:bookmarkEnd w:id="1260"/>
      <w:bookmarkEnd w:id="1261"/>
      <w:bookmarkEnd w:id="1262"/>
    </w:p>
    <w:p w14:paraId="3E56BB90">
      <w:pPr>
        <w:spacing w:line="360" w:lineRule="auto"/>
        <w:ind w:firstLine="420" w:firstLineChars="200"/>
        <w:jc w:val="left"/>
        <w:rPr>
          <w:rFonts w:ascii="Calibri" w:hAnsi="宋体" w:cs="Times New Roman"/>
          <w:color w:val="auto"/>
          <w:kern w:val="2"/>
          <w:highlight w:val="none"/>
        </w:rPr>
      </w:pPr>
      <w:r>
        <w:rPr>
          <w:rFonts w:ascii="Calibri" w:hAnsi="Calibri" w:cs="Times New Roman"/>
          <w:color w:val="auto"/>
          <w:kern w:val="2"/>
          <w:highlight w:val="none"/>
        </w:rPr>
        <w:t>7.9.2</w:t>
      </w:r>
      <w:r>
        <w:rPr>
          <w:rFonts w:hint="eastAsia" w:ascii="Calibri" w:hAnsi="宋体" w:cs="Times New Roman"/>
          <w:color w:val="auto"/>
          <w:kern w:val="2"/>
          <w:highlight w:val="none"/>
        </w:rPr>
        <w:t>提前竣工（赶工）增加费的计算方法：</w:t>
      </w:r>
      <w:r>
        <w:rPr>
          <w:rFonts w:ascii="Calibri" w:hAnsi="Calibri" w:cs="Times New Roman"/>
          <w:color w:val="auto"/>
          <w:kern w:val="2"/>
          <w:highlight w:val="none"/>
          <w:u w:val="single"/>
        </w:rPr>
        <w:t>/</w:t>
      </w:r>
      <w:r>
        <w:rPr>
          <w:rFonts w:hint="eastAsia" w:ascii="Calibri" w:hAnsi="宋体" w:cs="Times New Roman"/>
          <w:color w:val="auto"/>
          <w:kern w:val="2"/>
          <w:highlight w:val="none"/>
        </w:rPr>
        <w:t>。</w:t>
      </w:r>
    </w:p>
    <w:p w14:paraId="139EA062">
      <w:pPr>
        <w:keepNext/>
        <w:keepLines/>
        <w:spacing w:before="260" w:after="260" w:line="416" w:lineRule="auto"/>
        <w:outlineLvl w:val="2"/>
        <w:rPr>
          <w:rFonts w:ascii="Calibri" w:hAnsi="宋体" w:cs="Times New Roman"/>
          <w:b/>
          <w:bCs/>
          <w:color w:val="auto"/>
          <w:kern w:val="2"/>
          <w:sz w:val="32"/>
          <w:szCs w:val="32"/>
          <w:highlight w:val="none"/>
          <w:lang w:val="zh-CN"/>
        </w:rPr>
      </w:pPr>
      <w:bookmarkStart w:id="1263" w:name="_Toc508894094"/>
      <w:bookmarkStart w:id="1264" w:name="_Toc512691432"/>
      <w:bookmarkStart w:id="1265" w:name="_Toc493774793"/>
      <w:bookmarkStart w:id="1266" w:name="_Toc530658056"/>
      <w:bookmarkStart w:id="1267" w:name="_Toc407135233"/>
      <w:bookmarkStart w:id="1268" w:name="_Toc494549229"/>
      <w:bookmarkStart w:id="1269" w:name="_Toc532840038"/>
      <w:bookmarkStart w:id="1270" w:name="_Toc389065297"/>
      <w:bookmarkStart w:id="1271" w:name="_Toc485400625"/>
      <w:bookmarkStart w:id="1272" w:name="_Toc351203640"/>
      <w:bookmarkStart w:id="1273" w:name="_Toc373227731"/>
      <w:bookmarkStart w:id="1274" w:name="_Toc373478378"/>
      <w:r>
        <w:rPr>
          <w:rFonts w:ascii="Calibri" w:hAnsi="宋体" w:cs="Times New Roman"/>
          <w:b/>
          <w:bCs/>
          <w:color w:val="auto"/>
          <w:kern w:val="2"/>
          <w:sz w:val="32"/>
          <w:szCs w:val="32"/>
          <w:highlight w:val="none"/>
          <w:lang w:val="zh-CN"/>
        </w:rPr>
        <w:t xml:space="preserve">8. </w:t>
      </w:r>
      <w:r>
        <w:rPr>
          <w:rFonts w:hint="eastAsia" w:ascii="Calibri" w:hAnsi="宋体" w:cs="Times New Roman"/>
          <w:b/>
          <w:bCs/>
          <w:color w:val="auto"/>
          <w:kern w:val="2"/>
          <w:sz w:val="32"/>
          <w:szCs w:val="32"/>
          <w:highlight w:val="none"/>
          <w:lang w:val="zh-CN"/>
        </w:rPr>
        <w:t>材料与设备</w:t>
      </w:r>
      <w:bookmarkEnd w:id="1263"/>
      <w:bookmarkEnd w:id="1264"/>
      <w:bookmarkEnd w:id="1265"/>
      <w:bookmarkEnd w:id="1266"/>
      <w:bookmarkEnd w:id="1267"/>
      <w:bookmarkEnd w:id="1268"/>
      <w:bookmarkEnd w:id="1269"/>
      <w:bookmarkEnd w:id="1270"/>
      <w:bookmarkEnd w:id="1271"/>
      <w:bookmarkEnd w:id="1272"/>
      <w:bookmarkEnd w:id="1273"/>
      <w:bookmarkEnd w:id="1274"/>
    </w:p>
    <w:p w14:paraId="783A8CA1">
      <w:pPr>
        <w:keepNext/>
        <w:keepLines/>
        <w:spacing w:before="260" w:after="260" w:line="416" w:lineRule="auto"/>
        <w:outlineLvl w:val="2"/>
        <w:rPr>
          <w:rFonts w:ascii="Calibri" w:hAnsi="宋体" w:cs="Times New Roman"/>
          <w:b/>
          <w:bCs/>
          <w:color w:val="auto"/>
          <w:kern w:val="2"/>
          <w:sz w:val="32"/>
          <w:szCs w:val="32"/>
          <w:highlight w:val="none"/>
          <w:lang w:val="zh-CN"/>
        </w:rPr>
      </w:pPr>
      <w:bookmarkStart w:id="1275" w:name="_Toc532840039"/>
      <w:bookmarkStart w:id="1276" w:name="_Toc485400626"/>
      <w:bookmarkStart w:id="1277" w:name="_Toc508894095"/>
      <w:bookmarkStart w:id="1278" w:name="_Toc494549230"/>
      <w:bookmarkStart w:id="1279" w:name="_Toc512691433"/>
      <w:bookmarkStart w:id="1280" w:name="_Toc530658057"/>
      <w:bookmarkStart w:id="1281" w:name="_Toc493774794"/>
      <w:r>
        <w:rPr>
          <w:rFonts w:ascii="Calibri" w:hAnsi="宋体" w:cs="Times New Roman"/>
          <w:b/>
          <w:bCs/>
          <w:color w:val="auto"/>
          <w:kern w:val="2"/>
          <w:sz w:val="32"/>
          <w:szCs w:val="32"/>
          <w:highlight w:val="none"/>
          <w:lang w:val="zh-CN"/>
        </w:rPr>
        <w:t>8.1</w:t>
      </w:r>
      <w:r>
        <w:rPr>
          <w:rFonts w:hint="eastAsia" w:ascii="Calibri" w:hAnsi="宋体" w:cs="Times New Roman"/>
          <w:b/>
          <w:bCs/>
          <w:color w:val="auto"/>
          <w:kern w:val="2"/>
          <w:sz w:val="32"/>
          <w:szCs w:val="32"/>
          <w:highlight w:val="none"/>
          <w:lang w:val="zh-CN"/>
        </w:rPr>
        <w:t>发包人供应材料与工程设备</w:t>
      </w:r>
      <w:bookmarkEnd w:id="1275"/>
      <w:bookmarkEnd w:id="1276"/>
      <w:bookmarkEnd w:id="1277"/>
      <w:bookmarkEnd w:id="1278"/>
      <w:bookmarkEnd w:id="1279"/>
      <w:bookmarkEnd w:id="1280"/>
      <w:bookmarkEnd w:id="1281"/>
    </w:p>
    <w:p w14:paraId="4E8CA6F5">
      <w:pPr>
        <w:rPr>
          <w:color w:val="auto"/>
          <w:highlight w:val="none"/>
          <w:lang w:val="zh-CN"/>
        </w:rPr>
      </w:pPr>
      <w:r>
        <w:rPr>
          <w:color w:val="auto"/>
          <w:highlight w:val="none"/>
          <w:u w:val="single"/>
          <w:lang w:val="zh-CN"/>
        </w:rPr>
        <w:t xml:space="preserve">                                  </w:t>
      </w:r>
      <w:r>
        <w:rPr>
          <w:rFonts w:hint="eastAsia"/>
          <w:color w:val="auto"/>
          <w:highlight w:val="none"/>
          <w:lang w:val="zh-CN"/>
        </w:rPr>
        <w:t>。</w:t>
      </w:r>
    </w:p>
    <w:bookmarkEnd w:id="1055"/>
    <w:bookmarkEnd w:id="1056"/>
    <w:bookmarkEnd w:id="1057"/>
    <w:bookmarkEnd w:id="1058"/>
    <w:bookmarkEnd w:id="1059"/>
    <w:bookmarkEnd w:id="1060"/>
    <w:bookmarkEnd w:id="1061"/>
    <w:bookmarkEnd w:id="1062"/>
    <w:bookmarkEnd w:id="1063"/>
    <w:bookmarkEnd w:id="1064"/>
    <w:p w14:paraId="5264D104">
      <w:pPr>
        <w:keepNext/>
        <w:keepLines/>
        <w:spacing w:before="260" w:after="260" w:line="416" w:lineRule="auto"/>
        <w:outlineLvl w:val="2"/>
        <w:rPr>
          <w:rFonts w:ascii="Calibri" w:hAnsi="Calibri" w:cs="Times New Roman"/>
          <w:b/>
          <w:bCs/>
          <w:color w:val="auto"/>
          <w:kern w:val="2"/>
          <w:sz w:val="32"/>
          <w:szCs w:val="32"/>
          <w:highlight w:val="none"/>
        </w:rPr>
      </w:pPr>
      <w:bookmarkStart w:id="1282" w:name="_Toc407135234"/>
      <w:bookmarkStart w:id="1283" w:name="_Toc373478379"/>
      <w:bookmarkStart w:id="1284" w:name="_Toc530658058"/>
      <w:bookmarkStart w:id="1285" w:name="_Toc373227732"/>
      <w:bookmarkStart w:id="1286" w:name="_Toc512691434"/>
      <w:bookmarkStart w:id="1287" w:name="_Toc389065298"/>
      <w:bookmarkStart w:id="1288" w:name="_Toc485400627"/>
      <w:bookmarkStart w:id="1289" w:name="_Toc494549231"/>
      <w:bookmarkStart w:id="1290" w:name="_Toc508894096"/>
      <w:bookmarkStart w:id="1291" w:name="_Toc493774795"/>
      <w:bookmarkStart w:id="1292" w:name="_Toc532840040"/>
      <w:r>
        <w:rPr>
          <w:rFonts w:ascii="Calibri" w:hAnsi="Calibri" w:cs="Times New Roman"/>
          <w:b/>
          <w:bCs/>
          <w:color w:val="auto"/>
          <w:kern w:val="2"/>
          <w:sz w:val="32"/>
          <w:szCs w:val="32"/>
          <w:highlight w:val="none"/>
        </w:rPr>
        <w:t xml:space="preserve">8.2 </w:t>
      </w:r>
      <w:r>
        <w:rPr>
          <w:rFonts w:hint="eastAsia" w:ascii="Calibri" w:hAnsi="Calibri" w:cs="Times New Roman"/>
          <w:b/>
          <w:bCs/>
          <w:color w:val="auto"/>
          <w:kern w:val="2"/>
          <w:sz w:val="32"/>
          <w:szCs w:val="32"/>
          <w:highlight w:val="none"/>
        </w:rPr>
        <w:t>承包人采购材料与工程设备</w:t>
      </w:r>
      <w:bookmarkEnd w:id="1282"/>
      <w:bookmarkEnd w:id="1283"/>
      <w:bookmarkEnd w:id="1284"/>
      <w:bookmarkEnd w:id="1285"/>
      <w:bookmarkEnd w:id="1286"/>
      <w:bookmarkEnd w:id="1287"/>
      <w:bookmarkEnd w:id="1288"/>
      <w:bookmarkEnd w:id="1289"/>
      <w:bookmarkEnd w:id="1290"/>
      <w:bookmarkEnd w:id="1291"/>
      <w:bookmarkEnd w:id="1292"/>
    </w:p>
    <w:p w14:paraId="38C79AB4">
      <w:pPr>
        <w:autoSpaceDE w:val="0"/>
        <w:autoSpaceDN w:val="0"/>
        <w:adjustRightInd w:val="0"/>
        <w:spacing w:line="360" w:lineRule="auto"/>
        <w:ind w:firstLine="420" w:firstLineChars="200"/>
        <w:jc w:val="left"/>
        <w:rPr>
          <w:rFonts w:ascii="Calibri" w:hAnsi="Calibri" w:cs="Times New Roman"/>
          <w:color w:val="auto"/>
          <w:kern w:val="2"/>
          <w:highlight w:val="none"/>
        </w:rPr>
      </w:pPr>
      <w:r>
        <w:rPr>
          <w:rFonts w:hint="eastAsia" w:ascii="Calibri" w:hAnsi="Calibri" w:cs="Times New Roman"/>
          <w:color w:val="auto"/>
          <w:szCs w:val="22"/>
          <w:highlight w:val="none"/>
        </w:rPr>
        <w:t>除已标价工程量清单《发包人提供主要材料和工程设备一览表》（表</w:t>
      </w:r>
      <w:r>
        <w:rPr>
          <w:rFonts w:ascii="Calibri" w:hAnsi="Calibri" w:cs="Times New Roman"/>
          <w:color w:val="auto"/>
          <w:szCs w:val="22"/>
          <w:highlight w:val="none"/>
        </w:rPr>
        <w:t>-21</w:t>
      </w:r>
      <w:r>
        <w:rPr>
          <w:rFonts w:hint="eastAsia" w:ascii="Calibri" w:hAnsi="Calibri" w:cs="Times New Roman"/>
          <w:color w:val="auto"/>
          <w:szCs w:val="22"/>
          <w:highlight w:val="none"/>
        </w:rPr>
        <w:t>）中明确的材料、工程设备外，由承包人负责材料和工程设备的采购、运输和保管。《</w:t>
      </w:r>
      <w:r>
        <w:rPr>
          <w:rFonts w:hint="eastAsia" w:ascii="Calibri" w:hAnsi="Calibri" w:cs="Times New Roman"/>
          <w:color w:val="auto"/>
          <w:kern w:val="2"/>
          <w:szCs w:val="22"/>
          <w:highlight w:val="none"/>
        </w:rPr>
        <w:t>承包人提供主要材料和工程设备一览表》</w:t>
      </w:r>
      <w:r>
        <w:rPr>
          <w:rFonts w:hint="eastAsia" w:ascii="Calibri" w:hAnsi="Calibri" w:cs="Times New Roman"/>
          <w:color w:val="auto"/>
          <w:szCs w:val="22"/>
          <w:highlight w:val="none"/>
        </w:rPr>
        <w:t>（表</w:t>
      </w:r>
      <w:r>
        <w:rPr>
          <w:rFonts w:ascii="Calibri" w:hAnsi="Calibri" w:cs="Times New Roman"/>
          <w:color w:val="auto"/>
          <w:szCs w:val="22"/>
          <w:highlight w:val="none"/>
        </w:rPr>
        <w:t>-22</w:t>
      </w:r>
      <w:r>
        <w:rPr>
          <w:rFonts w:hint="eastAsia" w:ascii="Calibri" w:hAnsi="Calibri" w:cs="Times New Roman"/>
          <w:color w:val="auto"/>
          <w:szCs w:val="22"/>
          <w:highlight w:val="none"/>
        </w:rPr>
        <w:t>）见已标价工程量清单。</w:t>
      </w:r>
      <w:r>
        <w:rPr>
          <w:rFonts w:hint="eastAsia" w:ascii="Calibri" w:hAnsi="Calibri" w:cs="Times New Roman"/>
          <w:color w:val="auto"/>
          <w:szCs w:val="22"/>
          <w:highlight w:val="none"/>
          <w:lang w:eastAsia="zh-CN"/>
        </w:rPr>
        <w:t>如发包人招标时提供的</w:t>
      </w:r>
      <w:r>
        <w:rPr>
          <w:rFonts w:hint="eastAsia" w:ascii="Calibri" w:hAnsi="Calibri" w:cs="Times New Roman"/>
          <w:color w:val="auto"/>
          <w:szCs w:val="22"/>
          <w:highlight w:val="none"/>
        </w:rPr>
        <w:t>《承包人提供主要材料和设备一览表》</w:t>
      </w:r>
      <w:r>
        <w:rPr>
          <w:rFonts w:hint="eastAsia" w:ascii="Calibri" w:hAnsi="Calibri" w:cs="Times New Roman"/>
          <w:color w:val="auto"/>
          <w:szCs w:val="22"/>
          <w:highlight w:val="none"/>
          <w:lang w:eastAsia="zh-CN"/>
        </w:rPr>
        <w:t>中的主要材料和设备缺项、漏项，经发包人及相关部门审核确认后予以调整。</w:t>
      </w:r>
    </w:p>
    <w:p w14:paraId="563C8E59">
      <w:pPr>
        <w:keepNext/>
        <w:keepLines/>
        <w:spacing w:before="260" w:after="260" w:line="416" w:lineRule="auto"/>
        <w:outlineLvl w:val="2"/>
        <w:rPr>
          <w:rFonts w:ascii="Calibri" w:hAnsi="Calibri" w:cs="Times New Roman"/>
          <w:b/>
          <w:bCs/>
          <w:color w:val="auto"/>
          <w:kern w:val="2"/>
          <w:sz w:val="32"/>
          <w:szCs w:val="32"/>
          <w:highlight w:val="none"/>
        </w:rPr>
      </w:pPr>
      <w:bookmarkStart w:id="1293" w:name="_Toc494549232"/>
      <w:bookmarkStart w:id="1294" w:name="_Toc532840041"/>
      <w:bookmarkStart w:id="1295" w:name="_Toc508894097"/>
      <w:bookmarkStart w:id="1296" w:name="_Toc373227733"/>
      <w:bookmarkStart w:id="1297" w:name="_Toc389065299"/>
      <w:bookmarkStart w:id="1298" w:name="_Toc485400628"/>
      <w:bookmarkStart w:id="1299" w:name="_Toc373478380"/>
      <w:bookmarkStart w:id="1300" w:name="_Toc530658059"/>
      <w:bookmarkStart w:id="1301" w:name="_Toc493774796"/>
      <w:bookmarkStart w:id="1302" w:name="_Toc512691435"/>
      <w:bookmarkStart w:id="1303" w:name="_Toc407135235"/>
      <w:r>
        <w:rPr>
          <w:rFonts w:ascii="Calibri" w:hAnsi="Calibri" w:cs="Times New Roman"/>
          <w:b/>
          <w:bCs/>
          <w:color w:val="auto"/>
          <w:kern w:val="2"/>
          <w:sz w:val="32"/>
          <w:szCs w:val="32"/>
          <w:highlight w:val="none"/>
        </w:rPr>
        <w:t>8</w:t>
      </w:r>
      <w:bookmarkStart w:id="1304" w:name="_Toc297216186"/>
      <w:bookmarkStart w:id="1305" w:name="_Toc304295556"/>
      <w:bookmarkStart w:id="1306" w:name="_Toc300934979"/>
      <w:bookmarkStart w:id="1307" w:name="_Toc303539136"/>
      <w:bookmarkStart w:id="1308" w:name="_Toc297123527"/>
      <w:bookmarkStart w:id="1309" w:name="_Toc297048353"/>
      <w:bookmarkStart w:id="1310" w:name="_Toc292559372"/>
      <w:bookmarkStart w:id="1311" w:name="_Toc296890995"/>
      <w:bookmarkStart w:id="1312" w:name="_Toc296503167"/>
      <w:bookmarkStart w:id="1313" w:name="_Toc296347166"/>
      <w:bookmarkStart w:id="1314" w:name="_Toc312677493"/>
      <w:bookmarkStart w:id="1315" w:name="_Toc296944506"/>
      <w:bookmarkStart w:id="1316" w:name="_Toc297120467"/>
      <w:bookmarkStart w:id="1317" w:name="_Toc296346668"/>
      <w:bookmarkStart w:id="1318" w:name="_Toc280868654"/>
      <w:bookmarkStart w:id="1319" w:name="_Toc292559877"/>
      <w:bookmarkStart w:id="1320" w:name="_Toc296891207"/>
      <w:bookmarkStart w:id="1321" w:name="_Toc312678019"/>
      <w:bookmarkStart w:id="1322" w:name="_Toc267251424"/>
      <w:bookmarkStart w:id="1323" w:name="_Toc280868656"/>
      <w:bookmarkStart w:id="1324" w:name="_Toc280868655"/>
      <w:r>
        <w:rPr>
          <w:rFonts w:ascii="Calibri" w:hAnsi="Calibri" w:cs="Times New Roman"/>
          <w:b/>
          <w:bCs/>
          <w:color w:val="auto"/>
          <w:kern w:val="2"/>
          <w:sz w:val="32"/>
          <w:szCs w:val="32"/>
          <w:highlight w:val="none"/>
        </w:rPr>
        <w:t xml:space="preserve">.4 </w:t>
      </w:r>
      <w:r>
        <w:rPr>
          <w:rFonts w:hint="eastAsia" w:ascii="Calibri" w:hAnsi="Calibri" w:cs="Times New Roman"/>
          <w:b/>
          <w:bCs/>
          <w:color w:val="auto"/>
          <w:kern w:val="2"/>
          <w:sz w:val="32"/>
          <w:szCs w:val="32"/>
          <w:highlight w:val="none"/>
        </w:rPr>
        <w:t>材料与工程设备的保管与使用</w:t>
      </w:r>
      <w:bookmarkEnd w:id="1293"/>
      <w:bookmarkEnd w:id="1294"/>
      <w:bookmarkEnd w:id="1295"/>
      <w:bookmarkEnd w:id="1296"/>
      <w:bookmarkEnd w:id="1297"/>
      <w:bookmarkEnd w:id="1298"/>
      <w:bookmarkEnd w:id="1299"/>
      <w:bookmarkEnd w:id="1300"/>
      <w:bookmarkEnd w:id="1301"/>
      <w:bookmarkEnd w:id="1302"/>
      <w:bookmarkEnd w:id="1303"/>
    </w:p>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14:paraId="3A31ABF8">
      <w:pPr>
        <w:spacing w:line="360" w:lineRule="auto"/>
        <w:ind w:firstLine="420" w:firstLineChars="200"/>
        <w:jc w:val="left"/>
        <w:rPr>
          <w:rFonts w:ascii="Calibri" w:hAnsi="Calibri" w:cs="Times New Roman"/>
          <w:color w:val="auto"/>
          <w:kern w:val="2"/>
          <w:highlight w:val="none"/>
          <w:u w:val="single"/>
        </w:rPr>
      </w:pPr>
      <w:r>
        <w:rPr>
          <w:rFonts w:ascii="Calibri" w:hAnsi="Calibri" w:cs="Times New Roman"/>
          <w:color w:val="auto"/>
          <w:kern w:val="2"/>
          <w:highlight w:val="none"/>
        </w:rPr>
        <w:t>8</w:t>
      </w:r>
      <w:bookmarkStart w:id="1325" w:name="_Toc292559878"/>
      <w:bookmarkStart w:id="1326" w:name="_Toc292559373"/>
      <w:bookmarkStart w:id="1327" w:name="_Toc296944507"/>
      <w:bookmarkStart w:id="1328" w:name="_Toc312677494"/>
      <w:bookmarkStart w:id="1329" w:name="_Toc296347167"/>
      <w:bookmarkStart w:id="1330" w:name="_Toc304295557"/>
      <w:bookmarkStart w:id="1331" w:name="_Toc318581173"/>
      <w:bookmarkStart w:id="1332" w:name="_Toc303539137"/>
      <w:bookmarkStart w:id="1333" w:name="_Toc296891208"/>
      <w:bookmarkStart w:id="1334" w:name="_Toc296890996"/>
      <w:bookmarkStart w:id="1335" w:name="_Toc297216187"/>
      <w:bookmarkStart w:id="1336" w:name="_Toc297123528"/>
      <w:bookmarkStart w:id="1337" w:name="_Toc296346669"/>
      <w:bookmarkStart w:id="1338" w:name="_Toc300934980"/>
      <w:bookmarkStart w:id="1339" w:name="_Toc297048354"/>
      <w:bookmarkStart w:id="1340" w:name="_Toc296503168"/>
      <w:bookmarkStart w:id="1341" w:name="_Toc312678020"/>
      <w:bookmarkStart w:id="1342" w:name="_Toc297120468"/>
      <w:r>
        <w:rPr>
          <w:rFonts w:ascii="Calibri" w:hAnsi="Calibri" w:cs="Times New Roman"/>
          <w:color w:val="auto"/>
          <w:kern w:val="2"/>
          <w:highlight w:val="none"/>
        </w:rPr>
        <w:t>.4.1</w:t>
      </w:r>
      <w:r>
        <w:rPr>
          <w:rFonts w:hint="eastAsia" w:ascii="Calibri" w:hAnsi="宋体" w:cs="Times New Roman"/>
          <w:color w:val="auto"/>
          <w:kern w:val="2"/>
          <w:highlight w:val="none"/>
        </w:rPr>
        <w:t>发包人供应的材料设备的保管费用的承担：</w:t>
      </w:r>
      <w:r>
        <w:rPr>
          <w:rFonts w:hint="eastAsia" w:ascii="Calibri" w:hAnsi="宋体" w:cs="Times New Roman"/>
          <w:color w:val="auto"/>
          <w:kern w:val="2"/>
          <w:highlight w:val="none"/>
          <w:u w:val="single"/>
          <w:lang w:val="en-US" w:eastAsia="zh-CN"/>
        </w:rPr>
        <w:t>由承包人承担</w:t>
      </w:r>
      <w:r>
        <w:rPr>
          <w:rFonts w:hint="eastAsia" w:ascii="Calibri" w:hAnsi="宋体" w:cs="Times New Roman"/>
          <w:color w:val="auto"/>
          <w:kern w:val="2"/>
          <w:highlight w:val="none"/>
        </w:rPr>
        <w:t>。</w:t>
      </w:r>
    </w:p>
    <w:bookmarkEnd w:id="1325"/>
    <w:bookmarkEnd w:id="1326"/>
    <w:p w14:paraId="4566CFFE">
      <w:pPr>
        <w:keepNext/>
        <w:keepLines/>
        <w:spacing w:before="260" w:after="260" w:line="416" w:lineRule="auto"/>
        <w:outlineLvl w:val="2"/>
        <w:rPr>
          <w:rFonts w:ascii="Calibri" w:hAnsi="Calibri" w:cs="Times New Roman"/>
          <w:b/>
          <w:bCs/>
          <w:color w:val="auto"/>
          <w:kern w:val="2"/>
          <w:sz w:val="32"/>
          <w:szCs w:val="32"/>
          <w:highlight w:val="none"/>
        </w:rPr>
      </w:pPr>
      <w:bookmarkStart w:id="1343" w:name="_Toc494549233"/>
      <w:bookmarkStart w:id="1344" w:name="_Toc530658060"/>
      <w:bookmarkStart w:id="1345" w:name="_Toc373478381"/>
      <w:bookmarkStart w:id="1346" w:name="_Toc407135236"/>
      <w:bookmarkStart w:id="1347" w:name="_Toc373227734"/>
      <w:bookmarkStart w:id="1348" w:name="_Toc512691436"/>
      <w:bookmarkStart w:id="1349" w:name="_Toc493774797"/>
      <w:bookmarkStart w:id="1350" w:name="_Toc532840042"/>
      <w:bookmarkStart w:id="1351" w:name="_Toc389065300"/>
      <w:bookmarkStart w:id="1352" w:name="_Toc485400629"/>
      <w:bookmarkStart w:id="1353" w:name="_Toc508894098"/>
      <w:r>
        <w:rPr>
          <w:rFonts w:ascii="Calibri" w:hAnsi="Calibri" w:cs="Times New Roman"/>
          <w:b/>
          <w:bCs/>
          <w:color w:val="auto"/>
          <w:kern w:val="2"/>
          <w:sz w:val="32"/>
          <w:szCs w:val="32"/>
          <w:highlight w:val="none"/>
        </w:rPr>
        <w:t xml:space="preserve">8.6 </w:t>
      </w:r>
      <w:r>
        <w:rPr>
          <w:rFonts w:hint="eastAsia" w:ascii="Calibri" w:hAnsi="宋体" w:cs="Times New Roman"/>
          <w:b/>
          <w:bCs/>
          <w:color w:val="auto"/>
          <w:kern w:val="2"/>
          <w:sz w:val="32"/>
          <w:szCs w:val="32"/>
          <w:highlight w:val="none"/>
        </w:rPr>
        <w:t>样品</w:t>
      </w:r>
      <w:bookmarkEnd w:id="1343"/>
      <w:bookmarkEnd w:id="1344"/>
      <w:bookmarkEnd w:id="1345"/>
      <w:bookmarkEnd w:id="1346"/>
      <w:bookmarkEnd w:id="1347"/>
      <w:bookmarkEnd w:id="1348"/>
      <w:bookmarkEnd w:id="1349"/>
      <w:bookmarkEnd w:id="1350"/>
      <w:bookmarkEnd w:id="1351"/>
      <w:bookmarkEnd w:id="1352"/>
      <w:bookmarkEnd w:id="1353"/>
    </w:p>
    <w:p w14:paraId="7000CE45">
      <w:pPr>
        <w:autoSpaceDE w:val="0"/>
        <w:autoSpaceDN w:val="0"/>
        <w:adjustRightInd w:val="0"/>
        <w:spacing w:line="360" w:lineRule="auto"/>
        <w:ind w:firstLine="420" w:firstLineChars="200"/>
        <w:jc w:val="left"/>
        <w:rPr>
          <w:rFonts w:ascii="Calibri" w:hAnsi="Calibri" w:cs="Times New Roman"/>
          <w:color w:val="auto"/>
          <w:highlight w:val="none"/>
        </w:rPr>
      </w:pPr>
      <w:r>
        <w:rPr>
          <w:rFonts w:ascii="Calibri" w:hAnsi="Calibri" w:cs="Times New Roman"/>
          <w:color w:val="auto"/>
          <w:highlight w:val="none"/>
        </w:rPr>
        <w:t xml:space="preserve">8.6.1 </w:t>
      </w:r>
      <w:r>
        <w:rPr>
          <w:rFonts w:hint="eastAsia" w:ascii="Calibri" w:hAnsi="宋体" w:cs="Times New Roman"/>
          <w:color w:val="auto"/>
          <w:highlight w:val="none"/>
        </w:rPr>
        <w:t>样品的报送与封存</w:t>
      </w:r>
    </w:p>
    <w:p w14:paraId="6C404B3C">
      <w:pPr>
        <w:autoSpaceDE w:val="0"/>
        <w:autoSpaceDN w:val="0"/>
        <w:adjustRightInd w:val="0"/>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highlight w:val="none"/>
        </w:rPr>
        <w:t>需要承包人报送样品的材料或工程设备，样品的种类、名称、规格、数量要求：</w:t>
      </w:r>
      <w:r>
        <w:rPr>
          <w:rFonts w:hint="eastAsia" w:ascii="Calibri" w:hAnsi="宋体" w:cs="Times New Roman"/>
          <w:color w:val="auto"/>
          <w:kern w:val="2"/>
          <w:highlight w:val="none"/>
          <w:u w:val="single"/>
        </w:rPr>
        <w:t>主要材料涉及品种、款式、颜色等方面内容的，承包人应提交准备合格的材料样品送发包人选定。</w:t>
      </w:r>
    </w:p>
    <w:p w14:paraId="5309390B">
      <w:pPr>
        <w:keepNext/>
        <w:keepLines/>
        <w:spacing w:before="260" w:after="260" w:line="416" w:lineRule="auto"/>
        <w:outlineLvl w:val="2"/>
        <w:rPr>
          <w:rFonts w:ascii="Calibri" w:hAnsi="Calibri" w:cs="Times New Roman"/>
          <w:b/>
          <w:bCs/>
          <w:color w:val="auto"/>
          <w:kern w:val="2"/>
          <w:sz w:val="32"/>
          <w:szCs w:val="32"/>
          <w:highlight w:val="none"/>
        </w:rPr>
      </w:pPr>
      <w:bookmarkStart w:id="1354" w:name="_Toc389065301"/>
      <w:bookmarkStart w:id="1355" w:name="_Toc373227735"/>
      <w:bookmarkStart w:id="1356" w:name="_Toc494549234"/>
      <w:bookmarkStart w:id="1357" w:name="_Toc508894099"/>
      <w:bookmarkStart w:id="1358" w:name="_Toc407135237"/>
      <w:bookmarkStart w:id="1359" w:name="_Toc530658061"/>
      <w:bookmarkStart w:id="1360" w:name="_Toc493774798"/>
      <w:bookmarkStart w:id="1361" w:name="_Toc373478382"/>
      <w:bookmarkStart w:id="1362" w:name="_Toc532840043"/>
      <w:bookmarkStart w:id="1363" w:name="_Toc485400630"/>
      <w:bookmarkStart w:id="1364" w:name="_Toc512691437"/>
      <w:r>
        <w:rPr>
          <w:rFonts w:ascii="Calibri" w:hAnsi="Calibri" w:cs="Times New Roman"/>
          <w:b/>
          <w:bCs/>
          <w:color w:val="auto"/>
          <w:kern w:val="2"/>
          <w:sz w:val="32"/>
          <w:szCs w:val="32"/>
          <w:highlight w:val="none"/>
        </w:rPr>
        <w:t xml:space="preserve">8.8 </w:t>
      </w:r>
      <w:r>
        <w:rPr>
          <w:rFonts w:hint="eastAsia" w:ascii="Calibri" w:hAnsi="Calibri" w:cs="Times New Roman"/>
          <w:b/>
          <w:bCs/>
          <w:color w:val="auto"/>
          <w:kern w:val="2"/>
          <w:sz w:val="32"/>
          <w:szCs w:val="32"/>
          <w:highlight w:val="none"/>
        </w:rPr>
        <w:t>施工设备和临时设施</w:t>
      </w:r>
      <w:bookmarkEnd w:id="1354"/>
      <w:bookmarkEnd w:id="1355"/>
      <w:bookmarkEnd w:id="1356"/>
      <w:bookmarkEnd w:id="1357"/>
      <w:bookmarkEnd w:id="1358"/>
      <w:bookmarkEnd w:id="1359"/>
      <w:bookmarkEnd w:id="1360"/>
      <w:bookmarkEnd w:id="1361"/>
      <w:bookmarkEnd w:id="1362"/>
      <w:bookmarkEnd w:id="1363"/>
      <w:bookmarkEnd w:id="1364"/>
    </w:p>
    <w:p w14:paraId="3238A204">
      <w:pPr>
        <w:autoSpaceDE w:val="0"/>
        <w:autoSpaceDN w:val="0"/>
        <w:adjustRightInd w:val="0"/>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8.8.1 </w:t>
      </w:r>
      <w:r>
        <w:rPr>
          <w:rFonts w:hint="eastAsia" w:ascii="Calibri" w:hAnsi="宋体" w:cs="Times New Roman"/>
          <w:color w:val="auto"/>
          <w:kern w:val="2"/>
          <w:highlight w:val="none"/>
        </w:rPr>
        <w:t>承包人提供的施工设备和临时设施</w:t>
      </w:r>
    </w:p>
    <w:p w14:paraId="7F27062C">
      <w:pPr>
        <w:autoSpaceDE w:val="0"/>
        <w:autoSpaceDN w:val="0"/>
        <w:adjustRightInd w:val="0"/>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hAnsi="宋体" w:cs="Times New Roman"/>
          <w:color w:val="auto"/>
          <w:kern w:val="2"/>
          <w:highlight w:val="none"/>
        </w:rPr>
        <w:t>承包人用于本工程的主要机械设备清单见合同附件</w:t>
      </w:r>
      <w:r>
        <w:rPr>
          <w:rFonts w:hAnsi="宋体" w:cs="Times New Roman"/>
          <w:color w:val="auto"/>
          <w:kern w:val="2"/>
          <w:highlight w:val="none"/>
        </w:rPr>
        <w:t>6</w:t>
      </w:r>
      <w:r>
        <w:rPr>
          <w:rFonts w:hint="eastAsia" w:hAnsi="宋体" w:cs="Times New Roman"/>
          <w:color w:val="auto"/>
          <w:kern w:val="2"/>
          <w:highlight w:val="none"/>
        </w:rPr>
        <w:t>。</w:t>
      </w:r>
    </w:p>
    <w:p w14:paraId="4AE901C4">
      <w:pPr>
        <w:autoSpaceDE w:val="0"/>
        <w:autoSpaceDN w:val="0"/>
        <w:adjustRightInd w:val="0"/>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关于修建临时设施费用承担的约定：</w:t>
      </w:r>
    </w:p>
    <w:p w14:paraId="578F277A">
      <w:pPr>
        <w:autoSpaceDE w:val="0"/>
        <w:autoSpaceDN w:val="0"/>
        <w:adjustRightInd w:val="0"/>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u w:val="single"/>
        </w:rPr>
        <w:t>①承包人的临时用地（含项目部驻地等）租用费、临时用地的环保、恢复、地面附着物拆除等费用均由承包人负责，以上费用在投标报价中综合考虑。</w:t>
      </w:r>
    </w:p>
    <w:p w14:paraId="7A0F9C41">
      <w:pPr>
        <w:autoSpaceDE w:val="0"/>
        <w:autoSpaceDN w:val="0"/>
        <w:adjustRightInd w:val="0"/>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u w:val="single"/>
        </w:rPr>
        <w:t>②承包人负责合同实施期间其合同段内临时交通道路和交通设施的修建、维修、养护和交通管理工作，并承担一切费用。</w:t>
      </w:r>
    </w:p>
    <w:p w14:paraId="2DF9D773">
      <w:pPr>
        <w:autoSpaceDE w:val="0"/>
        <w:autoSpaceDN w:val="0"/>
        <w:adjustRightInd w:val="0"/>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3633C614">
      <w:pPr>
        <w:autoSpaceDE w:val="0"/>
        <w:autoSpaceDN w:val="0"/>
        <w:adjustRightInd w:val="0"/>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8.8.2 </w:t>
      </w:r>
      <w:r>
        <w:rPr>
          <w:rFonts w:hint="eastAsia" w:ascii="Calibri" w:hAnsi="宋体" w:cs="Times New Roman"/>
          <w:color w:val="auto"/>
          <w:kern w:val="2"/>
          <w:highlight w:val="none"/>
        </w:rPr>
        <w:t>发包人提供的施工设备和临时设施</w:t>
      </w:r>
    </w:p>
    <w:p w14:paraId="72F57F3E">
      <w:pPr>
        <w:autoSpaceDE w:val="0"/>
        <w:autoSpaceDN w:val="0"/>
        <w:adjustRightInd w:val="0"/>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发包人提供的施工设备和临时设施：</w:t>
      </w:r>
      <w:r>
        <w:rPr>
          <w:rFonts w:ascii="Calibri" w:hAnsi="Calibri" w:cs="Times New Roman"/>
          <w:color w:val="auto"/>
          <w:kern w:val="2"/>
          <w:highlight w:val="none"/>
          <w:u w:val="single"/>
        </w:rPr>
        <w:t>/</w:t>
      </w:r>
      <w:r>
        <w:rPr>
          <w:rFonts w:hint="eastAsia" w:ascii="Calibri" w:hAnsi="宋体" w:cs="Times New Roman"/>
          <w:color w:val="auto"/>
          <w:kern w:val="2"/>
          <w:highlight w:val="none"/>
        </w:rPr>
        <w:t>。</w:t>
      </w:r>
    </w:p>
    <w:p w14:paraId="1812FB44">
      <w:pPr>
        <w:autoSpaceDE w:val="0"/>
        <w:autoSpaceDN w:val="0"/>
        <w:adjustRightInd w:val="0"/>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发包人提供的施工设备和临时设施的运行、维护、拆除、清运费用的承担人：</w:t>
      </w:r>
      <w:r>
        <w:rPr>
          <w:rFonts w:ascii="Calibri" w:hAnsi="Calibri" w:cs="Times New Roman"/>
          <w:color w:val="auto"/>
          <w:kern w:val="2"/>
          <w:highlight w:val="none"/>
          <w:u w:val="single"/>
        </w:rPr>
        <w:t>/</w:t>
      </w:r>
      <w:r>
        <w:rPr>
          <w:rFonts w:hint="eastAsia" w:ascii="Calibri" w:hAnsi="宋体" w:cs="Times New Roman"/>
          <w:color w:val="auto"/>
          <w:kern w:val="2"/>
          <w:highlight w:val="none"/>
        </w:rPr>
        <w:t>。</w:t>
      </w:r>
    </w:p>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14:paraId="1883F04D">
      <w:pPr>
        <w:keepNext/>
        <w:keepLines/>
        <w:spacing w:line="360" w:lineRule="auto"/>
        <w:outlineLvl w:val="2"/>
        <w:rPr>
          <w:rFonts w:ascii="Cambria" w:hAnsi="Cambria" w:cs="Times New Roman"/>
          <w:color w:val="auto"/>
          <w:kern w:val="2"/>
          <w:sz w:val="32"/>
          <w:szCs w:val="32"/>
          <w:highlight w:val="none"/>
          <w:lang w:val="zh-CN"/>
        </w:rPr>
      </w:pPr>
      <w:bookmarkStart w:id="1365" w:name="_Toc485400631"/>
      <w:bookmarkStart w:id="1366" w:name="_Toc373478383"/>
      <w:bookmarkStart w:id="1367" w:name="_Toc508894100"/>
      <w:bookmarkStart w:id="1368" w:name="_Toc373227736"/>
      <w:bookmarkStart w:id="1369" w:name="_Toc351203641"/>
      <w:bookmarkStart w:id="1370" w:name="_Toc389065302"/>
      <w:bookmarkStart w:id="1371" w:name="_Toc493774799"/>
      <w:bookmarkStart w:id="1372" w:name="_Toc530658062"/>
      <w:bookmarkStart w:id="1373" w:name="_Toc494549235"/>
      <w:bookmarkStart w:id="1374" w:name="_Toc532840044"/>
      <w:bookmarkStart w:id="1375" w:name="_Toc407135238"/>
      <w:bookmarkStart w:id="1376" w:name="_Toc512691438"/>
      <w:r>
        <w:rPr>
          <w:rFonts w:ascii="Cambria" w:hAnsi="Cambria" w:cs="Times New Roman"/>
          <w:color w:val="auto"/>
          <w:kern w:val="2"/>
          <w:sz w:val="32"/>
          <w:szCs w:val="32"/>
          <w:highlight w:val="none"/>
          <w:lang w:val="zh-CN"/>
        </w:rPr>
        <w:t>9</w:t>
      </w:r>
      <w:bookmarkEnd w:id="1322"/>
      <w:bookmarkEnd w:id="1323"/>
      <w:bookmarkEnd w:id="1324"/>
      <w:bookmarkStart w:id="1377" w:name="_Toc304295559"/>
      <w:bookmarkStart w:id="1378" w:name="_Toc300934982"/>
      <w:bookmarkStart w:id="1379" w:name="_Toc312678021"/>
      <w:bookmarkStart w:id="1380" w:name="_Toc297123533"/>
      <w:bookmarkStart w:id="1381" w:name="_Toc312677495"/>
      <w:bookmarkStart w:id="1382" w:name="_Toc297216192"/>
      <w:bookmarkStart w:id="1383" w:name="_Toc303539139"/>
      <w:bookmarkStart w:id="1384" w:name="_Toc267251428"/>
      <w:bookmarkStart w:id="1385" w:name="_Toc292559378"/>
      <w:bookmarkStart w:id="1386" w:name="_Toc296503173"/>
      <w:bookmarkStart w:id="1387" w:name="_Toc296346674"/>
      <w:bookmarkStart w:id="1388" w:name="_Toc297120473"/>
      <w:bookmarkStart w:id="1389" w:name="_Toc296944512"/>
      <w:bookmarkStart w:id="1390" w:name="_Toc296891213"/>
      <w:bookmarkStart w:id="1391" w:name="_Toc296347172"/>
      <w:bookmarkStart w:id="1392" w:name="_Toc296891001"/>
      <w:bookmarkStart w:id="1393" w:name="_Toc292559883"/>
      <w:bookmarkStart w:id="1394" w:name="_Toc297048359"/>
      <w:bookmarkStart w:id="1395" w:name="_Toc267251427"/>
      <w:r>
        <w:rPr>
          <w:rFonts w:ascii="Cambria" w:hAnsi="Cambria" w:cs="Times New Roman"/>
          <w:color w:val="auto"/>
          <w:kern w:val="2"/>
          <w:sz w:val="32"/>
          <w:szCs w:val="32"/>
          <w:highlight w:val="none"/>
          <w:lang w:val="zh-CN"/>
        </w:rPr>
        <w:t xml:space="preserve">. </w:t>
      </w:r>
      <w:r>
        <w:rPr>
          <w:rFonts w:hint="eastAsia" w:ascii="Cambria" w:hAnsi="Cambria" w:cs="Times New Roman"/>
          <w:color w:val="auto"/>
          <w:kern w:val="2"/>
          <w:sz w:val="32"/>
          <w:szCs w:val="32"/>
          <w:highlight w:val="none"/>
          <w:lang w:val="zh-CN"/>
        </w:rPr>
        <w:t>试验与检验</w:t>
      </w:r>
      <w:bookmarkEnd w:id="1365"/>
      <w:bookmarkEnd w:id="1366"/>
      <w:bookmarkEnd w:id="1367"/>
      <w:bookmarkEnd w:id="1368"/>
      <w:bookmarkEnd w:id="1369"/>
      <w:bookmarkEnd w:id="1370"/>
      <w:bookmarkEnd w:id="1371"/>
      <w:bookmarkEnd w:id="1372"/>
      <w:bookmarkEnd w:id="1373"/>
      <w:bookmarkEnd w:id="1374"/>
      <w:bookmarkEnd w:id="1375"/>
      <w:bookmarkEnd w:id="1376"/>
    </w:p>
    <w:bookmarkEnd w:id="1377"/>
    <w:bookmarkEnd w:id="1378"/>
    <w:bookmarkEnd w:id="1379"/>
    <w:bookmarkEnd w:id="1380"/>
    <w:bookmarkEnd w:id="1381"/>
    <w:bookmarkEnd w:id="1382"/>
    <w:bookmarkEnd w:id="1383"/>
    <w:p w14:paraId="343562C2">
      <w:pPr>
        <w:keepNext/>
        <w:keepLines/>
        <w:spacing w:before="260" w:after="260" w:line="416" w:lineRule="auto"/>
        <w:outlineLvl w:val="2"/>
        <w:rPr>
          <w:rFonts w:ascii="Calibri" w:hAnsi="Calibri" w:cs="Times New Roman"/>
          <w:b/>
          <w:bCs/>
          <w:color w:val="auto"/>
          <w:kern w:val="2"/>
          <w:sz w:val="32"/>
          <w:szCs w:val="32"/>
          <w:highlight w:val="none"/>
        </w:rPr>
      </w:pPr>
      <w:bookmarkStart w:id="1396" w:name="_Toc532840045"/>
      <w:bookmarkStart w:id="1397" w:name="_Toc373478384"/>
      <w:bookmarkStart w:id="1398" w:name="_Toc407135239"/>
      <w:bookmarkStart w:id="1399" w:name="_Toc389065303"/>
      <w:bookmarkStart w:id="1400" w:name="_Toc485400632"/>
      <w:bookmarkStart w:id="1401" w:name="_Toc508894101"/>
      <w:bookmarkStart w:id="1402" w:name="_Toc494549236"/>
      <w:bookmarkStart w:id="1403" w:name="_Toc512691439"/>
      <w:bookmarkStart w:id="1404" w:name="_Toc530658063"/>
      <w:bookmarkStart w:id="1405" w:name="_Toc493774800"/>
      <w:bookmarkStart w:id="1406" w:name="_Toc373227737"/>
      <w:r>
        <w:rPr>
          <w:rFonts w:ascii="Calibri" w:hAnsi="Calibri" w:cs="Times New Roman"/>
          <w:b/>
          <w:bCs/>
          <w:color w:val="auto"/>
          <w:kern w:val="2"/>
          <w:sz w:val="32"/>
          <w:szCs w:val="32"/>
          <w:highlight w:val="none"/>
        </w:rPr>
        <w:t>9</w:t>
      </w:r>
      <w:bookmarkStart w:id="1407" w:name="_Toc312678022"/>
      <w:bookmarkStart w:id="1408" w:name="_Toc297123534"/>
      <w:bookmarkStart w:id="1409" w:name="_Toc303539140"/>
      <w:bookmarkStart w:id="1410" w:name="_Toc312677496"/>
      <w:bookmarkStart w:id="1411" w:name="_Toc297216193"/>
      <w:bookmarkStart w:id="1412" w:name="_Toc300934983"/>
      <w:bookmarkStart w:id="1413" w:name="_Toc304295560"/>
      <w:r>
        <w:rPr>
          <w:rFonts w:ascii="Calibri" w:hAnsi="Calibri" w:cs="Times New Roman"/>
          <w:b/>
          <w:bCs/>
          <w:color w:val="auto"/>
          <w:kern w:val="2"/>
          <w:sz w:val="32"/>
          <w:szCs w:val="32"/>
          <w:highlight w:val="none"/>
        </w:rPr>
        <w:t xml:space="preserve">.1 </w:t>
      </w:r>
      <w:r>
        <w:rPr>
          <w:rFonts w:hint="eastAsia" w:ascii="Calibri" w:hAnsi="Calibri" w:cs="Times New Roman"/>
          <w:b/>
          <w:bCs/>
          <w:color w:val="auto"/>
          <w:kern w:val="2"/>
          <w:sz w:val="32"/>
          <w:szCs w:val="32"/>
          <w:highlight w:val="none"/>
        </w:rPr>
        <w:t>试验设备与试验人员</w:t>
      </w:r>
      <w:bookmarkEnd w:id="1396"/>
      <w:bookmarkEnd w:id="1397"/>
      <w:bookmarkEnd w:id="1398"/>
      <w:bookmarkEnd w:id="1399"/>
      <w:bookmarkEnd w:id="1400"/>
      <w:bookmarkEnd w:id="1401"/>
      <w:bookmarkEnd w:id="1402"/>
      <w:bookmarkEnd w:id="1403"/>
      <w:bookmarkEnd w:id="1404"/>
      <w:bookmarkEnd w:id="1405"/>
      <w:bookmarkEnd w:id="1406"/>
    </w:p>
    <w:bookmarkEnd w:id="1407"/>
    <w:bookmarkEnd w:id="1408"/>
    <w:bookmarkEnd w:id="1409"/>
    <w:bookmarkEnd w:id="1410"/>
    <w:bookmarkEnd w:id="1411"/>
    <w:bookmarkEnd w:id="1412"/>
    <w:bookmarkEnd w:id="1413"/>
    <w:p w14:paraId="0076096E">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9</w:t>
      </w:r>
      <w:bookmarkStart w:id="1414" w:name="_Toc297216194"/>
      <w:bookmarkStart w:id="1415" w:name="_Toc304295561"/>
      <w:bookmarkStart w:id="1416" w:name="_Toc297123535"/>
      <w:bookmarkStart w:id="1417" w:name="_Toc312677497"/>
      <w:bookmarkStart w:id="1418" w:name="_Toc303539141"/>
      <w:bookmarkStart w:id="1419" w:name="_Toc312678023"/>
      <w:bookmarkStart w:id="1420" w:name="_Toc300934984"/>
      <w:bookmarkStart w:id="1421" w:name="_Toc318581174"/>
      <w:r>
        <w:rPr>
          <w:rFonts w:ascii="Calibri" w:hAnsi="Calibri" w:cs="Times New Roman"/>
          <w:color w:val="auto"/>
          <w:kern w:val="2"/>
          <w:highlight w:val="none"/>
        </w:rPr>
        <w:t xml:space="preserve">.1.2 </w:t>
      </w:r>
      <w:r>
        <w:rPr>
          <w:rFonts w:hint="eastAsia" w:ascii="Calibri" w:hAnsi="宋体" w:cs="Times New Roman"/>
          <w:color w:val="auto"/>
          <w:kern w:val="2"/>
          <w:highlight w:val="none"/>
        </w:rPr>
        <w:t>试验设备</w:t>
      </w:r>
    </w:p>
    <w:p w14:paraId="1219B1B0">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施工现场需要配置的试验场所：</w:t>
      </w:r>
      <w:bookmarkEnd w:id="1414"/>
      <w:bookmarkEnd w:id="1415"/>
      <w:bookmarkEnd w:id="1416"/>
      <w:bookmarkEnd w:id="1417"/>
      <w:bookmarkEnd w:id="1418"/>
      <w:bookmarkEnd w:id="1419"/>
      <w:bookmarkEnd w:id="1420"/>
      <w:bookmarkStart w:id="1422" w:name="_Toc300934985"/>
      <w:bookmarkStart w:id="1423" w:name="_Toc303539142"/>
      <w:bookmarkStart w:id="1424" w:name="_Toc297216195"/>
      <w:bookmarkStart w:id="1425" w:name="_Toc312677498"/>
      <w:bookmarkStart w:id="1426" w:name="_Toc297123536"/>
      <w:bookmarkStart w:id="1427" w:name="_Toc304295562"/>
      <w:bookmarkStart w:id="1428" w:name="_Toc312678024"/>
      <w:r>
        <w:rPr>
          <w:rFonts w:ascii="Calibri" w:hAnsi="Calibri" w:cs="Times New Roman"/>
          <w:color w:val="auto"/>
          <w:kern w:val="2"/>
          <w:highlight w:val="none"/>
          <w:u w:val="single"/>
        </w:rPr>
        <w:t xml:space="preserve"> / </w:t>
      </w:r>
      <w:r>
        <w:rPr>
          <w:rFonts w:hint="eastAsia" w:ascii="Calibri" w:hAnsi="宋体" w:cs="Times New Roman"/>
          <w:color w:val="auto"/>
          <w:kern w:val="2"/>
          <w:highlight w:val="none"/>
        </w:rPr>
        <w:t>。</w:t>
      </w:r>
    </w:p>
    <w:p w14:paraId="23B7F1F2">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施工现场需要配备的试验设备：</w:t>
      </w:r>
      <w:r>
        <w:rPr>
          <w:rFonts w:ascii="Calibri" w:hAnsi="Calibri" w:cs="Times New Roman"/>
          <w:color w:val="auto"/>
          <w:kern w:val="2"/>
          <w:highlight w:val="none"/>
          <w:u w:val="single"/>
        </w:rPr>
        <w:t xml:space="preserve"> / </w:t>
      </w:r>
      <w:r>
        <w:rPr>
          <w:rFonts w:hint="eastAsia" w:ascii="Calibri" w:hAnsi="宋体" w:cs="Times New Roman"/>
          <w:color w:val="auto"/>
          <w:kern w:val="2"/>
          <w:highlight w:val="none"/>
        </w:rPr>
        <w:t>。</w:t>
      </w:r>
    </w:p>
    <w:p w14:paraId="0F7873A3">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施工现场需要具备的其他试验条件：</w:t>
      </w:r>
      <w:r>
        <w:rPr>
          <w:rFonts w:ascii="Calibri" w:hAnsi="Calibri" w:cs="Times New Roman"/>
          <w:color w:val="auto"/>
          <w:kern w:val="2"/>
          <w:highlight w:val="none"/>
          <w:u w:val="single"/>
        </w:rPr>
        <w:t xml:space="preserve"> / </w:t>
      </w:r>
      <w:r>
        <w:rPr>
          <w:rFonts w:hint="eastAsia" w:ascii="Calibri" w:hAnsi="宋体" w:cs="Times New Roman"/>
          <w:color w:val="auto"/>
          <w:kern w:val="2"/>
          <w:highlight w:val="none"/>
        </w:rPr>
        <w:t>。</w:t>
      </w:r>
    </w:p>
    <w:p w14:paraId="11334F28">
      <w:pPr>
        <w:keepNext/>
        <w:keepLines/>
        <w:spacing w:before="260" w:after="260" w:line="416" w:lineRule="auto"/>
        <w:outlineLvl w:val="2"/>
        <w:rPr>
          <w:rFonts w:ascii="Calibri" w:hAnsi="Calibri" w:cs="Times New Roman"/>
          <w:b/>
          <w:bCs/>
          <w:color w:val="auto"/>
          <w:kern w:val="2"/>
          <w:sz w:val="32"/>
          <w:szCs w:val="32"/>
          <w:highlight w:val="none"/>
        </w:rPr>
      </w:pPr>
      <w:bookmarkStart w:id="1429" w:name="_Toc389065304"/>
      <w:bookmarkStart w:id="1430" w:name="_Toc373478385"/>
      <w:bookmarkStart w:id="1431" w:name="_Toc494549237"/>
      <w:bookmarkStart w:id="1432" w:name="_Toc493774801"/>
      <w:bookmarkStart w:id="1433" w:name="_Toc508894102"/>
      <w:bookmarkStart w:id="1434" w:name="_Toc373227738"/>
      <w:bookmarkStart w:id="1435" w:name="_Toc532840046"/>
      <w:bookmarkStart w:id="1436" w:name="_Toc530658064"/>
      <w:bookmarkStart w:id="1437" w:name="_Toc512691440"/>
      <w:bookmarkStart w:id="1438" w:name="_Toc485400633"/>
      <w:bookmarkStart w:id="1439" w:name="_Toc407135240"/>
      <w:r>
        <w:rPr>
          <w:rFonts w:ascii="Calibri" w:hAnsi="Calibri" w:cs="Times New Roman"/>
          <w:b/>
          <w:bCs/>
          <w:color w:val="auto"/>
          <w:kern w:val="2"/>
          <w:sz w:val="32"/>
          <w:szCs w:val="32"/>
          <w:highlight w:val="none"/>
        </w:rPr>
        <w:t xml:space="preserve">9.4 </w:t>
      </w:r>
      <w:r>
        <w:rPr>
          <w:rFonts w:hint="eastAsia" w:ascii="Calibri" w:hAnsi="宋体" w:cs="Times New Roman"/>
          <w:b/>
          <w:bCs/>
          <w:color w:val="auto"/>
          <w:kern w:val="2"/>
          <w:sz w:val="32"/>
          <w:szCs w:val="32"/>
          <w:highlight w:val="none"/>
        </w:rPr>
        <w:t>现场工艺试验</w:t>
      </w:r>
      <w:bookmarkEnd w:id="1429"/>
      <w:bookmarkEnd w:id="1430"/>
      <w:bookmarkEnd w:id="1431"/>
      <w:bookmarkEnd w:id="1432"/>
      <w:bookmarkEnd w:id="1433"/>
      <w:bookmarkEnd w:id="1434"/>
      <w:bookmarkEnd w:id="1435"/>
      <w:bookmarkEnd w:id="1436"/>
      <w:bookmarkEnd w:id="1437"/>
      <w:bookmarkEnd w:id="1438"/>
      <w:bookmarkEnd w:id="1439"/>
      <w:r>
        <w:rPr>
          <w:rFonts w:ascii="Calibri" w:hAnsi="Calibri" w:cs="Times New Roman"/>
          <w:b/>
          <w:bCs/>
          <w:color w:val="auto"/>
          <w:kern w:val="2"/>
          <w:sz w:val="32"/>
          <w:szCs w:val="32"/>
          <w:highlight w:val="none"/>
        </w:rPr>
        <w:t xml:space="preserve"> </w:t>
      </w:r>
    </w:p>
    <w:p w14:paraId="67C47C96">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现场工艺试验的有关约定：</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rPr>
        <w:t>。</w:t>
      </w:r>
    </w:p>
    <w:p w14:paraId="76EF40DD">
      <w:pPr>
        <w:keepNext/>
        <w:keepLines/>
        <w:spacing w:before="260" w:after="260" w:line="416" w:lineRule="auto"/>
        <w:outlineLvl w:val="2"/>
        <w:rPr>
          <w:rFonts w:ascii="Calibri" w:hAnsi="Calibri" w:cs="Times New Roman"/>
          <w:b/>
          <w:bCs/>
          <w:color w:val="auto"/>
          <w:kern w:val="2"/>
          <w:sz w:val="32"/>
          <w:szCs w:val="32"/>
          <w:highlight w:val="none"/>
        </w:rPr>
      </w:pPr>
      <w:bookmarkStart w:id="1440" w:name="_Toc485400634"/>
      <w:bookmarkStart w:id="1441" w:name="_Toc508894103"/>
      <w:bookmarkStart w:id="1442" w:name="_Toc530658065"/>
      <w:bookmarkStart w:id="1443" w:name="_Toc494549238"/>
      <w:bookmarkStart w:id="1444" w:name="_Toc493774802"/>
      <w:bookmarkStart w:id="1445" w:name="_Toc407135241"/>
      <w:bookmarkStart w:id="1446" w:name="_Toc532840047"/>
      <w:bookmarkStart w:id="1447" w:name="_Toc512691441"/>
      <w:r>
        <w:rPr>
          <w:rFonts w:ascii="Calibri" w:hAnsi="Calibri" w:cs="Times New Roman"/>
          <w:b/>
          <w:bCs/>
          <w:color w:val="auto"/>
          <w:kern w:val="2"/>
          <w:sz w:val="32"/>
          <w:szCs w:val="32"/>
          <w:highlight w:val="none"/>
        </w:rPr>
        <w:t xml:space="preserve">9.5 </w:t>
      </w:r>
      <w:r>
        <w:rPr>
          <w:rFonts w:hint="eastAsia" w:ascii="Calibri" w:hAnsi="宋体" w:cs="Times New Roman"/>
          <w:b/>
          <w:bCs/>
          <w:color w:val="auto"/>
          <w:kern w:val="2"/>
          <w:sz w:val="32"/>
          <w:szCs w:val="32"/>
          <w:highlight w:val="none"/>
        </w:rPr>
        <w:t>检验费用</w:t>
      </w:r>
      <w:bookmarkEnd w:id="1440"/>
      <w:bookmarkEnd w:id="1441"/>
      <w:bookmarkEnd w:id="1442"/>
      <w:bookmarkEnd w:id="1443"/>
      <w:bookmarkEnd w:id="1444"/>
      <w:bookmarkEnd w:id="1445"/>
      <w:bookmarkEnd w:id="1446"/>
      <w:bookmarkEnd w:id="1447"/>
    </w:p>
    <w:p w14:paraId="02F51772">
      <w:pPr>
        <w:spacing w:line="360" w:lineRule="auto"/>
        <w:ind w:firstLine="411" w:firstLineChars="196"/>
        <w:rPr>
          <w:rFonts w:ascii="Calibri" w:hAnsi="Calibri" w:cs="Times New Roman"/>
          <w:color w:val="auto"/>
          <w:kern w:val="2"/>
          <w:highlight w:val="none"/>
        </w:rPr>
      </w:pPr>
      <w:r>
        <w:rPr>
          <w:rFonts w:hint="eastAsia" w:ascii="Calibri" w:hAnsi="宋体" w:cs="Times New Roman"/>
          <w:color w:val="auto"/>
          <w:kern w:val="2"/>
          <w:highlight w:val="none"/>
        </w:rPr>
        <w:t>根据《建设工程质量检测管理办法》（建设部令第</w:t>
      </w:r>
      <w:r>
        <w:rPr>
          <w:rFonts w:ascii="Calibri" w:hAnsi="Calibri" w:cs="Times New Roman"/>
          <w:color w:val="auto"/>
          <w:kern w:val="2"/>
          <w:highlight w:val="none"/>
        </w:rPr>
        <w:t>141</w:t>
      </w:r>
      <w:r>
        <w:rPr>
          <w:rFonts w:hint="eastAsia" w:ascii="Calibri" w:hAnsi="宋体" w:cs="Times New Roman"/>
          <w:color w:val="auto"/>
          <w:kern w:val="2"/>
          <w:highlight w:val="none"/>
        </w:rPr>
        <w:t>号）以及</w:t>
      </w:r>
      <w:r>
        <w:rPr>
          <w:rFonts w:hint="eastAsia" w:ascii="Calibri" w:hAnsi="宋体" w:cs="Times New Roman"/>
          <w:bCs/>
          <w:color w:val="auto"/>
          <w:kern w:val="2"/>
          <w:highlight w:val="none"/>
        </w:rPr>
        <w:t>《广西壮族自治区建设工程质量检测管理规定》</w:t>
      </w:r>
      <w:r>
        <w:rPr>
          <w:rFonts w:hint="eastAsia" w:ascii="Calibri" w:hAnsi="Calibri" w:cs="Times New Roman"/>
          <w:bCs/>
          <w:color w:val="auto"/>
          <w:kern w:val="2"/>
          <w:highlight w:val="none"/>
        </w:rPr>
        <w:t>（</w:t>
      </w:r>
      <w:r>
        <w:rPr>
          <w:rFonts w:hint="eastAsia" w:ascii="Calibri" w:hAnsi="宋体" w:cs="Times New Roman"/>
          <w:bCs/>
          <w:color w:val="auto"/>
          <w:kern w:val="2"/>
          <w:highlight w:val="none"/>
        </w:rPr>
        <w:t>桂建管</w:t>
      </w:r>
      <w:r>
        <w:rPr>
          <w:rFonts w:hint="eastAsia" w:ascii="Calibri" w:hAnsi="Calibri" w:cs="Times New Roman"/>
          <w:bCs/>
          <w:color w:val="auto"/>
          <w:kern w:val="2"/>
          <w:highlight w:val="none"/>
        </w:rPr>
        <w:t>〔</w:t>
      </w:r>
      <w:r>
        <w:rPr>
          <w:rFonts w:ascii="Calibri" w:hAnsi="Calibri" w:cs="Times New Roman"/>
          <w:bCs/>
          <w:color w:val="auto"/>
          <w:kern w:val="2"/>
          <w:highlight w:val="none"/>
        </w:rPr>
        <w:t>2013</w:t>
      </w:r>
      <w:r>
        <w:rPr>
          <w:rFonts w:hint="eastAsia" w:ascii="Calibri" w:hAnsi="Calibri" w:cs="Times New Roman"/>
          <w:bCs/>
          <w:color w:val="auto"/>
          <w:kern w:val="2"/>
          <w:highlight w:val="none"/>
        </w:rPr>
        <w:t>〕</w:t>
      </w:r>
      <w:r>
        <w:rPr>
          <w:rFonts w:ascii="Calibri" w:hAnsi="Calibri" w:cs="Times New Roman"/>
          <w:bCs/>
          <w:color w:val="auto"/>
          <w:kern w:val="2"/>
          <w:highlight w:val="none"/>
        </w:rPr>
        <w:t>11</w:t>
      </w:r>
      <w:r>
        <w:rPr>
          <w:rFonts w:hint="eastAsia" w:ascii="Calibri" w:hAnsi="宋体" w:cs="Times New Roman"/>
          <w:bCs/>
          <w:color w:val="auto"/>
          <w:kern w:val="2"/>
          <w:highlight w:val="none"/>
        </w:rPr>
        <w:t>号</w:t>
      </w:r>
      <w:r>
        <w:rPr>
          <w:rFonts w:hint="eastAsia" w:ascii="Calibri" w:hAnsi="Calibri" w:cs="Times New Roman"/>
          <w:bCs/>
          <w:color w:val="auto"/>
          <w:kern w:val="2"/>
          <w:highlight w:val="none"/>
        </w:rPr>
        <w:t>）</w:t>
      </w:r>
      <w:r>
        <w:rPr>
          <w:rFonts w:hint="eastAsia" w:ascii="Calibri" w:hAnsi="宋体" w:cs="Times New Roman"/>
          <w:color w:val="auto"/>
          <w:kern w:val="2"/>
          <w:highlight w:val="none"/>
        </w:rPr>
        <w:t>规定，工程质量检测业务由招标人委托有相应资质的检测机构检测。费用从招标人的项目建设经费中支出并直接支付给检测机构，不计入合同价款内。</w:t>
      </w:r>
    </w:p>
    <w:bookmarkEnd w:id="1421"/>
    <w:bookmarkEnd w:id="1422"/>
    <w:bookmarkEnd w:id="1423"/>
    <w:bookmarkEnd w:id="1424"/>
    <w:bookmarkEnd w:id="1425"/>
    <w:bookmarkEnd w:id="1426"/>
    <w:bookmarkEnd w:id="1427"/>
    <w:bookmarkEnd w:id="1428"/>
    <w:p w14:paraId="22FC4E59">
      <w:pPr>
        <w:keepNext/>
        <w:keepLines/>
        <w:spacing w:line="360" w:lineRule="auto"/>
        <w:outlineLvl w:val="2"/>
        <w:rPr>
          <w:rFonts w:ascii="Cambria" w:hAnsi="Cambria" w:cs="Times New Roman"/>
          <w:color w:val="auto"/>
          <w:kern w:val="2"/>
          <w:sz w:val="32"/>
          <w:szCs w:val="32"/>
          <w:highlight w:val="none"/>
          <w:lang w:val="zh-CN"/>
        </w:rPr>
      </w:pPr>
      <w:bookmarkStart w:id="1448" w:name="_Toc389065305"/>
      <w:bookmarkStart w:id="1449" w:name="_Toc493774803"/>
      <w:bookmarkStart w:id="1450" w:name="_Toc485400635"/>
      <w:bookmarkStart w:id="1451" w:name="_Toc373478386"/>
      <w:bookmarkStart w:id="1452" w:name="_Toc508894104"/>
      <w:bookmarkStart w:id="1453" w:name="_Toc373227739"/>
      <w:bookmarkStart w:id="1454" w:name="_Toc351203642"/>
      <w:bookmarkStart w:id="1455" w:name="_Toc407135242"/>
      <w:bookmarkStart w:id="1456" w:name="_Toc512691442"/>
      <w:bookmarkStart w:id="1457" w:name="_Toc532840048"/>
      <w:bookmarkStart w:id="1458" w:name="_Toc530658066"/>
      <w:bookmarkStart w:id="1459" w:name="_Toc494549239"/>
      <w:r>
        <w:rPr>
          <w:rFonts w:ascii="Cambria" w:hAnsi="Cambria" w:cs="Times New Roman"/>
          <w:color w:val="auto"/>
          <w:kern w:val="2"/>
          <w:sz w:val="32"/>
          <w:szCs w:val="32"/>
          <w:highlight w:val="none"/>
          <w:lang w:val="zh-CN"/>
        </w:rPr>
        <w:t>1</w:t>
      </w:r>
      <w:bookmarkEnd w:id="1384"/>
      <w:bookmarkEnd w:id="1385"/>
      <w:bookmarkEnd w:id="1386"/>
      <w:bookmarkEnd w:id="1387"/>
      <w:bookmarkEnd w:id="1388"/>
      <w:bookmarkEnd w:id="1389"/>
      <w:bookmarkEnd w:id="1390"/>
      <w:bookmarkEnd w:id="1391"/>
      <w:bookmarkEnd w:id="1392"/>
      <w:bookmarkEnd w:id="1393"/>
      <w:bookmarkEnd w:id="1394"/>
      <w:bookmarkEnd w:id="1395"/>
      <w:bookmarkStart w:id="1460" w:name="_Toc297123540"/>
      <w:bookmarkStart w:id="1461" w:name="_Toc297120493"/>
      <w:bookmarkStart w:id="1462" w:name="_Toc296346694"/>
      <w:bookmarkStart w:id="1463" w:name="_Toc300934989"/>
      <w:bookmarkStart w:id="1464" w:name="_Toc304295566"/>
      <w:bookmarkStart w:id="1465" w:name="_Toc303539146"/>
      <w:bookmarkStart w:id="1466" w:name="_Toc297216199"/>
      <w:bookmarkStart w:id="1467" w:name="_Toc292559903"/>
      <w:bookmarkStart w:id="1468" w:name="_Toc292559398"/>
      <w:bookmarkStart w:id="1469" w:name="_Toc296503193"/>
      <w:bookmarkStart w:id="1470" w:name="_Toc296944532"/>
      <w:bookmarkStart w:id="1471" w:name="_Toc296891233"/>
      <w:bookmarkStart w:id="1472" w:name="_Toc297048379"/>
      <w:bookmarkStart w:id="1473" w:name="_Toc296891021"/>
      <w:bookmarkStart w:id="1474" w:name="_Toc296347192"/>
      <w:bookmarkStart w:id="1475" w:name="_Toc312677499"/>
      <w:bookmarkStart w:id="1476" w:name="_Toc312678025"/>
      <w:bookmarkStart w:id="1477" w:name="_Toc267251433"/>
      <w:bookmarkStart w:id="1478" w:name="_Toc267251440"/>
      <w:bookmarkStart w:id="1479" w:name="_Toc267251441"/>
      <w:bookmarkStart w:id="1480" w:name="_Toc267251437"/>
      <w:bookmarkStart w:id="1481" w:name="_Toc267251439"/>
      <w:bookmarkStart w:id="1482" w:name="_Toc267251435"/>
      <w:bookmarkStart w:id="1483" w:name="_Toc267251442"/>
      <w:r>
        <w:rPr>
          <w:rFonts w:ascii="Cambria" w:hAnsi="Cambria" w:cs="Times New Roman"/>
          <w:color w:val="auto"/>
          <w:kern w:val="2"/>
          <w:sz w:val="32"/>
          <w:szCs w:val="32"/>
          <w:highlight w:val="none"/>
          <w:lang w:val="zh-CN"/>
        </w:rPr>
        <w:t xml:space="preserve">0. </w:t>
      </w:r>
      <w:r>
        <w:rPr>
          <w:rFonts w:hint="eastAsia" w:ascii="Cambria" w:hAnsi="宋体" w:cs="Times New Roman"/>
          <w:color w:val="auto"/>
          <w:kern w:val="2"/>
          <w:sz w:val="32"/>
          <w:szCs w:val="32"/>
          <w:highlight w:val="none"/>
          <w:lang w:val="zh-CN"/>
        </w:rPr>
        <w:t>变更</w:t>
      </w:r>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bookmarkEnd w:id="1475"/>
    <w:bookmarkEnd w:id="1476"/>
    <w:p w14:paraId="5D91D82B">
      <w:pPr>
        <w:keepNext/>
        <w:keepLines/>
        <w:spacing w:before="260" w:after="260" w:line="416" w:lineRule="auto"/>
        <w:outlineLvl w:val="2"/>
        <w:rPr>
          <w:rFonts w:ascii="Calibri" w:hAnsi="Calibri" w:cs="Times New Roman"/>
          <w:b/>
          <w:bCs/>
          <w:color w:val="auto"/>
          <w:kern w:val="2"/>
          <w:sz w:val="32"/>
          <w:szCs w:val="32"/>
          <w:highlight w:val="none"/>
        </w:rPr>
      </w:pPr>
      <w:bookmarkStart w:id="1484" w:name="_Toc508894105"/>
      <w:bookmarkStart w:id="1485" w:name="_Toc389065306"/>
      <w:bookmarkStart w:id="1486" w:name="_Toc532840049"/>
      <w:bookmarkStart w:id="1487" w:name="_Toc373227740"/>
      <w:bookmarkStart w:id="1488" w:name="_Toc485400636"/>
      <w:bookmarkStart w:id="1489" w:name="_Toc493774804"/>
      <w:bookmarkStart w:id="1490" w:name="_Toc494549240"/>
      <w:bookmarkStart w:id="1491" w:name="_Toc530658067"/>
      <w:bookmarkStart w:id="1492" w:name="_Toc373478387"/>
      <w:bookmarkStart w:id="1493" w:name="_Toc407135243"/>
      <w:bookmarkStart w:id="1494" w:name="_Toc512691443"/>
      <w:r>
        <w:rPr>
          <w:rFonts w:ascii="Calibri" w:hAnsi="Calibri" w:cs="Times New Roman"/>
          <w:b/>
          <w:bCs/>
          <w:color w:val="auto"/>
          <w:kern w:val="2"/>
          <w:sz w:val="32"/>
          <w:szCs w:val="32"/>
          <w:highlight w:val="none"/>
        </w:rPr>
        <w:t>1</w:t>
      </w:r>
      <w:bookmarkStart w:id="1495" w:name="_Toc297123541"/>
      <w:bookmarkStart w:id="1496" w:name="_Toc297048380"/>
      <w:bookmarkStart w:id="1497" w:name="_Toc296891234"/>
      <w:bookmarkStart w:id="1498" w:name="_Toc296347193"/>
      <w:bookmarkStart w:id="1499" w:name="_Toc292559904"/>
      <w:bookmarkStart w:id="1500" w:name="_Toc296503194"/>
      <w:bookmarkStart w:id="1501" w:name="_Toc312677500"/>
      <w:bookmarkStart w:id="1502" w:name="_Toc303539147"/>
      <w:bookmarkStart w:id="1503" w:name="_Toc297120494"/>
      <w:bookmarkStart w:id="1504" w:name="_Toc292559399"/>
      <w:bookmarkStart w:id="1505" w:name="_Toc297216200"/>
      <w:bookmarkStart w:id="1506" w:name="_Toc296891022"/>
      <w:bookmarkStart w:id="1507" w:name="_Toc300934990"/>
      <w:bookmarkStart w:id="1508" w:name="_Toc304295567"/>
      <w:bookmarkStart w:id="1509" w:name="_Toc296944533"/>
      <w:bookmarkStart w:id="1510" w:name="_Toc312678026"/>
      <w:bookmarkStart w:id="1511" w:name="_Toc296346695"/>
      <w:r>
        <w:rPr>
          <w:rFonts w:ascii="Calibri" w:hAnsi="Calibri" w:cs="Times New Roman"/>
          <w:b/>
          <w:bCs/>
          <w:color w:val="auto"/>
          <w:kern w:val="2"/>
          <w:sz w:val="32"/>
          <w:szCs w:val="32"/>
          <w:highlight w:val="none"/>
        </w:rPr>
        <w:t xml:space="preserve">0.1 </w:t>
      </w:r>
      <w:r>
        <w:rPr>
          <w:rFonts w:hint="eastAsia" w:ascii="Calibri" w:hAnsi="宋体" w:cs="Times New Roman"/>
          <w:b/>
          <w:bCs/>
          <w:color w:val="auto"/>
          <w:kern w:val="2"/>
          <w:sz w:val="32"/>
          <w:szCs w:val="32"/>
          <w:highlight w:val="none"/>
        </w:rPr>
        <w:t>变更的范围</w:t>
      </w:r>
      <w:bookmarkEnd w:id="1484"/>
      <w:bookmarkEnd w:id="1485"/>
      <w:bookmarkEnd w:id="1486"/>
      <w:bookmarkEnd w:id="1487"/>
      <w:bookmarkEnd w:id="1488"/>
      <w:bookmarkEnd w:id="1489"/>
      <w:bookmarkEnd w:id="1490"/>
      <w:bookmarkEnd w:id="1491"/>
      <w:bookmarkEnd w:id="1492"/>
      <w:bookmarkEnd w:id="1493"/>
      <w:bookmarkEnd w:id="1494"/>
    </w:p>
    <w:p w14:paraId="22F9942C">
      <w:pPr>
        <w:spacing w:line="360" w:lineRule="auto"/>
        <w:ind w:firstLine="426"/>
        <w:jc w:val="left"/>
        <w:rPr>
          <w:rFonts w:ascii="Calibri" w:hAnsi="Calibri" w:cs="Times New Roman"/>
          <w:color w:val="auto"/>
          <w:kern w:val="2"/>
          <w:highlight w:val="none"/>
        </w:rPr>
      </w:pPr>
      <w:r>
        <w:rPr>
          <w:rFonts w:hint="eastAsia" w:ascii="Calibri" w:hAnsi="宋体" w:cs="Times New Roman"/>
          <w:color w:val="auto"/>
          <w:kern w:val="2"/>
          <w:highlight w:val="none"/>
        </w:rPr>
        <w:t>关于变更的范围的约定：</w:t>
      </w:r>
      <w:r>
        <w:rPr>
          <w:rFonts w:hint="eastAsia" w:ascii="Calibri" w:hAnsi="Calibri" w:cs="Times New Roman"/>
          <w:color w:val="auto"/>
          <w:kern w:val="2"/>
          <w:highlight w:val="none"/>
          <w:u w:val="single"/>
        </w:rPr>
        <w:t>设计变更、施工变更或施工过程中出现新增项目、</w:t>
      </w:r>
      <w:r>
        <w:rPr>
          <w:rFonts w:hint="eastAsia" w:ascii="Calibri" w:hAnsi="Calibri" w:cs="Times New Roman"/>
          <w:color w:val="auto"/>
          <w:kern w:val="2"/>
          <w:highlight w:val="none"/>
          <w:u w:val="single"/>
          <w:lang w:eastAsia="zh-CN"/>
        </w:rPr>
        <w:t>采购</w:t>
      </w:r>
      <w:r>
        <w:rPr>
          <w:rFonts w:hint="eastAsia" w:ascii="Calibri" w:hAnsi="Calibri" w:cs="Times New Roman"/>
          <w:color w:val="auto"/>
          <w:kern w:val="2"/>
          <w:highlight w:val="none"/>
          <w:u w:val="single"/>
        </w:rPr>
        <w:t>文件中的暂定价款项目等均属工程变更（所有工程变更须经设计及监理审核确认，最后经发包人书面批准后方能有效）</w:t>
      </w:r>
      <w:r>
        <w:rPr>
          <w:rFonts w:hint="eastAsia" w:ascii="Calibri" w:hAnsi="宋体" w:cs="Times New Roman"/>
          <w:color w:val="auto"/>
          <w:kern w:val="2"/>
          <w:highlight w:val="none"/>
        </w:rPr>
        <w:t>。</w:t>
      </w:r>
    </w:p>
    <w:p w14:paraId="2FAAD503">
      <w:pPr>
        <w:keepNext/>
        <w:keepLines/>
        <w:spacing w:before="260" w:after="260" w:line="416" w:lineRule="auto"/>
        <w:outlineLvl w:val="2"/>
        <w:rPr>
          <w:rFonts w:ascii="Calibri" w:hAnsi="Calibri" w:cs="Times New Roman"/>
          <w:b/>
          <w:bCs/>
          <w:color w:val="auto"/>
          <w:kern w:val="2"/>
          <w:sz w:val="32"/>
          <w:szCs w:val="32"/>
          <w:highlight w:val="none"/>
        </w:rPr>
      </w:pPr>
      <w:bookmarkStart w:id="1512" w:name="_Toc512691444"/>
      <w:bookmarkStart w:id="1513" w:name="_Toc530658068"/>
      <w:bookmarkStart w:id="1514" w:name="_Toc485400637"/>
      <w:bookmarkStart w:id="1515" w:name="_Toc494549241"/>
      <w:bookmarkStart w:id="1516" w:name="_Toc373227741"/>
      <w:bookmarkStart w:id="1517" w:name="_Toc532840050"/>
      <w:bookmarkStart w:id="1518" w:name="_Toc389065307"/>
      <w:bookmarkStart w:id="1519" w:name="_Toc493774805"/>
      <w:bookmarkStart w:id="1520" w:name="_Toc407135244"/>
      <w:bookmarkStart w:id="1521" w:name="_Toc373478388"/>
      <w:bookmarkStart w:id="1522" w:name="_Toc508894106"/>
      <w:r>
        <w:rPr>
          <w:rFonts w:ascii="Calibri" w:hAnsi="Calibri" w:cs="Times New Roman"/>
          <w:b/>
          <w:bCs/>
          <w:color w:val="auto"/>
          <w:kern w:val="2"/>
          <w:sz w:val="32"/>
          <w:szCs w:val="32"/>
          <w:highlight w:val="none"/>
        </w:rPr>
        <w:t xml:space="preserve">10.3 </w:t>
      </w:r>
      <w:r>
        <w:rPr>
          <w:rFonts w:hint="eastAsia" w:ascii="Calibri" w:hAnsi="宋体" w:cs="Times New Roman"/>
          <w:b/>
          <w:bCs/>
          <w:color w:val="auto"/>
          <w:kern w:val="2"/>
          <w:sz w:val="32"/>
          <w:szCs w:val="32"/>
          <w:highlight w:val="none"/>
        </w:rPr>
        <w:t>变更程序</w:t>
      </w:r>
      <w:bookmarkEnd w:id="1512"/>
      <w:bookmarkEnd w:id="1513"/>
      <w:bookmarkEnd w:id="1514"/>
      <w:bookmarkEnd w:id="1515"/>
      <w:bookmarkEnd w:id="1516"/>
      <w:bookmarkEnd w:id="1517"/>
      <w:bookmarkEnd w:id="1518"/>
      <w:bookmarkEnd w:id="1519"/>
      <w:bookmarkEnd w:id="1520"/>
      <w:bookmarkEnd w:id="1521"/>
      <w:bookmarkEnd w:id="1522"/>
    </w:p>
    <w:p w14:paraId="4D1A43E8">
      <w:pPr>
        <w:spacing w:line="360" w:lineRule="auto"/>
        <w:ind w:firstLine="441" w:firstLineChars="210"/>
        <w:rPr>
          <w:rFonts w:ascii="Times New Roman" w:cs="Times New Roman"/>
          <w:bCs/>
          <w:color w:val="auto"/>
          <w:kern w:val="2"/>
          <w:highlight w:val="none"/>
        </w:rPr>
      </w:pPr>
      <w:r>
        <w:rPr>
          <w:rFonts w:ascii="Times New Roman" w:cs="Times New Roman"/>
          <w:bCs/>
          <w:color w:val="auto"/>
          <w:kern w:val="2"/>
          <w:highlight w:val="none"/>
        </w:rPr>
        <w:t xml:space="preserve">10.3.1 </w:t>
      </w:r>
      <w:r>
        <w:rPr>
          <w:rFonts w:hint="eastAsia" w:ascii="Times New Roman" w:cs="Times New Roman"/>
          <w:bCs/>
          <w:color w:val="auto"/>
          <w:kern w:val="2"/>
          <w:highlight w:val="none"/>
        </w:rPr>
        <w:t>政府及国有投资项目：</w:t>
      </w:r>
    </w:p>
    <w:p w14:paraId="0DFE43AB">
      <w:pPr>
        <w:spacing w:line="360" w:lineRule="auto"/>
        <w:ind w:firstLine="441" w:firstLineChars="210"/>
        <w:rPr>
          <w:rFonts w:ascii="Times New Roman" w:cs="Times New Roman"/>
          <w:bCs/>
          <w:color w:val="auto"/>
          <w:kern w:val="2"/>
          <w:highlight w:val="none"/>
        </w:rPr>
      </w:pPr>
      <w:r>
        <w:rPr>
          <w:rFonts w:hint="eastAsia" w:ascii="Times New Roman" w:hAnsi="宋体" w:cs="Times New Roman"/>
          <w:bCs/>
          <w:color w:val="auto"/>
          <w:kern w:val="2"/>
          <w:highlight w:val="none"/>
        </w:rPr>
        <w:t>⑴</w:t>
      </w:r>
      <w:r>
        <w:rPr>
          <w:rFonts w:hint="eastAsia" w:ascii="Times New Roman" w:cs="Times New Roman"/>
          <w:bCs/>
          <w:color w:val="auto"/>
          <w:kern w:val="2"/>
          <w:highlight w:val="none"/>
        </w:rPr>
        <w:t>设计变更和工程签证，按各市政府或相关部门的规定办理。属不可抗力（自然灾害、突发事件等）造成变更的，按特事特办原则予以办理。</w:t>
      </w:r>
    </w:p>
    <w:p w14:paraId="7C6DD51D">
      <w:pPr>
        <w:spacing w:line="360" w:lineRule="auto"/>
        <w:ind w:firstLine="441" w:firstLineChars="210"/>
        <w:rPr>
          <w:rFonts w:ascii="Times New Roman" w:cs="Times New Roman"/>
          <w:bCs/>
          <w:color w:val="auto"/>
          <w:kern w:val="2"/>
          <w:highlight w:val="none"/>
        </w:rPr>
      </w:pPr>
      <w:r>
        <w:rPr>
          <w:rFonts w:hint="eastAsia" w:ascii="Times New Roman" w:hAnsi="宋体" w:cs="Times New Roman"/>
          <w:bCs/>
          <w:color w:val="auto"/>
          <w:kern w:val="2"/>
          <w:highlight w:val="none"/>
        </w:rPr>
        <w:t>⑵</w:t>
      </w:r>
      <w:r>
        <w:rPr>
          <w:rFonts w:hint="eastAsia" w:ascii="Times New Roman" w:cs="Times New Roman"/>
          <w:bCs/>
          <w:color w:val="auto"/>
          <w:kern w:val="2"/>
          <w:highlight w:val="none"/>
        </w:rPr>
        <w:t>建设单位在实施项目过程中，若发生单价变动，由建设单位、监理单位、施工单位及其他相关单位共同商定并签字确认。</w:t>
      </w:r>
    </w:p>
    <w:p w14:paraId="0E7CBA5C">
      <w:pPr>
        <w:spacing w:line="360" w:lineRule="auto"/>
        <w:ind w:firstLine="420" w:firstLineChars="200"/>
        <w:jc w:val="left"/>
        <w:rPr>
          <w:rFonts w:ascii="Calibri" w:hAnsi="Calibri" w:cs="Times New Roman"/>
          <w:bCs/>
          <w:color w:val="auto"/>
          <w:kern w:val="2"/>
          <w:highlight w:val="none"/>
        </w:rPr>
      </w:pPr>
      <w:r>
        <w:rPr>
          <w:rFonts w:hint="eastAsia" w:ascii="Calibri" w:hAnsi="宋体" w:cs="Times New Roman"/>
          <w:bCs/>
          <w:color w:val="auto"/>
          <w:kern w:val="2"/>
          <w:highlight w:val="none"/>
        </w:rPr>
        <w:t>⑶</w:t>
      </w:r>
      <w:r>
        <w:rPr>
          <w:rFonts w:ascii="Calibri" w:hAnsi="Calibri" w:cs="Times New Roman"/>
          <w:bCs/>
          <w:color w:val="auto"/>
          <w:kern w:val="2"/>
          <w:highlight w:val="none"/>
        </w:rPr>
        <w:t xml:space="preserve"> </w:t>
      </w:r>
      <w:r>
        <w:rPr>
          <w:rFonts w:hint="eastAsia" w:ascii="Calibri" w:hAnsi="Calibri" w:cs="Times New Roman"/>
          <w:bCs/>
          <w:color w:val="auto"/>
          <w:kern w:val="2"/>
          <w:highlight w:val="none"/>
        </w:rPr>
        <w:t>当合同规定的合同价款调整情况发生后，承包人未在规定时间内通知发包人，或者未在规定时间内提出调整报告，发包人可以根据有关资料，决定是否调整和调整的金额，并书面通知承包人。</w:t>
      </w:r>
    </w:p>
    <w:p w14:paraId="6BC9C7C4">
      <w:pPr>
        <w:spacing w:line="360" w:lineRule="auto"/>
        <w:ind w:firstLine="420" w:firstLineChars="200"/>
        <w:jc w:val="left"/>
        <w:rPr>
          <w:rFonts w:ascii="Calibri" w:hAnsi="Calibri" w:cs="Times New Roman"/>
          <w:bCs/>
          <w:color w:val="auto"/>
          <w:kern w:val="2"/>
          <w:highlight w:val="none"/>
        </w:rPr>
      </w:pPr>
      <w:r>
        <w:rPr>
          <w:rFonts w:ascii="Calibri" w:hAnsi="Calibri" w:cs="Times New Roman"/>
          <w:bCs/>
          <w:color w:val="auto"/>
          <w:kern w:val="2"/>
          <w:highlight w:val="none"/>
        </w:rPr>
        <w:t xml:space="preserve">10.3.2 </w:t>
      </w:r>
      <w:r>
        <w:rPr>
          <w:rFonts w:hint="eastAsia" w:ascii="Calibri" w:hAnsi="Calibri" w:cs="Times New Roman"/>
          <w:bCs/>
          <w:color w:val="auto"/>
          <w:kern w:val="2"/>
          <w:highlight w:val="none"/>
        </w:rPr>
        <w:t>非国有投资项目：</w:t>
      </w:r>
      <w:r>
        <w:rPr>
          <w:rFonts w:ascii="Calibri" w:hAnsi="Calibri" w:cs="Times New Roman"/>
          <w:bCs/>
          <w:color w:val="auto"/>
          <w:kern w:val="2"/>
          <w:highlight w:val="none"/>
          <w:u w:val="single"/>
        </w:rPr>
        <w:t>/</w:t>
      </w:r>
      <w:r>
        <w:rPr>
          <w:rFonts w:hint="eastAsia" w:ascii="Calibri" w:hAnsi="宋体" w:cs="Times New Roman"/>
          <w:bCs/>
          <w:color w:val="auto"/>
          <w:kern w:val="2"/>
          <w:highlight w:val="none"/>
        </w:rPr>
        <w:t>。</w:t>
      </w:r>
    </w:p>
    <w:p w14:paraId="2F260174">
      <w:pPr>
        <w:keepNext/>
        <w:keepLines/>
        <w:spacing w:before="260" w:after="260" w:line="416" w:lineRule="auto"/>
        <w:outlineLvl w:val="2"/>
        <w:rPr>
          <w:rFonts w:ascii="Calibri" w:hAnsi="Calibri" w:cs="Times New Roman"/>
          <w:b/>
          <w:bCs/>
          <w:color w:val="auto"/>
          <w:kern w:val="2"/>
          <w:sz w:val="32"/>
          <w:szCs w:val="32"/>
          <w:highlight w:val="none"/>
        </w:rPr>
      </w:pPr>
      <w:bookmarkStart w:id="1523" w:name="_Toc508894107"/>
      <w:bookmarkStart w:id="1524" w:name="_Toc485400638"/>
      <w:bookmarkStart w:id="1525" w:name="_Toc373478389"/>
      <w:bookmarkStart w:id="1526" w:name="_Toc407135245"/>
      <w:bookmarkStart w:id="1527" w:name="_Toc494549242"/>
      <w:bookmarkStart w:id="1528" w:name="_Toc373227742"/>
      <w:bookmarkStart w:id="1529" w:name="_Toc493774806"/>
      <w:bookmarkStart w:id="1530" w:name="_Toc512691445"/>
      <w:bookmarkStart w:id="1531" w:name="_Toc532840051"/>
      <w:bookmarkStart w:id="1532" w:name="_Toc530658069"/>
      <w:bookmarkStart w:id="1533" w:name="_Toc389065308"/>
      <w:r>
        <w:rPr>
          <w:rFonts w:ascii="Calibri" w:hAnsi="Calibri" w:cs="Times New Roman"/>
          <w:b/>
          <w:bCs/>
          <w:color w:val="auto"/>
          <w:kern w:val="2"/>
          <w:sz w:val="32"/>
          <w:szCs w:val="32"/>
          <w:highlight w:val="none"/>
        </w:rPr>
        <w:t xml:space="preserve">10.4 </w:t>
      </w:r>
      <w:r>
        <w:rPr>
          <w:rFonts w:hint="eastAsia" w:ascii="Calibri" w:hAnsi="宋体" w:cs="Times New Roman"/>
          <w:b/>
          <w:bCs/>
          <w:color w:val="auto"/>
          <w:kern w:val="2"/>
          <w:sz w:val="32"/>
          <w:szCs w:val="32"/>
          <w:highlight w:val="none"/>
        </w:rPr>
        <w:t>变更估价</w:t>
      </w:r>
      <w:bookmarkEnd w:id="1523"/>
      <w:bookmarkEnd w:id="1524"/>
      <w:bookmarkEnd w:id="1525"/>
      <w:bookmarkEnd w:id="1526"/>
      <w:bookmarkEnd w:id="1527"/>
      <w:bookmarkEnd w:id="1528"/>
      <w:bookmarkEnd w:id="1529"/>
      <w:bookmarkEnd w:id="1530"/>
      <w:bookmarkEnd w:id="1531"/>
      <w:bookmarkEnd w:id="1532"/>
      <w:bookmarkEnd w:id="1533"/>
    </w:p>
    <w:p w14:paraId="6679C63B">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10.4.1 </w:t>
      </w:r>
      <w:r>
        <w:rPr>
          <w:rFonts w:hint="eastAsia" w:ascii="Calibri" w:hAnsi="宋体" w:cs="Times New Roman"/>
          <w:color w:val="auto"/>
          <w:kern w:val="2"/>
          <w:highlight w:val="none"/>
        </w:rPr>
        <w:t>变更估价原则</w:t>
      </w:r>
    </w:p>
    <w:p w14:paraId="41B1EABA">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关于变更估价的约定</w:t>
      </w:r>
      <w:r>
        <w:rPr>
          <w:rFonts w:ascii="Calibri" w:hAnsi="Calibri" w:cs="Times New Roman"/>
          <w:color w:val="auto"/>
          <w:kern w:val="2"/>
          <w:highlight w:val="none"/>
        </w:rPr>
        <w:t xml:space="preserve">: </w:t>
      </w:r>
      <w:bookmarkStart w:id="1534" w:name="_Toc251051742"/>
      <w:r>
        <w:rPr>
          <w:rFonts w:hint="eastAsia" w:ascii="Calibri" w:hAnsi="宋体" w:cs="Times New Roman"/>
          <w:bCs/>
          <w:color w:val="auto"/>
          <w:kern w:val="2"/>
          <w:highlight w:val="none"/>
          <w:u w:val="single"/>
        </w:rPr>
        <w:t>因设计变更、相关签证引起工程项目、工程量任何变化的，变更合同价款按下列方法进行：（</w:t>
      </w:r>
      <w:r>
        <w:rPr>
          <w:rFonts w:ascii="Calibri" w:hAnsi="Calibri" w:cs="Times New Roman"/>
          <w:bCs/>
          <w:color w:val="auto"/>
          <w:kern w:val="2"/>
          <w:highlight w:val="none"/>
          <w:u w:val="single"/>
        </w:rPr>
        <w:t>1</w:t>
      </w:r>
      <w:r>
        <w:rPr>
          <w:rFonts w:hint="eastAsia" w:ascii="Calibri" w:hAnsi="宋体" w:cs="Times New Roman"/>
          <w:bCs/>
          <w:color w:val="auto"/>
          <w:kern w:val="2"/>
          <w:highlight w:val="none"/>
          <w:u w:val="single"/>
        </w:rPr>
        <w:t>）合同中已有相同清单项目的，按合同该清单项目价格进行计算；（</w:t>
      </w:r>
      <w:r>
        <w:rPr>
          <w:rFonts w:ascii="Calibri" w:hAnsi="Calibri" w:cs="Times New Roman"/>
          <w:bCs/>
          <w:color w:val="auto"/>
          <w:kern w:val="2"/>
          <w:highlight w:val="none"/>
          <w:u w:val="single"/>
        </w:rPr>
        <w:t>2</w:t>
      </w:r>
      <w:r>
        <w:rPr>
          <w:rFonts w:hint="eastAsia" w:ascii="Calibri" w:hAnsi="宋体" w:cs="Times New Roman"/>
          <w:bCs/>
          <w:color w:val="auto"/>
          <w:kern w:val="2"/>
          <w:highlight w:val="none"/>
          <w:u w:val="single"/>
        </w:rPr>
        <w:t>）合同中只有类似清单项目的，参照该类似清单项目价格进行计算；（</w:t>
      </w:r>
      <w:r>
        <w:rPr>
          <w:rFonts w:ascii="Calibri" w:hAnsi="Calibri" w:cs="Times New Roman"/>
          <w:bCs/>
          <w:color w:val="auto"/>
          <w:kern w:val="2"/>
          <w:highlight w:val="none"/>
          <w:u w:val="single"/>
        </w:rPr>
        <w:t>3</w:t>
      </w:r>
      <w:r>
        <w:rPr>
          <w:rFonts w:hint="eastAsia" w:ascii="Calibri" w:hAnsi="宋体" w:cs="Times New Roman"/>
          <w:bCs/>
          <w:color w:val="auto"/>
          <w:kern w:val="2"/>
          <w:highlight w:val="none"/>
          <w:u w:val="single"/>
        </w:rPr>
        <w:t>）合同中没有适用或类似清单项目的价格计算方法：有定额的套定额，并乘以系数</w:t>
      </w:r>
      <w:r>
        <w:rPr>
          <w:rFonts w:ascii="Calibri" w:hAnsi="Calibri" w:cs="Times New Roman"/>
          <w:bCs/>
          <w:color w:val="auto"/>
          <w:kern w:val="2"/>
          <w:highlight w:val="none"/>
          <w:u w:val="single"/>
        </w:rPr>
        <w:t xml:space="preserve">      %(</w:t>
      </w:r>
      <w:r>
        <w:rPr>
          <w:rFonts w:hint="eastAsia" w:ascii="Calibri" w:hAnsi="Calibri" w:cs="Times New Roman"/>
          <w:bCs/>
          <w:color w:val="auto"/>
          <w:kern w:val="2"/>
          <w:highlight w:val="none"/>
          <w:u w:val="single"/>
        </w:rPr>
        <w:t>中标价</w:t>
      </w:r>
      <w:r>
        <w:rPr>
          <w:rFonts w:ascii="Calibri" w:hAnsi="Calibri" w:cs="Times New Roman"/>
          <w:bCs/>
          <w:color w:val="auto"/>
          <w:kern w:val="2"/>
          <w:highlight w:val="none"/>
          <w:u w:val="single"/>
        </w:rPr>
        <w:t>/</w:t>
      </w:r>
      <w:r>
        <w:rPr>
          <w:rFonts w:hint="eastAsia" w:ascii="Calibri" w:hAnsi="Calibri" w:cs="Times New Roman"/>
          <w:bCs/>
          <w:color w:val="auto"/>
          <w:kern w:val="2"/>
          <w:highlight w:val="none"/>
          <w:u w:val="single"/>
        </w:rPr>
        <w:t>招标控制价</w:t>
      </w:r>
      <w:r>
        <w:rPr>
          <w:rFonts w:ascii="Calibri" w:hAnsi="Calibri" w:cs="Times New Roman"/>
          <w:bCs/>
          <w:color w:val="auto"/>
          <w:kern w:val="2"/>
          <w:highlight w:val="none"/>
          <w:u w:val="single"/>
        </w:rPr>
        <w:t>)</w:t>
      </w:r>
      <w:r>
        <w:rPr>
          <w:rFonts w:hint="eastAsia" w:ascii="Calibri" w:hAnsi="Calibri" w:cs="Times New Roman"/>
          <w:bCs/>
          <w:color w:val="auto"/>
          <w:kern w:val="2"/>
          <w:highlight w:val="none"/>
          <w:u w:val="single"/>
        </w:rPr>
        <w:t>，</w:t>
      </w:r>
      <w:r>
        <w:rPr>
          <w:rFonts w:hint="eastAsia" w:ascii="Calibri" w:hAnsi="宋体" w:cs="Times New Roman"/>
          <w:bCs/>
          <w:color w:val="auto"/>
          <w:kern w:val="2"/>
          <w:highlight w:val="none"/>
          <w:u w:val="single"/>
        </w:rPr>
        <w:t>计算，其中材料价格按施工期间的《贺州市建设工程造价信息》相应价格信息进行计算；《</w:t>
      </w:r>
      <w:r>
        <w:rPr>
          <w:rFonts w:hint="eastAsia" w:ascii="Calibri" w:hAnsi="Calibri" w:cs="Times New Roman"/>
          <w:bCs/>
          <w:color w:val="auto"/>
          <w:kern w:val="2"/>
          <w:highlight w:val="none"/>
          <w:u w:val="single"/>
        </w:rPr>
        <w:t>贺州</w:t>
      </w:r>
      <w:r>
        <w:rPr>
          <w:rFonts w:hint="eastAsia" w:ascii="Calibri" w:hAnsi="宋体" w:cs="Times New Roman"/>
          <w:bCs/>
          <w:color w:val="auto"/>
          <w:kern w:val="2"/>
          <w:highlight w:val="none"/>
          <w:u w:val="single"/>
        </w:rPr>
        <w:t>市建设工程造价信息》没有相应价格信息的按市场价计算；无定额可套的，根据市场价格协商确定综合价格；对于政府及国有资金投资的项目，新增项目的单价必须经</w:t>
      </w:r>
      <w:r>
        <w:rPr>
          <w:rFonts w:hint="eastAsia" w:ascii="Calibri" w:hAnsi="Calibri" w:cs="Times New Roman"/>
          <w:bCs/>
          <w:color w:val="auto"/>
          <w:kern w:val="2"/>
          <w:highlight w:val="none"/>
          <w:u w:val="single"/>
        </w:rPr>
        <w:t>财政或招标人</w:t>
      </w:r>
      <w:r>
        <w:rPr>
          <w:rFonts w:hint="eastAsia" w:ascii="Calibri" w:hAnsi="宋体" w:cs="Times New Roman"/>
          <w:bCs/>
          <w:color w:val="auto"/>
          <w:kern w:val="2"/>
          <w:highlight w:val="none"/>
          <w:u w:val="single"/>
        </w:rPr>
        <w:t>审定</w:t>
      </w:r>
      <w:bookmarkEnd w:id="1534"/>
      <w:r>
        <w:rPr>
          <w:rFonts w:hint="eastAsia" w:ascii="Calibri" w:hAnsi="宋体" w:cs="Times New Roman"/>
          <w:color w:val="auto"/>
          <w:kern w:val="2"/>
          <w:highlight w:val="none"/>
        </w:rPr>
        <w:t>。</w:t>
      </w:r>
    </w:p>
    <w:p w14:paraId="57C9AB2B">
      <w:pPr>
        <w:keepNext/>
        <w:keepLines/>
        <w:spacing w:before="260" w:after="260" w:line="416" w:lineRule="auto"/>
        <w:outlineLvl w:val="2"/>
        <w:rPr>
          <w:rFonts w:ascii="Calibri" w:hAnsi="Calibri" w:cs="Times New Roman"/>
          <w:b/>
          <w:bCs/>
          <w:color w:val="auto"/>
          <w:kern w:val="2"/>
          <w:sz w:val="32"/>
          <w:szCs w:val="32"/>
          <w:highlight w:val="none"/>
        </w:rPr>
      </w:pPr>
      <w:bookmarkStart w:id="1535" w:name="_Toc373478390"/>
      <w:bookmarkStart w:id="1536" w:name="_Toc532840052"/>
      <w:bookmarkStart w:id="1537" w:name="_Toc407135246"/>
      <w:bookmarkStart w:id="1538" w:name="_Toc485400639"/>
      <w:bookmarkStart w:id="1539" w:name="_Toc508894108"/>
      <w:bookmarkStart w:id="1540" w:name="_Toc389065309"/>
      <w:bookmarkStart w:id="1541" w:name="_Toc512691446"/>
      <w:bookmarkStart w:id="1542" w:name="_Toc530658070"/>
      <w:bookmarkStart w:id="1543" w:name="_Toc494549243"/>
      <w:bookmarkStart w:id="1544" w:name="_Toc493774807"/>
      <w:bookmarkStart w:id="1545" w:name="_Toc373227743"/>
      <w:r>
        <w:rPr>
          <w:rFonts w:ascii="Calibri" w:hAnsi="Calibri" w:cs="Times New Roman"/>
          <w:b/>
          <w:bCs/>
          <w:color w:val="auto"/>
          <w:kern w:val="2"/>
          <w:sz w:val="32"/>
          <w:szCs w:val="32"/>
          <w:highlight w:val="none"/>
        </w:rPr>
        <w:t>1</w:t>
      </w:r>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Start w:id="1546" w:name="_Toc297216203"/>
      <w:bookmarkStart w:id="1547" w:name="_Toc296891025"/>
      <w:bookmarkStart w:id="1548" w:name="_Toc296891237"/>
      <w:bookmarkStart w:id="1549" w:name="_Toc296346698"/>
      <w:bookmarkStart w:id="1550" w:name="_Toc303539150"/>
      <w:bookmarkStart w:id="1551" w:name="_Toc296944536"/>
      <w:bookmarkStart w:id="1552" w:name="_Toc297123544"/>
      <w:bookmarkStart w:id="1553" w:name="_Toc296503197"/>
      <w:bookmarkStart w:id="1554" w:name="_Toc292559402"/>
      <w:bookmarkStart w:id="1555" w:name="_Toc297048383"/>
      <w:bookmarkStart w:id="1556" w:name="_Toc300934993"/>
      <w:bookmarkStart w:id="1557" w:name="_Toc296347196"/>
      <w:bookmarkStart w:id="1558" w:name="_Toc297120497"/>
      <w:bookmarkStart w:id="1559" w:name="_Toc292559907"/>
      <w:bookmarkStart w:id="1560" w:name="_Toc312678029"/>
      <w:bookmarkStart w:id="1561" w:name="_Toc312677503"/>
      <w:bookmarkStart w:id="1562" w:name="_Toc304295570"/>
      <w:r>
        <w:rPr>
          <w:rFonts w:ascii="Calibri" w:hAnsi="Calibri" w:cs="Times New Roman"/>
          <w:b/>
          <w:bCs/>
          <w:color w:val="auto"/>
          <w:kern w:val="2"/>
          <w:sz w:val="32"/>
          <w:szCs w:val="32"/>
          <w:highlight w:val="none"/>
        </w:rPr>
        <w:t xml:space="preserve">0.5 </w:t>
      </w:r>
      <w:r>
        <w:rPr>
          <w:rFonts w:hint="eastAsia" w:ascii="Calibri" w:hAnsi="Calibri" w:cs="Times New Roman"/>
          <w:b/>
          <w:bCs/>
          <w:color w:val="auto"/>
          <w:kern w:val="2"/>
          <w:sz w:val="32"/>
          <w:szCs w:val="32"/>
          <w:highlight w:val="none"/>
        </w:rPr>
        <w:t>承</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Start w:id="1563" w:name="_Toc292559408"/>
      <w:bookmarkStart w:id="1564" w:name="_Toc296891243"/>
      <w:bookmarkStart w:id="1565" w:name="_Toc297216204"/>
      <w:bookmarkStart w:id="1566" w:name="_Toc297048389"/>
      <w:bookmarkStart w:id="1567" w:name="_Toc292559913"/>
      <w:bookmarkStart w:id="1568" w:name="_Toc296347202"/>
      <w:bookmarkStart w:id="1569" w:name="_Toc300934994"/>
      <w:bookmarkStart w:id="1570" w:name="_Toc296891031"/>
      <w:bookmarkStart w:id="1571" w:name="_Toc296346704"/>
      <w:bookmarkStart w:id="1572" w:name="_Toc297120503"/>
      <w:bookmarkStart w:id="1573" w:name="_Toc296503203"/>
      <w:bookmarkStart w:id="1574" w:name="_Toc296944542"/>
      <w:bookmarkStart w:id="1575" w:name="_Toc303539151"/>
      <w:bookmarkStart w:id="1576" w:name="_Toc297123545"/>
      <w:r>
        <w:rPr>
          <w:rFonts w:hint="eastAsia" w:ascii="Calibri" w:hAnsi="Calibri" w:cs="Times New Roman"/>
          <w:b/>
          <w:bCs/>
          <w:color w:val="auto"/>
          <w:kern w:val="2"/>
          <w:sz w:val="32"/>
          <w:szCs w:val="32"/>
          <w:highlight w:val="none"/>
        </w:rPr>
        <w:t>包人的合理化建议</w:t>
      </w:r>
      <w:bookmarkEnd w:id="1535"/>
      <w:bookmarkEnd w:id="1536"/>
      <w:bookmarkEnd w:id="1537"/>
      <w:bookmarkEnd w:id="1538"/>
      <w:bookmarkEnd w:id="1539"/>
      <w:bookmarkEnd w:id="1540"/>
      <w:bookmarkEnd w:id="1541"/>
      <w:bookmarkEnd w:id="1542"/>
      <w:bookmarkEnd w:id="1543"/>
      <w:bookmarkEnd w:id="1544"/>
      <w:bookmarkEnd w:id="1545"/>
    </w:p>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p w14:paraId="37CFB483">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监理人审查承包人合理化建议的期限：</w:t>
      </w:r>
      <w:r>
        <w:rPr>
          <w:rFonts w:hint="eastAsia" w:ascii="Calibri" w:hAnsi="Calibri" w:cs="Times New Roman"/>
          <w:color w:val="auto"/>
          <w:kern w:val="2"/>
          <w:highlight w:val="none"/>
          <w:u w:val="single"/>
        </w:rPr>
        <w:t>提交合理化建议后</w:t>
      </w:r>
      <w:r>
        <w:rPr>
          <w:rFonts w:ascii="Calibri" w:hAnsi="Calibri" w:cs="Times New Roman"/>
          <w:color w:val="auto"/>
          <w:kern w:val="2"/>
          <w:highlight w:val="none"/>
          <w:u w:val="single"/>
        </w:rPr>
        <w:t>14</w:t>
      </w:r>
      <w:r>
        <w:rPr>
          <w:rFonts w:hint="eastAsia" w:ascii="Calibri" w:hAnsi="Calibri" w:cs="Times New Roman"/>
          <w:color w:val="auto"/>
          <w:kern w:val="2"/>
          <w:highlight w:val="none"/>
          <w:u w:val="single"/>
        </w:rPr>
        <w:t>天内</w:t>
      </w:r>
      <w:r>
        <w:rPr>
          <w:rFonts w:hint="eastAsia" w:ascii="Calibri" w:hAnsi="宋体" w:cs="Times New Roman"/>
          <w:color w:val="auto"/>
          <w:kern w:val="2"/>
          <w:highlight w:val="none"/>
        </w:rPr>
        <w:t>。</w:t>
      </w:r>
    </w:p>
    <w:p w14:paraId="031FEB0C">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发包人审批承包人合理化建议的期限：</w:t>
      </w:r>
      <w:r>
        <w:rPr>
          <w:rFonts w:hint="eastAsia" w:ascii="Calibri" w:hAnsi="Calibri" w:cs="Times New Roman"/>
          <w:color w:val="auto"/>
          <w:kern w:val="2"/>
          <w:highlight w:val="none"/>
          <w:u w:val="single"/>
        </w:rPr>
        <w:t>提交合理化建议后</w:t>
      </w:r>
      <w:r>
        <w:rPr>
          <w:rFonts w:ascii="Calibri" w:hAnsi="Calibri" w:cs="Times New Roman"/>
          <w:color w:val="auto"/>
          <w:kern w:val="2"/>
          <w:highlight w:val="none"/>
          <w:u w:val="single"/>
        </w:rPr>
        <w:t>14</w:t>
      </w:r>
      <w:r>
        <w:rPr>
          <w:rFonts w:hint="eastAsia" w:ascii="Calibri" w:hAnsi="Calibri" w:cs="Times New Roman"/>
          <w:color w:val="auto"/>
          <w:kern w:val="2"/>
          <w:highlight w:val="none"/>
          <w:u w:val="single"/>
        </w:rPr>
        <w:t>天内</w:t>
      </w:r>
      <w:r>
        <w:rPr>
          <w:rFonts w:hint="eastAsia" w:ascii="Calibri" w:hAnsi="宋体" w:cs="Times New Roman"/>
          <w:color w:val="auto"/>
          <w:kern w:val="2"/>
          <w:highlight w:val="none"/>
        </w:rPr>
        <w:t>。</w:t>
      </w:r>
    </w:p>
    <w:p w14:paraId="363529FF">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承</w:t>
      </w:r>
      <w:bookmarkStart w:id="1577" w:name="_Toc296891032"/>
      <w:bookmarkStart w:id="1578" w:name="_Toc292559914"/>
      <w:bookmarkStart w:id="1579" w:name="_Toc318581175"/>
      <w:bookmarkStart w:id="1580" w:name="_Toc304295571"/>
      <w:bookmarkStart w:id="1581" w:name="_Toc296346705"/>
      <w:bookmarkStart w:id="1582" w:name="_Toc300934995"/>
      <w:bookmarkStart w:id="1583" w:name="_Toc303539152"/>
      <w:bookmarkStart w:id="1584" w:name="_Toc297123546"/>
      <w:bookmarkStart w:id="1585" w:name="_Toc297048390"/>
      <w:bookmarkStart w:id="1586" w:name="_Toc296347203"/>
      <w:bookmarkStart w:id="1587" w:name="_Toc292559409"/>
      <w:bookmarkStart w:id="1588" w:name="_Toc296944543"/>
      <w:bookmarkStart w:id="1589" w:name="_Toc297216205"/>
      <w:bookmarkStart w:id="1590" w:name="_Toc296891244"/>
      <w:bookmarkStart w:id="1591" w:name="_Toc312678030"/>
      <w:bookmarkStart w:id="1592" w:name="_Toc296503204"/>
      <w:bookmarkStart w:id="1593" w:name="_Toc312677504"/>
      <w:bookmarkStart w:id="1594" w:name="_Toc297120504"/>
      <w:r>
        <w:rPr>
          <w:rFonts w:hint="eastAsia" w:ascii="Calibri" w:hAnsi="宋体" w:cs="Times New Roman"/>
          <w:color w:val="auto"/>
          <w:kern w:val="2"/>
          <w:highlight w:val="none"/>
        </w:rPr>
        <w:t>包人提出的合理化建议降低了合同价格或者提高了工程经济效益的奖励的方法和金额为：</w:t>
      </w:r>
      <w:r>
        <w:rPr>
          <w:rFonts w:ascii="Calibri" w:hAnsi="Calibri" w:cs="Times New Roman"/>
          <w:color w:val="auto"/>
          <w:kern w:val="2"/>
          <w:highlight w:val="none"/>
          <w:u w:val="single"/>
        </w:rPr>
        <w:t>/</w:t>
      </w:r>
      <w:r>
        <w:rPr>
          <w:rFonts w:hint="eastAsia" w:ascii="Calibri" w:hAnsi="宋体" w:cs="Times New Roman"/>
          <w:color w:val="auto"/>
          <w:kern w:val="2"/>
          <w:highlight w:val="none"/>
        </w:rPr>
        <w:t>。</w:t>
      </w:r>
    </w:p>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p w14:paraId="4F52E421">
      <w:pPr>
        <w:keepNext/>
        <w:keepLines/>
        <w:spacing w:before="260" w:after="260" w:line="416" w:lineRule="auto"/>
        <w:outlineLvl w:val="2"/>
        <w:rPr>
          <w:rFonts w:ascii="Calibri" w:hAnsi="Calibri" w:cs="Times New Roman"/>
          <w:b/>
          <w:bCs/>
          <w:color w:val="auto"/>
          <w:kern w:val="2"/>
          <w:sz w:val="32"/>
          <w:szCs w:val="32"/>
          <w:highlight w:val="none"/>
        </w:rPr>
      </w:pPr>
      <w:bookmarkStart w:id="1595" w:name="_Toc532840053"/>
      <w:bookmarkStart w:id="1596" w:name="_Toc389065310"/>
      <w:bookmarkStart w:id="1597" w:name="_Toc373478391"/>
      <w:bookmarkStart w:id="1598" w:name="_Toc530658071"/>
      <w:bookmarkStart w:id="1599" w:name="_Toc407135247"/>
      <w:bookmarkStart w:id="1600" w:name="_Toc493774808"/>
      <w:bookmarkStart w:id="1601" w:name="_Toc373227744"/>
      <w:bookmarkStart w:id="1602" w:name="_Toc512691447"/>
      <w:bookmarkStart w:id="1603" w:name="_Toc485400640"/>
      <w:bookmarkStart w:id="1604" w:name="_Toc494549244"/>
      <w:bookmarkStart w:id="1605" w:name="_Toc508894109"/>
      <w:r>
        <w:rPr>
          <w:rFonts w:ascii="Calibri" w:hAnsi="Calibri" w:cs="Times New Roman"/>
          <w:b/>
          <w:bCs/>
          <w:color w:val="auto"/>
          <w:kern w:val="2"/>
          <w:sz w:val="32"/>
          <w:szCs w:val="32"/>
          <w:highlight w:val="none"/>
        </w:rPr>
        <w:t>1</w:t>
      </w:r>
      <w:bookmarkStart w:id="1606" w:name="_Toc297048385"/>
      <w:bookmarkStart w:id="1607" w:name="_Toc297120499"/>
      <w:bookmarkStart w:id="1608" w:name="_Toc312678033"/>
      <w:bookmarkStart w:id="1609" w:name="_Toc296503199"/>
      <w:bookmarkStart w:id="1610" w:name="_Toc292559404"/>
      <w:bookmarkStart w:id="1611" w:name="_Toc300934997"/>
      <w:bookmarkStart w:id="1612" w:name="_Toc296347198"/>
      <w:bookmarkStart w:id="1613" w:name="_Toc297123548"/>
      <w:bookmarkStart w:id="1614" w:name="_Toc296346700"/>
      <w:bookmarkStart w:id="1615" w:name="_Toc296891239"/>
      <w:bookmarkStart w:id="1616" w:name="_Toc296891027"/>
      <w:bookmarkStart w:id="1617" w:name="_Toc297216207"/>
      <w:bookmarkStart w:id="1618" w:name="_Toc312677507"/>
      <w:bookmarkStart w:id="1619" w:name="_Toc304295574"/>
      <w:bookmarkStart w:id="1620" w:name="_Toc296944538"/>
      <w:bookmarkStart w:id="1621" w:name="_Toc303539154"/>
      <w:bookmarkStart w:id="1622" w:name="_Toc292559909"/>
      <w:r>
        <w:rPr>
          <w:rFonts w:ascii="Calibri" w:hAnsi="Calibri" w:cs="Times New Roman"/>
          <w:b/>
          <w:bCs/>
          <w:color w:val="auto"/>
          <w:kern w:val="2"/>
          <w:sz w:val="32"/>
          <w:szCs w:val="32"/>
          <w:highlight w:val="none"/>
        </w:rPr>
        <w:t xml:space="preserve">0.7 </w:t>
      </w:r>
      <w:r>
        <w:rPr>
          <w:rFonts w:hint="eastAsia" w:ascii="Calibri" w:hAnsi="宋体" w:cs="Times New Roman"/>
          <w:b/>
          <w:bCs/>
          <w:color w:val="auto"/>
          <w:kern w:val="2"/>
          <w:sz w:val="32"/>
          <w:szCs w:val="32"/>
          <w:highlight w:val="none"/>
        </w:rPr>
        <w:t>暂估价</w:t>
      </w:r>
      <w:bookmarkEnd w:id="1595"/>
      <w:bookmarkEnd w:id="1596"/>
      <w:bookmarkEnd w:id="1597"/>
      <w:bookmarkEnd w:id="1598"/>
      <w:bookmarkEnd w:id="1599"/>
      <w:bookmarkEnd w:id="1600"/>
      <w:bookmarkEnd w:id="1601"/>
      <w:bookmarkEnd w:id="1602"/>
      <w:bookmarkEnd w:id="1603"/>
      <w:bookmarkEnd w:id="1604"/>
      <w:bookmarkEnd w:id="1605"/>
    </w:p>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14:paraId="51E8A715">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highlight w:val="none"/>
        </w:rPr>
        <w:t>暂</w:t>
      </w:r>
      <w:bookmarkStart w:id="1623" w:name="_Toc318581176"/>
      <w:bookmarkStart w:id="1624" w:name="_Toc312678034"/>
      <w:bookmarkStart w:id="1625" w:name="_Toc312677508"/>
      <w:r>
        <w:rPr>
          <w:rFonts w:hint="eastAsia" w:ascii="Calibri" w:hAnsi="宋体" w:cs="Times New Roman"/>
          <w:color w:val="auto"/>
          <w:highlight w:val="none"/>
        </w:rPr>
        <w:t>估价材料和工程设备的明细详见已标价工程量清单《</w:t>
      </w:r>
      <w:r>
        <w:rPr>
          <w:rFonts w:hint="eastAsia" w:ascii="Calibri" w:hAnsi="Calibri" w:cs="Times New Roman"/>
          <w:color w:val="auto"/>
          <w:kern w:val="2"/>
          <w:highlight w:val="none"/>
        </w:rPr>
        <w:t>材料（工程设备）暂估价格及调整表》</w:t>
      </w:r>
      <w:r>
        <w:rPr>
          <w:rFonts w:hint="eastAsia" w:ascii="Calibri" w:hAnsi="宋体" w:cs="Times New Roman"/>
          <w:color w:val="auto"/>
          <w:highlight w:val="none"/>
        </w:rPr>
        <w:t>（表</w:t>
      </w:r>
      <w:r>
        <w:rPr>
          <w:rFonts w:ascii="Calibri" w:hAnsi="宋体" w:cs="Times New Roman"/>
          <w:color w:val="auto"/>
          <w:highlight w:val="none"/>
        </w:rPr>
        <w:t>12-2</w:t>
      </w:r>
      <w:r>
        <w:rPr>
          <w:rFonts w:hint="eastAsia" w:ascii="Calibri" w:hAnsi="宋体" w:cs="Times New Roman"/>
          <w:color w:val="auto"/>
          <w:highlight w:val="none"/>
        </w:rPr>
        <w:t>）和《</w:t>
      </w:r>
      <w:r>
        <w:rPr>
          <w:rFonts w:hint="eastAsia" w:ascii="Calibri" w:hAnsi="Calibri" w:cs="Times New Roman"/>
          <w:color w:val="auto"/>
          <w:kern w:val="2"/>
          <w:highlight w:val="none"/>
        </w:rPr>
        <w:t>专业工程暂估价表》（</w:t>
      </w:r>
      <w:r>
        <w:rPr>
          <w:rFonts w:hint="eastAsia" w:ascii="Calibri" w:hAnsi="宋体" w:cs="Times New Roman"/>
          <w:color w:val="auto"/>
          <w:highlight w:val="none"/>
        </w:rPr>
        <w:t>表</w:t>
      </w:r>
      <w:r>
        <w:rPr>
          <w:rFonts w:ascii="Calibri" w:hAnsi="宋体" w:cs="Times New Roman"/>
          <w:color w:val="auto"/>
          <w:highlight w:val="none"/>
        </w:rPr>
        <w:t>12-3</w:t>
      </w:r>
      <w:r>
        <w:rPr>
          <w:rFonts w:hint="eastAsia" w:ascii="Calibri" w:hAnsi="宋体" w:cs="Times New Roman"/>
          <w:color w:val="auto"/>
          <w:highlight w:val="none"/>
        </w:rPr>
        <w:t>）。</w:t>
      </w:r>
    </w:p>
    <w:bookmarkEnd w:id="1623"/>
    <w:bookmarkEnd w:id="1624"/>
    <w:bookmarkEnd w:id="1625"/>
    <w:p w14:paraId="52B69522">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1</w:t>
      </w:r>
      <w:bookmarkStart w:id="1626" w:name="_Toc318581177"/>
      <w:bookmarkStart w:id="1627" w:name="_Toc312678035"/>
      <w:bookmarkStart w:id="1628" w:name="_Toc312677509"/>
      <w:r>
        <w:rPr>
          <w:rFonts w:ascii="Calibri" w:hAnsi="Calibri" w:cs="Times New Roman"/>
          <w:color w:val="auto"/>
          <w:kern w:val="2"/>
          <w:highlight w:val="none"/>
        </w:rPr>
        <w:t xml:space="preserve">0.7.1 </w:t>
      </w:r>
      <w:r>
        <w:rPr>
          <w:rFonts w:hint="eastAsia" w:ascii="Calibri" w:hAnsi="宋体" w:cs="Times New Roman"/>
          <w:color w:val="auto"/>
          <w:kern w:val="2"/>
          <w:highlight w:val="none"/>
        </w:rPr>
        <w:t>依法必须招标的暂估价项目</w:t>
      </w:r>
    </w:p>
    <w:bookmarkEnd w:id="1626"/>
    <w:bookmarkEnd w:id="1627"/>
    <w:bookmarkEnd w:id="1628"/>
    <w:p w14:paraId="3DBE69FC">
      <w:pPr>
        <w:spacing w:line="360" w:lineRule="auto"/>
        <w:ind w:firstLine="420" w:firstLineChars="200"/>
        <w:jc w:val="left"/>
        <w:rPr>
          <w:rFonts w:ascii="Calibri" w:hAnsi="宋体" w:cs="Times New Roman"/>
          <w:color w:val="auto"/>
          <w:kern w:val="2"/>
          <w:highlight w:val="none"/>
        </w:rPr>
      </w:pPr>
      <w:r>
        <w:rPr>
          <w:rFonts w:hint="eastAsia" w:ascii="Calibri" w:hAnsi="宋体" w:cs="Times New Roman"/>
          <w:color w:val="auto"/>
          <w:kern w:val="2"/>
          <w:highlight w:val="none"/>
        </w:rPr>
        <w:t>对于依法必须招标的暂估价项目的确认和批准采取第</w:t>
      </w:r>
      <w:r>
        <w:rPr>
          <w:rFonts w:ascii="Calibri" w:hAnsi="宋体" w:cs="Times New Roman"/>
          <w:color w:val="auto"/>
          <w:kern w:val="2"/>
          <w:highlight w:val="none"/>
        </w:rPr>
        <w:t>2</w:t>
      </w:r>
      <w:r>
        <w:rPr>
          <w:rFonts w:hint="eastAsia" w:ascii="Calibri" w:hAnsi="宋体" w:cs="Times New Roman"/>
          <w:color w:val="auto"/>
          <w:kern w:val="2"/>
          <w:highlight w:val="none"/>
        </w:rPr>
        <w:t>种方式确定。</w:t>
      </w:r>
    </w:p>
    <w:p w14:paraId="7937D5E2">
      <w:pPr>
        <w:spacing w:line="360" w:lineRule="auto"/>
        <w:ind w:firstLine="424" w:firstLineChars="201"/>
        <w:jc w:val="left"/>
        <w:rPr>
          <w:rFonts w:hAnsi="宋体" w:cs="Times New Roman"/>
          <w:color w:val="auto"/>
          <w:highlight w:val="none"/>
        </w:rPr>
      </w:pPr>
      <w:r>
        <w:rPr>
          <w:rFonts w:hint="eastAsia" w:hAnsi="宋体" w:cs="Times New Roman"/>
          <w:b/>
          <w:color w:val="auto"/>
          <w:highlight w:val="none"/>
        </w:rPr>
        <w:t>第</w:t>
      </w:r>
      <w:r>
        <w:rPr>
          <w:rFonts w:hAnsi="宋体" w:cs="Times New Roman"/>
          <w:b/>
          <w:color w:val="auto"/>
          <w:highlight w:val="none"/>
        </w:rPr>
        <w:t>1</w:t>
      </w:r>
      <w:r>
        <w:rPr>
          <w:rFonts w:hint="eastAsia" w:hAnsi="宋体" w:cs="Times New Roman"/>
          <w:b/>
          <w:color w:val="auto"/>
          <w:highlight w:val="none"/>
        </w:rPr>
        <w:t>种方式：</w:t>
      </w:r>
      <w:r>
        <w:rPr>
          <w:rFonts w:hint="eastAsia" w:hAnsi="宋体" w:cs="Times New Roman"/>
          <w:color w:val="auto"/>
          <w:highlight w:val="none"/>
        </w:rPr>
        <w:t>对于依法必须招标的暂估价项目，由承包人招标，对该暂估价项目的确认和批准按照以下约定执行：</w:t>
      </w:r>
    </w:p>
    <w:p w14:paraId="5E834157">
      <w:pPr>
        <w:spacing w:line="360" w:lineRule="auto"/>
        <w:ind w:firstLine="422" w:firstLineChars="201"/>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）承包人应当根据施工进度计划，在招标工作启动前</w:t>
      </w:r>
      <w:r>
        <w:rPr>
          <w:rFonts w:hAnsi="宋体" w:cs="Times New Roman"/>
          <w:color w:val="auto"/>
          <w:highlight w:val="none"/>
        </w:rPr>
        <w:t>14</w:t>
      </w:r>
      <w:r>
        <w:rPr>
          <w:rFonts w:hint="eastAsia" w:hAnsi="宋体" w:cs="Times New Roman"/>
          <w:color w:val="auto"/>
          <w:highlight w:val="none"/>
        </w:rPr>
        <w:t>天将招标方案通过监理人报送发包人审查，发包人应当在收到承包人报送的招标方案后</w:t>
      </w:r>
      <w:r>
        <w:rPr>
          <w:rFonts w:hAnsi="宋体" w:cs="Times New Roman"/>
          <w:color w:val="auto"/>
          <w:highlight w:val="none"/>
        </w:rPr>
        <w:t>7</w:t>
      </w:r>
      <w:r>
        <w:rPr>
          <w:rFonts w:hint="eastAsia" w:hAnsi="宋体" w:cs="Times New Roman"/>
          <w:color w:val="auto"/>
          <w:highlight w:val="none"/>
        </w:rPr>
        <w:t>天内批准或提出修改意见。承包人应当按照经过发包人批准的招标方案开展招标工作；</w:t>
      </w:r>
    </w:p>
    <w:p w14:paraId="6CFA5510">
      <w:pPr>
        <w:spacing w:line="360" w:lineRule="auto"/>
        <w:ind w:firstLine="422" w:firstLineChars="201"/>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）承包人应当根据施工进度计划，提前</w:t>
      </w:r>
      <w:r>
        <w:rPr>
          <w:rFonts w:hAnsi="宋体" w:cs="Times New Roman"/>
          <w:color w:val="auto"/>
          <w:highlight w:val="none"/>
        </w:rPr>
        <w:t>14</w:t>
      </w:r>
      <w:r>
        <w:rPr>
          <w:rFonts w:hint="eastAsia" w:hAnsi="宋体" w:cs="Times New Roman"/>
          <w:color w:val="auto"/>
          <w:highlight w:val="none"/>
        </w:rPr>
        <w:t>天将招标文件通过监理人报送发包人审批，发包人应当在收到承包人报送的相关文件后</w:t>
      </w:r>
      <w:r>
        <w:rPr>
          <w:rFonts w:hAnsi="宋体" w:cs="Times New Roman"/>
          <w:color w:val="auto"/>
          <w:highlight w:val="none"/>
        </w:rPr>
        <w:t>7</w:t>
      </w:r>
      <w:r>
        <w:rPr>
          <w:rFonts w:hint="eastAsia" w:hAnsi="宋体" w:cs="Times New Roman"/>
          <w:color w:val="auto"/>
          <w:highlight w:val="none"/>
        </w:rPr>
        <w:t>天内完成审批或提出修改意见；发包人有权确定招标控制价并委派评标委员会成员；</w:t>
      </w:r>
    </w:p>
    <w:p w14:paraId="0DC86316">
      <w:pPr>
        <w:spacing w:line="360" w:lineRule="auto"/>
        <w:ind w:firstLine="422" w:firstLineChars="201"/>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）承包人与供应商、分包人在签订暂估价合同前，应当提前</w:t>
      </w:r>
      <w:r>
        <w:rPr>
          <w:rFonts w:hAnsi="宋体" w:cs="Times New Roman"/>
          <w:color w:val="auto"/>
          <w:highlight w:val="none"/>
        </w:rPr>
        <w:t>7</w:t>
      </w:r>
      <w:r>
        <w:rPr>
          <w:rFonts w:hint="eastAsia" w:hAnsi="宋体" w:cs="Times New Roman"/>
          <w:color w:val="auto"/>
          <w:highlight w:val="none"/>
        </w:rPr>
        <w:t>天将确定的中标候选供应商或中标候选分包人的资料报送发包人，发包人应在收到资料后</w:t>
      </w:r>
      <w:r>
        <w:rPr>
          <w:rFonts w:hAnsi="宋体" w:cs="Times New Roman"/>
          <w:color w:val="auto"/>
          <w:highlight w:val="none"/>
        </w:rPr>
        <w:t>3</w:t>
      </w:r>
      <w:r>
        <w:rPr>
          <w:rFonts w:hint="eastAsia" w:hAnsi="宋体" w:cs="Times New Roman"/>
          <w:color w:val="auto"/>
          <w:highlight w:val="none"/>
        </w:rPr>
        <w:t>天内与承包人共同确定中标人；承包人应当在签订合同后</w:t>
      </w:r>
      <w:r>
        <w:rPr>
          <w:rFonts w:hAnsi="宋体" w:cs="Times New Roman"/>
          <w:color w:val="auto"/>
          <w:highlight w:val="none"/>
        </w:rPr>
        <w:t>7</w:t>
      </w:r>
      <w:r>
        <w:rPr>
          <w:rFonts w:hint="eastAsia" w:hAnsi="宋体" w:cs="Times New Roman"/>
          <w:color w:val="auto"/>
          <w:highlight w:val="none"/>
        </w:rPr>
        <w:t>天内，将暂估价合同副本报送发包人留存。</w:t>
      </w:r>
    </w:p>
    <w:p w14:paraId="73530C3F">
      <w:pPr>
        <w:spacing w:line="360" w:lineRule="auto"/>
        <w:ind w:firstLine="424" w:firstLineChars="201"/>
        <w:jc w:val="left"/>
        <w:rPr>
          <w:rFonts w:ascii="Calibri" w:hAnsi="Calibri" w:cs="Times New Roman"/>
          <w:color w:val="auto"/>
          <w:kern w:val="2"/>
          <w:highlight w:val="none"/>
        </w:rPr>
      </w:pPr>
      <w:r>
        <w:rPr>
          <w:rFonts w:hint="eastAsia" w:hAnsi="宋体" w:cs="Times New Roman"/>
          <w:b/>
          <w:color w:val="auto"/>
          <w:highlight w:val="none"/>
        </w:rPr>
        <w:t>第</w:t>
      </w:r>
      <w:r>
        <w:rPr>
          <w:rFonts w:hAnsi="宋体" w:cs="Times New Roman"/>
          <w:b/>
          <w:color w:val="auto"/>
          <w:highlight w:val="none"/>
        </w:rPr>
        <w:t>2</w:t>
      </w:r>
      <w:r>
        <w:rPr>
          <w:rFonts w:hint="eastAsia" w:hAnsi="宋体" w:cs="Times New Roman"/>
          <w:b/>
          <w:color w:val="auto"/>
          <w:highlight w:val="none"/>
        </w:rPr>
        <w:t>种方式：</w:t>
      </w:r>
      <w:r>
        <w:rPr>
          <w:rFonts w:hint="eastAsia" w:hAnsi="宋体" w:cs="Times New Roman"/>
          <w:color w:val="auto"/>
          <w:highlight w:val="none"/>
        </w:rPr>
        <w:t>对于依法必须招标的暂估价项目，由发包人和承包人共同招标确定暂估价供应商或分包人的，承包人应按照施工进度计划，在招标工作启动前</w:t>
      </w:r>
      <w:r>
        <w:rPr>
          <w:rFonts w:hAnsi="宋体" w:cs="Times New Roman"/>
          <w:color w:val="auto"/>
          <w:highlight w:val="none"/>
        </w:rPr>
        <w:t>14</w:t>
      </w:r>
      <w:r>
        <w:rPr>
          <w:rFonts w:hint="eastAsia" w:hAnsi="宋体" w:cs="Times New Roman"/>
          <w:color w:val="auto"/>
          <w:highlight w:val="none"/>
        </w:rPr>
        <w:t>天通知发包人，并提交暂估价招标方案和工作分工。发包人应在收到后</w:t>
      </w:r>
      <w:r>
        <w:rPr>
          <w:rFonts w:hAnsi="宋体" w:cs="Times New Roman"/>
          <w:color w:val="auto"/>
          <w:highlight w:val="none"/>
        </w:rPr>
        <w:t>7</w:t>
      </w:r>
      <w:r>
        <w:rPr>
          <w:rFonts w:hint="eastAsia" w:hAnsi="宋体" w:cs="Times New Roman"/>
          <w:color w:val="auto"/>
          <w:highlight w:val="none"/>
        </w:rPr>
        <w:t>天内确认。确定中标人后，由发包人、承包人与中标人共同签订暂估价合同。</w:t>
      </w:r>
    </w:p>
    <w:p w14:paraId="342E9A87">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10.7.2 </w:t>
      </w:r>
      <w:r>
        <w:rPr>
          <w:rFonts w:hint="eastAsia" w:ascii="Calibri" w:hAnsi="宋体" w:cs="Times New Roman"/>
          <w:color w:val="auto"/>
          <w:kern w:val="2"/>
          <w:highlight w:val="none"/>
        </w:rPr>
        <w:t>不属于依法必须招标的暂估价项目</w:t>
      </w:r>
    </w:p>
    <w:p w14:paraId="23CC1C01">
      <w:pPr>
        <w:spacing w:line="360" w:lineRule="auto"/>
        <w:ind w:firstLine="420" w:firstLineChars="200"/>
        <w:jc w:val="left"/>
        <w:rPr>
          <w:rFonts w:ascii="Calibri" w:hAnsi="宋体" w:cs="Times New Roman"/>
          <w:color w:val="auto"/>
          <w:kern w:val="2"/>
          <w:highlight w:val="none"/>
        </w:rPr>
      </w:pPr>
      <w:r>
        <w:rPr>
          <w:rFonts w:hint="eastAsia" w:ascii="Calibri" w:hAnsi="宋体" w:cs="Times New Roman"/>
          <w:color w:val="auto"/>
          <w:kern w:val="2"/>
          <w:highlight w:val="none"/>
        </w:rPr>
        <w:t>对于不属于依法必须招标的暂估价项目的确认和批准采取第</w:t>
      </w:r>
      <w:r>
        <w:rPr>
          <w:rFonts w:ascii="Calibri" w:hAnsi="宋体" w:cs="Times New Roman"/>
          <w:color w:val="auto"/>
          <w:kern w:val="2"/>
          <w:highlight w:val="none"/>
          <w:u w:val="single"/>
        </w:rPr>
        <w:t>1</w:t>
      </w:r>
      <w:r>
        <w:rPr>
          <w:rFonts w:hint="eastAsia" w:ascii="Calibri" w:hAnsi="宋体" w:cs="Times New Roman"/>
          <w:color w:val="auto"/>
          <w:kern w:val="2"/>
          <w:highlight w:val="none"/>
        </w:rPr>
        <w:t>种方式确定。</w:t>
      </w:r>
    </w:p>
    <w:p w14:paraId="10CE2A7B">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第</w:t>
      </w:r>
      <w:r>
        <w:rPr>
          <w:rFonts w:hAnsi="宋体" w:cs="Times New Roman"/>
          <w:color w:val="auto"/>
          <w:highlight w:val="none"/>
        </w:rPr>
        <w:t>1</w:t>
      </w:r>
      <w:r>
        <w:rPr>
          <w:rFonts w:hint="eastAsia" w:hAnsi="宋体" w:cs="Times New Roman"/>
          <w:color w:val="auto"/>
          <w:highlight w:val="none"/>
        </w:rPr>
        <w:t>种方式：对于不属于依法必须招标的暂估价项目，按本项约定确认和批准：</w:t>
      </w:r>
    </w:p>
    <w:p w14:paraId="4D839D80">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）承包人应根据施工进度计划，在签订暂估价项目的采购合同、分包合同前</w:t>
      </w:r>
      <w:r>
        <w:rPr>
          <w:rFonts w:hAnsi="宋体" w:cs="Times New Roman"/>
          <w:color w:val="auto"/>
          <w:highlight w:val="none"/>
        </w:rPr>
        <w:t>28</w:t>
      </w:r>
      <w:r>
        <w:rPr>
          <w:rFonts w:hint="eastAsia" w:hAnsi="宋体" w:cs="Times New Roman"/>
          <w:color w:val="auto"/>
          <w:highlight w:val="none"/>
        </w:rPr>
        <w:t>天向监理人提出书面申请。监理人应当在收到申请后</w:t>
      </w:r>
      <w:r>
        <w:rPr>
          <w:rFonts w:hAnsi="宋体" w:cs="Times New Roman"/>
          <w:color w:val="auto"/>
          <w:highlight w:val="none"/>
        </w:rPr>
        <w:t>3</w:t>
      </w:r>
      <w:r>
        <w:rPr>
          <w:rFonts w:hint="eastAsia" w:hAnsi="宋体" w:cs="Times New Roman"/>
          <w:color w:val="auto"/>
          <w:highlight w:val="none"/>
        </w:rPr>
        <w:t>天内报送发包人，发包人应当在收到申请后</w:t>
      </w:r>
      <w:r>
        <w:rPr>
          <w:rFonts w:hAnsi="宋体" w:cs="Times New Roman"/>
          <w:color w:val="auto"/>
          <w:highlight w:val="none"/>
        </w:rPr>
        <w:t>14</w:t>
      </w:r>
      <w:r>
        <w:rPr>
          <w:rFonts w:hint="eastAsia" w:hAnsi="宋体" w:cs="Times New Roman"/>
          <w:color w:val="auto"/>
          <w:highlight w:val="none"/>
        </w:rPr>
        <w:t>天内给予批准或提出修改意见，发包人逾期未予批准或提出修改意见的，视为该书面申请已获得同意；</w:t>
      </w:r>
    </w:p>
    <w:p w14:paraId="0805B7CB">
      <w:pPr>
        <w:spacing w:line="360" w:lineRule="auto"/>
        <w:ind w:firstLine="420" w:firstLineChars="200"/>
        <w:jc w:val="left"/>
        <w:rPr>
          <w:rFonts w:ascii="Calibri" w:hAnsi="Calibri" w:cs="Times New Roman"/>
          <w:color w:val="auto"/>
          <w:kern w:val="2"/>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）发包人认为承包人确定的供应商、分包人无法满足工程质量或合同要求的，发包人可以要求承包人重新确定暂估价项目的供应商、分包人；（</w:t>
      </w:r>
      <w:r>
        <w:rPr>
          <w:rFonts w:hAnsi="宋体" w:cs="Times New Roman"/>
          <w:color w:val="auto"/>
          <w:highlight w:val="none"/>
        </w:rPr>
        <w:t>3</w:t>
      </w:r>
      <w:r>
        <w:rPr>
          <w:rFonts w:hint="eastAsia" w:hAnsi="宋体" w:cs="Times New Roman"/>
          <w:color w:val="auto"/>
          <w:highlight w:val="none"/>
        </w:rPr>
        <w:t>）承包人应当在签订暂估价合同后</w:t>
      </w:r>
      <w:r>
        <w:rPr>
          <w:rFonts w:hAnsi="宋体" w:cs="Times New Roman"/>
          <w:color w:val="auto"/>
          <w:highlight w:val="none"/>
        </w:rPr>
        <w:t>7</w:t>
      </w:r>
      <w:r>
        <w:rPr>
          <w:rFonts w:hint="eastAsia" w:hAnsi="宋体" w:cs="Times New Roman"/>
          <w:color w:val="auto"/>
          <w:highlight w:val="none"/>
        </w:rPr>
        <w:t>天内，将暂估价合同副本报送发包人留存。</w:t>
      </w:r>
    </w:p>
    <w:p w14:paraId="2E58C5DB">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kern w:val="2"/>
          <w:highlight w:val="none"/>
        </w:rPr>
        <w:t>第</w:t>
      </w:r>
      <w:r>
        <w:rPr>
          <w:rFonts w:ascii="Calibri" w:hAnsi="Calibri" w:cs="Times New Roman"/>
          <w:color w:val="auto"/>
          <w:kern w:val="2"/>
          <w:highlight w:val="none"/>
        </w:rPr>
        <w:t>3</w:t>
      </w:r>
      <w:r>
        <w:rPr>
          <w:rFonts w:hint="eastAsia" w:ascii="Calibri" w:hAnsi="宋体" w:cs="Times New Roman"/>
          <w:color w:val="auto"/>
          <w:kern w:val="2"/>
          <w:highlight w:val="none"/>
        </w:rPr>
        <w:t>种方式：</w:t>
      </w:r>
      <w:r>
        <w:rPr>
          <w:rFonts w:hint="eastAsia" w:ascii="Calibri" w:hAnsi="宋体" w:cs="Times New Roman"/>
          <w:color w:val="auto"/>
          <w:highlight w:val="none"/>
        </w:rPr>
        <w:t>承包人直接实施的暂估价项目</w:t>
      </w:r>
    </w:p>
    <w:p w14:paraId="33D4C836">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承包人直接实施的暂估价项目的约定：</w:t>
      </w:r>
      <w:r>
        <w:rPr>
          <w:rFonts w:hint="eastAsia" w:ascii="Calibri" w:hAnsi="Calibri" w:cs="Times New Roman"/>
          <w:color w:val="auto"/>
          <w:kern w:val="2"/>
          <w:highlight w:val="none"/>
          <w:u w:val="single"/>
        </w:rPr>
        <w:t>承包人具备实施暂估价项目的资格和条件的，经发包人和承包人协商一致后，可由承包人自行实施暂估价项目，合同当事人可以在合同条款约定具体事项</w:t>
      </w:r>
      <w:r>
        <w:rPr>
          <w:rFonts w:hint="eastAsia" w:ascii="Calibri" w:hAnsi="宋体" w:cs="Times New Roman"/>
          <w:color w:val="auto"/>
          <w:kern w:val="2"/>
          <w:highlight w:val="none"/>
        </w:rPr>
        <w:t>。</w:t>
      </w:r>
    </w:p>
    <w:p w14:paraId="5C2350F0">
      <w:pPr>
        <w:keepNext/>
        <w:keepLines/>
        <w:spacing w:before="260" w:after="260" w:line="416" w:lineRule="auto"/>
        <w:outlineLvl w:val="2"/>
        <w:rPr>
          <w:rFonts w:ascii="Calibri" w:hAnsi="Calibri" w:cs="Times New Roman"/>
          <w:b/>
          <w:bCs/>
          <w:color w:val="auto"/>
          <w:kern w:val="2"/>
          <w:sz w:val="32"/>
          <w:szCs w:val="32"/>
          <w:highlight w:val="none"/>
        </w:rPr>
      </w:pPr>
      <w:bookmarkStart w:id="1629" w:name="_Toc493774809"/>
      <w:bookmarkStart w:id="1630" w:name="_Toc512691448"/>
      <w:bookmarkStart w:id="1631" w:name="_Toc530658072"/>
      <w:bookmarkStart w:id="1632" w:name="_Toc494549245"/>
      <w:bookmarkStart w:id="1633" w:name="_Toc407135248"/>
      <w:bookmarkStart w:id="1634" w:name="_Toc389065311"/>
      <w:bookmarkStart w:id="1635" w:name="_Toc508894110"/>
      <w:bookmarkStart w:id="1636" w:name="_Toc373478392"/>
      <w:bookmarkStart w:id="1637" w:name="_Toc532840054"/>
      <w:bookmarkStart w:id="1638" w:name="_Toc373227745"/>
      <w:bookmarkStart w:id="1639" w:name="_Toc485400641"/>
      <w:r>
        <w:rPr>
          <w:rFonts w:ascii="Calibri" w:hAnsi="Calibri" w:cs="Times New Roman"/>
          <w:b/>
          <w:bCs/>
          <w:color w:val="auto"/>
          <w:kern w:val="2"/>
          <w:sz w:val="32"/>
          <w:szCs w:val="32"/>
          <w:highlight w:val="none"/>
        </w:rPr>
        <w:t xml:space="preserve">10.8 </w:t>
      </w:r>
      <w:r>
        <w:rPr>
          <w:rFonts w:hint="eastAsia" w:ascii="Calibri" w:hAnsi="宋体" w:cs="Times New Roman"/>
          <w:b/>
          <w:bCs/>
          <w:color w:val="auto"/>
          <w:kern w:val="2"/>
          <w:sz w:val="32"/>
          <w:szCs w:val="32"/>
          <w:highlight w:val="none"/>
        </w:rPr>
        <w:t>暂列金额</w:t>
      </w:r>
      <w:bookmarkEnd w:id="1629"/>
      <w:bookmarkEnd w:id="1630"/>
      <w:bookmarkEnd w:id="1631"/>
      <w:bookmarkEnd w:id="1632"/>
      <w:bookmarkEnd w:id="1633"/>
      <w:bookmarkEnd w:id="1634"/>
      <w:bookmarkEnd w:id="1635"/>
      <w:bookmarkEnd w:id="1636"/>
      <w:bookmarkEnd w:id="1637"/>
      <w:bookmarkEnd w:id="1638"/>
      <w:bookmarkEnd w:id="1639"/>
    </w:p>
    <w:p w14:paraId="0ED0B287">
      <w:pPr>
        <w:spacing w:line="360" w:lineRule="auto"/>
        <w:ind w:firstLine="420" w:firstLineChars="200"/>
        <w:rPr>
          <w:rFonts w:ascii="Calibri" w:hAnsi="宋体" w:cs="Times New Roman"/>
          <w:color w:val="auto"/>
          <w:highlight w:val="none"/>
        </w:rPr>
      </w:pPr>
      <w:r>
        <w:rPr>
          <w:rFonts w:hint="eastAsia" w:ascii="Calibri" w:hAnsi="宋体" w:cs="Times New Roman"/>
          <w:color w:val="auto"/>
          <w:highlight w:val="none"/>
        </w:rPr>
        <w:t>合同当事人关于暂列金额使用的约定：</w:t>
      </w:r>
    </w:p>
    <w:p w14:paraId="44F9F76A">
      <w:pPr>
        <w:spacing w:line="360" w:lineRule="auto"/>
        <w:ind w:firstLine="420" w:firstLineChars="200"/>
        <w:rPr>
          <w:rFonts w:hAnsi="宋体" w:cs="Times New Roman"/>
          <w:color w:val="auto"/>
          <w:kern w:val="2"/>
          <w:highlight w:val="none"/>
          <w:u w:val="single"/>
        </w:rPr>
      </w:pPr>
      <w:r>
        <w:rPr>
          <w:rFonts w:hint="eastAsia" w:hAnsi="宋体" w:cs="Times New Roman"/>
          <w:color w:val="auto"/>
          <w:kern w:val="2"/>
          <w:highlight w:val="none"/>
          <w:u w:val="single"/>
        </w:rPr>
        <w:t>（</w:t>
      </w:r>
      <w:r>
        <w:rPr>
          <w:rFonts w:hAnsi="宋体" w:cs="Times New Roman"/>
          <w:color w:val="auto"/>
          <w:kern w:val="2"/>
          <w:highlight w:val="none"/>
          <w:u w:val="single"/>
        </w:rPr>
        <w:t>1</w:t>
      </w:r>
      <w:r>
        <w:rPr>
          <w:rFonts w:hint="eastAsia" w:hAnsi="宋体" w:cs="Times New Roman"/>
          <w:color w:val="auto"/>
          <w:kern w:val="2"/>
          <w:highlight w:val="none"/>
          <w:u w:val="single"/>
        </w:rPr>
        <w:t>）已签约合同价中的暂列金额由发包人掌握使用。</w:t>
      </w:r>
      <w:r>
        <w:rPr>
          <w:rFonts w:hAnsi="宋体" w:cs="Times New Roman"/>
          <w:color w:val="auto"/>
          <w:kern w:val="2"/>
          <w:highlight w:val="none"/>
          <w:u w:val="single"/>
        </w:rPr>
        <w:t xml:space="preserve"> </w:t>
      </w:r>
    </w:p>
    <w:p w14:paraId="4263A214">
      <w:pPr>
        <w:autoSpaceDE w:val="0"/>
        <w:autoSpaceDN w:val="0"/>
        <w:adjustRightInd w:val="0"/>
        <w:spacing w:line="360" w:lineRule="auto"/>
        <w:ind w:firstLine="420" w:firstLineChars="200"/>
        <w:jc w:val="left"/>
        <w:rPr>
          <w:rFonts w:ascii="Calibri" w:hAnsi="Calibri" w:cs="Times New Roman"/>
          <w:color w:val="auto"/>
          <w:kern w:val="2"/>
          <w:highlight w:val="none"/>
          <w:u w:val="single"/>
        </w:rPr>
      </w:pPr>
      <w:r>
        <w:rPr>
          <w:rFonts w:hint="eastAsia" w:hAnsi="宋体" w:cs="Times New Roman"/>
          <w:bCs/>
          <w:color w:val="auto"/>
          <w:kern w:val="2"/>
          <w:highlight w:val="none"/>
          <w:u w:val="single"/>
        </w:rPr>
        <w:t>（</w:t>
      </w:r>
      <w:r>
        <w:rPr>
          <w:rFonts w:hAnsi="宋体" w:cs="Times New Roman"/>
          <w:bCs/>
          <w:color w:val="auto"/>
          <w:kern w:val="2"/>
          <w:highlight w:val="none"/>
          <w:u w:val="single"/>
        </w:rPr>
        <w:t>2</w:t>
      </w:r>
      <w:r>
        <w:rPr>
          <w:rFonts w:hint="eastAsia" w:hAnsi="宋体" w:cs="Times New Roman"/>
          <w:bCs/>
          <w:color w:val="auto"/>
          <w:kern w:val="2"/>
          <w:highlight w:val="none"/>
          <w:u w:val="single"/>
        </w:rPr>
        <w:t>）发包人按照规定所作支付后，暂列金额如有余额归发包人</w:t>
      </w:r>
      <w:r>
        <w:rPr>
          <w:rFonts w:hint="eastAsia" w:hAnsi="宋体" w:cs="Times New Roman"/>
          <w:color w:val="auto"/>
          <w:kern w:val="2"/>
          <w:highlight w:val="none"/>
          <w:u w:val="single"/>
        </w:rPr>
        <w:t>。</w:t>
      </w:r>
    </w:p>
    <w:p w14:paraId="1EE10FF0">
      <w:pPr>
        <w:keepNext/>
        <w:keepLines/>
        <w:spacing w:line="360" w:lineRule="auto"/>
        <w:outlineLvl w:val="2"/>
        <w:rPr>
          <w:rFonts w:ascii="Cambria" w:hAnsi="宋体" w:cs="Times New Roman"/>
          <w:color w:val="auto"/>
          <w:kern w:val="2"/>
          <w:sz w:val="32"/>
          <w:szCs w:val="32"/>
          <w:highlight w:val="none"/>
          <w:lang w:val="zh-CN"/>
        </w:rPr>
      </w:pPr>
      <w:bookmarkStart w:id="1640" w:name="_Toc373227746"/>
      <w:bookmarkStart w:id="1641" w:name="_Toc493774810"/>
      <w:bookmarkStart w:id="1642" w:name="_Toc494549246"/>
      <w:bookmarkStart w:id="1643" w:name="_Toc532840055"/>
      <w:bookmarkStart w:id="1644" w:name="_Toc389065312"/>
      <w:bookmarkStart w:id="1645" w:name="_Toc407135249"/>
      <w:bookmarkStart w:id="1646" w:name="_Toc512691449"/>
      <w:bookmarkStart w:id="1647" w:name="_Toc485400642"/>
      <w:bookmarkStart w:id="1648" w:name="_Toc351203643"/>
      <w:bookmarkStart w:id="1649" w:name="_Toc373478393"/>
      <w:bookmarkStart w:id="1650" w:name="_Toc530658073"/>
      <w:bookmarkStart w:id="1651" w:name="_Toc508894111"/>
      <w:r>
        <w:rPr>
          <w:rFonts w:ascii="Cambria" w:hAnsi="宋体" w:cs="Times New Roman"/>
          <w:color w:val="auto"/>
          <w:kern w:val="2"/>
          <w:sz w:val="32"/>
          <w:szCs w:val="32"/>
          <w:highlight w:val="none"/>
          <w:lang w:val="zh-CN"/>
        </w:rPr>
        <w:t>11.</w:t>
      </w:r>
      <w:r>
        <w:rPr>
          <w:rFonts w:hint="eastAsia" w:ascii="Cambria" w:hAnsi="宋体" w:cs="Times New Roman"/>
          <w:color w:val="auto"/>
          <w:kern w:val="2"/>
          <w:sz w:val="32"/>
          <w:szCs w:val="32"/>
          <w:highlight w:val="none"/>
          <w:lang w:val="zh-CN"/>
        </w:rPr>
        <w:t>价格调整</w:t>
      </w:r>
      <w:bookmarkEnd w:id="1640"/>
      <w:bookmarkEnd w:id="1641"/>
      <w:bookmarkEnd w:id="1642"/>
      <w:bookmarkEnd w:id="1643"/>
      <w:bookmarkEnd w:id="1644"/>
      <w:bookmarkEnd w:id="1645"/>
      <w:bookmarkEnd w:id="1646"/>
      <w:bookmarkEnd w:id="1647"/>
      <w:bookmarkEnd w:id="1648"/>
      <w:bookmarkEnd w:id="1649"/>
      <w:bookmarkEnd w:id="1650"/>
      <w:bookmarkEnd w:id="1651"/>
    </w:p>
    <w:p w14:paraId="7EECDF19">
      <w:pPr>
        <w:spacing w:line="360" w:lineRule="auto"/>
        <w:ind w:firstLine="420" w:firstLineChars="200"/>
        <w:jc w:val="left"/>
        <w:rPr>
          <w:rFonts w:ascii="Calibri" w:hAnsi="宋体" w:cs="Times New Roman"/>
          <w:color w:val="auto"/>
          <w:highlight w:val="none"/>
        </w:rPr>
      </w:pPr>
      <w:r>
        <w:rPr>
          <w:rFonts w:hint="eastAsia" w:ascii="Calibri" w:hAnsi="宋体" w:cs="Times New Roman"/>
          <w:color w:val="auto"/>
          <w:highlight w:val="none"/>
        </w:rPr>
        <w:t>①法律变化引起的调整；</w:t>
      </w:r>
    </w:p>
    <w:p w14:paraId="6761B482">
      <w:pPr>
        <w:spacing w:line="360" w:lineRule="auto"/>
        <w:ind w:firstLine="420" w:firstLineChars="200"/>
        <w:jc w:val="left"/>
        <w:rPr>
          <w:rFonts w:ascii="Calibri" w:hAnsi="宋体" w:cs="Times New Roman"/>
          <w:color w:val="auto"/>
          <w:highlight w:val="none"/>
        </w:rPr>
      </w:pPr>
      <w:r>
        <w:rPr>
          <w:rFonts w:hint="eastAsia" w:ascii="Calibri" w:hAnsi="宋体" w:cs="Times New Roman"/>
          <w:color w:val="auto"/>
          <w:highlight w:val="none"/>
        </w:rPr>
        <w:t>②工程变更、项目特征不符、工程量清单缺项、工程量偏差引起的调整；</w:t>
      </w:r>
    </w:p>
    <w:p w14:paraId="2B54400D">
      <w:pPr>
        <w:spacing w:line="360" w:lineRule="auto"/>
        <w:ind w:firstLine="420" w:firstLineChars="200"/>
        <w:jc w:val="left"/>
        <w:rPr>
          <w:rFonts w:ascii="Calibri" w:hAnsi="宋体" w:cs="Times New Roman"/>
          <w:color w:val="auto"/>
          <w:highlight w:val="none"/>
        </w:rPr>
      </w:pPr>
      <w:r>
        <w:rPr>
          <w:rFonts w:hint="eastAsia" w:ascii="Calibri" w:hAnsi="宋体" w:cs="Times New Roman"/>
          <w:color w:val="auto"/>
          <w:highlight w:val="none"/>
        </w:rPr>
        <w:t>③计日工引起的调整。</w:t>
      </w:r>
    </w:p>
    <w:p w14:paraId="56B76258">
      <w:pPr>
        <w:keepNext/>
        <w:keepLines/>
        <w:spacing w:before="260" w:after="260" w:line="416" w:lineRule="auto"/>
        <w:outlineLvl w:val="2"/>
        <w:rPr>
          <w:rFonts w:ascii="Calibri" w:hAnsi="Calibri" w:cs="Times New Roman"/>
          <w:b/>
          <w:bCs/>
          <w:color w:val="auto"/>
          <w:kern w:val="2"/>
          <w:sz w:val="32"/>
          <w:szCs w:val="32"/>
          <w:highlight w:val="none"/>
        </w:rPr>
      </w:pPr>
      <w:bookmarkStart w:id="1652" w:name="_Toc493774811"/>
      <w:bookmarkStart w:id="1653" w:name="_Toc494549247"/>
      <w:bookmarkStart w:id="1654" w:name="_Toc512691450"/>
      <w:bookmarkStart w:id="1655" w:name="_Toc389065313"/>
      <w:bookmarkStart w:id="1656" w:name="_Toc485400643"/>
      <w:bookmarkStart w:id="1657" w:name="_Toc532840056"/>
      <w:bookmarkStart w:id="1658" w:name="_Toc373478394"/>
      <w:bookmarkStart w:id="1659" w:name="_Toc373227747"/>
      <w:bookmarkStart w:id="1660" w:name="_Toc530658074"/>
      <w:bookmarkStart w:id="1661" w:name="_Toc508894112"/>
      <w:bookmarkStart w:id="1662" w:name="_Toc407135250"/>
      <w:bookmarkStart w:id="1663" w:name="_Toc292559911"/>
      <w:bookmarkStart w:id="1664" w:name="_Toc297120501"/>
      <w:bookmarkStart w:id="1665" w:name="_Toc303539157"/>
      <w:bookmarkStart w:id="1666" w:name="_Toc312678039"/>
      <w:bookmarkStart w:id="1667" w:name="_Toc297123550"/>
      <w:bookmarkStart w:id="1668" w:name="_Toc296346702"/>
      <w:bookmarkStart w:id="1669" w:name="_Toc296891241"/>
      <w:bookmarkStart w:id="1670" w:name="_Toc296891029"/>
      <w:bookmarkStart w:id="1671" w:name="_Toc296944540"/>
      <w:bookmarkStart w:id="1672" w:name="_Toc297048387"/>
      <w:bookmarkStart w:id="1673" w:name="_Toc304295577"/>
      <w:bookmarkStart w:id="1674" w:name="_Toc296503201"/>
      <w:bookmarkStart w:id="1675" w:name="_Toc297216209"/>
      <w:bookmarkStart w:id="1676" w:name="_Toc300935000"/>
      <w:bookmarkStart w:id="1677" w:name="_Toc292559406"/>
      <w:bookmarkStart w:id="1678" w:name="_Toc296347200"/>
      <w:r>
        <w:rPr>
          <w:rFonts w:ascii="Calibri" w:hAnsi="Calibri" w:cs="Times New Roman"/>
          <w:b/>
          <w:bCs/>
          <w:color w:val="auto"/>
          <w:kern w:val="2"/>
          <w:sz w:val="32"/>
          <w:szCs w:val="32"/>
          <w:highlight w:val="none"/>
        </w:rPr>
        <w:t xml:space="preserve">11.1 </w:t>
      </w:r>
      <w:r>
        <w:rPr>
          <w:rFonts w:hint="eastAsia" w:ascii="Calibri" w:hAnsi="Calibri" w:cs="Times New Roman"/>
          <w:b/>
          <w:bCs/>
          <w:color w:val="auto"/>
          <w:kern w:val="2"/>
          <w:sz w:val="32"/>
          <w:szCs w:val="32"/>
          <w:highlight w:val="none"/>
        </w:rPr>
        <w:t>市场价格波动引起的调整</w:t>
      </w:r>
      <w:bookmarkEnd w:id="1652"/>
      <w:bookmarkEnd w:id="1653"/>
      <w:bookmarkEnd w:id="1654"/>
      <w:bookmarkEnd w:id="1655"/>
      <w:bookmarkEnd w:id="1656"/>
      <w:bookmarkEnd w:id="1657"/>
      <w:bookmarkEnd w:id="1658"/>
      <w:bookmarkEnd w:id="1659"/>
      <w:bookmarkEnd w:id="1660"/>
      <w:bookmarkEnd w:id="1661"/>
      <w:bookmarkEnd w:id="1662"/>
    </w:p>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14:paraId="52329EA7">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highlight w:val="none"/>
        </w:rPr>
        <w:t>市场价格波动是否调整合同价格的约定：</w:t>
      </w:r>
      <w:r>
        <w:rPr>
          <w:rFonts w:hint="eastAsia" w:ascii="Calibri" w:hAnsi="Calibri" w:cs="Times New Roman"/>
          <w:color w:val="auto"/>
          <w:kern w:val="2"/>
          <w:highlight w:val="none"/>
          <w:u w:val="single"/>
        </w:rPr>
        <w:t>是。物价波动引起合同价格变化的。合同履行期间材料单价涨幅以基准价格为基础超过</w:t>
      </w:r>
      <w:r>
        <w:rPr>
          <w:rFonts w:ascii="Calibri" w:hAnsi="Calibri" w:cs="Times New Roman"/>
          <w:color w:val="auto"/>
          <w:kern w:val="2"/>
          <w:highlight w:val="none"/>
          <w:u w:val="single"/>
        </w:rPr>
        <w:t>5%</w:t>
      </w:r>
      <w:r>
        <w:rPr>
          <w:rFonts w:hint="eastAsia" w:ascii="Calibri" w:hAnsi="Calibri" w:cs="Times New Roman"/>
          <w:color w:val="auto"/>
          <w:kern w:val="2"/>
          <w:highlight w:val="none"/>
          <w:u w:val="single"/>
        </w:rPr>
        <w:t>时，或材料单价跌幅以在已标价工程量清单或预算书中载明的主要材料、工程设备单价为基础超过</w:t>
      </w:r>
      <w:r>
        <w:rPr>
          <w:rFonts w:ascii="Calibri" w:hAnsi="Calibri" w:cs="Times New Roman"/>
          <w:color w:val="auto"/>
          <w:kern w:val="2"/>
          <w:highlight w:val="none"/>
          <w:u w:val="single"/>
        </w:rPr>
        <w:t>5%</w:t>
      </w:r>
      <w:r>
        <w:rPr>
          <w:rFonts w:hint="eastAsia" w:ascii="Calibri" w:hAnsi="Calibri" w:cs="Times New Roman"/>
          <w:color w:val="auto"/>
          <w:kern w:val="2"/>
          <w:highlight w:val="none"/>
          <w:u w:val="single"/>
        </w:rPr>
        <w:t>时，其超过部分据实调整；关于基准价格的约定：招标的工程以招标控制价确定的市场价格确定为基期材料价格；人工、机械费按照广西区建设行政主管部门或其授权的工程造价管理机构发布的人工费、机械台班单价或机械使用费系数进行调整；新增项目和工程量变化造成措施费增加取费部分按原中标措施费比例调整，施工方案部分按业主、监理批准的方案套取相关定额计取，造成规费、税金变化按有关规定作相应调整</w:t>
      </w:r>
      <w:r>
        <w:rPr>
          <w:rFonts w:hint="eastAsia" w:ascii="Calibri" w:hAnsi="宋体" w:cs="Times New Roman"/>
          <w:color w:val="auto"/>
          <w:kern w:val="2"/>
          <w:highlight w:val="none"/>
        </w:rPr>
        <w:t>。</w:t>
      </w:r>
    </w:p>
    <w:p w14:paraId="296298BE">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因市场价格波动调整合同价格，采用以下第</w:t>
      </w:r>
      <w:r>
        <w:rPr>
          <w:rFonts w:ascii="Calibri" w:hAnsi="宋体" w:cs="Times New Roman"/>
          <w:color w:val="auto"/>
          <w:kern w:val="2"/>
          <w:highlight w:val="none"/>
        </w:rPr>
        <w:t>2</w:t>
      </w:r>
      <w:r>
        <w:rPr>
          <w:rFonts w:hint="eastAsia" w:ascii="Calibri" w:hAnsi="宋体" w:cs="Times New Roman"/>
          <w:color w:val="auto"/>
          <w:kern w:val="2"/>
          <w:highlight w:val="none"/>
        </w:rPr>
        <w:t>种方式对合同价格进行调整：</w:t>
      </w:r>
    </w:p>
    <w:p w14:paraId="6C28562C">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第</w:t>
      </w:r>
      <w:r>
        <w:rPr>
          <w:rFonts w:ascii="Calibri" w:hAnsi="Calibri" w:cs="Times New Roman"/>
          <w:color w:val="auto"/>
          <w:kern w:val="2"/>
          <w:highlight w:val="none"/>
        </w:rPr>
        <w:t>1</w:t>
      </w:r>
      <w:r>
        <w:rPr>
          <w:rFonts w:hint="eastAsia" w:ascii="Calibri" w:hAnsi="宋体" w:cs="Times New Roman"/>
          <w:color w:val="auto"/>
          <w:kern w:val="2"/>
          <w:highlight w:val="none"/>
        </w:rPr>
        <w:t>种方式：采用价格指数进行价格调整。</w:t>
      </w:r>
    </w:p>
    <w:p w14:paraId="274E9594">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关于各可调因子、定值和变值权重，以及基本价格指数及其来源的约定：</w:t>
      </w:r>
      <w:r>
        <w:rPr>
          <w:rFonts w:ascii="Calibri" w:hAnsi="Calibri" w:cs="Times New Roman"/>
          <w:color w:val="auto"/>
          <w:kern w:val="2"/>
          <w:highlight w:val="none"/>
          <w:u w:val="single"/>
        </w:rPr>
        <w:t>/</w:t>
      </w:r>
      <w:r>
        <w:rPr>
          <w:rFonts w:hint="eastAsia" w:ascii="Calibri" w:hAnsi="宋体" w:cs="Times New Roman"/>
          <w:color w:val="auto"/>
          <w:kern w:val="2"/>
          <w:highlight w:val="none"/>
        </w:rPr>
        <w:t>；</w:t>
      </w:r>
      <w:r>
        <w:rPr>
          <w:rFonts w:ascii="Calibri" w:hAnsi="Calibri" w:cs="Times New Roman"/>
          <w:color w:val="auto"/>
          <w:kern w:val="2"/>
          <w:highlight w:val="none"/>
        </w:rPr>
        <w:t xml:space="preserve">  </w:t>
      </w:r>
    </w:p>
    <w:p w14:paraId="5E85BEA6">
      <w:pPr>
        <w:spacing w:line="360" w:lineRule="auto"/>
        <w:ind w:firstLine="420" w:firstLineChars="200"/>
        <w:jc w:val="left"/>
        <w:rPr>
          <w:rFonts w:ascii="Calibri" w:hAnsi="宋体" w:cs="Times New Roman"/>
          <w:color w:val="auto"/>
          <w:kern w:val="2"/>
          <w:highlight w:val="none"/>
        </w:rPr>
      </w:pPr>
      <w:r>
        <w:rPr>
          <w:rFonts w:hint="eastAsia" w:ascii="Calibri" w:hAnsi="宋体" w:cs="Times New Roman"/>
          <w:color w:val="auto"/>
          <w:kern w:val="2"/>
          <w:highlight w:val="none"/>
        </w:rPr>
        <w:t>第</w:t>
      </w:r>
      <w:r>
        <w:rPr>
          <w:rFonts w:ascii="Calibri" w:hAnsi="Calibri" w:cs="Times New Roman"/>
          <w:color w:val="auto"/>
          <w:kern w:val="2"/>
          <w:highlight w:val="none"/>
        </w:rPr>
        <w:t>2</w:t>
      </w:r>
      <w:r>
        <w:rPr>
          <w:rFonts w:hint="eastAsia" w:ascii="Calibri" w:hAnsi="宋体" w:cs="Times New Roman"/>
          <w:color w:val="auto"/>
          <w:kern w:val="2"/>
          <w:highlight w:val="none"/>
        </w:rPr>
        <w:t>种方式：采用造价信息进行价格调整。</w:t>
      </w:r>
    </w:p>
    <w:p w14:paraId="0250F08D">
      <w:pPr>
        <w:pStyle w:val="375"/>
        <w:pageBreakBefore w:val="0"/>
        <w:widowControl/>
        <w:kinsoku/>
        <w:wordWrap/>
        <w:overflowPunct/>
        <w:topLinePunct w:val="0"/>
        <w:bidi w:val="0"/>
        <w:spacing w:line="360" w:lineRule="auto"/>
        <w:ind w:firstLine="424" w:firstLineChars="202"/>
        <w:jc w:val="left"/>
        <w:textAlignment w:val="auto"/>
        <w:rPr>
          <w:rStyle w:val="49"/>
          <w:rFonts w:hint="eastAsia" w:ascii="宋体" w:hAnsi="宋体" w:eastAsia="宋体" w:cs="宋体"/>
          <w:color w:val="auto"/>
          <w:sz w:val="24"/>
          <w:szCs w:val="24"/>
          <w:highlight w:val="none"/>
        </w:rPr>
      </w:pPr>
      <w:r>
        <w:rPr>
          <w:rFonts w:hint="eastAsia" w:ascii="Calibri" w:hAnsi="宋体" w:cs="Times New Roman"/>
          <w:color w:val="auto"/>
          <w:kern w:val="2"/>
          <w:highlight w:val="none"/>
        </w:rPr>
        <w:t>（</w:t>
      </w:r>
      <w:r>
        <w:rPr>
          <w:rFonts w:ascii="Calibri" w:hAnsi="Calibri" w:cs="Times New Roman"/>
          <w:color w:val="auto"/>
          <w:kern w:val="2"/>
          <w:highlight w:val="none"/>
        </w:rPr>
        <w:t>1</w:t>
      </w:r>
      <w:r>
        <w:rPr>
          <w:rFonts w:hint="eastAsia" w:ascii="Calibri" w:hAnsi="宋体" w:cs="Times New Roman"/>
          <w:color w:val="auto"/>
          <w:kern w:val="2"/>
          <w:highlight w:val="none"/>
        </w:rPr>
        <w:t>）允许调整的主要材料（设备）、基期价格、风险系数、投标报价：详见《承包人提供主要材料和设备一览表》。</w:t>
      </w:r>
      <w:r>
        <w:rPr>
          <w:rFonts w:hint="eastAsia" w:ascii="Calibri" w:hAnsi="宋体" w:eastAsia="宋体" w:cs="Times New Roman"/>
          <w:color w:val="auto"/>
          <w:kern w:val="2"/>
          <w:highlight w:val="none"/>
          <w:lang w:eastAsia="zh-CN"/>
        </w:rPr>
        <w:t>如发包人招标时提供的</w:t>
      </w:r>
      <w:r>
        <w:rPr>
          <w:rFonts w:hint="eastAsia" w:ascii="Calibri" w:hAnsi="宋体" w:eastAsia="宋体" w:cs="Times New Roman"/>
          <w:color w:val="auto"/>
          <w:kern w:val="2"/>
          <w:highlight w:val="none"/>
        </w:rPr>
        <w:t>《承包人提供主要材料和设备一览表》</w:t>
      </w:r>
      <w:r>
        <w:rPr>
          <w:rFonts w:hint="eastAsia" w:ascii="Calibri" w:hAnsi="宋体" w:eastAsia="宋体" w:cs="Times New Roman"/>
          <w:color w:val="auto"/>
          <w:kern w:val="2"/>
          <w:highlight w:val="none"/>
          <w:lang w:eastAsia="zh-CN"/>
        </w:rPr>
        <w:t>中的主要按材料和设备缺项、漏项，经发包人及相关部门审核确认后予以调整。</w:t>
      </w:r>
    </w:p>
    <w:p w14:paraId="7975E81C">
      <w:pPr>
        <w:spacing w:line="360" w:lineRule="auto"/>
        <w:ind w:firstLine="420" w:firstLineChars="200"/>
        <w:jc w:val="left"/>
        <w:rPr>
          <w:rFonts w:ascii="Calibri" w:hAnsi="宋体" w:cs="Times New Roman"/>
          <w:color w:val="auto"/>
          <w:kern w:val="2"/>
          <w:highlight w:val="none"/>
        </w:rPr>
      </w:pPr>
    </w:p>
    <w:p w14:paraId="317E6851">
      <w:pPr>
        <w:spacing w:line="360" w:lineRule="auto"/>
        <w:ind w:firstLine="420" w:firstLineChars="200"/>
        <w:jc w:val="left"/>
        <w:rPr>
          <w:rFonts w:ascii="Calibri" w:hAnsi="宋体" w:cs="Times New Roman"/>
          <w:color w:val="auto"/>
          <w:kern w:val="2"/>
          <w:highlight w:val="none"/>
        </w:rPr>
      </w:pPr>
      <w:r>
        <w:rPr>
          <w:rFonts w:hint="eastAsia" w:ascii="Calibri" w:hAnsi="宋体" w:cs="Times New Roman"/>
          <w:color w:val="auto"/>
          <w:kern w:val="2"/>
          <w:highlight w:val="none"/>
        </w:rPr>
        <w:t>（</w:t>
      </w:r>
      <w:r>
        <w:rPr>
          <w:rFonts w:ascii="Calibri" w:hAnsi="Calibri" w:cs="Times New Roman"/>
          <w:color w:val="auto"/>
          <w:kern w:val="2"/>
          <w:highlight w:val="none"/>
        </w:rPr>
        <w:t>2</w:t>
      </w:r>
      <w:r>
        <w:rPr>
          <w:rFonts w:hint="eastAsia" w:ascii="Calibri" w:hAnsi="宋体" w:cs="Times New Roman"/>
          <w:color w:val="auto"/>
          <w:kern w:val="2"/>
          <w:highlight w:val="none"/>
        </w:rPr>
        <w:t>）主要材料确认价：</w:t>
      </w:r>
    </w:p>
    <w:p w14:paraId="3F237AC1">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按施工期间《贺州市建设工程造价信息》加权平均计算，</w:t>
      </w:r>
      <w:r>
        <w:rPr>
          <w:rFonts w:hint="eastAsia" w:ascii="Calibri" w:hAnsi="宋体" w:cs="Times New Roman"/>
          <w:color w:val="auto"/>
          <w:kern w:val="2"/>
          <w:highlight w:val="none"/>
          <w:u w:val="single"/>
          <w:lang w:val="en-US" w:eastAsia="zh-CN"/>
        </w:rPr>
        <w:t>古建筑特殊用材：木材、青砖、青瓦、石材等按市场询价</w:t>
      </w:r>
      <w:r>
        <w:rPr>
          <w:rFonts w:hint="eastAsia" w:ascii="Calibri" w:hAnsi="宋体" w:cs="Times New Roman"/>
          <w:color w:val="auto"/>
          <w:kern w:val="2"/>
          <w:highlight w:val="none"/>
          <w:lang w:val="en-US" w:eastAsia="zh-CN"/>
        </w:rPr>
        <w:t>，</w:t>
      </w:r>
      <w:r>
        <w:rPr>
          <w:rFonts w:hint="eastAsia" w:ascii="Calibri" w:hAnsi="宋体" w:cs="Times New Roman"/>
          <w:color w:val="auto"/>
          <w:kern w:val="2"/>
          <w:highlight w:val="none"/>
          <w:lang w:val="en-US" w:eastAsia="zh-CN"/>
        </w:rPr>
        <w:t>其他</w:t>
      </w:r>
      <w:r>
        <w:rPr>
          <w:rFonts w:hint="eastAsia" w:ascii="Calibri" w:hAnsi="宋体" w:cs="Times New Roman"/>
          <w:color w:val="auto"/>
          <w:kern w:val="2"/>
          <w:highlight w:val="none"/>
        </w:rPr>
        <w:t>信息价没有的按通用条款规定确定。</w:t>
      </w:r>
    </w:p>
    <w:p w14:paraId="5A2E16FB">
      <w:pPr>
        <w:spacing w:line="360" w:lineRule="auto"/>
        <w:ind w:firstLine="420" w:firstLineChars="200"/>
        <w:jc w:val="left"/>
        <w:rPr>
          <w:rFonts w:ascii="Calibri" w:hAnsi="宋体" w:cs="Times New Roman"/>
          <w:color w:val="auto"/>
          <w:kern w:val="2"/>
          <w:highlight w:val="none"/>
        </w:rPr>
      </w:pPr>
      <w:r>
        <w:rPr>
          <w:rFonts w:hint="eastAsia" w:ascii="Calibri" w:hAnsi="宋体" w:cs="Times New Roman"/>
          <w:color w:val="auto"/>
          <w:kern w:val="2"/>
          <w:highlight w:val="none"/>
        </w:rPr>
        <w:t>（</w:t>
      </w:r>
      <w:r>
        <w:rPr>
          <w:rFonts w:ascii="Calibri" w:hAnsi="Calibri" w:cs="Times New Roman"/>
          <w:color w:val="auto"/>
          <w:kern w:val="2"/>
          <w:highlight w:val="none"/>
        </w:rPr>
        <w:t>3</w:t>
      </w:r>
      <w:r>
        <w:rPr>
          <w:rFonts w:hint="eastAsia" w:ascii="Calibri" w:hAnsi="宋体" w:cs="Times New Roman"/>
          <w:color w:val="auto"/>
          <w:kern w:val="2"/>
          <w:highlight w:val="none"/>
        </w:rPr>
        <w:t>）价差计算方法：</w:t>
      </w:r>
    </w:p>
    <w:p w14:paraId="46360E31">
      <w:pPr>
        <w:spacing w:line="360" w:lineRule="auto"/>
        <w:ind w:firstLine="420" w:firstLineChars="200"/>
        <w:jc w:val="left"/>
        <w:rPr>
          <w:rFonts w:ascii="Calibri" w:hAnsi="宋体" w:cs="Times New Roman"/>
          <w:color w:val="auto"/>
          <w:kern w:val="2"/>
          <w:highlight w:val="none"/>
        </w:rPr>
      </w:pPr>
      <w:r>
        <w:rPr>
          <w:rFonts w:hint="eastAsia" w:ascii="Calibri" w:hAnsi="宋体" w:cs="Times New Roman"/>
          <w:color w:val="auto"/>
          <w:kern w:val="2"/>
          <w:highlight w:val="none"/>
        </w:rPr>
        <w:t>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14:paraId="2A66EE93">
      <w:pPr>
        <w:spacing w:line="360" w:lineRule="auto"/>
        <w:ind w:firstLine="420" w:firstLineChars="200"/>
        <w:jc w:val="left"/>
        <w:rPr>
          <w:rFonts w:ascii="Calibri" w:hAnsi="宋体" w:cs="Times New Roman"/>
          <w:color w:val="auto"/>
          <w:kern w:val="2"/>
          <w:highlight w:val="none"/>
        </w:rPr>
      </w:pPr>
      <w:r>
        <w:rPr>
          <w:rFonts w:hint="eastAsia" w:ascii="Calibri" w:hAnsi="宋体" w:cs="Times New Roman"/>
          <w:color w:val="auto"/>
          <w:kern w:val="2"/>
          <w:highlight w:val="none"/>
        </w:rPr>
        <w:t>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14:paraId="47E5955B">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③承包人在《承包人提供主要材料和设备一览表》中载明的材料单价等于基准单价的：合同履行期间材料单价涨跌幅以基准单价为基础超过约定的风险范围时，其超过部分据实调整。</w:t>
      </w:r>
    </w:p>
    <w:p w14:paraId="707CB685">
      <w:pPr>
        <w:spacing w:line="360" w:lineRule="auto"/>
        <w:ind w:firstLine="645"/>
        <w:jc w:val="left"/>
        <w:rPr>
          <w:rFonts w:ascii="Calibri" w:hAnsi="Calibri" w:cs="Times New Roman"/>
          <w:color w:val="auto"/>
          <w:kern w:val="2"/>
          <w:highlight w:val="none"/>
        </w:rPr>
      </w:pPr>
      <w:r>
        <w:rPr>
          <w:rFonts w:hint="eastAsia" w:ascii="Calibri" w:hAnsi="宋体" w:cs="Times New Roman"/>
          <w:color w:val="auto"/>
          <w:kern w:val="2"/>
          <w:highlight w:val="none"/>
        </w:rPr>
        <w:t>第</w:t>
      </w:r>
      <w:r>
        <w:rPr>
          <w:rFonts w:ascii="Calibri" w:hAnsi="宋体" w:cs="Times New Roman"/>
          <w:color w:val="auto"/>
          <w:kern w:val="2"/>
          <w:highlight w:val="none"/>
        </w:rPr>
        <w:t>3</w:t>
      </w:r>
      <w:r>
        <w:rPr>
          <w:rFonts w:hint="eastAsia" w:ascii="Calibri" w:hAnsi="宋体" w:cs="Times New Roman"/>
          <w:color w:val="auto"/>
          <w:kern w:val="2"/>
          <w:highlight w:val="none"/>
        </w:rPr>
        <w:t>种方式：</w:t>
      </w:r>
      <w:r>
        <w:rPr>
          <w:rFonts w:ascii="Calibri" w:hAnsi="宋体" w:cs="Times New Roman"/>
          <w:color w:val="auto"/>
          <w:kern w:val="2"/>
          <w:highlight w:val="none"/>
        </w:rPr>
        <w:t>/</w:t>
      </w:r>
      <w:r>
        <w:rPr>
          <w:rFonts w:hint="eastAsia" w:ascii="Calibri" w:hAnsi="Calibri" w:cs="Times New Roman"/>
          <w:color w:val="auto"/>
          <w:kern w:val="2"/>
          <w:highlight w:val="none"/>
        </w:rPr>
        <w:t>。</w:t>
      </w:r>
    </w:p>
    <w:bookmarkEnd w:id="1477"/>
    <w:bookmarkEnd w:id="1478"/>
    <w:bookmarkEnd w:id="1479"/>
    <w:bookmarkEnd w:id="1480"/>
    <w:bookmarkEnd w:id="1481"/>
    <w:bookmarkEnd w:id="1482"/>
    <w:p w14:paraId="66F98164">
      <w:pPr>
        <w:keepNext/>
        <w:keepLines/>
        <w:spacing w:line="360" w:lineRule="auto"/>
        <w:outlineLvl w:val="2"/>
        <w:rPr>
          <w:rFonts w:ascii="Cambria" w:hAnsi="Cambria" w:cs="Times New Roman"/>
          <w:color w:val="auto"/>
          <w:kern w:val="2"/>
          <w:sz w:val="32"/>
          <w:szCs w:val="32"/>
          <w:highlight w:val="none"/>
          <w:lang w:val="zh-CN"/>
        </w:rPr>
      </w:pPr>
      <w:bookmarkStart w:id="1679" w:name="_Toc296503205"/>
      <w:bookmarkStart w:id="1680" w:name="_Toc296944544"/>
      <w:bookmarkStart w:id="1681" w:name="_Toc297120505"/>
      <w:bookmarkStart w:id="1682" w:name="_Toc297048391"/>
      <w:bookmarkStart w:id="1683" w:name="_Toc292559915"/>
      <w:bookmarkStart w:id="1684" w:name="_Toc296891245"/>
      <w:bookmarkStart w:id="1685" w:name="_Toc296347204"/>
      <w:bookmarkStart w:id="1686" w:name="_Toc296346706"/>
      <w:bookmarkStart w:id="1687" w:name="_Toc292559410"/>
      <w:bookmarkStart w:id="1688" w:name="_Toc296891033"/>
      <w:bookmarkStart w:id="1689" w:name="_Toc494549248"/>
      <w:bookmarkStart w:id="1690" w:name="_Toc373227748"/>
      <w:bookmarkStart w:id="1691" w:name="_Toc532840057"/>
      <w:bookmarkStart w:id="1692" w:name="_Toc512691451"/>
      <w:bookmarkStart w:id="1693" w:name="_Toc530658075"/>
      <w:bookmarkStart w:id="1694" w:name="_Toc493774812"/>
      <w:bookmarkStart w:id="1695" w:name="_Toc485400644"/>
      <w:bookmarkStart w:id="1696" w:name="_Toc351203644"/>
      <w:bookmarkStart w:id="1697" w:name="_Toc373478395"/>
      <w:bookmarkStart w:id="1698" w:name="_Toc407135251"/>
      <w:bookmarkStart w:id="1699" w:name="_Toc508894113"/>
      <w:bookmarkStart w:id="1700" w:name="_Toc303539159"/>
      <w:bookmarkStart w:id="1701" w:name="_Toc297216211"/>
      <w:bookmarkStart w:id="1702" w:name="_Toc304295579"/>
      <w:bookmarkStart w:id="1703" w:name="_Toc300935002"/>
      <w:bookmarkStart w:id="1704" w:name="_Toc312678040"/>
      <w:bookmarkStart w:id="1705" w:name="_Toc297123552"/>
      <w:r>
        <w:rPr>
          <w:rFonts w:ascii="Cambria" w:hAnsi="Cambria" w:cs="Times New Roman"/>
          <w:color w:val="auto"/>
          <w:kern w:val="2"/>
          <w:sz w:val="32"/>
          <w:szCs w:val="32"/>
          <w:highlight w:val="none"/>
          <w:lang w:val="zh-CN"/>
        </w:rPr>
        <w:t xml:space="preserve">12. </w:t>
      </w:r>
      <w:bookmarkEnd w:id="1679"/>
      <w:bookmarkEnd w:id="1680"/>
      <w:bookmarkEnd w:id="1681"/>
      <w:bookmarkEnd w:id="1682"/>
      <w:bookmarkEnd w:id="1683"/>
      <w:bookmarkEnd w:id="1684"/>
      <w:bookmarkEnd w:id="1685"/>
      <w:bookmarkEnd w:id="1686"/>
      <w:bookmarkEnd w:id="1687"/>
      <w:bookmarkEnd w:id="1688"/>
      <w:r>
        <w:rPr>
          <w:rFonts w:hint="eastAsia" w:ascii="Cambria" w:hAnsi="Cambria" w:cs="Times New Roman"/>
          <w:color w:val="auto"/>
          <w:kern w:val="2"/>
          <w:sz w:val="32"/>
          <w:szCs w:val="32"/>
          <w:highlight w:val="none"/>
          <w:lang w:val="zh-CN"/>
        </w:rPr>
        <w:t>合同价格、计量与支付</w:t>
      </w:r>
      <w:bookmarkEnd w:id="1689"/>
      <w:bookmarkEnd w:id="1690"/>
      <w:bookmarkEnd w:id="1691"/>
      <w:bookmarkEnd w:id="1692"/>
      <w:bookmarkEnd w:id="1693"/>
      <w:bookmarkEnd w:id="1694"/>
      <w:bookmarkEnd w:id="1695"/>
      <w:bookmarkEnd w:id="1696"/>
      <w:bookmarkEnd w:id="1697"/>
      <w:bookmarkEnd w:id="1698"/>
      <w:bookmarkEnd w:id="1699"/>
    </w:p>
    <w:bookmarkEnd w:id="1700"/>
    <w:bookmarkEnd w:id="1701"/>
    <w:bookmarkEnd w:id="1702"/>
    <w:bookmarkEnd w:id="1703"/>
    <w:bookmarkEnd w:id="1704"/>
    <w:bookmarkEnd w:id="1705"/>
    <w:p w14:paraId="226754FC">
      <w:pPr>
        <w:keepNext/>
        <w:keepLines/>
        <w:spacing w:before="260" w:after="260" w:line="416" w:lineRule="auto"/>
        <w:outlineLvl w:val="3"/>
        <w:rPr>
          <w:rFonts w:ascii="Calibri" w:hAnsi="Calibri" w:cs="Times New Roman"/>
          <w:b/>
          <w:bCs/>
          <w:color w:val="auto"/>
          <w:kern w:val="2"/>
          <w:sz w:val="32"/>
          <w:szCs w:val="32"/>
          <w:highlight w:val="none"/>
        </w:rPr>
      </w:pPr>
      <w:bookmarkStart w:id="1706" w:name="_Toc267251461"/>
      <w:bookmarkStart w:id="1707" w:name="_Toc292559411"/>
      <w:bookmarkStart w:id="1708" w:name="_Toc292559916"/>
      <w:bookmarkStart w:id="1709" w:name="_Toc297048392"/>
      <w:bookmarkStart w:id="1710" w:name="_Toc296346707"/>
      <w:bookmarkStart w:id="1711" w:name="_Toc296347205"/>
      <w:bookmarkStart w:id="1712" w:name="_Toc296891034"/>
      <w:bookmarkStart w:id="1713" w:name="_Toc296891246"/>
      <w:bookmarkStart w:id="1714" w:name="_Toc296944545"/>
      <w:bookmarkStart w:id="1715" w:name="_Toc297120506"/>
      <w:bookmarkStart w:id="1716" w:name="_Toc296503206"/>
      <w:bookmarkStart w:id="1717" w:name="_Toc407135252"/>
      <w:bookmarkStart w:id="1718" w:name="_Toc493774813"/>
      <w:bookmarkStart w:id="1719" w:name="_Toc389065314"/>
      <w:bookmarkStart w:id="1720" w:name="_Toc512691452"/>
      <w:bookmarkStart w:id="1721" w:name="_Toc373227749"/>
      <w:bookmarkStart w:id="1722" w:name="_Toc508894114"/>
      <w:bookmarkStart w:id="1723" w:name="_Toc532840058"/>
      <w:bookmarkStart w:id="1724" w:name="_Toc494549249"/>
      <w:bookmarkStart w:id="1725" w:name="_Toc373478396"/>
      <w:bookmarkStart w:id="1726" w:name="_Toc485400645"/>
      <w:bookmarkStart w:id="1727" w:name="_Toc530658076"/>
      <w:bookmarkStart w:id="1728" w:name="_Toc297216212"/>
      <w:bookmarkStart w:id="1729" w:name="_Toc300935003"/>
      <w:bookmarkStart w:id="1730" w:name="_Toc312678041"/>
      <w:bookmarkStart w:id="1731" w:name="_Toc304295580"/>
      <w:bookmarkStart w:id="1732" w:name="_Toc303539160"/>
      <w:bookmarkStart w:id="1733" w:name="_Toc297123553"/>
      <w:r>
        <w:rPr>
          <w:rFonts w:ascii="Calibri" w:hAnsi="Calibri" w:cs="Times New Roman"/>
          <w:b/>
          <w:bCs/>
          <w:color w:val="auto"/>
          <w:kern w:val="2"/>
          <w:sz w:val="32"/>
          <w:szCs w:val="32"/>
          <w:highlight w:val="none"/>
        </w:rPr>
        <w:t xml:space="preserve">12.1 </w:t>
      </w:r>
      <w:r>
        <w:rPr>
          <w:rFonts w:hint="eastAsia" w:ascii="Calibri" w:hAnsi="宋体" w:cs="Times New Roman"/>
          <w:b/>
          <w:bCs/>
          <w:color w:val="auto"/>
          <w:kern w:val="2"/>
          <w:sz w:val="32"/>
          <w:szCs w:val="32"/>
          <w:highlight w:val="none"/>
        </w:rPr>
        <w:t>合</w:t>
      </w:r>
      <w:bookmarkEnd w:id="1706"/>
      <w:bookmarkEnd w:id="1707"/>
      <w:bookmarkEnd w:id="1708"/>
      <w:r>
        <w:rPr>
          <w:rFonts w:hint="eastAsia" w:ascii="Calibri" w:hAnsi="宋体" w:cs="Times New Roman"/>
          <w:b/>
          <w:bCs/>
          <w:color w:val="auto"/>
          <w:kern w:val="2"/>
          <w:sz w:val="32"/>
          <w:szCs w:val="32"/>
          <w:highlight w:val="none"/>
        </w:rPr>
        <w:t>同价</w:t>
      </w:r>
      <w:bookmarkEnd w:id="1709"/>
      <w:bookmarkEnd w:id="1710"/>
      <w:bookmarkEnd w:id="1711"/>
      <w:bookmarkEnd w:id="1712"/>
      <w:bookmarkEnd w:id="1713"/>
      <w:bookmarkEnd w:id="1714"/>
      <w:bookmarkEnd w:id="1715"/>
      <w:bookmarkEnd w:id="1716"/>
      <w:r>
        <w:rPr>
          <w:rFonts w:hint="eastAsia" w:ascii="Calibri" w:hAnsi="宋体" w:cs="Times New Roman"/>
          <w:b/>
          <w:bCs/>
          <w:color w:val="auto"/>
          <w:kern w:val="2"/>
          <w:sz w:val="32"/>
          <w:szCs w:val="32"/>
          <w:highlight w:val="none"/>
        </w:rPr>
        <w:t>格形式</w:t>
      </w:r>
      <w:bookmarkEnd w:id="1717"/>
      <w:bookmarkEnd w:id="1718"/>
      <w:bookmarkEnd w:id="1719"/>
      <w:bookmarkEnd w:id="1720"/>
      <w:bookmarkEnd w:id="1721"/>
      <w:bookmarkEnd w:id="1722"/>
      <w:bookmarkEnd w:id="1723"/>
      <w:bookmarkEnd w:id="1724"/>
      <w:bookmarkEnd w:id="1725"/>
      <w:bookmarkEnd w:id="1726"/>
      <w:bookmarkEnd w:id="1727"/>
    </w:p>
    <w:bookmarkEnd w:id="1728"/>
    <w:bookmarkEnd w:id="1729"/>
    <w:bookmarkEnd w:id="1730"/>
    <w:bookmarkEnd w:id="1731"/>
    <w:bookmarkEnd w:id="1732"/>
    <w:bookmarkEnd w:id="1733"/>
    <w:p w14:paraId="3C6E43BC">
      <w:pPr>
        <w:spacing w:line="360" w:lineRule="auto"/>
        <w:ind w:firstLine="420" w:firstLineChars="200"/>
        <w:jc w:val="left"/>
        <w:rPr>
          <w:rFonts w:ascii="Calibri" w:hAnsi="宋体" w:cs="Times New Roman"/>
          <w:color w:val="auto"/>
          <w:kern w:val="2"/>
          <w:highlight w:val="none"/>
        </w:rPr>
      </w:pPr>
      <w:bookmarkStart w:id="1734" w:name="_Toc373478397"/>
      <w:bookmarkStart w:id="1735" w:name="_Toc373227750"/>
      <w:bookmarkStart w:id="1736" w:name="_Toc389065315"/>
      <w:bookmarkStart w:id="1737" w:name="_Toc304295581"/>
      <w:bookmarkStart w:id="1738" w:name="_Toc300935004"/>
      <w:bookmarkStart w:id="1739" w:name="_Toc303539161"/>
      <w:bookmarkStart w:id="1740" w:name="_Toc312678042"/>
      <w:bookmarkStart w:id="1741" w:name="_Toc297123554"/>
      <w:bookmarkStart w:id="1742" w:name="_Toc297216213"/>
      <w:bookmarkStart w:id="1743" w:name="_Toc296346708"/>
      <w:bookmarkStart w:id="1744" w:name="_Toc296891035"/>
      <w:bookmarkStart w:id="1745" w:name="_Toc296891247"/>
      <w:bookmarkStart w:id="1746" w:name="_Toc297120507"/>
      <w:bookmarkStart w:id="1747" w:name="_Toc297048393"/>
      <w:bookmarkStart w:id="1748" w:name="_Toc292559917"/>
      <w:bookmarkStart w:id="1749" w:name="_Toc296944546"/>
      <w:bookmarkStart w:id="1750" w:name="_Toc296347206"/>
      <w:bookmarkStart w:id="1751" w:name="_Toc296503207"/>
      <w:bookmarkStart w:id="1752" w:name="_Toc292559412"/>
      <w:r>
        <w:rPr>
          <w:rFonts w:hint="eastAsia" w:ascii="Calibri" w:hAnsi="宋体" w:cs="Times New Roman"/>
          <w:color w:val="auto"/>
          <w:kern w:val="2"/>
          <w:highlight w:val="none"/>
        </w:rPr>
        <w:t>（</w:t>
      </w:r>
      <w:r>
        <w:rPr>
          <w:rFonts w:ascii="Calibri" w:hAnsi="宋体" w:cs="Times New Roman"/>
          <w:color w:val="auto"/>
          <w:kern w:val="2"/>
          <w:highlight w:val="none"/>
        </w:rPr>
        <w:t>1</w:t>
      </w:r>
      <w:r>
        <w:rPr>
          <w:rFonts w:hint="eastAsia" w:ascii="Calibri" w:hAnsi="宋体" w:cs="Times New Roman"/>
          <w:color w:val="auto"/>
          <w:kern w:val="2"/>
          <w:highlight w:val="none"/>
        </w:rPr>
        <w:t>）单价合同。</w:t>
      </w:r>
    </w:p>
    <w:p w14:paraId="15165D5D">
      <w:pPr>
        <w:spacing w:line="360" w:lineRule="auto"/>
        <w:ind w:firstLine="420" w:firstLineChars="200"/>
        <w:jc w:val="left"/>
        <w:rPr>
          <w:rFonts w:ascii="Calibri" w:hAnsi="宋体" w:cs="Times New Roman"/>
          <w:color w:val="auto"/>
          <w:kern w:val="2"/>
          <w:highlight w:val="none"/>
        </w:rPr>
      </w:pPr>
      <w:r>
        <w:rPr>
          <w:rFonts w:hint="eastAsia" w:ascii="Calibri" w:hAnsi="宋体" w:cs="Times New Roman"/>
          <w:color w:val="auto"/>
          <w:kern w:val="2"/>
          <w:highlight w:val="none"/>
        </w:rPr>
        <w:t>本合同价款采用固定综合单价方式确定。</w:t>
      </w:r>
    </w:p>
    <w:p w14:paraId="15C2F017">
      <w:pPr>
        <w:spacing w:line="360" w:lineRule="auto"/>
        <w:ind w:firstLine="420" w:firstLineChars="200"/>
        <w:jc w:val="left"/>
        <w:rPr>
          <w:rFonts w:ascii="Calibri" w:hAnsi="宋体" w:cs="Times New Roman"/>
          <w:color w:val="auto"/>
          <w:kern w:val="2"/>
          <w:highlight w:val="none"/>
        </w:rPr>
      </w:pPr>
      <w:r>
        <w:rPr>
          <w:rFonts w:hint="eastAsia" w:ascii="Calibri" w:hAnsi="宋体" w:cs="Times New Roman"/>
          <w:color w:val="auto"/>
          <w:kern w:val="2"/>
          <w:highlight w:val="none"/>
        </w:rPr>
        <w:t>综合单价包含的风险范围：</w:t>
      </w:r>
      <w:r>
        <w:rPr>
          <w:rFonts w:hint="eastAsia" w:ascii="Calibri" w:hAnsi="宋体" w:cs="Times New Roman"/>
          <w:color w:val="auto"/>
          <w:kern w:val="2"/>
          <w:highlight w:val="none"/>
          <w:u w:val="single"/>
        </w:rPr>
        <w:t>除工程变更、</w:t>
      </w:r>
      <w:r>
        <w:rPr>
          <w:rFonts w:hint="eastAsia" w:ascii="Calibri" w:hAnsi="宋体" w:cs="Times New Roman"/>
          <w:color w:val="auto"/>
          <w:kern w:val="2"/>
          <w:highlight w:val="none"/>
          <w:u w:val="single"/>
          <w:lang w:val="en-US" w:eastAsia="zh-CN"/>
        </w:rPr>
        <w:t>项目特征不符、工程量清单缺项漏项、</w:t>
      </w:r>
      <w:r>
        <w:rPr>
          <w:rFonts w:hint="eastAsia" w:ascii="Calibri" w:hAnsi="宋体" w:cs="Times New Roman"/>
          <w:color w:val="auto"/>
          <w:kern w:val="2"/>
          <w:highlight w:val="none"/>
          <w:u w:val="single"/>
        </w:rPr>
        <w:t>政策性调整、不可抗力、工程量清单错漏项、《承包人提供主要材料和设备一览表》</w:t>
      </w:r>
      <w:r>
        <w:rPr>
          <w:rFonts w:hint="eastAsia" w:ascii="Calibri" w:hAnsi="宋体" w:cs="Times New Roman"/>
          <w:color w:val="auto"/>
          <w:kern w:val="2"/>
          <w:highlight w:val="none"/>
          <w:u w:val="single"/>
          <w:lang w:eastAsia="zh-CN"/>
        </w:rPr>
        <w:t>（如发包人招标时提供的</w:t>
      </w:r>
      <w:r>
        <w:rPr>
          <w:rFonts w:hint="eastAsia" w:ascii="Calibri" w:hAnsi="宋体" w:cs="Times New Roman"/>
          <w:color w:val="auto"/>
          <w:kern w:val="2"/>
          <w:highlight w:val="none"/>
          <w:u w:val="single"/>
        </w:rPr>
        <w:t>《承包人提供主要材料和设备一览表》</w:t>
      </w:r>
      <w:r>
        <w:rPr>
          <w:rFonts w:hint="eastAsia" w:ascii="Calibri" w:hAnsi="宋体" w:cs="Times New Roman"/>
          <w:color w:val="auto"/>
          <w:kern w:val="2"/>
          <w:highlight w:val="none"/>
          <w:u w:val="single"/>
          <w:lang w:eastAsia="zh-CN"/>
        </w:rPr>
        <w:t>中的主要按材料和设备缺项、漏项，经发包人及相关部门审核确认后予以调整。）</w:t>
      </w:r>
      <w:r>
        <w:rPr>
          <w:rFonts w:hint="eastAsia" w:ascii="Calibri" w:hAnsi="宋体" w:cs="Times New Roman"/>
          <w:color w:val="auto"/>
          <w:kern w:val="2"/>
          <w:highlight w:val="none"/>
          <w:u w:val="single"/>
        </w:rPr>
        <w:t>约定的材料、设备价格变动风险以外因素</w:t>
      </w:r>
      <w:r>
        <w:rPr>
          <w:rFonts w:hint="eastAsia" w:ascii="Calibri" w:hAnsi="宋体" w:cs="Times New Roman"/>
          <w:color w:val="auto"/>
          <w:kern w:val="2"/>
          <w:highlight w:val="none"/>
        </w:rPr>
        <w:t>。</w:t>
      </w:r>
    </w:p>
    <w:p w14:paraId="1AE228FE">
      <w:pPr>
        <w:spacing w:line="360" w:lineRule="auto"/>
        <w:ind w:firstLine="441" w:firstLineChars="210"/>
        <w:rPr>
          <w:rFonts w:ascii="Times New Roman" w:hAnsi="宋体" w:cs="Times New Roman"/>
          <w:color w:val="auto"/>
          <w:kern w:val="2"/>
          <w:highlight w:val="none"/>
        </w:rPr>
      </w:pPr>
      <w:r>
        <w:rPr>
          <w:rFonts w:hint="eastAsia" w:ascii="Times New Roman" w:hAnsi="宋体" w:cs="Times New Roman"/>
          <w:color w:val="auto"/>
          <w:kern w:val="2"/>
          <w:highlight w:val="none"/>
        </w:rPr>
        <w:t>风险范围以外合同价格的调整方法：</w:t>
      </w:r>
    </w:p>
    <w:p w14:paraId="79F44E76">
      <w:pPr>
        <w:spacing w:line="360" w:lineRule="auto"/>
        <w:ind w:firstLine="441" w:firstLineChars="210"/>
        <w:rPr>
          <w:rFonts w:ascii="Times New Roman" w:hAnsi="宋体" w:cs="Times New Roman"/>
          <w:color w:val="auto"/>
          <w:kern w:val="2"/>
          <w:highlight w:val="none"/>
        </w:rPr>
      </w:pPr>
      <w:r>
        <w:rPr>
          <w:rFonts w:hint="eastAsia" w:ascii="Times New Roman" w:hAnsi="宋体" w:cs="Times New Roman"/>
          <w:color w:val="auto"/>
          <w:kern w:val="2"/>
          <w:highlight w:val="none"/>
        </w:rPr>
        <w:t>①工程变更：按</w:t>
      </w:r>
      <w:r>
        <w:rPr>
          <w:rFonts w:ascii="Times New Roman" w:hAnsi="宋体" w:cs="Times New Roman"/>
          <w:color w:val="auto"/>
          <w:kern w:val="2"/>
          <w:highlight w:val="none"/>
        </w:rPr>
        <w:t>10.4.1</w:t>
      </w:r>
      <w:r>
        <w:rPr>
          <w:rFonts w:hint="eastAsia" w:ascii="Times New Roman" w:hAnsi="宋体" w:cs="Times New Roman"/>
          <w:color w:val="auto"/>
          <w:kern w:val="2"/>
          <w:highlight w:val="none"/>
        </w:rPr>
        <w:t>变更估价原则的约定调整。</w:t>
      </w:r>
    </w:p>
    <w:p w14:paraId="2FA4E07A">
      <w:pPr>
        <w:spacing w:line="360" w:lineRule="auto"/>
        <w:ind w:firstLine="441" w:firstLineChars="210"/>
        <w:rPr>
          <w:rFonts w:ascii="Times New Roman" w:hAnsi="宋体" w:cs="Times New Roman"/>
          <w:color w:val="auto"/>
          <w:kern w:val="2"/>
          <w:highlight w:val="none"/>
        </w:rPr>
      </w:pPr>
      <w:r>
        <w:rPr>
          <w:rFonts w:hint="eastAsia" w:ascii="Times New Roman" w:hAnsi="宋体" w:cs="Times New Roman"/>
          <w:color w:val="auto"/>
          <w:kern w:val="2"/>
          <w:highlight w:val="none"/>
        </w:rPr>
        <w:t>②政策性调整：按自治区建设行政主管部门颁布的文件执行。</w:t>
      </w:r>
    </w:p>
    <w:p w14:paraId="2CED8C32">
      <w:pPr>
        <w:spacing w:line="360" w:lineRule="auto"/>
        <w:ind w:firstLine="441" w:firstLineChars="210"/>
        <w:rPr>
          <w:rFonts w:ascii="Times New Roman" w:hAnsi="宋体" w:cs="Times New Roman"/>
          <w:color w:val="auto"/>
          <w:kern w:val="2"/>
          <w:highlight w:val="none"/>
        </w:rPr>
      </w:pPr>
      <w:r>
        <w:rPr>
          <w:rFonts w:hint="eastAsia" w:ascii="Times New Roman" w:hAnsi="宋体" w:cs="Times New Roman"/>
          <w:color w:val="auto"/>
          <w:kern w:val="2"/>
          <w:highlight w:val="none"/>
        </w:rPr>
        <w:t>③材料价格风险：按</w:t>
      </w:r>
      <w:r>
        <w:rPr>
          <w:rFonts w:ascii="Times New Roman" w:hAnsi="宋体" w:cs="Times New Roman"/>
          <w:color w:val="auto"/>
          <w:kern w:val="2"/>
          <w:highlight w:val="none"/>
        </w:rPr>
        <w:t>11.1</w:t>
      </w:r>
      <w:r>
        <w:rPr>
          <w:rFonts w:hint="eastAsia" w:ascii="Times New Roman" w:hAnsi="宋体" w:cs="Times New Roman"/>
          <w:color w:val="auto"/>
          <w:kern w:val="2"/>
          <w:highlight w:val="none"/>
        </w:rPr>
        <w:t>的约定调整。</w:t>
      </w:r>
    </w:p>
    <w:p w14:paraId="45A86829">
      <w:pPr>
        <w:spacing w:line="360" w:lineRule="auto"/>
        <w:ind w:firstLine="420" w:firstLineChars="200"/>
        <w:jc w:val="left"/>
        <w:rPr>
          <w:rFonts w:ascii="Calibri" w:hAnsi="宋体" w:cs="Times New Roman"/>
          <w:color w:val="auto"/>
          <w:kern w:val="2"/>
          <w:highlight w:val="none"/>
        </w:rPr>
      </w:pPr>
      <w:r>
        <w:rPr>
          <w:rFonts w:hint="eastAsia" w:ascii="Calibri" w:hAnsi="宋体" w:cs="Times New Roman"/>
          <w:color w:val="auto"/>
          <w:kern w:val="2"/>
          <w:highlight w:val="none"/>
        </w:rPr>
        <w:t>④其它：</w:t>
      </w:r>
      <w:r>
        <w:rPr>
          <w:rFonts w:ascii="Calibri" w:hAnsi="宋体" w:cs="Times New Roman"/>
          <w:color w:val="auto"/>
          <w:kern w:val="2"/>
          <w:highlight w:val="none"/>
          <w:u w:val="single"/>
        </w:rPr>
        <w:t>/</w:t>
      </w:r>
      <w:r>
        <w:rPr>
          <w:rFonts w:hint="eastAsia" w:ascii="Calibri" w:hAnsi="宋体" w:cs="Times New Roman"/>
          <w:color w:val="auto"/>
          <w:kern w:val="2"/>
          <w:highlight w:val="none"/>
        </w:rPr>
        <w:t>。</w:t>
      </w:r>
    </w:p>
    <w:p w14:paraId="391A304C">
      <w:pPr>
        <w:spacing w:line="360" w:lineRule="auto"/>
        <w:ind w:firstLine="420" w:firstLineChars="200"/>
        <w:jc w:val="left"/>
        <w:rPr>
          <w:rFonts w:ascii="Calibri" w:hAnsi="宋体" w:cs="Times New Roman"/>
          <w:color w:val="auto"/>
          <w:kern w:val="2"/>
          <w:highlight w:val="none"/>
        </w:rPr>
      </w:pPr>
      <w:r>
        <w:rPr>
          <w:rFonts w:hint="eastAsia" w:ascii="Calibri" w:hAnsi="宋体" w:cs="Times New Roman"/>
          <w:color w:val="auto"/>
          <w:kern w:val="2"/>
          <w:highlight w:val="none"/>
        </w:rPr>
        <w:t>（</w:t>
      </w:r>
      <w:r>
        <w:rPr>
          <w:rFonts w:ascii="Calibri" w:hAnsi="宋体" w:cs="Times New Roman"/>
          <w:color w:val="auto"/>
          <w:kern w:val="2"/>
          <w:highlight w:val="none"/>
        </w:rPr>
        <w:t>2</w:t>
      </w:r>
      <w:r>
        <w:rPr>
          <w:rFonts w:hint="eastAsia" w:ascii="Calibri" w:hAnsi="宋体" w:cs="Times New Roman"/>
          <w:color w:val="auto"/>
          <w:kern w:val="2"/>
          <w:highlight w:val="none"/>
        </w:rPr>
        <w:t>）总价合同。</w:t>
      </w:r>
    </w:p>
    <w:p w14:paraId="449F1100">
      <w:pPr>
        <w:spacing w:line="360" w:lineRule="auto"/>
        <w:ind w:firstLine="420" w:firstLineChars="200"/>
        <w:jc w:val="left"/>
        <w:rPr>
          <w:rFonts w:ascii="Calibri" w:hAnsi="宋体" w:cs="Times New Roman"/>
          <w:color w:val="auto"/>
          <w:kern w:val="2"/>
          <w:highlight w:val="none"/>
        </w:rPr>
      </w:pPr>
      <w:r>
        <w:rPr>
          <w:rFonts w:hint="eastAsia" w:ascii="Calibri" w:hAnsi="宋体" w:cs="Times New Roman"/>
          <w:color w:val="auto"/>
          <w:kern w:val="2"/>
          <w:highlight w:val="none"/>
        </w:rPr>
        <w:t>总价包含的风险范围：</w:t>
      </w:r>
      <w:r>
        <w:rPr>
          <w:rFonts w:ascii="Calibri" w:hAnsi="宋体" w:cs="Times New Roman"/>
          <w:color w:val="auto"/>
          <w:kern w:val="2"/>
          <w:highlight w:val="none"/>
          <w:u w:val="single"/>
        </w:rPr>
        <w:t>/</w:t>
      </w:r>
      <w:r>
        <w:rPr>
          <w:rFonts w:hint="eastAsia" w:ascii="Calibri" w:hAnsi="宋体" w:cs="Times New Roman"/>
          <w:color w:val="auto"/>
          <w:kern w:val="2"/>
          <w:highlight w:val="none"/>
        </w:rPr>
        <w:t>。</w:t>
      </w:r>
    </w:p>
    <w:p w14:paraId="0B21D776">
      <w:pPr>
        <w:spacing w:line="360" w:lineRule="auto"/>
        <w:ind w:firstLine="420" w:firstLineChars="200"/>
        <w:jc w:val="left"/>
        <w:rPr>
          <w:rFonts w:ascii="Calibri" w:hAnsi="Calibri" w:cs="Times New Roman"/>
          <w:color w:val="auto"/>
          <w:kern w:val="2"/>
          <w:szCs w:val="22"/>
          <w:highlight w:val="none"/>
        </w:rPr>
      </w:pPr>
      <w:r>
        <w:rPr>
          <w:rFonts w:hint="eastAsia" w:ascii="Calibri" w:hAnsi="Calibri" w:cs="Times New Roman"/>
          <w:color w:val="auto"/>
          <w:kern w:val="2"/>
          <w:szCs w:val="22"/>
          <w:highlight w:val="none"/>
        </w:rPr>
        <w:t>风险范围以外合同价格的调整方法：</w:t>
      </w:r>
      <w:r>
        <w:rPr>
          <w:rFonts w:ascii="Calibri" w:hAnsi="Calibri" w:cs="Times New Roman"/>
          <w:color w:val="auto"/>
          <w:kern w:val="2"/>
          <w:szCs w:val="22"/>
          <w:highlight w:val="none"/>
          <w:u w:val="single"/>
        </w:rPr>
        <w:t>/</w:t>
      </w:r>
      <w:r>
        <w:rPr>
          <w:rFonts w:hint="eastAsia" w:ascii="Calibri" w:hAnsi="Calibri" w:cs="Times New Roman"/>
          <w:color w:val="auto"/>
          <w:kern w:val="2"/>
          <w:szCs w:val="22"/>
          <w:highlight w:val="none"/>
        </w:rPr>
        <w:t>。</w:t>
      </w:r>
    </w:p>
    <w:p w14:paraId="3CEAAB54">
      <w:pPr>
        <w:spacing w:line="360" w:lineRule="auto"/>
        <w:ind w:firstLine="420" w:firstLineChars="200"/>
        <w:jc w:val="left"/>
        <w:rPr>
          <w:rFonts w:ascii="Calibri" w:hAnsi="Calibri" w:cs="Times New Roman"/>
          <w:color w:val="auto"/>
          <w:kern w:val="2"/>
          <w:szCs w:val="22"/>
          <w:highlight w:val="none"/>
        </w:rPr>
      </w:pPr>
      <w:r>
        <w:rPr>
          <w:rFonts w:hint="eastAsia" w:ascii="Calibri" w:hAnsi="Calibri" w:cs="Times New Roman"/>
          <w:color w:val="auto"/>
          <w:kern w:val="2"/>
          <w:szCs w:val="22"/>
          <w:highlight w:val="none"/>
        </w:rPr>
        <w:t>（</w:t>
      </w:r>
      <w:r>
        <w:rPr>
          <w:rFonts w:ascii="Calibri" w:hAnsi="Calibri" w:cs="Times New Roman"/>
          <w:color w:val="auto"/>
          <w:kern w:val="2"/>
          <w:szCs w:val="22"/>
          <w:highlight w:val="none"/>
        </w:rPr>
        <w:t>3</w:t>
      </w:r>
      <w:r>
        <w:rPr>
          <w:rFonts w:hint="eastAsia" w:ascii="Calibri" w:hAnsi="Calibri" w:cs="Times New Roman"/>
          <w:color w:val="auto"/>
          <w:kern w:val="2"/>
          <w:szCs w:val="22"/>
          <w:highlight w:val="none"/>
        </w:rPr>
        <w:t>）其他价格方式：</w:t>
      </w:r>
      <w:r>
        <w:rPr>
          <w:rFonts w:ascii="Calibri" w:hAnsi="Calibri" w:cs="Times New Roman"/>
          <w:color w:val="auto"/>
          <w:kern w:val="2"/>
          <w:szCs w:val="22"/>
          <w:highlight w:val="none"/>
          <w:u w:val="single"/>
        </w:rPr>
        <w:t>/</w:t>
      </w:r>
      <w:r>
        <w:rPr>
          <w:rFonts w:hint="eastAsia" w:ascii="Calibri" w:hAnsi="Calibri" w:cs="Times New Roman"/>
          <w:color w:val="auto"/>
          <w:kern w:val="2"/>
          <w:szCs w:val="22"/>
          <w:highlight w:val="none"/>
        </w:rPr>
        <w:t>。</w:t>
      </w:r>
    </w:p>
    <w:p w14:paraId="16D2258E">
      <w:pPr>
        <w:keepNext/>
        <w:keepLines/>
        <w:spacing w:before="260" w:after="260" w:line="416" w:lineRule="auto"/>
        <w:outlineLvl w:val="3"/>
        <w:rPr>
          <w:rFonts w:ascii="Calibri" w:hAnsi="Calibri" w:cs="Times New Roman"/>
          <w:b/>
          <w:bCs/>
          <w:color w:val="auto"/>
          <w:kern w:val="2"/>
          <w:sz w:val="32"/>
          <w:szCs w:val="32"/>
          <w:highlight w:val="none"/>
        </w:rPr>
      </w:pPr>
      <w:bookmarkStart w:id="1753" w:name="_Toc493774814"/>
      <w:bookmarkStart w:id="1754" w:name="_Toc494549250"/>
      <w:bookmarkStart w:id="1755" w:name="_Toc508894115"/>
      <w:bookmarkStart w:id="1756" w:name="_Toc512691453"/>
      <w:bookmarkStart w:id="1757" w:name="_Toc407135253"/>
      <w:bookmarkStart w:id="1758" w:name="_Toc530658077"/>
      <w:bookmarkStart w:id="1759" w:name="_Toc485400646"/>
      <w:bookmarkStart w:id="1760" w:name="_Toc532840059"/>
      <w:r>
        <w:rPr>
          <w:rFonts w:ascii="Calibri" w:hAnsi="Calibri" w:cs="Times New Roman"/>
          <w:b/>
          <w:bCs/>
          <w:color w:val="auto"/>
          <w:kern w:val="2"/>
          <w:sz w:val="32"/>
          <w:szCs w:val="32"/>
          <w:highlight w:val="none"/>
        </w:rPr>
        <w:t xml:space="preserve">12.2 </w:t>
      </w:r>
      <w:r>
        <w:rPr>
          <w:rFonts w:hint="eastAsia" w:ascii="Calibri" w:hAnsi="宋体" w:cs="Times New Roman"/>
          <w:b/>
          <w:bCs/>
          <w:color w:val="auto"/>
          <w:kern w:val="2"/>
          <w:sz w:val="32"/>
          <w:szCs w:val="32"/>
          <w:highlight w:val="none"/>
        </w:rPr>
        <w:t>预付款</w:t>
      </w:r>
      <w:bookmarkEnd w:id="1734"/>
      <w:bookmarkEnd w:id="1735"/>
      <w:bookmarkEnd w:id="1736"/>
      <w:bookmarkEnd w:id="1753"/>
      <w:bookmarkEnd w:id="1754"/>
      <w:bookmarkEnd w:id="1755"/>
      <w:bookmarkEnd w:id="1756"/>
      <w:bookmarkEnd w:id="1757"/>
      <w:bookmarkEnd w:id="1758"/>
      <w:bookmarkEnd w:id="1759"/>
      <w:bookmarkEnd w:id="1760"/>
    </w:p>
    <w:bookmarkEnd w:id="1737"/>
    <w:bookmarkEnd w:id="1738"/>
    <w:bookmarkEnd w:id="1739"/>
    <w:bookmarkEnd w:id="1740"/>
    <w:bookmarkEnd w:id="1741"/>
    <w:bookmarkEnd w:id="1742"/>
    <w:p w14:paraId="422F3AE1">
      <w:pPr>
        <w:spacing w:line="360" w:lineRule="auto"/>
        <w:ind w:firstLine="424" w:firstLineChars="202"/>
        <w:jc w:val="left"/>
        <w:rPr>
          <w:rFonts w:hAnsi="宋体" w:cs="Times New Roman"/>
          <w:color w:val="auto"/>
          <w:kern w:val="2"/>
          <w:highlight w:val="none"/>
        </w:rPr>
      </w:pPr>
      <w:r>
        <w:rPr>
          <w:rFonts w:hAnsi="宋体" w:cs="Times New Roman"/>
          <w:color w:val="auto"/>
          <w:kern w:val="2"/>
          <w:highlight w:val="none"/>
        </w:rPr>
        <w:t xml:space="preserve">12.2.1 </w:t>
      </w:r>
      <w:r>
        <w:rPr>
          <w:rFonts w:hint="eastAsia" w:hAnsi="宋体" w:cs="Times New Roman"/>
          <w:color w:val="auto"/>
          <w:kern w:val="2"/>
          <w:highlight w:val="none"/>
        </w:rPr>
        <w:t>预付款的支付</w:t>
      </w:r>
    </w:p>
    <w:p w14:paraId="66CEC7CB">
      <w:pPr>
        <w:spacing w:line="360" w:lineRule="auto"/>
        <w:ind w:firstLine="424" w:firstLineChars="202"/>
        <w:jc w:val="left"/>
        <w:rPr>
          <w:rFonts w:hAnsi="宋体" w:cs="Times New Roman"/>
          <w:color w:val="auto"/>
          <w:kern w:val="2"/>
          <w:highlight w:val="none"/>
          <w:u w:val="single"/>
        </w:rPr>
      </w:pPr>
      <w:r>
        <w:rPr>
          <w:rFonts w:hint="eastAsia" w:hAnsi="宋体" w:cs="Times New Roman"/>
          <w:color w:val="auto"/>
          <w:kern w:val="2"/>
          <w:highlight w:val="none"/>
        </w:rPr>
        <w:t>预付款支付比例或金额：</w:t>
      </w:r>
      <w:r>
        <w:rPr>
          <w:rFonts w:hint="eastAsia" w:hAnsi="宋体"/>
          <w:color w:val="auto"/>
          <w:kern w:val="2"/>
          <w:highlight w:val="none"/>
          <w:u w:val="single"/>
        </w:rPr>
        <w:t>合同价款的</w:t>
      </w:r>
      <w:r>
        <w:rPr>
          <w:rFonts w:hint="eastAsia" w:hAnsi="宋体"/>
          <w:color w:val="auto"/>
          <w:kern w:val="2"/>
          <w:highlight w:val="none"/>
          <w:u w:val="single"/>
          <w:lang w:val="en-US" w:eastAsia="zh-CN"/>
        </w:rPr>
        <w:t>3</w:t>
      </w:r>
      <w:r>
        <w:rPr>
          <w:rFonts w:hAnsi="宋体"/>
          <w:color w:val="auto"/>
          <w:kern w:val="2"/>
          <w:highlight w:val="none"/>
          <w:u w:val="single"/>
        </w:rPr>
        <w:t>0%</w:t>
      </w:r>
      <w:r>
        <w:rPr>
          <w:rFonts w:hint="eastAsia" w:hAnsi="宋体"/>
          <w:color w:val="auto"/>
          <w:kern w:val="2"/>
          <w:highlight w:val="none"/>
          <w:u w:val="single"/>
        </w:rPr>
        <w:t>。</w:t>
      </w:r>
    </w:p>
    <w:p w14:paraId="013626E1">
      <w:pPr>
        <w:spacing w:line="360" w:lineRule="auto"/>
        <w:ind w:firstLine="424" w:firstLineChars="202"/>
        <w:jc w:val="left"/>
        <w:rPr>
          <w:rFonts w:hint="eastAsia" w:hAnsi="宋体" w:cs="Times New Roman"/>
          <w:color w:val="auto"/>
          <w:kern w:val="2"/>
          <w:highlight w:val="none"/>
        </w:rPr>
      </w:pPr>
      <w:r>
        <w:rPr>
          <w:rFonts w:hint="eastAsia" w:hAnsi="宋体" w:cs="Times New Roman"/>
          <w:color w:val="auto"/>
          <w:kern w:val="2"/>
          <w:highlight w:val="none"/>
        </w:rPr>
        <w:t>预付款支付期限：</w:t>
      </w:r>
      <w:r>
        <w:rPr>
          <w:rFonts w:hAnsi="宋体" w:cs="Times New Roman"/>
          <w:color w:val="auto"/>
          <w:kern w:val="2"/>
          <w:highlight w:val="none"/>
          <w:u w:val="single"/>
        </w:rPr>
        <w:t xml:space="preserve"> </w:t>
      </w:r>
      <w:r>
        <w:rPr>
          <w:rFonts w:hint="eastAsia" w:hAnsi="宋体"/>
          <w:color w:val="auto"/>
          <w:highlight w:val="none"/>
          <w:u w:val="single"/>
        </w:rPr>
        <w:t>签订施工合同、开工令发出后七个工作内</w:t>
      </w:r>
      <w:r>
        <w:rPr>
          <w:rFonts w:hint="eastAsia" w:hAnsi="宋体"/>
          <w:color w:val="auto"/>
          <w:highlight w:val="none"/>
          <w:u w:val="single"/>
          <w:lang w:eastAsia="zh-CN"/>
        </w:rPr>
        <w:t>支付</w:t>
      </w:r>
      <w:r>
        <w:rPr>
          <w:rFonts w:hint="eastAsia" w:hAnsi="宋体" w:cs="Times New Roman"/>
          <w:color w:val="auto"/>
          <w:kern w:val="2"/>
          <w:highlight w:val="none"/>
        </w:rPr>
        <w:t>。</w:t>
      </w:r>
    </w:p>
    <w:p w14:paraId="632F895D">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color w:val="auto"/>
          <w:highlight w:val="none"/>
        </w:rPr>
      </w:pPr>
      <w:r>
        <w:rPr>
          <w:rFonts w:hint="eastAsia" w:ascii="宋体" w:hAnsi="宋体" w:eastAsia="宋体" w:cs="Times New Roman"/>
          <w:color w:val="auto"/>
          <w:kern w:val="2"/>
          <w:sz w:val="21"/>
          <w:szCs w:val="21"/>
          <w:highlight w:val="none"/>
          <w:lang w:val="en-US" w:eastAsia="zh-CN" w:bidi="ar-SA"/>
        </w:rPr>
        <w:t>预付款扣回的方式 ：</w:t>
      </w:r>
      <w:r>
        <w:rPr>
          <w:rFonts w:hint="eastAsia" w:ascii="宋体" w:hAnsi="宋体" w:eastAsia="宋体" w:cs="Times New Roman"/>
          <w:color w:val="auto"/>
          <w:kern w:val="2"/>
          <w:sz w:val="21"/>
          <w:szCs w:val="21"/>
          <w:highlight w:val="none"/>
          <w:u w:val="single"/>
          <w:lang w:val="en-US" w:eastAsia="zh-CN" w:bidi="ar-SA"/>
        </w:rPr>
        <w:t>发包人支付的工程预付款在承包人完成工程量的</w:t>
      </w:r>
      <w:r>
        <w:rPr>
          <w:rFonts w:hint="eastAsia" w:cs="Times New Roman"/>
          <w:color w:val="auto"/>
          <w:kern w:val="2"/>
          <w:sz w:val="21"/>
          <w:szCs w:val="21"/>
          <w:highlight w:val="none"/>
          <w:u w:val="single"/>
          <w:lang w:val="en-US" w:eastAsia="zh-CN" w:bidi="ar-SA"/>
        </w:rPr>
        <w:t>4</w:t>
      </w:r>
      <w:r>
        <w:rPr>
          <w:rFonts w:hint="eastAsia" w:ascii="宋体" w:hAnsi="宋体" w:eastAsia="宋体" w:cs="Times New Roman"/>
          <w:color w:val="auto"/>
          <w:kern w:val="2"/>
          <w:sz w:val="21"/>
          <w:szCs w:val="21"/>
          <w:highlight w:val="none"/>
          <w:u w:val="single"/>
          <w:lang w:val="en-US" w:eastAsia="zh-CN" w:bidi="ar-SA"/>
        </w:rPr>
        <w:t>0%后，开始从每期进度款支付中分次比例扣还，于工程量完成至</w:t>
      </w:r>
      <w:r>
        <w:rPr>
          <w:rFonts w:hint="eastAsia" w:cs="Times New Roman"/>
          <w:color w:val="auto"/>
          <w:kern w:val="2"/>
          <w:sz w:val="21"/>
          <w:szCs w:val="21"/>
          <w:highlight w:val="none"/>
          <w:u w:val="single"/>
          <w:lang w:val="en-US" w:eastAsia="zh-CN" w:bidi="ar-SA"/>
        </w:rPr>
        <w:t>9</w:t>
      </w:r>
      <w:r>
        <w:rPr>
          <w:rFonts w:hint="eastAsia" w:ascii="宋体" w:hAnsi="宋体" w:eastAsia="宋体" w:cs="Times New Roman"/>
          <w:color w:val="auto"/>
          <w:kern w:val="2"/>
          <w:sz w:val="21"/>
          <w:szCs w:val="21"/>
          <w:highlight w:val="none"/>
          <w:u w:val="single"/>
          <w:lang w:val="en-US" w:eastAsia="zh-CN" w:bidi="ar-SA"/>
        </w:rPr>
        <w:t>0%时全部扣清</w:t>
      </w:r>
      <w:r>
        <w:rPr>
          <w:rFonts w:hint="eastAsia" w:ascii="宋体" w:hAnsi="宋体" w:eastAsia="宋体" w:cs="Times New Roman"/>
          <w:color w:val="auto"/>
          <w:kern w:val="2"/>
          <w:sz w:val="21"/>
          <w:szCs w:val="21"/>
          <w:highlight w:val="none"/>
          <w:lang w:val="en-US" w:eastAsia="zh-CN" w:bidi="ar-SA"/>
        </w:rPr>
        <w:t>。</w:t>
      </w:r>
    </w:p>
    <w:p w14:paraId="21EA1437">
      <w:pPr>
        <w:pStyle w:val="43"/>
        <w:widowControl w:val="0"/>
        <w:spacing w:before="0" w:beforeAutospacing="0" w:after="0" w:afterAutospacing="0" w:line="400" w:lineRule="exact"/>
        <w:ind w:firstLine="420" w:firstLineChars="200"/>
        <w:rPr>
          <w:color w:val="auto"/>
          <w:highlight w:val="none"/>
        </w:rPr>
      </w:pPr>
      <w:r>
        <w:rPr>
          <w:color w:val="auto"/>
          <w:kern w:val="2"/>
          <w:sz w:val="21"/>
          <w:highlight w:val="none"/>
        </w:rPr>
        <w:t xml:space="preserve">12.2.2 </w:t>
      </w:r>
      <w:r>
        <w:rPr>
          <w:rFonts w:hint="eastAsia"/>
          <w:color w:val="auto"/>
          <w:kern w:val="2"/>
          <w:sz w:val="21"/>
          <w:highlight w:val="none"/>
        </w:rPr>
        <w:t>预付款担保</w:t>
      </w:r>
    </w:p>
    <w:p w14:paraId="30064EE9">
      <w:pPr>
        <w:pStyle w:val="43"/>
        <w:widowControl w:val="0"/>
        <w:spacing w:before="0" w:beforeAutospacing="0" w:after="0" w:afterAutospacing="0" w:line="400" w:lineRule="exact"/>
        <w:ind w:firstLine="420" w:firstLineChars="200"/>
        <w:rPr>
          <w:color w:val="auto"/>
          <w:highlight w:val="none"/>
        </w:rPr>
      </w:pPr>
      <w:r>
        <w:rPr>
          <w:rFonts w:hint="eastAsia"/>
          <w:color w:val="auto"/>
          <w:kern w:val="2"/>
          <w:sz w:val="21"/>
          <w:highlight w:val="none"/>
        </w:rPr>
        <w:t>承包人提交预付款担保的期限：</w:t>
      </w:r>
      <w:r>
        <w:rPr>
          <w:rFonts w:hint="default" w:ascii="宋体" w:hAnsi="宋体" w:eastAsia="宋体" w:cs="Times New Roman"/>
          <w:color w:val="auto"/>
          <w:kern w:val="2"/>
          <w:sz w:val="21"/>
          <w:szCs w:val="24"/>
          <w:highlight w:val="none"/>
          <w:u w:val="single"/>
          <w:lang w:val="en-US" w:eastAsia="zh-CN" w:bidi="ar"/>
        </w:rPr>
        <w:t>乙方应在收到预付款的同时向甲方提交预付款保函，预付款保函的担保金额应与预付款金额相同。</w:t>
      </w:r>
      <w:r>
        <w:rPr>
          <w:rFonts w:hint="default" w:ascii="Calibri" w:hAnsi="Calibri" w:eastAsia="宋体" w:cs="Times New Roman"/>
          <w:color w:val="auto"/>
          <w:kern w:val="2"/>
          <w:sz w:val="21"/>
          <w:szCs w:val="22"/>
          <w:highlight w:val="none"/>
          <w:u w:val="single"/>
          <w:lang w:val="en-US" w:eastAsia="zh-CN" w:bidi="ar"/>
        </w:rPr>
        <w:t>预付款担保期限从收到预付款至预付款扣除完毕为止</w:t>
      </w:r>
      <w:r>
        <w:rPr>
          <w:rFonts w:hint="eastAsia"/>
          <w:color w:val="auto"/>
          <w:kern w:val="2"/>
          <w:sz w:val="21"/>
          <w:highlight w:val="none"/>
        </w:rPr>
        <w:t>。</w:t>
      </w:r>
    </w:p>
    <w:p w14:paraId="2A09873B">
      <w:pPr>
        <w:pStyle w:val="43"/>
        <w:widowControl w:val="0"/>
        <w:spacing w:before="0" w:beforeAutospacing="0" w:after="0" w:afterAutospacing="0" w:line="400" w:lineRule="exact"/>
        <w:ind w:firstLine="420" w:firstLineChars="200"/>
        <w:rPr>
          <w:color w:val="auto"/>
          <w:highlight w:val="none"/>
        </w:rPr>
      </w:pPr>
      <w:r>
        <w:rPr>
          <w:rFonts w:hint="eastAsia"/>
          <w:color w:val="auto"/>
          <w:kern w:val="2"/>
          <w:sz w:val="21"/>
          <w:highlight w:val="none"/>
        </w:rPr>
        <w:t>预付款担保的形式为：</w:t>
      </w:r>
      <w:r>
        <w:rPr>
          <w:rFonts w:hint="default" w:ascii="宋体" w:hAnsi="宋体" w:eastAsia="宋体" w:cs="Times New Roman"/>
          <w:color w:val="auto"/>
          <w:kern w:val="2"/>
          <w:sz w:val="21"/>
          <w:szCs w:val="24"/>
          <w:highlight w:val="none"/>
          <w:u w:val="single"/>
          <w:lang w:val="en-US" w:eastAsia="zh-CN" w:bidi="ar"/>
        </w:rPr>
        <w:t>可以银行保函、银行转账、电汇、工程担保、工程保证保险等方式提交</w:t>
      </w:r>
      <w:r>
        <w:rPr>
          <w:rFonts w:hint="eastAsia"/>
          <w:color w:val="auto"/>
          <w:kern w:val="2"/>
          <w:sz w:val="21"/>
          <w:highlight w:val="none"/>
        </w:rPr>
        <w:t>。</w:t>
      </w:r>
    </w:p>
    <w:p w14:paraId="1849C356">
      <w:pPr>
        <w:pStyle w:val="43"/>
        <w:widowControl w:val="0"/>
        <w:spacing w:before="0" w:beforeAutospacing="0" w:after="0" w:afterAutospacing="0" w:line="400" w:lineRule="exact"/>
        <w:ind w:firstLine="420" w:firstLineChars="200"/>
        <w:rPr>
          <w:color w:val="auto"/>
          <w:highlight w:val="none"/>
        </w:rPr>
      </w:pPr>
      <w:r>
        <w:rPr>
          <w:rFonts w:hint="eastAsia"/>
          <w:color w:val="auto"/>
          <w:kern w:val="2"/>
          <w:sz w:val="21"/>
          <w:highlight w:val="none"/>
        </w:rPr>
        <w:t>预付款担保格式见合同附件</w:t>
      </w:r>
      <w:r>
        <w:rPr>
          <w:color w:val="auto"/>
          <w:kern w:val="2"/>
          <w:sz w:val="21"/>
          <w:highlight w:val="none"/>
        </w:rPr>
        <w:t>7</w:t>
      </w:r>
      <w:r>
        <w:rPr>
          <w:rFonts w:hint="eastAsia"/>
          <w:color w:val="auto"/>
          <w:kern w:val="2"/>
          <w:sz w:val="21"/>
          <w:highlight w:val="none"/>
        </w:rPr>
        <w:t>。</w:t>
      </w:r>
    </w:p>
    <w:p w14:paraId="7661499B">
      <w:pPr>
        <w:pStyle w:val="2"/>
        <w:ind w:left="63" w:right="63"/>
        <w:rPr>
          <w:color w:val="auto"/>
          <w:highlight w:val="none"/>
        </w:rPr>
      </w:pPr>
    </w:p>
    <w:bookmarkEnd w:id="1743"/>
    <w:bookmarkEnd w:id="1744"/>
    <w:bookmarkEnd w:id="1745"/>
    <w:bookmarkEnd w:id="1746"/>
    <w:bookmarkEnd w:id="1747"/>
    <w:bookmarkEnd w:id="1748"/>
    <w:bookmarkEnd w:id="1749"/>
    <w:bookmarkEnd w:id="1750"/>
    <w:bookmarkEnd w:id="1751"/>
    <w:bookmarkEnd w:id="1752"/>
    <w:p w14:paraId="5D3F946B">
      <w:pPr>
        <w:keepNext/>
        <w:keepLines/>
        <w:spacing w:before="260" w:after="260" w:line="416" w:lineRule="auto"/>
        <w:outlineLvl w:val="3"/>
        <w:rPr>
          <w:rFonts w:ascii="Calibri" w:hAnsi="Calibri" w:cs="Times New Roman"/>
          <w:b/>
          <w:bCs/>
          <w:color w:val="auto"/>
          <w:kern w:val="2"/>
          <w:sz w:val="32"/>
          <w:szCs w:val="32"/>
          <w:highlight w:val="none"/>
        </w:rPr>
      </w:pPr>
      <w:bookmarkStart w:id="1761" w:name="_Toc373227751"/>
      <w:bookmarkStart w:id="1762" w:name="_Toc512691454"/>
      <w:bookmarkStart w:id="1763" w:name="_Toc532840060"/>
      <w:bookmarkStart w:id="1764" w:name="_Toc530658078"/>
      <w:bookmarkStart w:id="1765" w:name="_Toc407135254"/>
      <w:bookmarkStart w:id="1766" w:name="_Toc508894116"/>
      <w:bookmarkStart w:id="1767" w:name="_Toc485400647"/>
      <w:bookmarkStart w:id="1768" w:name="_Toc389065316"/>
      <w:bookmarkStart w:id="1769" w:name="_Toc373478398"/>
      <w:bookmarkStart w:id="1770" w:name="_Toc493774815"/>
      <w:bookmarkStart w:id="1771" w:name="_Toc494549251"/>
      <w:r>
        <w:rPr>
          <w:rFonts w:ascii="Calibri" w:hAnsi="Calibri" w:cs="Times New Roman"/>
          <w:b/>
          <w:bCs/>
          <w:color w:val="auto"/>
          <w:kern w:val="2"/>
          <w:sz w:val="32"/>
          <w:szCs w:val="32"/>
          <w:highlight w:val="none"/>
        </w:rPr>
        <w:t xml:space="preserve">12.3 </w:t>
      </w:r>
      <w:r>
        <w:rPr>
          <w:rFonts w:hint="eastAsia" w:ascii="Calibri" w:hAnsi="宋体" w:cs="Times New Roman"/>
          <w:b/>
          <w:bCs/>
          <w:color w:val="auto"/>
          <w:kern w:val="2"/>
          <w:sz w:val="32"/>
          <w:szCs w:val="32"/>
          <w:highlight w:val="none"/>
        </w:rPr>
        <w:t>计量</w:t>
      </w:r>
      <w:bookmarkEnd w:id="1761"/>
      <w:bookmarkEnd w:id="1762"/>
      <w:bookmarkEnd w:id="1763"/>
      <w:bookmarkEnd w:id="1764"/>
      <w:bookmarkEnd w:id="1765"/>
      <w:bookmarkEnd w:id="1766"/>
      <w:bookmarkEnd w:id="1767"/>
      <w:bookmarkEnd w:id="1768"/>
      <w:bookmarkEnd w:id="1769"/>
      <w:bookmarkEnd w:id="1770"/>
      <w:bookmarkEnd w:id="1771"/>
    </w:p>
    <w:p w14:paraId="65CF46DB">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12.3.1 </w:t>
      </w:r>
      <w:r>
        <w:rPr>
          <w:rFonts w:hint="eastAsia" w:ascii="Calibri" w:hAnsi="宋体" w:cs="Times New Roman"/>
          <w:color w:val="auto"/>
          <w:kern w:val="2"/>
          <w:highlight w:val="none"/>
        </w:rPr>
        <w:t>计量原则</w:t>
      </w:r>
    </w:p>
    <w:p w14:paraId="42B7213E">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工程量计算规则：</w:t>
      </w:r>
      <w:r>
        <w:rPr>
          <w:rFonts w:hint="eastAsia" w:ascii="Calibri" w:hAnsi="宋体" w:cs="Times New Roman"/>
          <w:color w:val="auto"/>
          <w:kern w:val="2"/>
          <w:highlight w:val="none"/>
          <w:u w:val="single"/>
        </w:rPr>
        <w:t>工程的计量均以《建设工程工程量清单计价规范》（</w:t>
      </w:r>
      <w:r>
        <w:rPr>
          <w:rFonts w:ascii="Calibri" w:hAnsi="Calibri" w:cs="Times New Roman"/>
          <w:color w:val="auto"/>
          <w:kern w:val="2"/>
          <w:highlight w:val="none"/>
          <w:u w:val="single"/>
        </w:rPr>
        <w:t>GB50500</w:t>
      </w:r>
      <w:r>
        <w:rPr>
          <w:rFonts w:hint="eastAsia" w:ascii="Calibri" w:hAnsi="宋体" w:cs="Times New Roman"/>
          <w:color w:val="auto"/>
          <w:kern w:val="2"/>
          <w:highlight w:val="none"/>
          <w:u w:val="single"/>
        </w:rPr>
        <w:t>－</w:t>
      </w:r>
      <w:r>
        <w:rPr>
          <w:rFonts w:ascii="Calibri" w:hAnsi="Calibri" w:cs="Times New Roman"/>
          <w:color w:val="auto"/>
          <w:kern w:val="2"/>
          <w:highlight w:val="none"/>
          <w:u w:val="single"/>
        </w:rPr>
        <w:t>2013</w:t>
      </w:r>
      <w:r>
        <w:rPr>
          <w:rFonts w:hint="eastAsia" w:ascii="Calibri" w:hAnsi="宋体" w:cs="Times New Roman"/>
          <w:color w:val="auto"/>
          <w:kern w:val="2"/>
          <w:highlight w:val="none"/>
          <w:u w:val="single"/>
        </w:rPr>
        <w:t>）和及其广西壮族自治区实施细则、《建设工程工程量清单计算规范》（</w:t>
      </w:r>
      <w:r>
        <w:rPr>
          <w:rFonts w:ascii="Calibri" w:hAnsi="Calibri" w:cs="Times New Roman"/>
          <w:color w:val="auto"/>
          <w:kern w:val="2"/>
          <w:highlight w:val="none"/>
          <w:u w:val="single"/>
        </w:rPr>
        <w:t>GB50854~50862</w:t>
      </w:r>
      <w:r>
        <w:rPr>
          <w:rFonts w:hint="eastAsia" w:ascii="Calibri" w:hAnsi="宋体" w:cs="Times New Roman"/>
          <w:color w:val="auto"/>
          <w:kern w:val="2"/>
          <w:highlight w:val="none"/>
          <w:u w:val="single"/>
        </w:rPr>
        <w:t>－</w:t>
      </w:r>
      <w:r>
        <w:rPr>
          <w:rFonts w:ascii="Calibri" w:hAnsi="Calibri" w:cs="Times New Roman"/>
          <w:color w:val="auto"/>
          <w:kern w:val="2"/>
          <w:highlight w:val="none"/>
          <w:u w:val="single"/>
        </w:rPr>
        <w:t>2013</w:t>
      </w:r>
      <w:r>
        <w:rPr>
          <w:rFonts w:hint="eastAsia" w:ascii="Calibri" w:hAnsi="宋体" w:cs="Times New Roman"/>
          <w:color w:val="auto"/>
          <w:kern w:val="2"/>
          <w:highlight w:val="none"/>
          <w:u w:val="single"/>
        </w:rPr>
        <w:t>）及其广西实施细则</w:t>
      </w:r>
      <w:r>
        <w:rPr>
          <w:rFonts w:hint="eastAsia" w:ascii="Calibri" w:hAnsi="宋体" w:cs="Times New Roman"/>
          <w:color w:val="auto"/>
          <w:kern w:val="2"/>
          <w:highlight w:val="none"/>
          <w:u w:val="single"/>
          <w:lang w:eastAsia="zh-CN"/>
        </w:rPr>
        <w:t>（修订本）</w:t>
      </w:r>
      <w:r>
        <w:rPr>
          <w:rFonts w:hint="eastAsia" w:ascii="Calibri" w:hAnsi="宋体" w:cs="Times New Roman"/>
          <w:color w:val="auto"/>
          <w:kern w:val="2"/>
          <w:highlight w:val="none"/>
          <w:u w:val="single"/>
        </w:rPr>
        <w:t>、本工程补充项目清单为准。</w:t>
      </w:r>
    </w:p>
    <w:p w14:paraId="2FF1ED23">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12.3.2 </w:t>
      </w:r>
      <w:r>
        <w:rPr>
          <w:rFonts w:hint="eastAsia" w:ascii="Calibri" w:hAnsi="宋体" w:cs="Times New Roman"/>
          <w:color w:val="auto"/>
          <w:kern w:val="2"/>
          <w:highlight w:val="none"/>
        </w:rPr>
        <w:t>计量周期</w:t>
      </w:r>
    </w:p>
    <w:p w14:paraId="1A5DBFF3">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关于计量周期的约定：</w:t>
      </w:r>
      <w:r>
        <w:rPr>
          <w:rFonts w:hint="eastAsia" w:ascii="Calibri" w:hAnsi="宋体" w:cs="Times New Roman"/>
          <w:color w:val="auto"/>
          <w:kern w:val="2"/>
          <w:highlight w:val="none"/>
          <w:u w:val="single"/>
        </w:rPr>
        <w:t>每月</w:t>
      </w:r>
      <w:r>
        <w:rPr>
          <w:rFonts w:ascii="Calibri" w:hAnsi="Calibri" w:cs="Times New Roman"/>
          <w:color w:val="auto"/>
          <w:kern w:val="2"/>
          <w:highlight w:val="none"/>
          <w:u w:val="single"/>
        </w:rPr>
        <w:t>25</w:t>
      </w:r>
      <w:r>
        <w:rPr>
          <w:rFonts w:hint="eastAsia" w:ascii="Calibri" w:hAnsi="宋体" w:cs="Times New Roman"/>
          <w:color w:val="auto"/>
          <w:kern w:val="2"/>
          <w:highlight w:val="none"/>
          <w:u w:val="single"/>
        </w:rPr>
        <w:t>日前</w:t>
      </w:r>
      <w:r>
        <w:rPr>
          <w:rFonts w:hint="eastAsia" w:ascii="Calibri" w:hAnsi="宋体" w:cs="Times New Roman"/>
          <w:color w:val="auto"/>
          <w:kern w:val="2"/>
          <w:highlight w:val="none"/>
        </w:rPr>
        <w:t>。</w:t>
      </w:r>
    </w:p>
    <w:p w14:paraId="77339846">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12.3.3 </w:t>
      </w:r>
      <w:r>
        <w:rPr>
          <w:rFonts w:hint="eastAsia" w:ascii="Calibri" w:hAnsi="宋体" w:cs="Times New Roman"/>
          <w:color w:val="auto"/>
          <w:kern w:val="2"/>
          <w:highlight w:val="none"/>
        </w:rPr>
        <w:t>单价合同的计量</w:t>
      </w:r>
    </w:p>
    <w:p w14:paraId="053CF2F2">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关于单价合同计量的约定：</w:t>
      </w:r>
    </w:p>
    <w:p w14:paraId="0E05D13C">
      <w:pPr>
        <w:spacing w:line="360" w:lineRule="auto"/>
        <w:ind w:firstLine="441" w:firstLineChars="210"/>
        <w:rPr>
          <w:rFonts w:ascii="Calibri" w:hAnsi="Calibri" w:cs="Times New Roman"/>
          <w:color w:val="auto"/>
          <w:kern w:val="2"/>
          <w:highlight w:val="none"/>
        </w:rPr>
      </w:pPr>
      <w:r>
        <w:rPr>
          <w:rFonts w:ascii="Calibri" w:hAnsi="Calibri" w:cs="Times New Roman"/>
          <w:color w:val="auto"/>
          <w:kern w:val="2"/>
          <w:highlight w:val="none"/>
        </w:rPr>
        <w:t xml:space="preserve">(1) </w:t>
      </w:r>
      <w:r>
        <w:rPr>
          <w:rFonts w:hint="eastAsia" w:ascii="Calibri" w:hAnsi="宋体" w:cs="Times New Roman"/>
          <w:color w:val="auto"/>
          <w:kern w:val="2"/>
          <w:highlight w:val="none"/>
        </w:rPr>
        <w:t>工程量清单所列的工程量，不能作为承包人按合同履行其责任依据，实际施工中发生的工程量增加或减少并不影响承包人履行合同的责任，工程结算以完成的实际工程量为准。</w:t>
      </w:r>
    </w:p>
    <w:p w14:paraId="4B3EC4E1">
      <w:pPr>
        <w:spacing w:line="360" w:lineRule="auto"/>
        <w:ind w:firstLine="441" w:firstLineChars="210"/>
        <w:rPr>
          <w:rFonts w:ascii="Calibri" w:hAnsi="Calibri" w:cs="Times New Roman"/>
          <w:color w:val="auto"/>
          <w:kern w:val="2"/>
          <w:highlight w:val="none"/>
        </w:rPr>
      </w:pPr>
      <w:r>
        <w:rPr>
          <w:rFonts w:ascii="Calibri" w:hAnsi="Calibri" w:cs="Times New Roman"/>
          <w:color w:val="auto"/>
          <w:kern w:val="2"/>
          <w:highlight w:val="none"/>
        </w:rPr>
        <w:t xml:space="preserve">(2) </w:t>
      </w:r>
      <w:r>
        <w:rPr>
          <w:rFonts w:hint="eastAsia" w:ascii="Calibri" w:hAnsi="宋体" w:cs="Times New Roman"/>
          <w:color w:val="auto"/>
          <w:kern w:val="2"/>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14:paraId="447189F8">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12.3.4 </w:t>
      </w:r>
      <w:r>
        <w:rPr>
          <w:rFonts w:hint="eastAsia" w:ascii="Calibri" w:hAnsi="宋体" w:cs="Times New Roman"/>
          <w:color w:val="auto"/>
          <w:kern w:val="2"/>
          <w:highlight w:val="none"/>
        </w:rPr>
        <w:t>总价合同的计量</w:t>
      </w:r>
    </w:p>
    <w:p w14:paraId="56EF71AB">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关于总价合同计量的约定：除工程变更外，原图纸范围内的工程量不得按实计量。进度款按支付分解表支付</w:t>
      </w:r>
      <w:r>
        <w:rPr>
          <w:rFonts w:hint="eastAsia" w:ascii="Calibri" w:hAnsi="Calibri" w:cs="Times New Roman"/>
          <w:color w:val="auto"/>
          <w:kern w:val="2"/>
          <w:highlight w:val="none"/>
        </w:rPr>
        <w:t>，</w:t>
      </w:r>
      <w:r>
        <w:rPr>
          <w:rFonts w:hint="eastAsia" w:ascii="Calibri" w:hAnsi="宋体" w:cs="Times New Roman"/>
          <w:color w:val="auto"/>
          <w:kern w:val="2"/>
          <w:highlight w:val="none"/>
        </w:rPr>
        <w:t>按通用条款第</w:t>
      </w:r>
      <w:r>
        <w:rPr>
          <w:rFonts w:ascii="Calibri" w:hAnsi="Calibri" w:cs="Times New Roman"/>
          <w:color w:val="auto"/>
          <w:highlight w:val="none"/>
        </w:rPr>
        <w:t>12.3.4</w:t>
      </w:r>
      <w:r>
        <w:rPr>
          <w:rFonts w:hint="eastAsia" w:ascii="Calibri" w:hAnsi="宋体" w:cs="Times New Roman"/>
          <w:color w:val="auto"/>
          <w:kern w:val="2"/>
          <w:highlight w:val="none"/>
        </w:rPr>
        <w:t>项</w:t>
      </w:r>
      <w:r>
        <w:rPr>
          <w:rFonts w:hint="eastAsia" w:ascii="Calibri" w:hAnsi="宋体" w:cs="Times New Roman"/>
          <w:color w:val="auto"/>
          <w:highlight w:val="none"/>
        </w:rPr>
        <w:t>〔总价合同的计量〕</w:t>
      </w:r>
      <w:r>
        <w:rPr>
          <w:rFonts w:hint="eastAsia" w:ascii="Calibri" w:hAnsi="宋体" w:cs="Times New Roman"/>
          <w:color w:val="auto"/>
          <w:kern w:val="2"/>
          <w:highlight w:val="none"/>
        </w:rPr>
        <w:t>约定进行计量，但</w:t>
      </w:r>
      <w:r>
        <w:rPr>
          <w:rFonts w:hint="eastAsia" w:hAnsi="宋体" w:cs="Times New Roman"/>
          <w:color w:val="auto"/>
          <w:highlight w:val="none"/>
        </w:rPr>
        <w:t>合同价款按照支付分解表进行支付。</w:t>
      </w:r>
    </w:p>
    <w:p w14:paraId="71F8C665">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12.3.6 </w:t>
      </w:r>
      <w:r>
        <w:rPr>
          <w:rFonts w:hint="eastAsia" w:ascii="Calibri" w:hAnsi="宋体" w:cs="Times New Roman"/>
          <w:color w:val="auto"/>
          <w:kern w:val="2"/>
          <w:highlight w:val="none"/>
        </w:rPr>
        <w:t>其他价格形式合同的计量</w:t>
      </w:r>
    </w:p>
    <w:p w14:paraId="26EA203C">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其他价格形式的计量方式和程序：</w:t>
      </w:r>
      <w:r>
        <w:rPr>
          <w:rFonts w:ascii="Calibri" w:hAnsi="Calibri" w:cs="Times New Roman"/>
          <w:color w:val="auto"/>
          <w:kern w:val="2"/>
          <w:highlight w:val="none"/>
          <w:u w:val="single"/>
        </w:rPr>
        <w:t xml:space="preserve"> / </w:t>
      </w:r>
      <w:r>
        <w:rPr>
          <w:rFonts w:hint="eastAsia" w:ascii="Calibri" w:hAnsi="宋体" w:cs="Times New Roman"/>
          <w:color w:val="auto"/>
          <w:kern w:val="2"/>
          <w:highlight w:val="none"/>
        </w:rPr>
        <w:t>。</w:t>
      </w:r>
    </w:p>
    <w:p w14:paraId="72620C03">
      <w:pPr>
        <w:keepNext/>
        <w:keepLines/>
        <w:spacing w:before="260" w:after="260" w:line="416" w:lineRule="auto"/>
        <w:outlineLvl w:val="3"/>
        <w:rPr>
          <w:rFonts w:ascii="Calibri" w:hAnsi="Calibri" w:cs="Times New Roman"/>
          <w:b/>
          <w:bCs/>
          <w:color w:val="auto"/>
          <w:kern w:val="2"/>
          <w:sz w:val="32"/>
          <w:szCs w:val="32"/>
          <w:highlight w:val="none"/>
        </w:rPr>
      </w:pPr>
      <w:bookmarkStart w:id="1772" w:name="_Toc508894117"/>
      <w:bookmarkStart w:id="1773" w:name="_Toc389065317"/>
      <w:bookmarkStart w:id="1774" w:name="_Toc512691455"/>
      <w:bookmarkStart w:id="1775" w:name="_Toc494549252"/>
      <w:bookmarkStart w:id="1776" w:name="_Toc373478399"/>
      <w:bookmarkStart w:id="1777" w:name="_Toc493774816"/>
      <w:bookmarkStart w:id="1778" w:name="_Toc407135255"/>
      <w:bookmarkStart w:id="1779" w:name="_Toc485400648"/>
      <w:bookmarkStart w:id="1780" w:name="_Toc532840061"/>
      <w:bookmarkStart w:id="1781" w:name="_Toc373227752"/>
      <w:bookmarkStart w:id="1782" w:name="_Toc530658079"/>
      <w:r>
        <w:rPr>
          <w:rFonts w:ascii="Calibri" w:hAnsi="Calibri" w:cs="Times New Roman"/>
          <w:b/>
          <w:bCs/>
          <w:color w:val="auto"/>
          <w:kern w:val="2"/>
          <w:sz w:val="32"/>
          <w:szCs w:val="32"/>
          <w:highlight w:val="none"/>
        </w:rPr>
        <w:t xml:space="preserve">12.4 </w:t>
      </w:r>
      <w:r>
        <w:rPr>
          <w:rFonts w:hint="eastAsia" w:ascii="Calibri" w:hAnsi="Calibri" w:cs="Times New Roman"/>
          <w:b/>
          <w:bCs/>
          <w:color w:val="auto"/>
          <w:kern w:val="2"/>
          <w:sz w:val="32"/>
          <w:szCs w:val="32"/>
          <w:highlight w:val="none"/>
        </w:rPr>
        <w:t>工程进度款支付</w:t>
      </w:r>
      <w:bookmarkEnd w:id="1772"/>
      <w:bookmarkEnd w:id="1773"/>
      <w:bookmarkEnd w:id="1774"/>
      <w:bookmarkEnd w:id="1775"/>
      <w:bookmarkEnd w:id="1776"/>
      <w:bookmarkEnd w:id="1777"/>
      <w:bookmarkEnd w:id="1778"/>
      <w:bookmarkEnd w:id="1779"/>
      <w:bookmarkEnd w:id="1780"/>
      <w:bookmarkEnd w:id="1781"/>
      <w:bookmarkEnd w:id="1782"/>
    </w:p>
    <w:p w14:paraId="75479498">
      <w:pPr>
        <w:spacing w:line="360" w:lineRule="auto"/>
        <w:ind w:firstLine="420" w:firstLineChars="200"/>
        <w:jc w:val="left"/>
        <w:rPr>
          <w:rFonts w:hAnsi="宋体" w:cs="Times New Roman"/>
          <w:color w:val="auto"/>
          <w:kern w:val="2"/>
          <w:highlight w:val="none"/>
        </w:rPr>
      </w:pPr>
      <w:bookmarkStart w:id="1783" w:name="_Toc296347210"/>
      <w:bookmarkStart w:id="1784" w:name="_Toc296346712"/>
      <w:bookmarkStart w:id="1785" w:name="_Toc296503211"/>
      <w:bookmarkStart w:id="1786" w:name="_Toc297123556"/>
      <w:bookmarkStart w:id="1787" w:name="_Toc297120511"/>
      <w:bookmarkStart w:id="1788" w:name="_Toc297216215"/>
      <w:bookmarkStart w:id="1789" w:name="_Toc296944550"/>
      <w:bookmarkStart w:id="1790" w:name="_Toc296891039"/>
      <w:bookmarkStart w:id="1791" w:name="_Toc296891251"/>
      <w:bookmarkStart w:id="1792" w:name="_Toc292559921"/>
      <w:bookmarkStart w:id="1793" w:name="_Toc303539163"/>
      <w:bookmarkStart w:id="1794" w:name="_Toc300935006"/>
      <w:bookmarkStart w:id="1795" w:name="_Toc297048397"/>
      <w:bookmarkStart w:id="1796" w:name="_Toc292559416"/>
      <w:r>
        <w:rPr>
          <w:rFonts w:hAnsi="宋体" w:cs="Times New Roman"/>
          <w:color w:val="auto"/>
          <w:kern w:val="2"/>
          <w:highlight w:val="none"/>
        </w:rPr>
        <w:t xml:space="preserve">12.4.1 </w:t>
      </w:r>
      <w:r>
        <w:rPr>
          <w:rFonts w:hint="eastAsia" w:hAnsi="宋体" w:cs="Times New Roman"/>
          <w:color w:val="auto"/>
          <w:kern w:val="2"/>
          <w:highlight w:val="none"/>
        </w:rPr>
        <w:t>付款周期</w:t>
      </w:r>
    </w:p>
    <w:p w14:paraId="2C320B4F">
      <w:pPr>
        <w:spacing w:line="360" w:lineRule="auto"/>
        <w:ind w:firstLine="420" w:firstLineChars="200"/>
        <w:jc w:val="left"/>
        <w:rPr>
          <w:rFonts w:hint="eastAsia" w:hAnsi="宋体" w:cs="Times New Roman"/>
          <w:bCs/>
          <w:color w:val="auto"/>
          <w:kern w:val="2"/>
          <w:highlight w:val="none"/>
          <w:u w:val="single"/>
          <w:lang w:val="en-US" w:eastAsia="zh-CN"/>
        </w:rPr>
      </w:pPr>
      <w:r>
        <w:rPr>
          <w:rFonts w:hint="eastAsia" w:hAnsi="宋体" w:cs="Times New Roman"/>
          <w:color w:val="auto"/>
          <w:kern w:val="2"/>
          <w:highlight w:val="none"/>
        </w:rPr>
        <w:t>关于付款周期的约定：</w:t>
      </w:r>
      <w:r>
        <w:rPr>
          <w:rFonts w:hint="eastAsia" w:hAnsi="宋体" w:cs="Times New Roman"/>
          <w:bCs/>
          <w:color w:val="auto"/>
          <w:kern w:val="2"/>
          <w:highlight w:val="none"/>
          <w:u w:val="single"/>
        </w:rPr>
        <w:t>工程款</w:t>
      </w:r>
      <w:r>
        <w:rPr>
          <w:rFonts w:hint="eastAsia" w:hAnsi="宋体" w:cs="Times New Roman"/>
          <w:bCs/>
          <w:color w:val="auto"/>
          <w:kern w:val="2"/>
          <w:highlight w:val="none"/>
          <w:u w:val="single"/>
          <w:lang w:eastAsia="zh-CN"/>
        </w:rPr>
        <w:t>原则上按月</w:t>
      </w:r>
      <w:r>
        <w:rPr>
          <w:rFonts w:hint="eastAsia" w:hAnsi="宋体" w:cs="Times New Roman"/>
          <w:bCs/>
          <w:color w:val="auto"/>
          <w:kern w:val="2"/>
          <w:highlight w:val="none"/>
          <w:u w:val="single"/>
        </w:rPr>
        <w:t>支付，合同内进度款支付限额为已完成工程量的</w:t>
      </w:r>
      <w:r>
        <w:rPr>
          <w:rFonts w:hint="eastAsia" w:hAnsi="宋体" w:cs="Times New Roman"/>
          <w:bCs/>
          <w:color w:val="auto"/>
          <w:kern w:val="2"/>
          <w:highlight w:val="none"/>
          <w:u w:val="single"/>
          <w:lang w:val="en-US" w:eastAsia="zh-CN"/>
        </w:rPr>
        <w:t>90</w:t>
      </w:r>
      <w:r>
        <w:rPr>
          <w:rFonts w:hAnsi="宋体" w:cs="Times New Roman"/>
          <w:bCs/>
          <w:color w:val="auto"/>
          <w:kern w:val="2"/>
          <w:highlight w:val="none"/>
          <w:u w:val="single"/>
        </w:rPr>
        <w:t>%</w:t>
      </w:r>
      <w:r>
        <w:rPr>
          <w:rFonts w:hint="eastAsia" w:hAnsi="宋体" w:cs="Times New Roman"/>
          <w:bCs/>
          <w:color w:val="auto"/>
          <w:kern w:val="2"/>
          <w:highlight w:val="none"/>
          <w:u w:val="single"/>
        </w:rPr>
        <w:t>，工程变更部分进度款支付限额为已完成工程量的80</w:t>
      </w:r>
      <w:r>
        <w:rPr>
          <w:rFonts w:hAnsi="宋体" w:cs="Times New Roman"/>
          <w:bCs/>
          <w:color w:val="auto"/>
          <w:kern w:val="2"/>
          <w:highlight w:val="none"/>
          <w:u w:val="single"/>
        </w:rPr>
        <w:t>%</w:t>
      </w:r>
      <w:r>
        <w:rPr>
          <w:rFonts w:hint="eastAsia" w:hAnsi="宋体" w:cs="Times New Roman"/>
          <w:bCs/>
          <w:color w:val="auto"/>
          <w:kern w:val="2"/>
          <w:highlight w:val="none"/>
          <w:u w:val="single"/>
        </w:rPr>
        <w:t>；工程竣工验收</w:t>
      </w:r>
      <w:r>
        <w:rPr>
          <w:rFonts w:hint="eastAsia" w:hAnsi="宋体" w:cs="Times New Roman"/>
          <w:bCs/>
          <w:color w:val="auto"/>
          <w:kern w:val="2"/>
          <w:highlight w:val="none"/>
          <w:u w:val="single"/>
          <w:lang w:eastAsia="zh-CN"/>
        </w:rPr>
        <w:t>合格</w:t>
      </w:r>
      <w:r>
        <w:rPr>
          <w:rFonts w:hint="eastAsia" w:hAnsi="宋体" w:cs="Times New Roman"/>
          <w:bCs/>
          <w:color w:val="auto"/>
          <w:kern w:val="2"/>
          <w:highlight w:val="none"/>
          <w:u w:val="single"/>
        </w:rPr>
        <w:t>，且工程结算文件经发承包双方确认后，工程款支付至结算总价的</w:t>
      </w:r>
      <w:r>
        <w:rPr>
          <w:rFonts w:hAnsi="宋体" w:cs="Times New Roman"/>
          <w:bCs/>
          <w:color w:val="auto"/>
          <w:kern w:val="2"/>
          <w:highlight w:val="none"/>
          <w:u w:val="single"/>
        </w:rPr>
        <w:t>97%</w:t>
      </w:r>
      <w:r>
        <w:rPr>
          <w:rFonts w:hint="eastAsia" w:hAnsi="宋体" w:cs="Times New Roman"/>
          <w:bCs/>
          <w:color w:val="auto"/>
          <w:kern w:val="2"/>
          <w:highlight w:val="none"/>
          <w:u w:val="single"/>
        </w:rPr>
        <w:t>；发包人按工程价款结算总额的</w:t>
      </w:r>
      <w:r>
        <w:rPr>
          <w:rFonts w:hAnsi="宋体" w:cs="Times New Roman"/>
          <w:bCs/>
          <w:color w:val="auto"/>
          <w:kern w:val="2"/>
          <w:highlight w:val="none"/>
          <w:u w:val="single"/>
        </w:rPr>
        <w:t>3%</w:t>
      </w:r>
      <w:r>
        <w:rPr>
          <w:rFonts w:hint="eastAsia" w:hAnsi="宋体" w:cs="Times New Roman"/>
          <w:bCs/>
          <w:color w:val="auto"/>
          <w:kern w:val="2"/>
          <w:highlight w:val="none"/>
          <w:u w:val="single"/>
        </w:rPr>
        <w:t>预留工程质量保证金，待工程缺陷责任期满后返还。承包人每一次在申请付款时必须开具项目所在地正式的发票（含税）给发包人，否则，发包人有权暂停付款。</w:t>
      </w:r>
      <w:r>
        <w:rPr>
          <w:rFonts w:hint="eastAsia" w:hAnsi="宋体" w:cs="Times New Roman"/>
          <w:bCs/>
          <w:color w:val="auto"/>
          <w:kern w:val="2"/>
          <w:highlight w:val="none"/>
          <w:u w:val="single"/>
          <w:lang w:val="en-US" w:eastAsia="zh-CN"/>
        </w:rPr>
        <w:t>在项目完成且收到承包人验收申请后5个工作日内组织开展履约验收。对于满足合同约定支付条件的项目，在收到发票后10个工作日内将资金支付到合同约定的承包人账户，不得以进行审计作为支付承包人款项的条件，不得以机构变动、人员更替、政策调整、履行内部付款流程等为由延迟付款。</w:t>
      </w:r>
    </w:p>
    <w:p w14:paraId="09016E76">
      <w:pPr>
        <w:spacing w:line="360" w:lineRule="auto"/>
        <w:jc w:val="left"/>
        <w:rPr>
          <w:rFonts w:hAnsi="宋体" w:cs="Times New Roman"/>
          <w:color w:val="auto"/>
          <w:kern w:val="2"/>
          <w:highlight w:val="none"/>
        </w:rPr>
      </w:pPr>
      <w:r>
        <w:rPr>
          <w:rFonts w:hAnsi="宋体" w:cs="Times New Roman"/>
          <w:color w:val="auto"/>
          <w:kern w:val="2"/>
          <w:highlight w:val="none"/>
        </w:rPr>
        <w:t xml:space="preserve">12.4.2 </w:t>
      </w:r>
      <w:r>
        <w:rPr>
          <w:rFonts w:hint="eastAsia" w:hAnsi="宋体" w:cs="Times New Roman"/>
          <w:color w:val="auto"/>
          <w:kern w:val="2"/>
          <w:highlight w:val="none"/>
        </w:rPr>
        <w:t>进度付款申请单的编制</w:t>
      </w:r>
    </w:p>
    <w:p w14:paraId="7C6DD216">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关于进度付款申请单编制的约定：</w:t>
      </w:r>
      <w:r>
        <w:rPr>
          <w:rFonts w:hint="eastAsia" w:ascii="Calibri" w:hAnsi="Calibri" w:cs="Times New Roman"/>
          <w:color w:val="auto"/>
          <w:kern w:val="2"/>
          <w:highlight w:val="none"/>
          <w:u w:val="single"/>
        </w:rPr>
        <w:t>承包人应在每个计量周期到期后的</w:t>
      </w:r>
      <w:r>
        <w:rPr>
          <w:rFonts w:ascii="Calibri" w:hAnsi="Calibri" w:cs="Times New Roman"/>
          <w:color w:val="auto"/>
          <w:kern w:val="2"/>
          <w:highlight w:val="none"/>
          <w:u w:val="single"/>
        </w:rPr>
        <w:t>7</w:t>
      </w:r>
      <w:r>
        <w:rPr>
          <w:rFonts w:hint="eastAsia" w:ascii="Calibri" w:hAnsi="Calibri" w:cs="Times New Roman"/>
          <w:color w:val="auto"/>
          <w:kern w:val="2"/>
          <w:highlight w:val="none"/>
          <w:u w:val="single"/>
        </w:rPr>
        <w:t>天内向发包人提交已完工程进度款支付申请一式四份，详细说明此周期自己认为有权得到的款额，包括分包人已完工程的价款，按有关规定编制</w:t>
      </w:r>
      <w:r>
        <w:rPr>
          <w:rFonts w:hint="eastAsia" w:ascii="Calibri" w:hAnsi="宋体" w:cs="Times New Roman"/>
          <w:color w:val="auto"/>
          <w:kern w:val="2"/>
          <w:highlight w:val="none"/>
        </w:rPr>
        <w:t>。</w:t>
      </w:r>
    </w:p>
    <w:p w14:paraId="669E0A60">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1</w:t>
      </w:r>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r>
        <w:rPr>
          <w:rFonts w:ascii="Calibri" w:hAnsi="Calibri" w:cs="Times New Roman"/>
          <w:color w:val="auto"/>
          <w:kern w:val="2"/>
          <w:highlight w:val="none"/>
        </w:rPr>
        <w:t xml:space="preserve">2.4.3 </w:t>
      </w:r>
      <w:r>
        <w:rPr>
          <w:rFonts w:hint="eastAsia" w:ascii="Calibri" w:hAnsi="宋体" w:cs="Times New Roman"/>
          <w:color w:val="auto"/>
          <w:kern w:val="2"/>
          <w:highlight w:val="none"/>
        </w:rPr>
        <w:t>进度付款申请单的提交</w:t>
      </w:r>
    </w:p>
    <w:p w14:paraId="58C1A0B8">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w:t>
      </w:r>
      <w:r>
        <w:rPr>
          <w:rFonts w:ascii="Calibri" w:hAnsi="Calibri" w:cs="Times New Roman"/>
          <w:color w:val="auto"/>
          <w:kern w:val="2"/>
          <w:highlight w:val="none"/>
        </w:rPr>
        <w:t>1</w:t>
      </w:r>
      <w:r>
        <w:rPr>
          <w:rFonts w:hint="eastAsia" w:ascii="Calibri" w:hAnsi="宋体" w:cs="Times New Roman"/>
          <w:color w:val="auto"/>
          <w:kern w:val="2"/>
          <w:highlight w:val="none"/>
        </w:rPr>
        <w:t>）单价合同进度付款申请单提交的约定：</w:t>
      </w:r>
      <w:r>
        <w:rPr>
          <w:rFonts w:hint="eastAsia" w:ascii="Calibri" w:hAnsi="Calibri" w:cs="Times New Roman"/>
          <w:b/>
          <w:bCs/>
          <w:color w:val="auto"/>
          <w:kern w:val="2"/>
          <w:highlight w:val="none"/>
          <w:u w:val="single"/>
        </w:rPr>
        <w:t>承包人应在每个计量周期到期后的</w:t>
      </w:r>
      <w:r>
        <w:rPr>
          <w:rFonts w:ascii="Calibri" w:hAnsi="Calibri" w:cs="Times New Roman"/>
          <w:b/>
          <w:bCs/>
          <w:color w:val="auto"/>
          <w:kern w:val="2"/>
          <w:highlight w:val="none"/>
          <w:u w:val="single"/>
        </w:rPr>
        <w:t>7</w:t>
      </w:r>
      <w:r>
        <w:rPr>
          <w:rFonts w:hint="eastAsia" w:ascii="Calibri" w:hAnsi="Calibri" w:cs="Times New Roman"/>
          <w:b/>
          <w:bCs/>
          <w:color w:val="auto"/>
          <w:kern w:val="2"/>
          <w:highlight w:val="none"/>
          <w:u w:val="single"/>
        </w:rPr>
        <w:t>天内向发包人提交已完工程进度款支付申请一式四份，详细说明此周期自己认为有权得到的款额，包括分包人已完工程的价款，按有关规定编制</w:t>
      </w:r>
      <w:r>
        <w:rPr>
          <w:rFonts w:hint="eastAsia" w:ascii="Calibri" w:hAnsi="宋体" w:cs="Times New Roman"/>
          <w:color w:val="auto"/>
          <w:kern w:val="2"/>
          <w:highlight w:val="none"/>
        </w:rPr>
        <w:t>。</w:t>
      </w:r>
    </w:p>
    <w:p w14:paraId="66891839">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w:t>
      </w:r>
      <w:r>
        <w:rPr>
          <w:rFonts w:ascii="Calibri" w:hAnsi="Calibri" w:cs="Times New Roman"/>
          <w:color w:val="auto"/>
          <w:kern w:val="2"/>
          <w:highlight w:val="none"/>
        </w:rPr>
        <w:t>2</w:t>
      </w:r>
      <w:r>
        <w:rPr>
          <w:rFonts w:hint="eastAsia" w:ascii="Calibri" w:hAnsi="宋体" w:cs="Times New Roman"/>
          <w:color w:val="auto"/>
          <w:kern w:val="2"/>
          <w:highlight w:val="none"/>
        </w:rPr>
        <w:t>）总价合同进度付款申请单提交的约定：</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rPr>
        <w:t>。</w:t>
      </w:r>
    </w:p>
    <w:p w14:paraId="3C01A2BD">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w:t>
      </w:r>
      <w:r>
        <w:rPr>
          <w:rFonts w:ascii="Calibri" w:hAnsi="Calibri" w:cs="Times New Roman"/>
          <w:color w:val="auto"/>
          <w:kern w:val="2"/>
          <w:highlight w:val="none"/>
        </w:rPr>
        <w:t>3</w:t>
      </w:r>
      <w:r>
        <w:rPr>
          <w:rFonts w:hint="eastAsia" w:ascii="Calibri" w:hAnsi="宋体" w:cs="Times New Roman"/>
          <w:color w:val="auto"/>
          <w:kern w:val="2"/>
          <w:highlight w:val="none"/>
        </w:rPr>
        <w:t>）其他价格形式合同进度付款申请单提交的约定：</w:t>
      </w:r>
      <w:r>
        <w:rPr>
          <w:rFonts w:ascii="Calibri" w:hAnsi="Calibri" w:cs="Times New Roman"/>
          <w:color w:val="auto"/>
          <w:kern w:val="2"/>
          <w:highlight w:val="none"/>
          <w:u w:val="single"/>
        </w:rPr>
        <w:t xml:space="preserve"> / </w:t>
      </w:r>
      <w:r>
        <w:rPr>
          <w:rFonts w:hint="eastAsia" w:ascii="Calibri" w:hAnsi="宋体" w:cs="Times New Roman"/>
          <w:color w:val="auto"/>
          <w:kern w:val="2"/>
          <w:highlight w:val="none"/>
        </w:rPr>
        <w:t>。</w:t>
      </w:r>
    </w:p>
    <w:p w14:paraId="7371B4FF">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12.4.4 </w:t>
      </w:r>
      <w:r>
        <w:rPr>
          <w:rFonts w:hint="eastAsia" w:ascii="Calibri" w:hAnsi="宋体" w:cs="Times New Roman"/>
          <w:color w:val="auto"/>
          <w:kern w:val="2"/>
          <w:highlight w:val="none"/>
        </w:rPr>
        <w:t>进度款审核和支付</w:t>
      </w:r>
    </w:p>
    <w:p w14:paraId="0FCDB3B1">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w:t>
      </w:r>
      <w:r>
        <w:rPr>
          <w:rFonts w:ascii="Calibri" w:hAnsi="Calibri" w:cs="Times New Roman"/>
          <w:color w:val="auto"/>
          <w:kern w:val="2"/>
          <w:highlight w:val="none"/>
        </w:rPr>
        <w:t>1</w:t>
      </w:r>
      <w:r>
        <w:rPr>
          <w:rFonts w:hint="eastAsia" w:ascii="Calibri" w:hAnsi="宋体" w:cs="Times New Roman"/>
          <w:color w:val="auto"/>
          <w:kern w:val="2"/>
          <w:highlight w:val="none"/>
        </w:rPr>
        <w:t>）监理人审查并报送发包人的期限：</w:t>
      </w:r>
      <w:r>
        <w:rPr>
          <w:rFonts w:hint="eastAsia" w:ascii="Calibri" w:hAnsi="宋体" w:cs="Times New Roman"/>
          <w:color w:val="auto"/>
          <w:kern w:val="2"/>
          <w:highlight w:val="none"/>
          <w:u w:val="single"/>
        </w:rPr>
        <w:t>完成审核并报送发包人， 如未在收到相关资料后的</w:t>
      </w:r>
      <w:r>
        <w:rPr>
          <w:rFonts w:hint="eastAsia" w:ascii="Calibri" w:hAnsi="宋体" w:cs="Times New Roman"/>
          <w:color w:val="auto"/>
          <w:kern w:val="2"/>
          <w:highlight w:val="none"/>
          <w:u w:val="single"/>
          <w:lang w:val="en-US" w:eastAsia="zh-CN"/>
        </w:rPr>
        <w:t>5</w:t>
      </w:r>
      <w:r>
        <w:rPr>
          <w:rFonts w:hint="eastAsia" w:ascii="Calibri" w:hAnsi="宋体" w:cs="Times New Roman"/>
          <w:color w:val="auto"/>
          <w:kern w:val="2"/>
          <w:highlight w:val="none"/>
          <w:u w:val="single"/>
        </w:rPr>
        <w:t>个</w:t>
      </w:r>
      <w:r>
        <w:rPr>
          <w:rFonts w:hint="eastAsia" w:ascii="Calibri" w:hAnsi="宋体" w:cs="Times New Roman"/>
          <w:color w:val="auto"/>
          <w:kern w:val="2"/>
          <w:highlight w:val="none"/>
          <w:u w:val="single"/>
          <w:lang w:eastAsia="zh-CN"/>
        </w:rPr>
        <w:t>日历天</w:t>
      </w:r>
      <w:r>
        <w:rPr>
          <w:rFonts w:hint="eastAsia" w:ascii="Calibri" w:hAnsi="宋体" w:cs="Times New Roman"/>
          <w:color w:val="auto"/>
          <w:kern w:val="2"/>
          <w:highlight w:val="none"/>
          <w:u w:val="single"/>
        </w:rPr>
        <w:t>内进行审批或提出异议的，视为对承包人提交审批进度款的认可</w:t>
      </w:r>
      <w:r>
        <w:rPr>
          <w:rFonts w:hint="eastAsia" w:ascii="Calibri" w:hAnsi="宋体" w:cs="Times New Roman"/>
          <w:color w:val="auto"/>
          <w:kern w:val="2"/>
          <w:highlight w:val="none"/>
        </w:rPr>
        <w:t>。</w:t>
      </w:r>
    </w:p>
    <w:p w14:paraId="6D91E54E">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发包人完成审批并签发进度款支付证书的期限：</w:t>
      </w:r>
      <w:r>
        <w:rPr>
          <w:rFonts w:hint="eastAsia" w:ascii="Calibri" w:hAnsi="Calibri" w:cs="Times New Roman"/>
          <w:color w:val="auto"/>
          <w:kern w:val="2"/>
          <w:highlight w:val="none"/>
          <w:u w:val="single"/>
        </w:rPr>
        <w:t>收到监理审查并确认后报送</w:t>
      </w:r>
      <w:r>
        <w:rPr>
          <w:rFonts w:ascii="Calibri" w:hAnsi="Calibri" w:cs="Times New Roman"/>
          <w:color w:val="auto"/>
          <w:kern w:val="2"/>
          <w:highlight w:val="none"/>
          <w:u w:val="single"/>
        </w:rPr>
        <w:t>7</w:t>
      </w:r>
      <w:r>
        <w:rPr>
          <w:rFonts w:hint="eastAsia" w:ascii="Calibri" w:hAnsi="Calibri" w:cs="Times New Roman"/>
          <w:color w:val="auto"/>
          <w:kern w:val="2"/>
          <w:highlight w:val="none"/>
          <w:u w:val="single"/>
        </w:rPr>
        <w:t>天内</w:t>
      </w:r>
      <w:r>
        <w:rPr>
          <w:rStyle w:val="49"/>
          <w:rFonts w:hint="eastAsia" w:ascii="宋体" w:hAnsi="宋体" w:eastAsia="宋体" w:cs="宋体"/>
          <w:color w:val="auto"/>
          <w:sz w:val="24"/>
          <w:szCs w:val="24"/>
          <w:highlight w:val="none"/>
          <w:u w:val="single"/>
        </w:rPr>
        <w:t xml:space="preserve"> </w:t>
      </w:r>
      <w:r>
        <w:rPr>
          <w:rFonts w:hint="eastAsia" w:ascii="Calibri" w:hAnsi="宋体" w:cs="Times New Roman"/>
          <w:color w:val="auto"/>
          <w:kern w:val="2"/>
          <w:highlight w:val="none"/>
        </w:rPr>
        <w:t>。</w:t>
      </w:r>
    </w:p>
    <w:p w14:paraId="787F639C">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w:t>
      </w:r>
      <w:r>
        <w:rPr>
          <w:rFonts w:ascii="Calibri" w:hAnsi="Calibri" w:cs="Times New Roman"/>
          <w:color w:val="auto"/>
          <w:kern w:val="2"/>
          <w:highlight w:val="none"/>
        </w:rPr>
        <w:t>2</w:t>
      </w:r>
      <w:r>
        <w:rPr>
          <w:rFonts w:hint="eastAsia" w:ascii="Calibri" w:hAnsi="宋体" w:cs="Times New Roman"/>
          <w:color w:val="auto"/>
          <w:kern w:val="2"/>
          <w:highlight w:val="none"/>
        </w:rPr>
        <w:t>）发包人支付进度款的期限：</w:t>
      </w:r>
      <w:r>
        <w:rPr>
          <w:rFonts w:hint="eastAsia" w:ascii="Calibri" w:hAnsi="Calibri" w:cs="Times New Roman"/>
          <w:color w:val="auto"/>
          <w:kern w:val="2"/>
          <w:highlight w:val="none"/>
          <w:u w:val="single"/>
        </w:rPr>
        <w:t>审查并确认后</w:t>
      </w:r>
      <w:r>
        <w:rPr>
          <w:rFonts w:ascii="Calibri" w:hAnsi="Calibri" w:cs="Times New Roman"/>
          <w:color w:val="auto"/>
          <w:kern w:val="2"/>
          <w:highlight w:val="none"/>
          <w:u w:val="single"/>
        </w:rPr>
        <w:t>7</w:t>
      </w:r>
      <w:r>
        <w:rPr>
          <w:rFonts w:hint="eastAsia" w:ascii="Calibri" w:hAnsi="Calibri" w:cs="Times New Roman"/>
          <w:color w:val="auto"/>
          <w:kern w:val="2"/>
          <w:highlight w:val="none"/>
          <w:u w:val="single"/>
        </w:rPr>
        <w:t>天内</w:t>
      </w:r>
      <w:r>
        <w:rPr>
          <w:rFonts w:hint="eastAsia" w:ascii="Calibri" w:hAnsi="宋体" w:cs="Times New Roman"/>
          <w:color w:val="auto"/>
          <w:kern w:val="2"/>
          <w:highlight w:val="none"/>
        </w:rPr>
        <w:t>。</w:t>
      </w:r>
    </w:p>
    <w:p w14:paraId="73127DBB">
      <w:pPr>
        <w:spacing w:line="360" w:lineRule="auto"/>
        <w:ind w:firstLine="525" w:firstLineChars="250"/>
        <w:jc w:val="left"/>
        <w:rPr>
          <w:rFonts w:ascii="Calibri" w:hAnsi="Calibri" w:cs="Times New Roman"/>
          <w:color w:val="auto"/>
          <w:kern w:val="2"/>
          <w:highlight w:val="none"/>
        </w:rPr>
      </w:pPr>
      <w:r>
        <w:rPr>
          <w:rFonts w:hint="eastAsia" w:ascii="Calibri" w:hAnsi="宋体" w:cs="Times New Roman"/>
          <w:color w:val="auto"/>
          <w:kern w:val="2"/>
          <w:highlight w:val="none"/>
        </w:rPr>
        <w:t>发包人逾期支付进度款的违约金的计算方式：</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rPr>
        <w:t>。</w:t>
      </w:r>
    </w:p>
    <w:p w14:paraId="40EC0C47">
      <w:pPr>
        <w:spacing w:line="360" w:lineRule="auto"/>
        <w:ind w:firstLine="525" w:firstLineChars="250"/>
        <w:jc w:val="left"/>
        <w:rPr>
          <w:rFonts w:ascii="Calibri" w:hAnsi="宋体" w:cs="Times New Roman"/>
          <w:color w:val="auto"/>
          <w:kern w:val="2"/>
          <w:highlight w:val="none"/>
        </w:rPr>
      </w:pPr>
      <w:r>
        <w:rPr>
          <w:rFonts w:hint="eastAsia" w:ascii="Calibri" w:hAnsi="宋体" w:cs="Times New Roman"/>
          <w:color w:val="auto"/>
          <w:kern w:val="2"/>
          <w:highlight w:val="none"/>
        </w:rPr>
        <w:t>进度款支付方式：</w:t>
      </w:r>
      <w:r>
        <w:rPr>
          <w:rFonts w:hint="eastAsia" w:ascii="Calibri" w:hAnsi="宋体" w:cs="Times New Roman"/>
          <w:color w:val="auto"/>
          <w:kern w:val="2"/>
          <w:highlight w:val="none"/>
          <w:u w:val="single"/>
        </w:rPr>
        <w:t>银行转账</w:t>
      </w:r>
      <w:r>
        <w:rPr>
          <w:rFonts w:hint="eastAsia" w:ascii="Calibri" w:hAnsi="宋体" w:cs="Times New Roman"/>
          <w:color w:val="auto"/>
          <w:kern w:val="2"/>
          <w:highlight w:val="none"/>
        </w:rPr>
        <w:t>。</w:t>
      </w:r>
    </w:p>
    <w:p w14:paraId="4D1D3A32">
      <w:pPr>
        <w:spacing w:line="360" w:lineRule="auto"/>
        <w:ind w:firstLine="525" w:firstLineChars="250"/>
        <w:jc w:val="left"/>
        <w:rPr>
          <w:rFonts w:ascii="Calibri" w:hAnsi="宋体" w:cs="Times New Roman"/>
          <w:color w:val="auto"/>
          <w:kern w:val="2"/>
          <w:highlight w:val="none"/>
        </w:rPr>
      </w:pPr>
      <w:r>
        <w:rPr>
          <w:rFonts w:ascii="Calibri" w:hAnsi="Calibri" w:cs="Times New Roman"/>
          <w:color w:val="auto"/>
          <w:kern w:val="2"/>
          <w:highlight w:val="none"/>
        </w:rPr>
        <w:t xml:space="preserve">12.4.6 </w:t>
      </w:r>
      <w:r>
        <w:rPr>
          <w:rFonts w:hint="eastAsia" w:ascii="Calibri" w:hAnsi="宋体" w:cs="Times New Roman"/>
          <w:color w:val="auto"/>
          <w:kern w:val="2"/>
          <w:highlight w:val="none"/>
        </w:rPr>
        <w:t>支付分解表的编制</w:t>
      </w:r>
    </w:p>
    <w:p w14:paraId="08024FC6">
      <w:pPr>
        <w:spacing w:line="360" w:lineRule="auto"/>
        <w:ind w:firstLine="525" w:firstLineChars="250"/>
        <w:jc w:val="left"/>
        <w:rPr>
          <w:rFonts w:ascii="Calibri" w:hAnsi="Calibri" w:cs="Times New Roman"/>
          <w:color w:val="auto"/>
          <w:kern w:val="2"/>
          <w:highlight w:val="none"/>
          <w:u w:val="single"/>
        </w:rPr>
      </w:pPr>
      <w:r>
        <w:rPr>
          <w:rFonts w:ascii="Calibri" w:hAnsi="Calibri" w:cs="Times New Roman"/>
          <w:color w:val="auto"/>
          <w:kern w:val="2"/>
          <w:highlight w:val="none"/>
        </w:rPr>
        <w:t>2</w:t>
      </w:r>
      <w:r>
        <w:rPr>
          <w:rFonts w:ascii="Calibri" w:hAnsi="宋体" w:cs="Times New Roman"/>
          <w:color w:val="auto"/>
          <w:kern w:val="2"/>
          <w:highlight w:val="none"/>
        </w:rPr>
        <w:t xml:space="preserve">. </w:t>
      </w:r>
      <w:r>
        <w:rPr>
          <w:rFonts w:hint="eastAsia" w:ascii="Calibri" w:hAnsi="宋体" w:cs="Times New Roman"/>
          <w:color w:val="auto"/>
          <w:kern w:val="2"/>
          <w:highlight w:val="none"/>
        </w:rPr>
        <w:t>总价合同支付分解表的编制与审批：</w:t>
      </w:r>
      <w:r>
        <w:rPr>
          <w:rFonts w:ascii="Calibri" w:hAnsi="Calibri" w:cs="Times New Roman"/>
          <w:color w:val="auto"/>
          <w:kern w:val="2"/>
          <w:highlight w:val="none"/>
          <w:u w:val="single"/>
        </w:rPr>
        <w:t>/</w:t>
      </w:r>
      <w:r>
        <w:rPr>
          <w:rFonts w:hint="eastAsia" w:ascii="Calibri" w:hAnsi="宋体" w:cs="Times New Roman"/>
          <w:color w:val="auto"/>
          <w:kern w:val="2"/>
          <w:highlight w:val="none"/>
        </w:rPr>
        <w:t>。</w:t>
      </w:r>
    </w:p>
    <w:p w14:paraId="093B760A">
      <w:pPr>
        <w:spacing w:line="360" w:lineRule="auto"/>
        <w:ind w:firstLine="525" w:firstLineChars="250"/>
        <w:jc w:val="left"/>
        <w:rPr>
          <w:rFonts w:ascii="Calibri" w:hAnsi="Calibri" w:cs="Times New Roman"/>
          <w:color w:val="auto"/>
          <w:kern w:val="2"/>
          <w:highlight w:val="none"/>
          <w:u w:val="single"/>
        </w:rPr>
      </w:pPr>
      <w:r>
        <w:rPr>
          <w:rFonts w:ascii="Calibri" w:hAnsi="Calibri" w:cs="Times New Roman"/>
          <w:color w:val="auto"/>
          <w:kern w:val="2"/>
          <w:highlight w:val="none"/>
        </w:rPr>
        <w:t>3</w:t>
      </w:r>
      <w:r>
        <w:rPr>
          <w:rFonts w:ascii="Calibri" w:hAnsi="宋体" w:cs="Times New Roman"/>
          <w:color w:val="auto"/>
          <w:kern w:val="2"/>
          <w:highlight w:val="none"/>
        </w:rPr>
        <w:t xml:space="preserve">. </w:t>
      </w:r>
      <w:r>
        <w:rPr>
          <w:rFonts w:hint="eastAsia" w:ascii="Calibri" w:hAnsi="宋体" w:cs="Times New Roman"/>
          <w:color w:val="auto"/>
          <w:kern w:val="2"/>
          <w:highlight w:val="none"/>
        </w:rPr>
        <w:t>单价合同的总价项目支付分解表的编制与审批：</w:t>
      </w:r>
      <w:r>
        <w:rPr>
          <w:rFonts w:hint="eastAsia" w:ascii="Calibri" w:hAnsi="宋体" w:cs="Times New Roman"/>
          <w:color w:val="auto"/>
          <w:kern w:val="2"/>
          <w:highlight w:val="none"/>
          <w:u w:val="single"/>
        </w:rPr>
        <w:t>单价合同的总价项目支付分解表的编制与审批：总价项目不采用支付分解表的方式计算，而按《建设工程工程量清单计价规范（GB50500-2013）广西壮族自治区实施细则》的规定执行</w:t>
      </w:r>
      <w:r>
        <w:rPr>
          <w:rFonts w:hint="eastAsia" w:ascii="Calibri" w:hAnsi="宋体" w:cs="Times New Roman"/>
          <w:color w:val="auto"/>
          <w:kern w:val="2"/>
          <w:highlight w:val="none"/>
        </w:rPr>
        <w:t>。</w:t>
      </w:r>
    </w:p>
    <w:bookmarkEnd w:id="1483"/>
    <w:p w14:paraId="1378BD3F">
      <w:pPr>
        <w:keepNext/>
        <w:keepLines/>
        <w:spacing w:before="260" w:after="260" w:line="416" w:lineRule="auto"/>
        <w:outlineLvl w:val="2"/>
        <w:rPr>
          <w:rFonts w:ascii="Cambria" w:hAnsi="Cambria" w:cs="Times New Roman"/>
          <w:b/>
          <w:bCs/>
          <w:color w:val="auto"/>
          <w:kern w:val="2"/>
          <w:sz w:val="32"/>
          <w:szCs w:val="32"/>
          <w:highlight w:val="none"/>
        </w:rPr>
      </w:pPr>
      <w:bookmarkStart w:id="1797" w:name="_Toc389065318"/>
      <w:bookmarkStart w:id="1798" w:name="_Toc512691456"/>
      <w:bookmarkStart w:id="1799" w:name="_Toc373227753"/>
      <w:bookmarkStart w:id="1800" w:name="_Toc494549253"/>
      <w:bookmarkStart w:id="1801" w:name="_Toc530658080"/>
      <w:bookmarkStart w:id="1802" w:name="_Toc373478400"/>
      <w:bookmarkStart w:id="1803" w:name="_Toc532840062"/>
      <w:bookmarkStart w:id="1804" w:name="_Toc351203645"/>
      <w:bookmarkStart w:id="1805" w:name="_Toc485400649"/>
      <w:bookmarkStart w:id="1806" w:name="_Toc407135256"/>
      <w:bookmarkStart w:id="1807" w:name="_Toc493774817"/>
      <w:bookmarkStart w:id="1808" w:name="_Toc508894118"/>
      <w:bookmarkStart w:id="1809" w:name="_Toc292559929"/>
      <w:bookmarkStart w:id="1810" w:name="_Toc303539172"/>
      <w:bookmarkStart w:id="1811" w:name="_Toc296347218"/>
      <w:bookmarkStart w:id="1812" w:name="_Toc296891047"/>
      <w:bookmarkStart w:id="1813" w:name="_Toc292559424"/>
      <w:bookmarkStart w:id="1814" w:name="_Toc296891259"/>
      <w:bookmarkStart w:id="1815" w:name="_Toc297123564"/>
      <w:bookmarkStart w:id="1816" w:name="_Toc297048405"/>
      <w:bookmarkStart w:id="1817" w:name="_Toc296944558"/>
      <w:bookmarkStart w:id="1818" w:name="_Toc304295593"/>
      <w:bookmarkStart w:id="1819" w:name="_Toc312678053"/>
      <w:bookmarkStart w:id="1820" w:name="_Toc297216223"/>
      <w:bookmarkStart w:id="1821" w:name="_Toc300935015"/>
      <w:bookmarkStart w:id="1822" w:name="_Toc296503219"/>
      <w:bookmarkStart w:id="1823" w:name="_Toc296346720"/>
      <w:bookmarkStart w:id="1824" w:name="_Toc297120519"/>
      <w:r>
        <w:rPr>
          <w:rFonts w:ascii="Cambria" w:hAnsi="Cambria" w:cs="Times New Roman"/>
          <w:b/>
          <w:bCs/>
          <w:color w:val="auto"/>
          <w:kern w:val="2"/>
          <w:sz w:val="32"/>
          <w:szCs w:val="32"/>
          <w:highlight w:val="none"/>
        </w:rPr>
        <w:t xml:space="preserve">13. </w:t>
      </w:r>
      <w:r>
        <w:rPr>
          <w:rFonts w:hint="eastAsia" w:ascii="Cambria" w:hAnsi="Cambria" w:cs="Times New Roman"/>
          <w:b/>
          <w:bCs/>
          <w:color w:val="auto"/>
          <w:kern w:val="2"/>
          <w:sz w:val="32"/>
          <w:szCs w:val="32"/>
          <w:highlight w:val="none"/>
        </w:rPr>
        <w:t>验收和工程试车</w:t>
      </w:r>
      <w:bookmarkEnd w:id="1797"/>
      <w:bookmarkEnd w:id="1798"/>
      <w:bookmarkEnd w:id="1799"/>
      <w:bookmarkEnd w:id="1800"/>
      <w:bookmarkEnd w:id="1801"/>
      <w:bookmarkEnd w:id="1802"/>
      <w:bookmarkEnd w:id="1803"/>
      <w:bookmarkEnd w:id="1804"/>
      <w:bookmarkEnd w:id="1805"/>
      <w:bookmarkEnd w:id="1806"/>
      <w:bookmarkEnd w:id="1807"/>
      <w:bookmarkEnd w:id="1808"/>
    </w:p>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p w14:paraId="3EEE591E">
      <w:pPr>
        <w:keepNext/>
        <w:keepLines/>
        <w:spacing w:before="260" w:after="260" w:line="416" w:lineRule="auto"/>
        <w:outlineLvl w:val="3"/>
        <w:rPr>
          <w:rFonts w:ascii="Calibri" w:hAnsi="Calibri" w:cs="Times New Roman"/>
          <w:b/>
          <w:bCs/>
          <w:color w:val="auto"/>
          <w:kern w:val="2"/>
          <w:sz w:val="32"/>
          <w:szCs w:val="32"/>
          <w:highlight w:val="none"/>
        </w:rPr>
      </w:pPr>
      <w:bookmarkStart w:id="1825" w:name="_Toc530658081"/>
      <w:bookmarkStart w:id="1826" w:name="_Toc485400650"/>
      <w:bookmarkStart w:id="1827" w:name="_Toc494549254"/>
      <w:bookmarkStart w:id="1828" w:name="_Toc407135257"/>
      <w:bookmarkStart w:id="1829" w:name="_Toc373227754"/>
      <w:bookmarkStart w:id="1830" w:name="_Toc508894119"/>
      <w:bookmarkStart w:id="1831" w:name="_Toc493774818"/>
      <w:bookmarkStart w:id="1832" w:name="_Toc373478401"/>
      <w:bookmarkStart w:id="1833" w:name="_Toc389065319"/>
      <w:bookmarkStart w:id="1834" w:name="_Toc532840063"/>
      <w:bookmarkStart w:id="1835" w:name="_Toc512691457"/>
      <w:r>
        <w:rPr>
          <w:rFonts w:ascii="Calibri" w:hAnsi="Calibri" w:cs="Times New Roman"/>
          <w:b/>
          <w:bCs/>
          <w:color w:val="auto"/>
          <w:kern w:val="2"/>
          <w:sz w:val="32"/>
          <w:szCs w:val="32"/>
          <w:highlight w:val="none"/>
        </w:rPr>
        <w:t xml:space="preserve">13.1 </w:t>
      </w:r>
      <w:r>
        <w:rPr>
          <w:rFonts w:hint="eastAsia" w:ascii="Calibri" w:hAnsi="Calibri" w:cs="Times New Roman"/>
          <w:b/>
          <w:bCs/>
          <w:color w:val="auto"/>
          <w:kern w:val="2"/>
          <w:sz w:val="32"/>
          <w:szCs w:val="32"/>
          <w:highlight w:val="none"/>
        </w:rPr>
        <w:t>分部分项工程验收</w:t>
      </w:r>
      <w:bookmarkEnd w:id="1825"/>
      <w:bookmarkEnd w:id="1826"/>
      <w:bookmarkEnd w:id="1827"/>
      <w:bookmarkEnd w:id="1828"/>
      <w:bookmarkEnd w:id="1829"/>
      <w:bookmarkEnd w:id="1830"/>
      <w:bookmarkEnd w:id="1831"/>
      <w:bookmarkEnd w:id="1832"/>
      <w:bookmarkEnd w:id="1833"/>
      <w:bookmarkEnd w:id="1834"/>
      <w:bookmarkEnd w:id="1835"/>
    </w:p>
    <w:p w14:paraId="68509460">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13.1.2</w:t>
      </w:r>
      <w:r>
        <w:rPr>
          <w:rFonts w:hint="eastAsia" w:ascii="Calibri" w:hAnsi="宋体" w:cs="Times New Roman"/>
          <w:color w:val="auto"/>
          <w:kern w:val="2"/>
          <w:highlight w:val="none"/>
        </w:rPr>
        <w:t>监理人不能按时进行验收时，应提前</w:t>
      </w:r>
      <w:r>
        <w:rPr>
          <w:rFonts w:ascii="Calibri" w:hAnsi="Calibri" w:cs="Times New Roman"/>
          <w:color w:val="auto"/>
          <w:kern w:val="2"/>
          <w:highlight w:val="none"/>
          <w:u w:val="single"/>
        </w:rPr>
        <w:t xml:space="preserve"> 24</w:t>
      </w:r>
      <w:r>
        <w:rPr>
          <w:rFonts w:hint="eastAsia" w:ascii="Calibri" w:hAnsi="宋体" w:cs="Times New Roman"/>
          <w:color w:val="auto"/>
          <w:kern w:val="2"/>
          <w:highlight w:val="none"/>
        </w:rPr>
        <w:t>小时提交书面延期要求。</w:t>
      </w:r>
    </w:p>
    <w:p w14:paraId="08989295">
      <w:pPr>
        <w:spacing w:line="360" w:lineRule="auto"/>
        <w:ind w:firstLine="420" w:firstLineChars="200"/>
        <w:jc w:val="left"/>
        <w:rPr>
          <w:rFonts w:ascii="Calibri" w:hAnsi="Calibri" w:cs="Times New Roman"/>
          <w:b/>
          <w:color w:val="auto"/>
          <w:kern w:val="2"/>
          <w:highlight w:val="none"/>
        </w:rPr>
      </w:pPr>
      <w:r>
        <w:rPr>
          <w:rFonts w:hint="eastAsia" w:ascii="Calibri" w:hAnsi="宋体" w:cs="Times New Roman"/>
          <w:color w:val="auto"/>
          <w:kern w:val="2"/>
          <w:highlight w:val="none"/>
        </w:rPr>
        <w:t>关于延期最长不得超过：</w:t>
      </w:r>
      <w:r>
        <w:rPr>
          <w:rFonts w:ascii="Calibri" w:hAnsi="Calibri" w:cs="Times New Roman"/>
          <w:color w:val="auto"/>
          <w:kern w:val="2"/>
          <w:highlight w:val="none"/>
          <w:u w:val="single"/>
        </w:rPr>
        <w:t>48</w:t>
      </w:r>
      <w:r>
        <w:rPr>
          <w:rFonts w:hint="eastAsia" w:ascii="Calibri" w:hAnsi="宋体" w:cs="Times New Roman"/>
          <w:color w:val="auto"/>
          <w:kern w:val="2"/>
          <w:highlight w:val="none"/>
        </w:rPr>
        <w:t>小时。</w:t>
      </w:r>
    </w:p>
    <w:p w14:paraId="7C0B0B52">
      <w:pPr>
        <w:keepNext/>
        <w:keepLines/>
        <w:spacing w:before="260" w:after="260" w:line="416" w:lineRule="auto"/>
        <w:outlineLvl w:val="3"/>
        <w:rPr>
          <w:rFonts w:ascii="Calibri" w:hAnsi="Calibri" w:cs="Times New Roman"/>
          <w:b/>
          <w:bCs/>
          <w:color w:val="auto"/>
          <w:kern w:val="2"/>
          <w:sz w:val="32"/>
          <w:szCs w:val="32"/>
          <w:highlight w:val="none"/>
        </w:rPr>
      </w:pPr>
      <w:bookmarkStart w:id="1836" w:name="_Toc389065320"/>
      <w:bookmarkStart w:id="1837" w:name="_Toc485400651"/>
      <w:bookmarkStart w:id="1838" w:name="_Toc373227755"/>
      <w:bookmarkStart w:id="1839" w:name="_Toc508894120"/>
      <w:bookmarkStart w:id="1840" w:name="_Toc532840064"/>
      <w:bookmarkStart w:id="1841" w:name="_Toc493774819"/>
      <w:bookmarkStart w:id="1842" w:name="_Toc530658082"/>
      <w:bookmarkStart w:id="1843" w:name="_Toc373478402"/>
      <w:bookmarkStart w:id="1844" w:name="_Toc494549255"/>
      <w:bookmarkStart w:id="1845" w:name="_Toc512691458"/>
      <w:bookmarkStart w:id="1846" w:name="_Toc407135258"/>
      <w:bookmarkStart w:id="1847" w:name="_Toc296891263"/>
      <w:bookmarkStart w:id="1848" w:name="_Toc296503223"/>
      <w:bookmarkStart w:id="1849" w:name="_Toc297120523"/>
      <w:bookmarkStart w:id="1850" w:name="_Toc296346724"/>
      <w:bookmarkStart w:id="1851" w:name="_Toc296891051"/>
      <w:bookmarkStart w:id="1852" w:name="_Toc296347222"/>
      <w:bookmarkStart w:id="1853" w:name="_Toc304295596"/>
      <w:bookmarkStart w:id="1854" w:name="_Toc297048409"/>
      <w:bookmarkStart w:id="1855" w:name="_Toc296944562"/>
      <w:bookmarkStart w:id="1856" w:name="_Toc292559933"/>
      <w:bookmarkStart w:id="1857" w:name="_Toc292559428"/>
      <w:bookmarkStart w:id="1858" w:name="_Toc303539173"/>
      <w:bookmarkStart w:id="1859" w:name="_Toc312678056"/>
      <w:bookmarkStart w:id="1860" w:name="_Toc297216224"/>
      <w:bookmarkStart w:id="1861" w:name="_Toc300935016"/>
      <w:bookmarkStart w:id="1862" w:name="_Toc297123565"/>
      <w:bookmarkStart w:id="1863" w:name="_Toc267251474"/>
      <w:bookmarkStart w:id="1864" w:name="_Toc267251472"/>
      <w:bookmarkStart w:id="1865" w:name="_Toc267251471"/>
      <w:bookmarkStart w:id="1866" w:name="_Toc267251476"/>
      <w:bookmarkStart w:id="1867" w:name="_Toc267251475"/>
      <w:bookmarkStart w:id="1868" w:name="_Toc267251473"/>
      <w:bookmarkStart w:id="1869" w:name="_Toc267251470"/>
      <w:r>
        <w:rPr>
          <w:rFonts w:ascii="Calibri" w:hAnsi="Calibri" w:cs="Times New Roman"/>
          <w:b/>
          <w:bCs/>
          <w:color w:val="auto"/>
          <w:kern w:val="2"/>
          <w:sz w:val="32"/>
          <w:szCs w:val="32"/>
          <w:highlight w:val="none"/>
        </w:rPr>
        <w:t xml:space="preserve">13.2 </w:t>
      </w:r>
      <w:r>
        <w:rPr>
          <w:rFonts w:hint="eastAsia" w:ascii="Calibri" w:hAnsi="宋体" w:cs="Times New Roman"/>
          <w:b/>
          <w:bCs/>
          <w:color w:val="auto"/>
          <w:kern w:val="2"/>
          <w:sz w:val="32"/>
          <w:szCs w:val="32"/>
          <w:highlight w:val="none"/>
        </w:rPr>
        <w:t>竣工验收</w:t>
      </w:r>
      <w:bookmarkEnd w:id="1836"/>
      <w:bookmarkEnd w:id="1837"/>
      <w:bookmarkEnd w:id="1838"/>
      <w:bookmarkEnd w:id="1839"/>
      <w:bookmarkEnd w:id="1840"/>
      <w:bookmarkEnd w:id="1841"/>
      <w:bookmarkEnd w:id="1842"/>
      <w:bookmarkEnd w:id="1843"/>
      <w:bookmarkEnd w:id="1844"/>
      <w:bookmarkEnd w:id="1845"/>
      <w:bookmarkEnd w:id="1846"/>
    </w:p>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p w14:paraId="15FA2B21">
      <w:pPr>
        <w:spacing w:line="360" w:lineRule="auto"/>
        <w:ind w:firstLine="420" w:firstLineChars="200"/>
        <w:jc w:val="left"/>
        <w:rPr>
          <w:rFonts w:ascii="Calibri" w:hAnsi="Calibri" w:cs="Times New Roman"/>
          <w:color w:val="auto"/>
          <w:kern w:val="2"/>
          <w:highlight w:val="none"/>
        </w:rPr>
      </w:pPr>
      <w:bookmarkStart w:id="1870" w:name="_Toc280868704"/>
      <w:bookmarkStart w:id="1871" w:name="_Toc280868705"/>
      <w:bookmarkStart w:id="1872" w:name="_Toc280868706"/>
      <w:bookmarkStart w:id="1873" w:name="_Toc280868707"/>
      <w:bookmarkStart w:id="1874" w:name="_Toc280868708"/>
      <w:bookmarkStart w:id="1875" w:name="_Toc280868709"/>
      <w:r>
        <w:rPr>
          <w:rFonts w:ascii="Calibri" w:hAnsi="Calibri" w:cs="Times New Roman"/>
          <w:color w:val="auto"/>
          <w:kern w:val="2"/>
          <w:highlight w:val="none"/>
        </w:rPr>
        <w:t>13.2.1</w:t>
      </w:r>
      <w:r>
        <w:rPr>
          <w:rFonts w:hint="eastAsia" w:ascii="Calibri" w:hAnsi="宋体" w:cs="Times New Roman"/>
          <w:color w:val="auto"/>
          <w:kern w:val="2"/>
          <w:highlight w:val="none"/>
        </w:rPr>
        <w:t>竣工验收条件</w:t>
      </w:r>
    </w:p>
    <w:p w14:paraId="55C23F64">
      <w:pPr>
        <w:spacing w:line="360" w:lineRule="auto"/>
        <w:ind w:firstLine="420" w:firstLineChars="200"/>
        <w:rPr>
          <w:rFonts w:ascii="Calibri" w:hAnsi="Calibri" w:cs="Times New Roman"/>
          <w:color w:val="auto"/>
          <w:kern w:val="2"/>
          <w:highlight w:val="none"/>
        </w:rPr>
      </w:pPr>
      <w:r>
        <w:rPr>
          <w:rFonts w:hint="eastAsia" w:ascii="Calibri" w:hAnsi="Calibri" w:cs="Times New Roman"/>
          <w:color w:val="auto"/>
          <w:kern w:val="2"/>
          <w:highlight w:val="none"/>
        </w:rPr>
        <w:t>（</w:t>
      </w:r>
      <w:r>
        <w:rPr>
          <w:rFonts w:ascii="Calibri" w:hAnsi="Calibri" w:cs="Times New Roman"/>
          <w:color w:val="auto"/>
          <w:kern w:val="2"/>
          <w:highlight w:val="none"/>
        </w:rPr>
        <w:t>3</w:t>
      </w:r>
      <w:r>
        <w:rPr>
          <w:rFonts w:hint="eastAsia" w:ascii="Calibri" w:hAnsi="Calibri" w:cs="Times New Roman"/>
          <w:color w:val="auto"/>
          <w:kern w:val="2"/>
          <w:highlight w:val="none"/>
        </w:rPr>
        <w:t>）</w:t>
      </w:r>
      <w:r>
        <w:rPr>
          <w:rFonts w:hint="eastAsia" w:ascii="Calibri" w:hAnsi="宋体" w:cs="Times New Roman"/>
          <w:color w:val="auto"/>
          <w:kern w:val="2"/>
          <w:highlight w:val="none"/>
        </w:rPr>
        <w:t>承包人负责整理和提交的竣工验收资料应当符合工程所在地建设行政主管部门和</w:t>
      </w:r>
      <w:r>
        <w:rPr>
          <w:rFonts w:ascii="Calibri" w:hAnsi="Calibri" w:cs="Times New Roman"/>
          <w:color w:val="auto"/>
          <w:kern w:val="2"/>
          <w:highlight w:val="none"/>
        </w:rPr>
        <w:t>(</w:t>
      </w:r>
      <w:r>
        <w:rPr>
          <w:rFonts w:hint="eastAsia" w:ascii="Calibri" w:hAnsi="宋体" w:cs="Times New Roman"/>
          <w:color w:val="auto"/>
          <w:kern w:val="2"/>
          <w:highlight w:val="none"/>
        </w:rPr>
        <w:t>或</w:t>
      </w:r>
      <w:r>
        <w:rPr>
          <w:rFonts w:ascii="Calibri" w:hAnsi="Calibri" w:cs="Times New Roman"/>
          <w:color w:val="auto"/>
          <w:kern w:val="2"/>
          <w:highlight w:val="none"/>
        </w:rPr>
        <w:t>)</w:t>
      </w:r>
      <w:r>
        <w:rPr>
          <w:rFonts w:hint="eastAsia" w:ascii="Calibri" w:hAnsi="宋体" w:cs="Times New Roman"/>
          <w:color w:val="auto"/>
          <w:kern w:val="2"/>
          <w:highlight w:val="none"/>
        </w:rPr>
        <w:t>城市建设档案管理机构有关施工资料的要求，具体内容包括：</w:t>
      </w:r>
      <w:r>
        <w:rPr>
          <w:rFonts w:hint="eastAsia" w:ascii="Calibri" w:hAnsi="Calibri" w:cs="Times New Roman"/>
          <w:color w:val="auto"/>
          <w:kern w:val="2"/>
          <w:highlight w:val="none"/>
          <w:u w:val="single"/>
        </w:rPr>
        <w:t>按工程所在地建设行政主管部门（或）城市建设档案管理机构有关施工资料的要求</w:t>
      </w:r>
      <w:r>
        <w:rPr>
          <w:rFonts w:hint="eastAsia" w:ascii="Calibri" w:hAnsi="宋体" w:cs="Times New Roman"/>
          <w:color w:val="auto"/>
          <w:kern w:val="2"/>
          <w:highlight w:val="none"/>
        </w:rPr>
        <w:t>。</w:t>
      </w:r>
    </w:p>
    <w:p w14:paraId="02E454F3">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竣工验收资料的份数：</w:t>
      </w:r>
      <w:r>
        <w:rPr>
          <w:rFonts w:hint="eastAsia" w:ascii="Calibri" w:hAnsi="Calibri" w:cs="Times New Roman"/>
          <w:color w:val="auto"/>
          <w:kern w:val="2"/>
          <w:highlight w:val="none"/>
          <w:u w:val="single"/>
        </w:rPr>
        <w:t>承包人应在竣工后</w:t>
      </w:r>
      <w:r>
        <w:rPr>
          <w:rFonts w:ascii="Calibri" w:hAnsi="Calibri" w:cs="Times New Roman"/>
          <w:color w:val="auto"/>
          <w:kern w:val="2"/>
          <w:highlight w:val="none"/>
          <w:u w:val="single"/>
        </w:rPr>
        <w:t>30</w:t>
      </w:r>
      <w:r>
        <w:rPr>
          <w:rFonts w:hint="eastAsia" w:ascii="Calibri" w:hAnsi="Calibri" w:cs="Times New Roman"/>
          <w:color w:val="auto"/>
          <w:kern w:val="2"/>
          <w:highlight w:val="none"/>
          <w:u w:val="single"/>
        </w:rPr>
        <w:t>天内按照建设行政主管部门及发包人的要求提供有关竣工资料，其套数除满足各政府部门存档案需要外还需另提供两套原件由发包人存档备用</w:t>
      </w:r>
      <w:r>
        <w:rPr>
          <w:rFonts w:hint="eastAsia" w:ascii="Calibri" w:hAnsi="宋体" w:cs="Times New Roman"/>
          <w:color w:val="auto"/>
          <w:kern w:val="2"/>
          <w:highlight w:val="none"/>
        </w:rPr>
        <w:t>。</w:t>
      </w:r>
    </w:p>
    <w:p w14:paraId="6A92AFA8">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bCs/>
          <w:color w:val="auto"/>
          <w:kern w:val="2"/>
          <w:highlight w:val="none"/>
        </w:rPr>
        <w:t>承包人提供竣工图的约定：</w:t>
      </w:r>
      <w:r>
        <w:rPr>
          <w:rFonts w:hint="eastAsia" w:ascii="Calibri" w:hAnsi="宋体" w:cs="Times New Roman"/>
          <w:bCs/>
          <w:color w:val="auto"/>
          <w:kern w:val="2"/>
          <w:highlight w:val="none"/>
          <w:u w:val="single"/>
        </w:rPr>
        <w:t>竣工验收正式通过后</w:t>
      </w:r>
      <w:r>
        <w:rPr>
          <w:rFonts w:ascii="Calibri" w:hAnsi="Calibri" w:cs="Times New Roman"/>
          <w:bCs/>
          <w:color w:val="auto"/>
          <w:kern w:val="2"/>
          <w:highlight w:val="none"/>
          <w:u w:val="single"/>
        </w:rPr>
        <w:t>5</w:t>
      </w:r>
      <w:r>
        <w:rPr>
          <w:rFonts w:hint="eastAsia" w:ascii="Calibri" w:hAnsi="宋体" w:cs="Times New Roman"/>
          <w:bCs/>
          <w:color w:val="auto"/>
          <w:kern w:val="2"/>
          <w:highlight w:val="none"/>
          <w:u w:val="single"/>
        </w:rPr>
        <w:t>天（工程造价在</w:t>
      </w:r>
      <w:r>
        <w:rPr>
          <w:rFonts w:ascii="Calibri" w:hAnsi="Calibri" w:cs="Times New Roman"/>
          <w:bCs/>
          <w:color w:val="auto"/>
          <w:kern w:val="2"/>
          <w:highlight w:val="none"/>
          <w:u w:val="single"/>
        </w:rPr>
        <w:t>500</w:t>
      </w:r>
      <w:r>
        <w:rPr>
          <w:rFonts w:hint="eastAsia" w:ascii="Calibri" w:hAnsi="宋体" w:cs="Times New Roman"/>
          <w:bCs/>
          <w:color w:val="auto"/>
          <w:kern w:val="2"/>
          <w:highlight w:val="none"/>
          <w:u w:val="single"/>
        </w:rPr>
        <w:t>万元以下含</w:t>
      </w:r>
      <w:r>
        <w:rPr>
          <w:rFonts w:ascii="Calibri" w:hAnsi="Calibri" w:cs="Times New Roman"/>
          <w:bCs/>
          <w:color w:val="auto"/>
          <w:kern w:val="2"/>
          <w:highlight w:val="none"/>
          <w:u w:val="single"/>
        </w:rPr>
        <w:t>500</w:t>
      </w:r>
      <w:r>
        <w:rPr>
          <w:rFonts w:hint="eastAsia" w:ascii="Calibri" w:hAnsi="宋体" w:cs="Times New Roman"/>
          <w:bCs/>
          <w:color w:val="auto"/>
          <w:kern w:val="2"/>
          <w:highlight w:val="none"/>
          <w:u w:val="single"/>
        </w:rPr>
        <w:t>万元）、</w:t>
      </w:r>
      <w:r>
        <w:rPr>
          <w:rFonts w:ascii="Calibri" w:hAnsi="Calibri" w:cs="Times New Roman"/>
          <w:bCs/>
          <w:color w:val="auto"/>
          <w:kern w:val="2"/>
          <w:highlight w:val="none"/>
          <w:u w:val="single"/>
        </w:rPr>
        <w:t>10</w:t>
      </w:r>
      <w:r>
        <w:rPr>
          <w:rFonts w:hint="eastAsia" w:ascii="Calibri" w:hAnsi="宋体" w:cs="Times New Roman"/>
          <w:bCs/>
          <w:color w:val="auto"/>
          <w:kern w:val="2"/>
          <w:highlight w:val="none"/>
          <w:u w:val="single"/>
        </w:rPr>
        <w:t>天（工程造价在</w:t>
      </w:r>
      <w:r>
        <w:rPr>
          <w:rFonts w:ascii="Calibri" w:hAnsi="Calibri" w:cs="Times New Roman"/>
          <w:bCs/>
          <w:color w:val="auto"/>
          <w:kern w:val="2"/>
          <w:highlight w:val="none"/>
          <w:u w:val="single"/>
        </w:rPr>
        <w:t>500</w:t>
      </w:r>
      <w:r>
        <w:rPr>
          <w:rFonts w:hint="eastAsia" w:ascii="Calibri" w:hAnsi="宋体" w:cs="Times New Roman"/>
          <w:bCs/>
          <w:color w:val="auto"/>
          <w:kern w:val="2"/>
          <w:highlight w:val="none"/>
          <w:u w:val="single"/>
        </w:rPr>
        <w:t>万元至</w:t>
      </w:r>
      <w:r>
        <w:rPr>
          <w:rFonts w:ascii="Calibri" w:hAnsi="Calibri" w:cs="Times New Roman"/>
          <w:bCs/>
          <w:color w:val="auto"/>
          <w:kern w:val="2"/>
          <w:highlight w:val="none"/>
          <w:u w:val="single"/>
        </w:rPr>
        <w:t>1000</w:t>
      </w:r>
      <w:r>
        <w:rPr>
          <w:rFonts w:hint="eastAsia" w:ascii="Calibri" w:hAnsi="宋体" w:cs="Times New Roman"/>
          <w:bCs/>
          <w:color w:val="auto"/>
          <w:kern w:val="2"/>
          <w:highlight w:val="none"/>
          <w:u w:val="single"/>
        </w:rPr>
        <w:t>万元之间含</w:t>
      </w:r>
      <w:r>
        <w:rPr>
          <w:rFonts w:ascii="Calibri" w:hAnsi="Calibri" w:cs="Times New Roman"/>
          <w:bCs/>
          <w:color w:val="auto"/>
          <w:kern w:val="2"/>
          <w:highlight w:val="none"/>
          <w:u w:val="single"/>
        </w:rPr>
        <w:t>1000</w:t>
      </w:r>
      <w:r>
        <w:rPr>
          <w:rFonts w:hint="eastAsia" w:ascii="Calibri" w:hAnsi="宋体" w:cs="Times New Roman"/>
          <w:bCs/>
          <w:color w:val="auto"/>
          <w:kern w:val="2"/>
          <w:highlight w:val="none"/>
          <w:u w:val="single"/>
        </w:rPr>
        <w:t>万元）、</w:t>
      </w:r>
      <w:r>
        <w:rPr>
          <w:rFonts w:ascii="Calibri" w:hAnsi="Calibri" w:cs="Times New Roman"/>
          <w:bCs/>
          <w:color w:val="auto"/>
          <w:kern w:val="2"/>
          <w:highlight w:val="none"/>
          <w:u w:val="single"/>
        </w:rPr>
        <w:t>15</w:t>
      </w:r>
      <w:r>
        <w:rPr>
          <w:rFonts w:hint="eastAsia" w:ascii="Calibri" w:hAnsi="宋体" w:cs="Times New Roman"/>
          <w:bCs/>
          <w:color w:val="auto"/>
          <w:kern w:val="2"/>
          <w:highlight w:val="none"/>
          <w:u w:val="single"/>
        </w:rPr>
        <w:t>天（工程造价在</w:t>
      </w:r>
      <w:r>
        <w:rPr>
          <w:rFonts w:ascii="Calibri" w:hAnsi="Calibri" w:cs="Times New Roman"/>
          <w:bCs/>
          <w:color w:val="auto"/>
          <w:kern w:val="2"/>
          <w:highlight w:val="none"/>
          <w:u w:val="single"/>
        </w:rPr>
        <w:t>1000</w:t>
      </w:r>
      <w:r>
        <w:rPr>
          <w:rFonts w:hint="eastAsia" w:ascii="Calibri" w:hAnsi="宋体" w:cs="Times New Roman"/>
          <w:bCs/>
          <w:color w:val="auto"/>
          <w:kern w:val="2"/>
          <w:highlight w:val="none"/>
          <w:u w:val="single"/>
        </w:rPr>
        <w:t>万元以上），提供竣工图的数量分别为</w:t>
      </w:r>
      <w:r>
        <w:rPr>
          <w:rFonts w:ascii="Calibri" w:hAnsi="Calibri" w:cs="Times New Roman"/>
          <w:bCs/>
          <w:color w:val="auto"/>
          <w:kern w:val="2"/>
          <w:highlight w:val="none"/>
          <w:u w:val="single"/>
        </w:rPr>
        <w:t>2</w:t>
      </w:r>
      <w:r>
        <w:rPr>
          <w:rFonts w:hint="eastAsia" w:ascii="Calibri" w:hAnsi="宋体" w:cs="Times New Roman"/>
          <w:bCs/>
          <w:color w:val="auto"/>
          <w:kern w:val="2"/>
          <w:highlight w:val="none"/>
          <w:u w:val="single"/>
        </w:rPr>
        <w:t>套、</w:t>
      </w:r>
      <w:r>
        <w:rPr>
          <w:rFonts w:ascii="Calibri" w:hAnsi="Calibri" w:cs="Times New Roman"/>
          <w:bCs/>
          <w:color w:val="auto"/>
          <w:kern w:val="2"/>
          <w:highlight w:val="none"/>
          <w:u w:val="single"/>
        </w:rPr>
        <w:t>4</w:t>
      </w:r>
      <w:r>
        <w:rPr>
          <w:rFonts w:hint="eastAsia" w:ascii="Calibri" w:hAnsi="宋体" w:cs="Times New Roman"/>
          <w:bCs/>
          <w:color w:val="auto"/>
          <w:kern w:val="2"/>
          <w:highlight w:val="none"/>
          <w:u w:val="single"/>
        </w:rPr>
        <w:t>套、</w:t>
      </w:r>
      <w:r>
        <w:rPr>
          <w:rFonts w:ascii="Calibri" w:hAnsi="Calibri" w:cs="Times New Roman"/>
          <w:bCs/>
          <w:color w:val="auto"/>
          <w:kern w:val="2"/>
          <w:highlight w:val="none"/>
          <w:u w:val="single"/>
        </w:rPr>
        <w:t>6</w:t>
      </w:r>
      <w:r>
        <w:rPr>
          <w:rFonts w:hint="eastAsia" w:ascii="Calibri" w:hAnsi="宋体" w:cs="Times New Roman"/>
          <w:bCs/>
          <w:color w:val="auto"/>
          <w:kern w:val="2"/>
          <w:highlight w:val="none"/>
          <w:u w:val="single"/>
        </w:rPr>
        <w:t>套。</w:t>
      </w:r>
    </w:p>
    <w:p w14:paraId="74D9963C">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13.2.2</w:t>
      </w:r>
      <w:r>
        <w:rPr>
          <w:rFonts w:hint="eastAsia" w:ascii="Calibri" w:hAnsi="宋体" w:cs="Times New Roman"/>
          <w:color w:val="auto"/>
          <w:kern w:val="2"/>
          <w:highlight w:val="none"/>
        </w:rPr>
        <w:t>竣工验收程序</w:t>
      </w:r>
    </w:p>
    <w:bookmarkEnd w:id="1870"/>
    <w:p w14:paraId="26B0D2B9">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highlight w:val="none"/>
        </w:rPr>
        <w:t>关于竣工验收程序的约定：</w:t>
      </w:r>
      <w:r>
        <w:rPr>
          <w:rFonts w:hint="eastAsia" w:ascii="Calibri" w:hAnsi="Calibri" w:cs="Times New Roman"/>
          <w:color w:val="auto"/>
          <w:kern w:val="2"/>
          <w:highlight w:val="none"/>
          <w:u w:val="single"/>
        </w:rPr>
        <w:t>工程所在地建设行政主管部门的规定，经验收合格的工程，实际竣工日期为承包人按照提交竣工验收申请报告或按照本款重新提交竣工验收申请报告的日期（以两者中时间在后者为准）</w:t>
      </w:r>
      <w:r>
        <w:rPr>
          <w:rFonts w:hint="eastAsia" w:ascii="Calibri" w:hAnsi="宋体" w:cs="Times New Roman"/>
          <w:color w:val="auto"/>
          <w:kern w:val="2"/>
          <w:highlight w:val="none"/>
        </w:rPr>
        <w:t>。</w:t>
      </w:r>
    </w:p>
    <w:p w14:paraId="11D07FC5">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highlight w:val="none"/>
        </w:rPr>
        <w:t>发包人不按照本项约定组织竣工验收、颁发工程接收证书的违约金的计算方法：</w:t>
      </w:r>
      <w:r>
        <w:rPr>
          <w:rFonts w:hint="eastAsia" w:ascii="Calibri" w:hAnsi="Calibri" w:cs="Times New Roman"/>
          <w:color w:val="auto"/>
          <w:kern w:val="2"/>
          <w:highlight w:val="none"/>
          <w:u w:val="single"/>
        </w:rPr>
        <w:t>如发生，从违约之日起，发包人每天按合同价款的万分之四向承包人支付违约金，承包人的损失按实际发生计</w:t>
      </w:r>
      <w:r>
        <w:rPr>
          <w:rFonts w:hint="eastAsia" w:ascii="Calibri" w:hAnsi="宋体" w:cs="Times New Roman"/>
          <w:color w:val="auto"/>
          <w:kern w:val="2"/>
          <w:highlight w:val="none"/>
        </w:rPr>
        <w:t>。</w:t>
      </w:r>
    </w:p>
    <w:bookmarkEnd w:id="1871"/>
    <w:p w14:paraId="362160FE">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13.2.5</w:t>
      </w:r>
      <w:r>
        <w:rPr>
          <w:rFonts w:hint="eastAsia" w:ascii="Calibri" w:hAnsi="宋体" w:cs="Times New Roman"/>
          <w:color w:val="auto"/>
          <w:kern w:val="2"/>
          <w:highlight w:val="none"/>
        </w:rPr>
        <w:t>移交、接收全部与部分工程</w:t>
      </w:r>
    </w:p>
    <w:bookmarkEnd w:id="1872"/>
    <w:p w14:paraId="0A9B5972">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承包人向发包人移交工程的期限：</w:t>
      </w:r>
      <w:r>
        <w:rPr>
          <w:rFonts w:hint="eastAsia" w:ascii="Calibri" w:hAnsi="Calibri" w:cs="Times New Roman"/>
          <w:color w:val="auto"/>
          <w:kern w:val="2"/>
          <w:highlight w:val="none"/>
          <w:u w:val="single"/>
        </w:rPr>
        <w:t>竣工验收合格之日起</w:t>
      </w:r>
      <w:r>
        <w:rPr>
          <w:rFonts w:ascii="Calibri" w:hAnsi="Calibri" w:cs="Times New Roman"/>
          <w:color w:val="auto"/>
          <w:kern w:val="2"/>
          <w:highlight w:val="none"/>
          <w:u w:val="single"/>
        </w:rPr>
        <w:t>14</w:t>
      </w:r>
      <w:r>
        <w:rPr>
          <w:rFonts w:hint="eastAsia" w:ascii="Calibri" w:hAnsi="Calibri" w:cs="Times New Roman"/>
          <w:color w:val="auto"/>
          <w:kern w:val="2"/>
          <w:highlight w:val="none"/>
          <w:u w:val="single"/>
        </w:rPr>
        <w:t>天内</w:t>
      </w:r>
      <w:r>
        <w:rPr>
          <w:rFonts w:hint="eastAsia" w:ascii="Calibri" w:hAnsi="宋体" w:cs="Times New Roman"/>
          <w:color w:val="auto"/>
          <w:kern w:val="2"/>
          <w:highlight w:val="none"/>
        </w:rPr>
        <w:t>。</w:t>
      </w:r>
    </w:p>
    <w:p w14:paraId="5D75C3A3">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highlight w:val="none"/>
        </w:rPr>
        <w:t>发包人未按本合同约定接收全部或部分工程的，违约金的计算方法为：</w:t>
      </w:r>
      <w:r>
        <w:rPr>
          <w:rFonts w:hint="eastAsia" w:ascii="Calibri" w:hAnsi="Calibri" w:cs="Times New Roman"/>
          <w:color w:val="auto"/>
          <w:kern w:val="2"/>
          <w:highlight w:val="none"/>
          <w:u w:val="single"/>
        </w:rPr>
        <w:t>合同价款的万分之三</w:t>
      </w:r>
      <w:r>
        <w:rPr>
          <w:rFonts w:ascii="Calibri" w:hAnsi="Calibri" w:cs="Times New Roman"/>
          <w:color w:val="auto"/>
          <w:kern w:val="2"/>
          <w:highlight w:val="none"/>
          <w:u w:val="single"/>
        </w:rPr>
        <w:t>/</w:t>
      </w:r>
      <w:r>
        <w:rPr>
          <w:rFonts w:hint="eastAsia" w:ascii="Calibri" w:hAnsi="Calibri" w:cs="Times New Roman"/>
          <w:color w:val="auto"/>
          <w:kern w:val="2"/>
          <w:highlight w:val="none"/>
          <w:u w:val="single"/>
        </w:rPr>
        <w:t>天</w:t>
      </w:r>
      <w:r>
        <w:rPr>
          <w:rFonts w:hint="eastAsia" w:ascii="Calibri" w:hAnsi="宋体" w:cs="Times New Roman"/>
          <w:color w:val="auto"/>
          <w:kern w:val="2"/>
          <w:highlight w:val="none"/>
        </w:rPr>
        <w:t>。</w:t>
      </w:r>
    </w:p>
    <w:bookmarkEnd w:id="1873"/>
    <w:p w14:paraId="26A1BD64">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承包人未按时移交工程的，违约金的计算方法为：</w:t>
      </w:r>
      <w:r>
        <w:rPr>
          <w:rFonts w:hint="eastAsia" w:ascii="Calibri" w:hAnsi="宋体" w:cs="Times New Roman"/>
          <w:color w:val="auto"/>
          <w:kern w:val="2"/>
          <w:highlight w:val="none"/>
          <w:u w:val="single"/>
          <w:lang w:eastAsia="zh-CN"/>
        </w:rPr>
        <w:t>违约金最高限额为</w:t>
      </w:r>
      <w:r>
        <w:rPr>
          <w:rFonts w:hint="eastAsia" w:ascii="Calibri" w:hAnsi="宋体" w:cs="Times New Roman"/>
          <w:color w:val="auto"/>
          <w:kern w:val="2"/>
          <w:highlight w:val="none"/>
          <w:u w:val="single"/>
        </w:rPr>
        <w:t>合同价扣除建安劳保费、发包人材料价款、暂估专业工程、暂列金额后的</w:t>
      </w:r>
      <w:r>
        <w:rPr>
          <w:rFonts w:hint="eastAsia" w:ascii="Calibri" w:hAnsi="宋体" w:cs="Times New Roman"/>
          <w:color w:val="auto"/>
          <w:kern w:val="2"/>
          <w:highlight w:val="none"/>
          <w:u w:val="single"/>
          <w:lang w:val="en-US" w:eastAsia="zh-CN"/>
        </w:rPr>
        <w:t>2</w:t>
      </w:r>
      <w:r>
        <w:rPr>
          <w:rFonts w:hint="eastAsia" w:ascii="Calibri" w:hAnsi="宋体" w:cs="Times New Roman"/>
          <w:color w:val="auto"/>
          <w:kern w:val="2"/>
          <w:highlight w:val="none"/>
          <w:u w:val="single"/>
        </w:rPr>
        <w:t>%</w:t>
      </w:r>
      <w:r>
        <w:rPr>
          <w:rFonts w:hint="eastAsia" w:ascii="Calibri" w:hAnsi="宋体" w:cs="Times New Roman"/>
          <w:color w:val="auto"/>
          <w:kern w:val="2"/>
          <w:highlight w:val="none"/>
          <w:u w:val="single"/>
          <w:lang w:eastAsia="zh-CN"/>
        </w:rPr>
        <w:t>。此项违约金与工期违约不重复计算</w:t>
      </w:r>
      <w:r>
        <w:rPr>
          <w:rFonts w:hint="eastAsia" w:ascii="Calibri" w:hAnsi="宋体" w:cs="Times New Roman"/>
          <w:color w:val="auto"/>
          <w:kern w:val="2"/>
          <w:highlight w:val="none"/>
          <w:lang w:eastAsia="zh-CN"/>
        </w:rPr>
        <w:t>。</w:t>
      </w:r>
    </w:p>
    <w:p w14:paraId="1029D469">
      <w:pPr>
        <w:keepNext/>
        <w:keepLines/>
        <w:spacing w:before="260" w:after="260" w:line="416" w:lineRule="auto"/>
        <w:outlineLvl w:val="3"/>
        <w:rPr>
          <w:rFonts w:ascii="Calibri" w:hAnsi="Calibri" w:cs="Times New Roman"/>
          <w:b/>
          <w:bCs/>
          <w:color w:val="auto"/>
          <w:kern w:val="2"/>
          <w:sz w:val="32"/>
          <w:szCs w:val="32"/>
          <w:highlight w:val="none"/>
        </w:rPr>
      </w:pPr>
      <w:bookmarkStart w:id="1876" w:name="_Toc532840065"/>
      <w:bookmarkStart w:id="1877" w:name="_Toc493774820"/>
      <w:bookmarkStart w:id="1878" w:name="_Toc485400652"/>
      <w:bookmarkStart w:id="1879" w:name="_Toc373227756"/>
      <w:bookmarkStart w:id="1880" w:name="_Toc512691459"/>
      <w:bookmarkStart w:id="1881" w:name="_Toc407135259"/>
      <w:bookmarkStart w:id="1882" w:name="_Toc389065321"/>
      <w:bookmarkStart w:id="1883" w:name="_Toc508894121"/>
      <w:bookmarkStart w:id="1884" w:name="_Toc494549256"/>
      <w:bookmarkStart w:id="1885" w:name="_Toc530658083"/>
      <w:bookmarkStart w:id="1886" w:name="_Toc373478403"/>
      <w:r>
        <w:rPr>
          <w:rFonts w:ascii="Calibri" w:hAnsi="Calibri" w:cs="Times New Roman"/>
          <w:b/>
          <w:bCs/>
          <w:color w:val="auto"/>
          <w:kern w:val="2"/>
          <w:sz w:val="32"/>
          <w:szCs w:val="32"/>
          <w:highlight w:val="none"/>
        </w:rPr>
        <w:t xml:space="preserve">13.3 </w:t>
      </w:r>
      <w:r>
        <w:rPr>
          <w:rFonts w:hint="eastAsia" w:ascii="Calibri" w:hAnsi="宋体" w:cs="Times New Roman"/>
          <w:b/>
          <w:bCs/>
          <w:color w:val="auto"/>
          <w:kern w:val="2"/>
          <w:sz w:val="32"/>
          <w:szCs w:val="32"/>
          <w:highlight w:val="none"/>
        </w:rPr>
        <w:t>工程试车</w:t>
      </w:r>
      <w:bookmarkEnd w:id="1876"/>
      <w:bookmarkEnd w:id="1877"/>
      <w:bookmarkEnd w:id="1878"/>
      <w:bookmarkEnd w:id="1879"/>
      <w:bookmarkEnd w:id="1880"/>
      <w:bookmarkEnd w:id="1881"/>
      <w:bookmarkEnd w:id="1882"/>
      <w:bookmarkEnd w:id="1883"/>
      <w:bookmarkEnd w:id="1884"/>
      <w:bookmarkEnd w:id="1885"/>
      <w:bookmarkEnd w:id="1886"/>
    </w:p>
    <w:bookmarkEnd w:id="1874"/>
    <w:p w14:paraId="41B1D062">
      <w:pPr>
        <w:spacing w:line="360" w:lineRule="auto"/>
        <w:ind w:firstLine="420" w:firstLineChars="200"/>
        <w:jc w:val="left"/>
        <w:rPr>
          <w:rFonts w:ascii="Calibri" w:hAnsi="Calibri" w:cs="Times New Roman"/>
          <w:color w:val="auto"/>
          <w:highlight w:val="none"/>
        </w:rPr>
      </w:pPr>
      <w:r>
        <w:rPr>
          <w:rFonts w:ascii="Calibri" w:hAnsi="Calibri" w:cs="Times New Roman"/>
          <w:color w:val="auto"/>
          <w:highlight w:val="none"/>
        </w:rPr>
        <w:t xml:space="preserve">13.3.1 </w:t>
      </w:r>
      <w:r>
        <w:rPr>
          <w:rFonts w:hint="eastAsia" w:ascii="Calibri" w:hAnsi="宋体" w:cs="Times New Roman"/>
          <w:color w:val="auto"/>
          <w:highlight w:val="none"/>
        </w:rPr>
        <w:t>试车程序</w:t>
      </w:r>
    </w:p>
    <w:p w14:paraId="5B1BFB72">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highlight w:val="none"/>
        </w:rPr>
        <w:t>工程试车内容：</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rPr>
        <w:t>。</w:t>
      </w:r>
    </w:p>
    <w:p w14:paraId="59A044FC">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1</w:t>
      </w:r>
      <w:r>
        <w:rPr>
          <w:rFonts w:hint="eastAsia" w:ascii="Calibri" w:hAnsi="宋体" w:cs="Times New Roman"/>
          <w:color w:val="auto"/>
          <w:highlight w:val="none"/>
        </w:rPr>
        <w:t>）单机无负荷试车费用由</w:t>
      </w:r>
      <w:r>
        <w:rPr>
          <w:rFonts w:hint="eastAsia" w:ascii="Calibri" w:hAnsi="Calibri" w:cs="Times New Roman"/>
          <w:color w:val="auto"/>
          <w:kern w:val="2"/>
          <w:highlight w:val="none"/>
          <w:u w:val="single"/>
        </w:rPr>
        <w:t>承包人</w:t>
      </w:r>
      <w:r>
        <w:rPr>
          <w:rFonts w:hint="eastAsia" w:ascii="Calibri" w:hAnsi="宋体" w:cs="Times New Roman"/>
          <w:color w:val="auto"/>
          <w:highlight w:val="none"/>
        </w:rPr>
        <w:t>承担；</w:t>
      </w:r>
    </w:p>
    <w:p w14:paraId="436413D2">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2</w:t>
      </w:r>
      <w:r>
        <w:rPr>
          <w:rFonts w:hint="eastAsia" w:ascii="Calibri" w:hAnsi="宋体" w:cs="Times New Roman"/>
          <w:color w:val="auto"/>
          <w:highlight w:val="none"/>
        </w:rPr>
        <w:t>）无负荷联动试车费用由</w:t>
      </w:r>
      <w:r>
        <w:rPr>
          <w:rFonts w:hint="eastAsia" w:ascii="Calibri" w:hAnsi="Calibri" w:cs="Times New Roman"/>
          <w:color w:val="auto"/>
          <w:kern w:val="2"/>
          <w:highlight w:val="none"/>
          <w:u w:val="single"/>
        </w:rPr>
        <w:t>发包人</w:t>
      </w:r>
      <w:r>
        <w:rPr>
          <w:rFonts w:hint="eastAsia" w:ascii="Calibri" w:hAnsi="宋体" w:cs="Times New Roman"/>
          <w:color w:val="auto"/>
          <w:highlight w:val="none"/>
        </w:rPr>
        <w:t>承担。</w:t>
      </w:r>
    </w:p>
    <w:p w14:paraId="047ACBD6">
      <w:pPr>
        <w:spacing w:line="360" w:lineRule="auto"/>
        <w:ind w:firstLine="420" w:firstLineChars="200"/>
        <w:jc w:val="left"/>
        <w:rPr>
          <w:rFonts w:ascii="Calibri" w:hAnsi="Calibri" w:cs="Times New Roman"/>
          <w:color w:val="auto"/>
          <w:highlight w:val="none"/>
        </w:rPr>
      </w:pPr>
      <w:r>
        <w:rPr>
          <w:rFonts w:ascii="Calibri" w:hAnsi="Calibri" w:cs="Times New Roman"/>
          <w:color w:val="auto"/>
          <w:highlight w:val="none"/>
        </w:rPr>
        <w:t xml:space="preserve">13.3.3 </w:t>
      </w:r>
      <w:r>
        <w:rPr>
          <w:rFonts w:hint="eastAsia" w:ascii="Calibri" w:hAnsi="宋体" w:cs="Times New Roman"/>
          <w:color w:val="auto"/>
          <w:highlight w:val="none"/>
        </w:rPr>
        <w:t>投料试车</w:t>
      </w:r>
    </w:p>
    <w:p w14:paraId="4AF3D2E9">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highlight w:val="none"/>
        </w:rPr>
        <w:t>关于投料试车相关事项的约定：</w:t>
      </w:r>
      <w:r>
        <w:rPr>
          <w:rFonts w:hint="eastAsia" w:ascii="Calibri" w:hAnsi="Calibri" w:cs="Times New Roman"/>
          <w:color w:val="auto"/>
          <w:kern w:val="2"/>
          <w:highlight w:val="none"/>
          <w:u w:val="single"/>
        </w:rPr>
        <w:t>投料试运行应在工程竣工验收后由发包人负责，如发包人要求在工程竣工验收前进行或需要承包人配合时，应征得承包人同意，另行签订补充协议</w:t>
      </w:r>
      <w:r>
        <w:rPr>
          <w:rFonts w:hint="eastAsia" w:ascii="Calibri" w:hAnsi="宋体" w:cs="Times New Roman"/>
          <w:color w:val="auto"/>
          <w:kern w:val="2"/>
          <w:highlight w:val="none"/>
        </w:rPr>
        <w:t>。</w:t>
      </w:r>
    </w:p>
    <w:p w14:paraId="2A0A5A2C">
      <w:pPr>
        <w:keepNext/>
        <w:keepLines/>
        <w:spacing w:before="260" w:after="260" w:line="416" w:lineRule="auto"/>
        <w:outlineLvl w:val="3"/>
        <w:rPr>
          <w:rFonts w:ascii="Calibri" w:hAnsi="Calibri" w:cs="Times New Roman"/>
          <w:b/>
          <w:bCs/>
          <w:color w:val="auto"/>
          <w:kern w:val="2"/>
          <w:sz w:val="32"/>
          <w:szCs w:val="32"/>
          <w:highlight w:val="none"/>
        </w:rPr>
      </w:pPr>
      <w:bookmarkStart w:id="1887" w:name="_Toc512691460"/>
      <w:bookmarkStart w:id="1888" w:name="_Toc493774821"/>
      <w:bookmarkStart w:id="1889" w:name="_Toc373227757"/>
      <w:bookmarkStart w:id="1890" w:name="_Toc532840066"/>
      <w:bookmarkStart w:id="1891" w:name="_Toc530658084"/>
      <w:bookmarkStart w:id="1892" w:name="_Toc389065322"/>
      <w:bookmarkStart w:id="1893" w:name="_Toc508894122"/>
      <w:bookmarkStart w:id="1894" w:name="_Toc485400653"/>
      <w:bookmarkStart w:id="1895" w:name="_Toc373478404"/>
      <w:bookmarkStart w:id="1896" w:name="_Toc407135260"/>
      <w:bookmarkStart w:id="1897" w:name="_Toc494549257"/>
      <w:r>
        <w:rPr>
          <w:rFonts w:ascii="Calibri" w:hAnsi="Calibri" w:cs="Times New Roman"/>
          <w:b/>
          <w:bCs/>
          <w:color w:val="auto"/>
          <w:kern w:val="2"/>
          <w:sz w:val="32"/>
          <w:szCs w:val="32"/>
          <w:highlight w:val="none"/>
        </w:rPr>
        <w:t xml:space="preserve">13.6 </w:t>
      </w:r>
      <w:r>
        <w:rPr>
          <w:rFonts w:hint="eastAsia" w:ascii="Calibri" w:hAnsi="宋体" w:cs="Times New Roman"/>
          <w:b/>
          <w:bCs/>
          <w:color w:val="auto"/>
          <w:kern w:val="2"/>
          <w:sz w:val="32"/>
          <w:szCs w:val="32"/>
          <w:highlight w:val="none"/>
        </w:rPr>
        <w:t>竣工退场</w:t>
      </w:r>
      <w:bookmarkEnd w:id="1887"/>
      <w:bookmarkEnd w:id="1888"/>
      <w:bookmarkEnd w:id="1889"/>
      <w:bookmarkEnd w:id="1890"/>
      <w:bookmarkEnd w:id="1891"/>
      <w:bookmarkEnd w:id="1892"/>
      <w:bookmarkEnd w:id="1893"/>
      <w:bookmarkEnd w:id="1894"/>
      <w:bookmarkEnd w:id="1895"/>
      <w:bookmarkEnd w:id="1896"/>
      <w:bookmarkEnd w:id="1897"/>
    </w:p>
    <w:p w14:paraId="3793021A">
      <w:pPr>
        <w:spacing w:line="360" w:lineRule="auto"/>
        <w:ind w:firstLine="420" w:firstLineChars="200"/>
        <w:jc w:val="left"/>
        <w:rPr>
          <w:rFonts w:ascii="Calibri" w:hAnsi="Calibri" w:cs="Times New Roman"/>
          <w:color w:val="auto"/>
          <w:highlight w:val="none"/>
        </w:rPr>
      </w:pPr>
      <w:r>
        <w:rPr>
          <w:rFonts w:ascii="Calibri" w:hAnsi="Calibri" w:cs="Times New Roman"/>
          <w:color w:val="auto"/>
          <w:highlight w:val="none"/>
        </w:rPr>
        <w:t xml:space="preserve">13.6.1 </w:t>
      </w:r>
      <w:r>
        <w:rPr>
          <w:rFonts w:hint="eastAsia" w:ascii="Calibri" w:hAnsi="宋体" w:cs="Times New Roman"/>
          <w:color w:val="auto"/>
          <w:highlight w:val="none"/>
        </w:rPr>
        <w:t>竣工退场</w:t>
      </w:r>
    </w:p>
    <w:p w14:paraId="15BAA2A7">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承包人完成竣工退场的期限：</w:t>
      </w:r>
      <w:r>
        <w:rPr>
          <w:rFonts w:hint="eastAsia" w:ascii="Calibri" w:hAnsi="Calibri" w:cs="Times New Roman"/>
          <w:color w:val="auto"/>
          <w:kern w:val="2"/>
          <w:highlight w:val="none"/>
          <w:u w:val="single"/>
        </w:rPr>
        <w:t>在合同解除之日起</w:t>
      </w:r>
      <w:r>
        <w:rPr>
          <w:rFonts w:ascii="Calibri" w:hAnsi="Calibri" w:cs="Times New Roman"/>
          <w:color w:val="auto"/>
          <w:kern w:val="2"/>
          <w:highlight w:val="none"/>
          <w:u w:val="single"/>
        </w:rPr>
        <w:t>15</w:t>
      </w:r>
      <w:r>
        <w:rPr>
          <w:rFonts w:hint="eastAsia" w:ascii="Calibri" w:hAnsi="Calibri" w:cs="Times New Roman"/>
          <w:color w:val="auto"/>
          <w:kern w:val="2"/>
          <w:highlight w:val="none"/>
          <w:u w:val="single"/>
        </w:rPr>
        <w:t>天内，承包人应将除为安全需要以外的所有其它物资、机具、设备和设施，全部撤离现场</w:t>
      </w:r>
      <w:r>
        <w:rPr>
          <w:rFonts w:hint="eastAsia" w:ascii="Calibri" w:hAnsi="宋体" w:cs="Times New Roman"/>
          <w:color w:val="auto"/>
          <w:highlight w:val="none"/>
        </w:rPr>
        <w:t>。</w:t>
      </w:r>
    </w:p>
    <w:p w14:paraId="19116C42">
      <w:pPr>
        <w:keepNext/>
        <w:keepLines/>
        <w:spacing w:before="260" w:after="260" w:line="416" w:lineRule="auto"/>
        <w:outlineLvl w:val="2"/>
        <w:rPr>
          <w:rFonts w:ascii="Cambria" w:hAnsi="Cambria" w:cs="Times New Roman"/>
          <w:b/>
          <w:bCs/>
          <w:color w:val="auto"/>
          <w:kern w:val="2"/>
          <w:sz w:val="32"/>
          <w:szCs w:val="32"/>
          <w:highlight w:val="none"/>
        </w:rPr>
      </w:pPr>
      <w:bookmarkStart w:id="1898" w:name="_Toc530658085"/>
      <w:bookmarkStart w:id="1899" w:name="_Toc407135261"/>
      <w:bookmarkStart w:id="1900" w:name="_Toc485400654"/>
      <w:bookmarkStart w:id="1901" w:name="_Toc373227758"/>
      <w:bookmarkStart w:id="1902" w:name="_Toc532840067"/>
      <w:bookmarkStart w:id="1903" w:name="_Toc494549258"/>
      <w:bookmarkStart w:id="1904" w:name="_Toc508894123"/>
      <w:bookmarkStart w:id="1905" w:name="_Toc389065323"/>
      <w:bookmarkStart w:id="1906" w:name="_Toc512691461"/>
      <w:bookmarkStart w:id="1907" w:name="_Toc493774822"/>
      <w:bookmarkStart w:id="1908" w:name="_Toc351203646"/>
      <w:bookmarkStart w:id="1909" w:name="_Toc373478405"/>
      <w:r>
        <w:rPr>
          <w:rFonts w:ascii="Cambria" w:hAnsi="Cambria" w:cs="Times New Roman"/>
          <w:b/>
          <w:bCs/>
          <w:color w:val="auto"/>
          <w:kern w:val="2"/>
          <w:sz w:val="32"/>
          <w:szCs w:val="32"/>
          <w:highlight w:val="none"/>
        </w:rPr>
        <w:t xml:space="preserve">14. </w:t>
      </w:r>
      <w:r>
        <w:rPr>
          <w:rFonts w:hint="eastAsia" w:ascii="Cambria" w:hAnsi="宋体" w:cs="Times New Roman"/>
          <w:b/>
          <w:bCs/>
          <w:color w:val="auto"/>
          <w:kern w:val="2"/>
          <w:sz w:val="32"/>
          <w:szCs w:val="32"/>
          <w:highlight w:val="none"/>
        </w:rPr>
        <w:t>竣工结算</w:t>
      </w:r>
      <w:bookmarkEnd w:id="1898"/>
      <w:bookmarkEnd w:id="1899"/>
      <w:bookmarkEnd w:id="1900"/>
      <w:bookmarkEnd w:id="1901"/>
      <w:bookmarkEnd w:id="1902"/>
      <w:bookmarkEnd w:id="1903"/>
      <w:bookmarkEnd w:id="1904"/>
      <w:bookmarkEnd w:id="1905"/>
      <w:bookmarkEnd w:id="1906"/>
      <w:bookmarkEnd w:id="1907"/>
      <w:bookmarkEnd w:id="1908"/>
      <w:bookmarkEnd w:id="1909"/>
    </w:p>
    <w:p w14:paraId="39ACE6BB">
      <w:pPr>
        <w:keepNext/>
        <w:keepLines/>
        <w:spacing w:before="260" w:after="260" w:line="416" w:lineRule="auto"/>
        <w:outlineLvl w:val="3"/>
        <w:rPr>
          <w:rFonts w:ascii="Calibri" w:hAnsi="Calibri" w:cs="Times New Roman"/>
          <w:b/>
          <w:bCs/>
          <w:color w:val="auto"/>
          <w:kern w:val="2"/>
          <w:sz w:val="32"/>
          <w:szCs w:val="32"/>
          <w:highlight w:val="none"/>
        </w:rPr>
      </w:pPr>
      <w:bookmarkStart w:id="1910" w:name="_Toc373227759"/>
      <w:bookmarkStart w:id="1911" w:name="_Toc512691462"/>
      <w:bookmarkStart w:id="1912" w:name="_Toc508894124"/>
      <w:bookmarkStart w:id="1913" w:name="_Toc373478406"/>
      <w:bookmarkStart w:id="1914" w:name="_Toc485400655"/>
      <w:bookmarkStart w:id="1915" w:name="_Toc493774823"/>
      <w:bookmarkStart w:id="1916" w:name="_Toc532840068"/>
      <w:bookmarkStart w:id="1917" w:name="_Toc389065324"/>
      <w:bookmarkStart w:id="1918" w:name="_Toc407135262"/>
      <w:bookmarkStart w:id="1919" w:name="_Toc530658086"/>
      <w:bookmarkStart w:id="1920" w:name="_Toc494549259"/>
      <w:r>
        <w:rPr>
          <w:rFonts w:ascii="Calibri" w:hAnsi="Calibri" w:cs="Times New Roman"/>
          <w:b/>
          <w:bCs/>
          <w:color w:val="auto"/>
          <w:kern w:val="2"/>
          <w:sz w:val="32"/>
          <w:szCs w:val="32"/>
          <w:highlight w:val="none"/>
        </w:rPr>
        <w:t xml:space="preserve">14.1 </w:t>
      </w:r>
      <w:r>
        <w:rPr>
          <w:rFonts w:hint="eastAsia" w:ascii="Calibri" w:hAnsi="宋体" w:cs="Times New Roman"/>
          <w:b/>
          <w:bCs/>
          <w:color w:val="auto"/>
          <w:kern w:val="2"/>
          <w:sz w:val="32"/>
          <w:szCs w:val="32"/>
          <w:highlight w:val="none"/>
        </w:rPr>
        <w:t>竣工付款申请</w:t>
      </w:r>
      <w:bookmarkEnd w:id="1910"/>
      <w:bookmarkEnd w:id="1911"/>
      <w:bookmarkEnd w:id="1912"/>
      <w:bookmarkEnd w:id="1913"/>
      <w:bookmarkEnd w:id="1914"/>
      <w:bookmarkEnd w:id="1915"/>
      <w:bookmarkEnd w:id="1916"/>
      <w:bookmarkEnd w:id="1917"/>
      <w:bookmarkEnd w:id="1918"/>
      <w:bookmarkEnd w:id="1919"/>
      <w:bookmarkEnd w:id="1920"/>
    </w:p>
    <w:p w14:paraId="059AC817">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承包人提交竣工付款申请单的期限：</w:t>
      </w:r>
      <w:r>
        <w:rPr>
          <w:rFonts w:hint="eastAsia" w:ascii="Calibri" w:hAnsi="Calibri" w:cs="Times New Roman"/>
          <w:color w:val="auto"/>
          <w:kern w:val="2"/>
          <w:highlight w:val="none"/>
          <w:u w:val="single"/>
        </w:rPr>
        <w:t>竣工结算核对完成并经发承包双方签字确认后</w:t>
      </w:r>
      <w:r>
        <w:rPr>
          <w:rFonts w:ascii="Calibri" w:hAnsi="Calibri" w:cs="Times New Roman"/>
          <w:color w:val="auto"/>
          <w:kern w:val="2"/>
          <w:highlight w:val="none"/>
          <w:u w:val="single"/>
        </w:rPr>
        <w:t>14</w:t>
      </w:r>
      <w:r>
        <w:rPr>
          <w:rFonts w:hint="eastAsia" w:ascii="Calibri" w:hAnsi="Calibri" w:cs="Times New Roman"/>
          <w:color w:val="auto"/>
          <w:kern w:val="2"/>
          <w:highlight w:val="none"/>
          <w:u w:val="single"/>
        </w:rPr>
        <w:t>天内提交</w:t>
      </w:r>
      <w:r>
        <w:rPr>
          <w:rFonts w:ascii="Calibri" w:hAnsi="Calibri" w:cs="Times New Roman"/>
          <w:color w:val="auto"/>
          <w:kern w:val="2"/>
          <w:highlight w:val="none"/>
          <w:u w:val="single"/>
        </w:rPr>
        <w:t>6</w:t>
      </w:r>
      <w:r>
        <w:rPr>
          <w:rFonts w:hint="eastAsia" w:ascii="Calibri" w:hAnsi="Calibri" w:cs="Times New Roman"/>
          <w:color w:val="auto"/>
          <w:kern w:val="2"/>
          <w:highlight w:val="none"/>
          <w:u w:val="single"/>
        </w:rPr>
        <w:t>份竣工付款申请单，</w:t>
      </w:r>
      <w:r>
        <w:rPr>
          <w:rFonts w:ascii="Calibri" w:hAnsi="Calibri" w:cs="Times New Roman"/>
          <w:color w:val="auto"/>
          <w:kern w:val="2"/>
          <w:highlight w:val="none"/>
          <w:u w:val="single"/>
        </w:rPr>
        <w:t xml:space="preserve"> 15</w:t>
      </w:r>
      <w:r>
        <w:rPr>
          <w:rFonts w:hint="eastAsia" w:ascii="Calibri" w:hAnsi="Calibri" w:cs="Times New Roman"/>
          <w:color w:val="auto"/>
          <w:kern w:val="2"/>
          <w:highlight w:val="none"/>
          <w:u w:val="single"/>
        </w:rPr>
        <w:t>个工作日内工程款支付至竣工结算合同价款总额的100%，同时承包人向发包人提交结算价款3%的质量保修金（</w:t>
      </w:r>
      <w:r>
        <w:rPr>
          <w:rFonts w:hint="eastAsia" w:ascii="Calibri" w:hAnsi="Calibri" w:cs="Times New Roman"/>
          <w:color w:val="auto"/>
          <w:kern w:val="2"/>
          <w:highlight w:val="none"/>
          <w:u w:val="single"/>
          <w:lang w:eastAsia="zh-CN"/>
        </w:rPr>
        <w:t>可采用</w:t>
      </w:r>
      <w:r>
        <w:rPr>
          <w:rFonts w:hint="eastAsia" w:ascii="Calibri" w:hAnsi="Calibri" w:cs="Times New Roman"/>
          <w:color w:val="auto"/>
          <w:kern w:val="2"/>
          <w:highlight w:val="none"/>
          <w:u w:val="single"/>
        </w:rPr>
        <w:t>银行保函形式）</w:t>
      </w:r>
    </w:p>
    <w:p w14:paraId="78582BAF">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竣工付款申请单应包括的内容：</w:t>
      </w:r>
      <w:r>
        <w:rPr>
          <w:rFonts w:hint="eastAsia" w:ascii="Calibri" w:hAnsi="Calibri" w:cs="Times New Roman"/>
          <w:color w:val="auto"/>
          <w:kern w:val="2"/>
          <w:highlight w:val="none"/>
          <w:u w:val="single"/>
        </w:rPr>
        <w:t>经发承包双方签字确认的竣工结算合同价款总额、已支付工程价款、应扣留质量保证金、应支付的竣工付款金额等</w:t>
      </w:r>
      <w:r>
        <w:rPr>
          <w:rFonts w:hint="eastAsia" w:ascii="Calibri" w:hAnsi="宋体" w:cs="Times New Roman"/>
          <w:color w:val="auto"/>
          <w:kern w:val="2"/>
          <w:highlight w:val="none"/>
        </w:rPr>
        <w:t>。</w:t>
      </w:r>
    </w:p>
    <w:p w14:paraId="3D36060B">
      <w:pPr>
        <w:keepNext/>
        <w:keepLines/>
        <w:spacing w:before="260" w:after="260" w:line="416" w:lineRule="auto"/>
        <w:outlineLvl w:val="3"/>
        <w:rPr>
          <w:rFonts w:ascii="Calibri" w:hAnsi="Calibri" w:cs="Times New Roman"/>
          <w:b/>
          <w:bCs/>
          <w:color w:val="auto"/>
          <w:kern w:val="2"/>
          <w:sz w:val="32"/>
          <w:szCs w:val="32"/>
          <w:highlight w:val="none"/>
        </w:rPr>
      </w:pPr>
      <w:bookmarkStart w:id="1921" w:name="_Toc494549260"/>
      <w:bookmarkStart w:id="1922" w:name="_Toc407135263"/>
      <w:bookmarkStart w:id="1923" w:name="_Toc512691463"/>
      <w:bookmarkStart w:id="1924" w:name="_Toc532840069"/>
      <w:bookmarkStart w:id="1925" w:name="_Toc485400656"/>
      <w:bookmarkStart w:id="1926" w:name="_Toc530658087"/>
      <w:bookmarkStart w:id="1927" w:name="_Toc493774824"/>
      <w:bookmarkStart w:id="1928" w:name="_Toc373478407"/>
      <w:bookmarkStart w:id="1929" w:name="_Toc389065325"/>
      <w:bookmarkStart w:id="1930" w:name="_Toc508894125"/>
      <w:bookmarkStart w:id="1931" w:name="_Toc373227760"/>
      <w:r>
        <w:rPr>
          <w:rFonts w:ascii="Calibri" w:hAnsi="Calibri" w:cs="Times New Roman"/>
          <w:b/>
          <w:bCs/>
          <w:color w:val="auto"/>
          <w:kern w:val="2"/>
          <w:sz w:val="32"/>
          <w:szCs w:val="32"/>
          <w:highlight w:val="none"/>
        </w:rPr>
        <w:t xml:space="preserve">14.2 </w:t>
      </w:r>
      <w:r>
        <w:rPr>
          <w:rFonts w:hint="eastAsia" w:ascii="Calibri" w:hAnsi="宋体" w:cs="Times New Roman"/>
          <w:b/>
          <w:bCs/>
          <w:color w:val="auto"/>
          <w:kern w:val="2"/>
          <w:sz w:val="32"/>
          <w:szCs w:val="32"/>
          <w:highlight w:val="none"/>
        </w:rPr>
        <w:t>竣工结算审核</w:t>
      </w:r>
      <w:bookmarkEnd w:id="1921"/>
      <w:bookmarkEnd w:id="1922"/>
      <w:bookmarkEnd w:id="1923"/>
      <w:bookmarkEnd w:id="1924"/>
      <w:bookmarkEnd w:id="1925"/>
      <w:bookmarkEnd w:id="1926"/>
      <w:bookmarkEnd w:id="1927"/>
      <w:bookmarkEnd w:id="1928"/>
      <w:bookmarkEnd w:id="1929"/>
      <w:bookmarkEnd w:id="1930"/>
      <w:bookmarkEnd w:id="1931"/>
    </w:p>
    <w:p w14:paraId="0D287F20">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发包人审批竣工付款申请单的期限：</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36B4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FE2D5C8">
            <w:pPr>
              <w:keepNext w:val="0"/>
              <w:keepLines w:val="0"/>
              <w:suppressLineNumbers w:val="0"/>
              <w:spacing w:before="0" w:beforeAutospacing="0" w:after="0" w:afterAutospacing="0" w:line="360" w:lineRule="auto"/>
              <w:ind w:left="0" w:right="0"/>
              <w:rPr>
                <w:rFonts w:hint="default" w:ascii="Calibri" w:hAnsi="Calibri" w:cs="Times New Roman"/>
                <w:bCs/>
                <w:color w:val="auto"/>
                <w:kern w:val="2"/>
                <w:highlight w:val="none"/>
              </w:rPr>
            </w:pPr>
          </w:p>
        </w:tc>
        <w:tc>
          <w:tcPr>
            <w:tcW w:w="2466" w:type="dxa"/>
            <w:vAlign w:val="center"/>
          </w:tcPr>
          <w:p w14:paraId="1B4931CE">
            <w:pPr>
              <w:keepNext w:val="0"/>
              <w:keepLines w:val="0"/>
              <w:suppressLineNumbers w:val="0"/>
              <w:spacing w:before="0" w:beforeAutospacing="0" w:after="0" w:afterAutospacing="0" w:line="360" w:lineRule="auto"/>
              <w:ind w:left="0" w:right="0" w:firstLine="27" w:firstLineChars="13"/>
              <w:jc w:val="center"/>
              <w:rPr>
                <w:rFonts w:hint="default" w:ascii="Calibri" w:hAnsi="Calibri" w:cs="Times New Roman"/>
                <w:bCs/>
                <w:color w:val="auto"/>
                <w:kern w:val="2"/>
                <w:highlight w:val="none"/>
              </w:rPr>
            </w:pPr>
            <w:r>
              <w:rPr>
                <w:rFonts w:hint="eastAsia" w:ascii="Calibri" w:hAnsi="宋体" w:cs="Times New Roman"/>
                <w:bCs/>
                <w:color w:val="auto"/>
                <w:kern w:val="2"/>
                <w:highlight w:val="none"/>
              </w:rPr>
              <w:t>工程竣工结算报告金额</w:t>
            </w:r>
          </w:p>
        </w:tc>
        <w:tc>
          <w:tcPr>
            <w:tcW w:w="5967" w:type="dxa"/>
            <w:vAlign w:val="center"/>
          </w:tcPr>
          <w:p w14:paraId="72B1A2FF">
            <w:pPr>
              <w:keepNext w:val="0"/>
              <w:keepLines w:val="0"/>
              <w:suppressLineNumbers w:val="0"/>
              <w:spacing w:before="0" w:beforeAutospacing="0" w:after="0" w:afterAutospacing="0" w:line="360" w:lineRule="auto"/>
              <w:ind w:left="0" w:right="0" w:firstLine="441" w:firstLineChars="210"/>
              <w:jc w:val="center"/>
              <w:rPr>
                <w:rFonts w:hint="default" w:ascii="Calibri" w:hAnsi="Calibri" w:cs="Times New Roman"/>
                <w:bCs/>
                <w:color w:val="auto"/>
                <w:kern w:val="2"/>
                <w:highlight w:val="none"/>
              </w:rPr>
            </w:pPr>
            <w:r>
              <w:rPr>
                <w:rFonts w:hint="eastAsia" w:ascii="Calibri" w:hAnsi="宋体" w:cs="Times New Roman"/>
                <w:bCs/>
                <w:color w:val="auto"/>
                <w:kern w:val="2"/>
                <w:highlight w:val="none"/>
              </w:rPr>
              <w:t>发包人审查时间</w:t>
            </w:r>
          </w:p>
        </w:tc>
      </w:tr>
      <w:tr w14:paraId="6914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E8A35F4">
            <w:pPr>
              <w:keepNext w:val="0"/>
              <w:keepLines w:val="0"/>
              <w:suppressLineNumbers w:val="0"/>
              <w:spacing w:before="0" w:beforeAutospacing="0" w:after="0" w:afterAutospacing="0" w:line="360" w:lineRule="auto"/>
              <w:ind w:left="0" w:right="0"/>
              <w:jc w:val="center"/>
              <w:rPr>
                <w:rFonts w:hint="default" w:ascii="Calibri" w:hAnsi="Calibri" w:cs="Times New Roman"/>
                <w:bCs/>
                <w:color w:val="auto"/>
                <w:kern w:val="2"/>
                <w:highlight w:val="none"/>
              </w:rPr>
            </w:pPr>
            <w:r>
              <w:rPr>
                <w:rFonts w:hint="default" w:ascii="Calibri" w:hAnsi="Calibri" w:cs="Times New Roman"/>
                <w:bCs/>
                <w:color w:val="auto"/>
                <w:kern w:val="2"/>
                <w:highlight w:val="none"/>
              </w:rPr>
              <w:t>1</w:t>
            </w:r>
          </w:p>
        </w:tc>
        <w:tc>
          <w:tcPr>
            <w:tcW w:w="2466" w:type="dxa"/>
            <w:vAlign w:val="center"/>
          </w:tcPr>
          <w:p w14:paraId="49006515">
            <w:pPr>
              <w:keepNext w:val="0"/>
              <w:keepLines w:val="0"/>
              <w:suppressLineNumbers w:val="0"/>
              <w:spacing w:before="0" w:beforeAutospacing="0" w:after="0" w:afterAutospacing="0" w:line="360" w:lineRule="auto"/>
              <w:ind w:left="0" w:right="0" w:firstLine="27" w:firstLineChars="13"/>
              <w:jc w:val="center"/>
              <w:rPr>
                <w:rFonts w:hint="default" w:ascii="Calibri" w:hAnsi="Calibri" w:cs="Times New Roman"/>
                <w:bCs/>
                <w:color w:val="auto"/>
                <w:kern w:val="2"/>
                <w:highlight w:val="none"/>
              </w:rPr>
            </w:pPr>
            <w:r>
              <w:rPr>
                <w:rFonts w:hint="default" w:ascii="Calibri" w:hAnsi="Calibri" w:cs="Times New Roman"/>
                <w:bCs/>
                <w:color w:val="auto"/>
                <w:kern w:val="2"/>
                <w:highlight w:val="none"/>
              </w:rPr>
              <w:t>500</w:t>
            </w:r>
            <w:r>
              <w:rPr>
                <w:rFonts w:hint="eastAsia" w:ascii="Calibri" w:hAnsi="宋体" w:cs="Times New Roman"/>
                <w:bCs/>
                <w:color w:val="auto"/>
                <w:kern w:val="2"/>
                <w:highlight w:val="none"/>
              </w:rPr>
              <w:t>万元以下</w:t>
            </w:r>
          </w:p>
        </w:tc>
        <w:tc>
          <w:tcPr>
            <w:tcW w:w="5967" w:type="dxa"/>
            <w:vAlign w:val="center"/>
          </w:tcPr>
          <w:p w14:paraId="134F0F16">
            <w:pPr>
              <w:keepNext w:val="0"/>
              <w:keepLines w:val="0"/>
              <w:suppressLineNumbers w:val="0"/>
              <w:spacing w:before="0" w:beforeAutospacing="0" w:after="0" w:afterAutospacing="0" w:line="360" w:lineRule="auto"/>
              <w:ind w:left="0" w:right="0" w:firstLine="441" w:firstLineChars="210"/>
              <w:jc w:val="center"/>
              <w:rPr>
                <w:rFonts w:hint="default" w:ascii="Calibri" w:hAnsi="Calibri" w:cs="Times New Roman"/>
                <w:bCs/>
                <w:color w:val="auto"/>
                <w:kern w:val="2"/>
                <w:highlight w:val="none"/>
              </w:rPr>
            </w:pPr>
            <w:r>
              <w:rPr>
                <w:rFonts w:hint="eastAsia" w:ascii="Calibri" w:hAnsi="宋体" w:cs="Times New Roman"/>
                <w:bCs/>
                <w:color w:val="auto"/>
                <w:kern w:val="2"/>
                <w:highlight w:val="none"/>
              </w:rPr>
              <w:t>从接到竣工结算报告和完整的竣工结算资料之日起</w:t>
            </w:r>
            <w:r>
              <w:rPr>
                <w:rFonts w:hint="default" w:ascii="Calibri" w:hAnsi="Calibri" w:cs="Times New Roman"/>
                <w:bCs/>
                <w:color w:val="auto"/>
                <w:kern w:val="2"/>
                <w:highlight w:val="none"/>
              </w:rPr>
              <w:t>20</w:t>
            </w:r>
            <w:r>
              <w:rPr>
                <w:rFonts w:hint="eastAsia" w:ascii="Calibri" w:hAnsi="宋体" w:cs="Times New Roman"/>
                <w:bCs/>
                <w:color w:val="auto"/>
                <w:kern w:val="2"/>
                <w:highlight w:val="none"/>
              </w:rPr>
              <w:t>天</w:t>
            </w:r>
          </w:p>
        </w:tc>
      </w:tr>
      <w:tr w14:paraId="0EFC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610FD24">
            <w:pPr>
              <w:keepNext w:val="0"/>
              <w:keepLines w:val="0"/>
              <w:suppressLineNumbers w:val="0"/>
              <w:spacing w:before="0" w:beforeAutospacing="0" w:after="0" w:afterAutospacing="0" w:line="360" w:lineRule="auto"/>
              <w:ind w:left="0" w:right="0"/>
              <w:jc w:val="center"/>
              <w:rPr>
                <w:rFonts w:hint="default" w:ascii="Calibri" w:hAnsi="Calibri" w:cs="Times New Roman"/>
                <w:bCs/>
                <w:color w:val="auto"/>
                <w:kern w:val="2"/>
                <w:highlight w:val="none"/>
              </w:rPr>
            </w:pPr>
            <w:r>
              <w:rPr>
                <w:rFonts w:hint="default" w:ascii="Calibri" w:hAnsi="Calibri" w:cs="Times New Roman"/>
                <w:bCs/>
                <w:color w:val="auto"/>
                <w:kern w:val="2"/>
                <w:highlight w:val="none"/>
              </w:rPr>
              <w:t>2</w:t>
            </w:r>
          </w:p>
        </w:tc>
        <w:tc>
          <w:tcPr>
            <w:tcW w:w="2466" w:type="dxa"/>
            <w:vAlign w:val="center"/>
          </w:tcPr>
          <w:p w14:paraId="63A69DCC">
            <w:pPr>
              <w:keepNext w:val="0"/>
              <w:keepLines w:val="0"/>
              <w:suppressLineNumbers w:val="0"/>
              <w:spacing w:before="0" w:beforeAutospacing="0" w:after="0" w:afterAutospacing="0" w:line="360" w:lineRule="auto"/>
              <w:ind w:left="0" w:right="0" w:firstLine="27" w:firstLineChars="13"/>
              <w:jc w:val="center"/>
              <w:rPr>
                <w:rFonts w:hint="default" w:ascii="Calibri" w:hAnsi="Calibri" w:cs="Times New Roman"/>
                <w:bCs/>
                <w:color w:val="auto"/>
                <w:kern w:val="2"/>
                <w:highlight w:val="none"/>
              </w:rPr>
            </w:pPr>
            <w:r>
              <w:rPr>
                <w:rFonts w:hint="default" w:ascii="Calibri" w:hAnsi="Calibri" w:cs="Times New Roman"/>
                <w:bCs/>
                <w:color w:val="auto"/>
                <w:kern w:val="2"/>
                <w:highlight w:val="none"/>
              </w:rPr>
              <w:t>500</w:t>
            </w:r>
            <w:r>
              <w:rPr>
                <w:rFonts w:hint="eastAsia" w:ascii="Calibri" w:hAnsi="宋体" w:cs="Times New Roman"/>
                <w:bCs/>
                <w:color w:val="auto"/>
                <w:kern w:val="2"/>
                <w:highlight w:val="none"/>
              </w:rPr>
              <w:t>万元</w:t>
            </w:r>
            <w:r>
              <w:rPr>
                <w:rFonts w:hint="default" w:ascii="Calibri" w:hAnsi="Calibri" w:cs="Times New Roman"/>
                <w:bCs/>
                <w:color w:val="auto"/>
                <w:kern w:val="2"/>
                <w:highlight w:val="none"/>
              </w:rPr>
              <w:t>-2000</w:t>
            </w:r>
            <w:r>
              <w:rPr>
                <w:rFonts w:hint="eastAsia" w:ascii="Calibri" w:hAnsi="宋体" w:cs="Times New Roman"/>
                <w:bCs/>
                <w:color w:val="auto"/>
                <w:kern w:val="2"/>
                <w:highlight w:val="none"/>
              </w:rPr>
              <w:t>万元</w:t>
            </w:r>
          </w:p>
        </w:tc>
        <w:tc>
          <w:tcPr>
            <w:tcW w:w="5967" w:type="dxa"/>
            <w:vAlign w:val="center"/>
          </w:tcPr>
          <w:p w14:paraId="113BF137">
            <w:pPr>
              <w:keepNext w:val="0"/>
              <w:keepLines w:val="0"/>
              <w:suppressLineNumbers w:val="0"/>
              <w:spacing w:before="0" w:beforeAutospacing="0" w:after="0" w:afterAutospacing="0" w:line="360" w:lineRule="auto"/>
              <w:ind w:left="0" w:right="0" w:firstLine="441" w:firstLineChars="210"/>
              <w:jc w:val="center"/>
              <w:rPr>
                <w:rFonts w:hint="default" w:ascii="Calibri" w:hAnsi="Calibri" w:cs="Times New Roman"/>
                <w:bCs/>
                <w:color w:val="auto"/>
                <w:kern w:val="2"/>
                <w:highlight w:val="none"/>
              </w:rPr>
            </w:pPr>
            <w:r>
              <w:rPr>
                <w:rFonts w:hint="eastAsia" w:ascii="Calibri" w:hAnsi="宋体" w:cs="Times New Roman"/>
                <w:bCs/>
                <w:color w:val="auto"/>
                <w:kern w:val="2"/>
                <w:highlight w:val="none"/>
              </w:rPr>
              <w:t>从接到竣工结算报告和完整的竣工结算资料之日起</w:t>
            </w:r>
            <w:r>
              <w:rPr>
                <w:rFonts w:hint="default" w:ascii="Calibri" w:hAnsi="Calibri" w:cs="Times New Roman"/>
                <w:bCs/>
                <w:color w:val="auto"/>
                <w:kern w:val="2"/>
                <w:highlight w:val="none"/>
              </w:rPr>
              <w:t>30</w:t>
            </w:r>
            <w:r>
              <w:rPr>
                <w:rFonts w:hint="eastAsia" w:ascii="Calibri" w:hAnsi="宋体" w:cs="Times New Roman"/>
                <w:bCs/>
                <w:color w:val="auto"/>
                <w:kern w:val="2"/>
                <w:highlight w:val="none"/>
              </w:rPr>
              <w:t>天</w:t>
            </w:r>
          </w:p>
        </w:tc>
      </w:tr>
      <w:tr w14:paraId="148C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DFF5241">
            <w:pPr>
              <w:keepNext w:val="0"/>
              <w:keepLines w:val="0"/>
              <w:suppressLineNumbers w:val="0"/>
              <w:spacing w:before="0" w:beforeAutospacing="0" w:after="0" w:afterAutospacing="0" w:line="360" w:lineRule="auto"/>
              <w:ind w:left="0" w:right="0"/>
              <w:jc w:val="center"/>
              <w:rPr>
                <w:rFonts w:hint="default" w:ascii="Calibri" w:hAnsi="Calibri" w:cs="Times New Roman"/>
                <w:bCs/>
                <w:color w:val="auto"/>
                <w:kern w:val="2"/>
                <w:highlight w:val="none"/>
              </w:rPr>
            </w:pPr>
            <w:r>
              <w:rPr>
                <w:rFonts w:hint="default" w:ascii="Calibri" w:hAnsi="Calibri" w:cs="Times New Roman"/>
                <w:bCs/>
                <w:color w:val="auto"/>
                <w:kern w:val="2"/>
                <w:highlight w:val="none"/>
              </w:rPr>
              <w:t>3</w:t>
            </w:r>
          </w:p>
        </w:tc>
        <w:tc>
          <w:tcPr>
            <w:tcW w:w="2466" w:type="dxa"/>
            <w:vAlign w:val="center"/>
          </w:tcPr>
          <w:p w14:paraId="4DF875CE">
            <w:pPr>
              <w:keepNext w:val="0"/>
              <w:keepLines w:val="0"/>
              <w:suppressLineNumbers w:val="0"/>
              <w:spacing w:before="0" w:beforeAutospacing="0" w:after="0" w:afterAutospacing="0" w:line="360" w:lineRule="auto"/>
              <w:ind w:left="0" w:right="0" w:firstLine="27" w:firstLineChars="13"/>
              <w:jc w:val="center"/>
              <w:rPr>
                <w:rFonts w:hint="default" w:ascii="Calibri" w:hAnsi="Calibri" w:cs="Times New Roman"/>
                <w:bCs/>
                <w:color w:val="auto"/>
                <w:kern w:val="2"/>
                <w:highlight w:val="none"/>
              </w:rPr>
            </w:pPr>
            <w:r>
              <w:rPr>
                <w:rFonts w:hint="default" w:ascii="Calibri" w:hAnsi="Calibri" w:cs="Times New Roman"/>
                <w:bCs/>
                <w:color w:val="auto"/>
                <w:kern w:val="2"/>
                <w:highlight w:val="none"/>
              </w:rPr>
              <w:t>2000</w:t>
            </w:r>
            <w:r>
              <w:rPr>
                <w:rFonts w:hint="eastAsia" w:ascii="Calibri" w:hAnsi="宋体" w:cs="Times New Roman"/>
                <w:bCs/>
                <w:color w:val="auto"/>
                <w:kern w:val="2"/>
                <w:highlight w:val="none"/>
              </w:rPr>
              <w:t>万元</w:t>
            </w:r>
            <w:r>
              <w:rPr>
                <w:rFonts w:hint="default" w:ascii="Calibri" w:hAnsi="Calibri" w:cs="Times New Roman"/>
                <w:bCs/>
                <w:color w:val="auto"/>
                <w:kern w:val="2"/>
                <w:highlight w:val="none"/>
              </w:rPr>
              <w:t>-5000</w:t>
            </w:r>
            <w:r>
              <w:rPr>
                <w:rFonts w:hint="eastAsia" w:ascii="Calibri" w:hAnsi="宋体" w:cs="Times New Roman"/>
                <w:bCs/>
                <w:color w:val="auto"/>
                <w:kern w:val="2"/>
                <w:highlight w:val="none"/>
              </w:rPr>
              <w:t>万元</w:t>
            </w:r>
          </w:p>
        </w:tc>
        <w:tc>
          <w:tcPr>
            <w:tcW w:w="5967" w:type="dxa"/>
            <w:vAlign w:val="center"/>
          </w:tcPr>
          <w:p w14:paraId="6B86DEFC">
            <w:pPr>
              <w:keepNext w:val="0"/>
              <w:keepLines w:val="0"/>
              <w:suppressLineNumbers w:val="0"/>
              <w:spacing w:before="0" w:beforeAutospacing="0" w:after="0" w:afterAutospacing="0" w:line="360" w:lineRule="auto"/>
              <w:ind w:left="0" w:right="0" w:firstLine="441" w:firstLineChars="210"/>
              <w:jc w:val="center"/>
              <w:rPr>
                <w:rFonts w:hint="default" w:ascii="Calibri" w:hAnsi="Calibri" w:cs="Times New Roman"/>
                <w:bCs/>
                <w:color w:val="auto"/>
                <w:kern w:val="2"/>
                <w:highlight w:val="none"/>
              </w:rPr>
            </w:pPr>
            <w:r>
              <w:rPr>
                <w:rFonts w:hint="eastAsia" w:ascii="Calibri" w:hAnsi="宋体" w:cs="Times New Roman"/>
                <w:bCs/>
                <w:color w:val="auto"/>
                <w:kern w:val="2"/>
                <w:highlight w:val="none"/>
              </w:rPr>
              <w:t>从接到竣工结算报告和完整的竣工结算资料之日起</w:t>
            </w:r>
            <w:r>
              <w:rPr>
                <w:rFonts w:hint="default" w:ascii="Calibri" w:hAnsi="Calibri" w:cs="Times New Roman"/>
                <w:bCs/>
                <w:color w:val="auto"/>
                <w:kern w:val="2"/>
                <w:highlight w:val="none"/>
              </w:rPr>
              <w:t>45</w:t>
            </w:r>
            <w:r>
              <w:rPr>
                <w:rFonts w:hint="eastAsia" w:ascii="Calibri" w:hAnsi="宋体" w:cs="Times New Roman"/>
                <w:bCs/>
                <w:color w:val="auto"/>
                <w:kern w:val="2"/>
                <w:highlight w:val="none"/>
              </w:rPr>
              <w:t>天</w:t>
            </w:r>
          </w:p>
        </w:tc>
      </w:tr>
      <w:tr w14:paraId="59E9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93AEA6C">
            <w:pPr>
              <w:keepNext w:val="0"/>
              <w:keepLines w:val="0"/>
              <w:suppressLineNumbers w:val="0"/>
              <w:spacing w:before="0" w:beforeAutospacing="0" w:after="0" w:afterAutospacing="0" w:line="360" w:lineRule="auto"/>
              <w:ind w:left="0" w:right="0"/>
              <w:jc w:val="center"/>
              <w:rPr>
                <w:rFonts w:hint="default" w:ascii="Calibri" w:hAnsi="Calibri" w:cs="Times New Roman"/>
                <w:bCs/>
                <w:color w:val="auto"/>
                <w:kern w:val="2"/>
                <w:highlight w:val="none"/>
              </w:rPr>
            </w:pPr>
            <w:r>
              <w:rPr>
                <w:rFonts w:hint="default" w:ascii="Calibri" w:hAnsi="Calibri" w:cs="Times New Roman"/>
                <w:bCs/>
                <w:color w:val="auto"/>
                <w:kern w:val="2"/>
                <w:highlight w:val="none"/>
              </w:rPr>
              <w:t>4</w:t>
            </w:r>
          </w:p>
        </w:tc>
        <w:tc>
          <w:tcPr>
            <w:tcW w:w="2466" w:type="dxa"/>
            <w:vAlign w:val="center"/>
          </w:tcPr>
          <w:p w14:paraId="09A74507">
            <w:pPr>
              <w:keepNext w:val="0"/>
              <w:keepLines w:val="0"/>
              <w:suppressLineNumbers w:val="0"/>
              <w:spacing w:before="0" w:beforeAutospacing="0" w:after="0" w:afterAutospacing="0" w:line="360" w:lineRule="auto"/>
              <w:ind w:left="0" w:right="0" w:firstLine="27" w:firstLineChars="13"/>
              <w:jc w:val="center"/>
              <w:rPr>
                <w:rFonts w:hint="default" w:ascii="Calibri" w:hAnsi="Calibri" w:cs="Times New Roman"/>
                <w:bCs/>
                <w:color w:val="auto"/>
                <w:kern w:val="2"/>
                <w:highlight w:val="none"/>
              </w:rPr>
            </w:pPr>
            <w:r>
              <w:rPr>
                <w:rFonts w:hint="default" w:ascii="Calibri" w:hAnsi="Calibri" w:cs="Times New Roman"/>
                <w:bCs/>
                <w:color w:val="auto"/>
                <w:kern w:val="2"/>
                <w:highlight w:val="none"/>
              </w:rPr>
              <w:t>5000</w:t>
            </w:r>
            <w:r>
              <w:rPr>
                <w:rFonts w:hint="eastAsia" w:ascii="Calibri" w:hAnsi="宋体" w:cs="Times New Roman"/>
                <w:bCs/>
                <w:color w:val="auto"/>
                <w:kern w:val="2"/>
                <w:highlight w:val="none"/>
              </w:rPr>
              <w:t>万元以上</w:t>
            </w:r>
          </w:p>
        </w:tc>
        <w:tc>
          <w:tcPr>
            <w:tcW w:w="5967" w:type="dxa"/>
            <w:vAlign w:val="center"/>
          </w:tcPr>
          <w:p w14:paraId="7BAE7D3F">
            <w:pPr>
              <w:keepNext w:val="0"/>
              <w:keepLines w:val="0"/>
              <w:suppressLineNumbers w:val="0"/>
              <w:spacing w:before="0" w:beforeAutospacing="0" w:after="0" w:afterAutospacing="0" w:line="360" w:lineRule="auto"/>
              <w:ind w:left="0" w:right="0" w:firstLine="441" w:firstLineChars="210"/>
              <w:jc w:val="center"/>
              <w:rPr>
                <w:rFonts w:hint="default" w:ascii="Calibri" w:hAnsi="Calibri" w:cs="Times New Roman"/>
                <w:bCs/>
                <w:color w:val="auto"/>
                <w:kern w:val="2"/>
                <w:highlight w:val="none"/>
              </w:rPr>
            </w:pPr>
            <w:r>
              <w:rPr>
                <w:rFonts w:hint="eastAsia" w:ascii="Calibri" w:hAnsi="宋体" w:cs="Times New Roman"/>
                <w:bCs/>
                <w:color w:val="auto"/>
                <w:kern w:val="2"/>
                <w:highlight w:val="none"/>
              </w:rPr>
              <w:t>从接到竣工结算报告和完整的竣工结算资料之日起</w:t>
            </w:r>
            <w:r>
              <w:rPr>
                <w:rFonts w:hint="default" w:ascii="Calibri" w:hAnsi="Calibri" w:cs="Times New Roman"/>
                <w:bCs/>
                <w:color w:val="auto"/>
                <w:kern w:val="2"/>
                <w:highlight w:val="none"/>
              </w:rPr>
              <w:t>60</w:t>
            </w:r>
            <w:r>
              <w:rPr>
                <w:rFonts w:hint="eastAsia" w:ascii="Calibri" w:hAnsi="宋体" w:cs="Times New Roman"/>
                <w:bCs/>
                <w:color w:val="auto"/>
                <w:kern w:val="2"/>
                <w:highlight w:val="none"/>
              </w:rPr>
              <w:t>天</w:t>
            </w:r>
          </w:p>
        </w:tc>
      </w:tr>
    </w:tbl>
    <w:p w14:paraId="73A1E0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Calibri" w:hAnsi="Calibri" w:cs="Times New Roman"/>
          <w:color w:val="auto"/>
          <w:kern w:val="2"/>
          <w:highlight w:val="none"/>
        </w:rPr>
      </w:pPr>
      <w:r>
        <w:rPr>
          <w:rFonts w:hint="eastAsia" w:ascii="Calibri" w:hAnsi="宋体" w:cs="Times New Roman"/>
          <w:bCs/>
          <w:color w:val="auto"/>
          <w:kern w:val="2"/>
          <w:highlight w:val="none"/>
        </w:rPr>
        <w:t>因承包人提供的结算资料不完整而需要补充或承包人不按时对账耽误时间时，审查时间应相应顺延</w:t>
      </w:r>
      <w:r>
        <w:rPr>
          <w:rFonts w:hint="eastAsia" w:ascii="Calibri" w:hAnsi="宋体" w:cs="Times New Roman"/>
          <w:color w:val="auto"/>
          <w:kern w:val="2"/>
          <w:highlight w:val="none"/>
        </w:rPr>
        <w:t>。</w:t>
      </w:r>
    </w:p>
    <w:p w14:paraId="06F45E7F">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宋体" w:eastAsia="宋体" w:cs="Times New Roman"/>
          <w:color w:val="auto"/>
          <w:kern w:val="2"/>
          <w:highlight w:val="none"/>
        </w:rPr>
      </w:pPr>
      <w:r>
        <w:rPr>
          <w:rFonts w:hint="eastAsia" w:ascii="Calibri" w:hAnsi="宋体" w:cs="Times New Roman"/>
          <w:color w:val="auto"/>
          <w:kern w:val="2"/>
          <w:highlight w:val="none"/>
        </w:rPr>
        <w:t>发包人完成竣工付款的期限：</w:t>
      </w:r>
      <w:r>
        <w:rPr>
          <w:rFonts w:hint="eastAsia" w:ascii="Calibri" w:hAnsi="宋体" w:eastAsia="宋体" w:cs="Times New Roman"/>
          <w:color w:val="auto"/>
          <w:kern w:val="2"/>
          <w:highlight w:val="none"/>
          <w:u w:val="single"/>
        </w:rPr>
        <w:t>结算经审计确定发出审计报告后，收到承包人付款申请单之日起</w:t>
      </w:r>
      <w:r>
        <w:rPr>
          <w:rFonts w:hint="eastAsia" w:ascii="Calibri" w:hAnsi="宋体" w:eastAsia="宋体" w:cs="Times New Roman"/>
          <w:color w:val="auto"/>
          <w:kern w:val="2"/>
          <w:highlight w:val="none"/>
          <w:u w:val="single"/>
          <w:lang w:val="en-US" w:eastAsia="zh-CN"/>
        </w:rPr>
        <w:t>1</w:t>
      </w:r>
      <w:r>
        <w:rPr>
          <w:rFonts w:hint="eastAsia" w:ascii="Calibri" w:hAnsi="宋体" w:eastAsia="宋体" w:cs="Times New Roman"/>
          <w:color w:val="auto"/>
          <w:kern w:val="2"/>
          <w:highlight w:val="none"/>
          <w:u w:val="single"/>
        </w:rPr>
        <w:t>个月内</w:t>
      </w:r>
      <w:r>
        <w:rPr>
          <w:rFonts w:hint="eastAsia" w:ascii="Calibri" w:hAnsi="宋体" w:eastAsia="宋体" w:cs="Times New Roman"/>
          <w:color w:val="auto"/>
          <w:kern w:val="2"/>
          <w:highlight w:val="none"/>
        </w:rPr>
        <w:t>。</w:t>
      </w:r>
    </w:p>
    <w:p w14:paraId="60BA4A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Calibri" w:hAnsi="Calibri" w:cs="Times New Roman"/>
          <w:color w:val="auto"/>
          <w:kern w:val="2"/>
          <w:highlight w:val="none"/>
          <w:u w:val="single"/>
        </w:rPr>
      </w:pPr>
      <w:r>
        <w:rPr>
          <w:rFonts w:hint="eastAsia" w:ascii="Calibri" w:hAnsi="宋体" w:cs="Times New Roman"/>
          <w:color w:val="auto"/>
          <w:kern w:val="2"/>
          <w:highlight w:val="none"/>
        </w:rPr>
        <w:t>关于竣工付款证书异议部分复核的方式和程序：</w:t>
      </w:r>
      <w:r>
        <w:rPr>
          <w:rFonts w:hint="eastAsia" w:ascii="Calibri" w:hAnsi="Calibri" w:cs="Times New Roman"/>
          <w:color w:val="auto"/>
          <w:kern w:val="2"/>
          <w:highlight w:val="none"/>
          <w:u w:val="single"/>
        </w:rPr>
        <w:t>先由监理复核，报发包人审核审定</w:t>
      </w:r>
      <w:r>
        <w:rPr>
          <w:rFonts w:hint="eastAsia" w:ascii="Calibri" w:hAnsi="宋体" w:cs="Times New Roman"/>
          <w:color w:val="auto"/>
          <w:kern w:val="2"/>
          <w:highlight w:val="none"/>
        </w:rPr>
        <w:t>。</w:t>
      </w:r>
    </w:p>
    <w:p w14:paraId="323A8D02">
      <w:pPr>
        <w:keepNext/>
        <w:keepLines/>
        <w:spacing w:before="260" w:after="260" w:line="416" w:lineRule="auto"/>
        <w:outlineLvl w:val="3"/>
        <w:rPr>
          <w:rFonts w:ascii="Calibri" w:hAnsi="Calibri" w:cs="Times New Roman"/>
          <w:b/>
          <w:bCs/>
          <w:color w:val="auto"/>
          <w:kern w:val="2"/>
          <w:sz w:val="32"/>
          <w:szCs w:val="32"/>
          <w:highlight w:val="none"/>
        </w:rPr>
      </w:pPr>
      <w:bookmarkStart w:id="1932" w:name="_Toc493774825"/>
      <w:bookmarkStart w:id="1933" w:name="_Toc485400657"/>
      <w:bookmarkStart w:id="1934" w:name="_Toc389065326"/>
      <w:bookmarkStart w:id="1935" w:name="_Toc494549261"/>
      <w:bookmarkStart w:id="1936" w:name="_Toc508894126"/>
      <w:bookmarkStart w:id="1937" w:name="_Toc407135264"/>
      <w:bookmarkStart w:id="1938" w:name="_Toc373478408"/>
      <w:bookmarkStart w:id="1939" w:name="_Toc373227761"/>
      <w:bookmarkStart w:id="1940" w:name="_Toc530658088"/>
      <w:bookmarkStart w:id="1941" w:name="_Toc532840070"/>
      <w:bookmarkStart w:id="1942" w:name="_Toc512691464"/>
      <w:r>
        <w:rPr>
          <w:rFonts w:ascii="Calibri" w:hAnsi="Calibri" w:cs="Times New Roman"/>
          <w:b/>
          <w:bCs/>
          <w:color w:val="auto"/>
          <w:kern w:val="2"/>
          <w:sz w:val="32"/>
          <w:szCs w:val="32"/>
          <w:highlight w:val="none"/>
        </w:rPr>
        <w:t xml:space="preserve">14.4 </w:t>
      </w:r>
      <w:r>
        <w:rPr>
          <w:rFonts w:hint="eastAsia" w:ascii="Calibri" w:hAnsi="宋体" w:cs="Times New Roman"/>
          <w:b/>
          <w:bCs/>
          <w:color w:val="auto"/>
          <w:kern w:val="2"/>
          <w:sz w:val="32"/>
          <w:szCs w:val="32"/>
          <w:highlight w:val="none"/>
        </w:rPr>
        <w:t>最终结清</w:t>
      </w:r>
      <w:bookmarkEnd w:id="1932"/>
      <w:bookmarkEnd w:id="1933"/>
      <w:bookmarkEnd w:id="1934"/>
      <w:bookmarkEnd w:id="1935"/>
      <w:bookmarkEnd w:id="1936"/>
      <w:bookmarkEnd w:id="1937"/>
      <w:bookmarkEnd w:id="1938"/>
      <w:bookmarkEnd w:id="1939"/>
      <w:bookmarkEnd w:id="1940"/>
      <w:bookmarkEnd w:id="1941"/>
      <w:bookmarkEnd w:id="1942"/>
    </w:p>
    <w:p w14:paraId="48600880">
      <w:pPr>
        <w:spacing w:line="360" w:lineRule="auto"/>
        <w:ind w:firstLine="420" w:firstLineChars="200"/>
        <w:jc w:val="left"/>
        <w:rPr>
          <w:rFonts w:ascii="Calibri" w:hAnsi="Calibri" w:cs="Times New Roman"/>
          <w:color w:val="auto"/>
          <w:highlight w:val="none"/>
        </w:rPr>
      </w:pPr>
      <w:r>
        <w:rPr>
          <w:rFonts w:ascii="Calibri" w:hAnsi="Calibri" w:cs="Times New Roman"/>
          <w:color w:val="auto"/>
          <w:highlight w:val="none"/>
        </w:rPr>
        <w:t xml:space="preserve">14.4.1 </w:t>
      </w:r>
      <w:r>
        <w:rPr>
          <w:rFonts w:hint="eastAsia" w:ascii="Calibri" w:hAnsi="宋体" w:cs="Times New Roman"/>
          <w:color w:val="auto"/>
          <w:highlight w:val="none"/>
        </w:rPr>
        <w:t>最终结清申请单</w:t>
      </w:r>
    </w:p>
    <w:p w14:paraId="510C4B6A">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承包人提交最终结清申请单的份数：</w:t>
      </w:r>
      <w:r>
        <w:rPr>
          <w:rFonts w:hint="eastAsia" w:ascii="Calibri" w:hAnsi="Calibri" w:cs="Times New Roman"/>
          <w:color w:val="auto"/>
          <w:kern w:val="2"/>
          <w:highlight w:val="none"/>
          <w:u w:val="single"/>
        </w:rPr>
        <w:t>提交</w:t>
      </w:r>
      <w:r>
        <w:rPr>
          <w:rFonts w:ascii="Calibri" w:hAnsi="Calibri" w:cs="Times New Roman"/>
          <w:color w:val="auto"/>
          <w:kern w:val="2"/>
          <w:highlight w:val="none"/>
          <w:u w:val="single"/>
        </w:rPr>
        <w:t>10</w:t>
      </w:r>
      <w:r>
        <w:rPr>
          <w:rFonts w:hint="eastAsia" w:ascii="Calibri" w:hAnsi="Calibri" w:cs="Times New Roman"/>
          <w:color w:val="auto"/>
          <w:kern w:val="2"/>
          <w:highlight w:val="none"/>
          <w:u w:val="single"/>
        </w:rPr>
        <w:t>份最终结清申请单</w:t>
      </w:r>
      <w:r>
        <w:rPr>
          <w:rFonts w:hint="eastAsia" w:ascii="Calibri" w:hAnsi="宋体" w:cs="Times New Roman"/>
          <w:color w:val="auto"/>
          <w:kern w:val="2"/>
          <w:highlight w:val="none"/>
        </w:rPr>
        <w:t>。</w:t>
      </w:r>
    </w:p>
    <w:p w14:paraId="7AA2CB5F">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highlight w:val="none"/>
        </w:rPr>
        <w:t>承包人提交最终结算申请单的期限：</w:t>
      </w:r>
      <w:r>
        <w:rPr>
          <w:rFonts w:hint="eastAsia" w:ascii="Calibri" w:hAnsi="Calibri" w:cs="Times New Roman"/>
          <w:color w:val="auto"/>
          <w:kern w:val="2"/>
          <w:highlight w:val="none"/>
          <w:u w:val="single"/>
        </w:rPr>
        <w:t>缺陷责任期终止证书颁发后</w:t>
      </w:r>
      <w:r>
        <w:rPr>
          <w:rFonts w:ascii="Calibri" w:hAnsi="Calibri" w:cs="Times New Roman"/>
          <w:color w:val="auto"/>
          <w:kern w:val="2"/>
          <w:highlight w:val="none"/>
          <w:u w:val="single"/>
        </w:rPr>
        <w:t>7</w:t>
      </w:r>
      <w:r>
        <w:rPr>
          <w:rFonts w:hint="eastAsia" w:ascii="Calibri" w:hAnsi="Calibri" w:cs="Times New Roman"/>
          <w:color w:val="auto"/>
          <w:kern w:val="2"/>
          <w:highlight w:val="none"/>
          <w:u w:val="single"/>
        </w:rPr>
        <w:t>天内</w:t>
      </w:r>
      <w:r>
        <w:rPr>
          <w:rFonts w:hint="eastAsia" w:ascii="Calibri" w:hAnsi="宋体" w:cs="Times New Roman"/>
          <w:color w:val="auto"/>
          <w:kern w:val="2"/>
          <w:highlight w:val="none"/>
        </w:rPr>
        <w:t>。</w:t>
      </w:r>
      <w:r>
        <w:rPr>
          <w:rFonts w:ascii="Calibri" w:hAnsi="Calibri" w:cs="Times New Roman"/>
          <w:color w:val="auto"/>
          <w:kern w:val="2"/>
          <w:highlight w:val="none"/>
        </w:rPr>
        <w:t xml:space="preserve"> </w:t>
      </w:r>
    </w:p>
    <w:p w14:paraId="1B073015">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14.4.2 </w:t>
      </w:r>
      <w:r>
        <w:rPr>
          <w:rFonts w:hint="eastAsia" w:ascii="Calibri" w:hAnsi="宋体" w:cs="Times New Roman"/>
          <w:color w:val="auto"/>
          <w:kern w:val="2"/>
          <w:highlight w:val="none"/>
        </w:rPr>
        <w:t>最终结清证书和支付</w:t>
      </w:r>
    </w:p>
    <w:p w14:paraId="0B1A4C5F">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w:t>
      </w:r>
      <w:r>
        <w:rPr>
          <w:rFonts w:ascii="Calibri" w:hAnsi="Calibri" w:cs="Times New Roman"/>
          <w:color w:val="auto"/>
          <w:kern w:val="2"/>
          <w:highlight w:val="none"/>
        </w:rPr>
        <w:t>1</w:t>
      </w:r>
      <w:r>
        <w:rPr>
          <w:rFonts w:hint="eastAsia" w:ascii="Calibri" w:hAnsi="宋体" w:cs="Times New Roman"/>
          <w:color w:val="auto"/>
          <w:kern w:val="2"/>
          <w:highlight w:val="none"/>
        </w:rPr>
        <w:t>）发包人完成最终结清申请单的审批并颁发最终结清证书的期限：</w:t>
      </w:r>
      <w:r>
        <w:rPr>
          <w:rFonts w:hint="eastAsia" w:ascii="Calibri" w:hAnsi="Calibri" w:cs="Times New Roman"/>
          <w:color w:val="auto"/>
          <w:kern w:val="2"/>
          <w:highlight w:val="none"/>
          <w:u w:val="single"/>
        </w:rPr>
        <w:t>收到最终结清申请单</w:t>
      </w:r>
      <w:r>
        <w:rPr>
          <w:rFonts w:ascii="Calibri" w:hAnsi="Calibri" w:cs="Times New Roman"/>
          <w:color w:val="auto"/>
          <w:kern w:val="2"/>
          <w:highlight w:val="none"/>
          <w:u w:val="single"/>
        </w:rPr>
        <w:t>30</w:t>
      </w:r>
      <w:r>
        <w:rPr>
          <w:rFonts w:hint="eastAsia" w:ascii="Calibri" w:hAnsi="Calibri" w:cs="Times New Roman"/>
          <w:color w:val="auto"/>
          <w:kern w:val="2"/>
          <w:highlight w:val="none"/>
          <w:u w:val="single"/>
        </w:rPr>
        <w:t>天内</w:t>
      </w:r>
      <w:r>
        <w:rPr>
          <w:rFonts w:hint="eastAsia" w:ascii="Calibri" w:hAnsi="宋体" w:cs="Times New Roman"/>
          <w:color w:val="auto"/>
          <w:kern w:val="2"/>
          <w:highlight w:val="none"/>
        </w:rPr>
        <w:t>。</w:t>
      </w:r>
    </w:p>
    <w:p w14:paraId="6BE33C59">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w:t>
      </w:r>
      <w:r>
        <w:rPr>
          <w:rFonts w:ascii="Calibri" w:hAnsi="Calibri" w:cs="Times New Roman"/>
          <w:color w:val="auto"/>
          <w:kern w:val="2"/>
          <w:highlight w:val="none"/>
        </w:rPr>
        <w:t>2</w:t>
      </w:r>
      <w:r>
        <w:rPr>
          <w:rFonts w:hint="eastAsia" w:ascii="Calibri" w:hAnsi="宋体" w:cs="Times New Roman"/>
          <w:color w:val="auto"/>
          <w:kern w:val="2"/>
          <w:highlight w:val="none"/>
        </w:rPr>
        <w:t>）发包人完成支付的期限：</w:t>
      </w:r>
      <w:r>
        <w:rPr>
          <w:rFonts w:hint="eastAsia" w:ascii="Calibri" w:hAnsi="Calibri" w:cs="Times New Roman"/>
          <w:color w:val="auto"/>
          <w:kern w:val="2"/>
          <w:highlight w:val="none"/>
          <w:u w:val="single"/>
        </w:rPr>
        <w:t>审批后</w:t>
      </w:r>
      <w:r>
        <w:rPr>
          <w:rFonts w:ascii="Calibri" w:hAnsi="Calibri" w:cs="Times New Roman"/>
          <w:color w:val="auto"/>
          <w:kern w:val="2"/>
          <w:highlight w:val="none"/>
          <w:u w:val="single"/>
        </w:rPr>
        <w:t>30</w:t>
      </w:r>
      <w:r>
        <w:rPr>
          <w:rFonts w:hint="eastAsia" w:ascii="Calibri" w:hAnsi="Calibri" w:cs="Times New Roman"/>
          <w:color w:val="auto"/>
          <w:kern w:val="2"/>
          <w:highlight w:val="none"/>
          <w:u w:val="single"/>
        </w:rPr>
        <w:t>天内</w:t>
      </w:r>
      <w:r>
        <w:rPr>
          <w:rFonts w:hint="eastAsia" w:ascii="Calibri" w:hAnsi="宋体" w:cs="Times New Roman"/>
          <w:color w:val="auto"/>
          <w:kern w:val="2"/>
          <w:highlight w:val="none"/>
        </w:rPr>
        <w:t>。</w:t>
      </w:r>
    </w:p>
    <w:bookmarkEnd w:id="1863"/>
    <w:bookmarkEnd w:id="1864"/>
    <w:bookmarkEnd w:id="1865"/>
    <w:bookmarkEnd w:id="1866"/>
    <w:bookmarkEnd w:id="1867"/>
    <w:bookmarkEnd w:id="1868"/>
    <w:bookmarkEnd w:id="1869"/>
    <w:bookmarkEnd w:id="1875"/>
    <w:p w14:paraId="4DD422C5">
      <w:pPr>
        <w:keepNext/>
        <w:keepLines/>
        <w:spacing w:before="260" w:after="260" w:line="416" w:lineRule="auto"/>
        <w:outlineLvl w:val="2"/>
        <w:rPr>
          <w:rFonts w:ascii="Cambria" w:hAnsi="Cambria" w:cs="Times New Roman"/>
          <w:b/>
          <w:bCs/>
          <w:color w:val="auto"/>
          <w:kern w:val="2"/>
          <w:sz w:val="32"/>
          <w:szCs w:val="32"/>
          <w:highlight w:val="none"/>
        </w:rPr>
      </w:pPr>
      <w:bookmarkStart w:id="1943" w:name="_Toc373478409"/>
      <w:bookmarkStart w:id="1944" w:name="_Toc485400658"/>
      <w:bookmarkStart w:id="1945" w:name="_Toc508894127"/>
      <w:bookmarkStart w:id="1946" w:name="_Toc532840071"/>
      <w:bookmarkStart w:id="1947" w:name="_Toc493774826"/>
      <w:bookmarkStart w:id="1948" w:name="_Toc351203647"/>
      <w:bookmarkStart w:id="1949" w:name="_Toc512691465"/>
      <w:bookmarkStart w:id="1950" w:name="_Toc389065327"/>
      <w:bookmarkStart w:id="1951" w:name="_Toc373227762"/>
      <w:bookmarkStart w:id="1952" w:name="_Toc407135265"/>
      <w:bookmarkStart w:id="1953" w:name="_Toc494549262"/>
      <w:bookmarkStart w:id="1954" w:name="_Toc530658089"/>
      <w:bookmarkStart w:id="1955" w:name="_Toc267251483"/>
      <w:bookmarkStart w:id="1956" w:name="_Toc267251484"/>
      <w:bookmarkStart w:id="1957" w:name="_Toc267251482"/>
      <w:bookmarkStart w:id="1958" w:name="_Toc267251485"/>
      <w:bookmarkStart w:id="1959" w:name="_Toc267251489"/>
      <w:bookmarkStart w:id="1960" w:name="_Toc267251490"/>
      <w:bookmarkStart w:id="1961" w:name="_Toc267251488"/>
      <w:bookmarkStart w:id="1962" w:name="_Toc267251486"/>
      <w:bookmarkStart w:id="1963" w:name="_Toc267251492"/>
      <w:bookmarkStart w:id="1964" w:name="_Toc267251491"/>
      <w:bookmarkStart w:id="1965" w:name="_Toc267251493"/>
      <w:bookmarkStart w:id="1966" w:name="_Toc267251494"/>
      <w:bookmarkStart w:id="1967" w:name="_Toc267251496"/>
      <w:bookmarkStart w:id="1968" w:name="_Toc267251502"/>
      <w:bookmarkStart w:id="1969" w:name="_Toc267251497"/>
      <w:bookmarkStart w:id="1970" w:name="_Toc267251499"/>
      <w:bookmarkStart w:id="1971" w:name="_Toc267251495"/>
      <w:bookmarkStart w:id="1972" w:name="_Toc267251501"/>
      <w:bookmarkStart w:id="1973" w:name="_Toc267251498"/>
      <w:bookmarkStart w:id="1974" w:name="_Toc267251503"/>
      <w:bookmarkStart w:id="1975" w:name="_Toc267251506"/>
      <w:bookmarkStart w:id="1976" w:name="_Toc267251504"/>
      <w:bookmarkStart w:id="1977" w:name="_Toc267251507"/>
      <w:bookmarkStart w:id="1978" w:name="_Toc267251508"/>
      <w:bookmarkStart w:id="1979" w:name="_Toc267251514"/>
      <w:bookmarkStart w:id="1980" w:name="_Toc267251510"/>
      <w:bookmarkStart w:id="1981" w:name="_Toc267251515"/>
      <w:bookmarkStart w:id="1982" w:name="_Toc267251509"/>
      <w:bookmarkStart w:id="1983" w:name="_Toc267251511"/>
      <w:bookmarkStart w:id="1984" w:name="_Toc267251513"/>
      <w:r>
        <w:rPr>
          <w:rFonts w:ascii="Cambria" w:hAnsi="Cambria" w:cs="Times New Roman"/>
          <w:b/>
          <w:bCs/>
          <w:color w:val="auto"/>
          <w:kern w:val="2"/>
          <w:sz w:val="32"/>
          <w:szCs w:val="32"/>
          <w:highlight w:val="none"/>
        </w:rPr>
        <w:t xml:space="preserve">15. </w:t>
      </w:r>
      <w:r>
        <w:rPr>
          <w:rFonts w:hint="eastAsia" w:ascii="Cambria" w:hAnsi="Cambria" w:cs="Times New Roman"/>
          <w:b/>
          <w:bCs/>
          <w:color w:val="auto"/>
          <w:kern w:val="2"/>
          <w:sz w:val="32"/>
          <w:szCs w:val="32"/>
          <w:highlight w:val="none"/>
        </w:rPr>
        <w:t>缺陷责任期与保修</w:t>
      </w:r>
      <w:bookmarkEnd w:id="1943"/>
      <w:bookmarkEnd w:id="1944"/>
      <w:bookmarkEnd w:id="1945"/>
      <w:bookmarkEnd w:id="1946"/>
      <w:bookmarkEnd w:id="1947"/>
      <w:bookmarkEnd w:id="1948"/>
      <w:bookmarkEnd w:id="1949"/>
      <w:bookmarkEnd w:id="1950"/>
      <w:bookmarkEnd w:id="1951"/>
      <w:bookmarkEnd w:id="1952"/>
      <w:bookmarkEnd w:id="1953"/>
      <w:bookmarkEnd w:id="1954"/>
    </w:p>
    <w:p w14:paraId="0C696A81">
      <w:pPr>
        <w:keepNext/>
        <w:keepLines/>
        <w:spacing w:before="260" w:after="260" w:line="416" w:lineRule="auto"/>
        <w:outlineLvl w:val="3"/>
        <w:rPr>
          <w:rFonts w:ascii="Calibri" w:hAnsi="Calibri" w:cs="Times New Roman"/>
          <w:b/>
          <w:bCs/>
          <w:color w:val="auto"/>
          <w:kern w:val="2"/>
          <w:sz w:val="32"/>
          <w:szCs w:val="32"/>
          <w:highlight w:val="none"/>
        </w:rPr>
      </w:pPr>
      <w:bookmarkStart w:id="1985" w:name="_Toc373227763"/>
      <w:bookmarkStart w:id="1986" w:name="_Toc530658090"/>
      <w:bookmarkStart w:id="1987" w:name="_Toc485400659"/>
      <w:bookmarkStart w:id="1988" w:name="_Toc512691466"/>
      <w:bookmarkStart w:id="1989" w:name="_Toc494549263"/>
      <w:bookmarkStart w:id="1990" w:name="_Toc493774827"/>
      <w:bookmarkStart w:id="1991" w:name="_Toc508894128"/>
      <w:bookmarkStart w:id="1992" w:name="_Toc389065328"/>
      <w:bookmarkStart w:id="1993" w:name="_Toc532840072"/>
      <w:bookmarkStart w:id="1994" w:name="_Toc407135266"/>
      <w:bookmarkStart w:id="1995" w:name="_Toc373478410"/>
      <w:r>
        <w:rPr>
          <w:rFonts w:ascii="Calibri" w:hAnsi="Calibri" w:cs="Times New Roman"/>
          <w:b/>
          <w:bCs/>
          <w:color w:val="auto"/>
          <w:kern w:val="2"/>
          <w:sz w:val="32"/>
          <w:szCs w:val="32"/>
          <w:highlight w:val="none"/>
        </w:rPr>
        <w:t xml:space="preserve">15.2 </w:t>
      </w:r>
      <w:r>
        <w:rPr>
          <w:rFonts w:hint="eastAsia" w:ascii="Calibri" w:hAnsi="宋体" w:cs="Times New Roman"/>
          <w:b/>
          <w:bCs/>
          <w:color w:val="auto"/>
          <w:kern w:val="2"/>
          <w:sz w:val="32"/>
          <w:szCs w:val="32"/>
          <w:highlight w:val="none"/>
        </w:rPr>
        <w:t>缺陷责任期</w:t>
      </w:r>
      <w:bookmarkEnd w:id="1955"/>
      <w:bookmarkEnd w:id="1985"/>
      <w:bookmarkEnd w:id="1986"/>
      <w:bookmarkEnd w:id="1987"/>
      <w:bookmarkEnd w:id="1988"/>
      <w:bookmarkEnd w:id="1989"/>
      <w:bookmarkEnd w:id="1990"/>
      <w:bookmarkEnd w:id="1991"/>
      <w:bookmarkEnd w:id="1992"/>
      <w:bookmarkEnd w:id="1993"/>
      <w:bookmarkEnd w:id="1994"/>
      <w:bookmarkEnd w:id="1995"/>
    </w:p>
    <w:p w14:paraId="260AB7AE">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缺陷责任期的具体期限：</w:t>
      </w:r>
      <w:r>
        <w:rPr>
          <w:rFonts w:ascii="Calibri" w:hAnsi="Calibri" w:cs="Times New Roman"/>
          <w:color w:val="auto"/>
          <w:kern w:val="2"/>
          <w:highlight w:val="none"/>
          <w:u w:val="single"/>
        </w:rPr>
        <w:t>12</w:t>
      </w:r>
      <w:r>
        <w:rPr>
          <w:rFonts w:hint="eastAsia" w:ascii="Calibri" w:hAnsi="Calibri" w:cs="Times New Roman"/>
          <w:color w:val="auto"/>
          <w:kern w:val="2"/>
          <w:highlight w:val="none"/>
          <w:u w:val="single"/>
        </w:rPr>
        <w:t>个月，缺陷责任期自工程竣工验收合格之日起计算。单位工程先于全部工程进行验收，单位工程缺陷责任期自单位工程验收合格之日起算</w:t>
      </w:r>
      <w:r>
        <w:rPr>
          <w:rFonts w:hint="eastAsia" w:ascii="Calibri" w:hAnsi="宋体" w:cs="Times New Roman"/>
          <w:color w:val="auto"/>
          <w:kern w:val="2"/>
          <w:highlight w:val="none"/>
        </w:rPr>
        <w:t>。</w:t>
      </w:r>
    </w:p>
    <w:p w14:paraId="4B04E474">
      <w:pPr>
        <w:keepNext/>
        <w:keepLines/>
        <w:spacing w:before="260" w:after="260" w:line="416" w:lineRule="auto"/>
        <w:outlineLvl w:val="3"/>
        <w:rPr>
          <w:rFonts w:ascii="Calibri" w:hAnsi="Calibri" w:cs="Times New Roman"/>
          <w:b/>
          <w:bCs/>
          <w:color w:val="auto"/>
          <w:kern w:val="2"/>
          <w:sz w:val="32"/>
          <w:szCs w:val="32"/>
          <w:highlight w:val="none"/>
        </w:rPr>
      </w:pPr>
      <w:bookmarkStart w:id="1996" w:name="_Toc494549264"/>
      <w:bookmarkStart w:id="1997" w:name="_Toc493774828"/>
      <w:bookmarkStart w:id="1998" w:name="_Toc485400660"/>
      <w:bookmarkStart w:id="1999" w:name="_Toc530658091"/>
      <w:bookmarkStart w:id="2000" w:name="_Toc407135267"/>
      <w:bookmarkStart w:id="2001" w:name="_Toc532840073"/>
      <w:bookmarkStart w:id="2002" w:name="_Toc373478411"/>
      <w:bookmarkStart w:id="2003" w:name="_Toc389065329"/>
      <w:bookmarkStart w:id="2004" w:name="_Toc512691467"/>
      <w:bookmarkStart w:id="2005" w:name="_Toc508894129"/>
      <w:bookmarkStart w:id="2006" w:name="_Toc373227764"/>
      <w:r>
        <w:rPr>
          <w:rFonts w:ascii="Calibri" w:hAnsi="Calibri" w:cs="Times New Roman"/>
          <w:b/>
          <w:bCs/>
          <w:color w:val="auto"/>
          <w:kern w:val="2"/>
          <w:sz w:val="32"/>
          <w:szCs w:val="32"/>
          <w:highlight w:val="none"/>
        </w:rPr>
        <w:t xml:space="preserve">15.3 </w:t>
      </w:r>
      <w:r>
        <w:rPr>
          <w:rFonts w:hint="eastAsia" w:ascii="Calibri" w:hAnsi="宋体" w:cs="Times New Roman"/>
          <w:b/>
          <w:bCs/>
          <w:color w:val="auto"/>
          <w:kern w:val="2"/>
          <w:sz w:val="32"/>
          <w:szCs w:val="32"/>
          <w:highlight w:val="none"/>
        </w:rPr>
        <w:t>质量保证金</w:t>
      </w:r>
      <w:bookmarkEnd w:id="1996"/>
      <w:bookmarkEnd w:id="1997"/>
      <w:bookmarkEnd w:id="1998"/>
      <w:bookmarkEnd w:id="1999"/>
      <w:bookmarkEnd w:id="2000"/>
      <w:bookmarkEnd w:id="2001"/>
      <w:bookmarkEnd w:id="2002"/>
      <w:bookmarkEnd w:id="2003"/>
      <w:bookmarkEnd w:id="2004"/>
      <w:bookmarkEnd w:id="2005"/>
      <w:bookmarkEnd w:id="2006"/>
    </w:p>
    <w:p w14:paraId="54528761">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关于是否扣留质量保证金的约定：</w:t>
      </w:r>
      <w:r>
        <w:rPr>
          <w:rFonts w:hint="eastAsia" w:ascii="Calibri" w:hAnsi="Calibri" w:cs="Times New Roman"/>
          <w:color w:val="auto"/>
          <w:kern w:val="2"/>
          <w:highlight w:val="none"/>
          <w:u w:val="single"/>
        </w:rPr>
        <w:t>是</w:t>
      </w:r>
      <w:r>
        <w:rPr>
          <w:rFonts w:hint="eastAsia" w:ascii="Calibri" w:hAnsi="宋体" w:cs="Times New Roman"/>
          <w:color w:val="auto"/>
          <w:kern w:val="2"/>
          <w:highlight w:val="none"/>
        </w:rPr>
        <w:t>。</w:t>
      </w:r>
    </w:p>
    <w:p w14:paraId="54CACDC6">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15.3.1 </w:t>
      </w:r>
      <w:r>
        <w:rPr>
          <w:rFonts w:hint="eastAsia" w:ascii="Calibri" w:hAnsi="宋体" w:cs="Times New Roman"/>
          <w:color w:val="auto"/>
          <w:kern w:val="2"/>
          <w:highlight w:val="none"/>
        </w:rPr>
        <w:t>承包人提供质量保证金的方式</w:t>
      </w:r>
    </w:p>
    <w:p w14:paraId="5AD193B1">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质量保证金采用以下第</w:t>
      </w:r>
      <w:r>
        <w:rPr>
          <w:rFonts w:hint="eastAsia" w:ascii="Calibri" w:hAnsi="Calibri" w:cs="Times New Roman"/>
          <w:color w:val="auto"/>
          <w:kern w:val="2"/>
          <w:highlight w:val="none"/>
          <w:u w:val="single"/>
        </w:rPr>
        <w:t>（</w:t>
      </w:r>
      <w:r>
        <w:rPr>
          <w:rFonts w:ascii="Calibri" w:hAnsi="Calibri" w:cs="Times New Roman"/>
          <w:color w:val="auto"/>
          <w:kern w:val="2"/>
          <w:highlight w:val="none"/>
          <w:u w:val="single"/>
        </w:rPr>
        <w:t>2</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rPr>
        <w:t>种方式：</w:t>
      </w:r>
    </w:p>
    <w:p w14:paraId="26CB3325">
      <w:pPr>
        <w:autoSpaceDE w:val="0"/>
        <w:autoSpaceDN w:val="0"/>
        <w:adjustRightInd w:val="0"/>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1</w:t>
      </w:r>
      <w:r>
        <w:rPr>
          <w:rFonts w:hint="eastAsia" w:ascii="Calibri" w:hAnsi="宋体" w:cs="Times New Roman"/>
          <w:color w:val="auto"/>
          <w:highlight w:val="none"/>
        </w:rPr>
        <w:t>）质量保证金保函，保证金额为：</w:t>
      </w:r>
      <w:r>
        <w:rPr>
          <w:rFonts w:ascii="Calibri" w:hAnsi="宋体" w:cs="Times New Roman"/>
          <w:color w:val="auto"/>
          <w:highlight w:val="none"/>
        </w:rPr>
        <w:t>/</w:t>
      </w:r>
      <w:r>
        <w:rPr>
          <w:rFonts w:hint="eastAsia" w:ascii="Calibri" w:hAnsi="宋体" w:cs="Times New Roman"/>
          <w:color w:val="auto"/>
          <w:highlight w:val="none"/>
        </w:rPr>
        <w:t>；</w:t>
      </w:r>
    </w:p>
    <w:p w14:paraId="78EB3AEC">
      <w:pPr>
        <w:autoSpaceDE w:val="0"/>
        <w:autoSpaceDN w:val="0"/>
        <w:adjustRightInd w:val="0"/>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2</w:t>
      </w:r>
      <w:r>
        <w:rPr>
          <w:rFonts w:hint="eastAsia" w:ascii="Calibri" w:hAnsi="宋体" w:cs="Times New Roman"/>
          <w:color w:val="auto"/>
          <w:highlight w:val="none"/>
        </w:rPr>
        <w:t>）</w:t>
      </w:r>
      <w:r>
        <w:rPr>
          <w:rFonts w:hint="eastAsia" w:ascii="Calibri" w:hAnsi="宋体" w:cs="Times New Roman"/>
          <w:bCs/>
          <w:color w:val="auto"/>
          <w:kern w:val="2"/>
          <w:highlight w:val="none"/>
        </w:rPr>
        <w:t>发包人按工程价款结算总额的</w:t>
      </w:r>
      <w:r>
        <w:rPr>
          <w:rFonts w:ascii="Calibri" w:hAnsi="宋体" w:cs="Times New Roman"/>
          <w:bCs/>
          <w:color w:val="auto"/>
          <w:kern w:val="2"/>
          <w:highlight w:val="none"/>
          <w:u w:val="single"/>
        </w:rPr>
        <w:t>3</w:t>
      </w:r>
      <w:r>
        <w:rPr>
          <w:rFonts w:ascii="Calibri" w:hAnsi="Calibri" w:cs="Times New Roman"/>
          <w:bCs/>
          <w:color w:val="auto"/>
          <w:kern w:val="2"/>
          <w:highlight w:val="none"/>
        </w:rPr>
        <w:t>%</w:t>
      </w:r>
      <w:r>
        <w:rPr>
          <w:rFonts w:hint="eastAsia" w:ascii="Calibri" w:hAnsi="宋体" w:cs="Times New Roman"/>
          <w:bCs/>
          <w:color w:val="auto"/>
          <w:kern w:val="2"/>
          <w:highlight w:val="none"/>
        </w:rPr>
        <w:t>预留工程质量保证金（</w:t>
      </w:r>
      <w:r>
        <w:rPr>
          <w:rFonts w:hint="eastAsia" w:ascii="Calibri" w:hAnsi="宋体" w:cs="Times New Roman"/>
          <w:bCs/>
          <w:color w:val="auto"/>
          <w:kern w:val="2"/>
          <w:highlight w:val="none"/>
          <w:lang w:eastAsia="zh-CN"/>
        </w:rPr>
        <w:t>可采用</w:t>
      </w:r>
      <w:r>
        <w:rPr>
          <w:rFonts w:hint="eastAsia" w:ascii="Calibri" w:hAnsi="宋体" w:cs="Times New Roman"/>
          <w:bCs/>
          <w:color w:val="auto"/>
          <w:kern w:val="2"/>
          <w:highlight w:val="none"/>
        </w:rPr>
        <w:t>银行保函形式），待缺陷责任期满后返还</w:t>
      </w:r>
      <w:r>
        <w:rPr>
          <w:rFonts w:hint="eastAsia" w:ascii="Calibri" w:hAnsi="宋体" w:cs="Times New Roman"/>
          <w:color w:val="auto"/>
          <w:highlight w:val="none"/>
        </w:rPr>
        <w:t>；</w:t>
      </w:r>
    </w:p>
    <w:p w14:paraId="38929F86">
      <w:pPr>
        <w:autoSpaceDE w:val="0"/>
        <w:autoSpaceDN w:val="0"/>
        <w:adjustRightInd w:val="0"/>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3</w:t>
      </w:r>
      <w:r>
        <w:rPr>
          <w:rFonts w:hint="eastAsia" w:ascii="Calibri" w:hAnsi="宋体" w:cs="Times New Roman"/>
          <w:color w:val="auto"/>
          <w:highlight w:val="none"/>
        </w:rPr>
        <w:t>）其他方式</w:t>
      </w:r>
      <w:r>
        <w:rPr>
          <w:rFonts w:hint="eastAsia" w:ascii="Calibri" w:hAnsi="Calibri" w:cs="Times New Roman"/>
          <w:color w:val="auto"/>
          <w:highlight w:val="none"/>
        </w:rPr>
        <w:t>：</w:t>
      </w:r>
      <w:r>
        <w:rPr>
          <w:rFonts w:ascii="Calibri" w:hAnsi="宋体" w:cs="Times New Roman"/>
          <w:bCs/>
          <w:color w:val="auto"/>
          <w:kern w:val="2"/>
          <w:highlight w:val="none"/>
          <w:u w:val="single"/>
        </w:rPr>
        <w:t xml:space="preserve"> / </w:t>
      </w:r>
      <w:r>
        <w:rPr>
          <w:rFonts w:hint="eastAsia" w:ascii="Calibri" w:hAnsi="宋体" w:cs="Times New Roman"/>
          <w:bCs/>
          <w:color w:val="auto"/>
          <w:kern w:val="2"/>
          <w:highlight w:val="none"/>
        </w:rPr>
        <w:t>。</w:t>
      </w:r>
    </w:p>
    <w:p w14:paraId="3E048539">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15.3.2 </w:t>
      </w:r>
      <w:r>
        <w:rPr>
          <w:rFonts w:hint="eastAsia" w:ascii="Calibri" w:hAnsi="宋体" w:cs="Times New Roman"/>
          <w:color w:val="auto"/>
          <w:kern w:val="2"/>
          <w:highlight w:val="none"/>
        </w:rPr>
        <w:t>质量保证金的扣留</w:t>
      </w:r>
    </w:p>
    <w:p w14:paraId="79A0CCDB">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质量保证金的扣留采取以下第</w:t>
      </w:r>
      <w:r>
        <w:rPr>
          <w:rFonts w:hint="eastAsia" w:ascii="Calibri" w:hAnsi="Calibri" w:cs="Times New Roman"/>
          <w:color w:val="auto"/>
          <w:kern w:val="2"/>
          <w:highlight w:val="none"/>
          <w:u w:val="single"/>
        </w:rPr>
        <w:t>（</w:t>
      </w:r>
      <w:r>
        <w:rPr>
          <w:rFonts w:ascii="Calibri" w:hAnsi="Calibri" w:cs="Times New Roman"/>
          <w:color w:val="auto"/>
          <w:kern w:val="2"/>
          <w:highlight w:val="none"/>
          <w:u w:val="single"/>
        </w:rPr>
        <w:t>2</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rPr>
        <w:t>种方式：</w:t>
      </w:r>
    </w:p>
    <w:p w14:paraId="000F4521">
      <w:pPr>
        <w:autoSpaceDE w:val="0"/>
        <w:autoSpaceDN w:val="0"/>
        <w:adjustRightInd w:val="0"/>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1</w:t>
      </w:r>
      <w:r>
        <w:rPr>
          <w:rFonts w:hint="eastAsia" w:ascii="Calibri" w:hAnsi="宋体" w:cs="Times New Roman"/>
          <w:color w:val="auto"/>
          <w:highlight w:val="none"/>
        </w:rPr>
        <w:t>）在支付工程进度款时逐次扣留，在此情形下，质量保证金的计算基数不包括预付款的支付、扣回以及价格调整的金额；</w:t>
      </w:r>
    </w:p>
    <w:p w14:paraId="0F05DAFD">
      <w:pPr>
        <w:autoSpaceDE w:val="0"/>
        <w:autoSpaceDN w:val="0"/>
        <w:adjustRightInd w:val="0"/>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2</w:t>
      </w:r>
      <w:r>
        <w:rPr>
          <w:rFonts w:hint="eastAsia" w:ascii="Calibri" w:hAnsi="宋体" w:cs="Times New Roman"/>
          <w:color w:val="auto"/>
          <w:highlight w:val="none"/>
        </w:rPr>
        <w:t>）工程竣工结算时一次性扣留质量保证金</w:t>
      </w:r>
      <w:r>
        <w:rPr>
          <w:rFonts w:hint="eastAsia" w:ascii="Calibri" w:hAnsi="宋体" w:cs="Times New Roman"/>
          <w:bCs/>
          <w:color w:val="auto"/>
          <w:kern w:val="2"/>
          <w:highlight w:val="none"/>
        </w:rPr>
        <w:t>（</w:t>
      </w:r>
      <w:r>
        <w:rPr>
          <w:rFonts w:hint="eastAsia" w:ascii="Calibri" w:hAnsi="宋体" w:cs="Times New Roman"/>
          <w:bCs/>
          <w:color w:val="auto"/>
          <w:kern w:val="2"/>
          <w:highlight w:val="none"/>
          <w:lang w:eastAsia="zh-CN"/>
        </w:rPr>
        <w:t>可采用</w:t>
      </w:r>
      <w:r>
        <w:rPr>
          <w:rFonts w:hint="eastAsia" w:ascii="Calibri" w:hAnsi="宋体" w:cs="Times New Roman"/>
          <w:bCs/>
          <w:color w:val="auto"/>
          <w:kern w:val="2"/>
          <w:highlight w:val="none"/>
        </w:rPr>
        <w:t>银行保函形式）</w:t>
      </w:r>
      <w:r>
        <w:rPr>
          <w:rFonts w:hint="eastAsia" w:ascii="Calibri" w:hAnsi="宋体" w:cs="Times New Roman"/>
          <w:color w:val="auto"/>
          <w:highlight w:val="none"/>
        </w:rPr>
        <w:t>；</w:t>
      </w:r>
    </w:p>
    <w:p w14:paraId="5B8C1062">
      <w:pPr>
        <w:autoSpaceDE w:val="0"/>
        <w:autoSpaceDN w:val="0"/>
        <w:adjustRightInd w:val="0"/>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3</w:t>
      </w:r>
      <w:r>
        <w:rPr>
          <w:rFonts w:hint="eastAsia" w:ascii="Calibri" w:hAnsi="宋体" w:cs="Times New Roman"/>
          <w:color w:val="auto"/>
          <w:highlight w:val="none"/>
        </w:rPr>
        <w:t>）其他扣留方式</w:t>
      </w:r>
      <w:r>
        <w:rPr>
          <w:rFonts w:ascii="Calibri" w:hAnsi="Calibri" w:cs="Times New Roman"/>
          <w:color w:val="auto"/>
          <w:highlight w:val="none"/>
        </w:rPr>
        <w:t>:</w:t>
      </w:r>
      <w:r>
        <w:rPr>
          <w:rFonts w:ascii="Calibri" w:hAnsi="Calibri" w:cs="Times New Roman"/>
          <w:color w:val="auto"/>
          <w:highlight w:val="none"/>
          <w:u w:val="single"/>
        </w:rPr>
        <w:t>/</w:t>
      </w:r>
      <w:r>
        <w:rPr>
          <w:rFonts w:hint="eastAsia" w:ascii="Calibri" w:hAnsi="宋体" w:cs="Times New Roman"/>
          <w:color w:val="auto"/>
          <w:highlight w:val="none"/>
        </w:rPr>
        <w:t>。</w:t>
      </w:r>
    </w:p>
    <w:p w14:paraId="0D62B4FF">
      <w:pPr>
        <w:spacing w:line="360" w:lineRule="auto"/>
        <w:ind w:firstLine="420" w:firstLineChars="200"/>
        <w:jc w:val="left"/>
        <w:rPr>
          <w:rFonts w:ascii="Calibri" w:hAnsi="Calibri" w:cs="Times New Roman"/>
          <w:color w:val="auto"/>
          <w:highlight w:val="none"/>
          <w:u w:val="single"/>
        </w:rPr>
      </w:pPr>
      <w:r>
        <w:rPr>
          <w:rFonts w:hint="eastAsia" w:ascii="Calibri" w:hAnsi="宋体" w:cs="Times New Roman"/>
          <w:color w:val="auto"/>
          <w:kern w:val="2"/>
          <w:highlight w:val="none"/>
        </w:rPr>
        <w:t>关于质量保证金的补充约定：</w:t>
      </w:r>
      <w:r>
        <w:rPr>
          <w:rFonts w:ascii="Calibri" w:hAnsi="Calibri" w:cs="Times New Roman"/>
          <w:color w:val="auto"/>
          <w:highlight w:val="none"/>
          <w:u w:val="single"/>
        </w:rPr>
        <w:t>/</w:t>
      </w:r>
      <w:r>
        <w:rPr>
          <w:rFonts w:hint="eastAsia" w:ascii="Calibri" w:hAnsi="宋体" w:cs="Times New Roman"/>
          <w:color w:val="auto"/>
          <w:highlight w:val="none"/>
        </w:rPr>
        <w:t>。</w:t>
      </w:r>
    </w:p>
    <w:bookmarkEnd w:id="1956"/>
    <w:bookmarkEnd w:id="1957"/>
    <w:p w14:paraId="14B22D23">
      <w:pPr>
        <w:keepNext/>
        <w:keepLines/>
        <w:spacing w:before="260" w:after="260" w:line="416" w:lineRule="auto"/>
        <w:outlineLvl w:val="3"/>
        <w:rPr>
          <w:rFonts w:ascii="Calibri" w:hAnsi="Calibri" w:cs="Times New Roman"/>
          <w:b/>
          <w:bCs/>
          <w:color w:val="auto"/>
          <w:kern w:val="2"/>
          <w:sz w:val="32"/>
          <w:szCs w:val="32"/>
          <w:highlight w:val="none"/>
        </w:rPr>
      </w:pPr>
      <w:bookmarkStart w:id="2007" w:name="_Toc407135268"/>
      <w:bookmarkStart w:id="2008" w:name="_Toc512691468"/>
      <w:bookmarkStart w:id="2009" w:name="_Toc389065330"/>
      <w:bookmarkStart w:id="2010" w:name="_Toc532840074"/>
      <w:bookmarkStart w:id="2011" w:name="_Toc485400661"/>
      <w:bookmarkStart w:id="2012" w:name="_Toc493774829"/>
      <w:bookmarkStart w:id="2013" w:name="_Toc494549265"/>
      <w:bookmarkStart w:id="2014" w:name="_Toc373227765"/>
      <w:bookmarkStart w:id="2015" w:name="_Toc508894130"/>
      <w:bookmarkStart w:id="2016" w:name="_Toc373478412"/>
      <w:bookmarkStart w:id="2017" w:name="_Toc530658092"/>
      <w:r>
        <w:rPr>
          <w:rFonts w:ascii="Calibri" w:hAnsi="Calibri" w:cs="Times New Roman"/>
          <w:b/>
          <w:bCs/>
          <w:color w:val="auto"/>
          <w:kern w:val="2"/>
          <w:sz w:val="32"/>
          <w:szCs w:val="32"/>
          <w:highlight w:val="none"/>
        </w:rPr>
        <w:t xml:space="preserve">15.4 </w:t>
      </w:r>
      <w:r>
        <w:rPr>
          <w:rFonts w:hint="eastAsia" w:ascii="Calibri" w:hAnsi="宋体" w:cs="Times New Roman"/>
          <w:b/>
          <w:bCs/>
          <w:color w:val="auto"/>
          <w:kern w:val="2"/>
          <w:sz w:val="32"/>
          <w:szCs w:val="32"/>
          <w:highlight w:val="none"/>
        </w:rPr>
        <w:t>保修</w:t>
      </w:r>
      <w:bookmarkEnd w:id="2007"/>
      <w:bookmarkEnd w:id="2008"/>
      <w:bookmarkEnd w:id="2009"/>
      <w:bookmarkEnd w:id="2010"/>
      <w:bookmarkEnd w:id="2011"/>
      <w:bookmarkEnd w:id="2012"/>
      <w:bookmarkEnd w:id="2013"/>
      <w:bookmarkEnd w:id="2014"/>
      <w:bookmarkEnd w:id="2015"/>
      <w:bookmarkEnd w:id="2016"/>
      <w:bookmarkEnd w:id="2017"/>
    </w:p>
    <w:bookmarkEnd w:id="1958"/>
    <w:p w14:paraId="1A21AF4E">
      <w:pPr>
        <w:spacing w:line="360" w:lineRule="auto"/>
        <w:ind w:firstLine="409" w:firstLineChars="195"/>
        <w:jc w:val="left"/>
        <w:rPr>
          <w:rFonts w:ascii="Calibri" w:hAnsi="Calibri" w:cs="Times New Roman"/>
          <w:color w:val="auto"/>
          <w:kern w:val="2"/>
          <w:highlight w:val="none"/>
        </w:rPr>
      </w:pPr>
      <w:r>
        <w:rPr>
          <w:rFonts w:ascii="Calibri" w:hAnsi="Calibri" w:cs="Times New Roman"/>
          <w:color w:val="auto"/>
          <w:kern w:val="2"/>
          <w:highlight w:val="none"/>
        </w:rPr>
        <w:t xml:space="preserve">15.4.1 </w:t>
      </w:r>
      <w:r>
        <w:rPr>
          <w:rFonts w:hint="eastAsia" w:ascii="Calibri" w:hAnsi="宋体" w:cs="Times New Roman"/>
          <w:color w:val="auto"/>
          <w:kern w:val="2"/>
          <w:highlight w:val="none"/>
        </w:rPr>
        <w:t>保修责任</w:t>
      </w:r>
    </w:p>
    <w:p w14:paraId="14DD7001">
      <w:pPr>
        <w:spacing w:line="360" w:lineRule="auto"/>
        <w:ind w:firstLine="409" w:firstLineChars="195"/>
        <w:jc w:val="left"/>
        <w:rPr>
          <w:rFonts w:ascii="Calibri" w:hAnsi="宋体" w:cs="Times New Roman"/>
          <w:color w:val="auto"/>
          <w:highlight w:val="none"/>
        </w:rPr>
      </w:pPr>
      <w:r>
        <w:rPr>
          <w:rFonts w:hint="eastAsia" w:ascii="Calibri" w:hAnsi="宋体" w:cs="Times New Roman"/>
          <w:color w:val="auto"/>
          <w:kern w:val="2"/>
          <w:highlight w:val="none"/>
        </w:rPr>
        <w:t>工程保修期为：</w:t>
      </w:r>
      <w:r>
        <w:rPr>
          <w:rFonts w:hint="eastAsia" w:ascii="Calibri" w:hAnsi="Calibri" w:cs="Times New Roman"/>
          <w:color w:val="auto"/>
          <w:highlight w:val="none"/>
          <w:u w:val="single"/>
        </w:rPr>
        <w:t>按国家有关规定</w:t>
      </w:r>
      <w:r>
        <w:rPr>
          <w:rFonts w:ascii="Calibri" w:hAnsi="Calibri" w:cs="Times New Roman"/>
          <w:color w:val="auto"/>
          <w:highlight w:val="none"/>
          <w:u w:val="single"/>
        </w:rPr>
        <w:tab/>
      </w:r>
      <w:r>
        <w:rPr>
          <w:rFonts w:hint="eastAsia" w:ascii="Calibri" w:hAnsi="宋体" w:cs="Times New Roman"/>
          <w:color w:val="auto"/>
          <w:highlight w:val="none"/>
        </w:rPr>
        <w:t>。</w:t>
      </w:r>
    </w:p>
    <w:p w14:paraId="56D4A056">
      <w:pPr>
        <w:spacing w:line="360" w:lineRule="auto"/>
        <w:ind w:firstLine="409" w:firstLineChars="195"/>
        <w:jc w:val="left"/>
        <w:rPr>
          <w:rFonts w:ascii="Calibri" w:hAnsi="Calibri" w:cs="Times New Roman"/>
          <w:color w:val="auto"/>
          <w:highlight w:val="none"/>
          <w:u w:val="single"/>
        </w:rPr>
      </w:pPr>
      <w:r>
        <w:rPr>
          <w:rFonts w:hint="eastAsia" w:hAnsi="宋体" w:cs="Times New Roman"/>
          <w:color w:val="auto"/>
          <w:kern w:val="2"/>
          <w:highlight w:val="none"/>
        </w:rPr>
        <w:t>工程保修书具体内容见合同附件</w:t>
      </w:r>
      <w:r>
        <w:rPr>
          <w:rFonts w:hAnsi="宋体" w:cs="Times New Roman"/>
          <w:color w:val="auto"/>
          <w:kern w:val="2"/>
          <w:highlight w:val="none"/>
        </w:rPr>
        <w:t>8</w:t>
      </w:r>
      <w:r>
        <w:rPr>
          <w:rFonts w:hint="eastAsia" w:hAnsi="宋体" w:cs="Times New Roman"/>
          <w:color w:val="auto"/>
          <w:kern w:val="2"/>
          <w:highlight w:val="none"/>
        </w:rPr>
        <w:t>。</w:t>
      </w:r>
    </w:p>
    <w:p w14:paraId="6908A81D">
      <w:pPr>
        <w:spacing w:line="360" w:lineRule="auto"/>
        <w:ind w:firstLine="409" w:firstLineChars="195"/>
        <w:jc w:val="left"/>
        <w:rPr>
          <w:rFonts w:ascii="Calibri" w:hAnsi="Calibri" w:cs="Times New Roman"/>
          <w:color w:val="auto"/>
          <w:kern w:val="2"/>
          <w:highlight w:val="none"/>
        </w:rPr>
      </w:pPr>
      <w:r>
        <w:rPr>
          <w:rFonts w:ascii="Calibri" w:hAnsi="Calibri" w:cs="Times New Roman"/>
          <w:color w:val="auto"/>
          <w:kern w:val="2"/>
          <w:highlight w:val="none"/>
        </w:rPr>
        <w:t xml:space="preserve">15.4.3 </w:t>
      </w:r>
      <w:r>
        <w:rPr>
          <w:rFonts w:hint="eastAsia" w:ascii="Calibri" w:hAnsi="宋体" w:cs="Times New Roman"/>
          <w:color w:val="auto"/>
          <w:kern w:val="2"/>
          <w:highlight w:val="none"/>
        </w:rPr>
        <w:t>修复通知</w:t>
      </w:r>
    </w:p>
    <w:p w14:paraId="609B2DC8">
      <w:pPr>
        <w:spacing w:line="360" w:lineRule="auto"/>
        <w:ind w:firstLine="409" w:firstLineChars="195"/>
        <w:jc w:val="left"/>
        <w:rPr>
          <w:rFonts w:ascii="Calibri" w:hAnsi="Calibri" w:cs="Times New Roman"/>
          <w:color w:val="auto"/>
          <w:highlight w:val="none"/>
          <w:u w:val="single"/>
        </w:rPr>
      </w:pPr>
      <w:r>
        <w:rPr>
          <w:rFonts w:hint="eastAsia" w:ascii="Calibri" w:hAnsi="宋体" w:cs="Times New Roman"/>
          <w:color w:val="auto"/>
          <w:highlight w:val="none"/>
        </w:rPr>
        <w:t>承包人收到保修通知并到达工程现场的合理时间：</w:t>
      </w:r>
      <w:r>
        <w:rPr>
          <w:rFonts w:ascii="Calibri" w:hAnsi="Calibri" w:cs="Times New Roman"/>
          <w:color w:val="auto"/>
          <w:highlight w:val="none"/>
          <w:u w:val="single"/>
        </w:rPr>
        <w:t>48</w:t>
      </w:r>
      <w:r>
        <w:rPr>
          <w:rFonts w:hint="eastAsia" w:ascii="Calibri" w:hAnsi="Calibri" w:cs="Times New Roman"/>
          <w:color w:val="auto"/>
          <w:highlight w:val="none"/>
          <w:u w:val="single"/>
        </w:rPr>
        <w:t>小时内</w:t>
      </w:r>
      <w:r>
        <w:rPr>
          <w:rFonts w:hint="eastAsia" w:ascii="Calibri" w:hAnsi="宋体" w:cs="Times New Roman"/>
          <w:color w:val="auto"/>
          <w:highlight w:val="none"/>
        </w:rPr>
        <w:t>。</w:t>
      </w:r>
    </w:p>
    <w:bookmarkEnd w:id="1959"/>
    <w:bookmarkEnd w:id="1960"/>
    <w:bookmarkEnd w:id="1961"/>
    <w:bookmarkEnd w:id="1962"/>
    <w:p w14:paraId="4720A9D1">
      <w:pPr>
        <w:keepNext/>
        <w:keepLines/>
        <w:spacing w:before="260" w:after="260" w:line="416" w:lineRule="auto"/>
        <w:outlineLvl w:val="2"/>
        <w:rPr>
          <w:rFonts w:ascii="Cambria" w:hAnsi="Cambria" w:cs="Times New Roman"/>
          <w:b/>
          <w:bCs/>
          <w:color w:val="auto"/>
          <w:kern w:val="2"/>
          <w:sz w:val="32"/>
          <w:szCs w:val="32"/>
          <w:highlight w:val="none"/>
        </w:rPr>
      </w:pPr>
      <w:bookmarkStart w:id="2018" w:name="_Toc485400662"/>
      <w:bookmarkStart w:id="2019" w:name="_Toc351203648"/>
      <w:bookmarkStart w:id="2020" w:name="_Toc389065331"/>
      <w:bookmarkStart w:id="2021" w:name="_Toc512691469"/>
      <w:bookmarkStart w:id="2022" w:name="_Toc493774830"/>
      <w:bookmarkStart w:id="2023" w:name="_Toc407135269"/>
      <w:bookmarkStart w:id="2024" w:name="_Toc494549266"/>
      <w:bookmarkStart w:id="2025" w:name="_Toc530658093"/>
      <w:bookmarkStart w:id="2026" w:name="_Toc532840075"/>
      <w:bookmarkStart w:id="2027" w:name="_Toc508894131"/>
      <w:bookmarkStart w:id="2028" w:name="_Toc373478413"/>
      <w:bookmarkStart w:id="2029" w:name="_Toc373227766"/>
      <w:bookmarkStart w:id="2030" w:name="_Toc280868717"/>
      <w:bookmarkStart w:id="2031" w:name="_Toc280868718"/>
      <w:r>
        <w:rPr>
          <w:rFonts w:ascii="Cambria" w:hAnsi="Cambria" w:cs="Times New Roman"/>
          <w:b/>
          <w:bCs/>
          <w:color w:val="auto"/>
          <w:kern w:val="2"/>
          <w:sz w:val="32"/>
          <w:szCs w:val="32"/>
          <w:highlight w:val="none"/>
        </w:rPr>
        <w:t xml:space="preserve">16. </w:t>
      </w:r>
      <w:r>
        <w:rPr>
          <w:rFonts w:hint="eastAsia" w:ascii="Cambria" w:hAnsi="宋体" w:cs="Times New Roman"/>
          <w:b/>
          <w:bCs/>
          <w:color w:val="auto"/>
          <w:kern w:val="2"/>
          <w:sz w:val="32"/>
          <w:szCs w:val="32"/>
          <w:highlight w:val="none"/>
        </w:rPr>
        <w:t>违约</w:t>
      </w:r>
      <w:bookmarkEnd w:id="2018"/>
      <w:bookmarkEnd w:id="2019"/>
      <w:bookmarkEnd w:id="2020"/>
      <w:bookmarkEnd w:id="2021"/>
      <w:bookmarkEnd w:id="2022"/>
      <w:bookmarkEnd w:id="2023"/>
      <w:bookmarkEnd w:id="2024"/>
      <w:bookmarkEnd w:id="2025"/>
      <w:bookmarkEnd w:id="2026"/>
      <w:bookmarkEnd w:id="2027"/>
      <w:bookmarkEnd w:id="2028"/>
      <w:bookmarkEnd w:id="2029"/>
    </w:p>
    <w:p w14:paraId="48828322">
      <w:pPr>
        <w:keepNext/>
        <w:keepLines/>
        <w:spacing w:before="260" w:after="260" w:line="416" w:lineRule="auto"/>
        <w:outlineLvl w:val="3"/>
        <w:rPr>
          <w:rFonts w:ascii="Calibri" w:hAnsi="Calibri" w:cs="Times New Roman"/>
          <w:b/>
          <w:bCs/>
          <w:color w:val="auto"/>
          <w:kern w:val="2"/>
          <w:sz w:val="32"/>
          <w:szCs w:val="32"/>
          <w:highlight w:val="none"/>
        </w:rPr>
      </w:pPr>
      <w:bookmarkStart w:id="2032" w:name="_Toc494549267"/>
      <w:bookmarkStart w:id="2033" w:name="_Toc407135270"/>
      <w:bookmarkStart w:id="2034" w:name="_Toc532840076"/>
      <w:bookmarkStart w:id="2035" w:name="_Toc373227767"/>
      <w:bookmarkStart w:id="2036" w:name="_Toc373478414"/>
      <w:bookmarkStart w:id="2037" w:name="_Toc389065332"/>
      <w:bookmarkStart w:id="2038" w:name="_Toc485400663"/>
      <w:bookmarkStart w:id="2039" w:name="_Toc512691470"/>
      <w:bookmarkStart w:id="2040" w:name="_Toc493774831"/>
      <w:bookmarkStart w:id="2041" w:name="_Toc530658094"/>
      <w:bookmarkStart w:id="2042" w:name="_Toc508894132"/>
      <w:r>
        <w:rPr>
          <w:rFonts w:ascii="Calibri" w:hAnsi="Calibri" w:cs="Times New Roman"/>
          <w:b/>
          <w:bCs/>
          <w:color w:val="auto"/>
          <w:kern w:val="2"/>
          <w:sz w:val="32"/>
          <w:szCs w:val="32"/>
          <w:highlight w:val="none"/>
        </w:rPr>
        <w:t xml:space="preserve">16.1 </w:t>
      </w:r>
      <w:r>
        <w:rPr>
          <w:rFonts w:hint="eastAsia" w:ascii="Calibri" w:hAnsi="宋体" w:cs="Times New Roman"/>
          <w:b/>
          <w:bCs/>
          <w:color w:val="auto"/>
          <w:kern w:val="2"/>
          <w:sz w:val="32"/>
          <w:szCs w:val="32"/>
          <w:highlight w:val="none"/>
        </w:rPr>
        <w:t>发包人违约</w:t>
      </w:r>
      <w:bookmarkEnd w:id="2032"/>
      <w:bookmarkEnd w:id="2033"/>
      <w:bookmarkEnd w:id="2034"/>
      <w:bookmarkEnd w:id="2035"/>
      <w:bookmarkEnd w:id="2036"/>
      <w:bookmarkEnd w:id="2037"/>
      <w:bookmarkEnd w:id="2038"/>
      <w:bookmarkEnd w:id="2039"/>
      <w:bookmarkEnd w:id="2040"/>
      <w:bookmarkEnd w:id="2041"/>
      <w:bookmarkEnd w:id="2042"/>
    </w:p>
    <w:p w14:paraId="5EBFCD79">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16.1.1</w:t>
      </w:r>
      <w:r>
        <w:rPr>
          <w:rFonts w:hint="eastAsia" w:ascii="Calibri" w:hAnsi="宋体" w:cs="Times New Roman"/>
          <w:color w:val="auto"/>
          <w:kern w:val="2"/>
          <w:highlight w:val="none"/>
        </w:rPr>
        <w:t>发包人违约的情形</w:t>
      </w:r>
    </w:p>
    <w:p w14:paraId="4C5B066F">
      <w:pPr>
        <w:spacing w:line="360" w:lineRule="auto"/>
        <w:ind w:firstLine="420" w:firstLineChars="200"/>
        <w:jc w:val="left"/>
        <w:rPr>
          <w:rFonts w:ascii="Calibri" w:hAnsi="宋体" w:cs="Times New Roman"/>
          <w:color w:val="auto"/>
          <w:highlight w:val="none"/>
        </w:rPr>
      </w:pPr>
      <w:r>
        <w:rPr>
          <w:rFonts w:hint="eastAsia" w:ascii="Calibri" w:hAnsi="宋体" w:cs="Times New Roman"/>
          <w:color w:val="auto"/>
          <w:highlight w:val="none"/>
        </w:rPr>
        <w:t>发包人违约的其他情形：</w:t>
      </w:r>
      <w:r>
        <w:rPr>
          <w:rFonts w:ascii="Calibri" w:hAnsi="Calibri" w:cs="Times New Roman"/>
          <w:color w:val="auto"/>
          <w:highlight w:val="none"/>
          <w:u w:val="single"/>
        </w:rPr>
        <w:t xml:space="preserve"> / </w:t>
      </w:r>
      <w:r>
        <w:rPr>
          <w:rFonts w:hint="eastAsia" w:ascii="Calibri" w:hAnsi="宋体" w:cs="Times New Roman"/>
          <w:color w:val="auto"/>
          <w:highlight w:val="none"/>
        </w:rPr>
        <w:t>。</w:t>
      </w:r>
    </w:p>
    <w:p w14:paraId="425A4B14">
      <w:pPr>
        <w:spacing w:line="360" w:lineRule="auto"/>
        <w:ind w:firstLine="420" w:firstLineChars="200"/>
        <w:jc w:val="left"/>
        <w:rPr>
          <w:rFonts w:ascii="Calibri" w:hAnsi="Calibri" w:cs="Times New Roman"/>
          <w:color w:val="auto"/>
          <w:highlight w:val="none"/>
        </w:rPr>
      </w:pPr>
      <w:r>
        <w:rPr>
          <w:rFonts w:ascii="Calibri" w:hAnsi="Calibri" w:cs="Times New Roman"/>
          <w:color w:val="auto"/>
          <w:highlight w:val="none"/>
        </w:rPr>
        <w:t xml:space="preserve">16.1.2 </w:t>
      </w:r>
      <w:r>
        <w:rPr>
          <w:rFonts w:hint="eastAsia" w:ascii="Calibri" w:hAnsi="宋体" w:cs="Times New Roman"/>
          <w:color w:val="auto"/>
          <w:highlight w:val="none"/>
        </w:rPr>
        <w:t>发包人违约的责任</w:t>
      </w:r>
    </w:p>
    <w:p w14:paraId="57F09773">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发包人违约责任的承担方式和计算方法：</w:t>
      </w:r>
    </w:p>
    <w:p w14:paraId="31B9EA6F">
      <w:pPr>
        <w:spacing w:line="360" w:lineRule="auto"/>
        <w:ind w:firstLine="420" w:firstLineChars="200"/>
        <w:jc w:val="left"/>
        <w:rPr>
          <w:rFonts w:ascii="Calibri" w:hAnsi="Calibri" w:cs="Times New Roman"/>
          <w:color w:val="auto"/>
          <w:highlight w:val="none"/>
          <w:u w:val="single"/>
        </w:rPr>
      </w:pPr>
      <w:r>
        <w:rPr>
          <w:rFonts w:hint="eastAsia" w:ascii="Calibri" w:hAnsi="宋体" w:cs="Times New Roman"/>
          <w:color w:val="auto"/>
          <w:highlight w:val="none"/>
        </w:rPr>
        <w:t>（</w:t>
      </w:r>
      <w:r>
        <w:rPr>
          <w:rFonts w:ascii="Calibri" w:hAnsi="Calibri" w:cs="Times New Roman"/>
          <w:color w:val="auto"/>
          <w:highlight w:val="none"/>
        </w:rPr>
        <w:t>1</w:t>
      </w:r>
      <w:r>
        <w:rPr>
          <w:rFonts w:hint="eastAsia" w:ascii="Calibri" w:hAnsi="宋体" w:cs="Times New Roman"/>
          <w:color w:val="auto"/>
          <w:highlight w:val="none"/>
        </w:rPr>
        <w:t>）因发包人原因未能在计划开工日期前</w:t>
      </w:r>
      <w:r>
        <w:rPr>
          <w:rFonts w:ascii="Calibri" w:hAnsi="Calibri" w:cs="Times New Roman"/>
          <w:color w:val="auto"/>
          <w:highlight w:val="none"/>
        </w:rPr>
        <w:t>7</w:t>
      </w:r>
      <w:r>
        <w:rPr>
          <w:rFonts w:hint="eastAsia" w:ascii="Calibri" w:hAnsi="宋体" w:cs="Times New Roman"/>
          <w:color w:val="auto"/>
          <w:highlight w:val="none"/>
        </w:rPr>
        <w:t>天内下达开工通知的违约责任：</w:t>
      </w:r>
      <w:r>
        <w:rPr>
          <w:rFonts w:hint="eastAsia" w:ascii="Calibri" w:hAnsi="Calibri" w:cs="Times New Roman"/>
          <w:color w:val="auto"/>
          <w:highlight w:val="none"/>
          <w:u w:val="single"/>
        </w:rPr>
        <w:t>工期顺延</w:t>
      </w:r>
      <w:r>
        <w:rPr>
          <w:rFonts w:hint="eastAsia" w:ascii="Calibri" w:hAnsi="宋体" w:cs="Times New Roman"/>
          <w:color w:val="auto"/>
          <w:highlight w:val="none"/>
        </w:rPr>
        <w:t>。</w:t>
      </w:r>
    </w:p>
    <w:p w14:paraId="5B7807C4">
      <w:pPr>
        <w:spacing w:line="360" w:lineRule="auto"/>
        <w:ind w:firstLine="420" w:firstLineChars="200"/>
        <w:jc w:val="left"/>
        <w:rPr>
          <w:rFonts w:hint="eastAsia" w:ascii="Calibri" w:hAnsi="Calibri" w:eastAsia="宋体" w:cs="Times New Roman"/>
          <w:color w:val="auto"/>
          <w:highlight w:val="none"/>
          <w:u w:val="single"/>
        </w:rPr>
      </w:pPr>
      <w:r>
        <w:rPr>
          <w:rFonts w:hint="eastAsia" w:ascii="Calibri" w:hAnsi="宋体" w:cs="Times New Roman"/>
          <w:color w:val="auto"/>
          <w:highlight w:val="none"/>
        </w:rPr>
        <w:t>（</w:t>
      </w:r>
      <w:r>
        <w:rPr>
          <w:rFonts w:ascii="Calibri" w:hAnsi="Calibri" w:cs="Times New Roman"/>
          <w:color w:val="auto"/>
          <w:highlight w:val="none"/>
        </w:rPr>
        <w:t>2</w:t>
      </w:r>
      <w:r>
        <w:rPr>
          <w:rFonts w:hint="eastAsia" w:ascii="Calibri" w:hAnsi="宋体" w:cs="Times New Roman"/>
          <w:color w:val="auto"/>
          <w:highlight w:val="none"/>
        </w:rPr>
        <w:t>）因发包人原因未能按合同约定支付合同价款的违约责任：</w:t>
      </w:r>
      <w:r>
        <w:rPr>
          <w:rFonts w:hint="eastAsia" w:ascii="Calibri" w:hAnsi="Calibri" w:eastAsia="宋体" w:cs="Times New Roman"/>
          <w:color w:val="auto"/>
          <w:highlight w:val="none"/>
          <w:u w:val="single"/>
        </w:rPr>
        <w:t>按人民银行同期贷款基准利率赔偿，工期相应顺延。</w:t>
      </w:r>
    </w:p>
    <w:p w14:paraId="5001760F">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3</w:t>
      </w:r>
      <w:r>
        <w:rPr>
          <w:rFonts w:hint="eastAsia" w:ascii="Calibri" w:hAnsi="宋体" w:cs="Times New Roman"/>
          <w:color w:val="auto"/>
          <w:highlight w:val="none"/>
        </w:rPr>
        <w:t>）发包人违反第</w:t>
      </w:r>
      <w:r>
        <w:rPr>
          <w:rFonts w:ascii="Calibri" w:hAnsi="Calibri" w:cs="Times New Roman"/>
          <w:color w:val="auto"/>
          <w:highlight w:val="none"/>
        </w:rPr>
        <w:t>10.1</w:t>
      </w:r>
      <w:r>
        <w:rPr>
          <w:rFonts w:hint="eastAsia" w:ascii="Calibri" w:hAnsi="宋体" w:cs="Times New Roman"/>
          <w:color w:val="auto"/>
          <w:highlight w:val="none"/>
        </w:rPr>
        <w:t>款〔变更的范围〕第（</w:t>
      </w:r>
      <w:r>
        <w:rPr>
          <w:rFonts w:ascii="Calibri" w:hAnsi="Calibri" w:cs="Times New Roman"/>
          <w:color w:val="auto"/>
          <w:highlight w:val="none"/>
        </w:rPr>
        <w:t>2</w:t>
      </w:r>
      <w:r>
        <w:rPr>
          <w:rFonts w:hint="eastAsia" w:ascii="Calibri" w:hAnsi="宋体" w:cs="Times New Roman"/>
          <w:color w:val="auto"/>
          <w:highlight w:val="none"/>
        </w:rPr>
        <w:t>）项约定，自行实施被取消的工作或转由他人实施的违约责任：</w:t>
      </w:r>
      <w:r>
        <w:rPr>
          <w:rFonts w:ascii="Calibri" w:hAnsi="Calibri" w:cs="Times New Roman"/>
          <w:color w:val="auto"/>
          <w:highlight w:val="none"/>
          <w:u w:val="single"/>
        </w:rPr>
        <w:t xml:space="preserve"> /</w:t>
      </w:r>
      <w:r>
        <w:rPr>
          <w:rFonts w:hint="eastAsia" w:ascii="Calibri" w:hAnsi="宋体" w:cs="Times New Roman"/>
          <w:color w:val="auto"/>
          <w:highlight w:val="none"/>
        </w:rPr>
        <w:t>。</w:t>
      </w:r>
    </w:p>
    <w:p w14:paraId="1DDBE05F">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4</w:t>
      </w:r>
      <w:r>
        <w:rPr>
          <w:rFonts w:hint="eastAsia" w:ascii="Calibri" w:hAnsi="宋体" w:cs="Times New Roman"/>
          <w:color w:val="auto"/>
          <w:highlight w:val="none"/>
        </w:rPr>
        <w:t>）发包人提供的材料、工程设备的规格、数量或质量不符合合同约定，或因发包人原因导致交货日期延误或交货地点变更等情况的违约责任：</w:t>
      </w:r>
      <w:r>
        <w:rPr>
          <w:rFonts w:hint="eastAsia" w:ascii="Calibri" w:hAnsi="Calibri" w:cs="Times New Roman"/>
          <w:color w:val="auto"/>
          <w:highlight w:val="none"/>
          <w:u w:val="single"/>
        </w:rPr>
        <w:t>工期顺延</w:t>
      </w:r>
      <w:r>
        <w:rPr>
          <w:rFonts w:hint="eastAsia" w:ascii="Calibri" w:hAnsi="宋体" w:cs="Times New Roman"/>
          <w:color w:val="auto"/>
          <w:highlight w:val="none"/>
        </w:rPr>
        <w:t>。</w:t>
      </w:r>
    </w:p>
    <w:p w14:paraId="413A4314">
      <w:pPr>
        <w:spacing w:line="360" w:lineRule="auto"/>
        <w:ind w:firstLine="420" w:firstLineChars="200"/>
        <w:jc w:val="left"/>
        <w:rPr>
          <w:rFonts w:hint="eastAsia" w:ascii="Calibri" w:hAnsi="宋体"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5</w:t>
      </w:r>
      <w:r>
        <w:rPr>
          <w:rFonts w:hint="eastAsia" w:ascii="Calibri" w:hAnsi="宋体" w:cs="Times New Roman"/>
          <w:color w:val="auto"/>
          <w:highlight w:val="none"/>
        </w:rPr>
        <w:t>）因发包人违反合同约定造成暂停施工的违约责任：期顺延，并赔偿由此造成承包人的相应窝工，机械停滞等的费用。</w:t>
      </w:r>
    </w:p>
    <w:p w14:paraId="0E1D46B2">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6</w:t>
      </w:r>
      <w:r>
        <w:rPr>
          <w:rFonts w:hint="eastAsia" w:ascii="Calibri" w:hAnsi="宋体" w:cs="Times New Roman"/>
          <w:color w:val="auto"/>
          <w:highlight w:val="none"/>
        </w:rPr>
        <w:t>）发包人无正当理由没有在约定期限内发出复工指示，导致承包人无法复工的违约责任：</w:t>
      </w:r>
      <w:r>
        <w:rPr>
          <w:rFonts w:ascii="Calibri" w:hAnsi="宋体" w:cs="Times New Roman"/>
          <w:color w:val="auto"/>
          <w:highlight w:val="none"/>
          <w:u w:val="single"/>
        </w:rPr>
        <w:t>/</w:t>
      </w:r>
      <w:r>
        <w:rPr>
          <w:rFonts w:hint="eastAsia" w:ascii="Calibri" w:hAnsi="宋体" w:cs="Times New Roman"/>
          <w:color w:val="auto"/>
          <w:highlight w:val="none"/>
        </w:rPr>
        <w:t>。</w:t>
      </w:r>
    </w:p>
    <w:p w14:paraId="15801D73">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7</w:t>
      </w:r>
      <w:r>
        <w:rPr>
          <w:rFonts w:hint="eastAsia" w:ascii="Calibri" w:hAnsi="宋体" w:cs="Times New Roman"/>
          <w:color w:val="auto"/>
          <w:highlight w:val="none"/>
        </w:rPr>
        <w:t>）其他：</w:t>
      </w:r>
      <w:r>
        <w:rPr>
          <w:rFonts w:ascii="Calibri" w:hAnsi="Calibri" w:cs="Times New Roman"/>
          <w:color w:val="auto"/>
          <w:highlight w:val="none"/>
          <w:u w:val="single"/>
        </w:rPr>
        <w:t xml:space="preserve"> /</w:t>
      </w:r>
      <w:r>
        <w:rPr>
          <w:rFonts w:hint="eastAsia" w:ascii="Calibri" w:hAnsi="宋体" w:cs="Times New Roman"/>
          <w:color w:val="auto"/>
          <w:highlight w:val="none"/>
        </w:rPr>
        <w:t>。</w:t>
      </w:r>
    </w:p>
    <w:p w14:paraId="1A05CBBA">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16.1.3 </w:t>
      </w:r>
      <w:r>
        <w:rPr>
          <w:rFonts w:hint="eastAsia" w:ascii="Calibri" w:hAnsi="宋体" w:cs="Times New Roman"/>
          <w:color w:val="auto"/>
          <w:kern w:val="2"/>
          <w:highlight w:val="none"/>
        </w:rPr>
        <w:t>因发包人违约解除合同</w:t>
      </w:r>
    </w:p>
    <w:p w14:paraId="29AC0BD4">
      <w:pPr>
        <w:autoSpaceDE w:val="0"/>
        <w:autoSpaceDN w:val="0"/>
        <w:adjustRightInd w:val="0"/>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承包人按</w:t>
      </w:r>
      <w:r>
        <w:rPr>
          <w:rFonts w:ascii="Calibri" w:hAnsi="Calibri" w:cs="Times New Roman"/>
          <w:color w:val="auto"/>
          <w:highlight w:val="none"/>
        </w:rPr>
        <w:t>16.1.1</w:t>
      </w:r>
      <w:r>
        <w:rPr>
          <w:rFonts w:hint="eastAsia" w:ascii="Calibri" w:hAnsi="宋体" w:cs="Times New Roman"/>
          <w:color w:val="auto"/>
          <w:highlight w:val="none"/>
        </w:rPr>
        <w:t>项〔发包人违约的情形〕约定暂停施工满</w:t>
      </w:r>
      <w:r>
        <w:rPr>
          <w:rFonts w:ascii="Calibri" w:hAnsi="宋体" w:cs="Times New Roman"/>
          <w:color w:val="auto"/>
          <w:highlight w:val="none"/>
        </w:rPr>
        <w:t>90</w:t>
      </w:r>
      <w:r>
        <w:rPr>
          <w:rFonts w:hint="eastAsia" w:ascii="Calibri" w:hAnsi="宋体" w:cs="Times New Roman"/>
          <w:color w:val="auto"/>
          <w:highlight w:val="none"/>
        </w:rPr>
        <w:t>天后发包人仍不纠正其违约行为并致使合同目的不能实现的，承包人有权解除合同。</w:t>
      </w:r>
    </w:p>
    <w:p w14:paraId="701EE527">
      <w:pPr>
        <w:keepNext/>
        <w:keepLines/>
        <w:spacing w:before="260" w:after="260" w:line="416" w:lineRule="auto"/>
        <w:outlineLvl w:val="3"/>
        <w:rPr>
          <w:rFonts w:ascii="Calibri" w:hAnsi="Calibri" w:cs="Times New Roman"/>
          <w:b/>
          <w:bCs/>
          <w:color w:val="auto"/>
          <w:kern w:val="2"/>
          <w:sz w:val="32"/>
          <w:szCs w:val="32"/>
          <w:highlight w:val="none"/>
        </w:rPr>
      </w:pPr>
      <w:bookmarkStart w:id="2043" w:name="_Toc512691471"/>
      <w:bookmarkStart w:id="2044" w:name="_Toc494549268"/>
      <w:bookmarkStart w:id="2045" w:name="_Toc532840077"/>
      <w:bookmarkStart w:id="2046" w:name="_Toc493774832"/>
      <w:bookmarkStart w:id="2047" w:name="_Toc530658095"/>
      <w:bookmarkStart w:id="2048" w:name="_Toc485400664"/>
      <w:bookmarkStart w:id="2049" w:name="_Toc373227768"/>
      <w:bookmarkStart w:id="2050" w:name="_Toc389065333"/>
      <w:bookmarkStart w:id="2051" w:name="_Toc373478415"/>
      <w:bookmarkStart w:id="2052" w:name="_Toc407135271"/>
      <w:bookmarkStart w:id="2053" w:name="_Toc508894133"/>
      <w:r>
        <w:rPr>
          <w:rFonts w:ascii="Calibri" w:hAnsi="Calibri" w:cs="Times New Roman"/>
          <w:b/>
          <w:bCs/>
          <w:color w:val="auto"/>
          <w:kern w:val="2"/>
          <w:sz w:val="32"/>
          <w:szCs w:val="32"/>
          <w:highlight w:val="none"/>
        </w:rPr>
        <w:t xml:space="preserve">16.2 </w:t>
      </w:r>
      <w:r>
        <w:rPr>
          <w:rFonts w:hint="eastAsia" w:ascii="Calibri" w:hAnsi="宋体" w:cs="Times New Roman"/>
          <w:b/>
          <w:bCs/>
          <w:color w:val="auto"/>
          <w:kern w:val="2"/>
          <w:sz w:val="32"/>
          <w:szCs w:val="32"/>
          <w:highlight w:val="none"/>
        </w:rPr>
        <w:t>承包人违约</w:t>
      </w:r>
      <w:bookmarkEnd w:id="2043"/>
      <w:bookmarkEnd w:id="2044"/>
      <w:bookmarkEnd w:id="2045"/>
      <w:bookmarkEnd w:id="2046"/>
      <w:bookmarkEnd w:id="2047"/>
      <w:bookmarkEnd w:id="2048"/>
      <w:bookmarkEnd w:id="2049"/>
      <w:bookmarkEnd w:id="2050"/>
      <w:bookmarkEnd w:id="2051"/>
      <w:bookmarkEnd w:id="2052"/>
      <w:bookmarkEnd w:id="2053"/>
    </w:p>
    <w:p w14:paraId="21B2C63C">
      <w:pPr>
        <w:spacing w:line="360" w:lineRule="auto"/>
        <w:ind w:firstLine="420" w:firstLineChars="200"/>
        <w:jc w:val="left"/>
        <w:rPr>
          <w:rFonts w:ascii="Calibri" w:hAnsi="Calibri" w:cs="Times New Roman"/>
          <w:color w:val="auto"/>
          <w:highlight w:val="none"/>
        </w:rPr>
      </w:pPr>
      <w:r>
        <w:rPr>
          <w:rFonts w:ascii="Calibri" w:hAnsi="Calibri" w:cs="Times New Roman"/>
          <w:color w:val="auto"/>
          <w:highlight w:val="none"/>
        </w:rPr>
        <w:t xml:space="preserve">16.2.1 </w:t>
      </w:r>
      <w:r>
        <w:rPr>
          <w:rFonts w:hint="eastAsia" w:ascii="Calibri" w:hAnsi="宋体" w:cs="Times New Roman"/>
          <w:color w:val="auto"/>
          <w:highlight w:val="none"/>
        </w:rPr>
        <w:t>承包人违约的情形</w:t>
      </w:r>
    </w:p>
    <w:p w14:paraId="41F2C1D3">
      <w:pPr>
        <w:spacing w:line="360" w:lineRule="auto"/>
        <w:ind w:firstLine="420" w:firstLineChars="200"/>
        <w:jc w:val="left"/>
        <w:rPr>
          <w:rFonts w:ascii="Calibri" w:hAnsi="Calibri" w:cs="Times New Roman"/>
          <w:color w:val="auto"/>
          <w:highlight w:val="none"/>
          <w:u w:val="single"/>
        </w:rPr>
      </w:pPr>
      <w:r>
        <w:rPr>
          <w:rFonts w:hint="eastAsia" w:ascii="Calibri" w:hAnsi="宋体" w:cs="Times New Roman"/>
          <w:color w:val="auto"/>
          <w:highlight w:val="none"/>
        </w:rPr>
        <w:t>承包人违约的其他情形：</w:t>
      </w:r>
      <w:r>
        <w:rPr>
          <w:rFonts w:ascii="Calibri" w:hAnsi="宋体" w:cs="Times New Roman"/>
          <w:color w:val="auto"/>
          <w:highlight w:val="none"/>
          <w:u w:val="single"/>
        </w:rPr>
        <w:t>/</w:t>
      </w:r>
      <w:r>
        <w:rPr>
          <w:rFonts w:ascii="Calibri" w:hAnsi="Calibri" w:cs="Times New Roman"/>
          <w:color w:val="auto"/>
          <w:highlight w:val="none"/>
          <w:u w:val="single"/>
        </w:rPr>
        <w:t xml:space="preserve"> </w:t>
      </w:r>
      <w:r>
        <w:rPr>
          <w:rFonts w:hint="eastAsia" w:ascii="Calibri" w:hAnsi="宋体" w:cs="Times New Roman"/>
          <w:color w:val="auto"/>
          <w:highlight w:val="none"/>
        </w:rPr>
        <w:t>。</w:t>
      </w:r>
    </w:p>
    <w:p w14:paraId="3E92C471">
      <w:pPr>
        <w:spacing w:line="360" w:lineRule="auto"/>
        <w:ind w:firstLine="420" w:firstLineChars="200"/>
        <w:jc w:val="left"/>
        <w:rPr>
          <w:rFonts w:ascii="Calibri" w:hAnsi="Calibri" w:cs="Times New Roman"/>
          <w:color w:val="auto"/>
          <w:highlight w:val="none"/>
        </w:rPr>
      </w:pPr>
      <w:r>
        <w:rPr>
          <w:rFonts w:ascii="Calibri" w:hAnsi="Calibri" w:cs="Times New Roman"/>
          <w:color w:val="auto"/>
          <w:highlight w:val="none"/>
        </w:rPr>
        <w:t>16.2.2</w:t>
      </w:r>
      <w:r>
        <w:rPr>
          <w:rFonts w:hint="eastAsia" w:ascii="Calibri" w:hAnsi="宋体" w:cs="Times New Roman"/>
          <w:color w:val="auto"/>
          <w:highlight w:val="none"/>
        </w:rPr>
        <w:t>承包人违约的责任</w:t>
      </w:r>
    </w:p>
    <w:p w14:paraId="2E8B78D8">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承包人违约责任的承担方式和计算方法：</w:t>
      </w:r>
    </w:p>
    <w:p w14:paraId="30FF8F63">
      <w:pPr>
        <w:spacing w:line="360" w:lineRule="auto"/>
        <w:ind w:firstLine="420" w:firstLineChars="200"/>
        <w:jc w:val="left"/>
        <w:rPr>
          <w:rFonts w:ascii="Calibri" w:hAnsi="宋体"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1</w:t>
      </w:r>
      <w:r>
        <w:rPr>
          <w:rFonts w:hint="eastAsia" w:ascii="Calibri" w:hAnsi="宋体" w:cs="Times New Roman"/>
          <w:color w:val="auto"/>
          <w:highlight w:val="none"/>
        </w:rPr>
        <w:t>）承包人未按本合同通用条款第</w:t>
      </w:r>
      <w:r>
        <w:rPr>
          <w:rFonts w:ascii="Calibri" w:hAnsi="Calibri" w:cs="Times New Roman"/>
          <w:color w:val="auto"/>
          <w:highlight w:val="none"/>
        </w:rPr>
        <w:t>16.2.1</w:t>
      </w:r>
      <w:r>
        <w:rPr>
          <w:rFonts w:hint="eastAsia" w:ascii="Calibri" w:hAnsi="宋体" w:cs="Times New Roman"/>
          <w:color w:val="auto"/>
          <w:highlight w:val="none"/>
        </w:rPr>
        <w:t>（</w:t>
      </w:r>
      <w:r>
        <w:rPr>
          <w:rFonts w:ascii="Calibri" w:hAnsi="Calibri" w:cs="Times New Roman"/>
          <w:color w:val="auto"/>
          <w:highlight w:val="none"/>
        </w:rPr>
        <w:t>2</w:t>
      </w:r>
      <w:r>
        <w:rPr>
          <w:rFonts w:hint="eastAsia" w:ascii="Calibri" w:hAnsi="宋体" w:cs="Times New Roman"/>
          <w:color w:val="auto"/>
          <w:highlight w:val="none"/>
        </w:rPr>
        <w:t>）、（</w:t>
      </w:r>
      <w:r>
        <w:rPr>
          <w:rFonts w:ascii="Calibri" w:hAnsi="Calibri" w:cs="Times New Roman"/>
          <w:color w:val="auto"/>
          <w:highlight w:val="none"/>
        </w:rPr>
        <w:t>3</w:t>
      </w:r>
      <w:r>
        <w:rPr>
          <w:rFonts w:hint="eastAsia" w:ascii="Calibri" w:hAnsi="宋体" w:cs="Times New Roman"/>
          <w:color w:val="auto"/>
          <w:highlight w:val="none"/>
        </w:rPr>
        <w:t>）条内容完成的，承包人无条件返工处理，修复至工程质量要求并承担相关费用，并在发包人规定的时间内完成返工。</w:t>
      </w:r>
    </w:p>
    <w:p w14:paraId="44F91A9B">
      <w:pPr>
        <w:spacing w:line="360" w:lineRule="auto"/>
        <w:ind w:firstLine="420" w:firstLineChars="200"/>
        <w:jc w:val="left"/>
        <w:rPr>
          <w:rFonts w:ascii="Calibri" w:hAnsi="宋体"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2</w:t>
      </w:r>
      <w:r>
        <w:rPr>
          <w:rFonts w:hint="eastAsia" w:ascii="Calibri" w:hAnsi="宋体" w:cs="Times New Roman"/>
          <w:color w:val="auto"/>
          <w:highlight w:val="none"/>
        </w:rPr>
        <w:t>）承包人有本合同通用条款第</w:t>
      </w:r>
      <w:r>
        <w:rPr>
          <w:rFonts w:ascii="Calibri" w:hAnsi="Calibri" w:cs="Times New Roman"/>
          <w:color w:val="auto"/>
          <w:highlight w:val="none"/>
        </w:rPr>
        <w:t>16.2.1</w:t>
      </w:r>
      <w:r>
        <w:rPr>
          <w:rFonts w:hint="eastAsia" w:ascii="Calibri" w:hAnsi="宋体" w:cs="Times New Roman"/>
          <w:color w:val="auto"/>
          <w:highlight w:val="none"/>
        </w:rPr>
        <w:t>（</w:t>
      </w:r>
      <w:r>
        <w:rPr>
          <w:rFonts w:ascii="Calibri" w:hAnsi="Calibri" w:cs="Times New Roman"/>
          <w:color w:val="auto"/>
          <w:highlight w:val="none"/>
        </w:rPr>
        <w:t>6</w:t>
      </w:r>
      <w:r>
        <w:rPr>
          <w:rFonts w:hint="eastAsia" w:ascii="Calibri" w:hAnsi="宋体" w:cs="Times New Roman"/>
          <w:color w:val="auto"/>
          <w:highlight w:val="none"/>
        </w:rPr>
        <w:t>）条情形的，或经监理人检验认为修复质量不合格而承包人拒绝再进行修补的，发包人将扣除承包人</w:t>
      </w:r>
      <w:r>
        <w:rPr>
          <w:rFonts w:hint="eastAsia"/>
          <w:color w:val="auto"/>
          <w:highlight w:val="none"/>
          <w:lang w:eastAsia="zh-CN"/>
        </w:rPr>
        <w:t>部分</w:t>
      </w:r>
      <w:r>
        <w:rPr>
          <w:rFonts w:hint="eastAsia" w:ascii="Calibri" w:hAnsi="宋体" w:cs="Times New Roman"/>
          <w:color w:val="auto"/>
          <w:highlight w:val="none"/>
        </w:rPr>
        <w:t>质量保证金。</w:t>
      </w:r>
    </w:p>
    <w:p w14:paraId="7F63A72F">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宋体"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3</w:t>
      </w:r>
      <w:r>
        <w:rPr>
          <w:rFonts w:hint="eastAsia" w:ascii="Calibri" w:hAnsi="宋体" w:cs="Times New Roman"/>
          <w:color w:val="auto"/>
          <w:highlight w:val="none"/>
        </w:rPr>
        <w:t>）</w:t>
      </w:r>
      <w:r>
        <w:rPr>
          <w:rFonts w:hint="eastAsia" w:ascii="Calibri" w:hAnsi="宋体" w:eastAsia="宋体" w:cs="Times New Roman"/>
          <w:color w:val="auto"/>
          <w:kern w:val="0"/>
          <w:sz w:val="21"/>
          <w:szCs w:val="21"/>
          <w:highlight w:val="none"/>
          <w:lang w:val="en-US" w:eastAsia="zh-CN" w:bidi="ar-SA"/>
        </w:rPr>
        <w:t>承包人有本专用合同条款3.2、3.3条违约责任的，违约金金额和扣除须经双方协商确定</w:t>
      </w:r>
      <w:r>
        <w:rPr>
          <w:rFonts w:hint="eastAsia" w:ascii="Calibri" w:hAnsi="宋体" w:cs="Times New Roman"/>
          <w:color w:val="auto"/>
          <w:highlight w:val="none"/>
        </w:rPr>
        <w:t>。监理人预先下发含有罚款意向的指令，如承包人不及时采取措施纠正，则在指令下达后十五天下发罚款通知书（不再陈述罚款理由）。承包人被罚款后由发包人从最后一次计量支付时扣除。承包人在合同期内，完成合同规定的全部工程，且质量合格，在本工程施工竣工验收后十五天内可申请返还全部或部分罚款，返还金额由监理人审核，发包人批准。罚款金额返还时不包括银行利息。</w:t>
      </w:r>
    </w:p>
    <w:p w14:paraId="562C91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Calibri" w:hAnsi="宋体" w:cs="Times New Roman"/>
          <w:color w:val="auto"/>
          <w:kern w:val="2"/>
          <w:highlight w:val="none"/>
        </w:rPr>
      </w:pPr>
      <w:r>
        <w:rPr>
          <w:rFonts w:ascii="Calibri" w:hAnsi="Calibri" w:cs="Times New Roman"/>
          <w:color w:val="auto"/>
          <w:kern w:val="2"/>
          <w:highlight w:val="none"/>
        </w:rPr>
        <w:t xml:space="preserve">16.2.3 </w:t>
      </w:r>
      <w:r>
        <w:rPr>
          <w:rFonts w:hint="eastAsia" w:ascii="Calibri" w:hAnsi="宋体" w:cs="Times New Roman"/>
          <w:color w:val="auto"/>
          <w:kern w:val="2"/>
          <w:highlight w:val="none"/>
        </w:rPr>
        <w:t>因承包人违约解除合同</w:t>
      </w:r>
    </w:p>
    <w:p w14:paraId="3E4024DC">
      <w:pPr>
        <w:spacing w:line="360" w:lineRule="auto"/>
        <w:ind w:firstLine="420" w:firstLineChars="200"/>
        <w:jc w:val="left"/>
        <w:rPr>
          <w:rFonts w:ascii="Calibri" w:hAnsi="宋体" w:cs="Times New Roman"/>
          <w:color w:val="auto"/>
          <w:highlight w:val="none"/>
        </w:rPr>
      </w:pPr>
      <w:r>
        <w:rPr>
          <w:rFonts w:hint="eastAsia" w:ascii="Calibri" w:hAnsi="宋体" w:cs="Times New Roman"/>
          <w:color w:val="auto"/>
          <w:highlight w:val="none"/>
        </w:rPr>
        <w:t>关于承包人违约解除合同的特别约定：</w:t>
      </w:r>
      <w:r>
        <w:rPr>
          <w:rFonts w:hint="eastAsia" w:ascii="Calibri" w:hAnsi="宋体" w:cs="Times New Roman"/>
          <w:color w:val="auto"/>
          <w:highlight w:val="none"/>
          <w:u w:val="single"/>
        </w:rPr>
        <w:t>承包人有违反以下情况之一的，发包人有权解除合同</w:t>
      </w:r>
      <w:r>
        <w:rPr>
          <w:rFonts w:hint="eastAsia" w:ascii="Calibri" w:hAnsi="宋体" w:cs="Times New Roman"/>
          <w:color w:val="auto"/>
          <w:highlight w:val="none"/>
        </w:rPr>
        <w:t>。</w:t>
      </w:r>
    </w:p>
    <w:p w14:paraId="2EAD1DFE">
      <w:pPr>
        <w:spacing w:line="360" w:lineRule="auto"/>
        <w:ind w:firstLine="420" w:firstLineChars="200"/>
        <w:jc w:val="left"/>
        <w:rPr>
          <w:rFonts w:ascii="Calibri" w:hAnsi="宋体" w:cs="Times New Roman"/>
          <w:color w:val="auto"/>
          <w:highlight w:val="none"/>
        </w:rPr>
      </w:pPr>
      <w:r>
        <w:rPr>
          <w:rFonts w:ascii="Calibri" w:hAnsi="Calibri" w:cs="Times New Roman"/>
          <w:color w:val="auto"/>
          <w:highlight w:val="none"/>
        </w:rPr>
        <w:t>(1)</w:t>
      </w:r>
      <w:r>
        <w:rPr>
          <w:rFonts w:hint="eastAsia" w:ascii="Calibri" w:hAnsi="宋体" w:cs="Times New Roman"/>
          <w:color w:val="auto"/>
          <w:highlight w:val="none"/>
        </w:rPr>
        <w:t>承包人无正当理由不按开工通知的要求及时进场组织施工和不按签订协议书时商定的进度计划有效地开展施工准备，造成工期延误的；</w:t>
      </w:r>
    </w:p>
    <w:p w14:paraId="35858A7D">
      <w:pPr>
        <w:spacing w:line="360" w:lineRule="auto"/>
        <w:ind w:firstLine="420" w:firstLineChars="200"/>
        <w:jc w:val="left"/>
        <w:rPr>
          <w:rFonts w:ascii="Calibri" w:hAnsi="宋体" w:cs="Times New Roman"/>
          <w:color w:val="auto"/>
          <w:highlight w:val="none"/>
        </w:rPr>
      </w:pPr>
      <w:r>
        <w:rPr>
          <w:rFonts w:ascii="Calibri" w:hAnsi="Calibri" w:cs="Times New Roman"/>
          <w:color w:val="auto"/>
          <w:highlight w:val="none"/>
        </w:rPr>
        <w:t>(2)</w:t>
      </w:r>
      <w:r>
        <w:rPr>
          <w:rFonts w:hint="eastAsia" w:ascii="Calibri" w:hAnsi="宋体" w:cs="Times New Roman"/>
          <w:color w:val="auto"/>
          <w:highlight w:val="none"/>
        </w:rPr>
        <w:t>承包人违反本合同通用条款第</w:t>
      </w:r>
      <w:r>
        <w:rPr>
          <w:rFonts w:ascii="Calibri" w:hAnsi="Calibri" w:cs="Times New Roman"/>
          <w:color w:val="auto"/>
          <w:highlight w:val="none"/>
        </w:rPr>
        <w:t>3.5</w:t>
      </w:r>
      <w:r>
        <w:rPr>
          <w:rFonts w:hint="eastAsia" w:ascii="Calibri" w:hAnsi="宋体" w:cs="Times New Roman"/>
          <w:color w:val="auto"/>
          <w:highlight w:val="none"/>
        </w:rPr>
        <w:t>条规定私自将合同或合同的任何部分或任何权利转让给其他人，或私自将工程或工程的一部分分包出去的；</w:t>
      </w:r>
    </w:p>
    <w:p w14:paraId="2C3CA97D">
      <w:pPr>
        <w:spacing w:line="360" w:lineRule="auto"/>
        <w:ind w:firstLine="420" w:firstLineChars="200"/>
        <w:jc w:val="left"/>
        <w:rPr>
          <w:rFonts w:ascii="Calibri" w:hAnsi="宋体" w:cs="Times New Roman"/>
          <w:color w:val="auto"/>
          <w:highlight w:val="none"/>
        </w:rPr>
      </w:pPr>
      <w:r>
        <w:rPr>
          <w:rFonts w:ascii="Calibri" w:hAnsi="Calibri" w:cs="Times New Roman"/>
          <w:color w:val="auto"/>
          <w:highlight w:val="none"/>
        </w:rPr>
        <w:t>(3)</w:t>
      </w:r>
      <w:r>
        <w:rPr>
          <w:rFonts w:hint="eastAsia" w:ascii="Calibri" w:hAnsi="宋体" w:cs="Times New Roman"/>
          <w:color w:val="auto"/>
          <w:highlight w:val="none"/>
        </w:rPr>
        <w:t>未经监理人批准，承包人私自将已按投标文件承诺进入工地的工程设备、施工设备、临时工程或材料撤离工地的；</w:t>
      </w:r>
    </w:p>
    <w:p w14:paraId="17527B99">
      <w:pPr>
        <w:spacing w:line="360" w:lineRule="auto"/>
        <w:ind w:firstLine="420" w:firstLineChars="200"/>
        <w:jc w:val="left"/>
        <w:rPr>
          <w:rFonts w:ascii="Calibri" w:hAnsi="Calibri" w:cs="Times New Roman"/>
          <w:color w:val="auto"/>
          <w:highlight w:val="none"/>
        </w:rPr>
      </w:pPr>
      <w:r>
        <w:rPr>
          <w:rFonts w:ascii="Calibri" w:hAnsi="Calibri" w:cs="Times New Roman"/>
          <w:color w:val="auto"/>
          <w:highlight w:val="none"/>
        </w:rPr>
        <w:t>(4)</w:t>
      </w:r>
      <w:r>
        <w:rPr>
          <w:rFonts w:hint="eastAsia" w:ascii="Calibri" w:hAnsi="宋体" w:cs="Times New Roman"/>
          <w:color w:val="auto"/>
          <w:highlight w:val="none"/>
        </w:rPr>
        <w:t>由于承包人原因拒绝按合同进度计划及时完成合同规定的工程，而又未采取有效措施赶上进度，造成工期延误的；</w:t>
      </w:r>
    </w:p>
    <w:p w14:paraId="09ECC3CA">
      <w:pPr>
        <w:spacing w:line="360" w:lineRule="auto"/>
        <w:ind w:firstLine="420" w:firstLineChars="200"/>
        <w:rPr>
          <w:rFonts w:ascii="Calibri" w:hAnsi="Calibri" w:cs="Times New Roman"/>
          <w:color w:val="auto"/>
          <w:highlight w:val="none"/>
        </w:rPr>
      </w:pPr>
      <w:r>
        <w:rPr>
          <w:rFonts w:ascii="Calibri" w:hAnsi="Calibri" w:cs="Times New Roman"/>
          <w:color w:val="auto"/>
          <w:highlight w:val="none"/>
        </w:rPr>
        <w:t>(5)</w:t>
      </w:r>
      <w:r>
        <w:rPr>
          <w:rFonts w:hint="eastAsia" w:ascii="Calibri" w:hAnsi="宋体" w:cs="Times New Roman"/>
          <w:color w:val="auto"/>
          <w:highlight w:val="none"/>
        </w:rPr>
        <w:t>承包人否认合同有效或拒绝履行合同规定的承包人义务，或由于法律、财务等原因导致承包人无法继续履行或实质上已停止履行合同的义务的；</w:t>
      </w:r>
    </w:p>
    <w:p w14:paraId="0108BFC7">
      <w:pPr>
        <w:spacing w:line="360" w:lineRule="auto"/>
        <w:ind w:firstLine="420" w:firstLineChars="200"/>
        <w:rPr>
          <w:rFonts w:ascii="Calibri" w:hAnsi="Calibri" w:cs="Times New Roman"/>
          <w:color w:val="auto"/>
          <w:highlight w:val="none"/>
        </w:rPr>
      </w:pPr>
      <w:r>
        <w:rPr>
          <w:rFonts w:ascii="Calibri" w:hAnsi="Calibri" w:cs="Times New Roman"/>
          <w:color w:val="auto"/>
          <w:highlight w:val="none"/>
        </w:rPr>
        <w:t>(6)</w:t>
      </w:r>
      <w:r>
        <w:rPr>
          <w:rFonts w:hint="eastAsia" w:ascii="Calibri" w:hAnsi="宋体" w:cs="Times New Roman"/>
          <w:color w:val="auto"/>
          <w:highlight w:val="none"/>
        </w:rPr>
        <w:t>合同签订之日起十五日内，承包人无法按合同规定及投标文件的承诺进场经监理工程师认可的全部人员和机械的。</w:t>
      </w:r>
    </w:p>
    <w:p w14:paraId="42899ADB">
      <w:pPr>
        <w:spacing w:line="360" w:lineRule="auto"/>
        <w:ind w:firstLine="420" w:firstLineChars="200"/>
        <w:rPr>
          <w:rFonts w:ascii="Calibri" w:hAnsi="Calibri" w:cs="Times New Roman"/>
          <w:color w:val="auto"/>
          <w:highlight w:val="none"/>
        </w:rPr>
      </w:pPr>
      <w:r>
        <w:rPr>
          <w:rFonts w:hint="eastAsia" w:ascii="Calibri" w:hAnsi="宋体" w:cs="Times New Roman"/>
          <w:color w:val="auto"/>
          <w:highlight w:val="none"/>
        </w:rPr>
        <w:t>发包人继续使用承包人在施工现场的材料、设备、临时工程、承包人文件和由承包人或以其名义编制的其他文件的费用承担方式：</w:t>
      </w:r>
      <w:r>
        <w:rPr>
          <w:rFonts w:ascii="Calibri" w:hAnsi="Calibri" w:cs="Times New Roman"/>
          <w:color w:val="auto"/>
          <w:highlight w:val="none"/>
          <w:u w:val="single"/>
        </w:rPr>
        <w:t xml:space="preserve">                                           </w:t>
      </w:r>
      <w:r>
        <w:rPr>
          <w:rFonts w:hint="eastAsia" w:ascii="Calibri" w:hAnsi="宋体" w:cs="Times New Roman"/>
          <w:color w:val="auto"/>
          <w:highlight w:val="none"/>
        </w:rPr>
        <w:t>。</w:t>
      </w:r>
    </w:p>
    <w:p w14:paraId="6E9EEADE">
      <w:pPr>
        <w:keepNext/>
        <w:keepLines/>
        <w:spacing w:before="260" w:after="260" w:line="416" w:lineRule="auto"/>
        <w:outlineLvl w:val="3"/>
        <w:rPr>
          <w:rFonts w:eastAsia="黑体"/>
          <w:b/>
          <w:bCs/>
          <w:color w:val="auto"/>
          <w:szCs w:val="32"/>
          <w:highlight w:val="none"/>
          <w:lang w:val="zh-CN"/>
        </w:rPr>
      </w:pPr>
      <w:bookmarkStart w:id="2054" w:name="_Toc512691472"/>
      <w:bookmarkStart w:id="2055" w:name="_Toc530658096"/>
      <w:bookmarkStart w:id="2056" w:name="_Toc389065334"/>
      <w:bookmarkStart w:id="2057" w:name="_Toc493774833"/>
      <w:bookmarkStart w:id="2058" w:name="_Toc485400665"/>
      <w:bookmarkStart w:id="2059" w:name="_Toc373227769"/>
      <w:bookmarkStart w:id="2060" w:name="_Toc494549269"/>
      <w:bookmarkStart w:id="2061" w:name="_Toc373478416"/>
      <w:bookmarkStart w:id="2062" w:name="_Toc407135272"/>
      <w:bookmarkStart w:id="2063" w:name="_Toc351203649"/>
      <w:bookmarkStart w:id="2064" w:name="_Toc508894134"/>
      <w:bookmarkStart w:id="2065" w:name="_Toc532840078"/>
      <w:r>
        <w:rPr>
          <w:rFonts w:ascii="Calibri" w:hAnsi="Calibri" w:cs="Times New Roman"/>
          <w:b/>
          <w:bCs/>
          <w:color w:val="auto"/>
          <w:kern w:val="2"/>
          <w:sz w:val="32"/>
          <w:szCs w:val="32"/>
          <w:highlight w:val="none"/>
        </w:rPr>
        <w:t xml:space="preserve">17. </w:t>
      </w:r>
      <w:r>
        <w:rPr>
          <w:rFonts w:hint="eastAsia" w:ascii="Calibri" w:hAnsi="Calibri" w:cs="Times New Roman"/>
          <w:b/>
          <w:bCs/>
          <w:color w:val="auto"/>
          <w:kern w:val="2"/>
          <w:sz w:val="32"/>
          <w:szCs w:val="32"/>
          <w:highlight w:val="none"/>
        </w:rPr>
        <w:t>不可抗力</w:t>
      </w:r>
      <w:bookmarkEnd w:id="2054"/>
      <w:bookmarkEnd w:id="2055"/>
      <w:bookmarkEnd w:id="2056"/>
      <w:bookmarkEnd w:id="2057"/>
      <w:bookmarkEnd w:id="2058"/>
      <w:bookmarkEnd w:id="2059"/>
      <w:bookmarkEnd w:id="2060"/>
      <w:bookmarkEnd w:id="2061"/>
      <w:bookmarkEnd w:id="2062"/>
      <w:bookmarkEnd w:id="2063"/>
      <w:bookmarkEnd w:id="2064"/>
      <w:bookmarkEnd w:id="2065"/>
      <w:r>
        <w:rPr>
          <w:rFonts w:ascii="Calibri" w:hAnsi="Calibri" w:cs="Times New Roman"/>
          <w:b/>
          <w:bCs/>
          <w:color w:val="auto"/>
          <w:kern w:val="2"/>
          <w:sz w:val="32"/>
          <w:szCs w:val="32"/>
          <w:highlight w:val="none"/>
        </w:rPr>
        <w:t xml:space="preserve"> </w:t>
      </w:r>
      <w:bookmarkEnd w:id="2030"/>
    </w:p>
    <w:p w14:paraId="52EDA7BF">
      <w:pPr>
        <w:keepNext/>
        <w:keepLines/>
        <w:spacing w:before="260" w:after="260" w:line="416" w:lineRule="auto"/>
        <w:outlineLvl w:val="3"/>
        <w:rPr>
          <w:rFonts w:ascii="Calibri" w:hAnsi="Calibri" w:cs="Times New Roman"/>
          <w:b/>
          <w:bCs/>
          <w:color w:val="auto"/>
          <w:kern w:val="2"/>
          <w:sz w:val="32"/>
          <w:szCs w:val="32"/>
          <w:highlight w:val="none"/>
        </w:rPr>
      </w:pPr>
      <w:bookmarkStart w:id="2066" w:name="_Toc407135273"/>
      <w:bookmarkStart w:id="2067" w:name="_Toc530658097"/>
      <w:bookmarkStart w:id="2068" w:name="_Toc508894135"/>
      <w:bookmarkStart w:id="2069" w:name="_Toc373478417"/>
      <w:bookmarkStart w:id="2070" w:name="_Toc389065335"/>
      <w:bookmarkStart w:id="2071" w:name="_Toc494549270"/>
      <w:bookmarkStart w:id="2072" w:name="_Toc493774834"/>
      <w:bookmarkStart w:id="2073" w:name="_Toc485400666"/>
      <w:bookmarkStart w:id="2074" w:name="_Toc512691473"/>
      <w:bookmarkStart w:id="2075" w:name="_Toc373227770"/>
      <w:bookmarkStart w:id="2076" w:name="_Toc532840079"/>
      <w:r>
        <w:rPr>
          <w:rFonts w:ascii="Calibri" w:hAnsi="Calibri" w:cs="Times New Roman"/>
          <w:b/>
          <w:bCs/>
          <w:color w:val="auto"/>
          <w:kern w:val="2"/>
          <w:sz w:val="32"/>
          <w:szCs w:val="32"/>
          <w:highlight w:val="none"/>
        </w:rPr>
        <w:t xml:space="preserve">17.1 </w:t>
      </w:r>
      <w:r>
        <w:rPr>
          <w:rFonts w:hint="eastAsia" w:ascii="Calibri" w:hAnsi="Calibri" w:cs="Times New Roman"/>
          <w:b/>
          <w:bCs/>
          <w:color w:val="auto"/>
          <w:kern w:val="2"/>
          <w:sz w:val="32"/>
          <w:szCs w:val="32"/>
          <w:highlight w:val="none"/>
        </w:rPr>
        <w:t>不可抗力的确认</w:t>
      </w:r>
      <w:bookmarkEnd w:id="2066"/>
      <w:bookmarkEnd w:id="2067"/>
      <w:bookmarkEnd w:id="2068"/>
      <w:bookmarkEnd w:id="2069"/>
      <w:bookmarkEnd w:id="2070"/>
      <w:bookmarkEnd w:id="2071"/>
      <w:bookmarkEnd w:id="2072"/>
      <w:bookmarkEnd w:id="2073"/>
      <w:bookmarkEnd w:id="2074"/>
      <w:bookmarkEnd w:id="2075"/>
      <w:bookmarkEnd w:id="2076"/>
    </w:p>
    <w:p w14:paraId="738519F4">
      <w:pPr>
        <w:spacing w:line="360" w:lineRule="auto"/>
        <w:ind w:firstLine="420" w:firstLineChars="200"/>
        <w:jc w:val="left"/>
        <w:rPr>
          <w:rFonts w:ascii="Calibri" w:hAnsi="Calibri" w:cs="Times New Roman"/>
          <w:color w:val="auto"/>
          <w:highlight w:val="none"/>
          <w:u w:val="single"/>
        </w:rPr>
      </w:pPr>
      <w:r>
        <w:rPr>
          <w:rFonts w:hint="eastAsia" w:ascii="Calibri" w:hAnsi="宋体" w:cs="Times New Roman"/>
          <w:color w:val="auto"/>
          <w:kern w:val="2"/>
          <w:highlight w:val="none"/>
        </w:rPr>
        <w:t>除通用合同条款约定的不可抗力事件之外，视为不可抗力的其他情形：</w:t>
      </w:r>
      <w:r>
        <w:rPr>
          <w:rFonts w:hint="eastAsia" w:ascii="Calibri" w:hAnsi="Calibri" w:cs="Times New Roman"/>
          <w:color w:val="auto"/>
          <w:highlight w:val="none"/>
          <w:u w:val="single"/>
        </w:rPr>
        <w:t>包括战争、恐怖活动、动乱、瘟疫、空中飞行物体坠落或其他非发包人承包人责任造成的爆炸、火灾，以及地震、洪涝等自然灾害</w:t>
      </w:r>
      <w:r>
        <w:rPr>
          <w:rFonts w:hint="eastAsia" w:ascii="Calibri" w:hAnsi="宋体" w:cs="Times New Roman"/>
          <w:color w:val="auto"/>
          <w:highlight w:val="none"/>
        </w:rPr>
        <w:t>。</w:t>
      </w:r>
    </w:p>
    <w:p w14:paraId="1AAE4D06">
      <w:pPr>
        <w:keepNext/>
        <w:keepLines/>
        <w:spacing w:before="260" w:after="260" w:line="416" w:lineRule="auto"/>
        <w:outlineLvl w:val="3"/>
        <w:rPr>
          <w:rFonts w:ascii="Calibri" w:hAnsi="Calibri" w:cs="Times New Roman"/>
          <w:b/>
          <w:bCs/>
          <w:color w:val="auto"/>
          <w:kern w:val="2"/>
          <w:sz w:val="32"/>
          <w:szCs w:val="32"/>
          <w:highlight w:val="none"/>
        </w:rPr>
      </w:pPr>
      <w:bookmarkStart w:id="2077" w:name="_Toc494549271"/>
      <w:bookmarkStart w:id="2078" w:name="_Toc373478418"/>
      <w:bookmarkStart w:id="2079" w:name="_Toc407135274"/>
      <w:bookmarkStart w:id="2080" w:name="_Toc530658098"/>
      <w:bookmarkStart w:id="2081" w:name="_Toc532840080"/>
      <w:bookmarkStart w:id="2082" w:name="_Toc485400667"/>
      <w:bookmarkStart w:id="2083" w:name="_Toc389065336"/>
      <w:bookmarkStart w:id="2084" w:name="_Toc493774835"/>
      <w:bookmarkStart w:id="2085" w:name="_Toc512691474"/>
      <w:bookmarkStart w:id="2086" w:name="_Toc373227771"/>
      <w:bookmarkStart w:id="2087" w:name="_Toc508894136"/>
      <w:r>
        <w:rPr>
          <w:rFonts w:ascii="Calibri" w:hAnsi="Calibri" w:cs="Times New Roman"/>
          <w:b/>
          <w:bCs/>
          <w:color w:val="auto"/>
          <w:kern w:val="2"/>
          <w:sz w:val="32"/>
          <w:szCs w:val="32"/>
          <w:highlight w:val="none"/>
        </w:rPr>
        <w:t xml:space="preserve">17.4 </w:t>
      </w:r>
      <w:r>
        <w:rPr>
          <w:rFonts w:hint="eastAsia" w:ascii="Calibri" w:hAnsi="Calibri" w:cs="Times New Roman"/>
          <w:b/>
          <w:bCs/>
          <w:color w:val="auto"/>
          <w:kern w:val="2"/>
          <w:sz w:val="32"/>
          <w:szCs w:val="32"/>
          <w:highlight w:val="none"/>
        </w:rPr>
        <w:t>因不可抗力解除合同</w:t>
      </w:r>
      <w:bookmarkEnd w:id="2077"/>
      <w:bookmarkEnd w:id="2078"/>
      <w:bookmarkEnd w:id="2079"/>
      <w:bookmarkEnd w:id="2080"/>
      <w:bookmarkEnd w:id="2081"/>
      <w:bookmarkEnd w:id="2082"/>
      <w:bookmarkEnd w:id="2083"/>
      <w:bookmarkEnd w:id="2084"/>
      <w:bookmarkEnd w:id="2085"/>
      <w:bookmarkEnd w:id="2086"/>
      <w:bookmarkEnd w:id="2087"/>
    </w:p>
    <w:p w14:paraId="10562B7F">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合同解除后，发包人应在商定或确定发包人应支付款项后</w:t>
      </w:r>
      <w:r>
        <w:rPr>
          <w:rFonts w:ascii="Calibri" w:hAnsi="宋体" w:cs="Times New Roman"/>
          <w:color w:val="auto"/>
          <w:kern w:val="2"/>
          <w:highlight w:val="none"/>
        </w:rPr>
        <w:t>90</w:t>
      </w:r>
      <w:r>
        <w:rPr>
          <w:rFonts w:hint="eastAsia" w:ascii="Calibri" w:hAnsi="宋体" w:cs="Times New Roman"/>
          <w:color w:val="auto"/>
          <w:kern w:val="2"/>
          <w:highlight w:val="none"/>
        </w:rPr>
        <w:t>天内完成款项的支付。</w:t>
      </w:r>
    </w:p>
    <w:p w14:paraId="4E730644">
      <w:pPr>
        <w:keepNext/>
        <w:keepLines/>
        <w:spacing w:before="260" w:after="260" w:line="416" w:lineRule="auto"/>
        <w:outlineLvl w:val="2"/>
        <w:rPr>
          <w:rFonts w:ascii="Cambria" w:hAnsi="Cambria" w:cs="Times New Roman"/>
          <w:b/>
          <w:bCs/>
          <w:color w:val="auto"/>
          <w:kern w:val="2"/>
          <w:sz w:val="32"/>
          <w:szCs w:val="32"/>
          <w:highlight w:val="none"/>
        </w:rPr>
      </w:pPr>
      <w:bookmarkStart w:id="2088" w:name="_Toc373478419"/>
      <w:bookmarkStart w:id="2089" w:name="_Toc530658099"/>
      <w:bookmarkStart w:id="2090" w:name="_Toc373227772"/>
      <w:bookmarkStart w:id="2091" w:name="_Toc493774836"/>
      <w:bookmarkStart w:id="2092" w:name="_Toc494549272"/>
      <w:bookmarkStart w:id="2093" w:name="_Toc389065337"/>
      <w:bookmarkStart w:id="2094" w:name="_Toc485400668"/>
      <w:bookmarkStart w:id="2095" w:name="_Toc508894137"/>
      <w:bookmarkStart w:id="2096" w:name="_Toc512691475"/>
      <w:bookmarkStart w:id="2097" w:name="_Toc351203650"/>
      <w:bookmarkStart w:id="2098" w:name="_Toc532840081"/>
      <w:bookmarkStart w:id="2099" w:name="_Toc407135275"/>
      <w:r>
        <w:rPr>
          <w:rFonts w:ascii="Cambria" w:hAnsi="Cambria" w:cs="Times New Roman"/>
          <w:b/>
          <w:bCs/>
          <w:color w:val="auto"/>
          <w:kern w:val="2"/>
          <w:sz w:val="32"/>
          <w:szCs w:val="32"/>
          <w:highlight w:val="none"/>
        </w:rPr>
        <w:t xml:space="preserve">18. </w:t>
      </w:r>
      <w:r>
        <w:rPr>
          <w:rFonts w:hint="eastAsia" w:ascii="Cambria" w:hAnsi="宋体" w:cs="Times New Roman"/>
          <w:b/>
          <w:bCs/>
          <w:color w:val="auto"/>
          <w:kern w:val="2"/>
          <w:sz w:val="32"/>
          <w:szCs w:val="32"/>
          <w:highlight w:val="none"/>
        </w:rPr>
        <w:t>保险</w:t>
      </w:r>
      <w:bookmarkEnd w:id="2088"/>
      <w:bookmarkEnd w:id="2089"/>
      <w:bookmarkEnd w:id="2090"/>
      <w:bookmarkEnd w:id="2091"/>
      <w:bookmarkEnd w:id="2092"/>
      <w:bookmarkEnd w:id="2093"/>
      <w:bookmarkEnd w:id="2094"/>
      <w:bookmarkEnd w:id="2095"/>
      <w:bookmarkEnd w:id="2096"/>
      <w:bookmarkEnd w:id="2097"/>
      <w:bookmarkEnd w:id="2098"/>
      <w:bookmarkEnd w:id="2099"/>
    </w:p>
    <w:bookmarkEnd w:id="2031"/>
    <w:p w14:paraId="58BC21E2">
      <w:pPr>
        <w:keepNext/>
        <w:keepLines/>
        <w:spacing w:before="260" w:after="260" w:line="416" w:lineRule="auto"/>
        <w:outlineLvl w:val="3"/>
        <w:rPr>
          <w:rFonts w:ascii="Calibri" w:hAnsi="Calibri" w:cs="Times New Roman"/>
          <w:b/>
          <w:bCs/>
          <w:color w:val="auto"/>
          <w:kern w:val="2"/>
          <w:sz w:val="32"/>
          <w:szCs w:val="32"/>
          <w:highlight w:val="none"/>
        </w:rPr>
      </w:pPr>
      <w:bookmarkStart w:id="2100" w:name="_Toc493774837"/>
      <w:bookmarkStart w:id="2101" w:name="_Toc373478420"/>
      <w:bookmarkStart w:id="2102" w:name="_Toc407135276"/>
      <w:bookmarkStart w:id="2103" w:name="_Toc389065338"/>
      <w:bookmarkStart w:id="2104" w:name="_Toc532840082"/>
      <w:bookmarkStart w:id="2105" w:name="_Toc494549273"/>
      <w:bookmarkStart w:id="2106" w:name="_Toc508894138"/>
      <w:bookmarkStart w:id="2107" w:name="_Toc373227773"/>
      <w:bookmarkStart w:id="2108" w:name="_Toc512691476"/>
      <w:bookmarkStart w:id="2109" w:name="_Toc530658100"/>
      <w:bookmarkStart w:id="2110" w:name="_Toc485400669"/>
      <w:r>
        <w:rPr>
          <w:rFonts w:ascii="Calibri" w:hAnsi="Calibri" w:cs="Times New Roman"/>
          <w:b/>
          <w:bCs/>
          <w:color w:val="auto"/>
          <w:kern w:val="2"/>
          <w:sz w:val="32"/>
          <w:szCs w:val="32"/>
          <w:highlight w:val="none"/>
        </w:rPr>
        <w:t xml:space="preserve">18.1 </w:t>
      </w:r>
      <w:r>
        <w:rPr>
          <w:rFonts w:hint="eastAsia" w:ascii="Calibri" w:hAnsi="宋体" w:cs="Times New Roman"/>
          <w:b/>
          <w:bCs/>
          <w:color w:val="auto"/>
          <w:kern w:val="2"/>
          <w:sz w:val="32"/>
          <w:szCs w:val="32"/>
          <w:highlight w:val="none"/>
        </w:rPr>
        <w:t>工程保险</w:t>
      </w:r>
      <w:bookmarkEnd w:id="2100"/>
      <w:bookmarkEnd w:id="2101"/>
      <w:bookmarkEnd w:id="2102"/>
      <w:bookmarkEnd w:id="2103"/>
      <w:bookmarkEnd w:id="2104"/>
      <w:bookmarkEnd w:id="2105"/>
      <w:bookmarkEnd w:id="2106"/>
      <w:bookmarkEnd w:id="2107"/>
      <w:bookmarkEnd w:id="2108"/>
      <w:bookmarkEnd w:id="2109"/>
      <w:bookmarkEnd w:id="2110"/>
    </w:p>
    <w:p w14:paraId="698B1754">
      <w:pPr>
        <w:spacing w:line="360" w:lineRule="auto"/>
        <w:ind w:firstLine="420" w:firstLineChars="200"/>
        <w:jc w:val="left"/>
        <w:rPr>
          <w:rFonts w:ascii="Calibri" w:hAnsi="宋体" w:cs="Times New Roman"/>
          <w:color w:val="auto"/>
          <w:highlight w:val="none"/>
        </w:rPr>
      </w:pPr>
      <w:r>
        <w:rPr>
          <w:rFonts w:hint="eastAsia" w:ascii="Calibri" w:hAnsi="宋体" w:cs="Times New Roman"/>
          <w:color w:val="auto"/>
          <w:kern w:val="2"/>
          <w:highlight w:val="none"/>
        </w:rPr>
        <w:t>关于工程保险的特别约定：</w:t>
      </w:r>
      <w:r>
        <w:rPr>
          <w:rFonts w:hint="eastAsia" w:ascii="Calibri" w:hAnsi="Calibri" w:cs="Times New Roman"/>
          <w:color w:val="auto"/>
          <w:highlight w:val="none"/>
          <w:u w:val="single"/>
        </w:rPr>
        <w:t>建设工程一切险和第三方责任险</w:t>
      </w:r>
      <w:r>
        <w:rPr>
          <w:rFonts w:hint="eastAsia" w:ascii="Calibri" w:hAnsi="宋体" w:cs="Times New Roman"/>
          <w:color w:val="auto"/>
          <w:highlight w:val="none"/>
        </w:rPr>
        <w:t>。</w:t>
      </w:r>
    </w:p>
    <w:p w14:paraId="65BDF8E8">
      <w:pPr>
        <w:spacing w:line="360" w:lineRule="auto"/>
        <w:rPr>
          <w:rFonts w:hAnsi="宋体" w:cs="Times New Roman"/>
          <w:color w:val="auto"/>
          <w:kern w:val="2"/>
          <w:highlight w:val="none"/>
        </w:rPr>
      </w:pPr>
      <w:r>
        <w:rPr>
          <w:rFonts w:hAnsi="宋体" w:cs="Times New Roman"/>
          <w:color w:val="auto"/>
          <w:kern w:val="2"/>
          <w:highlight w:val="none"/>
        </w:rPr>
        <w:t>18.1.1</w:t>
      </w:r>
      <w:r>
        <w:rPr>
          <w:rFonts w:hint="eastAsia" w:hAnsi="宋体" w:cs="Times New Roman"/>
          <w:color w:val="auto"/>
          <w:kern w:val="2"/>
          <w:highlight w:val="none"/>
        </w:rPr>
        <w:t>投保</w:t>
      </w:r>
    </w:p>
    <w:p w14:paraId="660A58FE">
      <w:pPr>
        <w:spacing w:line="360" w:lineRule="auto"/>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1</w:t>
      </w:r>
      <w:r>
        <w:rPr>
          <w:rFonts w:hint="eastAsia" w:hAnsi="宋体" w:cs="Times New Roman"/>
          <w:color w:val="auto"/>
          <w:kern w:val="2"/>
          <w:highlight w:val="none"/>
        </w:rPr>
        <w:t>）投保人：</w:t>
      </w:r>
      <w:r>
        <w:rPr>
          <w:rFonts w:hint="eastAsia" w:hAnsi="宋体" w:cs="Times New Roman"/>
          <w:color w:val="auto"/>
          <w:kern w:val="2"/>
          <w:highlight w:val="none"/>
          <w:u w:val="single"/>
        </w:rPr>
        <w:t>承包人</w:t>
      </w:r>
      <w:r>
        <w:rPr>
          <w:rFonts w:hint="eastAsia" w:hAnsi="宋体" w:cs="Times New Roman"/>
          <w:color w:val="auto"/>
          <w:kern w:val="2"/>
          <w:highlight w:val="none"/>
        </w:rPr>
        <w:t>。</w:t>
      </w:r>
    </w:p>
    <w:p w14:paraId="5FFC2121">
      <w:pPr>
        <w:spacing w:line="360" w:lineRule="auto"/>
        <w:rPr>
          <w:rFonts w:hAnsi="宋体" w:cs="Times New Roman"/>
          <w:bCs/>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2</w:t>
      </w:r>
      <w:r>
        <w:rPr>
          <w:rFonts w:hint="eastAsia" w:hAnsi="宋体" w:cs="Times New Roman"/>
          <w:color w:val="auto"/>
          <w:kern w:val="2"/>
          <w:highlight w:val="none"/>
        </w:rPr>
        <w:t>）投保内容：</w:t>
      </w:r>
      <w:r>
        <w:rPr>
          <w:rFonts w:hint="eastAsia" w:hAnsi="宋体" w:cs="Times New Roman"/>
          <w:bCs/>
          <w:color w:val="auto"/>
          <w:kern w:val="2"/>
          <w:highlight w:val="none"/>
          <w:u w:val="single"/>
        </w:rPr>
        <w:t>承包人必须为从事危险作业的职工办理意外伤害保险，并为施工场地内承包人的自有人员生命财产及施工机械设备办理保险，支付保险费用。保险合同约定的保险责任范围应当包括工地范围内的全部财产的物质损坏或灭失以及所产生的费用、因发生与所承保工程直接相关的意外事故引起工地内及邻近区域的第三者（包括发包人的人员）人身伤亡、财产损失以及所产生的费用、承包人施工人员因发生与所承保工程直接相关的意外事故引起的人身伤亡、疾病或财产损失以及所产生的费用。无论是否获得保险机构的赔偿，凡施工中发生的一切安全事故，均由承包人负责所发生事故的依法应该支付的损失赔偿费、抚恤费和承担法律责任，发包人不承担该等责任</w:t>
      </w:r>
      <w:r>
        <w:rPr>
          <w:rFonts w:hint="eastAsia" w:hAnsi="宋体" w:cs="Times New Roman"/>
          <w:bCs/>
          <w:color w:val="auto"/>
          <w:kern w:val="2"/>
          <w:highlight w:val="none"/>
        </w:rPr>
        <w:t>。</w:t>
      </w:r>
    </w:p>
    <w:p w14:paraId="1FE1D9D3">
      <w:pPr>
        <w:spacing w:line="360" w:lineRule="auto"/>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3</w:t>
      </w:r>
      <w:r>
        <w:rPr>
          <w:rFonts w:hint="eastAsia" w:hAnsi="宋体" w:cs="Times New Roman"/>
          <w:color w:val="auto"/>
          <w:kern w:val="2"/>
          <w:highlight w:val="none"/>
        </w:rPr>
        <w:t>）保险费率：</w:t>
      </w:r>
      <w:r>
        <w:rPr>
          <w:rFonts w:hint="eastAsia" w:hAnsi="宋体" w:cs="Times New Roman"/>
          <w:color w:val="auto"/>
          <w:kern w:val="2"/>
          <w:highlight w:val="none"/>
          <w:u w:val="single"/>
        </w:rPr>
        <w:t>由投保人与合同双方同意的保险人商定</w:t>
      </w:r>
      <w:r>
        <w:rPr>
          <w:rFonts w:hint="eastAsia" w:hAnsi="宋体" w:cs="Times New Roman"/>
          <w:bCs/>
          <w:color w:val="auto"/>
          <w:kern w:val="2"/>
          <w:highlight w:val="none"/>
        </w:rPr>
        <w:t>。</w:t>
      </w:r>
    </w:p>
    <w:p w14:paraId="3A0BD1D9">
      <w:pPr>
        <w:spacing w:line="360" w:lineRule="auto"/>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4</w:t>
      </w:r>
      <w:r>
        <w:rPr>
          <w:rFonts w:hint="eastAsia" w:hAnsi="宋体" w:cs="Times New Roman"/>
          <w:color w:val="auto"/>
          <w:kern w:val="2"/>
          <w:highlight w:val="none"/>
        </w:rPr>
        <w:t>）保险金额：</w:t>
      </w:r>
      <w:r>
        <w:rPr>
          <w:rFonts w:hint="eastAsia" w:hAnsi="宋体" w:cs="Times New Roman"/>
          <w:color w:val="auto"/>
          <w:kern w:val="2"/>
          <w:highlight w:val="none"/>
          <w:u w:val="single"/>
        </w:rPr>
        <w:t>由投保人与合同双方同意的保险人商定</w:t>
      </w:r>
      <w:r>
        <w:rPr>
          <w:rFonts w:hint="eastAsia" w:hAnsi="宋体" w:cs="Times New Roman"/>
          <w:bCs/>
          <w:color w:val="auto"/>
          <w:kern w:val="2"/>
          <w:highlight w:val="none"/>
        </w:rPr>
        <w:t>。</w:t>
      </w:r>
    </w:p>
    <w:p w14:paraId="08263D48">
      <w:pPr>
        <w:spacing w:line="360" w:lineRule="auto"/>
        <w:ind w:firstLine="420" w:firstLineChars="200"/>
        <w:jc w:val="left"/>
        <w:rPr>
          <w:rFonts w:ascii="Calibri" w:hAnsi="Calibri"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5</w:t>
      </w:r>
      <w:r>
        <w:rPr>
          <w:rFonts w:hint="eastAsia" w:hAnsi="宋体" w:cs="Times New Roman"/>
          <w:color w:val="auto"/>
          <w:kern w:val="2"/>
          <w:highlight w:val="none"/>
        </w:rPr>
        <w:t>）保险期限：</w:t>
      </w:r>
      <w:r>
        <w:rPr>
          <w:rFonts w:hint="eastAsia" w:hAnsi="宋体" w:cs="Times New Roman"/>
          <w:bCs/>
          <w:color w:val="auto"/>
          <w:kern w:val="2"/>
          <w:highlight w:val="none"/>
          <w:u w:val="single"/>
        </w:rPr>
        <w:t>保险种类包括一切险和第三方责任险，保险期从工程开工之日起到工程竣工验收之日，如若项目延期，投标单位必须无条件办理延期手续并承担一切费用</w:t>
      </w:r>
      <w:r>
        <w:rPr>
          <w:rFonts w:hAnsi="宋体" w:cs="Times New Roman"/>
          <w:bCs/>
          <w:color w:val="auto"/>
          <w:kern w:val="2"/>
          <w:highlight w:val="none"/>
          <w:u w:val="single"/>
        </w:rPr>
        <w:t xml:space="preserve">, </w:t>
      </w:r>
      <w:r>
        <w:rPr>
          <w:rFonts w:hint="eastAsia" w:hAnsi="宋体" w:cs="Times New Roman"/>
          <w:bCs/>
          <w:color w:val="auto"/>
          <w:kern w:val="2"/>
          <w:highlight w:val="none"/>
          <w:u w:val="single"/>
        </w:rPr>
        <w:t>如故意或疏忽而没有投保、少投保或漏投保，造成的后果由承包人负全部责任</w:t>
      </w:r>
      <w:r>
        <w:rPr>
          <w:rFonts w:hint="eastAsia" w:hAnsi="宋体" w:cs="Times New Roman"/>
          <w:bCs/>
          <w:color w:val="auto"/>
          <w:kern w:val="2"/>
          <w:highlight w:val="none"/>
        </w:rPr>
        <w:t>。</w:t>
      </w:r>
    </w:p>
    <w:p w14:paraId="2CC2DAFC">
      <w:pPr>
        <w:keepNext/>
        <w:keepLines/>
        <w:spacing w:before="260" w:after="260" w:line="416" w:lineRule="auto"/>
        <w:outlineLvl w:val="3"/>
        <w:rPr>
          <w:rFonts w:ascii="Calibri" w:hAnsi="Calibri" w:cs="Times New Roman"/>
          <w:b/>
          <w:bCs/>
          <w:color w:val="auto"/>
          <w:kern w:val="2"/>
          <w:sz w:val="32"/>
          <w:szCs w:val="32"/>
          <w:highlight w:val="none"/>
        </w:rPr>
      </w:pPr>
      <w:bookmarkStart w:id="2111" w:name="_Toc373478421"/>
      <w:bookmarkStart w:id="2112" w:name="_Toc373227774"/>
      <w:bookmarkStart w:id="2113" w:name="_Toc389065339"/>
      <w:bookmarkStart w:id="2114" w:name="_Toc494549274"/>
      <w:bookmarkStart w:id="2115" w:name="_Toc530658101"/>
      <w:bookmarkStart w:id="2116" w:name="_Toc512691477"/>
      <w:bookmarkStart w:id="2117" w:name="_Toc407135277"/>
      <w:bookmarkStart w:id="2118" w:name="_Toc532840083"/>
      <w:bookmarkStart w:id="2119" w:name="_Toc493774838"/>
      <w:bookmarkStart w:id="2120" w:name="_Toc508894139"/>
      <w:bookmarkStart w:id="2121" w:name="_Toc485400670"/>
      <w:r>
        <w:rPr>
          <w:rFonts w:ascii="Calibri" w:hAnsi="Calibri" w:cs="Times New Roman"/>
          <w:b/>
          <w:bCs/>
          <w:color w:val="auto"/>
          <w:kern w:val="2"/>
          <w:sz w:val="32"/>
          <w:szCs w:val="32"/>
          <w:highlight w:val="none"/>
        </w:rPr>
        <w:t xml:space="preserve">18.3 </w:t>
      </w:r>
      <w:r>
        <w:rPr>
          <w:rFonts w:hint="eastAsia" w:ascii="Calibri" w:hAnsi="宋体" w:cs="Times New Roman"/>
          <w:b/>
          <w:bCs/>
          <w:color w:val="auto"/>
          <w:kern w:val="2"/>
          <w:sz w:val="32"/>
          <w:szCs w:val="32"/>
          <w:highlight w:val="none"/>
        </w:rPr>
        <w:t>其他保险</w:t>
      </w:r>
      <w:bookmarkEnd w:id="2111"/>
      <w:bookmarkEnd w:id="2112"/>
      <w:bookmarkEnd w:id="2113"/>
      <w:bookmarkEnd w:id="2114"/>
      <w:bookmarkEnd w:id="2115"/>
      <w:bookmarkEnd w:id="2116"/>
      <w:bookmarkEnd w:id="2117"/>
      <w:bookmarkEnd w:id="2118"/>
      <w:bookmarkEnd w:id="2119"/>
      <w:bookmarkEnd w:id="2120"/>
      <w:bookmarkEnd w:id="2121"/>
    </w:p>
    <w:p w14:paraId="6E171A14">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kern w:val="2"/>
          <w:highlight w:val="none"/>
        </w:rPr>
        <w:t>关于其他保险的约定：</w:t>
      </w:r>
      <w:r>
        <w:rPr>
          <w:rFonts w:hint="eastAsia" w:ascii="Calibri" w:hAnsi="宋体" w:cs="Times New Roman"/>
          <w:bCs/>
          <w:color w:val="auto"/>
          <w:kern w:val="2"/>
          <w:highlight w:val="none"/>
          <w:u w:val="single"/>
        </w:rPr>
        <w:t>除了强制规定由发包人负责的保险以外的其他一切工程保险均有承包人自行承担</w:t>
      </w:r>
      <w:r>
        <w:rPr>
          <w:rFonts w:hint="eastAsia" w:ascii="Calibri" w:hAnsi="宋体" w:cs="Times New Roman"/>
          <w:bCs/>
          <w:color w:val="auto"/>
          <w:kern w:val="2"/>
          <w:highlight w:val="none"/>
        </w:rPr>
        <w:t>。</w:t>
      </w:r>
    </w:p>
    <w:p w14:paraId="5E5B4E93">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承包人是否应为其施工设备等办理财产保险：</w:t>
      </w:r>
      <w:r>
        <w:rPr>
          <w:rFonts w:hint="eastAsia" w:ascii="Calibri" w:hAnsi="Calibri" w:cs="Times New Roman"/>
          <w:color w:val="auto"/>
          <w:kern w:val="2"/>
          <w:highlight w:val="none"/>
          <w:u w:val="single"/>
        </w:rPr>
        <w:t>承包人必须为其施工设备、进场材料和工程设备等办理的保险，支付保险费用。保险合同约定的保险责任范围应当包括工地范围内的全部财产的物质损坏或灭失以及所产生的费用，无论是否获得保险机构的赔偿，凡施工中发生的一切安全事故，均由承包人负责所发生事故的依法应该支付的损失赔偿费和承担法律责任，发包人不承担该等责任。保险费率由承包人与发包人同意的保险人商定，相关保险费由承包人承担</w:t>
      </w:r>
      <w:r>
        <w:rPr>
          <w:rFonts w:hint="eastAsia" w:ascii="Calibri" w:hAnsi="宋体" w:cs="Times New Roman"/>
          <w:color w:val="auto"/>
          <w:kern w:val="2"/>
          <w:highlight w:val="none"/>
        </w:rPr>
        <w:t>。</w:t>
      </w:r>
    </w:p>
    <w:p w14:paraId="153FB448">
      <w:pPr>
        <w:keepNext/>
        <w:keepLines/>
        <w:spacing w:before="260" w:after="260" w:line="416" w:lineRule="auto"/>
        <w:outlineLvl w:val="3"/>
        <w:rPr>
          <w:rFonts w:ascii="Calibri" w:hAnsi="Calibri" w:cs="Times New Roman"/>
          <w:b/>
          <w:bCs/>
          <w:color w:val="auto"/>
          <w:kern w:val="2"/>
          <w:sz w:val="32"/>
          <w:szCs w:val="32"/>
          <w:highlight w:val="none"/>
        </w:rPr>
      </w:pPr>
      <w:bookmarkStart w:id="2122" w:name="_Toc389065340"/>
      <w:bookmarkStart w:id="2123" w:name="_Toc494549275"/>
      <w:bookmarkStart w:id="2124" w:name="_Toc530658102"/>
      <w:bookmarkStart w:id="2125" w:name="_Toc493774839"/>
      <w:bookmarkStart w:id="2126" w:name="_Toc485400671"/>
      <w:bookmarkStart w:id="2127" w:name="_Toc373478422"/>
      <w:bookmarkStart w:id="2128" w:name="_Toc407135278"/>
      <w:bookmarkStart w:id="2129" w:name="_Toc508894140"/>
      <w:bookmarkStart w:id="2130" w:name="_Toc373227775"/>
      <w:bookmarkStart w:id="2131" w:name="_Toc532840084"/>
      <w:bookmarkStart w:id="2132" w:name="_Toc512691478"/>
      <w:r>
        <w:rPr>
          <w:rFonts w:ascii="Calibri" w:hAnsi="Calibri" w:cs="Times New Roman"/>
          <w:b/>
          <w:bCs/>
          <w:color w:val="auto"/>
          <w:kern w:val="2"/>
          <w:sz w:val="32"/>
          <w:szCs w:val="32"/>
          <w:highlight w:val="none"/>
        </w:rPr>
        <w:t xml:space="preserve">18.7 </w:t>
      </w:r>
      <w:r>
        <w:rPr>
          <w:rFonts w:hint="eastAsia" w:ascii="Calibri" w:hAnsi="宋体" w:cs="Times New Roman"/>
          <w:b/>
          <w:bCs/>
          <w:color w:val="auto"/>
          <w:kern w:val="2"/>
          <w:sz w:val="32"/>
          <w:szCs w:val="32"/>
          <w:highlight w:val="none"/>
        </w:rPr>
        <w:t>通知义务</w:t>
      </w:r>
      <w:bookmarkEnd w:id="2122"/>
      <w:bookmarkEnd w:id="2123"/>
      <w:bookmarkEnd w:id="2124"/>
      <w:bookmarkEnd w:id="2125"/>
      <w:bookmarkEnd w:id="2126"/>
      <w:bookmarkEnd w:id="2127"/>
      <w:bookmarkEnd w:id="2128"/>
      <w:bookmarkEnd w:id="2129"/>
      <w:bookmarkEnd w:id="2130"/>
      <w:bookmarkEnd w:id="2131"/>
      <w:bookmarkEnd w:id="2132"/>
    </w:p>
    <w:p w14:paraId="329FC90B">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highlight w:val="none"/>
        </w:rPr>
        <w:t>关于变更保险合同时的通知义务的约定：</w:t>
      </w:r>
      <w:r>
        <w:rPr>
          <w:rFonts w:hint="eastAsia" w:ascii="Calibri" w:hAnsi="Calibri" w:cs="Times New Roman"/>
          <w:color w:val="auto"/>
          <w:kern w:val="2"/>
          <w:highlight w:val="none"/>
          <w:u w:val="single"/>
        </w:rPr>
        <w:t>承包人向发包人提交各项保险生效的证据和保险单副本的期限：各项保险生效</w:t>
      </w:r>
      <w:r>
        <w:rPr>
          <w:rFonts w:ascii="Calibri" w:hAnsi="Calibri" w:cs="Times New Roman"/>
          <w:color w:val="auto"/>
          <w:kern w:val="2"/>
          <w:highlight w:val="none"/>
          <w:u w:val="single"/>
        </w:rPr>
        <w:t xml:space="preserve"> 3</w:t>
      </w:r>
      <w:r>
        <w:rPr>
          <w:rFonts w:hint="eastAsia" w:ascii="Calibri" w:hAnsi="Calibri" w:cs="Times New Roman"/>
          <w:color w:val="auto"/>
          <w:kern w:val="2"/>
          <w:highlight w:val="none"/>
          <w:u w:val="single"/>
        </w:rPr>
        <w:t>天内</w:t>
      </w:r>
      <w:r>
        <w:rPr>
          <w:rFonts w:hint="eastAsia" w:ascii="Calibri" w:hAnsi="宋体" w:cs="Times New Roman"/>
          <w:color w:val="auto"/>
          <w:kern w:val="2"/>
          <w:highlight w:val="none"/>
        </w:rPr>
        <w:t>。</w:t>
      </w:r>
    </w:p>
    <w:bookmarkEnd w:id="1963"/>
    <w:bookmarkEnd w:id="1964"/>
    <w:bookmarkEnd w:id="1965"/>
    <w:bookmarkEnd w:id="1966"/>
    <w:bookmarkEnd w:id="1967"/>
    <w:bookmarkEnd w:id="1968"/>
    <w:bookmarkEnd w:id="1969"/>
    <w:bookmarkEnd w:id="1970"/>
    <w:bookmarkEnd w:id="1971"/>
    <w:bookmarkEnd w:id="1972"/>
    <w:bookmarkEnd w:id="1973"/>
    <w:bookmarkEnd w:id="1974"/>
    <w:p w14:paraId="3359507E">
      <w:pPr>
        <w:keepNext/>
        <w:keepLines/>
        <w:spacing w:before="260" w:after="260" w:line="416" w:lineRule="auto"/>
        <w:outlineLvl w:val="2"/>
        <w:rPr>
          <w:rFonts w:ascii="Cambria" w:hAnsi="Cambria" w:cs="Times New Roman"/>
          <w:b/>
          <w:bCs/>
          <w:color w:val="auto"/>
          <w:kern w:val="2"/>
          <w:sz w:val="32"/>
          <w:szCs w:val="32"/>
          <w:highlight w:val="none"/>
        </w:rPr>
      </w:pPr>
      <w:bookmarkStart w:id="2133" w:name="_Toc373478423"/>
      <w:bookmarkStart w:id="2134" w:name="_Toc493774840"/>
      <w:bookmarkStart w:id="2135" w:name="_Toc508894141"/>
      <w:bookmarkStart w:id="2136" w:name="_Toc373227776"/>
      <w:bookmarkStart w:id="2137" w:name="_Toc530658103"/>
      <w:bookmarkStart w:id="2138" w:name="_Toc389065341"/>
      <w:bookmarkStart w:id="2139" w:name="_Toc494549276"/>
      <w:bookmarkStart w:id="2140" w:name="_Toc532840085"/>
      <w:bookmarkStart w:id="2141" w:name="_Toc351203651"/>
      <w:bookmarkStart w:id="2142" w:name="_Toc407135279"/>
      <w:bookmarkStart w:id="2143" w:name="_Toc512691479"/>
      <w:bookmarkStart w:id="2144" w:name="_Toc485400672"/>
      <w:r>
        <w:rPr>
          <w:rFonts w:ascii="Cambria" w:hAnsi="Cambria" w:cs="Times New Roman"/>
          <w:b/>
          <w:bCs/>
          <w:color w:val="auto"/>
          <w:kern w:val="2"/>
          <w:sz w:val="32"/>
          <w:szCs w:val="32"/>
          <w:highlight w:val="none"/>
        </w:rPr>
        <w:t xml:space="preserve">20. </w:t>
      </w:r>
      <w:r>
        <w:rPr>
          <w:rFonts w:hint="eastAsia" w:ascii="Cambria" w:hAnsi="宋体" w:cs="Times New Roman"/>
          <w:b/>
          <w:bCs/>
          <w:color w:val="auto"/>
          <w:kern w:val="2"/>
          <w:sz w:val="32"/>
          <w:szCs w:val="32"/>
          <w:highlight w:val="none"/>
        </w:rPr>
        <w:t>争议解决</w:t>
      </w:r>
      <w:bookmarkEnd w:id="2133"/>
      <w:bookmarkEnd w:id="2134"/>
      <w:bookmarkEnd w:id="2135"/>
      <w:bookmarkEnd w:id="2136"/>
      <w:bookmarkEnd w:id="2137"/>
      <w:bookmarkEnd w:id="2138"/>
      <w:bookmarkEnd w:id="2139"/>
      <w:bookmarkEnd w:id="2140"/>
      <w:bookmarkEnd w:id="2141"/>
      <w:bookmarkEnd w:id="2142"/>
      <w:bookmarkEnd w:id="2143"/>
      <w:bookmarkEnd w:id="2144"/>
    </w:p>
    <w:bookmarkEnd w:id="1975"/>
    <w:bookmarkEnd w:id="1976"/>
    <w:p w14:paraId="0D70CE72">
      <w:pPr>
        <w:keepNext/>
        <w:keepLines/>
        <w:spacing w:before="260" w:after="260" w:line="416" w:lineRule="auto"/>
        <w:outlineLvl w:val="3"/>
        <w:rPr>
          <w:rFonts w:ascii="Calibri" w:hAnsi="Calibri" w:cs="Times New Roman"/>
          <w:b/>
          <w:bCs/>
          <w:color w:val="auto"/>
          <w:kern w:val="2"/>
          <w:sz w:val="32"/>
          <w:szCs w:val="32"/>
          <w:highlight w:val="none"/>
        </w:rPr>
      </w:pPr>
      <w:bookmarkStart w:id="2145" w:name="_Toc508894142"/>
      <w:bookmarkStart w:id="2146" w:name="_Toc407135280"/>
      <w:bookmarkStart w:id="2147" w:name="_Toc485400673"/>
      <w:bookmarkStart w:id="2148" w:name="_Toc493774841"/>
      <w:bookmarkStart w:id="2149" w:name="_Toc494549277"/>
      <w:bookmarkStart w:id="2150" w:name="_Toc530658104"/>
      <w:bookmarkStart w:id="2151" w:name="_Toc373478424"/>
      <w:bookmarkStart w:id="2152" w:name="_Toc512691480"/>
      <w:bookmarkStart w:id="2153" w:name="_Toc532840086"/>
      <w:bookmarkStart w:id="2154" w:name="_Toc389065342"/>
      <w:bookmarkStart w:id="2155" w:name="_Toc373227777"/>
      <w:r>
        <w:rPr>
          <w:rFonts w:ascii="Calibri" w:hAnsi="Calibri" w:cs="Times New Roman"/>
          <w:b/>
          <w:bCs/>
          <w:color w:val="auto"/>
          <w:kern w:val="2"/>
          <w:sz w:val="32"/>
          <w:szCs w:val="32"/>
          <w:highlight w:val="none"/>
        </w:rPr>
        <w:t xml:space="preserve">20.3 </w:t>
      </w:r>
      <w:r>
        <w:rPr>
          <w:rFonts w:hint="eastAsia" w:ascii="Calibri" w:hAnsi="宋体" w:cs="Times New Roman"/>
          <w:b/>
          <w:bCs/>
          <w:color w:val="auto"/>
          <w:kern w:val="2"/>
          <w:sz w:val="32"/>
          <w:szCs w:val="32"/>
          <w:highlight w:val="none"/>
        </w:rPr>
        <w:t>争</w:t>
      </w:r>
      <w:bookmarkEnd w:id="1977"/>
      <w:r>
        <w:rPr>
          <w:rFonts w:hint="eastAsia" w:ascii="Calibri" w:hAnsi="宋体" w:cs="Times New Roman"/>
          <w:b/>
          <w:bCs/>
          <w:color w:val="auto"/>
          <w:kern w:val="2"/>
          <w:sz w:val="32"/>
          <w:szCs w:val="32"/>
          <w:highlight w:val="none"/>
        </w:rPr>
        <w:t>议评审</w:t>
      </w:r>
      <w:bookmarkEnd w:id="2145"/>
      <w:bookmarkEnd w:id="2146"/>
      <w:bookmarkEnd w:id="2147"/>
      <w:bookmarkEnd w:id="2148"/>
      <w:bookmarkEnd w:id="2149"/>
      <w:bookmarkEnd w:id="2150"/>
      <w:bookmarkEnd w:id="2151"/>
      <w:bookmarkEnd w:id="2152"/>
      <w:bookmarkEnd w:id="2153"/>
      <w:bookmarkEnd w:id="2154"/>
      <w:bookmarkEnd w:id="2155"/>
    </w:p>
    <w:p w14:paraId="5FBCD81E">
      <w:pPr>
        <w:spacing w:line="360" w:lineRule="auto"/>
        <w:ind w:left="149" w:leftChars="71" w:firstLine="315" w:firstLineChars="150"/>
        <w:jc w:val="left"/>
        <w:rPr>
          <w:rFonts w:ascii="Calibri" w:hAnsi="Calibri" w:cs="Times New Roman"/>
          <w:color w:val="auto"/>
          <w:kern w:val="2"/>
          <w:highlight w:val="none"/>
          <w:u w:val="single"/>
        </w:rPr>
      </w:pPr>
      <w:r>
        <w:rPr>
          <w:rFonts w:hint="eastAsia" w:ascii="Calibri" w:hAnsi="宋体" w:cs="Times New Roman"/>
          <w:color w:val="auto"/>
          <w:kern w:val="2"/>
          <w:highlight w:val="none"/>
        </w:rPr>
        <w:t>合同当事人是否同意将工程争议提交争议评审小组决定：</w:t>
      </w:r>
      <w:r>
        <w:rPr>
          <w:rFonts w:hint="eastAsia" w:ascii="Calibri" w:hAnsi="Calibri" w:cs="Times New Roman"/>
          <w:color w:val="auto"/>
          <w:kern w:val="2"/>
          <w:highlight w:val="none"/>
          <w:u w:val="single"/>
        </w:rPr>
        <w:t>否</w:t>
      </w:r>
      <w:r>
        <w:rPr>
          <w:rFonts w:hint="eastAsia" w:ascii="Calibri" w:hAnsi="宋体" w:cs="Times New Roman"/>
          <w:color w:val="auto"/>
          <w:kern w:val="2"/>
          <w:highlight w:val="none"/>
        </w:rPr>
        <w:t>。</w:t>
      </w:r>
    </w:p>
    <w:p w14:paraId="3D3113A7">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20.3.1 </w:t>
      </w:r>
      <w:r>
        <w:rPr>
          <w:rFonts w:hint="eastAsia" w:ascii="Calibri" w:hAnsi="宋体" w:cs="Times New Roman"/>
          <w:color w:val="auto"/>
          <w:kern w:val="2"/>
          <w:highlight w:val="none"/>
        </w:rPr>
        <w:t>争议评审小组的确定</w:t>
      </w:r>
    </w:p>
    <w:p w14:paraId="32DB61E9">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争议评审小组成员的确定：</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rPr>
        <w:t>。</w:t>
      </w:r>
    </w:p>
    <w:p w14:paraId="3EB7EF87">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选定争议评审员的期限：</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rPr>
        <w:t>。</w:t>
      </w:r>
    </w:p>
    <w:p w14:paraId="19655329">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争议评审小组成员的报酬承担方式：</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rPr>
        <w:t>。</w:t>
      </w:r>
    </w:p>
    <w:p w14:paraId="27E4EE34">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其他事项的约定：</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rPr>
        <w:t>。</w:t>
      </w:r>
    </w:p>
    <w:p w14:paraId="36A9D5AE">
      <w:pPr>
        <w:autoSpaceDE w:val="0"/>
        <w:autoSpaceDN w:val="0"/>
        <w:adjustRightInd w:val="0"/>
        <w:spacing w:line="360" w:lineRule="auto"/>
        <w:ind w:firstLine="420" w:firstLineChars="200"/>
        <w:jc w:val="left"/>
        <w:rPr>
          <w:rFonts w:ascii="Calibri" w:hAnsi="Calibri" w:cs="Times New Roman"/>
          <w:color w:val="auto"/>
          <w:highlight w:val="none"/>
        </w:rPr>
      </w:pPr>
      <w:r>
        <w:rPr>
          <w:rFonts w:ascii="Calibri" w:hAnsi="Calibri" w:cs="Times New Roman"/>
          <w:color w:val="auto"/>
          <w:highlight w:val="none"/>
        </w:rPr>
        <w:t xml:space="preserve">20.3.2 </w:t>
      </w:r>
      <w:r>
        <w:rPr>
          <w:rFonts w:hint="eastAsia" w:ascii="Calibri" w:hAnsi="宋体" w:cs="Times New Roman"/>
          <w:color w:val="auto"/>
          <w:highlight w:val="none"/>
        </w:rPr>
        <w:t>争议评审小组的决定</w:t>
      </w:r>
    </w:p>
    <w:p w14:paraId="0F99A472">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合同当事人关于本项的约定：</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rPr>
        <w:t>。</w:t>
      </w:r>
    </w:p>
    <w:p w14:paraId="1B362477">
      <w:pPr>
        <w:keepNext/>
        <w:keepLines/>
        <w:spacing w:before="260" w:after="260" w:line="416" w:lineRule="auto"/>
        <w:outlineLvl w:val="3"/>
        <w:rPr>
          <w:rFonts w:ascii="Calibri" w:hAnsi="Calibri" w:cs="Times New Roman"/>
          <w:b/>
          <w:bCs/>
          <w:color w:val="auto"/>
          <w:kern w:val="2"/>
          <w:sz w:val="32"/>
          <w:szCs w:val="32"/>
          <w:highlight w:val="none"/>
        </w:rPr>
      </w:pPr>
      <w:bookmarkStart w:id="2156" w:name="_Toc512691481"/>
      <w:bookmarkStart w:id="2157" w:name="_Toc530658105"/>
      <w:bookmarkStart w:id="2158" w:name="_Toc508894143"/>
      <w:bookmarkStart w:id="2159" w:name="_Toc485400674"/>
      <w:bookmarkStart w:id="2160" w:name="_Toc373478425"/>
      <w:bookmarkStart w:id="2161" w:name="_Toc407135281"/>
      <w:bookmarkStart w:id="2162" w:name="_Toc493774842"/>
      <w:bookmarkStart w:id="2163" w:name="_Toc532840087"/>
      <w:bookmarkStart w:id="2164" w:name="_Toc494549278"/>
      <w:bookmarkStart w:id="2165" w:name="_Toc389065343"/>
      <w:bookmarkStart w:id="2166" w:name="_Toc373227778"/>
      <w:r>
        <w:rPr>
          <w:rFonts w:ascii="Calibri" w:hAnsi="Calibri" w:cs="Times New Roman"/>
          <w:b/>
          <w:bCs/>
          <w:color w:val="auto"/>
          <w:kern w:val="2"/>
          <w:sz w:val="32"/>
          <w:szCs w:val="32"/>
          <w:highlight w:val="none"/>
        </w:rPr>
        <w:t xml:space="preserve">20.4 </w:t>
      </w:r>
      <w:r>
        <w:rPr>
          <w:rFonts w:hint="eastAsia" w:ascii="Calibri" w:hAnsi="宋体" w:cs="Times New Roman"/>
          <w:b/>
          <w:bCs/>
          <w:color w:val="auto"/>
          <w:kern w:val="2"/>
          <w:sz w:val="32"/>
          <w:szCs w:val="32"/>
          <w:highlight w:val="none"/>
        </w:rPr>
        <w:t>仲裁或诉讼</w:t>
      </w:r>
      <w:bookmarkEnd w:id="1978"/>
      <w:bookmarkEnd w:id="2156"/>
      <w:bookmarkEnd w:id="2157"/>
      <w:bookmarkEnd w:id="2158"/>
      <w:bookmarkEnd w:id="2159"/>
      <w:bookmarkEnd w:id="2160"/>
      <w:bookmarkEnd w:id="2161"/>
      <w:bookmarkEnd w:id="2162"/>
      <w:bookmarkEnd w:id="2163"/>
      <w:bookmarkEnd w:id="2164"/>
      <w:bookmarkEnd w:id="2165"/>
      <w:bookmarkEnd w:id="2166"/>
    </w:p>
    <w:p w14:paraId="7FD1BEC1">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因合同及合同有关事项发生的争议，按下列第</w:t>
      </w:r>
      <w:r>
        <w:rPr>
          <w:rFonts w:ascii="Calibri" w:hAnsi="宋体" w:cs="Times New Roman"/>
          <w:color w:val="auto"/>
          <w:kern w:val="2"/>
          <w:highlight w:val="none"/>
        </w:rPr>
        <w:t>2</w:t>
      </w:r>
      <w:r>
        <w:rPr>
          <w:rFonts w:hint="eastAsia" w:ascii="Calibri" w:hAnsi="宋体" w:cs="Times New Roman"/>
          <w:color w:val="auto"/>
          <w:kern w:val="2"/>
          <w:highlight w:val="none"/>
        </w:rPr>
        <w:t>种方式解决：</w:t>
      </w:r>
    </w:p>
    <w:p w14:paraId="543D2045">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w:t>
      </w:r>
      <w:r>
        <w:rPr>
          <w:rFonts w:ascii="Calibri" w:hAnsi="Calibri" w:cs="Times New Roman"/>
          <w:color w:val="auto"/>
          <w:kern w:val="2"/>
          <w:highlight w:val="none"/>
        </w:rPr>
        <w:t>1</w:t>
      </w:r>
      <w:r>
        <w:rPr>
          <w:rFonts w:hint="eastAsia" w:ascii="Calibri" w:hAnsi="宋体" w:cs="Times New Roman"/>
          <w:color w:val="auto"/>
          <w:kern w:val="2"/>
          <w:highlight w:val="none"/>
        </w:rPr>
        <w:t>）提请</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rPr>
        <w:t>仲裁委员会按照该会仲裁规则进行仲裁，仲裁裁决是终局的，对合同双方均有约束力。</w:t>
      </w:r>
    </w:p>
    <w:p w14:paraId="26DE42F5">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w:t>
      </w:r>
      <w:r>
        <w:rPr>
          <w:rFonts w:ascii="Calibri" w:hAnsi="Calibri" w:cs="Times New Roman"/>
          <w:color w:val="auto"/>
          <w:kern w:val="2"/>
          <w:highlight w:val="none"/>
        </w:rPr>
        <w:t>2</w:t>
      </w:r>
      <w:r>
        <w:rPr>
          <w:rFonts w:hint="eastAsia" w:ascii="Calibri" w:hAnsi="宋体" w:cs="Times New Roman"/>
          <w:color w:val="auto"/>
          <w:kern w:val="2"/>
          <w:highlight w:val="none"/>
        </w:rPr>
        <w:t>）向</w:t>
      </w:r>
      <w:r>
        <w:rPr>
          <w:rFonts w:hint="eastAsia" w:ascii="Calibri" w:hAnsi="Calibri" w:cs="Times New Roman"/>
          <w:color w:val="auto"/>
          <w:kern w:val="2"/>
          <w:highlight w:val="none"/>
          <w:u w:val="single"/>
        </w:rPr>
        <w:t>项目所在地有管辖权的</w:t>
      </w:r>
      <w:r>
        <w:rPr>
          <w:rFonts w:hint="eastAsia" w:ascii="Calibri" w:hAnsi="宋体" w:cs="Times New Roman"/>
          <w:color w:val="auto"/>
          <w:kern w:val="2"/>
          <w:highlight w:val="none"/>
        </w:rPr>
        <w:t>人民法院起诉。</w:t>
      </w:r>
      <w:bookmarkEnd w:id="1979"/>
      <w:bookmarkEnd w:id="1980"/>
      <w:bookmarkEnd w:id="1981"/>
      <w:bookmarkEnd w:id="1982"/>
      <w:bookmarkEnd w:id="1983"/>
      <w:bookmarkEnd w:id="1984"/>
    </w:p>
    <w:p w14:paraId="61365071">
      <w:pPr>
        <w:keepNext/>
        <w:keepLines/>
        <w:spacing w:before="260" w:after="260" w:line="416" w:lineRule="auto"/>
        <w:outlineLvl w:val="2"/>
        <w:rPr>
          <w:rFonts w:ascii="Cambria" w:hAnsi="Cambria" w:cs="Times New Roman"/>
          <w:b/>
          <w:bCs/>
          <w:color w:val="auto"/>
          <w:kern w:val="2"/>
          <w:sz w:val="32"/>
          <w:szCs w:val="32"/>
          <w:highlight w:val="none"/>
        </w:rPr>
      </w:pPr>
      <w:bookmarkStart w:id="2167" w:name="_Toc530658106"/>
      <w:bookmarkStart w:id="2168" w:name="_Toc532840088"/>
      <w:bookmarkStart w:id="2169" w:name="_Toc512691482"/>
      <w:bookmarkStart w:id="2170" w:name="_Toc508894144"/>
      <w:bookmarkStart w:id="2171" w:name="_Toc494549279"/>
      <w:bookmarkStart w:id="2172" w:name="_Toc493774843"/>
      <w:bookmarkStart w:id="2173" w:name="_Toc389065344"/>
      <w:bookmarkStart w:id="2174" w:name="_Toc373227779"/>
      <w:bookmarkStart w:id="2175" w:name="_Toc485400675"/>
      <w:bookmarkStart w:id="2176" w:name="_Toc407135282"/>
      <w:bookmarkStart w:id="2177" w:name="_Toc373478426"/>
      <w:r>
        <w:rPr>
          <w:rFonts w:ascii="Cambria" w:hAnsi="Cambria" w:cs="Times New Roman"/>
          <w:b/>
          <w:bCs/>
          <w:color w:val="auto"/>
          <w:kern w:val="2"/>
          <w:sz w:val="32"/>
          <w:szCs w:val="32"/>
          <w:highlight w:val="none"/>
        </w:rPr>
        <w:t xml:space="preserve">21. </w:t>
      </w:r>
      <w:r>
        <w:rPr>
          <w:rFonts w:hint="eastAsia" w:ascii="Cambria" w:hAnsi="宋体" w:cs="Times New Roman"/>
          <w:b/>
          <w:bCs/>
          <w:color w:val="auto"/>
          <w:kern w:val="2"/>
          <w:sz w:val="32"/>
          <w:szCs w:val="32"/>
          <w:highlight w:val="none"/>
        </w:rPr>
        <w:t>补充条款</w:t>
      </w:r>
      <w:bookmarkEnd w:id="2167"/>
      <w:bookmarkEnd w:id="2168"/>
      <w:bookmarkEnd w:id="2169"/>
      <w:bookmarkEnd w:id="2170"/>
      <w:bookmarkEnd w:id="2171"/>
      <w:bookmarkEnd w:id="2172"/>
      <w:bookmarkEnd w:id="2173"/>
      <w:bookmarkEnd w:id="2174"/>
      <w:bookmarkEnd w:id="2175"/>
      <w:bookmarkEnd w:id="2176"/>
      <w:bookmarkEnd w:id="2177"/>
    </w:p>
    <w:p w14:paraId="7914287B">
      <w:pPr>
        <w:spacing w:line="360" w:lineRule="auto"/>
        <w:ind w:firstLine="405"/>
        <w:rPr>
          <w:rFonts w:ascii="Calibri" w:hAnsi="宋体" w:cs="Times New Roman"/>
          <w:color w:val="auto"/>
          <w:kern w:val="2"/>
          <w:highlight w:val="none"/>
        </w:rPr>
      </w:pPr>
      <w:r>
        <w:rPr>
          <w:rFonts w:ascii="Calibri" w:hAnsi="Calibri" w:cs="Times New Roman"/>
          <w:color w:val="auto"/>
          <w:kern w:val="2"/>
          <w:highlight w:val="none"/>
        </w:rPr>
        <w:t xml:space="preserve">21.1 </w:t>
      </w:r>
      <w:r>
        <w:rPr>
          <w:rFonts w:hint="eastAsia" w:ascii="Calibri" w:hAnsi="宋体" w:cs="Times New Roman"/>
          <w:color w:val="auto"/>
          <w:kern w:val="2"/>
          <w:highlight w:val="none"/>
        </w:rPr>
        <w:t>禁止使用童工。</w:t>
      </w:r>
    </w:p>
    <w:p w14:paraId="3DCAFFD5">
      <w:pPr>
        <w:adjustRightInd w:val="0"/>
        <w:snapToGrid w:val="0"/>
        <w:spacing w:line="440" w:lineRule="exact"/>
        <w:ind w:firstLine="420" w:firstLineChars="200"/>
        <w:rPr>
          <w:rFonts w:ascii="Calibri" w:hAnsi="宋体" w:cs="Times New Roman"/>
          <w:color w:val="auto"/>
          <w:kern w:val="2"/>
          <w:highlight w:val="none"/>
        </w:rPr>
      </w:pPr>
      <w:r>
        <w:rPr>
          <w:rFonts w:ascii="Calibri" w:hAnsi="宋体" w:cs="Times New Roman"/>
          <w:color w:val="auto"/>
          <w:kern w:val="2"/>
          <w:highlight w:val="none"/>
        </w:rPr>
        <w:t>21.2</w:t>
      </w:r>
      <w:r>
        <w:rPr>
          <w:rFonts w:hint="eastAsia" w:ascii="Calibri" w:hAnsi="宋体" w:cs="Times New Roman"/>
          <w:color w:val="auto"/>
          <w:kern w:val="2"/>
          <w:highlight w:val="none"/>
        </w:rPr>
        <w:t>关于工期：（</w:t>
      </w:r>
      <w:r>
        <w:rPr>
          <w:rFonts w:ascii="Calibri" w:hAnsi="宋体" w:cs="Times New Roman"/>
          <w:color w:val="auto"/>
          <w:kern w:val="2"/>
          <w:highlight w:val="none"/>
        </w:rPr>
        <w:t>1</w:t>
      </w:r>
      <w:r>
        <w:rPr>
          <w:rFonts w:hint="eastAsia" w:ascii="Calibri" w:hAnsi="宋体" w:cs="Times New Roman"/>
          <w:color w:val="auto"/>
          <w:kern w:val="2"/>
          <w:highlight w:val="none"/>
        </w:rPr>
        <w:t>）保证文明施工，安全生产，因承包人原因发生安全事故或造成其他损失，由承包人承担一切费用，工期不予延长；因承包人原因造成的停工，由承包人承担一切费用，工期不予延长；因供水、供电部门的原因停水、停电导致的停工，连续超过</w:t>
      </w:r>
      <w:r>
        <w:rPr>
          <w:rFonts w:ascii="Calibri" w:hAnsi="宋体" w:cs="Times New Roman"/>
          <w:color w:val="auto"/>
          <w:kern w:val="2"/>
          <w:highlight w:val="none"/>
        </w:rPr>
        <w:t>24</w:t>
      </w:r>
      <w:r>
        <w:rPr>
          <w:rFonts w:hint="eastAsia" w:ascii="Calibri" w:hAnsi="宋体" w:cs="Times New Roman"/>
          <w:color w:val="auto"/>
          <w:kern w:val="2"/>
          <w:highlight w:val="none"/>
        </w:rPr>
        <w:t>小时，工期顺延，</w:t>
      </w:r>
      <w:r>
        <w:rPr>
          <w:rFonts w:hint="eastAsia" w:ascii="Calibri" w:hAnsi="宋体" w:cs="Times New Roman"/>
          <w:color w:val="auto"/>
          <w:kern w:val="2"/>
          <w:highlight w:val="none"/>
        </w:rPr>
        <w:t>发包人承担由此造成的损失</w:t>
      </w:r>
      <w:r>
        <w:rPr>
          <w:rFonts w:hint="eastAsia" w:ascii="Calibri" w:hAnsi="宋体" w:cs="Times New Roman"/>
          <w:color w:val="auto"/>
          <w:kern w:val="2"/>
          <w:highlight w:val="none"/>
        </w:rPr>
        <w:t>。（</w:t>
      </w:r>
      <w:r>
        <w:rPr>
          <w:rFonts w:ascii="Calibri" w:hAnsi="宋体" w:cs="Times New Roman"/>
          <w:color w:val="auto"/>
          <w:kern w:val="2"/>
          <w:highlight w:val="none"/>
        </w:rPr>
        <w:t>3</w:t>
      </w:r>
      <w:r>
        <w:rPr>
          <w:rFonts w:hint="eastAsia" w:ascii="Calibri" w:hAnsi="宋体" w:cs="Times New Roman"/>
          <w:color w:val="auto"/>
          <w:kern w:val="2"/>
          <w:highlight w:val="none"/>
        </w:rPr>
        <w:t>）设计变更由双方协商相应延长工期。</w:t>
      </w:r>
    </w:p>
    <w:p w14:paraId="18A01B5E">
      <w:pPr>
        <w:adjustRightInd w:val="0"/>
        <w:snapToGrid w:val="0"/>
        <w:spacing w:line="440" w:lineRule="exact"/>
        <w:ind w:firstLine="420" w:firstLineChars="200"/>
        <w:rPr>
          <w:rFonts w:ascii="Calibri" w:hAnsi="宋体" w:cs="Times New Roman"/>
          <w:color w:val="auto"/>
          <w:kern w:val="2"/>
          <w:highlight w:val="none"/>
        </w:rPr>
      </w:pPr>
      <w:r>
        <w:rPr>
          <w:rFonts w:ascii="Calibri" w:hAnsi="宋体" w:cs="Times New Roman"/>
          <w:color w:val="auto"/>
          <w:kern w:val="2"/>
          <w:highlight w:val="none"/>
        </w:rPr>
        <w:t>21.3</w:t>
      </w:r>
      <w:r>
        <w:rPr>
          <w:rFonts w:hint="eastAsia" w:ascii="Calibri" w:hAnsi="宋体" w:cs="Times New Roman"/>
          <w:color w:val="auto"/>
          <w:kern w:val="2"/>
          <w:highlight w:val="none"/>
        </w:rPr>
        <w:t>关于安全文明施工：（</w:t>
      </w:r>
      <w:r>
        <w:rPr>
          <w:rFonts w:ascii="Calibri" w:hAnsi="宋体" w:cs="Times New Roman"/>
          <w:color w:val="auto"/>
          <w:kern w:val="2"/>
          <w:highlight w:val="none"/>
        </w:rPr>
        <w:t>1</w:t>
      </w:r>
      <w:r>
        <w:rPr>
          <w:rFonts w:hint="eastAsia" w:ascii="Calibri" w:hAnsi="宋体" w:cs="Times New Roman"/>
          <w:color w:val="auto"/>
          <w:kern w:val="2"/>
          <w:highlight w:val="none"/>
        </w:rPr>
        <w:t>）承包人应遵守政府有关主管部门对施工场地的管理规定，并按规定办理相关手续。并应符合国家相关规定，并自行承担其费用；对施工中的地上地下建筑物（构筑物）管线、电力设施等应按有关规定加强监控测量和保护，相应的费用或因保护不当造成的损失及法律责任由</w:t>
      </w:r>
      <w:r>
        <w:rPr>
          <w:rFonts w:hint="eastAsia" w:ascii="Calibri" w:hAnsi="宋体" w:cs="Times New Roman"/>
          <w:color w:val="auto"/>
          <w:kern w:val="2"/>
          <w:highlight w:val="none"/>
          <w:lang w:val="en-US" w:eastAsia="zh-CN"/>
        </w:rPr>
        <w:t>责任人</w:t>
      </w:r>
      <w:r>
        <w:rPr>
          <w:rFonts w:hint="eastAsia" w:ascii="Calibri" w:hAnsi="宋体" w:cs="Times New Roman"/>
          <w:color w:val="auto"/>
          <w:kern w:val="2"/>
          <w:highlight w:val="none"/>
        </w:rPr>
        <w:t>承担；环境保护工作由承包方全权负责，执行国家和地方相关规定。施工现场内不得随地抛洒剩饭及生活垃圾等，更不能将其随意倒至施工区外，施工区内不得随处大小便。做到工完场地清；施工机械设备进场前，应做好清洁、保养和维护工作。出场车辆应有专人打扫、清洗。有密封要求的按规定必须达到；施工期间必须保证周边单位的正常工作及居民的正常生活，尽量减少粉尘、噪声、振动等污染的扰民。必须按市委、市人大、市政府及有关部门的临时要求，调整作业方式，停止高粉尘、高噪音作业或爆破作业等；保证周围建</w:t>
      </w:r>
      <w:r>
        <w:rPr>
          <w:rFonts w:ascii="Calibri" w:hAnsi="宋体" w:cs="Times New Roman"/>
          <w:color w:val="auto"/>
          <w:kern w:val="2"/>
          <w:highlight w:val="none"/>
        </w:rPr>
        <w:t>(</w:t>
      </w:r>
      <w:r>
        <w:rPr>
          <w:rFonts w:hint="eastAsia" w:ascii="Calibri" w:hAnsi="宋体" w:cs="Times New Roman"/>
          <w:color w:val="auto"/>
          <w:kern w:val="2"/>
          <w:highlight w:val="none"/>
        </w:rPr>
        <w:t>构</w:t>
      </w:r>
      <w:r>
        <w:rPr>
          <w:rFonts w:ascii="Calibri" w:hAnsi="宋体" w:cs="Times New Roman"/>
          <w:color w:val="auto"/>
          <w:kern w:val="2"/>
          <w:highlight w:val="none"/>
        </w:rPr>
        <w:t>)</w:t>
      </w:r>
      <w:r>
        <w:rPr>
          <w:rFonts w:hint="eastAsia" w:ascii="Calibri" w:hAnsi="宋体" w:cs="Times New Roman"/>
          <w:color w:val="auto"/>
          <w:kern w:val="2"/>
          <w:highlight w:val="none"/>
        </w:rPr>
        <w:t>筑物、地下及地上管线、地下人防等设施安全；做到进入现场的施工和作业人员，配证上岗，文明施工；按规定做好施工区域封闭及场地硬化工作，施工围墙</w:t>
      </w:r>
      <w:r>
        <w:rPr>
          <w:rFonts w:ascii="Calibri" w:hAnsi="宋体" w:cs="Times New Roman"/>
          <w:color w:val="auto"/>
          <w:kern w:val="2"/>
          <w:highlight w:val="none"/>
        </w:rPr>
        <w:t>(</w:t>
      </w:r>
      <w:r>
        <w:rPr>
          <w:rFonts w:hint="eastAsia" w:ascii="Calibri" w:hAnsi="宋体" w:cs="Times New Roman"/>
          <w:color w:val="auto"/>
          <w:kern w:val="2"/>
          <w:highlight w:val="none"/>
        </w:rPr>
        <w:t>围挡</w:t>
      </w:r>
      <w:r>
        <w:rPr>
          <w:rFonts w:ascii="Calibri" w:hAnsi="宋体" w:cs="Times New Roman"/>
          <w:color w:val="auto"/>
          <w:kern w:val="2"/>
          <w:highlight w:val="none"/>
        </w:rPr>
        <w:t>)</w:t>
      </w:r>
      <w:r>
        <w:rPr>
          <w:rFonts w:hint="eastAsia" w:ascii="Calibri" w:hAnsi="宋体" w:cs="Times New Roman"/>
          <w:color w:val="auto"/>
          <w:kern w:val="2"/>
          <w:highlight w:val="none"/>
        </w:rPr>
        <w:t>等维护设施应安全、美观、耐久，非施工相关人员不许入内；上述增加列项涉及的费用由承包人承担。</w:t>
      </w:r>
    </w:p>
    <w:p w14:paraId="5C888350">
      <w:pPr>
        <w:adjustRightInd w:val="0"/>
        <w:snapToGrid w:val="0"/>
        <w:spacing w:line="440" w:lineRule="exact"/>
        <w:ind w:firstLine="420" w:firstLineChars="200"/>
        <w:rPr>
          <w:rFonts w:ascii="Calibri" w:hAnsi="宋体" w:cs="Times New Roman"/>
          <w:color w:val="auto"/>
          <w:kern w:val="2"/>
          <w:highlight w:val="none"/>
        </w:rPr>
      </w:pPr>
      <w:r>
        <w:rPr>
          <w:rFonts w:ascii="Calibri" w:hAnsi="宋体" w:cs="Times New Roman"/>
          <w:color w:val="auto"/>
          <w:kern w:val="2"/>
          <w:highlight w:val="none"/>
        </w:rPr>
        <w:t>21.4</w:t>
      </w:r>
      <w:r>
        <w:rPr>
          <w:rFonts w:hint="eastAsia" w:ascii="Calibri" w:hAnsi="宋体" w:cs="Times New Roman"/>
          <w:color w:val="auto"/>
          <w:kern w:val="2"/>
          <w:highlight w:val="none"/>
        </w:rPr>
        <w:t>关于结算审计：（</w:t>
      </w:r>
      <w:r>
        <w:rPr>
          <w:rFonts w:ascii="Calibri" w:hAnsi="宋体" w:cs="Times New Roman"/>
          <w:color w:val="auto"/>
          <w:kern w:val="2"/>
          <w:highlight w:val="none"/>
        </w:rPr>
        <w:t>1</w:t>
      </w:r>
      <w:r>
        <w:rPr>
          <w:rFonts w:hint="eastAsia" w:ascii="Calibri" w:hAnsi="宋体" w:cs="Times New Roman"/>
          <w:color w:val="auto"/>
          <w:kern w:val="2"/>
          <w:highlight w:val="none"/>
        </w:rPr>
        <w:t>）工程竣工验收合格后</w:t>
      </w:r>
      <w:r>
        <w:rPr>
          <w:rFonts w:hint="eastAsia" w:ascii="Calibri" w:hAnsi="宋体" w:cs="Times New Roman"/>
          <w:color w:val="auto"/>
          <w:kern w:val="2"/>
          <w:highlight w:val="none"/>
          <w:lang w:val="en-US" w:eastAsia="zh-CN"/>
        </w:rPr>
        <w:t>九十</w:t>
      </w:r>
      <w:r>
        <w:rPr>
          <w:rFonts w:hint="eastAsia" w:ascii="Calibri" w:hAnsi="宋体" w:cs="Times New Roman"/>
          <w:color w:val="auto"/>
          <w:kern w:val="2"/>
          <w:highlight w:val="none"/>
        </w:rPr>
        <w:t>日内，承包人将完整的竣工资料和结算资料送到发包人，发包人在收到完整的竣工资料和结算资料后</w:t>
      </w:r>
      <w:r>
        <w:rPr>
          <w:rFonts w:hint="eastAsia" w:ascii="Calibri" w:hAnsi="宋体" w:cs="Times New Roman"/>
          <w:color w:val="auto"/>
          <w:kern w:val="2"/>
          <w:highlight w:val="none"/>
          <w:lang w:val="en-US" w:eastAsia="zh-CN"/>
        </w:rPr>
        <w:t>1</w:t>
      </w:r>
      <w:r>
        <w:rPr>
          <w:rFonts w:hint="eastAsia" w:ascii="Calibri" w:hAnsi="宋体" w:cs="Times New Roman"/>
          <w:color w:val="auto"/>
          <w:kern w:val="2"/>
          <w:highlight w:val="none"/>
        </w:rPr>
        <w:t>个月内办清结算并提交审计审核。若因承包人提交审计资料不完整、延迟及双方争议等原因造成审计工作不能按期完成的，审计时间顺延。（</w:t>
      </w:r>
      <w:r>
        <w:rPr>
          <w:rFonts w:ascii="Calibri" w:hAnsi="宋体" w:cs="Times New Roman"/>
          <w:color w:val="auto"/>
          <w:kern w:val="2"/>
          <w:highlight w:val="none"/>
        </w:rPr>
        <w:t>2</w:t>
      </w:r>
      <w:r>
        <w:rPr>
          <w:rFonts w:hint="eastAsia" w:ascii="Calibri" w:hAnsi="宋体" w:cs="Times New Roman"/>
          <w:color w:val="auto"/>
          <w:kern w:val="2"/>
          <w:highlight w:val="none"/>
        </w:rPr>
        <w:t>）所有竣工和结算资料必须经业主项目负责人、现场代表、监理工程师、承包人签字确认后，方可做为有效竣工和结算资料。（</w:t>
      </w:r>
      <w:r>
        <w:rPr>
          <w:rFonts w:ascii="Calibri" w:hAnsi="宋体" w:cs="Times New Roman"/>
          <w:color w:val="auto"/>
          <w:kern w:val="2"/>
          <w:highlight w:val="none"/>
        </w:rPr>
        <w:t>3</w:t>
      </w:r>
      <w:r>
        <w:rPr>
          <w:rFonts w:hint="eastAsia" w:ascii="Calibri" w:hAnsi="宋体" w:cs="Times New Roman"/>
          <w:color w:val="auto"/>
          <w:kern w:val="2"/>
          <w:highlight w:val="none"/>
        </w:rPr>
        <w:t>）、工程结算审计由发包人委托审计单位。工程造价审减或审增（增减不相互抵消）与报审价相比小于</w:t>
      </w:r>
      <w:r>
        <w:rPr>
          <w:rFonts w:ascii="Calibri" w:hAnsi="宋体" w:cs="Times New Roman"/>
          <w:color w:val="auto"/>
          <w:kern w:val="2"/>
          <w:highlight w:val="none"/>
        </w:rPr>
        <w:t>6</w:t>
      </w:r>
      <w:r>
        <w:rPr>
          <w:rFonts w:hint="eastAsia" w:ascii="Calibri" w:hAnsi="宋体" w:cs="Times New Roman"/>
          <w:color w:val="auto"/>
          <w:kern w:val="2"/>
          <w:highlight w:val="none"/>
        </w:rPr>
        <w:t>％（含</w:t>
      </w:r>
      <w:r>
        <w:rPr>
          <w:rFonts w:ascii="Calibri" w:hAnsi="宋体" w:cs="Times New Roman"/>
          <w:color w:val="auto"/>
          <w:kern w:val="2"/>
          <w:highlight w:val="none"/>
        </w:rPr>
        <w:t>6%</w:t>
      </w:r>
      <w:r>
        <w:rPr>
          <w:rFonts w:hint="eastAsia" w:ascii="Calibri" w:hAnsi="宋体" w:cs="Times New Roman"/>
          <w:color w:val="auto"/>
          <w:kern w:val="2"/>
          <w:highlight w:val="none"/>
        </w:rPr>
        <w:t>）时，由发包人承担审计费用；工程造价审减或审增（增减不相互抵消）与报价相比大于</w:t>
      </w:r>
      <w:r>
        <w:rPr>
          <w:rFonts w:ascii="Calibri" w:hAnsi="宋体" w:cs="Times New Roman"/>
          <w:color w:val="auto"/>
          <w:kern w:val="2"/>
          <w:highlight w:val="none"/>
        </w:rPr>
        <w:t>6</w:t>
      </w:r>
      <w:r>
        <w:rPr>
          <w:rFonts w:hint="eastAsia" w:ascii="Calibri" w:hAnsi="宋体" w:cs="Times New Roman"/>
          <w:color w:val="auto"/>
          <w:kern w:val="2"/>
          <w:highlight w:val="none"/>
        </w:rPr>
        <w:t>％（不含</w:t>
      </w:r>
      <w:r>
        <w:rPr>
          <w:rFonts w:ascii="Calibri" w:hAnsi="宋体" w:cs="Times New Roman"/>
          <w:color w:val="auto"/>
          <w:kern w:val="2"/>
          <w:highlight w:val="none"/>
        </w:rPr>
        <w:t>6%</w:t>
      </w:r>
      <w:r>
        <w:rPr>
          <w:rFonts w:hint="eastAsia" w:ascii="Calibri" w:hAnsi="宋体" w:cs="Times New Roman"/>
          <w:color w:val="auto"/>
          <w:kern w:val="2"/>
          <w:highlight w:val="none"/>
        </w:rPr>
        <w:t>）时，</w:t>
      </w:r>
      <w:r>
        <w:rPr>
          <w:rFonts w:hint="eastAsia"/>
          <w:color w:val="auto"/>
          <w:highlight w:val="none"/>
        </w:rPr>
        <w:t>超出的审计费</w:t>
      </w:r>
      <w:r>
        <w:rPr>
          <w:rFonts w:hint="eastAsia" w:ascii="Calibri" w:hAnsi="宋体" w:cs="Times New Roman"/>
          <w:color w:val="auto"/>
          <w:kern w:val="2"/>
          <w:highlight w:val="none"/>
        </w:rPr>
        <w:t>由承包人承担审计费用。</w:t>
      </w:r>
    </w:p>
    <w:p w14:paraId="5C6B5218">
      <w:pPr>
        <w:adjustRightInd w:val="0"/>
        <w:snapToGrid w:val="0"/>
        <w:spacing w:line="440" w:lineRule="exact"/>
        <w:ind w:firstLine="420" w:firstLineChars="200"/>
        <w:rPr>
          <w:rFonts w:ascii="Calibri" w:hAnsi="宋体" w:cs="Times New Roman"/>
          <w:color w:val="auto"/>
          <w:kern w:val="2"/>
          <w:highlight w:val="none"/>
        </w:rPr>
      </w:pPr>
      <w:r>
        <w:rPr>
          <w:rFonts w:ascii="Calibri" w:hAnsi="宋体" w:cs="Times New Roman"/>
          <w:color w:val="auto"/>
          <w:kern w:val="2"/>
          <w:highlight w:val="none"/>
        </w:rPr>
        <w:t>21.5</w:t>
      </w:r>
      <w:r>
        <w:rPr>
          <w:rFonts w:hint="eastAsia" w:ascii="Calibri" w:hAnsi="宋体" w:cs="Times New Roman"/>
          <w:color w:val="auto"/>
          <w:kern w:val="2"/>
          <w:highlight w:val="none"/>
        </w:rPr>
        <w:t>承包人在施工过程中涉及的设计变更、签证与计量、材料价格核定以及工程款和竣工结算审核等工作，需严格按发包人相关管理办法以及程序执行。</w:t>
      </w:r>
    </w:p>
    <w:p w14:paraId="6187198B">
      <w:pPr>
        <w:adjustRightInd w:val="0"/>
        <w:snapToGrid w:val="0"/>
        <w:spacing w:line="440" w:lineRule="exact"/>
        <w:ind w:firstLine="420" w:firstLineChars="200"/>
        <w:rPr>
          <w:rFonts w:ascii="Calibri" w:hAnsi="宋体" w:cs="Times New Roman"/>
          <w:color w:val="auto"/>
          <w:kern w:val="2"/>
          <w:highlight w:val="none"/>
        </w:rPr>
      </w:pPr>
      <w:r>
        <w:rPr>
          <w:rFonts w:ascii="Calibri" w:hAnsi="宋体" w:cs="Times New Roman"/>
          <w:color w:val="auto"/>
          <w:kern w:val="2"/>
          <w:highlight w:val="none"/>
        </w:rPr>
        <w:t>21.</w:t>
      </w:r>
      <w:r>
        <w:rPr>
          <w:rFonts w:hint="eastAsia" w:ascii="Calibri" w:hAnsi="宋体" w:cs="Times New Roman"/>
          <w:color w:val="auto"/>
          <w:kern w:val="2"/>
          <w:highlight w:val="none"/>
        </w:rPr>
        <w:t>6承包人应在施工中注意排查地下管线，做到安全文明施工。发现地下管网等不安全隐患时应采取措施加以保护。对突发隐患险情应积极组织力量排危抢险，并同时联络有关单位施救并及时通报监理单位和发包人。</w:t>
      </w:r>
    </w:p>
    <w:p w14:paraId="13A36953">
      <w:pPr>
        <w:spacing w:line="360" w:lineRule="auto"/>
        <w:ind w:firstLine="420" w:firstLineChars="200"/>
        <w:rPr>
          <w:rFonts w:ascii="Calibri" w:hAnsi="宋体" w:cs="Times New Roman"/>
          <w:color w:val="auto"/>
          <w:kern w:val="2"/>
          <w:highlight w:val="none"/>
        </w:rPr>
      </w:pPr>
      <w:r>
        <w:rPr>
          <w:rFonts w:ascii="Calibri" w:hAnsi="宋体" w:cs="Times New Roman"/>
          <w:color w:val="auto"/>
          <w:kern w:val="2"/>
          <w:highlight w:val="none"/>
        </w:rPr>
        <w:t>21.</w:t>
      </w:r>
      <w:r>
        <w:rPr>
          <w:rFonts w:hint="eastAsia" w:ascii="Calibri" w:hAnsi="宋体" w:cs="Times New Roman"/>
          <w:color w:val="auto"/>
          <w:kern w:val="2"/>
          <w:highlight w:val="none"/>
        </w:rPr>
        <w:t>7未尽事宜双方协商签订补充协议解决。</w:t>
      </w:r>
    </w:p>
    <w:p w14:paraId="788F7133">
      <w:pPr>
        <w:widowControl/>
        <w:jc w:val="left"/>
        <w:rPr>
          <w:rFonts w:hAnsi="宋体" w:cs="Times New Roman"/>
          <w:color w:val="auto"/>
          <w:kern w:val="2"/>
          <w:highlight w:val="none"/>
        </w:rPr>
      </w:pPr>
      <w:r>
        <w:rPr>
          <w:rFonts w:hAnsi="宋体" w:cs="Times New Roman"/>
          <w:color w:val="auto"/>
          <w:kern w:val="2"/>
          <w:highlight w:val="none"/>
        </w:rPr>
        <w:br w:type="page"/>
      </w:r>
    </w:p>
    <w:p w14:paraId="0E922AE1">
      <w:pPr>
        <w:spacing w:line="460" w:lineRule="exact"/>
        <w:ind w:firstLine="420" w:firstLineChars="200"/>
        <w:rPr>
          <w:rFonts w:hAnsi="宋体" w:cs="Times New Roman"/>
          <w:color w:val="auto"/>
          <w:kern w:val="2"/>
          <w:highlight w:val="none"/>
        </w:rPr>
      </w:pPr>
    </w:p>
    <w:p w14:paraId="2991FD63">
      <w:pPr>
        <w:spacing w:line="360" w:lineRule="auto"/>
        <w:jc w:val="left"/>
        <w:rPr>
          <w:rFonts w:hAnsi="宋体" w:cs="Times New Roman"/>
          <w:b/>
          <w:bCs/>
          <w:color w:val="auto"/>
          <w:kern w:val="2"/>
          <w:sz w:val="28"/>
          <w:szCs w:val="28"/>
          <w:highlight w:val="none"/>
        </w:rPr>
      </w:pPr>
      <w:bookmarkStart w:id="2178" w:name="_Toc351203652"/>
      <w:r>
        <w:rPr>
          <w:rFonts w:hint="eastAsia" w:hAnsi="宋体" w:cs="黑体"/>
          <w:b/>
          <w:bCs/>
          <w:color w:val="auto"/>
          <w:kern w:val="2"/>
          <w:sz w:val="28"/>
          <w:szCs w:val="28"/>
          <w:highlight w:val="none"/>
        </w:rPr>
        <w:t>附件</w:t>
      </w:r>
      <w:bookmarkEnd w:id="2178"/>
    </w:p>
    <w:p w14:paraId="504A38E2">
      <w:pPr>
        <w:spacing w:line="360" w:lineRule="auto"/>
        <w:jc w:val="left"/>
        <w:rPr>
          <w:rFonts w:hAnsi="宋体" w:cs="Times New Roman"/>
          <w:color w:val="auto"/>
          <w:kern w:val="2"/>
          <w:highlight w:val="none"/>
        </w:rPr>
      </w:pPr>
      <w:r>
        <w:rPr>
          <w:rFonts w:hint="eastAsia" w:hAnsi="宋体"/>
          <w:color w:val="auto"/>
          <w:kern w:val="2"/>
          <w:highlight w:val="none"/>
        </w:rPr>
        <w:t>附件</w:t>
      </w:r>
      <w:r>
        <w:rPr>
          <w:rFonts w:hAnsi="宋体"/>
          <w:color w:val="auto"/>
          <w:kern w:val="2"/>
          <w:highlight w:val="none"/>
        </w:rPr>
        <w:t>1</w:t>
      </w:r>
      <w:r>
        <w:rPr>
          <w:rFonts w:hint="eastAsia" w:hAnsi="宋体"/>
          <w:color w:val="auto"/>
          <w:kern w:val="2"/>
          <w:highlight w:val="none"/>
        </w:rPr>
        <w:t>：承包人承揽工程项目一览表</w:t>
      </w:r>
    </w:p>
    <w:p w14:paraId="68CD3551">
      <w:pPr>
        <w:spacing w:line="360" w:lineRule="auto"/>
        <w:jc w:val="left"/>
        <w:rPr>
          <w:rFonts w:hAnsi="宋体" w:cs="Times New Roman"/>
          <w:color w:val="auto"/>
          <w:kern w:val="2"/>
          <w:highlight w:val="none"/>
        </w:rPr>
      </w:pPr>
      <w:r>
        <w:rPr>
          <w:rFonts w:hint="eastAsia" w:hAnsi="宋体"/>
          <w:color w:val="auto"/>
          <w:kern w:val="2"/>
          <w:highlight w:val="none"/>
        </w:rPr>
        <w:t>附件</w:t>
      </w:r>
      <w:r>
        <w:rPr>
          <w:rFonts w:hAnsi="宋体"/>
          <w:color w:val="auto"/>
          <w:kern w:val="2"/>
          <w:highlight w:val="none"/>
        </w:rPr>
        <w:t>2</w:t>
      </w:r>
      <w:r>
        <w:rPr>
          <w:rFonts w:hint="eastAsia" w:hAnsi="宋体"/>
          <w:color w:val="auto"/>
          <w:kern w:val="2"/>
          <w:highlight w:val="none"/>
        </w:rPr>
        <w:t>：支付担保格式</w:t>
      </w:r>
    </w:p>
    <w:p w14:paraId="4F4C70B1">
      <w:pPr>
        <w:spacing w:line="360" w:lineRule="auto"/>
        <w:jc w:val="left"/>
        <w:rPr>
          <w:rFonts w:hAnsi="宋体" w:cs="Times New Roman"/>
          <w:color w:val="auto"/>
          <w:kern w:val="2"/>
          <w:highlight w:val="none"/>
        </w:rPr>
      </w:pPr>
      <w:r>
        <w:rPr>
          <w:rFonts w:hint="eastAsia" w:hAnsi="宋体"/>
          <w:color w:val="auto"/>
          <w:kern w:val="2"/>
          <w:highlight w:val="none"/>
        </w:rPr>
        <w:t>附件</w:t>
      </w:r>
      <w:r>
        <w:rPr>
          <w:rFonts w:hAnsi="宋体"/>
          <w:color w:val="auto"/>
          <w:kern w:val="2"/>
          <w:highlight w:val="none"/>
        </w:rPr>
        <w:t>3</w:t>
      </w:r>
      <w:r>
        <w:rPr>
          <w:rFonts w:hint="eastAsia" w:hAnsi="宋体"/>
          <w:color w:val="auto"/>
          <w:kern w:val="2"/>
          <w:highlight w:val="none"/>
        </w:rPr>
        <w:t>：承包人主要施工管理人员表</w:t>
      </w:r>
    </w:p>
    <w:p w14:paraId="737EFE12">
      <w:pPr>
        <w:spacing w:line="360" w:lineRule="auto"/>
        <w:jc w:val="left"/>
        <w:rPr>
          <w:rFonts w:hAnsi="宋体" w:cs="Times New Roman"/>
          <w:color w:val="auto"/>
          <w:kern w:val="2"/>
          <w:highlight w:val="none"/>
        </w:rPr>
      </w:pPr>
      <w:r>
        <w:rPr>
          <w:rFonts w:hint="eastAsia" w:hAnsi="宋体"/>
          <w:color w:val="auto"/>
          <w:kern w:val="2"/>
          <w:highlight w:val="none"/>
        </w:rPr>
        <w:t>附件</w:t>
      </w:r>
      <w:r>
        <w:rPr>
          <w:rFonts w:hAnsi="宋体"/>
          <w:color w:val="auto"/>
          <w:kern w:val="2"/>
          <w:highlight w:val="none"/>
        </w:rPr>
        <w:t>4</w:t>
      </w:r>
      <w:r>
        <w:rPr>
          <w:rFonts w:hint="eastAsia" w:hAnsi="宋体"/>
          <w:color w:val="auto"/>
          <w:kern w:val="2"/>
          <w:highlight w:val="none"/>
        </w:rPr>
        <w:t>：分包人主要施工管理人员表</w:t>
      </w:r>
    </w:p>
    <w:p w14:paraId="22BB3380">
      <w:pPr>
        <w:spacing w:line="360" w:lineRule="auto"/>
        <w:jc w:val="left"/>
        <w:rPr>
          <w:rFonts w:hAnsi="宋体" w:cs="Times New Roman"/>
          <w:color w:val="auto"/>
          <w:kern w:val="2"/>
          <w:highlight w:val="none"/>
        </w:rPr>
      </w:pPr>
      <w:r>
        <w:rPr>
          <w:rFonts w:hint="eastAsia" w:hAnsi="宋体"/>
          <w:color w:val="auto"/>
          <w:kern w:val="2"/>
          <w:highlight w:val="none"/>
        </w:rPr>
        <w:t>附件</w:t>
      </w:r>
      <w:r>
        <w:rPr>
          <w:rFonts w:hAnsi="宋体"/>
          <w:color w:val="auto"/>
          <w:kern w:val="2"/>
          <w:highlight w:val="none"/>
        </w:rPr>
        <w:t>5</w:t>
      </w:r>
      <w:r>
        <w:rPr>
          <w:rFonts w:hint="eastAsia" w:hAnsi="宋体"/>
          <w:color w:val="auto"/>
          <w:kern w:val="2"/>
          <w:highlight w:val="none"/>
        </w:rPr>
        <w:t>：履约担保格式</w:t>
      </w:r>
    </w:p>
    <w:p w14:paraId="1F58DA03">
      <w:pPr>
        <w:spacing w:line="360" w:lineRule="auto"/>
        <w:jc w:val="left"/>
        <w:rPr>
          <w:rFonts w:hAnsi="宋体" w:cs="Times New Roman"/>
          <w:color w:val="auto"/>
          <w:kern w:val="2"/>
          <w:highlight w:val="none"/>
        </w:rPr>
      </w:pPr>
      <w:r>
        <w:rPr>
          <w:rFonts w:hint="eastAsia" w:hAnsi="宋体"/>
          <w:color w:val="auto"/>
          <w:kern w:val="2"/>
          <w:highlight w:val="none"/>
        </w:rPr>
        <w:t>附件</w:t>
      </w:r>
      <w:r>
        <w:rPr>
          <w:rFonts w:hAnsi="宋体"/>
          <w:color w:val="auto"/>
          <w:kern w:val="2"/>
          <w:highlight w:val="none"/>
        </w:rPr>
        <w:t>6</w:t>
      </w:r>
      <w:r>
        <w:rPr>
          <w:rFonts w:hint="eastAsia" w:hAnsi="宋体"/>
          <w:color w:val="auto"/>
          <w:kern w:val="2"/>
          <w:highlight w:val="none"/>
        </w:rPr>
        <w:t>：承包人用于本工程施工的机械设备表</w:t>
      </w:r>
    </w:p>
    <w:p w14:paraId="0DC9A7F6">
      <w:pPr>
        <w:spacing w:line="360" w:lineRule="auto"/>
        <w:jc w:val="left"/>
        <w:rPr>
          <w:rFonts w:hAnsi="宋体" w:cs="Times New Roman"/>
          <w:color w:val="auto"/>
          <w:kern w:val="2"/>
          <w:highlight w:val="none"/>
        </w:rPr>
      </w:pPr>
      <w:r>
        <w:rPr>
          <w:rFonts w:hint="eastAsia" w:hAnsi="宋体"/>
          <w:color w:val="auto"/>
          <w:kern w:val="2"/>
          <w:highlight w:val="none"/>
        </w:rPr>
        <w:t>附件</w:t>
      </w:r>
      <w:r>
        <w:rPr>
          <w:rFonts w:hAnsi="宋体"/>
          <w:color w:val="auto"/>
          <w:kern w:val="2"/>
          <w:highlight w:val="none"/>
        </w:rPr>
        <w:t>7</w:t>
      </w:r>
      <w:r>
        <w:rPr>
          <w:rFonts w:hint="eastAsia" w:hAnsi="宋体"/>
          <w:color w:val="auto"/>
          <w:kern w:val="2"/>
          <w:highlight w:val="none"/>
        </w:rPr>
        <w:t>：预付款担保格式</w:t>
      </w:r>
    </w:p>
    <w:p w14:paraId="5209F6C9">
      <w:pPr>
        <w:spacing w:line="360" w:lineRule="auto"/>
        <w:jc w:val="left"/>
        <w:rPr>
          <w:rFonts w:hAnsi="宋体" w:cs="Times New Roman"/>
          <w:color w:val="auto"/>
          <w:kern w:val="2"/>
          <w:highlight w:val="none"/>
        </w:rPr>
      </w:pPr>
      <w:r>
        <w:rPr>
          <w:rFonts w:hint="eastAsia" w:hAnsi="宋体"/>
          <w:color w:val="auto"/>
          <w:kern w:val="2"/>
          <w:highlight w:val="none"/>
        </w:rPr>
        <w:t>附件</w:t>
      </w:r>
      <w:r>
        <w:rPr>
          <w:rFonts w:hAnsi="宋体"/>
          <w:color w:val="auto"/>
          <w:kern w:val="2"/>
          <w:highlight w:val="none"/>
        </w:rPr>
        <w:t>8</w:t>
      </w:r>
      <w:r>
        <w:rPr>
          <w:rFonts w:hint="eastAsia" w:hAnsi="宋体"/>
          <w:color w:val="auto"/>
          <w:kern w:val="2"/>
          <w:highlight w:val="none"/>
        </w:rPr>
        <w:t>：工程质量保修书</w:t>
      </w:r>
    </w:p>
    <w:p w14:paraId="793A38EA">
      <w:pPr>
        <w:spacing w:line="460" w:lineRule="exact"/>
        <w:ind w:firstLine="420" w:firstLineChars="200"/>
        <w:rPr>
          <w:rFonts w:hAnsi="宋体" w:cs="Times New Roman"/>
          <w:color w:val="auto"/>
          <w:kern w:val="2"/>
          <w:highlight w:val="none"/>
        </w:rPr>
      </w:pPr>
    </w:p>
    <w:p w14:paraId="66B82251">
      <w:pPr>
        <w:spacing w:line="460" w:lineRule="exact"/>
        <w:ind w:firstLine="420" w:firstLineChars="200"/>
        <w:rPr>
          <w:rFonts w:hAnsi="宋体" w:cs="Times New Roman"/>
          <w:color w:val="auto"/>
          <w:kern w:val="2"/>
          <w:highlight w:val="none"/>
        </w:rPr>
      </w:pPr>
    </w:p>
    <w:p w14:paraId="5BA04F04">
      <w:pPr>
        <w:spacing w:before="120" w:beforeLines="50" w:after="120" w:afterLines="50" w:line="440" w:lineRule="exact"/>
        <w:jc w:val="left"/>
        <w:rPr>
          <w:rFonts w:hAnsi="宋体" w:cs="Times New Roman"/>
          <w:color w:val="auto"/>
          <w:kern w:val="2"/>
          <w:sz w:val="30"/>
          <w:szCs w:val="30"/>
          <w:highlight w:val="none"/>
        </w:rPr>
      </w:pPr>
      <w:r>
        <w:rPr>
          <w:rFonts w:hAnsi="宋体" w:cs="仿宋_GB2312"/>
          <w:color w:val="auto"/>
          <w:kern w:val="2"/>
          <w:sz w:val="30"/>
          <w:szCs w:val="30"/>
          <w:highlight w:val="none"/>
        </w:rPr>
        <w:br w:type="page"/>
      </w:r>
      <w:r>
        <w:rPr>
          <w:rFonts w:hint="eastAsia" w:hAnsi="宋体" w:cs="仿宋_GB2312"/>
          <w:color w:val="auto"/>
          <w:kern w:val="2"/>
          <w:sz w:val="30"/>
          <w:szCs w:val="30"/>
          <w:highlight w:val="none"/>
        </w:rPr>
        <w:t>附件</w:t>
      </w:r>
      <w:r>
        <w:rPr>
          <w:rFonts w:hAnsi="宋体" w:cs="仿宋_GB2312"/>
          <w:color w:val="auto"/>
          <w:kern w:val="2"/>
          <w:sz w:val="30"/>
          <w:szCs w:val="30"/>
          <w:highlight w:val="none"/>
        </w:rPr>
        <w:t>1</w:t>
      </w:r>
      <w:r>
        <w:rPr>
          <w:rFonts w:hint="eastAsia" w:hAnsi="宋体" w:cs="仿宋_GB2312"/>
          <w:color w:val="auto"/>
          <w:kern w:val="2"/>
          <w:sz w:val="30"/>
          <w:szCs w:val="30"/>
          <w:highlight w:val="none"/>
        </w:rPr>
        <w:t>：</w:t>
      </w:r>
    </w:p>
    <w:p w14:paraId="4303F9AB">
      <w:pPr>
        <w:spacing w:before="120" w:beforeLines="50" w:after="120" w:afterLines="50" w:line="440" w:lineRule="exact"/>
        <w:jc w:val="center"/>
        <w:rPr>
          <w:rFonts w:hAnsi="宋体" w:cs="Times New Roman"/>
          <w:color w:val="auto"/>
          <w:kern w:val="2"/>
          <w:sz w:val="30"/>
          <w:szCs w:val="30"/>
          <w:highlight w:val="none"/>
        </w:rPr>
      </w:pPr>
      <w:r>
        <w:rPr>
          <w:rFonts w:hint="eastAsia" w:hAnsi="宋体" w:cs="黑体"/>
          <w:color w:val="auto"/>
          <w:kern w:val="2"/>
          <w:sz w:val="30"/>
          <w:szCs w:val="30"/>
          <w:highlight w:val="none"/>
        </w:rPr>
        <w:t>承包人承揽工程项目一览表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4"/>
        <w:gridCol w:w="894"/>
        <w:gridCol w:w="1009"/>
        <w:gridCol w:w="1035"/>
        <w:gridCol w:w="524"/>
        <w:gridCol w:w="972"/>
        <w:gridCol w:w="1328"/>
        <w:gridCol w:w="1022"/>
        <w:gridCol w:w="524"/>
        <w:gridCol w:w="524"/>
      </w:tblGrid>
      <w:tr w14:paraId="4E3B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4" w:type="dxa"/>
            <w:vAlign w:val="center"/>
          </w:tcPr>
          <w:p w14:paraId="327DEED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highlight w:val="none"/>
              </w:rPr>
            </w:pPr>
            <w:r>
              <w:rPr>
                <w:rFonts w:hint="eastAsia" w:hAnsi="宋体" w:cs="仿宋_GB2312"/>
                <w:color w:val="auto"/>
                <w:kern w:val="2"/>
                <w:highlight w:val="none"/>
              </w:rPr>
              <w:t>单位工程名称</w:t>
            </w:r>
          </w:p>
        </w:tc>
        <w:tc>
          <w:tcPr>
            <w:tcW w:w="894" w:type="dxa"/>
            <w:vAlign w:val="center"/>
          </w:tcPr>
          <w:p w14:paraId="49BAB25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highlight w:val="none"/>
              </w:rPr>
            </w:pPr>
            <w:r>
              <w:rPr>
                <w:rFonts w:hint="eastAsia" w:hAnsi="宋体" w:cs="仿宋_GB2312"/>
                <w:color w:val="auto"/>
                <w:kern w:val="2"/>
                <w:highlight w:val="none"/>
              </w:rPr>
              <w:t>建设规模</w:t>
            </w:r>
          </w:p>
        </w:tc>
        <w:tc>
          <w:tcPr>
            <w:tcW w:w="1009" w:type="dxa"/>
            <w:vAlign w:val="center"/>
          </w:tcPr>
          <w:p w14:paraId="2344E7C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highlight w:val="none"/>
              </w:rPr>
            </w:pPr>
            <w:r>
              <w:rPr>
                <w:rFonts w:hint="eastAsia" w:hAnsi="宋体" w:cs="仿宋_GB2312"/>
                <w:color w:val="auto"/>
                <w:kern w:val="2"/>
                <w:highlight w:val="none"/>
              </w:rPr>
              <w:t>建筑面积</w:t>
            </w:r>
            <w:r>
              <w:rPr>
                <w:rFonts w:hint="default" w:hAnsi="宋体" w:cs="Times New Roman"/>
                <w:color w:val="auto"/>
                <w:kern w:val="2"/>
                <w:highlight w:val="none"/>
              </w:rPr>
              <w:t>(</w:t>
            </w:r>
            <w:r>
              <w:rPr>
                <w:rFonts w:hint="eastAsia" w:hAnsi="宋体" w:cs="仿宋_GB2312"/>
                <w:color w:val="auto"/>
                <w:kern w:val="2"/>
                <w:highlight w:val="none"/>
              </w:rPr>
              <w:t>平方米</w:t>
            </w:r>
            <w:r>
              <w:rPr>
                <w:rFonts w:hint="default" w:hAnsi="宋体" w:cs="Times New Roman"/>
                <w:color w:val="auto"/>
                <w:kern w:val="2"/>
                <w:highlight w:val="none"/>
              </w:rPr>
              <w:t>)</w:t>
            </w:r>
          </w:p>
        </w:tc>
        <w:tc>
          <w:tcPr>
            <w:tcW w:w="1035" w:type="dxa"/>
            <w:vAlign w:val="center"/>
          </w:tcPr>
          <w:p w14:paraId="295DC76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highlight w:val="none"/>
              </w:rPr>
            </w:pPr>
            <w:r>
              <w:rPr>
                <w:rFonts w:hint="eastAsia" w:hAnsi="宋体" w:cs="仿宋_GB2312"/>
                <w:color w:val="auto"/>
                <w:kern w:val="2"/>
                <w:highlight w:val="none"/>
              </w:rPr>
              <w:t>结构形式</w:t>
            </w:r>
          </w:p>
        </w:tc>
        <w:tc>
          <w:tcPr>
            <w:tcW w:w="524" w:type="dxa"/>
            <w:vAlign w:val="center"/>
          </w:tcPr>
          <w:p w14:paraId="6AAA95F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highlight w:val="none"/>
              </w:rPr>
            </w:pPr>
            <w:r>
              <w:rPr>
                <w:rFonts w:hint="eastAsia" w:hAnsi="宋体" w:cs="仿宋_GB2312"/>
                <w:color w:val="auto"/>
                <w:kern w:val="2"/>
                <w:highlight w:val="none"/>
              </w:rPr>
              <w:t>层数</w:t>
            </w:r>
          </w:p>
        </w:tc>
        <w:tc>
          <w:tcPr>
            <w:tcW w:w="972" w:type="dxa"/>
            <w:vAlign w:val="center"/>
          </w:tcPr>
          <w:p w14:paraId="0BED984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highlight w:val="none"/>
              </w:rPr>
            </w:pPr>
            <w:r>
              <w:rPr>
                <w:rFonts w:hint="eastAsia" w:hAnsi="宋体" w:cs="仿宋_GB2312"/>
                <w:color w:val="auto"/>
                <w:kern w:val="2"/>
                <w:highlight w:val="none"/>
              </w:rPr>
              <w:t>生产能力</w:t>
            </w:r>
          </w:p>
        </w:tc>
        <w:tc>
          <w:tcPr>
            <w:tcW w:w="1328" w:type="dxa"/>
            <w:vAlign w:val="center"/>
          </w:tcPr>
          <w:p w14:paraId="74311E0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highlight w:val="none"/>
              </w:rPr>
            </w:pPr>
            <w:r>
              <w:rPr>
                <w:rFonts w:hint="eastAsia" w:hAnsi="宋体" w:cs="仿宋_GB2312"/>
                <w:color w:val="auto"/>
                <w:kern w:val="2"/>
                <w:highlight w:val="none"/>
              </w:rPr>
              <w:t>设备安装内容</w:t>
            </w:r>
          </w:p>
        </w:tc>
        <w:tc>
          <w:tcPr>
            <w:tcW w:w="1022" w:type="dxa"/>
            <w:vAlign w:val="center"/>
          </w:tcPr>
          <w:p w14:paraId="4665D37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highlight w:val="none"/>
              </w:rPr>
            </w:pPr>
            <w:r>
              <w:rPr>
                <w:rFonts w:hint="eastAsia" w:hAnsi="宋体" w:cs="仿宋_GB2312"/>
                <w:color w:val="auto"/>
                <w:kern w:val="2"/>
                <w:highlight w:val="none"/>
              </w:rPr>
              <w:t>合同价格（元）</w:t>
            </w:r>
          </w:p>
        </w:tc>
        <w:tc>
          <w:tcPr>
            <w:tcW w:w="524" w:type="dxa"/>
            <w:vAlign w:val="center"/>
          </w:tcPr>
          <w:p w14:paraId="7AD3D7E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highlight w:val="none"/>
              </w:rPr>
            </w:pPr>
            <w:r>
              <w:rPr>
                <w:rFonts w:hint="eastAsia" w:hAnsi="宋体" w:cs="仿宋_GB2312"/>
                <w:color w:val="auto"/>
                <w:kern w:val="2"/>
                <w:highlight w:val="none"/>
              </w:rPr>
              <w:t>开工日期</w:t>
            </w:r>
          </w:p>
        </w:tc>
        <w:tc>
          <w:tcPr>
            <w:tcW w:w="524" w:type="dxa"/>
            <w:vAlign w:val="center"/>
          </w:tcPr>
          <w:p w14:paraId="1AD63CB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highlight w:val="none"/>
              </w:rPr>
            </w:pPr>
            <w:r>
              <w:rPr>
                <w:rFonts w:hint="eastAsia" w:hAnsi="宋体" w:cs="仿宋_GB2312"/>
                <w:color w:val="auto"/>
                <w:kern w:val="2"/>
                <w:highlight w:val="none"/>
              </w:rPr>
              <w:t>竣工日期</w:t>
            </w:r>
          </w:p>
        </w:tc>
      </w:tr>
      <w:tr w14:paraId="5865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3B9AC60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94" w:type="dxa"/>
            <w:vAlign w:val="center"/>
          </w:tcPr>
          <w:p w14:paraId="238B001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09" w:type="dxa"/>
            <w:vAlign w:val="center"/>
          </w:tcPr>
          <w:p w14:paraId="3BDF013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35" w:type="dxa"/>
            <w:vAlign w:val="center"/>
          </w:tcPr>
          <w:p w14:paraId="102CBE5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690E1AE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72" w:type="dxa"/>
            <w:vAlign w:val="center"/>
          </w:tcPr>
          <w:p w14:paraId="7DA29DC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328" w:type="dxa"/>
            <w:vAlign w:val="center"/>
          </w:tcPr>
          <w:p w14:paraId="6D607F6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2" w:type="dxa"/>
            <w:vAlign w:val="center"/>
          </w:tcPr>
          <w:p w14:paraId="04E0F85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55D08D6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5E30C21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2A72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003740A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94" w:type="dxa"/>
            <w:vAlign w:val="center"/>
          </w:tcPr>
          <w:p w14:paraId="1517B6A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09" w:type="dxa"/>
            <w:vAlign w:val="center"/>
          </w:tcPr>
          <w:p w14:paraId="5743250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35" w:type="dxa"/>
            <w:vAlign w:val="center"/>
          </w:tcPr>
          <w:p w14:paraId="4E92775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62EA6AA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72" w:type="dxa"/>
            <w:vAlign w:val="center"/>
          </w:tcPr>
          <w:p w14:paraId="1B390E4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328" w:type="dxa"/>
            <w:vAlign w:val="center"/>
          </w:tcPr>
          <w:p w14:paraId="49DAF91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2" w:type="dxa"/>
            <w:vAlign w:val="center"/>
          </w:tcPr>
          <w:p w14:paraId="7AB1E22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5A17EB0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7E3BAED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117E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2ED6F7C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94" w:type="dxa"/>
            <w:vAlign w:val="center"/>
          </w:tcPr>
          <w:p w14:paraId="518FAD0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09" w:type="dxa"/>
            <w:vAlign w:val="center"/>
          </w:tcPr>
          <w:p w14:paraId="7433A2E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35" w:type="dxa"/>
            <w:vAlign w:val="center"/>
          </w:tcPr>
          <w:p w14:paraId="0414382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279123A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72" w:type="dxa"/>
            <w:vAlign w:val="center"/>
          </w:tcPr>
          <w:p w14:paraId="118173B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328" w:type="dxa"/>
            <w:vAlign w:val="center"/>
          </w:tcPr>
          <w:p w14:paraId="54B3483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2" w:type="dxa"/>
            <w:vAlign w:val="center"/>
          </w:tcPr>
          <w:p w14:paraId="18E0FEE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4BD2DBE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3505C63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4179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22D1F96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94" w:type="dxa"/>
            <w:vAlign w:val="center"/>
          </w:tcPr>
          <w:p w14:paraId="7D0E518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09" w:type="dxa"/>
            <w:vAlign w:val="center"/>
          </w:tcPr>
          <w:p w14:paraId="619AA00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35" w:type="dxa"/>
            <w:vAlign w:val="center"/>
          </w:tcPr>
          <w:p w14:paraId="57F8332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227F1A6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72" w:type="dxa"/>
            <w:vAlign w:val="center"/>
          </w:tcPr>
          <w:p w14:paraId="25FAE7D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328" w:type="dxa"/>
            <w:vAlign w:val="center"/>
          </w:tcPr>
          <w:p w14:paraId="48468FC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2" w:type="dxa"/>
            <w:vAlign w:val="center"/>
          </w:tcPr>
          <w:p w14:paraId="4083050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13F1130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7845768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7ABE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01228EB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94" w:type="dxa"/>
            <w:vAlign w:val="center"/>
          </w:tcPr>
          <w:p w14:paraId="34086C6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09" w:type="dxa"/>
            <w:vAlign w:val="center"/>
          </w:tcPr>
          <w:p w14:paraId="1A367B6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35" w:type="dxa"/>
            <w:vAlign w:val="center"/>
          </w:tcPr>
          <w:p w14:paraId="5CCC4B7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7A40C32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72" w:type="dxa"/>
            <w:vAlign w:val="center"/>
          </w:tcPr>
          <w:p w14:paraId="71CAA6F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328" w:type="dxa"/>
            <w:vAlign w:val="center"/>
          </w:tcPr>
          <w:p w14:paraId="5F6D69A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2" w:type="dxa"/>
            <w:vAlign w:val="center"/>
          </w:tcPr>
          <w:p w14:paraId="1DED9EA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0B2314A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163D4AA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5687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703AA1B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94" w:type="dxa"/>
            <w:vAlign w:val="center"/>
          </w:tcPr>
          <w:p w14:paraId="663693E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09" w:type="dxa"/>
            <w:vAlign w:val="center"/>
          </w:tcPr>
          <w:p w14:paraId="16B5F19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35" w:type="dxa"/>
            <w:vAlign w:val="center"/>
          </w:tcPr>
          <w:p w14:paraId="111C920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7CBEB34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72" w:type="dxa"/>
            <w:vAlign w:val="center"/>
          </w:tcPr>
          <w:p w14:paraId="4EBD471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328" w:type="dxa"/>
            <w:vAlign w:val="center"/>
          </w:tcPr>
          <w:p w14:paraId="52CB9F3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2" w:type="dxa"/>
            <w:vAlign w:val="center"/>
          </w:tcPr>
          <w:p w14:paraId="506F3D8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655A51D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7E0C32E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12A9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293C0E5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94" w:type="dxa"/>
            <w:vAlign w:val="center"/>
          </w:tcPr>
          <w:p w14:paraId="58CD214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09" w:type="dxa"/>
            <w:vAlign w:val="center"/>
          </w:tcPr>
          <w:p w14:paraId="777CB42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35" w:type="dxa"/>
            <w:vAlign w:val="center"/>
          </w:tcPr>
          <w:p w14:paraId="4BE7BC8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1F03C23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72" w:type="dxa"/>
            <w:vAlign w:val="center"/>
          </w:tcPr>
          <w:p w14:paraId="75839DC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328" w:type="dxa"/>
            <w:vAlign w:val="center"/>
          </w:tcPr>
          <w:p w14:paraId="4E593D4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2" w:type="dxa"/>
            <w:vAlign w:val="center"/>
          </w:tcPr>
          <w:p w14:paraId="412E1C8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6BAA170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27DAB99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3B97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58807C9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94" w:type="dxa"/>
            <w:vAlign w:val="center"/>
          </w:tcPr>
          <w:p w14:paraId="79E0468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09" w:type="dxa"/>
            <w:vAlign w:val="center"/>
          </w:tcPr>
          <w:p w14:paraId="12CC3CA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35" w:type="dxa"/>
            <w:vAlign w:val="center"/>
          </w:tcPr>
          <w:p w14:paraId="056FCE9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38E6332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72" w:type="dxa"/>
            <w:vAlign w:val="center"/>
          </w:tcPr>
          <w:p w14:paraId="674AC12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328" w:type="dxa"/>
            <w:vAlign w:val="center"/>
          </w:tcPr>
          <w:p w14:paraId="7A00F00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2" w:type="dxa"/>
            <w:vAlign w:val="center"/>
          </w:tcPr>
          <w:p w14:paraId="68CC501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0B34716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5FEDF5A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30B2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38DEDF2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94" w:type="dxa"/>
            <w:vAlign w:val="center"/>
          </w:tcPr>
          <w:p w14:paraId="7048366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09" w:type="dxa"/>
            <w:vAlign w:val="center"/>
          </w:tcPr>
          <w:p w14:paraId="3E8E225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35" w:type="dxa"/>
            <w:vAlign w:val="center"/>
          </w:tcPr>
          <w:p w14:paraId="268A9E1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1CBC301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72" w:type="dxa"/>
            <w:vAlign w:val="center"/>
          </w:tcPr>
          <w:p w14:paraId="7E0C5EF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328" w:type="dxa"/>
            <w:vAlign w:val="center"/>
          </w:tcPr>
          <w:p w14:paraId="690AE24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2" w:type="dxa"/>
            <w:vAlign w:val="center"/>
          </w:tcPr>
          <w:p w14:paraId="4593641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7C900B8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0275F1D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3B52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5005533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94" w:type="dxa"/>
            <w:vAlign w:val="center"/>
          </w:tcPr>
          <w:p w14:paraId="0C09936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09" w:type="dxa"/>
            <w:vAlign w:val="center"/>
          </w:tcPr>
          <w:p w14:paraId="25CE803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35" w:type="dxa"/>
            <w:vAlign w:val="center"/>
          </w:tcPr>
          <w:p w14:paraId="7F17914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6537BDB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72" w:type="dxa"/>
            <w:vAlign w:val="center"/>
          </w:tcPr>
          <w:p w14:paraId="11C4CDC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328" w:type="dxa"/>
            <w:vAlign w:val="center"/>
          </w:tcPr>
          <w:p w14:paraId="1AA07CA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2" w:type="dxa"/>
            <w:vAlign w:val="center"/>
          </w:tcPr>
          <w:p w14:paraId="5F0AED4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7219437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2515241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bl>
    <w:p w14:paraId="3027E2DD">
      <w:pPr>
        <w:spacing w:line="460" w:lineRule="exact"/>
        <w:ind w:firstLine="420" w:firstLineChars="200"/>
        <w:rPr>
          <w:rFonts w:hAnsi="宋体" w:cs="Times New Roman"/>
          <w:color w:val="auto"/>
          <w:kern w:val="2"/>
          <w:highlight w:val="none"/>
        </w:rPr>
      </w:pPr>
    </w:p>
    <w:p w14:paraId="3BA25966">
      <w:pPr>
        <w:spacing w:line="460" w:lineRule="exact"/>
        <w:ind w:firstLine="420" w:firstLineChars="200"/>
        <w:rPr>
          <w:rFonts w:hAnsi="宋体" w:cs="Times New Roman"/>
          <w:color w:val="auto"/>
          <w:kern w:val="2"/>
          <w:highlight w:val="none"/>
        </w:rPr>
      </w:pPr>
    </w:p>
    <w:p w14:paraId="0F443245">
      <w:pPr>
        <w:spacing w:line="440" w:lineRule="exact"/>
        <w:rPr>
          <w:rFonts w:hAnsi="宋体" w:cs="Times New Roman"/>
          <w:color w:val="auto"/>
          <w:kern w:val="2"/>
          <w:sz w:val="30"/>
          <w:szCs w:val="30"/>
          <w:highlight w:val="none"/>
        </w:rPr>
      </w:pPr>
      <w:r>
        <w:rPr>
          <w:rFonts w:hAnsi="宋体" w:cs="仿宋_GB2312"/>
          <w:color w:val="auto"/>
          <w:kern w:val="2"/>
          <w:sz w:val="30"/>
          <w:szCs w:val="30"/>
          <w:highlight w:val="none"/>
        </w:rPr>
        <w:br w:type="page"/>
      </w:r>
      <w:r>
        <w:rPr>
          <w:rFonts w:hint="eastAsia" w:hAnsi="宋体" w:cs="仿宋_GB2312"/>
          <w:color w:val="auto"/>
          <w:kern w:val="2"/>
          <w:sz w:val="30"/>
          <w:szCs w:val="30"/>
          <w:highlight w:val="none"/>
        </w:rPr>
        <w:t>附</w:t>
      </w:r>
      <w:bookmarkStart w:id="2179" w:name="_Toc296891061"/>
      <w:bookmarkStart w:id="2180" w:name="_Toc296944572"/>
      <w:bookmarkStart w:id="2181" w:name="_Toc296891273"/>
      <w:bookmarkStart w:id="2182" w:name="_Toc296503233"/>
      <w:bookmarkStart w:id="2183" w:name="_Toc296347232"/>
      <w:bookmarkStart w:id="2184" w:name="_Toc296346734"/>
      <w:r>
        <w:rPr>
          <w:rFonts w:hint="eastAsia" w:hAnsi="宋体" w:cs="仿宋_GB2312"/>
          <w:color w:val="auto"/>
          <w:kern w:val="2"/>
          <w:sz w:val="30"/>
          <w:szCs w:val="30"/>
          <w:highlight w:val="none"/>
        </w:rPr>
        <w:t>件</w:t>
      </w:r>
      <w:r>
        <w:rPr>
          <w:rFonts w:hAnsi="宋体" w:cs="Times New Roman"/>
          <w:color w:val="auto"/>
          <w:kern w:val="2"/>
          <w:sz w:val="30"/>
          <w:szCs w:val="30"/>
          <w:highlight w:val="none"/>
        </w:rPr>
        <w:t>2</w:t>
      </w:r>
      <w:r>
        <w:rPr>
          <w:rFonts w:hint="eastAsia" w:hAnsi="宋体" w:cs="仿宋_GB2312"/>
          <w:color w:val="auto"/>
          <w:kern w:val="2"/>
          <w:sz w:val="30"/>
          <w:szCs w:val="30"/>
          <w:highlight w:val="none"/>
        </w:rPr>
        <w:t>：</w:t>
      </w:r>
    </w:p>
    <w:bookmarkEnd w:id="2179"/>
    <w:bookmarkEnd w:id="2180"/>
    <w:bookmarkEnd w:id="2181"/>
    <w:bookmarkEnd w:id="2182"/>
    <w:bookmarkEnd w:id="2183"/>
    <w:bookmarkEnd w:id="2184"/>
    <w:p w14:paraId="1D6620F7">
      <w:pPr>
        <w:spacing w:before="120" w:beforeLines="50" w:after="120" w:afterLines="50" w:line="440" w:lineRule="exact"/>
        <w:jc w:val="center"/>
        <w:rPr>
          <w:rFonts w:hAnsi="宋体" w:cs="Times New Roman"/>
          <w:color w:val="auto"/>
          <w:kern w:val="2"/>
          <w:sz w:val="30"/>
          <w:szCs w:val="30"/>
          <w:highlight w:val="none"/>
        </w:rPr>
      </w:pPr>
      <w:r>
        <w:rPr>
          <w:rFonts w:hint="eastAsia" w:hAnsi="宋体" w:cs="黑体"/>
          <w:color w:val="auto"/>
          <w:kern w:val="2"/>
          <w:sz w:val="30"/>
          <w:szCs w:val="30"/>
          <w:highlight w:val="none"/>
        </w:rPr>
        <w:t>支付担保</w:t>
      </w:r>
    </w:p>
    <w:p w14:paraId="56B18BE4">
      <w:pPr>
        <w:spacing w:line="360" w:lineRule="auto"/>
        <w:jc w:val="left"/>
        <w:rPr>
          <w:rFonts w:hAnsi="宋体" w:cs="Times New Roman"/>
          <w:color w:val="auto"/>
          <w:kern w:val="2"/>
          <w:highlight w:val="none"/>
        </w:rPr>
      </w:pPr>
      <w:r>
        <w:rPr>
          <w:rFonts w:hAnsi="宋体" w:cs="Times New Roman"/>
          <w:color w:val="auto"/>
          <w:kern w:val="2"/>
          <w:highlight w:val="none"/>
          <w:u w:val="single"/>
        </w:rPr>
        <w:t xml:space="preserve">                     </w:t>
      </w:r>
      <w:r>
        <w:rPr>
          <w:rFonts w:hint="eastAsia" w:hAnsi="宋体"/>
          <w:color w:val="auto"/>
          <w:kern w:val="2"/>
          <w:highlight w:val="none"/>
        </w:rPr>
        <w:t>（承包人）：</w:t>
      </w:r>
    </w:p>
    <w:p w14:paraId="65470721">
      <w:pPr>
        <w:spacing w:line="360" w:lineRule="auto"/>
        <w:jc w:val="left"/>
        <w:rPr>
          <w:rFonts w:hAnsi="宋体" w:cs="Times New Roman"/>
          <w:color w:val="auto"/>
          <w:kern w:val="2"/>
          <w:highlight w:val="none"/>
        </w:rPr>
      </w:pPr>
    </w:p>
    <w:p w14:paraId="5055AEA3">
      <w:pPr>
        <w:spacing w:line="360" w:lineRule="auto"/>
        <w:ind w:firstLine="420" w:firstLineChars="200"/>
        <w:jc w:val="left"/>
        <w:rPr>
          <w:rFonts w:hAnsi="宋体" w:cs="Times New Roman"/>
          <w:color w:val="auto"/>
          <w:kern w:val="2"/>
          <w:highlight w:val="none"/>
        </w:rPr>
      </w:pPr>
      <w:r>
        <w:rPr>
          <w:rFonts w:hint="eastAsia" w:hAnsi="宋体"/>
          <w:color w:val="auto"/>
          <w:kern w:val="2"/>
          <w:highlight w:val="none"/>
        </w:rPr>
        <w:t>鉴于你方作为承包人已经与</w:t>
      </w:r>
      <w:r>
        <w:rPr>
          <w:rFonts w:hAnsi="宋体" w:cs="Times New Roman"/>
          <w:color w:val="auto"/>
          <w:kern w:val="2"/>
          <w:highlight w:val="none"/>
          <w:u w:val="single"/>
        </w:rPr>
        <w:t xml:space="preserve">           </w:t>
      </w:r>
      <w:r>
        <w:rPr>
          <w:rFonts w:hint="eastAsia" w:hAnsi="宋体"/>
          <w:color w:val="auto"/>
          <w:kern w:val="2"/>
          <w:highlight w:val="none"/>
        </w:rPr>
        <w:t>（发包人名称）（以下称</w:t>
      </w:r>
      <w:r>
        <w:rPr>
          <w:rFonts w:hint="eastAsia" w:hAnsi="宋体" w:cs="Times New Roman"/>
          <w:color w:val="auto"/>
          <w:kern w:val="2"/>
          <w:highlight w:val="none"/>
        </w:rPr>
        <w:t>“</w:t>
      </w:r>
      <w:r>
        <w:rPr>
          <w:rFonts w:hint="eastAsia" w:hAnsi="宋体"/>
          <w:color w:val="auto"/>
          <w:kern w:val="2"/>
          <w:highlight w:val="none"/>
        </w:rPr>
        <w:t>发包人</w:t>
      </w:r>
      <w:r>
        <w:rPr>
          <w:rFonts w:hint="eastAsia" w:hAnsi="宋体" w:cs="Times New Roman"/>
          <w:color w:val="auto"/>
          <w:kern w:val="2"/>
          <w:highlight w:val="none"/>
        </w:rPr>
        <w:t>”</w:t>
      </w:r>
      <w:r>
        <w:rPr>
          <w:rFonts w:hint="eastAsia" w:hAnsi="宋体"/>
          <w:color w:val="auto"/>
          <w:kern w:val="2"/>
          <w:highlight w:val="none"/>
        </w:rPr>
        <w:t>）于</w:t>
      </w:r>
      <w:r>
        <w:rPr>
          <w:rFonts w:hAnsi="宋体" w:cs="Times New Roman"/>
          <w:color w:val="auto"/>
          <w:kern w:val="2"/>
          <w:highlight w:val="none"/>
          <w:u w:val="single"/>
        </w:rPr>
        <w:t xml:space="preserve">      </w:t>
      </w:r>
      <w:r>
        <w:rPr>
          <w:rFonts w:hint="eastAsia" w:hAnsi="宋体"/>
          <w:color w:val="auto"/>
          <w:kern w:val="2"/>
          <w:highlight w:val="none"/>
        </w:rPr>
        <w:t>年</w:t>
      </w:r>
      <w:r>
        <w:rPr>
          <w:rFonts w:hAnsi="宋体" w:cs="Times New Roman"/>
          <w:color w:val="auto"/>
          <w:kern w:val="2"/>
          <w:highlight w:val="none"/>
          <w:u w:val="single"/>
        </w:rPr>
        <w:t xml:space="preserve">   </w:t>
      </w:r>
      <w:r>
        <w:rPr>
          <w:rFonts w:hint="eastAsia" w:hAnsi="宋体"/>
          <w:color w:val="auto"/>
          <w:kern w:val="2"/>
          <w:highlight w:val="none"/>
        </w:rPr>
        <w:t>月</w:t>
      </w:r>
      <w:r>
        <w:rPr>
          <w:rFonts w:hAnsi="宋体" w:cs="Times New Roman"/>
          <w:color w:val="auto"/>
          <w:kern w:val="2"/>
          <w:highlight w:val="none"/>
          <w:u w:val="single"/>
        </w:rPr>
        <w:t xml:space="preserve">    </w:t>
      </w:r>
      <w:r>
        <w:rPr>
          <w:rFonts w:hint="eastAsia" w:hAnsi="宋体"/>
          <w:color w:val="auto"/>
          <w:kern w:val="2"/>
          <w:highlight w:val="none"/>
        </w:rPr>
        <w:t>日签订了</w:t>
      </w:r>
      <w:r>
        <w:rPr>
          <w:rFonts w:hAnsi="宋体" w:cs="Times New Roman"/>
          <w:color w:val="auto"/>
          <w:kern w:val="2"/>
          <w:highlight w:val="none"/>
          <w:u w:val="single"/>
        </w:rPr>
        <w:t xml:space="preserve">                          </w:t>
      </w:r>
      <w:r>
        <w:rPr>
          <w:rFonts w:hint="eastAsia" w:hAnsi="宋体"/>
          <w:color w:val="auto"/>
          <w:kern w:val="2"/>
          <w:highlight w:val="none"/>
        </w:rPr>
        <w:t>（工程名称）《建设工程施工合同》（以下称</w:t>
      </w:r>
      <w:r>
        <w:rPr>
          <w:rFonts w:hint="eastAsia" w:hAnsi="宋体" w:cs="Times New Roman"/>
          <w:color w:val="auto"/>
          <w:kern w:val="2"/>
          <w:highlight w:val="none"/>
        </w:rPr>
        <w:t>“</w:t>
      </w:r>
      <w:r>
        <w:rPr>
          <w:rFonts w:hint="eastAsia" w:hAnsi="宋体"/>
          <w:color w:val="auto"/>
          <w:kern w:val="2"/>
          <w:highlight w:val="none"/>
        </w:rPr>
        <w:t>主合同</w:t>
      </w:r>
      <w:r>
        <w:rPr>
          <w:rFonts w:hint="eastAsia" w:hAnsi="宋体" w:cs="Times New Roman"/>
          <w:color w:val="auto"/>
          <w:kern w:val="2"/>
          <w:highlight w:val="none"/>
        </w:rPr>
        <w:t>”</w:t>
      </w:r>
      <w:r>
        <w:rPr>
          <w:rFonts w:hint="eastAsia" w:hAnsi="宋体"/>
          <w:color w:val="auto"/>
          <w:kern w:val="2"/>
          <w:highlight w:val="none"/>
        </w:rPr>
        <w:t>），应发包人的申请，我方愿就发包人履行主合同约定的工程款支付义务以保证的方式向你方提供如下担保：</w:t>
      </w:r>
    </w:p>
    <w:p w14:paraId="4F0847F2">
      <w:pPr>
        <w:spacing w:line="360" w:lineRule="auto"/>
        <w:ind w:firstLine="420" w:firstLineChars="200"/>
        <w:jc w:val="left"/>
        <w:rPr>
          <w:rFonts w:hAnsi="宋体" w:cs="Times New Roman"/>
          <w:color w:val="auto"/>
          <w:kern w:val="2"/>
          <w:highlight w:val="none"/>
        </w:rPr>
      </w:pPr>
      <w:r>
        <w:rPr>
          <w:rFonts w:hint="eastAsia" w:hAnsi="宋体" w:cs="黑体"/>
          <w:color w:val="auto"/>
          <w:kern w:val="2"/>
          <w:highlight w:val="none"/>
        </w:rPr>
        <w:t>一、保证的范围及保证金额</w:t>
      </w:r>
    </w:p>
    <w:p w14:paraId="5CAA3AF6">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1. </w:t>
      </w:r>
      <w:r>
        <w:rPr>
          <w:rFonts w:hint="eastAsia" w:hAnsi="宋体"/>
          <w:color w:val="auto"/>
          <w:kern w:val="2"/>
          <w:highlight w:val="none"/>
        </w:rPr>
        <w:t>我方的保证范围是主合同约定的工程款。</w:t>
      </w:r>
    </w:p>
    <w:p w14:paraId="6773CCE5">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2. </w:t>
      </w:r>
      <w:r>
        <w:rPr>
          <w:rFonts w:hint="eastAsia" w:hAnsi="宋体"/>
          <w:color w:val="auto"/>
          <w:kern w:val="2"/>
          <w:highlight w:val="none"/>
        </w:rPr>
        <w:t>本保函所称主合同约定的工程款是指主合同约定的除工程质量保证金以外的合同价款。</w:t>
      </w:r>
    </w:p>
    <w:p w14:paraId="0BC88C55">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3. </w:t>
      </w:r>
      <w:r>
        <w:rPr>
          <w:rFonts w:hint="eastAsia" w:hAnsi="宋体"/>
          <w:color w:val="auto"/>
          <w:kern w:val="2"/>
          <w:highlight w:val="none"/>
        </w:rPr>
        <w:t>我方保证的金额是主合同约定的工程款的</w:t>
      </w:r>
      <w:r>
        <w:rPr>
          <w:rFonts w:hAnsi="宋体" w:cs="Times New Roman"/>
          <w:color w:val="auto"/>
          <w:kern w:val="2"/>
          <w:highlight w:val="none"/>
          <w:u w:val="single"/>
        </w:rPr>
        <w:t xml:space="preserve">      </w:t>
      </w:r>
      <w:r>
        <w:rPr>
          <w:rFonts w:hAnsi="宋体" w:cs="Times New Roman"/>
          <w:color w:val="auto"/>
          <w:kern w:val="2"/>
          <w:highlight w:val="none"/>
        </w:rPr>
        <w:t>%</w:t>
      </w:r>
      <w:r>
        <w:rPr>
          <w:rFonts w:hint="eastAsia" w:hAnsi="宋体"/>
          <w:color w:val="auto"/>
          <w:kern w:val="2"/>
          <w:highlight w:val="none"/>
        </w:rPr>
        <w:t>，数额最高不超过人民币元（大写：</w:t>
      </w:r>
      <w:r>
        <w:rPr>
          <w:rFonts w:hAnsi="宋体" w:cs="Times New Roman"/>
          <w:color w:val="auto"/>
          <w:kern w:val="2"/>
          <w:highlight w:val="none"/>
          <w:u w:val="single"/>
        </w:rPr>
        <w:t xml:space="preserve">        </w:t>
      </w:r>
      <w:r>
        <w:rPr>
          <w:rFonts w:hint="eastAsia" w:hAnsi="宋体"/>
          <w:color w:val="auto"/>
          <w:kern w:val="2"/>
          <w:highlight w:val="none"/>
        </w:rPr>
        <w:t>）。</w:t>
      </w:r>
    </w:p>
    <w:p w14:paraId="0F42E19E">
      <w:pPr>
        <w:spacing w:line="360" w:lineRule="auto"/>
        <w:ind w:firstLine="420" w:firstLineChars="200"/>
        <w:jc w:val="left"/>
        <w:rPr>
          <w:rFonts w:hAnsi="宋体" w:cs="Times New Roman"/>
          <w:color w:val="auto"/>
          <w:kern w:val="2"/>
          <w:highlight w:val="none"/>
        </w:rPr>
      </w:pPr>
      <w:r>
        <w:rPr>
          <w:rFonts w:hint="eastAsia" w:hAnsi="宋体" w:cs="黑体"/>
          <w:color w:val="auto"/>
          <w:kern w:val="2"/>
          <w:highlight w:val="none"/>
        </w:rPr>
        <w:t>二、保证的方式及保证期间</w:t>
      </w:r>
    </w:p>
    <w:p w14:paraId="3A669387">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1. </w:t>
      </w:r>
      <w:r>
        <w:rPr>
          <w:rFonts w:hint="eastAsia" w:hAnsi="宋体"/>
          <w:color w:val="auto"/>
          <w:kern w:val="2"/>
          <w:highlight w:val="none"/>
        </w:rPr>
        <w:t>我方保证的方式为：连带责任保证。</w:t>
      </w:r>
    </w:p>
    <w:p w14:paraId="0CC3C01B">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2. </w:t>
      </w:r>
      <w:r>
        <w:rPr>
          <w:rFonts w:hint="eastAsia" w:hAnsi="宋体"/>
          <w:color w:val="auto"/>
          <w:kern w:val="2"/>
          <w:highlight w:val="none"/>
        </w:rPr>
        <w:t>我方保证的期间为：自本合同生效之日起至主合同约定的工程款支付完毕之日后</w:t>
      </w:r>
      <w:r>
        <w:rPr>
          <w:rFonts w:hAnsi="宋体" w:cs="Times New Roman"/>
          <w:color w:val="auto"/>
          <w:kern w:val="2"/>
          <w:highlight w:val="none"/>
          <w:u w:val="single"/>
        </w:rPr>
        <w:t xml:space="preserve">    </w:t>
      </w:r>
      <w:r>
        <w:rPr>
          <w:rFonts w:hint="eastAsia" w:hAnsi="宋体"/>
          <w:color w:val="auto"/>
          <w:kern w:val="2"/>
          <w:highlight w:val="none"/>
        </w:rPr>
        <w:t>日内。</w:t>
      </w:r>
    </w:p>
    <w:p w14:paraId="3DC43688">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3. </w:t>
      </w:r>
      <w:r>
        <w:rPr>
          <w:rFonts w:hint="eastAsia" w:hAnsi="宋体"/>
          <w:color w:val="auto"/>
          <w:kern w:val="2"/>
          <w:highlight w:val="none"/>
        </w:rPr>
        <w:t>你方与发包人协议变更工程款支付日期的，经我方书面同意后，保证期间按照变更后的支付日期做相应调整。</w:t>
      </w:r>
    </w:p>
    <w:p w14:paraId="55FC9B99">
      <w:pPr>
        <w:spacing w:line="360" w:lineRule="auto"/>
        <w:ind w:firstLine="420" w:firstLineChars="200"/>
        <w:jc w:val="left"/>
        <w:rPr>
          <w:rFonts w:hAnsi="宋体" w:cs="Times New Roman"/>
          <w:color w:val="auto"/>
          <w:kern w:val="2"/>
          <w:highlight w:val="none"/>
        </w:rPr>
      </w:pPr>
      <w:r>
        <w:rPr>
          <w:rFonts w:hint="eastAsia" w:hAnsi="宋体" w:cs="黑体"/>
          <w:color w:val="auto"/>
          <w:kern w:val="2"/>
          <w:highlight w:val="none"/>
        </w:rPr>
        <w:t>三、承担保证责任的形式</w:t>
      </w:r>
    </w:p>
    <w:p w14:paraId="6A1F9169">
      <w:pPr>
        <w:spacing w:line="360" w:lineRule="auto"/>
        <w:ind w:firstLine="420" w:firstLineChars="200"/>
        <w:jc w:val="left"/>
        <w:rPr>
          <w:rFonts w:hAnsi="宋体" w:cs="Times New Roman"/>
          <w:color w:val="auto"/>
          <w:kern w:val="2"/>
          <w:highlight w:val="none"/>
        </w:rPr>
      </w:pPr>
      <w:r>
        <w:rPr>
          <w:rFonts w:hint="eastAsia" w:hAnsi="宋体"/>
          <w:color w:val="auto"/>
          <w:kern w:val="2"/>
          <w:highlight w:val="none"/>
        </w:rPr>
        <w:t>我方承担保证责任的形式是代为支付。发包人未按主合同约定向你方支付工程款的，由我方在保证金额内代为支付。</w:t>
      </w:r>
    </w:p>
    <w:p w14:paraId="73E8F0D7">
      <w:pPr>
        <w:spacing w:line="360" w:lineRule="auto"/>
        <w:ind w:firstLine="420" w:firstLineChars="200"/>
        <w:jc w:val="left"/>
        <w:rPr>
          <w:rFonts w:hAnsi="宋体" w:cs="Times New Roman"/>
          <w:color w:val="auto"/>
          <w:kern w:val="2"/>
          <w:highlight w:val="none"/>
        </w:rPr>
      </w:pPr>
      <w:r>
        <w:rPr>
          <w:rFonts w:hint="eastAsia" w:hAnsi="宋体" w:cs="黑体"/>
          <w:color w:val="auto"/>
          <w:kern w:val="2"/>
          <w:highlight w:val="none"/>
        </w:rPr>
        <w:t>四、代偿的安排</w:t>
      </w:r>
    </w:p>
    <w:p w14:paraId="07E37689">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1. </w:t>
      </w:r>
      <w:r>
        <w:rPr>
          <w:rFonts w:hint="eastAsia" w:hAnsi="宋体"/>
          <w:color w:val="auto"/>
          <w:kern w:val="2"/>
          <w:highlight w:val="none"/>
        </w:rPr>
        <w:t>你方要求我方承担保证责任的，应向我方发出书面索赔通知及发包人未支付主合同约定工程款的证明材料。索赔通知应写明要求索赔的金额，支付款项应到达的账号。</w:t>
      </w:r>
    </w:p>
    <w:p w14:paraId="71ACCEE5">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2. </w:t>
      </w:r>
      <w:r>
        <w:rPr>
          <w:rFonts w:hint="eastAsia" w:hAnsi="宋体"/>
          <w:color w:val="auto"/>
          <w:kern w:val="2"/>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277312B9">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3. </w:t>
      </w:r>
      <w:r>
        <w:rPr>
          <w:rFonts w:hint="eastAsia" w:hAnsi="宋体"/>
          <w:color w:val="auto"/>
          <w:kern w:val="2"/>
          <w:highlight w:val="none"/>
        </w:rPr>
        <w:t>我方收到你方的书面索赔通知及相应的证明材料后７天内无条件支付。</w:t>
      </w:r>
    </w:p>
    <w:p w14:paraId="76A3B929">
      <w:pPr>
        <w:spacing w:line="360" w:lineRule="auto"/>
        <w:ind w:firstLine="420" w:firstLineChars="200"/>
        <w:jc w:val="left"/>
        <w:rPr>
          <w:rFonts w:hAnsi="宋体" w:cs="Times New Roman"/>
          <w:color w:val="auto"/>
          <w:kern w:val="2"/>
          <w:highlight w:val="none"/>
        </w:rPr>
      </w:pPr>
      <w:r>
        <w:rPr>
          <w:rFonts w:hint="eastAsia" w:hAnsi="宋体" w:cs="黑体"/>
          <w:color w:val="auto"/>
          <w:kern w:val="2"/>
          <w:highlight w:val="none"/>
        </w:rPr>
        <w:t>五、保证责任的解除</w:t>
      </w:r>
    </w:p>
    <w:p w14:paraId="70E81A17">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1. </w:t>
      </w:r>
      <w:r>
        <w:rPr>
          <w:rFonts w:hint="eastAsia" w:hAnsi="宋体"/>
          <w:color w:val="auto"/>
          <w:kern w:val="2"/>
          <w:highlight w:val="none"/>
        </w:rPr>
        <w:t>在本保函承诺的保证期间内，你方未书面向我方主张保证责任的，自保证期间届满次日起，我方保证责任解除。</w:t>
      </w:r>
    </w:p>
    <w:p w14:paraId="47365430">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2. </w:t>
      </w:r>
      <w:r>
        <w:rPr>
          <w:rFonts w:hint="eastAsia" w:hAnsi="宋体"/>
          <w:color w:val="auto"/>
          <w:kern w:val="2"/>
          <w:highlight w:val="none"/>
        </w:rPr>
        <w:t>发包人按主合同约定履行了工程款的全部支付义务的，自本保函承诺的保证期间届满次日起，我方保证责任解除。</w:t>
      </w:r>
    </w:p>
    <w:p w14:paraId="14DF1F69">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3. </w:t>
      </w:r>
      <w:r>
        <w:rPr>
          <w:rFonts w:hint="eastAsia" w:hAnsi="宋体"/>
          <w:color w:val="auto"/>
          <w:kern w:val="2"/>
          <w:highlight w:val="none"/>
        </w:rPr>
        <w:t>我方按照本保函向你方履行保证责任所支付金额达到本保函保证金额时，自我方向你方支付（支付款项从我方账户划出）之日起，保证责任即解除。</w:t>
      </w:r>
    </w:p>
    <w:p w14:paraId="597E3AD2">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4. </w:t>
      </w:r>
      <w:r>
        <w:rPr>
          <w:rFonts w:hint="eastAsia" w:hAnsi="宋体"/>
          <w:color w:val="auto"/>
          <w:kern w:val="2"/>
          <w:highlight w:val="none"/>
        </w:rPr>
        <w:t>按照法律法规的规定或出现应解除我方保证责任的其他情形的，我方在本保函项下的保证责任亦解除。</w:t>
      </w:r>
    </w:p>
    <w:p w14:paraId="0D54E730">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5. </w:t>
      </w:r>
      <w:r>
        <w:rPr>
          <w:rFonts w:hint="eastAsia" w:hAnsi="宋体"/>
          <w:color w:val="auto"/>
          <w:kern w:val="2"/>
          <w:highlight w:val="none"/>
        </w:rPr>
        <w:t>我方解除保证责任后，你方应自我方保证责任解除之日起</w:t>
      </w:r>
      <w:r>
        <w:rPr>
          <w:rFonts w:hAnsi="宋体" w:cs="Times New Roman"/>
          <w:color w:val="auto"/>
          <w:kern w:val="2"/>
          <w:highlight w:val="none"/>
          <w:u w:val="single"/>
        </w:rPr>
        <w:t xml:space="preserve">  </w:t>
      </w:r>
      <w:r>
        <w:rPr>
          <w:rFonts w:hint="eastAsia" w:hAnsi="宋体"/>
          <w:color w:val="auto"/>
          <w:kern w:val="2"/>
          <w:highlight w:val="none"/>
        </w:rPr>
        <w:t>个工作日内，将本保函原件返还我方。</w:t>
      </w:r>
    </w:p>
    <w:p w14:paraId="37BBAE2B">
      <w:pPr>
        <w:spacing w:line="360" w:lineRule="auto"/>
        <w:ind w:firstLine="420" w:firstLineChars="200"/>
        <w:jc w:val="left"/>
        <w:rPr>
          <w:rFonts w:hAnsi="宋体" w:cs="Times New Roman"/>
          <w:color w:val="auto"/>
          <w:kern w:val="2"/>
          <w:highlight w:val="none"/>
        </w:rPr>
      </w:pPr>
      <w:r>
        <w:rPr>
          <w:rFonts w:hint="eastAsia" w:hAnsi="宋体" w:cs="黑体"/>
          <w:color w:val="auto"/>
          <w:kern w:val="2"/>
          <w:highlight w:val="none"/>
        </w:rPr>
        <w:t>六、免责条款</w:t>
      </w:r>
    </w:p>
    <w:p w14:paraId="3BE26805">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1. </w:t>
      </w:r>
      <w:r>
        <w:rPr>
          <w:rFonts w:hint="eastAsia" w:hAnsi="宋体"/>
          <w:color w:val="auto"/>
          <w:kern w:val="2"/>
          <w:highlight w:val="none"/>
        </w:rPr>
        <w:t>因你方违约致使发包人不能履行义务的，我方不承担保证责任。</w:t>
      </w:r>
    </w:p>
    <w:p w14:paraId="15959B12">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2. </w:t>
      </w:r>
      <w:r>
        <w:rPr>
          <w:rFonts w:hint="eastAsia" w:hAnsi="宋体"/>
          <w:color w:val="auto"/>
          <w:kern w:val="2"/>
          <w:highlight w:val="none"/>
        </w:rPr>
        <w:t>依照法律法规的规定或你方与发包人的另行约定，免除发包人部分或全部义务的，我方亦免除其相应的保证责任。</w:t>
      </w:r>
    </w:p>
    <w:p w14:paraId="125452BD">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3. </w:t>
      </w:r>
      <w:r>
        <w:rPr>
          <w:rFonts w:hint="eastAsia" w:hAnsi="宋体"/>
          <w:color w:val="auto"/>
          <w:kern w:val="2"/>
          <w:highlight w:val="none"/>
        </w:rPr>
        <w:t>你方与发包人协议变更主合同的，如加重发包人责任致使我方保证责任加重的，需征得我方书面同意，否则我方不再承担因此而加重部分的保证责任，但主合同第</w:t>
      </w:r>
      <w:r>
        <w:rPr>
          <w:rFonts w:hAnsi="宋体" w:cs="Times New Roman"/>
          <w:color w:val="auto"/>
          <w:kern w:val="2"/>
          <w:highlight w:val="none"/>
        </w:rPr>
        <w:t>10</w:t>
      </w:r>
      <w:r>
        <w:rPr>
          <w:rFonts w:hint="eastAsia" w:hAnsi="宋体"/>
          <w:color w:val="auto"/>
          <w:kern w:val="2"/>
          <w:highlight w:val="none"/>
        </w:rPr>
        <w:t>条〔变更〕约定的变更不受本款限制。</w:t>
      </w:r>
    </w:p>
    <w:p w14:paraId="58771ABF">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4. </w:t>
      </w:r>
      <w:r>
        <w:rPr>
          <w:rFonts w:hint="eastAsia" w:hAnsi="宋体"/>
          <w:color w:val="auto"/>
          <w:kern w:val="2"/>
          <w:highlight w:val="none"/>
        </w:rPr>
        <w:t>因不可抗力造成发包人不能履行义务的，我方不承担保证责任。</w:t>
      </w:r>
    </w:p>
    <w:p w14:paraId="33929E2E">
      <w:pPr>
        <w:spacing w:line="360" w:lineRule="auto"/>
        <w:ind w:firstLine="420" w:firstLineChars="200"/>
        <w:jc w:val="left"/>
        <w:rPr>
          <w:rFonts w:hAnsi="宋体" w:cs="Times New Roman"/>
          <w:color w:val="auto"/>
          <w:kern w:val="2"/>
          <w:highlight w:val="none"/>
        </w:rPr>
      </w:pPr>
      <w:r>
        <w:rPr>
          <w:rFonts w:hint="eastAsia" w:hAnsi="宋体" w:cs="黑体"/>
          <w:color w:val="auto"/>
          <w:kern w:val="2"/>
          <w:highlight w:val="none"/>
        </w:rPr>
        <w:t>七、争议解决</w:t>
      </w:r>
    </w:p>
    <w:p w14:paraId="6926EE54">
      <w:pPr>
        <w:spacing w:line="360" w:lineRule="auto"/>
        <w:ind w:firstLine="420" w:firstLineChars="200"/>
        <w:rPr>
          <w:rFonts w:hAnsi="宋体" w:cs="Times New Roman"/>
          <w:color w:val="auto"/>
          <w:kern w:val="2"/>
          <w:highlight w:val="none"/>
        </w:rPr>
      </w:pPr>
      <w:r>
        <w:rPr>
          <w:rFonts w:hint="eastAsia" w:hAnsi="宋体"/>
          <w:color w:val="auto"/>
          <w:kern w:val="2"/>
          <w:highlight w:val="none"/>
        </w:rPr>
        <w:t>因本保函或本保函相关事项发生的纠纷，可由双方协商解决，协商不成的，按下列第</w:t>
      </w:r>
      <w:r>
        <w:rPr>
          <w:rFonts w:hAnsi="宋体" w:cs="Times New Roman"/>
          <w:color w:val="auto"/>
          <w:kern w:val="2"/>
          <w:highlight w:val="none"/>
          <w:u w:val="single"/>
        </w:rPr>
        <w:t xml:space="preserve">     </w:t>
      </w:r>
      <w:r>
        <w:rPr>
          <w:rFonts w:hint="eastAsia" w:hAnsi="宋体"/>
          <w:color w:val="auto"/>
          <w:kern w:val="2"/>
          <w:highlight w:val="none"/>
        </w:rPr>
        <w:t>种方式解决：</w:t>
      </w:r>
    </w:p>
    <w:p w14:paraId="2D9B1CD6">
      <w:pPr>
        <w:spacing w:line="360" w:lineRule="auto"/>
        <w:ind w:firstLine="420" w:firstLineChars="200"/>
        <w:jc w:val="left"/>
        <w:rPr>
          <w:rFonts w:hAnsi="宋体" w:cs="Times New Roman"/>
          <w:color w:val="auto"/>
          <w:kern w:val="2"/>
          <w:highlight w:val="none"/>
        </w:rPr>
      </w:pPr>
      <w:r>
        <w:rPr>
          <w:rFonts w:hint="eastAsia" w:hAnsi="宋体"/>
          <w:color w:val="auto"/>
          <w:kern w:val="2"/>
          <w:highlight w:val="none"/>
        </w:rPr>
        <w:t>（</w:t>
      </w:r>
      <w:r>
        <w:rPr>
          <w:rFonts w:hAnsi="宋体" w:cs="Times New Roman"/>
          <w:color w:val="auto"/>
          <w:kern w:val="2"/>
          <w:highlight w:val="none"/>
        </w:rPr>
        <w:t>1</w:t>
      </w:r>
      <w:r>
        <w:rPr>
          <w:rFonts w:hint="eastAsia" w:hAnsi="宋体"/>
          <w:color w:val="auto"/>
          <w:kern w:val="2"/>
          <w:highlight w:val="none"/>
        </w:rPr>
        <w:t>）向</w:t>
      </w:r>
      <w:r>
        <w:rPr>
          <w:rFonts w:hAnsi="宋体" w:cs="Times New Roman"/>
          <w:color w:val="auto"/>
          <w:kern w:val="2"/>
          <w:highlight w:val="none"/>
          <w:u w:val="single"/>
        </w:rPr>
        <w:t xml:space="preserve">                     </w:t>
      </w:r>
      <w:r>
        <w:rPr>
          <w:rFonts w:hint="eastAsia" w:hAnsi="宋体"/>
          <w:color w:val="auto"/>
          <w:kern w:val="2"/>
          <w:highlight w:val="none"/>
        </w:rPr>
        <w:t>仲裁委员会申请仲裁；</w:t>
      </w:r>
    </w:p>
    <w:p w14:paraId="73D58A87">
      <w:pPr>
        <w:spacing w:line="360" w:lineRule="auto"/>
        <w:ind w:firstLine="420" w:firstLineChars="200"/>
        <w:jc w:val="left"/>
        <w:rPr>
          <w:rFonts w:hAnsi="宋体" w:cs="Times New Roman"/>
          <w:color w:val="auto"/>
          <w:kern w:val="2"/>
          <w:highlight w:val="none"/>
        </w:rPr>
      </w:pPr>
      <w:r>
        <w:rPr>
          <w:rFonts w:hint="eastAsia" w:hAnsi="宋体"/>
          <w:color w:val="auto"/>
          <w:kern w:val="2"/>
          <w:highlight w:val="none"/>
        </w:rPr>
        <w:t>（</w:t>
      </w:r>
      <w:r>
        <w:rPr>
          <w:rFonts w:hAnsi="宋体" w:cs="Times New Roman"/>
          <w:color w:val="auto"/>
          <w:kern w:val="2"/>
          <w:highlight w:val="none"/>
        </w:rPr>
        <w:t>2</w:t>
      </w:r>
      <w:r>
        <w:rPr>
          <w:rFonts w:hint="eastAsia" w:hAnsi="宋体"/>
          <w:color w:val="auto"/>
          <w:kern w:val="2"/>
          <w:highlight w:val="none"/>
        </w:rPr>
        <w:t>）向</w:t>
      </w:r>
      <w:r>
        <w:rPr>
          <w:rFonts w:hAnsi="宋体" w:cs="Times New Roman"/>
          <w:color w:val="auto"/>
          <w:kern w:val="2"/>
          <w:highlight w:val="none"/>
          <w:u w:val="single"/>
        </w:rPr>
        <w:t xml:space="preserve">                     </w:t>
      </w:r>
      <w:r>
        <w:rPr>
          <w:rFonts w:hint="eastAsia" w:hAnsi="宋体"/>
          <w:color w:val="auto"/>
          <w:kern w:val="2"/>
          <w:highlight w:val="none"/>
        </w:rPr>
        <w:t>人民法院起诉。</w:t>
      </w:r>
    </w:p>
    <w:p w14:paraId="58A00EF5">
      <w:pPr>
        <w:spacing w:line="360" w:lineRule="auto"/>
        <w:ind w:firstLine="420" w:firstLineChars="200"/>
        <w:jc w:val="left"/>
        <w:rPr>
          <w:rFonts w:hAnsi="宋体" w:cs="Times New Roman"/>
          <w:color w:val="auto"/>
          <w:kern w:val="2"/>
          <w:highlight w:val="none"/>
        </w:rPr>
      </w:pPr>
      <w:r>
        <w:rPr>
          <w:rFonts w:hint="eastAsia" w:hAnsi="宋体" w:cs="黑体"/>
          <w:color w:val="auto"/>
          <w:kern w:val="2"/>
          <w:highlight w:val="none"/>
        </w:rPr>
        <w:t>八、保函的生效</w:t>
      </w:r>
    </w:p>
    <w:p w14:paraId="3145F2E5">
      <w:pPr>
        <w:spacing w:line="360" w:lineRule="auto"/>
        <w:ind w:firstLine="420" w:firstLineChars="200"/>
        <w:jc w:val="left"/>
        <w:rPr>
          <w:rFonts w:hAnsi="宋体" w:cs="Times New Roman"/>
          <w:color w:val="auto"/>
          <w:kern w:val="2"/>
          <w:highlight w:val="none"/>
        </w:rPr>
      </w:pPr>
      <w:r>
        <w:rPr>
          <w:rFonts w:hint="eastAsia" w:hAnsi="宋体"/>
          <w:color w:val="auto"/>
          <w:kern w:val="2"/>
          <w:highlight w:val="none"/>
        </w:rPr>
        <w:t>本保函自我方法定代表人（或其授权代理人）签字并加盖公章之日起生效。</w:t>
      </w:r>
    </w:p>
    <w:p w14:paraId="4C20563A">
      <w:pPr>
        <w:spacing w:line="360" w:lineRule="auto"/>
        <w:jc w:val="left"/>
        <w:rPr>
          <w:rFonts w:hAnsi="宋体" w:cs="Times New Roman"/>
          <w:color w:val="auto"/>
          <w:kern w:val="2"/>
          <w:highlight w:val="none"/>
        </w:rPr>
      </w:pPr>
    </w:p>
    <w:p w14:paraId="64395A96">
      <w:pPr>
        <w:spacing w:line="360" w:lineRule="auto"/>
        <w:ind w:right="600"/>
        <w:jc w:val="left"/>
        <w:rPr>
          <w:rFonts w:hAnsi="宋体" w:cs="Times New Roman"/>
          <w:color w:val="auto"/>
          <w:kern w:val="2"/>
          <w:highlight w:val="none"/>
        </w:rPr>
      </w:pPr>
    </w:p>
    <w:p w14:paraId="6E91F5DD">
      <w:pPr>
        <w:spacing w:line="360" w:lineRule="auto"/>
        <w:ind w:right="600"/>
        <w:jc w:val="left"/>
        <w:rPr>
          <w:rFonts w:hAnsi="宋体" w:cs="Times New Roman"/>
          <w:color w:val="auto"/>
          <w:kern w:val="2"/>
          <w:highlight w:val="none"/>
        </w:rPr>
      </w:pPr>
      <w:r>
        <w:rPr>
          <w:rFonts w:hint="eastAsia" w:hAnsi="宋体"/>
          <w:color w:val="auto"/>
          <w:kern w:val="2"/>
          <w:highlight w:val="none"/>
        </w:rPr>
        <w:t>担保人：</w:t>
      </w:r>
      <w:r>
        <w:rPr>
          <w:rFonts w:hAnsi="宋体" w:cs="Times New Roman"/>
          <w:color w:val="auto"/>
          <w:kern w:val="2"/>
          <w:highlight w:val="none"/>
          <w:u w:val="single"/>
        </w:rPr>
        <w:t xml:space="preserve">                                   </w:t>
      </w:r>
      <w:r>
        <w:rPr>
          <w:rFonts w:hint="eastAsia" w:hAnsi="宋体"/>
          <w:color w:val="auto"/>
          <w:kern w:val="2"/>
          <w:highlight w:val="none"/>
        </w:rPr>
        <w:t>（盖章）</w:t>
      </w:r>
    </w:p>
    <w:p w14:paraId="79CEE267">
      <w:pPr>
        <w:spacing w:line="360" w:lineRule="auto"/>
        <w:ind w:right="1200"/>
        <w:rPr>
          <w:rFonts w:hAnsi="宋体" w:cs="Times New Roman"/>
          <w:color w:val="auto"/>
          <w:kern w:val="2"/>
          <w:highlight w:val="none"/>
        </w:rPr>
      </w:pPr>
      <w:r>
        <w:rPr>
          <w:rFonts w:hint="eastAsia" w:hAnsi="宋体"/>
          <w:color w:val="auto"/>
          <w:kern w:val="2"/>
          <w:highlight w:val="none"/>
        </w:rPr>
        <w:t>法定代表人或委托代理人：</w:t>
      </w:r>
      <w:r>
        <w:rPr>
          <w:rFonts w:hAnsi="宋体" w:cs="Times New Roman"/>
          <w:color w:val="auto"/>
          <w:kern w:val="2"/>
          <w:highlight w:val="none"/>
          <w:u w:val="single"/>
        </w:rPr>
        <w:t xml:space="preserve">                   </w:t>
      </w:r>
      <w:r>
        <w:rPr>
          <w:rFonts w:hint="eastAsia" w:hAnsi="宋体"/>
          <w:color w:val="auto"/>
          <w:kern w:val="2"/>
          <w:highlight w:val="none"/>
        </w:rPr>
        <w:t>（签字）</w:t>
      </w:r>
    </w:p>
    <w:p w14:paraId="16489C24">
      <w:pPr>
        <w:spacing w:line="360" w:lineRule="auto"/>
        <w:jc w:val="left"/>
        <w:rPr>
          <w:rFonts w:hAnsi="宋体" w:cs="Times New Roman"/>
          <w:color w:val="auto"/>
          <w:kern w:val="2"/>
          <w:highlight w:val="none"/>
        </w:rPr>
      </w:pPr>
      <w:r>
        <w:rPr>
          <w:rFonts w:hint="eastAsia" w:hAnsi="宋体"/>
          <w:color w:val="auto"/>
          <w:kern w:val="2"/>
          <w:highlight w:val="none"/>
        </w:rPr>
        <w:t>地</w:t>
      </w:r>
      <w:r>
        <w:rPr>
          <w:rFonts w:hAnsi="宋体" w:cs="Times New Roman"/>
          <w:color w:val="auto"/>
          <w:kern w:val="2"/>
          <w:highlight w:val="none"/>
        </w:rPr>
        <w:t xml:space="preserve">    </w:t>
      </w:r>
      <w:r>
        <w:rPr>
          <w:rFonts w:hint="eastAsia" w:hAnsi="宋体"/>
          <w:color w:val="auto"/>
          <w:kern w:val="2"/>
          <w:highlight w:val="none"/>
        </w:rPr>
        <w:t>址：</w:t>
      </w:r>
      <w:r>
        <w:rPr>
          <w:rFonts w:hAnsi="宋体" w:cs="Times New Roman"/>
          <w:color w:val="auto"/>
          <w:kern w:val="2"/>
          <w:highlight w:val="none"/>
          <w:u w:val="single"/>
        </w:rPr>
        <w:t xml:space="preserve">                                        </w:t>
      </w:r>
    </w:p>
    <w:p w14:paraId="2D7093B6">
      <w:pPr>
        <w:spacing w:line="360" w:lineRule="auto"/>
        <w:jc w:val="left"/>
        <w:rPr>
          <w:rFonts w:hAnsi="宋体" w:cs="Times New Roman"/>
          <w:color w:val="auto"/>
          <w:kern w:val="2"/>
          <w:highlight w:val="none"/>
        </w:rPr>
      </w:pPr>
      <w:r>
        <w:rPr>
          <w:rFonts w:hint="eastAsia" w:hAnsi="宋体"/>
          <w:color w:val="auto"/>
          <w:kern w:val="2"/>
          <w:highlight w:val="none"/>
        </w:rPr>
        <w:t>邮政编码：</w:t>
      </w:r>
      <w:r>
        <w:rPr>
          <w:rFonts w:hAnsi="宋体" w:cs="Times New Roman"/>
          <w:color w:val="auto"/>
          <w:kern w:val="2"/>
          <w:highlight w:val="none"/>
          <w:u w:val="single"/>
        </w:rPr>
        <w:t xml:space="preserve">                                        </w:t>
      </w:r>
    </w:p>
    <w:p w14:paraId="4309D742">
      <w:pPr>
        <w:spacing w:line="360" w:lineRule="auto"/>
        <w:jc w:val="left"/>
        <w:rPr>
          <w:rFonts w:hAnsi="宋体" w:cs="Times New Roman"/>
          <w:color w:val="auto"/>
          <w:kern w:val="2"/>
          <w:highlight w:val="none"/>
        </w:rPr>
      </w:pPr>
      <w:r>
        <w:rPr>
          <w:rFonts w:hint="eastAsia" w:hAnsi="宋体"/>
          <w:color w:val="auto"/>
          <w:kern w:val="2"/>
          <w:highlight w:val="none"/>
        </w:rPr>
        <w:t>传</w:t>
      </w:r>
      <w:r>
        <w:rPr>
          <w:rFonts w:hAnsi="宋体" w:cs="Times New Roman"/>
          <w:color w:val="auto"/>
          <w:kern w:val="2"/>
          <w:highlight w:val="none"/>
        </w:rPr>
        <w:t xml:space="preserve">    </w:t>
      </w:r>
      <w:r>
        <w:rPr>
          <w:rFonts w:hint="eastAsia" w:hAnsi="宋体"/>
          <w:color w:val="auto"/>
          <w:kern w:val="2"/>
          <w:highlight w:val="none"/>
        </w:rPr>
        <w:t>真：</w:t>
      </w:r>
      <w:r>
        <w:rPr>
          <w:rFonts w:hAnsi="宋体" w:cs="Times New Roman"/>
          <w:color w:val="auto"/>
          <w:kern w:val="2"/>
          <w:highlight w:val="none"/>
          <w:u w:val="single"/>
        </w:rPr>
        <w:t xml:space="preserve">                                        </w:t>
      </w:r>
    </w:p>
    <w:p w14:paraId="2267A19B">
      <w:pPr>
        <w:spacing w:line="360" w:lineRule="auto"/>
        <w:ind w:right="150" w:firstLine="420" w:firstLineChars="200"/>
        <w:jc w:val="left"/>
        <w:rPr>
          <w:rFonts w:hAnsi="宋体" w:cs="Times New Roman"/>
          <w:color w:val="auto"/>
          <w:kern w:val="2"/>
          <w:highlight w:val="none"/>
          <w:u w:val="single"/>
        </w:rPr>
      </w:pPr>
    </w:p>
    <w:p w14:paraId="7DF0EF47">
      <w:pPr>
        <w:spacing w:line="360" w:lineRule="auto"/>
        <w:ind w:right="150" w:firstLine="420" w:firstLineChars="200"/>
        <w:jc w:val="left"/>
        <w:rPr>
          <w:rFonts w:hAnsi="宋体" w:cs="Times New Roman"/>
          <w:color w:val="auto"/>
          <w:kern w:val="2"/>
          <w:highlight w:val="none"/>
        </w:rPr>
      </w:pPr>
      <w:r>
        <w:rPr>
          <w:rFonts w:hAnsi="宋体" w:cs="Times New Roman"/>
          <w:color w:val="auto"/>
          <w:kern w:val="2"/>
          <w:highlight w:val="none"/>
        </w:rPr>
        <w:t xml:space="preserve">             </w:t>
      </w:r>
      <w:r>
        <w:rPr>
          <w:rFonts w:hAnsi="宋体" w:cs="Times New Roman"/>
          <w:color w:val="auto"/>
          <w:kern w:val="2"/>
          <w:highlight w:val="none"/>
          <w:u w:val="single"/>
        </w:rPr>
        <w:t xml:space="preserve">               </w:t>
      </w:r>
      <w:r>
        <w:rPr>
          <w:rFonts w:hint="eastAsia" w:hAnsi="宋体"/>
          <w:color w:val="auto"/>
          <w:kern w:val="2"/>
          <w:highlight w:val="none"/>
        </w:rPr>
        <w:t>年</w:t>
      </w:r>
      <w:r>
        <w:rPr>
          <w:rFonts w:hAnsi="宋体" w:cs="Times New Roman"/>
          <w:color w:val="auto"/>
          <w:kern w:val="2"/>
          <w:highlight w:val="none"/>
          <w:u w:val="single"/>
        </w:rPr>
        <w:t xml:space="preserve">      </w:t>
      </w:r>
      <w:r>
        <w:rPr>
          <w:rFonts w:hint="eastAsia" w:hAnsi="宋体"/>
          <w:color w:val="auto"/>
          <w:kern w:val="2"/>
          <w:highlight w:val="none"/>
        </w:rPr>
        <w:t>月</w:t>
      </w:r>
      <w:r>
        <w:rPr>
          <w:rFonts w:hAnsi="宋体" w:cs="Times New Roman"/>
          <w:color w:val="auto"/>
          <w:kern w:val="2"/>
          <w:highlight w:val="none"/>
          <w:u w:val="single"/>
        </w:rPr>
        <w:t xml:space="preserve">      </w:t>
      </w:r>
      <w:r>
        <w:rPr>
          <w:rFonts w:hint="eastAsia" w:hAnsi="宋体"/>
          <w:color w:val="auto"/>
          <w:kern w:val="2"/>
          <w:highlight w:val="none"/>
        </w:rPr>
        <w:t>日</w:t>
      </w:r>
    </w:p>
    <w:p w14:paraId="147E628B">
      <w:pPr>
        <w:spacing w:line="440" w:lineRule="exact"/>
        <w:rPr>
          <w:rFonts w:hAnsi="宋体" w:cs="Times New Roman"/>
          <w:color w:val="auto"/>
          <w:kern w:val="2"/>
          <w:sz w:val="30"/>
          <w:szCs w:val="30"/>
          <w:highlight w:val="none"/>
        </w:rPr>
      </w:pPr>
      <w:r>
        <w:rPr>
          <w:rFonts w:hAnsi="宋体" w:cs="Times New Roman"/>
          <w:color w:val="auto"/>
          <w:kern w:val="2"/>
          <w:sz w:val="30"/>
          <w:szCs w:val="30"/>
          <w:highlight w:val="none"/>
        </w:rPr>
        <w:br w:type="page"/>
      </w:r>
      <w:r>
        <w:rPr>
          <w:rFonts w:hint="eastAsia" w:hAnsi="宋体" w:cs="仿宋_GB2312"/>
          <w:color w:val="auto"/>
          <w:kern w:val="2"/>
          <w:sz w:val="30"/>
          <w:szCs w:val="30"/>
          <w:highlight w:val="none"/>
        </w:rPr>
        <w:t>附</w:t>
      </w:r>
      <w:bookmarkStart w:id="2185" w:name="_Toc296944567"/>
      <w:bookmarkStart w:id="2186" w:name="_Toc267261699"/>
      <w:bookmarkStart w:id="2187" w:name="_Toc296891056"/>
      <w:bookmarkStart w:id="2188" w:name="_Toc296891268"/>
      <w:bookmarkStart w:id="2189" w:name="_Toc296347227"/>
      <w:bookmarkStart w:id="2190" w:name="_Toc296346729"/>
      <w:bookmarkStart w:id="2191" w:name="_Toc296503228"/>
      <w:r>
        <w:rPr>
          <w:rFonts w:hint="eastAsia" w:hAnsi="宋体" w:cs="仿宋_GB2312"/>
          <w:color w:val="auto"/>
          <w:kern w:val="2"/>
          <w:sz w:val="30"/>
          <w:szCs w:val="30"/>
          <w:highlight w:val="none"/>
        </w:rPr>
        <w:t>件</w:t>
      </w:r>
      <w:r>
        <w:rPr>
          <w:rFonts w:hAnsi="宋体" w:cs="Times New Roman"/>
          <w:color w:val="auto"/>
          <w:kern w:val="2"/>
          <w:sz w:val="30"/>
          <w:szCs w:val="30"/>
          <w:highlight w:val="none"/>
        </w:rPr>
        <w:t>3</w:t>
      </w:r>
      <w:r>
        <w:rPr>
          <w:rFonts w:hint="eastAsia" w:hAnsi="宋体" w:cs="仿宋_GB2312"/>
          <w:color w:val="auto"/>
          <w:kern w:val="2"/>
          <w:sz w:val="30"/>
          <w:szCs w:val="30"/>
          <w:highlight w:val="none"/>
        </w:rPr>
        <w:t>：</w:t>
      </w:r>
    </w:p>
    <w:bookmarkEnd w:id="2185"/>
    <w:bookmarkEnd w:id="2186"/>
    <w:bookmarkEnd w:id="2187"/>
    <w:bookmarkEnd w:id="2188"/>
    <w:bookmarkEnd w:id="2189"/>
    <w:bookmarkEnd w:id="2190"/>
    <w:bookmarkEnd w:id="2191"/>
    <w:p w14:paraId="74AA9194">
      <w:pPr>
        <w:spacing w:before="120" w:beforeLines="50" w:after="120" w:afterLines="50" w:line="440" w:lineRule="exact"/>
        <w:jc w:val="center"/>
        <w:rPr>
          <w:rFonts w:hAnsi="宋体" w:cs="Times New Roman"/>
          <w:color w:val="auto"/>
          <w:kern w:val="2"/>
          <w:sz w:val="30"/>
          <w:szCs w:val="30"/>
          <w:highlight w:val="none"/>
        </w:rPr>
      </w:pPr>
      <w:r>
        <w:rPr>
          <w:rFonts w:hint="eastAsia" w:hAnsi="宋体" w:cs="黑体"/>
          <w:color w:val="auto"/>
          <w:kern w:val="2"/>
          <w:sz w:val="30"/>
          <w:szCs w:val="30"/>
          <w:highlight w:val="none"/>
        </w:rPr>
        <w:t>承包人主要施工管理人员表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D7A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63A0FE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名</w:t>
            </w:r>
            <w:r>
              <w:rPr>
                <w:rFonts w:hint="default" w:hAnsi="宋体" w:cs="Times New Roman"/>
                <w:color w:val="auto"/>
                <w:kern w:val="2"/>
                <w:sz w:val="28"/>
                <w:szCs w:val="28"/>
                <w:highlight w:val="none"/>
              </w:rPr>
              <w:t xml:space="preserve">    </w:t>
            </w:r>
            <w:r>
              <w:rPr>
                <w:rFonts w:hint="eastAsia" w:hAnsi="宋体" w:cs="仿宋_GB2312"/>
                <w:color w:val="auto"/>
                <w:kern w:val="2"/>
                <w:sz w:val="28"/>
                <w:szCs w:val="28"/>
                <w:highlight w:val="none"/>
              </w:rPr>
              <w:t>称</w:t>
            </w:r>
          </w:p>
        </w:tc>
        <w:tc>
          <w:tcPr>
            <w:tcW w:w="1418" w:type="dxa"/>
            <w:vAlign w:val="center"/>
          </w:tcPr>
          <w:p w14:paraId="2FE10BD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姓名</w:t>
            </w:r>
          </w:p>
        </w:tc>
        <w:tc>
          <w:tcPr>
            <w:tcW w:w="1134" w:type="dxa"/>
            <w:vAlign w:val="center"/>
          </w:tcPr>
          <w:p w14:paraId="3967D0B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r>
              <w:rPr>
                <w:rFonts w:hint="eastAsia" w:hAnsi="宋体" w:cs="仿宋_GB2312"/>
                <w:color w:val="auto"/>
                <w:kern w:val="2"/>
                <w:sz w:val="30"/>
                <w:szCs w:val="30"/>
                <w:highlight w:val="none"/>
              </w:rPr>
              <w:t>职务</w:t>
            </w:r>
          </w:p>
        </w:tc>
        <w:tc>
          <w:tcPr>
            <w:tcW w:w="1134" w:type="dxa"/>
            <w:vAlign w:val="center"/>
          </w:tcPr>
          <w:p w14:paraId="4EB116B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r>
              <w:rPr>
                <w:rFonts w:hint="eastAsia" w:hAnsi="宋体" w:cs="仿宋_GB2312"/>
                <w:color w:val="auto"/>
                <w:kern w:val="2"/>
                <w:sz w:val="30"/>
                <w:szCs w:val="30"/>
                <w:highlight w:val="none"/>
              </w:rPr>
              <w:t>职称</w:t>
            </w:r>
          </w:p>
        </w:tc>
        <w:tc>
          <w:tcPr>
            <w:tcW w:w="4252" w:type="dxa"/>
            <w:vAlign w:val="center"/>
          </w:tcPr>
          <w:p w14:paraId="4300F5A2">
            <w:pPr>
              <w:keepNext/>
              <w:keepLines w:val="0"/>
              <w:suppressLineNumbers w:val="0"/>
              <w:adjustRightInd w:val="0"/>
              <w:spacing w:before="0" w:beforeAutospacing="0" w:after="0" w:afterAutospacing="0" w:line="440" w:lineRule="exact"/>
              <w:ind w:left="0" w:right="63" w:rightChars="30"/>
              <w:jc w:val="center"/>
              <w:textAlignment w:val="baseline"/>
              <w:rPr>
                <w:rFonts w:hint="default" w:hAnsi="宋体" w:cs="Times New Roman"/>
                <w:color w:val="auto"/>
                <w:kern w:val="2"/>
                <w:sz w:val="30"/>
                <w:szCs w:val="30"/>
                <w:highlight w:val="none"/>
              </w:rPr>
            </w:pPr>
            <w:r>
              <w:rPr>
                <w:rFonts w:hint="eastAsia" w:hAnsi="宋体" w:cs="仿宋_GB2312"/>
                <w:color w:val="auto"/>
                <w:kern w:val="2"/>
                <w:sz w:val="30"/>
                <w:szCs w:val="30"/>
                <w:highlight w:val="none"/>
              </w:rPr>
              <w:t>计划进场时间</w:t>
            </w:r>
          </w:p>
        </w:tc>
      </w:tr>
      <w:tr w14:paraId="4DA6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1A7A489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一、总部人员</w:t>
            </w:r>
          </w:p>
        </w:tc>
      </w:tr>
      <w:tr w14:paraId="43A3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6EC316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项目主管</w:t>
            </w:r>
          </w:p>
        </w:tc>
        <w:tc>
          <w:tcPr>
            <w:tcW w:w="1418" w:type="dxa"/>
            <w:vAlign w:val="center"/>
          </w:tcPr>
          <w:p w14:paraId="494EDF9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7FD6422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57EEAB5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705A24C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2A5C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E71519B">
            <w:pPr>
              <w:keepNext/>
              <w:keepLines w:val="0"/>
              <w:suppressLineNumbers w:val="0"/>
              <w:adjustRightInd w:val="0"/>
              <w:spacing w:before="0" w:beforeAutospacing="0" w:after="6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其他人员</w:t>
            </w:r>
          </w:p>
        </w:tc>
        <w:tc>
          <w:tcPr>
            <w:tcW w:w="1418" w:type="dxa"/>
            <w:vAlign w:val="center"/>
          </w:tcPr>
          <w:p w14:paraId="23ABF95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41F7E58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18C871A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022CEA3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71B9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BE383B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580F49B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068BF02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604D32A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289DA07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47CD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52699E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14F9E9B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4031470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51316F2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44322CB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3925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5481D5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二、现场人员</w:t>
            </w:r>
          </w:p>
        </w:tc>
      </w:tr>
      <w:tr w14:paraId="3C57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B46FB1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项目经理</w:t>
            </w:r>
          </w:p>
        </w:tc>
        <w:tc>
          <w:tcPr>
            <w:tcW w:w="1418" w:type="dxa"/>
            <w:vAlign w:val="center"/>
          </w:tcPr>
          <w:p w14:paraId="400972A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0C4A911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589D710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1F6E087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4799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733EAF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项目副经理</w:t>
            </w:r>
          </w:p>
        </w:tc>
        <w:tc>
          <w:tcPr>
            <w:tcW w:w="1418" w:type="dxa"/>
            <w:vAlign w:val="center"/>
          </w:tcPr>
          <w:p w14:paraId="481A22D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5152C4D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25D4509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26F5E42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0B2A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0F9846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技术负责人</w:t>
            </w:r>
          </w:p>
        </w:tc>
        <w:tc>
          <w:tcPr>
            <w:tcW w:w="1418" w:type="dxa"/>
            <w:vAlign w:val="center"/>
          </w:tcPr>
          <w:p w14:paraId="0C0B1D3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5FB84D0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17826E5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03DA9EC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05AB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4D4903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造价管理</w:t>
            </w:r>
          </w:p>
        </w:tc>
        <w:tc>
          <w:tcPr>
            <w:tcW w:w="1418" w:type="dxa"/>
            <w:vAlign w:val="center"/>
          </w:tcPr>
          <w:p w14:paraId="08F5A68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51D0391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7AB4A9F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2A151BC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3624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BAE86AD">
            <w:pPr>
              <w:keepNext/>
              <w:keepLines w:val="0"/>
              <w:suppressLineNumbers w:val="0"/>
              <w:adjustRightInd w:val="0"/>
              <w:spacing w:before="0" w:beforeAutospacing="0" w:after="6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质量管理</w:t>
            </w:r>
          </w:p>
        </w:tc>
        <w:tc>
          <w:tcPr>
            <w:tcW w:w="1418" w:type="dxa"/>
            <w:vAlign w:val="center"/>
          </w:tcPr>
          <w:p w14:paraId="088CFD6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63751A8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1152685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5A387EB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13ED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9268D61">
            <w:pPr>
              <w:keepNext/>
              <w:keepLines w:val="0"/>
              <w:suppressLineNumbers w:val="0"/>
              <w:adjustRightInd w:val="0"/>
              <w:spacing w:before="0" w:beforeAutospacing="0" w:after="6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2BA37D4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356A0F4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575E2F6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530B7D5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1DD6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98CEFE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2A26841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6A60E50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0D621AA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67CDFEF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7F62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88293B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材料管理</w:t>
            </w:r>
          </w:p>
        </w:tc>
        <w:tc>
          <w:tcPr>
            <w:tcW w:w="1418" w:type="dxa"/>
            <w:vAlign w:val="center"/>
          </w:tcPr>
          <w:p w14:paraId="290ABE4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55993CC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289086D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7290350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2729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663A90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计划管理</w:t>
            </w:r>
          </w:p>
        </w:tc>
        <w:tc>
          <w:tcPr>
            <w:tcW w:w="1418" w:type="dxa"/>
            <w:vAlign w:val="center"/>
          </w:tcPr>
          <w:p w14:paraId="05CCDD6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176ED96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4D81C96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1E406BB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5B72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CD5020F">
            <w:pPr>
              <w:keepNext/>
              <w:keepLines w:val="0"/>
              <w:suppressLineNumbers w:val="0"/>
              <w:adjustRightInd w:val="0"/>
              <w:spacing w:before="0" w:beforeAutospacing="0" w:after="6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安全管理</w:t>
            </w:r>
          </w:p>
        </w:tc>
        <w:tc>
          <w:tcPr>
            <w:tcW w:w="1418" w:type="dxa"/>
            <w:vAlign w:val="center"/>
          </w:tcPr>
          <w:p w14:paraId="4B763D3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7A1C006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2BA4D6C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12B2A2E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34A9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9E907BC">
            <w:pPr>
              <w:keepNext/>
              <w:keepLines w:val="0"/>
              <w:suppressLineNumbers w:val="0"/>
              <w:adjustRightInd w:val="0"/>
              <w:spacing w:before="0" w:beforeAutospacing="0" w:after="6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2090D9F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425AA8D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2A01B71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0F4ED13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2780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6ADA65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6C8A149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3C83354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365FA8F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348F7CB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76D8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2EAEB9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其他人员</w:t>
            </w:r>
          </w:p>
        </w:tc>
        <w:tc>
          <w:tcPr>
            <w:tcW w:w="1418" w:type="dxa"/>
            <w:vAlign w:val="center"/>
          </w:tcPr>
          <w:p w14:paraId="7A0D138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2073D0A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7164000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3FB8F6D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1A80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5165EC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1C6C3F1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693F65A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3FCE72A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18A0CFA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1CDB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3CF97C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15779EE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0B3CBE0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5E9BD2B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501ACD9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3C4F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A2A405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4594EF8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356DBDC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3E3DB8B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7BB03A1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20B5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C8CF6E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1506366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0ECCD8E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05EAF68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326A6BB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629F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E686EE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07D3217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68FC092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6148B94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707793D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bl>
    <w:p w14:paraId="49252CCE">
      <w:pPr>
        <w:spacing w:line="440" w:lineRule="exact"/>
        <w:rPr>
          <w:rFonts w:hAnsi="宋体" w:cs="Times New Roman"/>
          <w:color w:val="auto"/>
          <w:kern w:val="2"/>
          <w:sz w:val="30"/>
          <w:szCs w:val="30"/>
          <w:highlight w:val="none"/>
        </w:rPr>
      </w:pPr>
      <w:r>
        <w:rPr>
          <w:rFonts w:hAnsi="宋体" w:cs="Times New Roman"/>
          <w:color w:val="auto"/>
          <w:kern w:val="2"/>
          <w:sz w:val="30"/>
          <w:szCs w:val="30"/>
          <w:highlight w:val="none"/>
        </w:rPr>
        <w:br w:type="page"/>
      </w:r>
      <w:r>
        <w:rPr>
          <w:rFonts w:hint="eastAsia" w:hAnsi="宋体" w:cs="仿宋_GB2312"/>
          <w:color w:val="auto"/>
          <w:kern w:val="2"/>
          <w:sz w:val="30"/>
          <w:szCs w:val="30"/>
          <w:highlight w:val="none"/>
        </w:rPr>
        <w:t>附</w:t>
      </w:r>
      <w:bookmarkStart w:id="2192" w:name="_Toc296346730"/>
      <w:bookmarkStart w:id="2193" w:name="_Toc296503229"/>
      <w:bookmarkStart w:id="2194" w:name="_Toc296891057"/>
      <w:bookmarkStart w:id="2195" w:name="_Toc296891269"/>
      <w:bookmarkStart w:id="2196" w:name="_Toc296944568"/>
      <w:bookmarkStart w:id="2197" w:name="_Toc296347228"/>
      <w:r>
        <w:rPr>
          <w:rFonts w:hint="eastAsia" w:hAnsi="宋体" w:cs="仿宋_GB2312"/>
          <w:color w:val="auto"/>
          <w:kern w:val="2"/>
          <w:sz w:val="30"/>
          <w:szCs w:val="30"/>
          <w:highlight w:val="none"/>
        </w:rPr>
        <w:t>件</w:t>
      </w:r>
      <w:r>
        <w:rPr>
          <w:rFonts w:hAnsi="宋体" w:cs="Times New Roman"/>
          <w:color w:val="auto"/>
          <w:kern w:val="2"/>
          <w:sz w:val="30"/>
          <w:szCs w:val="30"/>
          <w:highlight w:val="none"/>
        </w:rPr>
        <w:t>4</w:t>
      </w:r>
      <w:r>
        <w:rPr>
          <w:rFonts w:hint="eastAsia" w:hAnsi="宋体" w:cs="仿宋_GB2312"/>
          <w:color w:val="auto"/>
          <w:kern w:val="2"/>
          <w:sz w:val="30"/>
          <w:szCs w:val="30"/>
          <w:highlight w:val="none"/>
        </w:rPr>
        <w:t>：</w:t>
      </w:r>
    </w:p>
    <w:bookmarkEnd w:id="2192"/>
    <w:bookmarkEnd w:id="2193"/>
    <w:bookmarkEnd w:id="2194"/>
    <w:bookmarkEnd w:id="2195"/>
    <w:bookmarkEnd w:id="2196"/>
    <w:bookmarkEnd w:id="2197"/>
    <w:p w14:paraId="6E527F35">
      <w:pPr>
        <w:spacing w:before="120" w:beforeLines="50" w:after="120" w:afterLines="50" w:line="440" w:lineRule="exact"/>
        <w:jc w:val="center"/>
        <w:rPr>
          <w:rFonts w:hAnsi="宋体" w:cs="Times New Roman"/>
          <w:color w:val="auto"/>
          <w:kern w:val="2"/>
          <w:sz w:val="30"/>
          <w:szCs w:val="30"/>
          <w:highlight w:val="none"/>
        </w:rPr>
      </w:pPr>
      <w:r>
        <w:rPr>
          <w:rFonts w:hint="eastAsia" w:hAnsi="宋体" w:cs="黑体"/>
          <w:color w:val="auto"/>
          <w:kern w:val="2"/>
          <w:sz w:val="30"/>
          <w:szCs w:val="30"/>
          <w:highlight w:val="none"/>
        </w:rPr>
        <w:t>分包人主要施工管理人员表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8C0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A54056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名</w:t>
            </w:r>
            <w:r>
              <w:rPr>
                <w:rFonts w:hint="default" w:hAnsi="宋体" w:cs="Times New Roman"/>
                <w:color w:val="auto"/>
                <w:kern w:val="2"/>
                <w:sz w:val="28"/>
                <w:szCs w:val="28"/>
                <w:highlight w:val="none"/>
              </w:rPr>
              <w:t xml:space="preserve">    </w:t>
            </w:r>
            <w:r>
              <w:rPr>
                <w:rFonts w:hint="eastAsia" w:hAnsi="宋体" w:cs="仿宋_GB2312"/>
                <w:color w:val="auto"/>
                <w:kern w:val="2"/>
                <w:sz w:val="28"/>
                <w:szCs w:val="28"/>
                <w:highlight w:val="none"/>
              </w:rPr>
              <w:t>称</w:t>
            </w:r>
          </w:p>
        </w:tc>
        <w:tc>
          <w:tcPr>
            <w:tcW w:w="1418" w:type="dxa"/>
            <w:vAlign w:val="center"/>
          </w:tcPr>
          <w:p w14:paraId="2227F6C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姓名</w:t>
            </w:r>
          </w:p>
        </w:tc>
        <w:tc>
          <w:tcPr>
            <w:tcW w:w="1134" w:type="dxa"/>
            <w:vAlign w:val="center"/>
          </w:tcPr>
          <w:p w14:paraId="6D04580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r>
              <w:rPr>
                <w:rFonts w:hint="eastAsia" w:hAnsi="宋体" w:cs="仿宋_GB2312"/>
                <w:color w:val="auto"/>
                <w:kern w:val="2"/>
                <w:sz w:val="30"/>
                <w:szCs w:val="30"/>
                <w:highlight w:val="none"/>
              </w:rPr>
              <w:t>职务</w:t>
            </w:r>
          </w:p>
        </w:tc>
        <w:tc>
          <w:tcPr>
            <w:tcW w:w="1134" w:type="dxa"/>
            <w:vAlign w:val="center"/>
          </w:tcPr>
          <w:p w14:paraId="48D141C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r>
              <w:rPr>
                <w:rFonts w:hint="eastAsia" w:hAnsi="宋体" w:cs="仿宋_GB2312"/>
                <w:color w:val="auto"/>
                <w:kern w:val="2"/>
                <w:sz w:val="30"/>
                <w:szCs w:val="30"/>
                <w:highlight w:val="none"/>
              </w:rPr>
              <w:t>职称</w:t>
            </w:r>
          </w:p>
        </w:tc>
        <w:tc>
          <w:tcPr>
            <w:tcW w:w="4252" w:type="dxa"/>
            <w:vAlign w:val="center"/>
          </w:tcPr>
          <w:p w14:paraId="505F483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r>
              <w:rPr>
                <w:rFonts w:hint="eastAsia" w:hAnsi="宋体" w:cs="仿宋_GB2312"/>
                <w:color w:val="auto"/>
                <w:kern w:val="2"/>
                <w:sz w:val="30"/>
                <w:szCs w:val="30"/>
                <w:highlight w:val="none"/>
              </w:rPr>
              <w:t>主要资历、经验及承担过的项目</w:t>
            </w:r>
          </w:p>
        </w:tc>
      </w:tr>
      <w:tr w14:paraId="6FEA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1B2B102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一、总部人员</w:t>
            </w:r>
          </w:p>
        </w:tc>
      </w:tr>
      <w:tr w14:paraId="1399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372386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项目主管</w:t>
            </w:r>
          </w:p>
        </w:tc>
        <w:tc>
          <w:tcPr>
            <w:tcW w:w="1418" w:type="dxa"/>
            <w:vAlign w:val="center"/>
          </w:tcPr>
          <w:p w14:paraId="1099CD4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4722C69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611A791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3D3D393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0386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03E6F92B">
            <w:pPr>
              <w:keepNext/>
              <w:keepLines w:val="0"/>
              <w:suppressLineNumbers w:val="0"/>
              <w:adjustRightInd w:val="0"/>
              <w:spacing w:before="0" w:beforeAutospacing="0" w:after="6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其他人员</w:t>
            </w:r>
          </w:p>
        </w:tc>
        <w:tc>
          <w:tcPr>
            <w:tcW w:w="1418" w:type="dxa"/>
            <w:vAlign w:val="center"/>
          </w:tcPr>
          <w:p w14:paraId="74B1749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4BA1D1C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202AFEE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1449E2F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636F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14B0BB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2E97A52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7AC1386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4FEFF2C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602BA91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09EF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819655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0438249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604133D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48CD5D1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0E67048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10D4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3BB51F3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二、现场人员</w:t>
            </w:r>
          </w:p>
        </w:tc>
      </w:tr>
      <w:tr w14:paraId="4824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4E6AF9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项目经理</w:t>
            </w:r>
          </w:p>
        </w:tc>
        <w:tc>
          <w:tcPr>
            <w:tcW w:w="1418" w:type="dxa"/>
            <w:vAlign w:val="center"/>
          </w:tcPr>
          <w:p w14:paraId="1E60DEB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58576B4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639F32C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45AF83E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3FD0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66C2CF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项目副经理</w:t>
            </w:r>
          </w:p>
        </w:tc>
        <w:tc>
          <w:tcPr>
            <w:tcW w:w="1418" w:type="dxa"/>
            <w:vAlign w:val="center"/>
          </w:tcPr>
          <w:p w14:paraId="58B81B4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205DF32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5646247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46F1175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5BFB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6FD8ED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技术负责人</w:t>
            </w:r>
          </w:p>
        </w:tc>
        <w:tc>
          <w:tcPr>
            <w:tcW w:w="1418" w:type="dxa"/>
            <w:vAlign w:val="center"/>
          </w:tcPr>
          <w:p w14:paraId="788ECC8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4CA4DA8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1780CCF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5236FF5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06FC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96C69D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造价管理</w:t>
            </w:r>
          </w:p>
        </w:tc>
        <w:tc>
          <w:tcPr>
            <w:tcW w:w="1418" w:type="dxa"/>
            <w:vAlign w:val="center"/>
          </w:tcPr>
          <w:p w14:paraId="4A225EE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457932C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22B2E8A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4F725DF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2F32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CA2818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质量管理</w:t>
            </w:r>
          </w:p>
        </w:tc>
        <w:tc>
          <w:tcPr>
            <w:tcW w:w="1418" w:type="dxa"/>
            <w:vAlign w:val="center"/>
          </w:tcPr>
          <w:p w14:paraId="038494A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219E8C4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664C227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35D50D9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571E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024B92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材料管理</w:t>
            </w:r>
          </w:p>
        </w:tc>
        <w:tc>
          <w:tcPr>
            <w:tcW w:w="1418" w:type="dxa"/>
            <w:vAlign w:val="center"/>
          </w:tcPr>
          <w:p w14:paraId="73847D3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259A8EA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00C4F68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24125BC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4D48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E87FDA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计划管理</w:t>
            </w:r>
          </w:p>
        </w:tc>
        <w:tc>
          <w:tcPr>
            <w:tcW w:w="1418" w:type="dxa"/>
            <w:vAlign w:val="center"/>
          </w:tcPr>
          <w:p w14:paraId="7FEBF0D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7B61F8D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7603D36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67FDE4B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6B64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2159E5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安全管理</w:t>
            </w:r>
          </w:p>
        </w:tc>
        <w:tc>
          <w:tcPr>
            <w:tcW w:w="1418" w:type="dxa"/>
            <w:vAlign w:val="center"/>
          </w:tcPr>
          <w:p w14:paraId="6EE4E53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70B7CE3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177E345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1640861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2BB9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F68B1C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其他人员</w:t>
            </w:r>
          </w:p>
        </w:tc>
        <w:tc>
          <w:tcPr>
            <w:tcW w:w="1418" w:type="dxa"/>
            <w:vAlign w:val="center"/>
          </w:tcPr>
          <w:p w14:paraId="47CB2B5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1424F51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42ACB5B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5E0B3F0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32DA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1188E7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4A685CB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144431F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023E4EE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1943E0E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6E03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A661D4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46D404C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7FF24F9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47904A1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6748FAD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0908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D832CD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52A0609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24DFB1A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758254B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2B11A15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0009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C78282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5E09F73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4489644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29B1F94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70CA9FB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753B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79B3B3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48B1C33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6B2E21E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080F096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3538505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bl>
    <w:p w14:paraId="605754DF">
      <w:pPr>
        <w:spacing w:line="440" w:lineRule="exact"/>
        <w:rPr>
          <w:rFonts w:hAnsi="宋体" w:cs="Times New Roman"/>
          <w:color w:val="auto"/>
          <w:kern w:val="2"/>
          <w:sz w:val="30"/>
          <w:szCs w:val="30"/>
          <w:highlight w:val="none"/>
        </w:rPr>
      </w:pPr>
      <w:r>
        <w:rPr>
          <w:rFonts w:hAnsi="宋体" w:cs="Times New Roman"/>
          <w:color w:val="auto"/>
          <w:kern w:val="2"/>
          <w:sz w:val="30"/>
          <w:szCs w:val="30"/>
          <w:highlight w:val="none"/>
        </w:rPr>
        <w:br w:type="page"/>
      </w:r>
      <w:bookmarkStart w:id="2198" w:name="_Toc267261701"/>
      <w:r>
        <w:rPr>
          <w:rFonts w:hint="eastAsia" w:hAnsi="宋体" w:cs="仿宋_GB2312"/>
          <w:color w:val="auto"/>
          <w:kern w:val="2"/>
          <w:sz w:val="30"/>
          <w:szCs w:val="30"/>
          <w:highlight w:val="none"/>
        </w:rPr>
        <w:t>附</w:t>
      </w:r>
      <w:bookmarkStart w:id="2199" w:name="_Toc296891271"/>
      <w:bookmarkStart w:id="2200" w:name="_Toc296891059"/>
      <w:bookmarkStart w:id="2201" w:name="_Toc296346732"/>
      <w:bookmarkStart w:id="2202" w:name="_Toc296347230"/>
      <w:bookmarkStart w:id="2203" w:name="_Toc296944570"/>
      <w:bookmarkStart w:id="2204" w:name="_Toc296503231"/>
      <w:r>
        <w:rPr>
          <w:rFonts w:hint="eastAsia" w:hAnsi="宋体" w:cs="仿宋_GB2312"/>
          <w:color w:val="auto"/>
          <w:kern w:val="2"/>
          <w:sz w:val="30"/>
          <w:szCs w:val="30"/>
          <w:highlight w:val="none"/>
        </w:rPr>
        <w:t>件</w:t>
      </w:r>
      <w:r>
        <w:rPr>
          <w:rFonts w:hAnsi="宋体" w:cs="Times New Roman"/>
          <w:color w:val="auto"/>
          <w:kern w:val="2"/>
          <w:sz w:val="30"/>
          <w:szCs w:val="30"/>
          <w:highlight w:val="none"/>
        </w:rPr>
        <w:t>5</w:t>
      </w:r>
      <w:r>
        <w:rPr>
          <w:rFonts w:hint="eastAsia" w:hAnsi="宋体" w:cs="仿宋_GB2312"/>
          <w:color w:val="auto"/>
          <w:kern w:val="2"/>
          <w:sz w:val="30"/>
          <w:szCs w:val="30"/>
          <w:highlight w:val="none"/>
        </w:rPr>
        <w:t>：</w:t>
      </w:r>
    </w:p>
    <w:bookmarkEnd w:id="2198"/>
    <w:bookmarkEnd w:id="2199"/>
    <w:bookmarkEnd w:id="2200"/>
    <w:bookmarkEnd w:id="2201"/>
    <w:bookmarkEnd w:id="2202"/>
    <w:bookmarkEnd w:id="2203"/>
    <w:bookmarkEnd w:id="2204"/>
    <w:p w14:paraId="30DECE11">
      <w:pPr>
        <w:spacing w:before="120" w:beforeLines="50" w:after="120" w:afterLines="50" w:line="440" w:lineRule="exact"/>
        <w:jc w:val="center"/>
        <w:rPr>
          <w:rFonts w:hAnsi="宋体" w:cs="Times New Roman"/>
          <w:color w:val="auto"/>
          <w:kern w:val="2"/>
          <w:sz w:val="30"/>
          <w:szCs w:val="30"/>
          <w:highlight w:val="none"/>
        </w:rPr>
      </w:pPr>
      <w:r>
        <w:rPr>
          <w:rFonts w:hint="eastAsia" w:hAnsi="宋体" w:cs="黑体"/>
          <w:color w:val="auto"/>
          <w:kern w:val="2"/>
          <w:sz w:val="30"/>
          <w:szCs w:val="30"/>
          <w:highlight w:val="none"/>
        </w:rPr>
        <w:t>履约担保</w:t>
      </w:r>
    </w:p>
    <w:p w14:paraId="100C34E2">
      <w:pPr>
        <w:spacing w:line="360" w:lineRule="auto"/>
        <w:rPr>
          <w:rFonts w:hAnsi="宋体" w:cs="Times New Roman"/>
          <w:color w:val="auto"/>
          <w:kern w:val="2"/>
          <w:highlight w:val="none"/>
          <w:u w:val="single"/>
        </w:rPr>
      </w:pPr>
    </w:p>
    <w:p w14:paraId="09BA7694">
      <w:pPr>
        <w:spacing w:line="360" w:lineRule="auto"/>
        <w:rPr>
          <w:rFonts w:hAnsi="宋体" w:cs="Times New Roman"/>
          <w:color w:val="auto"/>
          <w:kern w:val="2"/>
          <w:highlight w:val="none"/>
        </w:rPr>
      </w:pPr>
      <w:r>
        <w:rPr>
          <w:rFonts w:hAnsi="宋体" w:cs="Times New Roman"/>
          <w:color w:val="auto"/>
          <w:kern w:val="2"/>
          <w:highlight w:val="none"/>
          <w:u w:val="single"/>
        </w:rPr>
        <w:t xml:space="preserve">                          </w:t>
      </w:r>
      <w:r>
        <w:rPr>
          <w:rFonts w:hint="eastAsia" w:hAnsi="宋体"/>
          <w:color w:val="auto"/>
          <w:kern w:val="2"/>
          <w:highlight w:val="none"/>
        </w:rPr>
        <w:t>（发包人名称）：</w:t>
      </w:r>
    </w:p>
    <w:p w14:paraId="54807371">
      <w:pPr>
        <w:spacing w:line="360" w:lineRule="auto"/>
        <w:ind w:firstLine="420" w:firstLineChars="200"/>
        <w:rPr>
          <w:rFonts w:hAnsi="宋体" w:cs="Times New Roman"/>
          <w:color w:val="auto"/>
          <w:kern w:val="2"/>
          <w:highlight w:val="none"/>
        </w:rPr>
      </w:pPr>
      <w:r>
        <w:rPr>
          <w:rFonts w:hint="eastAsia" w:hAnsi="宋体"/>
          <w:color w:val="auto"/>
          <w:kern w:val="2"/>
          <w:highlight w:val="none"/>
        </w:rPr>
        <w:t>鉴于</w:t>
      </w:r>
      <w:r>
        <w:rPr>
          <w:rFonts w:hAnsi="宋体" w:cs="Times New Roman"/>
          <w:color w:val="auto"/>
          <w:kern w:val="2"/>
          <w:highlight w:val="none"/>
          <w:u w:val="single"/>
        </w:rPr>
        <w:t xml:space="preserve">                                        </w:t>
      </w:r>
      <w:r>
        <w:rPr>
          <w:rFonts w:hint="eastAsia" w:hAnsi="宋体"/>
          <w:color w:val="auto"/>
          <w:kern w:val="2"/>
          <w:highlight w:val="none"/>
        </w:rPr>
        <w:t>（发包人名称，以下简称</w:t>
      </w:r>
      <w:r>
        <w:rPr>
          <w:rFonts w:hint="eastAsia" w:hAnsi="宋体" w:cs="Times New Roman"/>
          <w:color w:val="auto"/>
          <w:kern w:val="2"/>
          <w:highlight w:val="none"/>
        </w:rPr>
        <w:t>“</w:t>
      </w:r>
      <w:r>
        <w:rPr>
          <w:rFonts w:hint="eastAsia" w:hAnsi="宋体"/>
          <w:color w:val="auto"/>
          <w:kern w:val="2"/>
          <w:highlight w:val="none"/>
        </w:rPr>
        <w:t>发包人</w:t>
      </w:r>
      <w:r>
        <w:rPr>
          <w:rFonts w:hint="eastAsia" w:hAnsi="宋体" w:cs="Times New Roman"/>
          <w:color w:val="auto"/>
          <w:kern w:val="2"/>
          <w:highlight w:val="none"/>
        </w:rPr>
        <w:t>”</w:t>
      </w:r>
      <w:r>
        <w:rPr>
          <w:rFonts w:hint="eastAsia" w:hAnsi="宋体"/>
          <w:color w:val="auto"/>
          <w:kern w:val="2"/>
          <w:highlight w:val="none"/>
        </w:rPr>
        <w:t>）</w:t>
      </w:r>
      <w:r>
        <w:rPr>
          <w:rFonts w:hAnsi="宋体" w:cs="Times New Roman"/>
          <w:color w:val="auto"/>
          <w:kern w:val="2"/>
          <w:highlight w:val="none"/>
        </w:rPr>
        <w:t xml:space="preserve"> </w:t>
      </w:r>
      <w:r>
        <w:rPr>
          <w:rFonts w:hint="eastAsia" w:hAnsi="宋体"/>
          <w:color w:val="auto"/>
          <w:kern w:val="2"/>
          <w:highlight w:val="none"/>
        </w:rPr>
        <w:t>已于</w:t>
      </w:r>
      <w:r>
        <w:rPr>
          <w:rFonts w:hAnsi="宋体" w:cs="Times New Roman"/>
          <w:color w:val="auto"/>
          <w:kern w:val="2"/>
          <w:highlight w:val="none"/>
          <w:u w:val="single"/>
        </w:rPr>
        <w:t xml:space="preserve">           </w:t>
      </w:r>
      <w:r>
        <w:rPr>
          <w:rFonts w:hint="eastAsia" w:hAnsi="宋体"/>
          <w:color w:val="auto"/>
          <w:kern w:val="2"/>
          <w:highlight w:val="none"/>
        </w:rPr>
        <w:t>年</w:t>
      </w:r>
      <w:r>
        <w:rPr>
          <w:rFonts w:hAnsi="宋体" w:cs="Times New Roman"/>
          <w:color w:val="auto"/>
          <w:kern w:val="2"/>
          <w:highlight w:val="none"/>
          <w:u w:val="single"/>
        </w:rPr>
        <w:t xml:space="preserve">      </w:t>
      </w:r>
      <w:r>
        <w:rPr>
          <w:rFonts w:hint="eastAsia" w:hAnsi="宋体"/>
          <w:color w:val="auto"/>
          <w:kern w:val="2"/>
          <w:highlight w:val="none"/>
        </w:rPr>
        <w:t>月</w:t>
      </w:r>
      <w:r>
        <w:rPr>
          <w:rFonts w:hAnsi="宋体" w:cs="Times New Roman"/>
          <w:color w:val="auto"/>
          <w:kern w:val="2"/>
          <w:highlight w:val="none"/>
          <w:u w:val="single"/>
        </w:rPr>
        <w:t xml:space="preserve">      </w:t>
      </w:r>
      <w:r>
        <w:rPr>
          <w:rFonts w:hint="eastAsia" w:hAnsi="宋体"/>
          <w:color w:val="auto"/>
          <w:kern w:val="2"/>
          <w:highlight w:val="none"/>
        </w:rPr>
        <w:t>日发放中标通知书，明确</w:t>
      </w:r>
      <w:r>
        <w:rPr>
          <w:rFonts w:hAnsi="宋体" w:cs="Times New Roman"/>
          <w:color w:val="auto"/>
          <w:kern w:val="2"/>
          <w:highlight w:val="none"/>
          <w:u w:val="single"/>
        </w:rPr>
        <w:t xml:space="preserve">                           </w:t>
      </w:r>
      <w:r>
        <w:rPr>
          <w:rFonts w:hint="eastAsia" w:hAnsi="宋体"/>
          <w:color w:val="auto"/>
          <w:kern w:val="2"/>
          <w:highlight w:val="none"/>
        </w:rPr>
        <w:t>（承包人名称）（以下称</w:t>
      </w:r>
      <w:r>
        <w:rPr>
          <w:rFonts w:hint="eastAsia" w:hAnsi="宋体" w:cs="Times New Roman"/>
          <w:color w:val="auto"/>
          <w:kern w:val="2"/>
          <w:highlight w:val="none"/>
        </w:rPr>
        <w:t>“</w:t>
      </w:r>
      <w:r>
        <w:rPr>
          <w:rFonts w:hint="eastAsia" w:hAnsi="宋体"/>
          <w:color w:val="auto"/>
          <w:kern w:val="2"/>
          <w:highlight w:val="none"/>
        </w:rPr>
        <w:t>承包人</w:t>
      </w:r>
      <w:r>
        <w:rPr>
          <w:rFonts w:hint="eastAsia" w:hAnsi="宋体" w:cs="Times New Roman"/>
          <w:color w:val="auto"/>
          <w:kern w:val="2"/>
          <w:highlight w:val="none"/>
        </w:rPr>
        <w:t>”</w:t>
      </w:r>
      <w:r>
        <w:rPr>
          <w:rFonts w:hint="eastAsia" w:hAnsi="宋体"/>
          <w:color w:val="auto"/>
          <w:kern w:val="2"/>
          <w:highlight w:val="none"/>
        </w:rPr>
        <w:t>）于</w:t>
      </w:r>
      <w:r>
        <w:rPr>
          <w:rFonts w:hAnsi="宋体" w:cs="Times New Roman"/>
          <w:color w:val="auto"/>
          <w:kern w:val="2"/>
          <w:highlight w:val="none"/>
          <w:u w:val="single"/>
        </w:rPr>
        <w:t xml:space="preserve">           </w:t>
      </w:r>
      <w:r>
        <w:rPr>
          <w:rFonts w:hint="eastAsia" w:hAnsi="宋体"/>
          <w:color w:val="auto"/>
          <w:kern w:val="2"/>
          <w:highlight w:val="none"/>
        </w:rPr>
        <w:t>年</w:t>
      </w:r>
      <w:r>
        <w:rPr>
          <w:rFonts w:hAnsi="宋体" w:cs="Times New Roman"/>
          <w:color w:val="auto"/>
          <w:kern w:val="2"/>
          <w:highlight w:val="none"/>
          <w:u w:val="single"/>
        </w:rPr>
        <w:t xml:space="preserve">      </w:t>
      </w:r>
      <w:r>
        <w:rPr>
          <w:rFonts w:hint="eastAsia" w:hAnsi="宋体"/>
          <w:color w:val="auto"/>
          <w:kern w:val="2"/>
          <w:highlight w:val="none"/>
        </w:rPr>
        <w:t>月</w:t>
      </w:r>
      <w:r>
        <w:rPr>
          <w:rFonts w:hAnsi="宋体" w:cs="Times New Roman"/>
          <w:color w:val="auto"/>
          <w:kern w:val="2"/>
          <w:highlight w:val="none"/>
          <w:u w:val="single"/>
        </w:rPr>
        <w:t xml:space="preserve">      </w:t>
      </w:r>
      <w:r>
        <w:rPr>
          <w:rFonts w:hint="eastAsia" w:hAnsi="宋体"/>
          <w:color w:val="auto"/>
          <w:kern w:val="2"/>
          <w:highlight w:val="none"/>
        </w:rPr>
        <w:t>日为</w:t>
      </w:r>
      <w:r>
        <w:rPr>
          <w:rFonts w:hAnsi="宋体" w:cs="Times New Roman"/>
          <w:color w:val="auto"/>
          <w:kern w:val="2"/>
          <w:highlight w:val="none"/>
          <w:u w:val="single"/>
        </w:rPr>
        <w:t xml:space="preserve">                       </w:t>
      </w:r>
      <w:r>
        <w:rPr>
          <w:rFonts w:hint="eastAsia" w:hAnsi="宋体"/>
          <w:color w:val="auto"/>
          <w:kern w:val="2"/>
          <w:highlight w:val="none"/>
        </w:rPr>
        <w:t>（工程名称）的中标人。我方愿意无条件地、不可撤销地就承包人履行与你方签订的合同，向你方提供连带责任担保。</w:t>
      </w:r>
      <w:r>
        <w:rPr>
          <w:rFonts w:hAnsi="宋体" w:cs="Times New Roman"/>
          <w:color w:val="auto"/>
          <w:kern w:val="2"/>
          <w:highlight w:val="none"/>
        </w:rPr>
        <w:t xml:space="preserve"> </w:t>
      </w:r>
    </w:p>
    <w:p w14:paraId="6C8ACC24">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1. </w:t>
      </w:r>
      <w:r>
        <w:rPr>
          <w:rFonts w:hint="eastAsia" w:hAnsi="宋体"/>
          <w:color w:val="auto"/>
          <w:kern w:val="2"/>
          <w:highlight w:val="none"/>
        </w:rPr>
        <w:t>担保金额人民币（大写）</w:t>
      </w:r>
      <w:r>
        <w:rPr>
          <w:rFonts w:hAnsi="宋体" w:cs="Times New Roman"/>
          <w:color w:val="auto"/>
          <w:kern w:val="2"/>
          <w:highlight w:val="none"/>
          <w:u w:val="single"/>
        </w:rPr>
        <w:t xml:space="preserve">                 </w:t>
      </w:r>
      <w:r>
        <w:rPr>
          <w:rFonts w:hint="eastAsia" w:hAnsi="宋体"/>
          <w:color w:val="auto"/>
          <w:kern w:val="2"/>
          <w:highlight w:val="none"/>
        </w:rPr>
        <w:t>元（</w:t>
      </w:r>
      <w:r>
        <w:rPr>
          <w:rFonts w:hAnsi="宋体" w:cs="Times New Roman"/>
          <w:color w:val="auto"/>
          <w:kern w:val="2"/>
          <w:highlight w:val="none"/>
        </w:rPr>
        <w:t>¥</w:t>
      </w:r>
      <w:r>
        <w:rPr>
          <w:rFonts w:hAnsi="宋体" w:cs="Times New Roman"/>
          <w:color w:val="auto"/>
          <w:kern w:val="2"/>
          <w:highlight w:val="none"/>
          <w:u w:val="single"/>
        </w:rPr>
        <w:t xml:space="preserve">             </w:t>
      </w:r>
      <w:r>
        <w:rPr>
          <w:rFonts w:hint="eastAsia" w:hAnsi="宋体"/>
          <w:color w:val="auto"/>
          <w:kern w:val="2"/>
          <w:highlight w:val="none"/>
        </w:rPr>
        <w:t>）。</w:t>
      </w:r>
    </w:p>
    <w:p w14:paraId="1EC62DF1">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2. </w:t>
      </w:r>
      <w:r>
        <w:rPr>
          <w:rFonts w:hint="eastAsia" w:hAnsi="宋体"/>
          <w:color w:val="auto"/>
          <w:kern w:val="2"/>
          <w:highlight w:val="none"/>
        </w:rPr>
        <w:t>担保有效期自你方与承包人签订的合同生效之日起至你方签发或应签发工程接收证书之日止。</w:t>
      </w:r>
    </w:p>
    <w:p w14:paraId="3187B056">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3. </w:t>
      </w:r>
      <w:r>
        <w:rPr>
          <w:rFonts w:hint="eastAsia" w:hAnsi="宋体"/>
          <w:color w:val="auto"/>
          <w:kern w:val="2"/>
          <w:highlight w:val="none"/>
        </w:rPr>
        <w:t>在本担保有效期内，因承包人违反合同约定的义务给你方造成经济损失时，我方在收到你方以书面形式提出的在担保金额内的赔偿要求后，在</w:t>
      </w:r>
      <w:r>
        <w:rPr>
          <w:rFonts w:hAnsi="宋体" w:cs="Times New Roman"/>
          <w:color w:val="auto"/>
          <w:kern w:val="2"/>
          <w:highlight w:val="none"/>
        </w:rPr>
        <w:t>7</w:t>
      </w:r>
      <w:r>
        <w:rPr>
          <w:rFonts w:hint="eastAsia" w:hAnsi="宋体"/>
          <w:color w:val="auto"/>
          <w:kern w:val="2"/>
          <w:highlight w:val="none"/>
        </w:rPr>
        <w:t>天内无条件支付。</w:t>
      </w:r>
    </w:p>
    <w:p w14:paraId="6CF2D302">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4. </w:t>
      </w:r>
      <w:r>
        <w:rPr>
          <w:rFonts w:hint="eastAsia" w:hAnsi="宋体"/>
          <w:color w:val="auto"/>
          <w:kern w:val="2"/>
          <w:highlight w:val="none"/>
        </w:rPr>
        <w:t>你方和承包人按合同约定变更合同时，我方承担本担保规定的义务不变。</w:t>
      </w:r>
    </w:p>
    <w:p w14:paraId="5F1DF420">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5. </w:t>
      </w:r>
      <w:r>
        <w:rPr>
          <w:rFonts w:hint="eastAsia" w:hAnsi="宋体"/>
          <w:color w:val="auto"/>
          <w:kern w:val="2"/>
          <w:highlight w:val="none"/>
        </w:rPr>
        <w:t>因本保函发生的纠纷，可由双方协商解决，协商不成的，任何一方均可提请</w:t>
      </w:r>
      <w:r>
        <w:rPr>
          <w:rFonts w:hAnsi="宋体" w:cs="Times New Roman"/>
          <w:color w:val="auto"/>
          <w:kern w:val="2"/>
          <w:highlight w:val="none"/>
          <w:u w:val="single"/>
        </w:rPr>
        <w:t xml:space="preserve">      </w:t>
      </w:r>
      <w:r>
        <w:rPr>
          <w:rFonts w:hint="eastAsia" w:hAnsi="宋体"/>
          <w:color w:val="auto"/>
          <w:kern w:val="2"/>
          <w:highlight w:val="none"/>
        </w:rPr>
        <w:t>仲裁委员会仲裁。</w:t>
      </w:r>
    </w:p>
    <w:p w14:paraId="50EB8FB7">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6. </w:t>
      </w:r>
      <w:r>
        <w:rPr>
          <w:rFonts w:hint="eastAsia" w:hAnsi="宋体"/>
          <w:color w:val="auto"/>
          <w:kern w:val="2"/>
          <w:highlight w:val="none"/>
        </w:rPr>
        <w:t>本保函自我方法定代表人（或其授权代理人）签字并加盖公章之日起生效。</w:t>
      </w:r>
    </w:p>
    <w:p w14:paraId="07AFA3A9">
      <w:pPr>
        <w:spacing w:line="360" w:lineRule="auto"/>
        <w:rPr>
          <w:rFonts w:hAnsi="宋体" w:cs="Times New Roman"/>
          <w:color w:val="auto"/>
          <w:kern w:val="2"/>
          <w:highlight w:val="none"/>
        </w:rPr>
      </w:pPr>
    </w:p>
    <w:p w14:paraId="0382608B">
      <w:pPr>
        <w:spacing w:line="360" w:lineRule="auto"/>
        <w:rPr>
          <w:rFonts w:hAnsi="宋体" w:cs="Times New Roman"/>
          <w:color w:val="auto"/>
          <w:kern w:val="2"/>
          <w:highlight w:val="none"/>
        </w:rPr>
      </w:pPr>
      <w:r>
        <w:rPr>
          <w:rFonts w:hint="eastAsia" w:hAnsi="宋体"/>
          <w:color w:val="auto"/>
          <w:kern w:val="2"/>
          <w:highlight w:val="none"/>
        </w:rPr>
        <w:t>担</w:t>
      </w:r>
      <w:r>
        <w:rPr>
          <w:rFonts w:hAnsi="宋体" w:cs="Times New Roman"/>
          <w:color w:val="auto"/>
          <w:kern w:val="2"/>
          <w:highlight w:val="none"/>
        </w:rPr>
        <w:t xml:space="preserve"> </w:t>
      </w:r>
      <w:r>
        <w:rPr>
          <w:rFonts w:hint="eastAsia" w:hAnsi="宋体"/>
          <w:color w:val="auto"/>
          <w:kern w:val="2"/>
          <w:highlight w:val="none"/>
        </w:rPr>
        <w:t>保</w:t>
      </w:r>
      <w:r>
        <w:rPr>
          <w:rFonts w:hAnsi="宋体" w:cs="Times New Roman"/>
          <w:color w:val="auto"/>
          <w:kern w:val="2"/>
          <w:highlight w:val="none"/>
        </w:rPr>
        <w:t xml:space="preserve"> </w:t>
      </w:r>
      <w:r>
        <w:rPr>
          <w:rFonts w:hint="eastAsia" w:hAnsi="宋体"/>
          <w:color w:val="auto"/>
          <w:kern w:val="2"/>
          <w:highlight w:val="none"/>
        </w:rPr>
        <w:t>人：</w:t>
      </w:r>
      <w:r>
        <w:rPr>
          <w:rFonts w:hAnsi="宋体" w:cs="Times New Roman"/>
          <w:color w:val="auto"/>
          <w:kern w:val="2"/>
          <w:highlight w:val="none"/>
          <w:u w:val="single"/>
        </w:rPr>
        <w:t xml:space="preserve">                           </w:t>
      </w:r>
      <w:r>
        <w:rPr>
          <w:rFonts w:hint="eastAsia" w:hAnsi="宋体"/>
          <w:color w:val="auto"/>
          <w:kern w:val="2"/>
          <w:highlight w:val="none"/>
        </w:rPr>
        <w:t>（盖单位章）</w:t>
      </w:r>
    </w:p>
    <w:p w14:paraId="489C6755">
      <w:pPr>
        <w:spacing w:line="360" w:lineRule="auto"/>
        <w:rPr>
          <w:rFonts w:hAnsi="宋体" w:cs="Times New Roman"/>
          <w:color w:val="auto"/>
          <w:kern w:val="2"/>
          <w:highlight w:val="none"/>
        </w:rPr>
      </w:pPr>
      <w:r>
        <w:rPr>
          <w:rFonts w:hint="eastAsia" w:hAnsi="宋体"/>
          <w:color w:val="auto"/>
          <w:kern w:val="2"/>
          <w:highlight w:val="none"/>
        </w:rPr>
        <w:t>法定代表人或其委托代理人：</w:t>
      </w:r>
      <w:r>
        <w:rPr>
          <w:rFonts w:hAnsi="宋体" w:cs="Times New Roman"/>
          <w:color w:val="auto"/>
          <w:kern w:val="2"/>
          <w:highlight w:val="none"/>
          <w:u w:val="single"/>
        </w:rPr>
        <w:t xml:space="preserve">               </w:t>
      </w:r>
      <w:r>
        <w:rPr>
          <w:rFonts w:hint="eastAsia" w:hAnsi="宋体"/>
          <w:color w:val="auto"/>
          <w:kern w:val="2"/>
          <w:highlight w:val="none"/>
        </w:rPr>
        <w:t>（签字）</w:t>
      </w:r>
    </w:p>
    <w:p w14:paraId="27C6F083">
      <w:pPr>
        <w:spacing w:line="360" w:lineRule="auto"/>
        <w:rPr>
          <w:rFonts w:hAnsi="宋体" w:cs="Times New Roman"/>
          <w:color w:val="auto"/>
          <w:kern w:val="2"/>
          <w:highlight w:val="none"/>
        </w:rPr>
      </w:pPr>
      <w:r>
        <w:rPr>
          <w:rFonts w:hint="eastAsia" w:hAnsi="宋体"/>
          <w:color w:val="auto"/>
          <w:kern w:val="2"/>
          <w:highlight w:val="none"/>
        </w:rPr>
        <w:t>地</w:t>
      </w:r>
      <w:r>
        <w:rPr>
          <w:rFonts w:hAnsi="宋体" w:cs="Times New Roman"/>
          <w:color w:val="auto"/>
          <w:kern w:val="2"/>
          <w:highlight w:val="none"/>
        </w:rPr>
        <w:t xml:space="preserve">    </w:t>
      </w:r>
      <w:r>
        <w:rPr>
          <w:rFonts w:hint="eastAsia" w:hAnsi="宋体"/>
          <w:color w:val="auto"/>
          <w:kern w:val="2"/>
          <w:highlight w:val="none"/>
        </w:rPr>
        <w:t>址：</w:t>
      </w:r>
      <w:r>
        <w:rPr>
          <w:rFonts w:hAnsi="宋体" w:cs="Times New Roman"/>
          <w:color w:val="auto"/>
          <w:kern w:val="2"/>
          <w:highlight w:val="none"/>
          <w:u w:val="single"/>
        </w:rPr>
        <w:t xml:space="preserve">                                      </w:t>
      </w:r>
    </w:p>
    <w:p w14:paraId="73DA6266">
      <w:pPr>
        <w:spacing w:line="360" w:lineRule="auto"/>
        <w:rPr>
          <w:rFonts w:hAnsi="宋体" w:cs="Times New Roman"/>
          <w:color w:val="auto"/>
          <w:kern w:val="2"/>
          <w:highlight w:val="none"/>
        </w:rPr>
      </w:pPr>
      <w:r>
        <w:rPr>
          <w:rFonts w:hint="eastAsia" w:hAnsi="宋体"/>
          <w:color w:val="auto"/>
          <w:kern w:val="2"/>
          <w:highlight w:val="none"/>
        </w:rPr>
        <w:t>邮政编码：</w:t>
      </w:r>
      <w:r>
        <w:rPr>
          <w:rFonts w:hAnsi="宋体" w:cs="Times New Roman"/>
          <w:color w:val="auto"/>
          <w:kern w:val="2"/>
          <w:highlight w:val="none"/>
          <w:u w:val="single"/>
        </w:rPr>
        <w:t xml:space="preserve">                                      </w:t>
      </w:r>
    </w:p>
    <w:p w14:paraId="05873AF4">
      <w:pPr>
        <w:spacing w:line="360" w:lineRule="auto"/>
        <w:rPr>
          <w:rFonts w:hAnsi="宋体" w:cs="Times New Roman"/>
          <w:color w:val="auto"/>
          <w:kern w:val="2"/>
          <w:highlight w:val="none"/>
          <w:u w:val="single"/>
        </w:rPr>
      </w:pPr>
      <w:r>
        <w:rPr>
          <w:rFonts w:hint="eastAsia" w:hAnsi="宋体"/>
          <w:color w:val="auto"/>
          <w:kern w:val="2"/>
          <w:highlight w:val="none"/>
        </w:rPr>
        <w:t>电</w:t>
      </w:r>
      <w:r>
        <w:rPr>
          <w:rFonts w:hAnsi="宋体" w:cs="Times New Roman"/>
          <w:color w:val="auto"/>
          <w:kern w:val="2"/>
          <w:highlight w:val="none"/>
        </w:rPr>
        <w:t xml:space="preserve">    </w:t>
      </w:r>
      <w:r>
        <w:rPr>
          <w:rFonts w:hint="eastAsia" w:hAnsi="宋体"/>
          <w:color w:val="auto"/>
          <w:kern w:val="2"/>
          <w:highlight w:val="none"/>
        </w:rPr>
        <w:t>话：</w:t>
      </w:r>
      <w:r>
        <w:rPr>
          <w:rFonts w:hAnsi="宋体" w:cs="Times New Roman"/>
          <w:color w:val="auto"/>
          <w:kern w:val="2"/>
          <w:highlight w:val="none"/>
          <w:u w:val="single"/>
        </w:rPr>
        <w:t xml:space="preserve">                                      </w:t>
      </w:r>
    </w:p>
    <w:p w14:paraId="739784D4">
      <w:pPr>
        <w:spacing w:line="360" w:lineRule="auto"/>
        <w:rPr>
          <w:rFonts w:hAnsi="宋体" w:cs="Times New Roman"/>
          <w:color w:val="auto"/>
          <w:kern w:val="2"/>
          <w:highlight w:val="none"/>
        </w:rPr>
      </w:pPr>
      <w:r>
        <w:rPr>
          <w:rFonts w:hint="eastAsia" w:hAnsi="宋体"/>
          <w:color w:val="auto"/>
          <w:kern w:val="2"/>
          <w:highlight w:val="none"/>
        </w:rPr>
        <w:t>传</w:t>
      </w:r>
      <w:r>
        <w:rPr>
          <w:rFonts w:hAnsi="宋体" w:cs="Times New Roman"/>
          <w:color w:val="auto"/>
          <w:kern w:val="2"/>
          <w:highlight w:val="none"/>
        </w:rPr>
        <w:t xml:space="preserve">    </w:t>
      </w:r>
      <w:r>
        <w:rPr>
          <w:rFonts w:hint="eastAsia" w:hAnsi="宋体"/>
          <w:color w:val="auto"/>
          <w:kern w:val="2"/>
          <w:highlight w:val="none"/>
        </w:rPr>
        <w:t>真：</w:t>
      </w:r>
      <w:r>
        <w:rPr>
          <w:rFonts w:hAnsi="宋体" w:cs="Times New Roman"/>
          <w:color w:val="auto"/>
          <w:kern w:val="2"/>
          <w:highlight w:val="none"/>
          <w:u w:val="single"/>
        </w:rPr>
        <w:t xml:space="preserve">                                      </w:t>
      </w:r>
    </w:p>
    <w:p w14:paraId="39E5B6A2">
      <w:pPr>
        <w:spacing w:line="360" w:lineRule="auto"/>
        <w:jc w:val="left"/>
        <w:rPr>
          <w:rFonts w:hAnsi="宋体" w:cs="Times New Roman"/>
          <w:color w:val="auto"/>
          <w:kern w:val="2"/>
          <w:highlight w:val="none"/>
          <w:u w:val="single"/>
        </w:rPr>
      </w:pPr>
    </w:p>
    <w:p w14:paraId="65A188E3">
      <w:pPr>
        <w:spacing w:line="360" w:lineRule="auto"/>
        <w:ind w:left="1329" w:hanging="1329" w:hangingChars="633"/>
        <w:rPr>
          <w:rFonts w:hAnsi="宋体" w:cs="Times New Roman"/>
          <w:color w:val="auto"/>
          <w:kern w:val="2"/>
          <w:highlight w:val="none"/>
        </w:rPr>
      </w:pPr>
      <w:r>
        <w:rPr>
          <w:rFonts w:hAnsi="宋体" w:cs="Times New Roman"/>
          <w:color w:val="auto"/>
          <w:kern w:val="2"/>
          <w:highlight w:val="none"/>
        </w:rPr>
        <w:t xml:space="preserve">               </w:t>
      </w:r>
      <w:r>
        <w:rPr>
          <w:rFonts w:hAnsi="宋体" w:cs="Times New Roman"/>
          <w:color w:val="auto"/>
          <w:kern w:val="2"/>
          <w:highlight w:val="none"/>
          <w:u w:val="single"/>
        </w:rPr>
        <w:t xml:space="preserve">           </w:t>
      </w:r>
      <w:r>
        <w:rPr>
          <w:rFonts w:hint="eastAsia" w:hAnsi="宋体"/>
          <w:color w:val="auto"/>
          <w:kern w:val="2"/>
          <w:highlight w:val="none"/>
        </w:rPr>
        <w:t>年</w:t>
      </w:r>
      <w:r>
        <w:rPr>
          <w:rFonts w:hAnsi="宋体" w:cs="Times New Roman"/>
          <w:color w:val="auto"/>
          <w:kern w:val="2"/>
          <w:highlight w:val="none"/>
          <w:u w:val="single"/>
        </w:rPr>
        <w:t xml:space="preserve">        </w:t>
      </w:r>
      <w:r>
        <w:rPr>
          <w:rFonts w:hint="eastAsia" w:hAnsi="宋体"/>
          <w:color w:val="auto"/>
          <w:kern w:val="2"/>
          <w:highlight w:val="none"/>
        </w:rPr>
        <w:t>月</w:t>
      </w:r>
      <w:r>
        <w:rPr>
          <w:rFonts w:hAnsi="宋体" w:cs="Times New Roman"/>
          <w:color w:val="auto"/>
          <w:kern w:val="2"/>
          <w:highlight w:val="none"/>
          <w:u w:val="single"/>
        </w:rPr>
        <w:t xml:space="preserve">        </w:t>
      </w:r>
      <w:r>
        <w:rPr>
          <w:rFonts w:hint="eastAsia" w:hAnsi="宋体"/>
          <w:color w:val="auto"/>
          <w:kern w:val="2"/>
          <w:highlight w:val="none"/>
        </w:rPr>
        <w:t>日</w:t>
      </w:r>
    </w:p>
    <w:p w14:paraId="5B197AF2">
      <w:pPr>
        <w:spacing w:line="360" w:lineRule="auto"/>
        <w:ind w:left="1329" w:hanging="1329" w:hangingChars="633"/>
        <w:rPr>
          <w:rFonts w:hAnsi="宋体" w:cs="Times New Roman"/>
          <w:color w:val="auto"/>
          <w:kern w:val="2"/>
          <w:highlight w:val="none"/>
        </w:rPr>
      </w:pPr>
    </w:p>
    <w:p w14:paraId="386E3929">
      <w:pPr>
        <w:spacing w:line="440" w:lineRule="exact"/>
        <w:rPr>
          <w:rFonts w:hAnsi="宋体" w:cs="Times New Roman"/>
          <w:color w:val="auto"/>
          <w:kern w:val="2"/>
          <w:sz w:val="30"/>
          <w:szCs w:val="30"/>
          <w:highlight w:val="none"/>
        </w:rPr>
      </w:pPr>
      <w:r>
        <w:rPr>
          <w:rFonts w:hAnsi="宋体" w:cs="仿宋_GB2312"/>
          <w:color w:val="auto"/>
          <w:kern w:val="2"/>
          <w:sz w:val="30"/>
          <w:szCs w:val="30"/>
          <w:highlight w:val="none"/>
        </w:rPr>
        <w:br w:type="page"/>
      </w:r>
      <w:r>
        <w:rPr>
          <w:rFonts w:hint="eastAsia" w:hAnsi="宋体" w:cs="仿宋_GB2312"/>
          <w:color w:val="auto"/>
          <w:kern w:val="2"/>
          <w:sz w:val="30"/>
          <w:szCs w:val="30"/>
          <w:highlight w:val="none"/>
        </w:rPr>
        <w:t>附</w:t>
      </w:r>
      <w:bookmarkStart w:id="2205" w:name="_Toc296347224"/>
      <w:bookmarkStart w:id="2206" w:name="_Toc296944564"/>
      <w:bookmarkStart w:id="2207" w:name="_Toc296503225"/>
      <w:bookmarkStart w:id="2208" w:name="_Toc267261692"/>
      <w:bookmarkStart w:id="2209" w:name="_Toc296891053"/>
      <w:bookmarkStart w:id="2210" w:name="_Toc296346726"/>
      <w:bookmarkStart w:id="2211" w:name="_Toc296891265"/>
      <w:r>
        <w:rPr>
          <w:rFonts w:hint="eastAsia" w:hAnsi="宋体" w:cs="仿宋_GB2312"/>
          <w:color w:val="auto"/>
          <w:kern w:val="2"/>
          <w:sz w:val="30"/>
          <w:szCs w:val="30"/>
          <w:highlight w:val="none"/>
        </w:rPr>
        <w:t>件</w:t>
      </w:r>
      <w:r>
        <w:rPr>
          <w:rFonts w:hAnsi="宋体" w:cs="Times New Roman"/>
          <w:color w:val="auto"/>
          <w:kern w:val="2"/>
          <w:sz w:val="30"/>
          <w:szCs w:val="30"/>
          <w:highlight w:val="none"/>
        </w:rPr>
        <w:t>6</w:t>
      </w:r>
      <w:r>
        <w:rPr>
          <w:rFonts w:hint="eastAsia" w:hAnsi="宋体" w:cs="仿宋_GB2312"/>
          <w:color w:val="auto"/>
          <w:kern w:val="2"/>
          <w:sz w:val="30"/>
          <w:szCs w:val="30"/>
          <w:highlight w:val="none"/>
        </w:rPr>
        <w:t>：</w:t>
      </w:r>
    </w:p>
    <w:bookmarkEnd w:id="2205"/>
    <w:bookmarkEnd w:id="2206"/>
    <w:bookmarkEnd w:id="2207"/>
    <w:bookmarkEnd w:id="2208"/>
    <w:bookmarkEnd w:id="2209"/>
    <w:bookmarkEnd w:id="2210"/>
    <w:bookmarkEnd w:id="2211"/>
    <w:p w14:paraId="75F154A5">
      <w:pPr>
        <w:spacing w:before="120" w:beforeLines="50" w:after="120" w:afterLines="50" w:line="440" w:lineRule="exact"/>
        <w:jc w:val="center"/>
        <w:rPr>
          <w:rFonts w:hAnsi="宋体" w:cs="Times New Roman"/>
          <w:color w:val="auto"/>
          <w:kern w:val="2"/>
          <w:sz w:val="30"/>
          <w:szCs w:val="30"/>
          <w:highlight w:val="none"/>
        </w:rPr>
      </w:pPr>
      <w:r>
        <w:rPr>
          <w:rFonts w:hint="eastAsia" w:hAnsi="宋体" w:cs="黑体"/>
          <w:color w:val="auto"/>
          <w:kern w:val="2"/>
          <w:sz w:val="30"/>
          <w:szCs w:val="30"/>
          <w:highlight w:val="none"/>
        </w:rPr>
        <w:t>承包人用于本工程施工的机械设备表</w:t>
      </w:r>
    </w:p>
    <w:tbl>
      <w:tblPr>
        <w:tblStyle w:val="47"/>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5E12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0AE07EA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序号</w:t>
            </w:r>
          </w:p>
        </w:tc>
        <w:tc>
          <w:tcPr>
            <w:tcW w:w="1418" w:type="dxa"/>
            <w:vAlign w:val="center"/>
          </w:tcPr>
          <w:p w14:paraId="2E3D165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机械或设备名称</w:t>
            </w:r>
          </w:p>
        </w:tc>
        <w:tc>
          <w:tcPr>
            <w:tcW w:w="850" w:type="dxa"/>
            <w:vAlign w:val="center"/>
          </w:tcPr>
          <w:p w14:paraId="3B2332C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规格型号</w:t>
            </w:r>
          </w:p>
        </w:tc>
        <w:tc>
          <w:tcPr>
            <w:tcW w:w="1058" w:type="dxa"/>
            <w:vAlign w:val="center"/>
          </w:tcPr>
          <w:p w14:paraId="65CD116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数量</w:t>
            </w:r>
          </w:p>
        </w:tc>
        <w:tc>
          <w:tcPr>
            <w:tcW w:w="880" w:type="dxa"/>
            <w:vAlign w:val="center"/>
          </w:tcPr>
          <w:p w14:paraId="66901B0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产地</w:t>
            </w:r>
          </w:p>
        </w:tc>
        <w:tc>
          <w:tcPr>
            <w:tcW w:w="1020" w:type="dxa"/>
            <w:vAlign w:val="center"/>
          </w:tcPr>
          <w:p w14:paraId="45E5BAC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制造年份</w:t>
            </w:r>
          </w:p>
        </w:tc>
        <w:tc>
          <w:tcPr>
            <w:tcW w:w="1480" w:type="dxa"/>
            <w:vAlign w:val="center"/>
          </w:tcPr>
          <w:p w14:paraId="4B54286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额定功率（</w:t>
            </w:r>
            <w:r>
              <w:rPr>
                <w:rFonts w:hint="default" w:hAnsi="宋体" w:cs="Times New Roman"/>
                <w:color w:val="auto"/>
                <w:kern w:val="2"/>
                <w:sz w:val="28"/>
                <w:szCs w:val="28"/>
                <w:highlight w:val="none"/>
              </w:rPr>
              <w:t>kW</w:t>
            </w:r>
            <w:r>
              <w:rPr>
                <w:rFonts w:hint="eastAsia" w:hAnsi="宋体" w:cs="仿宋_GB2312"/>
                <w:color w:val="auto"/>
                <w:kern w:val="2"/>
                <w:sz w:val="28"/>
                <w:szCs w:val="28"/>
                <w:highlight w:val="none"/>
              </w:rPr>
              <w:t>）</w:t>
            </w:r>
          </w:p>
        </w:tc>
        <w:tc>
          <w:tcPr>
            <w:tcW w:w="1020" w:type="dxa"/>
            <w:vAlign w:val="center"/>
          </w:tcPr>
          <w:p w14:paraId="08D8AAC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生产能力</w:t>
            </w:r>
          </w:p>
        </w:tc>
        <w:tc>
          <w:tcPr>
            <w:tcW w:w="921" w:type="dxa"/>
            <w:vAlign w:val="center"/>
          </w:tcPr>
          <w:p w14:paraId="56AE911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备注</w:t>
            </w:r>
          </w:p>
        </w:tc>
      </w:tr>
      <w:tr w14:paraId="63E2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606DE5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18" w:type="dxa"/>
            <w:vAlign w:val="center"/>
          </w:tcPr>
          <w:p w14:paraId="6F2E990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50" w:type="dxa"/>
            <w:vAlign w:val="center"/>
          </w:tcPr>
          <w:p w14:paraId="00F4C78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58" w:type="dxa"/>
            <w:vAlign w:val="center"/>
          </w:tcPr>
          <w:p w14:paraId="5EE9C9B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80" w:type="dxa"/>
            <w:vAlign w:val="center"/>
          </w:tcPr>
          <w:p w14:paraId="40B7434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69009BA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80" w:type="dxa"/>
            <w:vAlign w:val="center"/>
          </w:tcPr>
          <w:p w14:paraId="003CF3C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6C0FB1F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21" w:type="dxa"/>
            <w:vAlign w:val="center"/>
          </w:tcPr>
          <w:p w14:paraId="4FD0D00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1C6E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06ACCC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18" w:type="dxa"/>
            <w:vAlign w:val="center"/>
          </w:tcPr>
          <w:p w14:paraId="223BE8F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50" w:type="dxa"/>
            <w:vAlign w:val="center"/>
          </w:tcPr>
          <w:p w14:paraId="6CBB506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58" w:type="dxa"/>
            <w:vAlign w:val="center"/>
          </w:tcPr>
          <w:p w14:paraId="26A9D65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80" w:type="dxa"/>
            <w:vAlign w:val="center"/>
          </w:tcPr>
          <w:p w14:paraId="5B31501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3E61954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80" w:type="dxa"/>
            <w:vAlign w:val="center"/>
          </w:tcPr>
          <w:p w14:paraId="1487388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6C77F88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21" w:type="dxa"/>
            <w:vAlign w:val="center"/>
          </w:tcPr>
          <w:p w14:paraId="43E976A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6ACB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5E89C9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18" w:type="dxa"/>
            <w:vAlign w:val="center"/>
          </w:tcPr>
          <w:p w14:paraId="5E5AF17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50" w:type="dxa"/>
            <w:vAlign w:val="center"/>
          </w:tcPr>
          <w:p w14:paraId="0535883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58" w:type="dxa"/>
            <w:vAlign w:val="center"/>
          </w:tcPr>
          <w:p w14:paraId="0AB240A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80" w:type="dxa"/>
            <w:vAlign w:val="center"/>
          </w:tcPr>
          <w:p w14:paraId="2C72A76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338F7AF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80" w:type="dxa"/>
            <w:vAlign w:val="center"/>
          </w:tcPr>
          <w:p w14:paraId="2B24EA2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2AC7179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21" w:type="dxa"/>
            <w:vAlign w:val="center"/>
          </w:tcPr>
          <w:p w14:paraId="7C858B8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723E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07092A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18" w:type="dxa"/>
            <w:vAlign w:val="center"/>
          </w:tcPr>
          <w:p w14:paraId="6A128D4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50" w:type="dxa"/>
            <w:vAlign w:val="center"/>
          </w:tcPr>
          <w:p w14:paraId="660E0F5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58" w:type="dxa"/>
            <w:vAlign w:val="center"/>
          </w:tcPr>
          <w:p w14:paraId="2C3BF9E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80" w:type="dxa"/>
            <w:vAlign w:val="center"/>
          </w:tcPr>
          <w:p w14:paraId="4809CAF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01BF1AE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80" w:type="dxa"/>
            <w:vAlign w:val="center"/>
          </w:tcPr>
          <w:p w14:paraId="223A240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53BCC11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21" w:type="dxa"/>
            <w:vAlign w:val="center"/>
          </w:tcPr>
          <w:p w14:paraId="573CECE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505E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911EB9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18" w:type="dxa"/>
            <w:vAlign w:val="center"/>
          </w:tcPr>
          <w:p w14:paraId="38682FB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50" w:type="dxa"/>
            <w:vAlign w:val="center"/>
          </w:tcPr>
          <w:p w14:paraId="189CA7A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58" w:type="dxa"/>
            <w:vAlign w:val="center"/>
          </w:tcPr>
          <w:p w14:paraId="0D918B0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80" w:type="dxa"/>
            <w:vAlign w:val="center"/>
          </w:tcPr>
          <w:p w14:paraId="32F948B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0458A4D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80" w:type="dxa"/>
            <w:vAlign w:val="center"/>
          </w:tcPr>
          <w:p w14:paraId="588AC5D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7F2B23E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21" w:type="dxa"/>
            <w:vAlign w:val="center"/>
          </w:tcPr>
          <w:p w14:paraId="79BBCE6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7243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A76E09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18" w:type="dxa"/>
            <w:vAlign w:val="center"/>
          </w:tcPr>
          <w:p w14:paraId="25439AA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50" w:type="dxa"/>
            <w:vAlign w:val="center"/>
          </w:tcPr>
          <w:p w14:paraId="3A832D0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58" w:type="dxa"/>
            <w:vAlign w:val="center"/>
          </w:tcPr>
          <w:p w14:paraId="14EBD47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80" w:type="dxa"/>
            <w:vAlign w:val="center"/>
          </w:tcPr>
          <w:p w14:paraId="47F19D0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231258F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80" w:type="dxa"/>
            <w:vAlign w:val="center"/>
          </w:tcPr>
          <w:p w14:paraId="0471C94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5065618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21" w:type="dxa"/>
            <w:vAlign w:val="center"/>
          </w:tcPr>
          <w:p w14:paraId="4D10C95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4A7C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B66E8D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18" w:type="dxa"/>
            <w:vAlign w:val="center"/>
          </w:tcPr>
          <w:p w14:paraId="2577CCB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50" w:type="dxa"/>
            <w:vAlign w:val="center"/>
          </w:tcPr>
          <w:p w14:paraId="364D33A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58" w:type="dxa"/>
            <w:vAlign w:val="center"/>
          </w:tcPr>
          <w:p w14:paraId="1F1243C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80" w:type="dxa"/>
            <w:vAlign w:val="center"/>
          </w:tcPr>
          <w:p w14:paraId="2880328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76F1CE1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80" w:type="dxa"/>
            <w:vAlign w:val="center"/>
          </w:tcPr>
          <w:p w14:paraId="687B324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4B1E318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21" w:type="dxa"/>
            <w:vAlign w:val="center"/>
          </w:tcPr>
          <w:p w14:paraId="3272251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4CF1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7B9180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18" w:type="dxa"/>
            <w:vAlign w:val="center"/>
          </w:tcPr>
          <w:p w14:paraId="74588C1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50" w:type="dxa"/>
            <w:vAlign w:val="center"/>
          </w:tcPr>
          <w:p w14:paraId="1EB2FFB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58" w:type="dxa"/>
            <w:vAlign w:val="center"/>
          </w:tcPr>
          <w:p w14:paraId="51ACB4F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80" w:type="dxa"/>
            <w:vAlign w:val="center"/>
          </w:tcPr>
          <w:p w14:paraId="5CD7D6B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57DECB7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80" w:type="dxa"/>
            <w:vAlign w:val="center"/>
          </w:tcPr>
          <w:p w14:paraId="5324A6E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5513D7D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21" w:type="dxa"/>
            <w:vAlign w:val="center"/>
          </w:tcPr>
          <w:p w14:paraId="3B30B7A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1E14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077C7FB">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418" w:type="dxa"/>
          </w:tcPr>
          <w:p w14:paraId="7E9A82C9">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850" w:type="dxa"/>
          </w:tcPr>
          <w:p w14:paraId="5D10BA08">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58" w:type="dxa"/>
          </w:tcPr>
          <w:p w14:paraId="1B882405">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880" w:type="dxa"/>
          </w:tcPr>
          <w:p w14:paraId="3F2C0EF5">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20" w:type="dxa"/>
          </w:tcPr>
          <w:p w14:paraId="006049C2">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480" w:type="dxa"/>
          </w:tcPr>
          <w:p w14:paraId="14F65468">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20" w:type="dxa"/>
          </w:tcPr>
          <w:p w14:paraId="751FCC9A">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921" w:type="dxa"/>
          </w:tcPr>
          <w:p w14:paraId="63D73217">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r>
      <w:tr w14:paraId="6348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0D6D433">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418" w:type="dxa"/>
          </w:tcPr>
          <w:p w14:paraId="425654B9">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850" w:type="dxa"/>
          </w:tcPr>
          <w:p w14:paraId="24880859">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58" w:type="dxa"/>
          </w:tcPr>
          <w:p w14:paraId="5CE1EDF2">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880" w:type="dxa"/>
          </w:tcPr>
          <w:p w14:paraId="14CCD24C">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20" w:type="dxa"/>
          </w:tcPr>
          <w:p w14:paraId="2A9866DB">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480" w:type="dxa"/>
          </w:tcPr>
          <w:p w14:paraId="6558FD90">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20" w:type="dxa"/>
          </w:tcPr>
          <w:p w14:paraId="487AD920">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921" w:type="dxa"/>
          </w:tcPr>
          <w:p w14:paraId="15D18FD0">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r>
      <w:tr w14:paraId="55F1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0AB677B">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418" w:type="dxa"/>
          </w:tcPr>
          <w:p w14:paraId="15DA30FD">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850" w:type="dxa"/>
          </w:tcPr>
          <w:p w14:paraId="4124319F">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58" w:type="dxa"/>
          </w:tcPr>
          <w:p w14:paraId="6182F805">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880" w:type="dxa"/>
          </w:tcPr>
          <w:p w14:paraId="015A4444">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20" w:type="dxa"/>
          </w:tcPr>
          <w:p w14:paraId="7C6BC029">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480" w:type="dxa"/>
          </w:tcPr>
          <w:p w14:paraId="15278070">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20" w:type="dxa"/>
          </w:tcPr>
          <w:p w14:paraId="0605315D">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921" w:type="dxa"/>
          </w:tcPr>
          <w:p w14:paraId="13D4660B">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r>
      <w:tr w14:paraId="43DE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10B208C">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418" w:type="dxa"/>
          </w:tcPr>
          <w:p w14:paraId="2FE8D248">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850" w:type="dxa"/>
          </w:tcPr>
          <w:p w14:paraId="0AC58A9E">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58" w:type="dxa"/>
          </w:tcPr>
          <w:p w14:paraId="12186449">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880" w:type="dxa"/>
          </w:tcPr>
          <w:p w14:paraId="48081AFA">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20" w:type="dxa"/>
          </w:tcPr>
          <w:p w14:paraId="224E2FDA">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480" w:type="dxa"/>
          </w:tcPr>
          <w:p w14:paraId="6B27A374">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20" w:type="dxa"/>
          </w:tcPr>
          <w:p w14:paraId="1073B07F">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921" w:type="dxa"/>
          </w:tcPr>
          <w:p w14:paraId="0A85F130">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r>
      <w:tr w14:paraId="452B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550994C">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418" w:type="dxa"/>
          </w:tcPr>
          <w:p w14:paraId="08BF4925">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850" w:type="dxa"/>
          </w:tcPr>
          <w:p w14:paraId="3948F806">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58" w:type="dxa"/>
          </w:tcPr>
          <w:p w14:paraId="2436791A">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880" w:type="dxa"/>
          </w:tcPr>
          <w:p w14:paraId="7BF829C2">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20" w:type="dxa"/>
          </w:tcPr>
          <w:p w14:paraId="27A97660">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480" w:type="dxa"/>
          </w:tcPr>
          <w:p w14:paraId="12E243B4">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20" w:type="dxa"/>
          </w:tcPr>
          <w:p w14:paraId="1AFD7E18">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921" w:type="dxa"/>
          </w:tcPr>
          <w:p w14:paraId="5FA88E54">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r>
      <w:tr w14:paraId="1C95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043CEF5">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418" w:type="dxa"/>
          </w:tcPr>
          <w:p w14:paraId="1F66C5BE">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850" w:type="dxa"/>
          </w:tcPr>
          <w:p w14:paraId="2C4B5855">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58" w:type="dxa"/>
          </w:tcPr>
          <w:p w14:paraId="7A8382E7">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880" w:type="dxa"/>
          </w:tcPr>
          <w:p w14:paraId="7B159CD6">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20" w:type="dxa"/>
          </w:tcPr>
          <w:p w14:paraId="4A22507C">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480" w:type="dxa"/>
          </w:tcPr>
          <w:p w14:paraId="1780507A">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20" w:type="dxa"/>
          </w:tcPr>
          <w:p w14:paraId="23BD8083">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921" w:type="dxa"/>
          </w:tcPr>
          <w:p w14:paraId="01F7214D">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r>
    </w:tbl>
    <w:p w14:paraId="122CAE61">
      <w:pPr>
        <w:spacing w:line="360" w:lineRule="auto"/>
        <w:rPr>
          <w:rFonts w:hAnsi="宋体" w:cs="仿宋_GB2312"/>
          <w:color w:val="auto"/>
          <w:kern w:val="2"/>
          <w:sz w:val="30"/>
          <w:szCs w:val="30"/>
          <w:highlight w:val="none"/>
        </w:rPr>
      </w:pPr>
    </w:p>
    <w:p w14:paraId="0BA4C807">
      <w:pPr>
        <w:spacing w:line="360" w:lineRule="auto"/>
        <w:rPr>
          <w:rFonts w:hAnsi="宋体" w:cs="Times New Roman"/>
          <w:color w:val="auto"/>
          <w:kern w:val="2"/>
          <w:sz w:val="30"/>
          <w:szCs w:val="30"/>
          <w:highlight w:val="none"/>
        </w:rPr>
      </w:pPr>
      <w:r>
        <w:rPr>
          <w:rFonts w:hAnsi="宋体" w:cs="仿宋_GB2312"/>
          <w:color w:val="auto"/>
          <w:kern w:val="2"/>
          <w:sz w:val="30"/>
          <w:szCs w:val="30"/>
          <w:highlight w:val="none"/>
        </w:rPr>
        <w:br w:type="page"/>
      </w:r>
      <w:r>
        <w:rPr>
          <w:rFonts w:hint="eastAsia" w:hAnsi="宋体" w:cs="仿宋_GB2312"/>
          <w:color w:val="auto"/>
          <w:kern w:val="2"/>
          <w:sz w:val="30"/>
          <w:szCs w:val="30"/>
          <w:highlight w:val="none"/>
        </w:rPr>
        <w:t>附件</w:t>
      </w:r>
      <w:r>
        <w:rPr>
          <w:rFonts w:hAnsi="宋体" w:cs="Times New Roman"/>
          <w:color w:val="auto"/>
          <w:kern w:val="2"/>
          <w:sz w:val="30"/>
          <w:szCs w:val="30"/>
          <w:highlight w:val="none"/>
        </w:rPr>
        <w:t>7</w:t>
      </w:r>
      <w:r>
        <w:rPr>
          <w:rFonts w:hint="eastAsia" w:hAnsi="宋体" w:cs="仿宋_GB2312"/>
          <w:color w:val="auto"/>
          <w:kern w:val="2"/>
          <w:sz w:val="30"/>
          <w:szCs w:val="30"/>
          <w:highlight w:val="none"/>
        </w:rPr>
        <w:t>：</w:t>
      </w:r>
    </w:p>
    <w:p w14:paraId="39097AB0">
      <w:pPr>
        <w:spacing w:before="120" w:beforeLines="50" w:after="120" w:afterLines="50" w:line="440" w:lineRule="exact"/>
        <w:jc w:val="center"/>
        <w:rPr>
          <w:rFonts w:hAnsi="宋体" w:cs="Times New Roman"/>
          <w:color w:val="auto"/>
          <w:kern w:val="2"/>
          <w:sz w:val="30"/>
          <w:szCs w:val="30"/>
          <w:highlight w:val="none"/>
        </w:rPr>
      </w:pPr>
      <w:r>
        <w:rPr>
          <w:rFonts w:hint="eastAsia" w:hAnsi="宋体" w:cs="黑体"/>
          <w:color w:val="auto"/>
          <w:kern w:val="2"/>
          <w:sz w:val="30"/>
          <w:szCs w:val="30"/>
          <w:highlight w:val="none"/>
        </w:rPr>
        <w:t>预付款担保</w:t>
      </w:r>
    </w:p>
    <w:p w14:paraId="74DFDCF1">
      <w:pPr>
        <w:spacing w:line="360" w:lineRule="auto"/>
        <w:rPr>
          <w:rFonts w:hAnsi="宋体" w:cs="Times New Roman"/>
          <w:color w:val="auto"/>
          <w:kern w:val="2"/>
          <w:highlight w:val="none"/>
        </w:rPr>
      </w:pP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olor w:val="auto"/>
          <w:kern w:val="2"/>
          <w:highlight w:val="none"/>
        </w:rPr>
        <w:t>（发包人名称）：</w:t>
      </w:r>
    </w:p>
    <w:p w14:paraId="49EC5D02">
      <w:pPr>
        <w:spacing w:line="360" w:lineRule="auto"/>
        <w:ind w:firstLine="420" w:firstLineChars="200"/>
        <w:rPr>
          <w:rFonts w:hAnsi="宋体" w:cs="Times New Roman"/>
          <w:color w:val="auto"/>
          <w:kern w:val="2"/>
          <w:highlight w:val="none"/>
        </w:rPr>
      </w:pPr>
      <w:r>
        <w:rPr>
          <w:rFonts w:hint="eastAsia" w:hAnsi="宋体"/>
          <w:color w:val="auto"/>
          <w:kern w:val="2"/>
          <w:highlight w:val="none"/>
        </w:rPr>
        <w:t>根据</w:t>
      </w:r>
      <w:r>
        <w:rPr>
          <w:rFonts w:hAnsi="宋体" w:cs="Times New Roman"/>
          <w:color w:val="auto"/>
          <w:kern w:val="2"/>
          <w:highlight w:val="none"/>
          <w:u w:val="single"/>
        </w:rPr>
        <w:t xml:space="preserve">                 </w:t>
      </w:r>
      <w:r>
        <w:rPr>
          <w:rFonts w:hint="eastAsia" w:hAnsi="宋体"/>
          <w:color w:val="auto"/>
          <w:kern w:val="2"/>
          <w:highlight w:val="none"/>
        </w:rPr>
        <w:t>（承包人名称）（以下称</w:t>
      </w:r>
      <w:r>
        <w:rPr>
          <w:rFonts w:hint="eastAsia" w:hAnsi="宋体" w:cs="Times New Roman"/>
          <w:color w:val="auto"/>
          <w:kern w:val="2"/>
          <w:highlight w:val="none"/>
        </w:rPr>
        <w:t>“</w:t>
      </w:r>
      <w:r>
        <w:rPr>
          <w:rFonts w:hint="eastAsia" w:hAnsi="宋体"/>
          <w:color w:val="auto"/>
          <w:kern w:val="2"/>
          <w:highlight w:val="none"/>
        </w:rPr>
        <w:t>承包人</w:t>
      </w:r>
      <w:r>
        <w:rPr>
          <w:rFonts w:hint="eastAsia" w:hAnsi="宋体" w:cs="Times New Roman"/>
          <w:color w:val="auto"/>
          <w:kern w:val="2"/>
          <w:highlight w:val="none"/>
        </w:rPr>
        <w:t>”</w:t>
      </w:r>
      <w:r>
        <w:rPr>
          <w:rFonts w:hint="eastAsia" w:hAnsi="宋体"/>
          <w:color w:val="auto"/>
          <w:kern w:val="2"/>
          <w:highlight w:val="none"/>
        </w:rPr>
        <w:t>）与</w:t>
      </w:r>
      <w:r>
        <w:rPr>
          <w:rFonts w:hAnsi="宋体" w:cs="Times New Roman"/>
          <w:color w:val="auto"/>
          <w:kern w:val="2"/>
          <w:highlight w:val="none"/>
          <w:u w:val="single"/>
        </w:rPr>
        <w:t xml:space="preserve">                        </w:t>
      </w:r>
      <w:r>
        <w:rPr>
          <w:rFonts w:hint="eastAsia" w:hAnsi="宋体"/>
          <w:color w:val="auto"/>
          <w:kern w:val="2"/>
          <w:highlight w:val="none"/>
        </w:rPr>
        <w:t>（发包人名称）（以下简称</w:t>
      </w:r>
      <w:r>
        <w:rPr>
          <w:rFonts w:hint="eastAsia" w:hAnsi="宋体" w:cs="Times New Roman"/>
          <w:color w:val="auto"/>
          <w:kern w:val="2"/>
          <w:highlight w:val="none"/>
        </w:rPr>
        <w:t>“</w:t>
      </w:r>
      <w:r>
        <w:rPr>
          <w:rFonts w:hint="eastAsia" w:hAnsi="宋体"/>
          <w:color w:val="auto"/>
          <w:kern w:val="2"/>
          <w:highlight w:val="none"/>
        </w:rPr>
        <w:t>发包人</w:t>
      </w:r>
      <w:r>
        <w:rPr>
          <w:rFonts w:hint="eastAsia" w:hAnsi="宋体" w:cs="Times New Roman"/>
          <w:color w:val="auto"/>
          <w:kern w:val="2"/>
          <w:highlight w:val="none"/>
        </w:rPr>
        <w:t>”</w:t>
      </w:r>
      <w:r>
        <w:rPr>
          <w:rFonts w:hint="eastAsia" w:hAnsi="宋体"/>
          <w:color w:val="auto"/>
          <w:kern w:val="2"/>
          <w:highlight w:val="none"/>
        </w:rPr>
        <w:t>）于</w:t>
      </w:r>
      <w:r>
        <w:rPr>
          <w:rFonts w:hAnsi="宋体" w:cs="Times New Roman"/>
          <w:color w:val="auto"/>
          <w:kern w:val="2"/>
          <w:highlight w:val="none"/>
          <w:u w:val="single"/>
        </w:rPr>
        <w:t xml:space="preserve">           </w:t>
      </w:r>
      <w:r>
        <w:rPr>
          <w:rFonts w:hint="eastAsia" w:hAnsi="宋体"/>
          <w:color w:val="auto"/>
          <w:kern w:val="2"/>
          <w:highlight w:val="none"/>
        </w:rPr>
        <w:t>年</w:t>
      </w:r>
      <w:r>
        <w:rPr>
          <w:rFonts w:hAnsi="宋体" w:cs="Times New Roman"/>
          <w:color w:val="auto"/>
          <w:kern w:val="2"/>
          <w:highlight w:val="none"/>
          <w:u w:val="single"/>
        </w:rPr>
        <w:t xml:space="preserve">    </w:t>
      </w:r>
      <w:r>
        <w:rPr>
          <w:rFonts w:hint="eastAsia" w:hAnsi="宋体"/>
          <w:color w:val="auto"/>
          <w:kern w:val="2"/>
          <w:highlight w:val="none"/>
        </w:rPr>
        <w:t>月</w:t>
      </w:r>
      <w:r>
        <w:rPr>
          <w:rFonts w:hAnsi="宋体" w:cs="Times New Roman"/>
          <w:color w:val="auto"/>
          <w:kern w:val="2"/>
          <w:highlight w:val="none"/>
          <w:u w:val="single"/>
        </w:rPr>
        <w:t xml:space="preserve">    </w:t>
      </w:r>
      <w:r>
        <w:rPr>
          <w:rFonts w:hint="eastAsia" w:hAnsi="宋体"/>
          <w:color w:val="auto"/>
          <w:kern w:val="2"/>
          <w:highlight w:val="none"/>
        </w:rPr>
        <w:t>日签订的</w:t>
      </w:r>
      <w:r>
        <w:rPr>
          <w:rFonts w:hAnsi="宋体" w:cs="Times New Roman"/>
          <w:color w:val="auto"/>
          <w:kern w:val="2"/>
          <w:highlight w:val="none"/>
          <w:u w:val="single"/>
        </w:rPr>
        <w:t xml:space="preserve">                   </w:t>
      </w:r>
      <w:r>
        <w:rPr>
          <w:rFonts w:hint="eastAsia" w:hAnsi="宋体"/>
          <w:color w:val="auto"/>
          <w:kern w:val="2"/>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0ADF1ACB">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1. </w:t>
      </w:r>
      <w:r>
        <w:rPr>
          <w:rFonts w:hint="eastAsia" w:hAnsi="宋体"/>
          <w:color w:val="auto"/>
          <w:kern w:val="2"/>
          <w:highlight w:val="none"/>
        </w:rPr>
        <w:t>担保金额人民币（大写）</w:t>
      </w:r>
      <w:r>
        <w:rPr>
          <w:rFonts w:hAnsi="宋体" w:cs="Times New Roman"/>
          <w:color w:val="auto"/>
          <w:kern w:val="2"/>
          <w:highlight w:val="none"/>
          <w:u w:val="single"/>
        </w:rPr>
        <w:t xml:space="preserve">                </w:t>
      </w:r>
      <w:r>
        <w:rPr>
          <w:rFonts w:hint="eastAsia" w:hAnsi="宋体"/>
          <w:color w:val="auto"/>
          <w:kern w:val="2"/>
          <w:highlight w:val="none"/>
        </w:rPr>
        <w:t>元（</w:t>
      </w:r>
      <w:r>
        <w:rPr>
          <w:rFonts w:hAnsi="宋体" w:cs="Times New Roman"/>
          <w:color w:val="auto"/>
          <w:kern w:val="2"/>
          <w:highlight w:val="none"/>
        </w:rPr>
        <w:t>¥</w:t>
      </w:r>
      <w:r>
        <w:rPr>
          <w:rFonts w:hAnsi="宋体" w:cs="Times New Roman"/>
          <w:color w:val="auto"/>
          <w:kern w:val="2"/>
          <w:highlight w:val="none"/>
          <w:u w:val="single"/>
        </w:rPr>
        <w:t xml:space="preserve">             </w:t>
      </w:r>
      <w:r>
        <w:rPr>
          <w:rFonts w:hint="eastAsia" w:hAnsi="宋体"/>
          <w:color w:val="auto"/>
          <w:kern w:val="2"/>
          <w:highlight w:val="none"/>
        </w:rPr>
        <w:t>）。</w:t>
      </w:r>
    </w:p>
    <w:p w14:paraId="18363387">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2. </w:t>
      </w:r>
      <w:r>
        <w:rPr>
          <w:rFonts w:hint="eastAsia" w:hAnsi="宋体"/>
          <w:color w:val="auto"/>
          <w:kern w:val="2"/>
          <w:highlight w:val="none"/>
        </w:rPr>
        <w:t>担保有效期自预付款支付给承包人起生效，至你方签发的进度款支付证书说明已完全扣清止。</w:t>
      </w:r>
    </w:p>
    <w:p w14:paraId="4B02CD95">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3. </w:t>
      </w:r>
      <w:r>
        <w:rPr>
          <w:rFonts w:hint="eastAsia" w:hAnsi="宋体"/>
          <w:color w:val="auto"/>
          <w:kern w:val="2"/>
          <w:highlight w:val="none"/>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8343161">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4. </w:t>
      </w:r>
      <w:r>
        <w:rPr>
          <w:rFonts w:hint="eastAsia" w:hAnsi="宋体"/>
          <w:color w:val="auto"/>
          <w:kern w:val="2"/>
          <w:highlight w:val="none"/>
        </w:rPr>
        <w:t>你方和承包人按合同约定变更合同时，我方承担本保函规定的义务不变。</w:t>
      </w:r>
    </w:p>
    <w:p w14:paraId="4A5CEBCE">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5. </w:t>
      </w:r>
      <w:r>
        <w:rPr>
          <w:rFonts w:hint="eastAsia" w:hAnsi="宋体"/>
          <w:color w:val="auto"/>
          <w:kern w:val="2"/>
          <w:highlight w:val="none"/>
        </w:rPr>
        <w:t>因本保函发生的纠纷，可由双方协商解决，协商不成的，任何一方均可提请</w:t>
      </w:r>
      <w:r>
        <w:rPr>
          <w:rFonts w:hAnsi="宋体" w:cs="Times New Roman"/>
          <w:color w:val="auto"/>
          <w:kern w:val="2"/>
          <w:highlight w:val="none"/>
          <w:u w:val="single"/>
        </w:rPr>
        <w:t xml:space="preserve">      </w:t>
      </w:r>
      <w:r>
        <w:rPr>
          <w:rFonts w:hint="eastAsia" w:hAnsi="宋体"/>
          <w:color w:val="auto"/>
          <w:kern w:val="2"/>
          <w:highlight w:val="none"/>
        </w:rPr>
        <w:t>仲裁委员会仲裁。</w:t>
      </w:r>
    </w:p>
    <w:p w14:paraId="393775EB">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6. </w:t>
      </w:r>
      <w:r>
        <w:rPr>
          <w:rFonts w:hint="eastAsia" w:hAnsi="宋体"/>
          <w:color w:val="auto"/>
          <w:kern w:val="2"/>
          <w:highlight w:val="none"/>
        </w:rPr>
        <w:t>本保函自我方法定代表人（或其授权代理人）签字并加盖公章之日起生效。</w:t>
      </w:r>
    </w:p>
    <w:p w14:paraId="330AC20C">
      <w:pPr>
        <w:spacing w:line="360" w:lineRule="auto"/>
        <w:rPr>
          <w:rFonts w:hAnsi="宋体" w:cs="Times New Roman"/>
          <w:color w:val="auto"/>
          <w:kern w:val="2"/>
          <w:highlight w:val="none"/>
        </w:rPr>
      </w:pPr>
    </w:p>
    <w:p w14:paraId="3B5373B9">
      <w:pPr>
        <w:spacing w:line="360" w:lineRule="auto"/>
        <w:rPr>
          <w:rFonts w:hAnsi="宋体" w:cs="Times New Roman"/>
          <w:color w:val="auto"/>
          <w:kern w:val="2"/>
          <w:highlight w:val="none"/>
        </w:rPr>
      </w:pPr>
      <w:r>
        <w:rPr>
          <w:rFonts w:hint="eastAsia" w:hAnsi="宋体"/>
          <w:color w:val="auto"/>
          <w:kern w:val="2"/>
          <w:highlight w:val="none"/>
        </w:rPr>
        <w:t>担保人：</w:t>
      </w:r>
      <w:r>
        <w:rPr>
          <w:rFonts w:hAnsi="宋体" w:cs="Times New Roman"/>
          <w:color w:val="auto"/>
          <w:kern w:val="2"/>
          <w:highlight w:val="none"/>
          <w:u w:val="single"/>
        </w:rPr>
        <w:t xml:space="preserve">                          </w:t>
      </w:r>
      <w:r>
        <w:rPr>
          <w:rFonts w:hint="eastAsia" w:hAnsi="宋体"/>
          <w:color w:val="auto"/>
          <w:kern w:val="2"/>
          <w:highlight w:val="none"/>
        </w:rPr>
        <w:t>（盖单位章）</w:t>
      </w:r>
    </w:p>
    <w:p w14:paraId="6258C519">
      <w:pPr>
        <w:spacing w:line="360" w:lineRule="auto"/>
        <w:rPr>
          <w:rFonts w:hAnsi="宋体" w:cs="Times New Roman"/>
          <w:color w:val="auto"/>
          <w:kern w:val="2"/>
          <w:highlight w:val="none"/>
        </w:rPr>
      </w:pPr>
      <w:r>
        <w:rPr>
          <w:rFonts w:hint="eastAsia" w:hAnsi="宋体"/>
          <w:color w:val="auto"/>
          <w:kern w:val="2"/>
          <w:highlight w:val="none"/>
        </w:rPr>
        <w:t>法定代表人或其委托代理人：</w:t>
      </w:r>
      <w:r>
        <w:rPr>
          <w:rFonts w:hAnsi="宋体" w:cs="Times New Roman"/>
          <w:color w:val="auto"/>
          <w:kern w:val="2"/>
          <w:highlight w:val="none"/>
          <w:u w:val="single"/>
        </w:rPr>
        <w:t xml:space="preserve">            </w:t>
      </w:r>
      <w:r>
        <w:rPr>
          <w:rFonts w:hint="eastAsia" w:hAnsi="宋体"/>
          <w:color w:val="auto"/>
          <w:kern w:val="2"/>
          <w:highlight w:val="none"/>
        </w:rPr>
        <w:t>（签字）</w:t>
      </w:r>
    </w:p>
    <w:p w14:paraId="6C7A7671">
      <w:pPr>
        <w:spacing w:line="360" w:lineRule="auto"/>
        <w:rPr>
          <w:rFonts w:hAnsi="宋体" w:cs="Times New Roman"/>
          <w:color w:val="auto"/>
          <w:kern w:val="2"/>
          <w:highlight w:val="none"/>
        </w:rPr>
      </w:pPr>
      <w:r>
        <w:rPr>
          <w:rFonts w:hint="eastAsia" w:hAnsi="宋体"/>
          <w:color w:val="auto"/>
          <w:kern w:val="2"/>
          <w:highlight w:val="none"/>
        </w:rPr>
        <w:t>地</w:t>
      </w:r>
      <w:r>
        <w:rPr>
          <w:rFonts w:hAnsi="宋体" w:cs="Times New Roman"/>
          <w:color w:val="auto"/>
          <w:kern w:val="2"/>
          <w:highlight w:val="none"/>
        </w:rPr>
        <w:t xml:space="preserve">    </w:t>
      </w:r>
      <w:r>
        <w:rPr>
          <w:rFonts w:hint="eastAsia" w:hAnsi="宋体"/>
          <w:color w:val="auto"/>
          <w:kern w:val="2"/>
          <w:highlight w:val="none"/>
        </w:rPr>
        <w:t>址：</w:t>
      </w:r>
      <w:r>
        <w:rPr>
          <w:rFonts w:hAnsi="宋体" w:cs="Times New Roman"/>
          <w:color w:val="auto"/>
          <w:kern w:val="2"/>
          <w:highlight w:val="none"/>
          <w:u w:val="single"/>
        </w:rPr>
        <w:t xml:space="preserve">                            </w:t>
      </w:r>
    </w:p>
    <w:p w14:paraId="50164D89">
      <w:pPr>
        <w:spacing w:line="360" w:lineRule="auto"/>
        <w:rPr>
          <w:rFonts w:hAnsi="宋体" w:cs="Times New Roman"/>
          <w:color w:val="auto"/>
          <w:kern w:val="2"/>
          <w:highlight w:val="none"/>
          <w:u w:val="single"/>
        </w:rPr>
      </w:pPr>
      <w:r>
        <w:rPr>
          <w:rFonts w:hint="eastAsia" w:hAnsi="宋体"/>
          <w:color w:val="auto"/>
          <w:kern w:val="2"/>
          <w:highlight w:val="none"/>
        </w:rPr>
        <w:t>邮政编码：</w:t>
      </w:r>
      <w:r>
        <w:rPr>
          <w:rFonts w:hAnsi="宋体" w:cs="Times New Roman"/>
          <w:color w:val="auto"/>
          <w:kern w:val="2"/>
          <w:highlight w:val="none"/>
          <w:u w:val="single"/>
        </w:rPr>
        <w:t xml:space="preserve">                            </w:t>
      </w:r>
    </w:p>
    <w:p w14:paraId="39FC2B97">
      <w:pPr>
        <w:spacing w:line="360" w:lineRule="auto"/>
        <w:rPr>
          <w:rFonts w:hAnsi="宋体" w:cs="Times New Roman"/>
          <w:color w:val="auto"/>
          <w:kern w:val="2"/>
          <w:highlight w:val="none"/>
          <w:u w:val="single"/>
        </w:rPr>
      </w:pPr>
      <w:r>
        <w:rPr>
          <w:rFonts w:hint="eastAsia" w:hAnsi="宋体"/>
          <w:color w:val="auto"/>
          <w:kern w:val="2"/>
          <w:highlight w:val="none"/>
        </w:rPr>
        <w:t>电</w:t>
      </w:r>
      <w:r>
        <w:rPr>
          <w:rFonts w:hAnsi="宋体" w:cs="Times New Roman"/>
          <w:color w:val="auto"/>
          <w:kern w:val="2"/>
          <w:highlight w:val="none"/>
        </w:rPr>
        <w:t xml:space="preserve">    </w:t>
      </w:r>
      <w:r>
        <w:rPr>
          <w:rFonts w:hint="eastAsia" w:hAnsi="宋体"/>
          <w:color w:val="auto"/>
          <w:kern w:val="2"/>
          <w:highlight w:val="none"/>
        </w:rPr>
        <w:t>话：</w:t>
      </w:r>
      <w:r>
        <w:rPr>
          <w:rFonts w:hAnsi="宋体" w:cs="Times New Roman"/>
          <w:color w:val="auto"/>
          <w:kern w:val="2"/>
          <w:highlight w:val="none"/>
          <w:u w:val="single"/>
        </w:rPr>
        <w:t xml:space="preserve">                            </w:t>
      </w:r>
    </w:p>
    <w:p w14:paraId="349FF938">
      <w:pPr>
        <w:spacing w:line="360" w:lineRule="auto"/>
        <w:rPr>
          <w:rFonts w:hAnsi="宋体" w:cs="Times New Roman"/>
          <w:color w:val="auto"/>
          <w:kern w:val="2"/>
          <w:highlight w:val="none"/>
          <w:u w:val="single"/>
        </w:rPr>
      </w:pPr>
      <w:r>
        <w:rPr>
          <w:rFonts w:hint="eastAsia" w:hAnsi="宋体"/>
          <w:color w:val="auto"/>
          <w:kern w:val="2"/>
          <w:highlight w:val="none"/>
        </w:rPr>
        <w:t>传</w:t>
      </w:r>
      <w:r>
        <w:rPr>
          <w:rFonts w:hAnsi="宋体" w:cs="Times New Roman"/>
          <w:color w:val="auto"/>
          <w:kern w:val="2"/>
          <w:highlight w:val="none"/>
        </w:rPr>
        <w:t xml:space="preserve">    </w:t>
      </w:r>
      <w:r>
        <w:rPr>
          <w:rFonts w:hint="eastAsia" w:hAnsi="宋体"/>
          <w:color w:val="auto"/>
          <w:kern w:val="2"/>
          <w:highlight w:val="none"/>
        </w:rPr>
        <w:t>真：</w:t>
      </w:r>
      <w:r>
        <w:rPr>
          <w:rFonts w:hAnsi="宋体" w:cs="Times New Roman"/>
          <w:color w:val="auto"/>
          <w:kern w:val="2"/>
          <w:highlight w:val="none"/>
          <w:u w:val="single"/>
        </w:rPr>
        <w:t xml:space="preserve">                            </w:t>
      </w:r>
    </w:p>
    <w:p w14:paraId="3545C986">
      <w:pPr>
        <w:spacing w:line="360" w:lineRule="auto"/>
        <w:rPr>
          <w:rFonts w:hAnsi="宋体" w:cs="Times New Roman"/>
          <w:color w:val="auto"/>
          <w:kern w:val="2"/>
          <w:highlight w:val="none"/>
          <w:u w:val="single"/>
        </w:rPr>
      </w:pPr>
    </w:p>
    <w:p w14:paraId="0E2E52D1">
      <w:pPr>
        <w:spacing w:line="360" w:lineRule="auto"/>
        <w:rPr>
          <w:rFonts w:hAnsi="宋体" w:cs="Times New Roman"/>
          <w:color w:val="auto"/>
          <w:kern w:val="2"/>
          <w:highlight w:val="none"/>
        </w:rPr>
      </w:pPr>
      <w:r>
        <w:rPr>
          <w:rFonts w:hAnsi="宋体" w:cs="Times New Roman"/>
          <w:color w:val="auto"/>
          <w:kern w:val="2"/>
          <w:highlight w:val="none"/>
        </w:rPr>
        <w:t xml:space="preserve">            </w:t>
      </w:r>
      <w:r>
        <w:rPr>
          <w:rFonts w:hAnsi="宋体" w:cs="Times New Roman"/>
          <w:color w:val="auto"/>
          <w:kern w:val="2"/>
          <w:highlight w:val="none"/>
          <w:u w:val="single"/>
        </w:rPr>
        <w:t xml:space="preserve">               </w:t>
      </w:r>
      <w:r>
        <w:rPr>
          <w:rFonts w:hint="eastAsia" w:hAnsi="宋体"/>
          <w:color w:val="auto"/>
          <w:kern w:val="2"/>
          <w:highlight w:val="none"/>
        </w:rPr>
        <w:t>年</w:t>
      </w:r>
      <w:r>
        <w:rPr>
          <w:rFonts w:hAnsi="宋体" w:cs="Times New Roman"/>
          <w:color w:val="auto"/>
          <w:kern w:val="2"/>
          <w:highlight w:val="none"/>
          <w:u w:val="single"/>
        </w:rPr>
        <w:t xml:space="preserve">      </w:t>
      </w:r>
      <w:r>
        <w:rPr>
          <w:rFonts w:hint="eastAsia" w:hAnsi="宋体"/>
          <w:color w:val="auto"/>
          <w:kern w:val="2"/>
          <w:highlight w:val="none"/>
        </w:rPr>
        <w:t>月</w:t>
      </w:r>
      <w:r>
        <w:rPr>
          <w:rFonts w:hAnsi="宋体" w:cs="Times New Roman"/>
          <w:color w:val="auto"/>
          <w:kern w:val="2"/>
          <w:highlight w:val="none"/>
          <w:u w:val="single"/>
        </w:rPr>
        <w:t xml:space="preserve">      </w:t>
      </w:r>
      <w:r>
        <w:rPr>
          <w:rFonts w:hint="eastAsia" w:hAnsi="宋体"/>
          <w:color w:val="auto"/>
          <w:kern w:val="2"/>
          <w:highlight w:val="none"/>
        </w:rPr>
        <w:t>日</w:t>
      </w:r>
    </w:p>
    <w:p w14:paraId="237AFF91">
      <w:pPr>
        <w:spacing w:line="480" w:lineRule="auto"/>
        <w:rPr>
          <w:rFonts w:hAnsi="宋体" w:cs="Times New Roman"/>
          <w:color w:val="auto"/>
          <w:kern w:val="2"/>
          <w:highlight w:val="none"/>
        </w:rPr>
      </w:pPr>
    </w:p>
    <w:p w14:paraId="0DC5B933">
      <w:pPr>
        <w:spacing w:line="440" w:lineRule="exact"/>
        <w:rPr>
          <w:rFonts w:hAnsi="宋体" w:cs="Times New Roman"/>
          <w:color w:val="auto"/>
          <w:kern w:val="2"/>
          <w:sz w:val="30"/>
          <w:szCs w:val="30"/>
          <w:highlight w:val="none"/>
        </w:rPr>
      </w:pPr>
      <w:r>
        <w:rPr>
          <w:rFonts w:hAnsi="宋体"/>
          <w:color w:val="auto"/>
          <w:kern w:val="2"/>
          <w:sz w:val="30"/>
          <w:szCs w:val="30"/>
          <w:highlight w:val="none"/>
        </w:rPr>
        <w:br w:type="page"/>
      </w:r>
      <w:r>
        <w:rPr>
          <w:rFonts w:hint="eastAsia" w:hAnsi="宋体"/>
          <w:color w:val="auto"/>
          <w:kern w:val="2"/>
          <w:sz w:val="30"/>
          <w:szCs w:val="30"/>
          <w:highlight w:val="none"/>
        </w:rPr>
        <w:t>附</w:t>
      </w:r>
      <w:bookmarkStart w:id="2212" w:name="_Toc296891266"/>
      <w:bookmarkStart w:id="2213" w:name="_Toc296347225"/>
      <w:bookmarkStart w:id="2214" w:name="_Toc296891054"/>
      <w:bookmarkStart w:id="2215" w:name="_Toc296503226"/>
      <w:bookmarkStart w:id="2216" w:name="_Toc296944565"/>
      <w:bookmarkStart w:id="2217" w:name="_Toc267261693"/>
      <w:bookmarkStart w:id="2218" w:name="_Toc296346727"/>
      <w:r>
        <w:rPr>
          <w:rFonts w:hint="eastAsia" w:hAnsi="宋体"/>
          <w:color w:val="auto"/>
          <w:kern w:val="2"/>
          <w:sz w:val="30"/>
          <w:szCs w:val="30"/>
          <w:highlight w:val="none"/>
        </w:rPr>
        <w:t>件</w:t>
      </w:r>
      <w:r>
        <w:rPr>
          <w:rFonts w:hAnsi="宋体" w:cs="Times New Roman"/>
          <w:color w:val="auto"/>
          <w:kern w:val="2"/>
          <w:sz w:val="30"/>
          <w:szCs w:val="30"/>
          <w:highlight w:val="none"/>
        </w:rPr>
        <w:t>8</w:t>
      </w:r>
      <w:r>
        <w:rPr>
          <w:rFonts w:hint="eastAsia" w:hAnsi="宋体"/>
          <w:color w:val="auto"/>
          <w:kern w:val="2"/>
          <w:sz w:val="30"/>
          <w:szCs w:val="30"/>
          <w:highlight w:val="none"/>
        </w:rPr>
        <w:t>：</w:t>
      </w:r>
      <w:bookmarkEnd w:id="2212"/>
      <w:bookmarkEnd w:id="2213"/>
      <w:bookmarkEnd w:id="2214"/>
      <w:bookmarkEnd w:id="2215"/>
      <w:bookmarkEnd w:id="2216"/>
      <w:bookmarkEnd w:id="2217"/>
      <w:bookmarkEnd w:id="2218"/>
    </w:p>
    <w:p w14:paraId="5A699028">
      <w:pPr>
        <w:spacing w:before="120" w:beforeLines="50" w:after="120" w:afterLines="50" w:line="440" w:lineRule="exact"/>
        <w:jc w:val="center"/>
        <w:rPr>
          <w:rFonts w:hAnsi="宋体" w:cs="Times New Roman"/>
          <w:color w:val="auto"/>
          <w:kern w:val="2"/>
          <w:sz w:val="32"/>
          <w:szCs w:val="32"/>
          <w:highlight w:val="none"/>
        </w:rPr>
      </w:pPr>
      <w:r>
        <w:rPr>
          <w:rFonts w:hint="eastAsia" w:hAnsi="宋体" w:cs="Times New Roman"/>
          <w:color w:val="auto"/>
          <w:kern w:val="2"/>
          <w:sz w:val="32"/>
          <w:szCs w:val="32"/>
          <w:highlight w:val="none"/>
        </w:rPr>
        <w:t>工程质量保修书（房屋建筑工程）</w:t>
      </w:r>
    </w:p>
    <w:p w14:paraId="080D925A">
      <w:pPr>
        <w:spacing w:before="120" w:beforeLines="50" w:after="120" w:afterLines="50" w:line="440" w:lineRule="exact"/>
        <w:jc w:val="center"/>
        <w:rPr>
          <w:rFonts w:hAnsi="宋体" w:cs="Times New Roman"/>
          <w:color w:val="auto"/>
          <w:kern w:val="2"/>
          <w:sz w:val="32"/>
          <w:szCs w:val="32"/>
          <w:highlight w:val="none"/>
        </w:rPr>
      </w:pPr>
    </w:p>
    <w:p w14:paraId="7F444208">
      <w:pPr>
        <w:spacing w:line="440" w:lineRule="exact"/>
        <w:ind w:firstLine="420" w:firstLineChars="200"/>
        <w:rPr>
          <w:rFonts w:hAnsi="宋体" w:cs="Times New Roman"/>
          <w:color w:val="auto"/>
          <w:kern w:val="2"/>
          <w:highlight w:val="none"/>
        </w:rPr>
      </w:pPr>
      <w:r>
        <w:rPr>
          <w:rFonts w:hint="eastAsia" w:hAnsi="宋体" w:cs="Times New Roman"/>
          <w:color w:val="auto"/>
          <w:kern w:val="2"/>
          <w:highlight w:val="none"/>
        </w:rPr>
        <w:t>发包人（全称）：</w:t>
      </w:r>
      <w:r>
        <w:rPr>
          <w:rFonts w:hAnsi="宋体" w:cs="Times New Roman"/>
          <w:color w:val="auto"/>
          <w:kern w:val="2"/>
          <w:highlight w:val="none"/>
          <w:u w:val="single"/>
        </w:rPr>
        <w:t xml:space="preserve">                                </w:t>
      </w:r>
      <w:r>
        <w:rPr>
          <w:rFonts w:hAnsi="宋体" w:cs="Times New Roman"/>
          <w:color w:val="auto"/>
          <w:kern w:val="2"/>
          <w:highlight w:val="none"/>
        </w:rPr>
        <w:t xml:space="preserve"> </w:t>
      </w:r>
    </w:p>
    <w:p w14:paraId="200D91A9">
      <w:pPr>
        <w:spacing w:line="440" w:lineRule="exact"/>
        <w:ind w:firstLine="420" w:firstLineChars="200"/>
        <w:rPr>
          <w:rFonts w:hAnsi="宋体" w:cs="Times New Roman"/>
          <w:color w:val="auto"/>
          <w:kern w:val="2"/>
          <w:highlight w:val="none"/>
        </w:rPr>
      </w:pPr>
      <w:r>
        <w:rPr>
          <w:rFonts w:hint="eastAsia" w:hAnsi="宋体" w:cs="Times New Roman"/>
          <w:color w:val="auto"/>
          <w:kern w:val="2"/>
          <w:highlight w:val="none"/>
        </w:rPr>
        <w:t>承包人（全称）：</w:t>
      </w:r>
      <w:r>
        <w:rPr>
          <w:rFonts w:hAnsi="宋体" w:cs="Times New Roman"/>
          <w:color w:val="auto"/>
          <w:kern w:val="2"/>
          <w:highlight w:val="none"/>
          <w:u w:val="single"/>
        </w:rPr>
        <w:t xml:space="preserve">                                </w:t>
      </w:r>
      <w:r>
        <w:rPr>
          <w:rFonts w:hAnsi="宋体" w:cs="Times New Roman"/>
          <w:color w:val="auto"/>
          <w:kern w:val="2"/>
          <w:highlight w:val="none"/>
        </w:rPr>
        <w:t xml:space="preserve"> </w:t>
      </w:r>
    </w:p>
    <w:p w14:paraId="0C20F664">
      <w:pPr>
        <w:spacing w:line="440" w:lineRule="exact"/>
        <w:rPr>
          <w:rFonts w:hAnsi="宋体" w:cs="Times New Roman"/>
          <w:color w:val="auto"/>
          <w:kern w:val="2"/>
          <w:highlight w:val="none"/>
        </w:rPr>
      </w:pPr>
    </w:p>
    <w:p w14:paraId="7217E146">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发包人和承包人根据《中华人民共和国建筑法》和《建设工程质量管理条例》，经协商一致就</w:t>
      </w:r>
      <w:r>
        <w:rPr>
          <w:rFonts w:hAnsi="宋体" w:cs="Times New Roman"/>
          <w:color w:val="auto"/>
          <w:kern w:val="2"/>
          <w:highlight w:val="none"/>
          <w:u w:val="single"/>
        </w:rPr>
        <w:t xml:space="preserve">                                   </w:t>
      </w:r>
      <w:r>
        <w:rPr>
          <w:rFonts w:hint="eastAsia" w:hAnsi="宋体" w:cs="Times New Roman"/>
          <w:color w:val="auto"/>
          <w:kern w:val="2"/>
          <w:highlight w:val="none"/>
        </w:rPr>
        <w:t>（工程全称）签订工程质量保修书。</w:t>
      </w:r>
    </w:p>
    <w:p w14:paraId="3B1865CD">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一、工程质量保修范围和内容</w:t>
      </w:r>
    </w:p>
    <w:p w14:paraId="69FF74AE">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承包人在质量保修期内，按照有关法律规定和合同约定，承担工程质量保修责任。</w:t>
      </w:r>
    </w:p>
    <w:p w14:paraId="0CD9257C">
      <w:pPr>
        <w:spacing w:line="360" w:lineRule="auto"/>
        <w:ind w:firstLine="420"/>
        <w:rPr>
          <w:rFonts w:hAnsi="宋体" w:cs="Times New Roman"/>
          <w:color w:val="auto"/>
          <w:kern w:val="2"/>
          <w:highlight w:val="none"/>
        </w:rPr>
      </w:pPr>
      <w:r>
        <w:rPr>
          <w:rFonts w:hint="eastAsia" w:hAnsi="宋体" w:cs="Times New Roman"/>
          <w:color w:val="auto"/>
          <w:kern w:val="2"/>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Ansi="宋体" w:cs="Times New Roman"/>
          <w:color w:val="auto"/>
          <w:kern w:val="2"/>
          <w:highlight w:val="none"/>
          <w:u w:val="single"/>
        </w:rPr>
        <w:t xml:space="preserve">                      </w:t>
      </w:r>
      <w:r>
        <w:rPr>
          <w:rFonts w:hint="eastAsia" w:hAnsi="宋体" w:cs="Times New Roman"/>
          <w:color w:val="auto"/>
          <w:kern w:val="2"/>
          <w:highlight w:val="none"/>
        </w:rPr>
        <w:t>。</w:t>
      </w:r>
    </w:p>
    <w:p w14:paraId="3F81C154">
      <w:pPr>
        <w:spacing w:line="360" w:lineRule="auto"/>
        <w:ind w:firstLine="420"/>
        <w:rPr>
          <w:rFonts w:hAnsi="宋体" w:cs="Times New Roman"/>
          <w:color w:val="auto"/>
          <w:kern w:val="2"/>
          <w:highlight w:val="none"/>
        </w:rPr>
      </w:pPr>
      <w:r>
        <w:rPr>
          <w:rFonts w:hint="eastAsia" w:hAnsi="宋体" w:cs="Times New Roman"/>
          <w:color w:val="auto"/>
          <w:kern w:val="2"/>
          <w:highlight w:val="none"/>
        </w:rPr>
        <w:t>二、质量保修期</w:t>
      </w:r>
    </w:p>
    <w:p w14:paraId="4BD5B088">
      <w:pPr>
        <w:spacing w:line="360" w:lineRule="auto"/>
        <w:ind w:firstLine="420"/>
        <w:rPr>
          <w:rFonts w:hAnsi="宋体" w:cs="Times New Roman"/>
          <w:color w:val="auto"/>
          <w:kern w:val="2"/>
          <w:highlight w:val="none"/>
        </w:rPr>
      </w:pPr>
      <w:r>
        <w:rPr>
          <w:rFonts w:hint="eastAsia" w:hAnsi="宋体" w:cs="Times New Roman"/>
          <w:color w:val="auto"/>
          <w:kern w:val="2"/>
          <w:highlight w:val="none"/>
        </w:rPr>
        <w:t>根据《建设工程质量管理条例》及有关规定，工程的质量保修期如下：</w:t>
      </w:r>
    </w:p>
    <w:p w14:paraId="4FBF8896">
      <w:pPr>
        <w:spacing w:line="360" w:lineRule="auto"/>
        <w:ind w:firstLine="420"/>
        <w:rPr>
          <w:rFonts w:hAnsi="宋体" w:cs="Times New Roman"/>
          <w:color w:val="auto"/>
          <w:kern w:val="2"/>
          <w:highlight w:val="none"/>
        </w:rPr>
      </w:pPr>
      <w:r>
        <w:rPr>
          <w:rFonts w:hAnsi="宋体" w:cs="Times New Roman"/>
          <w:color w:val="auto"/>
          <w:kern w:val="2"/>
          <w:highlight w:val="none"/>
        </w:rPr>
        <w:t>1</w:t>
      </w:r>
      <w:r>
        <w:rPr>
          <w:rFonts w:hint="eastAsia" w:hAnsi="宋体" w:cs="Times New Roman"/>
          <w:color w:val="auto"/>
          <w:kern w:val="2"/>
          <w:highlight w:val="none"/>
        </w:rPr>
        <w:t>．地基基础工程和主体结构工程为设计文件规定的工程合理使用年限；</w:t>
      </w:r>
    </w:p>
    <w:p w14:paraId="1C0F57E5">
      <w:pPr>
        <w:spacing w:line="360" w:lineRule="auto"/>
        <w:ind w:firstLine="420"/>
        <w:rPr>
          <w:rFonts w:hAnsi="宋体" w:cs="Times New Roman"/>
          <w:color w:val="auto"/>
          <w:kern w:val="2"/>
          <w:highlight w:val="none"/>
        </w:rPr>
      </w:pPr>
      <w:r>
        <w:rPr>
          <w:rFonts w:hAnsi="宋体" w:cs="Times New Roman"/>
          <w:color w:val="auto"/>
          <w:kern w:val="2"/>
          <w:highlight w:val="none"/>
        </w:rPr>
        <w:t>2</w:t>
      </w:r>
      <w:r>
        <w:rPr>
          <w:rFonts w:hint="eastAsia" w:hAnsi="宋体" w:cs="Times New Roman"/>
          <w:color w:val="auto"/>
          <w:kern w:val="2"/>
          <w:highlight w:val="none"/>
        </w:rPr>
        <w:t>．屋面防水工程、有防水要求的卫生间、房间和外墙面的防渗为</w:t>
      </w:r>
      <w:r>
        <w:rPr>
          <w:rFonts w:hAnsi="宋体" w:cs="Times New Roman"/>
          <w:color w:val="auto"/>
          <w:kern w:val="2"/>
          <w:highlight w:val="none"/>
          <w:u w:val="single"/>
        </w:rPr>
        <w:t xml:space="preserve">        </w:t>
      </w:r>
      <w:r>
        <w:rPr>
          <w:rFonts w:hint="eastAsia" w:hAnsi="宋体" w:cs="Times New Roman"/>
          <w:color w:val="auto"/>
          <w:kern w:val="2"/>
          <w:highlight w:val="none"/>
        </w:rPr>
        <w:t>年；</w:t>
      </w:r>
    </w:p>
    <w:p w14:paraId="708F1E42">
      <w:pPr>
        <w:spacing w:line="360" w:lineRule="auto"/>
        <w:ind w:firstLine="420"/>
        <w:rPr>
          <w:rFonts w:hAnsi="宋体" w:cs="Times New Roman"/>
          <w:color w:val="auto"/>
          <w:kern w:val="2"/>
          <w:highlight w:val="none"/>
        </w:rPr>
      </w:pPr>
      <w:r>
        <w:rPr>
          <w:rFonts w:hAnsi="宋体" w:cs="Times New Roman"/>
          <w:color w:val="auto"/>
          <w:kern w:val="2"/>
          <w:highlight w:val="none"/>
        </w:rPr>
        <w:t>3</w:t>
      </w:r>
      <w:r>
        <w:rPr>
          <w:rFonts w:hint="eastAsia" w:hAnsi="宋体" w:cs="Times New Roman"/>
          <w:color w:val="auto"/>
          <w:kern w:val="2"/>
          <w:highlight w:val="none"/>
        </w:rPr>
        <w:t>．装修工程为</w:t>
      </w:r>
      <w:r>
        <w:rPr>
          <w:rFonts w:hAnsi="宋体" w:cs="Times New Roman"/>
          <w:color w:val="auto"/>
          <w:kern w:val="2"/>
          <w:highlight w:val="none"/>
          <w:u w:val="single"/>
        </w:rPr>
        <w:t xml:space="preserve">         </w:t>
      </w:r>
      <w:r>
        <w:rPr>
          <w:rFonts w:hint="eastAsia" w:hAnsi="宋体" w:cs="Times New Roman"/>
          <w:color w:val="auto"/>
          <w:kern w:val="2"/>
          <w:highlight w:val="none"/>
        </w:rPr>
        <w:t>年；</w:t>
      </w:r>
    </w:p>
    <w:p w14:paraId="7C592B39">
      <w:pPr>
        <w:spacing w:line="360" w:lineRule="auto"/>
        <w:ind w:firstLine="420"/>
        <w:rPr>
          <w:rFonts w:hAnsi="宋体" w:cs="Times New Roman"/>
          <w:color w:val="auto"/>
          <w:kern w:val="2"/>
          <w:highlight w:val="none"/>
        </w:rPr>
      </w:pPr>
      <w:r>
        <w:rPr>
          <w:rFonts w:hAnsi="宋体" w:cs="Times New Roman"/>
          <w:color w:val="auto"/>
          <w:kern w:val="2"/>
          <w:highlight w:val="none"/>
        </w:rPr>
        <w:t>4</w:t>
      </w:r>
      <w:r>
        <w:rPr>
          <w:rFonts w:hint="eastAsia" w:hAnsi="宋体" w:cs="Times New Roman"/>
          <w:color w:val="auto"/>
          <w:kern w:val="2"/>
          <w:highlight w:val="none"/>
        </w:rPr>
        <w:t>．电气管线、给排水管道、设备安装工程为</w:t>
      </w:r>
      <w:r>
        <w:rPr>
          <w:rFonts w:hAnsi="宋体" w:cs="Times New Roman"/>
          <w:color w:val="auto"/>
          <w:kern w:val="2"/>
          <w:highlight w:val="none"/>
          <w:u w:val="single"/>
        </w:rPr>
        <w:t xml:space="preserve">         </w:t>
      </w:r>
      <w:r>
        <w:rPr>
          <w:rFonts w:hint="eastAsia" w:hAnsi="宋体" w:cs="Times New Roman"/>
          <w:color w:val="auto"/>
          <w:kern w:val="2"/>
          <w:highlight w:val="none"/>
        </w:rPr>
        <w:t>年；</w:t>
      </w:r>
    </w:p>
    <w:p w14:paraId="79E14F86">
      <w:pPr>
        <w:spacing w:line="360" w:lineRule="auto"/>
        <w:ind w:firstLine="420"/>
        <w:rPr>
          <w:rFonts w:hAnsi="宋体" w:cs="Times New Roman"/>
          <w:color w:val="auto"/>
          <w:kern w:val="2"/>
          <w:highlight w:val="none"/>
        </w:rPr>
      </w:pPr>
      <w:r>
        <w:rPr>
          <w:rFonts w:hAnsi="宋体" w:cs="Times New Roman"/>
          <w:color w:val="auto"/>
          <w:kern w:val="2"/>
          <w:highlight w:val="none"/>
        </w:rPr>
        <w:t>5</w:t>
      </w:r>
      <w:r>
        <w:rPr>
          <w:rFonts w:hint="eastAsia" w:hAnsi="宋体" w:cs="Times New Roman"/>
          <w:color w:val="auto"/>
          <w:kern w:val="2"/>
          <w:highlight w:val="none"/>
        </w:rPr>
        <w:t>．供热与供冷系统为</w:t>
      </w:r>
      <w:r>
        <w:rPr>
          <w:rFonts w:hAnsi="宋体" w:cs="Times New Roman"/>
          <w:color w:val="auto"/>
          <w:kern w:val="2"/>
          <w:highlight w:val="none"/>
          <w:u w:val="single"/>
        </w:rPr>
        <w:t xml:space="preserve">         </w:t>
      </w:r>
      <w:r>
        <w:rPr>
          <w:rFonts w:hint="eastAsia" w:hAnsi="宋体" w:cs="Times New Roman"/>
          <w:color w:val="auto"/>
          <w:kern w:val="2"/>
          <w:highlight w:val="none"/>
        </w:rPr>
        <w:t>个采暖期、供冷期；</w:t>
      </w:r>
    </w:p>
    <w:p w14:paraId="1671599C">
      <w:pPr>
        <w:spacing w:line="360" w:lineRule="auto"/>
        <w:ind w:firstLine="420"/>
        <w:rPr>
          <w:rFonts w:hAnsi="宋体" w:cs="Times New Roman"/>
          <w:color w:val="auto"/>
          <w:kern w:val="2"/>
          <w:highlight w:val="none"/>
        </w:rPr>
      </w:pPr>
      <w:r>
        <w:rPr>
          <w:rFonts w:hAnsi="宋体" w:cs="Times New Roman"/>
          <w:color w:val="auto"/>
          <w:kern w:val="2"/>
          <w:highlight w:val="none"/>
        </w:rPr>
        <w:t>6</w:t>
      </w:r>
      <w:r>
        <w:rPr>
          <w:rFonts w:hint="eastAsia" w:hAnsi="宋体" w:cs="Times New Roman"/>
          <w:color w:val="auto"/>
          <w:kern w:val="2"/>
          <w:highlight w:val="none"/>
        </w:rPr>
        <w:t>．住宅小区内的给排水设施、道路等配套工程为</w:t>
      </w:r>
      <w:r>
        <w:rPr>
          <w:rFonts w:hAnsi="宋体" w:cs="Times New Roman"/>
          <w:color w:val="auto"/>
          <w:kern w:val="2"/>
          <w:highlight w:val="none"/>
          <w:u w:val="single"/>
        </w:rPr>
        <w:t xml:space="preserve">         </w:t>
      </w:r>
      <w:r>
        <w:rPr>
          <w:rFonts w:hint="eastAsia" w:hAnsi="宋体" w:cs="Times New Roman"/>
          <w:color w:val="auto"/>
          <w:kern w:val="2"/>
          <w:highlight w:val="none"/>
        </w:rPr>
        <w:t>年；</w:t>
      </w:r>
    </w:p>
    <w:p w14:paraId="4493B1DF">
      <w:pPr>
        <w:spacing w:line="360" w:lineRule="auto"/>
        <w:ind w:firstLine="420"/>
        <w:rPr>
          <w:rFonts w:hAnsi="宋体" w:cs="Times New Roman"/>
          <w:color w:val="auto"/>
          <w:kern w:val="2"/>
          <w:highlight w:val="none"/>
        </w:rPr>
      </w:pPr>
      <w:r>
        <w:rPr>
          <w:rFonts w:hAnsi="宋体" w:cs="Times New Roman"/>
          <w:color w:val="auto"/>
          <w:kern w:val="2"/>
          <w:highlight w:val="none"/>
        </w:rPr>
        <w:t>7</w:t>
      </w:r>
      <w:r>
        <w:rPr>
          <w:rFonts w:hint="eastAsia" w:hAnsi="宋体" w:cs="Times New Roman"/>
          <w:color w:val="auto"/>
          <w:kern w:val="2"/>
          <w:highlight w:val="none"/>
        </w:rPr>
        <w:t>．其他项目保修期限约定如下：</w:t>
      </w:r>
      <w:r>
        <w:rPr>
          <w:rFonts w:hAnsi="宋体" w:cs="Times New Roman"/>
          <w:color w:val="auto"/>
          <w:kern w:val="2"/>
          <w:highlight w:val="none"/>
          <w:u w:val="single"/>
        </w:rPr>
        <w:t xml:space="preserve">         </w:t>
      </w:r>
      <w:r>
        <w:rPr>
          <w:rFonts w:hint="eastAsia" w:hAnsi="宋体" w:cs="Times New Roman"/>
          <w:color w:val="auto"/>
          <w:kern w:val="2"/>
          <w:highlight w:val="none"/>
        </w:rPr>
        <w:t>。</w:t>
      </w:r>
    </w:p>
    <w:p w14:paraId="6D5DA80C">
      <w:pPr>
        <w:spacing w:line="360" w:lineRule="auto"/>
        <w:ind w:firstLine="420"/>
        <w:rPr>
          <w:rFonts w:hAnsi="宋体" w:cs="Times New Roman"/>
          <w:color w:val="auto"/>
          <w:kern w:val="2"/>
          <w:highlight w:val="none"/>
        </w:rPr>
      </w:pPr>
      <w:r>
        <w:rPr>
          <w:rFonts w:hint="eastAsia" w:hAnsi="宋体" w:cs="Times New Roman"/>
          <w:color w:val="auto"/>
          <w:kern w:val="2"/>
          <w:highlight w:val="none"/>
        </w:rPr>
        <w:t>质量保修期自工程竣工验收合格之日起计算。</w:t>
      </w:r>
    </w:p>
    <w:p w14:paraId="136E038D">
      <w:pPr>
        <w:spacing w:line="360" w:lineRule="auto"/>
        <w:ind w:firstLine="420"/>
        <w:rPr>
          <w:rFonts w:hAnsi="宋体" w:cs="Times New Roman"/>
          <w:color w:val="auto"/>
          <w:kern w:val="2"/>
          <w:highlight w:val="none"/>
        </w:rPr>
      </w:pPr>
      <w:r>
        <w:rPr>
          <w:rFonts w:hint="eastAsia" w:hAnsi="宋体" w:cs="Times New Roman"/>
          <w:color w:val="auto"/>
          <w:kern w:val="2"/>
          <w:highlight w:val="none"/>
        </w:rPr>
        <w:t>三、缺陷责任期</w:t>
      </w:r>
    </w:p>
    <w:p w14:paraId="6A4710D1">
      <w:pPr>
        <w:spacing w:line="360" w:lineRule="auto"/>
        <w:ind w:firstLine="420"/>
        <w:rPr>
          <w:rFonts w:hAnsi="宋体" w:cs="Times New Roman"/>
          <w:color w:val="auto"/>
          <w:kern w:val="2"/>
          <w:highlight w:val="none"/>
        </w:rPr>
      </w:pPr>
      <w:r>
        <w:rPr>
          <w:rFonts w:hint="eastAsia" w:hAnsi="宋体" w:cs="Times New Roman"/>
          <w:color w:val="auto"/>
          <w:kern w:val="2"/>
          <w:highlight w:val="none"/>
        </w:rPr>
        <w:t>工程缺陷责任期为</w:t>
      </w:r>
      <w:r>
        <w:rPr>
          <w:rFonts w:hAnsi="宋体" w:cs="Times New Roman"/>
          <w:color w:val="auto"/>
          <w:kern w:val="2"/>
          <w:highlight w:val="none"/>
          <w:u w:val="single"/>
        </w:rPr>
        <w:t xml:space="preserve">         </w:t>
      </w:r>
      <w:r>
        <w:rPr>
          <w:rFonts w:hint="eastAsia" w:hAnsi="宋体" w:cs="Times New Roman"/>
          <w:color w:val="auto"/>
          <w:kern w:val="2"/>
          <w:highlight w:val="none"/>
        </w:rPr>
        <w:t>个月（最长不超过</w:t>
      </w:r>
      <w:r>
        <w:rPr>
          <w:rFonts w:hAnsi="宋体" w:cs="Times New Roman"/>
          <w:color w:val="auto"/>
          <w:kern w:val="2"/>
          <w:highlight w:val="none"/>
        </w:rPr>
        <w:t>24</w:t>
      </w:r>
      <w:r>
        <w:rPr>
          <w:rFonts w:hint="eastAsia" w:hAnsi="宋体" w:cs="Times New Roman"/>
          <w:color w:val="auto"/>
          <w:kern w:val="2"/>
          <w:highlight w:val="none"/>
        </w:rPr>
        <w:t>个月），缺陷责任期自工程竣工验收合格之日起计算。单位工程先于全部工程进行验收，单位工程缺陷责任期自单位工程验收合格之日起算。</w:t>
      </w:r>
    </w:p>
    <w:p w14:paraId="4A0D746C">
      <w:pPr>
        <w:spacing w:line="360" w:lineRule="auto"/>
        <w:ind w:firstLine="420"/>
        <w:rPr>
          <w:rFonts w:hAnsi="宋体" w:cs="Times New Roman"/>
          <w:color w:val="auto"/>
          <w:kern w:val="2"/>
          <w:highlight w:val="none"/>
        </w:rPr>
      </w:pPr>
      <w:r>
        <w:rPr>
          <w:rFonts w:hint="eastAsia" w:hAnsi="宋体" w:cs="Times New Roman"/>
          <w:color w:val="auto"/>
          <w:kern w:val="2"/>
          <w:highlight w:val="none"/>
        </w:rPr>
        <w:t>缺陷责任期终止后，发包人应退还剩余的质量保证金。</w:t>
      </w:r>
    </w:p>
    <w:p w14:paraId="64C7393F">
      <w:pPr>
        <w:spacing w:line="360" w:lineRule="auto"/>
        <w:ind w:firstLine="420"/>
        <w:rPr>
          <w:rFonts w:hAnsi="宋体" w:cs="Times New Roman"/>
          <w:color w:val="auto"/>
          <w:kern w:val="2"/>
          <w:highlight w:val="none"/>
        </w:rPr>
      </w:pPr>
      <w:r>
        <w:rPr>
          <w:rFonts w:hint="eastAsia" w:hAnsi="宋体" w:cs="Times New Roman"/>
          <w:color w:val="auto"/>
          <w:kern w:val="2"/>
          <w:highlight w:val="none"/>
        </w:rPr>
        <w:t>四、质量保修责任</w:t>
      </w:r>
    </w:p>
    <w:p w14:paraId="08D84B59">
      <w:pPr>
        <w:spacing w:line="360" w:lineRule="auto"/>
        <w:ind w:left="105" w:leftChars="50" w:firstLine="430" w:firstLineChars="205"/>
        <w:rPr>
          <w:rFonts w:hAnsi="宋体" w:cs="Times New Roman"/>
          <w:color w:val="auto"/>
          <w:kern w:val="2"/>
          <w:highlight w:val="none"/>
        </w:rPr>
      </w:pPr>
      <w:r>
        <w:rPr>
          <w:rFonts w:hAnsi="宋体" w:cs="Times New Roman"/>
          <w:color w:val="auto"/>
          <w:kern w:val="2"/>
          <w:highlight w:val="none"/>
        </w:rPr>
        <w:t>1</w:t>
      </w:r>
      <w:r>
        <w:rPr>
          <w:rFonts w:hint="eastAsia" w:hAnsi="宋体" w:cs="Times New Roman"/>
          <w:color w:val="auto"/>
          <w:kern w:val="2"/>
          <w:highlight w:val="none"/>
        </w:rPr>
        <w:t>．属于保修范围、内容的项目，承包人应当在接到保修通知之日起</w:t>
      </w:r>
      <w:r>
        <w:rPr>
          <w:rFonts w:hAnsi="宋体" w:cs="Times New Roman"/>
          <w:color w:val="auto"/>
          <w:kern w:val="2"/>
          <w:highlight w:val="none"/>
          <w:u w:val="single"/>
        </w:rPr>
        <w:t xml:space="preserve">      </w:t>
      </w:r>
      <w:r>
        <w:rPr>
          <w:rFonts w:hint="eastAsia" w:hAnsi="宋体" w:cs="Times New Roman"/>
          <w:color w:val="auto"/>
          <w:kern w:val="2"/>
          <w:highlight w:val="none"/>
        </w:rPr>
        <w:t>天内派人保修。承包人不在约定期限内派人保修的，发包人可以委托他人修理，修理费用从质量保证金内扣除。</w:t>
      </w:r>
    </w:p>
    <w:p w14:paraId="181358CF">
      <w:pPr>
        <w:spacing w:line="360" w:lineRule="auto"/>
        <w:ind w:firstLine="420"/>
        <w:rPr>
          <w:rFonts w:hAnsi="宋体" w:cs="Times New Roman"/>
          <w:color w:val="auto"/>
          <w:kern w:val="2"/>
          <w:highlight w:val="none"/>
        </w:rPr>
      </w:pPr>
      <w:r>
        <w:rPr>
          <w:rFonts w:hAnsi="宋体" w:cs="Times New Roman"/>
          <w:color w:val="auto"/>
          <w:kern w:val="2"/>
          <w:highlight w:val="none"/>
        </w:rPr>
        <w:t>2</w:t>
      </w:r>
      <w:r>
        <w:rPr>
          <w:rFonts w:hint="eastAsia" w:hAnsi="宋体" w:cs="Times New Roman"/>
          <w:color w:val="auto"/>
          <w:kern w:val="2"/>
          <w:highlight w:val="none"/>
        </w:rPr>
        <w:t>．发生紧急事故需抢修的，承包人在接到事故通知后，应当立即到达事故现场抢修。</w:t>
      </w:r>
    </w:p>
    <w:p w14:paraId="6AC69F71">
      <w:pPr>
        <w:spacing w:line="360" w:lineRule="auto"/>
        <w:ind w:firstLine="420"/>
        <w:rPr>
          <w:rFonts w:hAnsi="宋体" w:cs="Times New Roman"/>
          <w:color w:val="auto"/>
          <w:kern w:val="2"/>
          <w:highlight w:val="none"/>
        </w:rPr>
      </w:pPr>
      <w:r>
        <w:rPr>
          <w:rFonts w:hAnsi="宋体" w:cs="Times New Roman"/>
          <w:color w:val="auto"/>
          <w:kern w:val="2"/>
          <w:highlight w:val="none"/>
        </w:rPr>
        <w:t>3</w:t>
      </w:r>
      <w:r>
        <w:rPr>
          <w:rFonts w:hint="eastAsia" w:hAnsi="宋体" w:cs="Times New Roman"/>
          <w:color w:val="auto"/>
          <w:kern w:val="2"/>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A72C798">
      <w:pPr>
        <w:spacing w:line="360" w:lineRule="auto"/>
        <w:ind w:firstLine="420"/>
        <w:rPr>
          <w:rFonts w:hAnsi="宋体" w:cs="Times New Roman"/>
          <w:color w:val="auto"/>
          <w:kern w:val="2"/>
          <w:highlight w:val="none"/>
        </w:rPr>
      </w:pPr>
      <w:r>
        <w:rPr>
          <w:rFonts w:hAnsi="宋体" w:cs="Times New Roman"/>
          <w:color w:val="auto"/>
          <w:kern w:val="2"/>
          <w:highlight w:val="none"/>
        </w:rPr>
        <w:t>4</w:t>
      </w:r>
      <w:r>
        <w:rPr>
          <w:rFonts w:hint="eastAsia" w:hAnsi="宋体" w:cs="Times New Roman"/>
          <w:color w:val="auto"/>
          <w:kern w:val="2"/>
          <w:highlight w:val="none"/>
        </w:rPr>
        <w:t>．质量保修完成后，由发包人组织验收。</w:t>
      </w:r>
    </w:p>
    <w:p w14:paraId="6E0F79A4">
      <w:pPr>
        <w:spacing w:line="360" w:lineRule="auto"/>
        <w:ind w:firstLine="420"/>
        <w:rPr>
          <w:rFonts w:hAnsi="宋体" w:cs="Times New Roman"/>
          <w:color w:val="auto"/>
          <w:kern w:val="2"/>
          <w:highlight w:val="none"/>
        </w:rPr>
      </w:pPr>
      <w:r>
        <w:rPr>
          <w:rFonts w:hint="eastAsia" w:hAnsi="宋体" w:cs="Times New Roman"/>
          <w:color w:val="auto"/>
          <w:kern w:val="2"/>
          <w:highlight w:val="none"/>
        </w:rPr>
        <w:t>五、保修费用</w:t>
      </w:r>
    </w:p>
    <w:p w14:paraId="22B2038C">
      <w:pPr>
        <w:tabs>
          <w:tab w:val="left" w:pos="7380"/>
        </w:tabs>
        <w:spacing w:line="360" w:lineRule="auto"/>
        <w:ind w:firstLine="420"/>
        <w:rPr>
          <w:rFonts w:hAnsi="宋体" w:cs="Times New Roman"/>
          <w:color w:val="auto"/>
          <w:kern w:val="2"/>
          <w:highlight w:val="none"/>
        </w:rPr>
      </w:pPr>
      <w:r>
        <w:rPr>
          <w:rFonts w:hint="eastAsia" w:hAnsi="宋体" w:cs="Times New Roman"/>
          <w:color w:val="auto"/>
          <w:kern w:val="2"/>
          <w:highlight w:val="none"/>
        </w:rPr>
        <w:t>保修费用由造成质量缺陷的责任方承担。</w:t>
      </w:r>
    </w:p>
    <w:p w14:paraId="6C7A551D">
      <w:pPr>
        <w:spacing w:line="360" w:lineRule="auto"/>
        <w:ind w:firstLine="420"/>
        <w:rPr>
          <w:rFonts w:hAnsi="宋体" w:cs="Times New Roman"/>
          <w:color w:val="auto"/>
          <w:kern w:val="2"/>
          <w:highlight w:val="none"/>
        </w:rPr>
      </w:pPr>
      <w:r>
        <w:rPr>
          <w:rFonts w:hint="eastAsia" w:hAnsi="宋体" w:cs="Times New Roman"/>
          <w:color w:val="auto"/>
          <w:kern w:val="2"/>
          <w:highlight w:val="none"/>
        </w:rPr>
        <w:t>六、双方约定的其他工程质量保修事项：</w:t>
      </w:r>
      <w:r>
        <w:rPr>
          <w:rFonts w:hAnsi="宋体" w:cs="Times New Roman"/>
          <w:color w:val="auto"/>
          <w:kern w:val="2"/>
          <w:highlight w:val="none"/>
        </w:rPr>
        <w:t xml:space="preserve"> </w:t>
      </w:r>
      <w:r>
        <w:rPr>
          <w:rFonts w:hAnsi="宋体" w:cs="Times New Roman"/>
          <w:color w:val="auto"/>
          <w:kern w:val="2"/>
          <w:highlight w:val="none"/>
          <w:u w:val="single"/>
        </w:rPr>
        <w:t xml:space="preserve">                          </w:t>
      </w:r>
      <w:r>
        <w:rPr>
          <w:rFonts w:hint="eastAsia" w:hAnsi="宋体" w:cs="Times New Roman"/>
          <w:color w:val="auto"/>
          <w:kern w:val="2"/>
          <w:highlight w:val="none"/>
        </w:rPr>
        <w:t>。</w:t>
      </w:r>
    </w:p>
    <w:p w14:paraId="6FD19960">
      <w:pPr>
        <w:spacing w:line="360" w:lineRule="auto"/>
        <w:ind w:firstLine="399" w:firstLineChars="190"/>
        <w:rPr>
          <w:rFonts w:hAnsi="宋体" w:cs="Times New Roman"/>
          <w:color w:val="auto"/>
          <w:kern w:val="2"/>
          <w:highlight w:val="none"/>
        </w:rPr>
      </w:pPr>
      <w:r>
        <w:rPr>
          <w:rFonts w:hint="eastAsia" w:hAnsi="宋体" w:cs="Times New Roman"/>
          <w:color w:val="auto"/>
          <w:kern w:val="2"/>
          <w:highlight w:val="none"/>
        </w:rPr>
        <w:t>工程质量保修书由发包人、承包人在工程竣工验收前共同签署，作为施工合同附件，其有效期限至保修期满。</w:t>
      </w:r>
    </w:p>
    <w:p w14:paraId="08B3B229">
      <w:pPr>
        <w:spacing w:line="360" w:lineRule="auto"/>
        <w:ind w:firstLine="420"/>
        <w:rPr>
          <w:rFonts w:hAnsi="宋体" w:cs="Times New Roman"/>
          <w:color w:val="auto"/>
          <w:kern w:val="2"/>
          <w:highlight w:val="none"/>
        </w:rPr>
      </w:pPr>
    </w:p>
    <w:p w14:paraId="57425E9F">
      <w:pPr>
        <w:spacing w:line="360" w:lineRule="auto"/>
        <w:rPr>
          <w:rFonts w:hAnsi="宋体" w:cs="Times New Roman"/>
          <w:color w:val="auto"/>
          <w:kern w:val="2"/>
          <w:highlight w:val="none"/>
        </w:rPr>
      </w:pPr>
      <w:r>
        <w:rPr>
          <w:rFonts w:hint="eastAsia" w:hAnsi="宋体" w:cs="Times New Roman"/>
          <w:color w:val="auto"/>
          <w:kern w:val="2"/>
          <w:highlight w:val="none"/>
        </w:rPr>
        <w:t>发包人（公章）：</w:t>
      </w:r>
      <w:r>
        <w:rPr>
          <w:rFonts w:hAnsi="宋体" w:cs="MingLiU_HKSCS"/>
          <w:color w:val="auto"/>
          <w:kern w:val="2"/>
          <w:highlight w:val="none"/>
          <w:u w:val="single"/>
        </w:rPr>
        <w:t xml:space="preserve">             </w:t>
      </w:r>
      <w:r>
        <w:rPr>
          <w:rFonts w:hAnsi="宋体" w:cs="MingLiU_HKSCS"/>
          <w:color w:val="auto"/>
          <w:kern w:val="2"/>
          <w:highlight w:val="none"/>
        </w:rPr>
        <w:t xml:space="preserve"> </w:t>
      </w:r>
      <w:r>
        <w:rPr>
          <w:rFonts w:hAnsi="宋体" w:cs="Times New Roman"/>
          <w:color w:val="auto"/>
          <w:kern w:val="2"/>
          <w:highlight w:val="none"/>
        </w:rPr>
        <w:t xml:space="preserve">          </w:t>
      </w:r>
      <w:r>
        <w:rPr>
          <w:rFonts w:hint="eastAsia" w:hAnsi="宋体" w:cs="Times New Roman"/>
          <w:color w:val="auto"/>
          <w:kern w:val="2"/>
          <w:highlight w:val="none"/>
        </w:rPr>
        <w:t>承包人（公章）：</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p>
    <w:p w14:paraId="5BDEB31D">
      <w:pPr>
        <w:spacing w:line="360" w:lineRule="auto"/>
        <w:rPr>
          <w:rFonts w:hAnsi="宋体" w:cs="Times New Roman"/>
          <w:color w:val="auto"/>
          <w:kern w:val="2"/>
          <w:highlight w:val="none"/>
        </w:rPr>
      </w:pPr>
      <w:r>
        <w:rPr>
          <w:rFonts w:hint="eastAsia" w:hAnsi="宋体" w:cs="Times New Roman"/>
          <w:color w:val="auto"/>
          <w:kern w:val="2"/>
          <w:highlight w:val="none"/>
        </w:rPr>
        <w:t>地</w:t>
      </w:r>
      <w:r>
        <w:rPr>
          <w:rFonts w:hAnsi="宋体" w:cs="Times New Roman"/>
          <w:color w:val="auto"/>
          <w:kern w:val="2"/>
          <w:highlight w:val="none"/>
        </w:rPr>
        <w:t xml:space="preserve">  </w:t>
      </w:r>
      <w:r>
        <w:rPr>
          <w:rFonts w:hint="eastAsia" w:hAnsi="宋体" w:cs="Times New Roman"/>
          <w:color w:val="auto"/>
          <w:kern w:val="2"/>
          <w:highlight w:val="none"/>
        </w:rPr>
        <w:t>址：</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地</w:t>
      </w:r>
      <w:r>
        <w:rPr>
          <w:rFonts w:hAnsi="宋体" w:cs="Times New Roman"/>
          <w:color w:val="auto"/>
          <w:kern w:val="2"/>
          <w:highlight w:val="none"/>
        </w:rPr>
        <w:t xml:space="preserve">  </w:t>
      </w:r>
      <w:r>
        <w:rPr>
          <w:rFonts w:hint="eastAsia" w:hAnsi="宋体" w:cs="Times New Roman"/>
          <w:color w:val="auto"/>
          <w:kern w:val="2"/>
          <w:highlight w:val="none"/>
        </w:rPr>
        <w:t>址：</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p>
    <w:p w14:paraId="1ECFBB22">
      <w:pPr>
        <w:spacing w:line="360" w:lineRule="auto"/>
        <w:rPr>
          <w:rFonts w:hAnsi="宋体" w:cs="Times New Roman"/>
          <w:color w:val="auto"/>
          <w:kern w:val="2"/>
          <w:highlight w:val="none"/>
        </w:rPr>
      </w:pPr>
      <w:r>
        <w:rPr>
          <w:rFonts w:hint="eastAsia" w:hAnsi="宋体" w:cs="Times New Roman"/>
          <w:color w:val="auto"/>
          <w:kern w:val="2"/>
          <w:highlight w:val="none"/>
        </w:rPr>
        <w:t>法定代表人（签字）：</w:t>
      </w:r>
      <w:r>
        <w:rPr>
          <w:rFonts w:hAnsi="宋体" w:cs="MingLiU_HKSCS"/>
          <w:color w:val="auto"/>
          <w:kern w:val="2"/>
          <w:highlight w:val="none"/>
          <w:u w:val="single"/>
        </w:rPr>
        <w:t xml:space="preserve">             </w:t>
      </w:r>
      <w:r>
        <w:rPr>
          <w:rFonts w:hAnsi="宋体" w:cs="MingLiU_HKSCS"/>
          <w:color w:val="auto"/>
          <w:kern w:val="2"/>
          <w:highlight w:val="none"/>
        </w:rPr>
        <w:t xml:space="preserve"> </w:t>
      </w:r>
      <w:r>
        <w:rPr>
          <w:rFonts w:hAnsi="宋体" w:cs="Times New Roman"/>
          <w:color w:val="auto"/>
          <w:kern w:val="2"/>
          <w:highlight w:val="none"/>
        </w:rPr>
        <w:t xml:space="preserve">      </w:t>
      </w:r>
      <w:r>
        <w:rPr>
          <w:rFonts w:hint="eastAsia" w:hAnsi="宋体" w:cs="Times New Roman"/>
          <w:color w:val="auto"/>
          <w:kern w:val="2"/>
          <w:highlight w:val="none"/>
        </w:rPr>
        <w:t>法定代表人（签字）：</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p>
    <w:p w14:paraId="10FD1FAE">
      <w:pPr>
        <w:spacing w:line="360" w:lineRule="auto"/>
        <w:rPr>
          <w:rFonts w:hAnsi="宋体" w:cs="Times New Roman"/>
          <w:color w:val="auto"/>
          <w:kern w:val="2"/>
          <w:highlight w:val="none"/>
        </w:rPr>
      </w:pPr>
      <w:r>
        <w:rPr>
          <w:rFonts w:hint="eastAsia" w:hAnsi="宋体" w:cs="Times New Roman"/>
          <w:color w:val="auto"/>
          <w:kern w:val="2"/>
          <w:highlight w:val="none"/>
        </w:rPr>
        <w:t>委托代理人（签字）：</w:t>
      </w:r>
      <w:r>
        <w:rPr>
          <w:rFonts w:hAnsi="宋体" w:cs="MingLiU_HKSCS"/>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委托代理人（签字）：</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p>
    <w:p w14:paraId="6BB0BDA1">
      <w:pPr>
        <w:spacing w:line="360" w:lineRule="auto"/>
        <w:rPr>
          <w:rFonts w:hAnsi="宋体" w:cs="Times New Roman"/>
          <w:color w:val="auto"/>
          <w:kern w:val="2"/>
          <w:highlight w:val="none"/>
        </w:rPr>
      </w:pPr>
      <w:r>
        <w:rPr>
          <w:rFonts w:hint="eastAsia" w:hAnsi="宋体" w:cs="Times New Roman"/>
          <w:color w:val="auto"/>
          <w:kern w:val="2"/>
          <w:highlight w:val="none"/>
        </w:rPr>
        <w:t>电</w:t>
      </w:r>
      <w:r>
        <w:rPr>
          <w:rFonts w:hAnsi="宋体" w:cs="Times New Roman"/>
          <w:color w:val="auto"/>
          <w:kern w:val="2"/>
          <w:highlight w:val="none"/>
        </w:rPr>
        <w:t xml:space="preserve">  </w:t>
      </w:r>
      <w:r>
        <w:rPr>
          <w:rFonts w:hint="eastAsia" w:hAnsi="宋体" w:cs="Times New Roman"/>
          <w:color w:val="auto"/>
          <w:kern w:val="2"/>
          <w:highlight w:val="none"/>
        </w:rPr>
        <w:t>话：</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电</w:t>
      </w:r>
      <w:r>
        <w:rPr>
          <w:rFonts w:hAnsi="宋体" w:cs="Times New Roman"/>
          <w:color w:val="auto"/>
          <w:kern w:val="2"/>
          <w:highlight w:val="none"/>
        </w:rPr>
        <w:t xml:space="preserve">  </w:t>
      </w:r>
      <w:r>
        <w:rPr>
          <w:rFonts w:hint="eastAsia" w:hAnsi="宋体" w:cs="Times New Roman"/>
          <w:color w:val="auto"/>
          <w:kern w:val="2"/>
          <w:highlight w:val="none"/>
        </w:rPr>
        <w:t>话：</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p>
    <w:p w14:paraId="765CE330">
      <w:pPr>
        <w:spacing w:line="360" w:lineRule="auto"/>
        <w:rPr>
          <w:rFonts w:hAnsi="宋体" w:cs="Times New Roman"/>
          <w:color w:val="auto"/>
          <w:kern w:val="2"/>
          <w:highlight w:val="none"/>
        </w:rPr>
      </w:pPr>
      <w:r>
        <w:rPr>
          <w:rFonts w:hint="eastAsia" w:hAnsi="宋体" w:cs="Times New Roman"/>
          <w:color w:val="auto"/>
          <w:kern w:val="2"/>
          <w:highlight w:val="none"/>
        </w:rPr>
        <w:t>传</w:t>
      </w:r>
      <w:r>
        <w:rPr>
          <w:rFonts w:hAnsi="宋体" w:cs="Times New Roman"/>
          <w:color w:val="auto"/>
          <w:kern w:val="2"/>
          <w:highlight w:val="none"/>
        </w:rPr>
        <w:t xml:space="preserve">  </w:t>
      </w:r>
      <w:r>
        <w:rPr>
          <w:rFonts w:hint="eastAsia" w:hAnsi="宋体" w:cs="Times New Roman"/>
          <w:color w:val="auto"/>
          <w:kern w:val="2"/>
          <w:highlight w:val="none"/>
        </w:rPr>
        <w:t>真：</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传</w:t>
      </w:r>
      <w:r>
        <w:rPr>
          <w:rFonts w:hAnsi="宋体" w:cs="Times New Roman"/>
          <w:color w:val="auto"/>
          <w:kern w:val="2"/>
          <w:highlight w:val="none"/>
        </w:rPr>
        <w:t xml:space="preserve">  </w:t>
      </w:r>
      <w:r>
        <w:rPr>
          <w:rFonts w:hint="eastAsia" w:hAnsi="宋体" w:cs="Times New Roman"/>
          <w:color w:val="auto"/>
          <w:kern w:val="2"/>
          <w:highlight w:val="none"/>
        </w:rPr>
        <w:t>真：</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p>
    <w:p w14:paraId="1E29150E">
      <w:pPr>
        <w:spacing w:line="360" w:lineRule="auto"/>
        <w:rPr>
          <w:rFonts w:hAnsi="宋体" w:cs="Times New Roman"/>
          <w:color w:val="auto"/>
          <w:kern w:val="2"/>
          <w:highlight w:val="none"/>
        </w:rPr>
      </w:pPr>
      <w:r>
        <w:rPr>
          <w:rFonts w:hint="eastAsia" w:hAnsi="宋体" w:cs="Times New Roman"/>
          <w:color w:val="auto"/>
          <w:kern w:val="2"/>
          <w:highlight w:val="none"/>
        </w:rPr>
        <w:t>开户银行：</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开户银行：</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p>
    <w:p w14:paraId="2CD04A06">
      <w:pPr>
        <w:tabs>
          <w:tab w:val="left" w:pos="2880"/>
          <w:tab w:val="left" w:pos="3060"/>
          <w:tab w:val="left" w:pos="4500"/>
        </w:tabs>
        <w:spacing w:line="360" w:lineRule="auto"/>
        <w:rPr>
          <w:rFonts w:hAnsi="宋体" w:cs="Times New Roman"/>
          <w:color w:val="auto"/>
          <w:kern w:val="2"/>
          <w:highlight w:val="none"/>
        </w:rPr>
      </w:pPr>
      <w:r>
        <w:rPr>
          <w:rFonts w:hint="eastAsia" w:hAnsi="宋体" w:cs="Times New Roman"/>
          <w:color w:val="auto"/>
          <w:kern w:val="2"/>
          <w:highlight w:val="none"/>
        </w:rPr>
        <w:t>账</w:t>
      </w:r>
      <w:r>
        <w:rPr>
          <w:rFonts w:hAnsi="宋体" w:cs="Times New Roman"/>
          <w:color w:val="auto"/>
          <w:kern w:val="2"/>
          <w:highlight w:val="none"/>
        </w:rPr>
        <w:t xml:space="preserve">  </w:t>
      </w:r>
      <w:r>
        <w:rPr>
          <w:rFonts w:hint="eastAsia" w:hAnsi="宋体" w:cs="Times New Roman"/>
          <w:color w:val="auto"/>
          <w:kern w:val="2"/>
          <w:highlight w:val="none"/>
        </w:rPr>
        <w:t>号：</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账</w:t>
      </w:r>
      <w:r>
        <w:rPr>
          <w:rFonts w:hAnsi="宋体" w:cs="Times New Roman"/>
          <w:color w:val="auto"/>
          <w:kern w:val="2"/>
          <w:highlight w:val="none"/>
        </w:rPr>
        <w:t xml:space="preserve">  </w:t>
      </w:r>
      <w:r>
        <w:rPr>
          <w:rFonts w:hint="eastAsia" w:hAnsi="宋体" w:cs="Times New Roman"/>
          <w:color w:val="auto"/>
          <w:kern w:val="2"/>
          <w:highlight w:val="none"/>
        </w:rPr>
        <w:t>号：</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p>
    <w:p w14:paraId="54597CF8">
      <w:pPr>
        <w:tabs>
          <w:tab w:val="left" w:pos="7200"/>
          <w:tab w:val="left" w:pos="7380"/>
          <w:tab w:val="left" w:pos="7560"/>
        </w:tabs>
        <w:spacing w:line="360" w:lineRule="auto"/>
        <w:rPr>
          <w:rFonts w:ascii="Calibri" w:hAnsi="Calibri" w:cs="Times New Roman"/>
          <w:color w:val="auto"/>
          <w:kern w:val="2"/>
          <w:highlight w:val="none"/>
        </w:rPr>
      </w:pPr>
      <w:r>
        <w:rPr>
          <w:rFonts w:hint="eastAsia" w:hAnsi="宋体" w:cs="Times New Roman"/>
          <w:color w:val="auto"/>
          <w:kern w:val="2"/>
          <w:highlight w:val="none"/>
        </w:rPr>
        <w:t>邮政编码：</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邮政编码：</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p>
    <w:p w14:paraId="72477D25">
      <w:pPr>
        <w:spacing w:before="120" w:beforeLines="50" w:after="120" w:afterLines="50" w:line="440" w:lineRule="exact"/>
        <w:jc w:val="center"/>
        <w:rPr>
          <w:rFonts w:hAnsi="宋体" w:cs="黑体"/>
          <w:color w:val="auto"/>
          <w:kern w:val="2"/>
          <w:sz w:val="32"/>
          <w:szCs w:val="32"/>
          <w:highlight w:val="none"/>
        </w:rPr>
      </w:pPr>
    </w:p>
    <w:p w14:paraId="404CAFC6">
      <w:pPr>
        <w:spacing w:before="120" w:beforeLines="50" w:after="120" w:afterLines="50" w:line="440" w:lineRule="exact"/>
        <w:jc w:val="center"/>
        <w:rPr>
          <w:rFonts w:hAnsi="宋体" w:cs="黑体"/>
          <w:color w:val="auto"/>
          <w:kern w:val="2"/>
          <w:sz w:val="32"/>
          <w:szCs w:val="32"/>
          <w:highlight w:val="none"/>
        </w:rPr>
      </w:pPr>
    </w:p>
    <w:p w14:paraId="2AF8DA05">
      <w:pPr>
        <w:spacing w:before="120" w:beforeLines="50" w:after="120" w:afterLines="50" w:line="440" w:lineRule="exact"/>
        <w:jc w:val="center"/>
        <w:rPr>
          <w:rFonts w:hAnsi="宋体" w:cs="黑体"/>
          <w:color w:val="auto"/>
          <w:kern w:val="2"/>
          <w:sz w:val="32"/>
          <w:szCs w:val="32"/>
          <w:highlight w:val="none"/>
        </w:rPr>
      </w:pPr>
    </w:p>
    <w:p w14:paraId="2F05E220">
      <w:pPr>
        <w:spacing w:before="120" w:beforeLines="50" w:after="120" w:afterLines="50" w:line="440" w:lineRule="exact"/>
        <w:jc w:val="center"/>
        <w:rPr>
          <w:rFonts w:hAnsi="宋体" w:cs="黑体"/>
          <w:color w:val="auto"/>
          <w:kern w:val="2"/>
          <w:sz w:val="32"/>
          <w:szCs w:val="32"/>
          <w:highlight w:val="none"/>
        </w:rPr>
      </w:pPr>
    </w:p>
    <w:p w14:paraId="1D1380FD">
      <w:pPr>
        <w:spacing w:before="120" w:beforeLines="50" w:after="120" w:afterLines="50" w:line="440" w:lineRule="exact"/>
        <w:jc w:val="center"/>
        <w:rPr>
          <w:rFonts w:hAnsi="宋体" w:cs="黑体"/>
          <w:color w:val="auto"/>
          <w:kern w:val="2"/>
          <w:sz w:val="32"/>
          <w:szCs w:val="32"/>
          <w:highlight w:val="none"/>
        </w:rPr>
      </w:pPr>
    </w:p>
    <w:p w14:paraId="121EDB89">
      <w:pPr>
        <w:spacing w:before="120" w:beforeLines="50" w:after="120" w:afterLines="50" w:line="440" w:lineRule="exact"/>
        <w:rPr>
          <w:rFonts w:hAnsi="宋体" w:cs="黑体"/>
          <w:color w:val="auto"/>
          <w:kern w:val="2"/>
          <w:sz w:val="32"/>
          <w:szCs w:val="32"/>
          <w:highlight w:val="none"/>
        </w:rPr>
      </w:pPr>
    </w:p>
    <w:p w14:paraId="3DEAA06F">
      <w:pPr>
        <w:pStyle w:val="2"/>
        <w:ind w:left="63" w:right="63"/>
        <w:rPr>
          <w:color w:val="auto"/>
          <w:highlight w:val="none"/>
        </w:rPr>
      </w:pPr>
    </w:p>
    <w:p w14:paraId="325E06C9">
      <w:pPr>
        <w:pStyle w:val="2"/>
        <w:ind w:left="63" w:right="63"/>
        <w:rPr>
          <w:color w:val="auto"/>
          <w:highlight w:val="none"/>
        </w:rPr>
      </w:pPr>
    </w:p>
    <w:p w14:paraId="57584C41">
      <w:pPr>
        <w:pStyle w:val="2"/>
        <w:ind w:left="63" w:right="63"/>
        <w:rPr>
          <w:color w:val="auto"/>
          <w:highlight w:val="none"/>
        </w:rPr>
      </w:pPr>
    </w:p>
    <w:p w14:paraId="44FF495F">
      <w:pPr>
        <w:pStyle w:val="2"/>
        <w:ind w:left="63" w:right="63"/>
        <w:rPr>
          <w:color w:val="auto"/>
          <w:highlight w:val="none"/>
        </w:rPr>
      </w:pPr>
    </w:p>
    <w:p w14:paraId="7947FB6B">
      <w:pPr>
        <w:pStyle w:val="2"/>
        <w:ind w:left="63" w:right="63"/>
        <w:rPr>
          <w:color w:val="auto"/>
          <w:highlight w:val="none"/>
        </w:rPr>
      </w:pPr>
    </w:p>
    <w:p w14:paraId="04BFE381">
      <w:pPr>
        <w:pStyle w:val="2"/>
        <w:ind w:left="63" w:right="63"/>
        <w:rPr>
          <w:color w:val="auto"/>
          <w:highlight w:val="none"/>
        </w:rPr>
      </w:pPr>
    </w:p>
    <w:p w14:paraId="0A95F4A6">
      <w:pPr>
        <w:spacing w:before="120" w:beforeLines="50" w:after="120" w:afterLines="50" w:line="440" w:lineRule="exact"/>
        <w:jc w:val="center"/>
        <w:rPr>
          <w:rFonts w:hAnsi="宋体" w:cs="Times New Roman"/>
          <w:color w:val="auto"/>
          <w:kern w:val="2"/>
          <w:sz w:val="32"/>
          <w:szCs w:val="32"/>
          <w:highlight w:val="none"/>
        </w:rPr>
      </w:pPr>
      <w:r>
        <w:rPr>
          <w:rFonts w:hint="eastAsia" w:hAnsi="宋体" w:cs="黑体"/>
          <w:color w:val="auto"/>
          <w:kern w:val="2"/>
          <w:sz w:val="32"/>
          <w:szCs w:val="32"/>
          <w:highlight w:val="none"/>
        </w:rPr>
        <w:t>工程质量保修书（</w:t>
      </w:r>
      <w:r>
        <w:rPr>
          <w:rFonts w:hint="eastAsia" w:hAnsi="宋体" w:cs="黑体"/>
          <w:color w:val="auto"/>
          <w:kern w:val="2"/>
          <w:sz w:val="32"/>
          <w:szCs w:val="32"/>
          <w:highlight w:val="none"/>
          <w:lang w:eastAsia="zh-CN"/>
        </w:rPr>
        <w:t>市政</w:t>
      </w:r>
      <w:r>
        <w:rPr>
          <w:rFonts w:hint="eastAsia" w:hAnsi="宋体" w:cs="黑体"/>
          <w:color w:val="auto"/>
          <w:kern w:val="2"/>
          <w:sz w:val="32"/>
          <w:szCs w:val="32"/>
          <w:highlight w:val="none"/>
        </w:rPr>
        <w:t>工程）</w:t>
      </w:r>
    </w:p>
    <w:p w14:paraId="75B0E3AF">
      <w:pPr>
        <w:spacing w:line="360" w:lineRule="auto"/>
        <w:ind w:firstLine="420" w:firstLineChars="200"/>
        <w:rPr>
          <w:rFonts w:hAnsi="宋体" w:cs="Times New Roman"/>
          <w:color w:val="auto"/>
          <w:kern w:val="2"/>
          <w:highlight w:val="none"/>
        </w:rPr>
      </w:pPr>
      <w:r>
        <w:rPr>
          <w:rFonts w:hint="eastAsia" w:hAnsi="宋体"/>
          <w:color w:val="auto"/>
          <w:kern w:val="2"/>
          <w:highlight w:val="none"/>
        </w:rPr>
        <w:t>发包人（全称）：</w:t>
      </w:r>
      <w:r>
        <w:rPr>
          <w:rFonts w:hAnsi="宋体"/>
          <w:color w:val="auto"/>
          <w:kern w:val="2"/>
          <w:highlight w:val="none"/>
          <w:u w:val="single"/>
        </w:rPr>
        <w:t xml:space="preserve">                                </w:t>
      </w:r>
      <w:r>
        <w:rPr>
          <w:rFonts w:hAnsi="宋体"/>
          <w:color w:val="auto"/>
          <w:kern w:val="2"/>
          <w:highlight w:val="none"/>
        </w:rPr>
        <w:t xml:space="preserve"> </w:t>
      </w:r>
    </w:p>
    <w:p w14:paraId="61ACCB0F">
      <w:pPr>
        <w:spacing w:line="360" w:lineRule="auto"/>
        <w:ind w:firstLine="420" w:firstLineChars="200"/>
        <w:rPr>
          <w:rFonts w:hAnsi="宋体" w:cs="Times New Roman"/>
          <w:color w:val="auto"/>
          <w:kern w:val="2"/>
          <w:highlight w:val="none"/>
        </w:rPr>
      </w:pPr>
      <w:r>
        <w:rPr>
          <w:rFonts w:hint="eastAsia" w:hAnsi="宋体"/>
          <w:color w:val="auto"/>
          <w:kern w:val="2"/>
          <w:highlight w:val="none"/>
        </w:rPr>
        <w:t>承包人（全称）：</w:t>
      </w:r>
      <w:r>
        <w:rPr>
          <w:rFonts w:hAnsi="宋体"/>
          <w:color w:val="auto"/>
          <w:kern w:val="2"/>
          <w:highlight w:val="none"/>
          <w:u w:val="single"/>
        </w:rPr>
        <w:t xml:space="preserve">                                </w:t>
      </w:r>
      <w:r>
        <w:rPr>
          <w:rFonts w:hAnsi="宋体"/>
          <w:color w:val="auto"/>
          <w:kern w:val="2"/>
          <w:highlight w:val="none"/>
        </w:rPr>
        <w:t xml:space="preserve"> </w:t>
      </w:r>
    </w:p>
    <w:p w14:paraId="2504DDC1">
      <w:pPr>
        <w:spacing w:line="360" w:lineRule="auto"/>
        <w:rPr>
          <w:rFonts w:hAnsi="宋体" w:cs="Times New Roman"/>
          <w:color w:val="auto"/>
          <w:kern w:val="2"/>
          <w:highlight w:val="none"/>
        </w:rPr>
      </w:pPr>
    </w:p>
    <w:p w14:paraId="1BB4566D">
      <w:pPr>
        <w:spacing w:line="360" w:lineRule="auto"/>
        <w:ind w:firstLine="420"/>
        <w:rPr>
          <w:rFonts w:hAnsi="宋体" w:cs="Times New Roman"/>
          <w:color w:val="auto"/>
          <w:kern w:val="2"/>
          <w:highlight w:val="none"/>
        </w:rPr>
      </w:pPr>
      <w:r>
        <w:rPr>
          <w:rFonts w:hint="eastAsia" w:hAnsi="宋体"/>
          <w:color w:val="auto"/>
          <w:kern w:val="2"/>
          <w:highlight w:val="none"/>
        </w:rPr>
        <w:t>发包人和承包人根据《中华人民共和国建筑法》和《建设工程质量管理条例》，经协商一致就</w:t>
      </w:r>
      <w:r>
        <w:rPr>
          <w:rFonts w:hAnsi="宋体"/>
          <w:color w:val="auto"/>
          <w:kern w:val="2"/>
          <w:highlight w:val="none"/>
          <w:u w:val="single"/>
        </w:rPr>
        <w:t xml:space="preserve">                                     </w:t>
      </w:r>
      <w:r>
        <w:rPr>
          <w:rFonts w:hint="eastAsia" w:hAnsi="宋体"/>
          <w:color w:val="auto"/>
          <w:kern w:val="2"/>
          <w:highlight w:val="none"/>
        </w:rPr>
        <w:t>（工程全称）签订工程质量保修书。</w:t>
      </w:r>
    </w:p>
    <w:p w14:paraId="67A73B90">
      <w:pPr>
        <w:spacing w:line="360" w:lineRule="auto"/>
        <w:ind w:firstLine="420" w:firstLineChars="200"/>
        <w:rPr>
          <w:rFonts w:hAnsi="宋体" w:cs="Times New Roman"/>
          <w:color w:val="auto"/>
          <w:kern w:val="2"/>
          <w:highlight w:val="none"/>
        </w:rPr>
      </w:pPr>
      <w:r>
        <w:rPr>
          <w:rFonts w:hint="eastAsia" w:hAnsi="宋体" w:cs="黑体"/>
          <w:color w:val="auto"/>
          <w:kern w:val="2"/>
          <w:highlight w:val="none"/>
        </w:rPr>
        <w:t>一、工程质量保修范围和内容</w:t>
      </w:r>
    </w:p>
    <w:p w14:paraId="4E4FA978">
      <w:pPr>
        <w:spacing w:line="360" w:lineRule="auto"/>
        <w:ind w:firstLine="420" w:firstLineChars="200"/>
        <w:rPr>
          <w:rFonts w:hAnsi="宋体" w:cs="Times New Roman"/>
          <w:color w:val="auto"/>
          <w:kern w:val="2"/>
          <w:highlight w:val="none"/>
        </w:rPr>
      </w:pPr>
      <w:r>
        <w:rPr>
          <w:rFonts w:hint="eastAsia" w:hAnsi="宋体"/>
          <w:color w:val="auto"/>
          <w:kern w:val="2"/>
          <w:highlight w:val="none"/>
        </w:rPr>
        <w:t>承包人在质量保修期内，按照有关法律规定和合同约定，承担工程质量保修责任。</w:t>
      </w:r>
    </w:p>
    <w:p w14:paraId="03FE5BE4">
      <w:pPr>
        <w:spacing w:line="360" w:lineRule="auto"/>
        <w:ind w:firstLine="420" w:firstLineChars="200"/>
        <w:rPr>
          <w:rFonts w:hAnsi="宋体" w:cs="Times New Roman"/>
          <w:color w:val="auto"/>
          <w:kern w:val="2"/>
          <w:highlight w:val="none"/>
        </w:rPr>
      </w:pPr>
      <w:r>
        <w:rPr>
          <w:rFonts w:hint="eastAsia" w:hAnsi="宋体"/>
          <w:color w:val="auto"/>
          <w:kern w:val="2"/>
          <w:highlight w:val="none"/>
        </w:rPr>
        <w:t>质量保修范围包括</w:t>
      </w:r>
      <w:r>
        <w:rPr>
          <w:rFonts w:hAnsi="宋体"/>
          <w:color w:val="auto"/>
          <w:kern w:val="2"/>
          <w:highlight w:val="none"/>
          <w:u w:val="single"/>
        </w:rPr>
        <w:t xml:space="preserve">                                </w:t>
      </w:r>
      <w:r>
        <w:rPr>
          <w:rFonts w:hint="eastAsia" w:hAnsi="宋体"/>
          <w:color w:val="auto"/>
          <w:kern w:val="2"/>
          <w:highlight w:val="none"/>
        </w:rPr>
        <w:t>，以及双方约定的其他项目。具体保修的内容，双方约定如下：</w:t>
      </w:r>
      <w:r>
        <w:rPr>
          <w:rFonts w:hAnsi="宋体"/>
          <w:color w:val="auto"/>
          <w:kern w:val="2"/>
          <w:highlight w:val="none"/>
          <w:u w:val="single"/>
        </w:rPr>
        <w:t xml:space="preserve">                                    </w:t>
      </w:r>
      <w:r>
        <w:rPr>
          <w:rFonts w:hint="eastAsia" w:hAnsi="宋体"/>
          <w:color w:val="auto"/>
          <w:kern w:val="2"/>
          <w:highlight w:val="none"/>
        </w:rPr>
        <w:t>。</w:t>
      </w:r>
    </w:p>
    <w:p w14:paraId="34DDB0F7">
      <w:pPr>
        <w:spacing w:line="360" w:lineRule="auto"/>
        <w:ind w:firstLine="420" w:firstLineChars="200"/>
        <w:rPr>
          <w:rFonts w:hAnsi="宋体" w:cs="Times New Roman"/>
          <w:color w:val="auto"/>
          <w:kern w:val="2"/>
          <w:highlight w:val="none"/>
        </w:rPr>
      </w:pPr>
      <w:r>
        <w:rPr>
          <w:rFonts w:hint="eastAsia" w:hAnsi="宋体" w:cs="黑体"/>
          <w:color w:val="auto"/>
          <w:kern w:val="2"/>
          <w:highlight w:val="none"/>
        </w:rPr>
        <w:t>二、质量保修期</w:t>
      </w:r>
    </w:p>
    <w:p w14:paraId="1ECD3FEE">
      <w:pPr>
        <w:spacing w:line="360" w:lineRule="auto"/>
        <w:ind w:firstLine="420" w:firstLineChars="200"/>
        <w:rPr>
          <w:rFonts w:hAnsi="宋体" w:cs="Times New Roman"/>
          <w:color w:val="auto"/>
          <w:kern w:val="2"/>
          <w:highlight w:val="none"/>
        </w:rPr>
      </w:pPr>
      <w:r>
        <w:rPr>
          <w:rFonts w:hint="eastAsia" w:hAnsi="宋体"/>
          <w:color w:val="auto"/>
          <w:kern w:val="2"/>
          <w:highlight w:val="none"/>
        </w:rPr>
        <w:t>根据《建设工程质量管理条例》及有关规定，工程的质量保修期如下：</w:t>
      </w:r>
    </w:p>
    <w:p w14:paraId="441BEBDA">
      <w:pPr>
        <w:spacing w:line="360" w:lineRule="auto"/>
        <w:ind w:firstLine="426"/>
        <w:rPr>
          <w:rFonts w:hAnsi="宋体" w:cs="Times New Roman"/>
          <w:color w:val="auto"/>
          <w:kern w:val="2"/>
          <w:highlight w:val="none"/>
        </w:rPr>
      </w:pPr>
      <w:r>
        <w:rPr>
          <w:rFonts w:hAnsi="宋体"/>
          <w:color w:val="auto"/>
          <w:kern w:val="2"/>
          <w:highlight w:val="none"/>
        </w:rPr>
        <w:t>1</w:t>
      </w:r>
      <w:r>
        <w:rPr>
          <w:rFonts w:hint="eastAsia" w:hAnsi="宋体"/>
          <w:color w:val="auto"/>
          <w:kern w:val="2"/>
          <w:highlight w:val="none"/>
        </w:rPr>
        <w:t>．桥梁工程为</w:t>
      </w:r>
      <w:r>
        <w:rPr>
          <w:rFonts w:hAnsi="宋体" w:cs="Times New Roman"/>
          <w:color w:val="auto"/>
          <w:kern w:val="2"/>
          <w:highlight w:val="none"/>
          <w:u w:val="single"/>
        </w:rPr>
        <w:t xml:space="preserve">     </w:t>
      </w:r>
      <w:r>
        <w:rPr>
          <w:rFonts w:hint="eastAsia" w:hAnsi="宋体"/>
          <w:color w:val="auto"/>
          <w:kern w:val="2"/>
          <w:highlight w:val="none"/>
        </w:rPr>
        <w:t>年（建议桥梁隧道主体结构工程为设计文件规定的合理使用年限）；</w:t>
      </w:r>
    </w:p>
    <w:p w14:paraId="38AE0B34">
      <w:pPr>
        <w:spacing w:line="360" w:lineRule="auto"/>
        <w:ind w:firstLine="426"/>
        <w:rPr>
          <w:rFonts w:hAnsi="宋体" w:cs="Times New Roman"/>
          <w:color w:val="auto"/>
          <w:kern w:val="2"/>
          <w:highlight w:val="none"/>
        </w:rPr>
      </w:pPr>
      <w:r>
        <w:rPr>
          <w:rFonts w:hAnsi="宋体" w:cs="Times New Roman"/>
          <w:color w:val="auto"/>
          <w:kern w:val="2"/>
          <w:highlight w:val="none"/>
        </w:rPr>
        <w:t>2</w:t>
      </w:r>
      <w:r>
        <w:rPr>
          <w:rFonts w:hint="eastAsia" w:hAnsi="宋体"/>
          <w:color w:val="auto"/>
          <w:kern w:val="2"/>
          <w:highlight w:val="none"/>
        </w:rPr>
        <w:t>．道路工程为</w:t>
      </w:r>
      <w:r>
        <w:rPr>
          <w:rFonts w:hAnsi="宋体" w:cs="Times New Roman"/>
          <w:color w:val="auto"/>
          <w:kern w:val="2"/>
          <w:highlight w:val="none"/>
          <w:u w:val="single"/>
        </w:rPr>
        <w:t xml:space="preserve">     </w:t>
      </w:r>
      <w:r>
        <w:rPr>
          <w:rFonts w:hint="eastAsia" w:hAnsi="宋体"/>
          <w:color w:val="auto"/>
          <w:kern w:val="2"/>
          <w:highlight w:val="none"/>
        </w:rPr>
        <w:t>年（建议路基、路面、桥面为</w:t>
      </w:r>
      <w:r>
        <w:rPr>
          <w:rFonts w:hAnsi="宋体" w:cs="Times New Roman"/>
          <w:color w:val="auto"/>
          <w:kern w:val="2"/>
          <w:highlight w:val="none"/>
        </w:rPr>
        <w:t>2</w:t>
      </w:r>
      <w:r>
        <w:rPr>
          <w:rFonts w:hint="eastAsia" w:hAnsi="宋体"/>
          <w:color w:val="auto"/>
          <w:kern w:val="2"/>
          <w:highlight w:val="none"/>
        </w:rPr>
        <w:t>年）；</w:t>
      </w:r>
    </w:p>
    <w:p w14:paraId="6985C394">
      <w:pPr>
        <w:spacing w:line="360" w:lineRule="auto"/>
        <w:ind w:firstLine="426"/>
        <w:rPr>
          <w:rFonts w:hAnsi="宋体" w:cs="Times New Roman"/>
          <w:color w:val="auto"/>
          <w:kern w:val="2"/>
          <w:highlight w:val="none"/>
        </w:rPr>
      </w:pPr>
      <w:r>
        <w:rPr>
          <w:rFonts w:hAnsi="宋体" w:cs="Times New Roman"/>
          <w:color w:val="auto"/>
          <w:kern w:val="2"/>
          <w:highlight w:val="none"/>
        </w:rPr>
        <w:t>3</w:t>
      </w:r>
      <w:r>
        <w:rPr>
          <w:rFonts w:hint="eastAsia" w:hAnsi="宋体"/>
          <w:color w:val="auto"/>
          <w:kern w:val="2"/>
          <w:highlight w:val="none"/>
        </w:rPr>
        <w:t>．排水（雨水）工程为</w:t>
      </w:r>
      <w:r>
        <w:rPr>
          <w:rFonts w:hAnsi="宋体" w:cs="Times New Roman"/>
          <w:color w:val="auto"/>
          <w:kern w:val="2"/>
          <w:highlight w:val="none"/>
          <w:u w:val="single"/>
        </w:rPr>
        <w:t xml:space="preserve">     </w:t>
      </w:r>
      <w:r>
        <w:rPr>
          <w:rFonts w:hint="eastAsia" w:hAnsi="宋体"/>
          <w:color w:val="auto"/>
          <w:kern w:val="2"/>
          <w:highlight w:val="none"/>
        </w:rPr>
        <w:t>年（建议道路工程中的排水工程为</w:t>
      </w:r>
      <w:r>
        <w:rPr>
          <w:rFonts w:hAnsi="宋体" w:cs="Times New Roman"/>
          <w:color w:val="auto"/>
          <w:kern w:val="2"/>
          <w:highlight w:val="none"/>
        </w:rPr>
        <w:t>3</w:t>
      </w:r>
      <w:r>
        <w:rPr>
          <w:rFonts w:hint="eastAsia" w:hAnsi="宋体"/>
          <w:color w:val="auto"/>
          <w:kern w:val="2"/>
          <w:highlight w:val="none"/>
        </w:rPr>
        <w:t>年）；</w:t>
      </w:r>
    </w:p>
    <w:p w14:paraId="5360EB9E">
      <w:pPr>
        <w:spacing w:line="360" w:lineRule="auto"/>
        <w:ind w:firstLine="426"/>
        <w:rPr>
          <w:rFonts w:hAnsi="宋体" w:cs="Times New Roman"/>
          <w:color w:val="auto"/>
          <w:kern w:val="2"/>
          <w:highlight w:val="none"/>
        </w:rPr>
      </w:pPr>
      <w:r>
        <w:rPr>
          <w:rFonts w:hAnsi="宋体" w:cs="Times New Roman"/>
          <w:color w:val="auto"/>
          <w:kern w:val="2"/>
          <w:highlight w:val="none"/>
        </w:rPr>
        <w:t>4</w:t>
      </w:r>
      <w:r>
        <w:rPr>
          <w:rFonts w:hint="eastAsia" w:hAnsi="宋体"/>
          <w:color w:val="auto"/>
          <w:kern w:val="2"/>
          <w:highlight w:val="none"/>
        </w:rPr>
        <w:t>．绿化工程为</w:t>
      </w:r>
      <w:r>
        <w:rPr>
          <w:rFonts w:hAnsi="宋体" w:cs="Times New Roman"/>
          <w:color w:val="auto"/>
          <w:kern w:val="2"/>
          <w:highlight w:val="none"/>
        </w:rPr>
        <w:t xml:space="preserve"> </w:t>
      </w:r>
      <w:r>
        <w:rPr>
          <w:rFonts w:hint="eastAsia" w:hAnsi="宋体"/>
          <w:color w:val="auto"/>
          <w:kern w:val="2"/>
          <w:highlight w:val="none"/>
          <w:u w:val="single"/>
        </w:rPr>
        <w:t>单位工程竣工验收合格后</w:t>
      </w:r>
      <w:r>
        <w:rPr>
          <w:rFonts w:hAnsi="宋体" w:cs="Times New Roman"/>
          <w:color w:val="auto"/>
          <w:kern w:val="2"/>
          <w:highlight w:val="none"/>
          <w:u w:val="single"/>
        </w:rPr>
        <w:t xml:space="preserve">    </w:t>
      </w:r>
      <w:r>
        <w:rPr>
          <w:rFonts w:hint="eastAsia" w:hAnsi="宋体"/>
          <w:color w:val="auto"/>
          <w:kern w:val="2"/>
          <w:highlight w:val="none"/>
          <w:u w:val="single"/>
        </w:rPr>
        <w:t>年</w:t>
      </w:r>
      <w:r>
        <w:rPr>
          <w:rFonts w:hint="eastAsia" w:hAnsi="宋体"/>
          <w:color w:val="auto"/>
          <w:kern w:val="2"/>
          <w:highlight w:val="none"/>
        </w:rPr>
        <w:t>；</w:t>
      </w:r>
    </w:p>
    <w:p w14:paraId="41E74091">
      <w:pPr>
        <w:spacing w:line="360" w:lineRule="auto"/>
        <w:ind w:firstLine="426"/>
        <w:rPr>
          <w:rFonts w:hAnsi="宋体" w:cs="Times New Roman"/>
          <w:color w:val="auto"/>
          <w:kern w:val="2"/>
          <w:highlight w:val="none"/>
        </w:rPr>
      </w:pPr>
      <w:r>
        <w:rPr>
          <w:rFonts w:hAnsi="宋体" w:cs="Times New Roman"/>
          <w:color w:val="auto"/>
          <w:kern w:val="2"/>
          <w:highlight w:val="none"/>
        </w:rPr>
        <w:t xml:space="preserve">5.  </w:t>
      </w:r>
      <w:r>
        <w:rPr>
          <w:rFonts w:hint="eastAsia" w:hAnsi="宋体"/>
          <w:color w:val="auto"/>
          <w:kern w:val="2"/>
          <w:highlight w:val="none"/>
        </w:rPr>
        <w:t>地下防水工程为</w:t>
      </w:r>
      <w:r>
        <w:rPr>
          <w:rFonts w:hAnsi="宋体" w:cs="Times New Roman"/>
          <w:color w:val="auto"/>
          <w:kern w:val="2"/>
          <w:highlight w:val="none"/>
          <w:u w:val="single"/>
        </w:rPr>
        <w:t xml:space="preserve">     </w:t>
      </w:r>
      <w:r>
        <w:rPr>
          <w:rFonts w:hint="eastAsia" w:hAnsi="宋体"/>
          <w:color w:val="auto"/>
          <w:kern w:val="2"/>
          <w:highlight w:val="none"/>
        </w:rPr>
        <w:t>年（建议为</w:t>
      </w:r>
      <w:r>
        <w:rPr>
          <w:rFonts w:hAnsi="宋体" w:cs="Times New Roman"/>
          <w:color w:val="auto"/>
          <w:kern w:val="2"/>
          <w:highlight w:val="none"/>
        </w:rPr>
        <w:t>5</w:t>
      </w:r>
      <w:r>
        <w:rPr>
          <w:rFonts w:hint="eastAsia" w:hAnsi="宋体"/>
          <w:color w:val="auto"/>
          <w:kern w:val="2"/>
          <w:highlight w:val="none"/>
        </w:rPr>
        <w:t>年）；</w:t>
      </w:r>
    </w:p>
    <w:p w14:paraId="41313B8E">
      <w:pPr>
        <w:spacing w:line="360" w:lineRule="auto"/>
        <w:ind w:firstLine="426"/>
        <w:rPr>
          <w:rFonts w:hAnsi="宋体" w:cs="Times New Roman"/>
          <w:color w:val="auto"/>
          <w:kern w:val="2"/>
          <w:highlight w:val="none"/>
        </w:rPr>
      </w:pPr>
      <w:r>
        <w:rPr>
          <w:rFonts w:hAnsi="宋体" w:cs="Times New Roman"/>
          <w:color w:val="auto"/>
          <w:kern w:val="2"/>
          <w:highlight w:val="none"/>
        </w:rPr>
        <w:t>6</w:t>
      </w:r>
      <w:r>
        <w:rPr>
          <w:rFonts w:hint="eastAsia" w:hAnsi="宋体"/>
          <w:color w:val="auto"/>
          <w:kern w:val="2"/>
          <w:highlight w:val="none"/>
        </w:rPr>
        <w:t>．其他附属工程为</w:t>
      </w:r>
      <w:r>
        <w:rPr>
          <w:rFonts w:hAnsi="宋体" w:cs="Times New Roman"/>
          <w:color w:val="auto"/>
          <w:kern w:val="2"/>
          <w:highlight w:val="none"/>
          <w:u w:val="single"/>
        </w:rPr>
        <w:t xml:space="preserve">      </w:t>
      </w:r>
      <w:r>
        <w:rPr>
          <w:rFonts w:hint="eastAsia" w:hAnsi="宋体"/>
          <w:color w:val="auto"/>
          <w:kern w:val="2"/>
          <w:highlight w:val="none"/>
        </w:rPr>
        <w:t>年；</w:t>
      </w:r>
    </w:p>
    <w:p w14:paraId="02677DC2">
      <w:pPr>
        <w:spacing w:line="360" w:lineRule="auto"/>
        <w:ind w:firstLine="420" w:firstLineChars="200"/>
        <w:rPr>
          <w:rFonts w:hAnsi="宋体" w:cs="Times New Roman"/>
          <w:color w:val="auto"/>
          <w:kern w:val="2"/>
          <w:highlight w:val="none"/>
        </w:rPr>
      </w:pPr>
      <w:r>
        <w:rPr>
          <w:rFonts w:hAnsi="宋体"/>
          <w:color w:val="auto"/>
          <w:kern w:val="2"/>
          <w:highlight w:val="none"/>
        </w:rPr>
        <w:t>7</w:t>
      </w:r>
      <w:r>
        <w:rPr>
          <w:rFonts w:hint="eastAsia" w:hAnsi="宋体"/>
          <w:color w:val="auto"/>
          <w:kern w:val="2"/>
          <w:highlight w:val="none"/>
        </w:rPr>
        <w:t>．其他项目保修期限约定如下：</w:t>
      </w:r>
      <w:r>
        <w:rPr>
          <w:rFonts w:hAnsi="宋体"/>
          <w:color w:val="auto"/>
          <w:kern w:val="2"/>
          <w:highlight w:val="none"/>
          <w:u w:val="single"/>
        </w:rPr>
        <w:t xml:space="preserve">                          </w:t>
      </w:r>
      <w:r>
        <w:rPr>
          <w:rFonts w:hint="eastAsia" w:hAnsi="宋体"/>
          <w:color w:val="auto"/>
          <w:kern w:val="2"/>
          <w:highlight w:val="none"/>
        </w:rPr>
        <w:t>。</w:t>
      </w:r>
    </w:p>
    <w:p w14:paraId="5B86D48B">
      <w:pPr>
        <w:spacing w:line="360" w:lineRule="auto"/>
        <w:ind w:firstLine="420" w:firstLineChars="200"/>
        <w:rPr>
          <w:rFonts w:hAnsi="宋体" w:cs="Times New Roman"/>
          <w:color w:val="auto"/>
          <w:kern w:val="2"/>
          <w:highlight w:val="none"/>
        </w:rPr>
      </w:pPr>
      <w:r>
        <w:rPr>
          <w:rFonts w:hint="eastAsia" w:hAnsi="宋体"/>
          <w:color w:val="auto"/>
          <w:kern w:val="2"/>
          <w:highlight w:val="none"/>
        </w:rPr>
        <w:t>质量保修期自工程竣工验收合格之日起计算。</w:t>
      </w:r>
    </w:p>
    <w:p w14:paraId="4FEACAE9">
      <w:pPr>
        <w:spacing w:line="360" w:lineRule="auto"/>
        <w:ind w:firstLine="420" w:firstLineChars="200"/>
        <w:rPr>
          <w:rFonts w:hAnsi="宋体" w:cs="Times New Roman"/>
          <w:color w:val="auto"/>
          <w:kern w:val="2"/>
          <w:highlight w:val="none"/>
        </w:rPr>
      </w:pPr>
      <w:r>
        <w:rPr>
          <w:rFonts w:hint="eastAsia" w:hAnsi="宋体" w:cs="黑体"/>
          <w:color w:val="auto"/>
          <w:kern w:val="2"/>
          <w:highlight w:val="none"/>
        </w:rPr>
        <w:t>三、缺陷责任期</w:t>
      </w:r>
    </w:p>
    <w:p w14:paraId="48F92ED9">
      <w:pPr>
        <w:spacing w:line="360" w:lineRule="auto"/>
        <w:ind w:firstLine="420" w:firstLineChars="200"/>
        <w:rPr>
          <w:rFonts w:hAnsi="宋体" w:cs="Times New Roman"/>
          <w:color w:val="auto"/>
          <w:kern w:val="2"/>
          <w:highlight w:val="none"/>
        </w:rPr>
      </w:pPr>
      <w:r>
        <w:rPr>
          <w:rFonts w:hint="eastAsia" w:hAnsi="宋体"/>
          <w:color w:val="auto"/>
          <w:kern w:val="2"/>
          <w:highlight w:val="none"/>
        </w:rPr>
        <w:t>工程缺陷责任期为</w:t>
      </w:r>
      <w:r>
        <w:rPr>
          <w:rFonts w:hAnsi="宋体"/>
          <w:color w:val="auto"/>
          <w:kern w:val="2"/>
          <w:highlight w:val="none"/>
          <w:u w:val="single"/>
        </w:rPr>
        <w:t xml:space="preserve">         </w:t>
      </w:r>
      <w:r>
        <w:rPr>
          <w:rFonts w:hint="eastAsia" w:hAnsi="宋体"/>
          <w:color w:val="auto"/>
          <w:kern w:val="2"/>
          <w:highlight w:val="none"/>
        </w:rPr>
        <w:t>个月（最长不超过</w:t>
      </w:r>
      <w:r>
        <w:rPr>
          <w:rFonts w:hAnsi="宋体" w:cs="Times New Roman"/>
          <w:color w:val="auto"/>
          <w:kern w:val="2"/>
          <w:highlight w:val="none"/>
        </w:rPr>
        <w:t>24</w:t>
      </w:r>
      <w:r>
        <w:rPr>
          <w:rFonts w:hint="eastAsia" w:hAnsi="宋体"/>
          <w:color w:val="auto"/>
          <w:kern w:val="2"/>
          <w:highlight w:val="none"/>
        </w:rPr>
        <w:t>个月），缺陷责任期自工程竣工验收合格之日起计算。单位工程先于全部工程进行验收，单位工程缺陷责任期自单位工程验收合格之日起算。</w:t>
      </w:r>
    </w:p>
    <w:p w14:paraId="07761569">
      <w:pPr>
        <w:spacing w:line="360" w:lineRule="auto"/>
        <w:ind w:firstLine="420" w:firstLineChars="200"/>
        <w:rPr>
          <w:rFonts w:hAnsi="宋体" w:cs="Times New Roman"/>
          <w:color w:val="auto"/>
          <w:kern w:val="2"/>
          <w:highlight w:val="none"/>
        </w:rPr>
      </w:pPr>
      <w:r>
        <w:rPr>
          <w:rFonts w:hint="eastAsia" w:hAnsi="宋体"/>
          <w:color w:val="auto"/>
          <w:kern w:val="2"/>
          <w:highlight w:val="none"/>
        </w:rPr>
        <w:t>缺陷责任期终止后，发包人应退还剩余的质量保证金。</w:t>
      </w:r>
    </w:p>
    <w:p w14:paraId="5027C73F">
      <w:pPr>
        <w:spacing w:line="360" w:lineRule="auto"/>
        <w:ind w:firstLine="420" w:firstLineChars="200"/>
        <w:rPr>
          <w:rFonts w:hAnsi="宋体" w:cs="Times New Roman"/>
          <w:color w:val="auto"/>
          <w:kern w:val="2"/>
          <w:highlight w:val="none"/>
        </w:rPr>
      </w:pPr>
      <w:r>
        <w:rPr>
          <w:rFonts w:hint="eastAsia" w:hAnsi="宋体" w:cs="黑体"/>
          <w:color w:val="auto"/>
          <w:kern w:val="2"/>
          <w:highlight w:val="none"/>
        </w:rPr>
        <w:t>四、质量保修责任</w:t>
      </w:r>
    </w:p>
    <w:p w14:paraId="30F72F52">
      <w:pPr>
        <w:spacing w:line="360" w:lineRule="auto"/>
        <w:ind w:firstLine="420" w:firstLineChars="200"/>
        <w:rPr>
          <w:rFonts w:hAnsi="宋体" w:cs="Times New Roman"/>
          <w:color w:val="auto"/>
          <w:kern w:val="2"/>
          <w:highlight w:val="none"/>
        </w:rPr>
      </w:pPr>
      <w:r>
        <w:rPr>
          <w:rFonts w:hAnsi="宋体"/>
          <w:color w:val="auto"/>
          <w:kern w:val="2"/>
          <w:highlight w:val="none"/>
        </w:rPr>
        <w:t>1</w:t>
      </w:r>
      <w:r>
        <w:rPr>
          <w:rFonts w:hint="eastAsia" w:hAnsi="宋体"/>
          <w:color w:val="auto"/>
          <w:kern w:val="2"/>
          <w:highlight w:val="none"/>
        </w:rPr>
        <w:t>．属于保修范围、内容的项目，承包人应当在接到保修通知之日起</w:t>
      </w:r>
      <w:r>
        <w:rPr>
          <w:rFonts w:hAnsi="宋体"/>
          <w:color w:val="auto"/>
          <w:kern w:val="2"/>
          <w:highlight w:val="none"/>
          <w:u w:val="single"/>
        </w:rPr>
        <w:t xml:space="preserve">      </w:t>
      </w:r>
      <w:r>
        <w:rPr>
          <w:rFonts w:hint="eastAsia" w:hAnsi="宋体"/>
          <w:color w:val="auto"/>
          <w:kern w:val="2"/>
          <w:highlight w:val="none"/>
        </w:rPr>
        <w:t>天内派人保修。承包人不在约定期限内派人保修的，发包人可以委托他人修理，修理费用从质量保证金内扣除。</w:t>
      </w:r>
    </w:p>
    <w:p w14:paraId="29667E94">
      <w:pPr>
        <w:spacing w:line="360" w:lineRule="auto"/>
        <w:ind w:firstLine="420" w:firstLineChars="200"/>
        <w:rPr>
          <w:rFonts w:hAnsi="宋体" w:cs="Times New Roman"/>
          <w:color w:val="auto"/>
          <w:kern w:val="2"/>
          <w:highlight w:val="none"/>
        </w:rPr>
      </w:pPr>
      <w:r>
        <w:rPr>
          <w:rFonts w:hAnsi="宋体"/>
          <w:color w:val="auto"/>
          <w:kern w:val="2"/>
          <w:highlight w:val="none"/>
        </w:rPr>
        <w:t>2</w:t>
      </w:r>
      <w:r>
        <w:rPr>
          <w:rFonts w:hint="eastAsia" w:hAnsi="宋体"/>
          <w:color w:val="auto"/>
          <w:kern w:val="2"/>
          <w:highlight w:val="none"/>
        </w:rPr>
        <w:t>．发生紧急事故需抢修的，承包人在接到事故通知后，应当立即到达事故现场抢修。</w:t>
      </w:r>
    </w:p>
    <w:p w14:paraId="3502E48D">
      <w:pPr>
        <w:spacing w:line="360" w:lineRule="auto"/>
        <w:ind w:firstLine="420" w:firstLineChars="200"/>
        <w:rPr>
          <w:rFonts w:hAnsi="宋体" w:cs="Times New Roman"/>
          <w:color w:val="auto"/>
          <w:kern w:val="2"/>
          <w:highlight w:val="none"/>
        </w:rPr>
      </w:pPr>
      <w:r>
        <w:rPr>
          <w:rFonts w:hAnsi="宋体"/>
          <w:color w:val="auto"/>
          <w:kern w:val="2"/>
          <w:highlight w:val="none"/>
        </w:rPr>
        <w:t>3</w:t>
      </w:r>
      <w:r>
        <w:rPr>
          <w:rFonts w:hint="eastAsia" w:hAnsi="宋体"/>
          <w:color w:val="auto"/>
          <w:kern w:val="2"/>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92A08EF">
      <w:pPr>
        <w:spacing w:line="360" w:lineRule="auto"/>
        <w:ind w:firstLine="420" w:firstLineChars="200"/>
        <w:rPr>
          <w:rFonts w:hAnsi="宋体" w:cs="Times New Roman"/>
          <w:color w:val="auto"/>
          <w:kern w:val="2"/>
          <w:highlight w:val="none"/>
        </w:rPr>
      </w:pPr>
      <w:r>
        <w:rPr>
          <w:rFonts w:hAnsi="宋体"/>
          <w:color w:val="auto"/>
          <w:kern w:val="2"/>
          <w:highlight w:val="none"/>
        </w:rPr>
        <w:t>4</w:t>
      </w:r>
      <w:r>
        <w:rPr>
          <w:rFonts w:hint="eastAsia" w:hAnsi="宋体"/>
          <w:color w:val="auto"/>
          <w:kern w:val="2"/>
          <w:highlight w:val="none"/>
        </w:rPr>
        <w:t>．质量保修完成后，由发包人组织验收。</w:t>
      </w:r>
    </w:p>
    <w:p w14:paraId="258D18AA">
      <w:pPr>
        <w:spacing w:line="360" w:lineRule="auto"/>
        <w:ind w:firstLine="420" w:firstLineChars="200"/>
        <w:rPr>
          <w:rFonts w:hAnsi="宋体" w:cs="Times New Roman"/>
          <w:color w:val="auto"/>
          <w:kern w:val="2"/>
          <w:highlight w:val="none"/>
        </w:rPr>
      </w:pPr>
      <w:r>
        <w:rPr>
          <w:rFonts w:hint="eastAsia" w:hAnsi="宋体" w:cs="黑体"/>
          <w:color w:val="auto"/>
          <w:kern w:val="2"/>
          <w:highlight w:val="none"/>
        </w:rPr>
        <w:t>五、保修费用</w:t>
      </w:r>
    </w:p>
    <w:p w14:paraId="62D634CC">
      <w:pPr>
        <w:spacing w:line="360" w:lineRule="auto"/>
        <w:ind w:firstLine="420" w:firstLineChars="200"/>
        <w:rPr>
          <w:rFonts w:hAnsi="宋体" w:cs="Times New Roman"/>
          <w:color w:val="auto"/>
          <w:kern w:val="2"/>
          <w:highlight w:val="none"/>
        </w:rPr>
      </w:pPr>
      <w:r>
        <w:rPr>
          <w:rFonts w:hint="eastAsia" w:hAnsi="宋体"/>
          <w:color w:val="auto"/>
          <w:kern w:val="2"/>
          <w:highlight w:val="none"/>
        </w:rPr>
        <w:t>保修费用由造成质量缺陷的责任方承担。</w:t>
      </w:r>
    </w:p>
    <w:p w14:paraId="47E12046">
      <w:pPr>
        <w:spacing w:line="360" w:lineRule="auto"/>
        <w:ind w:firstLine="420" w:firstLineChars="200"/>
        <w:rPr>
          <w:rFonts w:hAnsi="宋体" w:cs="黑体"/>
          <w:color w:val="auto"/>
          <w:kern w:val="2"/>
          <w:highlight w:val="none"/>
          <w:u w:val="single"/>
        </w:rPr>
      </w:pPr>
      <w:r>
        <w:rPr>
          <w:rFonts w:hint="eastAsia" w:hAnsi="宋体" w:cs="黑体"/>
          <w:color w:val="auto"/>
          <w:kern w:val="2"/>
          <w:highlight w:val="none"/>
        </w:rPr>
        <w:t>六、双方约定的其他工程质量保修事项：</w:t>
      </w:r>
      <w:r>
        <w:rPr>
          <w:rFonts w:hAnsi="宋体"/>
          <w:color w:val="auto"/>
          <w:kern w:val="2"/>
          <w:highlight w:val="none"/>
          <w:u w:val="single"/>
        </w:rPr>
        <w:t xml:space="preserve">                           </w:t>
      </w:r>
      <w:r>
        <w:rPr>
          <w:rFonts w:hint="eastAsia" w:hAnsi="宋体"/>
          <w:color w:val="auto"/>
          <w:kern w:val="2"/>
          <w:highlight w:val="none"/>
        </w:rPr>
        <w:t>。</w:t>
      </w:r>
    </w:p>
    <w:p w14:paraId="79BD0F3F">
      <w:pPr>
        <w:spacing w:line="360" w:lineRule="auto"/>
        <w:ind w:firstLine="399" w:firstLineChars="190"/>
        <w:rPr>
          <w:rFonts w:hAnsi="宋体" w:cs="Times New Roman"/>
          <w:color w:val="auto"/>
          <w:kern w:val="2"/>
          <w:highlight w:val="none"/>
        </w:rPr>
      </w:pPr>
      <w:r>
        <w:rPr>
          <w:rFonts w:hint="eastAsia" w:hAnsi="宋体"/>
          <w:color w:val="auto"/>
          <w:kern w:val="2"/>
          <w:highlight w:val="none"/>
        </w:rPr>
        <w:t>工程质量保修书由发包人、承包人在工程竣工验收前共同签署，作为施工合同附件，其有效期限至保修期满。</w:t>
      </w:r>
    </w:p>
    <w:p w14:paraId="21FECB7E">
      <w:pPr>
        <w:spacing w:line="360" w:lineRule="auto"/>
        <w:ind w:firstLine="420"/>
        <w:rPr>
          <w:rFonts w:hAnsi="宋体" w:cs="Times New Roman"/>
          <w:color w:val="auto"/>
          <w:kern w:val="2"/>
          <w:highlight w:val="none"/>
        </w:rPr>
      </w:pPr>
    </w:p>
    <w:p w14:paraId="089D8D1F">
      <w:pPr>
        <w:spacing w:line="360" w:lineRule="auto"/>
        <w:rPr>
          <w:rFonts w:hAnsi="宋体" w:cs="Times New Roman"/>
          <w:color w:val="auto"/>
          <w:kern w:val="2"/>
          <w:highlight w:val="none"/>
        </w:rPr>
      </w:pPr>
      <w:r>
        <w:rPr>
          <w:rFonts w:hint="eastAsia" w:hAnsi="宋体" w:cs="Times New Roman"/>
          <w:color w:val="auto"/>
          <w:kern w:val="2"/>
          <w:highlight w:val="none"/>
        </w:rPr>
        <w:t>发包人（公章）：</w:t>
      </w:r>
      <w:r>
        <w:rPr>
          <w:rFonts w:hAnsi="宋体" w:cs="MingLiU_HKSCS"/>
          <w:color w:val="auto"/>
          <w:kern w:val="2"/>
          <w:highlight w:val="none"/>
          <w:u w:val="single"/>
        </w:rPr>
        <w:t xml:space="preserve">             </w:t>
      </w:r>
      <w:r>
        <w:rPr>
          <w:rFonts w:hAnsi="宋体" w:cs="MingLiU_HKSCS"/>
          <w:color w:val="auto"/>
          <w:kern w:val="2"/>
          <w:highlight w:val="none"/>
        </w:rPr>
        <w:t xml:space="preserve"> </w:t>
      </w:r>
      <w:r>
        <w:rPr>
          <w:rFonts w:hAnsi="宋体" w:cs="Times New Roman"/>
          <w:color w:val="auto"/>
          <w:kern w:val="2"/>
          <w:highlight w:val="none"/>
        </w:rPr>
        <w:t xml:space="preserve">          </w:t>
      </w:r>
      <w:r>
        <w:rPr>
          <w:rFonts w:hint="eastAsia" w:hAnsi="宋体" w:cs="Times New Roman"/>
          <w:color w:val="auto"/>
          <w:kern w:val="2"/>
          <w:highlight w:val="none"/>
        </w:rPr>
        <w:t>承包人（公章）：</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p>
    <w:p w14:paraId="1427FB0A">
      <w:pPr>
        <w:spacing w:line="360" w:lineRule="auto"/>
        <w:rPr>
          <w:rFonts w:hAnsi="宋体" w:cs="Times New Roman"/>
          <w:color w:val="auto"/>
          <w:kern w:val="2"/>
          <w:highlight w:val="none"/>
        </w:rPr>
      </w:pPr>
      <w:r>
        <w:rPr>
          <w:rFonts w:hint="eastAsia" w:hAnsi="宋体" w:cs="Times New Roman"/>
          <w:color w:val="auto"/>
          <w:kern w:val="2"/>
          <w:highlight w:val="none"/>
        </w:rPr>
        <w:t>地</w:t>
      </w:r>
      <w:r>
        <w:rPr>
          <w:rFonts w:hAnsi="宋体" w:cs="Times New Roman"/>
          <w:color w:val="auto"/>
          <w:kern w:val="2"/>
          <w:highlight w:val="none"/>
        </w:rPr>
        <w:t xml:space="preserve">  </w:t>
      </w:r>
      <w:r>
        <w:rPr>
          <w:rFonts w:hint="eastAsia" w:hAnsi="宋体" w:cs="Times New Roman"/>
          <w:color w:val="auto"/>
          <w:kern w:val="2"/>
          <w:highlight w:val="none"/>
        </w:rPr>
        <w:t>址：</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地</w:t>
      </w:r>
      <w:r>
        <w:rPr>
          <w:rFonts w:hAnsi="宋体" w:cs="Times New Roman"/>
          <w:color w:val="auto"/>
          <w:kern w:val="2"/>
          <w:highlight w:val="none"/>
        </w:rPr>
        <w:t xml:space="preserve">  </w:t>
      </w:r>
      <w:r>
        <w:rPr>
          <w:rFonts w:hint="eastAsia" w:hAnsi="宋体" w:cs="Times New Roman"/>
          <w:color w:val="auto"/>
          <w:kern w:val="2"/>
          <w:highlight w:val="none"/>
        </w:rPr>
        <w:t>址：</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p>
    <w:p w14:paraId="76A63BC1">
      <w:pPr>
        <w:spacing w:line="360" w:lineRule="auto"/>
        <w:rPr>
          <w:rFonts w:hAnsi="宋体" w:cs="Times New Roman"/>
          <w:color w:val="auto"/>
          <w:kern w:val="2"/>
          <w:highlight w:val="none"/>
        </w:rPr>
      </w:pPr>
      <w:r>
        <w:rPr>
          <w:rFonts w:hint="eastAsia" w:hAnsi="宋体" w:cs="Times New Roman"/>
          <w:color w:val="auto"/>
          <w:kern w:val="2"/>
          <w:highlight w:val="none"/>
        </w:rPr>
        <w:t>法定代表人（签字）：</w:t>
      </w:r>
      <w:r>
        <w:rPr>
          <w:rFonts w:hAnsi="宋体" w:cs="MingLiU_HKSCS"/>
          <w:color w:val="auto"/>
          <w:kern w:val="2"/>
          <w:highlight w:val="none"/>
          <w:u w:val="single"/>
        </w:rPr>
        <w:t xml:space="preserve">             </w:t>
      </w:r>
      <w:r>
        <w:rPr>
          <w:rFonts w:hAnsi="宋体" w:cs="MingLiU_HKSCS"/>
          <w:color w:val="auto"/>
          <w:kern w:val="2"/>
          <w:highlight w:val="none"/>
        </w:rPr>
        <w:t xml:space="preserve"> </w:t>
      </w:r>
      <w:r>
        <w:rPr>
          <w:rFonts w:hAnsi="宋体" w:cs="Times New Roman"/>
          <w:color w:val="auto"/>
          <w:kern w:val="2"/>
          <w:highlight w:val="none"/>
        </w:rPr>
        <w:t xml:space="preserve">      </w:t>
      </w:r>
      <w:r>
        <w:rPr>
          <w:rFonts w:hint="eastAsia" w:hAnsi="宋体" w:cs="Times New Roman"/>
          <w:color w:val="auto"/>
          <w:kern w:val="2"/>
          <w:highlight w:val="none"/>
        </w:rPr>
        <w:t>法定代表人（签字）：</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p>
    <w:p w14:paraId="00AB7A43">
      <w:pPr>
        <w:spacing w:line="360" w:lineRule="auto"/>
        <w:rPr>
          <w:rFonts w:hAnsi="宋体" w:cs="Times New Roman"/>
          <w:color w:val="auto"/>
          <w:kern w:val="2"/>
          <w:highlight w:val="none"/>
        </w:rPr>
      </w:pPr>
      <w:r>
        <w:rPr>
          <w:rFonts w:hint="eastAsia" w:hAnsi="宋体" w:cs="Times New Roman"/>
          <w:color w:val="auto"/>
          <w:kern w:val="2"/>
          <w:highlight w:val="none"/>
        </w:rPr>
        <w:t>委托代理人（签字）：</w:t>
      </w:r>
      <w:r>
        <w:rPr>
          <w:rFonts w:hAnsi="宋体" w:cs="MingLiU_HKSCS"/>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委托代理人（签字）：</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p>
    <w:p w14:paraId="5084C610">
      <w:pPr>
        <w:spacing w:line="360" w:lineRule="auto"/>
        <w:rPr>
          <w:rFonts w:hAnsi="宋体" w:cs="Times New Roman"/>
          <w:color w:val="auto"/>
          <w:kern w:val="2"/>
          <w:highlight w:val="none"/>
        </w:rPr>
      </w:pPr>
      <w:r>
        <w:rPr>
          <w:rFonts w:hint="eastAsia" w:hAnsi="宋体" w:cs="Times New Roman"/>
          <w:color w:val="auto"/>
          <w:kern w:val="2"/>
          <w:highlight w:val="none"/>
        </w:rPr>
        <w:t>电</w:t>
      </w:r>
      <w:r>
        <w:rPr>
          <w:rFonts w:hAnsi="宋体" w:cs="Times New Roman"/>
          <w:color w:val="auto"/>
          <w:kern w:val="2"/>
          <w:highlight w:val="none"/>
        </w:rPr>
        <w:t xml:space="preserve">  </w:t>
      </w:r>
      <w:r>
        <w:rPr>
          <w:rFonts w:hint="eastAsia" w:hAnsi="宋体" w:cs="Times New Roman"/>
          <w:color w:val="auto"/>
          <w:kern w:val="2"/>
          <w:highlight w:val="none"/>
        </w:rPr>
        <w:t>话：</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电</w:t>
      </w:r>
      <w:r>
        <w:rPr>
          <w:rFonts w:hAnsi="宋体" w:cs="Times New Roman"/>
          <w:color w:val="auto"/>
          <w:kern w:val="2"/>
          <w:highlight w:val="none"/>
        </w:rPr>
        <w:t xml:space="preserve">  </w:t>
      </w:r>
      <w:r>
        <w:rPr>
          <w:rFonts w:hint="eastAsia" w:hAnsi="宋体" w:cs="Times New Roman"/>
          <w:color w:val="auto"/>
          <w:kern w:val="2"/>
          <w:highlight w:val="none"/>
        </w:rPr>
        <w:t>话：</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p>
    <w:p w14:paraId="443A31ED">
      <w:pPr>
        <w:spacing w:line="360" w:lineRule="auto"/>
        <w:rPr>
          <w:rFonts w:hAnsi="宋体" w:cs="Times New Roman"/>
          <w:color w:val="auto"/>
          <w:kern w:val="2"/>
          <w:highlight w:val="none"/>
        </w:rPr>
      </w:pPr>
      <w:r>
        <w:rPr>
          <w:rFonts w:hint="eastAsia" w:hAnsi="宋体" w:cs="Times New Roman"/>
          <w:color w:val="auto"/>
          <w:kern w:val="2"/>
          <w:highlight w:val="none"/>
        </w:rPr>
        <w:t>传</w:t>
      </w:r>
      <w:r>
        <w:rPr>
          <w:rFonts w:hAnsi="宋体" w:cs="Times New Roman"/>
          <w:color w:val="auto"/>
          <w:kern w:val="2"/>
          <w:highlight w:val="none"/>
        </w:rPr>
        <w:t xml:space="preserve">  </w:t>
      </w:r>
      <w:r>
        <w:rPr>
          <w:rFonts w:hint="eastAsia" w:hAnsi="宋体" w:cs="Times New Roman"/>
          <w:color w:val="auto"/>
          <w:kern w:val="2"/>
          <w:highlight w:val="none"/>
        </w:rPr>
        <w:t>真：</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传</w:t>
      </w:r>
      <w:r>
        <w:rPr>
          <w:rFonts w:hAnsi="宋体" w:cs="Times New Roman"/>
          <w:color w:val="auto"/>
          <w:kern w:val="2"/>
          <w:highlight w:val="none"/>
        </w:rPr>
        <w:t xml:space="preserve">  </w:t>
      </w:r>
      <w:r>
        <w:rPr>
          <w:rFonts w:hint="eastAsia" w:hAnsi="宋体" w:cs="Times New Roman"/>
          <w:color w:val="auto"/>
          <w:kern w:val="2"/>
          <w:highlight w:val="none"/>
        </w:rPr>
        <w:t>真：</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p>
    <w:p w14:paraId="6B531C32">
      <w:pPr>
        <w:spacing w:line="360" w:lineRule="auto"/>
        <w:rPr>
          <w:rFonts w:hAnsi="宋体" w:cs="Times New Roman"/>
          <w:color w:val="auto"/>
          <w:kern w:val="2"/>
          <w:highlight w:val="none"/>
        </w:rPr>
      </w:pPr>
      <w:r>
        <w:rPr>
          <w:rFonts w:hint="eastAsia" w:hAnsi="宋体" w:cs="Times New Roman"/>
          <w:color w:val="auto"/>
          <w:kern w:val="2"/>
          <w:highlight w:val="none"/>
        </w:rPr>
        <w:t>开户银行：</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开户银行：</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p>
    <w:p w14:paraId="65CBE724">
      <w:pPr>
        <w:tabs>
          <w:tab w:val="left" w:pos="2880"/>
          <w:tab w:val="left" w:pos="3060"/>
          <w:tab w:val="left" w:pos="4500"/>
        </w:tabs>
        <w:spacing w:line="360" w:lineRule="auto"/>
        <w:rPr>
          <w:rFonts w:hAnsi="宋体" w:cs="Times New Roman"/>
          <w:color w:val="auto"/>
          <w:kern w:val="2"/>
          <w:highlight w:val="none"/>
        </w:rPr>
      </w:pPr>
      <w:r>
        <w:rPr>
          <w:rFonts w:hint="eastAsia" w:hAnsi="宋体" w:cs="Times New Roman"/>
          <w:color w:val="auto"/>
          <w:kern w:val="2"/>
          <w:highlight w:val="none"/>
        </w:rPr>
        <w:t>账</w:t>
      </w:r>
      <w:r>
        <w:rPr>
          <w:rFonts w:hAnsi="宋体" w:cs="Times New Roman"/>
          <w:color w:val="auto"/>
          <w:kern w:val="2"/>
          <w:highlight w:val="none"/>
        </w:rPr>
        <w:t xml:space="preserve">  </w:t>
      </w:r>
      <w:r>
        <w:rPr>
          <w:rFonts w:hint="eastAsia" w:hAnsi="宋体" w:cs="Times New Roman"/>
          <w:color w:val="auto"/>
          <w:kern w:val="2"/>
          <w:highlight w:val="none"/>
        </w:rPr>
        <w:t>号：</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账</w:t>
      </w:r>
      <w:r>
        <w:rPr>
          <w:rFonts w:hAnsi="宋体" w:cs="Times New Roman"/>
          <w:color w:val="auto"/>
          <w:kern w:val="2"/>
          <w:highlight w:val="none"/>
        </w:rPr>
        <w:t xml:space="preserve">  </w:t>
      </w:r>
      <w:r>
        <w:rPr>
          <w:rFonts w:hint="eastAsia" w:hAnsi="宋体" w:cs="Times New Roman"/>
          <w:color w:val="auto"/>
          <w:kern w:val="2"/>
          <w:highlight w:val="none"/>
        </w:rPr>
        <w:t>号：</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p>
    <w:p w14:paraId="19D74FDC">
      <w:pPr>
        <w:tabs>
          <w:tab w:val="left" w:pos="7200"/>
          <w:tab w:val="left" w:pos="7380"/>
          <w:tab w:val="left" w:pos="7560"/>
        </w:tabs>
        <w:spacing w:line="360" w:lineRule="auto"/>
        <w:rPr>
          <w:rFonts w:ascii="Calibri" w:hAnsi="Calibri" w:cs="Times New Roman"/>
          <w:color w:val="auto"/>
          <w:kern w:val="2"/>
          <w:highlight w:val="none"/>
        </w:rPr>
      </w:pPr>
      <w:r>
        <w:rPr>
          <w:rFonts w:hint="eastAsia" w:hAnsi="宋体" w:cs="Times New Roman"/>
          <w:color w:val="auto"/>
          <w:kern w:val="2"/>
          <w:highlight w:val="none"/>
        </w:rPr>
        <w:t>邮政编码：</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邮政编码：</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p>
    <w:p w14:paraId="4E47E156">
      <w:pPr>
        <w:rPr>
          <w:rFonts w:hAnsi="宋体" w:cs="Times New Roman"/>
          <w:color w:val="auto"/>
          <w:kern w:val="2"/>
          <w:sz w:val="20"/>
          <w:szCs w:val="24"/>
          <w:highlight w:val="none"/>
        </w:rPr>
      </w:pPr>
      <w:r>
        <w:rPr>
          <w:rFonts w:hAnsi="宋体" w:cs="Times New Roman"/>
          <w:color w:val="auto"/>
          <w:kern w:val="2"/>
          <w:sz w:val="20"/>
          <w:szCs w:val="24"/>
          <w:highlight w:val="none"/>
        </w:rPr>
        <w:t xml:space="preserve"> </w:t>
      </w:r>
    </w:p>
    <w:p w14:paraId="146D78D5">
      <w:pPr>
        <w:pStyle w:val="2"/>
        <w:ind w:left="63" w:right="63"/>
        <w:rPr>
          <w:rFonts w:ascii="宋体"/>
          <w:color w:val="auto"/>
          <w:sz w:val="20"/>
          <w:szCs w:val="24"/>
          <w:highlight w:val="none"/>
        </w:rPr>
      </w:pPr>
    </w:p>
    <w:p w14:paraId="52A50A9E">
      <w:pPr>
        <w:pStyle w:val="2"/>
        <w:ind w:left="63" w:right="63"/>
        <w:rPr>
          <w:rFonts w:ascii="宋体"/>
          <w:color w:val="auto"/>
          <w:sz w:val="20"/>
          <w:szCs w:val="24"/>
          <w:highlight w:val="none"/>
        </w:rPr>
      </w:pPr>
    </w:p>
    <w:p w14:paraId="7EECF746">
      <w:pPr>
        <w:pStyle w:val="2"/>
        <w:ind w:left="63" w:right="63"/>
        <w:rPr>
          <w:rFonts w:ascii="宋体"/>
          <w:color w:val="auto"/>
          <w:sz w:val="20"/>
          <w:szCs w:val="24"/>
          <w:highlight w:val="none"/>
        </w:rPr>
      </w:pPr>
    </w:p>
    <w:p w14:paraId="4EAC8139">
      <w:pPr>
        <w:pStyle w:val="2"/>
        <w:ind w:left="63" w:right="63"/>
        <w:rPr>
          <w:rFonts w:ascii="宋体"/>
          <w:color w:val="auto"/>
          <w:sz w:val="20"/>
          <w:szCs w:val="24"/>
          <w:highlight w:val="none"/>
        </w:rPr>
      </w:pPr>
    </w:p>
    <w:p w14:paraId="3C664CD9">
      <w:pPr>
        <w:pStyle w:val="2"/>
        <w:ind w:left="63" w:right="63"/>
        <w:rPr>
          <w:rFonts w:ascii="宋体"/>
          <w:color w:val="auto"/>
          <w:sz w:val="20"/>
          <w:szCs w:val="24"/>
          <w:highlight w:val="none"/>
        </w:rPr>
      </w:pPr>
    </w:p>
    <w:p w14:paraId="0FC1F8D0">
      <w:pPr>
        <w:pStyle w:val="2"/>
        <w:ind w:left="63" w:right="63"/>
        <w:rPr>
          <w:rFonts w:ascii="宋体"/>
          <w:color w:val="auto"/>
          <w:sz w:val="20"/>
          <w:szCs w:val="24"/>
          <w:highlight w:val="none"/>
        </w:rPr>
      </w:pPr>
    </w:p>
    <w:p w14:paraId="1E7F6505">
      <w:pPr>
        <w:pStyle w:val="2"/>
        <w:ind w:left="63" w:right="63"/>
        <w:rPr>
          <w:rFonts w:ascii="宋体"/>
          <w:color w:val="auto"/>
          <w:sz w:val="20"/>
          <w:szCs w:val="24"/>
          <w:highlight w:val="none"/>
        </w:rPr>
      </w:pPr>
    </w:p>
    <w:p w14:paraId="05E32F12">
      <w:pPr>
        <w:pStyle w:val="2"/>
        <w:ind w:left="63" w:right="63"/>
        <w:rPr>
          <w:rFonts w:ascii="宋体"/>
          <w:color w:val="auto"/>
          <w:sz w:val="20"/>
          <w:szCs w:val="24"/>
          <w:highlight w:val="none"/>
        </w:rPr>
      </w:pPr>
    </w:p>
    <w:p w14:paraId="3B60260D">
      <w:pPr>
        <w:pStyle w:val="2"/>
        <w:ind w:left="63" w:right="63"/>
        <w:rPr>
          <w:rFonts w:ascii="宋体"/>
          <w:color w:val="auto"/>
          <w:sz w:val="20"/>
          <w:szCs w:val="24"/>
          <w:highlight w:val="none"/>
        </w:rPr>
      </w:pPr>
    </w:p>
    <w:p w14:paraId="1094835A">
      <w:pPr>
        <w:pStyle w:val="2"/>
        <w:ind w:left="63" w:right="63"/>
        <w:rPr>
          <w:rFonts w:ascii="宋体"/>
          <w:color w:val="auto"/>
          <w:sz w:val="20"/>
          <w:szCs w:val="24"/>
          <w:highlight w:val="none"/>
        </w:rPr>
      </w:pPr>
    </w:p>
    <w:p w14:paraId="1C6FF354">
      <w:pPr>
        <w:pStyle w:val="2"/>
        <w:ind w:left="63" w:right="63"/>
        <w:rPr>
          <w:rFonts w:ascii="宋体"/>
          <w:color w:val="auto"/>
          <w:sz w:val="20"/>
          <w:szCs w:val="24"/>
          <w:highlight w:val="none"/>
        </w:rPr>
      </w:pPr>
    </w:p>
    <w:p w14:paraId="6B71871D">
      <w:pPr>
        <w:pStyle w:val="2"/>
        <w:ind w:left="63" w:right="63"/>
        <w:rPr>
          <w:rFonts w:ascii="宋体"/>
          <w:color w:val="auto"/>
          <w:sz w:val="20"/>
          <w:szCs w:val="24"/>
          <w:highlight w:val="none"/>
        </w:rPr>
      </w:pPr>
    </w:p>
    <w:p w14:paraId="247007F3">
      <w:pPr>
        <w:pStyle w:val="2"/>
        <w:ind w:left="63" w:right="63"/>
        <w:rPr>
          <w:rFonts w:ascii="宋体"/>
          <w:color w:val="auto"/>
          <w:sz w:val="20"/>
          <w:szCs w:val="24"/>
          <w:highlight w:val="none"/>
        </w:rPr>
      </w:pPr>
    </w:p>
    <w:p w14:paraId="54C71168">
      <w:pPr>
        <w:pStyle w:val="2"/>
        <w:ind w:left="63" w:right="63"/>
        <w:rPr>
          <w:rFonts w:ascii="宋体"/>
          <w:color w:val="auto"/>
          <w:sz w:val="20"/>
          <w:szCs w:val="24"/>
          <w:highlight w:val="none"/>
        </w:rPr>
      </w:pPr>
    </w:p>
    <w:p w14:paraId="0FAE6934">
      <w:pPr>
        <w:pStyle w:val="2"/>
        <w:ind w:left="63" w:right="63"/>
        <w:rPr>
          <w:rFonts w:ascii="宋体"/>
          <w:color w:val="auto"/>
          <w:sz w:val="20"/>
          <w:szCs w:val="24"/>
          <w:highlight w:val="none"/>
        </w:rPr>
      </w:pPr>
    </w:p>
    <w:p w14:paraId="728E143E">
      <w:pPr>
        <w:pStyle w:val="2"/>
        <w:ind w:left="63" w:right="63"/>
        <w:rPr>
          <w:rFonts w:ascii="宋体"/>
          <w:color w:val="auto"/>
          <w:sz w:val="20"/>
          <w:szCs w:val="24"/>
          <w:highlight w:val="none"/>
        </w:rPr>
      </w:pPr>
    </w:p>
    <w:p w14:paraId="57B2E514">
      <w:pPr>
        <w:jc w:val="center"/>
        <w:rPr>
          <w:rFonts w:hAnsi="宋体"/>
          <w:b/>
          <w:color w:val="auto"/>
          <w:sz w:val="28"/>
          <w:szCs w:val="28"/>
          <w:highlight w:val="none"/>
        </w:rPr>
      </w:pPr>
      <w:r>
        <w:rPr>
          <w:rFonts w:hint="eastAsia" w:hAnsi="宋体"/>
          <w:b/>
          <w:color w:val="auto"/>
          <w:sz w:val="28"/>
          <w:szCs w:val="28"/>
          <w:highlight w:val="none"/>
        </w:rPr>
        <w:t>第五章</w:t>
      </w:r>
      <w:bookmarkStart w:id="2219" w:name="_Toc459103910"/>
      <w:r>
        <w:rPr>
          <w:rFonts w:hAnsi="宋体"/>
          <w:b/>
          <w:color w:val="auto"/>
          <w:sz w:val="28"/>
          <w:szCs w:val="28"/>
          <w:highlight w:val="none"/>
        </w:rPr>
        <w:t xml:space="preserve">  </w:t>
      </w:r>
      <w:bookmarkEnd w:id="2219"/>
      <w:r>
        <w:rPr>
          <w:rFonts w:hint="eastAsia" w:hAnsi="宋体"/>
          <w:b/>
          <w:color w:val="auto"/>
          <w:sz w:val="28"/>
          <w:szCs w:val="28"/>
          <w:highlight w:val="none"/>
        </w:rPr>
        <w:t>技术标准和要求</w:t>
      </w:r>
    </w:p>
    <w:p w14:paraId="3F438B28">
      <w:pPr>
        <w:spacing w:line="440" w:lineRule="exact"/>
        <w:ind w:firstLine="422" w:firstLineChars="200"/>
        <w:rPr>
          <w:rFonts w:hAnsi="宋体"/>
          <w:b/>
          <w:color w:val="auto"/>
          <w:highlight w:val="none"/>
        </w:rPr>
      </w:pPr>
    </w:p>
    <w:p w14:paraId="3AC6D73B">
      <w:pPr>
        <w:widowControl/>
        <w:jc w:val="left"/>
        <w:rPr>
          <w:rFonts w:hAnsi="宋体"/>
          <w:color w:val="auto"/>
          <w:kern w:val="2"/>
          <w:szCs w:val="24"/>
          <w:highlight w:val="none"/>
        </w:rPr>
      </w:pPr>
      <w:r>
        <w:rPr>
          <w:rFonts w:hint="eastAsia" w:hAnsi="宋体"/>
          <w:color w:val="auto"/>
          <w:highlight w:val="none"/>
        </w:rPr>
        <w:t>包括国家行业和地方现行标准、规范和规程以及本项目施工图纸等</w:t>
      </w:r>
      <w:r>
        <w:rPr>
          <w:rFonts w:hint="eastAsia" w:hAnsi="宋体"/>
          <w:color w:val="auto"/>
          <w:sz w:val="24"/>
          <w:highlight w:val="none"/>
        </w:rPr>
        <w:t>。</w:t>
      </w:r>
      <w:r>
        <w:rPr>
          <w:rFonts w:hAnsi="宋体"/>
          <w:color w:val="auto"/>
          <w:kern w:val="2"/>
          <w:szCs w:val="24"/>
          <w:highlight w:val="none"/>
        </w:rPr>
        <w:br w:type="page"/>
      </w:r>
    </w:p>
    <w:p w14:paraId="6492FFB6">
      <w:pPr>
        <w:rPr>
          <w:rFonts w:hAnsi="宋体"/>
          <w:color w:val="auto"/>
          <w:highlight w:val="none"/>
        </w:rPr>
      </w:pPr>
    </w:p>
    <w:p w14:paraId="7D037B6B">
      <w:pPr>
        <w:pStyle w:val="3"/>
        <w:jc w:val="both"/>
        <w:rPr>
          <w:rFonts w:ascii="宋体" w:hAnsi="宋体" w:eastAsia="宋体"/>
          <w:color w:val="auto"/>
          <w:kern w:val="0"/>
          <w:highlight w:val="none"/>
        </w:rPr>
      </w:pPr>
      <w:bookmarkStart w:id="2220" w:name="_Toc533783527"/>
      <w:bookmarkStart w:id="2221" w:name="_Toc533781575"/>
      <w:bookmarkStart w:id="2222" w:name="_Toc10396"/>
      <w:r>
        <w:rPr>
          <w:rFonts w:hint="eastAsia" w:ascii="宋体" w:hAnsi="宋体" w:eastAsia="宋体" w:cs="宋体"/>
          <w:color w:val="auto"/>
          <w:kern w:val="0"/>
          <w:highlight w:val="none"/>
        </w:rPr>
        <w:t>第六章</w:t>
      </w:r>
      <w:r>
        <w:rPr>
          <w:rFonts w:ascii="宋体" w:hAnsi="宋体" w:eastAsia="宋体" w:cs="宋体"/>
          <w:color w:val="auto"/>
          <w:kern w:val="0"/>
          <w:highlight w:val="none"/>
        </w:rPr>
        <w:t xml:space="preserve">  </w:t>
      </w:r>
      <w:bookmarkEnd w:id="2220"/>
      <w:bookmarkEnd w:id="2221"/>
      <w:r>
        <w:rPr>
          <w:rFonts w:hint="eastAsia" w:ascii="宋体" w:hAnsi="宋体" w:eastAsia="宋体" w:cs="宋体"/>
          <w:color w:val="auto"/>
          <w:kern w:val="0"/>
          <w:highlight w:val="none"/>
        </w:rPr>
        <w:t>响应文件格式</w:t>
      </w:r>
      <w:bookmarkEnd w:id="2222"/>
    </w:p>
    <w:p w14:paraId="2D7DA4A1">
      <w:pPr>
        <w:jc w:val="center"/>
        <w:rPr>
          <w:rFonts w:hAnsi="宋体"/>
          <w:b/>
          <w:color w:val="auto"/>
          <w:kern w:val="2"/>
          <w:sz w:val="44"/>
          <w:szCs w:val="44"/>
          <w:highlight w:val="none"/>
        </w:rPr>
      </w:pPr>
      <w:bookmarkStart w:id="2223" w:name="_Toc533783534"/>
      <w:bookmarkStart w:id="2224" w:name="_Toc533781576"/>
    </w:p>
    <w:p w14:paraId="1215B401">
      <w:pPr>
        <w:jc w:val="center"/>
        <w:rPr>
          <w:rFonts w:hAnsi="宋体"/>
          <w:color w:val="auto"/>
          <w:kern w:val="2"/>
          <w:sz w:val="36"/>
          <w:szCs w:val="36"/>
          <w:highlight w:val="none"/>
        </w:rPr>
      </w:pPr>
      <w:r>
        <w:rPr>
          <w:rFonts w:hint="eastAsia" w:hAnsi="宋体"/>
          <w:color w:val="auto"/>
          <w:kern w:val="2"/>
          <w:sz w:val="36"/>
          <w:szCs w:val="36"/>
          <w:highlight w:val="none"/>
        </w:rPr>
        <w:t>（封面格式）</w:t>
      </w:r>
    </w:p>
    <w:p w14:paraId="4EF62369">
      <w:pPr>
        <w:ind w:firstLine="2160" w:firstLineChars="600"/>
        <w:rPr>
          <w:rFonts w:hAnsi="宋体"/>
          <w:color w:val="auto"/>
          <w:kern w:val="2"/>
          <w:sz w:val="36"/>
          <w:szCs w:val="36"/>
          <w:highlight w:val="none"/>
        </w:rPr>
      </w:pPr>
      <w:r>
        <w:rPr>
          <w:rFonts w:hAnsi="宋体"/>
          <w:color w:val="auto"/>
          <w:kern w:val="2"/>
          <w:sz w:val="36"/>
          <w:szCs w:val="36"/>
          <w:highlight w:val="none"/>
        </w:rPr>
        <w:t xml:space="preserve">                          </w:t>
      </w:r>
      <w:r>
        <w:rPr>
          <w:rFonts w:hAnsi="宋体"/>
          <w:color w:val="auto"/>
          <w:kern w:val="2"/>
          <w:sz w:val="36"/>
          <w:szCs w:val="36"/>
          <w:highlight w:val="none"/>
          <w:u w:val="single"/>
        </w:rPr>
        <w:t xml:space="preserve"> </w:t>
      </w:r>
      <w:r>
        <w:rPr>
          <w:rFonts w:hint="eastAsia" w:hAnsi="宋体"/>
          <w:color w:val="auto"/>
          <w:kern w:val="2"/>
          <w:sz w:val="36"/>
          <w:szCs w:val="36"/>
          <w:highlight w:val="none"/>
          <w:u w:val="single"/>
        </w:rPr>
        <w:t>正</w:t>
      </w:r>
      <w:r>
        <w:rPr>
          <w:rFonts w:hAnsi="宋体"/>
          <w:color w:val="auto"/>
          <w:kern w:val="2"/>
          <w:sz w:val="36"/>
          <w:szCs w:val="36"/>
          <w:highlight w:val="none"/>
          <w:u w:val="single"/>
        </w:rPr>
        <w:t>/</w:t>
      </w:r>
      <w:r>
        <w:rPr>
          <w:rFonts w:hint="eastAsia" w:hAnsi="宋体"/>
          <w:color w:val="auto"/>
          <w:kern w:val="2"/>
          <w:sz w:val="36"/>
          <w:szCs w:val="36"/>
          <w:highlight w:val="none"/>
          <w:u w:val="single"/>
        </w:rPr>
        <w:t>副</w:t>
      </w:r>
      <w:r>
        <w:rPr>
          <w:rFonts w:hAnsi="宋体"/>
          <w:color w:val="auto"/>
          <w:kern w:val="2"/>
          <w:sz w:val="36"/>
          <w:szCs w:val="36"/>
          <w:highlight w:val="none"/>
          <w:u w:val="single"/>
        </w:rPr>
        <w:t xml:space="preserve"> </w:t>
      </w:r>
      <w:r>
        <w:rPr>
          <w:rFonts w:hint="eastAsia" w:hAnsi="宋体"/>
          <w:color w:val="auto"/>
          <w:kern w:val="2"/>
          <w:sz w:val="36"/>
          <w:szCs w:val="36"/>
          <w:highlight w:val="none"/>
        </w:rPr>
        <w:t>本</w:t>
      </w:r>
    </w:p>
    <w:p w14:paraId="7A877C62">
      <w:pPr>
        <w:jc w:val="center"/>
        <w:rPr>
          <w:rFonts w:hAnsi="宋体"/>
          <w:color w:val="auto"/>
          <w:kern w:val="2"/>
          <w:sz w:val="36"/>
          <w:szCs w:val="36"/>
          <w:highlight w:val="none"/>
        </w:rPr>
      </w:pPr>
    </w:p>
    <w:p w14:paraId="3143ABA7">
      <w:pPr>
        <w:jc w:val="center"/>
        <w:rPr>
          <w:rFonts w:hAnsi="宋体"/>
          <w:color w:val="auto"/>
          <w:kern w:val="2"/>
          <w:sz w:val="36"/>
          <w:szCs w:val="36"/>
          <w:highlight w:val="none"/>
        </w:rPr>
      </w:pPr>
      <w:r>
        <w:rPr>
          <w:rFonts w:hint="eastAsia" w:hAnsi="宋体"/>
          <w:color w:val="auto"/>
          <w:kern w:val="2"/>
          <w:sz w:val="36"/>
          <w:szCs w:val="36"/>
          <w:highlight w:val="none"/>
          <w:u w:val="single"/>
          <w:lang w:val="en-US" w:eastAsia="zh-CN"/>
        </w:rPr>
        <w:t xml:space="preserve">                   </w:t>
      </w:r>
      <w:r>
        <w:rPr>
          <w:rFonts w:hint="eastAsia" w:hAnsi="宋体"/>
          <w:color w:val="auto"/>
          <w:kern w:val="2"/>
          <w:sz w:val="36"/>
          <w:szCs w:val="36"/>
          <w:highlight w:val="none"/>
        </w:rPr>
        <w:t>（供应商名称）</w:t>
      </w:r>
    </w:p>
    <w:p w14:paraId="28255A6E">
      <w:pPr>
        <w:jc w:val="center"/>
        <w:rPr>
          <w:rFonts w:hAnsi="宋体"/>
          <w:color w:val="auto"/>
          <w:kern w:val="2"/>
          <w:sz w:val="36"/>
          <w:szCs w:val="36"/>
          <w:highlight w:val="none"/>
        </w:rPr>
      </w:pPr>
    </w:p>
    <w:p w14:paraId="1A24764E">
      <w:pPr>
        <w:jc w:val="center"/>
        <w:rPr>
          <w:rFonts w:hAnsi="宋体"/>
          <w:color w:val="auto"/>
          <w:kern w:val="2"/>
          <w:sz w:val="36"/>
          <w:szCs w:val="36"/>
          <w:highlight w:val="none"/>
        </w:rPr>
      </w:pPr>
    </w:p>
    <w:p w14:paraId="7879F8B8">
      <w:pPr>
        <w:jc w:val="center"/>
        <w:rPr>
          <w:rFonts w:hAnsi="宋体"/>
          <w:b/>
          <w:color w:val="auto"/>
          <w:kern w:val="2"/>
          <w:sz w:val="44"/>
          <w:szCs w:val="44"/>
          <w:highlight w:val="none"/>
        </w:rPr>
      </w:pPr>
      <w:r>
        <w:rPr>
          <w:rFonts w:hint="eastAsia" w:hAnsi="宋体"/>
          <w:b/>
          <w:color w:val="auto"/>
          <w:kern w:val="2"/>
          <w:sz w:val="44"/>
          <w:szCs w:val="44"/>
          <w:highlight w:val="none"/>
        </w:rPr>
        <w:t>竞争性磋商响应文件</w:t>
      </w:r>
    </w:p>
    <w:p w14:paraId="27465CD2">
      <w:pPr>
        <w:rPr>
          <w:rFonts w:hAnsi="宋体"/>
          <w:color w:val="auto"/>
          <w:kern w:val="2"/>
          <w:sz w:val="36"/>
          <w:szCs w:val="36"/>
          <w:highlight w:val="none"/>
        </w:rPr>
      </w:pPr>
    </w:p>
    <w:p w14:paraId="3706FF28">
      <w:pPr>
        <w:jc w:val="center"/>
        <w:rPr>
          <w:rFonts w:hAnsi="宋体"/>
          <w:color w:val="auto"/>
          <w:kern w:val="2"/>
          <w:sz w:val="36"/>
          <w:szCs w:val="36"/>
          <w:highlight w:val="none"/>
        </w:rPr>
      </w:pPr>
    </w:p>
    <w:p w14:paraId="11695BB1">
      <w:pPr>
        <w:jc w:val="center"/>
        <w:rPr>
          <w:rFonts w:hAnsi="宋体"/>
          <w:color w:val="auto"/>
          <w:kern w:val="2"/>
          <w:sz w:val="36"/>
          <w:szCs w:val="36"/>
          <w:highlight w:val="none"/>
        </w:rPr>
      </w:pPr>
    </w:p>
    <w:p w14:paraId="1A4C5726">
      <w:pPr>
        <w:ind w:firstLine="469" w:firstLineChars="146"/>
        <w:jc w:val="left"/>
        <w:rPr>
          <w:rFonts w:hAnsi="宋体"/>
          <w:b/>
          <w:color w:val="auto"/>
          <w:kern w:val="2"/>
          <w:sz w:val="32"/>
          <w:szCs w:val="32"/>
          <w:highlight w:val="none"/>
          <w:u w:val="single"/>
        </w:rPr>
      </w:pPr>
      <w:r>
        <w:rPr>
          <w:rFonts w:hint="eastAsia" w:hAnsi="宋体"/>
          <w:b/>
          <w:color w:val="auto"/>
          <w:kern w:val="2"/>
          <w:sz w:val="32"/>
          <w:szCs w:val="32"/>
          <w:highlight w:val="none"/>
        </w:rPr>
        <w:t>项目名称：</w:t>
      </w:r>
      <w:r>
        <w:rPr>
          <w:rFonts w:hAnsi="宋体"/>
          <w:b/>
          <w:color w:val="auto"/>
          <w:kern w:val="2"/>
          <w:sz w:val="32"/>
          <w:szCs w:val="32"/>
          <w:highlight w:val="none"/>
          <w:u w:val="single"/>
        </w:rPr>
        <w:t xml:space="preserve">                                       </w:t>
      </w:r>
    </w:p>
    <w:p w14:paraId="65C02D1E">
      <w:pPr>
        <w:rPr>
          <w:rFonts w:hAnsi="宋体"/>
          <w:b/>
          <w:color w:val="auto"/>
          <w:kern w:val="2"/>
          <w:sz w:val="32"/>
          <w:szCs w:val="32"/>
          <w:highlight w:val="none"/>
          <w:u w:val="single"/>
        </w:rPr>
      </w:pPr>
    </w:p>
    <w:p w14:paraId="0172E3AD">
      <w:pPr>
        <w:ind w:firstLine="482" w:firstLineChars="150"/>
        <w:rPr>
          <w:rFonts w:hAnsi="宋体"/>
          <w:b/>
          <w:color w:val="auto"/>
          <w:kern w:val="2"/>
          <w:sz w:val="32"/>
          <w:szCs w:val="32"/>
          <w:highlight w:val="none"/>
          <w:u w:val="single"/>
        </w:rPr>
      </w:pPr>
      <w:r>
        <w:rPr>
          <w:rFonts w:hint="eastAsia" w:hAnsi="宋体"/>
          <w:b/>
          <w:color w:val="auto"/>
          <w:kern w:val="2"/>
          <w:sz w:val="32"/>
          <w:szCs w:val="32"/>
          <w:highlight w:val="none"/>
          <w:lang w:eastAsia="zh-CN"/>
        </w:rPr>
        <w:t>项目编号:</w:t>
      </w:r>
      <w:r>
        <w:rPr>
          <w:rFonts w:hAnsi="宋体"/>
          <w:b/>
          <w:color w:val="auto"/>
          <w:kern w:val="2"/>
          <w:sz w:val="32"/>
          <w:szCs w:val="32"/>
          <w:highlight w:val="none"/>
          <w:u w:val="single"/>
        </w:rPr>
        <w:t xml:space="preserve">                     </w:t>
      </w:r>
      <w:r>
        <w:rPr>
          <w:rFonts w:hint="eastAsia" w:hAnsi="宋体"/>
          <w:b/>
          <w:color w:val="auto"/>
          <w:kern w:val="2"/>
          <w:sz w:val="32"/>
          <w:szCs w:val="32"/>
          <w:highlight w:val="none"/>
          <w:u w:val="single"/>
          <w:lang w:val="en-US" w:eastAsia="zh-CN"/>
        </w:rPr>
        <w:t xml:space="preserve">   </w:t>
      </w:r>
      <w:r>
        <w:rPr>
          <w:rFonts w:hAnsi="宋体"/>
          <w:b/>
          <w:color w:val="auto"/>
          <w:kern w:val="2"/>
          <w:sz w:val="32"/>
          <w:szCs w:val="32"/>
          <w:highlight w:val="none"/>
          <w:u w:val="single"/>
        </w:rPr>
        <w:t xml:space="preserve">                </w:t>
      </w:r>
    </w:p>
    <w:p w14:paraId="500D98E4">
      <w:pPr>
        <w:jc w:val="center"/>
        <w:rPr>
          <w:rFonts w:hAnsi="宋体"/>
          <w:color w:val="auto"/>
          <w:kern w:val="2"/>
          <w:sz w:val="32"/>
          <w:szCs w:val="32"/>
          <w:highlight w:val="none"/>
          <w:u w:val="single"/>
        </w:rPr>
      </w:pPr>
    </w:p>
    <w:p w14:paraId="620F6001">
      <w:pPr>
        <w:jc w:val="center"/>
        <w:rPr>
          <w:rFonts w:hAnsi="宋体"/>
          <w:color w:val="auto"/>
          <w:kern w:val="2"/>
          <w:sz w:val="32"/>
          <w:szCs w:val="32"/>
          <w:highlight w:val="none"/>
          <w:u w:val="single"/>
        </w:rPr>
      </w:pPr>
    </w:p>
    <w:p w14:paraId="167D3A16">
      <w:pPr>
        <w:spacing w:line="480" w:lineRule="auto"/>
        <w:ind w:firstLine="840" w:firstLineChars="300"/>
        <w:rPr>
          <w:rFonts w:hAnsi="宋体"/>
          <w:color w:val="auto"/>
          <w:kern w:val="2"/>
          <w:sz w:val="28"/>
          <w:szCs w:val="28"/>
          <w:highlight w:val="none"/>
          <w:u w:val="single"/>
        </w:rPr>
      </w:pPr>
      <w:r>
        <w:rPr>
          <w:rFonts w:hint="eastAsia" w:hAnsi="宋体"/>
          <w:color w:val="auto"/>
          <w:kern w:val="2"/>
          <w:sz w:val="28"/>
          <w:szCs w:val="28"/>
          <w:highlight w:val="none"/>
        </w:rPr>
        <w:t>供应商：</w:t>
      </w:r>
      <w:r>
        <w:rPr>
          <w:rFonts w:hAnsi="宋体"/>
          <w:color w:val="auto"/>
          <w:kern w:val="2"/>
          <w:sz w:val="28"/>
          <w:szCs w:val="28"/>
          <w:highlight w:val="none"/>
          <w:u w:val="single"/>
        </w:rPr>
        <w:t xml:space="preserve">                           </w:t>
      </w:r>
      <w:r>
        <w:rPr>
          <w:rFonts w:hint="eastAsia" w:hAnsi="宋体"/>
          <w:color w:val="auto"/>
          <w:kern w:val="2"/>
          <w:sz w:val="28"/>
          <w:szCs w:val="28"/>
          <w:highlight w:val="none"/>
          <w:u w:val="single"/>
          <w:lang w:val="en-US" w:eastAsia="zh-CN"/>
        </w:rPr>
        <w:t xml:space="preserve">         </w:t>
      </w:r>
      <w:r>
        <w:rPr>
          <w:rFonts w:hint="eastAsia" w:hAnsi="宋体"/>
          <w:color w:val="auto"/>
          <w:kern w:val="2"/>
          <w:sz w:val="28"/>
          <w:szCs w:val="28"/>
          <w:highlight w:val="none"/>
          <w:u w:val="single"/>
        </w:rPr>
        <w:t>（盖单位章</w:t>
      </w:r>
      <w:r>
        <w:rPr>
          <w:rFonts w:hint="eastAsia" w:hAnsi="宋体"/>
          <w:color w:val="auto"/>
          <w:kern w:val="2"/>
          <w:sz w:val="28"/>
          <w:szCs w:val="28"/>
          <w:highlight w:val="none"/>
          <w:u w:val="single"/>
          <w:lang w:eastAsia="zh-CN"/>
        </w:rPr>
        <w:t>）</w:t>
      </w:r>
      <w:r>
        <w:rPr>
          <w:rFonts w:hAnsi="宋体"/>
          <w:color w:val="auto"/>
          <w:kern w:val="2"/>
          <w:sz w:val="28"/>
          <w:szCs w:val="28"/>
          <w:highlight w:val="none"/>
          <w:u w:val="single"/>
        </w:rPr>
        <w:t xml:space="preserve">    </w:t>
      </w:r>
    </w:p>
    <w:p w14:paraId="199BBC4E">
      <w:pPr>
        <w:spacing w:line="480" w:lineRule="auto"/>
        <w:ind w:firstLine="700" w:firstLineChars="250"/>
        <w:rPr>
          <w:rFonts w:hAnsi="宋体"/>
          <w:color w:val="auto"/>
          <w:kern w:val="2"/>
          <w:sz w:val="28"/>
          <w:szCs w:val="28"/>
          <w:highlight w:val="none"/>
        </w:rPr>
      </w:pPr>
      <w:r>
        <w:rPr>
          <w:rFonts w:hint="eastAsia" w:hAnsi="宋体"/>
          <w:color w:val="auto"/>
          <w:kern w:val="2"/>
          <w:sz w:val="28"/>
          <w:szCs w:val="28"/>
          <w:highlight w:val="none"/>
        </w:rPr>
        <w:t>法定代表人（负责人）或其委托代理人：</w:t>
      </w:r>
      <w:r>
        <w:rPr>
          <w:rFonts w:hAnsi="宋体"/>
          <w:color w:val="auto"/>
          <w:kern w:val="2"/>
          <w:sz w:val="28"/>
          <w:szCs w:val="28"/>
          <w:highlight w:val="none"/>
          <w:u w:val="single"/>
        </w:rPr>
        <w:t xml:space="preserve">            </w:t>
      </w:r>
      <w:r>
        <w:rPr>
          <w:rFonts w:hint="eastAsia" w:hAnsi="宋体"/>
          <w:color w:val="auto"/>
          <w:kern w:val="2"/>
          <w:sz w:val="28"/>
          <w:szCs w:val="28"/>
          <w:highlight w:val="none"/>
          <w:u w:val="single"/>
        </w:rPr>
        <w:t>（签字或盖章）</w:t>
      </w:r>
    </w:p>
    <w:p w14:paraId="7B934C49">
      <w:pPr>
        <w:spacing w:line="480" w:lineRule="auto"/>
        <w:ind w:right="560" w:firstLine="700" w:firstLineChars="250"/>
        <w:rPr>
          <w:rFonts w:hAnsi="宋体"/>
          <w:color w:val="auto"/>
          <w:kern w:val="2"/>
          <w:sz w:val="28"/>
          <w:szCs w:val="28"/>
          <w:highlight w:val="none"/>
        </w:rPr>
      </w:pPr>
      <w:r>
        <w:rPr>
          <w:rFonts w:hint="eastAsia" w:hAnsi="宋体"/>
          <w:color w:val="auto"/>
          <w:kern w:val="2"/>
          <w:sz w:val="28"/>
          <w:szCs w:val="28"/>
          <w:highlight w:val="none"/>
        </w:rPr>
        <w:t>日期：</w:t>
      </w:r>
      <w:r>
        <w:rPr>
          <w:rFonts w:hAnsi="宋体"/>
          <w:color w:val="auto"/>
          <w:kern w:val="2"/>
          <w:sz w:val="28"/>
          <w:szCs w:val="28"/>
          <w:highlight w:val="none"/>
          <w:u w:val="single"/>
        </w:rPr>
        <w:t xml:space="preserve">         </w:t>
      </w:r>
      <w:r>
        <w:rPr>
          <w:rFonts w:hint="eastAsia" w:hAnsi="宋体"/>
          <w:color w:val="auto"/>
          <w:kern w:val="2"/>
          <w:sz w:val="28"/>
          <w:szCs w:val="28"/>
          <w:highlight w:val="none"/>
        </w:rPr>
        <w:t>年</w:t>
      </w:r>
      <w:r>
        <w:rPr>
          <w:rFonts w:hAnsi="宋体"/>
          <w:color w:val="auto"/>
          <w:kern w:val="2"/>
          <w:sz w:val="28"/>
          <w:szCs w:val="28"/>
          <w:highlight w:val="none"/>
          <w:u w:val="single"/>
        </w:rPr>
        <w:t xml:space="preserve">     </w:t>
      </w:r>
      <w:r>
        <w:rPr>
          <w:rFonts w:hint="eastAsia" w:hAnsi="宋体"/>
          <w:color w:val="auto"/>
          <w:kern w:val="2"/>
          <w:sz w:val="28"/>
          <w:szCs w:val="28"/>
          <w:highlight w:val="none"/>
        </w:rPr>
        <w:t>月</w:t>
      </w:r>
      <w:r>
        <w:rPr>
          <w:rFonts w:hAnsi="宋体"/>
          <w:color w:val="auto"/>
          <w:kern w:val="2"/>
          <w:sz w:val="28"/>
          <w:szCs w:val="28"/>
          <w:highlight w:val="none"/>
          <w:u w:val="single"/>
        </w:rPr>
        <w:t xml:space="preserve">     </w:t>
      </w:r>
      <w:r>
        <w:rPr>
          <w:rFonts w:hint="eastAsia" w:hAnsi="宋体"/>
          <w:color w:val="auto"/>
          <w:kern w:val="2"/>
          <w:sz w:val="28"/>
          <w:szCs w:val="28"/>
          <w:highlight w:val="none"/>
        </w:rPr>
        <w:t>日</w:t>
      </w:r>
    </w:p>
    <w:p w14:paraId="399ACE18">
      <w:pPr>
        <w:widowControl/>
        <w:jc w:val="left"/>
        <w:rPr>
          <w:rFonts w:hAnsi="宋体"/>
          <w:color w:val="auto"/>
          <w:highlight w:val="none"/>
        </w:rPr>
      </w:pPr>
    </w:p>
    <w:p w14:paraId="7AEDDE55">
      <w:pPr>
        <w:widowControl/>
        <w:jc w:val="left"/>
        <w:rPr>
          <w:rFonts w:hAnsi="宋体"/>
          <w:color w:val="auto"/>
          <w:highlight w:val="none"/>
        </w:rPr>
      </w:pPr>
      <w:r>
        <w:rPr>
          <w:rFonts w:hAnsi="宋体"/>
          <w:color w:val="auto"/>
          <w:highlight w:val="none"/>
        </w:rPr>
        <w:br w:type="page"/>
      </w:r>
    </w:p>
    <w:p w14:paraId="24498DB7">
      <w:pPr>
        <w:widowControl/>
        <w:jc w:val="center"/>
        <w:rPr>
          <w:rFonts w:hAnsi="宋体"/>
          <w:b/>
          <w:color w:val="auto"/>
          <w:sz w:val="30"/>
          <w:szCs w:val="30"/>
          <w:highlight w:val="none"/>
        </w:rPr>
      </w:pPr>
      <w:r>
        <w:rPr>
          <w:rFonts w:hint="eastAsia" w:hAnsi="宋体"/>
          <w:b/>
          <w:color w:val="auto"/>
          <w:sz w:val="30"/>
          <w:szCs w:val="30"/>
          <w:highlight w:val="none"/>
        </w:rPr>
        <w:t>目录</w:t>
      </w:r>
    </w:p>
    <w:p w14:paraId="3CD1F9BD">
      <w:pPr>
        <w:widowControl/>
        <w:jc w:val="left"/>
        <w:rPr>
          <w:rFonts w:hAnsi="宋体"/>
          <w:color w:val="auto"/>
          <w:highlight w:val="none"/>
        </w:rPr>
      </w:pPr>
    </w:p>
    <w:p w14:paraId="015F34C2">
      <w:pPr>
        <w:pStyle w:val="2"/>
        <w:ind w:left="63" w:right="63"/>
        <w:rPr>
          <w:rFonts w:ascii="宋体"/>
          <w:color w:val="auto"/>
          <w:highlight w:val="none"/>
        </w:rPr>
      </w:pPr>
    </w:p>
    <w:p w14:paraId="4B7D5558">
      <w:pPr>
        <w:pStyle w:val="2"/>
        <w:ind w:left="63" w:right="63"/>
        <w:rPr>
          <w:rFonts w:ascii="宋体"/>
          <w:color w:val="auto"/>
          <w:sz w:val="24"/>
          <w:szCs w:val="24"/>
          <w:highlight w:val="none"/>
        </w:rPr>
      </w:pPr>
      <w:r>
        <w:rPr>
          <w:rFonts w:hint="eastAsia" w:ascii="宋体" w:hAnsi="宋体" w:cs="宋体"/>
          <w:color w:val="auto"/>
          <w:sz w:val="24"/>
          <w:szCs w:val="24"/>
          <w:highlight w:val="none"/>
        </w:rPr>
        <w:t>目录由供应商自行编制</w:t>
      </w:r>
    </w:p>
    <w:p w14:paraId="2F9E0935">
      <w:pPr>
        <w:widowControl/>
        <w:jc w:val="left"/>
        <w:rPr>
          <w:rFonts w:hAnsi="宋体"/>
          <w:color w:val="auto"/>
          <w:highlight w:val="none"/>
        </w:rPr>
      </w:pPr>
      <w:r>
        <w:rPr>
          <w:rFonts w:hAnsi="宋体"/>
          <w:color w:val="auto"/>
          <w:highlight w:val="none"/>
        </w:rPr>
        <w:br w:type="page"/>
      </w:r>
    </w:p>
    <w:p w14:paraId="1511CA6D">
      <w:pPr>
        <w:pStyle w:val="5"/>
        <w:rPr>
          <w:rFonts w:ascii="宋体" w:hAnsi="宋体" w:eastAsia="宋体"/>
          <w:b w:val="0"/>
          <w:bCs w:val="0"/>
          <w:color w:val="auto"/>
          <w:sz w:val="28"/>
          <w:szCs w:val="28"/>
          <w:highlight w:val="none"/>
        </w:rPr>
      </w:pPr>
      <w:r>
        <w:rPr>
          <w:rFonts w:hint="eastAsia" w:ascii="宋体" w:hAnsi="宋体" w:eastAsia="宋体" w:cs="宋体"/>
          <w:color w:val="auto"/>
          <w:sz w:val="28"/>
          <w:szCs w:val="28"/>
          <w:highlight w:val="none"/>
        </w:rPr>
        <w:t>一、商务部分</w:t>
      </w:r>
    </w:p>
    <w:p w14:paraId="15453028">
      <w:pPr>
        <w:pStyle w:val="5"/>
        <w:jc w:val="center"/>
        <w:rPr>
          <w:rFonts w:ascii="宋体" w:hAnsi="宋体" w:eastAsia="宋体"/>
          <w:b w:val="0"/>
          <w:bCs w:val="0"/>
          <w:color w:val="auto"/>
          <w:sz w:val="28"/>
          <w:szCs w:val="28"/>
          <w:highlight w:val="none"/>
        </w:rPr>
      </w:pPr>
      <w:r>
        <w:rPr>
          <w:rFonts w:hint="eastAsia" w:ascii="宋体" w:hAnsi="宋体" w:eastAsia="宋体" w:cs="宋体"/>
          <w:color w:val="auto"/>
          <w:sz w:val="28"/>
          <w:szCs w:val="28"/>
          <w:highlight w:val="none"/>
        </w:rPr>
        <w:t>（一）竞标函</w:t>
      </w:r>
    </w:p>
    <w:p w14:paraId="7765708F">
      <w:pPr>
        <w:spacing w:line="360" w:lineRule="auto"/>
        <w:rPr>
          <w:rFonts w:hAnsi="宋体"/>
          <w:color w:val="auto"/>
          <w:kern w:val="2"/>
          <w:szCs w:val="24"/>
          <w:highlight w:val="none"/>
        </w:rPr>
      </w:pPr>
    </w:p>
    <w:p w14:paraId="1E9D8460">
      <w:pPr>
        <w:tabs>
          <w:tab w:val="left" w:pos="2977"/>
        </w:tabs>
        <w:spacing w:line="360" w:lineRule="auto"/>
        <w:ind w:firstLine="420" w:firstLineChars="200"/>
        <w:rPr>
          <w:rFonts w:hAnsi="宋体"/>
          <w:color w:val="auto"/>
          <w:kern w:val="2"/>
          <w:szCs w:val="24"/>
          <w:highlight w:val="none"/>
        </w:rPr>
      </w:pPr>
      <w:r>
        <w:rPr>
          <w:rFonts w:hAnsi="宋体"/>
          <w:color w:val="auto"/>
          <w:kern w:val="2"/>
          <w:szCs w:val="24"/>
          <w:highlight w:val="none"/>
        </w:rPr>
        <w:t>1.</w:t>
      </w:r>
      <w:r>
        <w:rPr>
          <w:rFonts w:hint="eastAsia" w:hAnsi="宋体"/>
          <w:color w:val="auto"/>
          <w:kern w:val="2"/>
          <w:szCs w:val="24"/>
          <w:highlight w:val="none"/>
        </w:rPr>
        <w:t>根据你方项目编号为</w:t>
      </w:r>
      <w:r>
        <w:rPr>
          <w:rFonts w:hAnsi="宋体"/>
          <w:color w:val="auto"/>
          <w:kern w:val="2"/>
          <w:szCs w:val="24"/>
          <w:highlight w:val="none"/>
          <w:u w:val="single"/>
        </w:rPr>
        <w:tab/>
      </w:r>
      <w:r>
        <w:rPr>
          <w:rFonts w:hint="eastAsia" w:hAnsi="宋体"/>
          <w:color w:val="auto"/>
          <w:kern w:val="2"/>
          <w:szCs w:val="24"/>
          <w:highlight w:val="none"/>
          <w:u w:val="single"/>
        </w:rPr>
        <w:t>（项目编号）</w:t>
      </w:r>
      <w:r>
        <w:rPr>
          <w:rFonts w:hAnsi="宋体"/>
          <w:color w:val="auto"/>
          <w:kern w:val="2"/>
          <w:szCs w:val="24"/>
          <w:highlight w:val="none"/>
          <w:u w:val="single"/>
        </w:rPr>
        <w:tab/>
      </w:r>
      <w:r>
        <w:rPr>
          <w:rFonts w:hint="eastAsia" w:hAnsi="宋体"/>
          <w:color w:val="auto"/>
          <w:kern w:val="2"/>
          <w:szCs w:val="24"/>
          <w:highlight w:val="none"/>
        </w:rPr>
        <w:t>的</w:t>
      </w:r>
      <w:r>
        <w:rPr>
          <w:rFonts w:hAnsi="宋体"/>
          <w:color w:val="auto"/>
          <w:kern w:val="2"/>
          <w:szCs w:val="24"/>
          <w:highlight w:val="none"/>
          <w:u w:val="single"/>
        </w:rPr>
        <w:tab/>
      </w:r>
      <w:r>
        <w:rPr>
          <w:rFonts w:hint="eastAsia" w:hAnsi="宋体"/>
          <w:color w:val="auto"/>
          <w:kern w:val="2"/>
          <w:szCs w:val="24"/>
          <w:highlight w:val="none"/>
          <w:u w:val="single"/>
        </w:rPr>
        <w:t>（工程项目名称）</w:t>
      </w:r>
      <w:r>
        <w:rPr>
          <w:rFonts w:hAnsi="宋体"/>
          <w:color w:val="auto"/>
          <w:kern w:val="2"/>
          <w:szCs w:val="24"/>
          <w:highlight w:val="none"/>
          <w:u w:val="single"/>
        </w:rPr>
        <w:tab/>
      </w:r>
      <w:r>
        <w:rPr>
          <w:rFonts w:hint="eastAsia" w:hAnsi="宋体"/>
          <w:color w:val="auto"/>
          <w:kern w:val="2"/>
          <w:szCs w:val="24"/>
          <w:highlight w:val="none"/>
        </w:rPr>
        <w:t>磋商文件，经踏勘项目现场和研究上述磋商文件的供应商须知、合同条款、图纸、工程建设标准和工程量清单及其他有关文件后，我方愿以人民币（大写）</w:t>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int="eastAsia" w:hAnsi="宋体"/>
          <w:color w:val="auto"/>
          <w:kern w:val="2"/>
          <w:szCs w:val="24"/>
          <w:highlight w:val="none"/>
        </w:rPr>
        <w:t>（</w:t>
      </w:r>
      <w:r>
        <w:rPr>
          <w:rFonts w:hAnsi="宋体"/>
          <w:color w:val="auto"/>
          <w:kern w:val="2"/>
          <w:szCs w:val="24"/>
          <w:highlight w:val="none"/>
        </w:rPr>
        <w:t>RMB</w:t>
      </w:r>
      <w:r>
        <w:rPr>
          <w:rFonts w:hint="eastAsia" w:hAnsi="宋体"/>
          <w:color w:val="auto"/>
          <w:kern w:val="2"/>
          <w:szCs w:val="24"/>
          <w:highlight w:val="none"/>
          <w:u w:val="single"/>
        </w:rPr>
        <w:t>￥</w:t>
      </w:r>
      <w:r>
        <w:rPr>
          <w:rFonts w:hAnsi="宋体"/>
          <w:color w:val="auto"/>
          <w:kern w:val="2"/>
          <w:szCs w:val="24"/>
          <w:highlight w:val="none"/>
          <w:u w:val="single"/>
        </w:rPr>
        <w:tab/>
      </w:r>
      <w:r>
        <w:rPr>
          <w:rFonts w:hint="eastAsia" w:hAnsi="宋体"/>
          <w:color w:val="auto"/>
          <w:kern w:val="2"/>
          <w:szCs w:val="24"/>
          <w:highlight w:val="none"/>
        </w:rPr>
        <w:t>元）的总报价并按上述图纸、合同条款、工程建设标准和工程量清单（如有时）的条件要求承包上述工程的施工、竣工，并承担任何质量缺陷保修责任。我方保证工程质量达到</w:t>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int="eastAsia" w:hAnsi="宋体"/>
          <w:color w:val="auto"/>
          <w:kern w:val="2"/>
          <w:szCs w:val="24"/>
          <w:highlight w:val="none"/>
        </w:rPr>
        <w:t>。</w:t>
      </w:r>
    </w:p>
    <w:p w14:paraId="547C6A61">
      <w:pPr>
        <w:tabs>
          <w:tab w:val="left" w:pos="7560"/>
        </w:tabs>
        <w:spacing w:line="360" w:lineRule="auto"/>
        <w:ind w:firstLine="420" w:firstLineChars="200"/>
        <w:rPr>
          <w:rFonts w:hAnsi="宋体"/>
          <w:color w:val="auto"/>
          <w:kern w:val="2"/>
          <w:szCs w:val="24"/>
          <w:highlight w:val="none"/>
        </w:rPr>
      </w:pPr>
      <w:r>
        <w:rPr>
          <w:rFonts w:hAnsi="宋体"/>
          <w:color w:val="auto"/>
          <w:kern w:val="2"/>
          <w:szCs w:val="24"/>
          <w:highlight w:val="none"/>
        </w:rPr>
        <w:t>2.</w:t>
      </w:r>
      <w:r>
        <w:rPr>
          <w:rFonts w:hint="eastAsia" w:hAnsi="宋体"/>
          <w:color w:val="auto"/>
          <w:kern w:val="2"/>
          <w:szCs w:val="24"/>
          <w:highlight w:val="none"/>
        </w:rPr>
        <w:t>我方已详细审核全部磋商文件，包括修改文件（如有时）及有关附件。</w:t>
      </w:r>
    </w:p>
    <w:p w14:paraId="5DB7BAFE">
      <w:pPr>
        <w:tabs>
          <w:tab w:val="left" w:pos="7560"/>
        </w:tabs>
        <w:spacing w:line="360" w:lineRule="auto"/>
        <w:ind w:firstLine="420" w:firstLineChars="200"/>
        <w:rPr>
          <w:rFonts w:hAnsi="宋体"/>
          <w:color w:val="auto"/>
          <w:kern w:val="2"/>
          <w:szCs w:val="24"/>
          <w:highlight w:val="none"/>
        </w:rPr>
      </w:pPr>
      <w:r>
        <w:rPr>
          <w:rFonts w:hAnsi="宋体"/>
          <w:color w:val="auto"/>
          <w:kern w:val="2"/>
          <w:szCs w:val="24"/>
          <w:highlight w:val="none"/>
        </w:rPr>
        <w:t>3.</w:t>
      </w:r>
      <w:r>
        <w:rPr>
          <w:rFonts w:hint="eastAsia" w:hAnsi="宋体"/>
          <w:color w:val="auto"/>
          <w:kern w:val="2"/>
          <w:szCs w:val="24"/>
          <w:highlight w:val="none"/>
        </w:rPr>
        <w:t>我方同意所提交的响应文件在竞争性磋商文件的供应商须知中规定磋商有效期</w:t>
      </w:r>
      <w:r>
        <w:rPr>
          <w:rFonts w:hAnsi="宋体"/>
          <w:color w:val="auto"/>
          <w:kern w:val="2"/>
          <w:szCs w:val="24"/>
          <w:highlight w:val="none"/>
          <w:u w:val="single"/>
        </w:rPr>
        <w:tab/>
      </w:r>
      <w:r>
        <w:rPr>
          <w:rFonts w:hAnsi="宋体"/>
          <w:color w:val="auto"/>
          <w:kern w:val="2"/>
          <w:szCs w:val="24"/>
          <w:highlight w:val="none"/>
          <w:u w:val="single"/>
        </w:rPr>
        <w:tab/>
      </w:r>
      <w:r>
        <w:rPr>
          <w:rFonts w:hint="eastAsia" w:hAnsi="宋体"/>
          <w:color w:val="auto"/>
          <w:kern w:val="2"/>
          <w:szCs w:val="24"/>
          <w:highlight w:val="none"/>
        </w:rPr>
        <w:t>内有效，在此期间内如果中标，我方将受此约束。</w:t>
      </w:r>
    </w:p>
    <w:p w14:paraId="3B1FCF6B">
      <w:pPr>
        <w:spacing w:line="360" w:lineRule="auto"/>
        <w:ind w:firstLine="420" w:firstLineChars="200"/>
        <w:rPr>
          <w:rFonts w:hAnsi="宋体"/>
          <w:color w:val="auto"/>
          <w:kern w:val="2"/>
          <w:szCs w:val="24"/>
          <w:highlight w:val="none"/>
        </w:rPr>
      </w:pPr>
      <w:r>
        <w:rPr>
          <w:rFonts w:hAnsi="宋体"/>
          <w:color w:val="auto"/>
          <w:kern w:val="2"/>
          <w:szCs w:val="24"/>
          <w:highlight w:val="none"/>
        </w:rPr>
        <w:t>4.</w:t>
      </w:r>
      <w:r>
        <w:rPr>
          <w:rFonts w:hint="eastAsia" w:hAnsi="宋体"/>
          <w:color w:val="auto"/>
          <w:kern w:val="2"/>
          <w:szCs w:val="24"/>
          <w:highlight w:val="none"/>
        </w:rPr>
        <w:t>一旦我方中标，我方保证按合同书中规定的工期</w:t>
      </w:r>
      <w:r>
        <w:rPr>
          <w:rFonts w:hAnsi="宋体"/>
          <w:color w:val="auto"/>
          <w:kern w:val="2"/>
          <w:szCs w:val="24"/>
          <w:highlight w:val="none"/>
          <w:u w:val="single"/>
        </w:rPr>
        <w:tab/>
      </w:r>
      <w:r>
        <w:rPr>
          <w:rFonts w:hint="eastAsia" w:hAnsi="宋体"/>
          <w:color w:val="auto"/>
          <w:kern w:val="2"/>
          <w:szCs w:val="24"/>
          <w:highlight w:val="none"/>
        </w:rPr>
        <w:t>日历天内完成并移交全部工程。</w:t>
      </w:r>
    </w:p>
    <w:p w14:paraId="53609199">
      <w:pPr>
        <w:tabs>
          <w:tab w:val="left" w:pos="7560"/>
        </w:tabs>
        <w:spacing w:line="360" w:lineRule="auto"/>
        <w:ind w:firstLine="420" w:firstLineChars="200"/>
        <w:rPr>
          <w:rFonts w:hAnsi="宋体"/>
          <w:color w:val="auto"/>
          <w:kern w:val="2"/>
          <w:szCs w:val="24"/>
          <w:highlight w:val="none"/>
        </w:rPr>
      </w:pPr>
      <w:r>
        <w:rPr>
          <w:rFonts w:hAnsi="宋体"/>
          <w:color w:val="auto"/>
          <w:kern w:val="2"/>
          <w:szCs w:val="24"/>
          <w:highlight w:val="none"/>
        </w:rPr>
        <w:t>5.</w:t>
      </w:r>
      <w:r>
        <w:rPr>
          <w:rFonts w:hint="eastAsia" w:hAnsi="宋体"/>
          <w:color w:val="auto"/>
          <w:kern w:val="2"/>
          <w:szCs w:val="24"/>
          <w:highlight w:val="none"/>
        </w:rPr>
        <w:t>我方同意所提交的响应文件在磋商文件</w:t>
      </w:r>
      <w:r>
        <w:rPr>
          <w:rFonts w:hint="eastAsia" w:hAnsi="宋体"/>
          <w:color w:val="auto"/>
          <w:kern w:val="2"/>
          <w:highlight w:val="none"/>
        </w:rPr>
        <w:t>供应商</w:t>
      </w:r>
      <w:r>
        <w:rPr>
          <w:rFonts w:hint="eastAsia" w:hAnsi="宋体"/>
          <w:color w:val="auto"/>
          <w:kern w:val="2"/>
          <w:szCs w:val="24"/>
          <w:highlight w:val="none"/>
        </w:rPr>
        <w:t>须知中规定的磋商有效期内有效，在此期间内如果中标，我方将受此约束。</w:t>
      </w:r>
    </w:p>
    <w:p w14:paraId="424113C6">
      <w:pPr>
        <w:tabs>
          <w:tab w:val="left" w:pos="7560"/>
        </w:tabs>
        <w:spacing w:line="360" w:lineRule="auto"/>
        <w:ind w:firstLine="420" w:firstLineChars="200"/>
        <w:rPr>
          <w:rFonts w:hAnsi="宋体"/>
          <w:color w:val="auto"/>
          <w:kern w:val="2"/>
          <w:szCs w:val="24"/>
          <w:highlight w:val="none"/>
        </w:rPr>
      </w:pPr>
      <w:r>
        <w:rPr>
          <w:rFonts w:hAnsi="宋体"/>
          <w:color w:val="auto"/>
          <w:kern w:val="2"/>
          <w:szCs w:val="24"/>
          <w:highlight w:val="none"/>
        </w:rPr>
        <w:t>6.</w:t>
      </w:r>
      <w:r>
        <w:rPr>
          <w:rFonts w:hint="eastAsia" w:hAnsi="宋体"/>
          <w:color w:val="auto"/>
          <w:kern w:val="2"/>
          <w:szCs w:val="24"/>
          <w:highlight w:val="none"/>
        </w:rPr>
        <w:t>除非另外达成协议并生效，你方的中标通知书和本响应文件将成为约束双方的合同文件的组成部分。</w:t>
      </w:r>
    </w:p>
    <w:p w14:paraId="4A79376A">
      <w:pPr>
        <w:tabs>
          <w:tab w:val="left" w:pos="5529"/>
        </w:tabs>
        <w:spacing w:line="360" w:lineRule="auto"/>
        <w:ind w:firstLine="420" w:firstLineChars="200"/>
        <w:rPr>
          <w:rFonts w:hAnsi="宋体"/>
          <w:color w:val="auto"/>
          <w:kern w:val="2"/>
          <w:szCs w:val="24"/>
          <w:highlight w:val="none"/>
        </w:rPr>
      </w:pPr>
      <w:r>
        <w:rPr>
          <w:rFonts w:hAnsi="宋体"/>
          <w:color w:val="auto"/>
          <w:kern w:val="2"/>
          <w:szCs w:val="24"/>
          <w:highlight w:val="none"/>
        </w:rPr>
        <w:t>7.</w:t>
      </w:r>
      <w:r>
        <w:rPr>
          <w:rFonts w:hint="eastAsia" w:hAnsi="宋体"/>
          <w:color w:val="auto"/>
          <w:kern w:val="2"/>
          <w:szCs w:val="24"/>
          <w:highlight w:val="none"/>
        </w:rPr>
        <w:t>我方将与本竞标函一起，提交人民币</w:t>
      </w:r>
      <w:r>
        <w:rPr>
          <w:rFonts w:hAnsi="宋体"/>
          <w:color w:val="auto"/>
          <w:kern w:val="2"/>
          <w:highlight w:val="none"/>
          <w:u w:val="single"/>
        </w:rPr>
        <w:tab/>
      </w:r>
      <w:r>
        <w:rPr>
          <w:rFonts w:hint="eastAsia" w:hAnsi="宋体"/>
          <w:color w:val="auto"/>
          <w:kern w:val="2"/>
          <w:szCs w:val="24"/>
          <w:highlight w:val="none"/>
        </w:rPr>
        <w:t>元作为磋商保证金。</w:t>
      </w:r>
    </w:p>
    <w:p w14:paraId="6B0CC965">
      <w:pPr>
        <w:spacing w:line="360" w:lineRule="auto"/>
        <w:rPr>
          <w:rFonts w:hAnsi="宋体"/>
          <w:color w:val="auto"/>
          <w:kern w:val="2"/>
          <w:szCs w:val="24"/>
          <w:highlight w:val="none"/>
        </w:rPr>
      </w:pPr>
    </w:p>
    <w:p w14:paraId="11A526E3">
      <w:pPr>
        <w:spacing w:line="360" w:lineRule="auto"/>
        <w:rPr>
          <w:rFonts w:hAnsi="宋体"/>
          <w:color w:val="auto"/>
          <w:kern w:val="2"/>
          <w:szCs w:val="24"/>
          <w:highlight w:val="none"/>
        </w:rPr>
      </w:pPr>
    </w:p>
    <w:p w14:paraId="40334F8F">
      <w:pPr>
        <w:spacing w:line="360" w:lineRule="auto"/>
        <w:ind w:left="1000"/>
        <w:jc w:val="right"/>
        <w:rPr>
          <w:rFonts w:hAnsi="宋体"/>
          <w:color w:val="auto"/>
          <w:kern w:val="2"/>
          <w:szCs w:val="24"/>
          <w:highlight w:val="none"/>
          <w:u w:val="single"/>
        </w:rPr>
      </w:pPr>
      <w:r>
        <w:rPr>
          <w:rFonts w:hAnsi="宋体"/>
          <w:color w:val="auto"/>
          <w:kern w:val="2"/>
          <w:szCs w:val="24"/>
          <w:highlight w:val="none"/>
        </w:rPr>
        <w:t xml:space="preserve">       </w:t>
      </w:r>
      <w:r>
        <w:rPr>
          <w:rFonts w:hint="eastAsia" w:hAnsi="宋体"/>
          <w:color w:val="auto"/>
          <w:kern w:val="2"/>
          <w:highlight w:val="none"/>
        </w:rPr>
        <w:t>供应商</w:t>
      </w:r>
      <w:r>
        <w:rPr>
          <w:rFonts w:hint="eastAsia" w:hAnsi="宋体"/>
          <w:color w:val="auto"/>
          <w:kern w:val="2"/>
          <w:szCs w:val="24"/>
          <w:highlight w:val="none"/>
        </w:rPr>
        <w:t>：</w:t>
      </w:r>
      <w:r>
        <w:rPr>
          <w:rFonts w:hAnsi="宋体"/>
          <w:color w:val="auto"/>
          <w:kern w:val="2"/>
          <w:szCs w:val="24"/>
          <w:highlight w:val="none"/>
          <w:u w:val="single"/>
        </w:rPr>
        <w:t xml:space="preserve">                        </w:t>
      </w:r>
      <w:r>
        <w:rPr>
          <w:rFonts w:hint="eastAsia" w:hAnsi="宋体"/>
          <w:color w:val="auto"/>
          <w:kern w:val="2"/>
          <w:szCs w:val="24"/>
          <w:highlight w:val="none"/>
          <w:u w:val="single"/>
        </w:rPr>
        <w:t>（盖单位章）</w:t>
      </w:r>
      <w:r>
        <w:rPr>
          <w:rFonts w:hAnsi="宋体"/>
          <w:color w:val="auto"/>
          <w:kern w:val="2"/>
          <w:szCs w:val="24"/>
          <w:highlight w:val="none"/>
        </w:rPr>
        <w:t xml:space="preserve">                                   </w:t>
      </w:r>
      <w:r>
        <w:rPr>
          <w:rFonts w:hAnsi="宋体"/>
          <w:color w:val="auto"/>
          <w:kern w:val="2"/>
          <w:szCs w:val="24"/>
          <w:highlight w:val="none"/>
          <w:u w:val="single"/>
        </w:rPr>
        <w:t xml:space="preserve">                                                                                              </w:t>
      </w:r>
    </w:p>
    <w:p w14:paraId="2CF6AF59">
      <w:pPr>
        <w:spacing w:line="360" w:lineRule="auto"/>
        <w:ind w:left="1000"/>
        <w:jc w:val="right"/>
        <w:rPr>
          <w:rFonts w:hAnsi="宋体"/>
          <w:color w:val="auto"/>
          <w:kern w:val="2"/>
          <w:szCs w:val="24"/>
          <w:highlight w:val="none"/>
          <w:u w:val="single"/>
        </w:rPr>
      </w:pPr>
      <w:r>
        <w:rPr>
          <w:rFonts w:hAnsi="宋体"/>
          <w:color w:val="auto"/>
          <w:kern w:val="2"/>
          <w:szCs w:val="24"/>
          <w:highlight w:val="none"/>
        </w:rPr>
        <w:t xml:space="preserve">         </w:t>
      </w:r>
      <w:r>
        <w:rPr>
          <w:rFonts w:hint="eastAsia" w:hAnsi="宋体"/>
          <w:color w:val="auto"/>
          <w:kern w:val="2"/>
          <w:szCs w:val="24"/>
          <w:highlight w:val="none"/>
        </w:rPr>
        <w:t>法定代表人（负责人）或其委托代理人：</w:t>
      </w:r>
      <w:r>
        <w:rPr>
          <w:rFonts w:hAnsi="宋体"/>
          <w:color w:val="auto"/>
          <w:kern w:val="2"/>
          <w:szCs w:val="24"/>
          <w:highlight w:val="none"/>
          <w:u w:val="single"/>
        </w:rPr>
        <w:t xml:space="preserve">      </w:t>
      </w:r>
      <w:r>
        <w:rPr>
          <w:rFonts w:hint="eastAsia" w:hAnsi="宋体"/>
          <w:color w:val="auto"/>
          <w:kern w:val="2"/>
          <w:szCs w:val="24"/>
          <w:highlight w:val="none"/>
          <w:u w:val="single"/>
        </w:rPr>
        <w:t>（签字或盖章）</w:t>
      </w:r>
    </w:p>
    <w:p w14:paraId="79E2CEFA">
      <w:pPr>
        <w:spacing w:line="360" w:lineRule="auto"/>
        <w:ind w:left="1000"/>
        <w:jc w:val="right"/>
        <w:rPr>
          <w:rFonts w:hAnsi="宋体"/>
          <w:color w:val="auto"/>
          <w:kern w:val="2"/>
          <w:szCs w:val="24"/>
          <w:highlight w:val="none"/>
        </w:rPr>
      </w:pPr>
      <w:r>
        <w:rPr>
          <w:rFonts w:hAnsi="宋体"/>
          <w:color w:val="auto"/>
          <w:kern w:val="2"/>
          <w:szCs w:val="24"/>
          <w:highlight w:val="none"/>
        </w:rPr>
        <w:t xml:space="preserve">         </w:t>
      </w:r>
      <w:r>
        <w:rPr>
          <w:rFonts w:hint="eastAsia" w:hAnsi="宋体"/>
          <w:color w:val="auto"/>
          <w:kern w:val="2"/>
          <w:szCs w:val="24"/>
          <w:highlight w:val="none"/>
        </w:rPr>
        <w:t>邮政编码：</w:t>
      </w:r>
      <w:r>
        <w:rPr>
          <w:rFonts w:hAnsi="宋体"/>
          <w:color w:val="auto"/>
          <w:kern w:val="2"/>
          <w:szCs w:val="24"/>
          <w:highlight w:val="none"/>
          <w:u w:val="single"/>
        </w:rPr>
        <w:tab/>
      </w:r>
      <w:r>
        <w:rPr>
          <w:rFonts w:hAnsi="宋体"/>
          <w:color w:val="auto"/>
          <w:kern w:val="2"/>
          <w:szCs w:val="24"/>
          <w:highlight w:val="none"/>
          <w:u w:val="single"/>
        </w:rPr>
        <w:tab/>
      </w:r>
      <w:r>
        <w:rPr>
          <w:rFonts w:hint="eastAsia" w:hAnsi="宋体"/>
          <w:color w:val="auto"/>
          <w:kern w:val="2"/>
          <w:szCs w:val="24"/>
          <w:highlight w:val="none"/>
        </w:rPr>
        <w:t>电话：</w:t>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rPr>
        <w:t xml:space="preserve"> </w:t>
      </w:r>
      <w:r>
        <w:rPr>
          <w:rFonts w:hint="eastAsia" w:hAnsi="宋体"/>
          <w:color w:val="auto"/>
          <w:kern w:val="2"/>
          <w:szCs w:val="24"/>
          <w:highlight w:val="none"/>
        </w:rPr>
        <w:t>传真：</w:t>
      </w:r>
      <w:r>
        <w:rPr>
          <w:rFonts w:hAnsi="宋体"/>
          <w:color w:val="auto"/>
          <w:kern w:val="2"/>
          <w:szCs w:val="24"/>
          <w:highlight w:val="none"/>
          <w:u w:val="single"/>
        </w:rPr>
        <w:tab/>
      </w:r>
      <w:r>
        <w:rPr>
          <w:rFonts w:hAnsi="宋体"/>
          <w:color w:val="auto"/>
          <w:kern w:val="2"/>
          <w:szCs w:val="24"/>
          <w:highlight w:val="none"/>
          <w:u w:val="single"/>
        </w:rPr>
        <w:tab/>
      </w:r>
    </w:p>
    <w:p w14:paraId="22AA2D33">
      <w:pPr>
        <w:spacing w:line="360" w:lineRule="auto"/>
        <w:ind w:left="1000"/>
        <w:jc w:val="right"/>
        <w:rPr>
          <w:rFonts w:hAnsi="宋体"/>
          <w:color w:val="auto"/>
          <w:kern w:val="2"/>
          <w:szCs w:val="24"/>
          <w:highlight w:val="none"/>
        </w:rPr>
      </w:pPr>
      <w:r>
        <w:rPr>
          <w:rFonts w:hAnsi="宋体"/>
          <w:color w:val="auto"/>
          <w:kern w:val="2"/>
          <w:szCs w:val="24"/>
          <w:highlight w:val="none"/>
        </w:rPr>
        <w:t xml:space="preserve">         </w:t>
      </w:r>
      <w:r>
        <w:rPr>
          <w:rFonts w:hint="eastAsia" w:hAnsi="宋体"/>
          <w:color w:val="auto"/>
          <w:kern w:val="2"/>
          <w:szCs w:val="24"/>
          <w:highlight w:val="none"/>
        </w:rPr>
        <w:t>开户银行名称：</w:t>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p>
    <w:p w14:paraId="635B986F">
      <w:pPr>
        <w:spacing w:line="360" w:lineRule="auto"/>
        <w:ind w:left="1000"/>
        <w:jc w:val="right"/>
        <w:rPr>
          <w:rFonts w:hAnsi="宋体"/>
          <w:color w:val="auto"/>
          <w:kern w:val="2"/>
          <w:szCs w:val="24"/>
          <w:highlight w:val="none"/>
        </w:rPr>
      </w:pPr>
      <w:r>
        <w:rPr>
          <w:rFonts w:hAnsi="宋体"/>
          <w:color w:val="auto"/>
          <w:kern w:val="2"/>
          <w:szCs w:val="24"/>
          <w:highlight w:val="none"/>
        </w:rPr>
        <w:t xml:space="preserve">         </w:t>
      </w:r>
      <w:r>
        <w:rPr>
          <w:rFonts w:hint="eastAsia" w:hAnsi="宋体"/>
          <w:color w:val="auto"/>
          <w:kern w:val="2"/>
          <w:szCs w:val="24"/>
          <w:highlight w:val="none"/>
        </w:rPr>
        <w:t>开户银行账号：</w:t>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 xml:space="preserve">  </w:t>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p>
    <w:p w14:paraId="612F6CEF">
      <w:pPr>
        <w:spacing w:line="360" w:lineRule="auto"/>
        <w:ind w:left="1000"/>
        <w:jc w:val="right"/>
        <w:rPr>
          <w:rFonts w:hAnsi="宋体"/>
          <w:color w:val="auto"/>
          <w:kern w:val="2"/>
          <w:szCs w:val="24"/>
          <w:highlight w:val="none"/>
        </w:rPr>
      </w:pPr>
      <w:r>
        <w:rPr>
          <w:rFonts w:hAnsi="宋体"/>
          <w:color w:val="auto"/>
          <w:kern w:val="2"/>
          <w:szCs w:val="24"/>
          <w:highlight w:val="none"/>
        </w:rPr>
        <w:t xml:space="preserve">         </w:t>
      </w:r>
      <w:r>
        <w:rPr>
          <w:rFonts w:hint="eastAsia" w:hAnsi="宋体"/>
          <w:color w:val="auto"/>
          <w:kern w:val="2"/>
          <w:szCs w:val="24"/>
          <w:highlight w:val="none"/>
        </w:rPr>
        <w:t>开户银行地址：</w:t>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p>
    <w:p w14:paraId="0F918DA1">
      <w:pPr>
        <w:spacing w:line="360" w:lineRule="auto"/>
        <w:ind w:left="1000"/>
        <w:jc w:val="right"/>
        <w:rPr>
          <w:rFonts w:hAnsi="宋体"/>
          <w:color w:val="auto"/>
          <w:kern w:val="2"/>
          <w:szCs w:val="24"/>
          <w:highlight w:val="none"/>
        </w:rPr>
      </w:pPr>
      <w:r>
        <w:rPr>
          <w:rFonts w:hAnsi="宋体"/>
          <w:color w:val="auto"/>
          <w:kern w:val="2"/>
          <w:szCs w:val="24"/>
          <w:highlight w:val="none"/>
        </w:rPr>
        <w:t xml:space="preserve">         </w:t>
      </w:r>
      <w:r>
        <w:rPr>
          <w:rFonts w:hint="eastAsia" w:hAnsi="宋体"/>
          <w:color w:val="auto"/>
          <w:kern w:val="2"/>
          <w:szCs w:val="24"/>
          <w:highlight w:val="none"/>
        </w:rPr>
        <w:t>开户银行电话：</w:t>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p>
    <w:p w14:paraId="3F47C2CB">
      <w:pPr>
        <w:spacing w:line="360" w:lineRule="auto"/>
        <w:ind w:right="420" w:firstLine="1974" w:firstLineChars="940"/>
        <w:jc w:val="right"/>
        <w:rPr>
          <w:rFonts w:hAnsi="宋体"/>
          <w:color w:val="auto"/>
          <w:kern w:val="2"/>
          <w:szCs w:val="24"/>
          <w:highlight w:val="none"/>
        </w:rPr>
      </w:pPr>
      <w:r>
        <w:rPr>
          <w:rFonts w:hint="eastAsia" w:hAnsi="宋体"/>
          <w:color w:val="auto"/>
          <w:kern w:val="2"/>
          <w:szCs w:val="24"/>
          <w:highlight w:val="none"/>
        </w:rPr>
        <w:t>日期：</w:t>
      </w:r>
      <w:r>
        <w:rPr>
          <w:rFonts w:hAnsi="宋体"/>
          <w:color w:val="auto"/>
          <w:kern w:val="2"/>
          <w:highlight w:val="none"/>
          <w:u w:val="single"/>
        </w:rPr>
        <w:t xml:space="preserve">         </w:t>
      </w:r>
      <w:r>
        <w:rPr>
          <w:rFonts w:hint="eastAsia" w:hAnsi="宋体"/>
          <w:color w:val="auto"/>
          <w:kern w:val="2"/>
          <w:highlight w:val="none"/>
        </w:rPr>
        <w:t>年</w:t>
      </w:r>
      <w:r>
        <w:rPr>
          <w:rFonts w:hAnsi="宋体"/>
          <w:color w:val="auto"/>
          <w:kern w:val="2"/>
          <w:highlight w:val="none"/>
          <w:u w:val="single"/>
        </w:rPr>
        <w:t xml:space="preserve">        </w:t>
      </w:r>
      <w:r>
        <w:rPr>
          <w:rFonts w:hint="eastAsia" w:hAnsi="宋体"/>
          <w:color w:val="auto"/>
          <w:kern w:val="2"/>
          <w:highlight w:val="none"/>
        </w:rPr>
        <w:t>月</w:t>
      </w:r>
      <w:r>
        <w:rPr>
          <w:rFonts w:hAnsi="宋体"/>
          <w:color w:val="auto"/>
          <w:kern w:val="2"/>
          <w:highlight w:val="none"/>
          <w:u w:val="single"/>
        </w:rPr>
        <w:t xml:space="preserve">        </w:t>
      </w:r>
      <w:r>
        <w:rPr>
          <w:rFonts w:hint="eastAsia" w:hAnsi="宋体"/>
          <w:color w:val="auto"/>
          <w:kern w:val="2"/>
          <w:highlight w:val="none"/>
        </w:rPr>
        <w:t>日</w:t>
      </w:r>
    </w:p>
    <w:p w14:paraId="5D1AAFBF">
      <w:pPr>
        <w:widowControl/>
        <w:jc w:val="left"/>
        <w:rPr>
          <w:rFonts w:hAnsi="宋体"/>
          <w:color w:val="auto"/>
          <w:highlight w:val="none"/>
        </w:rPr>
      </w:pPr>
      <w:r>
        <w:rPr>
          <w:rFonts w:hAnsi="宋体"/>
          <w:color w:val="auto"/>
          <w:highlight w:val="none"/>
        </w:rPr>
        <w:br w:type="page"/>
      </w:r>
    </w:p>
    <w:p w14:paraId="15B4BAA0">
      <w:pPr>
        <w:pStyle w:val="5"/>
        <w:jc w:val="center"/>
        <w:rPr>
          <w:rFonts w:ascii="宋体" w:hAnsi="宋体" w:eastAsia="宋体"/>
          <w:b w:val="0"/>
          <w:bCs w:val="0"/>
          <w:color w:val="auto"/>
          <w:sz w:val="28"/>
          <w:szCs w:val="28"/>
          <w:highlight w:val="none"/>
        </w:rPr>
      </w:pPr>
      <w:r>
        <w:rPr>
          <w:rFonts w:hint="eastAsia" w:ascii="宋体" w:hAnsi="宋体" w:eastAsia="宋体" w:cs="宋体"/>
          <w:b w:val="0"/>
          <w:color w:val="auto"/>
          <w:sz w:val="28"/>
          <w:szCs w:val="28"/>
          <w:highlight w:val="none"/>
        </w:rPr>
        <w:t>（二）竞标函附录</w:t>
      </w:r>
    </w:p>
    <w:p w14:paraId="7A554D01">
      <w:pPr>
        <w:jc w:val="center"/>
        <w:rPr>
          <w:rFonts w:hAnsi="宋体"/>
          <w:color w:val="auto"/>
          <w:kern w:val="2"/>
          <w:sz w:val="28"/>
          <w:szCs w:val="28"/>
          <w:highlight w:val="none"/>
        </w:rPr>
      </w:pPr>
    </w:p>
    <w:p w14:paraId="3F269D89">
      <w:pPr>
        <w:ind w:firstLine="514" w:firstLineChars="245"/>
        <w:rPr>
          <w:rFonts w:hint="default" w:hAnsi="宋体" w:eastAsia="宋体"/>
          <w:color w:val="auto"/>
          <w:kern w:val="2"/>
          <w:highlight w:val="none"/>
          <w:lang w:val="en-US" w:eastAsia="zh-CN"/>
        </w:rPr>
      </w:pPr>
      <w:r>
        <w:rPr>
          <w:rFonts w:hint="eastAsia" w:hAnsi="宋体"/>
          <w:color w:val="auto"/>
          <w:kern w:val="2"/>
          <w:highlight w:val="none"/>
        </w:rPr>
        <w:t>项目名称：</w:t>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rPr>
        <w:tab/>
      </w:r>
      <w:r>
        <w:rPr>
          <w:rFonts w:hAnsi="宋体"/>
          <w:color w:val="auto"/>
          <w:kern w:val="2"/>
          <w:highlight w:val="none"/>
        </w:rPr>
        <w:tab/>
      </w:r>
      <w:r>
        <w:rPr>
          <w:rFonts w:hint="eastAsia" w:hAnsi="宋体"/>
          <w:color w:val="auto"/>
          <w:kern w:val="2"/>
          <w:highlight w:val="none"/>
          <w:lang w:eastAsia="zh-CN"/>
        </w:rPr>
        <w:t xml:space="preserve"> 项目编号:</w:t>
      </w:r>
      <w:r>
        <w:rPr>
          <w:rFonts w:hint="eastAsia" w:hAnsi="宋体"/>
          <w:color w:val="auto"/>
          <w:kern w:val="2"/>
          <w:highlight w:val="none"/>
          <w:u w:val="single"/>
          <w:lang w:val="en-US" w:eastAsia="zh-CN"/>
        </w:rPr>
        <w:t xml:space="preserve">     </w:t>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u w:val="single"/>
          <w:lang w:val="en-US" w:eastAsia="zh-CN"/>
        </w:rPr>
        <w:t xml:space="preserve">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1664"/>
        <w:gridCol w:w="3036"/>
        <w:gridCol w:w="1253"/>
      </w:tblGrid>
      <w:tr w14:paraId="16EB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BBDB5D6">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eastAsia" w:hAnsi="宋体"/>
                <w:color w:val="auto"/>
                <w:kern w:val="2"/>
                <w:highlight w:val="none"/>
              </w:rPr>
              <w:t>序</w:t>
            </w:r>
            <w:r>
              <w:rPr>
                <w:rFonts w:hint="default" w:hAnsi="宋体"/>
                <w:color w:val="auto"/>
                <w:kern w:val="2"/>
                <w:highlight w:val="none"/>
              </w:rPr>
              <w:t xml:space="preserve"> </w:t>
            </w:r>
            <w:r>
              <w:rPr>
                <w:rFonts w:hint="eastAsia" w:hAnsi="宋体"/>
                <w:color w:val="auto"/>
                <w:kern w:val="2"/>
                <w:highlight w:val="none"/>
              </w:rPr>
              <w:t>号</w:t>
            </w:r>
          </w:p>
        </w:tc>
        <w:tc>
          <w:tcPr>
            <w:tcW w:w="1985" w:type="dxa"/>
            <w:vAlign w:val="center"/>
          </w:tcPr>
          <w:p w14:paraId="3AB541B9">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eastAsia" w:hAnsi="宋体"/>
                <w:color w:val="auto"/>
                <w:kern w:val="2"/>
                <w:highlight w:val="none"/>
              </w:rPr>
              <w:t>条款内容</w:t>
            </w:r>
          </w:p>
        </w:tc>
        <w:tc>
          <w:tcPr>
            <w:tcW w:w="1664" w:type="dxa"/>
            <w:vAlign w:val="center"/>
          </w:tcPr>
          <w:p w14:paraId="342100B5">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eastAsia" w:hAnsi="宋体"/>
                <w:color w:val="auto"/>
                <w:kern w:val="2"/>
                <w:highlight w:val="none"/>
              </w:rPr>
              <w:t>合同条款号</w:t>
            </w:r>
          </w:p>
        </w:tc>
        <w:tc>
          <w:tcPr>
            <w:tcW w:w="3036" w:type="dxa"/>
            <w:vAlign w:val="center"/>
          </w:tcPr>
          <w:p w14:paraId="758B1575">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eastAsia" w:hAnsi="宋体"/>
                <w:color w:val="auto"/>
                <w:kern w:val="2"/>
                <w:highlight w:val="none"/>
              </w:rPr>
              <w:t>供应商响应情况</w:t>
            </w:r>
          </w:p>
        </w:tc>
        <w:tc>
          <w:tcPr>
            <w:tcW w:w="1253" w:type="dxa"/>
            <w:vAlign w:val="center"/>
          </w:tcPr>
          <w:p w14:paraId="5F10E31A">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eastAsia" w:hAnsi="宋体"/>
                <w:color w:val="auto"/>
                <w:kern w:val="2"/>
                <w:highlight w:val="none"/>
              </w:rPr>
              <w:t>备注</w:t>
            </w:r>
          </w:p>
        </w:tc>
      </w:tr>
      <w:tr w14:paraId="2D29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515367F">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default" w:hAnsi="宋体"/>
                <w:color w:val="auto"/>
                <w:kern w:val="2"/>
                <w:highlight w:val="none"/>
              </w:rPr>
              <w:t>1</w:t>
            </w:r>
          </w:p>
        </w:tc>
        <w:tc>
          <w:tcPr>
            <w:tcW w:w="1985" w:type="dxa"/>
            <w:vAlign w:val="center"/>
          </w:tcPr>
          <w:p w14:paraId="7ED672AA">
            <w:pPr>
              <w:keepNext w:val="0"/>
              <w:keepLines w:val="0"/>
              <w:suppressLineNumbers w:val="0"/>
              <w:spacing w:before="0" w:beforeAutospacing="0" w:after="0" w:afterAutospacing="0"/>
              <w:ind w:left="0" w:right="0"/>
              <w:rPr>
                <w:rFonts w:hint="default" w:hAnsi="宋体"/>
                <w:color w:val="auto"/>
                <w:kern w:val="2"/>
                <w:highlight w:val="none"/>
              </w:rPr>
            </w:pPr>
            <w:r>
              <w:rPr>
                <w:rFonts w:hint="eastAsia" w:hAnsi="宋体"/>
                <w:color w:val="auto"/>
                <w:kern w:val="2"/>
                <w:highlight w:val="none"/>
              </w:rPr>
              <w:t>磋商有效期</w:t>
            </w:r>
          </w:p>
        </w:tc>
        <w:tc>
          <w:tcPr>
            <w:tcW w:w="1664" w:type="dxa"/>
            <w:tcMar>
              <w:left w:w="170" w:type="dxa"/>
            </w:tcMar>
            <w:vAlign w:val="center"/>
          </w:tcPr>
          <w:p w14:paraId="5FF85544">
            <w:pPr>
              <w:keepNext w:val="0"/>
              <w:keepLines w:val="0"/>
              <w:suppressLineNumbers w:val="0"/>
              <w:spacing w:before="0" w:beforeAutospacing="0" w:after="0" w:afterAutospacing="0"/>
              <w:ind w:left="0" w:right="0"/>
              <w:rPr>
                <w:rFonts w:hint="default" w:hAnsi="宋体"/>
                <w:color w:val="auto"/>
                <w:kern w:val="2"/>
                <w:highlight w:val="none"/>
              </w:rPr>
            </w:pPr>
          </w:p>
        </w:tc>
        <w:tc>
          <w:tcPr>
            <w:tcW w:w="3036" w:type="dxa"/>
            <w:vAlign w:val="center"/>
          </w:tcPr>
          <w:p w14:paraId="0AE0A723">
            <w:pPr>
              <w:keepNext w:val="0"/>
              <w:keepLines w:val="0"/>
              <w:suppressLineNumbers w:val="0"/>
              <w:spacing w:before="0" w:beforeAutospacing="0" w:after="0" w:afterAutospacing="0"/>
              <w:ind w:left="0" w:right="0"/>
              <w:jc w:val="center"/>
              <w:rPr>
                <w:rFonts w:hint="default" w:hAnsi="宋体"/>
                <w:color w:val="auto"/>
                <w:kern w:val="2"/>
                <w:highlight w:val="none"/>
                <w:u w:val="single"/>
              </w:rPr>
            </w:pPr>
            <w:r>
              <w:rPr>
                <w:rFonts w:hint="default" w:hAnsi="宋体"/>
                <w:color w:val="auto"/>
                <w:kern w:val="2"/>
                <w:highlight w:val="none"/>
                <w:u w:val="single"/>
              </w:rPr>
              <w:t xml:space="preserve">          </w:t>
            </w:r>
            <w:r>
              <w:rPr>
                <w:rFonts w:hint="eastAsia" w:hAnsi="宋体"/>
                <w:color w:val="auto"/>
                <w:kern w:val="2"/>
                <w:highlight w:val="none"/>
              </w:rPr>
              <w:t>日历天</w:t>
            </w:r>
          </w:p>
        </w:tc>
        <w:tc>
          <w:tcPr>
            <w:tcW w:w="1253" w:type="dxa"/>
            <w:vAlign w:val="center"/>
          </w:tcPr>
          <w:p w14:paraId="23736A6E">
            <w:pPr>
              <w:keepNext w:val="0"/>
              <w:keepLines w:val="0"/>
              <w:suppressLineNumbers w:val="0"/>
              <w:spacing w:before="0" w:beforeAutospacing="0" w:after="0" w:afterAutospacing="0"/>
              <w:ind w:left="0" w:right="0"/>
              <w:jc w:val="center"/>
              <w:rPr>
                <w:rFonts w:hint="default" w:hAnsi="宋体"/>
                <w:color w:val="auto"/>
                <w:kern w:val="2"/>
                <w:highlight w:val="none"/>
              </w:rPr>
            </w:pPr>
          </w:p>
        </w:tc>
      </w:tr>
      <w:tr w14:paraId="1891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CB528CC">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default" w:hAnsi="宋体"/>
                <w:color w:val="auto"/>
                <w:kern w:val="2"/>
                <w:highlight w:val="none"/>
              </w:rPr>
              <w:t>2</w:t>
            </w:r>
          </w:p>
        </w:tc>
        <w:tc>
          <w:tcPr>
            <w:tcW w:w="1985" w:type="dxa"/>
            <w:vAlign w:val="center"/>
          </w:tcPr>
          <w:p w14:paraId="3FBA19B3">
            <w:pPr>
              <w:keepNext w:val="0"/>
              <w:keepLines w:val="0"/>
              <w:suppressLineNumbers w:val="0"/>
              <w:spacing w:before="0" w:beforeAutospacing="0" w:after="0" w:afterAutospacing="0"/>
              <w:ind w:left="0" w:right="0"/>
              <w:rPr>
                <w:rFonts w:hint="default" w:hAnsi="宋体"/>
                <w:color w:val="auto"/>
                <w:kern w:val="2"/>
                <w:highlight w:val="none"/>
              </w:rPr>
            </w:pPr>
            <w:r>
              <w:rPr>
                <w:rFonts w:hint="eastAsia" w:hAnsi="宋体"/>
                <w:color w:val="auto"/>
                <w:kern w:val="2"/>
                <w:highlight w:val="none"/>
              </w:rPr>
              <w:t>工期</w:t>
            </w:r>
          </w:p>
        </w:tc>
        <w:tc>
          <w:tcPr>
            <w:tcW w:w="1664" w:type="dxa"/>
            <w:tcMar>
              <w:left w:w="170" w:type="dxa"/>
            </w:tcMar>
            <w:vAlign w:val="center"/>
          </w:tcPr>
          <w:p w14:paraId="7012D358">
            <w:pPr>
              <w:keepNext w:val="0"/>
              <w:keepLines w:val="0"/>
              <w:suppressLineNumbers w:val="0"/>
              <w:spacing w:before="0" w:beforeAutospacing="0" w:after="0" w:afterAutospacing="0"/>
              <w:ind w:left="0" w:right="0"/>
              <w:jc w:val="center"/>
              <w:rPr>
                <w:rFonts w:hint="default" w:hAnsi="宋体"/>
                <w:color w:val="auto"/>
                <w:kern w:val="2"/>
                <w:highlight w:val="none"/>
              </w:rPr>
            </w:pPr>
          </w:p>
        </w:tc>
        <w:tc>
          <w:tcPr>
            <w:tcW w:w="3036" w:type="dxa"/>
            <w:vAlign w:val="center"/>
          </w:tcPr>
          <w:p w14:paraId="42B6AC1C">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default" w:hAnsi="宋体"/>
                <w:color w:val="auto"/>
                <w:kern w:val="2"/>
                <w:highlight w:val="none"/>
                <w:u w:val="single"/>
              </w:rPr>
              <w:t xml:space="preserve">          </w:t>
            </w:r>
            <w:r>
              <w:rPr>
                <w:rFonts w:hint="eastAsia" w:hAnsi="宋体"/>
                <w:color w:val="auto"/>
                <w:kern w:val="2"/>
                <w:highlight w:val="none"/>
              </w:rPr>
              <w:t>日历天</w:t>
            </w:r>
          </w:p>
        </w:tc>
        <w:tc>
          <w:tcPr>
            <w:tcW w:w="1253" w:type="dxa"/>
            <w:vAlign w:val="center"/>
          </w:tcPr>
          <w:p w14:paraId="1D92465A">
            <w:pPr>
              <w:keepNext w:val="0"/>
              <w:keepLines w:val="0"/>
              <w:suppressLineNumbers w:val="0"/>
              <w:spacing w:before="0" w:beforeAutospacing="0" w:after="0" w:afterAutospacing="0"/>
              <w:ind w:left="0" w:right="0"/>
              <w:jc w:val="center"/>
              <w:rPr>
                <w:rFonts w:hint="default" w:hAnsi="宋体"/>
                <w:color w:val="auto"/>
                <w:kern w:val="2"/>
                <w:highlight w:val="none"/>
              </w:rPr>
            </w:pPr>
          </w:p>
        </w:tc>
      </w:tr>
      <w:tr w14:paraId="4463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56A459B">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default" w:hAnsi="宋体"/>
                <w:color w:val="auto"/>
                <w:kern w:val="2"/>
                <w:highlight w:val="none"/>
              </w:rPr>
              <w:t>3</w:t>
            </w:r>
          </w:p>
        </w:tc>
        <w:tc>
          <w:tcPr>
            <w:tcW w:w="1985" w:type="dxa"/>
            <w:vAlign w:val="center"/>
          </w:tcPr>
          <w:p w14:paraId="1560FC78">
            <w:pPr>
              <w:keepNext w:val="0"/>
              <w:keepLines w:val="0"/>
              <w:suppressLineNumbers w:val="0"/>
              <w:spacing w:before="0" w:beforeAutospacing="0" w:after="0" w:afterAutospacing="0"/>
              <w:ind w:left="0" w:right="0"/>
              <w:rPr>
                <w:rFonts w:hint="default" w:hAnsi="宋体"/>
                <w:color w:val="auto"/>
                <w:kern w:val="2"/>
                <w:highlight w:val="none"/>
              </w:rPr>
            </w:pPr>
            <w:r>
              <w:rPr>
                <w:rFonts w:hint="eastAsia" w:hAnsi="宋体"/>
                <w:color w:val="auto"/>
                <w:kern w:val="2"/>
                <w:highlight w:val="none"/>
              </w:rPr>
              <w:t>质量标准</w:t>
            </w:r>
          </w:p>
        </w:tc>
        <w:tc>
          <w:tcPr>
            <w:tcW w:w="1664" w:type="dxa"/>
            <w:tcMar>
              <w:left w:w="170" w:type="dxa"/>
            </w:tcMar>
            <w:vAlign w:val="center"/>
          </w:tcPr>
          <w:p w14:paraId="3BA766A9">
            <w:pPr>
              <w:keepNext w:val="0"/>
              <w:keepLines w:val="0"/>
              <w:suppressLineNumbers w:val="0"/>
              <w:spacing w:before="0" w:beforeAutospacing="0" w:after="0" w:afterAutospacing="0"/>
              <w:ind w:left="0" w:right="0"/>
              <w:jc w:val="center"/>
              <w:rPr>
                <w:rFonts w:hint="default" w:hAnsi="宋体"/>
                <w:color w:val="auto"/>
                <w:kern w:val="2"/>
                <w:highlight w:val="none"/>
              </w:rPr>
            </w:pPr>
          </w:p>
        </w:tc>
        <w:tc>
          <w:tcPr>
            <w:tcW w:w="3036" w:type="dxa"/>
            <w:vAlign w:val="center"/>
          </w:tcPr>
          <w:p w14:paraId="4FD14CC7">
            <w:pPr>
              <w:keepNext w:val="0"/>
              <w:keepLines w:val="0"/>
              <w:suppressLineNumbers w:val="0"/>
              <w:spacing w:before="0" w:beforeAutospacing="0" w:after="0" w:afterAutospacing="0"/>
              <w:ind w:left="0" w:right="0"/>
              <w:jc w:val="center"/>
              <w:rPr>
                <w:rFonts w:hint="default" w:hAnsi="宋体"/>
                <w:color w:val="auto"/>
                <w:kern w:val="2"/>
                <w:highlight w:val="none"/>
              </w:rPr>
            </w:pPr>
          </w:p>
        </w:tc>
        <w:tc>
          <w:tcPr>
            <w:tcW w:w="1253" w:type="dxa"/>
            <w:vAlign w:val="center"/>
          </w:tcPr>
          <w:p w14:paraId="44D6A163">
            <w:pPr>
              <w:keepNext w:val="0"/>
              <w:keepLines w:val="0"/>
              <w:suppressLineNumbers w:val="0"/>
              <w:spacing w:before="0" w:beforeAutospacing="0" w:after="0" w:afterAutospacing="0"/>
              <w:ind w:left="0" w:right="0"/>
              <w:jc w:val="center"/>
              <w:rPr>
                <w:rFonts w:hint="default" w:hAnsi="宋体"/>
                <w:color w:val="auto"/>
                <w:kern w:val="2"/>
                <w:highlight w:val="none"/>
              </w:rPr>
            </w:pPr>
          </w:p>
        </w:tc>
      </w:tr>
      <w:tr w14:paraId="32EC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186FE05">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default" w:hAnsi="宋体"/>
                <w:color w:val="auto"/>
                <w:kern w:val="2"/>
                <w:highlight w:val="none"/>
              </w:rPr>
              <w:t>4</w:t>
            </w:r>
          </w:p>
        </w:tc>
        <w:tc>
          <w:tcPr>
            <w:tcW w:w="1985" w:type="dxa"/>
            <w:vAlign w:val="center"/>
          </w:tcPr>
          <w:p w14:paraId="371C0A29">
            <w:pPr>
              <w:keepNext w:val="0"/>
              <w:keepLines w:val="0"/>
              <w:suppressLineNumbers w:val="0"/>
              <w:spacing w:before="0" w:beforeAutospacing="0" w:after="0" w:afterAutospacing="0"/>
              <w:ind w:left="0" w:right="0"/>
              <w:rPr>
                <w:rFonts w:hint="default" w:hAnsi="宋体"/>
                <w:color w:val="auto"/>
                <w:kern w:val="2"/>
                <w:highlight w:val="none"/>
              </w:rPr>
            </w:pPr>
            <w:r>
              <w:rPr>
                <w:rFonts w:hint="eastAsia" w:hAnsi="宋体"/>
                <w:color w:val="auto"/>
                <w:kern w:val="2"/>
                <w:highlight w:val="none"/>
              </w:rPr>
              <w:t>缺陷责任期</w:t>
            </w:r>
          </w:p>
        </w:tc>
        <w:tc>
          <w:tcPr>
            <w:tcW w:w="1664" w:type="dxa"/>
            <w:tcMar>
              <w:left w:w="170" w:type="dxa"/>
            </w:tcMar>
            <w:vAlign w:val="center"/>
          </w:tcPr>
          <w:p w14:paraId="1E1C4D9C">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eastAsia" w:hAnsi="宋体"/>
                <w:color w:val="auto"/>
                <w:kern w:val="2"/>
                <w:highlight w:val="none"/>
              </w:rPr>
              <w:t>专用条款</w:t>
            </w:r>
          </w:p>
        </w:tc>
        <w:tc>
          <w:tcPr>
            <w:tcW w:w="3036" w:type="dxa"/>
            <w:vAlign w:val="center"/>
          </w:tcPr>
          <w:p w14:paraId="33717D58">
            <w:pPr>
              <w:keepNext w:val="0"/>
              <w:keepLines w:val="0"/>
              <w:suppressLineNumbers w:val="0"/>
              <w:spacing w:before="0" w:beforeAutospacing="0" w:after="0" w:afterAutospacing="0"/>
              <w:ind w:left="0" w:right="0"/>
              <w:jc w:val="center"/>
              <w:rPr>
                <w:rFonts w:hint="default" w:hAnsi="宋体"/>
                <w:color w:val="auto"/>
                <w:kern w:val="2"/>
                <w:highlight w:val="none"/>
              </w:rPr>
            </w:pPr>
          </w:p>
        </w:tc>
        <w:tc>
          <w:tcPr>
            <w:tcW w:w="1253" w:type="dxa"/>
            <w:vAlign w:val="center"/>
          </w:tcPr>
          <w:p w14:paraId="1DD0CB3C">
            <w:pPr>
              <w:keepNext w:val="0"/>
              <w:keepLines w:val="0"/>
              <w:suppressLineNumbers w:val="0"/>
              <w:spacing w:before="0" w:beforeAutospacing="0" w:after="0" w:afterAutospacing="0"/>
              <w:ind w:left="0" w:right="0"/>
              <w:jc w:val="center"/>
              <w:rPr>
                <w:rFonts w:hint="default" w:hAnsi="宋体"/>
                <w:color w:val="auto"/>
                <w:kern w:val="2"/>
                <w:highlight w:val="none"/>
              </w:rPr>
            </w:pPr>
          </w:p>
        </w:tc>
      </w:tr>
      <w:tr w14:paraId="416A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AD9CB20">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default" w:hAnsi="宋体"/>
                <w:color w:val="auto"/>
                <w:kern w:val="2"/>
                <w:highlight w:val="none"/>
              </w:rPr>
              <w:t>5</w:t>
            </w:r>
          </w:p>
        </w:tc>
        <w:tc>
          <w:tcPr>
            <w:tcW w:w="1985" w:type="dxa"/>
            <w:vAlign w:val="center"/>
          </w:tcPr>
          <w:p w14:paraId="71C9E306">
            <w:pPr>
              <w:keepNext w:val="0"/>
              <w:keepLines w:val="0"/>
              <w:suppressLineNumbers w:val="0"/>
              <w:spacing w:before="0" w:beforeAutospacing="0" w:after="0" w:afterAutospacing="0"/>
              <w:ind w:left="0" w:right="0"/>
              <w:rPr>
                <w:rFonts w:hint="default" w:hAnsi="宋体"/>
                <w:color w:val="auto"/>
                <w:kern w:val="2"/>
                <w:highlight w:val="none"/>
              </w:rPr>
            </w:pPr>
            <w:r>
              <w:rPr>
                <w:rFonts w:hint="eastAsia" w:hAnsi="宋体"/>
                <w:color w:val="auto"/>
                <w:kern w:val="2"/>
                <w:highlight w:val="none"/>
              </w:rPr>
              <w:t>开工预付款额度</w:t>
            </w:r>
          </w:p>
        </w:tc>
        <w:tc>
          <w:tcPr>
            <w:tcW w:w="1664" w:type="dxa"/>
            <w:tcMar>
              <w:left w:w="170" w:type="dxa"/>
            </w:tcMar>
            <w:vAlign w:val="center"/>
          </w:tcPr>
          <w:p w14:paraId="3C4760D0">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eastAsia" w:hAnsi="宋体"/>
                <w:color w:val="auto"/>
                <w:kern w:val="2"/>
                <w:highlight w:val="none"/>
              </w:rPr>
              <w:t>专用条款</w:t>
            </w:r>
          </w:p>
        </w:tc>
        <w:tc>
          <w:tcPr>
            <w:tcW w:w="3036" w:type="dxa"/>
            <w:vAlign w:val="center"/>
          </w:tcPr>
          <w:p w14:paraId="696487C8">
            <w:pPr>
              <w:keepNext w:val="0"/>
              <w:keepLines w:val="0"/>
              <w:suppressLineNumbers w:val="0"/>
              <w:spacing w:before="0" w:beforeAutospacing="0" w:after="0" w:afterAutospacing="0"/>
              <w:ind w:left="0" w:right="0"/>
              <w:jc w:val="center"/>
              <w:rPr>
                <w:rFonts w:hint="default" w:hAnsi="宋体"/>
                <w:color w:val="auto"/>
                <w:kern w:val="2"/>
                <w:highlight w:val="none"/>
              </w:rPr>
            </w:pPr>
          </w:p>
        </w:tc>
        <w:tc>
          <w:tcPr>
            <w:tcW w:w="1253" w:type="dxa"/>
            <w:vAlign w:val="center"/>
          </w:tcPr>
          <w:p w14:paraId="1A4DCF47">
            <w:pPr>
              <w:keepNext w:val="0"/>
              <w:keepLines w:val="0"/>
              <w:suppressLineNumbers w:val="0"/>
              <w:spacing w:before="0" w:beforeAutospacing="0" w:after="0" w:afterAutospacing="0"/>
              <w:ind w:left="0" w:right="0"/>
              <w:jc w:val="center"/>
              <w:rPr>
                <w:rFonts w:hint="default" w:hAnsi="宋体"/>
                <w:color w:val="auto"/>
                <w:kern w:val="2"/>
                <w:highlight w:val="none"/>
              </w:rPr>
            </w:pPr>
          </w:p>
        </w:tc>
      </w:tr>
      <w:tr w14:paraId="5638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4E92789">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default" w:hAnsi="宋体"/>
                <w:color w:val="auto"/>
                <w:kern w:val="2"/>
                <w:highlight w:val="none"/>
              </w:rPr>
              <w:t>6</w:t>
            </w:r>
          </w:p>
        </w:tc>
        <w:tc>
          <w:tcPr>
            <w:tcW w:w="1985" w:type="dxa"/>
            <w:vAlign w:val="center"/>
          </w:tcPr>
          <w:p w14:paraId="6155B97D">
            <w:pPr>
              <w:keepNext w:val="0"/>
              <w:keepLines w:val="0"/>
              <w:suppressLineNumbers w:val="0"/>
              <w:spacing w:before="0" w:beforeAutospacing="0" w:after="0" w:afterAutospacing="0"/>
              <w:ind w:left="0" w:right="0"/>
              <w:rPr>
                <w:rFonts w:hint="default" w:hAnsi="宋体"/>
                <w:color w:val="auto"/>
                <w:kern w:val="2"/>
                <w:highlight w:val="none"/>
              </w:rPr>
            </w:pPr>
            <w:r>
              <w:rPr>
                <w:rFonts w:hint="eastAsia" w:hAnsi="宋体"/>
                <w:color w:val="auto"/>
                <w:kern w:val="2"/>
                <w:highlight w:val="none"/>
              </w:rPr>
              <w:t>质量保证金额度</w:t>
            </w:r>
          </w:p>
        </w:tc>
        <w:tc>
          <w:tcPr>
            <w:tcW w:w="1664" w:type="dxa"/>
            <w:tcMar>
              <w:left w:w="170" w:type="dxa"/>
            </w:tcMar>
            <w:vAlign w:val="center"/>
          </w:tcPr>
          <w:p w14:paraId="4979FB1F">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eastAsia" w:hAnsi="宋体"/>
                <w:color w:val="auto"/>
                <w:kern w:val="2"/>
                <w:highlight w:val="none"/>
              </w:rPr>
              <w:t>专用条款</w:t>
            </w:r>
          </w:p>
        </w:tc>
        <w:tc>
          <w:tcPr>
            <w:tcW w:w="3036" w:type="dxa"/>
            <w:vAlign w:val="center"/>
          </w:tcPr>
          <w:p w14:paraId="6C1CB537">
            <w:pPr>
              <w:keepNext w:val="0"/>
              <w:keepLines w:val="0"/>
              <w:suppressLineNumbers w:val="0"/>
              <w:spacing w:before="0" w:beforeAutospacing="0" w:after="0" w:afterAutospacing="0"/>
              <w:ind w:left="0" w:right="0"/>
              <w:jc w:val="center"/>
              <w:rPr>
                <w:rFonts w:hint="default" w:hAnsi="宋体"/>
                <w:color w:val="auto"/>
                <w:kern w:val="2"/>
                <w:highlight w:val="none"/>
              </w:rPr>
            </w:pPr>
          </w:p>
        </w:tc>
        <w:tc>
          <w:tcPr>
            <w:tcW w:w="1253" w:type="dxa"/>
            <w:vAlign w:val="center"/>
          </w:tcPr>
          <w:p w14:paraId="60B3E44D">
            <w:pPr>
              <w:keepNext w:val="0"/>
              <w:keepLines w:val="0"/>
              <w:suppressLineNumbers w:val="0"/>
              <w:spacing w:before="0" w:beforeAutospacing="0" w:after="0" w:afterAutospacing="0"/>
              <w:ind w:left="0" w:right="0"/>
              <w:jc w:val="center"/>
              <w:rPr>
                <w:rFonts w:hint="default" w:hAnsi="宋体"/>
                <w:color w:val="auto"/>
                <w:kern w:val="2"/>
                <w:highlight w:val="none"/>
              </w:rPr>
            </w:pPr>
          </w:p>
        </w:tc>
      </w:tr>
      <w:tr w14:paraId="051B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1F47382">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default" w:hAnsi="宋体"/>
                <w:color w:val="auto"/>
                <w:kern w:val="2"/>
                <w:highlight w:val="none"/>
              </w:rPr>
              <w:t>7</w:t>
            </w:r>
          </w:p>
        </w:tc>
        <w:tc>
          <w:tcPr>
            <w:tcW w:w="1985" w:type="dxa"/>
            <w:vAlign w:val="center"/>
          </w:tcPr>
          <w:p w14:paraId="16B7EA20">
            <w:pPr>
              <w:keepNext w:val="0"/>
              <w:keepLines w:val="0"/>
              <w:suppressLineNumbers w:val="0"/>
              <w:spacing w:before="0" w:beforeAutospacing="0" w:after="0" w:afterAutospacing="0"/>
              <w:ind w:left="0" w:right="0"/>
              <w:rPr>
                <w:rFonts w:hint="default" w:hAnsi="宋体"/>
                <w:color w:val="auto"/>
                <w:kern w:val="2"/>
                <w:highlight w:val="none"/>
              </w:rPr>
            </w:pPr>
            <w:r>
              <w:rPr>
                <w:rFonts w:hint="eastAsia" w:hAnsi="宋体"/>
                <w:color w:val="auto"/>
                <w:kern w:val="2"/>
                <w:highlight w:val="none"/>
              </w:rPr>
              <w:t>技术标准和要求</w:t>
            </w:r>
          </w:p>
        </w:tc>
        <w:tc>
          <w:tcPr>
            <w:tcW w:w="1664" w:type="dxa"/>
            <w:tcMar>
              <w:left w:w="170" w:type="dxa"/>
            </w:tcMar>
            <w:vAlign w:val="center"/>
          </w:tcPr>
          <w:p w14:paraId="715D156F">
            <w:pPr>
              <w:keepNext w:val="0"/>
              <w:keepLines w:val="0"/>
              <w:suppressLineNumbers w:val="0"/>
              <w:spacing w:before="0" w:beforeAutospacing="0" w:after="0" w:afterAutospacing="0"/>
              <w:ind w:left="0" w:right="0"/>
              <w:jc w:val="center"/>
              <w:rPr>
                <w:rFonts w:hint="default" w:hAnsi="宋体"/>
                <w:color w:val="auto"/>
                <w:kern w:val="2"/>
                <w:highlight w:val="none"/>
              </w:rPr>
            </w:pPr>
          </w:p>
        </w:tc>
        <w:tc>
          <w:tcPr>
            <w:tcW w:w="3036" w:type="dxa"/>
            <w:vAlign w:val="center"/>
          </w:tcPr>
          <w:p w14:paraId="583B01D2">
            <w:pPr>
              <w:keepNext w:val="0"/>
              <w:keepLines w:val="0"/>
              <w:suppressLineNumbers w:val="0"/>
              <w:spacing w:before="0" w:beforeAutospacing="0" w:after="0" w:afterAutospacing="0"/>
              <w:ind w:left="0" w:right="0"/>
              <w:jc w:val="left"/>
              <w:rPr>
                <w:rFonts w:hint="default" w:hAnsi="宋体"/>
                <w:color w:val="auto"/>
                <w:kern w:val="2"/>
                <w:highlight w:val="none"/>
              </w:rPr>
            </w:pPr>
            <w:r>
              <w:rPr>
                <w:rFonts w:hint="eastAsia" w:hAnsi="宋体"/>
                <w:color w:val="auto"/>
                <w:kern w:val="2"/>
                <w:highlight w:val="none"/>
              </w:rPr>
              <w:t>是否符合磋商文件第五章“技术标准和要求”</w:t>
            </w:r>
          </w:p>
          <w:p w14:paraId="137C9941">
            <w:pPr>
              <w:keepNext w:val="0"/>
              <w:keepLines w:val="0"/>
              <w:suppressLineNumbers w:val="0"/>
              <w:spacing w:before="0" w:beforeAutospacing="0" w:after="0" w:afterAutospacing="0"/>
              <w:ind w:left="0" w:right="0"/>
              <w:jc w:val="left"/>
              <w:rPr>
                <w:rFonts w:hint="default" w:hAnsi="宋体"/>
                <w:color w:val="auto"/>
                <w:kern w:val="2"/>
                <w:highlight w:val="none"/>
              </w:rPr>
            </w:pPr>
            <w:r>
              <w:rPr>
                <w:rFonts w:hint="eastAsia" w:hAnsi="宋体"/>
                <w:color w:val="auto"/>
                <w:kern w:val="2"/>
                <w:highlight w:val="none"/>
              </w:rPr>
              <w:t>是（</w:t>
            </w:r>
            <w:r>
              <w:rPr>
                <w:rFonts w:hint="eastAsia" w:hAnsi="宋体"/>
                <w:color w:val="auto"/>
                <w:kern w:val="2"/>
                <w:highlight w:val="none"/>
                <w:lang w:val="en-US" w:eastAsia="zh-CN"/>
              </w:rPr>
              <w:t xml:space="preserve">  </w:t>
            </w:r>
            <w:r>
              <w:rPr>
                <w:rFonts w:hint="eastAsia" w:hAnsi="宋体"/>
                <w:color w:val="auto"/>
                <w:kern w:val="2"/>
                <w:highlight w:val="none"/>
              </w:rPr>
              <w:t>）</w:t>
            </w:r>
            <w:r>
              <w:rPr>
                <w:rFonts w:hint="default" w:hAnsi="宋体"/>
                <w:color w:val="auto"/>
                <w:kern w:val="2"/>
                <w:highlight w:val="none"/>
              </w:rPr>
              <w:t xml:space="preserve">  </w:t>
            </w:r>
            <w:r>
              <w:rPr>
                <w:rFonts w:hint="eastAsia" w:hAnsi="宋体"/>
                <w:color w:val="auto"/>
                <w:kern w:val="2"/>
                <w:highlight w:val="none"/>
              </w:rPr>
              <w:t>否（</w:t>
            </w:r>
            <w:r>
              <w:rPr>
                <w:rFonts w:hint="eastAsia" w:hAnsi="宋体"/>
                <w:color w:val="auto"/>
                <w:kern w:val="2"/>
                <w:highlight w:val="none"/>
                <w:lang w:val="en-US" w:eastAsia="zh-CN"/>
              </w:rPr>
              <w:t xml:space="preserve">  </w:t>
            </w:r>
            <w:r>
              <w:rPr>
                <w:rFonts w:hint="eastAsia" w:hAnsi="宋体"/>
                <w:color w:val="auto"/>
                <w:kern w:val="2"/>
                <w:highlight w:val="none"/>
              </w:rPr>
              <w:t>）</w:t>
            </w:r>
          </w:p>
        </w:tc>
        <w:tc>
          <w:tcPr>
            <w:tcW w:w="1253" w:type="dxa"/>
            <w:vAlign w:val="center"/>
          </w:tcPr>
          <w:p w14:paraId="49112D0C">
            <w:pPr>
              <w:keepNext w:val="0"/>
              <w:keepLines w:val="0"/>
              <w:suppressLineNumbers w:val="0"/>
              <w:spacing w:before="0" w:beforeAutospacing="0" w:after="0" w:afterAutospacing="0"/>
              <w:ind w:left="0" w:right="0"/>
              <w:jc w:val="center"/>
              <w:rPr>
                <w:rFonts w:hint="default" w:hAnsi="宋体"/>
                <w:color w:val="auto"/>
                <w:kern w:val="2"/>
                <w:highlight w:val="none"/>
              </w:rPr>
            </w:pPr>
          </w:p>
        </w:tc>
      </w:tr>
      <w:tr w14:paraId="0289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3C88FB2">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default" w:hAnsi="宋体"/>
                <w:color w:val="auto"/>
                <w:kern w:val="2"/>
                <w:highlight w:val="none"/>
              </w:rPr>
              <w:t>8</w:t>
            </w:r>
          </w:p>
        </w:tc>
        <w:tc>
          <w:tcPr>
            <w:tcW w:w="1985" w:type="dxa"/>
            <w:vAlign w:val="center"/>
          </w:tcPr>
          <w:p w14:paraId="7F611723">
            <w:pPr>
              <w:keepNext w:val="0"/>
              <w:keepLines w:val="0"/>
              <w:suppressLineNumbers w:val="0"/>
              <w:spacing w:before="0" w:beforeAutospacing="0" w:after="0" w:afterAutospacing="0"/>
              <w:ind w:left="0" w:right="0"/>
              <w:rPr>
                <w:rFonts w:hint="default" w:hAnsi="宋体"/>
                <w:color w:val="auto"/>
                <w:kern w:val="2"/>
                <w:highlight w:val="none"/>
              </w:rPr>
            </w:pPr>
            <w:r>
              <w:rPr>
                <w:rFonts w:hint="eastAsia" w:hAnsi="宋体"/>
                <w:color w:val="auto"/>
                <w:kern w:val="2"/>
                <w:highlight w:val="none"/>
              </w:rPr>
              <w:t>权利和义务</w:t>
            </w:r>
          </w:p>
        </w:tc>
        <w:tc>
          <w:tcPr>
            <w:tcW w:w="1664" w:type="dxa"/>
            <w:tcMar>
              <w:left w:w="170" w:type="dxa"/>
            </w:tcMar>
            <w:vAlign w:val="center"/>
          </w:tcPr>
          <w:p w14:paraId="73BF86E3">
            <w:pPr>
              <w:keepNext w:val="0"/>
              <w:keepLines w:val="0"/>
              <w:suppressLineNumbers w:val="0"/>
              <w:spacing w:before="0" w:beforeAutospacing="0" w:after="0" w:afterAutospacing="0"/>
              <w:ind w:left="0" w:right="0"/>
              <w:jc w:val="center"/>
              <w:rPr>
                <w:rFonts w:hint="default" w:hAnsi="宋体"/>
                <w:color w:val="auto"/>
                <w:kern w:val="2"/>
                <w:highlight w:val="none"/>
              </w:rPr>
            </w:pPr>
          </w:p>
        </w:tc>
        <w:tc>
          <w:tcPr>
            <w:tcW w:w="3036" w:type="dxa"/>
            <w:vAlign w:val="center"/>
          </w:tcPr>
          <w:p w14:paraId="3239EFAC">
            <w:pPr>
              <w:keepNext w:val="0"/>
              <w:keepLines w:val="0"/>
              <w:suppressLineNumbers w:val="0"/>
              <w:spacing w:before="0" w:beforeAutospacing="0" w:after="0" w:afterAutospacing="0"/>
              <w:ind w:left="0" w:right="0"/>
              <w:jc w:val="left"/>
              <w:rPr>
                <w:rFonts w:hint="default" w:hAnsi="宋体"/>
                <w:color w:val="auto"/>
                <w:kern w:val="2"/>
                <w:highlight w:val="none"/>
              </w:rPr>
            </w:pPr>
            <w:r>
              <w:rPr>
                <w:rFonts w:hint="eastAsia" w:hAnsi="宋体" w:cs="Times New Roman"/>
                <w:color w:val="auto"/>
                <w:kern w:val="2"/>
                <w:highlight w:val="none"/>
              </w:rPr>
              <w:t>是否响应本采购文件第四章“合同条款及格式”相应约定：</w:t>
            </w:r>
            <w:r>
              <w:rPr>
                <w:rFonts w:hint="eastAsia" w:hAnsi="宋体"/>
                <w:color w:val="auto"/>
                <w:kern w:val="2"/>
                <w:highlight w:val="none"/>
              </w:rPr>
              <w:t>是（</w:t>
            </w:r>
            <w:r>
              <w:rPr>
                <w:rFonts w:hint="eastAsia" w:hAnsi="宋体"/>
                <w:color w:val="auto"/>
                <w:kern w:val="2"/>
                <w:highlight w:val="none"/>
                <w:lang w:val="en-US" w:eastAsia="zh-CN"/>
              </w:rPr>
              <w:t xml:space="preserve">  </w:t>
            </w:r>
            <w:r>
              <w:rPr>
                <w:rFonts w:hint="eastAsia" w:hAnsi="宋体"/>
                <w:color w:val="auto"/>
                <w:kern w:val="2"/>
                <w:highlight w:val="none"/>
              </w:rPr>
              <w:t>）</w:t>
            </w:r>
            <w:r>
              <w:rPr>
                <w:rFonts w:hint="default" w:hAnsi="宋体"/>
                <w:color w:val="auto"/>
                <w:kern w:val="2"/>
                <w:highlight w:val="none"/>
              </w:rPr>
              <w:t xml:space="preserve">  </w:t>
            </w:r>
            <w:r>
              <w:rPr>
                <w:rFonts w:hint="eastAsia" w:hAnsi="宋体"/>
                <w:color w:val="auto"/>
                <w:kern w:val="2"/>
                <w:highlight w:val="none"/>
              </w:rPr>
              <w:t>否（</w:t>
            </w:r>
            <w:r>
              <w:rPr>
                <w:rFonts w:hint="eastAsia" w:hAnsi="宋体"/>
                <w:color w:val="auto"/>
                <w:kern w:val="2"/>
                <w:highlight w:val="none"/>
                <w:lang w:val="en-US" w:eastAsia="zh-CN"/>
              </w:rPr>
              <w:t xml:space="preserve">  </w:t>
            </w:r>
            <w:r>
              <w:rPr>
                <w:rFonts w:hint="eastAsia" w:hAnsi="宋体"/>
                <w:color w:val="auto"/>
                <w:kern w:val="2"/>
                <w:highlight w:val="none"/>
              </w:rPr>
              <w:t>）</w:t>
            </w:r>
          </w:p>
        </w:tc>
        <w:tc>
          <w:tcPr>
            <w:tcW w:w="1253" w:type="dxa"/>
            <w:vAlign w:val="center"/>
          </w:tcPr>
          <w:p w14:paraId="264D319F">
            <w:pPr>
              <w:keepNext w:val="0"/>
              <w:keepLines w:val="0"/>
              <w:suppressLineNumbers w:val="0"/>
              <w:spacing w:before="0" w:beforeAutospacing="0" w:after="0" w:afterAutospacing="0"/>
              <w:ind w:left="0" w:right="0"/>
              <w:jc w:val="center"/>
              <w:rPr>
                <w:rFonts w:hint="default" w:hAnsi="宋体"/>
                <w:color w:val="auto"/>
                <w:kern w:val="2"/>
                <w:highlight w:val="none"/>
              </w:rPr>
            </w:pPr>
          </w:p>
        </w:tc>
      </w:tr>
      <w:tr w14:paraId="4A91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6ECB9B3">
            <w:pPr>
              <w:keepNext w:val="0"/>
              <w:keepLines w:val="0"/>
              <w:suppressLineNumbers w:val="0"/>
              <w:spacing w:before="0" w:beforeAutospacing="0" w:after="0" w:afterAutospacing="0"/>
              <w:ind w:left="0" w:right="0"/>
              <w:jc w:val="center"/>
              <w:rPr>
                <w:rFonts w:hint="eastAsia" w:hAnsi="宋体" w:eastAsia="宋体"/>
                <w:color w:val="auto"/>
                <w:kern w:val="2"/>
                <w:highlight w:val="none"/>
                <w:lang w:val="en-US" w:eastAsia="zh-CN"/>
              </w:rPr>
            </w:pPr>
            <w:r>
              <w:rPr>
                <w:rFonts w:hint="eastAsia" w:hAnsi="宋体"/>
                <w:color w:val="auto"/>
                <w:kern w:val="2"/>
                <w:highlight w:val="none"/>
                <w:lang w:val="en-US" w:eastAsia="zh-CN"/>
              </w:rPr>
              <w:t>9</w:t>
            </w:r>
          </w:p>
        </w:tc>
        <w:tc>
          <w:tcPr>
            <w:tcW w:w="1985" w:type="dxa"/>
            <w:vAlign w:val="center"/>
          </w:tcPr>
          <w:p w14:paraId="60A8EE7C">
            <w:pPr>
              <w:keepNext w:val="0"/>
              <w:keepLines w:val="0"/>
              <w:suppressLineNumbers w:val="0"/>
              <w:spacing w:before="120" w:beforeLines="50" w:beforeAutospacing="0" w:after="0" w:afterAutospacing="0" w:line="360" w:lineRule="auto"/>
              <w:ind w:left="0" w:leftChars="0" w:right="0" w:rightChars="0"/>
              <w:jc w:val="left"/>
              <w:rPr>
                <w:rFonts w:hint="eastAsia" w:hAnsi="宋体"/>
                <w:color w:val="auto"/>
                <w:kern w:val="2"/>
                <w:highlight w:val="none"/>
              </w:rPr>
            </w:pPr>
            <w:r>
              <w:rPr>
                <w:rFonts w:hint="eastAsia"/>
                <w:color w:val="auto"/>
                <w:highlight w:val="none"/>
              </w:rPr>
              <w:t>投标内容</w:t>
            </w:r>
          </w:p>
        </w:tc>
        <w:tc>
          <w:tcPr>
            <w:tcW w:w="1664" w:type="dxa"/>
            <w:tcMar>
              <w:left w:w="170" w:type="dxa"/>
            </w:tcMar>
            <w:vAlign w:val="center"/>
          </w:tcPr>
          <w:p w14:paraId="402543A7">
            <w:pPr>
              <w:keepNext w:val="0"/>
              <w:keepLines w:val="0"/>
              <w:suppressLineNumbers w:val="0"/>
              <w:spacing w:before="120" w:beforeLines="50" w:beforeAutospacing="0" w:after="0" w:afterAutospacing="0" w:line="360" w:lineRule="auto"/>
              <w:ind w:left="0" w:leftChars="0" w:right="0" w:rightChars="0"/>
              <w:rPr>
                <w:rFonts w:hint="default" w:hAnsi="宋体"/>
                <w:color w:val="auto"/>
                <w:kern w:val="2"/>
                <w:highlight w:val="none"/>
              </w:rPr>
            </w:pPr>
          </w:p>
        </w:tc>
        <w:tc>
          <w:tcPr>
            <w:tcW w:w="3036" w:type="dxa"/>
            <w:vAlign w:val="center"/>
          </w:tcPr>
          <w:p w14:paraId="1AC03437">
            <w:pPr>
              <w:keepNext w:val="0"/>
              <w:keepLines w:val="0"/>
              <w:suppressLineNumbers w:val="0"/>
              <w:spacing w:before="0" w:beforeAutospacing="0" w:after="0" w:afterAutospacing="0"/>
              <w:ind w:left="0" w:right="0"/>
              <w:jc w:val="left"/>
              <w:rPr>
                <w:rFonts w:hint="eastAsia" w:hAnsi="宋体" w:cs="Times New Roman"/>
                <w:color w:val="auto"/>
                <w:kern w:val="2"/>
                <w:highlight w:val="none"/>
              </w:rPr>
            </w:pPr>
            <w:r>
              <w:rPr>
                <w:rFonts w:hint="eastAsia" w:hAnsi="宋体" w:cs="Times New Roman"/>
                <w:color w:val="auto"/>
                <w:kern w:val="2"/>
                <w:highlight w:val="none"/>
              </w:rPr>
              <w:t>是否符合第二章“供应商须知”第</w:t>
            </w:r>
            <w:r>
              <w:rPr>
                <w:rFonts w:hint="default" w:hAnsi="宋体" w:cs="Times New Roman"/>
                <w:color w:val="auto"/>
                <w:kern w:val="2"/>
                <w:highlight w:val="none"/>
              </w:rPr>
              <w:t>1.1.5</w:t>
            </w:r>
            <w:r>
              <w:rPr>
                <w:rFonts w:hint="eastAsia" w:hAnsi="宋体" w:cs="Times New Roman"/>
                <w:color w:val="auto"/>
                <w:kern w:val="2"/>
                <w:highlight w:val="none"/>
              </w:rPr>
              <w:t>项规定</w:t>
            </w:r>
          </w:p>
          <w:p w14:paraId="21B838E7">
            <w:pPr>
              <w:keepNext w:val="0"/>
              <w:keepLines w:val="0"/>
              <w:suppressLineNumbers w:val="0"/>
              <w:spacing w:before="0" w:beforeAutospacing="0" w:after="0" w:afterAutospacing="0"/>
              <w:ind w:left="0" w:right="0"/>
              <w:jc w:val="left"/>
              <w:rPr>
                <w:rFonts w:hint="eastAsia" w:hAnsi="宋体" w:eastAsia="宋体" w:cs="Times New Roman"/>
                <w:color w:val="auto"/>
                <w:kern w:val="2"/>
                <w:highlight w:val="none"/>
                <w:lang w:val="en-US" w:eastAsia="zh-CN"/>
              </w:rPr>
            </w:pPr>
            <w:r>
              <w:rPr>
                <w:rFonts w:hint="eastAsia" w:hAnsi="宋体" w:cs="Times New Roman"/>
                <w:color w:val="auto"/>
                <w:kern w:val="2"/>
                <w:highlight w:val="none"/>
              </w:rPr>
              <w:t>是（</w:t>
            </w:r>
            <w:r>
              <w:rPr>
                <w:rFonts w:hint="eastAsia" w:hAnsi="宋体" w:cs="Times New Roman"/>
                <w:color w:val="auto"/>
                <w:kern w:val="2"/>
                <w:highlight w:val="none"/>
                <w:lang w:val="en-US" w:eastAsia="zh-CN"/>
              </w:rPr>
              <w:t xml:space="preserve">  </w:t>
            </w:r>
            <w:r>
              <w:rPr>
                <w:rFonts w:hint="eastAsia" w:hAnsi="宋体" w:cs="Times New Roman"/>
                <w:color w:val="auto"/>
                <w:kern w:val="2"/>
                <w:highlight w:val="none"/>
              </w:rPr>
              <w:t>）</w:t>
            </w:r>
            <w:r>
              <w:rPr>
                <w:rFonts w:hint="default" w:hAnsi="宋体" w:cs="Times New Roman"/>
                <w:color w:val="auto"/>
                <w:kern w:val="2"/>
                <w:highlight w:val="none"/>
              </w:rPr>
              <w:t xml:space="preserve">  </w:t>
            </w:r>
            <w:r>
              <w:rPr>
                <w:rFonts w:hint="eastAsia" w:hAnsi="宋体" w:cs="Times New Roman"/>
                <w:color w:val="auto"/>
                <w:kern w:val="2"/>
                <w:highlight w:val="none"/>
              </w:rPr>
              <w:t>否（</w:t>
            </w:r>
            <w:r>
              <w:rPr>
                <w:rFonts w:hint="eastAsia" w:hAnsi="宋体" w:cs="Times New Roman"/>
                <w:color w:val="auto"/>
                <w:kern w:val="2"/>
                <w:highlight w:val="none"/>
                <w:lang w:val="en-US" w:eastAsia="zh-CN"/>
              </w:rPr>
              <w:t xml:space="preserve">  </w:t>
            </w:r>
            <w:r>
              <w:rPr>
                <w:rFonts w:hint="eastAsia" w:hAnsi="宋体" w:cs="Times New Roman"/>
                <w:color w:val="auto"/>
                <w:kern w:val="2"/>
                <w:highlight w:val="none"/>
              </w:rPr>
              <w:t>）</w:t>
            </w:r>
          </w:p>
        </w:tc>
        <w:tc>
          <w:tcPr>
            <w:tcW w:w="1253" w:type="dxa"/>
            <w:vAlign w:val="center"/>
          </w:tcPr>
          <w:p w14:paraId="7DEDFC5E">
            <w:pPr>
              <w:keepNext w:val="0"/>
              <w:keepLines w:val="0"/>
              <w:suppressLineNumbers w:val="0"/>
              <w:spacing w:before="0" w:beforeAutospacing="0" w:after="0" w:afterAutospacing="0"/>
              <w:ind w:left="0" w:right="0"/>
              <w:jc w:val="center"/>
              <w:rPr>
                <w:rFonts w:hint="default" w:hAnsi="宋体"/>
                <w:color w:val="auto"/>
                <w:kern w:val="2"/>
                <w:highlight w:val="none"/>
              </w:rPr>
            </w:pPr>
          </w:p>
        </w:tc>
      </w:tr>
      <w:tr w14:paraId="3885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5B82EAF">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eastAsia" w:hAnsi="宋体"/>
                <w:color w:val="auto"/>
                <w:kern w:val="2"/>
                <w:highlight w:val="none"/>
              </w:rPr>
              <w:t>……</w:t>
            </w:r>
          </w:p>
        </w:tc>
        <w:tc>
          <w:tcPr>
            <w:tcW w:w="1985" w:type="dxa"/>
            <w:vAlign w:val="center"/>
          </w:tcPr>
          <w:p w14:paraId="2C5A51A5">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eastAsia" w:hAnsi="宋体"/>
                <w:color w:val="auto"/>
                <w:kern w:val="2"/>
                <w:highlight w:val="none"/>
              </w:rPr>
              <w:t>……</w:t>
            </w:r>
          </w:p>
        </w:tc>
        <w:tc>
          <w:tcPr>
            <w:tcW w:w="1664" w:type="dxa"/>
            <w:tcMar>
              <w:left w:w="170" w:type="dxa"/>
            </w:tcMar>
            <w:vAlign w:val="center"/>
          </w:tcPr>
          <w:p w14:paraId="74CB99C1">
            <w:pPr>
              <w:keepNext w:val="0"/>
              <w:keepLines w:val="0"/>
              <w:suppressLineNumbers w:val="0"/>
              <w:spacing w:before="0" w:beforeAutospacing="0" w:after="0" w:afterAutospacing="0"/>
              <w:ind w:left="0" w:right="0"/>
              <w:rPr>
                <w:rFonts w:hint="default" w:hAnsi="宋体"/>
                <w:color w:val="auto"/>
                <w:kern w:val="2"/>
                <w:highlight w:val="none"/>
              </w:rPr>
            </w:pPr>
          </w:p>
        </w:tc>
        <w:tc>
          <w:tcPr>
            <w:tcW w:w="3036" w:type="dxa"/>
            <w:vAlign w:val="center"/>
          </w:tcPr>
          <w:p w14:paraId="46D15AE2">
            <w:pPr>
              <w:keepNext w:val="0"/>
              <w:keepLines w:val="0"/>
              <w:suppressLineNumbers w:val="0"/>
              <w:spacing w:before="0" w:beforeAutospacing="0" w:after="0" w:afterAutospacing="0"/>
              <w:ind w:left="0" w:right="0"/>
              <w:jc w:val="center"/>
              <w:rPr>
                <w:rFonts w:hint="default" w:hAnsi="宋体"/>
                <w:color w:val="auto"/>
                <w:kern w:val="2"/>
                <w:highlight w:val="none"/>
              </w:rPr>
            </w:pPr>
          </w:p>
        </w:tc>
        <w:tc>
          <w:tcPr>
            <w:tcW w:w="1253" w:type="dxa"/>
            <w:vAlign w:val="center"/>
          </w:tcPr>
          <w:p w14:paraId="184F0FFA">
            <w:pPr>
              <w:keepNext w:val="0"/>
              <w:keepLines w:val="0"/>
              <w:suppressLineNumbers w:val="0"/>
              <w:spacing w:before="0" w:beforeAutospacing="0" w:after="0" w:afterAutospacing="0"/>
              <w:ind w:left="0" w:right="0"/>
              <w:jc w:val="center"/>
              <w:rPr>
                <w:rFonts w:hint="default" w:hAnsi="宋体"/>
                <w:color w:val="auto"/>
                <w:kern w:val="2"/>
                <w:highlight w:val="none"/>
              </w:rPr>
            </w:pPr>
          </w:p>
        </w:tc>
      </w:tr>
      <w:tr w14:paraId="0107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14:paraId="29496BC4">
            <w:pPr>
              <w:keepNext w:val="0"/>
              <w:keepLines w:val="0"/>
              <w:suppressLineNumbers w:val="0"/>
              <w:spacing w:before="0" w:beforeAutospacing="0" w:after="0" w:afterAutospacing="0" w:line="360" w:lineRule="auto"/>
              <w:ind w:left="0" w:right="0"/>
              <w:rPr>
                <w:rFonts w:hint="default" w:hAnsi="宋体"/>
                <w:color w:val="auto"/>
                <w:kern w:val="2"/>
                <w:highlight w:val="none"/>
              </w:rPr>
            </w:pPr>
            <w:r>
              <w:rPr>
                <w:rFonts w:hint="eastAsia" w:hAnsi="宋体"/>
                <w:color w:val="auto"/>
                <w:kern w:val="2"/>
                <w:highlight w:val="none"/>
              </w:rPr>
              <w:t>说明：供应商在响应磋商文件中规定的实质性要求和条件的基础上，可做出其他有利于采购人的承诺。此类承诺可在本表中予以补充填写。</w:t>
            </w:r>
          </w:p>
        </w:tc>
      </w:tr>
    </w:tbl>
    <w:p w14:paraId="0B9928AA">
      <w:pPr>
        <w:spacing w:line="480" w:lineRule="exact"/>
        <w:ind w:firstLine="420" w:firstLineChars="200"/>
        <w:rPr>
          <w:rFonts w:hAnsi="宋体"/>
          <w:color w:val="auto"/>
          <w:kern w:val="2"/>
          <w:highlight w:val="none"/>
        </w:rPr>
      </w:pPr>
    </w:p>
    <w:p w14:paraId="3FD3C11F">
      <w:pPr>
        <w:spacing w:line="480" w:lineRule="exact"/>
        <w:ind w:firstLine="420" w:firstLineChars="200"/>
        <w:rPr>
          <w:rFonts w:hAnsi="宋体"/>
          <w:color w:val="auto"/>
          <w:kern w:val="2"/>
          <w:highlight w:val="none"/>
        </w:rPr>
      </w:pPr>
      <w:r>
        <w:rPr>
          <w:rFonts w:hint="eastAsia" w:hAnsi="宋体"/>
          <w:color w:val="auto"/>
          <w:kern w:val="2"/>
          <w:highlight w:val="none"/>
        </w:rPr>
        <w:t>供应商（盖单位章）：</w:t>
      </w:r>
      <w:r>
        <w:rPr>
          <w:rFonts w:hAnsi="宋体"/>
          <w:color w:val="auto"/>
          <w:kern w:val="2"/>
          <w:highlight w:val="none"/>
          <w:u w:val="single"/>
        </w:rPr>
        <w:t xml:space="preserve">                      </w:t>
      </w:r>
    </w:p>
    <w:p w14:paraId="19820975">
      <w:pPr>
        <w:spacing w:line="480" w:lineRule="exact"/>
        <w:ind w:firstLine="420" w:firstLineChars="200"/>
        <w:rPr>
          <w:rFonts w:hAnsi="宋体"/>
          <w:color w:val="auto"/>
          <w:kern w:val="2"/>
          <w:highlight w:val="none"/>
        </w:rPr>
      </w:pPr>
      <w:r>
        <w:rPr>
          <w:rFonts w:hint="eastAsia" w:hAnsi="宋体"/>
          <w:color w:val="auto"/>
          <w:kern w:val="2"/>
          <w:highlight w:val="none"/>
        </w:rPr>
        <w:t>法定代表人（负责人）或其委托代理人（签字或盖章）：</w:t>
      </w:r>
      <w:r>
        <w:rPr>
          <w:rFonts w:hAnsi="宋体"/>
          <w:color w:val="auto"/>
          <w:kern w:val="2"/>
          <w:highlight w:val="none"/>
          <w:u w:val="single"/>
        </w:rPr>
        <w:t xml:space="preserve">                              </w:t>
      </w:r>
    </w:p>
    <w:p w14:paraId="09EA6D41">
      <w:pPr>
        <w:spacing w:line="480" w:lineRule="exact"/>
        <w:ind w:firstLine="420" w:firstLineChars="200"/>
        <w:rPr>
          <w:rFonts w:hAnsi="宋体"/>
          <w:color w:val="auto"/>
          <w:kern w:val="2"/>
          <w:highlight w:val="none"/>
        </w:rPr>
      </w:pPr>
      <w:r>
        <w:rPr>
          <w:rFonts w:hint="eastAsia" w:hAnsi="宋体"/>
          <w:color w:val="auto"/>
          <w:kern w:val="2"/>
          <w:highlight w:val="none"/>
        </w:rPr>
        <w:t>日期：</w:t>
      </w:r>
      <w:r>
        <w:rPr>
          <w:rFonts w:hAnsi="宋体"/>
          <w:color w:val="auto"/>
          <w:kern w:val="2"/>
          <w:highlight w:val="none"/>
          <w:u w:val="single"/>
        </w:rPr>
        <w:t xml:space="preserve">              </w:t>
      </w:r>
      <w:r>
        <w:rPr>
          <w:rFonts w:hint="eastAsia" w:hAnsi="宋体"/>
          <w:color w:val="auto"/>
          <w:kern w:val="2"/>
          <w:highlight w:val="none"/>
        </w:rPr>
        <w:t>年</w:t>
      </w:r>
      <w:r>
        <w:rPr>
          <w:rFonts w:hAnsi="宋体"/>
          <w:color w:val="auto"/>
          <w:kern w:val="2"/>
          <w:highlight w:val="none"/>
          <w:u w:val="single"/>
        </w:rPr>
        <w:t xml:space="preserve">      </w:t>
      </w:r>
      <w:r>
        <w:rPr>
          <w:rFonts w:hint="eastAsia" w:hAnsi="宋体"/>
          <w:color w:val="auto"/>
          <w:kern w:val="2"/>
          <w:highlight w:val="none"/>
        </w:rPr>
        <w:t>月</w:t>
      </w:r>
      <w:r>
        <w:rPr>
          <w:rFonts w:hAnsi="宋体"/>
          <w:color w:val="auto"/>
          <w:kern w:val="2"/>
          <w:highlight w:val="none"/>
          <w:u w:val="single"/>
        </w:rPr>
        <w:t xml:space="preserve">      </w:t>
      </w:r>
      <w:r>
        <w:rPr>
          <w:rFonts w:hint="eastAsia" w:hAnsi="宋体"/>
          <w:color w:val="auto"/>
          <w:kern w:val="2"/>
          <w:highlight w:val="none"/>
        </w:rPr>
        <w:t>日</w:t>
      </w:r>
    </w:p>
    <w:p w14:paraId="161E4BED">
      <w:pPr>
        <w:widowControl/>
        <w:jc w:val="left"/>
        <w:rPr>
          <w:rFonts w:hAnsi="宋体"/>
          <w:color w:val="auto"/>
          <w:sz w:val="24"/>
          <w:szCs w:val="24"/>
          <w:highlight w:val="none"/>
        </w:rPr>
      </w:pPr>
      <w:r>
        <w:rPr>
          <w:rFonts w:hAnsi="宋体"/>
          <w:color w:val="auto"/>
          <w:sz w:val="24"/>
          <w:szCs w:val="24"/>
          <w:highlight w:val="none"/>
        </w:rPr>
        <w:br w:type="page"/>
      </w:r>
    </w:p>
    <w:p w14:paraId="284F22D2">
      <w:pPr>
        <w:pStyle w:val="5"/>
        <w:jc w:val="center"/>
        <w:rPr>
          <w:rFonts w:ascii="宋体" w:hAnsi="宋体" w:eastAsia="宋体"/>
          <w:b w:val="0"/>
          <w:color w:val="auto"/>
          <w:sz w:val="28"/>
          <w:szCs w:val="28"/>
          <w:highlight w:val="none"/>
        </w:rPr>
      </w:pPr>
    </w:p>
    <w:p w14:paraId="0689A109">
      <w:pPr>
        <w:pStyle w:val="5"/>
        <w:jc w:val="center"/>
        <w:rPr>
          <w:rFonts w:ascii="宋体" w:hAnsi="宋体" w:eastAsia="宋体"/>
          <w:b w:val="0"/>
          <w:bCs w:val="0"/>
          <w:color w:val="auto"/>
          <w:sz w:val="28"/>
          <w:szCs w:val="28"/>
          <w:highlight w:val="none"/>
        </w:rPr>
      </w:pPr>
      <w:r>
        <w:rPr>
          <w:rFonts w:hint="eastAsia" w:ascii="宋体" w:hAnsi="宋体" w:eastAsia="宋体" w:cs="宋体"/>
          <w:b w:val="0"/>
          <w:color w:val="auto"/>
          <w:sz w:val="28"/>
          <w:szCs w:val="28"/>
          <w:highlight w:val="none"/>
        </w:rPr>
        <w:t>（三）已标价工程量清单</w:t>
      </w:r>
    </w:p>
    <w:p w14:paraId="69ACEAFC">
      <w:pPr>
        <w:widowControl/>
        <w:spacing w:line="360" w:lineRule="auto"/>
        <w:ind w:firstLine="420" w:firstLineChars="200"/>
        <w:jc w:val="left"/>
        <w:rPr>
          <w:rFonts w:hAnsi="宋体"/>
          <w:color w:val="auto"/>
          <w:highlight w:val="none"/>
        </w:rPr>
      </w:pPr>
    </w:p>
    <w:p w14:paraId="75723853">
      <w:pPr>
        <w:widowControl/>
        <w:spacing w:line="360" w:lineRule="auto"/>
        <w:ind w:firstLine="420" w:firstLineChars="200"/>
        <w:jc w:val="left"/>
        <w:rPr>
          <w:rFonts w:hAnsi="宋体"/>
          <w:b/>
          <w:bCs/>
          <w:color w:val="auto"/>
          <w:szCs w:val="32"/>
          <w:highlight w:val="none"/>
        </w:rPr>
      </w:pPr>
      <w:r>
        <w:rPr>
          <w:rFonts w:hint="eastAsia" w:hAnsi="宋体"/>
          <w:color w:val="auto"/>
          <w:highlight w:val="none"/>
        </w:rPr>
        <w:t>按照第七章工程量清单要求编制</w:t>
      </w:r>
      <w:r>
        <w:rPr>
          <w:rFonts w:hAnsi="宋体"/>
          <w:color w:val="auto"/>
          <w:highlight w:val="none"/>
        </w:rPr>
        <w:br w:type="page"/>
      </w:r>
    </w:p>
    <w:p w14:paraId="3599E0B1">
      <w:pPr>
        <w:pStyle w:val="5"/>
        <w:rPr>
          <w:rFonts w:ascii="宋体" w:hAnsi="宋体" w:eastAsia="宋体"/>
          <w:color w:val="auto"/>
          <w:sz w:val="28"/>
          <w:szCs w:val="28"/>
          <w:highlight w:val="none"/>
        </w:rPr>
      </w:pPr>
      <w:r>
        <w:rPr>
          <w:rFonts w:hint="eastAsia" w:ascii="宋体" w:hAnsi="宋体" w:eastAsia="宋体" w:cs="宋体"/>
          <w:color w:val="auto"/>
          <w:sz w:val="28"/>
          <w:szCs w:val="28"/>
          <w:highlight w:val="none"/>
        </w:rPr>
        <w:t>二、资格审查部分</w:t>
      </w:r>
    </w:p>
    <w:p w14:paraId="23FCDF1A">
      <w:pPr>
        <w:pStyle w:val="5"/>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（一）法定代表人（负责人）身份证明</w:t>
      </w:r>
    </w:p>
    <w:p w14:paraId="7767E32F">
      <w:pPr>
        <w:spacing w:line="480" w:lineRule="auto"/>
        <w:ind w:firstLine="703" w:firstLineChars="250"/>
        <w:jc w:val="center"/>
        <w:rPr>
          <w:rFonts w:hAnsi="宋体"/>
          <w:b/>
          <w:color w:val="auto"/>
          <w:kern w:val="2"/>
          <w:sz w:val="28"/>
          <w:szCs w:val="28"/>
          <w:highlight w:val="none"/>
        </w:rPr>
      </w:pPr>
    </w:p>
    <w:p w14:paraId="5429551C">
      <w:pPr>
        <w:spacing w:line="560" w:lineRule="exact"/>
        <w:ind w:firstLine="525" w:firstLineChars="250"/>
        <w:rPr>
          <w:rFonts w:hAnsi="宋体"/>
          <w:color w:val="auto"/>
          <w:kern w:val="2"/>
          <w:highlight w:val="none"/>
        </w:rPr>
      </w:pPr>
      <w:r>
        <w:rPr>
          <w:rFonts w:hint="eastAsia" w:hAnsi="宋体"/>
          <w:color w:val="auto"/>
          <w:kern w:val="2"/>
          <w:highlight w:val="none"/>
        </w:rPr>
        <w:t>供</w:t>
      </w:r>
      <w:r>
        <w:rPr>
          <w:rFonts w:hAnsi="宋体"/>
          <w:color w:val="auto"/>
          <w:kern w:val="2"/>
          <w:highlight w:val="none"/>
        </w:rPr>
        <w:t xml:space="preserve"> </w:t>
      </w:r>
      <w:r>
        <w:rPr>
          <w:rFonts w:hint="eastAsia" w:hAnsi="宋体"/>
          <w:color w:val="auto"/>
          <w:kern w:val="2"/>
          <w:highlight w:val="none"/>
        </w:rPr>
        <w:t>应</w:t>
      </w:r>
      <w:r>
        <w:rPr>
          <w:rFonts w:hAnsi="宋体"/>
          <w:color w:val="auto"/>
          <w:kern w:val="2"/>
          <w:highlight w:val="none"/>
        </w:rPr>
        <w:t xml:space="preserve"> </w:t>
      </w:r>
      <w:r>
        <w:rPr>
          <w:rFonts w:hint="eastAsia" w:hAnsi="宋体"/>
          <w:color w:val="auto"/>
          <w:kern w:val="2"/>
          <w:highlight w:val="none"/>
        </w:rPr>
        <w:t>商：</w:t>
      </w:r>
      <w:r>
        <w:rPr>
          <w:rFonts w:hAnsi="宋体"/>
          <w:color w:val="auto"/>
          <w:kern w:val="2"/>
          <w:highlight w:val="none"/>
          <w:u w:val="single"/>
        </w:rPr>
        <w:t xml:space="preserve">                                                        </w:t>
      </w:r>
    </w:p>
    <w:p w14:paraId="199651A4">
      <w:pPr>
        <w:spacing w:line="560" w:lineRule="exact"/>
        <w:ind w:firstLine="525" w:firstLineChars="250"/>
        <w:rPr>
          <w:rFonts w:hAnsi="宋体"/>
          <w:color w:val="auto"/>
          <w:kern w:val="2"/>
          <w:highlight w:val="none"/>
        </w:rPr>
      </w:pPr>
      <w:r>
        <w:rPr>
          <w:rFonts w:hint="eastAsia" w:hAnsi="宋体"/>
          <w:color w:val="auto"/>
          <w:kern w:val="2"/>
          <w:highlight w:val="none"/>
        </w:rPr>
        <w:t>单位性质：</w:t>
      </w:r>
      <w:r>
        <w:rPr>
          <w:rFonts w:hAnsi="宋体"/>
          <w:color w:val="auto"/>
          <w:kern w:val="2"/>
          <w:highlight w:val="none"/>
          <w:u w:val="single"/>
        </w:rPr>
        <w:t xml:space="preserve">                                                        </w:t>
      </w:r>
    </w:p>
    <w:p w14:paraId="20F63E65">
      <w:pPr>
        <w:spacing w:line="560" w:lineRule="exact"/>
        <w:ind w:firstLine="525" w:firstLineChars="250"/>
        <w:rPr>
          <w:rFonts w:hAnsi="宋体"/>
          <w:color w:val="auto"/>
          <w:kern w:val="2"/>
          <w:highlight w:val="none"/>
        </w:rPr>
      </w:pPr>
      <w:r>
        <w:rPr>
          <w:rFonts w:hint="eastAsia" w:hAnsi="宋体"/>
          <w:color w:val="auto"/>
          <w:kern w:val="2"/>
          <w:highlight w:val="none"/>
        </w:rPr>
        <w:t>地</w:t>
      </w:r>
      <w:r>
        <w:rPr>
          <w:rFonts w:hAnsi="宋体"/>
          <w:color w:val="auto"/>
          <w:kern w:val="2"/>
          <w:highlight w:val="none"/>
        </w:rPr>
        <w:t xml:space="preserve">    </w:t>
      </w:r>
      <w:r>
        <w:rPr>
          <w:rFonts w:hint="eastAsia" w:hAnsi="宋体"/>
          <w:color w:val="auto"/>
          <w:kern w:val="2"/>
          <w:highlight w:val="none"/>
        </w:rPr>
        <w:t>址：</w:t>
      </w:r>
      <w:r>
        <w:rPr>
          <w:rFonts w:hAnsi="宋体"/>
          <w:color w:val="auto"/>
          <w:kern w:val="2"/>
          <w:highlight w:val="none"/>
          <w:u w:val="single"/>
        </w:rPr>
        <w:t xml:space="preserve">                                                        </w:t>
      </w:r>
    </w:p>
    <w:p w14:paraId="158A9DC9">
      <w:pPr>
        <w:spacing w:line="560" w:lineRule="exact"/>
        <w:ind w:firstLine="525" w:firstLineChars="250"/>
        <w:rPr>
          <w:rFonts w:hAnsi="宋体"/>
          <w:color w:val="auto"/>
          <w:kern w:val="2"/>
          <w:highlight w:val="none"/>
        </w:rPr>
      </w:pPr>
      <w:r>
        <w:rPr>
          <w:rFonts w:hint="eastAsia" w:hAnsi="宋体"/>
          <w:color w:val="auto"/>
          <w:kern w:val="2"/>
          <w:highlight w:val="none"/>
        </w:rPr>
        <w:t>成立时间：</w:t>
      </w:r>
      <w:r>
        <w:rPr>
          <w:rFonts w:hAnsi="宋体"/>
          <w:color w:val="auto"/>
          <w:kern w:val="2"/>
          <w:highlight w:val="none"/>
          <w:u w:val="single"/>
        </w:rPr>
        <w:t xml:space="preserve">                 </w:t>
      </w:r>
      <w:r>
        <w:rPr>
          <w:rFonts w:hint="eastAsia" w:hAnsi="宋体"/>
          <w:color w:val="auto"/>
          <w:kern w:val="2"/>
          <w:highlight w:val="none"/>
        </w:rPr>
        <w:t>年</w:t>
      </w:r>
      <w:r>
        <w:rPr>
          <w:rFonts w:hAnsi="宋体"/>
          <w:color w:val="auto"/>
          <w:kern w:val="2"/>
          <w:highlight w:val="none"/>
          <w:u w:val="single"/>
        </w:rPr>
        <w:t xml:space="preserve">              </w:t>
      </w:r>
      <w:r>
        <w:rPr>
          <w:rFonts w:hint="eastAsia" w:hAnsi="宋体"/>
          <w:color w:val="auto"/>
          <w:kern w:val="2"/>
          <w:highlight w:val="none"/>
        </w:rPr>
        <w:t>月</w:t>
      </w:r>
      <w:r>
        <w:rPr>
          <w:rFonts w:hAnsi="宋体"/>
          <w:color w:val="auto"/>
          <w:kern w:val="2"/>
          <w:highlight w:val="none"/>
          <w:u w:val="single"/>
        </w:rPr>
        <w:t xml:space="preserve">              </w:t>
      </w:r>
      <w:r>
        <w:rPr>
          <w:rFonts w:hint="eastAsia" w:hAnsi="宋体"/>
          <w:color w:val="auto"/>
          <w:kern w:val="2"/>
          <w:highlight w:val="none"/>
        </w:rPr>
        <w:t>日</w:t>
      </w:r>
    </w:p>
    <w:p w14:paraId="02FCD9D0">
      <w:pPr>
        <w:spacing w:line="560" w:lineRule="exact"/>
        <w:ind w:firstLine="525" w:firstLineChars="250"/>
        <w:rPr>
          <w:rFonts w:hAnsi="宋体"/>
          <w:color w:val="auto"/>
          <w:kern w:val="2"/>
          <w:highlight w:val="none"/>
        </w:rPr>
      </w:pPr>
      <w:r>
        <w:rPr>
          <w:rFonts w:hint="eastAsia" w:hAnsi="宋体"/>
          <w:color w:val="auto"/>
          <w:kern w:val="2"/>
          <w:highlight w:val="none"/>
        </w:rPr>
        <w:t>经营期限：</w:t>
      </w:r>
      <w:r>
        <w:rPr>
          <w:rFonts w:hAnsi="宋体"/>
          <w:color w:val="auto"/>
          <w:kern w:val="2"/>
          <w:highlight w:val="none"/>
          <w:u w:val="single"/>
        </w:rPr>
        <w:t xml:space="preserve">                                                        </w:t>
      </w:r>
    </w:p>
    <w:p w14:paraId="569D70C6">
      <w:pPr>
        <w:spacing w:line="560" w:lineRule="exact"/>
        <w:ind w:firstLine="525" w:firstLineChars="250"/>
        <w:rPr>
          <w:rFonts w:hAnsi="宋体"/>
          <w:color w:val="auto"/>
          <w:kern w:val="2"/>
          <w:highlight w:val="none"/>
        </w:rPr>
      </w:pPr>
      <w:r>
        <w:rPr>
          <w:rFonts w:hint="eastAsia" w:hAnsi="宋体"/>
          <w:color w:val="auto"/>
          <w:kern w:val="2"/>
          <w:highlight w:val="none"/>
        </w:rPr>
        <w:t>姓</w:t>
      </w:r>
      <w:r>
        <w:rPr>
          <w:rFonts w:hAnsi="宋体"/>
          <w:color w:val="auto"/>
          <w:kern w:val="2"/>
          <w:highlight w:val="none"/>
        </w:rPr>
        <w:t xml:space="preserve">    </w:t>
      </w:r>
      <w:r>
        <w:rPr>
          <w:rFonts w:hint="eastAsia" w:hAnsi="宋体"/>
          <w:color w:val="auto"/>
          <w:kern w:val="2"/>
          <w:highlight w:val="none"/>
        </w:rPr>
        <w:t>名：</w:t>
      </w:r>
      <w:r>
        <w:rPr>
          <w:rFonts w:hAnsi="宋体"/>
          <w:color w:val="auto"/>
          <w:kern w:val="2"/>
          <w:highlight w:val="none"/>
          <w:u w:val="single"/>
        </w:rPr>
        <w:t xml:space="preserve">                          </w:t>
      </w:r>
      <w:r>
        <w:rPr>
          <w:rFonts w:hint="eastAsia" w:hAnsi="宋体"/>
          <w:color w:val="auto"/>
          <w:kern w:val="2"/>
          <w:highlight w:val="none"/>
        </w:rPr>
        <w:t>性</w:t>
      </w:r>
      <w:r>
        <w:rPr>
          <w:rFonts w:hAnsi="宋体"/>
          <w:color w:val="auto"/>
          <w:kern w:val="2"/>
          <w:highlight w:val="none"/>
        </w:rPr>
        <w:t xml:space="preserve">     </w:t>
      </w:r>
      <w:r>
        <w:rPr>
          <w:rFonts w:hint="eastAsia" w:hAnsi="宋体"/>
          <w:color w:val="auto"/>
          <w:kern w:val="2"/>
          <w:highlight w:val="none"/>
        </w:rPr>
        <w:t>别：</w:t>
      </w:r>
      <w:r>
        <w:rPr>
          <w:rFonts w:hAnsi="宋体"/>
          <w:color w:val="auto"/>
          <w:kern w:val="2"/>
          <w:highlight w:val="none"/>
          <w:u w:val="single"/>
        </w:rPr>
        <w:t xml:space="preserve">                   </w:t>
      </w:r>
    </w:p>
    <w:p w14:paraId="245C1D03">
      <w:pPr>
        <w:spacing w:line="560" w:lineRule="exact"/>
        <w:ind w:firstLine="525" w:firstLineChars="250"/>
        <w:rPr>
          <w:rFonts w:hAnsi="宋体"/>
          <w:color w:val="auto"/>
          <w:kern w:val="2"/>
          <w:highlight w:val="none"/>
          <w:u w:val="single"/>
        </w:rPr>
      </w:pPr>
      <w:r>
        <w:rPr>
          <w:rFonts w:hint="eastAsia" w:hAnsi="宋体"/>
          <w:color w:val="auto"/>
          <w:kern w:val="2"/>
          <w:highlight w:val="none"/>
        </w:rPr>
        <w:t>年</w:t>
      </w:r>
      <w:r>
        <w:rPr>
          <w:rFonts w:hAnsi="宋体"/>
          <w:color w:val="auto"/>
          <w:kern w:val="2"/>
          <w:highlight w:val="none"/>
        </w:rPr>
        <w:t xml:space="preserve">    </w:t>
      </w:r>
      <w:r>
        <w:rPr>
          <w:rFonts w:hint="eastAsia" w:hAnsi="宋体"/>
          <w:color w:val="auto"/>
          <w:kern w:val="2"/>
          <w:highlight w:val="none"/>
        </w:rPr>
        <w:t>龄：</w:t>
      </w:r>
      <w:r>
        <w:rPr>
          <w:rFonts w:hAnsi="宋体"/>
          <w:color w:val="auto"/>
          <w:kern w:val="2"/>
          <w:highlight w:val="none"/>
          <w:u w:val="single"/>
        </w:rPr>
        <w:t xml:space="preserve">                          </w:t>
      </w:r>
      <w:r>
        <w:rPr>
          <w:rFonts w:hint="eastAsia" w:hAnsi="宋体"/>
          <w:color w:val="auto"/>
          <w:kern w:val="2"/>
          <w:highlight w:val="none"/>
        </w:rPr>
        <w:t>职</w:t>
      </w:r>
      <w:r>
        <w:rPr>
          <w:rFonts w:hAnsi="宋体"/>
          <w:color w:val="auto"/>
          <w:kern w:val="2"/>
          <w:highlight w:val="none"/>
        </w:rPr>
        <w:t xml:space="preserve">     </w:t>
      </w:r>
      <w:r>
        <w:rPr>
          <w:rFonts w:hint="eastAsia" w:hAnsi="宋体"/>
          <w:color w:val="auto"/>
          <w:kern w:val="2"/>
          <w:highlight w:val="none"/>
        </w:rPr>
        <w:t>务：</w:t>
      </w:r>
      <w:r>
        <w:rPr>
          <w:rFonts w:hAnsi="宋体"/>
          <w:color w:val="auto"/>
          <w:kern w:val="2"/>
          <w:highlight w:val="none"/>
          <w:u w:val="single"/>
        </w:rPr>
        <w:t xml:space="preserve">                   </w:t>
      </w:r>
    </w:p>
    <w:p w14:paraId="2CEA20AB">
      <w:pPr>
        <w:spacing w:line="560" w:lineRule="exact"/>
        <w:ind w:firstLine="525" w:firstLineChars="250"/>
        <w:rPr>
          <w:rFonts w:hAnsi="宋体"/>
          <w:color w:val="auto"/>
          <w:kern w:val="2"/>
          <w:highlight w:val="none"/>
          <w:u w:val="single"/>
        </w:rPr>
      </w:pPr>
      <w:r>
        <w:rPr>
          <w:rFonts w:hint="eastAsia" w:hAnsi="宋体"/>
          <w:color w:val="auto"/>
          <w:kern w:val="2"/>
          <w:highlight w:val="none"/>
        </w:rPr>
        <w:t>身份证号：</w:t>
      </w:r>
      <w:r>
        <w:rPr>
          <w:rFonts w:hAnsi="宋体"/>
          <w:color w:val="auto"/>
          <w:kern w:val="2"/>
          <w:highlight w:val="none"/>
          <w:u w:val="single"/>
        </w:rPr>
        <w:t xml:space="preserve">                           </w:t>
      </w:r>
    </w:p>
    <w:p w14:paraId="69A2C7FC">
      <w:pPr>
        <w:spacing w:line="560" w:lineRule="exact"/>
        <w:ind w:firstLine="525" w:firstLineChars="250"/>
        <w:rPr>
          <w:rFonts w:hAnsi="宋体"/>
          <w:color w:val="auto"/>
          <w:kern w:val="2"/>
          <w:highlight w:val="none"/>
        </w:rPr>
      </w:pPr>
      <w:r>
        <w:rPr>
          <w:rFonts w:hint="eastAsia" w:hAnsi="宋体"/>
          <w:color w:val="auto"/>
          <w:kern w:val="2"/>
          <w:highlight w:val="none"/>
        </w:rPr>
        <w:t>系</w:t>
      </w:r>
      <w:r>
        <w:rPr>
          <w:rFonts w:hAnsi="宋体"/>
          <w:color w:val="auto"/>
          <w:kern w:val="2"/>
          <w:highlight w:val="none"/>
          <w:u w:val="single"/>
        </w:rPr>
        <w:t xml:space="preserve">                                                 </w:t>
      </w:r>
      <w:r>
        <w:rPr>
          <w:rFonts w:hint="eastAsia" w:hAnsi="宋体"/>
          <w:color w:val="auto"/>
          <w:kern w:val="2"/>
          <w:highlight w:val="none"/>
        </w:rPr>
        <w:t>（供应商名称）的法定代表人（负责人）。</w:t>
      </w:r>
    </w:p>
    <w:p w14:paraId="48D03012">
      <w:pPr>
        <w:spacing w:line="560" w:lineRule="exact"/>
        <w:ind w:firstLine="525" w:firstLineChars="250"/>
        <w:rPr>
          <w:rFonts w:hAnsi="宋体"/>
          <w:color w:val="auto"/>
          <w:kern w:val="2"/>
          <w:highlight w:val="none"/>
        </w:rPr>
      </w:pPr>
      <w:r>
        <w:rPr>
          <w:rFonts w:hint="eastAsia" w:hAnsi="宋体"/>
          <w:color w:val="auto"/>
          <w:kern w:val="2"/>
          <w:highlight w:val="none"/>
        </w:rPr>
        <w:t>特此证明。</w:t>
      </w:r>
    </w:p>
    <w:p w14:paraId="368BB8B0">
      <w:pPr>
        <w:spacing w:line="500" w:lineRule="exact"/>
        <w:rPr>
          <w:rFonts w:hAnsi="宋体"/>
          <w:color w:val="auto"/>
          <w:kern w:val="2"/>
          <w:highlight w:val="none"/>
        </w:rPr>
      </w:pPr>
    </w:p>
    <w:p w14:paraId="0E7FB680">
      <w:pPr>
        <w:spacing w:line="500" w:lineRule="exact"/>
        <w:rPr>
          <w:rFonts w:hAnsi="宋体"/>
          <w:color w:val="auto"/>
          <w:kern w:val="2"/>
          <w:highlight w:val="none"/>
        </w:rPr>
      </w:pPr>
    </w:p>
    <w:p w14:paraId="596D6438">
      <w:pPr>
        <w:wordWrap w:val="0"/>
        <w:spacing w:line="500" w:lineRule="exact"/>
        <w:jc w:val="right"/>
        <w:rPr>
          <w:rFonts w:hAnsi="宋体"/>
          <w:color w:val="auto"/>
          <w:kern w:val="2"/>
          <w:highlight w:val="none"/>
        </w:rPr>
      </w:pPr>
      <w:r>
        <w:rPr>
          <w:rFonts w:hint="eastAsia" w:hAnsi="宋体"/>
          <w:color w:val="auto"/>
          <w:kern w:val="2"/>
          <w:highlight w:val="none"/>
        </w:rPr>
        <w:t>供应商：</w:t>
      </w:r>
      <w:r>
        <w:rPr>
          <w:rFonts w:hAnsi="宋体"/>
          <w:color w:val="auto"/>
          <w:kern w:val="2"/>
          <w:highlight w:val="none"/>
          <w:u w:val="single"/>
        </w:rPr>
        <w:t xml:space="preserve">                          </w:t>
      </w:r>
      <w:r>
        <w:rPr>
          <w:rFonts w:hint="eastAsia" w:hAnsi="宋体"/>
          <w:color w:val="auto"/>
          <w:kern w:val="2"/>
          <w:highlight w:val="none"/>
        </w:rPr>
        <w:t>（盖单位章）</w:t>
      </w:r>
    </w:p>
    <w:p w14:paraId="13E06D3D">
      <w:pPr>
        <w:wordWrap w:val="0"/>
        <w:spacing w:line="500" w:lineRule="exact"/>
        <w:jc w:val="right"/>
        <w:rPr>
          <w:rFonts w:hAnsi="宋体"/>
          <w:color w:val="auto"/>
          <w:kern w:val="2"/>
          <w:highlight w:val="none"/>
        </w:rPr>
      </w:pPr>
      <w:r>
        <w:rPr>
          <w:rFonts w:hAnsi="宋体"/>
          <w:color w:val="auto"/>
          <w:kern w:val="2"/>
          <w:highlight w:val="none"/>
          <w:u w:val="single"/>
        </w:rPr>
        <w:t xml:space="preserve">                </w:t>
      </w:r>
      <w:r>
        <w:rPr>
          <w:rFonts w:hint="eastAsia" w:hAnsi="宋体"/>
          <w:color w:val="auto"/>
          <w:kern w:val="2"/>
          <w:highlight w:val="none"/>
        </w:rPr>
        <w:t>年</w:t>
      </w:r>
      <w:r>
        <w:rPr>
          <w:rFonts w:hAnsi="宋体"/>
          <w:color w:val="auto"/>
          <w:kern w:val="2"/>
          <w:highlight w:val="none"/>
          <w:u w:val="single"/>
        </w:rPr>
        <w:t xml:space="preserve">        </w:t>
      </w:r>
      <w:r>
        <w:rPr>
          <w:rFonts w:hint="eastAsia" w:hAnsi="宋体"/>
          <w:color w:val="auto"/>
          <w:kern w:val="2"/>
          <w:highlight w:val="none"/>
        </w:rPr>
        <w:t>月</w:t>
      </w:r>
      <w:r>
        <w:rPr>
          <w:rFonts w:hAnsi="宋体"/>
          <w:color w:val="auto"/>
          <w:kern w:val="2"/>
          <w:highlight w:val="none"/>
          <w:u w:val="single"/>
        </w:rPr>
        <w:t xml:space="preserve">        </w:t>
      </w:r>
      <w:r>
        <w:rPr>
          <w:rFonts w:hint="eastAsia" w:hAnsi="宋体"/>
          <w:color w:val="auto"/>
          <w:kern w:val="2"/>
          <w:highlight w:val="none"/>
        </w:rPr>
        <w:t>日</w:t>
      </w:r>
    </w:p>
    <w:p w14:paraId="79E84D91">
      <w:pPr>
        <w:widowControl/>
        <w:jc w:val="left"/>
        <w:rPr>
          <w:rFonts w:hAnsi="宋体"/>
          <w:color w:val="auto"/>
          <w:highlight w:val="none"/>
        </w:rPr>
      </w:pPr>
    </w:p>
    <w:p w14:paraId="336FF09A">
      <w:pPr>
        <w:widowControl/>
        <w:jc w:val="left"/>
        <w:rPr>
          <w:rFonts w:hAnsi="宋体"/>
          <w:color w:val="auto"/>
          <w:highlight w:val="none"/>
        </w:rPr>
      </w:pPr>
    </w:p>
    <w:p w14:paraId="31CD12CA">
      <w:pPr>
        <w:widowControl/>
        <w:jc w:val="left"/>
        <w:rPr>
          <w:rFonts w:hAnsi="宋体"/>
          <w:color w:val="auto"/>
          <w:highlight w:val="none"/>
        </w:rPr>
      </w:pPr>
      <w:r>
        <w:rPr>
          <w:rFonts w:hint="eastAsia" w:hAnsi="宋体"/>
          <w:b/>
          <w:color w:val="auto"/>
          <w:highlight w:val="none"/>
        </w:rPr>
        <w:t>附：加盖供应商单位公章的法定代表人（负责人）二代居民身份证</w:t>
      </w:r>
      <w:r>
        <w:rPr>
          <w:rFonts w:hint="eastAsia" w:hAnsi="宋体"/>
          <w:b/>
          <w:color w:val="auto"/>
          <w:highlight w:val="none"/>
          <w:lang w:eastAsia="zh-CN"/>
        </w:rPr>
        <w:t>扫描件</w:t>
      </w:r>
      <w:r>
        <w:rPr>
          <w:rFonts w:hint="eastAsia" w:hAnsi="宋体"/>
          <w:b/>
          <w:color w:val="auto"/>
          <w:highlight w:val="none"/>
        </w:rPr>
        <w:t>。</w:t>
      </w:r>
    </w:p>
    <w:p w14:paraId="1D42F105">
      <w:pPr>
        <w:widowControl/>
        <w:jc w:val="left"/>
        <w:rPr>
          <w:rFonts w:hAnsi="宋体"/>
          <w:b/>
          <w:bCs/>
          <w:color w:val="auto"/>
          <w:szCs w:val="32"/>
          <w:highlight w:val="none"/>
        </w:rPr>
      </w:pPr>
      <w:r>
        <w:rPr>
          <w:rFonts w:hAnsi="宋体"/>
          <w:color w:val="auto"/>
          <w:highlight w:val="none"/>
        </w:rPr>
        <w:br w:type="page"/>
      </w:r>
    </w:p>
    <w:p w14:paraId="424DA3FD">
      <w:pPr>
        <w:pStyle w:val="5"/>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（二）法定代表人（负责人）授权委托书</w:t>
      </w:r>
    </w:p>
    <w:p w14:paraId="6FE0F12D">
      <w:pPr>
        <w:autoSpaceDE w:val="0"/>
        <w:autoSpaceDN w:val="0"/>
        <w:adjustRightInd w:val="0"/>
        <w:jc w:val="center"/>
        <w:rPr>
          <w:rFonts w:hAnsi="宋体"/>
          <w:b/>
          <w:color w:val="auto"/>
          <w:highlight w:val="none"/>
        </w:rPr>
      </w:pPr>
    </w:p>
    <w:p w14:paraId="7CC775EF">
      <w:pPr>
        <w:autoSpaceDE w:val="0"/>
        <w:autoSpaceDN w:val="0"/>
        <w:adjustRightInd w:val="0"/>
        <w:ind w:firstLine="3057" w:firstLineChars="1450"/>
        <w:rPr>
          <w:rFonts w:hAnsi="宋体"/>
          <w:b/>
          <w:color w:val="auto"/>
          <w:highlight w:val="none"/>
        </w:rPr>
      </w:pPr>
    </w:p>
    <w:p w14:paraId="3925EB7C">
      <w:pPr>
        <w:autoSpaceDE w:val="0"/>
        <w:autoSpaceDN w:val="0"/>
        <w:adjustRightInd w:val="0"/>
        <w:ind w:firstLine="3057" w:firstLineChars="1450"/>
        <w:rPr>
          <w:rFonts w:hAnsi="宋体"/>
          <w:b/>
          <w:color w:val="auto"/>
          <w:highlight w:val="none"/>
        </w:rPr>
      </w:pPr>
    </w:p>
    <w:p w14:paraId="01122281">
      <w:pPr>
        <w:autoSpaceDE w:val="0"/>
        <w:autoSpaceDN w:val="0"/>
        <w:adjustRightInd w:val="0"/>
        <w:spacing w:line="480" w:lineRule="auto"/>
        <w:ind w:firstLine="525" w:firstLineChars="250"/>
        <w:jc w:val="left"/>
        <w:rPr>
          <w:rFonts w:hAnsi="宋体"/>
          <w:color w:val="auto"/>
          <w:highlight w:val="none"/>
        </w:rPr>
      </w:pPr>
      <w:r>
        <w:rPr>
          <w:rFonts w:hint="eastAsia" w:hAnsi="宋体"/>
          <w:color w:val="auto"/>
          <w:highlight w:val="none"/>
        </w:rPr>
        <w:t>本人</w:t>
      </w:r>
      <w:r>
        <w:rPr>
          <w:rFonts w:hAnsi="宋体"/>
          <w:color w:val="auto"/>
          <w:highlight w:val="none"/>
        </w:rPr>
        <w:t xml:space="preserve"> </w:t>
      </w:r>
      <w:r>
        <w:rPr>
          <w:rFonts w:hAnsi="宋体"/>
          <w:color w:val="auto"/>
          <w:highlight w:val="none"/>
          <w:u w:val="single"/>
        </w:rPr>
        <w:tab/>
      </w:r>
      <w:r>
        <w:rPr>
          <w:rFonts w:hAnsi="宋体"/>
          <w:color w:val="auto"/>
          <w:highlight w:val="none"/>
          <w:u w:val="single"/>
        </w:rPr>
        <w:tab/>
      </w:r>
      <w:r>
        <w:rPr>
          <w:rFonts w:hAnsi="宋体"/>
          <w:color w:val="auto"/>
          <w:highlight w:val="none"/>
          <w:u w:val="single"/>
        </w:rPr>
        <w:tab/>
      </w:r>
      <w:r>
        <w:rPr>
          <w:rFonts w:hint="eastAsia" w:hAnsi="宋体"/>
          <w:color w:val="auto"/>
          <w:highlight w:val="none"/>
        </w:rPr>
        <w:t>（姓名）系</w:t>
      </w:r>
      <w:r>
        <w:rPr>
          <w:rFonts w:hAnsi="宋体"/>
          <w:color w:val="auto"/>
          <w:highlight w:val="none"/>
        </w:rPr>
        <w:t xml:space="preserve"> </w:t>
      </w:r>
      <w:r>
        <w:rPr>
          <w:rFonts w:hAnsi="宋体"/>
          <w:color w:val="auto"/>
          <w:highlight w:val="none"/>
          <w:u w:val="single"/>
        </w:rPr>
        <w:tab/>
      </w:r>
      <w:r>
        <w:rPr>
          <w:rFonts w:hAnsi="宋体"/>
          <w:color w:val="auto"/>
          <w:highlight w:val="none"/>
          <w:u w:val="single"/>
        </w:rPr>
        <w:tab/>
      </w:r>
      <w:r>
        <w:rPr>
          <w:rFonts w:hAnsi="宋体"/>
          <w:color w:val="auto"/>
          <w:highlight w:val="none"/>
          <w:u w:val="single"/>
        </w:rPr>
        <w:tab/>
      </w:r>
      <w:r>
        <w:rPr>
          <w:rFonts w:hAnsi="宋体"/>
          <w:color w:val="auto"/>
          <w:highlight w:val="none"/>
          <w:u w:val="single"/>
        </w:rPr>
        <w:tab/>
      </w:r>
      <w:r>
        <w:rPr>
          <w:rFonts w:hint="eastAsia" w:hAnsi="宋体"/>
          <w:color w:val="auto"/>
          <w:highlight w:val="none"/>
        </w:rPr>
        <w:t>（供应商名称）的法定代表人（负责人），现委托</w:t>
      </w:r>
      <w:r>
        <w:rPr>
          <w:rFonts w:hAnsi="宋体"/>
          <w:color w:val="auto"/>
          <w:highlight w:val="none"/>
        </w:rPr>
        <w:t xml:space="preserve"> </w:t>
      </w:r>
      <w:r>
        <w:rPr>
          <w:rFonts w:hAnsi="宋体"/>
          <w:color w:val="auto"/>
          <w:highlight w:val="none"/>
          <w:u w:val="single"/>
        </w:rPr>
        <w:tab/>
      </w:r>
      <w:r>
        <w:rPr>
          <w:rFonts w:hAnsi="宋体"/>
          <w:color w:val="auto"/>
          <w:highlight w:val="none"/>
          <w:u w:val="single"/>
        </w:rPr>
        <w:tab/>
      </w:r>
      <w:r>
        <w:rPr>
          <w:rFonts w:hAnsi="宋体"/>
          <w:color w:val="auto"/>
          <w:highlight w:val="none"/>
          <w:u w:val="single"/>
        </w:rPr>
        <w:tab/>
      </w:r>
      <w:r>
        <w:rPr>
          <w:rFonts w:hint="eastAsia" w:hAnsi="宋体"/>
          <w:color w:val="auto"/>
          <w:highlight w:val="none"/>
        </w:rPr>
        <w:t>（姓名）为我方代理人。代理人根据授权，以我方名义签署、澄清、说明、补正、递交、撤回、修改</w:t>
      </w:r>
      <w:r>
        <w:rPr>
          <w:rFonts w:hAnsi="宋体"/>
          <w:color w:val="auto"/>
          <w:highlight w:val="none"/>
        </w:rPr>
        <w:t xml:space="preserve"> </w:t>
      </w:r>
      <w:r>
        <w:rPr>
          <w:rFonts w:hAnsi="宋体"/>
          <w:color w:val="auto"/>
          <w:highlight w:val="none"/>
          <w:u w:val="single"/>
        </w:rPr>
        <w:tab/>
      </w:r>
      <w:r>
        <w:rPr>
          <w:rFonts w:hAnsi="宋体"/>
          <w:color w:val="auto"/>
          <w:highlight w:val="none"/>
          <w:u w:val="single"/>
        </w:rPr>
        <w:tab/>
      </w:r>
      <w:r>
        <w:rPr>
          <w:rFonts w:hAnsi="宋体"/>
          <w:color w:val="auto"/>
          <w:highlight w:val="none"/>
          <w:u w:val="single"/>
        </w:rPr>
        <w:tab/>
      </w:r>
      <w:r>
        <w:rPr>
          <w:rFonts w:hAnsi="宋体"/>
          <w:color w:val="auto"/>
          <w:highlight w:val="none"/>
          <w:u w:val="single"/>
        </w:rPr>
        <w:tab/>
      </w:r>
      <w:r>
        <w:rPr>
          <w:rFonts w:hAnsi="宋体"/>
          <w:color w:val="auto"/>
          <w:highlight w:val="none"/>
          <w:u w:val="single"/>
        </w:rPr>
        <w:tab/>
      </w:r>
      <w:r>
        <w:rPr>
          <w:rFonts w:hAnsi="宋体"/>
          <w:color w:val="auto"/>
          <w:highlight w:val="none"/>
          <w:u w:val="single"/>
        </w:rPr>
        <w:tab/>
      </w:r>
      <w:r>
        <w:rPr>
          <w:rFonts w:hint="eastAsia" w:hAnsi="宋体"/>
          <w:color w:val="auto"/>
          <w:highlight w:val="none"/>
          <w:u w:val="single"/>
        </w:rPr>
        <w:t>（项目名称）（项目编号）</w:t>
      </w:r>
      <w:r>
        <w:rPr>
          <w:rFonts w:hint="eastAsia" w:hAnsi="宋体"/>
          <w:color w:val="auto"/>
          <w:highlight w:val="none"/>
        </w:rPr>
        <w:t>响应文件、签订合同和处理有关事宜，其法律后果由我方承担。</w:t>
      </w:r>
    </w:p>
    <w:p w14:paraId="0D5B16BB">
      <w:pPr>
        <w:autoSpaceDE w:val="0"/>
        <w:autoSpaceDN w:val="0"/>
        <w:adjustRightInd w:val="0"/>
        <w:spacing w:line="480" w:lineRule="auto"/>
        <w:ind w:firstLine="420" w:firstLineChars="200"/>
        <w:jc w:val="left"/>
        <w:rPr>
          <w:rFonts w:hAnsi="宋体"/>
          <w:color w:val="auto"/>
          <w:highlight w:val="none"/>
        </w:rPr>
      </w:pPr>
      <w:r>
        <w:rPr>
          <w:rFonts w:hint="eastAsia" w:hAnsi="宋体"/>
          <w:color w:val="auto"/>
          <w:highlight w:val="none"/>
        </w:rPr>
        <w:t>委托期限：</w:t>
      </w:r>
      <w:r>
        <w:rPr>
          <w:rFonts w:hAnsi="宋体"/>
          <w:color w:val="auto"/>
          <w:highlight w:val="none"/>
          <w:u w:val="single"/>
        </w:rPr>
        <w:tab/>
      </w:r>
      <w:r>
        <w:rPr>
          <w:rFonts w:hAnsi="宋体"/>
          <w:color w:val="auto"/>
          <w:highlight w:val="none"/>
          <w:u w:val="single"/>
        </w:rPr>
        <w:tab/>
      </w:r>
      <w:r>
        <w:rPr>
          <w:rFonts w:hAnsi="宋体"/>
          <w:color w:val="auto"/>
          <w:highlight w:val="none"/>
          <w:u w:val="single"/>
        </w:rPr>
        <w:tab/>
      </w:r>
      <w:r>
        <w:rPr>
          <w:rFonts w:hAnsi="宋体"/>
          <w:color w:val="auto"/>
          <w:highlight w:val="none"/>
          <w:u w:val="single"/>
        </w:rPr>
        <w:tab/>
      </w:r>
      <w:r>
        <w:rPr>
          <w:rFonts w:hAnsi="宋体"/>
          <w:color w:val="auto"/>
          <w:highlight w:val="none"/>
          <w:u w:val="single"/>
        </w:rPr>
        <w:tab/>
      </w:r>
      <w:r>
        <w:rPr>
          <w:rFonts w:hint="eastAsia" w:hAnsi="宋体"/>
          <w:color w:val="auto"/>
          <w:highlight w:val="none"/>
        </w:rPr>
        <w:t>。</w:t>
      </w:r>
    </w:p>
    <w:p w14:paraId="3124CEAD">
      <w:pPr>
        <w:autoSpaceDE w:val="0"/>
        <w:autoSpaceDN w:val="0"/>
        <w:adjustRightInd w:val="0"/>
        <w:spacing w:line="480" w:lineRule="auto"/>
        <w:ind w:firstLine="420" w:firstLineChars="200"/>
        <w:jc w:val="left"/>
        <w:rPr>
          <w:rFonts w:hAnsi="宋体"/>
          <w:color w:val="auto"/>
          <w:highlight w:val="none"/>
        </w:rPr>
      </w:pPr>
      <w:r>
        <w:rPr>
          <w:rFonts w:hint="eastAsia" w:hAnsi="宋体"/>
          <w:color w:val="auto"/>
          <w:highlight w:val="none"/>
        </w:rPr>
        <w:t>代理人无转委托权。</w:t>
      </w:r>
    </w:p>
    <w:p w14:paraId="5F4AD9F3">
      <w:pPr>
        <w:autoSpaceDE w:val="0"/>
        <w:autoSpaceDN w:val="0"/>
        <w:adjustRightInd w:val="0"/>
        <w:spacing w:line="480" w:lineRule="auto"/>
        <w:ind w:firstLine="422" w:firstLineChars="200"/>
        <w:jc w:val="left"/>
        <w:rPr>
          <w:rFonts w:hAnsi="宋体"/>
          <w:b/>
          <w:color w:val="auto"/>
          <w:highlight w:val="none"/>
        </w:rPr>
      </w:pPr>
    </w:p>
    <w:p w14:paraId="79633D23">
      <w:pPr>
        <w:autoSpaceDE w:val="0"/>
        <w:autoSpaceDN w:val="0"/>
        <w:adjustRightInd w:val="0"/>
        <w:spacing w:line="480" w:lineRule="auto"/>
        <w:ind w:firstLine="424" w:firstLineChars="202"/>
        <w:jc w:val="left"/>
        <w:rPr>
          <w:rFonts w:hAnsi="宋体"/>
          <w:color w:val="auto"/>
          <w:highlight w:val="none"/>
        </w:rPr>
      </w:pPr>
      <w:r>
        <w:rPr>
          <w:rFonts w:hint="eastAsia" w:hAnsi="宋体"/>
          <w:color w:val="auto"/>
          <w:highlight w:val="none"/>
        </w:rPr>
        <w:t>供应商：</w:t>
      </w:r>
      <w:r>
        <w:rPr>
          <w:rFonts w:hAnsi="宋体"/>
          <w:color w:val="auto"/>
          <w:highlight w:val="none"/>
        </w:rPr>
        <w:t xml:space="preserve"> </w:t>
      </w:r>
      <w:r>
        <w:rPr>
          <w:rFonts w:hAnsi="宋体"/>
          <w:color w:val="auto"/>
          <w:highlight w:val="none"/>
          <w:u w:val="single"/>
        </w:rPr>
        <w:t xml:space="preserve">                           </w:t>
      </w:r>
      <w:r>
        <w:rPr>
          <w:rFonts w:hint="eastAsia" w:hAnsi="宋体"/>
          <w:color w:val="auto"/>
          <w:highlight w:val="none"/>
        </w:rPr>
        <w:t>（盖单位章）</w:t>
      </w:r>
    </w:p>
    <w:p w14:paraId="02091CA1">
      <w:pPr>
        <w:autoSpaceDE w:val="0"/>
        <w:autoSpaceDN w:val="0"/>
        <w:adjustRightInd w:val="0"/>
        <w:spacing w:line="480" w:lineRule="auto"/>
        <w:ind w:firstLine="424" w:firstLineChars="202"/>
        <w:jc w:val="left"/>
        <w:rPr>
          <w:rFonts w:hAnsi="宋体"/>
          <w:color w:val="auto"/>
          <w:highlight w:val="none"/>
        </w:rPr>
      </w:pPr>
      <w:r>
        <w:rPr>
          <w:rFonts w:hint="eastAsia" w:hAnsi="宋体"/>
          <w:color w:val="auto"/>
          <w:highlight w:val="none"/>
        </w:rPr>
        <w:t>法定代表人（负责人）：</w:t>
      </w:r>
      <w:r>
        <w:rPr>
          <w:rFonts w:hAnsi="宋体"/>
          <w:color w:val="auto"/>
          <w:highlight w:val="none"/>
          <w:u w:val="single"/>
        </w:rPr>
        <w:t xml:space="preserve">                       </w:t>
      </w:r>
      <w:r>
        <w:rPr>
          <w:rFonts w:hint="eastAsia" w:hAnsi="宋体"/>
          <w:color w:val="auto"/>
          <w:highlight w:val="none"/>
        </w:rPr>
        <w:t>（签字或盖章）</w:t>
      </w:r>
    </w:p>
    <w:p w14:paraId="5696635F">
      <w:pPr>
        <w:autoSpaceDE w:val="0"/>
        <w:autoSpaceDN w:val="0"/>
        <w:adjustRightInd w:val="0"/>
        <w:spacing w:line="480" w:lineRule="auto"/>
        <w:ind w:firstLine="424" w:firstLineChars="202"/>
        <w:jc w:val="left"/>
        <w:rPr>
          <w:rFonts w:hAnsi="宋体"/>
          <w:color w:val="auto"/>
          <w:highlight w:val="none"/>
          <w:u w:val="single"/>
        </w:rPr>
      </w:pPr>
      <w:r>
        <w:rPr>
          <w:rFonts w:hint="eastAsia" w:hAnsi="宋体"/>
          <w:color w:val="auto"/>
          <w:highlight w:val="none"/>
        </w:rPr>
        <w:t>身份证号码：</w:t>
      </w:r>
      <w:r>
        <w:rPr>
          <w:rFonts w:hAnsi="宋体"/>
          <w:color w:val="auto"/>
          <w:highlight w:val="none"/>
          <w:u w:val="single"/>
        </w:rPr>
        <w:t xml:space="preserve">                         </w:t>
      </w:r>
      <w:r>
        <w:rPr>
          <w:rFonts w:hAnsi="宋体"/>
          <w:color w:val="auto"/>
          <w:highlight w:val="none"/>
        </w:rPr>
        <w:t xml:space="preserve"> </w:t>
      </w:r>
    </w:p>
    <w:p w14:paraId="517F1A54">
      <w:pPr>
        <w:autoSpaceDE w:val="0"/>
        <w:autoSpaceDN w:val="0"/>
        <w:adjustRightInd w:val="0"/>
        <w:spacing w:line="480" w:lineRule="auto"/>
        <w:ind w:firstLine="424" w:firstLineChars="202"/>
        <w:jc w:val="left"/>
        <w:rPr>
          <w:rFonts w:hAnsi="宋体"/>
          <w:color w:val="auto"/>
          <w:highlight w:val="none"/>
        </w:rPr>
      </w:pPr>
      <w:r>
        <w:rPr>
          <w:rFonts w:hint="eastAsia" w:hAnsi="宋体"/>
          <w:color w:val="auto"/>
          <w:highlight w:val="none"/>
        </w:rPr>
        <w:t>委托代理人：</w:t>
      </w:r>
      <w:r>
        <w:rPr>
          <w:rFonts w:hAnsi="宋体"/>
          <w:color w:val="auto"/>
          <w:highlight w:val="none"/>
        </w:rPr>
        <w:t xml:space="preserve"> </w:t>
      </w:r>
      <w:r>
        <w:rPr>
          <w:rFonts w:hAnsi="宋体"/>
          <w:color w:val="auto"/>
          <w:highlight w:val="none"/>
          <w:u w:val="single"/>
        </w:rPr>
        <w:t xml:space="preserve">                        </w:t>
      </w:r>
      <w:r>
        <w:rPr>
          <w:rFonts w:hint="eastAsia" w:hAnsi="宋体"/>
          <w:color w:val="auto"/>
          <w:highlight w:val="none"/>
        </w:rPr>
        <w:t>（签字）</w:t>
      </w:r>
    </w:p>
    <w:p w14:paraId="143CBBCD">
      <w:pPr>
        <w:autoSpaceDE w:val="0"/>
        <w:autoSpaceDN w:val="0"/>
        <w:adjustRightInd w:val="0"/>
        <w:spacing w:line="480" w:lineRule="auto"/>
        <w:ind w:firstLine="424" w:firstLineChars="202"/>
        <w:jc w:val="left"/>
        <w:rPr>
          <w:rFonts w:hAnsi="宋体"/>
          <w:color w:val="auto"/>
          <w:highlight w:val="none"/>
          <w:u w:val="single"/>
        </w:rPr>
      </w:pPr>
      <w:r>
        <w:rPr>
          <w:rFonts w:hint="eastAsia" w:hAnsi="宋体"/>
          <w:color w:val="auto"/>
          <w:highlight w:val="none"/>
        </w:rPr>
        <w:t>身份证号码：</w:t>
      </w:r>
      <w:r>
        <w:rPr>
          <w:rFonts w:hAnsi="宋体"/>
          <w:color w:val="auto"/>
          <w:highlight w:val="none"/>
          <w:u w:val="single"/>
        </w:rPr>
        <w:t xml:space="preserve">                         </w:t>
      </w:r>
      <w:r>
        <w:rPr>
          <w:rFonts w:hAnsi="宋体"/>
          <w:color w:val="auto"/>
          <w:highlight w:val="none"/>
        </w:rPr>
        <w:t xml:space="preserve"> </w:t>
      </w:r>
    </w:p>
    <w:p w14:paraId="5E253127">
      <w:pPr>
        <w:autoSpaceDE w:val="0"/>
        <w:autoSpaceDN w:val="0"/>
        <w:adjustRightInd w:val="0"/>
        <w:spacing w:line="480" w:lineRule="auto"/>
        <w:ind w:firstLine="424" w:firstLineChars="202"/>
        <w:jc w:val="left"/>
        <w:rPr>
          <w:rFonts w:hAnsi="宋体"/>
          <w:color w:val="auto"/>
          <w:highlight w:val="none"/>
        </w:rPr>
      </w:pP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p>
    <w:p w14:paraId="3ECBFB2B">
      <w:pPr>
        <w:widowControl/>
        <w:jc w:val="left"/>
        <w:rPr>
          <w:rFonts w:hAnsi="宋体"/>
          <w:color w:val="auto"/>
          <w:highlight w:val="none"/>
        </w:rPr>
      </w:pPr>
    </w:p>
    <w:p w14:paraId="33AC7477">
      <w:pPr>
        <w:autoSpaceDE w:val="0"/>
        <w:autoSpaceDN w:val="0"/>
        <w:adjustRightInd w:val="0"/>
        <w:spacing w:line="320" w:lineRule="exact"/>
        <w:ind w:firstLine="103" w:firstLineChars="49"/>
        <w:jc w:val="left"/>
        <w:rPr>
          <w:rFonts w:hint="eastAsia" w:hAnsi="宋体" w:eastAsia="宋体"/>
          <w:color w:val="auto"/>
          <w:highlight w:val="none"/>
          <w:lang w:eastAsia="zh-CN"/>
        </w:rPr>
      </w:pPr>
      <w:r>
        <w:rPr>
          <w:rFonts w:hint="eastAsia" w:hAnsi="宋体"/>
          <w:b/>
          <w:color w:val="auto"/>
          <w:highlight w:val="none"/>
        </w:rPr>
        <w:t>附：加盖供应商单位公章的委托代理人二代居民身份证</w:t>
      </w:r>
      <w:r>
        <w:rPr>
          <w:rFonts w:hint="eastAsia" w:hAnsi="宋体"/>
          <w:b/>
          <w:color w:val="auto"/>
          <w:highlight w:val="none"/>
          <w:lang w:eastAsia="zh-CN"/>
        </w:rPr>
        <w:t>扫描件</w:t>
      </w:r>
    </w:p>
    <w:p w14:paraId="6AA6EAF6">
      <w:pPr>
        <w:widowControl/>
        <w:jc w:val="left"/>
        <w:rPr>
          <w:rFonts w:hAnsi="宋体"/>
          <w:b/>
          <w:bCs/>
          <w:color w:val="auto"/>
          <w:sz w:val="24"/>
          <w:szCs w:val="24"/>
          <w:highlight w:val="none"/>
        </w:rPr>
      </w:pPr>
      <w:r>
        <w:rPr>
          <w:rFonts w:hAnsi="宋体"/>
          <w:b/>
          <w:color w:val="auto"/>
          <w:sz w:val="24"/>
          <w:szCs w:val="24"/>
          <w:highlight w:val="none"/>
        </w:rPr>
        <w:br w:type="page"/>
      </w:r>
    </w:p>
    <w:p w14:paraId="5EDE21AB">
      <w:pPr>
        <w:pStyle w:val="5"/>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（三）供应商基本情况表</w:t>
      </w:r>
    </w:p>
    <w:tbl>
      <w:tblPr>
        <w:tblStyle w:val="4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2307"/>
      </w:tblGrid>
      <w:tr w14:paraId="77F5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1F0E21CC">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供应商名称</w:t>
            </w:r>
          </w:p>
        </w:tc>
        <w:tc>
          <w:tcPr>
            <w:tcW w:w="7725" w:type="dxa"/>
            <w:gridSpan w:val="8"/>
            <w:vAlign w:val="center"/>
          </w:tcPr>
          <w:p w14:paraId="532FD924">
            <w:pPr>
              <w:keepNext w:val="0"/>
              <w:keepLines w:val="0"/>
              <w:suppressLineNumbers w:val="0"/>
              <w:spacing w:before="0" w:beforeAutospacing="0" w:after="0" w:afterAutospacing="0"/>
              <w:ind w:left="0" w:right="0"/>
              <w:jc w:val="center"/>
              <w:rPr>
                <w:rFonts w:hint="default" w:hAnsi="宋体"/>
                <w:color w:val="auto"/>
                <w:highlight w:val="none"/>
              </w:rPr>
            </w:pPr>
          </w:p>
        </w:tc>
      </w:tr>
      <w:tr w14:paraId="16AD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626" w:type="dxa"/>
            <w:vAlign w:val="center"/>
          </w:tcPr>
          <w:p w14:paraId="61CF7B11">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注册地址</w:t>
            </w:r>
          </w:p>
        </w:tc>
        <w:tc>
          <w:tcPr>
            <w:tcW w:w="3389" w:type="dxa"/>
            <w:gridSpan w:val="4"/>
            <w:vAlign w:val="center"/>
          </w:tcPr>
          <w:p w14:paraId="1018ED12">
            <w:pPr>
              <w:keepNext w:val="0"/>
              <w:keepLines w:val="0"/>
              <w:suppressLineNumbers w:val="0"/>
              <w:spacing w:before="0" w:beforeAutospacing="0" w:after="0" w:afterAutospacing="0"/>
              <w:ind w:left="0" w:right="0"/>
              <w:jc w:val="center"/>
              <w:rPr>
                <w:rFonts w:hint="default" w:hAnsi="宋体"/>
                <w:color w:val="auto"/>
                <w:highlight w:val="none"/>
              </w:rPr>
            </w:pPr>
          </w:p>
        </w:tc>
        <w:tc>
          <w:tcPr>
            <w:tcW w:w="1246" w:type="dxa"/>
            <w:vAlign w:val="center"/>
          </w:tcPr>
          <w:p w14:paraId="2F457505">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邮政编码</w:t>
            </w:r>
          </w:p>
        </w:tc>
        <w:tc>
          <w:tcPr>
            <w:tcW w:w="3090" w:type="dxa"/>
            <w:gridSpan w:val="3"/>
            <w:vAlign w:val="center"/>
          </w:tcPr>
          <w:p w14:paraId="46A03704">
            <w:pPr>
              <w:keepNext w:val="0"/>
              <w:keepLines w:val="0"/>
              <w:suppressLineNumbers w:val="0"/>
              <w:spacing w:before="0" w:beforeAutospacing="0" w:after="0" w:afterAutospacing="0"/>
              <w:ind w:left="0" w:right="0"/>
              <w:jc w:val="center"/>
              <w:rPr>
                <w:rFonts w:hint="default" w:hAnsi="宋体"/>
                <w:color w:val="auto"/>
                <w:highlight w:val="none"/>
              </w:rPr>
            </w:pPr>
          </w:p>
        </w:tc>
      </w:tr>
      <w:tr w14:paraId="3D8A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14:paraId="1B644327">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联系方式</w:t>
            </w:r>
          </w:p>
        </w:tc>
        <w:tc>
          <w:tcPr>
            <w:tcW w:w="897" w:type="dxa"/>
            <w:vAlign w:val="center"/>
          </w:tcPr>
          <w:p w14:paraId="4A55D80A">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联系人</w:t>
            </w:r>
          </w:p>
        </w:tc>
        <w:tc>
          <w:tcPr>
            <w:tcW w:w="2492" w:type="dxa"/>
            <w:gridSpan w:val="3"/>
            <w:vAlign w:val="center"/>
          </w:tcPr>
          <w:p w14:paraId="736788BE">
            <w:pPr>
              <w:keepNext w:val="0"/>
              <w:keepLines w:val="0"/>
              <w:suppressLineNumbers w:val="0"/>
              <w:spacing w:before="0" w:beforeAutospacing="0" w:after="0" w:afterAutospacing="0"/>
              <w:ind w:left="0" w:right="0"/>
              <w:jc w:val="center"/>
              <w:rPr>
                <w:rFonts w:hint="default" w:hAnsi="宋体"/>
                <w:color w:val="auto"/>
                <w:highlight w:val="none"/>
              </w:rPr>
            </w:pPr>
          </w:p>
        </w:tc>
        <w:tc>
          <w:tcPr>
            <w:tcW w:w="1246" w:type="dxa"/>
            <w:vAlign w:val="center"/>
          </w:tcPr>
          <w:p w14:paraId="11566D57">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电</w:t>
            </w:r>
            <w:r>
              <w:rPr>
                <w:rFonts w:hint="default" w:hAnsi="宋体"/>
                <w:color w:val="auto"/>
                <w:highlight w:val="none"/>
              </w:rPr>
              <w:t xml:space="preserve">  </w:t>
            </w:r>
            <w:r>
              <w:rPr>
                <w:rFonts w:hint="eastAsia" w:hAnsi="宋体"/>
                <w:color w:val="auto"/>
                <w:highlight w:val="none"/>
              </w:rPr>
              <w:t>话</w:t>
            </w:r>
          </w:p>
        </w:tc>
        <w:tc>
          <w:tcPr>
            <w:tcW w:w="3090" w:type="dxa"/>
            <w:gridSpan w:val="3"/>
            <w:vAlign w:val="center"/>
          </w:tcPr>
          <w:p w14:paraId="7CFE715F">
            <w:pPr>
              <w:keepNext w:val="0"/>
              <w:keepLines w:val="0"/>
              <w:suppressLineNumbers w:val="0"/>
              <w:spacing w:before="0" w:beforeAutospacing="0" w:after="0" w:afterAutospacing="0"/>
              <w:ind w:left="0" w:right="0"/>
              <w:jc w:val="center"/>
              <w:rPr>
                <w:rFonts w:hint="default" w:hAnsi="宋体"/>
                <w:color w:val="auto"/>
                <w:highlight w:val="none"/>
              </w:rPr>
            </w:pPr>
          </w:p>
        </w:tc>
      </w:tr>
      <w:tr w14:paraId="6789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26" w:type="dxa"/>
            <w:vMerge w:val="continue"/>
            <w:vAlign w:val="center"/>
          </w:tcPr>
          <w:p w14:paraId="1D5BEB03">
            <w:pPr>
              <w:keepNext w:val="0"/>
              <w:keepLines w:val="0"/>
              <w:suppressLineNumbers w:val="0"/>
              <w:spacing w:before="0" w:beforeAutospacing="0" w:after="0" w:afterAutospacing="0"/>
              <w:ind w:left="0" w:right="0"/>
              <w:jc w:val="center"/>
              <w:rPr>
                <w:rFonts w:hint="default" w:hAnsi="宋体"/>
                <w:color w:val="auto"/>
                <w:highlight w:val="none"/>
              </w:rPr>
            </w:pPr>
          </w:p>
        </w:tc>
        <w:tc>
          <w:tcPr>
            <w:tcW w:w="897" w:type="dxa"/>
            <w:vAlign w:val="center"/>
          </w:tcPr>
          <w:p w14:paraId="6044110A">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传</w:t>
            </w:r>
            <w:r>
              <w:rPr>
                <w:rFonts w:hint="default" w:hAnsi="宋体"/>
                <w:color w:val="auto"/>
                <w:highlight w:val="none"/>
              </w:rPr>
              <w:t xml:space="preserve">  </w:t>
            </w:r>
            <w:r>
              <w:rPr>
                <w:rFonts w:hint="eastAsia" w:hAnsi="宋体"/>
                <w:color w:val="auto"/>
                <w:highlight w:val="none"/>
              </w:rPr>
              <w:t>真</w:t>
            </w:r>
          </w:p>
        </w:tc>
        <w:tc>
          <w:tcPr>
            <w:tcW w:w="2492" w:type="dxa"/>
            <w:gridSpan w:val="3"/>
            <w:vAlign w:val="center"/>
          </w:tcPr>
          <w:p w14:paraId="55C1A9E7">
            <w:pPr>
              <w:keepNext w:val="0"/>
              <w:keepLines w:val="0"/>
              <w:suppressLineNumbers w:val="0"/>
              <w:spacing w:before="0" w:beforeAutospacing="0" w:after="0" w:afterAutospacing="0"/>
              <w:ind w:left="0" w:right="0"/>
              <w:jc w:val="center"/>
              <w:rPr>
                <w:rFonts w:hint="default" w:hAnsi="宋体"/>
                <w:color w:val="auto"/>
                <w:highlight w:val="none"/>
              </w:rPr>
            </w:pPr>
          </w:p>
        </w:tc>
        <w:tc>
          <w:tcPr>
            <w:tcW w:w="1246" w:type="dxa"/>
            <w:vAlign w:val="center"/>
          </w:tcPr>
          <w:p w14:paraId="2D7B228E">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网</w:t>
            </w:r>
            <w:r>
              <w:rPr>
                <w:rFonts w:hint="default" w:hAnsi="宋体"/>
                <w:color w:val="auto"/>
                <w:highlight w:val="none"/>
              </w:rPr>
              <w:t xml:space="preserve">  </w:t>
            </w:r>
            <w:r>
              <w:rPr>
                <w:rFonts w:hint="eastAsia" w:hAnsi="宋体"/>
                <w:color w:val="auto"/>
                <w:highlight w:val="none"/>
              </w:rPr>
              <w:t>址</w:t>
            </w:r>
          </w:p>
        </w:tc>
        <w:tc>
          <w:tcPr>
            <w:tcW w:w="3090" w:type="dxa"/>
            <w:gridSpan w:val="3"/>
            <w:vAlign w:val="center"/>
          </w:tcPr>
          <w:p w14:paraId="68684EE5">
            <w:pPr>
              <w:keepNext w:val="0"/>
              <w:keepLines w:val="0"/>
              <w:suppressLineNumbers w:val="0"/>
              <w:spacing w:before="0" w:beforeAutospacing="0" w:after="0" w:afterAutospacing="0"/>
              <w:ind w:left="0" w:right="0"/>
              <w:jc w:val="center"/>
              <w:rPr>
                <w:rFonts w:hint="default" w:hAnsi="宋体"/>
                <w:color w:val="auto"/>
                <w:highlight w:val="none"/>
              </w:rPr>
            </w:pPr>
          </w:p>
        </w:tc>
      </w:tr>
      <w:tr w14:paraId="3E91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710886C1">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统一社会信用代码</w:t>
            </w:r>
          </w:p>
        </w:tc>
        <w:tc>
          <w:tcPr>
            <w:tcW w:w="7725" w:type="dxa"/>
            <w:gridSpan w:val="8"/>
            <w:vAlign w:val="center"/>
          </w:tcPr>
          <w:p w14:paraId="6296035E">
            <w:pPr>
              <w:keepNext w:val="0"/>
              <w:keepLines w:val="0"/>
              <w:suppressLineNumbers w:val="0"/>
              <w:spacing w:before="0" w:beforeAutospacing="0" w:after="0" w:afterAutospacing="0"/>
              <w:ind w:left="0" w:right="0"/>
              <w:jc w:val="center"/>
              <w:rPr>
                <w:rFonts w:hint="default" w:hAnsi="宋体"/>
                <w:color w:val="auto"/>
                <w:highlight w:val="none"/>
              </w:rPr>
            </w:pPr>
          </w:p>
        </w:tc>
      </w:tr>
      <w:tr w14:paraId="1216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6" w:type="dxa"/>
            <w:vAlign w:val="center"/>
          </w:tcPr>
          <w:p w14:paraId="395C8A3B">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法定代表人</w:t>
            </w:r>
          </w:p>
        </w:tc>
        <w:tc>
          <w:tcPr>
            <w:tcW w:w="897" w:type="dxa"/>
            <w:vAlign w:val="center"/>
          </w:tcPr>
          <w:p w14:paraId="13440F37">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姓名</w:t>
            </w:r>
          </w:p>
        </w:tc>
        <w:tc>
          <w:tcPr>
            <w:tcW w:w="3801" w:type="dxa"/>
            <w:gridSpan w:val="5"/>
            <w:vAlign w:val="center"/>
          </w:tcPr>
          <w:p w14:paraId="2DA89EA1">
            <w:pPr>
              <w:keepNext w:val="0"/>
              <w:keepLines w:val="0"/>
              <w:suppressLineNumbers w:val="0"/>
              <w:spacing w:before="0" w:beforeAutospacing="0" w:after="0" w:afterAutospacing="0"/>
              <w:ind w:left="0" w:right="0"/>
              <w:jc w:val="center"/>
              <w:rPr>
                <w:rFonts w:hint="default" w:hAnsi="宋体"/>
                <w:color w:val="auto"/>
                <w:highlight w:val="none"/>
              </w:rPr>
            </w:pPr>
          </w:p>
        </w:tc>
        <w:tc>
          <w:tcPr>
            <w:tcW w:w="720" w:type="dxa"/>
            <w:vAlign w:val="center"/>
          </w:tcPr>
          <w:p w14:paraId="0C5E2CF4">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电话</w:t>
            </w:r>
          </w:p>
        </w:tc>
        <w:tc>
          <w:tcPr>
            <w:tcW w:w="2307" w:type="dxa"/>
            <w:vAlign w:val="center"/>
          </w:tcPr>
          <w:p w14:paraId="4AC8B0B1">
            <w:pPr>
              <w:keepNext w:val="0"/>
              <w:keepLines w:val="0"/>
              <w:suppressLineNumbers w:val="0"/>
              <w:spacing w:before="0" w:beforeAutospacing="0" w:after="0" w:afterAutospacing="0"/>
              <w:ind w:left="0" w:right="0"/>
              <w:jc w:val="center"/>
              <w:rPr>
                <w:rFonts w:hint="default" w:hAnsi="宋体"/>
                <w:color w:val="auto"/>
                <w:highlight w:val="none"/>
              </w:rPr>
            </w:pPr>
          </w:p>
        </w:tc>
      </w:tr>
      <w:tr w14:paraId="7870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626" w:type="dxa"/>
            <w:vAlign w:val="center"/>
          </w:tcPr>
          <w:p w14:paraId="53259470">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技术负责人</w:t>
            </w:r>
          </w:p>
        </w:tc>
        <w:tc>
          <w:tcPr>
            <w:tcW w:w="897" w:type="dxa"/>
            <w:vAlign w:val="center"/>
          </w:tcPr>
          <w:p w14:paraId="61BD82E2">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姓名</w:t>
            </w:r>
          </w:p>
        </w:tc>
        <w:tc>
          <w:tcPr>
            <w:tcW w:w="1021" w:type="dxa"/>
            <w:vAlign w:val="center"/>
          </w:tcPr>
          <w:p w14:paraId="291FE840">
            <w:pPr>
              <w:keepNext w:val="0"/>
              <w:keepLines w:val="0"/>
              <w:suppressLineNumbers w:val="0"/>
              <w:spacing w:before="0" w:beforeAutospacing="0" w:after="0" w:afterAutospacing="0"/>
              <w:ind w:left="0" w:right="0"/>
              <w:jc w:val="center"/>
              <w:rPr>
                <w:rFonts w:hint="default" w:hAnsi="宋体"/>
                <w:color w:val="auto"/>
                <w:highlight w:val="none"/>
              </w:rPr>
            </w:pPr>
          </w:p>
        </w:tc>
        <w:tc>
          <w:tcPr>
            <w:tcW w:w="1160" w:type="dxa"/>
            <w:vAlign w:val="center"/>
          </w:tcPr>
          <w:p w14:paraId="6217C2CB">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技术职称</w:t>
            </w:r>
          </w:p>
        </w:tc>
        <w:tc>
          <w:tcPr>
            <w:tcW w:w="1620" w:type="dxa"/>
            <w:gridSpan w:val="3"/>
            <w:vAlign w:val="center"/>
          </w:tcPr>
          <w:p w14:paraId="0AC4262A">
            <w:pPr>
              <w:keepNext w:val="0"/>
              <w:keepLines w:val="0"/>
              <w:suppressLineNumbers w:val="0"/>
              <w:spacing w:before="0" w:beforeAutospacing="0" w:after="0" w:afterAutospacing="0"/>
              <w:ind w:left="0" w:right="0"/>
              <w:jc w:val="center"/>
              <w:rPr>
                <w:rFonts w:hint="default" w:hAnsi="宋体"/>
                <w:color w:val="auto"/>
                <w:highlight w:val="none"/>
              </w:rPr>
            </w:pPr>
          </w:p>
        </w:tc>
        <w:tc>
          <w:tcPr>
            <w:tcW w:w="720" w:type="dxa"/>
            <w:vAlign w:val="center"/>
          </w:tcPr>
          <w:p w14:paraId="3BCF369B">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电话</w:t>
            </w:r>
          </w:p>
        </w:tc>
        <w:tc>
          <w:tcPr>
            <w:tcW w:w="2307" w:type="dxa"/>
            <w:vAlign w:val="center"/>
          </w:tcPr>
          <w:p w14:paraId="1684236F">
            <w:pPr>
              <w:keepNext w:val="0"/>
              <w:keepLines w:val="0"/>
              <w:suppressLineNumbers w:val="0"/>
              <w:spacing w:before="0" w:beforeAutospacing="0" w:after="0" w:afterAutospacing="0"/>
              <w:ind w:left="0" w:right="0"/>
              <w:jc w:val="center"/>
              <w:rPr>
                <w:rFonts w:hint="default" w:hAnsi="宋体"/>
                <w:color w:val="auto"/>
                <w:highlight w:val="none"/>
              </w:rPr>
            </w:pPr>
          </w:p>
        </w:tc>
      </w:tr>
      <w:tr w14:paraId="64BF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6" w:type="dxa"/>
            <w:vAlign w:val="center"/>
          </w:tcPr>
          <w:p w14:paraId="7C806E7A">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成立时间</w:t>
            </w:r>
          </w:p>
        </w:tc>
        <w:tc>
          <w:tcPr>
            <w:tcW w:w="1918" w:type="dxa"/>
            <w:gridSpan w:val="2"/>
            <w:vAlign w:val="center"/>
          </w:tcPr>
          <w:p w14:paraId="782913ED">
            <w:pPr>
              <w:keepNext w:val="0"/>
              <w:keepLines w:val="0"/>
              <w:suppressLineNumbers w:val="0"/>
              <w:spacing w:before="0" w:beforeAutospacing="0" w:after="0" w:afterAutospacing="0"/>
              <w:ind w:left="0" w:right="0"/>
              <w:jc w:val="center"/>
              <w:rPr>
                <w:rFonts w:hint="default" w:hAnsi="宋体"/>
                <w:color w:val="auto"/>
                <w:highlight w:val="none"/>
              </w:rPr>
            </w:pPr>
          </w:p>
        </w:tc>
        <w:tc>
          <w:tcPr>
            <w:tcW w:w="5807" w:type="dxa"/>
            <w:gridSpan w:val="6"/>
            <w:vAlign w:val="center"/>
          </w:tcPr>
          <w:p w14:paraId="4ACB4C5A">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员工总人数：</w:t>
            </w:r>
          </w:p>
        </w:tc>
      </w:tr>
      <w:tr w14:paraId="776C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1FE5D4BA">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资质等级</w:t>
            </w:r>
          </w:p>
        </w:tc>
        <w:tc>
          <w:tcPr>
            <w:tcW w:w="1918" w:type="dxa"/>
            <w:gridSpan w:val="2"/>
            <w:vAlign w:val="center"/>
          </w:tcPr>
          <w:p w14:paraId="47D87297">
            <w:pPr>
              <w:keepNext w:val="0"/>
              <w:keepLines w:val="0"/>
              <w:suppressLineNumbers w:val="0"/>
              <w:spacing w:before="0" w:beforeAutospacing="0" w:after="0" w:afterAutospacing="0"/>
              <w:ind w:left="0" w:right="0"/>
              <w:jc w:val="center"/>
              <w:rPr>
                <w:rFonts w:hint="default" w:hAnsi="宋体"/>
                <w:color w:val="auto"/>
                <w:highlight w:val="none"/>
              </w:rPr>
            </w:pPr>
          </w:p>
        </w:tc>
        <w:tc>
          <w:tcPr>
            <w:tcW w:w="1160" w:type="dxa"/>
            <w:vMerge w:val="restart"/>
            <w:vAlign w:val="center"/>
          </w:tcPr>
          <w:p w14:paraId="32597D08">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其中</w:t>
            </w:r>
          </w:p>
        </w:tc>
        <w:tc>
          <w:tcPr>
            <w:tcW w:w="1620" w:type="dxa"/>
            <w:gridSpan w:val="3"/>
            <w:vAlign w:val="center"/>
          </w:tcPr>
          <w:p w14:paraId="0BF4274F">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项目经理</w:t>
            </w:r>
          </w:p>
        </w:tc>
        <w:tc>
          <w:tcPr>
            <w:tcW w:w="3027" w:type="dxa"/>
            <w:gridSpan w:val="2"/>
            <w:vAlign w:val="center"/>
          </w:tcPr>
          <w:p w14:paraId="3586F771">
            <w:pPr>
              <w:keepNext w:val="0"/>
              <w:keepLines w:val="0"/>
              <w:suppressLineNumbers w:val="0"/>
              <w:spacing w:before="0" w:beforeAutospacing="0" w:after="0" w:afterAutospacing="0"/>
              <w:ind w:left="0" w:right="0"/>
              <w:jc w:val="center"/>
              <w:rPr>
                <w:rFonts w:hint="default" w:hAnsi="宋体"/>
                <w:color w:val="auto"/>
                <w:highlight w:val="none"/>
              </w:rPr>
            </w:pPr>
          </w:p>
        </w:tc>
      </w:tr>
      <w:tr w14:paraId="7A9E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20911AB3">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安全生产许可证号</w:t>
            </w:r>
          </w:p>
        </w:tc>
        <w:tc>
          <w:tcPr>
            <w:tcW w:w="1918" w:type="dxa"/>
            <w:gridSpan w:val="2"/>
            <w:vAlign w:val="center"/>
          </w:tcPr>
          <w:p w14:paraId="0ECA101C">
            <w:pPr>
              <w:keepNext w:val="0"/>
              <w:keepLines w:val="0"/>
              <w:suppressLineNumbers w:val="0"/>
              <w:spacing w:before="0" w:beforeAutospacing="0" w:after="0" w:afterAutospacing="0"/>
              <w:ind w:left="0" w:right="0"/>
              <w:jc w:val="center"/>
              <w:rPr>
                <w:rFonts w:hint="default" w:hAnsi="宋体"/>
                <w:color w:val="auto"/>
                <w:highlight w:val="none"/>
              </w:rPr>
            </w:pPr>
          </w:p>
        </w:tc>
        <w:tc>
          <w:tcPr>
            <w:tcW w:w="1160" w:type="dxa"/>
            <w:vMerge w:val="continue"/>
            <w:vAlign w:val="center"/>
          </w:tcPr>
          <w:p w14:paraId="7E521A75">
            <w:pPr>
              <w:keepNext w:val="0"/>
              <w:keepLines w:val="0"/>
              <w:suppressLineNumbers w:val="0"/>
              <w:spacing w:before="0" w:beforeAutospacing="0" w:after="0" w:afterAutospacing="0"/>
              <w:ind w:left="0" w:right="0"/>
              <w:jc w:val="center"/>
              <w:rPr>
                <w:rFonts w:hint="default" w:hAnsi="宋体"/>
                <w:color w:val="auto"/>
                <w:highlight w:val="none"/>
              </w:rPr>
            </w:pPr>
          </w:p>
        </w:tc>
        <w:tc>
          <w:tcPr>
            <w:tcW w:w="1620" w:type="dxa"/>
            <w:gridSpan w:val="3"/>
            <w:vAlign w:val="center"/>
          </w:tcPr>
          <w:p w14:paraId="2DC49DBF">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高级职称人员</w:t>
            </w:r>
          </w:p>
        </w:tc>
        <w:tc>
          <w:tcPr>
            <w:tcW w:w="3027" w:type="dxa"/>
            <w:gridSpan w:val="2"/>
            <w:vAlign w:val="center"/>
          </w:tcPr>
          <w:p w14:paraId="1CFA759A">
            <w:pPr>
              <w:keepNext w:val="0"/>
              <w:keepLines w:val="0"/>
              <w:suppressLineNumbers w:val="0"/>
              <w:spacing w:before="0" w:beforeAutospacing="0" w:after="0" w:afterAutospacing="0"/>
              <w:ind w:left="0" w:right="0"/>
              <w:jc w:val="center"/>
              <w:rPr>
                <w:rFonts w:hint="default" w:hAnsi="宋体"/>
                <w:color w:val="auto"/>
                <w:highlight w:val="none"/>
              </w:rPr>
            </w:pPr>
          </w:p>
        </w:tc>
      </w:tr>
      <w:tr w14:paraId="0DB3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230686F">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注册资金</w:t>
            </w:r>
          </w:p>
        </w:tc>
        <w:tc>
          <w:tcPr>
            <w:tcW w:w="1918" w:type="dxa"/>
            <w:gridSpan w:val="2"/>
            <w:vAlign w:val="center"/>
          </w:tcPr>
          <w:p w14:paraId="2B606B34">
            <w:pPr>
              <w:keepNext w:val="0"/>
              <w:keepLines w:val="0"/>
              <w:suppressLineNumbers w:val="0"/>
              <w:spacing w:before="0" w:beforeAutospacing="0" w:after="0" w:afterAutospacing="0"/>
              <w:ind w:left="0" w:right="0"/>
              <w:jc w:val="center"/>
              <w:rPr>
                <w:rFonts w:hint="default" w:hAnsi="宋体"/>
                <w:color w:val="auto"/>
                <w:highlight w:val="none"/>
              </w:rPr>
            </w:pPr>
          </w:p>
        </w:tc>
        <w:tc>
          <w:tcPr>
            <w:tcW w:w="1160" w:type="dxa"/>
            <w:vMerge w:val="continue"/>
            <w:vAlign w:val="center"/>
          </w:tcPr>
          <w:p w14:paraId="6A5F8001">
            <w:pPr>
              <w:keepNext w:val="0"/>
              <w:keepLines w:val="0"/>
              <w:suppressLineNumbers w:val="0"/>
              <w:spacing w:before="0" w:beforeAutospacing="0" w:after="0" w:afterAutospacing="0"/>
              <w:ind w:left="0" w:right="0"/>
              <w:jc w:val="center"/>
              <w:rPr>
                <w:rFonts w:hint="default" w:hAnsi="宋体"/>
                <w:color w:val="auto"/>
                <w:highlight w:val="none"/>
              </w:rPr>
            </w:pPr>
          </w:p>
        </w:tc>
        <w:tc>
          <w:tcPr>
            <w:tcW w:w="1620" w:type="dxa"/>
            <w:gridSpan w:val="3"/>
            <w:vAlign w:val="center"/>
          </w:tcPr>
          <w:p w14:paraId="62F46D95">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中级职称人员</w:t>
            </w:r>
          </w:p>
        </w:tc>
        <w:tc>
          <w:tcPr>
            <w:tcW w:w="3027" w:type="dxa"/>
            <w:gridSpan w:val="2"/>
            <w:vAlign w:val="center"/>
          </w:tcPr>
          <w:p w14:paraId="78272784">
            <w:pPr>
              <w:keepNext w:val="0"/>
              <w:keepLines w:val="0"/>
              <w:suppressLineNumbers w:val="0"/>
              <w:spacing w:before="0" w:beforeAutospacing="0" w:after="0" w:afterAutospacing="0"/>
              <w:ind w:left="0" w:right="0"/>
              <w:jc w:val="center"/>
              <w:rPr>
                <w:rFonts w:hint="default" w:hAnsi="宋体"/>
                <w:color w:val="auto"/>
                <w:highlight w:val="none"/>
              </w:rPr>
            </w:pPr>
          </w:p>
        </w:tc>
      </w:tr>
      <w:tr w14:paraId="5E30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4BAEE3D">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开户银行</w:t>
            </w:r>
          </w:p>
        </w:tc>
        <w:tc>
          <w:tcPr>
            <w:tcW w:w="1918" w:type="dxa"/>
            <w:gridSpan w:val="2"/>
            <w:vAlign w:val="center"/>
          </w:tcPr>
          <w:p w14:paraId="12043AFB">
            <w:pPr>
              <w:keepNext w:val="0"/>
              <w:keepLines w:val="0"/>
              <w:suppressLineNumbers w:val="0"/>
              <w:spacing w:before="0" w:beforeAutospacing="0" w:after="0" w:afterAutospacing="0"/>
              <w:ind w:left="0" w:right="0"/>
              <w:jc w:val="center"/>
              <w:rPr>
                <w:rFonts w:hint="default" w:hAnsi="宋体"/>
                <w:color w:val="auto"/>
                <w:highlight w:val="none"/>
              </w:rPr>
            </w:pPr>
          </w:p>
        </w:tc>
        <w:tc>
          <w:tcPr>
            <w:tcW w:w="1160" w:type="dxa"/>
            <w:vMerge w:val="continue"/>
            <w:vAlign w:val="center"/>
          </w:tcPr>
          <w:p w14:paraId="403024A2">
            <w:pPr>
              <w:keepNext w:val="0"/>
              <w:keepLines w:val="0"/>
              <w:suppressLineNumbers w:val="0"/>
              <w:spacing w:before="0" w:beforeAutospacing="0" w:after="0" w:afterAutospacing="0"/>
              <w:ind w:left="0" w:right="0"/>
              <w:jc w:val="center"/>
              <w:rPr>
                <w:rFonts w:hint="default" w:hAnsi="宋体"/>
                <w:color w:val="auto"/>
                <w:highlight w:val="none"/>
              </w:rPr>
            </w:pPr>
          </w:p>
        </w:tc>
        <w:tc>
          <w:tcPr>
            <w:tcW w:w="1620" w:type="dxa"/>
            <w:gridSpan w:val="3"/>
            <w:vAlign w:val="center"/>
          </w:tcPr>
          <w:p w14:paraId="6B2A4601">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初级职称人员</w:t>
            </w:r>
          </w:p>
        </w:tc>
        <w:tc>
          <w:tcPr>
            <w:tcW w:w="3027" w:type="dxa"/>
            <w:gridSpan w:val="2"/>
            <w:vAlign w:val="center"/>
          </w:tcPr>
          <w:p w14:paraId="1D21ABB1">
            <w:pPr>
              <w:keepNext w:val="0"/>
              <w:keepLines w:val="0"/>
              <w:suppressLineNumbers w:val="0"/>
              <w:spacing w:before="0" w:beforeAutospacing="0" w:after="0" w:afterAutospacing="0"/>
              <w:ind w:left="0" w:right="0"/>
              <w:jc w:val="center"/>
              <w:rPr>
                <w:rFonts w:hint="default" w:hAnsi="宋体"/>
                <w:color w:val="auto"/>
                <w:highlight w:val="none"/>
              </w:rPr>
            </w:pPr>
          </w:p>
        </w:tc>
      </w:tr>
      <w:tr w14:paraId="7C21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660DABD7">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账号</w:t>
            </w:r>
          </w:p>
        </w:tc>
        <w:tc>
          <w:tcPr>
            <w:tcW w:w="1918" w:type="dxa"/>
            <w:gridSpan w:val="2"/>
            <w:vAlign w:val="center"/>
          </w:tcPr>
          <w:p w14:paraId="2538ABDB">
            <w:pPr>
              <w:keepNext w:val="0"/>
              <w:keepLines w:val="0"/>
              <w:suppressLineNumbers w:val="0"/>
              <w:spacing w:before="0" w:beforeAutospacing="0" w:after="0" w:afterAutospacing="0"/>
              <w:ind w:left="0" w:right="0"/>
              <w:jc w:val="center"/>
              <w:rPr>
                <w:rFonts w:hint="default" w:hAnsi="宋体"/>
                <w:color w:val="auto"/>
                <w:highlight w:val="none"/>
              </w:rPr>
            </w:pPr>
          </w:p>
        </w:tc>
        <w:tc>
          <w:tcPr>
            <w:tcW w:w="1160" w:type="dxa"/>
            <w:vMerge w:val="continue"/>
            <w:vAlign w:val="center"/>
          </w:tcPr>
          <w:p w14:paraId="519E62C5">
            <w:pPr>
              <w:keepNext w:val="0"/>
              <w:keepLines w:val="0"/>
              <w:suppressLineNumbers w:val="0"/>
              <w:spacing w:before="0" w:beforeAutospacing="0" w:after="0" w:afterAutospacing="0"/>
              <w:ind w:left="0" w:right="0"/>
              <w:jc w:val="center"/>
              <w:rPr>
                <w:rFonts w:hint="default" w:hAnsi="宋体"/>
                <w:color w:val="auto"/>
                <w:highlight w:val="none"/>
              </w:rPr>
            </w:pPr>
          </w:p>
        </w:tc>
        <w:tc>
          <w:tcPr>
            <w:tcW w:w="1620" w:type="dxa"/>
            <w:gridSpan w:val="3"/>
            <w:vAlign w:val="center"/>
          </w:tcPr>
          <w:p w14:paraId="311898E5">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技</w:t>
            </w:r>
            <w:r>
              <w:rPr>
                <w:rFonts w:hint="default" w:hAnsi="宋体"/>
                <w:color w:val="auto"/>
                <w:highlight w:val="none"/>
              </w:rPr>
              <w:t xml:space="preserve">  </w:t>
            </w:r>
            <w:r>
              <w:rPr>
                <w:rFonts w:hint="eastAsia" w:hAnsi="宋体"/>
                <w:color w:val="auto"/>
                <w:highlight w:val="none"/>
              </w:rPr>
              <w:t>工</w:t>
            </w:r>
          </w:p>
        </w:tc>
        <w:tc>
          <w:tcPr>
            <w:tcW w:w="3027" w:type="dxa"/>
            <w:gridSpan w:val="2"/>
            <w:vAlign w:val="center"/>
          </w:tcPr>
          <w:p w14:paraId="122CED90">
            <w:pPr>
              <w:keepNext w:val="0"/>
              <w:keepLines w:val="0"/>
              <w:suppressLineNumbers w:val="0"/>
              <w:spacing w:before="0" w:beforeAutospacing="0" w:after="0" w:afterAutospacing="0"/>
              <w:ind w:left="0" w:right="0"/>
              <w:jc w:val="center"/>
              <w:rPr>
                <w:rFonts w:hint="default" w:hAnsi="宋体"/>
                <w:color w:val="auto"/>
                <w:highlight w:val="none"/>
              </w:rPr>
            </w:pPr>
          </w:p>
        </w:tc>
      </w:tr>
      <w:tr w14:paraId="6F22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626" w:type="dxa"/>
            <w:vAlign w:val="center"/>
          </w:tcPr>
          <w:p w14:paraId="1EBFC1D5">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经营范围</w:t>
            </w:r>
          </w:p>
        </w:tc>
        <w:tc>
          <w:tcPr>
            <w:tcW w:w="7725" w:type="dxa"/>
            <w:gridSpan w:val="8"/>
            <w:vAlign w:val="center"/>
          </w:tcPr>
          <w:p w14:paraId="446624FF">
            <w:pPr>
              <w:keepNext w:val="0"/>
              <w:keepLines w:val="0"/>
              <w:suppressLineNumbers w:val="0"/>
              <w:spacing w:before="0" w:beforeAutospacing="0" w:after="0" w:afterAutospacing="0"/>
              <w:ind w:left="0" w:right="0"/>
              <w:jc w:val="center"/>
              <w:rPr>
                <w:rFonts w:hint="default" w:hAnsi="宋体"/>
                <w:color w:val="auto"/>
                <w:highlight w:val="none"/>
              </w:rPr>
            </w:pPr>
          </w:p>
        </w:tc>
      </w:tr>
      <w:tr w14:paraId="2F8B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626" w:type="dxa"/>
            <w:vAlign w:val="center"/>
          </w:tcPr>
          <w:p w14:paraId="10BE1018">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供应商关联企业情况</w:t>
            </w:r>
          </w:p>
        </w:tc>
        <w:tc>
          <w:tcPr>
            <w:tcW w:w="7725" w:type="dxa"/>
            <w:gridSpan w:val="8"/>
            <w:vAlign w:val="center"/>
          </w:tcPr>
          <w:p w14:paraId="2B7A0B92">
            <w:pPr>
              <w:keepNext w:val="0"/>
              <w:keepLines w:val="0"/>
              <w:suppressLineNumbers w:val="0"/>
              <w:spacing w:before="0" w:beforeAutospacing="0" w:after="0" w:afterAutospacing="0" w:line="360" w:lineRule="auto"/>
              <w:ind w:left="0" w:right="0"/>
              <w:jc w:val="left"/>
              <w:rPr>
                <w:rFonts w:hint="default" w:hAnsi="宋体"/>
                <w:color w:val="auto"/>
                <w:highlight w:val="none"/>
              </w:rPr>
            </w:pPr>
            <w:r>
              <w:rPr>
                <w:rFonts w:hint="eastAsia" w:hAnsi="宋体"/>
                <w:color w:val="auto"/>
                <w:highlight w:val="none"/>
              </w:rPr>
              <w:t>供应商应提供关联企业情况，包括：</w:t>
            </w:r>
          </w:p>
          <w:p w14:paraId="6953DCFA">
            <w:pPr>
              <w:keepNext w:val="0"/>
              <w:keepLines w:val="0"/>
              <w:suppressLineNumbers w:val="0"/>
              <w:spacing w:before="0" w:beforeAutospacing="0" w:after="0" w:afterAutospacing="0" w:line="360" w:lineRule="auto"/>
              <w:ind w:left="0" w:right="0"/>
              <w:jc w:val="left"/>
              <w:rPr>
                <w:rFonts w:hint="default" w:hAnsi="宋体"/>
                <w:color w:val="auto"/>
                <w:highlight w:val="none"/>
              </w:rPr>
            </w:pPr>
            <w:r>
              <w:rPr>
                <w:rFonts w:hint="eastAsia" w:hAnsi="宋体"/>
                <w:color w:val="auto"/>
                <w:highlight w:val="none"/>
              </w:rPr>
              <w:t>（</w:t>
            </w:r>
            <w:r>
              <w:rPr>
                <w:rFonts w:hint="default" w:hAnsi="宋体"/>
                <w:color w:val="auto"/>
                <w:highlight w:val="none"/>
              </w:rPr>
              <w:t>1</w:t>
            </w:r>
            <w:r>
              <w:rPr>
                <w:rFonts w:hint="eastAsia" w:hAnsi="宋体"/>
                <w:color w:val="auto"/>
                <w:highlight w:val="none"/>
              </w:rPr>
              <w:t>）供应商的所有股东名称及相应股权（出资额）比例；如供应商为上市公司，投标人应提供股权占公司股份总数</w:t>
            </w:r>
            <w:r>
              <w:rPr>
                <w:rFonts w:hint="default" w:hAnsi="宋体"/>
                <w:color w:val="auto"/>
                <w:highlight w:val="none"/>
                <w:u w:val="single"/>
              </w:rPr>
              <w:t xml:space="preserve">   </w:t>
            </w:r>
            <w:r>
              <w:rPr>
                <w:rFonts w:hint="default" w:hAnsi="宋体"/>
                <w:color w:val="auto"/>
                <w:highlight w:val="none"/>
              </w:rPr>
              <w:t>%</w:t>
            </w:r>
            <w:r>
              <w:rPr>
                <w:rFonts w:hint="eastAsia" w:hAnsi="宋体"/>
                <w:color w:val="auto"/>
                <w:highlight w:val="none"/>
              </w:rPr>
              <w:t>以上的所有股东名称及相应股权比例；</w:t>
            </w:r>
          </w:p>
          <w:p w14:paraId="762D2262">
            <w:pPr>
              <w:keepNext w:val="0"/>
              <w:keepLines w:val="0"/>
              <w:suppressLineNumbers w:val="0"/>
              <w:spacing w:before="0" w:beforeAutospacing="0" w:after="0" w:afterAutospacing="0" w:line="360" w:lineRule="auto"/>
              <w:ind w:left="210" w:right="0" w:hanging="210" w:hangingChars="100"/>
              <w:jc w:val="left"/>
              <w:rPr>
                <w:rFonts w:hint="default" w:hAnsi="宋体"/>
                <w:color w:val="auto"/>
                <w:highlight w:val="none"/>
              </w:rPr>
            </w:pPr>
            <w:r>
              <w:rPr>
                <w:rFonts w:hint="eastAsia" w:hAnsi="宋体"/>
                <w:color w:val="auto"/>
                <w:highlight w:val="none"/>
              </w:rPr>
              <w:t>（</w:t>
            </w:r>
            <w:r>
              <w:rPr>
                <w:rFonts w:hint="default" w:hAnsi="宋体"/>
                <w:color w:val="auto"/>
                <w:highlight w:val="none"/>
              </w:rPr>
              <w:t>2</w:t>
            </w:r>
            <w:r>
              <w:rPr>
                <w:rFonts w:hint="eastAsia" w:hAnsi="宋体"/>
                <w:color w:val="auto"/>
                <w:highlight w:val="none"/>
              </w:rPr>
              <w:t>）供应商投资（控股）或管理的下属企业名称、持有股权（出资额）比例；</w:t>
            </w:r>
          </w:p>
          <w:p w14:paraId="4F89209D">
            <w:pPr>
              <w:keepNext w:val="0"/>
              <w:keepLines w:val="0"/>
              <w:suppressLineNumbers w:val="0"/>
              <w:spacing w:before="0" w:beforeAutospacing="0" w:after="0" w:afterAutospacing="0" w:line="360" w:lineRule="auto"/>
              <w:ind w:left="0" w:right="0"/>
              <w:jc w:val="left"/>
              <w:rPr>
                <w:rFonts w:hint="default" w:hAnsi="宋体"/>
                <w:color w:val="auto"/>
                <w:highlight w:val="none"/>
              </w:rPr>
            </w:pPr>
            <w:r>
              <w:rPr>
                <w:rFonts w:hint="eastAsia" w:hAnsi="宋体"/>
                <w:color w:val="auto"/>
                <w:highlight w:val="none"/>
              </w:rPr>
              <w:t>（</w:t>
            </w:r>
            <w:r>
              <w:rPr>
                <w:rFonts w:hint="default" w:hAnsi="宋体"/>
                <w:color w:val="auto"/>
                <w:highlight w:val="none"/>
              </w:rPr>
              <w:t>3</w:t>
            </w:r>
            <w:r>
              <w:rPr>
                <w:rFonts w:hint="eastAsia" w:hAnsi="宋体"/>
                <w:color w:val="auto"/>
                <w:highlight w:val="none"/>
              </w:rPr>
              <w:t>）与供应商单位负责人（法定代表人）为同一人的其他单位名称；</w:t>
            </w:r>
          </w:p>
        </w:tc>
      </w:tr>
      <w:tr w14:paraId="3FDF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639A623B">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备注</w:t>
            </w:r>
          </w:p>
        </w:tc>
        <w:tc>
          <w:tcPr>
            <w:tcW w:w="7725" w:type="dxa"/>
            <w:gridSpan w:val="8"/>
            <w:vAlign w:val="center"/>
          </w:tcPr>
          <w:p w14:paraId="15930C26">
            <w:pPr>
              <w:keepNext w:val="0"/>
              <w:keepLines w:val="0"/>
              <w:suppressLineNumbers w:val="0"/>
              <w:spacing w:before="0" w:beforeAutospacing="0" w:after="0" w:afterAutospacing="0"/>
              <w:ind w:left="0" w:right="0"/>
              <w:jc w:val="center"/>
              <w:rPr>
                <w:rFonts w:hint="default" w:hAnsi="宋体"/>
                <w:color w:val="auto"/>
                <w:highlight w:val="none"/>
              </w:rPr>
            </w:pPr>
          </w:p>
        </w:tc>
      </w:tr>
    </w:tbl>
    <w:p w14:paraId="264BA2E6">
      <w:pPr>
        <w:widowControl/>
        <w:jc w:val="left"/>
        <w:rPr>
          <w:rFonts w:hAnsi="宋体"/>
          <w:color w:val="auto"/>
          <w:highlight w:val="none"/>
        </w:rPr>
      </w:pPr>
    </w:p>
    <w:p w14:paraId="4EC72FE9">
      <w:pPr>
        <w:widowControl/>
        <w:spacing w:line="360" w:lineRule="auto"/>
        <w:ind w:firstLine="422" w:firstLineChars="200"/>
        <w:jc w:val="left"/>
        <w:rPr>
          <w:rFonts w:hAnsi="宋体"/>
          <w:b/>
          <w:color w:val="auto"/>
          <w:highlight w:val="none"/>
        </w:rPr>
      </w:pPr>
      <w:r>
        <w:rPr>
          <w:rFonts w:hint="eastAsia" w:hAnsi="宋体"/>
          <w:b/>
          <w:color w:val="auto"/>
          <w:highlight w:val="none"/>
        </w:rPr>
        <w:t>备注：</w:t>
      </w:r>
    </w:p>
    <w:p w14:paraId="3CA8C77C">
      <w:pPr>
        <w:widowControl/>
        <w:spacing w:line="360" w:lineRule="auto"/>
        <w:ind w:firstLine="420" w:firstLineChars="200"/>
        <w:jc w:val="left"/>
        <w:rPr>
          <w:rFonts w:hAnsi="宋体"/>
          <w:color w:val="auto"/>
          <w:highlight w:val="none"/>
        </w:rPr>
      </w:pPr>
      <w:r>
        <w:rPr>
          <w:rFonts w:hAnsi="宋体"/>
          <w:color w:val="auto"/>
          <w:highlight w:val="none"/>
        </w:rPr>
        <w:t>1.</w:t>
      </w:r>
      <w:r>
        <w:rPr>
          <w:rFonts w:hint="eastAsia" w:hAnsi="宋体"/>
          <w:color w:val="auto"/>
          <w:highlight w:val="none"/>
        </w:rPr>
        <w:t>供应商应根据磋商文件第二章“供应商须知”第</w:t>
      </w:r>
      <w:r>
        <w:rPr>
          <w:rFonts w:hAnsi="宋体"/>
          <w:color w:val="auto"/>
          <w:highlight w:val="none"/>
        </w:rPr>
        <w:t>3.1.1</w:t>
      </w:r>
      <w:r>
        <w:rPr>
          <w:rFonts w:hint="eastAsia" w:hAnsi="宋体"/>
          <w:color w:val="auto"/>
          <w:highlight w:val="none"/>
        </w:rPr>
        <w:t>项的要求在本表后附相关证明材料。</w:t>
      </w:r>
    </w:p>
    <w:p w14:paraId="2D4225BE">
      <w:pPr>
        <w:spacing w:before="120" w:beforeLines="50" w:line="360" w:lineRule="auto"/>
        <w:ind w:firstLine="424" w:firstLineChars="202"/>
        <w:rPr>
          <w:rFonts w:hAnsi="宋体"/>
          <w:b/>
          <w:bCs/>
          <w:color w:val="auto"/>
          <w:szCs w:val="32"/>
          <w:highlight w:val="none"/>
        </w:rPr>
      </w:pPr>
      <w:r>
        <w:rPr>
          <w:rFonts w:hAnsi="宋体"/>
          <w:color w:val="auto"/>
          <w:highlight w:val="none"/>
        </w:rPr>
        <w:t>2.</w:t>
      </w:r>
      <w:r>
        <w:rPr>
          <w:rFonts w:hint="eastAsia" w:hAnsi="宋体"/>
          <w:color w:val="auto"/>
          <w:highlight w:val="none"/>
        </w:rPr>
        <w:t>以联合体形式参与竞标的，联合体各成员应分别填写。</w:t>
      </w:r>
      <w:r>
        <w:rPr>
          <w:rFonts w:hAnsi="宋体"/>
          <w:color w:val="auto"/>
          <w:highlight w:val="none"/>
        </w:rPr>
        <w:br w:type="page"/>
      </w:r>
    </w:p>
    <w:p w14:paraId="0AFEC906">
      <w:pPr>
        <w:pStyle w:val="5"/>
        <w:jc w:val="left"/>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）项目管理机构配备表</w:t>
      </w:r>
    </w:p>
    <w:p w14:paraId="4F0C589B">
      <w:pPr>
        <w:widowControl/>
        <w:jc w:val="left"/>
        <w:rPr>
          <w:rFonts w:hAnsi="宋体"/>
          <w:color w:val="auto"/>
          <w:highlight w:val="none"/>
        </w:rPr>
      </w:pPr>
    </w:p>
    <w:p w14:paraId="3BAB671F">
      <w:pPr>
        <w:widowControl/>
        <w:jc w:val="center"/>
        <w:rPr>
          <w:rFonts w:hAnsi="宋体"/>
          <w:b/>
          <w:color w:val="auto"/>
          <w:sz w:val="30"/>
          <w:szCs w:val="30"/>
          <w:highlight w:val="none"/>
        </w:rPr>
      </w:pPr>
      <w:r>
        <w:rPr>
          <w:rFonts w:hint="eastAsia" w:hAnsi="宋体"/>
          <w:b/>
          <w:color w:val="auto"/>
          <w:sz w:val="30"/>
          <w:szCs w:val="30"/>
          <w:highlight w:val="none"/>
        </w:rPr>
        <w:t>项目管理机构配备表</w:t>
      </w:r>
    </w:p>
    <w:p w14:paraId="5426BB3C">
      <w:pPr>
        <w:widowControl/>
        <w:jc w:val="left"/>
        <w:rPr>
          <w:rFonts w:hAnsi="宋体"/>
          <w:color w:val="auto"/>
          <w:highlight w:val="none"/>
        </w:rPr>
      </w:pPr>
    </w:p>
    <w:p w14:paraId="618E9F69">
      <w:pPr>
        <w:rPr>
          <w:rFonts w:hAnsi="宋体"/>
          <w:color w:val="auto"/>
          <w:kern w:val="2"/>
          <w:highlight w:val="none"/>
        </w:rPr>
      </w:pPr>
      <w:r>
        <w:rPr>
          <w:rFonts w:hAnsi="宋体"/>
          <w:color w:val="auto"/>
          <w:kern w:val="2"/>
          <w:highlight w:val="none"/>
          <w:u w:val="single"/>
        </w:rPr>
        <w:t xml:space="preserve">            </w:t>
      </w:r>
      <w:r>
        <w:rPr>
          <w:rFonts w:hint="eastAsia" w:hAnsi="宋体"/>
          <w:color w:val="auto"/>
          <w:kern w:val="2"/>
          <w:highlight w:val="none"/>
          <w:u w:val="single"/>
        </w:rPr>
        <w:t>（项目名称）</w:t>
      </w:r>
      <w:r>
        <w:rPr>
          <w:rFonts w:hAnsi="宋体"/>
          <w:color w:val="auto"/>
          <w:kern w:val="2"/>
          <w:highlight w:val="none"/>
          <w:u w:val="single"/>
        </w:rPr>
        <w:t xml:space="preserve">                    </w:t>
      </w:r>
      <w:r>
        <w:rPr>
          <w:rFonts w:hAnsi="宋体"/>
          <w:color w:val="auto"/>
          <w:kern w:val="2"/>
          <w:highlight w:val="none"/>
        </w:rPr>
        <w:t xml:space="preserve"> </w:t>
      </w:r>
      <w:r>
        <w:rPr>
          <w:rFonts w:hint="eastAsia" w:hAnsi="宋体"/>
          <w:color w:val="auto"/>
          <w:kern w:val="2"/>
          <w:highlight w:val="none"/>
        </w:rPr>
        <w:t>工程</w:t>
      </w:r>
    </w:p>
    <w:tbl>
      <w:tblPr>
        <w:tblStyle w:val="47"/>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9"/>
        <w:gridCol w:w="800"/>
        <w:gridCol w:w="1148"/>
        <w:gridCol w:w="1148"/>
        <w:gridCol w:w="1148"/>
        <w:gridCol w:w="1148"/>
        <w:gridCol w:w="850"/>
        <w:gridCol w:w="1679"/>
      </w:tblGrid>
      <w:tr w14:paraId="7541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129" w:type="dxa"/>
            <w:vMerge w:val="restart"/>
            <w:vAlign w:val="center"/>
          </w:tcPr>
          <w:p w14:paraId="413BFF52">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岗位</w:t>
            </w:r>
          </w:p>
        </w:tc>
        <w:tc>
          <w:tcPr>
            <w:tcW w:w="709" w:type="dxa"/>
            <w:vMerge w:val="restart"/>
            <w:vAlign w:val="center"/>
          </w:tcPr>
          <w:p w14:paraId="4E5BF5EE">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姓名</w:t>
            </w:r>
          </w:p>
        </w:tc>
        <w:tc>
          <w:tcPr>
            <w:tcW w:w="800" w:type="dxa"/>
            <w:vMerge w:val="restart"/>
            <w:vAlign w:val="center"/>
          </w:tcPr>
          <w:p w14:paraId="3B4CAFEA">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职称</w:t>
            </w:r>
          </w:p>
        </w:tc>
        <w:tc>
          <w:tcPr>
            <w:tcW w:w="4592" w:type="dxa"/>
            <w:gridSpan w:val="4"/>
            <w:vAlign w:val="center"/>
          </w:tcPr>
          <w:p w14:paraId="714115FE">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执业或职业资格证明</w:t>
            </w:r>
          </w:p>
        </w:tc>
        <w:tc>
          <w:tcPr>
            <w:tcW w:w="2529" w:type="dxa"/>
            <w:gridSpan w:val="2"/>
            <w:vAlign w:val="center"/>
          </w:tcPr>
          <w:p w14:paraId="3293925B">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承担完工工程情况</w:t>
            </w:r>
          </w:p>
        </w:tc>
      </w:tr>
      <w:tr w14:paraId="3ABE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129" w:type="dxa"/>
            <w:vMerge w:val="continue"/>
            <w:vAlign w:val="center"/>
          </w:tcPr>
          <w:p w14:paraId="58D4B8BA">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709" w:type="dxa"/>
            <w:vMerge w:val="continue"/>
            <w:vAlign w:val="center"/>
          </w:tcPr>
          <w:p w14:paraId="27A11D7B">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00" w:type="dxa"/>
            <w:vMerge w:val="continue"/>
            <w:vAlign w:val="center"/>
          </w:tcPr>
          <w:p w14:paraId="195174CC">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0B393D4F">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证书名称</w:t>
            </w:r>
          </w:p>
        </w:tc>
        <w:tc>
          <w:tcPr>
            <w:tcW w:w="1148" w:type="dxa"/>
            <w:vAlign w:val="center"/>
          </w:tcPr>
          <w:p w14:paraId="40BAB7CB">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级别</w:t>
            </w:r>
          </w:p>
        </w:tc>
        <w:tc>
          <w:tcPr>
            <w:tcW w:w="1148" w:type="dxa"/>
            <w:vAlign w:val="center"/>
          </w:tcPr>
          <w:p w14:paraId="0839713F">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证号</w:t>
            </w:r>
          </w:p>
        </w:tc>
        <w:tc>
          <w:tcPr>
            <w:tcW w:w="1148" w:type="dxa"/>
            <w:vAlign w:val="center"/>
          </w:tcPr>
          <w:p w14:paraId="1B5C211C">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专业</w:t>
            </w:r>
          </w:p>
        </w:tc>
        <w:tc>
          <w:tcPr>
            <w:tcW w:w="850" w:type="dxa"/>
            <w:vAlign w:val="center"/>
          </w:tcPr>
          <w:p w14:paraId="696D8503">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项目数</w:t>
            </w:r>
          </w:p>
        </w:tc>
        <w:tc>
          <w:tcPr>
            <w:tcW w:w="1679" w:type="dxa"/>
            <w:vAlign w:val="center"/>
          </w:tcPr>
          <w:p w14:paraId="31D7D334">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主要项目</w:t>
            </w:r>
          </w:p>
          <w:p w14:paraId="79D3B187">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名称</w:t>
            </w:r>
          </w:p>
        </w:tc>
      </w:tr>
      <w:tr w14:paraId="201B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1FF3B9B1">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项目经理</w:t>
            </w:r>
          </w:p>
        </w:tc>
        <w:tc>
          <w:tcPr>
            <w:tcW w:w="709" w:type="dxa"/>
            <w:vAlign w:val="center"/>
          </w:tcPr>
          <w:p w14:paraId="63E603DA">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00" w:type="dxa"/>
            <w:vAlign w:val="center"/>
          </w:tcPr>
          <w:p w14:paraId="6C892772">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49846946">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7C44DC86">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69E29F6B">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1FDA81F0">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50" w:type="dxa"/>
            <w:vAlign w:val="center"/>
          </w:tcPr>
          <w:p w14:paraId="4332589D">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679" w:type="dxa"/>
            <w:vAlign w:val="center"/>
          </w:tcPr>
          <w:p w14:paraId="14FA2806">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r>
      <w:tr w14:paraId="5018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0C131396">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技术负责人</w:t>
            </w:r>
          </w:p>
        </w:tc>
        <w:tc>
          <w:tcPr>
            <w:tcW w:w="709" w:type="dxa"/>
            <w:vAlign w:val="center"/>
          </w:tcPr>
          <w:p w14:paraId="0C444787">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00" w:type="dxa"/>
            <w:vAlign w:val="center"/>
          </w:tcPr>
          <w:p w14:paraId="4FBF7B1E">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5C5EF5CC">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1ECEFBD6">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3F2CABBD">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479AC086">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50" w:type="dxa"/>
            <w:vAlign w:val="center"/>
          </w:tcPr>
          <w:p w14:paraId="26776171">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679" w:type="dxa"/>
            <w:vAlign w:val="center"/>
          </w:tcPr>
          <w:p w14:paraId="25F9A834">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r>
      <w:tr w14:paraId="2A09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615B244A">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专职安全员</w:t>
            </w:r>
          </w:p>
        </w:tc>
        <w:tc>
          <w:tcPr>
            <w:tcW w:w="709" w:type="dxa"/>
            <w:vAlign w:val="center"/>
          </w:tcPr>
          <w:p w14:paraId="35A5A423">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00" w:type="dxa"/>
            <w:vAlign w:val="center"/>
          </w:tcPr>
          <w:p w14:paraId="2A9E485C">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297DD9F2">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5F39583A">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0CAD773A">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0617A8A3">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50" w:type="dxa"/>
            <w:vAlign w:val="center"/>
          </w:tcPr>
          <w:p w14:paraId="21740A15">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679" w:type="dxa"/>
            <w:vAlign w:val="center"/>
          </w:tcPr>
          <w:p w14:paraId="4FE0C08A">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r>
      <w:tr w14:paraId="304F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4D10FC9C">
            <w:pPr>
              <w:keepNext w:val="0"/>
              <w:keepLines w:val="0"/>
              <w:suppressLineNumbers w:val="0"/>
              <w:spacing w:before="0" w:beforeAutospacing="0" w:after="0" w:afterAutospacing="0"/>
              <w:ind w:left="13" w:right="0" w:hanging="12" w:hangingChars="6"/>
              <w:jc w:val="center"/>
              <w:rPr>
                <w:rFonts w:hint="default" w:hAnsi="宋体"/>
                <w:color w:val="auto"/>
                <w:kern w:val="2"/>
                <w:highlight w:val="none"/>
              </w:rPr>
            </w:pPr>
            <w:r>
              <w:rPr>
                <w:rFonts w:hint="eastAsia" w:hAnsi="宋体"/>
                <w:color w:val="auto"/>
                <w:kern w:val="2"/>
                <w:highlight w:val="none"/>
              </w:rPr>
              <w:t>…</w:t>
            </w:r>
          </w:p>
        </w:tc>
        <w:tc>
          <w:tcPr>
            <w:tcW w:w="709" w:type="dxa"/>
            <w:vAlign w:val="center"/>
          </w:tcPr>
          <w:p w14:paraId="4A60FE92">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00" w:type="dxa"/>
            <w:vAlign w:val="center"/>
          </w:tcPr>
          <w:p w14:paraId="216980E0">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35FCC382">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55A825FE">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2641CEF6">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7D3AC987">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50" w:type="dxa"/>
            <w:vAlign w:val="center"/>
          </w:tcPr>
          <w:p w14:paraId="31F3FCA6">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679" w:type="dxa"/>
            <w:vAlign w:val="center"/>
          </w:tcPr>
          <w:p w14:paraId="74464E96">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r>
      <w:tr w14:paraId="58C3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313740CC">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w:t>
            </w:r>
          </w:p>
        </w:tc>
        <w:tc>
          <w:tcPr>
            <w:tcW w:w="709" w:type="dxa"/>
            <w:vAlign w:val="center"/>
          </w:tcPr>
          <w:p w14:paraId="44519AF3">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00" w:type="dxa"/>
            <w:vAlign w:val="center"/>
          </w:tcPr>
          <w:p w14:paraId="00284760">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0C43D220">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4F68E80A">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5068A00C">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614CD624">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50" w:type="dxa"/>
            <w:vAlign w:val="center"/>
          </w:tcPr>
          <w:p w14:paraId="63A37934">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679" w:type="dxa"/>
            <w:vAlign w:val="center"/>
          </w:tcPr>
          <w:p w14:paraId="1CAB7FBA">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r>
      <w:tr w14:paraId="5A1F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16789772">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w:t>
            </w:r>
          </w:p>
        </w:tc>
        <w:tc>
          <w:tcPr>
            <w:tcW w:w="709" w:type="dxa"/>
            <w:vAlign w:val="center"/>
          </w:tcPr>
          <w:p w14:paraId="4A392AB1">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00" w:type="dxa"/>
            <w:vAlign w:val="center"/>
          </w:tcPr>
          <w:p w14:paraId="39A67EB1">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1234F4A2">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7E90156C">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2FBF3BAC">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7959F1D1">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50" w:type="dxa"/>
            <w:vAlign w:val="center"/>
          </w:tcPr>
          <w:p w14:paraId="4042937B">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679" w:type="dxa"/>
            <w:vAlign w:val="center"/>
          </w:tcPr>
          <w:p w14:paraId="45314F87">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r>
      <w:tr w14:paraId="53F55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60C7BCFF">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709" w:type="dxa"/>
            <w:vAlign w:val="center"/>
          </w:tcPr>
          <w:p w14:paraId="3AC8CFC1">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00" w:type="dxa"/>
            <w:vAlign w:val="center"/>
          </w:tcPr>
          <w:p w14:paraId="577AC24A">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64D540D8">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4713906C">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1087737A">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40CAF07D">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50" w:type="dxa"/>
            <w:vAlign w:val="center"/>
          </w:tcPr>
          <w:p w14:paraId="650EA0A2">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679" w:type="dxa"/>
            <w:vAlign w:val="center"/>
          </w:tcPr>
          <w:p w14:paraId="1081432B">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r>
      <w:tr w14:paraId="5CA7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tcPr>
          <w:p w14:paraId="15BD677D">
            <w:pPr>
              <w:keepNext w:val="0"/>
              <w:keepLines w:val="0"/>
              <w:suppressLineNumbers w:val="0"/>
              <w:spacing w:before="120" w:beforeLines="50" w:beforeAutospacing="0" w:after="120" w:afterLines="50" w:afterAutospacing="0" w:line="360" w:lineRule="auto"/>
              <w:ind w:left="0" w:right="0"/>
              <w:rPr>
                <w:rFonts w:hint="default" w:hAnsi="宋体"/>
                <w:color w:val="auto"/>
                <w:kern w:val="2"/>
                <w:highlight w:val="none"/>
              </w:rPr>
            </w:pPr>
            <w:r>
              <w:rPr>
                <w:rFonts w:hint="eastAsia" w:hAnsi="宋体"/>
                <w:color w:val="auto"/>
                <w:kern w:val="2"/>
                <w:highlight w:val="none"/>
              </w:rPr>
              <w:t>一旦我单位中标，将实行项目经理负责制，我方保证并配备上述项目管理机构。上述填报内容真实，若不真实，愿按有关规定接受处理。</w:t>
            </w:r>
          </w:p>
        </w:tc>
      </w:tr>
    </w:tbl>
    <w:p w14:paraId="4D52E995">
      <w:pPr>
        <w:tabs>
          <w:tab w:val="left" w:pos="0"/>
        </w:tabs>
        <w:spacing w:line="360" w:lineRule="auto"/>
        <w:ind w:right="-210"/>
        <w:rPr>
          <w:rFonts w:hAnsi="宋体"/>
          <w:color w:val="auto"/>
          <w:kern w:val="2"/>
          <w:highlight w:val="none"/>
        </w:rPr>
      </w:pPr>
    </w:p>
    <w:p w14:paraId="4AF0B1EC">
      <w:pPr>
        <w:tabs>
          <w:tab w:val="left" w:pos="0"/>
        </w:tabs>
        <w:spacing w:line="480" w:lineRule="auto"/>
        <w:ind w:right="-210"/>
        <w:jc w:val="right"/>
        <w:rPr>
          <w:rFonts w:hAnsi="宋体"/>
          <w:color w:val="auto"/>
          <w:kern w:val="2"/>
          <w:highlight w:val="none"/>
        </w:rPr>
      </w:pPr>
      <w:r>
        <w:rPr>
          <w:rFonts w:hint="eastAsia" w:hAnsi="宋体"/>
          <w:color w:val="auto"/>
          <w:kern w:val="2"/>
          <w:highlight w:val="none"/>
        </w:rPr>
        <w:t>供应商：</w:t>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（盖单位章）</w:t>
      </w:r>
    </w:p>
    <w:p w14:paraId="62D6CFEB">
      <w:pPr>
        <w:tabs>
          <w:tab w:val="left" w:pos="0"/>
        </w:tabs>
        <w:spacing w:line="480" w:lineRule="auto"/>
        <w:ind w:right="-210"/>
        <w:jc w:val="right"/>
        <w:rPr>
          <w:rFonts w:hAnsi="宋体"/>
          <w:color w:val="auto"/>
          <w:kern w:val="2"/>
          <w:highlight w:val="none"/>
        </w:rPr>
      </w:pPr>
      <w:r>
        <w:rPr>
          <w:rFonts w:hint="eastAsia" w:hAnsi="宋体"/>
          <w:color w:val="auto"/>
          <w:kern w:val="2"/>
          <w:highlight w:val="none"/>
        </w:rPr>
        <w:t>法定代表人（负责人）或授权委托代理人：</w:t>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（签字或盖章）</w:t>
      </w:r>
    </w:p>
    <w:p w14:paraId="3D1CFDCE">
      <w:pPr>
        <w:tabs>
          <w:tab w:val="left" w:pos="0"/>
        </w:tabs>
        <w:spacing w:line="480" w:lineRule="auto"/>
        <w:ind w:right="-210"/>
        <w:jc w:val="right"/>
        <w:rPr>
          <w:rFonts w:hAnsi="宋体"/>
          <w:color w:val="auto"/>
          <w:kern w:val="2"/>
          <w:highlight w:val="none"/>
        </w:rPr>
      </w:pP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年</w:t>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月</w:t>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日</w:t>
      </w:r>
    </w:p>
    <w:p w14:paraId="53837428">
      <w:pPr>
        <w:tabs>
          <w:tab w:val="left" w:pos="0"/>
          <w:tab w:val="left" w:pos="2085"/>
        </w:tabs>
        <w:spacing w:line="360" w:lineRule="auto"/>
        <w:ind w:right="-210"/>
        <w:rPr>
          <w:rFonts w:hAnsi="宋体"/>
          <w:b/>
          <w:color w:val="auto"/>
          <w:kern w:val="2"/>
          <w:highlight w:val="none"/>
        </w:rPr>
      </w:pPr>
      <w:r>
        <w:rPr>
          <w:rFonts w:hint="eastAsia" w:hAnsi="宋体"/>
          <w:b/>
          <w:color w:val="auto"/>
          <w:kern w:val="2"/>
          <w:highlight w:val="none"/>
        </w:rPr>
        <w:t>备注：</w:t>
      </w:r>
    </w:p>
    <w:p w14:paraId="265DF3F4">
      <w:pPr>
        <w:tabs>
          <w:tab w:val="left" w:pos="0"/>
          <w:tab w:val="left" w:pos="2085"/>
        </w:tabs>
        <w:spacing w:line="360" w:lineRule="auto"/>
        <w:ind w:right="-210"/>
        <w:rPr>
          <w:rFonts w:hAnsi="宋体"/>
          <w:color w:val="auto"/>
          <w:kern w:val="2"/>
          <w:highlight w:val="none"/>
        </w:rPr>
      </w:pPr>
      <w:r>
        <w:rPr>
          <w:rFonts w:hAnsi="宋体"/>
          <w:color w:val="auto"/>
          <w:kern w:val="2"/>
          <w:highlight w:val="none"/>
        </w:rPr>
        <w:t>1.</w:t>
      </w:r>
      <w:r>
        <w:rPr>
          <w:rFonts w:hint="eastAsia" w:hAnsi="宋体"/>
          <w:color w:val="auto"/>
          <w:kern w:val="2"/>
          <w:highlight w:val="none"/>
        </w:rPr>
        <w:t>本表所列岗位的所有管理人员的情况均应如实填写。可按以上格式扩展为多页填写，每一页均应加盖供应商单位章和由法定代表人（负责人）或授权委托代理人签字。</w:t>
      </w:r>
    </w:p>
    <w:p w14:paraId="1865D7B7">
      <w:pPr>
        <w:tabs>
          <w:tab w:val="left" w:pos="0"/>
          <w:tab w:val="left" w:pos="2085"/>
        </w:tabs>
        <w:spacing w:line="360" w:lineRule="auto"/>
        <w:ind w:right="-210"/>
        <w:rPr>
          <w:rFonts w:hAnsi="宋体"/>
          <w:color w:val="auto"/>
          <w:kern w:val="2"/>
          <w:highlight w:val="none"/>
        </w:rPr>
      </w:pPr>
      <w:r>
        <w:rPr>
          <w:rFonts w:hAnsi="宋体"/>
          <w:color w:val="auto"/>
          <w:kern w:val="2"/>
          <w:highlight w:val="none"/>
        </w:rPr>
        <w:t>2.</w:t>
      </w:r>
      <w:r>
        <w:rPr>
          <w:rFonts w:hint="eastAsia" w:hAnsi="宋体"/>
          <w:color w:val="auto"/>
          <w:kern w:val="2"/>
          <w:highlight w:val="none"/>
        </w:rPr>
        <w:t>供应商应根据磋商文件第二章“供应商须知”第</w:t>
      </w:r>
      <w:r>
        <w:rPr>
          <w:rFonts w:hAnsi="宋体"/>
          <w:color w:val="auto"/>
          <w:kern w:val="2"/>
          <w:highlight w:val="none"/>
        </w:rPr>
        <w:t>3.1.1</w:t>
      </w:r>
      <w:r>
        <w:rPr>
          <w:rFonts w:hint="eastAsia" w:hAnsi="宋体"/>
          <w:color w:val="auto"/>
          <w:kern w:val="2"/>
          <w:highlight w:val="none"/>
        </w:rPr>
        <w:t>项的规定在本表后附相关证明材料。</w:t>
      </w:r>
    </w:p>
    <w:p w14:paraId="45A779A2">
      <w:pPr>
        <w:widowControl/>
        <w:jc w:val="left"/>
        <w:rPr>
          <w:rFonts w:hAnsi="宋体"/>
          <w:bCs/>
          <w:color w:val="auto"/>
          <w:szCs w:val="32"/>
          <w:highlight w:val="none"/>
        </w:rPr>
      </w:pPr>
      <w:r>
        <w:rPr>
          <w:rFonts w:hAnsi="宋体"/>
          <w:bCs/>
          <w:color w:val="auto"/>
          <w:szCs w:val="32"/>
          <w:highlight w:val="none"/>
        </w:rPr>
        <w:t>3.</w:t>
      </w:r>
      <w:r>
        <w:rPr>
          <w:rFonts w:hint="eastAsia" w:hAnsi="宋体"/>
          <w:bCs/>
          <w:color w:val="auto"/>
          <w:szCs w:val="32"/>
          <w:highlight w:val="none"/>
        </w:rPr>
        <w:t>供应商可以根据本章“技术部分</w:t>
      </w:r>
      <w:r>
        <w:rPr>
          <w:rFonts w:hAnsi="宋体"/>
          <w:bCs/>
          <w:color w:val="auto"/>
          <w:szCs w:val="32"/>
          <w:highlight w:val="none"/>
        </w:rPr>
        <w:t>-</w:t>
      </w:r>
      <w:r>
        <w:rPr>
          <w:rFonts w:hint="eastAsia" w:hAnsi="宋体"/>
          <w:bCs/>
          <w:color w:val="auto"/>
          <w:szCs w:val="32"/>
          <w:highlight w:val="none"/>
        </w:rPr>
        <w:t>项目管理机构”的要求扩展完善此项目管理机构配备表。</w:t>
      </w:r>
      <w:r>
        <w:rPr>
          <w:rFonts w:hAnsi="宋体"/>
          <w:bCs/>
          <w:color w:val="auto"/>
          <w:szCs w:val="32"/>
          <w:highlight w:val="none"/>
        </w:rPr>
        <w:br w:type="page"/>
      </w:r>
    </w:p>
    <w:p w14:paraId="5D8D3BE7">
      <w:pPr>
        <w:widowControl/>
        <w:jc w:val="left"/>
        <w:rPr>
          <w:rFonts w:hAnsi="宋体"/>
          <w:b/>
          <w:bCs/>
          <w:color w:val="auto"/>
          <w:szCs w:val="32"/>
          <w:highlight w:val="none"/>
        </w:rPr>
      </w:pPr>
    </w:p>
    <w:p w14:paraId="2CA8F967">
      <w:pPr>
        <w:pStyle w:val="5"/>
        <w:jc w:val="left"/>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）资格审查需要的其他材料</w:t>
      </w:r>
    </w:p>
    <w:p w14:paraId="05FCD19B">
      <w:pPr>
        <w:widowControl/>
        <w:jc w:val="left"/>
        <w:rPr>
          <w:rFonts w:hAnsi="宋体"/>
          <w:color w:val="auto"/>
          <w:highlight w:val="none"/>
        </w:rPr>
      </w:pPr>
    </w:p>
    <w:p w14:paraId="41C151AC">
      <w:pPr>
        <w:widowControl/>
        <w:spacing w:line="360" w:lineRule="auto"/>
        <w:ind w:firstLine="420" w:firstLineChars="200"/>
        <w:jc w:val="left"/>
        <w:rPr>
          <w:rFonts w:hAnsi="宋体"/>
          <w:color w:val="auto"/>
          <w:highlight w:val="none"/>
        </w:rPr>
      </w:pPr>
      <w:r>
        <w:rPr>
          <w:rFonts w:hint="eastAsia" w:hAnsi="宋体"/>
          <w:color w:val="auto"/>
          <w:highlight w:val="none"/>
        </w:rPr>
        <w:t>供应商应根据第二章“供应商须知”第</w:t>
      </w:r>
      <w:r>
        <w:rPr>
          <w:rFonts w:hAnsi="宋体"/>
          <w:color w:val="auto"/>
          <w:highlight w:val="none"/>
        </w:rPr>
        <w:t>3.1.5</w:t>
      </w:r>
      <w:r>
        <w:rPr>
          <w:rFonts w:hint="eastAsia" w:hAnsi="宋体"/>
          <w:color w:val="auto"/>
          <w:highlight w:val="none"/>
        </w:rPr>
        <w:t>项的规定提供相关证明材料。</w:t>
      </w:r>
    </w:p>
    <w:p w14:paraId="2AC25093">
      <w:pPr>
        <w:autoSpaceDE w:val="0"/>
        <w:autoSpaceDN w:val="0"/>
        <w:adjustRightInd w:val="0"/>
        <w:jc w:val="center"/>
        <w:rPr>
          <w:rFonts w:hint="eastAsia" w:hAnsi="宋体"/>
          <w:color w:val="auto"/>
          <w:sz w:val="36"/>
          <w:szCs w:val="36"/>
          <w:highlight w:val="none"/>
        </w:rPr>
      </w:pPr>
    </w:p>
    <w:p w14:paraId="58BF64D9">
      <w:pPr>
        <w:autoSpaceDE w:val="0"/>
        <w:autoSpaceDN w:val="0"/>
        <w:adjustRightInd w:val="0"/>
        <w:jc w:val="center"/>
        <w:rPr>
          <w:rFonts w:hint="eastAsia" w:hAnsi="宋体"/>
          <w:b/>
          <w:bCs/>
          <w:color w:val="auto"/>
          <w:sz w:val="36"/>
          <w:szCs w:val="36"/>
          <w:highlight w:val="none"/>
        </w:rPr>
      </w:pPr>
    </w:p>
    <w:p w14:paraId="31661682">
      <w:pPr>
        <w:autoSpaceDE w:val="0"/>
        <w:autoSpaceDN w:val="0"/>
        <w:adjustRightInd w:val="0"/>
        <w:jc w:val="center"/>
        <w:rPr>
          <w:rFonts w:hint="eastAsia" w:hAnsi="宋体"/>
          <w:b/>
          <w:bCs/>
          <w:color w:val="auto"/>
          <w:sz w:val="36"/>
          <w:szCs w:val="36"/>
          <w:highlight w:val="none"/>
        </w:rPr>
      </w:pPr>
    </w:p>
    <w:p w14:paraId="49A2F2F6">
      <w:pPr>
        <w:autoSpaceDE w:val="0"/>
        <w:autoSpaceDN w:val="0"/>
        <w:adjustRightInd w:val="0"/>
        <w:jc w:val="center"/>
        <w:rPr>
          <w:rFonts w:hint="eastAsia" w:hAnsi="宋体"/>
          <w:b/>
          <w:bCs/>
          <w:color w:val="auto"/>
          <w:sz w:val="36"/>
          <w:szCs w:val="36"/>
          <w:highlight w:val="none"/>
        </w:rPr>
      </w:pPr>
    </w:p>
    <w:p w14:paraId="7EFD4CD0">
      <w:pPr>
        <w:autoSpaceDE w:val="0"/>
        <w:autoSpaceDN w:val="0"/>
        <w:adjustRightInd w:val="0"/>
        <w:jc w:val="center"/>
        <w:rPr>
          <w:rFonts w:hint="eastAsia" w:hAnsi="宋体"/>
          <w:b/>
          <w:bCs/>
          <w:color w:val="auto"/>
          <w:sz w:val="36"/>
          <w:szCs w:val="36"/>
          <w:highlight w:val="none"/>
        </w:rPr>
      </w:pPr>
    </w:p>
    <w:p w14:paraId="11E7634E">
      <w:pPr>
        <w:autoSpaceDE w:val="0"/>
        <w:autoSpaceDN w:val="0"/>
        <w:adjustRightInd w:val="0"/>
        <w:jc w:val="center"/>
        <w:rPr>
          <w:rFonts w:hint="eastAsia" w:hAnsi="宋体"/>
          <w:b/>
          <w:bCs/>
          <w:color w:val="auto"/>
          <w:sz w:val="36"/>
          <w:szCs w:val="36"/>
          <w:highlight w:val="none"/>
        </w:rPr>
      </w:pPr>
    </w:p>
    <w:p w14:paraId="62F6B2DB">
      <w:pPr>
        <w:autoSpaceDE w:val="0"/>
        <w:autoSpaceDN w:val="0"/>
        <w:adjustRightInd w:val="0"/>
        <w:jc w:val="center"/>
        <w:rPr>
          <w:rFonts w:hint="eastAsia" w:hAnsi="宋体"/>
          <w:b/>
          <w:bCs/>
          <w:color w:val="auto"/>
          <w:sz w:val="36"/>
          <w:szCs w:val="36"/>
          <w:highlight w:val="none"/>
        </w:rPr>
      </w:pPr>
    </w:p>
    <w:p w14:paraId="2386F224">
      <w:pPr>
        <w:autoSpaceDE w:val="0"/>
        <w:autoSpaceDN w:val="0"/>
        <w:adjustRightInd w:val="0"/>
        <w:jc w:val="center"/>
        <w:rPr>
          <w:rFonts w:hint="eastAsia" w:hAnsi="宋体"/>
          <w:b/>
          <w:bCs/>
          <w:color w:val="auto"/>
          <w:sz w:val="36"/>
          <w:szCs w:val="36"/>
          <w:highlight w:val="none"/>
        </w:rPr>
      </w:pPr>
    </w:p>
    <w:p w14:paraId="62AB3C77">
      <w:pPr>
        <w:autoSpaceDE w:val="0"/>
        <w:autoSpaceDN w:val="0"/>
        <w:adjustRightInd w:val="0"/>
        <w:jc w:val="center"/>
        <w:rPr>
          <w:rFonts w:hint="eastAsia" w:hAnsi="宋体"/>
          <w:b/>
          <w:bCs/>
          <w:color w:val="auto"/>
          <w:sz w:val="36"/>
          <w:szCs w:val="36"/>
          <w:highlight w:val="none"/>
        </w:rPr>
      </w:pPr>
    </w:p>
    <w:p w14:paraId="7D8DD138">
      <w:pPr>
        <w:autoSpaceDE w:val="0"/>
        <w:autoSpaceDN w:val="0"/>
        <w:adjustRightInd w:val="0"/>
        <w:jc w:val="center"/>
        <w:rPr>
          <w:rFonts w:hint="eastAsia" w:hAnsi="宋体"/>
          <w:b/>
          <w:bCs/>
          <w:color w:val="auto"/>
          <w:sz w:val="36"/>
          <w:szCs w:val="36"/>
          <w:highlight w:val="none"/>
        </w:rPr>
      </w:pPr>
    </w:p>
    <w:p w14:paraId="65B80A71">
      <w:pPr>
        <w:autoSpaceDE w:val="0"/>
        <w:autoSpaceDN w:val="0"/>
        <w:adjustRightInd w:val="0"/>
        <w:jc w:val="center"/>
        <w:rPr>
          <w:rFonts w:hint="eastAsia" w:hAnsi="宋体"/>
          <w:b/>
          <w:bCs/>
          <w:color w:val="auto"/>
          <w:sz w:val="36"/>
          <w:szCs w:val="36"/>
          <w:highlight w:val="none"/>
        </w:rPr>
      </w:pPr>
    </w:p>
    <w:p w14:paraId="76A65B05">
      <w:pPr>
        <w:autoSpaceDE w:val="0"/>
        <w:autoSpaceDN w:val="0"/>
        <w:adjustRightInd w:val="0"/>
        <w:jc w:val="center"/>
        <w:rPr>
          <w:rFonts w:hint="eastAsia" w:hAnsi="宋体"/>
          <w:b/>
          <w:bCs/>
          <w:color w:val="auto"/>
          <w:sz w:val="36"/>
          <w:szCs w:val="36"/>
          <w:highlight w:val="none"/>
        </w:rPr>
      </w:pPr>
    </w:p>
    <w:p w14:paraId="4BD64959">
      <w:pPr>
        <w:autoSpaceDE w:val="0"/>
        <w:autoSpaceDN w:val="0"/>
        <w:adjustRightInd w:val="0"/>
        <w:jc w:val="center"/>
        <w:rPr>
          <w:rFonts w:hint="eastAsia" w:hAnsi="宋体"/>
          <w:b/>
          <w:bCs/>
          <w:color w:val="auto"/>
          <w:sz w:val="36"/>
          <w:szCs w:val="36"/>
          <w:highlight w:val="none"/>
        </w:rPr>
      </w:pPr>
    </w:p>
    <w:p w14:paraId="35712726">
      <w:pPr>
        <w:autoSpaceDE w:val="0"/>
        <w:autoSpaceDN w:val="0"/>
        <w:adjustRightInd w:val="0"/>
        <w:jc w:val="center"/>
        <w:rPr>
          <w:rFonts w:hint="eastAsia" w:hAnsi="宋体"/>
          <w:b/>
          <w:bCs/>
          <w:color w:val="auto"/>
          <w:sz w:val="36"/>
          <w:szCs w:val="36"/>
          <w:highlight w:val="none"/>
        </w:rPr>
      </w:pPr>
    </w:p>
    <w:p w14:paraId="051572E6">
      <w:pPr>
        <w:autoSpaceDE w:val="0"/>
        <w:autoSpaceDN w:val="0"/>
        <w:adjustRightInd w:val="0"/>
        <w:jc w:val="center"/>
        <w:rPr>
          <w:rFonts w:hint="eastAsia" w:hAnsi="宋体"/>
          <w:b/>
          <w:bCs/>
          <w:color w:val="auto"/>
          <w:sz w:val="36"/>
          <w:szCs w:val="36"/>
          <w:highlight w:val="none"/>
        </w:rPr>
      </w:pPr>
    </w:p>
    <w:p w14:paraId="521C433D">
      <w:pPr>
        <w:autoSpaceDE w:val="0"/>
        <w:autoSpaceDN w:val="0"/>
        <w:adjustRightInd w:val="0"/>
        <w:jc w:val="center"/>
        <w:rPr>
          <w:rFonts w:hint="eastAsia" w:hAnsi="宋体"/>
          <w:b/>
          <w:bCs/>
          <w:color w:val="auto"/>
          <w:sz w:val="36"/>
          <w:szCs w:val="36"/>
          <w:highlight w:val="none"/>
        </w:rPr>
      </w:pPr>
    </w:p>
    <w:p w14:paraId="0F83986E">
      <w:pPr>
        <w:autoSpaceDE w:val="0"/>
        <w:autoSpaceDN w:val="0"/>
        <w:adjustRightInd w:val="0"/>
        <w:jc w:val="center"/>
        <w:rPr>
          <w:rFonts w:hint="eastAsia" w:hAnsi="宋体"/>
          <w:b/>
          <w:bCs/>
          <w:color w:val="auto"/>
          <w:sz w:val="36"/>
          <w:szCs w:val="36"/>
          <w:highlight w:val="none"/>
        </w:rPr>
      </w:pPr>
    </w:p>
    <w:p w14:paraId="667845AA">
      <w:pPr>
        <w:autoSpaceDE w:val="0"/>
        <w:autoSpaceDN w:val="0"/>
        <w:adjustRightInd w:val="0"/>
        <w:jc w:val="center"/>
        <w:rPr>
          <w:rFonts w:hint="eastAsia" w:hAnsi="宋体"/>
          <w:b/>
          <w:bCs/>
          <w:color w:val="auto"/>
          <w:sz w:val="36"/>
          <w:szCs w:val="36"/>
          <w:highlight w:val="none"/>
        </w:rPr>
      </w:pPr>
    </w:p>
    <w:p w14:paraId="6FC809CF">
      <w:pPr>
        <w:autoSpaceDE w:val="0"/>
        <w:autoSpaceDN w:val="0"/>
        <w:adjustRightInd w:val="0"/>
        <w:jc w:val="center"/>
        <w:rPr>
          <w:rFonts w:hint="eastAsia" w:hAnsi="宋体"/>
          <w:b/>
          <w:bCs/>
          <w:color w:val="auto"/>
          <w:sz w:val="36"/>
          <w:szCs w:val="36"/>
          <w:highlight w:val="none"/>
        </w:rPr>
      </w:pPr>
    </w:p>
    <w:p w14:paraId="0137B133">
      <w:pPr>
        <w:autoSpaceDE w:val="0"/>
        <w:autoSpaceDN w:val="0"/>
        <w:adjustRightInd w:val="0"/>
        <w:jc w:val="center"/>
        <w:rPr>
          <w:rFonts w:hint="eastAsia" w:hAnsi="宋体"/>
          <w:b/>
          <w:bCs/>
          <w:color w:val="auto"/>
          <w:sz w:val="36"/>
          <w:szCs w:val="36"/>
          <w:highlight w:val="none"/>
        </w:rPr>
      </w:pPr>
    </w:p>
    <w:p w14:paraId="03B1E863">
      <w:pPr>
        <w:autoSpaceDE w:val="0"/>
        <w:autoSpaceDN w:val="0"/>
        <w:adjustRightInd w:val="0"/>
        <w:jc w:val="center"/>
        <w:rPr>
          <w:rFonts w:hint="eastAsia" w:hAnsi="宋体"/>
          <w:b/>
          <w:bCs/>
          <w:color w:val="auto"/>
          <w:sz w:val="36"/>
          <w:szCs w:val="36"/>
          <w:highlight w:val="none"/>
        </w:rPr>
      </w:pPr>
    </w:p>
    <w:p w14:paraId="2F62151A">
      <w:pPr>
        <w:autoSpaceDE w:val="0"/>
        <w:autoSpaceDN w:val="0"/>
        <w:adjustRightInd w:val="0"/>
        <w:jc w:val="center"/>
        <w:rPr>
          <w:rFonts w:hint="eastAsia" w:hAnsi="宋体"/>
          <w:b/>
          <w:bCs/>
          <w:color w:val="auto"/>
          <w:sz w:val="36"/>
          <w:szCs w:val="36"/>
          <w:highlight w:val="none"/>
        </w:rPr>
      </w:pPr>
    </w:p>
    <w:p w14:paraId="7E45A593">
      <w:pPr>
        <w:autoSpaceDE w:val="0"/>
        <w:autoSpaceDN w:val="0"/>
        <w:adjustRightInd w:val="0"/>
        <w:jc w:val="center"/>
        <w:rPr>
          <w:rFonts w:hint="eastAsia" w:hAnsi="宋体"/>
          <w:b/>
          <w:bCs/>
          <w:color w:val="auto"/>
          <w:sz w:val="36"/>
          <w:szCs w:val="36"/>
          <w:highlight w:val="none"/>
        </w:rPr>
      </w:pPr>
    </w:p>
    <w:p w14:paraId="1F9C48D9">
      <w:pPr>
        <w:autoSpaceDE w:val="0"/>
        <w:autoSpaceDN w:val="0"/>
        <w:adjustRightInd w:val="0"/>
        <w:jc w:val="center"/>
        <w:rPr>
          <w:rFonts w:hint="eastAsia" w:hAnsi="宋体"/>
          <w:b/>
          <w:bCs/>
          <w:color w:val="auto"/>
          <w:sz w:val="36"/>
          <w:szCs w:val="36"/>
          <w:highlight w:val="none"/>
        </w:rPr>
      </w:pPr>
    </w:p>
    <w:p w14:paraId="0B17510F">
      <w:pPr>
        <w:autoSpaceDE w:val="0"/>
        <w:autoSpaceDN w:val="0"/>
        <w:adjustRightInd w:val="0"/>
        <w:jc w:val="center"/>
        <w:rPr>
          <w:rFonts w:hint="eastAsia" w:hAnsi="宋体"/>
          <w:b/>
          <w:bCs/>
          <w:color w:val="auto"/>
          <w:sz w:val="36"/>
          <w:szCs w:val="36"/>
          <w:highlight w:val="none"/>
        </w:rPr>
      </w:pPr>
    </w:p>
    <w:p w14:paraId="10E346C5">
      <w:pPr>
        <w:autoSpaceDE w:val="0"/>
        <w:autoSpaceDN w:val="0"/>
        <w:adjustRightInd w:val="0"/>
        <w:jc w:val="center"/>
        <w:rPr>
          <w:rFonts w:hint="default" w:hAnsi="宋体" w:eastAsia="宋体"/>
          <w:b/>
          <w:bCs/>
          <w:color w:val="auto"/>
          <w:sz w:val="36"/>
          <w:szCs w:val="36"/>
          <w:highlight w:val="none"/>
          <w:lang w:val="en-US" w:eastAsia="zh-CN"/>
        </w:rPr>
      </w:pPr>
      <w:r>
        <w:rPr>
          <w:rFonts w:hint="eastAsia" w:hAnsi="宋体"/>
          <w:b/>
          <w:bCs/>
          <w:color w:val="auto"/>
          <w:sz w:val="36"/>
          <w:szCs w:val="36"/>
          <w:highlight w:val="none"/>
        </w:rPr>
        <w:t>政府采购供应商信用承诺函</w:t>
      </w:r>
      <w:r>
        <w:rPr>
          <w:rFonts w:hint="eastAsia" w:hAnsi="宋体"/>
          <w:b/>
          <w:bCs/>
          <w:color w:val="auto"/>
          <w:sz w:val="36"/>
          <w:szCs w:val="36"/>
          <w:highlight w:val="none"/>
          <w:lang w:val="en-US" w:eastAsia="zh-CN"/>
        </w:rPr>
        <w:t>(格式)</w:t>
      </w:r>
    </w:p>
    <w:p w14:paraId="22700DC4">
      <w:pPr>
        <w:keepNext w:val="0"/>
        <w:keepLines w:val="0"/>
        <w:pageBreakBefore w:val="0"/>
        <w:widowControl/>
        <w:kinsoku/>
        <w:wordWrap/>
        <w:overflowPunct/>
        <w:topLinePunct w:val="0"/>
        <w:autoSpaceDE/>
        <w:autoSpaceDN/>
        <w:bidi w:val="0"/>
        <w:adjustRightInd/>
        <w:snapToGrid/>
        <w:spacing w:line="500" w:lineRule="atLeast"/>
        <w:jc w:val="left"/>
        <w:textAlignment w:val="auto"/>
        <w:rPr>
          <w:rFonts w:hint="eastAsia" w:hAnsi="宋体"/>
          <w:color w:val="auto"/>
          <w:highlight w:val="none"/>
        </w:rPr>
      </w:pPr>
    </w:p>
    <w:p w14:paraId="256CFDE6">
      <w:pPr>
        <w:keepNext w:val="0"/>
        <w:keepLines w:val="0"/>
        <w:pageBreakBefore w:val="0"/>
        <w:widowControl/>
        <w:kinsoku/>
        <w:wordWrap/>
        <w:overflowPunct/>
        <w:topLinePunct w:val="0"/>
        <w:autoSpaceDE/>
        <w:autoSpaceDN/>
        <w:bidi w:val="0"/>
        <w:adjustRightInd/>
        <w:snapToGrid/>
        <w:spacing w:line="500" w:lineRule="atLeast"/>
        <w:jc w:val="left"/>
        <w:textAlignment w:val="auto"/>
        <w:rPr>
          <w:rFonts w:hint="eastAsia" w:hAnsi="宋体"/>
          <w:color w:val="auto"/>
          <w:highlight w:val="none"/>
        </w:rPr>
      </w:pPr>
      <w:r>
        <w:rPr>
          <w:rFonts w:hint="eastAsia" w:hAnsi="宋体"/>
          <w:color w:val="auto"/>
          <w:highlight w:val="none"/>
        </w:rPr>
        <w:t>致(采购人或采购代理机构):</w:t>
      </w:r>
    </w:p>
    <w:p w14:paraId="32ECC5D8">
      <w:pPr>
        <w:keepNext w:val="0"/>
        <w:keepLines w:val="0"/>
        <w:pageBreakBefore w:val="0"/>
        <w:widowControl/>
        <w:kinsoku/>
        <w:wordWrap/>
        <w:overflowPunct/>
        <w:topLinePunct w:val="0"/>
        <w:autoSpaceDE/>
        <w:autoSpaceDN/>
        <w:bidi w:val="0"/>
        <w:adjustRightInd/>
        <w:snapToGrid/>
        <w:spacing w:line="500" w:lineRule="atLeast"/>
        <w:ind w:firstLine="420" w:firstLineChars="200"/>
        <w:jc w:val="left"/>
        <w:textAlignment w:val="auto"/>
        <w:rPr>
          <w:rFonts w:hint="eastAsia" w:hAnsi="宋体"/>
          <w:color w:val="auto"/>
          <w:highlight w:val="none"/>
        </w:rPr>
      </w:pPr>
      <w:r>
        <w:rPr>
          <w:rFonts w:hint="eastAsia" w:hAnsi="宋体"/>
          <w:color w:val="auto"/>
          <w:highlight w:val="none"/>
        </w:rPr>
        <w:t>供应商名称:</w:t>
      </w:r>
    </w:p>
    <w:p w14:paraId="5DA86254">
      <w:pPr>
        <w:keepNext w:val="0"/>
        <w:keepLines w:val="0"/>
        <w:pageBreakBefore w:val="0"/>
        <w:widowControl/>
        <w:kinsoku/>
        <w:wordWrap/>
        <w:overflowPunct/>
        <w:topLinePunct w:val="0"/>
        <w:autoSpaceDE/>
        <w:autoSpaceDN/>
        <w:bidi w:val="0"/>
        <w:adjustRightInd/>
        <w:snapToGrid/>
        <w:spacing w:line="500" w:lineRule="atLeast"/>
        <w:ind w:firstLine="420" w:firstLineChars="200"/>
        <w:jc w:val="left"/>
        <w:textAlignment w:val="auto"/>
        <w:rPr>
          <w:rFonts w:hint="eastAsia" w:hAnsi="宋体"/>
          <w:color w:val="auto"/>
          <w:highlight w:val="none"/>
        </w:rPr>
      </w:pPr>
      <w:r>
        <w:rPr>
          <w:rFonts w:hint="eastAsia" w:hAnsi="宋体"/>
          <w:color w:val="auto"/>
          <w:highlight w:val="none"/>
        </w:rPr>
        <w:t xml:space="preserve">统一社会信用代码: </w:t>
      </w:r>
    </w:p>
    <w:p w14:paraId="3BDB4F31">
      <w:pPr>
        <w:keepNext w:val="0"/>
        <w:keepLines w:val="0"/>
        <w:pageBreakBefore w:val="0"/>
        <w:widowControl/>
        <w:kinsoku/>
        <w:wordWrap/>
        <w:overflowPunct/>
        <w:topLinePunct w:val="0"/>
        <w:autoSpaceDE/>
        <w:autoSpaceDN/>
        <w:bidi w:val="0"/>
        <w:adjustRightInd/>
        <w:snapToGrid/>
        <w:spacing w:line="500" w:lineRule="atLeast"/>
        <w:ind w:firstLine="420" w:firstLineChars="200"/>
        <w:jc w:val="left"/>
        <w:textAlignment w:val="auto"/>
        <w:rPr>
          <w:rFonts w:hint="eastAsia" w:hAnsi="宋体"/>
          <w:color w:val="auto"/>
          <w:highlight w:val="none"/>
        </w:rPr>
      </w:pPr>
      <w:r>
        <w:rPr>
          <w:rFonts w:hint="eastAsia" w:hAnsi="宋体"/>
          <w:color w:val="auto"/>
          <w:highlight w:val="none"/>
        </w:rPr>
        <w:t>供应商地址:</w:t>
      </w:r>
    </w:p>
    <w:p w14:paraId="7B496E9E">
      <w:pPr>
        <w:keepNext w:val="0"/>
        <w:keepLines w:val="0"/>
        <w:pageBreakBefore w:val="0"/>
        <w:widowControl/>
        <w:kinsoku/>
        <w:wordWrap/>
        <w:overflowPunct/>
        <w:topLinePunct w:val="0"/>
        <w:autoSpaceDE/>
        <w:autoSpaceDN/>
        <w:bidi w:val="0"/>
        <w:adjustRightInd/>
        <w:snapToGrid/>
        <w:spacing w:line="500" w:lineRule="atLeast"/>
        <w:ind w:firstLine="420" w:firstLineChars="200"/>
        <w:jc w:val="left"/>
        <w:textAlignment w:val="auto"/>
        <w:rPr>
          <w:rFonts w:hint="eastAsia" w:hAnsi="宋体"/>
          <w:color w:val="auto"/>
          <w:highlight w:val="none"/>
        </w:rPr>
      </w:pPr>
      <w:r>
        <w:rPr>
          <w:rFonts w:hint="eastAsia" w:hAnsi="宋体"/>
          <w:color w:val="auto"/>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0E1D4EC7">
      <w:pPr>
        <w:keepNext w:val="0"/>
        <w:keepLines w:val="0"/>
        <w:pageBreakBefore w:val="0"/>
        <w:widowControl/>
        <w:kinsoku/>
        <w:wordWrap/>
        <w:overflowPunct/>
        <w:topLinePunct w:val="0"/>
        <w:autoSpaceDE/>
        <w:autoSpaceDN/>
        <w:bidi w:val="0"/>
        <w:adjustRightInd/>
        <w:snapToGrid/>
        <w:spacing w:line="500" w:lineRule="atLeast"/>
        <w:ind w:firstLine="420" w:firstLineChars="200"/>
        <w:jc w:val="left"/>
        <w:textAlignment w:val="auto"/>
        <w:rPr>
          <w:rFonts w:hint="eastAsia" w:hAnsi="宋体"/>
          <w:color w:val="auto"/>
          <w:highlight w:val="none"/>
        </w:rPr>
      </w:pPr>
      <w:r>
        <w:rPr>
          <w:rFonts w:hint="eastAsia" w:hAnsi="宋体"/>
          <w:color w:val="auto"/>
          <w:highlight w:val="none"/>
        </w:rPr>
        <w:t>1.我单位具有符合采购文件资格要求独立承担民事责任的能力。</w:t>
      </w:r>
    </w:p>
    <w:p w14:paraId="7C0E234A">
      <w:pPr>
        <w:keepNext w:val="0"/>
        <w:keepLines w:val="0"/>
        <w:pageBreakBefore w:val="0"/>
        <w:widowControl/>
        <w:kinsoku/>
        <w:wordWrap/>
        <w:overflowPunct/>
        <w:topLinePunct w:val="0"/>
        <w:autoSpaceDE/>
        <w:autoSpaceDN/>
        <w:bidi w:val="0"/>
        <w:adjustRightInd/>
        <w:snapToGrid/>
        <w:spacing w:line="500" w:lineRule="atLeast"/>
        <w:ind w:firstLine="420" w:firstLineChars="200"/>
        <w:jc w:val="left"/>
        <w:textAlignment w:val="auto"/>
        <w:rPr>
          <w:rFonts w:hint="eastAsia" w:hAnsi="宋体"/>
          <w:color w:val="auto"/>
          <w:highlight w:val="none"/>
        </w:rPr>
      </w:pPr>
      <w:r>
        <w:rPr>
          <w:rFonts w:hint="eastAsia" w:hAnsi="宋体"/>
          <w:color w:val="auto"/>
          <w:highlight w:val="none"/>
        </w:rPr>
        <w:t>2.我单位具有符合采购文件资格要求的财务状况报告。</w:t>
      </w:r>
    </w:p>
    <w:p w14:paraId="0A85E602">
      <w:pPr>
        <w:keepNext w:val="0"/>
        <w:keepLines w:val="0"/>
        <w:pageBreakBefore w:val="0"/>
        <w:widowControl/>
        <w:kinsoku/>
        <w:wordWrap/>
        <w:overflowPunct/>
        <w:topLinePunct w:val="0"/>
        <w:autoSpaceDE/>
        <w:autoSpaceDN/>
        <w:bidi w:val="0"/>
        <w:adjustRightInd/>
        <w:snapToGrid/>
        <w:spacing w:line="500" w:lineRule="atLeast"/>
        <w:ind w:firstLine="420" w:firstLineChars="200"/>
        <w:jc w:val="left"/>
        <w:textAlignment w:val="auto"/>
        <w:rPr>
          <w:rFonts w:hint="eastAsia" w:hAnsi="宋体"/>
          <w:color w:val="auto"/>
          <w:highlight w:val="none"/>
        </w:rPr>
      </w:pPr>
      <w:r>
        <w:rPr>
          <w:rFonts w:hint="eastAsia" w:hAnsi="宋体"/>
          <w:color w:val="auto"/>
          <w:highlight w:val="none"/>
        </w:rPr>
        <w:t>3.我单位具有符合采购文件资格要求的依法缴纳税收和社会保障记录的良好记录。</w:t>
      </w:r>
    </w:p>
    <w:p w14:paraId="51D2E171">
      <w:pPr>
        <w:keepNext w:val="0"/>
        <w:keepLines w:val="0"/>
        <w:pageBreakBefore w:val="0"/>
        <w:widowControl/>
        <w:kinsoku/>
        <w:wordWrap/>
        <w:overflowPunct/>
        <w:topLinePunct w:val="0"/>
        <w:autoSpaceDE/>
        <w:autoSpaceDN/>
        <w:bidi w:val="0"/>
        <w:adjustRightInd/>
        <w:snapToGrid/>
        <w:spacing w:line="500" w:lineRule="atLeast"/>
        <w:ind w:firstLine="420" w:firstLineChars="200"/>
        <w:jc w:val="left"/>
        <w:textAlignment w:val="auto"/>
        <w:rPr>
          <w:rFonts w:hint="eastAsia" w:hAnsi="宋体"/>
          <w:color w:val="auto"/>
          <w:highlight w:val="none"/>
        </w:rPr>
      </w:pPr>
      <w:r>
        <w:rPr>
          <w:rFonts w:hint="eastAsia" w:hAnsi="宋体"/>
          <w:color w:val="auto"/>
          <w:highlight w:val="none"/>
        </w:rPr>
        <w:t>4.我单位具有符合采购文件资格要求履行合同所必需的设备和专业技术能力。</w:t>
      </w:r>
    </w:p>
    <w:p w14:paraId="6406C58E">
      <w:pPr>
        <w:keepNext w:val="0"/>
        <w:keepLines w:val="0"/>
        <w:pageBreakBefore w:val="0"/>
        <w:widowControl/>
        <w:kinsoku/>
        <w:wordWrap/>
        <w:overflowPunct/>
        <w:topLinePunct w:val="0"/>
        <w:autoSpaceDE/>
        <w:autoSpaceDN/>
        <w:bidi w:val="0"/>
        <w:adjustRightInd/>
        <w:snapToGrid/>
        <w:spacing w:line="500" w:lineRule="atLeast"/>
        <w:ind w:firstLine="420" w:firstLineChars="200"/>
        <w:jc w:val="left"/>
        <w:textAlignment w:val="auto"/>
        <w:rPr>
          <w:rFonts w:hint="eastAsia" w:hAnsi="宋体"/>
          <w:color w:val="auto"/>
          <w:highlight w:val="none"/>
        </w:rPr>
      </w:pPr>
      <w:r>
        <w:rPr>
          <w:rFonts w:hint="eastAsia" w:hAnsi="宋体"/>
          <w:color w:val="auto"/>
          <w:highlight w:val="none"/>
        </w:rPr>
        <w:t>5.参加政府采购活动前三年内，在经营活动中没有重大违法记录。</w:t>
      </w:r>
    </w:p>
    <w:p w14:paraId="10CCC66F">
      <w:pPr>
        <w:keepNext w:val="0"/>
        <w:keepLines w:val="0"/>
        <w:pageBreakBefore w:val="0"/>
        <w:widowControl/>
        <w:kinsoku/>
        <w:wordWrap/>
        <w:overflowPunct/>
        <w:topLinePunct w:val="0"/>
        <w:autoSpaceDE/>
        <w:autoSpaceDN/>
        <w:bidi w:val="0"/>
        <w:adjustRightInd/>
        <w:snapToGrid/>
        <w:spacing w:line="500" w:lineRule="atLeast"/>
        <w:ind w:firstLine="420" w:firstLineChars="200"/>
        <w:jc w:val="left"/>
        <w:textAlignment w:val="auto"/>
        <w:rPr>
          <w:rFonts w:hint="eastAsia" w:hAnsi="宋体"/>
          <w:color w:val="auto"/>
          <w:highlight w:val="none"/>
        </w:rPr>
      </w:pPr>
      <w:r>
        <w:rPr>
          <w:rFonts w:hint="eastAsia" w:hAnsi="宋体"/>
          <w:color w:val="auto"/>
          <w:highlight w:val="none"/>
        </w:rPr>
        <w:t>若我单位承诺不实，自愿承担提供虚假材料谋取中标、成交的法律责任。</w:t>
      </w:r>
    </w:p>
    <w:p w14:paraId="71E3151C">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hAnsi="宋体"/>
          <w:color w:val="auto"/>
          <w:highlight w:val="none"/>
        </w:rPr>
      </w:pPr>
    </w:p>
    <w:p w14:paraId="26F3963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hAnsi="宋体"/>
          <w:color w:val="auto"/>
          <w:highlight w:val="none"/>
          <w:lang w:val="en-US" w:eastAsia="zh-CN"/>
        </w:rPr>
      </w:pPr>
      <w:r>
        <w:rPr>
          <w:rFonts w:hint="eastAsia" w:hAnsi="宋体"/>
          <w:color w:val="auto"/>
          <w:highlight w:val="none"/>
          <w:lang w:val="en-US" w:eastAsia="zh-CN"/>
        </w:rPr>
        <w:t xml:space="preserve">                                                        </w:t>
      </w:r>
    </w:p>
    <w:p w14:paraId="5EF0CDC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hAnsi="宋体"/>
          <w:color w:val="auto"/>
          <w:highlight w:val="none"/>
        </w:rPr>
      </w:pPr>
      <w:r>
        <w:rPr>
          <w:rFonts w:hint="eastAsia" w:hAnsi="宋体"/>
          <w:color w:val="auto"/>
          <w:highlight w:val="none"/>
          <w:lang w:val="en-US" w:eastAsia="zh-CN"/>
        </w:rPr>
        <w:t xml:space="preserve">                   </w:t>
      </w:r>
      <w:r>
        <w:rPr>
          <w:rFonts w:hint="eastAsia" w:hAnsi="宋体"/>
          <w:color w:val="auto"/>
          <w:highlight w:val="none"/>
        </w:rPr>
        <w:t>供应商名称(公章):</w:t>
      </w:r>
    </w:p>
    <w:p w14:paraId="714709D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hAnsi="宋体"/>
          <w:color w:val="auto"/>
          <w:highlight w:val="none"/>
        </w:rPr>
      </w:pPr>
      <w:r>
        <w:rPr>
          <w:rFonts w:hint="eastAsia" w:hAnsi="宋体"/>
          <w:color w:val="auto"/>
          <w:highlight w:val="none"/>
          <w:lang w:val="en-US" w:eastAsia="zh-CN"/>
        </w:rPr>
        <w:t xml:space="preserve">                                   </w:t>
      </w:r>
      <w:r>
        <w:rPr>
          <w:rFonts w:hint="eastAsia" w:hAnsi="宋体"/>
          <w:color w:val="auto"/>
          <w:highlight w:val="none"/>
        </w:rPr>
        <w:t>法定代表人或授权代表(</w:t>
      </w:r>
      <w:r>
        <w:rPr>
          <w:rFonts w:hint="eastAsia" w:hAnsi="宋体"/>
          <w:color w:val="auto"/>
          <w:kern w:val="2"/>
          <w:highlight w:val="none"/>
        </w:rPr>
        <w:t>签字或盖章</w:t>
      </w:r>
      <w:r>
        <w:rPr>
          <w:rFonts w:hint="eastAsia" w:hAnsi="宋体"/>
          <w:color w:val="auto"/>
          <w:highlight w:val="none"/>
        </w:rPr>
        <w:t>):</w:t>
      </w:r>
    </w:p>
    <w:p w14:paraId="0BBC6CF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hAnsi="宋体"/>
          <w:color w:val="auto"/>
          <w:highlight w:val="none"/>
        </w:rPr>
      </w:pPr>
      <w:r>
        <w:rPr>
          <w:rFonts w:hint="eastAsia" w:hAnsi="宋体"/>
          <w:color w:val="auto"/>
          <w:highlight w:val="none"/>
          <w:lang w:val="en-US" w:eastAsia="zh-CN"/>
        </w:rPr>
        <w:t xml:space="preserve">                       </w:t>
      </w:r>
      <w:r>
        <w:rPr>
          <w:rFonts w:hint="eastAsia" w:hAnsi="宋体"/>
          <w:color w:val="auto"/>
          <w:highlight w:val="none"/>
        </w:rPr>
        <w:t>日</w:t>
      </w:r>
      <w:r>
        <w:rPr>
          <w:rFonts w:hint="eastAsia" w:hAnsi="宋体"/>
          <w:color w:val="auto"/>
          <w:highlight w:val="none"/>
          <w:lang w:val="en-US" w:eastAsia="zh-CN"/>
        </w:rPr>
        <w:t xml:space="preserve"> </w:t>
      </w:r>
      <w:r>
        <w:rPr>
          <w:rFonts w:hint="eastAsia" w:hAnsi="宋体"/>
          <w:color w:val="auto"/>
          <w:highlight w:val="none"/>
        </w:rPr>
        <w:t>期:</w:t>
      </w:r>
      <w:r>
        <w:rPr>
          <w:rFonts w:hint="eastAsia" w:hAnsi="宋体"/>
          <w:color w:val="auto"/>
          <w:highlight w:val="none"/>
          <w:lang w:val="en-US" w:eastAsia="zh-CN"/>
        </w:rPr>
        <w:t xml:space="preserve">   </w:t>
      </w:r>
      <w:r>
        <w:rPr>
          <w:rFonts w:hint="eastAsia" w:hAnsi="宋体"/>
          <w:color w:val="auto"/>
          <w:highlight w:val="none"/>
        </w:rPr>
        <w:t>年</w:t>
      </w:r>
      <w:r>
        <w:rPr>
          <w:rFonts w:hint="eastAsia" w:hAnsi="宋体"/>
          <w:color w:val="auto"/>
          <w:highlight w:val="none"/>
          <w:lang w:val="en-US" w:eastAsia="zh-CN"/>
        </w:rPr>
        <w:t xml:space="preserve">   </w:t>
      </w:r>
      <w:r>
        <w:rPr>
          <w:rFonts w:hint="eastAsia" w:hAnsi="宋体"/>
          <w:color w:val="auto"/>
          <w:highlight w:val="none"/>
        </w:rPr>
        <w:t>月</w:t>
      </w:r>
      <w:r>
        <w:rPr>
          <w:rFonts w:hint="eastAsia" w:hAnsi="宋体"/>
          <w:color w:val="auto"/>
          <w:highlight w:val="none"/>
          <w:lang w:val="en-US" w:eastAsia="zh-CN"/>
        </w:rPr>
        <w:t xml:space="preserve">   </w:t>
      </w:r>
      <w:r>
        <w:rPr>
          <w:rFonts w:hint="eastAsia" w:hAnsi="宋体"/>
          <w:color w:val="auto"/>
          <w:highlight w:val="none"/>
        </w:rPr>
        <w:t>日</w:t>
      </w:r>
    </w:p>
    <w:p w14:paraId="794CE8FA">
      <w:pPr>
        <w:pStyle w:val="2"/>
        <w:rPr>
          <w:rFonts w:hint="eastAsia"/>
          <w:color w:val="auto"/>
          <w:highlight w:val="none"/>
        </w:rPr>
      </w:pPr>
    </w:p>
    <w:p w14:paraId="744C655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hAnsi="宋体"/>
          <w:color w:val="auto"/>
          <w:highlight w:val="none"/>
        </w:rPr>
      </w:pPr>
      <w:r>
        <w:rPr>
          <w:rFonts w:hint="eastAsia" w:hAnsi="宋体"/>
          <w:color w:val="auto"/>
          <w:highlight w:val="none"/>
        </w:rPr>
        <w:t>注:1.供应商须在投标(响应)文件中按此模板提供承诺函,未提供视为未实质性响应招标(采购)文件要求，按无效投标(响应)处理。</w:t>
      </w:r>
    </w:p>
    <w:p w14:paraId="17AC5630">
      <w:pPr>
        <w:keepNext w:val="0"/>
        <w:keepLines w:val="0"/>
        <w:pageBreakBefore w:val="0"/>
        <w:widowControl/>
        <w:kinsoku/>
        <w:wordWrap/>
        <w:overflowPunct/>
        <w:topLinePunct w:val="0"/>
        <w:autoSpaceDE/>
        <w:autoSpaceDN/>
        <w:bidi w:val="0"/>
        <w:adjustRightInd/>
        <w:snapToGrid/>
        <w:spacing w:line="360" w:lineRule="exact"/>
        <w:ind w:firstLine="210" w:firstLineChars="100"/>
        <w:jc w:val="left"/>
        <w:textAlignment w:val="auto"/>
        <w:rPr>
          <w:rFonts w:hint="eastAsia" w:hAnsi="宋体"/>
          <w:color w:val="auto"/>
          <w:highlight w:val="none"/>
        </w:rPr>
      </w:pPr>
      <w:r>
        <w:rPr>
          <w:rFonts w:hint="eastAsia" w:hAnsi="宋体"/>
          <w:color w:val="auto"/>
          <w:highlight w:val="none"/>
        </w:rPr>
        <w:t>2.供应商的法定代表人(其他组织的为负责人)或者授权代表的签名或盖章应真实、有效，如由授权代表签名或盖章的，应提供“法定代表人授权书”。</w:t>
      </w:r>
    </w:p>
    <w:p w14:paraId="2E138A92">
      <w:pPr>
        <w:keepNext w:val="0"/>
        <w:keepLines w:val="0"/>
        <w:pageBreakBefore w:val="0"/>
        <w:widowControl/>
        <w:kinsoku/>
        <w:wordWrap/>
        <w:overflowPunct/>
        <w:topLinePunct w:val="0"/>
        <w:autoSpaceDE/>
        <w:autoSpaceDN/>
        <w:bidi w:val="0"/>
        <w:adjustRightInd/>
        <w:snapToGrid/>
        <w:spacing w:line="360" w:lineRule="exact"/>
        <w:ind w:firstLine="210" w:firstLineChars="100"/>
        <w:jc w:val="left"/>
        <w:textAlignment w:val="auto"/>
        <w:rPr>
          <w:rFonts w:hint="eastAsia" w:hAnsi="宋体"/>
          <w:color w:val="auto"/>
          <w:highlight w:val="none"/>
        </w:rPr>
      </w:pPr>
      <w:r>
        <w:rPr>
          <w:rFonts w:hint="eastAsia" w:hAnsi="宋体"/>
          <w:color w:val="auto"/>
          <w:highlight w:val="none"/>
          <w:lang w:val="en-US" w:eastAsia="zh-CN"/>
        </w:rPr>
        <w:t>3.</w:t>
      </w:r>
      <w:r>
        <w:rPr>
          <w:rFonts w:hint="eastAsia" w:hAnsi="宋体"/>
          <w:color w:val="auto"/>
          <w:highlight w:val="none"/>
        </w:rPr>
        <w:t>供应商应当遵循诚实信用原则，不得作虚假承诺。供应商承诺不实的，属于提供虚假材料谋取中标、成交，将按照《中华人民共和国政府采购法)》第七十七条规定，处以采购金额千分之五以上千分之十以下的罚款，列入不良行为记录名单，在一至三年内禁止参加政府采购活动</w:t>
      </w:r>
      <w:r>
        <w:rPr>
          <w:rFonts w:hint="eastAsia" w:hAnsi="宋体"/>
          <w:color w:val="auto"/>
          <w:highlight w:val="none"/>
          <w:lang w:eastAsia="zh-CN"/>
        </w:rPr>
        <w:t>；</w:t>
      </w:r>
      <w:r>
        <w:rPr>
          <w:rFonts w:hint="eastAsia" w:hAnsi="宋体"/>
          <w:color w:val="auto"/>
          <w:highlight w:val="none"/>
        </w:rPr>
        <w:t>有违法所得的，并处没收违法所得，情节严重的，吊销营业执照</w:t>
      </w:r>
      <w:r>
        <w:rPr>
          <w:rFonts w:hint="eastAsia" w:hAnsi="宋体"/>
          <w:color w:val="auto"/>
          <w:highlight w:val="none"/>
          <w:lang w:eastAsia="zh-CN"/>
        </w:rPr>
        <w:t>；</w:t>
      </w:r>
      <w:r>
        <w:rPr>
          <w:rFonts w:hint="eastAsia" w:hAnsi="宋体"/>
          <w:color w:val="auto"/>
          <w:highlight w:val="none"/>
        </w:rPr>
        <w:t>构成犯罪的，依法追究刑事责任。同时，将其列为政府采购领域严重违法失信主体进行联合惩戒。</w:t>
      </w:r>
    </w:p>
    <w:p w14:paraId="1717C12C">
      <w:pPr>
        <w:pStyle w:val="2"/>
        <w:ind w:left="0" w:leftChars="0" w:firstLine="0" w:firstLineChars="0"/>
        <w:jc w:val="both"/>
        <w:rPr>
          <w:color w:val="auto"/>
          <w:highlight w:val="none"/>
        </w:rPr>
      </w:pPr>
    </w:p>
    <w:p w14:paraId="590FC5BD">
      <w:pPr>
        <w:pStyle w:val="2"/>
        <w:ind w:left="63" w:right="63"/>
        <w:jc w:val="both"/>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rPr>
        <w:t>）中小企业声明函或者残疾人福利性单位声明函或者供应商属于监狱企业的证明材料；（本项目如为专门面向中小企业采购时必须提供，否则响应文件按无效响应处理）。</w:t>
      </w:r>
    </w:p>
    <w:p w14:paraId="6C52DA87">
      <w:pPr>
        <w:widowControl/>
        <w:jc w:val="left"/>
        <w:rPr>
          <w:rFonts w:hAnsi="宋体"/>
          <w:color w:val="auto"/>
          <w:highlight w:val="none"/>
        </w:rPr>
      </w:pPr>
    </w:p>
    <w:p w14:paraId="3A37D5DF">
      <w:pPr>
        <w:autoSpaceDE w:val="0"/>
        <w:autoSpaceDN w:val="0"/>
        <w:adjustRightInd w:val="0"/>
        <w:jc w:val="center"/>
        <w:rPr>
          <w:rFonts w:hAnsi="宋体"/>
          <w:color w:val="auto"/>
          <w:sz w:val="36"/>
          <w:szCs w:val="36"/>
          <w:highlight w:val="none"/>
        </w:rPr>
      </w:pPr>
    </w:p>
    <w:p w14:paraId="77DFCEFB">
      <w:pPr>
        <w:autoSpaceDE w:val="0"/>
        <w:autoSpaceDN w:val="0"/>
        <w:adjustRightInd w:val="0"/>
        <w:jc w:val="center"/>
        <w:rPr>
          <w:rFonts w:hAnsi="宋体"/>
          <w:color w:val="auto"/>
          <w:sz w:val="36"/>
          <w:szCs w:val="36"/>
          <w:highlight w:val="none"/>
        </w:rPr>
      </w:pPr>
      <w:r>
        <w:rPr>
          <w:rFonts w:hint="eastAsia" w:hAnsi="宋体"/>
          <w:b/>
          <w:bCs/>
          <w:color w:val="auto"/>
          <w:sz w:val="36"/>
          <w:szCs w:val="36"/>
          <w:highlight w:val="none"/>
        </w:rPr>
        <w:t>中小企业声明函（工程、服务）</w:t>
      </w:r>
    </w:p>
    <w:p w14:paraId="2A8DAB19">
      <w:pPr>
        <w:autoSpaceDE w:val="0"/>
        <w:autoSpaceDN w:val="0"/>
        <w:adjustRightInd w:val="0"/>
        <w:spacing w:line="360" w:lineRule="auto"/>
        <w:ind w:firstLine="420" w:firstLineChars="200"/>
        <w:jc w:val="left"/>
        <w:rPr>
          <w:rFonts w:hAnsi="宋体"/>
          <w:color w:val="auto"/>
          <w:highlight w:val="none"/>
        </w:rPr>
      </w:pPr>
    </w:p>
    <w:p w14:paraId="78E746B9">
      <w:pPr>
        <w:autoSpaceDE w:val="0"/>
        <w:autoSpaceDN w:val="0"/>
        <w:adjustRightInd w:val="0"/>
        <w:spacing w:line="360" w:lineRule="auto"/>
        <w:ind w:right="296" w:rightChars="141" w:firstLine="420" w:firstLineChars="200"/>
        <w:jc w:val="left"/>
        <w:rPr>
          <w:rFonts w:hAnsi="宋体"/>
          <w:color w:val="auto"/>
          <w:highlight w:val="none"/>
        </w:rPr>
      </w:pPr>
    </w:p>
    <w:p w14:paraId="342E5A91">
      <w:pPr>
        <w:autoSpaceDE w:val="0"/>
        <w:autoSpaceDN w:val="0"/>
        <w:adjustRightInd w:val="0"/>
        <w:spacing w:line="480" w:lineRule="auto"/>
        <w:ind w:right="13" w:rightChars="6" w:firstLine="420" w:firstLineChars="200"/>
        <w:jc w:val="left"/>
        <w:rPr>
          <w:rFonts w:hAnsi="宋体"/>
          <w:color w:val="auto"/>
          <w:highlight w:val="none"/>
        </w:rPr>
      </w:pPr>
      <w:r>
        <w:rPr>
          <w:rFonts w:hint="eastAsia" w:hAnsi="宋体"/>
          <w:color w:val="auto"/>
          <w:highlight w:val="none"/>
        </w:rPr>
        <w:t>本公司（联合体）郑重声明，根据《政府采购促进中小企业发展管理办法》（财库﹝</w:t>
      </w:r>
      <w:r>
        <w:rPr>
          <w:rFonts w:hAnsi="宋体"/>
          <w:color w:val="auto"/>
          <w:highlight w:val="none"/>
        </w:rPr>
        <w:t>2020</w:t>
      </w:r>
      <w:r>
        <w:rPr>
          <w:rFonts w:hint="eastAsia" w:hAnsi="宋体"/>
          <w:color w:val="auto"/>
          <w:highlight w:val="none"/>
        </w:rPr>
        <w:t>﹞</w:t>
      </w:r>
      <w:r>
        <w:rPr>
          <w:rFonts w:hAnsi="宋体"/>
          <w:color w:val="auto"/>
          <w:highlight w:val="none"/>
        </w:rPr>
        <w:t xml:space="preserve">46 </w:t>
      </w:r>
      <w:r>
        <w:rPr>
          <w:rFonts w:hint="eastAsia" w:hAnsi="宋体"/>
          <w:color w:val="auto"/>
          <w:highlight w:val="none"/>
        </w:rPr>
        <w:t>号）的规定，本公司（联合体）参加</w:t>
      </w:r>
      <w:r>
        <w:rPr>
          <w:rFonts w:hint="eastAsia" w:hAnsi="宋体"/>
          <w:color w:val="auto"/>
          <w:highlight w:val="none"/>
          <w:u w:val="single"/>
        </w:rPr>
        <w:t>（单位名称）</w:t>
      </w:r>
      <w:r>
        <w:rPr>
          <w:rFonts w:hint="eastAsia" w:hAnsi="宋体"/>
          <w:color w:val="auto"/>
          <w:highlight w:val="none"/>
        </w:rPr>
        <w:t>的</w:t>
      </w:r>
      <w:r>
        <w:rPr>
          <w:rFonts w:hint="eastAsia" w:hAnsi="宋体"/>
          <w:color w:val="auto"/>
          <w:highlight w:val="none"/>
          <w:u w:val="single"/>
        </w:rPr>
        <w:t>（项目名称）</w:t>
      </w:r>
      <w:r>
        <w:rPr>
          <w:rFonts w:hint="eastAsia" w:hAnsi="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F5938B3">
      <w:pPr>
        <w:autoSpaceDE w:val="0"/>
        <w:autoSpaceDN w:val="0"/>
        <w:adjustRightInd w:val="0"/>
        <w:spacing w:line="480" w:lineRule="auto"/>
        <w:ind w:right="296" w:rightChars="141" w:firstLine="420" w:firstLineChars="200"/>
        <w:jc w:val="left"/>
        <w:rPr>
          <w:rFonts w:hAnsi="宋体"/>
          <w:color w:val="auto"/>
          <w:highlight w:val="none"/>
        </w:rPr>
      </w:pPr>
      <w:r>
        <w:rPr>
          <w:rFonts w:hAnsi="宋体"/>
          <w:color w:val="auto"/>
          <w:highlight w:val="none"/>
        </w:rPr>
        <w:t>1.</w:t>
      </w:r>
      <w:r>
        <w:rPr>
          <w:rFonts w:hAnsi="宋体"/>
          <w:color w:val="auto"/>
          <w:highlight w:val="none"/>
          <w:u w:val="single"/>
        </w:rPr>
        <w:t xml:space="preserve"> </w:t>
      </w:r>
      <w:r>
        <w:rPr>
          <w:rFonts w:hint="eastAsia" w:hAnsi="宋体"/>
          <w:color w:val="auto"/>
          <w:highlight w:val="none"/>
          <w:u w:val="single"/>
        </w:rPr>
        <w:t>（标的名称）</w:t>
      </w:r>
      <w:r>
        <w:rPr>
          <w:rFonts w:hAnsi="宋体"/>
          <w:color w:val="auto"/>
          <w:highlight w:val="none"/>
          <w:u w:val="single"/>
        </w:rPr>
        <w:t xml:space="preserve"> </w:t>
      </w:r>
      <w:r>
        <w:rPr>
          <w:rFonts w:hint="eastAsia" w:hAnsi="宋体"/>
          <w:color w:val="auto"/>
          <w:highlight w:val="none"/>
        </w:rPr>
        <w:t>，属于</w:t>
      </w:r>
      <w:r>
        <w:rPr>
          <w:rFonts w:hint="eastAsia" w:hAnsi="宋体"/>
          <w:color w:val="auto"/>
          <w:highlight w:val="none"/>
          <w:u w:val="single"/>
        </w:rPr>
        <w:t>（采购文件中明确的所属行业）</w:t>
      </w:r>
      <w:r>
        <w:rPr>
          <w:rFonts w:hint="eastAsia" w:hAnsi="宋体"/>
          <w:color w:val="auto"/>
          <w:highlight w:val="none"/>
        </w:rPr>
        <w:t>；承建（承接）企业为</w:t>
      </w:r>
      <w:r>
        <w:rPr>
          <w:rFonts w:hint="eastAsia" w:hAnsi="宋体"/>
          <w:color w:val="auto"/>
          <w:highlight w:val="none"/>
          <w:u w:val="single"/>
        </w:rPr>
        <w:t>（企业名称）</w:t>
      </w:r>
      <w:r>
        <w:rPr>
          <w:rFonts w:hint="eastAsia" w:hAnsi="宋体"/>
          <w:color w:val="auto"/>
          <w:highlight w:val="none"/>
        </w:rPr>
        <w:t>，从业人员</w:t>
      </w:r>
      <w:r>
        <w:rPr>
          <w:rFonts w:hAnsi="宋体"/>
          <w:color w:val="auto"/>
          <w:highlight w:val="none"/>
          <w:u w:val="single"/>
        </w:rPr>
        <w:t xml:space="preserve">   </w:t>
      </w:r>
      <w:r>
        <w:rPr>
          <w:rFonts w:hint="eastAsia" w:hAnsi="宋体"/>
          <w:color w:val="auto"/>
          <w:highlight w:val="none"/>
        </w:rPr>
        <w:t>人，营业收入为</w:t>
      </w:r>
      <w:r>
        <w:rPr>
          <w:rFonts w:hAnsi="宋体"/>
          <w:color w:val="auto"/>
          <w:highlight w:val="none"/>
          <w:u w:val="single"/>
        </w:rPr>
        <w:t xml:space="preserve">   </w:t>
      </w:r>
      <w:r>
        <w:rPr>
          <w:rFonts w:hint="eastAsia" w:hAnsi="宋体"/>
          <w:color w:val="auto"/>
          <w:highlight w:val="none"/>
        </w:rPr>
        <w:t>万元，资产总额为</w:t>
      </w:r>
      <w:r>
        <w:rPr>
          <w:rFonts w:hAnsi="宋体"/>
          <w:color w:val="auto"/>
          <w:highlight w:val="none"/>
          <w:u w:val="single"/>
        </w:rPr>
        <w:t xml:space="preserve">   </w:t>
      </w:r>
      <w:r>
        <w:rPr>
          <w:rFonts w:hint="eastAsia" w:hAnsi="宋体"/>
          <w:color w:val="auto"/>
          <w:highlight w:val="none"/>
        </w:rPr>
        <w:t>万元</w:t>
      </w:r>
      <w:r>
        <w:rPr>
          <w:rFonts w:hAnsi="宋体"/>
          <w:color w:val="auto"/>
          <w:highlight w:val="none"/>
          <w:vertAlign w:val="superscript"/>
        </w:rPr>
        <w:t>1</w:t>
      </w:r>
      <w:r>
        <w:rPr>
          <w:rFonts w:hint="eastAsia" w:hAnsi="宋体"/>
          <w:color w:val="auto"/>
          <w:highlight w:val="none"/>
        </w:rPr>
        <w:t>，属于</w:t>
      </w:r>
      <w:r>
        <w:rPr>
          <w:rFonts w:hint="eastAsia" w:hAnsi="宋体"/>
          <w:color w:val="auto"/>
          <w:highlight w:val="none"/>
          <w:u w:val="single"/>
        </w:rPr>
        <w:t>（中型企业、小型企业、微型企业）</w:t>
      </w:r>
      <w:r>
        <w:rPr>
          <w:rFonts w:hint="eastAsia" w:hAnsi="宋体"/>
          <w:color w:val="auto"/>
          <w:highlight w:val="none"/>
        </w:rPr>
        <w:t>；</w:t>
      </w:r>
    </w:p>
    <w:p w14:paraId="6E001F87">
      <w:pPr>
        <w:autoSpaceDE w:val="0"/>
        <w:autoSpaceDN w:val="0"/>
        <w:adjustRightInd w:val="0"/>
        <w:spacing w:line="480" w:lineRule="auto"/>
        <w:ind w:right="296" w:rightChars="141" w:firstLine="420" w:firstLineChars="200"/>
        <w:jc w:val="left"/>
        <w:rPr>
          <w:rFonts w:hAnsi="宋体"/>
          <w:color w:val="auto"/>
          <w:highlight w:val="none"/>
        </w:rPr>
      </w:pPr>
      <w:r>
        <w:rPr>
          <w:rFonts w:hAnsi="宋体"/>
          <w:color w:val="auto"/>
          <w:highlight w:val="none"/>
        </w:rPr>
        <w:t>2.</w:t>
      </w:r>
      <w:r>
        <w:rPr>
          <w:rFonts w:hAnsi="宋体"/>
          <w:color w:val="auto"/>
          <w:highlight w:val="none"/>
          <w:u w:val="single"/>
        </w:rPr>
        <w:t xml:space="preserve"> </w:t>
      </w:r>
      <w:r>
        <w:rPr>
          <w:rFonts w:hint="eastAsia" w:hAnsi="宋体"/>
          <w:color w:val="auto"/>
          <w:highlight w:val="none"/>
          <w:u w:val="single"/>
        </w:rPr>
        <w:t>（标的名称）</w:t>
      </w:r>
      <w:r>
        <w:rPr>
          <w:rFonts w:hAnsi="宋体"/>
          <w:color w:val="auto"/>
          <w:highlight w:val="none"/>
          <w:u w:val="single"/>
        </w:rPr>
        <w:t xml:space="preserve"> </w:t>
      </w:r>
      <w:r>
        <w:rPr>
          <w:rFonts w:hint="eastAsia" w:hAnsi="宋体"/>
          <w:color w:val="auto"/>
          <w:highlight w:val="none"/>
        </w:rPr>
        <w:t>，属于</w:t>
      </w:r>
      <w:r>
        <w:rPr>
          <w:rFonts w:hint="eastAsia" w:hAnsi="宋体"/>
          <w:color w:val="auto"/>
          <w:highlight w:val="none"/>
          <w:u w:val="single"/>
        </w:rPr>
        <w:t>（采购文件中明确的所属行业）</w:t>
      </w:r>
      <w:r>
        <w:rPr>
          <w:rFonts w:hint="eastAsia" w:hAnsi="宋体"/>
          <w:color w:val="auto"/>
          <w:highlight w:val="none"/>
        </w:rPr>
        <w:t>；承建（承接）企业为</w:t>
      </w:r>
      <w:r>
        <w:rPr>
          <w:rFonts w:hint="eastAsia" w:hAnsi="宋体"/>
          <w:color w:val="auto"/>
          <w:highlight w:val="none"/>
          <w:u w:val="single"/>
        </w:rPr>
        <w:t>（企业名称）</w:t>
      </w:r>
      <w:r>
        <w:rPr>
          <w:rFonts w:hint="eastAsia" w:hAnsi="宋体"/>
          <w:color w:val="auto"/>
          <w:highlight w:val="none"/>
        </w:rPr>
        <w:t>，从业人员</w:t>
      </w:r>
      <w:r>
        <w:rPr>
          <w:rFonts w:hAnsi="宋体"/>
          <w:color w:val="auto"/>
          <w:highlight w:val="none"/>
          <w:u w:val="single"/>
        </w:rPr>
        <w:t xml:space="preserve">   </w:t>
      </w:r>
      <w:r>
        <w:rPr>
          <w:rFonts w:hint="eastAsia" w:hAnsi="宋体"/>
          <w:color w:val="auto"/>
          <w:highlight w:val="none"/>
        </w:rPr>
        <w:t>人，营业收入为</w:t>
      </w:r>
      <w:r>
        <w:rPr>
          <w:rFonts w:hAnsi="宋体"/>
          <w:color w:val="auto"/>
          <w:highlight w:val="none"/>
          <w:u w:val="single"/>
        </w:rPr>
        <w:t xml:space="preserve">    </w:t>
      </w:r>
      <w:r>
        <w:rPr>
          <w:rFonts w:hint="eastAsia" w:hAnsi="宋体"/>
          <w:color w:val="auto"/>
          <w:highlight w:val="none"/>
        </w:rPr>
        <w:t>万元，资产总额为</w:t>
      </w:r>
      <w:r>
        <w:rPr>
          <w:rFonts w:hAnsi="宋体"/>
          <w:color w:val="auto"/>
          <w:highlight w:val="none"/>
          <w:u w:val="single"/>
        </w:rPr>
        <w:t xml:space="preserve">    </w:t>
      </w:r>
      <w:r>
        <w:rPr>
          <w:rFonts w:hint="eastAsia" w:hAnsi="宋体"/>
          <w:color w:val="auto"/>
          <w:highlight w:val="none"/>
        </w:rPr>
        <w:t>万元，属于</w:t>
      </w:r>
      <w:r>
        <w:rPr>
          <w:rFonts w:hint="eastAsia" w:hAnsi="宋体"/>
          <w:color w:val="auto"/>
          <w:highlight w:val="none"/>
          <w:u w:val="single"/>
        </w:rPr>
        <w:t>（中型企业、小型企业、微型企业）</w:t>
      </w:r>
      <w:r>
        <w:rPr>
          <w:rFonts w:hint="eastAsia" w:hAnsi="宋体"/>
          <w:color w:val="auto"/>
          <w:highlight w:val="none"/>
        </w:rPr>
        <w:t>；</w:t>
      </w:r>
    </w:p>
    <w:p w14:paraId="78AC24B6">
      <w:pPr>
        <w:autoSpaceDE w:val="0"/>
        <w:autoSpaceDN w:val="0"/>
        <w:adjustRightInd w:val="0"/>
        <w:spacing w:line="480" w:lineRule="auto"/>
        <w:ind w:right="296" w:rightChars="141" w:firstLine="420" w:firstLineChars="200"/>
        <w:jc w:val="left"/>
        <w:rPr>
          <w:rFonts w:hAnsi="宋体"/>
          <w:color w:val="auto"/>
          <w:highlight w:val="none"/>
        </w:rPr>
      </w:pPr>
      <w:r>
        <w:rPr>
          <w:rFonts w:hint="eastAsia" w:hAnsi="宋体"/>
          <w:color w:val="auto"/>
          <w:highlight w:val="none"/>
        </w:rPr>
        <w:t>……</w:t>
      </w:r>
    </w:p>
    <w:p w14:paraId="616223DE">
      <w:pPr>
        <w:autoSpaceDE w:val="0"/>
        <w:autoSpaceDN w:val="0"/>
        <w:adjustRightInd w:val="0"/>
        <w:spacing w:line="480" w:lineRule="auto"/>
        <w:ind w:right="296" w:rightChars="141" w:firstLine="420" w:firstLineChars="200"/>
        <w:jc w:val="left"/>
        <w:rPr>
          <w:rFonts w:hAnsi="宋体"/>
          <w:color w:val="auto"/>
          <w:highlight w:val="none"/>
        </w:rPr>
      </w:pPr>
      <w:r>
        <w:rPr>
          <w:rFonts w:hint="eastAsia" w:hAnsi="宋体"/>
          <w:color w:val="auto"/>
          <w:highlight w:val="none"/>
        </w:rPr>
        <w:t>以上企业，不属于大企业的分支机构，不存在控股股东为大企业的情形，也不存在与大企业的负责人为同一人的情形。</w:t>
      </w:r>
    </w:p>
    <w:p w14:paraId="3E14A1C0">
      <w:pPr>
        <w:autoSpaceDE w:val="0"/>
        <w:autoSpaceDN w:val="0"/>
        <w:adjustRightInd w:val="0"/>
        <w:spacing w:line="480" w:lineRule="auto"/>
        <w:ind w:right="296" w:rightChars="141" w:firstLine="420" w:firstLineChars="200"/>
        <w:jc w:val="left"/>
        <w:rPr>
          <w:rFonts w:hAnsi="宋体"/>
          <w:color w:val="auto"/>
          <w:highlight w:val="none"/>
        </w:rPr>
      </w:pPr>
      <w:r>
        <w:rPr>
          <w:rFonts w:hint="eastAsia" w:hAnsi="宋体"/>
          <w:color w:val="auto"/>
          <w:highlight w:val="none"/>
        </w:rPr>
        <w:t>本企业对上述声明内容的真实性负责。如有虚假，将依法承担相应责任。</w:t>
      </w:r>
    </w:p>
    <w:p w14:paraId="199A45A8">
      <w:pPr>
        <w:autoSpaceDE w:val="0"/>
        <w:autoSpaceDN w:val="0"/>
        <w:adjustRightInd w:val="0"/>
        <w:spacing w:line="480" w:lineRule="auto"/>
        <w:ind w:right="296" w:rightChars="141" w:firstLine="6377" w:firstLineChars="3037"/>
        <w:jc w:val="left"/>
        <w:rPr>
          <w:rFonts w:hAnsi="宋体"/>
          <w:color w:val="auto"/>
          <w:highlight w:val="none"/>
        </w:rPr>
      </w:pPr>
    </w:p>
    <w:p w14:paraId="71E098F1">
      <w:pPr>
        <w:autoSpaceDE w:val="0"/>
        <w:autoSpaceDN w:val="0"/>
        <w:adjustRightInd w:val="0"/>
        <w:spacing w:line="480" w:lineRule="auto"/>
        <w:ind w:right="296" w:rightChars="141" w:firstLine="5334" w:firstLineChars="2540"/>
        <w:jc w:val="left"/>
        <w:rPr>
          <w:rFonts w:hAnsi="宋体"/>
          <w:color w:val="auto"/>
          <w:highlight w:val="none"/>
        </w:rPr>
      </w:pPr>
      <w:r>
        <w:rPr>
          <w:rFonts w:hint="eastAsia" w:hAnsi="宋体"/>
          <w:color w:val="auto"/>
          <w:highlight w:val="none"/>
        </w:rPr>
        <w:t>企业名称（盖章）：</w:t>
      </w:r>
    </w:p>
    <w:p w14:paraId="07321E0F">
      <w:pPr>
        <w:autoSpaceDE w:val="0"/>
        <w:autoSpaceDN w:val="0"/>
        <w:adjustRightInd w:val="0"/>
        <w:spacing w:line="480" w:lineRule="auto"/>
        <w:ind w:right="296" w:rightChars="141" w:firstLine="5334" w:firstLineChars="2540"/>
        <w:jc w:val="left"/>
        <w:rPr>
          <w:rFonts w:hAnsi="宋体"/>
          <w:color w:val="auto"/>
          <w:highlight w:val="none"/>
        </w:rPr>
      </w:pPr>
      <w:r>
        <w:rPr>
          <w:rFonts w:hint="eastAsia" w:hAnsi="宋体"/>
          <w:color w:val="auto"/>
          <w:highlight w:val="none"/>
        </w:rPr>
        <w:t>日期：</w:t>
      </w:r>
      <w:r>
        <w:rPr>
          <w:rFonts w:hint="eastAsia" w:hAnsi="宋体"/>
          <w:color w:val="auto"/>
          <w:highlight w:val="none"/>
          <w:lang w:val="en-US" w:eastAsia="zh-CN"/>
        </w:rPr>
        <w:t xml:space="preserve">  </w:t>
      </w:r>
      <w:r>
        <w:rPr>
          <w:rFonts w:hint="eastAsia" w:hAnsi="宋体"/>
          <w:color w:val="auto"/>
          <w:highlight w:val="none"/>
        </w:rPr>
        <w:t>年</w:t>
      </w:r>
      <w:r>
        <w:rPr>
          <w:rFonts w:hint="eastAsia" w:hAnsi="宋体"/>
          <w:color w:val="auto"/>
          <w:highlight w:val="none"/>
          <w:lang w:val="en-US" w:eastAsia="zh-CN"/>
        </w:rPr>
        <w:t xml:space="preserve">   </w:t>
      </w:r>
      <w:r>
        <w:rPr>
          <w:rFonts w:hint="eastAsia" w:hAnsi="宋体"/>
          <w:color w:val="auto"/>
          <w:highlight w:val="none"/>
        </w:rPr>
        <w:t>月</w:t>
      </w:r>
      <w:r>
        <w:rPr>
          <w:rFonts w:hint="eastAsia" w:hAnsi="宋体"/>
          <w:color w:val="auto"/>
          <w:highlight w:val="none"/>
          <w:lang w:val="en-US" w:eastAsia="zh-CN"/>
        </w:rPr>
        <w:t xml:space="preserve">   </w:t>
      </w:r>
      <w:r>
        <w:rPr>
          <w:rFonts w:hint="eastAsia" w:hAnsi="宋体"/>
          <w:color w:val="auto"/>
          <w:highlight w:val="none"/>
        </w:rPr>
        <w:t>日</w:t>
      </w:r>
    </w:p>
    <w:p w14:paraId="7996B0D5">
      <w:pPr>
        <w:widowControl/>
        <w:numPr>
          <w:ilvl w:val="0"/>
          <w:numId w:val="6"/>
        </w:numPr>
        <w:jc w:val="left"/>
        <w:rPr>
          <w:rFonts w:hAnsi="宋体"/>
          <w:color w:val="auto"/>
          <w:highlight w:val="none"/>
        </w:rPr>
      </w:pPr>
      <w:r>
        <w:rPr>
          <w:rFonts w:hint="eastAsia" w:hAnsi="宋体"/>
          <w:color w:val="auto"/>
          <w:highlight w:val="none"/>
        </w:rPr>
        <w:t>从业人员、营业收入、资产总额填报上一年度数据，无上一年度数据的新成立企业可不填报。</w:t>
      </w:r>
    </w:p>
    <w:p w14:paraId="1208B49D">
      <w:pPr>
        <w:widowControl/>
        <w:spacing w:line="420" w:lineRule="exact"/>
        <w:jc w:val="left"/>
        <w:rPr>
          <w:rFonts w:hAnsi="宋体"/>
          <w:color w:val="auto"/>
          <w:highlight w:val="none"/>
        </w:rPr>
      </w:pPr>
      <w:r>
        <w:rPr>
          <w:rFonts w:hAnsi="宋体"/>
          <w:color w:val="auto"/>
          <w:highlight w:val="none"/>
        </w:rPr>
        <w:t>2.</w:t>
      </w:r>
      <w:r>
        <w:rPr>
          <w:rFonts w:hint="eastAsia" w:hAnsi="宋体"/>
          <w:color w:val="auto"/>
          <w:highlight w:val="none"/>
        </w:rPr>
        <w:t>请根据自己的真实情况出具《中小企业声明函》。依法享受中小企业优惠政策的，采购人或者采购代理机构在公告成交结果时，同时公告其《中小企业声明函》，接受社会监督。</w:t>
      </w:r>
    </w:p>
    <w:p w14:paraId="52469FDC">
      <w:pPr>
        <w:widowControl/>
        <w:jc w:val="left"/>
        <w:rPr>
          <w:rFonts w:hAnsi="宋体"/>
          <w:color w:val="auto"/>
          <w:highlight w:val="none"/>
        </w:rPr>
      </w:pPr>
      <w:r>
        <w:rPr>
          <w:rFonts w:hAnsi="宋体"/>
          <w:color w:val="auto"/>
          <w:highlight w:val="none"/>
        </w:rPr>
        <w:br w:type="page"/>
      </w:r>
    </w:p>
    <w:p w14:paraId="4DCDF539">
      <w:pPr>
        <w:widowControl/>
        <w:spacing w:before="100" w:beforeAutospacing="1" w:after="100" w:afterAutospacing="1"/>
        <w:jc w:val="both"/>
        <w:textAlignment w:val="top"/>
        <w:rPr>
          <w:rFonts w:hAnsi="宋体"/>
          <w:color w:val="auto"/>
          <w:szCs w:val="24"/>
          <w:highlight w:val="none"/>
        </w:rPr>
      </w:pPr>
    </w:p>
    <w:p w14:paraId="4C6DF34F">
      <w:pPr>
        <w:widowControl/>
        <w:spacing w:before="100" w:beforeAutospacing="1" w:after="100" w:afterAutospacing="1"/>
        <w:jc w:val="center"/>
        <w:textAlignment w:val="top"/>
        <w:rPr>
          <w:rFonts w:hAnsi="宋体"/>
          <w:b/>
          <w:bCs/>
          <w:color w:val="auto"/>
          <w:sz w:val="30"/>
          <w:szCs w:val="24"/>
          <w:highlight w:val="none"/>
        </w:rPr>
      </w:pPr>
      <w:r>
        <w:rPr>
          <w:rFonts w:hint="eastAsia" w:hAnsi="宋体"/>
          <w:b/>
          <w:bCs/>
          <w:color w:val="auto"/>
          <w:sz w:val="30"/>
          <w:szCs w:val="24"/>
          <w:highlight w:val="none"/>
        </w:rPr>
        <w:t>残疾人福利性单位声明函</w:t>
      </w:r>
      <w:r>
        <w:rPr>
          <w:rFonts w:hint="eastAsia" w:hAnsi="宋体"/>
          <w:b/>
          <w:color w:val="auto"/>
          <w:sz w:val="32"/>
          <w:szCs w:val="24"/>
          <w:highlight w:val="none"/>
        </w:rPr>
        <w:t>（格式）</w:t>
      </w:r>
    </w:p>
    <w:p w14:paraId="0C808B2F">
      <w:pPr>
        <w:spacing w:line="588" w:lineRule="exact"/>
        <w:rPr>
          <w:rFonts w:hAnsi="宋体"/>
          <w:b/>
          <w:color w:val="auto"/>
          <w:spacing w:val="6"/>
          <w:kern w:val="2"/>
          <w:sz w:val="30"/>
          <w:szCs w:val="30"/>
          <w:highlight w:val="none"/>
        </w:rPr>
      </w:pPr>
    </w:p>
    <w:p w14:paraId="3529255C">
      <w:pPr>
        <w:spacing w:line="360" w:lineRule="auto"/>
        <w:ind w:firstLine="444" w:firstLineChars="200"/>
        <w:rPr>
          <w:rFonts w:hAnsi="宋体"/>
          <w:color w:val="auto"/>
          <w:spacing w:val="6"/>
          <w:kern w:val="2"/>
          <w:szCs w:val="24"/>
          <w:highlight w:val="none"/>
        </w:rPr>
      </w:pPr>
      <w:r>
        <w:rPr>
          <w:rFonts w:hint="eastAsia" w:hAnsi="宋体"/>
          <w:color w:val="auto"/>
          <w:spacing w:val="6"/>
          <w:kern w:val="2"/>
          <w:szCs w:val="24"/>
          <w:highlight w:val="none"/>
        </w:rPr>
        <w:t>本单位郑重声明，根据《财政部</w:t>
      </w:r>
      <w:r>
        <w:rPr>
          <w:rFonts w:hAnsi="宋体"/>
          <w:color w:val="auto"/>
          <w:spacing w:val="6"/>
          <w:kern w:val="2"/>
          <w:szCs w:val="24"/>
          <w:highlight w:val="none"/>
        </w:rPr>
        <w:t xml:space="preserve"> </w:t>
      </w:r>
      <w:r>
        <w:rPr>
          <w:rFonts w:hint="eastAsia" w:hAnsi="宋体"/>
          <w:color w:val="auto"/>
          <w:spacing w:val="6"/>
          <w:kern w:val="2"/>
          <w:szCs w:val="24"/>
          <w:highlight w:val="none"/>
        </w:rPr>
        <w:t>民政部</w:t>
      </w:r>
      <w:r>
        <w:rPr>
          <w:rFonts w:hAnsi="宋体"/>
          <w:color w:val="auto"/>
          <w:spacing w:val="6"/>
          <w:kern w:val="2"/>
          <w:szCs w:val="24"/>
          <w:highlight w:val="none"/>
        </w:rPr>
        <w:t xml:space="preserve"> </w:t>
      </w:r>
      <w:r>
        <w:rPr>
          <w:rFonts w:hint="eastAsia" w:hAnsi="宋体"/>
          <w:color w:val="auto"/>
          <w:spacing w:val="6"/>
          <w:kern w:val="2"/>
          <w:szCs w:val="24"/>
          <w:highlight w:val="none"/>
        </w:rPr>
        <w:t>中国残疾人联合会关于促进残疾人就业政府采购政策的通知》（财库</w:t>
      </w:r>
      <w:r>
        <w:rPr>
          <w:rFonts w:hint="eastAsia" w:hAnsi="宋体"/>
          <w:color w:val="auto"/>
          <w:kern w:val="2"/>
          <w:szCs w:val="24"/>
          <w:highlight w:val="none"/>
        </w:rPr>
        <w:t>〔</w:t>
      </w:r>
      <w:r>
        <w:rPr>
          <w:rFonts w:hAnsi="宋体"/>
          <w:color w:val="auto"/>
          <w:kern w:val="2"/>
          <w:szCs w:val="24"/>
          <w:highlight w:val="none"/>
        </w:rPr>
        <w:t>2017</w:t>
      </w:r>
      <w:r>
        <w:rPr>
          <w:rFonts w:hint="eastAsia" w:hAnsi="宋体"/>
          <w:color w:val="auto"/>
          <w:kern w:val="2"/>
          <w:szCs w:val="24"/>
          <w:highlight w:val="none"/>
        </w:rPr>
        <w:t>〕</w:t>
      </w:r>
      <w:r>
        <w:rPr>
          <w:rFonts w:hAnsi="宋体"/>
          <w:color w:val="auto"/>
          <w:kern w:val="2"/>
          <w:szCs w:val="24"/>
          <w:highlight w:val="none"/>
        </w:rPr>
        <w:t xml:space="preserve"> 141</w:t>
      </w:r>
      <w:r>
        <w:rPr>
          <w:rFonts w:hint="eastAsia" w:hAnsi="宋体"/>
          <w:color w:val="auto"/>
          <w:spacing w:val="6"/>
          <w:kern w:val="2"/>
          <w:szCs w:val="24"/>
          <w:highlight w:val="none"/>
        </w:rPr>
        <w:t>号）的规定，本单位为符合条件的残疾人福利性单位，且本单位参加</w:t>
      </w:r>
      <w:r>
        <w:rPr>
          <w:rFonts w:hAnsi="宋体"/>
          <w:color w:val="auto"/>
          <w:spacing w:val="6"/>
          <w:kern w:val="2"/>
          <w:szCs w:val="24"/>
          <w:highlight w:val="none"/>
          <w:u w:val="single"/>
        </w:rPr>
        <w:t xml:space="preserve">       </w:t>
      </w:r>
      <w:r>
        <w:rPr>
          <w:rFonts w:hint="eastAsia" w:hAnsi="宋体"/>
          <w:color w:val="auto"/>
          <w:spacing w:val="6"/>
          <w:kern w:val="2"/>
          <w:szCs w:val="24"/>
          <w:highlight w:val="none"/>
        </w:rPr>
        <w:t>单位的</w:t>
      </w:r>
      <w:r>
        <w:rPr>
          <w:rFonts w:hAnsi="宋体"/>
          <w:color w:val="auto"/>
          <w:spacing w:val="6"/>
          <w:kern w:val="2"/>
          <w:szCs w:val="24"/>
          <w:highlight w:val="none"/>
          <w:u w:val="single"/>
        </w:rPr>
        <w:t xml:space="preserve">        </w:t>
      </w:r>
      <w:r>
        <w:rPr>
          <w:rFonts w:hint="eastAsia" w:hAnsi="宋体"/>
          <w:color w:val="auto"/>
          <w:spacing w:val="6"/>
          <w:kern w:val="2"/>
          <w:szCs w:val="24"/>
          <w:highlight w:val="none"/>
        </w:rPr>
        <w:t>项目采购活动提供本单位制造的货物（由本单位承担工程</w:t>
      </w:r>
      <w:r>
        <w:rPr>
          <w:rFonts w:hAnsi="宋体"/>
          <w:color w:val="auto"/>
          <w:spacing w:val="6"/>
          <w:kern w:val="2"/>
          <w:szCs w:val="24"/>
          <w:highlight w:val="none"/>
        </w:rPr>
        <w:t>/</w:t>
      </w:r>
      <w:r>
        <w:rPr>
          <w:rFonts w:hint="eastAsia" w:hAnsi="宋体"/>
          <w:color w:val="auto"/>
          <w:spacing w:val="6"/>
          <w:kern w:val="2"/>
          <w:szCs w:val="24"/>
          <w:highlight w:val="none"/>
        </w:rPr>
        <w:t>提供服务），或者提供其他残疾人福利性单位制造的货物（不包括使用非残疾人福利性单位注册商标的货物）。</w:t>
      </w:r>
    </w:p>
    <w:p w14:paraId="4A639B6B">
      <w:pPr>
        <w:spacing w:line="360" w:lineRule="auto"/>
        <w:ind w:firstLine="444" w:firstLineChars="200"/>
        <w:rPr>
          <w:rFonts w:hAnsi="宋体"/>
          <w:color w:val="auto"/>
          <w:spacing w:val="6"/>
          <w:kern w:val="2"/>
          <w:szCs w:val="24"/>
          <w:highlight w:val="none"/>
        </w:rPr>
      </w:pPr>
      <w:r>
        <w:rPr>
          <w:rFonts w:hint="eastAsia" w:hAnsi="宋体"/>
          <w:color w:val="auto"/>
          <w:spacing w:val="6"/>
          <w:kern w:val="2"/>
          <w:szCs w:val="24"/>
          <w:highlight w:val="none"/>
        </w:rPr>
        <w:t>本单位对上述声明的真实性负责。如有虚假，将依法承担相应责任。</w:t>
      </w:r>
    </w:p>
    <w:p w14:paraId="3D76DB89">
      <w:pPr>
        <w:spacing w:line="360" w:lineRule="auto"/>
        <w:ind w:firstLine="444" w:firstLineChars="200"/>
        <w:rPr>
          <w:rFonts w:hAnsi="宋体"/>
          <w:color w:val="auto"/>
          <w:spacing w:val="6"/>
          <w:kern w:val="2"/>
          <w:szCs w:val="24"/>
          <w:highlight w:val="none"/>
        </w:rPr>
      </w:pPr>
    </w:p>
    <w:p w14:paraId="5993B2F8">
      <w:pPr>
        <w:spacing w:line="360" w:lineRule="auto"/>
        <w:ind w:firstLine="444" w:firstLineChars="200"/>
        <w:rPr>
          <w:rFonts w:hAnsi="宋体"/>
          <w:color w:val="auto"/>
          <w:spacing w:val="6"/>
          <w:kern w:val="2"/>
          <w:szCs w:val="24"/>
          <w:highlight w:val="none"/>
        </w:rPr>
      </w:pPr>
    </w:p>
    <w:p w14:paraId="039FB899">
      <w:pPr>
        <w:spacing w:line="360" w:lineRule="auto"/>
        <w:ind w:firstLine="444" w:firstLineChars="200"/>
        <w:rPr>
          <w:rFonts w:hAnsi="宋体"/>
          <w:color w:val="auto"/>
          <w:spacing w:val="6"/>
          <w:kern w:val="2"/>
          <w:szCs w:val="24"/>
          <w:highlight w:val="none"/>
        </w:rPr>
      </w:pPr>
    </w:p>
    <w:p w14:paraId="27BF0812">
      <w:pPr>
        <w:tabs>
          <w:tab w:val="left" w:pos="4860"/>
        </w:tabs>
        <w:spacing w:line="360" w:lineRule="auto"/>
        <w:ind w:right="1560" w:firstLine="444" w:firstLineChars="200"/>
        <w:jc w:val="center"/>
        <w:rPr>
          <w:rFonts w:hAnsi="宋体"/>
          <w:color w:val="auto"/>
          <w:spacing w:val="6"/>
          <w:kern w:val="2"/>
          <w:szCs w:val="24"/>
          <w:highlight w:val="none"/>
        </w:rPr>
      </w:pPr>
      <w:r>
        <w:rPr>
          <w:rFonts w:hint="eastAsia" w:hAnsi="宋体"/>
          <w:color w:val="auto"/>
          <w:spacing w:val="6"/>
          <w:kern w:val="2"/>
          <w:szCs w:val="24"/>
          <w:highlight w:val="none"/>
          <w:lang w:val="en-US" w:eastAsia="zh-CN"/>
        </w:rPr>
        <w:t xml:space="preserve">  </w:t>
      </w:r>
      <w:r>
        <w:rPr>
          <w:rFonts w:hint="eastAsia" w:hAnsi="宋体"/>
          <w:color w:val="auto"/>
          <w:spacing w:val="6"/>
          <w:kern w:val="2"/>
          <w:szCs w:val="24"/>
          <w:highlight w:val="none"/>
        </w:rPr>
        <w:t>单位名称（盖章）：</w:t>
      </w:r>
    </w:p>
    <w:p w14:paraId="153398A2">
      <w:pPr>
        <w:tabs>
          <w:tab w:val="left" w:pos="4860"/>
        </w:tabs>
        <w:spacing w:line="360" w:lineRule="auto"/>
        <w:ind w:right="1560" w:firstLine="3552" w:firstLineChars="1600"/>
        <w:jc w:val="both"/>
        <w:rPr>
          <w:rFonts w:hAnsi="宋体"/>
          <w:color w:val="auto"/>
          <w:spacing w:val="6"/>
          <w:kern w:val="2"/>
          <w:szCs w:val="24"/>
          <w:highlight w:val="none"/>
        </w:rPr>
      </w:pPr>
      <w:r>
        <w:rPr>
          <w:rFonts w:hint="eastAsia" w:hAnsi="宋体"/>
          <w:color w:val="auto"/>
          <w:spacing w:val="6"/>
          <w:kern w:val="2"/>
          <w:szCs w:val="24"/>
          <w:highlight w:val="none"/>
        </w:rPr>
        <w:t>日</w:t>
      </w:r>
      <w:r>
        <w:rPr>
          <w:rFonts w:hAnsi="宋体"/>
          <w:color w:val="auto"/>
          <w:spacing w:val="6"/>
          <w:kern w:val="2"/>
          <w:szCs w:val="24"/>
          <w:highlight w:val="none"/>
        </w:rPr>
        <w:t xml:space="preserve">   </w:t>
      </w:r>
      <w:r>
        <w:rPr>
          <w:rFonts w:hint="eastAsia" w:hAnsi="宋体"/>
          <w:color w:val="auto"/>
          <w:spacing w:val="6"/>
          <w:kern w:val="2"/>
          <w:szCs w:val="24"/>
          <w:highlight w:val="none"/>
        </w:rPr>
        <w:t>期：</w:t>
      </w:r>
      <w:r>
        <w:rPr>
          <w:rFonts w:hint="eastAsia" w:hAnsi="宋体"/>
          <w:color w:val="auto"/>
          <w:highlight w:val="none"/>
          <w:lang w:val="en-US" w:eastAsia="zh-CN"/>
        </w:rPr>
        <w:t xml:space="preserve">  </w:t>
      </w:r>
      <w:r>
        <w:rPr>
          <w:rFonts w:hint="eastAsia" w:hAnsi="宋体"/>
          <w:color w:val="auto"/>
          <w:highlight w:val="none"/>
        </w:rPr>
        <w:t>年</w:t>
      </w:r>
      <w:r>
        <w:rPr>
          <w:rFonts w:hint="eastAsia" w:hAnsi="宋体"/>
          <w:color w:val="auto"/>
          <w:highlight w:val="none"/>
          <w:lang w:val="en-US" w:eastAsia="zh-CN"/>
        </w:rPr>
        <w:t xml:space="preserve">   </w:t>
      </w:r>
      <w:r>
        <w:rPr>
          <w:rFonts w:hint="eastAsia" w:hAnsi="宋体"/>
          <w:color w:val="auto"/>
          <w:highlight w:val="none"/>
        </w:rPr>
        <w:t>月</w:t>
      </w:r>
      <w:r>
        <w:rPr>
          <w:rFonts w:hint="eastAsia" w:hAnsi="宋体"/>
          <w:color w:val="auto"/>
          <w:highlight w:val="none"/>
          <w:lang w:val="en-US" w:eastAsia="zh-CN"/>
        </w:rPr>
        <w:t xml:space="preserve">   </w:t>
      </w:r>
      <w:r>
        <w:rPr>
          <w:rFonts w:hint="eastAsia" w:hAnsi="宋体"/>
          <w:color w:val="auto"/>
          <w:highlight w:val="none"/>
        </w:rPr>
        <w:t>日</w:t>
      </w:r>
    </w:p>
    <w:p w14:paraId="214D59A2">
      <w:pPr>
        <w:pStyle w:val="43"/>
        <w:widowControl w:val="0"/>
        <w:spacing w:before="0" w:beforeAutospacing="0" w:after="0" w:afterAutospacing="0" w:line="400" w:lineRule="exact"/>
        <w:rPr>
          <w:color w:val="auto"/>
          <w:highlight w:val="none"/>
        </w:rPr>
      </w:pPr>
      <w:r>
        <w:rPr>
          <w:rFonts w:hint="eastAsia" w:cs="Times New Roman"/>
          <w:color w:val="auto"/>
          <w:kern w:val="2"/>
          <w:sz w:val="21"/>
          <w:szCs w:val="20"/>
          <w:highlight w:val="none"/>
        </w:rPr>
        <w:t>说明：</w:t>
      </w:r>
    </w:p>
    <w:p w14:paraId="40F37462">
      <w:pPr>
        <w:snapToGrid w:val="0"/>
        <w:spacing w:before="50" w:after="50"/>
        <w:ind w:firstLine="525" w:firstLineChars="250"/>
        <w:rPr>
          <w:rFonts w:hAnsi="宋体"/>
          <w:bCs/>
          <w:color w:val="auto"/>
          <w:highlight w:val="none"/>
        </w:rPr>
      </w:pPr>
      <w:r>
        <w:rPr>
          <w:rFonts w:hint="eastAsia" w:hAnsi="宋体"/>
          <w:bCs/>
          <w:color w:val="auto"/>
          <w:kern w:val="2"/>
          <w:highlight w:val="none"/>
          <w:lang w:bidi="ar"/>
        </w:rPr>
        <w:t>1.本声明函主要供参加政府采购活动的残疾人福利性单位填写，非残疾人福利性单位无需填写。</w:t>
      </w:r>
    </w:p>
    <w:p w14:paraId="0B1B3890">
      <w:pPr>
        <w:pStyle w:val="43"/>
        <w:widowControl w:val="0"/>
        <w:spacing w:before="0" w:beforeAutospacing="0" w:after="0" w:afterAutospacing="0" w:line="360" w:lineRule="auto"/>
        <w:ind w:firstLine="525" w:firstLineChars="250"/>
        <w:rPr>
          <w:color w:val="auto"/>
          <w:highlight w:val="none"/>
        </w:rPr>
      </w:pPr>
      <w:r>
        <w:rPr>
          <w:rFonts w:cs="Times New Roman"/>
          <w:color w:val="auto"/>
          <w:kern w:val="2"/>
          <w:sz w:val="21"/>
          <w:highlight w:val="none"/>
        </w:rPr>
        <w:t>2.竞标人应根据国家相关规定及自身真实情况编制《残疾人福利性单位声明函》，并了解由此可能需要承担的法律责任。</w:t>
      </w:r>
    </w:p>
    <w:p w14:paraId="2420DF03">
      <w:pPr>
        <w:pStyle w:val="43"/>
        <w:widowControl w:val="0"/>
        <w:spacing w:before="0" w:beforeAutospacing="0" w:after="0" w:afterAutospacing="0" w:line="360" w:lineRule="auto"/>
        <w:ind w:firstLine="525" w:firstLineChars="250"/>
        <w:rPr>
          <w:bCs/>
          <w:color w:val="auto"/>
          <w:highlight w:val="none"/>
        </w:rPr>
      </w:pPr>
      <w:r>
        <w:rPr>
          <w:bCs/>
          <w:color w:val="auto"/>
          <w:kern w:val="2"/>
          <w:sz w:val="21"/>
          <w:highlight w:val="none"/>
        </w:rPr>
        <w:t>3.成交人提供的《残疾人福利性单位声明函》随《成交结果公告》在相应网站一并公布。</w:t>
      </w:r>
    </w:p>
    <w:p w14:paraId="3A753CB5">
      <w:pPr>
        <w:widowControl/>
        <w:jc w:val="left"/>
        <w:rPr>
          <w:rFonts w:hAnsi="宋体"/>
          <w:b/>
          <w:bCs/>
          <w:color w:val="auto"/>
          <w:szCs w:val="32"/>
          <w:highlight w:val="none"/>
        </w:rPr>
      </w:pPr>
      <w:r>
        <w:rPr>
          <w:rFonts w:hAnsi="宋体"/>
          <w:color w:val="auto"/>
          <w:highlight w:val="none"/>
        </w:rPr>
        <w:br w:type="page"/>
      </w:r>
    </w:p>
    <w:p w14:paraId="21CDC13A">
      <w:pPr>
        <w:pStyle w:val="5"/>
        <w:rPr>
          <w:rFonts w:ascii="宋体" w:hAnsi="宋体" w:eastAsia="宋体"/>
          <w:color w:val="auto"/>
          <w:sz w:val="28"/>
          <w:szCs w:val="28"/>
          <w:highlight w:val="none"/>
        </w:rPr>
      </w:pPr>
      <w:r>
        <w:rPr>
          <w:rFonts w:hint="eastAsia" w:ascii="宋体" w:hAnsi="宋体" w:eastAsia="宋体" w:cs="宋体"/>
          <w:color w:val="auto"/>
          <w:sz w:val="28"/>
          <w:szCs w:val="28"/>
          <w:highlight w:val="none"/>
        </w:rPr>
        <w:t>三、技术部分</w:t>
      </w:r>
    </w:p>
    <w:p w14:paraId="0555DF4F">
      <w:pPr>
        <w:keepNext/>
        <w:keepLines/>
        <w:spacing w:line="360" w:lineRule="auto"/>
        <w:outlineLvl w:val="2"/>
        <w:rPr>
          <w:rFonts w:hAnsi="宋体"/>
          <w:b/>
          <w:bCs/>
          <w:color w:val="auto"/>
          <w:sz w:val="24"/>
          <w:szCs w:val="24"/>
          <w:highlight w:val="none"/>
        </w:rPr>
      </w:pPr>
      <w:r>
        <w:rPr>
          <w:rFonts w:hint="eastAsia" w:hAnsi="宋体"/>
          <w:b/>
          <w:bCs/>
          <w:color w:val="auto"/>
          <w:sz w:val="24"/>
          <w:szCs w:val="24"/>
          <w:highlight w:val="none"/>
        </w:rPr>
        <w:t>（一）施工组织设计</w:t>
      </w:r>
    </w:p>
    <w:p w14:paraId="77BC6D38">
      <w:pPr>
        <w:spacing w:line="360" w:lineRule="auto"/>
        <w:ind w:left="440"/>
        <w:rPr>
          <w:rFonts w:hAnsi="宋体"/>
          <w:color w:val="auto"/>
          <w:highlight w:val="none"/>
          <w:lang w:val="zh-CN"/>
        </w:rPr>
      </w:pPr>
      <w:r>
        <w:rPr>
          <w:rFonts w:hAnsi="宋体"/>
          <w:color w:val="auto"/>
          <w:highlight w:val="none"/>
          <w:lang w:val="zh-CN"/>
        </w:rPr>
        <w:t>1.</w:t>
      </w:r>
      <w:r>
        <w:rPr>
          <w:rFonts w:hint="eastAsia" w:hAnsi="宋体"/>
          <w:color w:val="auto"/>
          <w:highlight w:val="none"/>
          <w:lang w:val="zh-CN"/>
        </w:rPr>
        <w:t>竞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w:t>
      </w:r>
      <w:r>
        <w:rPr>
          <w:rFonts w:hAnsi="宋体"/>
          <w:color w:val="auto"/>
          <w:highlight w:val="none"/>
          <w:lang w:val="zh-CN"/>
        </w:rPr>
        <w:t xml:space="preserve"> </w:t>
      </w:r>
      <w:r>
        <w:rPr>
          <w:rFonts w:hint="eastAsia" w:hAnsi="宋体"/>
          <w:color w:val="auto"/>
          <w:highlight w:val="none"/>
          <w:lang w:val="zh-CN"/>
        </w:rPr>
        <w:t>施工组织设计还应结合工程特点提出切实可行的工程质量、工程进度、安全生产、防汛度</w:t>
      </w:r>
      <w:r>
        <w:rPr>
          <w:rFonts w:hAnsi="宋体"/>
          <w:color w:val="auto"/>
          <w:highlight w:val="none"/>
          <w:lang w:val="zh-CN"/>
        </w:rPr>
        <w:t xml:space="preserve"> </w:t>
      </w:r>
      <w:r>
        <w:rPr>
          <w:rFonts w:hint="eastAsia" w:hAnsi="宋体"/>
          <w:color w:val="auto"/>
          <w:highlight w:val="none"/>
          <w:lang w:val="zh-CN"/>
        </w:rPr>
        <w:t>汛、文明施工、水土保持、环境保护管理方案。</w:t>
      </w:r>
    </w:p>
    <w:p w14:paraId="29ECF89E">
      <w:pPr>
        <w:spacing w:line="360" w:lineRule="auto"/>
        <w:ind w:firstLine="440"/>
        <w:rPr>
          <w:rFonts w:hAnsi="宋体"/>
          <w:color w:val="auto"/>
          <w:highlight w:val="none"/>
          <w:lang w:val="zh-CN"/>
        </w:rPr>
      </w:pPr>
      <w:r>
        <w:rPr>
          <w:rFonts w:hint="eastAsia" w:hAnsi="宋体"/>
          <w:color w:val="auto"/>
          <w:highlight w:val="none"/>
          <w:lang w:val="zh-CN"/>
        </w:rPr>
        <w:t>施工组织设计应附的文字说明如下</w:t>
      </w:r>
      <w:r>
        <w:rPr>
          <w:rFonts w:hAnsi="宋体"/>
          <w:color w:val="auto"/>
          <w:highlight w:val="none"/>
          <w:lang w:val="zh-CN"/>
        </w:rPr>
        <w:t>(</w:t>
      </w:r>
      <w:r>
        <w:rPr>
          <w:rFonts w:hint="eastAsia" w:hAnsi="宋体"/>
          <w:color w:val="auto"/>
          <w:highlight w:val="none"/>
          <w:lang w:val="zh-CN"/>
        </w:rPr>
        <w:t>不限于，仅供参考</w:t>
      </w:r>
      <w:r>
        <w:rPr>
          <w:rFonts w:hAnsi="宋体"/>
          <w:color w:val="auto"/>
          <w:highlight w:val="none"/>
          <w:lang w:val="zh-CN"/>
        </w:rPr>
        <w:t>)</w:t>
      </w:r>
      <w:r>
        <w:rPr>
          <w:rFonts w:hint="eastAsia" w:hAnsi="宋体"/>
          <w:color w:val="auto"/>
          <w:highlight w:val="none"/>
          <w:lang w:val="zh-CN"/>
        </w:rPr>
        <w:t>：</w:t>
      </w:r>
    </w:p>
    <w:p w14:paraId="44F42E34">
      <w:pPr>
        <w:keepNext w:val="0"/>
        <w:keepLines w:val="0"/>
        <w:pageBreakBefore w:val="0"/>
        <w:widowControl w:val="0"/>
        <w:kinsoku/>
        <w:wordWrap/>
        <w:overflowPunct/>
        <w:topLinePunct w:val="0"/>
        <w:autoSpaceDE/>
        <w:autoSpaceDN/>
        <w:bidi w:val="0"/>
        <w:adjustRightInd/>
        <w:snapToGrid/>
        <w:spacing w:line="360" w:lineRule="auto"/>
        <w:ind w:left="442"/>
        <w:textAlignment w:val="auto"/>
        <w:rPr>
          <w:rFonts w:hint="eastAsia" w:hAnsi="宋体"/>
          <w:color w:val="auto"/>
          <w:highlight w:val="none"/>
          <w:lang w:val="zh-CN"/>
        </w:rPr>
      </w:pPr>
      <w:bookmarkStart w:id="2225" w:name="bookmark2221"/>
      <w:bookmarkEnd w:id="2225"/>
      <w:r>
        <w:rPr>
          <w:rFonts w:hint="eastAsia" w:hAnsi="宋体"/>
          <w:color w:val="auto"/>
          <w:highlight w:val="none"/>
          <w:lang w:val="en-US" w:eastAsia="zh-CN"/>
        </w:rPr>
        <w:t>(1)</w:t>
      </w:r>
      <w:r>
        <w:rPr>
          <w:rFonts w:hint="eastAsia" w:hAnsi="宋体"/>
          <w:color w:val="auto"/>
          <w:highlight w:val="none"/>
          <w:lang w:val="zh-CN"/>
        </w:rPr>
        <w:t>主要施工方法</w:t>
      </w:r>
    </w:p>
    <w:p w14:paraId="6EA36B40">
      <w:pPr>
        <w:keepNext w:val="0"/>
        <w:keepLines w:val="0"/>
        <w:pageBreakBefore w:val="0"/>
        <w:widowControl w:val="0"/>
        <w:kinsoku/>
        <w:wordWrap/>
        <w:overflowPunct/>
        <w:topLinePunct w:val="0"/>
        <w:autoSpaceDE/>
        <w:autoSpaceDN/>
        <w:bidi w:val="0"/>
        <w:adjustRightInd/>
        <w:snapToGrid/>
        <w:spacing w:line="360" w:lineRule="auto"/>
        <w:ind w:left="442"/>
        <w:textAlignment w:val="auto"/>
        <w:rPr>
          <w:rFonts w:hint="eastAsia" w:hAnsi="宋体"/>
          <w:color w:val="auto"/>
          <w:highlight w:val="none"/>
          <w:lang w:val="zh-CN"/>
        </w:rPr>
      </w:pPr>
      <w:r>
        <w:rPr>
          <w:rFonts w:hint="eastAsia" w:hAnsi="宋体"/>
          <w:color w:val="auto"/>
          <w:highlight w:val="none"/>
          <w:lang w:val="en-US" w:eastAsia="zh-CN"/>
        </w:rPr>
        <w:t>(2)</w:t>
      </w:r>
      <w:r>
        <w:rPr>
          <w:rFonts w:hint="eastAsia" w:hAnsi="宋体"/>
          <w:color w:val="auto"/>
          <w:highlight w:val="none"/>
          <w:lang w:val="zh-CN"/>
        </w:rPr>
        <w:t>拟投入的主要物资计划</w:t>
      </w:r>
    </w:p>
    <w:p w14:paraId="193CD271">
      <w:pPr>
        <w:keepNext w:val="0"/>
        <w:keepLines w:val="0"/>
        <w:pageBreakBefore w:val="0"/>
        <w:widowControl w:val="0"/>
        <w:kinsoku/>
        <w:wordWrap/>
        <w:overflowPunct/>
        <w:topLinePunct w:val="0"/>
        <w:autoSpaceDE/>
        <w:autoSpaceDN/>
        <w:bidi w:val="0"/>
        <w:adjustRightInd/>
        <w:snapToGrid/>
        <w:spacing w:line="360" w:lineRule="auto"/>
        <w:ind w:left="442"/>
        <w:textAlignment w:val="auto"/>
        <w:rPr>
          <w:rFonts w:hint="eastAsia" w:hAnsi="宋体"/>
          <w:color w:val="auto"/>
          <w:highlight w:val="none"/>
          <w:lang w:val="zh-CN"/>
        </w:rPr>
      </w:pPr>
      <w:r>
        <w:rPr>
          <w:rFonts w:hint="eastAsia" w:hAnsi="宋体"/>
          <w:color w:val="auto"/>
          <w:highlight w:val="none"/>
          <w:lang w:val="en-US" w:eastAsia="zh-CN"/>
        </w:rPr>
        <w:t>(3)</w:t>
      </w:r>
      <w:r>
        <w:rPr>
          <w:rFonts w:hint="eastAsia" w:hAnsi="宋体"/>
          <w:color w:val="auto"/>
          <w:highlight w:val="none"/>
          <w:lang w:val="zh-CN"/>
        </w:rPr>
        <w:t>劳动力安排计划</w:t>
      </w:r>
    </w:p>
    <w:p w14:paraId="6FE2792D">
      <w:pPr>
        <w:keepNext w:val="0"/>
        <w:keepLines w:val="0"/>
        <w:pageBreakBefore w:val="0"/>
        <w:widowControl w:val="0"/>
        <w:kinsoku/>
        <w:wordWrap/>
        <w:overflowPunct/>
        <w:topLinePunct w:val="0"/>
        <w:autoSpaceDE/>
        <w:autoSpaceDN/>
        <w:bidi w:val="0"/>
        <w:adjustRightInd/>
        <w:snapToGrid/>
        <w:spacing w:line="360" w:lineRule="auto"/>
        <w:ind w:left="442"/>
        <w:textAlignment w:val="auto"/>
        <w:rPr>
          <w:rFonts w:hint="eastAsia" w:hAnsi="宋体"/>
          <w:color w:val="auto"/>
          <w:highlight w:val="none"/>
          <w:lang w:val="zh-CN"/>
        </w:rPr>
      </w:pPr>
      <w:r>
        <w:rPr>
          <w:rFonts w:hint="eastAsia" w:hAnsi="宋体"/>
          <w:color w:val="auto"/>
          <w:highlight w:val="none"/>
          <w:lang w:val="en-US" w:eastAsia="zh-CN"/>
        </w:rPr>
        <w:t>(4)</w:t>
      </w:r>
      <w:r>
        <w:rPr>
          <w:rFonts w:hint="eastAsia" w:hAnsi="宋体"/>
          <w:color w:val="auto"/>
          <w:highlight w:val="none"/>
          <w:lang w:val="zh-CN"/>
        </w:rPr>
        <w:t>确保工程质量的技术组织措施</w:t>
      </w:r>
    </w:p>
    <w:p w14:paraId="2417E94E">
      <w:pPr>
        <w:keepNext w:val="0"/>
        <w:keepLines w:val="0"/>
        <w:pageBreakBefore w:val="0"/>
        <w:widowControl w:val="0"/>
        <w:kinsoku/>
        <w:wordWrap/>
        <w:overflowPunct/>
        <w:topLinePunct w:val="0"/>
        <w:autoSpaceDE/>
        <w:autoSpaceDN/>
        <w:bidi w:val="0"/>
        <w:adjustRightInd/>
        <w:snapToGrid/>
        <w:spacing w:line="360" w:lineRule="auto"/>
        <w:ind w:left="442"/>
        <w:textAlignment w:val="auto"/>
        <w:rPr>
          <w:rFonts w:hint="eastAsia" w:hAnsi="宋体"/>
          <w:color w:val="auto"/>
          <w:highlight w:val="none"/>
          <w:lang w:val="zh-CN"/>
        </w:rPr>
      </w:pPr>
      <w:r>
        <w:rPr>
          <w:rFonts w:hint="eastAsia" w:hAnsi="宋体"/>
          <w:color w:val="auto"/>
          <w:highlight w:val="none"/>
          <w:lang w:val="en-US" w:eastAsia="zh-CN"/>
        </w:rPr>
        <w:t>(5)</w:t>
      </w:r>
      <w:r>
        <w:rPr>
          <w:rFonts w:hint="eastAsia" w:hAnsi="宋体"/>
          <w:color w:val="auto"/>
          <w:highlight w:val="none"/>
          <w:lang w:val="zh-CN"/>
        </w:rPr>
        <w:t>确保安全生产的技术组织措施</w:t>
      </w:r>
    </w:p>
    <w:p w14:paraId="70E2DBB2">
      <w:pPr>
        <w:keepNext w:val="0"/>
        <w:keepLines w:val="0"/>
        <w:pageBreakBefore w:val="0"/>
        <w:widowControl w:val="0"/>
        <w:kinsoku/>
        <w:wordWrap/>
        <w:overflowPunct/>
        <w:topLinePunct w:val="0"/>
        <w:autoSpaceDE/>
        <w:autoSpaceDN/>
        <w:bidi w:val="0"/>
        <w:adjustRightInd/>
        <w:snapToGrid/>
        <w:spacing w:line="360" w:lineRule="auto"/>
        <w:ind w:left="442"/>
        <w:textAlignment w:val="auto"/>
        <w:rPr>
          <w:rFonts w:hint="eastAsia" w:hAnsi="宋体"/>
          <w:color w:val="auto"/>
          <w:highlight w:val="none"/>
          <w:lang w:val="zh-CN"/>
        </w:rPr>
      </w:pPr>
      <w:r>
        <w:rPr>
          <w:rFonts w:hint="eastAsia" w:hAnsi="宋体"/>
          <w:color w:val="auto"/>
          <w:highlight w:val="none"/>
          <w:lang w:val="en-US" w:eastAsia="zh-CN"/>
        </w:rPr>
        <w:t>(6)</w:t>
      </w:r>
      <w:r>
        <w:rPr>
          <w:rFonts w:hint="eastAsia" w:hAnsi="宋体"/>
          <w:color w:val="auto"/>
          <w:highlight w:val="none"/>
          <w:lang w:val="zh-CN"/>
        </w:rPr>
        <w:t>确保文明施工的技术组织措施</w:t>
      </w:r>
    </w:p>
    <w:p w14:paraId="6504458C">
      <w:pPr>
        <w:keepNext w:val="0"/>
        <w:keepLines w:val="0"/>
        <w:pageBreakBefore w:val="0"/>
        <w:widowControl w:val="0"/>
        <w:kinsoku/>
        <w:wordWrap/>
        <w:overflowPunct/>
        <w:topLinePunct w:val="0"/>
        <w:autoSpaceDE/>
        <w:autoSpaceDN/>
        <w:bidi w:val="0"/>
        <w:adjustRightInd/>
        <w:snapToGrid/>
        <w:spacing w:line="360" w:lineRule="auto"/>
        <w:ind w:left="442"/>
        <w:textAlignment w:val="auto"/>
        <w:rPr>
          <w:rFonts w:hint="eastAsia" w:hAnsi="宋体"/>
          <w:color w:val="auto"/>
          <w:highlight w:val="none"/>
          <w:lang w:val="zh-CN"/>
        </w:rPr>
      </w:pPr>
      <w:r>
        <w:rPr>
          <w:rFonts w:hint="eastAsia" w:hAnsi="宋体"/>
          <w:color w:val="auto"/>
          <w:highlight w:val="none"/>
          <w:lang w:val="en-US" w:eastAsia="zh-CN"/>
        </w:rPr>
        <w:t>(7)</w:t>
      </w:r>
      <w:r>
        <w:rPr>
          <w:rFonts w:hint="eastAsia" w:hAnsi="宋体"/>
          <w:color w:val="auto"/>
          <w:highlight w:val="none"/>
          <w:lang w:val="zh-CN"/>
        </w:rPr>
        <w:t>工程施工的重点和难点及保证措施</w:t>
      </w:r>
    </w:p>
    <w:p w14:paraId="2095DA44">
      <w:pPr>
        <w:keepNext w:val="0"/>
        <w:keepLines w:val="0"/>
        <w:pageBreakBefore w:val="0"/>
        <w:widowControl w:val="0"/>
        <w:kinsoku/>
        <w:wordWrap/>
        <w:overflowPunct/>
        <w:topLinePunct w:val="0"/>
        <w:autoSpaceDE/>
        <w:autoSpaceDN/>
        <w:bidi w:val="0"/>
        <w:adjustRightInd/>
        <w:snapToGrid/>
        <w:spacing w:line="360" w:lineRule="auto"/>
        <w:ind w:left="442"/>
        <w:textAlignment w:val="auto"/>
        <w:rPr>
          <w:rFonts w:hint="eastAsia" w:hAnsi="宋体"/>
          <w:color w:val="auto"/>
          <w:highlight w:val="none"/>
          <w:lang w:val="zh-CN"/>
        </w:rPr>
      </w:pPr>
      <w:r>
        <w:rPr>
          <w:rFonts w:hint="eastAsia" w:hAnsi="宋体"/>
          <w:color w:val="auto"/>
          <w:highlight w:val="none"/>
          <w:lang w:val="en-US" w:eastAsia="zh-CN"/>
        </w:rPr>
        <w:t>(8)</w:t>
      </w:r>
      <w:r>
        <w:rPr>
          <w:rFonts w:hint="eastAsia" w:hAnsi="宋体"/>
          <w:color w:val="auto"/>
          <w:highlight w:val="none"/>
          <w:lang w:val="zh-CN"/>
        </w:rPr>
        <w:t>施工总平面布置图</w:t>
      </w:r>
    </w:p>
    <w:p w14:paraId="00C8C7CE">
      <w:pPr>
        <w:tabs>
          <w:tab w:val="left" w:pos="923"/>
        </w:tabs>
        <w:spacing w:after="320" w:line="360" w:lineRule="auto"/>
        <w:ind w:firstLine="420" w:firstLineChars="200"/>
        <w:rPr>
          <w:rFonts w:hAnsi="宋体"/>
          <w:color w:val="auto"/>
          <w:highlight w:val="none"/>
        </w:rPr>
      </w:pPr>
      <w:r>
        <w:rPr>
          <w:rFonts w:hAnsi="宋体"/>
          <w:color w:val="auto"/>
          <w:highlight w:val="none"/>
        </w:rPr>
        <w:t>......</w:t>
      </w:r>
    </w:p>
    <w:p w14:paraId="516649D6">
      <w:pPr>
        <w:spacing w:line="360" w:lineRule="auto"/>
        <w:ind w:left="440"/>
        <w:rPr>
          <w:rFonts w:hAnsi="宋体"/>
          <w:color w:val="auto"/>
          <w:highlight w:val="none"/>
          <w:lang w:val="zh-CN"/>
        </w:rPr>
      </w:pPr>
      <w:bookmarkStart w:id="2226" w:name="bookmark2227"/>
      <w:bookmarkEnd w:id="2226"/>
      <w:r>
        <w:rPr>
          <w:rFonts w:hAnsi="宋体"/>
          <w:color w:val="auto"/>
          <w:highlight w:val="none"/>
          <w:lang w:val="zh-CN"/>
        </w:rPr>
        <w:t>2.</w:t>
      </w:r>
      <w:r>
        <w:rPr>
          <w:rFonts w:hint="eastAsia" w:hAnsi="宋体"/>
          <w:color w:val="auto"/>
          <w:highlight w:val="none"/>
          <w:lang w:val="zh-CN"/>
        </w:rPr>
        <w:t>施工组织设计除采用文字表述外应附下列图表，图表及格式要求附后。</w:t>
      </w:r>
    </w:p>
    <w:p w14:paraId="6F94B288">
      <w:pPr>
        <w:spacing w:line="360" w:lineRule="auto"/>
        <w:ind w:left="440"/>
        <w:rPr>
          <w:rFonts w:hAnsi="宋体"/>
          <w:color w:val="auto"/>
          <w:highlight w:val="none"/>
          <w:lang w:val="zh-CN"/>
        </w:rPr>
      </w:pPr>
      <w:r>
        <w:rPr>
          <w:rFonts w:hint="eastAsia" w:hAnsi="宋体"/>
          <w:color w:val="auto"/>
          <w:highlight w:val="none"/>
          <w:lang w:val="zh-CN"/>
        </w:rPr>
        <w:t>附件一：拟投入本合同工程的主要施工设备表</w:t>
      </w:r>
    </w:p>
    <w:p w14:paraId="17F2D635">
      <w:pPr>
        <w:spacing w:line="360" w:lineRule="auto"/>
        <w:ind w:firstLine="420"/>
        <w:rPr>
          <w:rFonts w:hAnsi="宋体"/>
          <w:color w:val="auto"/>
          <w:highlight w:val="none"/>
          <w:lang w:val="zh-CN"/>
        </w:rPr>
      </w:pPr>
      <w:r>
        <w:rPr>
          <w:rFonts w:hint="eastAsia" w:hAnsi="宋体"/>
          <w:color w:val="auto"/>
          <w:highlight w:val="none"/>
          <w:lang w:val="zh-CN"/>
        </w:rPr>
        <w:t>附件二：拟投入本合同工程的试验和检测仪器设备表</w:t>
      </w:r>
    </w:p>
    <w:p w14:paraId="47AB4849">
      <w:pPr>
        <w:spacing w:line="360" w:lineRule="auto"/>
        <w:ind w:firstLine="420"/>
        <w:rPr>
          <w:rFonts w:hAnsi="宋体"/>
          <w:color w:val="auto"/>
          <w:highlight w:val="none"/>
          <w:lang w:val="zh-CN"/>
        </w:rPr>
      </w:pPr>
      <w:r>
        <w:rPr>
          <w:rFonts w:hint="eastAsia" w:hAnsi="宋体"/>
          <w:color w:val="auto"/>
          <w:highlight w:val="none"/>
          <w:lang w:val="zh-CN"/>
        </w:rPr>
        <w:t>附件三：拟投入本合同工程的劳动力计划表</w:t>
      </w:r>
    </w:p>
    <w:p w14:paraId="539D551D">
      <w:pPr>
        <w:spacing w:line="360" w:lineRule="auto"/>
        <w:ind w:firstLine="420"/>
        <w:rPr>
          <w:rFonts w:hAnsi="宋体"/>
          <w:color w:val="auto"/>
          <w:highlight w:val="none"/>
          <w:lang w:val="zh-CN"/>
        </w:rPr>
      </w:pPr>
      <w:r>
        <w:rPr>
          <w:rFonts w:hint="eastAsia" w:hAnsi="宋体"/>
          <w:color w:val="auto"/>
          <w:highlight w:val="none"/>
          <w:lang w:val="zh-CN"/>
        </w:rPr>
        <w:t>附件四</w:t>
      </w:r>
      <w:r>
        <w:rPr>
          <w:rFonts w:hint="eastAsia" w:hAnsi="宋体"/>
          <w:color w:val="auto"/>
          <w:highlight w:val="none"/>
          <w:lang w:val="en-US" w:eastAsia="zh-CN"/>
        </w:rPr>
        <w:t xml:space="preserve">: </w:t>
      </w:r>
      <w:r>
        <w:rPr>
          <w:rFonts w:hint="eastAsia" w:hAnsi="宋体"/>
          <w:color w:val="auto"/>
          <w:highlight w:val="none"/>
          <w:lang w:val="zh-CN"/>
        </w:rPr>
        <w:t>计划开工日期、完工日期和施工进度网络图</w:t>
      </w:r>
      <w:r>
        <w:rPr>
          <w:rFonts w:hAnsi="宋体"/>
          <w:color w:val="auto"/>
          <w:highlight w:val="none"/>
          <w:lang w:val="zh-CN"/>
        </w:rPr>
        <w:t>(</w:t>
      </w:r>
      <w:r>
        <w:rPr>
          <w:rFonts w:hint="eastAsia" w:hAnsi="宋体"/>
          <w:color w:val="auto"/>
          <w:highlight w:val="none"/>
          <w:lang w:val="zh-CN"/>
        </w:rPr>
        <w:t>或横递图</w:t>
      </w:r>
      <w:r>
        <w:rPr>
          <w:rFonts w:hAnsi="宋体"/>
          <w:color w:val="auto"/>
          <w:highlight w:val="none"/>
          <w:lang w:val="zh-CN"/>
        </w:rPr>
        <w:t>)</w:t>
      </w:r>
    </w:p>
    <w:p w14:paraId="783ADD92">
      <w:pPr>
        <w:spacing w:line="360" w:lineRule="auto"/>
        <w:ind w:firstLine="420"/>
        <w:rPr>
          <w:rFonts w:hAnsi="宋体"/>
          <w:color w:val="auto"/>
          <w:highlight w:val="none"/>
          <w:lang w:val="zh-CN"/>
        </w:rPr>
      </w:pPr>
      <w:r>
        <w:rPr>
          <w:rFonts w:hint="eastAsia" w:hAnsi="宋体"/>
          <w:color w:val="auto"/>
          <w:highlight w:val="none"/>
          <w:lang w:val="zh-CN"/>
        </w:rPr>
        <w:t>附件五：施工总平面图</w:t>
      </w:r>
    </w:p>
    <w:p w14:paraId="7B1795EE">
      <w:pPr>
        <w:spacing w:line="360" w:lineRule="auto"/>
        <w:ind w:firstLine="420" w:firstLineChars="200"/>
        <w:rPr>
          <w:rFonts w:hAnsi="宋体"/>
          <w:color w:val="auto"/>
          <w:sz w:val="20"/>
          <w:szCs w:val="20"/>
          <w:highlight w:val="none"/>
          <w:lang w:val="zh-CN"/>
        </w:rPr>
      </w:pPr>
      <w:r>
        <w:rPr>
          <w:rFonts w:hint="eastAsia" w:hAnsi="宋体"/>
          <w:color w:val="auto"/>
          <w:highlight w:val="none"/>
          <w:lang w:val="zh-CN"/>
        </w:rPr>
        <w:t>附件六：临时用地表</w:t>
      </w:r>
      <w:r>
        <w:rPr>
          <w:rFonts w:hAnsi="宋体"/>
          <w:color w:val="auto"/>
          <w:sz w:val="20"/>
          <w:szCs w:val="20"/>
          <w:highlight w:val="none"/>
          <w:lang w:val="zh-CN"/>
        </w:rPr>
        <w:br w:type="page"/>
      </w:r>
    </w:p>
    <w:p w14:paraId="2D633753">
      <w:pPr>
        <w:rPr>
          <w:rFonts w:hAnsi="宋体"/>
          <w:b/>
          <w:color w:val="auto"/>
          <w:highlight w:val="none"/>
        </w:rPr>
      </w:pPr>
      <w:bookmarkStart w:id="2227" w:name="bookmark2229"/>
      <w:bookmarkStart w:id="2228" w:name="bookmark2230"/>
      <w:bookmarkStart w:id="2229" w:name="bookmark2228"/>
      <w:r>
        <w:rPr>
          <w:rFonts w:hint="eastAsia" w:hAnsi="宋体"/>
          <w:b/>
          <w:color w:val="auto"/>
          <w:highlight w:val="none"/>
        </w:rPr>
        <w:t>附件一：拟投入本标段的主要施工设备表</w:t>
      </w:r>
      <w:bookmarkEnd w:id="2227"/>
      <w:bookmarkEnd w:id="2228"/>
      <w:bookmarkEnd w:id="2229"/>
    </w:p>
    <w:p w14:paraId="2ED46CCD">
      <w:pPr>
        <w:rPr>
          <w:rFonts w:hAnsi="宋体"/>
          <w:color w:val="auto"/>
          <w:highlight w:val="none"/>
        </w:rPr>
      </w:pPr>
    </w:p>
    <w:p w14:paraId="34A67CDA">
      <w:pPr>
        <w:jc w:val="center"/>
        <w:rPr>
          <w:rFonts w:hAnsi="宋体"/>
          <w:b/>
          <w:color w:val="auto"/>
          <w:highlight w:val="none"/>
        </w:rPr>
      </w:pPr>
      <w:bookmarkStart w:id="2230" w:name="bookmark2233"/>
      <w:bookmarkStart w:id="2231" w:name="_Toc19570"/>
      <w:bookmarkStart w:id="2232" w:name="bookmark2231"/>
      <w:bookmarkStart w:id="2233" w:name="bookmark2232"/>
      <w:bookmarkStart w:id="2234" w:name="_Toc13379"/>
      <w:r>
        <w:rPr>
          <w:rFonts w:hint="eastAsia" w:hAnsi="宋体"/>
          <w:b/>
          <w:color w:val="auto"/>
          <w:highlight w:val="none"/>
        </w:rPr>
        <w:t>拟投入本标段的主要施工设备表</w:t>
      </w:r>
      <w:bookmarkEnd w:id="2230"/>
      <w:bookmarkEnd w:id="2231"/>
      <w:bookmarkEnd w:id="2232"/>
      <w:bookmarkEnd w:id="2233"/>
      <w:bookmarkEnd w:id="2234"/>
    </w:p>
    <w:p w14:paraId="74E2360C">
      <w:pPr>
        <w:jc w:val="center"/>
        <w:rPr>
          <w:rFonts w:hAnsi="宋体"/>
          <w:color w:val="auto"/>
          <w:highlight w:val="none"/>
        </w:rPr>
      </w:pPr>
    </w:p>
    <w:tbl>
      <w:tblPr>
        <w:tblStyle w:val="47"/>
        <w:tblW w:w="8641" w:type="dxa"/>
        <w:jc w:val="center"/>
        <w:tblLayout w:type="fixed"/>
        <w:tblCellMar>
          <w:top w:w="0" w:type="dxa"/>
          <w:left w:w="10" w:type="dxa"/>
          <w:bottom w:w="0" w:type="dxa"/>
          <w:right w:w="10" w:type="dxa"/>
        </w:tblCellMar>
      </w:tblPr>
      <w:tblGrid>
        <w:gridCol w:w="581"/>
        <w:gridCol w:w="1133"/>
        <w:gridCol w:w="864"/>
        <w:gridCol w:w="869"/>
        <w:gridCol w:w="864"/>
        <w:gridCol w:w="864"/>
        <w:gridCol w:w="864"/>
        <w:gridCol w:w="864"/>
        <w:gridCol w:w="864"/>
        <w:gridCol w:w="874"/>
      </w:tblGrid>
      <w:tr w14:paraId="51B38F9E">
        <w:tblPrEx>
          <w:tblCellMar>
            <w:top w:w="0" w:type="dxa"/>
            <w:left w:w="10" w:type="dxa"/>
            <w:bottom w:w="0" w:type="dxa"/>
            <w:right w:w="10" w:type="dxa"/>
          </w:tblCellMar>
        </w:tblPrEx>
        <w:trPr>
          <w:trHeight w:val="1142" w:hRule="exact"/>
          <w:jc w:val="center"/>
        </w:trPr>
        <w:tc>
          <w:tcPr>
            <w:tcW w:w="581" w:type="dxa"/>
            <w:tcBorders>
              <w:top w:val="single" w:color="auto" w:sz="4" w:space="0"/>
              <w:left w:val="single" w:color="auto" w:sz="4" w:space="0"/>
            </w:tcBorders>
            <w:shd w:val="clear" w:color="auto" w:fill="FFFFFF"/>
            <w:vAlign w:val="center"/>
          </w:tcPr>
          <w:p w14:paraId="3D3CE4CB">
            <w:pPr>
              <w:keepNext w:val="0"/>
              <w:keepLines w:val="0"/>
              <w:suppressLineNumbers w:val="0"/>
              <w:spacing w:before="0" w:beforeAutospacing="0" w:after="0" w:afterAutospacing="0" w:line="264" w:lineRule="exact"/>
              <w:ind w:left="0" w:right="0"/>
              <w:jc w:val="left"/>
              <w:rPr>
                <w:rFonts w:hint="default" w:hAnsi="宋体"/>
                <w:color w:val="auto"/>
                <w:highlight w:val="none"/>
                <w:lang w:val="zh-CN"/>
              </w:rPr>
            </w:pPr>
            <w:r>
              <w:rPr>
                <w:rFonts w:hint="eastAsia" w:hAnsi="宋体"/>
                <w:color w:val="auto"/>
                <w:highlight w:val="none"/>
                <w:lang w:val="zh-CN"/>
              </w:rPr>
              <w:t>序号</w:t>
            </w:r>
          </w:p>
        </w:tc>
        <w:tc>
          <w:tcPr>
            <w:tcW w:w="1133" w:type="dxa"/>
            <w:tcBorders>
              <w:top w:val="single" w:color="auto" w:sz="4" w:space="0"/>
              <w:left w:val="single" w:color="auto" w:sz="4" w:space="0"/>
            </w:tcBorders>
            <w:shd w:val="clear" w:color="auto" w:fill="FFFFFF"/>
            <w:vAlign w:val="center"/>
          </w:tcPr>
          <w:p w14:paraId="28AC608E">
            <w:pPr>
              <w:keepNext w:val="0"/>
              <w:keepLines w:val="0"/>
              <w:suppressLineNumbers w:val="0"/>
              <w:spacing w:before="0" w:beforeAutospacing="0" w:after="0" w:afterAutospacing="0" w:line="269" w:lineRule="exact"/>
              <w:ind w:left="180" w:right="0"/>
              <w:jc w:val="left"/>
              <w:rPr>
                <w:rFonts w:hint="default" w:hAnsi="宋体"/>
                <w:color w:val="auto"/>
                <w:highlight w:val="none"/>
                <w:lang w:val="zh-CN"/>
              </w:rPr>
            </w:pPr>
            <w:r>
              <w:rPr>
                <w:rFonts w:hint="eastAsia" w:hAnsi="宋体"/>
                <w:color w:val="auto"/>
                <w:highlight w:val="none"/>
                <w:lang w:val="zh-CN"/>
              </w:rPr>
              <w:t>施工机械名称</w:t>
            </w:r>
          </w:p>
        </w:tc>
        <w:tc>
          <w:tcPr>
            <w:tcW w:w="864" w:type="dxa"/>
            <w:tcBorders>
              <w:top w:val="single" w:color="auto" w:sz="4" w:space="0"/>
              <w:left w:val="single" w:color="auto" w:sz="4" w:space="0"/>
            </w:tcBorders>
            <w:shd w:val="clear" w:color="auto" w:fill="FFFFFF"/>
            <w:vAlign w:val="center"/>
          </w:tcPr>
          <w:p w14:paraId="016FD84B">
            <w:pPr>
              <w:keepNext w:val="0"/>
              <w:keepLines w:val="0"/>
              <w:suppressLineNumbers w:val="0"/>
              <w:spacing w:before="0" w:beforeAutospacing="0" w:after="60" w:afterAutospacing="0"/>
              <w:ind w:left="0" w:right="0"/>
              <w:jc w:val="center"/>
              <w:rPr>
                <w:rFonts w:hint="default" w:hAnsi="宋体"/>
                <w:color w:val="auto"/>
                <w:highlight w:val="none"/>
                <w:lang w:val="zh-CN"/>
              </w:rPr>
            </w:pPr>
            <w:r>
              <w:rPr>
                <w:rFonts w:hint="eastAsia" w:hAnsi="宋体"/>
                <w:color w:val="auto"/>
                <w:highlight w:val="none"/>
                <w:lang w:val="zh-CN"/>
              </w:rPr>
              <w:t>型号</w:t>
            </w:r>
          </w:p>
          <w:p w14:paraId="794E5557">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规格</w:t>
            </w:r>
          </w:p>
        </w:tc>
        <w:tc>
          <w:tcPr>
            <w:tcW w:w="869" w:type="dxa"/>
            <w:tcBorders>
              <w:top w:val="single" w:color="auto" w:sz="4" w:space="0"/>
              <w:left w:val="single" w:color="auto" w:sz="4" w:space="0"/>
            </w:tcBorders>
            <w:shd w:val="clear" w:color="auto" w:fill="FFFFFF"/>
            <w:vAlign w:val="center"/>
          </w:tcPr>
          <w:p w14:paraId="266AEF7E">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数量</w:t>
            </w:r>
          </w:p>
        </w:tc>
        <w:tc>
          <w:tcPr>
            <w:tcW w:w="864" w:type="dxa"/>
            <w:tcBorders>
              <w:top w:val="single" w:color="auto" w:sz="4" w:space="0"/>
              <w:left w:val="single" w:color="auto" w:sz="4" w:space="0"/>
            </w:tcBorders>
            <w:shd w:val="clear" w:color="auto" w:fill="FFFFFF"/>
            <w:vAlign w:val="center"/>
          </w:tcPr>
          <w:p w14:paraId="7C9BC5D5">
            <w:pPr>
              <w:keepNext w:val="0"/>
              <w:keepLines w:val="0"/>
              <w:suppressLineNumbers w:val="0"/>
              <w:spacing w:before="0" w:beforeAutospacing="0" w:after="0" w:afterAutospacing="0" w:line="266" w:lineRule="exact"/>
              <w:ind w:left="0" w:right="0"/>
              <w:jc w:val="center"/>
              <w:rPr>
                <w:rFonts w:hint="default" w:hAnsi="宋体"/>
                <w:color w:val="auto"/>
                <w:highlight w:val="none"/>
                <w:lang w:val="zh-CN"/>
              </w:rPr>
            </w:pPr>
            <w:r>
              <w:rPr>
                <w:rFonts w:hint="eastAsia" w:hAnsi="宋体"/>
                <w:color w:val="auto"/>
                <w:highlight w:val="none"/>
                <w:lang w:val="zh-CN"/>
              </w:rPr>
              <w:t>制造年份</w:t>
            </w:r>
          </w:p>
        </w:tc>
        <w:tc>
          <w:tcPr>
            <w:tcW w:w="864" w:type="dxa"/>
            <w:tcBorders>
              <w:top w:val="single" w:color="auto" w:sz="4" w:space="0"/>
              <w:left w:val="single" w:color="auto" w:sz="4" w:space="0"/>
            </w:tcBorders>
            <w:shd w:val="clear" w:color="auto" w:fill="FFFFFF"/>
            <w:vAlign w:val="center"/>
          </w:tcPr>
          <w:p w14:paraId="4B43DF6D">
            <w:pPr>
              <w:keepNext w:val="0"/>
              <w:keepLines w:val="0"/>
              <w:suppressLineNumbers w:val="0"/>
              <w:spacing w:before="0" w:beforeAutospacing="0" w:after="0" w:afterAutospacing="0" w:line="265" w:lineRule="exact"/>
              <w:ind w:left="0" w:right="0"/>
              <w:jc w:val="left"/>
              <w:rPr>
                <w:rFonts w:hint="default" w:hAnsi="宋体"/>
                <w:color w:val="auto"/>
                <w:highlight w:val="none"/>
                <w:lang w:val="zh-CN"/>
              </w:rPr>
            </w:pPr>
            <w:r>
              <w:rPr>
                <w:rFonts w:hint="eastAsia" w:hAnsi="宋体"/>
                <w:color w:val="auto"/>
                <w:highlight w:val="none"/>
                <w:lang w:val="zh-CN"/>
              </w:rPr>
              <w:t>额定功率</w:t>
            </w:r>
            <w:r>
              <w:rPr>
                <w:rFonts w:hint="eastAsia" w:hAnsi="宋体"/>
                <w:color w:val="auto"/>
                <w:highlight w:val="none"/>
              </w:rPr>
              <w:t>（</w:t>
            </w:r>
            <w:r>
              <w:rPr>
                <w:rFonts w:hint="default" w:hAnsi="宋体"/>
                <w:color w:val="auto"/>
                <w:highlight w:val="none"/>
              </w:rPr>
              <w:t>KW</w:t>
            </w:r>
            <w:r>
              <w:rPr>
                <w:rFonts w:hint="eastAsia" w:hAnsi="宋体"/>
                <w:color w:val="auto"/>
                <w:highlight w:val="none"/>
              </w:rPr>
              <w:t>）</w:t>
            </w:r>
            <w:r>
              <w:rPr>
                <w:rFonts w:hint="eastAsia" w:hAnsi="宋体"/>
                <w:color w:val="auto"/>
                <w:highlight w:val="none"/>
                <w:lang w:val="zh-CN"/>
              </w:rPr>
              <w:t>或生产能力</w:t>
            </w:r>
          </w:p>
        </w:tc>
        <w:tc>
          <w:tcPr>
            <w:tcW w:w="864" w:type="dxa"/>
            <w:tcBorders>
              <w:top w:val="single" w:color="auto" w:sz="4" w:space="0"/>
              <w:left w:val="single" w:color="auto" w:sz="4" w:space="0"/>
            </w:tcBorders>
            <w:shd w:val="clear" w:color="auto" w:fill="FFFFFF"/>
            <w:vAlign w:val="center"/>
          </w:tcPr>
          <w:p w14:paraId="61BF63A7">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现在何处</w:t>
            </w:r>
          </w:p>
        </w:tc>
        <w:tc>
          <w:tcPr>
            <w:tcW w:w="864" w:type="dxa"/>
            <w:tcBorders>
              <w:top w:val="single" w:color="auto" w:sz="4" w:space="0"/>
              <w:left w:val="single" w:color="auto" w:sz="4" w:space="0"/>
            </w:tcBorders>
            <w:shd w:val="clear" w:color="auto" w:fill="FFFFFF"/>
            <w:vAlign w:val="center"/>
          </w:tcPr>
          <w:p w14:paraId="60BB9376">
            <w:pPr>
              <w:keepNext w:val="0"/>
              <w:keepLines w:val="0"/>
              <w:suppressLineNumbers w:val="0"/>
              <w:spacing w:before="0" w:beforeAutospacing="0" w:after="0" w:afterAutospacing="0"/>
              <w:ind w:left="0" w:right="0"/>
              <w:jc w:val="right"/>
              <w:rPr>
                <w:rFonts w:hint="default" w:hAnsi="宋体"/>
                <w:color w:val="auto"/>
                <w:highlight w:val="none"/>
                <w:lang w:val="zh-CN"/>
              </w:rPr>
            </w:pPr>
            <w:r>
              <w:rPr>
                <w:rFonts w:hint="eastAsia" w:hAnsi="宋体"/>
                <w:color w:val="auto"/>
                <w:highlight w:val="none"/>
                <w:lang w:val="zh-CN"/>
              </w:rPr>
              <w:t>进场时间</w:t>
            </w:r>
          </w:p>
        </w:tc>
        <w:tc>
          <w:tcPr>
            <w:tcW w:w="864" w:type="dxa"/>
            <w:tcBorders>
              <w:top w:val="single" w:color="auto" w:sz="4" w:space="0"/>
              <w:left w:val="single" w:color="auto" w:sz="4" w:space="0"/>
            </w:tcBorders>
            <w:shd w:val="clear" w:color="auto" w:fill="FFFFFF"/>
            <w:vAlign w:val="center"/>
          </w:tcPr>
          <w:p w14:paraId="4F45553B">
            <w:pPr>
              <w:keepNext w:val="0"/>
              <w:keepLines w:val="0"/>
              <w:suppressLineNumbers w:val="0"/>
              <w:spacing w:before="0" w:beforeAutospacing="0" w:after="0" w:afterAutospacing="0"/>
              <w:ind w:left="0" w:right="0"/>
              <w:jc w:val="right"/>
              <w:rPr>
                <w:rFonts w:hint="default" w:hAnsi="宋体"/>
                <w:color w:val="auto"/>
                <w:highlight w:val="none"/>
                <w:lang w:val="zh-CN"/>
              </w:rPr>
            </w:pPr>
            <w:r>
              <w:rPr>
                <w:rFonts w:hint="eastAsia" w:hAnsi="宋体"/>
                <w:color w:val="auto"/>
                <w:highlight w:val="none"/>
                <w:lang w:val="zh-CN"/>
              </w:rPr>
              <w:t>退场时间</w:t>
            </w:r>
          </w:p>
        </w:tc>
        <w:tc>
          <w:tcPr>
            <w:tcW w:w="874" w:type="dxa"/>
            <w:tcBorders>
              <w:top w:val="single" w:color="auto" w:sz="4" w:space="0"/>
              <w:left w:val="single" w:color="auto" w:sz="4" w:space="0"/>
              <w:right w:val="single" w:color="auto" w:sz="4" w:space="0"/>
            </w:tcBorders>
            <w:shd w:val="clear" w:color="auto" w:fill="FFFFFF"/>
            <w:vAlign w:val="center"/>
          </w:tcPr>
          <w:p w14:paraId="09FEB18D">
            <w:pPr>
              <w:keepNext w:val="0"/>
              <w:keepLines w:val="0"/>
              <w:suppressLineNumbers w:val="0"/>
              <w:spacing w:before="0" w:beforeAutospacing="0" w:after="0" w:afterAutospacing="0" w:line="257" w:lineRule="exact"/>
              <w:ind w:left="0" w:right="0"/>
              <w:jc w:val="center"/>
              <w:rPr>
                <w:rFonts w:hint="default" w:hAnsi="宋体"/>
                <w:color w:val="auto"/>
                <w:highlight w:val="none"/>
                <w:lang w:val="zh-CN"/>
              </w:rPr>
            </w:pPr>
            <w:r>
              <w:rPr>
                <w:rFonts w:hint="eastAsia" w:hAnsi="宋体"/>
                <w:color w:val="auto"/>
                <w:highlight w:val="none"/>
                <w:lang w:val="zh-CN"/>
              </w:rPr>
              <w:t>用于施工部位</w:t>
            </w:r>
          </w:p>
        </w:tc>
      </w:tr>
      <w:tr w14:paraId="170B82C8">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54DAA75A">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0C67B16E">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64BDBD36">
            <w:pPr>
              <w:keepNext w:val="0"/>
              <w:keepLines w:val="0"/>
              <w:suppressLineNumbers w:val="0"/>
              <w:spacing w:before="0" w:beforeAutospacing="0" w:after="0" w:afterAutospacing="0"/>
              <w:ind w:left="0" w:right="0"/>
              <w:rPr>
                <w:rFonts w:hint="default" w:hAnsi="宋体"/>
                <w:color w:val="auto"/>
                <w:highlight w:val="none"/>
              </w:rPr>
            </w:pPr>
          </w:p>
        </w:tc>
        <w:tc>
          <w:tcPr>
            <w:tcW w:w="869" w:type="dxa"/>
            <w:tcBorders>
              <w:top w:val="single" w:color="auto" w:sz="4" w:space="0"/>
              <w:left w:val="single" w:color="auto" w:sz="4" w:space="0"/>
            </w:tcBorders>
            <w:shd w:val="clear" w:color="auto" w:fill="FFFFFF"/>
          </w:tcPr>
          <w:p w14:paraId="18921290">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5F86F47B">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4914575B">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1FC2BC8E">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01C3F6EA">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75338435">
            <w:pPr>
              <w:keepNext w:val="0"/>
              <w:keepLines w:val="0"/>
              <w:suppressLineNumbers w:val="0"/>
              <w:spacing w:before="0" w:beforeAutospacing="0" w:after="0" w:afterAutospacing="0"/>
              <w:ind w:left="0" w:right="0"/>
              <w:rPr>
                <w:rFonts w:hint="default"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6C330F87">
            <w:pPr>
              <w:keepNext w:val="0"/>
              <w:keepLines w:val="0"/>
              <w:suppressLineNumbers w:val="0"/>
              <w:spacing w:before="0" w:beforeAutospacing="0" w:after="0" w:afterAutospacing="0"/>
              <w:ind w:left="0" w:right="0"/>
              <w:rPr>
                <w:rFonts w:hint="default" w:hAnsi="宋体"/>
                <w:color w:val="auto"/>
                <w:highlight w:val="none"/>
              </w:rPr>
            </w:pPr>
          </w:p>
        </w:tc>
      </w:tr>
      <w:tr w14:paraId="0CA2CA89">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45100591">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0833FE2A">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5DD0A707">
            <w:pPr>
              <w:keepNext w:val="0"/>
              <w:keepLines w:val="0"/>
              <w:suppressLineNumbers w:val="0"/>
              <w:spacing w:before="0" w:beforeAutospacing="0" w:after="0" w:afterAutospacing="0"/>
              <w:ind w:left="0" w:right="0"/>
              <w:rPr>
                <w:rFonts w:hint="default" w:hAnsi="宋体"/>
                <w:color w:val="auto"/>
                <w:highlight w:val="none"/>
              </w:rPr>
            </w:pPr>
          </w:p>
        </w:tc>
        <w:tc>
          <w:tcPr>
            <w:tcW w:w="869" w:type="dxa"/>
            <w:tcBorders>
              <w:top w:val="single" w:color="auto" w:sz="4" w:space="0"/>
              <w:left w:val="single" w:color="auto" w:sz="4" w:space="0"/>
            </w:tcBorders>
            <w:shd w:val="clear" w:color="auto" w:fill="FFFFFF"/>
          </w:tcPr>
          <w:p w14:paraId="0B2090E1">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010B882D">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5C428DFE">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0B9EE726">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0558206A">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73F12B7A">
            <w:pPr>
              <w:keepNext w:val="0"/>
              <w:keepLines w:val="0"/>
              <w:suppressLineNumbers w:val="0"/>
              <w:spacing w:before="0" w:beforeAutospacing="0" w:after="0" w:afterAutospacing="0"/>
              <w:ind w:left="0" w:right="0"/>
              <w:rPr>
                <w:rFonts w:hint="default"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393E63DB">
            <w:pPr>
              <w:keepNext w:val="0"/>
              <w:keepLines w:val="0"/>
              <w:suppressLineNumbers w:val="0"/>
              <w:spacing w:before="0" w:beforeAutospacing="0" w:after="0" w:afterAutospacing="0"/>
              <w:ind w:left="0" w:right="0"/>
              <w:rPr>
                <w:rFonts w:hint="default" w:hAnsi="宋体"/>
                <w:color w:val="auto"/>
                <w:highlight w:val="none"/>
              </w:rPr>
            </w:pPr>
          </w:p>
        </w:tc>
      </w:tr>
      <w:tr w14:paraId="6B0D4F3D">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253D856A">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68BBD41E">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3007438F">
            <w:pPr>
              <w:keepNext w:val="0"/>
              <w:keepLines w:val="0"/>
              <w:suppressLineNumbers w:val="0"/>
              <w:spacing w:before="0" w:beforeAutospacing="0" w:after="0" w:afterAutospacing="0"/>
              <w:ind w:left="0" w:right="0"/>
              <w:rPr>
                <w:rFonts w:hint="default" w:hAnsi="宋体"/>
                <w:color w:val="auto"/>
                <w:highlight w:val="none"/>
              </w:rPr>
            </w:pPr>
          </w:p>
        </w:tc>
        <w:tc>
          <w:tcPr>
            <w:tcW w:w="869" w:type="dxa"/>
            <w:tcBorders>
              <w:top w:val="single" w:color="auto" w:sz="4" w:space="0"/>
              <w:left w:val="single" w:color="auto" w:sz="4" w:space="0"/>
            </w:tcBorders>
            <w:shd w:val="clear" w:color="auto" w:fill="FFFFFF"/>
          </w:tcPr>
          <w:p w14:paraId="16CB6E00">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5C06E8F0">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43F096BA">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29DC2717">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18B8E935">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7D944311">
            <w:pPr>
              <w:keepNext w:val="0"/>
              <w:keepLines w:val="0"/>
              <w:suppressLineNumbers w:val="0"/>
              <w:spacing w:before="0" w:beforeAutospacing="0" w:after="0" w:afterAutospacing="0"/>
              <w:ind w:left="0" w:right="0"/>
              <w:rPr>
                <w:rFonts w:hint="default"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30F90ECB">
            <w:pPr>
              <w:keepNext w:val="0"/>
              <w:keepLines w:val="0"/>
              <w:suppressLineNumbers w:val="0"/>
              <w:spacing w:before="0" w:beforeAutospacing="0" w:after="0" w:afterAutospacing="0"/>
              <w:ind w:left="0" w:right="0"/>
              <w:rPr>
                <w:rFonts w:hint="default" w:hAnsi="宋体"/>
                <w:color w:val="auto"/>
                <w:highlight w:val="none"/>
              </w:rPr>
            </w:pPr>
          </w:p>
        </w:tc>
      </w:tr>
      <w:tr w14:paraId="1BB0184F">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24D23572">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4A62EE6D">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24CB3784">
            <w:pPr>
              <w:keepNext w:val="0"/>
              <w:keepLines w:val="0"/>
              <w:suppressLineNumbers w:val="0"/>
              <w:spacing w:before="0" w:beforeAutospacing="0" w:after="0" w:afterAutospacing="0"/>
              <w:ind w:left="0" w:right="0"/>
              <w:rPr>
                <w:rFonts w:hint="default" w:hAnsi="宋体"/>
                <w:color w:val="auto"/>
                <w:highlight w:val="none"/>
              </w:rPr>
            </w:pPr>
          </w:p>
        </w:tc>
        <w:tc>
          <w:tcPr>
            <w:tcW w:w="869" w:type="dxa"/>
            <w:tcBorders>
              <w:top w:val="single" w:color="auto" w:sz="4" w:space="0"/>
              <w:left w:val="single" w:color="auto" w:sz="4" w:space="0"/>
            </w:tcBorders>
            <w:shd w:val="clear" w:color="auto" w:fill="FFFFFF"/>
          </w:tcPr>
          <w:p w14:paraId="7DE28CCB">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717DBA54">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0C115DB4">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4E67A688">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09EC1C89">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13C6A9EC">
            <w:pPr>
              <w:keepNext w:val="0"/>
              <w:keepLines w:val="0"/>
              <w:suppressLineNumbers w:val="0"/>
              <w:spacing w:before="0" w:beforeAutospacing="0" w:after="0" w:afterAutospacing="0"/>
              <w:ind w:left="0" w:right="0"/>
              <w:rPr>
                <w:rFonts w:hint="default"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36694E9A">
            <w:pPr>
              <w:keepNext w:val="0"/>
              <w:keepLines w:val="0"/>
              <w:suppressLineNumbers w:val="0"/>
              <w:spacing w:before="0" w:beforeAutospacing="0" w:after="0" w:afterAutospacing="0"/>
              <w:ind w:left="0" w:right="0"/>
              <w:rPr>
                <w:rFonts w:hint="default" w:hAnsi="宋体"/>
                <w:color w:val="auto"/>
                <w:highlight w:val="none"/>
              </w:rPr>
            </w:pPr>
          </w:p>
        </w:tc>
      </w:tr>
      <w:tr w14:paraId="3B3F5F6A">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00555CA9">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2ED4AFF3">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2659A440">
            <w:pPr>
              <w:keepNext w:val="0"/>
              <w:keepLines w:val="0"/>
              <w:suppressLineNumbers w:val="0"/>
              <w:spacing w:before="0" w:beforeAutospacing="0" w:after="0" w:afterAutospacing="0"/>
              <w:ind w:left="0" w:right="0"/>
              <w:rPr>
                <w:rFonts w:hint="default" w:hAnsi="宋体"/>
                <w:color w:val="auto"/>
                <w:highlight w:val="none"/>
              </w:rPr>
            </w:pPr>
          </w:p>
        </w:tc>
        <w:tc>
          <w:tcPr>
            <w:tcW w:w="869" w:type="dxa"/>
            <w:tcBorders>
              <w:top w:val="single" w:color="auto" w:sz="4" w:space="0"/>
              <w:left w:val="single" w:color="auto" w:sz="4" w:space="0"/>
            </w:tcBorders>
            <w:shd w:val="clear" w:color="auto" w:fill="FFFFFF"/>
          </w:tcPr>
          <w:p w14:paraId="74A3D16D">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396E7757">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7ED4C640">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21F0AA25">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15112B7B">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75F70448">
            <w:pPr>
              <w:keepNext w:val="0"/>
              <w:keepLines w:val="0"/>
              <w:suppressLineNumbers w:val="0"/>
              <w:spacing w:before="0" w:beforeAutospacing="0" w:after="0" w:afterAutospacing="0"/>
              <w:ind w:left="0" w:right="0"/>
              <w:rPr>
                <w:rFonts w:hint="default"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15346F18">
            <w:pPr>
              <w:keepNext w:val="0"/>
              <w:keepLines w:val="0"/>
              <w:suppressLineNumbers w:val="0"/>
              <w:spacing w:before="0" w:beforeAutospacing="0" w:after="0" w:afterAutospacing="0"/>
              <w:ind w:left="0" w:right="0"/>
              <w:rPr>
                <w:rFonts w:hint="default" w:hAnsi="宋体"/>
                <w:color w:val="auto"/>
                <w:highlight w:val="none"/>
              </w:rPr>
            </w:pPr>
          </w:p>
        </w:tc>
      </w:tr>
      <w:tr w14:paraId="4F5134C8">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39F44CCC">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7618FB5D">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5C6B9624">
            <w:pPr>
              <w:keepNext w:val="0"/>
              <w:keepLines w:val="0"/>
              <w:suppressLineNumbers w:val="0"/>
              <w:spacing w:before="0" w:beforeAutospacing="0" w:after="0" w:afterAutospacing="0"/>
              <w:ind w:left="0" w:right="0"/>
              <w:rPr>
                <w:rFonts w:hint="default" w:hAnsi="宋体"/>
                <w:color w:val="auto"/>
                <w:highlight w:val="none"/>
              </w:rPr>
            </w:pPr>
          </w:p>
        </w:tc>
        <w:tc>
          <w:tcPr>
            <w:tcW w:w="869" w:type="dxa"/>
            <w:tcBorders>
              <w:top w:val="single" w:color="auto" w:sz="4" w:space="0"/>
              <w:left w:val="single" w:color="auto" w:sz="4" w:space="0"/>
            </w:tcBorders>
            <w:shd w:val="clear" w:color="auto" w:fill="FFFFFF"/>
          </w:tcPr>
          <w:p w14:paraId="36713484">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0A52F033">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0DB21AC4">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29824667">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26BCAF0A">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678726D9">
            <w:pPr>
              <w:keepNext w:val="0"/>
              <w:keepLines w:val="0"/>
              <w:suppressLineNumbers w:val="0"/>
              <w:spacing w:before="0" w:beforeAutospacing="0" w:after="0" w:afterAutospacing="0"/>
              <w:ind w:left="0" w:right="0"/>
              <w:rPr>
                <w:rFonts w:hint="default"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61C758AF">
            <w:pPr>
              <w:keepNext w:val="0"/>
              <w:keepLines w:val="0"/>
              <w:suppressLineNumbers w:val="0"/>
              <w:spacing w:before="0" w:beforeAutospacing="0" w:after="0" w:afterAutospacing="0"/>
              <w:ind w:left="0" w:right="0"/>
              <w:rPr>
                <w:rFonts w:hint="default" w:hAnsi="宋体"/>
                <w:color w:val="auto"/>
                <w:highlight w:val="none"/>
              </w:rPr>
            </w:pPr>
          </w:p>
        </w:tc>
      </w:tr>
      <w:tr w14:paraId="14DBD0FC">
        <w:tblPrEx>
          <w:tblCellMar>
            <w:top w:w="0" w:type="dxa"/>
            <w:left w:w="10" w:type="dxa"/>
            <w:bottom w:w="0" w:type="dxa"/>
            <w:right w:w="10" w:type="dxa"/>
          </w:tblCellMar>
        </w:tblPrEx>
        <w:trPr>
          <w:trHeight w:val="571" w:hRule="exact"/>
          <w:jc w:val="center"/>
        </w:trPr>
        <w:tc>
          <w:tcPr>
            <w:tcW w:w="581" w:type="dxa"/>
            <w:tcBorders>
              <w:top w:val="single" w:color="auto" w:sz="4" w:space="0"/>
              <w:left w:val="single" w:color="auto" w:sz="4" w:space="0"/>
            </w:tcBorders>
            <w:shd w:val="clear" w:color="auto" w:fill="FFFFFF"/>
          </w:tcPr>
          <w:p w14:paraId="48259576">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389F527B">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78F34CDE">
            <w:pPr>
              <w:keepNext w:val="0"/>
              <w:keepLines w:val="0"/>
              <w:suppressLineNumbers w:val="0"/>
              <w:spacing w:before="0" w:beforeAutospacing="0" w:after="0" w:afterAutospacing="0"/>
              <w:ind w:left="0" w:right="0"/>
              <w:rPr>
                <w:rFonts w:hint="default" w:hAnsi="宋体"/>
                <w:color w:val="auto"/>
                <w:highlight w:val="none"/>
              </w:rPr>
            </w:pPr>
          </w:p>
        </w:tc>
        <w:tc>
          <w:tcPr>
            <w:tcW w:w="869" w:type="dxa"/>
            <w:tcBorders>
              <w:top w:val="single" w:color="auto" w:sz="4" w:space="0"/>
              <w:left w:val="single" w:color="auto" w:sz="4" w:space="0"/>
            </w:tcBorders>
            <w:shd w:val="clear" w:color="auto" w:fill="FFFFFF"/>
          </w:tcPr>
          <w:p w14:paraId="3A4FD8AF">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4249B107">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78B42BB3">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06FA7E2B">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7FAE469E">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49F72599">
            <w:pPr>
              <w:keepNext w:val="0"/>
              <w:keepLines w:val="0"/>
              <w:suppressLineNumbers w:val="0"/>
              <w:spacing w:before="0" w:beforeAutospacing="0" w:after="0" w:afterAutospacing="0"/>
              <w:ind w:left="0" w:right="0"/>
              <w:rPr>
                <w:rFonts w:hint="default"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5B839BFF">
            <w:pPr>
              <w:keepNext w:val="0"/>
              <w:keepLines w:val="0"/>
              <w:suppressLineNumbers w:val="0"/>
              <w:spacing w:before="0" w:beforeAutospacing="0" w:after="0" w:afterAutospacing="0"/>
              <w:ind w:left="0" w:right="0"/>
              <w:rPr>
                <w:rFonts w:hint="default" w:hAnsi="宋体"/>
                <w:color w:val="auto"/>
                <w:highlight w:val="none"/>
              </w:rPr>
            </w:pPr>
          </w:p>
        </w:tc>
      </w:tr>
      <w:tr w14:paraId="23C1F397">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2C74770B">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5F5F983D">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5BECD13A">
            <w:pPr>
              <w:keepNext w:val="0"/>
              <w:keepLines w:val="0"/>
              <w:suppressLineNumbers w:val="0"/>
              <w:spacing w:before="0" w:beforeAutospacing="0" w:after="0" w:afterAutospacing="0"/>
              <w:ind w:left="0" w:right="0"/>
              <w:rPr>
                <w:rFonts w:hint="default" w:hAnsi="宋体"/>
                <w:color w:val="auto"/>
                <w:highlight w:val="none"/>
              </w:rPr>
            </w:pPr>
          </w:p>
        </w:tc>
        <w:tc>
          <w:tcPr>
            <w:tcW w:w="869" w:type="dxa"/>
            <w:tcBorders>
              <w:top w:val="single" w:color="auto" w:sz="4" w:space="0"/>
              <w:left w:val="single" w:color="auto" w:sz="4" w:space="0"/>
            </w:tcBorders>
            <w:shd w:val="clear" w:color="auto" w:fill="FFFFFF"/>
          </w:tcPr>
          <w:p w14:paraId="3F37A285">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022078D4">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3A434E9D">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1E16EF6C">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7C5E2559">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594A9E07">
            <w:pPr>
              <w:keepNext w:val="0"/>
              <w:keepLines w:val="0"/>
              <w:suppressLineNumbers w:val="0"/>
              <w:spacing w:before="0" w:beforeAutospacing="0" w:after="0" w:afterAutospacing="0"/>
              <w:ind w:left="0" w:right="0"/>
              <w:rPr>
                <w:rFonts w:hint="default"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1CCCD17A">
            <w:pPr>
              <w:keepNext w:val="0"/>
              <w:keepLines w:val="0"/>
              <w:suppressLineNumbers w:val="0"/>
              <w:spacing w:before="0" w:beforeAutospacing="0" w:after="0" w:afterAutospacing="0"/>
              <w:ind w:left="0" w:right="0"/>
              <w:rPr>
                <w:rFonts w:hint="default" w:hAnsi="宋体"/>
                <w:color w:val="auto"/>
                <w:highlight w:val="none"/>
              </w:rPr>
            </w:pPr>
          </w:p>
        </w:tc>
      </w:tr>
      <w:tr w14:paraId="0B7DE19B">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202D98F8">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3A975FE5">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131B0104">
            <w:pPr>
              <w:keepNext w:val="0"/>
              <w:keepLines w:val="0"/>
              <w:suppressLineNumbers w:val="0"/>
              <w:spacing w:before="0" w:beforeAutospacing="0" w:after="0" w:afterAutospacing="0"/>
              <w:ind w:left="0" w:right="0"/>
              <w:rPr>
                <w:rFonts w:hint="default" w:hAnsi="宋体"/>
                <w:color w:val="auto"/>
                <w:highlight w:val="none"/>
              </w:rPr>
            </w:pPr>
          </w:p>
        </w:tc>
        <w:tc>
          <w:tcPr>
            <w:tcW w:w="869" w:type="dxa"/>
            <w:tcBorders>
              <w:top w:val="single" w:color="auto" w:sz="4" w:space="0"/>
              <w:left w:val="single" w:color="auto" w:sz="4" w:space="0"/>
            </w:tcBorders>
            <w:shd w:val="clear" w:color="auto" w:fill="FFFFFF"/>
          </w:tcPr>
          <w:p w14:paraId="0C7A1B36">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381B4612">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1F57877C">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085D094B">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56D18D52">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0D8E780A">
            <w:pPr>
              <w:keepNext w:val="0"/>
              <w:keepLines w:val="0"/>
              <w:suppressLineNumbers w:val="0"/>
              <w:spacing w:before="0" w:beforeAutospacing="0" w:after="0" w:afterAutospacing="0"/>
              <w:ind w:left="0" w:right="0"/>
              <w:rPr>
                <w:rFonts w:hint="default"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4EEE71B7">
            <w:pPr>
              <w:keepNext w:val="0"/>
              <w:keepLines w:val="0"/>
              <w:suppressLineNumbers w:val="0"/>
              <w:spacing w:before="0" w:beforeAutospacing="0" w:after="0" w:afterAutospacing="0"/>
              <w:ind w:left="0" w:right="0"/>
              <w:rPr>
                <w:rFonts w:hint="default" w:hAnsi="宋体"/>
                <w:color w:val="auto"/>
                <w:highlight w:val="none"/>
              </w:rPr>
            </w:pPr>
          </w:p>
        </w:tc>
      </w:tr>
      <w:tr w14:paraId="2FF2B916">
        <w:tblPrEx>
          <w:tblCellMar>
            <w:top w:w="0" w:type="dxa"/>
            <w:left w:w="10" w:type="dxa"/>
            <w:bottom w:w="0" w:type="dxa"/>
            <w:right w:w="10" w:type="dxa"/>
          </w:tblCellMar>
        </w:tblPrEx>
        <w:trPr>
          <w:trHeight w:val="576" w:hRule="exact"/>
          <w:jc w:val="center"/>
        </w:trPr>
        <w:tc>
          <w:tcPr>
            <w:tcW w:w="581" w:type="dxa"/>
            <w:tcBorders>
              <w:top w:val="single" w:color="auto" w:sz="4" w:space="0"/>
              <w:left w:val="single" w:color="auto" w:sz="4" w:space="0"/>
              <w:bottom w:val="single" w:color="auto" w:sz="4" w:space="0"/>
            </w:tcBorders>
            <w:shd w:val="clear" w:color="auto" w:fill="FFFFFF"/>
          </w:tcPr>
          <w:p w14:paraId="1576BEA8">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bottom w:val="single" w:color="auto" w:sz="4" w:space="0"/>
            </w:tcBorders>
            <w:shd w:val="clear" w:color="auto" w:fill="FFFFFF"/>
          </w:tcPr>
          <w:p w14:paraId="168AE78D">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14:paraId="7F078E98">
            <w:pPr>
              <w:keepNext w:val="0"/>
              <w:keepLines w:val="0"/>
              <w:suppressLineNumbers w:val="0"/>
              <w:spacing w:before="0" w:beforeAutospacing="0" w:after="0" w:afterAutospacing="0"/>
              <w:ind w:left="0" w:right="0"/>
              <w:rPr>
                <w:rFonts w:hint="default" w:hAnsi="宋体"/>
                <w:color w:val="auto"/>
                <w:highlight w:val="none"/>
              </w:rPr>
            </w:pPr>
          </w:p>
        </w:tc>
        <w:tc>
          <w:tcPr>
            <w:tcW w:w="869" w:type="dxa"/>
            <w:tcBorders>
              <w:top w:val="single" w:color="auto" w:sz="4" w:space="0"/>
              <w:left w:val="single" w:color="auto" w:sz="4" w:space="0"/>
              <w:bottom w:val="single" w:color="auto" w:sz="4" w:space="0"/>
            </w:tcBorders>
            <w:shd w:val="clear" w:color="auto" w:fill="FFFFFF"/>
          </w:tcPr>
          <w:p w14:paraId="457D2921">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14:paraId="05084ACB">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14:paraId="491C98B3">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14:paraId="1715C4D3">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14:paraId="1550500F">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14:paraId="146BC1AE">
            <w:pPr>
              <w:keepNext w:val="0"/>
              <w:keepLines w:val="0"/>
              <w:suppressLineNumbers w:val="0"/>
              <w:spacing w:before="0" w:beforeAutospacing="0" w:after="0" w:afterAutospacing="0"/>
              <w:ind w:left="0" w:right="0"/>
              <w:rPr>
                <w:rFonts w:hint="default" w:hAnsi="宋体"/>
                <w:color w:val="auto"/>
                <w:highlight w:val="none"/>
              </w:rPr>
            </w:pPr>
          </w:p>
        </w:tc>
        <w:tc>
          <w:tcPr>
            <w:tcW w:w="874" w:type="dxa"/>
            <w:tcBorders>
              <w:top w:val="single" w:color="auto" w:sz="4" w:space="0"/>
              <w:left w:val="single" w:color="auto" w:sz="4" w:space="0"/>
              <w:bottom w:val="single" w:color="auto" w:sz="4" w:space="0"/>
              <w:right w:val="single" w:color="auto" w:sz="4" w:space="0"/>
            </w:tcBorders>
            <w:shd w:val="clear" w:color="auto" w:fill="FFFFFF"/>
          </w:tcPr>
          <w:p w14:paraId="09E49DC3">
            <w:pPr>
              <w:keepNext w:val="0"/>
              <w:keepLines w:val="0"/>
              <w:suppressLineNumbers w:val="0"/>
              <w:spacing w:before="0" w:beforeAutospacing="0" w:after="0" w:afterAutospacing="0"/>
              <w:ind w:left="0" w:right="0"/>
              <w:rPr>
                <w:rFonts w:hint="default" w:hAnsi="宋体"/>
                <w:color w:val="auto"/>
                <w:highlight w:val="none"/>
              </w:rPr>
            </w:pPr>
          </w:p>
        </w:tc>
      </w:tr>
    </w:tbl>
    <w:p w14:paraId="57E4F112">
      <w:pPr>
        <w:spacing w:after="299" w:line="1" w:lineRule="exact"/>
        <w:rPr>
          <w:rFonts w:hAnsi="宋体"/>
          <w:color w:val="auto"/>
          <w:highlight w:val="none"/>
        </w:rPr>
      </w:pPr>
    </w:p>
    <w:p w14:paraId="36293676">
      <w:pPr>
        <w:tabs>
          <w:tab w:val="left" w:pos="0"/>
        </w:tabs>
        <w:spacing w:line="360" w:lineRule="auto"/>
        <w:ind w:right="-210"/>
        <w:rPr>
          <w:rFonts w:hAnsi="宋体"/>
          <w:color w:val="auto"/>
          <w:kern w:val="2"/>
          <w:highlight w:val="none"/>
        </w:rPr>
      </w:pPr>
      <w:bookmarkStart w:id="2235" w:name="_Toc27417"/>
      <w:bookmarkStart w:id="2236" w:name="bookmark2235"/>
      <w:bookmarkStart w:id="2237" w:name="_Toc3373"/>
      <w:bookmarkStart w:id="2238" w:name="bookmark2234"/>
      <w:bookmarkStart w:id="2239" w:name="bookmark2236"/>
    </w:p>
    <w:p w14:paraId="4BA3858B">
      <w:pPr>
        <w:tabs>
          <w:tab w:val="left" w:pos="0"/>
        </w:tabs>
        <w:spacing w:line="480" w:lineRule="auto"/>
        <w:ind w:right="-210"/>
        <w:jc w:val="center"/>
        <w:rPr>
          <w:rFonts w:hAnsi="宋体"/>
          <w:color w:val="auto"/>
          <w:kern w:val="2"/>
          <w:highlight w:val="none"/>
        </w:rPr>
      </w:pPr>
      <w:r>
        <w:rPr>
          <w:rFonts w:hint="eastAsia" w:hAnsi="宋体"/>
          <w:color w:val="auto"/>
          <w:kern w:val="2"/>
          <w:highlight w:val="none"/>
        </w:rPr>
        <w:t xml:space="preserve">                        供应商：</w:t>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（盖单位章）</w:t>
      </w:r>
    </w:p>
    <w:p w14:paraId="4DD9C319">
      <w:pPr>
        <w:tabs>
          <w:tab w:val="left" w:pos="0"/>
        </w:tabs>
        <w:spacing w:line="480" w:lineRule="auto"/>
        <w:ind w:right="-210"/>
        <w:jc w:val="right"/>
        <w:rPr>
          <w:rFonts w:hAnsi="宋体"/>
          <w:color w:val="auto"/>
          <w:kern w:val="2"/>
          <w:highlight w:val="none"/>
        </w:rPr>
      </w:pPr>
      <w:r>
        <w:rPr>
          <w:rFonts w:hint="eastAsia" w:hAnsi="宋体"/>
          <w:color w:val="auto"/>
          <w:kern w:val="2"/>
          <w:highlight w:val="none"/>
        </w:rPr>
        <w:t>法定代表人（负责人）或授权委托代理人：</w:t>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int="eastAsia" w:hAnsi="宋体" w:cs="Times New Roman"/>
          <w:color w:val="auto"/>
          <w:highlight w:val="none"/>
          <w:lang w:bidi="ar"/>
        </w:rPr>
        <w:t>（签字或盖章）</w:t>
      </w:r>
    </w:p>
    <w:p w14:paraId="476B1DB0">
      <w:pPr>
        <w:tabs>
          <w:tab w:val="left" w:pos="0"/>
        </w:tabs>
        <w:spacing w:line="480" w:lineRule="auto"/>
        <w:ind w:right="-210"/>
        <w:jc w:val="right"/>
        <w:rPr>
          <w:rFonts w:hAnsi="宋体"/>
          <w:color w:val="auto"/>
          <w:kern w:val="2"/>
          <w:highlight w:val="none"/>
        </w:rPr>
      </w:pP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年</w:t>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月</w:t>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日</w:t>
      </w:r>
    </w:p>
    <w:p w14:paraId="023EFD3D">
      <w:pPr>
        <w:widowControl/>
        <w:jc w:val="left"/>
        <w:rPr>
          <w:rFonts w:hAnsi="宋体"/>
          <w:color w:val="auto"/>
          <w:highlight w:val="none"/>
          <w:lang w:val="zh-CN"/>
        </w:rPr>
      </w:pPr>
      <w:r>
        <w:rPr>
          <w:rFonts w:hAnsi="宋体"/>
          <w:color w:val="auto"/>
          <w:highlight w:val="none"/>
          <w:lang w:val="zh-CN"/>
        </w:rPr>
        <w:br w:type="page"/>
      </w:r>
    </w:p>
    <w:p w14:paraId="66A113F1">
      <w:pPr>
        <w:rPr>
          <w:rFonts w:hAnsi="宋体"/>
          <w:b/>
          <w:color w:val="auto"/>
          <w:highlight w:val="none"/>
        </w:rPr>
      </w:pPr>
      <w:r>
        <w:rPr>
          <w:rFonts w:hint="eastAsia" w:hAnsi="宋体"/>
          <w:b/>
          <w:color w:val="auto"/>
          <w:highlight w:val="none"/>
        </w:rPr>
        <w:t>附件二：拟投入本合同工程的试验和检测仪器设备表</w:t>
      </w:r>
      <w:bookmarkEnd w:id="2235"/>
    </w:p>
    <w:p w14:paraId="69EEAE9F">
      <w:pPr>
        <w:rPr>
          <w:rFonts w:hAnsi="宋体"/>
          <w:color w:val="auto"/>
          <w:highlight w:val="none"/>
        </w:rPr>
      </w:pPr>
    </w:p>
    <w:p w14:paraId="376D6B0D">
      <w:pPr>
        <w:jc w:val="center"/>
        <w:rPr>
          <w:rFonts w:hAnsi="宋体"/>
          <w:b/>
          <w:color w:val="auto"/>
          <w:highlight w:val="none"/>
        </w:rPr>
      </w:pPr>
      <w:bookmarkStart w:id="2240" w:name="_Toc24555"/>
      <w:r>
        <w:rPr>
          <w:rFonts w:hint="eastAsia" w:hAnsi="宋体"/>
          <w:b/>
          <w:color w:val="auto"/>
          <w:highlight w:val="none"/>
        </w:rPr>
        <w:t>拟投入本合同工程的试验和检测仪器设备表</w:t>
      </w:r>
      <w:bookmarkEnd w:id="2236"/>
      <w:bookmarkEnd w:id="2237"/>
      <w:bookmarkEnd w:id="2238"/>
      <w:bookmarkEnd w:id="2239"/>
      <w:bookmarkEnd w:id="2240"/>
    </w:p>
    <w:p w14:paraId="04C9062D">
      <w:pPr>
        <w:jc w:val="center"/>
        <w:rPr>
          <w:rFonts w:hAnsi="宋体"/>
          <w:b/>
          <w:color w:val="auto"/>
          <w:highlight w:val="none"/>
        </w:rPr>
      </w:pPr>
    </w:p>
    <w:tbl>
      <w:tblPr>
        <w:tblStyle w:val="47"/>
        <w:tblW w:w="8351" w:type="dxa"/>
        <w:jc w:val="center"/>
        <w:tblLayout w:type="fixed"/>
        <w:tblCellMar>
          <w:top w:w="0" w:type="dxa"/>
          <w:left w:w="10" w:type="dxa"/>
          <w:bottom w:w="0" w:type="dxa"/>
          <w:right w:w="10" w:type="dxa"/>
        </w:tblCellMar>
      </w:tblPr>
      <w:tblGrid>
        <w:gridCol w:w="576"/>
        <w:gridCol w:w="1416"/>
        <w:gridCol w:w="907"/>
        <w:gridCol w:w="907"/>
        <w:gridCol w:w="907"/>
        <w:gridCol w:w="912"/>
        <w:gridCol w:w="902"/>
        <w:gridCol w:w="907"/>
        <w:gridCol w:w="917"/>
      </w:tblGrid>
      <w:tr w14:paraId="59BD42AB">
        <w:tblPrEx>
          <w:tblCellMar>
            <w:top w:w="0" w:type="dxa"/>
            <w:left w:w="10" w:type="dxa"/>
            <w:bottom w:w="0" w:type="dxa"/>
            <w:right w:w="10" w:type="dxa"/>
          </w:tblCellMar>
        </w:tblPrEx>
        <w:trPr>
          <w:trHeight w:val="859" w:hRule="exact"/>
          <w:jc w:val="center"/>
        </w:trPr>
        <w:tc>
          <w:tcPr>
            <w:tcW w:w="576" w:type="dxa"/>
            <w:tcBorders>
              <w:top w:val="single" w:color="auto" w:sz="4" w:space="0"/>
              <w:left w:val="single" w:color="auto" w:sz="4" w:space="0"/>
            </w:tcBorders>
            <w:shd w:val="clear" w:color="auto" w:fill="FFFFFF"/>
            <w:vAlign w:val="center"/>
          </w:tcPr>
          <w:p w14:paraId="7BF1E788">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序号</w:t>
            </w:r>
          </w:p>
        </w:tc>
        <w:tc>
          <w:tcPr>
            <w:tcW w:w="1416" w:type="dxa"/>
            <w:tcBorders>
              <w:top w:val="single" w:color="auto" w:sz="4" w:space="0"/>
              <w:left w:val="single" w:color="auto" w:sz="4" w:space="0"/>
            </w:tcBorders>
            <w:shd w:val="clear" w:color="auto" w:fill="FFFFFF"/>
            <w:vAlign w:val="center"/>
          </w:tcPr>
          <w:p w14:paraId="02F1D719">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仪器设备名称</w:t>
            </w:r>
          </w:p>
        </w:tc>
        <w:tc>
          <w:tcPr>
            <w:tcW w:w="907" w:type="dxa"/>
            <w:tcBorders>
              <w:top w:val="single" w:color="auto" w:sz="4" w:space="0"/>
              <w:left w:val="single" w:color="auto" w:sz="4" w:space="0"/>
            </w:tcBorders>
            <w:shd w:val="clear" w:color="auto" w:fill="FFFFFF"/>
            <w:vAlign w:val="center"/>
          </w:tcPr>
          <w:p w14:paraId="015C6CAF">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型号规格</w:t>
            </w:r>
          </w:p>
        </w:tc>
        <w:tc>
          <w:tcPr>
            <w:tcW w:w="907" w:type="dxa"/>
            <w:tcBorders>
              <w:top w:val="single" w:color="auto" w:sz="4" w:space="0"/>
              <w:left w:val="single" w:color="auto" w:sz="4" w:space="0"/>
            </w:tcBorders>
            <w:shd w:val="clear" w:color="auto" w:fill="FFFFFF"/>
            <w:vAlign w:val="center"/>
          </w:tcPr>
          <w:p w14:paraId="731412E6">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数量</w:t>
            </w:r>
          </w:p>
        </w:tc>
        <w:tc>
          <w:tcPr>
            <w:tcW w:w="907" w:type="dxa"/>
            <w:tcBorders>
              <w:top w:val="single" w:color="auto" w:sz="4" w:space="0"/>
              <w:left w:val="single" w:color="auto" w:sz="4" w:space="0"/>
            </w:tcBorders>
            <w:shd w:val="clear" w:color="auto" w:fill="FFFFFF"/>
            <w:vAlign w:val="center"/>
          </w:tcPr>
          <w:p w14:paraId="168E6539">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国别产地</w:t>
            </w:r>
          </w:p>
        </w:tc>
        <w:tc>
          <w:tcPr>
            <w:tcW w:w="912" w:type="dxa"/>
            <w:tcBorders>
              <w:top w:val="single" w:color="auto" w:sz="4" w:space="0"/>
              <w:left w:val="single" w:color="auto" w:sz="4" w:space="0"/>
            </w:tcBorders>
            <w:shd w:val="clear" w:color="auto" w:fill="FFFFFF"/>
            <w:vAlign w:val="center"/>
          </w:tcPr>
          <w:p w14:paraId="3708E59C">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制造年份</w:t>
            </w:r>
          </w:p>
        </w:tc>
        <w:tc>
          <w:tcPr>
            <w:tcW w:w="902" w:type="dxa"/>
            <w:tcBorders>
              <w:top w:val="single" w:color="auto" w:sz="4" w:space="0"/>
              <w:left w:val="single" w:color="auto" w:sz="4" w:space="0"/>
            </w:tcBorders>
            <w:shd w:val="clear" w:color="auto" w:fill="FFFFFF"/>
            <w:vAlign w:val="center"/>
          </w:tcPr>
          <w:p w14:paraId="3B705B16">
            <w:pPr>
              <w:keepNext w:val="0"/>
              <w:keepLines w:val="0"/>
              <w:suppressLineNumbers w:val="0"/>
              <w:spacing w:before="0" w:beforeAutospacing="0" w:after="0" w:afterAutospacing="0" w:line="264" w:lineRule="exact"/>
              <w:ind w:left="0" w:right="0"/>
              <w:jc w:val="center"/>
              <w:rPr>
                <w:rFonts w:hint="default" w:hAnsi="宋体"/>
                <w:color w:val="auto"/>
                <w:highlight w:val="none"/>
                <w:lang w:val="zh-CN"/>
              </w:rPr>
            </w:pPr>
            <w:r>
              <w:rPr>
                <w:rFonts w:hint="eastAsia" w:hAnsi="宋体"/>
                <w:color w:val="auto"/>
                <w:highlight w:val="none"/>
                <w:lang w:val="zh-CN"/>
              </w:rPr>
              <w:t>己使用台时数</w:t>
            </w:r>
          </w:p>
        </w:tc>
        <w:tc>
          <w:tcPr>
            <w:tcW w:w="907" w:type="dxa"/>
            <w:tcBorders>
              <w:top w:val="single" w:color="auto" w:sz="4" w:space="0"/>
              <w:left w:val="single" w:color="auto" w:sz="4" w:space="0"/>
            </w:tcBorders>
            <w:shd w:val="clear" w:color="auto" w:fill="FFFFFF"/>
            <w:vAlign w:val="center"/>
          </w:tcPr>
          <w:p w14:paraId="5B20ABF6">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用途</w:t>
            </w:r>
          </w:p>
        </w:tc>
        <w:tc>
          <w:tcPr>
            <w:tcW w:w="917" w:type="dxa"/>
            <w:tcBorders>
              <w:top w:val="single" w:color="auto" w:sz="4" w:space="0"/>
              <w:left w:val="single" w:color="auto" w:sz="4" w:space="0"/>
              <w:right w:val="single" w:color="auto" w:sz="4" w:space="0"/>
            </w:tcBorders>
            <w:shd w:val="clear" w:color="auto" w:fill="FFFFFF"/>
            <w:vAlign w:val="center"/>
          </w:tcPr>
          <w:p w14:paraId="65DC493E">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备注</w:t>
            </w:r>
          </w:p>
        </w:tc>
      </w:tr>
      <w:tr w14:paraId="0A6CF9EF">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3507E3D6">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6710315F">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7E7A18B7">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4DA68184">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1F61B368">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0F9C69C5">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4E87ED65">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04BBD7B5">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0F66D288">
            <w:pPr>
              <w:keepNext w:val="0"/>
              <w:keepLines w:val="0"/>
              <w:suppressLineNumbers w:val="0"/>
              <w:spacing w:before="0" w:beforeAutospacing="0" w:after="0" w:afterAutospacing="0"/>
              <w:ind w:left="0" w:right="0"/>
              <w:rPr>
                <w:rFonts w:hint="default" w:hAnsi="宋体"/>
                <w:color w:val="auto"/>
                <w:highlight w:val="none"/>
              </w:rPr>
            </w:pPr>
          </w:p>
        </w:tc>
      </w:tr>
      <w:tr w14:paraId="7FB9EBC9">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2046F3D9">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7B67EFE4">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0D510937">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49E3974E">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2A477F4A">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1B7E944F">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49470C91">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6A2902FF">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58F5DFDC">
            <w:pPr>
              <w:keepNext w:val="0"/>
              <w:keepLines w:val="0"/>
              <w:suppressLineNumbers w:val="0"/>
              <w:spacing w:before="0" w:beforeAutospacing="0" w:after="0" w:afterAutospacing="0"/>
              <w:ind w:left="0" w:right="0"/>
              <w:rPr>
                <w:rFonts w:hint="default" w:hAnsi="宋体"/>
                <w:color w:val="auto"/>
                <w:highlight w:val="none"/>
              </w:rPr>
            </w:pPr>
          </w:p>
        </w:tc>
      </w:tr>
      <w:tr w14:paraId="797184D6">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2A035AF9">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0964F922">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79C12839">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36446954">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2126662B">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67CE7D68">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68290F52">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4B58A643">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3090AFDF">
            <w:pPr>
              <w:keepNext w:val="0"/>
              <w:keepLines w:val="0"/>
              <w:suppressLineNumbers w:val="0"/>
              <w:spacing w:before="0" w:beforeAutospacing="0" w:after="0" w:afterAutospacing="0"/>
              <w:ind w:left="0" w:right="0"/>
              <w:rPr>
                <w:rFonts w:hint="default" w:hAnsi="宋体"/>
                <w:color w:val="auto"/>
                <w:highlight w:val="none"/>
              </w:rPr>
            </w:pPr>
          </w:p>
        </w:tc>
      </w:tr>
      <w:tr w14:paraId="42BA4490">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66B4B854">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2D2CA5CC">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4EFBB793">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7EF647E3">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4362D908">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07C406AF">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4491337F">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307BD150">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09592388">
            <w:pPr>
              <w:keepNext w:val="0"/>
              <w:keepLines w:val="0"/>
              <w:suppressLineNumbers w:val="0"/>
              <w:spacing w:before="0" w:beforeAutospacing="0" w:after="0" w:afterAutospacing="0"/>
              <w:ind w:left="0" w:right="0"/>
              <w:rPr>
                <w:rFonts w:hint="default" w:hAnsi="宋体"/>
                <w:color w:val="auto"/>
                <w:highlight w:val="none"/>
              </w:rPr>
            </w:pPr>
          </w:p>
        </w:tc>
      </w:tr>
      <w:tr w14:paraId="46B3AFEE">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70B536F1">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4CFEBB20">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47061C1E">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0CBFE263">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47F459E3">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45A3B36F">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4E2CF86D">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478F55C3">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71E1BCF9">
            <w:pPr>
              <w:keepNext w:val="0"/>
              <w:keepLines w:val="0"/>
              <w:suppressLineNumbers w:val="0"/>
              <w:spacing w:before="0" w:beforeAutospacing="0" w:after="0" w:afterAutospacing="0"/>
              <w:ind w:left="0" w:right="0"/>
              <w:rPr>
                <w:rFonts w:hint="default" w:hAnsi="宋体"/>
                <w:color w:val="auto"/>
                <w:highlight w:val="none"/>
              </w:rPr>
            </w:pPr>
          </w:p>
        </w:tc>
      </w:tr>
      <w:tr w14:paraId="46A4DB09">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61F9E49E">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41C380B2">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78C1A77D">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1B733C3F">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6B92F91C">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34D461FC">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6DF0D3A8">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2FA60D6F">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0661DF8C">
            <w:pPr>
              <w:keepNext w:val="0"/>
              <w:keepLines w:val="0"/>
              <w:suppressLineNumbers w:val="0"/>
              <w:spacing w:before="0" w:beforeAutospacing="0" w:after="0" w:afterAutospacing="0"/>
              <w:ind w:left="0" w:right="0"/>
              <w:rPr>
                <w:rFonts w:hint="default" w:hAnsi="宋体"/>
                <w:color w:val="auto"/>
                <w:highlight w:val="none"/>
              </w:rPr>
            </w:pPr>
          </w:p>
        </w:tc>
      </w:tr>
      <w:tr w14:paraId="43B35FA9">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220903CE">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672D4CFC">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268C46F6">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5F470364">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66EEB3E5">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019F8D47">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57260434">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4988DDC9">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2463A475">
            <w:pPr>
              <w:keepNext w:val="0"/>
              <w:keepLines w:val="0"/>
              <w:suppressLineNumbers w:val="0"/>
              <w:spacing w:before="0" w:beforeAutospacing="0" w:after="0" w:afterAutospacing="0"/>
              <w:ind w:left="0" w:right="0"/>
              <w:rPr>
                <w:rFonts w:hint="default" w:hAnsi="宋体"/>
                <w:color w:val="auto"/>
                <w:highlight w:val="none"/>
              </w:rPr>
            </w:pPr>
          </w:p>
        </w:tc>
      </w:tr>
      <w:tr w14:paraId="5C9F8FE6">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tcPr>
          <w:p w14:paraId="71E217C0">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1EEA7D25">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35884D3E">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2A92249F">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151B640B">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5A5C88C3">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168CEFD1">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3D7CE90C">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5F0A7E52">
            <w:pPr>
              <w:keepNext w:val="0"/>
              <w:keepLines w:val="0"/>
              <w:suppressLineNumbers w:val="0"/>
              <w:spacing w:before="0" w:beforeAutospacing="0" w:after="0" w:afterAutospacing="0"/>
              <w:ind w:left="0" w:right="0"/>
              <w:rPr>
                <w:rFonts w:hint="default" w:hAnsi="宋体"/>
                <w:color w:val="auto"/>
                <w:highlight w:val="none"/>
              </w:rPr>
            </w:pPr>
          </w:p>
        </w:tc>
      </w:tr>
      <w:tr w14:paraId="1611B63A">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5B3D47FC">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08B4960B">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41F42B17">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4F1E991E">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1F238232">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2AFE5591">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204F5C15">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30EE3732">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7F6100E0">
            <w:pPr>
              <w:keepNext w:val="0"/>
              <w:keepLines w:val="0"/>
              <w:suppressLineNumbers w:val="0"/>
              <w:spacing w:before="0" w:beforeAutospacing="0" w:after="0" w:afterAutospacing="0"/>
              <w:ind w:left="0" w:right="0"/>
              <w:rPr>
                <w:rFonts w:hint="default" w:hAnsi="宋体"/>
                <w:color w:val="auto"/>
                <w:highlight w:val="none"/>
              </w:rPr>
            </w:pPr>
          </w:p>
        </w:tc>
      </w:tr>
      <w:tr w14:paraId="547974F6">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70624365">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0C217436">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562EEAE5">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014135CD">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573D662B">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03D69EC3">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4C905B22">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583B45F5">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6D16F35C">
            <w:pPr>
              <w:keepNext w:val="0"/>
              <w:keepLines w:val="0"/>
              <w:suppressLineNumbers w:val="0"/>
              <w:spacing w:before="0" w:beforeAutospacing="0" w:after="0" w:afterAutospacing="0"/>
              <w:ind w:left="0" w:right="0"/>
              <w:rPr>
                <w:rFonts w:hint="default" w:hAnsi="宋体"/>
                <w:color w:val="auto"/>
                <w:highlight w:val="none"/>
              </w:rPr>
            </w:pPr>
          </w:p>
        </w:tc>
      </w:tr>
      <w:tr w14:paraId="1FFCF18E">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6A5149B0">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47ED6B23">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29612E22">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4257FA0C">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03C514B3">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415B0C53">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24E239A4">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1E10E9D3">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30B189FF">
            <w:pPr>
              <w:keepNext w:val="0"/>
              <w:keepLines w:val="0"/>
              <w:suppressLineNumbers w:val="0"/>
              <w:spacing w:before="0" w:beforeAutospacing="0" w:after="0" w:afterAutospacing="0"/>
              <w:ind w:left="0" w:right="0"/>
              <w:rPr>
                <w:rFonts w:hint="default" w:hAnsi="宋体"/>
                <w:color w:val="auto"/>
                <w:highlight w:val="none"/>
              </w:rPr>
            </w:pPr>
          </w:p>
        </w:tc>
      </w:tr>
      <w:tr w14:paraId="3317AA99">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0EE3FB40">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22C49344">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76C4E700">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6B431AD2">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2D9B4F95">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4D0639F3">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54FB3556">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6062FDC2">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1B67C37B">
            <w:pPr>
              <w:keepNext w:val="0"/>
              <w:keepLines w:val="0"/>
              <w:suppressLineNumbers w:val="0"/>
              <w:spacing w:before="0" w:beforeAutospacing="0" w:after="0" w:afterAutospacing="0"/>
              <w:ind w:left="0" w:right="0"/>
              <w:rPr>
                <w:rFonts w:hint="default" w:hAnsi="宋体"/>
                <w:color w:val="auto"/>
                <w:highlight w:val="none"/>
              </w:rPr>
            </w:pPr>
          </w:p>
        </w:tc>
      </w:tr>
      <w:tr w14:paraId="50AA4670">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7F99DAAE">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59AC86AB">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06B158FB">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28DC702D">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226D0FAB">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1C39D456">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6BCD1186">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1E4B100F">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16C2BF48">
            <w:pPr>
              <w:keepNext w:val="0"/>
              <w:keepLines w:val="0"/>
              <w:suppressLineNumbers w:val="0"/>
              <w:spacing w:before="0" w:beforeAutospacing="0" w:after="0" w:afterAutospacing="0"/>
              <w:ind w:left="0" w:right="0"/>
              <w:rPr>
                <w:rFonts w:hint="default" w:hAnsi="宋体"/>
                <w:color w:val="auto"/>
                <w:highlight w:val="none"/>
              </w:rPr>
            </w:pPr>
          </w:p>
        </w:tc>
      </w:tr>
      <w:tr w14:paraId="4D42E280">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1A5394FA">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608D93E9">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4D14419F">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5487C56B">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021C1ED1">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09297AFF">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4CDBF9C2">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09267F5A">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4E330B5B">
            <w:pPr>
              <w:keepNext w:val="0"/>
              <w:keepLines w:val="0"/>
              <w:suppressLineNumbers w:val="0"/>
              <w:spacing w:before="0" w:beforeAutospacing="0" w:after="0" w:afterAutospacing="0"/>
              <w:ind w:left="0" w:right="0"/>
              <w:rPr>
                <w:rFonts w:hint="default" w:hAnsi="宋体"/>
                <w:color w:val="auto"/>
                <w:highlight w:val="none"/>
              </w:rPr>
            </w:pPr>
          </w:p>
        </w:tc>
      </w:tr>
      <w:tr w14:paraId="0D03BD37">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505FEFD0">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5DEF58B2">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1AD8C962">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1DD312D6">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6685983E">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3F33002E">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495B90C3">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154B69E9">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15CB4E6F">
            <w:pPr>
              <w:keepNext w:val="0"/>
              <w:keepLines w:val="0"/>
              <w:suppressLineNumbers w:val="0"/>
              <w:spacing w:before="0" w:beforeAutospacing="0" w:after="0" w:afterAutospacing="0"/>
              <w:ind w:left="0" w:right="0"/>
              <w:rPr>
                <w:rFonts w:hint="default" w:hAnsi="宋体"/>
                <w:color w:val="auto"/>
                <w:highlight w:val="none"/>
              </w:rPr>
            </w:pPr>
          </w:p>
        </w:tc>
      </w:tr>
      <w:tr w14:paraId="7BC65BA8">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auto" w:fill="FFFFFF"/>
          </w:tcPr>
          <w:p w14:paraId="659A9393">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bottom w:val="single" w:color="auto" w:sz="4" w:space="0"/>
            </w:tcBorders>
            <w:shd w:val="clear" w:color="auto" w:fill="FFFFFF"/>
          </w:tcPr>
          <w:p w14:paraId="7C45242C">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14:paraId="538C860D">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14:paraId="7A70B37D">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14:paraId="033ED5A2">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bottom w:val="single" w:color="auto" w:sz="4" w:space="0"/>
            </w:tcBorders>
            <w:shd w:val="clear" w:color="auto" w:fill="FFFFFF"/>
          </w:tcPr>
          <w:p w14:paraId="18FAE2D2">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bottom w:val="single" w:color="auto" w:sz="4" w:space="0"/>
            </w:tcBorders>
            <w:shd w:val="clear" w:color="auto" w:fill="FFFFFF"/>
          </w:tcPr>
          <w:p w14:paraId="2C486018">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14:paraId="1CA65862">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tcPr>
          <w:p w14:paraId="4BFD3778">
            <w:pPr>
              <w:keepNext w:val="0"/>
              <w:keepLines w:val="0"/>
              <w:suppressLineNumbers w:val="0"/>
              <w:spacing w:before="0" w:beforeAutospacing="0" w:after="0" w:afterAutospacing="0"/>
              <w:ind w:left="0" w:right="0"/>
              <w:rPr>
                <w:rFonts w:hint="default" w:hAnsi="宋体"/>
                <w:color w:val="auto"/>
                <w:highlight w:val="none"/>
              </w:rPr>
            </w:pPr>
          </w:p>
        </w:tc>
      </w:tr>
    </w:tbl>
    <w:p w14:paraId="16B36855">
      <w:pPr>
        <w:spacing w:after="299" w:line="1" w:lineRule="exact"/>
        <w:rPr>
          <w:rFonts w:hAnsi="宋体"/>
          <w:color w:val="auto"/>
          <w:highlight w:val="none"/>
        </w:rPr>
      </w:pPr>
    </w:p>
    <w:p w14:paraId="6E5BCEC3">
      <w:pPr>
        <w:tabs>
          <w:tab w:val="left" w:pos="0"/>
        </w:tabs>
        <w:spacing w:line="480" w:lineRule="auto"/>
        <w:ind w:right="-210"/>
        <w:jc w:val="center"/>
        <w:rPr>
          <w:rFonts w:hAnsi="宋体"/>
          <w:color w:val="auto"/>
          <w:kern w:val="2"/>
          <w:highlight w:val="none"/>
        </w:rPr>
      </w:pPr>
      <w:bookmarkStart w:id="2241" w:name="bookmark2238"/>
      <w:bookmarkStart w:id="2242" w:name="bookmark2237"/>
      <w:bookmarkStart w:id="2243" w:name="bookmark2239"/>
      <w:r>
        <w:rPr>
          <w:rFonts w:hint="eastAsia" w:hAnsi="宋体"/>
          <w:color w:val="auto"/>
          <w:kern w:val="2"/>
          <w:highlight w:val="none"/>
        </w:rPr>
        <w:t xml:space="preserve">                     供应商：</w:t>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（盖单位章）</w:t>
      </w:r>
    </w:p>
    <w:p w14:paraId="5E06BA2A">
      <w:pPr>
        <w:tabs>
          <w:tab w:val="left" w:pos="0"/>
        </w:tabs>
        <w:spacing w:line="480" w:lineRule="auto"/>
        <w:ind w:right="-210"/>
        <w:jc w:val="right"/>
        <w:rPr>
          <w:rFonts w:hAnsi="宋体"/>
          <w:color w:val="auto"/>
          <w:kern w:val="2"/>
          <w:highlight w:val="none"/>
        </w:rPr>
      </w:pPr>
      <w:r>
        <w:rPr>
          <w:rFonts w:hint="eastAsia" w:hAnsi="宋体"/>
          <w:color w:val="auto"/>
          <w:kern w:val="2"/>
          <w:highlight w:val="none"/>
        </w:rPr>
        <w:t>法定代表人（负责人）或授权委托代理人：</w:t>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int="eastAsia" w:hAnsi="宋体" w:cs="Times New Roman"/>
          <w:color w:val="auto"/>
          <w:highlight w:val="none"/>
          <w:lang w:bidi="ar"/>
        </w:rPr>
        <w:t>（签字或盖章）</w:t>
      </w:r>
    </w:p>
    <w:p w14:paraId="20F6C150">
      <w:pPr>
        <w:tabs>
          <w:tab w:val="left" w:pos="0"/>
        </w:tabs>
        <w:spacing w:line="480" w:lineRule="auto"/>
        <w:ind w:right="-210"/>
        <w:jc w:val="right"/>
        <w:rPr>
          <w:rFonts w:hAnsi="宋体"/>
          <w:color w:val="auto"/>
          <w:sz w:val="20"/>
          <w:szCs w:val="20"/>
          <w:highlight w:val="none"/>
          <w:lang w:val="zh-CN"/>
        </w:rPr>
      </w:pP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年</w:t>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月</w:t>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日</w:t>
      </w:r>
      <w:r>
        <w:rPr>
          <w:rFonts w:hAnsi="宋体"/>
          <w:color w:val="auto"/>
          <w:highlight w:val="none"/>
        </w:rPr>
        <w:br w:type="page"/>
      </w:r>
    </w:p>
    <w:p w14:paraId="5009D3A6">
      <w:pPr>
        <w:rPr>
          <w:rFonts w:hAnsi="宋体"/>
          <w:b/>
          <w:color w:val="auto"/>
          <w:highlight w:val="none"/>
        </w:rPr>
      </w:pPr>
      <w:r>
        <w:rPr>
          <w:rFonts w:hint="eastAsia" w:hAnsi="宋体"/>
          <w:b/>
          <w:color w:val="auto"/>
          <w:highlight w:val="none"/>
        </w:rPr>
        <w:t>附件三：拟投入本合同工程的劳动力计划表</w:t>
      </w:r>
      <w:bookmarkEnd w:id="2241"/>
      <w:bookmarkEnd w:id="2242"/>
      <w:bookmarkEnd w:id="2243"/>
    </w:p>
    <w:p w14:paraId="641767FC">
      <w:pPr>
        <w:rPr>
          <w:rFonts w:hAnsi="宋体"/>
          <w:b/>
          <w:color w:val="auto"/>
          <w:sz w:val="20"/>
          <w:szCs w:val="20"/>
          <w:highlight w:val="none"/>
        </w:rPr>
      </w:pPr>
    </w:p>
    <w:p w14:paraId="2651A68B">
      <w:pPr>
        <w:jc w:val="center"/>
        <w:rPr>
          <w:rFonts w:hAnsi="宋体"/>
          <w:b/>
          <w:color w:val="auto"/>
          <w:highlight w:val="none"/>
        </w:rPr>
      </w:pPr>
      <w:bookmarkStart w:id="2244" w:name="bookmark2240"/>
      <w:bookmarkStart w:id="2245" w:name="_Toc26872"/>
      <w:bookmarkStart w:id="2246" w:name="_Toc30824"/>
      <w:bookmarkStart w:id="2247" w:name="bookmark2242"/>
      <w:bookmarkStart w:id="2248" w:name="bookmark2241"/>
      <w:r>
        <w:rPr>
          <w:rFonts w:hint="eastAsia" w:hAnsi="宋体"/>
          <w:b/>
          <w:color w:val="auto"/>
          <w:highlight w:val="none"/>
        </w:rPr>
        <w:t>拟投入本合同工程的劳动力计划表</w:t>
      </w:r>
      <w:bookmarkEnd w:id="2244"/>
      <w:bookmarkEnd w:id="2245"/>
      <w:bookmarkEnd w:id="2246"/>
      <w:bookmarkEnd w:id="2247"/>
      <w:bookmarkEnd w:id="2248"/>
    </w:p>
    <w:p w14:paraId="0B8A5A58">
      <w:pPr>
        <w:jc w:val="center"/>
        <w:rPr>
          <w:rFonts w:hAnsi="宋体"/>
          <w:b/>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380365</wp:posOffset>
                </wp:positionH>
                <wp:positionV relativeFrom="paragraph">
                  <wp:posOffset>173355</wp:posOffset>
                </wp:positionV>
                <wp:extent cx="1822450" cy="366395"/>
                <wp:effectExtent l="635" t="4445" r="5715" b="10160"/>
                <wp:wrapNone/>
                <wp:docPr id="6" name="自选图形 4"/>
                <wp:cNvGraphicFramePr/>
                <a:graphic xmlns:a="http://schemas.openxmlformats.org/drawingml/2006/main">
                  <a:graphicData uri="http://schemas.microsoft.com/office/word/2010/wordprocessingShape">
                    <wps:wsp>
                      <wps:cNvCnPr/>
                      <wps:spPr>
                        <a:xfrm>
                          <a:off x="0" y="0"/>
                          <a:ext cx="1822450" cy="36639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 o:spid="_x0000_s1026" o:spt="32" type="#_x0000_t32" style="position:absolute;left:0pt;margin-left:29.95pt;margin-top:13.65pt;height:28.85pt;width:143.5pt;z-index:251659264;mso-width-relative:page;mso-height-relative:page;" filled="f" stroked="t" coordsize="21600,21600" o:gfxdata="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0cVptgAAAAIAQAADwAAAAAAAAABACAAAAAiAAAAZHJzL2Rvd25y&#10;ZXYueG1sUEsBAhQAFAAAAAgAh07iQNiw4w7+AQAA9gMAAA4AAAAAAAAAAQAgAAAAJwEAAGRycy9l&#10;Mm9Eb2MueG1sUEsFBgAAAAAGAAYAWQEAAJcFAAAAAA==&#10;">
                <v:fill on="f" focussize="0,0"/>
                <v:stroke color="#000000" joinstyle="round"/>
                <v:imagedata o:title=""/>
                <o:lock v:ext="edit" aspectratio="f"/>
              </v:shape>
            </w:pict>
          </mc:Fallback>
        </mc:AlternateContent>
      </w:r>
    </w:p>
    <w:tbl>
      <w:tblPr>
        <w:tblStyle w:val="47"/>
        <w:tblW w:w="8352" w:type="dxa"/>
        <w:jc w:val="center"/>
        <w:tblLayout w:type="fixed"/>
        <w:tblCellMar>
          <w:top w:w="0" w:type="dxa"/>
          <w:left w:w="10" w:type="dxa"/>
          <w:bottom w:w="0" w:type="dxa"/>
          <w:right w:w="10" w:type="dxa"/>
        </w:tblCellMar>
      </w:tblPr>
      <w:tblGrid>
        <w:gridCol w:w="1426"/>
        <w:gridCol w:w="1421"/>
        <w:gridCol w:w="643"/>
        <w:gridCol w:w="648"/>
        <w:gridCol w:w="643"/>
        <w:gridCol w:w="648"/>
        <w:gridCol w:w="648"/>
        <w:gridCol w:w="1133"/>
        <w:gridCol w:w="1142"/>
      </w:tblGrid>
      <w:tr w14:paraId="15E67046">
        <w:tblPrEx>
          <w:tblCellMar>
            <w:top w:w="0" w:type="dxa"/>
            <w:left w:w="10" w:type="dxa"/>
            <w:bottom w:w="0" w:type="dxa"/>
            <w:right w:w="10" w:type="dxa"/>
          </w:tblCellMar>
        </w:tblPrEx>
        <w:trPr>
          <w:trHeight w:val="576" w:hRule="exact"/>
          <w:jc w:val="center"/>
        </w:trPr>
        <w:tc>
          <w:tcPr>
            <w:tcW w:w="2847" w:type="dxa"/>
            <w:gridSpan w:val="2"/>
            <w:vMerge w:val="restart"/>
            <w:tcBorders>
              <w:top w:val="single" w:color="auto" w:sz="4" w:space="0"/>
              <w:left w:val="single" w:color="auto" w:sz="4" w:space="0"/>
            </w:tcBorders>
            <w:shd w:val="clear" w:color="auto" w:fill="FFFFFF"/>
            <w:vAlign w:val="center"/>
          </w:tcPr>
          <w:p w14:paraId="5A5759FD">
            <w:pPr>
              <w:keepNext w:val="0"/>
              <w:keepLines w:val="0"/>
              <w:suppressLineNumbers w:val="0"/>
              <w:spacing w:before="0" w:beforeAutospacing="0" w:after="0" w:afterAutospacing="0" w:line="266" w:lineRule="exact"/>
              <w:ind w:left="1060" w:right="0" w:firstLine="1220"/>
              <w:jc w:val="left"/>
              <w:rPr>
                <w:rFonts w:hint="default" w:hAnsi="宋体"/>
                <w:color w:val="auto"/>
                <w:highlight w:val="none"/>
                <w:lang w:val="zh-CN"/>
              </w:rPr>
            </w:pPr>
            <w:r>
              <w:rPr>
                <w:rFonts w:hint="default"/>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-8255</wp:posOffset>
                      </wp:positionV>
                      <wp:extent cx="1139190" cy="728980"/>
                      <wp:effectExtent l="2540" t="3810" r="20320" b="10160"/>
                      <wp:wrapNone/>
                      <wp:docPr id="7" name="自选图形 5"/>
                      <wp:cNvGraphicFramePr/>
                      <a:graphic xmlns:a="http://schemas.openxmlformats.org/drawingml/2006/main">
                        <a:graphicData uri="http://schemas.microsoft.com/office/word/2010/wordprocessingShape">
                          <wps:wsp>
                            <wps:cNvCnPr/>
                            <wps:spPr>
                              <a:xfrm>
                                <a:off x="0" y="0"/>
                                <a:ext cx="1139190" cy="72898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5" o:spid="_x0000_s1026" o:spt="32" type="#_x0000_t32" style="position:absolute;left:0pt;margin-left:-1.1pt;margin-top:-0.65pt;height:57.4pt;width:89.7pt;z-index:251660288;mso-width-relative:page;mso-height-relative:page;" filled="f" stroked="t" coordsize="21600,21600" o:gfxdata="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ha+1XXAAAACQEAAA8AAAAAAAAAAQAgAAAAIgAAAGRycy9kb3du&#10;cmV2LnhtbFBLAQIUABQAAAAIAIdO4kByltjMAAIAAPYDAAAOAAAAAAAAAAEAIAAAACYBAABkcnMv&#10;ZTJvRG9jLnhtbFBLBQYAAAAABgAGAFkBAACYBQAAAAA=&#10;">
                      <v:fill on="f" focussize="0,0"/>
                      <v:stroke color="#000000" joinstyle="round"/>
                      <v:imagedata o:title=""/>
                      <o:lock v:ext="edit" aspectratio="f"/>
                    </v:shape>
                  </w:pict>
                </mc:Fallback>
              </mc:AlternateContent>
            </w:r>
            <w:r>
              <w:rPr>
                <w:rFonts w:hint="eastAsia" w:hAnsi="宋体"/>
                <w:color w:val="auto"/>
                <w:highlight w:val="none"/>
                <w:lang w:val="zh-CN"/>
              </w:rPr>
              <w:t>工种</w:t>
            </w:r>
            <w:r>
              <w:rPr>
                <w:rFonts w:hint="default" w:hAnsi="宋体"/>
                <w:color w:val="auto"/>
                <w:highlight w:val="none"/>
                <w:lang w:val="zh-CN"/>
              </w:rPr>
              <w:t xml:space="preserve"> </w:t>
            </w:r>
            <w:r>
              <w:rPr>
                <w:rFonts w:hint="eastAsia" w:hAnsi="宋体"/>
                <w:color w:val="auto"/>
                <w:highlight w:val="none"/>
                <w:lang w:val="zh-CN"/>
              </w:rPr>
              <w:t>人数</w:t>
            </w:r>
          </w:p>
          <w:p w14:paraId="38646209">
            <w:pPr>
              <w:keepNext w:val="0"/>
              <w:keepLines w:val="0"/>
              <w:suppressLineNumbers w:val="0"/>
              <w:spacing w:before="0" w:beforeAutospacing="0" w:after="0" w:afterAutospacing="0" w:line="266" w:lineRule="exact"/>
              <w:ind w:left="0" w:right="0" w:firstLine="180"/>
              <w:jc w:val="left"/>
              <w:rPr>
                <w:rFonts w:hint="default" w:hAnsi="宋体"/>
                <w:color w:val="auto"/>
                <w:highlight w:val="none"/>
                <w:lang w:val="zh-CN"/>
              </w:rPr>
            </w:pPr>
            <w:r>
              <w:rPr>
                <w:rFonts w:hint="eastAsia" w:hAnsi="宋体"/>
                <w:color w:val="auto"/>
                <w:highlight w:val="none"/>
                <w:lang w:val="zh-CN"/>
              </w:rPr>
              <w:t>时间</w:t>
            </w:r>
          </w:p>
        </w:tc>
        <w:tc>
          <w:tcPr>
            <w:tcW w:w="643" w:type="dxa"/>
            <w:vMerge w:val="restart"/>
            <w:tcBorders>
              <w:top w:val="single" w:color="auto" w:sz="4" w:space="0"/>
              <w:left w:val="single" w:color="auto" w:sz="4" w:space="0"/>
            </w:tcBorders>
            <w:shd w:val="clear" w:color="auto" w:fill="FFFFFF"/>
          </w:tcPr>
          <w:p w14:paraId="76F83EDC">
            <w:pPr>
              <w:keepNext w:val="0"/>
              <w:keepLines w:val="0"/>
              <w:suppressLineNumbers w:val="0"/>
              <w:spacing w:before="0" w:beforeAutospacing="0" w:after="0" w:afterAutospacing="0"/>
              <w:ind w:left="0" w:right="0"/>
              <w:rPr>
                <w:rFonts w:hint="default" w:hAnsi="宋体"/>
                <w:color w:val="auto"/>
                <w:highlight w:val="none"/>
              </w:rPr>
            </w:pPr>
          </w:p>
        </w:tc>
        <w:tc>
          <w:tcPr>
            <w:tcW w:w="648" w:type="dxa"/>
            <w:vMerge w:val="restart"/>
            <w:tcBorders>
              <w:top w:val="single" w:color="auto" w:sz="4" w:space="0"/>
              <w:left w:val="single" w:color="auto" w:sz="4" w:space="0"/>
            </w:tcBorders>
            <w:shd w:val="clear" w:color="auto" w:fill="FFFFFF"/>
          </w:tcPr>
          <w:p w14:paraId="5238F9A8">
            <w:pPr>
              <w:keepNext w:val="0"/>
              <w:keepLines w:val="0"/>
              <w:suppressLineNumbers w:val="0"/>
              <w:spacing w:before="0" w:beforeAutospacing="0" w:after="0" w:afterAutospacing="0"/>
              <w:ind w:left="0" w:right="0"/>
              <w:rPr>
                <w:rFonts w:hint="default" w:hAnsi="宋体"/>
                <w:color w:val="auto"/>
                <w:highlight w:val="none"/>
              </w:rPr>
            </w:pPr>
          </w:p>
        </w:tc>
        <w:tc>
          <w:tcPr>
            <w:tcW w:w="643" w:type="dxa"/>
            <w:vMerge w:val="restart"/>
            <w:tcBorders>
              <w:top w:val="single" w:color="auto" w:sz="4" w:space="0"/>
              <w:left w:val="single" w:color="auto" w:sz="4" w:space="0"/>
            </w:tcBorders>
            <w:shd w:val="clear" w:color="auto" w:fill="FFFFFF"/>
          </w:tcPr>
          <w:p w14:paraId="4E5D679E">
            <w:pPr>
              <w:keepNext w:val="0"/>
              <w:keepLines w:val="0"/>
              <w:suppressLineNumbers w:val="0"/>
              <w:spacing w:before="0" w:beforeAutospacing="0" w:after="0" w:afterAutospacing="0"/>
              <w:ind w:left="0" w:right="0"/>
              <w:rPr>
                <w:rFonts w:hint="default" w:hAnsi="宋体"/>
                <w:color w:val="auto"/>
                <w:highlight w:val="none"/>
              </w:rPr>
            </w:pPr>
          </w:p>
        </w:tc>
        <w:tc>
          <w:tcPr>
            <w:tcW w:w="648" w:type="dxa"/>
            <w:vMerge w:val="restart"/>
            <w:tcBorders>
              <w:top w:val="single" w:color="auto" w:sz="4" w:space="0"/>
              <w:left w:val="single" w:color="auto" w:sz="4" w:space="0"/>
            </w:tcBorders>
            <w:shd w:val="clear" w:color="auto" w:fill="FFFFFF"/>
          </w:tcPr>
          <w:p w14:paraId="2947ED53">
            <w:pPr>
              <w:keepNext w:val="0"/>
              <w:keepLines w:val="0"/>
              <w:suppressLineNumbers w:val="0"/>
              <w:spacing w:before="0" w:beforeAutospacing="0" w:after="0" w:afterAutospacing="0"/>
              <w:ind w:left="0" w:right="0"/>
              <w:rPr>
                <w:rFonts w:hint="default" w:hAnsi="宋体"/>
                <w:color w:val="auto"/>
                <w:highlight w:val="none"/>
              </w:rPr>
            </w:pPr>
          </w:p>
        </w:tc>
        <w:tc>
          <w:tcPr>
            <w:tcW w:w="648" w:type="dxa"/>
            <w:vMerge w:val="restart"/>
            <w:tcBorders>
              <w:top w:val="single" w:color="auto" w:sz="4" w:space="0"/>
              <w:left w:val="single" w:color="auto" w:sz="4" w:space="0"/>
            </w:tcBorders>
            <w:shd w:val="clear" w:color="auto" w:fill="FFFFFF"/>
          </w:tcPr>
          <w:p w14:paraId="60E274FE">
            <w:pPr>
              <w:keepNext w:val="0"/>
              <w:keepLines w:val="0"/>
              <w:suppressLineNumbers w:val="0"/>
              <w:spacing w:before="0" w:beforeAutospacing="0" w:after="0" w:afterAutospacing="0"/>
              <w:ind w:left="0" w:right="0"/>
              <w:rPr>
                <w:rFonts w:hint="default" w:hAnsi="宋体"/>
                <w:color w:val="auto"/>
                <w:highlight w:val="none"/>
              </w:rPr>
            </w:pPr>
          </w:p>
        </w:tc>
        <w:tc>
          <w:tcPr>
            <w:tcW w:w="2275" w:type="dxa"/>
            <w:gridSpan w:val="2"/>
            <w:tcBorders>
              <w:top w:val="single" w:color="auto" w:sz="4" w:space="0"/>
              <w:left w:val="single" w:color="auto" w:sz="4" w:space="0"/>
              <w:right w:val="single" w:color="auto" w:sz="4" w:space="0"/>
            </w:tcBorders>
            <w:shd w:val="clear" w:color="auto" w:fill="FFFFFF"/>
            <w:vAlign w:val="center"/>
          </w:tcPr>
          <w:p w14:paraId="0EA97BC6">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合</w:t>
            </w:r>
            <w:r>
              <w:rPr>
                <w:rFonts w:hint="default" w:hAnsi="宋体"/>
                <w:color w:val="auto"/>
                <w:highlight w:val="none"/>
                <w:lang w:val="zh-CN"/>
              </w:rPr>
              <w:t xml:space="preserve"> </w:t>
            </w:r>
            <w:r>
              <w:rPr>
                <w:rFonts w:hint="eastAsia" w:hAnsi="宋体"/>
                <w:color w:val="auto"/>
                <w:highlight w:val="none"/>
                <w:lang w:val="zh-CN"/>
              </w:rPr>
              <w:t>计</w:t>
            </w:r>
          </w:p>
        </w:tc>
      </w:tr>
      <w:tr w14:paraId="4EF71E80">
        <w:tblPrEx>
          <w:tblCellMar>
            <w:top w:w="0" w:type="dxa"/>
            <w:left w:w="10" w:type="dxa"/>
            <w:bottom w:w="0" w:type="dxa"/>
            <w:right w:w="10" w:type="dxa"/>
          </w:tblCellMar>
        </w:tblPrEx>
        <w:trPr>
          <w:trHeight w:val="566" w:hRule="exact"/>
          <w:jc w:val="center"/>
        </w:trPr>
        <w:tc>
          <w:tcPr>
            <w:tcW w:w="2847" w:type="dxa"/>
            <w:gridSpan w:val="2"/>
            <w:vMerge w:val="continue"/>
            <w:tcBorders>
              <w:left w:val="single" w:color="auto" w:sz="4" w:space="0"/>
            </w:tcBorders>
            <w:shd w:val="clear" w:color="auto" w:fill="FFFFFF"/>
            <w:vAlign w:val="center"/>
          </w:tcPr>
          <w:p w14:paraId="6DD923B1">
            <w:pPr>
              <w:keepNext w:val="0"/>
              <w:keepLines w:val="0"/>
              <w:suppressLineNumbers w:val="0"/>
              <w:spacing w:before="0" w:beforeAutospacing="0" w:after="0" w:afterAutospacing="0"/>
              <w:ind w:left="0" w:right="0"/>
              <w:rPr>
                <w:rFonts w:hint="default" w:hAnsi="宋体"/>
                <w:color w:val="auto"/>
                <w:highlight w:val="none"/>
              </w:rPr>
            </w:pPr>
          </w:p>
        </w:tc>
        <w:tc>
          <w:tcPr>
            <w:tcW w:w="643" w:type="dxa"/>
            <w:vMerge w:val="continue"/>
            <w:tcBorders>
              <w:left w:val="single" w:color="auto" w:sz="4" w:space="0"/>
            </w:tcBorders>
            <w:shd w:val="clear" w:color="auto" w:fill="FFFFFF"/>
          </w:tcPr>
          <w:p w14:paraId="6CCE20A0">
            <w:pPr>
              <w:keepNext w:val="0"/>
              <w:keepLines w:val="0"/>
              <w:suppressLineNumbers w:val="0"/>
              <w:spacing w:before="0" w:beforeAutospacing="0" w:after="0" w:afterAutospacing="0"/>
              <w:ind w:left="0" w:right="0"/>
              <w:rPr>
                <w:rFonts w:hint="default" w:hAnsi="宋体"/>
                <w:color w:val="auto"/>
                <w:highlight w:val="none"/>
              </w:rPr>
            </w:pPr>
          </w:p>
        </w:tc>
        <w:tc>
          <w:tcPr>
            <w:tcW w:w="648" w:type="dxa"/>
            <w:vMerge w:val="continue"/>
            <w:tcBorders>
              <w:left w:val="single" w:color="auto" w:sz="4" w:space="0"/>
            </w:tcBorders>
            <w:shd w:val="clear" w:color="auto" w:fill="FFFFFF"/>
          </w:tcPr>
          <w:p w14:paraId="182649E4">
            <w:pPr>
              <w:keepNext w:val="0"/>
              <w:keepLines w:val="0"/>
              <w:suppressLineNumbers w:val="0"/>
              <w:spacing w:before="0" w:beforeAutospacing="0" w:after="0" w:afterAutospacing="0"/>
              <w:ind w:left="0" w:right="0"/>
              <w:rPr>
                <w:rFonts w:hint="default" w:hAnsi="宋体"/>
                <w:color w:val="auto"/>
                <w:highlight w:val="none"/>
              </w:rPr>
            </w:pPr>
          </w:p>
        </w:tc>
        <w:tc>
          <w:tcPr>
            <w:tcW w:w="643" w:type="dxa"/>
            <w:vMerge w:val="continue"/>
            <w:tcBorders>
              <w:left w:val="single" w:color="auto" w:sz="4" w:space="0"/>
            </w:tcBorders>
            <w:shd w:val="clear" w:color="auto" w:fill="FFFFFF"/>
          </w:tcPr>
          <w:p w14:paraId="6EB74A60">
            <w:pPr>
              <w:keepNext w:val="0"/>
              <w:keepLines w:val="0"/>
              <w:suppressLineNumbers w:val="0"/>
              <w:spacing w:before="0" w:beforeAutospacing="0" w:after="0" w:afterAutospacing="0"/>
              <w:ind w:left="0" w:right="0"/>
              <w:rPr>
                <w:rFonts w:hint="default" w:hAnsi="宋体"/>
                <w:color w:val="auto"/>
                <w:highlight w:val="none"/>
              </w:rPr>
            </w:pPr>
          </w:p>
        </w:tc>
        <w:tc>
          <w:tcPr>
            <w:tcW w:w="648" w:type="dxa"/>
            <w:vMerge w:val="continue"/>
            <w:tcBorders>
              <w:left w:val="single" w:color="auto" w:sz="4" w:space="0"/>
            </w:tcBorders>
            <w:shd w:val="clear" w:color="auto" w:fill="FFFFFF"/>
          </w:tcPr>
          <w:p w14:paraId="63565818">
            <w:pPr>
              <w:keepNext w:val="0"/>
              <w:keepLines w:val="0"/>
              <w:suppressLineNumbers w:val="0"/>
              <w:spacing w:before="0" w:beforeAutospacing="0" w:after="0" w:afterAutospacing="0"/>
              <w:ind w:left="0" w:right="0"/>
              <w:rPr>
                <w:rFonts w:hint="default" w:hAnsi="宋体"/>
                <w:color w:val="auto"/>
                <w:highlight w:val="none"/>
              </w:rPr>
            </w:pPr>
          </w:p>
        </w:tc>
        <w:tc>
          <w:tcPr>
            <w:tcW w:w="648" w:type="dxa"/>
            <w:vMerge w:val="continue"/>
            <w:tcBorders>
              <w:left w:val="single" w:color="auto" w:sz="4" w:space="0"/>
            </w:tcBorders>
            <w:shd w:val="clear" w:color="auto" w:fill="FFFFFF"/>
          </w:tcPr>
          <w:p w14:paraId="0A4C61E0">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vAlign w:val="center"/>
          </w:tcPr>
          <w:p w14:paraId="5D556434">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人数</w:t>
            </w:r>
          </w:p>
        </w:tc>
        <w:tc>
          <w:tcPr>
            <w:tcW w:w="1142" w:type="dxa"/>
            <w:tcBorders>
              <w:top w:val="single" w:color="auto" w:sz="4" w:space="0"/>
              <w:left w:val="single" w:color="auto" w:sz="4" w:space="0"/>
              <w:right w:val="single" w:color="auto" w:sz="4" w:space="0"/>
            </w:tcBorders>
            <w:shd w:val="clear" w:color="auto" w:fill="FFFFFF"/>
            <w:vAlign w:val="center"/>
          </w:tcPr>
          <w:p w14:paraId="53345B87">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人工工日数</w:t>
            </w:r>
          </w:p>
        </w:tc>
      </w:tr>
      <w:tr w14:paraId="3BF4E4A3">
        <w:tblPrEx>
          <w:tblCellMar>
            <w:top w:w="0" w:type="dxa"/>
            <w:left w:w="10" w:type="dxa"/>
            <w:bottom w:w="0" w:type="dxa"/>
            <w:right w:w="10" w:type="dxa"/>
          </w:tblCellMar>
        </w:tblPrEx>
        <w:trPr>
          <w:trHeight w:val="566" w:hRule="exact"/>
          <w:jc w:val="center"/>
        </w:trPr>
        <w:tc>
          <w:tcPr>
            <w:tcW w:w="1426" w:type="dxa"/>
            <w:vMerge w:val="restart"/>
            <w:tcBorders>
              <w:top w:val="single" w:color="auto" w:sz="4" w:space="0"/>
              <w:left w:val="single" w:color="auto" w:sz="4" w:space="0"/>
            </w:tcBorders>
            <w:shd w:val="clear" w:color="auto" w:fill="FFFFFF"/>
            <w:vAlign w:val="center"/>
          </w:tcPr>
          <w:p w14:paraId="1CF66BCB">
            <w:pPr>
              <w:keepNext w:val="0"/>
              <w:keepLines w:val="0"/>
              <w:suppressLineNumbers w:val="0"/>
              <w:spacing w:before="0" w:beforeAutospacing="0" w:after="0" w:afterAutospacing="0"/>
              <w:ind w:left="1120" w:right="0"/>
              <w:jc w:val="left"/>
              <w:rPr>
                <w:rFonts w:hint="default" w:hAnsi="宋体"/>
                <w:color w:val="auto"/>
                <w:highlight w:val="none"/>
                <w:lang w:val="zh-CN"/>
              </w:rPr>
            </w:pPr>
            <w:r>
              <w:rPr>
                <w:rFonts w:hint="eastAsia" w:hAnsi="宋体"/>
                <w:color w:val="auto"/>
                <w:highlight w:val="none"/>
                <w:lang w:val="zh-CN"/>
              </w:rPr>
              <w:t>年</w:t>
            </w:r>
          </w:p>
        </w:tc>
        <w:tc>
          <w:tcPr>
            <w:tcW w:w="1421" w:type="dxa"/>
            <w:tcBorders>
              <w:top w:val="single" w:color="auto" w:sz="4" w:space="0"/>
              <w:left w:val="single" w:color="auto" w:sz="4" w:space="0"/>
            </w:tcBorders>
            <w:shd w:val="clear" w:color="auto" w:fill="FFFFFF"/>
            <w:vAlign w:val="center"/>
          </w:tcPr>
          <w:p w14:paraId="2FC0385A">
            <w:pPr>
              <w:keepNext w:val="0"/>
              <w:keepLines w:val="0"/>
              <w:suppressLineNumbers w:val="0"/>
              <w:spacing w:before="0" w:beforeAutospacing="0" w:after="0" w:afterAutospacing="0"/>
              <w:ind w:left="1120" w:right="0"/>
              <w:jc w:val="left"/>
              <w:rPr>
                <w:rFonts w:hint="default" w:hAnsi="宋体"/>
                <w:color w:val="auto"/>
                <w:highlight w:val="none"/>
                <w:lang w:val="zh-CN"/>
              </w:rPr>
            </w:pPr>
            <w:r>
              <w:rPr>
                <w:rFonts w:hint="eastAsia" w:hAnsi="宋体"/>
                <w:color w:val="auto"/>
                <w:highlight w:val="none"/>
                <w:lang w:val="zh-CN"/>
              </w:rPr>
              <w:t>月</w:t>
            </w:r>
          </w:p>
        </w:tc>
        <w:tc>
          <w:tcPr>
            <w:tcW w:w="643" w:type="dxa"/>
            <w:tcBorders>
              <w:top w:val="single" w:color="auto" w:sz="4" w:space="0"/>
              <w:left w:val="single" w:color="auto" w:sz="4" w:space="0"/>
            </w:tcBorders>
            <w:shd w:val="clear" w:color="auto" w:fill="FFFFFF"/>
          </w:tcPr>
          <w:p w14:paraId="33FD6D20">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24A03E45">
            <w:pPr>
              <w:keepNext w:val="0"/>
              <w:keepLines w:val="0"/>
              <w:suppressLineNumbers w:val="0"/>
              <w:spacing w:before="0" w:beforeAutospacing="0" w:after="0" w:afterAutospacing="0"/>
              <w:ind w:left="0" w:right="0"/>
              <w:rPr>
                <w:rFonts w:hint="default" w:hAnsi="宋体"/>
                <w:color w:val="auto"/>
                <w:highlight w:val="none"/>
              </w:rPr>
            </w:pPr>
          </w:p>
        </w:tc>
        <w:tc>
          <w:tcPr>
            <w:tcW w:w="643" w:type="dxa"/>
            <w:tcBorders>
              <w:top w:val="single" w:color="auto" w:sz="4" w:space="0"/>
              <w:left w:val="single" w:color="auto" w:sz="4" w:space="0"/>
            </w:tcBorders>
            <w:shd w:val="clear" w:color="auto" w:fill="FFFFFF"/>
          </w:tcPr>
          <w:p w14:paraId="355A40B7">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3119D0C1">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15B4F551">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6E794CF4">
            <w:pPr>
              <w:keepNext w:val="0"/>
              <w:keepLines w:val="0"/>
              <w:suppressLineNumbers w:val="0"/>
              <w:spacing w:before="0" w:beforeAutospacing="0" w:after="0" w:afterAutospacing="0"/>
              <w:ind w:left="0" w:right="0"/>
              <w:rPr>
                <w:rFonts w:hint="default" w:hAnsi="宋体"/>
                <w:color w:val="auto"/>
                <w:highlight w:val="none"/>
              </w:rPr>
            </w:pPr>
          </w:p>
        </w:tc>
        <w:tc>
          <w:tcPr>
            <w:tcW w:w="1142" w:type="dxa"/>
            <w:tcBorders>
              <w:top w:val="single" w:color="auto" w:sz="4" w:space="0"/>
              <w:left w:val="single" w:color="auto" w:sz="4" w:space="0"/>
              <w:right w:val="single" w:color="auto" w:sz="4" w:space="0"/>
            </w:tcBorders>
            <w:shd w:val="clear" w:color="auto" w:fill="FFFFFF"/>
            <w:vAlign w:val="center"/>
          </w:tcPr>
          <w:p w14:paraId="0617E81B">
            <w:pPr>
              <w:keepNext w:val="0"/>
              <w:keepLines w:val="0"/>
              <w:suppressLineNumbers w:val="0"/>
              <w:spacing w:before="0" w:beforeAutospacing="0" w:after="0" w:afterAutospacing="0"/>
              <w:ind w:left="0" w:right="0"/>
              <w:jc w:val="center"/>
              <w:rPr>
                <w:rFonts w:hint="default" w:hAnsi="宋体"/>
                <w:color w:val="auto"/>
                <w:highlight w:val="none"/>
              </w:rPr>
            </w:pPr>
          </w:p>
        </w:tc>
      </w:tr>
      <w:tr w14:paraId="27BD1EF7">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59CC49A6">
            <w:pPr>
              <w:keepNext w:val="0"/>
              <w:keepLines w:val="0"/>
              <w:suppressLineNumbers w:val="0"/>
              <w:spacing w:before="0" w:beforeAutospacing="0" w:after="0" w:afterAutospacing="0"/>
              <w:ind w:left="0" w:right="0"/>
              <w:rPr>
                <w:rFonts w:hint="default" w:hAnsi="宋体"/>
                <w:color w:val="auto"/>
                <w:highlight w:val="none"/>
              </w:rPr>
            </w:pPr>
          </w:p>
        </w:tc>
        <w:tc>
          <w:tcPr>
            <w:tcW w:w="1421" w:type="dxa"/>
            <w:tcBorders>
              <w:top w:val="single" w:color="auto" w:sz="4" w:space="0"/>
              <w:left w:val="single" w:color="auto" w:sz="4" w:space="0"/>
            </w:tcBorders>
            <w:shd w:val="clear" w:color="auto" w:fill="FFFFFF"/>
            <w:vAlign w:val="center"/>
          </w:tcPr>
          <w:p w14:paraId="4FE865E7">
            <w:pPr>
              <w:keepNext w:val="0"/>
              <w:keepLines w:val="0"/>
              <w:suppressLineNumbers w:val="0"/>
              <w:spacing w:before="0" w:beforeAutospacing="0" w:after="0" w:afterAutospacing="0"/>
              <w:ind w:left="1120" w:right="0"/>
              <w:jc w:val="left"/>
              <w:rPr>
                <w:rFonts w:hint="default" w:hAnsi="宋体"/>
                <w:color w:val="auto"/>
                <w:highlight w:val="none"/>
                <w:lang w:val="zh-CN"/>
              </w:rPr>
            </w:pPr>
            <w:r>
              <w:rPr>
                <w:rFonts w:hint="eastAsia" w:hAnsi="宋体"/>
                <w:color w:val="auto"/>
                <w:highlight w:val="none"/>
                <w:lang w:val="zh-CN"/>
              </w:rPr>
              <w:t>月</w:t>
            </w:r>
          </w:p>
        </w:tc>
        <w:tc>
          <w:tcPr>
            <w:tcW w:w="643" w:type="dxa"/>
            <w:tcBorders>
              <w:top w:val="single" w:color="auto" w:sz="4" w:space="0"/>
              <w:left w:val="single" w:color="auto" w:sz="4" w:space="0"/>
            </w:tcBorders>
            <w:shd w:val="clear" w:color="auto" w:fill="FFFFFF"/>
          </w:tcPr>
          <w:p w14:paraId="61F1AA09">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59B64E66">
            <w:pPr>
              <w:keepNext w:val="0"/>
              <w:keepLines w:val="0"/>
              <w:suppressLineNumbers w:val="0"/>
              <w:spacing w:before="0" w:beforeAutospacing="0" w:after="0" w:afterAutospacing="0"/>
              <w:ind w:left="0" w:right="0"/>
              <w:rPr>
                <w:rFonts w:hint="default" w:hAnsi="宋体"/>
                <w:color w:val="auto"/>
                <w:highlight w:val="none"/>
              </w:rPr>
            </w:pPr>
          </w:p>
        </w:tc>
        <w:tc>
          <w:tcPr>
            <w:tcW w:w="643" w:type="dxa"/>
            <w:tcBorders>
              <w:top w:val="single" w:color="auto" w:sz="4" w:space="0"/>
              <w:left w:val="single" w:color="auto" w:sz="4" w:space="0"/>
            </w:tcBorders>
            <w:shd w:val="clear" w:color="auto" w:fill="FFFFFF"/>
          </w:tcPr>
          <w:p w14:paraId="6FEA756E">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78492780">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796BC201">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2FDC51D4">
            <w:pPr>
              <w:keepNext w:val="0"/>
              <w:keepLines w:val="0"/>
              <w:suppressLineNumbers w:val="0"/>
              <w:spacing w:before="0" w:beforeAutospacing="0" w:after="0" w:afterAutospacing="0"/>
              <w:ind w:left="0" w:right="0"/>
              <w:rPr>
                <w:rFonts w:hint="default" w:hAnsi="宋体"/>
                <w:color w:val="auto"/>
                <w:highlight w:val="none"/>
              </w:rPr>
            </w:pPr>
          </w:p>
        </w:tc>
        <w:tc>
          <w:tcPr>
            <w:tcW w:w="1142" w:type="dxa"/>
            <w:tcBorders>
              <w:top w:val="single" w:color="auto" w:sz="4" w:space="0"/>
              <w:left w:val="single" w:color="auto" w:sz="4" w:space="0"/>
              <w:right w:val="single" w:color="auto" w:sz="4" w:space="0"/>
            </w:tcBorders>
            <w:shd w:val="clear" w:color="auto" w:fill="FFFFFF"/>
            <w:vAlign w:val="center"/>
          </w:tcPr>
          <w:p w14:paraId="3FB027C0">
            <w:pPr>
              <w:keepNext w:val="0"/>
              <w:keepLines w:val="0"/>
              <w:suppressLineNumbers w:val="0"/>
              <w:spacing w:before="0" w:beforeAutospacing="0" w:after="0" w:afterAutospacing="0"/>
              <w:ind w:left="0" w:right="0"/>
              <w:jc w:val="center"/>
              <w:rPr>
                <w:rFonts w:hint="default" w:hAnsi="宋体"/>
                <w:color w:val="auto"/>
                <w:highlight w:val="none"/>
              </w:rPr>
            </w:pPr>
          </w:p>
        </w:tc>
      </w:tr>
      <w:tr w14:paraId="4370FA62">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14932B76">
            <w:pPr>
              <w:keepNext w:val="0"/>
              <w:keepLines w:val="0"/>
              <w:suppressLineNumbers w:val="0"/>
              <w:spacing w:before="0" w:beforeAutospacing="0" w:after="0" w:afterAutospacing="0"/>
              <w:ind w:left="0" w:right="0"/>
              <w:rPr>
                <w:rFonts w:hint="default" w:hAnsi="宋体"/>
                <w:color w:val="auto"/>
                <w:highlight w:val="none"/>
              </w:rPr>
            </w:pPr>
          </w:p>
        </w:tc>
        <w:tc>
          <w:tcPr>
            <w:tcW w:w="1421" w:type="dxa"/>
            <w:tcBorders>
              <w:top w:val="single" w:color="auto" w:sz="4" w:space="0"/>
              <w:left w:val="single" w:color="auto" w:sz="4" w:space="0"/>
            </w:tcBorders>
            <w:shd w:val="clear" w:color="auto" w:fill="FFFFFF"/>
            <w:vAlign w:val="center"/>
          </w:tcPr>
          <w:p w14:paraId="1B38A437">
            <w:pPr>
              <w:keepNext w:val="0"/>
              <w:keepLines w:val="0"/>
              <w:suppressLineNumbers w:val="0"/>
              <w:spacing w:before="0" w:beforeAutospacing="0" w:after="0" w:afterAutospacing="0"/>
              <w:ind w:left="1120" w:right="0"/>
              <w:jc w:val="left"/>
              <w:rPr>
                <w:rFonts w:hint="default" w:hAnsi="宋体"/>
                <w:color w:val="auto"/>
                <w:highlight w:val="none"/>
                <w:lang w:val="zh-CN"/>
              </w:rPr>
            </w:pPr>
            <w:r>
              <w:rPr>
                <w:rFonts w:hint="eastAsia" w:hAnsi="宋体"/>
                <w:color w:val="auto"/>
                <w:highlight w:val="none"/>
                <w:lang w:val="zh-CN"/>
              </w:rPr>
              <w:t>月</w:t>
            </w:r>
          </w:p>
        </w:tc>
        <w:tc>
          <w:tcPr>
            <w:tcW w:w="643" w:type="dxa"/>
            <w:tcBorders>
              <w:top w:val="single" w:color="auto" w:sz="4" w:space="0"/>
              <w:left w:val="single" w:color="auto" w:sz="4" w:space="0"/>
            </w:tcBorders>
            <w:shd w:val="clear" w:color="auto" w:fill="FFFFFF"/>
          </w:tcPr>
          <w:p w14:paraId="2D904FF6">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349A3D4A">
            <w:pPr>
              <w:keepNext w:val="0"/>
              <w:keepLines w:val="0"/>
              <w:suppressLineNumbers w:val="0"/>
              <w:spacing w:before="0" w:beforeAutospacing="0" w:after="0" w:afterAutospacing="0"/>
              <w:ind w:left="0" w:right="0"/>
              <w:rPr>
                <w:rFonts w:hint="default" w:hAnsi="宋体"/>
                <w:color w:val="auto"/>
                <w:highlight w:val="none"/>
              </w:rPr>
            </w:pPr>
          </w:p>
        </w:tc>
        <w:tc>
          <w:tcPr>
            <w:tcW w:w="643" w:type="dxa"/>
            <w:tcBorders>
              <w:top w:val="single" w:color="auto" w:sz="4" w:space="0"/>
              <w:left w:val="single" w:color="auto" w:sz="4" w:space="0"/>
            </w:tcBorders>
            <w:shd w:val="clear" w:color="auto" w:fill="FFFFFF"/>
          </w:tcPr>
          <w:p w14:paraId="24D25DF5">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2E932FC0">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1C34FC20">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27449677">
            <w:pPr>
              <w:keepNext w:val="0"/>
              <w:keepLines w:val="0"/>
              <w:suppressLineNumbers w:val="0"/>
              <w:spacing w:before="0" w:beforeAutospacing="0" w:after="0" w:afterAutospacing="0"/>
              <w:ind w:left="0" w:right="0"/>
              <w:rPr>
                <w:rFonts w:hint="default" w:hAnsi="宋体"/>
                <w:color w:val="auto"/>
                <w:highlight w:val="none"/>
              </w:rPr>
            </w:pPr>
          </w:p>
        </w:tc>
        <w:tc>
          <w:tcPr>
            <w:tcW w:w="1142" w:type="dxa"/>
            <w:tcBorders>
              <w:top w:val="single" w:color="auto" w:sz="4" w:space="0"/>
              <w:left w:val="single" w:color="auto" w:sz="4" w:space="0"/>
              <w:right w:val="single" w:color="auto" w:sz="4" w:space="0"/>
            </w:tcBorders>
            <w:shd w:val="clear" w:color="auto" w:fill="FFFFFF"/>
          </w:tcPr>
          <w:p w14:paraId="64F334E3">
            <w:pPr>
              <w:keepNext w:val="0"/>
              <w:keepLines w:val="0"/>
              <w:suppressLineNumbers w:val="0"/>
              <w:spacing w:before="0" w:beforeAutospacing="0" w:after="0" w:afterAutospacing="0"/>
              <w:ind w:left="0" w:right="0"/>
              <w:rPr>
                <w:rFonts w:hint="default" w:hAnsi="宋体"/>
                <w:color w:val="auto"/>
                <w:highlight w:val="none"/>
              </w:rPr>
            </w:pPr>
          </w:p>
        </w:tc>
      </w:tr>
      <w:tr w14:paraId="691052A3">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6EF52DF2">
            <w:pPr>
              <w:keepNext w:val="0"/>
              <w:keepLines w:val="0"/>
              <w:suppressLineNumbers w:val="0"/>
              <w:spacing w:before="0" w:beforeAutospacing="0" w:after="0" w:afterAutospacing="0"/>
              <w:ind w:left="0" w:right="0"/>
              <w:rPr>
                <w:rFonts w:hint="default" w:hAnsi="宋体"/>
                <w:color w:val="auto"/>
                <w:highlight w:val="none"/>
              </w:rPr>
            </w:pPr>
          </w:p>
        </w:tc>
        <w:tc>
          <w:tcPr>
            <w:tcW w:w="1421" w:type="dxa"/>
            <w:tcBorders>
              <w:top w:val="single" w:color="auto" w:sz="4" w:space="0"/>
              <w:left w:val="single" w:color="auto" w:sz="4" w:space="0"/>
            </w:tcBorders>
            <w:shd w:val="clear" w:color="auto" w:fill="FFFFFF"/>
            <w:vAlign w:val="center"/>
          </w:tcPr>
          <w:p w14:paraId="0857FB79">
            <w:pPr>
              <w:keepNext w:val="0"/>
              <w:keepLines w:val="0"/>
              <w:suppressLineNumbers w:val="0"/>
              <w:spacing w:before="0" w:beforeAutospacing="0" w:after="0" w:afterAutospacing="0"/>
              <w:ind w:left="1120" w:right="0"/>
              <w:jc w:val="left"/>
              <w:rPr>
                <w:rFonts w:hint="default" w:hAnsi="宋体"/>
                <w:color w:val="auto"/>
                <w:highlight w:val="none"/>
                <w:lang w:val="zh-CN"/>
              </w:rPr>
            </w:pPr>
            <w:r>
              <w:rPr>
                <w:rFonts w:hint="eastAsia" w:hAnsi="宋体"/>
                <w:color w:val="auto"/>
                <w:highlight w:val="none"/>
                <w:lang w:val="zh-CN"/>
              </w:rPr>
              <w:t>月</w:t>
            </w:r>
          </w:p>
        </w:tc>
        <w:tc>
          <w:tcPr>
            <w:tcW w:w="643" w:type="dxa"/>
            <w:tcBorders>
              <w:top w:val="single" w:color="auto" w:sz="4" w:space="0"/>
              <w:left w:val="single" w:color="auto" w:sz="4" w:space="0"/>
            </w:tcBorders>
            <w:shd w:val="clear" w:color="auto" w:fill="FFFFFF"/>
          </w:tcPr>
          <w:p w14:paraId="3C4CFC2A">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3C6434BB">
            <w:pPr>
              <w:keepNext w:val="0"/>
              <w:keepLines w:val="0"/>
              <w:suppressLineNumbers w:val="0"/>
              <w:spacing w:before="0" w:beforeAutospacing="0" w:after="0" w:afterAutospacing="0"/>
              <w:ind w:left="0" w:right="0"/>
              <w:rPr>
                <w:rFonts w:hint="default" w:hAnsi="宋体"/>
                <w:color w:val="auto"/>
                <w:highlight w:val="none"/>
              </w:rPr>
            </w:pPr>
          </w:p>
        </w:tc>
        <w:tc>
          <w:tcPr>
            <w:tcW w:w="643" w:type="dxa"/>
            <w:tcBorders>
              <w:top w:val="single" w:color="auto" w:sz="4" w:space="0"/>
              <w:left w:val="single" w:color="auto" w:sz="4" w:space="0"/>
            </w:tcBorders>
            <w:shd w:val="clear" w:color="auto" w:fill="FFFFFF"/>
          </w:tcPr>
          <w:p w14:paraId="41B00752">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505E04A2">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1A6191DE">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6A37E00E">
            <w:pPr>
              <w:keepNext w:val="0"/>
              <w:keepLines w:val="0"/>
              <w:suppressLineNumbers w:val="0"/>
              <w:spacing w:before="0" w:beforeAutospacing="0" w:after="0" w:afterAutospacing="0"/>
              <w:ind w:left="0" w:right="0"/>
              <w:rPr>
                <w:rFonts w:hint="default" w:hAnsi="宋体"/>
                <w:color w:val="auto"/>
                <w:highlight w:val="none"/>
              </w:rPr>
            </w:pPr>
          </w:p>
        </w:tc>
        <w:tc>
          <w:tcPr>
            <w:tcW w:w="1142" w:type="dxa"/>
            <w:tcBorders>
              <w:top w:val="single" w:color="auto" w:sz="4" w:space="0"/>
              <w:left w:val="single" w:color="auto" w:sz="4" w:space="0"/>
              <w:right w:val="single" w:color="auto" w:sz="4" w:space="0"/>
            </w:tcBorders>
            <w:shd w:val="clear" w:color="auto" w:fill="FFFFFF"/>
          </w:tcPr>
          <w:p w14:paraId="7C70EFBE">
            <w:pPr>
              <w:keepNext w:val="0"/>
              <w:keepLines w:val="0"/>
              <w:suppressLineNumbers w:val="0"/>
              <w:spacing w:before="0" w:beforeAutospacing="0" w:after="0" w:afterAutospacing="0"/>
              <w:ind w:left="0" w:right="0"/>
              <w:rPr>
                <w:rFonts w:hint="default" w:hAnsi="宋体"/>
                <w:color w:val="auto"/>
                <w:highlight w:val="none"/>
              </w:rPr>
            </w:pPr>
          </w:p>
        </w:tc>
      </w:tr>
      <w:tr w14:paraId="708321C9">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12FE9870">
            <w:pPr>
              <w:keepNext w:val="0"/>
              <w:keepLines w:val="0"/>
              <w:suppressLineNumbers w:val="0"/>
              <w:spacing w:before="0" w:beforeAutospacing="0" w:after="0" w:afterAutospacing="0"/>
              <w:ind w:left="0" w:right="0"/>
              <w:rPr>
                <w:rFonts w:hint="default" w:hAnsi="宋体"/>
                <w:color w:val="auto"/>
                <w:highlight w:val="none"/>
              </w:rPr>
            </w:pPr>
          </w:p>
        </w:tc>
        <w:tc>
          <w:tcPr>
            <w:tcW w:w="1421" w:type="dxa"/>
            <w:tcBorders>
              <w:top w:val="single" w:color="auto" w:sz="4" w:space="0"/>
              <w:left w:val="single" w:color="auto" w:sz="4" w:space="0"/>
            </w:tcBorders>
            <w:shd w:val="clear" w:color="auto" w:fill="FFFFFF"/>
            <w:vAlign w:val="center"/>
          </w:tcPr>
          <w:p w14:paraId="326B5982">
            <w:pPr>
              <w:keepNext w:val="0"/>
              <w:keepLines w:val="0"/>
              <w:suppressLineNumbers w:val="0"/>
              <w:spacing w:before="0" w:beforeAutospacing="0" w:after="0" w:afterAutospacing="0"/>
              <w:ind w:left="1120" w:right="0"/>
              <w:jc w:val="left"/>
              <w:rPr>
                <w:rFonts w:hint="default" w:hAnsi="宋体"/>
                <w:color w:val="auto"/>
                <w:highlight w:val="none"/>
                <w:lang w:val="zh-CN"/>
              </w:rPr>
            </w:pPr>
            <w:r>
              <w:rPr>
                <w:rFonts w:hint="eastAsia" w:hAnsi="宋体"/>
                <w:color w:val="auto"/>
                <w:highlight w:val="none"/>
                <w:lang w:val="zh-CN"/>
              </w:rPr>
              <w:t>月</w:t>
            </w:r>
          </w:p>
        </w:tc>
        <w:tc>
          <w:tcPr>
            <w:tcW w:w="643" w:type="dxa"/>
            <w:tcBorders>
              <w:top w:val="single" w:color="auto" w:sz="4" w:space="0"/>
              <w:left w:val="single" w:color="auto" w:sz="4" w:space="0"/>
            </w:tcBorders>
            <w:shd w:val="clear" w:color="auto" w:fill="FFFFFF"/>
          </w:tcPr>
          <w:p w14:paraId="73BD499B">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6AE4A8EB">
            <w:pPr>
              <w:keepNext w:val="0"/>
              <w:keepLines w:val="0"/>
              <w:suppressLineNumbers w:val="0"/>
              <w:spacing w:before="0" w:beforeAutospacing="0" w:after="0" w:afterAutospacing="0"/>
              <w:ind w:left="0" w:right="0"/>
              <w:rPr>
                <w:rFonts w:hint="default" w:hAnsi="宋体"/>
                <w:color w:val="auto"/>
                <w:highlight w:val="none"/>
              </w:rPr>
            </w:pPr>
          </w:p>
        </w:tc>
        <w:tc>
          <w:tcPr>
            <w:tcW w:w="643" w:type="dxa"/>
            <w:tcBorders>
              <w:top w:val="single" w:color="auto" w:sz="4" w:space="0"/>
              <w:left w:val="single" w:color="auto" w:sz="4" w:space="0"/>
            </w:tcBorders>
            <w:shd w:val="clear" w:color="auto" w:fill="FFFFFF"/>
          </w:tcPr>
          <w:p w14:paraId="29EC2E5C">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0FEEC06B">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1567AC2F">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73F8CCAD">
            <w:pPr>
              <w:keepNext w:val="0"/>
              <w:keepLines w:val="0"/>
              <w:suppressLineNumbers w:val="0"/>
              <w:spacing w:before="0" w:beforeAutospacing="0" w:after="0" w:afterAutospacing="0"/>
              <w:ind w:left="0" w:right="0"/>
              <w:rPr>
                <w:rFonts w:hint="default" w:hAnsi="宋体"/>
                <w:color w:val="auto"/>
                <w:highlight w:val="none"/>
              </w:rPr>
            </w:pPr>
          </w:p>
        </w:tc>
        <w:tc>
          <w:tcPr>
            <w:tcW w:w="1142" w:type="dxa"/>
            <w:tcBorders>
              <w:top w:val="single" w:color="auto" w:sz="4" w:space="0"/>
              <w:left w:val="single" w:color="auto" w:sz="4" w:space="0"/>
              <w:right w:val="single" w:color="auto" w:sz="4" w:space="0"/>
            </w:tcBorders>
            <w:shd w:val="clear" w:color="auto" w:fill="FFFFFF"/>
          </w:tcPr>
          <w:p w14:paraId="126960D8">
            <w:pPr>
              <w:keepNext w:val="0"/>
              <w:keepLines w:val="0"/>
              <w:suppressLineNumbers w:val="0"/>
              <w:spacing w:before="0" w:beforeAutospacing="0" w:after="0" w:afterAutospacing="0"/>
              <w:ind w:left="0" w:right="0"/>
              <w:rPr>
                <w:rFonts w:hint="default" w:hAnsi="宋体"/>
                <w:color w:val="auto"/>
                <w:highlight w:val="none"/>
              </w:rPr>
            </w:pPr>
          </w:p>
        </w:tc>
      </w:tr>
      <w:tr w14:paraId="34937E15">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7E58EFC1">
            <w:pPr>
              <w:keepNext w:val="0"/>
              <w:keepLines w:val="0"/>
              <w:suppressLineNumbers w:val="0"/>
              <w:spacing w:before="0" w:beforeAutospacing="0" w:after="0" w:afterAutospacing="0"/>
              <w:ind w:left="0" w:right="0"/>
              <w:rPr>
                <w:rFonts w:hint="default" w:hAnsi="宋体"/>
                <w:color w:val="auto"/>
                <w:highlight w:val="none"/>
              </w:rPr>
            </w:pPr>
          </w:p>
        </w:tc>
        <w:tc>
          <w:tcPr>
            <w:tcW w:w="1421" w:type="dxa"/>
            <w:tcBorders>
              <w:top w:val="single" w:color="auto" w:sz="4" w:space="0"/>
              <w:left w:val="single" w:color="auto" w:sz="4" w:space="0"/>
            </w:tcBorders>
            <w:shd w:val="clear" w:color="auto" w:fill="FFFFFF"/>
            <w:vAlign w:val="center"/>
          </w:tcPr>
          <w:p w14:paraId="4E5ACB6B">
            <w:pPr>
              <w:keepNext w:val="0"/>
              <w:keepLines w:val="0"/>
              <w:suppressLineNumbers w:val="0"/>
              <w:spacing w:before="0" w:beforeAutospacing="0" w:after="0" w:afterAutospacing="0"/>
              <w:ind w:left="1120" w:right="0"/>
              <w:jc w:val="left"/>
              <w:rPr>
                <w:rFonts w:hint="default" w:hAnsi="宋体"/>
                <w:color w:val="auto"/>
                <w:highlight w:val="none"/>
                <w:lang w:val="zh-CN"/>
              </w:rPr>
            </w:pPr>
            <w:r>
              <w:rPr>
                <w:rFonts w:hint="eastAsia" w:hAnsi="宋体"/>
                <w:color w:val="auto"/>
                <w:highlight w:val="none"/>
                <w:lang w:val="zh-CN"/>
              </w:rPr>
              <w:t>月</w:t>
            </w:r>
          </w:p>
        </w:tc>
        <w:tc>
          <w:tcPr>
            <w:tcW w:w="643" w:type="dxa"/>
            <w:tcBorders>
              <w:top w:val="single" w:color="auto" w:sz="4" w:space="0"/>
              <w:left w:val="single" w:color="auto" w:sz="4" w:space="0"/>
            </w:tcBorders>
            <w:shd w:val="clear" w:color="auto" w:fill="FFFFFF"/>
          </w:tcPr>
          <w:p w14:paraId="623272E2">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079C28A6">
            <w:pPr>
              <w:keepNext w:val="0"/>
              <w:keepLines w:val="0"/>
              <w:suppressLineNumbers w:val="0"/>
              <w:spacing w:before="0" w:beforeAutospacing="0" w:after="0" w:afterAutospacing="0"/>
              <w:ind w:left="0" w:right="0"/>
              <w:rPr>
                <w:rFonts w:hint="default" w:hAnsi="宋体"/>
                <w:color w:val="auto"/>
                <w:highlight w:val="none"/>
              </w:rPr>
            </w:pPr>
          </w:p>
        </w:tc>
        <w:tc>
          <w:tcPr>
            <w:tcW w:w="643" w:type="dxa"/>
            <w:tcBorders>
              <w:top w:val="single" w:color="auto" w:sz="4" w:space="0"/>
              <w:left w:val="single" w:color="auto" w:sz="4" w:space="0"/>
            </w:tcBorders>
            <w:shd w:val="clear" w:color="auto" w:fill="FFFFFF"/>
          </w:tcPr>
          <w:p w14:paraId="5B58D691">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72A0810E">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46C046DE">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75584B1B">
            <w:pPr>
              <w:keepNext w:val="0"/>
              <w:keepLines w:val="0"/>
              <w:suppressLineNumbers w:val="0"/>
              <w:spacing w:before="0" w:beforeAutospacing="0" w:after="0" w:afterAutospacing="0"/>
              <w:ind w:left="0" w:right="0"/>
              <w:rPr>
                <w:rFonts w:hint="default" w:hAnsi="宋体"/>
                <w:color w:val="auto"/>
                <w:highlight w:val="none"/>
              </w:rPr>
            </w:pPr>
          </w:p>
        </w:tc>
        <w:tc>
          <w:tcPr>
            <w:tcW w:w="1142" w:type="dxa"/>
            <w:tcBorders>
              <w:top w:val="single" w:color="auto" w:sz="4" w:space="0"/>
              <w:left w:val="single" w:color="auto" w:sz="4" w:space="0"/>
              <w:right w:val="single" w:color="auto" w:sz="4" w:space="0"/>
            </w:tcBorders>
            <w:shd w:val="clear" w:color="auto" w:fill="FFFFFF"/>
          </w:tcPr>
          <w:p w14:paraId="24A80ABE">
            <w:pPr>
              <w:keepNext w:val="0"/>
              <w:keepLines w:val="0"/>
              <w:suppressLineNumbers w:val="0"/>
              <w:spacing w:before="0" w:beforeAutospacing="0" w:after="0" w:afterAutospacing="0"/>
              <w:ind w:left="0" w:right="0"/>
              <w:rPr>
                <w:rFonts w:hint="default" w:hAnsi="宋体"/>
                <w:color w:val="auto"/>
                <w:highlight w:val="none"/>
              </w:rPr>
            </w:pPr>
          </w:p>
        </w:tc>
      </w:tr>
      <w:tr w14:paraId="18D395D7">
        <w:tblPrEx>
          <w:tblCellMar>
            <w:top w:w="0" w:type="dxa"/>
            <w:left w:w="10" w:type="dxa"/>
            <w:bottom w:w="0" w:type="dxa"/>
            <w:right w:w="10" w:type="dxa"/>
          </w:tblCellMar>
        </w:tblPrEx>
        <w:trPr>
          <w:trHeight w:val="571" w:hRule="exact"/>
          <w:jc w:val="center"/>
        </w:trPr>
        <w:tc>
          <w:tcPr>
            <w:tcW w:w="1426" w:type="dxa"/>
            <w:vMerge w:val="continue"/>
            <w:tcBorders>
              <w:left w:val="single" w:color="auto" w:sz="4" w:space="0"/>
            </w:tcBorders>
            <w:shd w:val="clear" w:color="auto" w:fill="FFFFFF"/>
            <w:vAlign w:val="center"/>
          </w:tcPr>
          <w:p w14:paraId="6269D7E4">
            <w:pPr>
              <w:keepNext w:val="0"/>
              <w:keepLines w:val="0"/>
              <w:suppressLineNumbers w:val="0"/>
              <w:spacing w:before="0" w:beforeAutospacing="0" w:after="0" w:afterAutospacing="0"/>
              <w:ind w:left="0" w:right="0"/>
              <w:rPr>
                <w:rFonts w:hint="default" w:hAnsi="宋体"/>
                <w:color w:val="auto"/>
                <w:highlight w:val="none"/>
              </w:rPr>
            </w:pPr>
          </w:p>
        </w:tc>
        <w:tc>
          <w:tcPr>
            <w:tcW w:w="1421" w:type="dxa"/>
            <w:tcBorders>
              <w:top w:val="single" w:color="auto" w:sz="4" w:space="0"/>
              <w:left w:val="single" w:color="auto" w:sz="4" w:space="0"/>
            </w:tcBorders>
            <w:shd w:val="clear" w:color="auto" w:fill="FFFFFF"/>
            <w:vAlign w:val="center"/>
          </w:tcPr>
          <w:p w14:paraId="4D2A3C2E">
            <w:pPr>
              <w:keepNext w:val="0"/>
              <w:keepLines w:val="0"/>
              <w:suppressLineNumbers w:val="0"/>
              <w:tabs>
                <w:tab w:val="left" w:leader="dot" w:pos="326"/>
              </w:tabs>
              <w:spacing w:before="0" w:beforeAutospacing="0" w:after="0" w:afterAutospacing="0"/>
              <w:ind w:left="0" w:right="0"/>
              <w:jc w:val="right"/>
              <w:rPr>
                <w:rFonts w:hint="default" w:hAnsi="宋体"/>
                <w:color w:val="auto"/>
                <w:highlight w:val="none"/>
                <w:lang w:val="zh-CN"/>
              </w:rPr>
            </w:pPr>
            <w:r>
              <w:rPr>
                <w:rFonts w:hint="default" w:hAnsi="宋体"/>
                <w:color w:val="auto"/>
                <w:highlight w:val="none"/>
                <w:lang w:eastAsia="en-US"/>
              </w:rPr>
              <w:tab/>
            </w:r>
          </w:p>
        </w:tc>
        <w:tc>
          <w:tcPr>
            <w:tcW w:w="643" w:type="dxa"/>
            <w:tcBorders>
              <w:top w:val="single" w:color="auto" w:sz="4" w:space="0"/>
              <w:left w:val="single" w:color="auto" w:sz="4" w:space="0"/>
            </w:tcBorders>
            <w:shd w:val="clear" w:color="auto" w:fill="FFFFFF"/>
          </w:tcPr>
          <w:p w14:paraId="6358AC82">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65A84781">
            <w:pPr>
              <w:keepNext w:val="0"/>
              <w:keepLines w:val="0"/>
              <w:suppressLineNumbers w:val="0"/>
              <w:spacing w:before="0" w:beforeAutospacing="0" w:after="0" w:afterAutospacing="0"/>
              <w:ind w:left="0" w:right="0"/>
              <w:rPr>
                <w:rFonts w:hint="default" w:hAnsi="宋体"/>
                <w:color w:val="auto"/>
                <w:highlight w:val="none"/>
              </w:rPr>
            </w:pPr>
          </w:p>
        </w:tc>
        <w:tc>
          <w:tcPr>
            <w:tcW w:w="643" w:type="dxa"/>
            <w:tcBorders>
              <w:top w:val="single" w:color="auto" w:sz="4" w:space="0"/>
              <w:left w:val="single" w:color="auto" w:sz="4" w:space="0"/>
            </w:tcBorders>
            <w:shd w:val="clear" w:color="auto" w:fill="FFFFFF"/>
          </w:tcPr>
          <w:p w14:paraId="12A2AC82">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7BE28A78">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166052CA">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12CAE89E">
            <w:pPr>
              <w:keepNext w:val="0"/>
              <w:keepLines w:val="0"/>
              <w:suppressLineNumbers w:val="0"/>
              <w:spacing w:before="0" w:beforeAutospacing="0" w:after="0" w:afterAutospacing="0"/>
              <w:ind w:left="0" w:right="0"/>
              <w:rPr>
                <w:rFonts w:hint="default" w:hAnsi="宋体"/>
                <w:color w:val="auto"/>
                <w:highlight w:val="none"/>
              </w:rPr>
            </w:pPr>
          </w:p>
        </w:tc>
        <w:tc>
          <w:tcPr>
            <w:tcW w:w="1142" w:type="dxa"/>
            <w:tcBorders>
              <w:top w:val="single" w:color="auto" w:sz="4" w:space="0"/>
              <w:left w:val="single" w:color="auto" w:sz="4" w:space="0"/>
              <w:right w:val="single" w:color="auto" w:sz="4" w:space="0"/>
            </w:tcBorders>
            <w:shd w:val="clear" w:color="auto" w:fill="FFFFFF"/>
          </w:tcPr>
          <w:p w14:paraId="62D7C71F">
            <w:pPr>
              <w:keepNext w:val="0"/>
              <w:keepLines w:val="0"/>
              <w:suppressLineNumbers w:val="0"/>
              <w:spacing w:before="0" w:beforeAutospacing="0" w:after="0" w:afterAutospacing="0"/>
              <w:ind w:left="0" w:right="0"/>
              <w:rPr>
                <w:rFonts w:hint="default" w:hAnsi="宋体"/>
                <w:color w:val="auto"/>
                <w:highlight w:val="none"/>
              </w:rPr>
            </w:pPr>
          </w:p>
        </w:tc>
      </w:tr>
      <w:tr w14:paraId="583246E4">
        <w:tblPrEx>
          <w:tblCellMar>
            <w:top w:w="0" w:type="dxa"/>
            <w:left w:w="10" w:type="dxa"/>
            <w:bottom w:w="0" w:type="dxa"/>
            <w:right w:w="10" w:type="dxa"/>
          </w:tblCellMar>
        </w:tblPrEx>
        <w:trPr>
          <w:trHeight w:val="576" w:hRule="exact"/>
          <w:jc w:val="center"/>
        </w:trPr>
        <w:tc>
          <w:tcPr>
            <w:tcW w:w="6077" w:type="dxa"/>
            <w:gridSpan w:val="7"/>
            <w:tcBorders>
              <w:top w:val="single" w:color="auto" w:sz="4" w:space="0"/>
              <w:left w:val="single" w:color="auto" w:sz="4" w:space="0"/>
              <w:bottom w:val="single" w:color="auto" w:sz="4" w:space="0"/>
            </w:tcBorders>
            <w:shd w:val="clear" w:color="auto" w:fill="FFFFFF"/>
            <w:vAlign w:val="center"/>
          </w:tcPr>
          <w:p w14:paraId="1469661B">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总</w:t>
            </w:r>
            <w:r>
              <w:rPr>
                <w:rFonts w:hint="default" w:hAnsi="宋体"/>
                <w:color w:val="auto"/>
                <w:highlight w:val="none"/>
                <w:lang w:val="zh-CN"/>
              </w:rPr>
              <w:t xml:space="preserve"> </w:t>
            </w:r>
            <w:r>
              <w:rPr>
                <w:rFonts w:hint="eastAsia" w:hAnsi="宋体"/>
                <w:color w:val="auto"/>
                <w:highlight w:val="none"/>
                <w:lang w:val="zh-CN"/>
              </w:rPr>
              <w:t>计</w:t>
            </w:r>
          </w:p>
        </w:tc>
        <w:tc>
          <w:tcPr>
            <w:tcW w:w="1133" w:type="dxa"/>
            <w:tcBorders>
              <w:top w:val="single" w:color="auto" w:sz="4" w:space="0"/>
              <w:left w:val="single" w:color="auto" w:sz="4" w:space="0"/>
              <w:bottom w:val="single" w:color="auto" w:sz="4" w:space="0"/>
            </w:tcBorders>
            <w:shd w:val="clear" w:color="auto" w:fill="FFFFFF"/>
          </w:tcPr>
          <w:p w14:paraId="350C3BCD">
            <w:pPr>
              <w:keepNext w:val="0"/>
              <w:keepLines w:val="0"/>
              <w:suppressLineNumbers w:val="0"/>
              <w:spacing w:before="0" w:beforeAutospacing="0" w:after="0" w:afterAutospacing="0"/>
              <w:ind w:left="0" w:right="0"/>
              <w:rPr>
                <w:rFonts w:hint="default" w:hAnsi="宋体"/>
                <w:color w:val="auto"/>
                <w:highlight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tcPr>
          <w:p w14:paraId="617915EC">
            <w:pPr>
              <w:keepNext w:val="0"/>
              <w:keepLines w:val="0"/>
              <w:suppressLineNumbers w:val="0"/>
              <w:spacing w:before="0" w:beforeAutospacing="0" w:after="0" w:afterAutospacing="0"/>
              <w:ind w:left="0" w:right="0"/>
              <w:rPr>
                <w:rFonts w:hint="default" w:hAnsi="宋体"/>
                <w:color w:val="auto"/>
                <w:highlight w:val="none"/>
              </w:rPr>
            </w:pPr>
          </w:p>
        </w:tc>
      </w:tr>
    </w:tbl>
    <w:p w14:paraId="2A5D42F4">
      <w:pPr>
        <w:spacing w:after="299" w:line="1" w:lineRule="exact"/>
        <w:rPr>
          <w:rFonts w:hAnsi="宋体"/>
          <w:color w:val="auto"/>
          <w:highlight w:val="none"/>
        </w:rPr>
      </w:pPr>
    </w:p>
    <w:p w14:paraId="03EE234A">
      <w:pPr>
        <w:tabs>
          <w:tab w:val="left" w:pos="0"/>
        </w:tabs>
        <w:spacing w:line="360" w:lineRule="auto"/>
        <w:ind w:right="-210"/>
        <w:rPr>
          <w:rFonts w:hAnsi="宋体"/>
          <w:color w:val="auto"/>
          <w:kern w:val="2"/>
          <w:highlight w:val="none"/>
        </w:rPr>
      </w:pPr>
      <w:bookmarkStart w:id="2249" w:name="bookmark2245"/>
      <w:bookmarkStart w:id="2250" w:name="bookmark2243"/>
      <w:bookmarkStart w:id="2251" w:name="bookmark2244"/>
    </w:p>
    <w:p w14:paraId="3426B69E">
      <w:pPr>
        <w:tabs>
          <w:tab w:val="left" w:pos="0"/>
        </w:tabs>
        <w:spacing w:line="480" w:lineRule="auto"/>
        <w:ind w:right="-210"/>
        <w:jc w:val="center"/>
        <w:rPr>
          <w:rFonts w:hAnsi="宋体"/>
          <w:color w:val="auto"/>
          <w:kern w:val="2"/>
          <w:highlight w:val="none"/>
        </w:rPr>
      </w:pPr>
      <w:r>
        <w:rPr>
          <w:rFonts w:hint="eastAsia" w:hAnsi="宋体"/>
          <w:color w:val="auto"/>
          <w:kern w:val="2"/>
          <w:highlight w:val="none"/>
        </w:rPr>
        <w:t xml:space="preserve">                     供应商：</w:t>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（盖单位章）</w:t>
      </w:r>
    </w:p>
    <w:p w14:paraId="14EECEAD">
      <w:pPr>
        <w:tabs>
          <w:tab w:val="left" w:pos="0"/>
        </w:tabs>
        <w:spacing w:line="480" w:lineRule="auto"/>
        <w:ind w:right="-210"/>
        <w:jc w:val="right"/>
        <w:rPr>
          <w:rFonts w:hAnsi="宋体"/>
          <w:color w:val="auto"/>
          <w:kern w:val="2"/>
          <w:highlight w:val="none"/>
        </w:rPr>
      </w:pPr>
      <w:r>
        <w:rPr>
          <w:rFonts w:hint="eastAsia" w:hAnsi="宋体"/>
          <w:color w:val="auto"/>
          <w:kern w:val="2"/>
          <w:highlight w:val="none"/>
        </w:rPr>
        <w:t>法定代表人（负责人）或授权委托代理人：</w:t>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int="eastAsia" w:hAnsi="宋体" w:cs="Times New Roman"/>
          <w:color w:val="auto"/>
          <w:highlight w:val="none"/>
          <w:lang w:bidi="ar"/>
        </w:rPr>
        <w:t>（签字或盖章）</w:t>
      </w:r>
    </w:p>
    <w:p w14:paraId="201D1219">
      <w:pPr>
        <w:tabs>
          <w:tab w:val="left" w:pos="0"/>
        </w:tabs>
        <w:spacing w:line="480" w:lineRule="auto"/>
        <w:ind w:right="-210"/>
        <w:jc w:val="right"/>
        <w:rPr>
          <w:rFonts w:hAnsi="宋体"/>
          <w:color w:val="auto"/>
          <w:kern w:val="2"/>
          <w:highlight w:val="none"/>
        </w:rPr>
      </w:pP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年</w:t>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月</w:t>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日</w:t>
      </w:r>
    </w:p>
    <w:p w14:paraId="7CBC8AFE">
      <w:pPr>
        <w:widowControl/>
        <w:jc w:val="left"/>
        <w:rPr>
          <w:rFonts w:hAnsi="宋体"/>
          <w:color w:val="auto"/>
          <w:sz w:val="20"/>
          <w:szCs w:val="20"/>
          <w:highlight w:val="none"/>
          <w:lang w:val="zh-CN"/>
        </w:rPr>
      </w:pPr>
      <w:r>
        <w:rPr>
          <w:rFonts w:hAnsi="宋体"/>
          <w:color w:val="auto"/>
          <w:sz w:val="20"/>
          <w:szCs w:val="20"/>
          <w:highlight w:val="none"/>
          <w:lang w:val="zh-CN"/>
        </w:rPr>
        <w:br w:type="page"/>
      </w:r>
    </w:p>
    <w:bookmarkEnd w:id="2249"/>
    <w:bookmarkEnd w:id="2250"/>
    <w:bookmarkEnd w:id="2251"/>
    <w:p w14:paraId="1BBD3E8A">
      <w:pPr>
        <w:widowControl/>
        <w:jc w:val="left"/>
        <w:rPr>
          <w:rFonts w:hAnsi="宋体"/>
          <w:color w:val="auto"/>
          <w:sz w:val="20"/>
          <w:szCs w:val="20"/>
          <w:highlight w:val="none"/>
          <w:lang w:val="zh-CN"/>
        </w:rPr>
      </w:pPr>
      <w:bookmarkStart w:id="2252" w:name="bookmark2249"/>
      <w:bookmarkStart w:id="2253" w:name="bookmark2251"/>
      <w:bookmarkStart w:id="2254" w:name="bookmark2250"/>
    </w:p>
    <w:p w14:paraId="200E07BD">
      <w:pPr>
        <w:rPr>
          <w:rFonts w:hAnsi="宋体"/>
          <w:b/>
          <w:color w:val="auto"/>
          <w:highlight w:val="none"/>
        </w:rPr>
      </w:pPr>
      <w:r>
        <w:rPr>
          <w:rFonts w:hint="eastAsia" w:hAnsi="宋体"/>
          <w:b/>
          <w:color w:val="auto"/>
          <w:highlight w:val="none"/>
        </w:rPr>
        <w:t>附件</w:t>
      </w:r>
      <w:r>
        <w:rPr>
          <w:rFonts w:hint="eastAsia" w:hAnsi="宋体"/>
          <w:b/>
          <w:color w:val="auto"/>
          <w:highlight w:val="none"/>
          <w:lang w:eastAsia="zh-CN"/>
        </w:rPr>
        <w:t>四</w:t>
      </w:r>
      <w:r>
        <w:rPr>
          <w:rFonts w:hint="eastAsia" w:hAnsi="宋体"/>
          <w:b/>
          <w:color w:val="auto"/>
          <w:highlight w:val="none"/>
        </w:rPr>
        <w:t>：计划开工日期、完工日期和施工进度网络图（或横道图）</w:t>
      </w:r>
      <w:bookmarkEnd w:id="2252"/>
      <w:bookmarkEnd w:id="2253"/>
      <w:bookmarkEnd w:id="2254"/>
    </w:p>
    <w:p w14:paraId="7468F2B9">
      <w:pPr>
        <w:rPr>
          <w:rFonts w:hAnsi="宋体"/>
          <w:color w:val="auto"/>
          <w:sz w:val="20"/>
          <w:szCs w:val="20"/>
          <w:highlight w:val="none"/>
        </w:rPr>
      </w:pPr>
    </w:p>
    <w:p w14:paraId="70FF0824">
      <w:pPr>
        <w:jc w:val="center"/>
        <w:rPr>
          <w:rFonts w:hAnsi="宋体"/>
          <w:b/>
          <w:color w:val="auto"/>
          <w:highlight w:val="none"/>
        </w:rPr>
      </w:pPr>
      <w:bookmarkStart w:id="2255" w:name="_Toc24573"/>
      <w:bookmarkStart w:id="2256" w:name="_Toc2597"/>
      <w:bookmarkStart w:id="2257" w:name="bookmark2254"/>
      <w:bookmarkStart w:id="2258" w:name="bookmark2253"/>
      <w:bookmarkStart w:id="2259" w:name="bookmark2252"/>
    </w:p>
    <w:p w14:paraId="634889D8">
      <w:pPr>
        <w:jc w:val="center"/>
        <w:rPr>
          <w:rFonts w:hAnsi="宋体"/>
          <w:b/>
          <w:color w:val="auto"/>
          <w:highlight w:val="none"/>
        </w:rPr>
      </w:pPr>
      <w:r>
        <w:rPr>
          <w:rFonts w:hint="eastAsia" w:hAnsi="宋体"/>
          <w:b/>
          <w:color w:val="auto"/>
          <w:highlight w:val="none"/>
        </w:rPr>
        <w:t>计划开工日期、完工日期和施工进度网络图（或横道图）</w:t>
      </w:r>
      <w:bookmarkEnd w:id="2255"/>
      <w:bookmarkEnd w:id="2256"/>
      <w:bookmarkEnd w:id="2257"/>
      <w:bookmarkEnd w:id="2258"/>
      <w:bookmarkEnd w:id="2259"/>
    </w:p>
    <w:p w14:paraId="3EDC8C8B">
      <w:pPr>
        <w:jc w:val="center"/>
        <w:rPr>
          <w:rFonts w:hAnsi="宋体"/>
          <w:b/>
          <w:color w:val="auto"/>
          <w:highlight w:val="none"/>
        </w:rPr>
      </w:pPr>
    </w:p>
    <w:p w14:paraId="1810DDCC">
      <w:pPr>
        <w:numPr>
          <w:ilvl w:val="0"/>
          <w:numId w:val="7"/>
        </w:numPr>
        <w:tabs>
          <w:tab w:val="left" w:pos="747"/>
        </w:tabs>
        <w:spacing w:after="120" w:line="360" w:lineRule="auto"/>
        <w:rPr>
          <w:rFonts w:hAnsi="宋体"/>
          <w:color w:val="auto"/>
          <w:highlight w:val="none"/>
          <w:lang w:val="zh-CN"/>
        </w:rPr>
      </w:pPr>
      <w:bookmarkStart w:id="2260" w:name="bookmark2255"/>
      <w:bookmarkEnd w:id="2260"/>
      <w:r>
        <w:rPr>
          <w:rFonts w:hint="eastAsia" w:hAnsi="宋体"/>
          <w:color w:val="auto"/>
          <w:highlight w:val="none"/>
          <w:lang w:val="zh-CN"/>
        </w:rPr>
        <w:t>投标人应递交施工进度网络图或施工进度表，说明按招标文件要求的计划工期进行施工的各个关键日期。</w:t>
      </w:r>
    </w:p>
    <w:p w14:paraId="24C22C3F">
      <w:pPr>
        <w:numPr>
          <w:ilvl w:val="0"/>
          <w:numId w:val="7"/>
        </w:numPr>
        <w:tabs>
          <w:tab w:val="left" w:pos="754"/>
        </w:tabs>
        <w:spacing w:after="500" w:line="360" w:lineRule="auto"/>
        <w:jc w:val="left"/>
        <w:rPr>
          <w:rFonts w:hAnsi="宋体"/>
          <w:color w:val="auto"/>
          <w:highlight w:val="none"/>
          <w:lang w:val="zh-CN"/>
        </w:rPr>
      </w:pPr>
      <w:bookmarkStart w:id="2261" w:name="bookmark2256"/>
      <w:bookmarkEnd w:id="2261"/>
      <w:r>
        <w:rPr>
          <w:rFonts w:hint="eastAsia" w:hAnsi="宋体"/>
          <w:color w:val="auto"/>
          <w:highlight w:val="none"/>
          <w:lang w:val="zh-CN"/>
        </w:rPr>
        <w:t>施工进度表可采用网络图（或横道图）表示。</w:t>
      </w:r>
    </w:p>
    <w:p w14:paraId="5E598F15">
      <w:pPr>
        <w:rPr>
          <w:rFonts w:hAnsi="宋体"/>
          <w:color w:val="auto"/>
          <w:highlight w:val="none"/>
          <w:lang w:val="zh-CN"/>
        </w:rPr>
      </w:pPr>
      <w:r>
        <w:rPr>
          <w:rFonts w:hAnsi="宋体"/>
          <w:color w:val="auto"/>
          <w:highlight w:val="none"/>
        </w:rPr>
        <w:br w:type="page"/>
      </w:r>
    </w:p>
    <w:p w14:paraId="7F6A7208">
      <w:pPr>
        <w:rPr>
          <w:rFonts w:hAnsi="宋体"/>
          <w:b/>
          <w:color w:val="auto"/>
          <w:highlight w:val="none"/>
        </w:rPr>
      </w:pPr>
      <w:bookmarkStart w:id="2262" w:name="bookmark2257"/>
      <w:bookmarkStart w:id="2263" w:name="bookmark2259"/>
      <w:bookmarkStart w:id="2264" w:name="bookmark2258"/>
      <w:r>
        <w:rPr>
          <w:rFonts w:hint="eastAsia" w:hAnsi="宋体"/>
          <w:b/>
          <w:color w:val="auto"/>
          <w:highlight w:val="none"/>
        </w:rPr>
        <w:t>附件</w:t>
      </w:r>
      <w:r>
        <w:rPr>
          <w:rFonts w:hint="eastAsia" w:hAnsi="宋体"/>
          <w:b/>
          <w:color w:val="auto"/>
          <w:highlight w:val="none"/>
          <w:lang w:eastAsia="zh-CN"/>
        </w:rPr>
        <w:t>五</w:t>
      </w:r>
      <w:r>
        <w:rPr>
          <w:rFonts w:hint="eastAsia" w:hAnsi="宋体"/>
          <w:b/>
          <w:color w:val="auto"/>
          <w:highlight w:val="none"/>
        </w:rPr>
        <w:t>：施工总平面图</w:t>
      </w:r>
      <w:bookmarkEnd w:id="2262"/>
      <w:bookmarkEnd w:id="2263"/>
      <w:bookmarkEnd w:id="2264"/>
    </w:p>
    <w:p w14:paraId="2E990673">
      <w:pPr>
        <w:jc w:val="center"/>
        <w:rPr>
          <w:rFonts w:hAnsi="宋体"/>
          <w:b/>
          <w:color w:val="auto"/>
          <w:highlight w:val="none"/>
        </w:rPr>
      </w:pPr>
      <w:bookmarkStart w:id="2265" w:name="_Toc768"/>
      <w:bookmarkStart w:id="2266" w:name="bookmark2262"/>
      <w:bookmarkStart w:id="2267" w:name="_Toc30163"/>
      <w:bookmarkStart w:id="2268" w:name="bookmark2261"/>
      <w:bookmarkStart w:id="2269" w:name="bookmark2260"/>
      <w:r>
        <w:rPr>
          <w:rFonts w:hint="eastAsia" w:hAnsi="宋体"/>
          <w:b/>
          <w:color w:val="auto"/>
          <w:highlight w:val="none"/>
        </w:rPr>
        <w:t>施工总平面图</w:t>
      </w:r>
      <w:bookmarkEnd w:id="2265"/>
      <w:bookmarkEnd w:id="2266"/>
      <w:bookmarkEnd w:id="2267"/>
      <w:bookmarkEnd w:id="2268"/>
      <w:bookmarkEnd w:id="2269"/>
    </w:p>
    <w:p w14:paraId="7DCD8333">
      <w:pPr>
        <w:jc w:val="center"/>
        <w:rPr>
          <w:rFonts w:hAnsi="宋体"/>
          <w:b/>
          <w:color w:val="auto"/>
          <w:highlight w:val="none"/>
        </w:rPr>
      </w:pPr>
    </w:p>
    <w:p w14:paraId="59E090D2">
      <w:pPr>
        <w:spacing w:after="100" w:afterAutospacing="1" w:line="360" w:lineRule="auto"/>
        <w:ind w:firstLine="420"/>
        <w:rPr>
          <w:rFonts w:hAnsi="宋体"/>
          <w:color w:val="auto"/>
          <w:highlight w:val="none"/>
          <w:lang w:val="zh-CN"/>
        </w:rPr>
      </w:pPr>
      <w:r>
        <w:rPr>
          <w:rFonts w:hint="eastAsia" w:hAnsi="宋体"/>
          <w:color w:val="auto"/>
          <w:highlight w:val="none"/>
          <w:lang w:val="zh-CN"/>
        </w:rPr>
        <w:t>投标人应递交一份施工总平面图，绘出现场临时设施布置图及表并附文字说明，说明临时设施、加工车间、现场办公、设备及仓储、供电、供水、卫生、生活、道路、消防等设施的情况和布置。</w:t>
      </w:r>
      <w:r>
        <w:rPr>
          <w:rFonts w:hAnsi="宋体"/>
          <w:color w:val="auto"/>
          <w:highlight w:val="none"/>
          <w:lang w:val="zh-CN"/>
        </w:rPr>
        <w:br w:type="page"/>
      </w:r>
    </w:p>
    <w:p w14:paraId="188DE430">
      <w:pPr>
        <w:rPr>
          <w:rFonts w:hAnsi="宋体"/>
          <w:b/>
          <w:color w:val="auto"/>
          <w:highlight w:val="none"/>
        </w:rPr>
      </w:pPr>
      <w:bookmarkStart w:id="2270" w:name="bookmark2263"/>
      <w:bookmarkStart w:id="2271" w:name="bookmark2264"/>
      <w:bookmarkStart w:id="2272" w:name="bookmark2265"/>
      <w:r>
        <w:rPr>
          <w:rFonts w:hint="eastAsia" w:hAnsi="宋体"/>
          <w:b/>
          <w:color w:val="auto"/>
          <w:highlight w:val="none"/>
        </w:rPr>
        <w:t>附件</w:t>
      </w:r>
      <w:r>
        <w:rPr>
          <w:rFonts w:hint="eastAsia" w:hAnsi="宋体"/>
          <w:b/>
          <w:color w:val="auto"/>
          <w:highlight w:val="none"/>
          <w:lang w:eastAsia="zh-CN"/>
        </w:rPr>
        <w:t>六</w:t>
      </w:r>
      <w:r>
        <w:rPr>
          <w:rFonts w:hint="eastAsia" w:hAnsi="宋体"/>
          <w:b/>
          <w:color w:val="auto"/>
          <w:highlight w:val="none"/>
        </w:rPr>
        <w:t>：临时用地表</w:t>
      </w:r>
      <w:bookmarkEnd w:id="2270"/>
      <w:bookmarkEnd w:id="2271"/>
      <w:bookmarkEnd w:id="2272"/>
    </w:p>
    <w:p w14:paraId="6D352833">
      <w:pPr>
        <w:jc w:val="center"/>
        <w:rPr>
          <w:rFonts w:hAnsi="宋体"/>
          <w:b/>
          <w:color w:val="auto"/>
          <w:highlight w:val="none"/>
        </w:rPr>
      </w:pPr>
      <w:bookmarkStart w:id="2273" w:name="bookmark2268"/>
      <w:bookmarkStart w:id="2274" w:name="bookmark2267"/>
      <w:bookmarkStart w:id="2275" w:name="_Toc31330"/>
      <w:bookmarkStart w:id="2276" w:name="bookmark2266"/>
      <w:bookmarkStart w:id="2277" w:name="_Toc3522"/>
      <w:r>
        <w:rPr>
          <w:rFonts w:hint="eastAsia" w:hAnsi="宋体"/>
          <w:b/>
          <w:color w:val="auto"/>
          <w:highlight w:val="none"/>
        </w:rPr>
        <w:t>临时用地表</w:t>
      </w:r>
      <w:bookmarkEnd w:id="2273"/>
      <w:bookmarkEnd w:id="2274"/>
      <w:bookmarkEnd w:id="2275"/>
      <w:bookmarkEnd w:id="2276"/>
      <w:bookmarkEnd w:id="2277"/>
    </w:p>
    <w:p w14:paraId="35ECAB88">
      <w:pPr>
        <w:jc w:val="center"/>
        <w:rPr>
          <w:rFonts w:hAnsi="宋体"/>
          <w:b/>
          <w:color w:val="auto"/>
          <w:highlight w:val="none"/>
        </w:rPr>
      </w:pPr>
    </w:p>
    <w:p w14:paraId="6F5F5A26">
      <w:pPr>
        <w:jc w:val="center"/>
        <w:rPr>
          <w:rFonts w:hAnsi="宋体"/>
          <w:b/>
          <w:color w:val="auto"/>
          <w:highlight w:val="none"/>
        </w:rPr>
      </w:pPr>
    </w:p>
    <w:tbl>
      <w:tblPr>
        <w:tblStyle w:val="47"/>
        <w:tblW w:w="8352" w:type="dxa"/>
        <w:jc w:val="center"/>
        <w:tblLayout w:type="fixed"/>
        <w:tblCellMar>
          <w:top w:w="0" w:type="dxa"/>
          <w:left w:w="10" w:type="dxa"/>
          <w:bottom w:w="0" w:type="dxa"/>
          <w:right w:w="10" w:type="dxa"/>
        </w:tblCellMar>
      </w:tblPr>
      <w:tblGrid>
        <w:gridCol w:w="2093"/>
        <w:gridCol w:w="2083"/>
        <w:gridCol w:w="2083"/>
        <w:gridCol w:w="2093"/>
      </w:tblGrid>
      <w:tr w14:paraId="3C704678">
        <w:tblPrEx>
          <w:tblCellMar>
            <w:top w:w="0" w:type="dxa"/>
            <w:left w:w="10" w:type="dxa"/>
            <w:bottom w:w="0" w:type="dxa"/>
            <w:right w:w="10" w:type="dxa"/>
          </w:tblCellMar>
        </w:tblPrEx>
        <w:trPr>
          <w:trHeight w:val="576" w:hRule="exact"/>
          <w:jc w:val="center"/>
        </w:trPr>
        <w:tc>
          <w:tcPr>
            <w:tcW w:w="2093" w:type="dxa"/>
            <w:tcBorders>
              <w:top w:val="single" w:color="auto" w:sz="4" w:space="0"/>
              <w:left w:val="single" w:color="auto" w:sz="4" w:space="0"/>
            </w:tcBorders>
            <w:shd w:val="clear" w:color="auto" w:fill="FFFFFF"/>
            <w:vAlign w:val="center"/>
          </w:tcPr>
          <w:p w14:paraId="794AC0E9">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用途</w:t>
            </w:r>
          </w:p>
        </w:tc>
        <w:tc>
          <w:tcPr>
            <w:tcW w:w="2083" w:type="dxa"/>
            <w:tcBorders>
              <w:top w:val="single" w:color="auto" w:sz="4" w:space="0"/>
              <w:left w:val="single" w:color="auto" w:sz="4" w:space="0"/>
            </w:tcBorders>
            <w:shd w:val="clear" w:color="auto" w:fill="FFFFFF"/>
            <w:vAlign w:val="center"/>
          </w:tcPr>
          <w:p w14:paraId="794F87BD">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面积（</w:t>
            </w:r>
            <w:r>
              <w:rPr>
                <w:rFonts w:hint="default" w:hAnsi="宋体"/>
                <w:color w:val="auto"/>
                <w:highlight w:val="none"/>
                <w:lang w:val="zh-CN"/>
              </w:rPr>
              <w:t>m</w:t>
            </w:r>
            <w:r>
              <w:rPr>
                <w:rFonts w:hint="default" w:hAnsi="宋体"/>
                <w:color w:val="auto"/>
                <w:highlight w:val="none"/>
                <w:vertAlign w:val="superscript"/>
                <w:lang w:val="zh-CN"/>
              </w:rPr>
              <w:t>2</w:t>
            </w:r>
            <w:r>
              <w:rPr>
                <w:rFonts w:hint="eastAsia" w:hAnsi="宋体"/>
                <w:color w:val="auto"/>
                <w:highlight w:val="none"/>
                <w:lang w:val="zh-CN"/>
              </w:rPr>
              <w:t>）</w:t>
            </w:r>
          </w:p>
        </w:tc>
        <w:tc>
          <w:tcPr>
            <w:tcW w:w="2083" w:type="dxa"/>
            <w:tcBorders>
              <w:top w:val="single" w:color="auto" w:sz="4" w:space="0"/>
              <w:left w:val="single" w:color="auto" w:sz="4" w:space="0"/>
            </w:tcBorders>
            <w:shd w:val="clear" w:color="auto" w:fill="FFFFFF"/>
            <w:vAlign w:val="center"/>
          </w:tcPr>
          <w:p w14:paraId="4990008F">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位置</w:t>
            </w:r>
          </w:p>
        </w:tc>
        <w:tc>
          <w:tcPr>
            <w:tcW w:w="2093" w:type="dxa"/>
            <w:tcBorders>
              <w:top w:val="single" w:color="auto" w:sz="4" w:space="0"/>
              <w:left w:val="single" w:color="auto" w:sz="4" w:space="0"/>
              <w:right w:val="single" w:color="auto" w:sz="4" w:space="0"/>
            </w:tcBorders>
            <w:shd w:val="clear" w:color="auto" w:fill="FFFFFF"/>
            <w:vAlign w:val="center"/>
          </w:tcPr>
          <w:p w14:paraId="5911A4AB">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需用时间</w:t>
            </w:r>
          </w:p>
        </w:tc>
      </w:tr>
      <w:tr w14:paraId="6FBFCDA5">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338954FC">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71453C63">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3E9CD05E">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2A466E1A">
            <w:pPr>
              <w:keepNext w:val="0"/>
              <w:keepLines w:val="0"/>
              <w:suppressLineNumbers w:val="0"/>
              <w:spacing w:before="0" w:beforeAutospacing="0" w:after="0" w:afterAutospacing="0"/>
              <w:ind w:left="0" w:right="0"/>
              <w:rPr>
                <w:rFonts w:hint="default" w:hAnsi="宋体"/>
                <w:color w:val="auto"/>
                <w:highlight w:val="none"/>
              </w:rPr>
            </w:pPr>
          </w:p>
        </w:tc>
      </w:tr>
      <w:tr w14:paraId="426317A2">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12CC7C6C">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25597926">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47622429">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228E4D07">
            <w:pPr>
              <w:keepNext w:val="0"/>
              <w:keepLines w:val="0"/>
              <w:suppressLineNumbers w:val="0"/>
              <w:spacing w:before="0" w:beforeAutospacing="0" w:after="0" w:afterAutospacing="0"/>
              <w:ind w:left="0" w:right="0"/>
              <w:rPr>
                <w:rFonts w:hint="default" w:hAnsi="宋体"/>
                <w:color w:val="auto"/>
                <w:highlight w:val="none"/>
              </w:rPr>
            </w:pPr>
          </w:p>
        </w:tc>
      </w:tr>
      <w:tr w14:paraId="73C9E11A">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6E778702">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4DAB1458">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25D0621A">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325E16E1">
            <w:pPr>
              <w:keepNext w:val="0"/>
              <w:keepLines w:val="0"/>
              <w:suppressLineNumbers w:val="0"/>
              <w:spacing w:before="0" w:beforeAutospacing="0" w:after="0" w:afterAutospacing="0"/>
              <w:ind w:left="0" w:right="0"/>
              <w:rPr>
                <w:rFonts w:hint="default" w:hAnsi="宋体"/>
                <w:color w:val="auto"/>
                <w:highlight w:val="none"/>
              </w:rPr>
            </w:pPr>
          </w:p>
        </w:tc>
      </w:tr>
      <w:tr w14:paraId="77D1A89F">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6F5742E2">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7112FCA5">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19230182">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443B6493">
            <w:pPr>
              <w:keepNext w:val="0"/>
              <w:keepLines w:val="0"/>
              <w:suppressLineNumbers w:val="0"/>
              <w:spacing w:before="0" w:beforeAutospacing="0" w:after="0" w:afterAutospacing="0"/>
              <w:ind w:left="0" w:right="0"/>
              <w:rPr>
                <w:rFonts w:hint="default" w:hAnsi="宋体"/>
                <w:color w:val="auto"/>
                <w:highlight w:val="none"/>
              </w:rPr>
            </w:pPr>
          </w:p>
        </w:tc>
      </w:tr>
      <w:tr w14:paraId="4C22EC81">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58FC8760">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4E2CD975">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136E9512">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71BCE093">
            <w:pPr>
              <w:keepNext w:val="0"/>
              <w:keepLines w:val="0"/>
              <w:suppressLineNumbers w:val="0"/>
              <w:spacing w:before="0" w:beforeAutospacing="0" w:after="0" w:afterAutospacing="0"/>
              <w:ind w:left="0" w:right="0"/>
              <w:rPr>
                <w:rFonts w:hint="default" w:hAnsi="宋体"/>
                <w:color w:val="auto"/>
                <w:highlight w:val="none"/>
              </w:rPr>
            </w:pPr>
          </w:p>
        </w:tc>
      </w:tr>
      <w:tr w14:paraId="26FEEA0D">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1CF1C75B">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22282B17">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307365E7">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51A68753">
            <w:pPr>
              <w:keepNext w:val="0"/>
              <w:keepLines w:val="0"/>
              <w:suppressLineNumbers w:val="0"/>
              <w:spacing w:before="0" w:beforeAutospacing="0" w:after="0" w:afterAutospacing="0"/>
              <w:ind w:left="0" w:right="0"/>
              <w:rPr>
                <w:rFonts w:hint="default" w:hAnsi="宋体"/>
                <w:color w:val="auto"/>
                <w:highlight w:val="none"/>
              </w:rPr>
            </w:pPr>
          </w:p>
        </w:tc>
      </w:tr>
      <w:tr w14:paraId="0A7A65E7">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73F6A1BF">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25F5A488">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04D8BA85">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52A21109">
            <w:pPr>
              <w:keepNext w:val="0"/>
              <w:keepLines w:val="0"/>
              <w:suppressLineNumbers w:val="0"/>
              <w:spacing w:before="0" w:beforeAutospacing="0" w:after="0" w:afterAutospacing="0"/>
              <w:ind w:left="0" w:right="0"/>
              <w:rPr>
                <w:rFonts w:hint="default" w:hAnsi="宋体"/>
                <w:color w:val="auto"/>
                <w:highlight w:val="none"/>
              </w:rPr>
            </w:pPr>
          </w:p>
        </w:tc>
      </w:tr>
      <w:tr w14:paraId="61E74023">
        <w:tblPrEx>
          <w:tblCellMar>
            <w:top w:w="0" w:type="dxa"/>
            <w:left w:w="10" w:type="dxa"/>
            <w:bottom w:w="0" w:type="dxa"/>
            <w:right w:w="10" w:type="dxa"/>
          </w:tblCellMar>
        </w:tblPrEx>
        <w:trPr>
          <w:trHeight w:val="571" w:hRule="exact"/>
          <w:jc w:val="center"/>
        </w:trPr>
        <w:tc>
          <w:tcPr>
            <w:tcW w:w="2093" w:type="dxa"/>
            <w:tcBorders>
              <w:top w:val="single" w:color="auto" w:sz="4" w:space="0"/>
              <w:left w:val="single" w:color="auto" w:sz="4" w:space="0"/>
            </w:tcBorders>
            <w:shd w:val="clear" w:color="auto" w:fill="FFFFFF"/>
          </w:tcPr>
          <w:p w14:paraId="62D32ECD">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59392112">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03D95D1A">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359C9539">
            <w:pPr>
              <w:keepNext w:val="0"/>
              <w:keepLines w:val="0"/>
              <w:suppressLineNumbers w:val="0"/>
              <w:spacing w:before="0" w:beforeAutospacing="0" w:after="0" w:afterAutospacing="0"/>
              <w:ind w:left="0" w:right="0"/>
              <w:rPr>
                <w:rFonts w:hint="default" w:hAnsi="宋体"/>
                <w:color w:val="auto"/>
                <w:highlight w:val="none"/>
              </w:rPr>
            </w:pPr>
          </w:p>
        </w:tc>
      </w:tr>
      <w:tr w14:paraId="582656FC">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07E166C0">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298C554B">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761862E8">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76C48357">
            <w:pPr>
              <w:keepNext w:val="0"/>
              <w:keepLines w:val="0"/>
              <w:suppressLineNumbers w:val="0"/>
              <w:spacing w:before="0" w:beforeAutospacing="0" w:after="0" w:afterAutospacing="0"/>
              <w:ind w:left="0" w:right="0"/>
              <w:rPr>
                <w:rFonts w:hint="default" w:hAnsi="宋体"/>
                <w:color w:val="auto"/>
                <w:highlight w:val="none"/>
              </w:rPr>
            </w:pPr>
          </w:p>
        </w:tc>
      </w:tr>
      <w:tr w14:paraId="38FC13A2">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4A1C5F26">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1FDCE5C9">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4469728A">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4BDF4E94">
            <w:pPr>
              <w:keepNext w:val="0"/>
              <w:keepLines w:val="0"/>
              <w:suppressLineNumbers w:val="0"/>
              <w:spacing w:before="0" w:beforeAutospacing="0" w:after="0" w:afterAutospacing="0"/>
              <w:ind w:left="0" w:right="0"/>
              <w:rPr>
                <w:rFonts w:hint="default" w:hAnsi="宋体"/>
                <w:color w:val="auto"/>
                <w:highlight w:val="none"/>
              </w:rPr>
            </w:pPr>
          </w:p>
        </w:tc>
      </w:tr>
      <w:tr w14:paraId="7101F171">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39C33C09">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472039CE">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06307D7F">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6EA6E45A">
            <w:pPr>
              <w:keepNext w:val="0"/>
              <w:keepLines w:val="0"/>
              <w:suppressLineNumbers w:val="0"/>
              <w:spacing w:before="0" w:beforeAutospacing="0" w:after="0" w:afterAutospacing="0"/>
              <w:ind w:left="0" w:right="0"/>
              <w:rPr>
                <w:rFonts w:hint="default" w:hAnsi="宋体"/>
                <w:color w:val="auto"/>
                <w:highlight w:val="none"/>
              </w:rPr>
            </w:pPr>
          </w:p>
        </w:tc>
      </w:tr>
      <w:tr w14:paraId="3D0FE1C1">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3F5AA1AE">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3457F744">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5B4C12CB">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0ED636DF">
            <w:pPr>
              <w:keepNext w:val="0"/>
              <w:keepLines w:val="0"/>
              <w:suppressLineNumbers w:val="0"/>
              <w:spacing w:before="0" w:beforeAutospacing="0" w:after="0" w:afterAutospacing="0"/>
              <w:ind w:left="0" w:right="0"/>
              <w:rPr>
                <w:rFonts w:hint="default" w:hAnsi="宋体"/>
                <w:color w:val="auto"/>
                <w:highlight w:val="none"/>
              </w:rPr>
            </w:pPr>
          </w:p>
        </w:tc>
      </w:tr>
      <w:tr w14:paraId="47B55D17">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127A93A9">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76A1545E">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18661909">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70093BA4">
            <w:pPr>
              <w:keepNext w:val="0"/>
              <w:keepLines w:val="0"/>
              <w:suppressLineNumbers w:val="0"/>
              <w:spacing w:before="0" w:beforeAutospacing="0" w:after="0" w:afterAutospacing="0"/>
              <w:ind w:left="0" w:right="0"/>
              <w:rPr>
                <w:rFonts w:hint="default" w:hAnsi="宋体"/>
                <w:color w:val="auto"/>
                <w:highlight w:val="none"/>
              </w:rPr>
            </w:pPr>
          </w:p>
        </w:tc>
      </w:tr>
      <w:tr w14:paraId="320055D3">
        <w:tblPrEx>
          <w:tblCellMar>
            <w:top w:w="0" w:type="dxa"/>
            <w:left w:w="10" w:type="dxa"/>
            <w:bottom w:w="0" w:type="dxa"/>
            <w:right w:w="10" w:type="dxa"/>
          </w:tblCellMar>
        </w:tblPrEx>
        <w:trPr>
          <w:trHeight w:val="576" w:hRule="exact"/>
          <w:jc w:val="center"/>
        </w:trPr>
        <w:tc>
          <w:tcPr>
            <w:tcW w:w="2093" w:type="dxa"/>
            <w:tcBorders>
              <w:top w:val="single" w:color="auto" w:sz="4" w:space="0"/>
              <w:left w:val="single" w:color="auto" w:sz="4" w:space="0"/>
              <w:bottom w:val="single" w:color="auto" w:sz="4" w:space="0"/>
            </w:tcBorders>
            <w:shd w:val="clear" w:color="auto" w:fill="FFFFFF"/>
          </w:tcPr>
          <w:p w14:paraId="261966F5">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bottom w:val="single" w:color="auto" w:sz="4" w:space="0"/>
            </w:tcBorders>
            <w:shd w:val="clear" w:color="auto" w:fill="FFFFFF"/>
          </w:tcPr>
          <w:p w14:paraId="5672F092">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bottom w:val="single" w:color="auto" w:sz="4" w:space="0"/>
            </w:tcBorders>
            <w:shd w:val="clear" w:color="auto" w:fill="FFFFFF"/>
          </w:tcPr>
          <w:p w14:paraId="02AD4DC6">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bottom w:val="single" w:color="auto" w:sz="4" w:space="0"/>
              <w:right w:val="single" w:color="auto" w:sz="4" w:space="0"/>
            </w:tcBorders>
            <w:shd w:val="clear" w:color="auto" w:fill="FFFFFF"/>
          </w:tcPr>
          <w:p w14:paraId="4F7825AF">
            <w:pPr>
              <w:keepNext w:val="0"/>
              <w:keepLines w:val="0"/>
              <w:suppressLineNumbers w:val="0"/>
              <w:spacing w:before="0" w:beforeAutospacing="0" w:after="0" w:afterAutospacing="0"/>
              <w:ind w:left="0" w:right="0"/>
              <w:rPr>
                <w:rFonts w:hint="default" w:hAnsi="宋体"/>
                <w:color w:val="auto"/>
                <w:highlight w:val="none"/>
              </w:rPr>
            </w:pPr>
          </w:p>
        </w:tc>
      </w:tr>
    </w:tbl>
    <w:p w14:paraId="1D792570">
      <w:pPr>
        <w:rPr>
          <w:rFonts w:hAnsi="宋体"/>
          <w:color w:val="auto"/>
          <w:highlight w:val="none"/>
        </w:rPr>
      </w:pPr>
    </w:p>
    <w:p w14:paraId="2C2909DE">
      <w:pPr>
        <w:widowControl/>
        <w:jc w:val="left"/>
        <w:rPr>
          <w:rFonts w:hAnsi="宋体"/>
          <w:color w:val="auto"/>
          <w:kern w:val="2"/>
          <w:sz w:val="24"/>
          <w:szCs w:val="24"/>
          <w:highlight w:val="none"/>
        </w:rPr>
      </w:pPr>
      <w:r>
        <w:rPr>
          <w:rFonts w:hAnsi="宋体"/>
          <w:color w:val="auto"/>
          <w:kern w:val="2"/>
          <w:sz w:val="24"/>
          <w:szCs w:val="24"/>
          <w:highlight w:val="none"/>
        </w:rPr>
        <w:br w:type="page"/>
      </w:r>
    </w:p>
    <w:p w14:paraId="69BC37AE">
      <w:pPr>
        <w:pStyle w:val="5"/>
        <w:rPr>
          <w:rFonts w:ascii="宋体" w:hAnsi="宋体" w:eastAsia="宋体"/>
          <w:color w:val="auto"/>
          <w:sz w:val="28"/>
          <w:szCs w:val="28"/>
          <w:highlight w:val="none"/>
        </w:rPr>
      </w:pPr>
      <w:r>
        <w:rPr>
          <w:rFonts w:hint="eastAsia" w:ascii="宋体" w:hAnsi="宋体" w:eastAsia="宋体" w:cs="宋体"/>
          <w:color w:val="auto"/>
          <w:sz w:val="28"/>
          <w:szCs w:val="28"/>
          <w:highlight w:val="none"/>
        </w:rPr>
        <w:t>（二）项目管理机构</w:t>
      </w:r>
    </w:p>
    <w:p w14:paraId="3546DB45">
      <w:pPr>
        <w:tabs>
          <w:tab w:val="left" w:pos="0"/>
        </w:tabs>
        <w:spacing w:line="360" w:lineRule="auto"/>
        <w:ind w:right="-210" w:firstLine="420" w:firstLineChars="200"/>
        <w:rPr>
          <w:rFonts w:hAnsi="宋体"/>
          <w:color w:val="auto"/>
          <w:kern w:val="2"/>
          <w:highlight w:val="none"/>
        </w:rPr>
      </w:pPr>
      <w:r>
        <w:rPr>
          <w:rFonts w:hAnsi="宋体"/>
          <w:color w:val="auto"/>
          <w:kern w:val="2"/>
          <w:highlight w:val="none"/>
        </w:rPr>
        <w:t>1.</w:t>
      </w:r>
      <w:r>
        <w:rPr>
          <w:rFonts w:hint="eastAsia" w:hAnsi="宋体"/>
          <w:color w:val="auto"/>
          <w:kern w:val="2"/>
          <w:highlight w:val="none"/>
        </w:rPr>
        <w:t>供应商可以结合项目实际情况和企业自身情况安排拟投入本项目的现场管理人员并在本章“资格审查部分</w:t>
      </w:r>
      <w:r>
        <w:rPr>
          <w:rFonts w:hAnsi="宋体"/>
          <w:color w:val="auto"/>
          <w:kern w:val="2"/>
          <w:highlight w:val="none"/>
        </w:rPr>
        <w:t>&gt;</w:t>
      </w:r>
      <w:r>
        <w:rPr>
          <w:rFonts w:hint="eastAsia" w:hAnsi="宋体"/>
          <w:color w:val="auto"/>
          <w:kern w:val="2"/>
          <w:highlight w:val="none"/>
        </w:rPr>
        <w:t>项目管理机构配备表”的基础上对该表进行扩展完善；</w:t>
      </w:r>
    </w:p>
    <w:p w14:paraId="1AC0C291">
      <w:pPr>
        <w:tabs>
          <w:tab w:val="left" w:pos="0"/>
        </w:tabs>
        <w:spacing w:line="360" w:lineRule="auto"/>
        <w:ind w:right="-210" w:firstLine="420" w:firstLineChars="200"/>
        <w:rPr>
          <w:rFonts w:hAnsi="宋体"/>
          <w:color w:val="auto"/>
          <w:kern w:val="2"/>
          <w:highlight w:val="none"/>
        </w:rPr>
      </w:pPr>
      <w:r>
        <w:rPr>
          <w:rFonts w:hAnsi="宋体"/>
          <w:color w:val="auto"/>
          <w:kern w:val="2"/>
          <w:highlight w:val="none"/>
        </w:rPr>
        <w:t>2.</w:t>
      </w:r>
      <w:r>
        <w:rPr>
          <w:rFonts w:hint="eastAsia" w:hAnsi="宋体"/>
          <w:color w:val="auto"/>
          <w:kern w:val="2"/>
          <w:highlight w:val="none"/>
        </w:rPr>
        <w:t>附各岗位人员资格证件（如有）、职称证（如有）、二代居民身份证以及在现任职单位的社会保险缴纳证明材料（提交首次响应文件截止时间前半年内连续三个月的依法缴纳社会保障金的证明材料）</w:t>
      </w:r>
      <w:r>
        <w:rPr>
          <w:rFonts w:hint="eastAsia" w:hAnsi="宋体"/>
          <w:color w:val="auto"/>
          <w:kern w:val="2"/>
          <w:highlight w:val="none"/>
          <w:lang w:eastAsia="zh-CN"/>
        </w:rPr>
        <w:t>扫描件</w:t>
      </w:r>
      <w:r>
        <w:rPr>
          <w:rFonts w:hint="eastAsia" w:hAnsi="宋体"/>
          <w:color w:val="auto"/>
          <w:kern w:val="2"/>
          <w:highlight w:val="none"/>
        </w:rPr>
        <w:t>（相关证明材料</w:t>
      </w:r>
      <w:r>
        <w:rPr>
          <w:rFonts w:hint="eastAsia" w:hAnsi="宋体"/>
          <w:color w:val="auto"/>
          <w:kern w:val="2"/>
          <w:highlight w:val="none"/>
          <w:lang w:eastAsia="zh-CN"/>
        </w:rPr>
        <w:t>扫描件</w:t>
      </w:r>
      <w:r>
        <w:rPr>
          <w:rFonts w:hint="eastAsia" w:hAnsi="宋体"/>
          <w:color w:val="auto"/>
          <w:kern w:val="2"/>
          <w:highlight w:val="none"/>
        </w:rPr>
        <w:t>应当加盖供应商单位公章，否则按无效材料处理）。</w:t>
      </w:r>
    </w:p>
    <w:p w14:paraId="49A95050">
      <w:pPr>
        <w:widowControl/>
        <w:jc w:val="left"/>
        <w:rPr>
          <w:rFonts w:hAnsi="宋体"/>
          <w:b/>
          <w:bCs/>
          <w:color w:val="auto"/>
          <w:szCs w:val="32"/>
          <w:highlight w:val="none"/>
        </w:rPr>
      </w:pPr>
      <w:r>
        <w:rPr>
          <w:rFonts w:hAnsi="宋体"/>
          <w:color w:val="auto"/>
          <w:highlight w:val="none"/>
        </w:rPr>
        <w:br w:type="page"/>
      </w:r>
    </w:p>
    <w:p w14:paraId="0A927195">
      <w:pPr>
        <w:pStyle w:val="5"/>
        <w:rPr>
          <w:rFonts w:ascii="宋体" w:hAnsi="宋体" w:eastAsia="宋体"/>
          <w:color w:val="auto"/>
          <w:highlight w:val="none"/>
        </w:rPr>
      </w:pPr>
      <w:r>
        <w:rPr>
          <w:rFonts w:hint="eastAsia" w:ascii="宋体" w:hAnsi="宋体" w:eastAsia="宋体" w:cs="宋体"/>
          <w:color w:val="auto"/>
          <w:sz w:val="28"/>
          <w:szCs w:val="28"/>
          <w:highlight w:val="none"/>
        </w:rPr>
        <w:t>四、信誉实力（如有）</w:t>
      </w:r>
    </w:p>
    <w:p w14:paraId="11840408">
      <w:pPr>
        <w:widowControl/>
        <w:spacing w:line="360" w:lineRule="auto"/>
        <w:jc w:val="left"/>
        <w:rPr>
          <w:rFonts w:hAnsi="宋体"/>
          <w:color w:val="auto"/>
          <w:highlight w:val="none"/>
        </w:rPr>
      </w:pPr>
    </w:p>
    <w:p w14:paraId="3559665E">
      <w:pPr>
        <w:widowControl/>
        <w:spacing w:line="360" w:lineRule="auto"/>
        <w:jc w:val="left"/>
        <w:rPr>
          <w:rFonts w:hAnsi="宋体"/>
          <w:b/>
          <w:bCs/>
          <w:color w:val="auto"/>
          <w:szCs w:val="32"/>
          <w:highlight w:val="none"/>
        </w:rPr>
      </w:pPr>
      <w:r>
        <w:rPr>
          <w:rFonts w:hAnsi="宋体"/>
          <w:color w:val="auto"/>
          <w:highlight w:val="none"/>
        </w:rPr>
        <w:br w:type="page"/>
      </w:r>
    </w:p>
    <w:p w14:paraId="6BC6792A">
      <w:pPr>
        <w:pStyle w:val="5"/>
        <w:rPr>
          <w:rFonts w:ascii="宋体" w:hAnsi="宋体" w:eastAsia="宋体"/>
          <w:color w:val="auto"/>
          <w:sz w:val="28"/>
          <w:szCs w:val="28"/>
          <w:highlight w:val="none"/>
        </w:rPr>
      </w:pPr>
      <w:r>
        <w:rPr>
          <w:rFonts w:hint="eastAsia" w:ascii="宋体" w:hAnsi="宋体" w:eastAsia="宋体" w:cs="宋体"/>
          <w:color w:val="auto"/>
          <w:sz w:val="28"/>
          <w:szCs w:val="28"/>
          <w:highlight w:val="none"/>
        </w:rPr>
        <w:t>五、供应商认为需要提供的其他材料（如有）</w:t>
      </w:r>
    </w:p>
    <w:p w14:paraId="762A1F31">
      <w:pPr>
        <w:rPr>
          <w:rFonts w:hAnsi="宋体"/>
          <w:color w:val="auto"/>
          <w:highlight w:val="none"/>
        </w:rPr>
      </w:pPr>
    </w:p>
    <w:p w14:paraId="3CBA9B3A">
      <w:pPr>
        <w:widowControl/>
        <w:spacing w:before="100" w:beforeAutospacing="1" w:after="100" w:afterAutospacing="1"/>
        <w:textAlignment w:val="top"/>
        <w:rPr>
          <w:rFonts w:hAnsi="宋体"/>
          <w:color w:val="auto"/>
          <w:highlight w:val="none"/>
        </w:rPr>
      </w:pPr>
    </w:p>
    <w:p w14:paraId="081D61B7">
      <w:pPr>
        <w:pStyle w:val="2"/>
        <w:ind w:left="63" w:right="63"/>
        <w:rPr>
          <w:rFonts w:hAnsi="宋体"/>
          <w:color w:val="auto"/>
          <w:highlight w:val="none"/>
        </w:rPr>
      </w:pPr>
    </w:p>
    <w:p w14:paraId="45FA61E2">
      <w:pPr>
        <w:pStyle w:val="2"/>
        <w:ind w:left="63" w:right="63"/>
        <w:rPr>
          <w:rFonts w:hAnsi="宋体"/>
          <w:color w:val="auto"/>
          <w:highlight w:val="none"/>
        </w:rPr>
      </w:pPr>
    </w:p>
    <w:p w14:paraId="6CFF48A5">
      <w:pPr>
        <w:pStyle w:val="2"/>
        <w:ind w:left="63" w:right="63"/>
        <w:rPr>
          <w:rFonts w:hAnsi="宋体"/>
          <w:color w:val="auto"/>
          <w:highlight w:val="none"/>
        </w:rPr>
      </w:pPr>
    </w:p>
    <w:p w14:paraId="1A8C054A">
      <w:pPr>
        <w:pStyle w:val="2"/>
        <w:ind w:left="63" w:right="63"/>
        <w:rPr>
          <w:rFonts w:hAnsi="宋体"/>
          <w:color w:val="auto"/>
          <w:highlight w:val="none"/>
        </w:rPr>
      </w:pPr>
    </w:p>
    <w:p w14:paraId="46D61643">
      <w:pPr>
        <w:pStyle w:val="2"/>
        <w:ind w:left="63" w:right="63"/>
        <w:rPr>
          <w:rFonts w:hAnsi="宋体"/>
          <w:color w:val="auto"/>
          <w:highlight w:val="none"/>
        </w:rPr>
      </w:pPr>
    </w:p>
    <w:p w14:paraId="73A6C643">
      <w:pPr>
        <w:pStyle w:val="2"/>
        <w:ind w:left="63" w:right="63"/>
        <w:rPr>
          <w:rFonts w:hAnsi="宋体"/>
          <w:color w:val="auto"/>
          <w:highlight w:val="none"/>
        </w:rPr>
      </w:pPr>
    </w:p>
    <w:p w14:paraId="3BBC165D">
      <w:pPr>
        <w:pStyle w:val="2"/>
        <w:ind w:left="63" w:right="63"/>
        <w:rPr>
          <w:rFonts w:hAnsi="宋体"/>
          <w:color w:val="auto"/>
          <w:highlight w:val="none"/>
        </w:rPr>
      </w:pPr>
    </w:p>
    <w:p w14:paraId="556F0B20">
      <w:pPr>
        <w:pStyle w:val="2"/>
        <w:ind w:left="63" w:right="63"/>
        <w:rPr>
          <w:rFonts w:hAnsi="宋体"/>
          <w:color w:val="auto"/>
          <w:highlight w:val="none"/>
        </w:rPr>
      </w:pPr>
    </w:p>
    <w:p w14:paraId="673ABA43">
      <w:pPr>
        <w:pStyle w:val="2"/>
        <w:ind w:left="63" w:right="63"/>
        <w:rPr>
          <w:rFonts w:hAnsi="宋体"/>
          <w:color w:val="auto"/>
          <w:highlight w:val="none"/>
        </w:rPr>
      </w:pPr>
    </w:p>
    <w:p w14:paraId="0BD609C6">
      <w:pPr>
        <w:pStyle w:val="2"/>
        <w:ind w:left="63" w:right="63"/>
        <w:rPr>
          <w:rFonts w:hAnsi="宋体"/>
          <w:color w:val="auto"/>
          <w:highlight w:val="none"/>
        </w:rPr>
      </w:pPr>
    </w:p>
    <w:p w14:paraId="3AFC9ECF">
      <w:pPr>
        <w:pStyle w:val="2"/>
        <w:ind w:left="63" w:right="63"/>
        <w:rPr>
          <w:rFonts w:hAnsi="宋体"/>
          <w:color w:val="auto"/>
          <w:highlight w:val="none"/>
        </w:rPr>
      </w:pPr>
    </w:p>
    <w:p w14:paraId="17149B81">
      <w:pPr>
        <w:pStyle w:val="2"/>
        <w:ind w:left="63" w:right="63"/>
        <w:rPr>
          <w:rFonts w:hAnsi="宋体"/>
          <w:color w:val="auto"/>
          <w:highlight w:val="none"/>
        </w:rPr>
      </w:pPr>
    </w:p>
    <w:p w14:paraId="5CAFDB49">
      <w:pPr>
        <w:pStyle w:val="2"/>
        <w:ind w:left="63" w:right="63"/>
        <w:rPr>
          <w:rFonts w:hAnsi="宋体"/>
          <w:color w:val="auto"/>
          <w:highlight w:val="none"/>
        </w:rPr>
      </w:pPr>
    </w:p>
    <w:p w14:paraId="6AF4092D">
      <w:pPr>
        <w:pStyle w:val="2"/>
        <w:ind w:left="63" w:right="63"/>
        <w:rPr>
          <w:rFonts w:hAnsi="宋体"/>
          <w:color w:val="auto"/>
          <w:highlight w:val="none"/>
        </w:rPr>
      </w:pPr>
    </w:p>
    <w:p w14:paraId="4DA142E9">
      <w:pPr>
        <w:pStyle w:val="2"/>
        <w:ind w:left="63" w:right="63"/>
        <w:rPr>
          <w:rFonts w:hAnsi="宋体"/>
          <w:color w:val="auto"/>
          <w:highlight w:val="none"/>
        </w:rPr>
      </w:pPr>
    </w:p>
    <w:p w14:paraId="39CAAF7B">
      <w:pPr>
        <w:pStyle w:val="2"/>
        <w:ind w:left="63" w:right="63"/>
        <w:rPr>
          <w:rFonts w:hAnsi="宋体"/>
          <w:color w:val="auto"/>
          <w:highlight w:val="none"/>
        </w:rPr>
      </w:pPr>
    </w:p>
    <w:p w14:paraId="0BC5F470">
      <w:pPr>
        <w:pStyle w:val="2"/>
        <w:ind w:left="63" w:right="63"/>
        <w:rPr>
          <w:rFonts w:hAnsi="宋体"/>
          <w:color w:val="auto"/>
          <w:highlight w:val="none"/>
        </w:rPr>
      </w:pPr>
    </w:p>
    <w:p w14:paraId="16D022C8">
      <w:pPr>
        <w:pStyle w:val="2"/>
        <w:ind w:left="63" w:right="63"/>
        <w:rPr>
          <w:rFonts w:hAnsi="宋体"/>
          <w:color w:val="auto"/>
          <w:highlight w:val="none"/>
        </w:rPr>
      </w:pPr>
    </w:p>
    <w:p w14:paraId="7A183DF6">
      <w:pPr>
        <w:pStyle w:val="2"/>
        <w:ind w:left="63" w:right="63"/>
        <w:rPr>
          <w:rFonts w:hAnsi="宋体"/>
          <w:color w:val="auto"/>
          <w:highlight w:val="none"/>
        </w:rPr>
      </w:pPr>
    </w:p>
    <w:p w14:paraId="09C13AAE">
      <w:pPr>
        <w:pStyle w:val="2"/>
        <w:ind w:left="63" w:right="63"/>
        <w:rPr>
          <w:rFonts w:hAnsi="宋体"/>
          <w:color w:val="auto"/>
          <w:highlight w:val="none"/>
        </w:rPr>
      </w:pPr>
    </w:p>
    <w:p w14:paraId="4EED45FB">
      <w:pPr>
        <w:pStyle w:val="2"/>
        <w:ind w:left="63" w:right="63"/>
        <w:rPr>
          <w:rFonts w:hAnsi="宋体"/>
          <w:color w:val="auto"/>
          <w:highlight w:val="none"/>
        </w:rPr>
      </w:pPr>
    </w:p>
    <w:p w14:paraId="65D66917">
      <w:pPr>
        <w:pStyle w:val="2"/>
        <w:ind w:left="63" w:right="63"/>
        <w:rPr>
          <w:rFonts w:hAnsi="宋体"/>
          <w:color w:val="auto"/>
          <w:highlight w:val="none"/>
        </w:rPr>
      </w:pPr>
    </w:p>
    <w:p w14:paraId="3AB43AB1">
      <w:pPr>
        <w:pStyle w:val="2"/>
        <w:ind w:left="63" w:right="63"/>
        <w:rPr>
          <w:rFonts w:hAnsi="宋体"/>
          <w:color w:val="auto"/>
          <w:highlight w:val="none"/>
        </w:rPr>
      </w:pPr>
    </w:p>
    <w:p w14:paraId="78D5699D">
      <w:pPr>
        <w:pStyle w:val="2"/>
        <w:ind w:left="63" w:right="63"/>
        <w:rPr>
          <w:rFonts w:hAnsi="宋体"/>
          <w:color w:val="auto"/>
          <w:highlight w:val="none"/>
        </w:rPr>
      </w:pPr>
    </w:p>
    <w:p w14:paraId="4E09152E">
      <w:pPr>
        <w:pStyle w:val="2"/>
        <w:ind w:left="63" w:right="63"/>
        <w:rPr>
          <w:rFonts w:hAnsi="宋体"/>
          <w:color w:val="auto"/>
          <w:highlight w:val="none"/>
        </w:rPr>
      </w:pPr>
    </w:p>
    <w:p w14:paraId="5B897959">
      <w:pPr>
        <w:pStyle w:val="2"/>
        <w:ind w:left="63" w:right="63"/>
        <w:rPr>
          <w:rFonts w:hAnsi="宋体"/>
          <w:color w:val="auto"/>
          <w:highlight w:val="none"/>
        </w:rPr>
      </w:pPr>
    </w:p>
    <w:p w14:paraId="33B301CF">
      <w:pPr>
        <w:pStyle w:val="2"/>
        <w:ind w:left="63" w:right="63"/>
        <w:rPr>
          <w:rFonts w:hAnsi="宋体"/>
          <w:color w:val="auto"/>
          <w:highlight w:val="none"/>
        </w:rPr>
      </w:pPr>
    </w:p>
    <w:p w14:paraId="416055C9">
      <w:pPr>
        <w:pStyle w:val="3"/>
        <w:jc w:val="center"/>
        <w:rPr>
          <w:rFonts w:ascii="宋体" w:hAnsi="宋体" w:eastAsia="宋体"/>
          <w:color w:val="auto"/>
          <w:kern w:val="0"/>
          <w:sz w:val="21"/>
          <w:szCs w:val="21"/>
          <w:highlight w:val="none"/>
        </w:rPr>
      </w:pPr>
      <w:bookmarkStart w:id="2278" w:name="_Toc2371"/>
      <w:r>
        <w:rPr>
          <w:rFonts w:hint="eastAsia" w:ascii="宋体" w:hAnsi="宋体" w:eastAsia="宋体" w:cs="宋体"/>
          <w:color w:val="auto"/>
          <w:kern w:val="0"/>
          <w:highlight w:val="none"/>
        </w:rPr>
        <w:t>第七章</w:t>
      </w:r>
      <w:r>
        <w:rPr>
          <w:rFonts w:ascii="宋体" w:hAnsi="宋体" w:eastAsia="宋体" w:cs="宋体"/>
          <w:color w:val="auto"/>
          <w:kern w:val="0"/>
          <w:highlight w:val="none"/>
        </w:rPr>
        <w:t xml:space="preserve">  </w:t>
      </w:r>
      <w:bookmarkEnd w:id="2223"/>
      <w:bookmarkEnd w:id="2224"/>
      <w:r>
        <w:rPr>
          <w:rFonts w:hint="eastAsia" w:ascii="宋体" w:hAnsi="宋体" w:eastAsia="宋体" w:cs="宋体"/>
          <w:color w:val="auto"/>
          <w:kern w:val="0"/>
          <w:highlight w:val="none"/>
        </w:rPr>
        <w:t>工程量清单（附后）</w:t>
      </w:r>
      <w:bookmarkEnd w:id="2278"/>
    </w:p>
    <w:p w14:paraId="04F59E9D">
      <w:pPr>
        <w:keepNext/>
        <w:keepLines/>
        <w:spacing w:line="360" w:lineRule="auto"/>
        <w:outlineLvl w:val="2"/>
        <w:rPr>
          <w:rFonts w:hint="eastAsia"/>
          <w:color w:val="auto"/>
          <w:highlight w:val="none"/>
        </w:rPr>
      </w:pPr>
    </w:p>
    <w:p w14:paraId="356A41BF">
      <w:pPr>
        <w:keepNext/>
        <w:keepLines/>
        <w:spacing w:line="360" w:lineRule="auto"/>
        <w:outlineLvl w:val="2"/>
        <w:rPr>
          <w:rFonts w:eastAsia="黑体"/>
          <w:b/>
          <w:bCs/>
          <w:color w:val="auto"/>
          <w:szCs w:val="32"/>
          <w:highlight w:val="none"/>
          <w:lang w:val="zh-CN"/>
        </w:rPr>
      </w:pPr>
      <w:r>
        <w:rPr>
          <w:rFonts w:hint="eastAsia" w:eastAsia="黑体"/>
          <w:b/>
          <w:bCs/>
          <w:color w:val="auto"/>
          <w:szCs w:val="32"/>
          <w:highlight w:val="none"/>
          <w:lang w:val="zh-CN"/>
        </w:rPr>
        <w:t>一、投标报价（已标价工程量清单）编制说明</w:t>
      </w:r>
    </w:p>
    <w:p w14:paraId="1732D9FA">
      <w:pPr>
        <w:spacing w:line="360" w:lineRule="auto"/>
        <w:ind w:firstLine="420" w:firstLineChars="200"/>
        <w:rPr>
          <w:color w:val="auto"/>
          <w:highlight w:val="none"/>
        </w:rPr>
      </w:pPr>
      <w:r>
        <w:rPr>
          <w:color w:val="auto"/>
          <w:highlight w:val="none"/>
        </w:rPr>
        <w:t>1.1</w:t>
      </w:r>
      <w:r>
        <w:rPr>
          <w:rFonts w:hint="eastAsia"/>
          <w:color w:val="auto"/>
          <w:highlight w:val="none"/>
        </w:rPr>
        <w:t>竞标人应依据采购文件、招标工程量清单以及《计价规范》、《计算规范》自主报价，自主报价不得违反计价规范强制性条文规定。竞标人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70D3CEC6">
      <w:pPr>
        <w:spacing w:line="360" w:lineRule="auto"/>
        <w:ind w:firstLine="420" w:firstLineChars="200"/>
        <w:rPr>
          <w:color w:val="auto"/>
          <w:highlight w:val="none"/>
        </w:rPr>
      </w:pPr>
      <w:r>
        <w:rPr>
          <w:color w:val="auto"/>
          <w:highlight w:val="none"/>
        </w:rPr>
        <w:t>1.2</w:t>
      </w:r>
      <w:r>
        <w:rPr>
          <w:rFonts w:hint="eastAsia"/>
          <w:color w:val="auto"/>
          <w:highlight w:val="none"/>
        </w:rPr>
        <w:t>竞标人应按招标工程量清单填报价格。项目编码、项目名称、项目特征、计量单位、工程量必须与招标工程量清单一致，投标人不得对招标工程量清单项目进行增减调整。</w:t>
      </w:r>
    </w:p>
    <w:p w14:paraId="2A4D4ED8">
      <w:pPr>
        <w:spacing w:line="360" w:lineRule="auto"/>
        <w:ind w:firstLine="420" w:firstLineChars="200"/>
        <w:rPr>
          <w:color w:val="auto"/>
          <w:highlight w:val="none"/>
        </w:rPr>
      </w:pPr>
      <w:r>
        <w:rPr>
          <w:color w:val="auto"/>
          <w:highlight w:val="none"/>
        </w:rPr>
        <w:t>1.3</w:t>
      </w:r>
      <w:r>
        <w:rPr>
          <w:rFonts w:hint="eastAsia"/>
          <w:color w:val="auto"/>
          <w:highlight w:val="none"/>
        </w:rPr>
        <w:t>综合单价中应包含招标文件中划分的应由投标人承担的风险范围及其费用。</w:t>
      </w:r>
    </w:p>
    <w:p w14:paraId="4CF7B749">
      <w:pPr>
        <w:spacing w:line="360" w:lineRule="auto"/>
        <w:ind w:firstLine="420" w:firstLineChars="200"/>
        <w:rPr>
          <w:color w:val="auto"/>
          <w:highlight w:val="none"/>
        </w:rPr>
      </w:pPr>
      <w:r>
        <w:rPr>
          <w:color w:val="auto"/>
          <w:highlight w:val="none"/>
        </w:rPr>
        <w:t>1.4</w:t>
      </w:r>
      <w:r>
        <w:rPr>
          <w:rFonts w:hint="eastAsia"/>
          <w:color w:val="auto"/>
          <w:highlight w:val="none"/>
        </w:rPr>
        <w:t>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14:paraId="36C0CF51">
      <w:pPr>
        <w:spacing w:line="360" w:lineRule="auto"/>
        <w:ind w:firstLine="420" w:firstLineChars="200"/>
        <w:rPr>
          <w:color w:val="auto"/>
          <w:highlight w:val="none"/>
        </w:rPr>
      </w:pPr>
      <w:r>
        <w:rPr>
          <w:color w:val="auto"/>
          <w:highlight w:val="none"/>
        </w:rPr>
        <w:t>1.5</w:t>
      </w:r>
      <w:r>
        <w:rPr>
          <w:rFonts w:hint="eastAsia"/>
          <w:color w:val="auto"/>
          <w:highlight w:val="none"/>
        </w:rPr>
        <w:t>总价措施项目的金额应根据</w:t>
      </w:r>
      <w:r>
        <w:rPr>
          <w:rFonts w:hint="eastAsia"/>
          <w:color w:val="auto"/>
          <w:highlight w:val="none"/>
          <w:lang w:eastAsia="zh-CN"/>
        </w:rPr>
        <w:t>采购</w:t>
      </w:r>
      <w:r>
        <w:rPr>
          <w:rFonts w:hint="eastAsia"/>
          <w:color w:val="auto"/>
          <w:highlight w:val="none"/>
        </w:rPr>
        <w:t>文件及竞标时拟定的施工组织设计或施工方案，按计价规范的规定自主确定。但安全文明施工费按国家、省级或行业建设主管部门的有关规定执行，作为不竞争费用单列。</w:t>
      </w:r>
    </w:p>
    <w:p w14:paraId="56DEC416">
      <w:pPr>
        <w:spacing w:line="360" w:lineRule="auto"/>
        <w:ind w:firstLine="420" w:firstLineChars="200"/>
        <w:rPr>
          <w:color w:val="auto"/>
          <w:highlight w:val="none"/>
        </w:rPr>
      </w:pPr>
      <w:r>
        <w:rPr>
          <w:color w:val="auto"/>
          <w:highlight w:val="none"/>
        </w:rPr>
        <w:t>1.6</w:t>
      </w:r>
      <w:r>
        <w:rPr>
          <w:rFonts w:hint="eastAsia"/>
          <w:color w:val="auto"/>
          <w:highlight w:val="none"/>
        </w:rPr>
        <w:t>其他项目费应按下列规定报价：</w:t>
      </w:r>
    </w:p>
    <w:p w14:paraId="39170A9D">
      <w:pPr>
        <w:spacing w:line="36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）暂列金额应按招标工程量清单中列出的金额填写；</w:t>
      </w:r>
    </w:p>
    <w:p w14:paraId="0BFBC007">
      <w:pPr>
        <w:spacing w:line="36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）材料、工程设备暂估价应按招标工程量清单中列出的单价计入综合单价；</w:t>
      </w:r>
    </w:p>
    <w:p w14:paraId="53D33C5C">
      <w:pPr>
        <w:spacing w:line="360" w:lineRule="auto"/>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）专业工程暂估价应按招标工程量清单中列出的金额填写；</w:t>
      </w:r>
    </w:p>
    <w:p w14:paraId="55EB9423">
      <w:pPr>
        <w:spacing w:line="360" w:lineRule="auto"/>
        <w:ind w:firstLine="42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）计日工应按招标工程量清单中列出的项目和估算数量，自主确定综合单价并计算计日工总额；计日工单价均不含规费和税金；</w:t>
      </w:r>
    </w:p>
    <w:p w14:paraId="65DC48E7">
      <w:pPr>
        <w:spacing w:line="360" w:lineRule="auto"/>
        <w:ind w:firstLine="42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）总承包服务费应根据招标工程量清单中列出的内容和供应材料、设备情况，按照招标人提出的协调、配合与服务要求和施工现场管理需要自主确定。</w:t>
      </w:r>
    </w:p>
    <w:p w14:paraId="733FBBB6">
      <w:pPr>
        <w:spacing w:line="360" w:lineRule="auto"/>
        <w:ind w:firstLine="420" w:firstLineChars="200"/>
        <w:rPr>
          <w:color w:val="auto"/>
          <w:highlight w:val="none"/>
        </w:rPr>
      </w:pPr>
      <w:r>
        <w:rPr>
          <w:color w:val="auto"/>
          <w:highlight w:val="none"/>
        </w:rPr>
        <w:t>1.7</w:t>
      </w:r>
      <w:r>
        <w:rPr>
          <w:rFonts w:hint="eastAsia"/>
          <w:color w:val="auto"/>
          <w:highlight w:val="none"/>
        </w:rPr>
        <w:t>规费和增值税应按规定确定，作为不可竞争费用。</w:t>
      </w:r>
    </w:p>
    <w:p w14:paraId="1F25CCA0">
      <w:pPr>
        <w:spacing w:line="360" w:lineRule="auto"/>
        <w:ind w:firstLine="420" w:firstLineChars="200"/>
        <w:rPr>
          <w:color w:val="auto"/>
          <w:highlight w:val="none"/>
        </w:rPr>
      </w:pPr>
      <w:r>
        <w:rPr>
          <w:color w:val="auto"/>
          <w:highlight w:val="none"/>
        </w:rPr>
        <w:t>1.8</w:t>
      </w:r>
      <w:r>
        <w:rPr>
          <w:rFonts w:hint="eastAsia"/>
          <w:color w:val="auto"/>
          <w:highlight w:val="none"/>
        </w:rPr>
        <w:t>招标工程量清单与计价表中列明的所有需要填写的单价和合价的项目，竞标人均应填写且只允许有一个报价。未填写单价和合价的项目，视为此项费用已包含在已标价工程量清单中其他项目的单价和合价之中。竣工结算时，此项目不得重新组价予以调整。</w:t>
      </w:r>
    </w:p>
    <w:p w14:paraId="400DD6DE">
      <w:pPr>
        <w:spacing w:line="360" w:lineRule="auto"/>
        <w:ind w:firstLine="420" w:firstLineChars="200"/>
        <w:rPr>
          <w:color w:val="auto"/>
          <w:highlight w:val="none"/>
        </w:rPr>
      </w:pPr>
      <w:r>
        <w:rPr>
          <w:color w:val="auto"/>
          <w:highlight w:val="none"/>
        </w:rPr>
        <w:t>1.9</w:t>
      </w:r>
      <w:r>
        <w:rPr>
          <w:rFonts w:hint="eastAsia"/>
          <w:color w:val="auto"/>
          <w:highlight w:val="none"/>
        </w:rPr>
        <w:t>竞标总价应当与分部分项工程费、措施项目费、其他项目费和规费、增值税的合计金额一致。</w:t>
      </w:r>
    </w:p>
    <w:p w14:paraId="5586AE6B">
      <w:pPr>
        <w:spacing w:line="360" w:lineRule="auto"/>
        <w:ind w:firstLine="420" w:firstLineChars="200"/>
        <w:rPr>
          <w:color w:val="auto"/>
          <w:highlight w:val="none"/>
        </w:rPr>
      </w:pPr>
      <w:r>
        <w:rPr>
          <w:color w:val="auto"/>
          <w:highlight w:val="none"/>
        </w:rPr>
        <w:t>1.10</w:t>
      </w:r>
      <w:r>
        <w:rPr>
          <w:rFonts w:hint="eastAsia"/>
          <w:color w:val="auto"/>
          <w:highlight w:val="none"/>
        </w:rPr>
        <w:t>竞标人应按《承包人提供的主要材料和设备一览表》的内容填报，不得擅自调整材料和设备名称型号规格、单位、风险系数、基准单价。</w:t>
      </w:r>
    </w:p>
    <w:p w14:paraId="3C0BB585">
      <w:pPr>
        <w:spacing w:line="360" w:lineRule="auto"/>
        <w:ind w:firstLine="420" w:firstLineChars="200"/>
        <w:rPr>
          <w:color w:val="auto"/>
          <w:highlight w:val="none"/>
        </w:rPr>
      </w:pPr>
      <w:r>
        <w:rPr>
          <w:color w:val="auto"/>
          <w:highlight w:val="none"/>
        </w:rPr>
        <w:t>1.11</w:t>
      </w:r>
      <w:r>
        <w:rPr>
          <w:rFonts w:hint="eastAsia"/>
          <w:color w:val="auto"/>
          <w:highlight w:val="none"/>
        </w:rPr>
        <w:t>投标报价表格按本工程工程量清单表格要求填写，并应按招标文件的要求，附上《工程量清单综合单价分析表》（表</w:t>
      </w:r>
      <w:r>
        <w:rPr>
          <w:color w:val="auto"/>
          <w:highlight w:val="none"/>
        </w:rPr>
        <w:t>-09</w:t>
      </w:r>
      <w:r>
        <w:rPr>
          <w:rFonts w:hint="eastAsia"/>
          <w:color w:val="auto"/>
          <w:highlight w:val="none"/>
        </w:rPr>
        <w:t>）和《主要清单项目工料机分析表》（表</w:t>
      </w:r>
      <w:r>
        <w:rPr>
          <w:color w:val="auto"/>
          <w:highlight w:val="none"/>
        </w:rPr>
        <w:t>-10</w:t>
      </w:r>
      <w:r>
        <w:rPr>
          <w:rFonts w:hint="eastAsia"/>
          <w:color w:val="auto"/>
          <w:highlight w:val="none"/>
        </w:rPr>
        <w:t>）。</w:t>
      </w:r>
    </w:p>
    <w:p w14:paraId="0F2A65C0">
      <w:pPr>
        <w:keepNext w:val="0"/>
        <w:keepLines w:val="0"/>
        <w:widowControl/>
        <w:suppressLineNumbers w:val="0"/>
        <w:shd w:val="clear" w:fill="FFFFFF"/>
        <w:spacing w:before="0" w:beforeAutospacing="0" w:after="0" w:afterAutospacing="0"/>
        <w:ind w:left="0" w:right="0" w:firstLine="420" w:firstLineChars="200"/>
        <w:jc w:val="left"/>
        <w:rPr>
          <w:rFonts w:hint="eastAsia" w:ascii="宋体" w:hAnsi="宋体" w:eastAsia="宋体" w:cs="宋体"/>
          <w:b/>
          <w:bCs/>
          <w:color w:val="auto"/>
          <w:kern w:val="0"/>
          <w:sz w:val="21"/>
          <w:szCs w:val="21"/>
          <w:highlight w:val="none"/>
          <w:shd w:val="clear" w:fill="FFFFFF"/>
          <w:lang w:val="en-US" w:eastAsia="zh-CN" w:bidi="ar"/>
        </w:rPr>
      </w:pPr>
      <w:r>
        <w:rPr>
          <w:rFonts w:hint="eastAsia"/>
          <w:color w:val="auto"/>
          <w:highlight w:val="none"/>
        </w:rPr>
        <w:t>未尽事宜详见本工程招标工程量清单、招标控制价编制说明以及现行《计价规范》等有关规定执行。</w:t>
      </w:r>
    </w:p>
    <w:p w14:paraId="6CE9C6E0">
      <w:pPr>
        <w:pStyle w:val="2"/>
        <w:rPr>
          <w:rFonts w:hint="eastAsia" w:ascii="宋体" w:hAnsi="宋体" w:eastAsia="宋体" w:cs="宋体"/>
          <w:b/>
          <w:bCs/>
          <w:color w:val="auto"/>
          <w:kern w:val="0"/>
          <w:sz w:val="21"/>
          <w:szCs w:val="21"/>
          <w:highlight w:val="none"/>
          <w:shd w:val="clear" w:fill="FFFFFF"/>
          <w:lang w:val="en-US" w:eastAsia="zh-CN" w:bidi="ar"/>
        </w:rPr>
      </w:pPr>
    </w:p>
    <w:p w14:paraId="7896DD29">
      <w:pPr>
        <w:pStyle w:val="2"/>
        <w:rPr>
          <w:rFonts w:hint="eastAsia" w:ascii="宋体" w:hAnsi="宋体" w:eastAsia="宋体" w:cs="宋体"/>
          <w:b/>
          <w:bCs/>
          <w:color w:val="auto"/>
          <w:kern w:val="0"/>
          <w:sz w:val="21"/>
          <w:szCs w:val="21"/>
          <w:highlight w:val="none"/>
          <w:shd w:val="clear" w:fill="FFFFFF"/>
          <w:lang w:val="zh-CN" w:eastAsia="zh-CN" w:bidi="ar"/>
        </w:rPr>
      </w:pPr>
    </w:p>
    <w:p w14:paraId="1A2F6702">
      <w:pPr>
        <w:keepNext/>
        <w:keepLines/>
        <w:spacing w:line="360" w:lineRule="auto"/>
        <w:outlineLvl w:val="2"/>
        <w:rPr>
          <w:rFonts w:eastAsia="黑体"/>
          <w:b/>
          <w:bCs/>
          <w:color w:val="auto"/>
          <w:szCs w:val="32"/>
          <w:highlight w:val="none"/>
          <w:lang w:val="zh-CN"/>
        </w:rPr>
      </w:pPr>
      <w:r>
        <w:rPr>
          <w:rFonts w:hint="eastAsia" w:eastAsia="黑体"/>
          <w:b/>
          <w:bCs/>
          <w:color w:val="auto"/>
          <w:szCs w:val="32"/>
          <w:highlight w:val="none"/>
          <w:lang w:val="zh-CN"/>
        </w:rPr>
        <w:t>二、附件包含以下内容</w:t>
      </w:r>
    </w:p>
    <w:p w14:paraId="3F68C200">
      <w:pPr>
        <w:spacing w:line="360" w:lineRule="auto"/>
        <w:ind w:firstLine="420" w:firstLineChars="200"/>
        <w:rPr>
          <w:color w:val="auto"/>
          <w:highlight w:val="none"/>
        </w:rPr>
      </w:pPr>
      <w:r>
        <w:rPr>
          <w:rFonts w:hint="eastAsia"/>
          <w:color w:val="auto"/>
          <w:highlight w:val="none"/>
        </w:rPr>
        <w:t>工程量清单</w:t>
      </w:r>
    </w:p>
    <w:p w14:paraId="5A717FEF">
      <w:pPr>
        <w:spacing w:line="360" w:lineRule="auto"/>
        <w:ind w:firstLine="420" w:firstLineChars="200"/>
        <w:rPr>
          <w:rFonts w:hAnsi="宋体"/>
          <w:color w:val="auto"/>
          <w:highlight w:val="none"/>
        </w:rPr>
      </w:pPr>
    </w:p>
    <w:sectPr>
      <w:pgSz w:w="12240" w:h="15840"/>
      <w:pgMar w:top="1099" w:right="942" w:bottom="1440" w:left="1418" w:header="454" w:footer="397" w:gutter="0"/>
      <w:pgNumType w:start="1"/>
      <w:cols w:equalWidth="0" w:num="1">
        <w:col w:w="9518"/>
      </w:cols>
      <w:rtlGutter w:val="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ngLiU_HKSCS">
    <w:panose1 w:val="02020500000000000000"/>
    <w:charset w:val="88"/>
    <w:family w:val="roman"/>
    <w:pitch w:val="default"/>
    <w:sig w:usb0="A00002FF" w:usb1="38CFFCFA" w:usb2="00000016" w:usb3="00000000" w:csb0="00100001"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D8A15">
    <w:pPr>
      <w:pStyle w:val="30"/>
      <w:jc w:val="center"/>
    </w:pPr>
    <w:r>
      <w:fldChar w:fldCharType="begin"/>
    </w:r>
    <w:r>
      <w:instrText xml:space="preserve">PAGE   \* MERGEFORMAT</w:instrText>
    </w:r>
    <w:r>
      <w:fldChar w:fldCharType="separate"/>
    </w:r>
    <w:r>
      <w:rPr>
        <w:lang w:val="zh-CN"/>
      </w:rPr>
      <w:t>33</w:t>
    </w:r>
    <w:r>
      <w:rPr>
        <w:lang w:val="zh-CN"/>
      </w:rPr>
      <w:fldChar w:fldCharType="end"/>
    </w:r>
  </w:p>
  <w:p w14:paraId="3C231495">
    <w:pPr>
      <w:pStyle w:val="30"/>
      <w:ind w:right="388" w:rightChars="185"/>
      <w:jc w:val="right"/>
      <w:rPr>
        <w:sz w:val="21"/>
        <w:szCs w:val="21"/>
      </w:rPr>
    </w:pPr>
    <w:r>
      <w:rPr>
        <w:rFonts w:hint="eastAsia"/>
        <w:sz w:val="21"/>
        <w:szCs w:val="21"/>
      </w:rPr>
      <w:t>广西启航工程咨询有限公司编制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DAD43">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34608">
    <w:pPr>
      <w:pStyle w:val="30"/>
      <w:jc w:val="center"/>
    </w:pPr>
    <w:r>
      <w:fldChar w:fldCharType="begin"/>
    </w:r>
    <w:r>
      <w:instrText xml:space="preserve">PAGE   \* MERGEFORMAT</w:instrText>
    </w:r>
    <w:r>
      <w:fldChar w:fldCharType="separate"/>
    </w:r>
    <w:r>
      <w:rPr>
        <w:lang w:val="zh-CN"/>
      </w:rPr>
      <w:t>1</w:t>
    </w:r>
    <w:r>
      <w:rPr>
        <w:lang w:val="zh-CN"/>
      </w:rPr>
      <w:fldChar w:fldCharType="end"/>
    </w:r>
  </w:p>
  <w:p w14:paraId="6B812BAD">
    <w:pPr>
      <w:pStyle w:val="30"/>
      <w:jc w:val="right"/>
      <w:rPr>
        <w:sz w:val="21"/>
        <w:szCs w:val="21"/>
      </w:rPr>
    </w:pPr>
    <w:r>
      <w:rPr>
        <w:rFonts w:hint="eastAsia"/>
        <w:sz w:val="21"/>
        <w:szCs w:val="21"/>
      </w:rPr>
      <w:t>广西启航工程咨询有限公司编制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14EC5">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A1F33">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9EF34">
    <w:pPr>
      <w:jc w:val="left"/>
      <w:rPr>
        <w:rFonts w:hint="default" w:eastAsia="宋体"/>
        <w:color w:val="0000FF"/>
        <w:sz w:val="18"/>
        <w:szCs w:val="18"/>
        <w:u w:val="single"/>
        <w:lang w:val="en-US" w:eastAsia="zh-CN"/>
      </w:rPr>
    </w:pPr>
    <w:r>
      <w:rPr>
        <w:rFonts w:hint="eastAsia"/>
        <w:sz w:val="18"/>
        <w:szCs w:val="18"/>
        <w:u w:val="single"/>
      </w:rPr>
      <w:t>项目名称：</w:t>
    </w:r>
    <w:r>
      <w:rPr>
        <w:rFonts w:hint="eastAsia"/>
        <w:sz w:val="18"/>
        <w:szCs w:val="18"/>
        <w:u w:val="single"/>
        <w:lang w:eastAsia="zh-CN"/>
      </w:rPr>
      <w:t>贺州江氏客家围屋--北二横屋、北牲畜房保护修缮工程</w:t>
    </w:r>
    <w:r>
      <w:rPr>
        <w:rFonts w:hint="eastAsia"/>
        <w:sz w:val="18"/>
        <w:szCs w:val="18"/>
        <w:u w:val="single"/>
        <w:lang w:val="en-US" w:eastAsia="zh-CN"/>
      </w:rPr>
      <w:t xml:space="preserve">  </w:t>
    </w:r>
    <w:r>
      <w:rPr>
        <w:rFonts w:hint="eastAsia"/>
        <w:color w:val="auto"/>
        <w:sz w:val="18"/>
        <w:szCs w:val="18"/>
        <w:u w:val="single"/>
        <w:lang w:val="en-US" w:eastAsia="zh-CN"/>
      </w:rPr>
      <w:t xml:space="preserve">              </w:t>
    </w:r>
    <w:r>
      <w:rPr>
        <w:rFonts w:hint="eastAsia"/>
        <w:color w:val="auto"/>
        <w:sz w:val="18"/>
        <w:szCs w:val="18"/>
        <w:u w:val="single"/>
        <w:lang w:eastAsia="zh-CN"/>
      </w:rPr>
      <w:t xml:space="preserve">项目编号:HZZC2025-C2-020017-QHZX </w:t>
    </w:r>
    <w:r>
      <w:rPr>
        <w:rFonts w:hint="eastAsia"/>
        <w:color w:val="0000FF"/>
        <w:sz w:val="18"/>
        <w:szCs w:val="18"/>
        <w:u w:val="single"/>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C5979">
    <w:pPr>
      <w:jc w:val="left"/>
    </w:pPr>
    <w:r>
      <w:rPr>
        <w:rFonts w:hint="eastAsia"/>
        <w:sz w:val="18"/>
        <w:szCs w:val="18"/>
        <w:u w:val="single"/>
      </w:rPr>
      <w:t>项目名称：</w:t>
    </w:r>
    <w:r>
      <w:rPr>
        <w:rFonts w:hint="eastAsia"/>
        <w:sz w:val="18"/>
        <w:szCs w:val="18"/>
        <w:u w:val="single"/>
        <w:lang w:eastAsia="zh-CN"/>
      </w:rPr>
      <w:t>贺州江氏客家围屋--北二横屋、北牲畜房保护修缮工程</w:t>
    </w:r>
    <w:r>
      <w:rPr>
        <w:rFonts w:hint="eastAsia"/>
        <w:sz w:val="18"/>
        <w:szCs w:val="18"/>
        <w:u w:val="single"/>
        <w:lang w:val="en-US" w:eastAsia="zh-CN"/>
      </w:rPr>
      <w:t xml:space="preserve">  </w:t>
    </w:r>
    <w:r>
      <w:rPr>
        <w:rFonts w:hint="eastAsia"/>
        <w:color w:val="auto"/>
        <w:sz w:val="18"/>
        <w:szCs w:val="18"/>
        <w:u w:val="single"/>
        <w:lang w:val="en-US" w:eastAsia="zh-CN"/>
      </w:rPr>
      <w:t xml:space="preserve">             </w:t>
    </w:r>
    <w:r>
      <w:rPr>
        <w:rFonts w:hint="eastAsia"/>
        <w:color w:val="auto"/>
        <w:sz w:val="18"/>
        <w:szCs w:val="18"/>
        <w:u w:val="single"/>
        <w:lang w:eastAsia="zh-CN"/>
      </w:rPr>
      <w:t>项目编号: HZZC2025-C2-020017-QHZX</w:t>
    </w:r>
    <w:r>
      <w:rPr>
        <w:rFonts w:hint="eastAsia"/>
        <w:color w:val="0000FF"/>
        <w:sz w:val="18"/>
        <w:szCs w:val="18"/>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15039D"/>
    <w:multiLevelType w:val="singleLevel"/>
    <w:tmpl w:val="D715039D"/>
    <w:lvl w:ilvl="0" w:tentative="0">
      <w:start w:val="1"/>
      <w:numFmt w:val="decimal"/>
      <w:lvlText w:val="%1."/>
      <w:lvlJc w:val="left"/>
      <w:pPr>
        <w:tabs>
          <w:tab w:val="left" w:pos="312"/>
        </w:tabs>
      </w:pPr>
      <w:rPr>
        <w:rFonts w:cs="Times New Roman"/>
      </w:rPr>
    </w:lvl>
  </w:abstractNum>
  <w:abstractNum w:abstractNumId="1">
    <w:nsid w:val="114A7933"/>
    <w:multiLevelType w:val="multilevel"/>
    <w:tmpl w:val="114A7933"/>
    <w:lvl w:ilvl="0" w:tentative="0">
      <w:start w:val="1"/>
      <w:numFmt w:val="decimal"/>
      <w:suff w:val="nothing"/>
      <w:lvlText w:val="（%1）"/>
      <w:lvlJc w:val="left"/>
      <w:rPr>
        <w:rFonts w:hint="eastAsia" w:ascii="宋体" w:eastAsia="宋体" w:cs="Times New Roman"/>
        <w:b w:val="0"/>
        <w:ker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269945CE"/>
    <w:multiLevelType w:val="singleLevel"/>
    <w:tmpl w:val="269945CE"/>
    <w:lvl w:ilvl="0" w:tentative="0">
      <w:start w:val="1"/>
      <w:numFmt w:val="decimal"/>
      <w:suff w:val="space"/>
      <w:lvlText w:val="%1."/>
      <w:lvlJc w:val="left"/>
      <w:rPr>
        <w:rFonts w:hint="eastAsia" w:ascii="Times New Roman" w:hAnsi="Times New Roman" w:eastAsia="宋体" w:cs="Times New Roman"/>
        <w:b w:val="0"/>
        <w:bCs w:val="0"/>
        <w:i w:val="0"/>
        <w:iCs w:val="0"/>
        <w:smallCaps w:val="0"/>
        <w:strike w:val="0"/>
        <w:color w:val="000000"/>
        <w:spacing w:val="0"/>
        <w:w w:val="100"/>
        <w:position w:val="0"/>
        <w:sz w:val="20"/>
        <w:szCs w:val="20"/>
        <w:u w:val="none"/>
      </w:rPr>
    </w:lvl>
  </w:abstractNum>
  <w:abstractNum w:abstractNumId="3">
    <w:nsid w:val="2A5C4EE0"/>
    <w:multiLevelType w:val="multilevel"/>
    <w:tmpl w:val="2A5C4EE0"/>
    <w:lvl w:ilvl="0" w:tentative="0">
      <w:start w:val="1"/>
      <w:numFmt w:val="decimal"/>
      <w:suff w:val="nothing"/>
      <w:lvlText w:val="（%1）"/>
      <w:lvlJc w:val="left"/>
      <w:rPr>
        <w:rFonts w:hint="eastAsia" w:ascii="宋体" w:eastAsia="宋体" w:cs="Times New Roman"/>
        <w:ker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3B2A0646"/>
    <w:multiLevelType w:val="multilevel"/>
    <w:tmpl w:val="3B2A0646"/>
    <w:lvl w:ilvl="0" w:tentative="0">
      <w:start w:val="1"/>
      <w:numFmt w:val="decimal"/>
      <w:suff w:val="nothing"/>
      <w:lvlText w:val="（%1）"/>
      <w:lvlJc w:val="left"/>
      <w:rPr>
        <w:rFonts w:hint="eastAsia" w:ascii="宋体" w:eastAsia="宋体" w:cs="Times New Roman"/>
        <w:ker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5939247E"/>
    <w:multiLevelType w:val="multilevel"/>
    <w:tmpl w:val="5939247E"/>
    <w:lvl w:ilvl="0" w:tentative="0">
      <w:start w:val="1"/>
      <w:numFmt w:val="decimal"/>
      <w:pStyle w:val="304"/>
      <w:suff w:val="nothing"/>
      <w:lvlText w:val="（%1）"/>
      <w:lvlJc w:val="left"/>
      <w:pPr>
        <w:ind w:left="57" w:hanging="57"/>
      </w:pPr>
      <w:rPr>
        <w:rFonts w:hint="eastAsia" w:ascii="宋体" w:eastAsia="宋体" w:cs="Times New Roman"/>
        <w:ker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67BE7108"/>
    <w:multiLevelType w:val="singleLevel"/>
    <w:tmpl w:val="67BE7108"/>
    <w:lvl w:ilvl="0" w:tentative="0">
      <w:start w:val="1"/>
      <w:numFmt w:val="decimal"/>
      <w:suff w:val="nothing"/>
      <w:lvlText w:val="（%1）"/>
      <w:lvlJc w:val="left"/>
      <w:rPr>
        <w:rFonts w:cs="Times New Roman"/>
      </w:rPr>
    </w:lvl>
  </w:abstractNum>
  <w:num w:numId="1">
    <w:abstractNumId w:val="5"/>
  </w:num>
  <w:num w:numId="2">
    <w:abstractNumId w:val="3"/>
  </w:num>
  <w:num w:numId="3">
    <w:abstractNumId w:val="4"/>
  </w:num>
  <w:num w:numId="4">
    <w:abstractNumId w:val="1"/>
  </w:num>
  <w:num w:numId="5">
    <w:abstractNumId w:val="6"/>
    <w:lvlOverride w:ilvl="0">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forms" w:formatting="1"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D5E11"/>
    <w:rsid w:val="01165098"/>
    <w:rsid w:val="01374463"/>
    <w:rsid w:val="04FF212C"/>
    <w:rsid w:val="058F45E8"/>
    <w:rsid w:val="060E0879"/>
    <w:rsid w:val="062747EF"/>
    <w:rsid w:val="09F6790F"/>
    <w:rsid w:val="0CFB0875"/>
    <w:rsid w:val="0D4E2719"/>
    <w:rsid w:val="0D7336B7"/>
    <w:rsid w:val="0F1802A8"/>
    <w:rsid w:val="0FA51A1F"/>
    <w:rsid w:val="10C304B2"/>
    <w:rsid w:val="11101F44"/>
    <w:rsid w:val="11C866C2"/>
    <w:rsid w:val="11FA7885"/>
    <w:rsid w:val="12F928B1"/>
    <w:rsid w:val="145E2546"/>
    <w:rsid w:val="15001CD4"/>
    <w:rsid w:val="152624AE"/>
    <w:rsid w:val="15B025D8"/>
    <w:rsid w:val="16B41D43"/>
    <w:rsid w:val="16F77107"/>
    <w:rsid w:val="1A3A17E5"/>
    <w:rsid w:val="1A6E5932"/>
    <w:rsid w:val="1A7B1EDC"/>
    <w:rsid w:val="1D813BCE"/>
    <w:rsid w:val="1DE92FE9"/>
    <w:rsid w:val="1E06600B"/>
    <w:rsid w:val="1E4F5A7B"/>
    <w:rsid w:val="1E8C604D"/>
    <w:rsid w:val="20623843"/>
    <w:rsid w:val="210E7DC4"/>
    <w:rsid w:val="212925B3"/>
    <w:rsid w:val="23694EE9"/>
    <w:rsid w:val="241C63FF"/>
    <w:rsid w:val="24765B0F"/>
    <w:rsid w:val="25BF230E"/>
    <w:rsid w:val="25E116AE"/>
    <w:rsid w:val="28117FE1"/>
    <w:rsid w:val="282E04AF"/>
    <w:rsid w:val="297D10CF"/>
    <w:rsid w:val="29A44ECD"/>
    <w:rsid w:val="2B05199B"/>
    <w:rsid w:val="2B8949D1"/>
    <w:rsid w:val="2C136339"/>
    <w:rsid w:val="2D9B0395"/>
    <w:rsid w:val="2DD90EBD"/>
    <w:rsid w:val="31647A1E"/>
    <w:rsid w:val="31B732C3"/>
    <w:rsid w:val="349C35B5"/>
    <w:rsid w:val="34EE34A0"/>
    <w:rsid w:val="353D2096"/>
    <w:rsid w:val="37C8622A"/>
    <w:rsid w:val="38183D07"/>
    <w:rsid w:val="3B9D756A"/>
    <w:rsid w:val="3DD11BB1"/>
    <w:rsid w:val="41653C86"/>
    <w:rsid w:val="42CD658E"/>
    <w:rsid w:val="45F67580"/>
    <w:rsid w:val="45F84D57"/>
    <w:rsid w:val="46A566C9"/>
    <w:rsid w:val="46D303D0"/>
    <w:rsid w:val="46E029D4"/>
    <w:rsid w:val="46FD2564"/>
    <w:rsid w:val="4BBA3C84"/>
    <w:rsid w:val="4C0849EF"/>
    <w:rsid w:val="4C5F67B5"/>
    <w:rsid w:val="5134567A"/>
    <w:rsid w:val="52F061DD"/>
    <w:rsid w:val="53A015E0"/>
    <w:rsid w:val="5A3E3AAF"/>
    <w:rsid w:val="5A7B0A82"/>
    <w:rsid w:val="5ACE0475"/>
    <w:rsid w:val="5B436988"/>
    <w:rsid w:val="5B500161"/>
    <w:rsid w:val="5DBE1B16"/>
    <w:rsid w:val="5E473A9D"/>
    <w:rsid w:val="5E613959"/>
    <w:rsid w:val="5F064BBF"/>
    <w:rsid w:val="6014175D"/>
    <w:rsid w:val="607F3FF7"/>
    <w:rsid w:val="616242F0"/>
    <w:rsid w:val="62145A44"/>
    <w:rsid w:val="6230484F"/>
    <w:rsid w:val="627423F0"/>
    <w:rsid w:val="628B72C0"/>
    <w:rsid w:val="65701964"/>
    <w:rsid w:val="65D575EB"/>
    <w:rsid w:val="69136A00"/>
    <w:rsid w:val="6AA45DD3"/>
    <w:rsid w:val="6B851761"/>
    <w:rsid w:val="6C97174C"/>
    <w:rsid w:val="6D1072CB"/>
    <w:rsid w:val="70CA3E58"/>
    <w:rsid w:val="7163055D"/>
    <w:rsid w:val="754C338D"/>
    <w:rsid w:val="784F3822"/>
    <w:rsid w:val="78F148D9"/>
    <w:rsid w:val="7CF229CE"/>
    <w:rsid w:val="7DF94E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qFormat="1" w:unhideWhenUsed="0" w:uiPriority="99" w:semiHidden="0" w:name="List 4"/>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name="HTML Definition"/>
    <w:lsdException w:qFormat="1" w:unhideWhenUsed="0" w:uiPriority="99" w:name="HTML Keyboard"/>
    <w:lsdException w:qFormat="1" w:unhideWhenUsed="0" w:uiPriority="99" w:semiHidden="0" w:name="HTML Preformatted"/>
    <w:lsdException w:qFormat="1" w:unhideWhenUsed="0" w:uiPriority="99" w:name="HTML Sample"/>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21"/>
      <w:szCs w:val="21"/>
      <w:lang w:val="en-US" w:eastAsia="zh-CN" w:bidi="ar-SA"/>
    </w:rPr>
  </w:style>
  <w:style w:type="paragraph" w:styleId="3">
    <w:name w:val="heading 1"/>
    <w:basedOn w:val="1"/>
    <w:next w:val="1"/>
    <w:link w:val="337"/>
    <w:qFormat/>
    <w:uiPriority w:val="99"/>
    <w:pPr>
      <w:keepNext/>
      <w:keepLines/>
      <w:spacing w:line="360" w:lineRule="auto"/>
      <w:outlineLvl w:val="0"/>
    </w:pPr>
    <w:rPr>
      <w:rFonts w:ascii="Times New Roman" w:eastAsia="黑体" w:cs="Times New Roman"/>
      <w:b/>
      <w:bCs/>
      <w:kern w:val="44"/>
      <w:sz w:val="32"/>
      <w:szCs w:val="44"/>
    </w:rPr>
  </w:style>
  <w:style w:type="paragraph" w:styleId="4">
    <w:name w:val="heading 2"/>
    <w:basedOn w:val="1"/>
    <w:next w:val="1"/>
    <w:link w:val="338"/>
    <w:qFormat/>
    <w:uiPriority w:val="99"/>
    <w:pPr>
      <w:keepNext/>
      <w:keepLines/>
      <w:spacing w:line="360" w:lineRule="auto"/>
      <w:jc w:val="center"/>
      <w:outlineLvl w:val="1"/>
    </w:pPr>
    <w:rPr>
      <w:rFonts w:ascii="Arial" w:hAnsi="Arial" w:cs="Times New Roman"/>
      <w:b/>
      <w:bCs/>
      <w:sz w:val="24"/>
      <w:szCs w:val="32"/>
    </w:rPr>
  </w:style>
  <w:style w:type="paragraph" w:styleId="5">
    <w:name w:val="heading 3"/>
    <w:basedOn w:val="1"/>
    <w:next w:val="1"/>
    <w:link w:val="339"/>
    <w:qFormat/>
    <w:uiPriority w:val="99"/>
    <w:pPr>
      <w:keepNext/>
      <w:keepLines/>
      <w:spacing w:line="360" w:lineRule="auto"/>
      <w:outlineLvl w:val="2"/>
    </w:pPr>
    <w:rPr>
      <w:rFonts w:ascii="Times New Roman" w:eastAsia="黑体" w:cs="Times New Roman"/>
      <w:b/>
      <w:bCs/>
      <w:kern w:val="2"/>
      <w:szCs w:val="32"/>
    </w:rPr>
  </w:style>
  <w:style w:type="paragraph" w:styleId="6">
    <w:name w:val="heading 4"/>
    <w:basedOn w:val="1"/>
    <w:next w:val="1"/>
    <w:link w:val="335"/>
    <w:qFormat/>
    <w:uiPriority w:val="99"/>
    <w:pPr>
      <w:keepNext/>
      <w:keepLines/>
      <w:spacing w:line="360" w:lineRule="auto"/>
      <w:outlineLvl w:val="3"/>
    </w:pPr>
    <w:rPr>
      <w:rFonts w:ascii="Arial" w:hAnsi="Arial" w:cs="Times New Roman"/>
      <w:b/>
      <w:bCs/>
      <w:kern w:val="2"/>
      <w:szCs w:val="28"/>
    </w:rPr>
  </w:style>
  <w:style w:type="paragraph" w:styleId="7">
    <w:name w:val="heading 5"/>
    <w:basedOn w:val="1"/>
    <w:next w:val="1"/>
    <w:link w:val="340"/>
    <w:qFormat/>
    <w:uiPriority w:val="99"/>
    <w:pPr>
      <w:keepNext/>
      <w:keepLines/>
      <w:spacing w:before="280" w:after="290" w:line="376" w:lineRule="auto"/>
      <w:outlineLvl w:val="4"/>
    </w:pPr>
    <w:rPr>
      <w:rFonts w:ascii="Times New Roman" w:cs="Times New Roman"/>
      <w:b/>
      <w:bCs/>
      <w:kern w:val="2"/>
      <w:sz w:val="28"/>
      <w:szCs w:val="28"/>
    </w:rPr>
  </w:style>
  <w:style w:type="paragraph" w:styleId="8">
    <w:name w:val="heading 6"/>
    <w:basedOn w:val="1"/>
    <w:next w:val="1"/>
    <w:link w:val="68"/>
    <w:qFormat/>
    <w:uiPriority w:val="99"/>
    <w:pPr>
      <w:keepNext/>
      <w:keepLines/>
      <w:spacing w:before="240" w:after="64" w:line="317" w:lineRule="auto"/>
      <w:outlineLvl w:val="5"/>
    </w:pPr>
    <w:rPr>
      <w:rFonts w:ascii="Cambria" w:hAnsi="Cambria" w:cs="Times New Roman"/>
      <w:b/>
      <w:bCs/>
      <w:kern w:val="2"/>
      <w:sz w:val="24"/>
      <w:szCs w:val="24"/>
    </w:rPr>
  </w:style>
  <w:style w:type="paragraph" w:styleId="9">
    <w:name w:val="heading 7"/>
    <w:basedOn w:val="1"/>
    <w:next w:val="1"/>
    <w:link w:val="69"/>
    <w:qFormat/>
    <w:uiPriority w:val="99"/>
    <w:pPr>
      <w:keepNext/>
      <w:keepLines/>
      <w:spacing w:before="240" w:after="64" w:line="317" w:lineRule="auto"/>
      <w:outlineLvl w:val="6"/>
    </w:pPr>
    <w:rPr>
      <w:rFonts w:ascii="Times New Roman" w:cs="Times New Roman"/>
      <w:b/>
      <w:bCs/>
      <w:kern w:val="2"/>
      <w:sz w:val="24"/>
      <w:szCs w:val="24"/>
    </w:rPr>
  </w:style>
  <w:style w:type="paragraph" w:styleId="10">
    <w:name w:val="heading 8"/>
    <w:basedOn w:val="1"/>
    <w:next w:val="1"/>
    <w:link w:val="70"/>
    <w:qFormat/>
    <w:uiPriority w:val="99"/>
    <w:pPr>
      <w:keepNext/>
      <w:keepLines/>
      <w:spacing w:before="240" w:after="64" w:line="317" w:lineRule="auto"/>
      <w:outlineLvl w:val="7"/>
    </w:pPr>
    <w:rPr>
      <w:rFonts w:ascii="Cambria" w:hAnsi="Cambria" w:cs="Times New Roman"/>
      <w:kern w:val="2"/>
      <w:sz w:val="24"/>
      <w:szCs w:val="24"/>
    </w:rPr>
  </w:style>
  <w:style w:type="paragraph" w:styleId="11">
    <w:name w:val="heading 9"/>
    <w:basedOn w:val="1"/>
    <w:next w:val="1"/>
    <w:link w:val="71"/>
    <w:qFormat/>
    <w:uiPriority w:val="99"/>
    <w:pPr>
      <w:keepNext/>
      <w:keepLines/>
      <w:spacing w:before="240" w:after="64" w:line="317" w:lineRule="auto"/>
      <w:outlineLvl w:val="8"/>
    </w:pPr>
    <w:rPr>
      <w:rFonts w:ascii="Cambria" w:hAnsi="Cambria" w:cs="Times New Roman"/>
      <w:kern w:val="2"/>
    </w:rPr>
  </w:style>
  <w:style w:type="character" w:default="1" w:styleId="49">
    <w:name w:val="Default Paragraph Font"/>
    <w:unhideWhenUsed/>
    <w:qFormat/>
    <w:uiPriority w:val="1"/>
  </w:style>
  <w:style w:type="table" w:default="1" w:styleId="4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link w:val="72"/>
    <w:qFormat/>
    <w:uiPriority w:val="99"/>
    <w:pPr>
      <w:adjustRightInd w:val="0"/>
      <w:spacing w:after="60" w:line="360" w:lineRule="atLeast"/>
      <w:ind w:left="72" w:leftChars="30" w:right="30" w:rightChars="30"/>
      <w:jc w:val="center"/>
      <w:textAlignment w:val="baseline"/>
    </w:pPr>
    <w:rPr>
      <w:rFonts w:ascii="Times New Roman" w:cs="Times New Roman"/>
      <w:kern w:val="2"/>
      <w:szCs w:val="22"/>
    </w:rPr>
  </w:style>
  <w:style w:type="paragraph" w:styleId="12">
    <w:name w:val="toc 7"/>
    <w:basedOn w:val="1"/>
    <w:next w:val="1"/>
    <w:qFormat/>
    <w:uiPriority w:val="99"/>
    <w:pPr>
      <w:ind w:left="1260"/>
      <w:jc w:val="left"/>
    </w:pPr>
    <w:rPr>
      <w:rFonts w:ascii="Calibri" w:hAnsi="Calibri"/>
      <w:sz w:val="18"/>
      <w:szCs w:val="18"/>
    </w:rPr>
  </w:style>
  <w:style w:type="paragraph" w:styleId="13">
    <w:name w:val="Normal Indent"/>
    <w:basedOn w:val="1"/>
    <w:link w:val="269"/>
    <w:qFormat/>
    <w:uiPriority w:val="99"/>
    <w:pPr>
      <w:widowControl/>
      <w:ind w:firstLine="420"/>
      <w:jc w:val="left"/>
    </w:pPr>
    <w:rPr>
      <w:rFonts w:ascii="Times New Roman" w:cs="Times New Roman"/>
      <w:sz w:val="20"/>
      <w:szCs w:val="20"/>
    </w:rPr>
  </w:style>
  <w:style w:type="paragraph" w:styleId="14">
    <w:name w:val="caption"/>
    <w:basedOn w:val="1"/>
    <w:next w:val="1"/>
    <w:qFormat/>
    <w:uiPriority w:val="99"/>
    <w:rPr>
      <w:rFonts w:ascii="Cambria" w:hAnsi="Cambria" w:eastAsia="黑体"/>
      <w:sz w:val="20"/>
      <w:szCs w:val="20"/>
    </w:rPr>
  </w:style>
  <w:style w:type="paragraph" w:styleId="15">
    <w:name w:val="Document Map"/>
    <w:basedOn w:val="1"/>
    <w:link w:val="156"/>
    <w:qFormat/>
    <w:uiPriority w:val="99"/>
    <w:pPr>
      <w:shd w:val="clear" w:color="auto" w:fill="000080"/>
    </w:pPr>
    <w:rPr>
      <w:rFonts w:ascii="Times New Roman" w:cs="Times New Roman"/>
      <w:kern w:val="2"/>
      <w:szCs w:val="24"/>
      <w:shd w:val="clear" w:color="auto" w:fill="000080"/>
    </w:rPr>
  </w:style>
  <w:style w:type="paragraph" w:styleId="16">
    <w:name w:val="toa heading"/>
    <w:basedOn w:val="1"/>
    <w:next w:val="1"/>
    <w:qFormat/>
    <w:uiPriority w:val="99"/>
    <w:pPr>
      <w:spacing w:before="120"/>
    </w:pPr>
    <w:rPr>
      <w:rFonts w:ascii="Arial" w:hAnsi="Arial" w:cs="Times New Roman"/>
      <w:b/>
      <w:kern w:val="2"/>
      <w:szCs w:val="20"/>
    </w:rPr>
  </w:style>
  <w:style w:type="paragraph" w:styleId="17">
    <w:name w:val="annotation text"/>
    <w:basedOn w:val="1"/>
    <w:link w:val="149"/>
    <w:qFormat/>
    <w:uiPriority w:val="99"/>
    <w:pPr>
      <w:jc w:val="left"/>
    </w:pPr>
    <w:rPr>
      <w:rFonts w:ascii="Times New Roman" w:cs="Times New Roman"/>
      <w:kern w:val="2"/>
      <w:szCs w:val="24"/>
    </w:rPr>
  </w:style>
  <w:style w:type="paragraph" w:styleId="18">
    <w:name w:val="Body Text 3"/>
    <w:basedOn w:val="1"/>
    <w:link w:val="75"/>
    <w:qFormat/>
    <w:uiPriority w:val="99"/>
    <w:pPr>
      <w:spacing w:after="120"/>
    </w:pPr>
    <w:rPr>
      <w:rFonts w:hAnsi="Courier New" w:cs="Times New Roman"/>
      <w:kern w:val="2"/>
      <w:sz w:val="16"/>
      <w:szCs w:val="16"/>
    </w:rPr>
  </w:style>
  <w:style w:type="paragraph" w:styleId="19">
    <w:name w:val="Body Text Indent"/>
    <w:basedOn w:val="1"/>
    <w:link w:val="180"/>
    <w:qFormat/>
    <w:uiPriority w:val="99"/>
    <w:pPr>
      <w:spacing w:before="240" w:line="360" w:lineRule="auto"/>
      <w:ind w:firstLine="552" w:firstLineChars="263"/>
    </w:pPr>
    <w:rPr>
      <w:rFonts w:hAnsi="宋体" w:cs="Times New Roman"/>
      <w:kern w:val="2"/>
      <w:szCs w:val="20"/>
    </w:rPr>
  </w:style>
  <w:style w:type="paragraph" w:styleId="20">
    <w:name w:val="Block Text"/>
    <w:basedOn w:val="1"/>
    <w:qFormat/>
    <w:uiPriority w:val="99"/>
    <w:pPr>
      <w:ind w:left="113" w:right="113"/>
      <w:jc w:val="center"/>
    </w:pPr>
    <w:rPr>
      <w:rFonts w:ascii="Times New Roman" w:cs="Times New Roman"/>
      <w:kern w:val="2"/>
      <w:sz w:val="44"/>
      <w:szCs w:val="24"/>
    </w:rPr>
  </w:style>
  <w:style w:type="paragraph" w:styleId="21">
    <w:name w:val="index 4"/>
    <w:basedOn w:val="1"/>
    <w:next w:val="1"/>
    <w:qFormat/>
    <w:uiPriority w:val="99"/>
    <w:pPr>
      <w:ind w:left="600" w:leftChars="600"/>
    </w:pPr>
  </w:style>
  <w:style w:type="paragraph" w:styleId="22">
    <w:name w:val="toc 5"/>
    <w:basedOn w:val="1"/>
    <w:next w:val="1"/>
    <w:qFormat/>
    <w:uiPriority w:val="99"/>
    <w:pPr>
      <w:ind w:left="840"/>
      <w:jc w:val="left"/>
    </w:pPr>
    <w:rPr>
      <w:rFonts w:ascii="Calibri" w:hAnsi="Calibri"/>
      <w:sz w:val="18"/>
      <w:szCs w:val="18"/>
    </w:rPr>
  </w:style>
  <w:style w:type="paragraph" w:styleId="23">
    <w:name w:val="toc 3"/>
    <w:basedOn w:val="1"/>
    <w:next w:val="1"/>
    <w:qFormat/>
    <w:uiPriority w:val="99"/>
    <w:pPr>
      <w:ind w:left="420"/>
      <w:jc w:val="left"/>
    </w:pPr>
    <w:rPr>
      <w:rFonts w:ascii="Calibri" w:hAnsi="Calibri"/>
      <w:i/>
      <w:iCs/>
      <w:sz w:val="20"/>
      <w:szCs w:val="20"/>
    </w:rPr>
  </w:style>
  <w:style w:type="paragraph" w:styleId="24">
    <w:name w:val="Plain Text"/>
    <w:basedOn w:val="1"/>
    <w:link w:val="374"/>
    <w:qFormat/>
    <w:uiPriority w:val="99"/>
    <w:rPr>
      <w:rFonts w:hAnsi="Courier New" w:cs="Times New Roman"/>
      <w:kern w:val="2"/>
      <w:szCs w:val="24"/>
    </w:rPr>
  </w:style>
  <w:style w:type="paragraph" w:styleId="25">
    <w:name w:val="toc 8"/>
    <w:basedOn w:val="1"/>
    <w:next w:val="1"/>
    <w:qFormat/>
    <w:uiPriority w:val="99"/>
    <w:pPr>
      <w:ind w:left="1470"/>
      <w:jc w:val="left"/>
    </w:pPr>
    <w:rPr>
      <w:rFonts w:ascii="Calibri" w:hAnsi="Calibri"/>
      <w:sz w:val="18"/>
      <w:szCs w:val="18"/>
    </w:rPr>
  </w:style>
  <w:style w:type="paragraph" w:styleId="26">
    <w:name w:val="Date"/>
    <w:basedOn w:val="1"/>
    <w:next w:val="1"/>
    <w:link w:val="153"/>
    <w:qFormat/>
    <w:uiPriority w:val="99"/>
    <w:pPr>
      <w:ind w:left="100" w:leftChars="2500"/>
    </w:pPr>
    <w:rPr>
      <w:rFonts w:ascii="Times New Roman" w:cs="Times New Roman"/>
      <w:kern w:val="2"/>
      <w:szCs w:val="24"/>
    </w:rPr>
  </w:style>
  <w:style w:type="paragraph" w:styleId="27">
    <w:name w:val="Body Text Indent 2"/>
    <w:basedOn w:val="1"/>
    <w:link w:val="181"/>
    <w:qFormat/>
    <w:uiPriority w:val="99"/>
    <w:pPr>
      <w:spacing w:after="120" w:line="480" w:lineRule="auto"/>
      <w:ind w:left="420" w:leftChars="200"/>
    </w:pPr>
    <w:rPr>
      <w:rFonts w:ascii="Times New Roman" w:cs="Times New Roman"/>
      <w:kern w:val="2"/>
      <w:szCs w:val="24"/>
    </w:rPr>
  </w:style>
  <w:style w:type="paragraph" w:styleId="28">
    <w:name w:val="endnote text"/>
    <w:basedOn w:val="1"/>
    <w:link w:val="80"/>
    <w:qFormat/>
    <w:uiPriority w:val="99"/>
    <w:pPr>
      <w:snapToGrid w:val="0"/>
      <w:jc w:val="left"/>
    </w:pPr>
    <w:rPr>
      <w:rFonts w:ascii="Times New Roman" w:cs="Times New Roman"/>
      <w:kern w:val="2"/>
      <w:szCs w:val="24"/>
    </w:rPr>
  </w:style>
  <w:style w:type="paragraph" w:styleId="29">
    <w:name w:val="Balloon Text"/>
    <w:basedOn w:val="1"/>
    <w:link w:val="94"/>
    <w:qFormat/>
    <w:uiPriority w:val="99"/>
    <w:rPr>
      <w:rFonts w:ascii="Times New Roman" w:cs="Times New Roman"/>
      <w:kern w:val="2"/>
      <w:sz w:val="18"/>
      <w:szCs w:val="18"/>
    </w:rPr>
  </w:style>
  <w:style w:type="paragraph" w:styleId="30">
    <w:name w:val="footer"/>
    <w:basedOn w:val="1"/>
    <w:link w:val="164"/>
    <w:qFormat/>
    <w:uiPriority w:val="99"/>
    <w:pPr>
      <w:tabs>
        <w:tab w:val="center" w:pos="4153"/>
        <w:tab w:val="right" w:pos="8306"/>
      </w:tabs>
      <w:snapToGrid w:val="0"/>
      <w:jc w:val="left"/>
    </w:pPr>
    <w:rPr>
      <w:rFonts w:ascii="Times New Roman" w:cs="Times New Roman"/>
      <w:kern w:val="2"/>
      <w:sz w:val="18"/>
      <w:szCs w:val="18"/>
    </w:rPr>
  </w:style>
  <w:style w:type="paragraph" w:styleId="31">
    <w:name w:val="header"/>
    <w:basedOn w:val="1"/>
    <w:link w:val="165"/>
    <w:qFormat/>
    <w:uiPriority w:val="99"/>
    <w:pPr>
      <w:pBdr>
        <w:bottom w:val="single" w:color="auto" w:sz="6" w:space="1"/>
      </w:pBdr>
      <w:tabs>
        <w:tab w:val="center" w:pos="4153"/>
        <w:tab w:val="right" w:pos="8306"/>
      </w:tabs>
      <w:snapToGrid w:val="0"/>
      <w:jc w:val="center"/>
    </w:pPr>
    <w:rPr>
      <w:rFonts w:ascii="Times New Roman" w:cs="Times New Roman"/>
      <w:kern w:val="2"/>
      <w:sz w:val="18"/>
      <w:szCs w:val="18"/>
    </w:rPr>
  </w:style>
  <w:style w:type="paragraph" w:styleId="32">
    <w:name w:val="toc 1"/>
    <w:basedOn w:val="1"/>
    <w:next w:val="1"/>
    <w:qFormat/>
    <w:uiPriority w:val="99"/>
    <w:pPr>
      <w:spacing w:before="120" w:after="120"/>
      <w:jc w:val="left"/>
    </w:pPr>
    <w:rPr>
      <w:rFonts w:ascii="Calibri" w:hAnsi="Calibri"/>
      <w:b/>
      <w:bCs/>
      <w:caps/>
      <w:sz w:val="20"/>
      <w:szCs w:val="20"/>
    </w:rPr>
  </w:style>
  <w:style w:type="paragraph" w:styleId="33">
    <w:name w:val="toc 4"/>
    <w:basedOn w:val="1"/>
    <w:next w:val="1"/>
    <w:qFormat/>
    <w:uiPriority w:val="99"/>
    <w:pPr>
      <w:ind w:left="630"/>
      <w:jc w:val="left"/>
    </w:pPr>
    <w:rPr>
      <w:rFonts w:ascii="Calibri" w:hAnsi="Calibri"/>
      <w:sz w:val="18"/>
      <w:szCs w:val="18"/>
    </w:rPr>
  </w:style>
  <w:style w:type="paragraph" w:styleId="34">
    <w:name w:val="Subtitle"/>
    <w:basedOn w:val="1"/>
    <w:next w:val="1"/>
    <w:link w:val="84"/>
    <w:qFormat/>
    <w:uiPriority w:val="99"/>
    <w:pPr>
      <w:spacing w:before="240" w:after="60" w:line="312" w:lineRule="auto"/>
      <w:jc w:val="center"/>
      <w:outlineLvl w:val="1"/>
    </w:pPr>
    <w:rPr>
      <w:rFonts w:ascii="Cambria" w:hAnsi="Cambria" w:cs="Times New Roman"/>
      <w:b/>
      <w:bCs/>
      <w:kern w:val="28"/>
      <w:sz w:val="32"/>
      <w:szCs w:val="32"/>
    </w:rPr>
  </w:style>
  <w:style w:type="paragraph" w:styleId="35">
    <w:name w:val="footnote text"/>
    <w:basedOn w:val="1"/>
    <w:link w:val="139"/>
    <w:qFormat/>
    <w:uiPriority w:val="99"/>
    <w:pPr>
      <w:adjustRightInd w:val="0"/>
      <w:spacing w:line="312" w:lineRule="atLeast"/>
      <w:jc w:val="left"/>
      <w:textAlignment w:val="baseline"/>
    </w:pPr>
    <w:rPr>
      <w:rFonts w:ascii="Times New Roman" w:cs="Times New Roman"/>
      <w:sz w:val="18"/>
      <w:szCs w:val="20"/>
    </w:rPr>
  </w:style>
  <w:style w:type="paragraph" w:styleId="36">
    <w:name w:val="toc 6"/>
    <w:basedOn w:val="1"/>
    <w:next w:val="1"/>
    <w:qFormat/>
    <w:uiPriority w:val="99"/>
    <w:pPr>
      <w:ind w:left="1050"/>
      <w:jc w:val="left"/>
    </w:pPr>
    <w:rPr>
      <w:rFonts w:ascii="Calibri" w:hAnsi="Calibri"/>
      <w:sz w:val="18"/>
      <w:szCs w:val="18"/>
    </w:rPr>
  </w:style>
  <w:style w:type="paragraph" w:styleId="37">
    <w:name w:val="Body Text Indent 3"/>
    <w:basedOn w:val="1"/>
    <w:link w:val="86"/>
    <w:qFormat/>
    <w:uiPriority w:val="99"/>
    <w:pPr>
      <w:spacing w:after="120"/>
      <w:ind w:left="420" w:leftChars="200"/>
    </w:pPr>
    <w:rPr>
      <w:rFonts w:hAnsi="Courier New" w:cs="Times New Roman"/>
      <w:kern w:val="2"/>
      <w:sz w:val="16"/>
      <w:szCs w:val="16"/>
    </w:rPr>
  </w:style>
  <w:style w:type="paragraph" w:styleId="38">
    <w:name w:val="toc 2"/>
    <w:basedOn w:val="1"/>
    <w:next w:val="1"/>
    <w:qFormat/>
    <w:uiPriority w:val="99"/>
    <w:pPr>
      <w:ind w:left="210"/>
      <w:jc w:val="left"/>
    </w:pPr>
    <w:rPr>
      <w:rFonts w:ascii="Calibri" w:hAnsi="Calibri"/>
      <w:smallCaps/>
      <w:sz w:val="20"/>
      <w:szCs w:val="20"/>
    </w:rPr>
  </w:style>
  <w:style w:type="paragraph" w:styleId="39">
    <w:name w:val="toc 9"/>
    <w:basedOn w:val="1"/>
    <w:next w:val="1"/>
    <w:qFormat/>
    <w:uiPriority w:val="99"/>
    <w:pPr>
      <w:ind w:left="1680"/>
      <w:jc w:val="left"/>
    </w:pPr>
    <w:rPr>
      <w:rFonts w:ascii="Calibri" w:hAnsi="Calibri"/>
      <w:sz w:val="18"/>
      <w:szCs w:val="18"/>
    </w:rPr>
  </w:style>
  <w:style w:type="paragraph" w:styleId="40">
    <w:name w:val="Body Text 2"/>
    <w:basedOn w:val="1"/>
    <w:link w:val="87"/>
    <w:qFormat/>
    <w:uiPriority w:val="99"/>
    <w:rPr>
      <w:rFonts w:hAnsi="宋体" w:cs="Times New Roman"/>
      <w:kern w:val="2"/>
      <w:sz w:val="28"/>
      <w:szCs w:val="24"/>
    </w:rPr>
  </w:style>
  <w:style w:type="paragraph" w:styleId="41">
    <w:name w:val="List 4"/>
    <w:basedOn w:val="1"/>
    <w:qFormat/>
    <w:uiPriority w:val="99"/>
    <w:pPr>
      <w:ind w:left="100" w:leftChars="600" w:hanging="200" w:hangingChars="200"/>
    </w:pPr>
    <w:rPr>
      <w:rFonts w:ascii="Times New Roman" w:cs="Times New Roman"/>
      <w:kern w:val="2"/>
      <w:szCs w:val="24"/>
    </w:rPr>
  </w:style>
  <w:style w:type="paragraph" w:styleId="42">
    <w:name w:val="HTML Preformatted"/>
    <w:basedOn w:val="1"/>
    <w:link w:val="8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0"/>
      <w:szCs w:val="20"/>
    </w:rPr>
  </w:style>
  <w:style w:type="paragraph" w:styleId="43">
    <w:name w:val="Normal (Web)"/>
    <w:basedOn w:val="1"/>
    <w:qFormat/>
    <w:uiPriority w:val="99"/>
    <w:pPr>
      <w:widowControl/>
      <w:spacing w:before="100" w:beforeAutospacing="1" w:after="100" w:afterAutospacing="1"/>
      <w:jc w:val="left"/>
    </w:pPr>
    <w:rPr>
      <w:rFonts w:hAnsi="宋体"/>
      <w:sz w:val="24"/>
    </w:rPr>
  </w:style>
  <w:style w:type="paragraph" w:styleId="44">
    <w:name w:val="index 1"/>
    <w:basedOn w:val="1"/>
    <w:next w:val="1"/>
    <w:qFormat/>
    <w:uiPriority w:val="99"/>
    <w:pPr>
      <w:spacing w:line="360" w:lineRule="auto"/>
    </w:pPr>
    <w:rPr>
      <w:rFonts w:hAnsi="宋体" w:cs="Times New Roman"/>
      <w:bCs/>
      <w:kern w:val="2"/>
    </w:rPr>
  </w:style>
  <w:style w:type="paragraph" w:styleId="45">
    <w:name w:val="Title"/>
    <w:basedOn w:val="1"/>
    <w:next w:val="1"/>
    <w:link w:val="125"/>
    <w:qFormat/>
    <w:uiPriority w:val="99"/>
    <w:pPr>
      <w:spacing w:before="240" w:after="60"/>
      <w:jc w:val="center"/>
      <w:outlineLvl w:val="0"/>
    </w:pPr>
    <w:rPr>
      <w:rFonts w:ascii="Cambria" w:hAnsi="Cambria" w:cs="Times New Roman"/>
      <w:b/>
      <w:bCs/>
      <w:kern w:val="2"/>
      <w:sz w:val="32"/>
      <w:szCs w:val="32"/>
    </w:rPr>
  </w:style>
  <w:style w:type="paragraph" w:styleId="46">
    <w:name w:val="annotation subject"/>
    <w:basedOn w:val="17"/>
    <w:next w:val="17"/>
    <w:link w:val="93"/>
    <w:qFormat/>
    <w:uiPriority w:val="99"/>
    <w:rPr>
      <w:b/>
      <w:bCs/>
    </w:rPr>
  </w:style>
  <w:style w:type="table" w:styleId="48">
    <w:name w:val="Table Grid"/>
    <w:basedOn w:val="4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99"/>
    <w:rPr>
      <w:rFonts w:cs="Times New Roman"/>
      <w:b/>
    </w:rPr>
  </w:style>
  <w:style w:type="character" w:styleId="51">
    <w:name w:val="endnote reference"/>
    <w:qFormat/>
    <w:uiPriority w:val="99"/>
    <w:rPr>
      <w:rFonts w:cs="Times New Roman"/>
      <w:vertAlign w:val="superscript"/>
    </w:rPr>
  </w:style>
  <w:style w:type="character" w:styleId="52">
    <w:name w:val="page number"/>
    <w:qFormat/>
    <w:uiPriority w:val="99"/>
    <w:rPr>
      <w:rFonts w:cs="Times New Roman"/>
    </w:rPr>
  </w:style>
  <w:style w:type="character" w:styleId="53">
    <w:name w:val="FollowedHyperlink"/>
    <w:qFormat/>
    <w:uiPriority w:val="99"/>
    <w:rPr>
      <w:rFonts w:cs="Times New Roman"/>
      <w:color w:val="666666"/>
      <w:u w:val="none"/>
    </w:rPr>
  </w:style>
  <w:style w:type="character" w:styleId="54">
    <w:name w:val="Emphasis"/>
    <w:qFormat/>
    <w:uiPriority w:val="99"/>
    <w:rPr>
      <w:rFonts w:cs="Times New Roman"/>
      <w:i/>
    </w:rPr>
  </w:style>
  <w:style w:type="character" w:styleId="55">
    <w:name w:val="HTML Definition"/>
    <w:semiHidden/>
    <w:qFormat/>
    <w:uiPriority w:val="99"/>
    <w:rPr>
      <w:rFonts w:cs="Times New Roman"/>
      <w:i/>
    </w:rPr>
  </w:style>
  <w:style w:type="character" w:styleId="56">
    <w:name w:val="Hyperlink"/>
    <w:qFormat/>
    <w:uiPriority w:val="99"/>
    <w:rPr>
      <w:rFonts w:cs="Times New Roman"/>
      <w:color w:val="666666"/>
      <w:u w:val="none"/>
    </w:rPr>
  </w:style>
  <w:style w:type="character" w:styleId="57">
    <w:name w:val="HTML Code"/>
    <w:qFormat/>
    <w:uiPriority w:val="99"/>
    <w:rPr>
      <w:rFonts w:ascii="Courier New" w:hAnsi="Courier New" w:cs="Times New Roman"/>
      <w:sz w:val="20"/>
    </w:rPr>
  </w:style>
  <w:style w:type="character" w:styleId="58">
    <w:name w:val="annotation reference"/>
    <w:qFormat/>
    <w:uiPriority w:val="99"/>
    <w:rPr>
      <w:rFonts w:cs="Times New Roman"/>
      <w:sz w:val="21"/>
    </w:rPr>
  </w:style>
  <w:style w:type="character" w:styleId="59">
    <w:name w:val="HTML Cite"/>
    <w:qFormat/>
    <w:uiPriority w:val="99"/>
    <w:rPr>
      <w:rFonts w:cs="Times New Roman"/>
    </w:rPr>
  </w:style>
  <w:style w:type="character" w:styleId="60">
    <w:name w:val="footnote reference"/>
    <w:qFormat/>
    <w:uiPriority w:val="99"/>
    <w:rPr>
      <w:rFonts w:cs="Times New Roman"/>
      <w:vertAlign w:val="superscript"/>
    </w:rPr>
  </w:style>
  <w:style w:type="character" w:styleId="61">
    <w:name w:val="HTML Keyboard"/>
    <w:semiHidden/>
    <w:qFormat/>
    <w:uiPriority w:val="99"/>
    <w:rPr>
      <w:rFonts w:ascii="Consolas" w:hAnsi="Consolas" w:eastAsia="Times New Roman" w:cs="Consolas"/>
      <w:sz w:val="21"/>
      <w:szCs w:val="21"/>
    </w:rPr>
  </w:style>
  <w:style w:type="character" w:styleId="62">
    <w:name w:val="HTML Sample"/>
    <w:semiHidden/>
    <w:qFormat/>
    <w:uiPriority w:val="99"/>
    <w:rPr>
      <w:rFonts w:ascii="Consolas" w:hAnsi="Consolas" w:eastAsia="Times New Roman" w:cs="Consolas"/>
      <w:sz w:val="21"/>
      <w:szCs w:val="21"/>
    </w:rPr>
  </w:style>
  <w:style w:type="character" w:customStyle="1" w:styleId="63">
    <w:name w:val="Heading 1 Char"/>
    <w:qFormat/>
    <w:uiPriority w:val="99"/>
    <w:rPr>
      <w:rFonts w:eastAsia="宋体"/>
      <w:b/>
      <w:kern w:val="44"/>
      <w:sz w:val="44"/>
      <w:lang w:val="en-US" w:eastAsia="zh-CN"/>
    </w:rPr>
  </w:style>
  <w:style w:type="character" w:customStyle="1" w:styleId="64">
    <w:name w:val="Heading 2 Char"/>
    <w:qFormat/>
    <w:uiPriority w:val="99"/>
    <w:rPr>
      <w:rFonts w:ascii="Arial" w:hAnsi="Arial" w:eastAsia="黑体"/>
      <w:b/>
      <w:kern w:val="2"/>
      <w:sz w:val="32"/>
      <w:lang w:val="en-US" w:eastAsia="zh-CN"/>
    </w:rPr>
  </w:style>
  <w:style w:type="character" w:customStyle="1" w:styleId="65">
    <w:name w:val="Heading 3 Char"/>
    <w:qFormat/>
    <w:uiPriority w:val="99"/>
    <w:rPr>
      <w:b/>
      <w:kern w:val="2"/>
      <w:sz w:val="32"/>
    </w:rPr>
  </w:style>
  <w:style w:type="character" w:customStyle="1" w:styleId="66">
    <w:name w:val="Heading 4 Char"/>
    <w:qFormat/>
    <w:uiPriority w:val="99"/>
    <w:rPr>
      <w:rFonts w:ascii="Arial" w:hAnsi="Arial" w:eastAsia="宋体"/>
      <w:b/>
      <w:kern w:val="2"/>
      <w:sz w:val="28"/>
      <w:lang w:val="en-US" w:eastAsia="zh-CN"/>
    </w:rPr>
  </w:style>
  <w:style w:type="character" w:customStyle="1" w:styleId="67">
    <w:name w:val="Heading 5 Char"/>
    <w:qFormat/>
    <w:uiPriority w:val="99"/>
    <w:rPr>
      <w:rFonts w:eastAsia="宋体"/>
      <w:b/>
      <w:kern w:val="2"/>
      <w:sz w:val="28"/>
      <w:lang w:val="en-US" w:eastAsia="zh-CN"/>
    </w:rPr>
  </w:style>
  <w:style w:type="character" w:customStyle="1" w:styleId="68">
    <w:name w:val="标题 6 Char"/>
    <w:link w:val="8"/>
    <w:qFormat/>
    <w:locked/>
    <w:uiPriority w:val="99"/>
    <w:rPr>
      <w:rFonts w:ascii="Cambria" w:hAnsi="Cambria"/>
      <w:b/>
      <w:kern w:val="2"/>
      <w:sz w:val="24"/>
    </w:rPr>
  </w:style>
  <w:style w:type="character" w:customStyle="1" w:styleId="69">
    <w:name w:val="标题 7 Char"/>
    <w:link w:val="9"/>
    <w:qFormat/>
    <w:locked/>
    <w:uiPriority w:val="99"/>
    <w:rPr>
      <w:b/>
      <w:kern w:val="2"/>
      <w:sz w:val="24"/>
    </w:rPr>
  </w:style>
  <w:style w:type="character" w:customStyle="1" w:styleId="70">
    <w:name w:val="标题 8 Char"/>
    <w:link w:val="10"/>
    <w:qFormat/>
    <w:locked/>
    <w:uiPriority w:val="99"/>
    <w:rPr>
      <w:rFonts w:ascii="Cambria" w:hAnsi="Cambria"/>
      <w:kern w:val="2"/>
      <w:sz w:val="24"/>
    </w:rPr>
  </w:style>
  <w:style w:type="character" w:customStyle="1" w:styleId="71">
    <w:name w:val="标题 9 Char"/>
    <w:link w:val="11"/>
    <w:qFormat/>
    <w:locked/>
    <w:uiPriority w:val="99"/>
    <w:rPr>
      <w:rFonts w:ascii="Cambria" w:hAnsi="Cambria"/>
      <w:kern w:val="2"/>
      <w:sz w:val="21"/>
    </w:rPr>
  </w:style>
  <w:style w:type="character" w:customStyle="1" w:styleId="72">
    <w:name w:val="正文文本 Char"/>
    <w:link w:val="2"/>
    <w:qFormat/>
    <w:locked/>
    <w:uiPriority w:val="99"/>
    <w:rPr>
      <w:rFonts w:ascii="Times New Roman" w:hAnsi="Times New Roman"/>
      <w:kern w:val="2"/>
      <w:sz w:val="22"/>
    </w:rPr>
  </w:style>
  <w:style w:type="character" w:customStyle="1" w:styleId="73">
    <w:name w:val="Document Map Char"/>
    <w:qFormat/>
    <w:uiPriority w:val="99"/>
    <w:rPr>
      <w:rFonts w:eastAsia="宋体"/>
      <w:kern w:val="2"/>
      <w:sz w:val="24"/>
      <w:lang w:val="en-US" w:eastAsia="zh-CN"/>
    </w:rPr>
  </w:style>
  <w:style w:type="character" w:customStyle="1" w:styleId="74">
    <w:name w:val="Comment Text Char"/>
    <w:qFormat/>
    <w:uiPriority w:val="99"/>
    <w:rPr>
      <w:sz w:val="24"/>
    </w:rPr>
  </w:style>
  <w:style w:type="character" w:customStyle="1" w:styleId="75">
    <w:name w:val="正文文本 3 Char"/>
    <w:link w:val="18"/>
    <w:qFormat/>
    <w:locked/>
    <w:uiPriority w:val="99"/>
    <w:rPr>
      <w:rFonts w:ascii="宋体" w:hAnsi="Courier New" w:eastAsia="宋体"/>
      <w:kern w:val="2"/>
      <w:sz w:val="16"/>
    </w:rPr>
  </w:style>
  <w:style w:type="character" w:customStyle="1" w:styleId="76">
    <w:name w:val="Body Text Indent Char"/>
    <w:qFormat/>
    <w:uiPriority w:val="99"/>
    <w:rPr>
      <w:rFonts w:ascii="宋体" w:hAnsi="宋体" w:eastAsia="宋体"/>
      <w:kern w:val="2"/>
      <w:sz w:val="21"/>
      <w:lang w:val="en-US" w:eastAsia="zh-CN"/>
    </w:rPr>
  </w:style>
  <w:style w:type="character" w:customStyle="1" w:styleId="77">
    <w:name w:val="Plain Text Char"/>
    <w:qFormat/>
    <w:uiPriority w:val="99"/>
    <w:rPr>
      <w:rFonts w:ascii="宋体" w:hAnsi="Courier New" w:eastAsia="宋体"/>
      <w:sz w:val="24"/>
    </w:rPr>
  </w:style>
  <w:style w:type="character" w:customStyle="1" w:styleId="78">
    <w:name w:val="Date Char"/>
    <w:qFormat/>
    <w:uiPriority w:val="99"/>
    <w:rPr>
      <w:rFonts w:eastAsia="宋体"/>
      <w:kern w:val="2"/>
      <w:sz w:val="24"/>
      <w:lang w:val="en-US" w:eastAsia="zh-CN"/>
    </w:rPr>
  </w:style>
  <w:style w:type="character" w:customStyle="1" w:styleId="79">
    <w:name w:val="Body Text Indent 2 Char"/>
    <w:qFormat/>
    <w:uiPriority w:val="99"/>
    <w:rPr>
      <w:rFonts w:eastAsia="宋体"/>
      <w:kern w:val="2"/>
      <w:sz w:val="24"/>
      <w:lang w:val="en-US" w:eastAsia="zh-CN"/>
    </w:rPr>
  </w:style>
  <w:style w:type="character" w:customStyle="1" w:styleId="80">
    <w:name w:val="尾注文本 Char"/>
    <w:link w:val="28"/>
    <w:qFormat/>
    <w:locked/>
    <w:uiPriority w:val="99"/>
    <w:rPr>
      <w:rFonts w:ascii="Times New Roman" w:eastAsia="宋体" w:cs="Times New Roman"/>
      <w:kern w:val="2"/>
      <w:sz w:val="24"/>
      <w:szCs w:val="24"/>
    </w:rPr>
  </w:style>
  <w:style w:type="character" w:customStyle="1" w:styleId="81">
    <w:name w:val="Balloon Text Char"/>
    <w:qFormat/>
    <w:uiPriority w:val="99"/>
    <w:rPr>
      <w:sz w:val="18"/>
    </w:rPr>
  </w:style>
  <w:style w:type="character" w:customStyle="1" w:styleId="82">
    <w:name w:val="Footer Char"/>
    <w:qFormat/>
    <w:uiPriority w:val="99"/>
    <w:rPr>
      <w:rFonts w:eastAsia="宋体"/>
      <w:kern w:val="2"/>
      <w:sz w:val="18"/>
      <w:lang w:val="en-US" w:eastAsia="zh-CN"/>
    </w:rPr>
  </w:style>
  <w:style w:type="character" w:customStyle="1" w:styleId="83">
    <w:name w:val="Header Char"/>
    <w:qFormat/>
    <w:uiPriority w:val="99"/>
    <w:rPr>
      <w:rFonts w:eastAsia="宋体"/>
      <w:kern w:val="2"/>
      <w:sz w:val="18"/>
      <w:lang w:val="en-US" w:eastAsia="zh-CN"/>
    </w:rPr>
  </w:style>
  <w:style w:type="character" w:customStyle="1" w:styleId="84">
    <w:name w:val="副标题 Char"/>
    <w:link w:val="34"/>
    <w:qFormat/>
    <w:locked/>
    <w:uiPriority w:val="99"/>
    <w:rPr>
      <w:rFonts w:ascii="Cambria" w:hAnsi="Cambria"/>
      <w:b/>
      <w:kern w:val="28"/>
      <w:sz w:val="32"/>
    </w:rPr>
  </w:style>
  <w:style w:type="character" w:customStyle="1" w:styleId="85">
    <w:name w:val="Footnote Text Char"/>
    <w:qFormat/>
    <w:uiPriority w:val="99"/>
    <w:rPr>
      <w:rFonts w:eastAsia="宋体"/>
      <w:sz w:val="18"/>
      <w:lang w:val="en-US" w:eastAsia="zh-CN"/>
    </w:rPr>
  </w:style>
  <w:style w:type="character" w:customStyle="1" w:styleId="86">
    <w:name w:val="正文文本缩进 3 Char"/>
    <w:link w:val="37"/>
    <w:qFormat/>
    <w:locked/>
    <w:uiPriority w:val="99"/>
    <w:rPr>
      <w:rFonts w:ascii="宋体" w:hAnsi="Courier New" w:eastAsia="宋体"/>
      <w:kern w:val="2"/>
      <w:sz w:val="16"/>
    </w:rPr>
  </w:style>
  <w:style w:type="character" w:customStyle="1" w:styleId="87">
    <w:name w:val="正文文本 2 Char"/>
    <w:link w:val="40"/>
    <w:qFormat/>
    <w:locked/>
    <w:uiPriority w:val="99"/>
    <w:rPr>
      <w:rFonts w:ascii="宋体" w:hAnsi="宋体" w:eastAsia="宋体"/>
      <w:kern w:val="2"/>
      <w:sz w:val="24"/>
    </w:rPr>
  </w:style>
  <w:style w:type="character" w:customStyle="1" w:styleId="88">
    <w:name w:val="HTML 预设格式 Char"/>
    <w:link w:val="42"/>
    <w:qFormat/>
    <w:locked/>
    <w:uiPriority w:val="99"/>
    <w:rPr>
      <w:rFonts w:ascii="黑体" w:hAnsi="Courier New" w:eastAsia="黑体" w:cs="Courier New"/>
      <w:sz w:val="20"/>
      <w:szCs w:val="20"/>
    </w:rPr>
  </w:style>
  <w:style w:type="character" w:customStyle="1" w:styleId="89">
    <w:name w:val="Title Char"/>
    <w:qFormat/>
    <w:uiPriority w:val="99"/>
    <w:rPr>
      <w:rFonts w:ascii="Cambria" w:hAnsi="Cambria"/>
      <w:b/>
      <w:sz w:val="32"/>
    </w:rPr>
  </w:style>
  <w:style w:type="character" w:customStyle="1" w:styleId="90">
    <w:name w:val="Comment Subject Char"/>
    <w:qFormat/>
    <w:uiPriority w:val="99"/>
    <w:rPr>
      <w:b/>
      <w:sz w:val="24"/>
    </w:rPr>
  </w:style>
  <w:style w:type="paragraph" w:customStyle="1" w:styleId="91">
    <w:name w:val="_Style 37"/>
    <w:basedOn w:val="1"/>
    <w:next w:val="1"/>
    <w:qFormat/>
    <w:uiPriority w:val="99"/>
  </w:style>
  <w:style w:type="character" w:customStyle="1" w:styleId="92">
    <w:name w:val="批注文字 Char"/>
    <w:qFormat/>
    <w:uiPriority w:val="99"/>
    <w:rPr>
      <w:kern w:val="2"/>
      <w:sz w:val="24"/>
    </w:rPr>
  </w:style>
  <w:style w:type="character" w:customStyle="1" w:styleId="93">
    <w:name w:val="批注主题 Char"/>
    <w:link w:val="46"/>
    <w:qFormat/>
    <w:locked/>
    <w:uiPriority w:val="99"/>
    <w:rPr>
      <w:rFonts w:ascii="Times New Roman" w:hAnsi="Times New Roman"/>
      <w:b/>
      <w:kern w:val="2"/>
      <w:sz w:val="24"/>
    </w:rPr>
  </w:style>
  <w:style w:type="character" w:customStyle="1" w:styleId="94">
    <w:name w:val="批注框文本 Char"/>
    <w:link w:val="29"/>
    <w:qFormat/>
    <w:locked/>
    <w:uiPriority w:val="99"/>
    <w:rPr>
      <w:rFonts w:ascii="Times New Roman" w:hAnsi="Times New Roman"/>
      <w:kern w:val="2"/>
      <w:sz w:val="18"/>
    </w:rPr>
  </w:style>
  <w:style w:type="paragraph" w:customStyle="1" w:styleId="95">
    <w:name w:val="1"/>
    <w:basedOn w:val="1"/>
    <w:next w:val="1"/>
    <w:qFormat/>
    <w:uiPriority w:val="99"/>
  </w:style>
  <w:style w:type="character" w:customStyle="1" w:styleId="96">
    <w:name w:val="标题 2 Char"/>
    <w:qFormat/>
    <w:uiPriority w:val="99"/>
    <w:rPr>
      <w:rFonts w:ascii="Arial" w:hAnsi="Arial" w:eastAsia="宋体"/>
      <w:b/>
      <w:sz w:val="32"/>
    </w:rPr>
  </w:style>
  <w:style w:type="paragraph" w:customStyle="1" w:styleId="97">
    <w:name w:val="2-2ji"/>
    <w:basedOn w:val="4"/>
    <w:qFormat/>
    <w:uiPriority w:val="99"/>
    <w:rPr>
      <w:rFonts w:ascii="宋体" w:hAnsi="宋体"/>
      <w:sz w:val="36"/>
      <w:szCs w:val="24"/>
    </w:rPr>
  </w:style>
  <w:style w:type="character" w:customStyle="1" w:styleId="98">
    <w:name w:val="bsharetext"/>
    <w:qFormat/>
    <w:uiPriority w:val="99"/>
  </w:style>
  <w:style w:type="paragraph" w:customStyle="1" w:styleId="99">
    <w:name w:val="Char"/>
    <w:basedOn w:val="1"/>
    <w:qFormat/>
    <w:uiPriority w:val="99"/>
    <w:pPr>
      <w:widowControl/>
      <w:spacing w:after="160" w:line="240" w:lineRule="exact"/>
      <w:jc w:val="left"/>
    </w:pPr>
  </w:style>
  <w:style w:type="paragraph" w:customStyle="1" w:styleId="100">
    <w:name w:val="Char Char Char Char"/>
    <w:basedOn w:val="1"/>
    <w:qFormat/>
    <w:uiPriority w:val="99"/>
    <w:pPr>
      <w:widowControl/>
      <w:spacing w:line="500" w:lineRule="exact"/>
      <w:outlineLvl w:val="2"/>
    </w:pPr>
    <w:rPr>
      <w:rFonts w:ascii="黑体" w:hAnsi="Verdana" w:eastAsia="黑体" w:cs="黑体"/>
      <w:sz w:val="28"/>
      <w:szCs w:val="28"/>
      <w:lang w:eastAsia="en-US"/>
    </w:rPr>
  </w:style>
  <w:style w:type="paragraph" w:customStyle="1" w:styleId="101">
    <w:name w:val="Char Char Char Char Char Char Char"/>
    <w:basedOn w:val="1"/>
    <w:qFormat/>
    <w:uiPriority w:val="99"/>
    <w:pPr>
      <w:widowControl/>
      <w:spacing w:after="160" w:line="240" w:lineRule="exact"/>
      <w:jc w:val="left"/>
    </w:pPr>
  </w:style>
  <w:style w:type="character" w:customStyle="1" w:styleId="102">
    <w:name w:val="Char Char18"/>
    <w:qFormat/>
    <w:uiPriority w:val="99"/>
    <w:rPr>
      <w:rFonts w:ascii="Times New Roman" w:hAnsi="Times New Roman" w:eastAsia="宋体"/>
      <w:b/>
      <w:sz w:val="28"/>
    </w:rPr>
  </w:style>
  <w:style w:type="character" w:customStyle="1" w:styleId="103">
    <w:name w:val="Char Char181"/>
    <w:qFormat/>
    <w:uiPriority w:val="99"/>
    <w:rPr>
      <w:b/>
      <w:kern w:val="44"/>
      <w:sz w:val="44"/>
    </w:rPr>
  </w:style>
  <w:style w:type="character" w:customStyle="1" w:styleId="104">
    <w:name w:val="Char Char19"/>
    <w:qFormat/>
    <w:uiPriority w:val="99"/>
    <w:rPr>
      <w:rFonts w:ascii="Arial" w:hAnsi="Arial" w:eastAsia="宋体"/>
      <w:b/>
      <w:sz w:val="28"/>
    </w:rPr>
  </w:style>
  <w:style w:type="character" w:customStyle="1" w:styleId="105">
    <w:name w:val="Char Char20"/>
    <w:qFormat/>
    <w:uiPriority w:val="99"/>
    <w:rPr>
      <w:rFonts w:ascii="Times New Roman" w:hAnsi="Times New Roman" w:eastAsia="宋体"/>
      <w:b/>
      <w:sz w:val="32"/>
    </w:rPr>
  </w:style>
  <w:style w:type="character" w:customStyle="1" w:styleId="106">
    <w:name w:val="Char Char21"/>
    <w:qFormat/>
    <w:uiPriority w:val="99"/>
    <w:rPr>
      <w:rFonts w:ascii="Arial" w:hAnsi="Arial" w:eastAsia="黑体"/>
      <w:b/>
      <w:sz w:val="32"/>
    </w:rPr>
  </w:style>
  <w:style w:type="character" w:customStyle="1" w:styleId="107">
    <w:name w:val="Char Char22"/>
    <w:qFormat/>
    <w:uiPriority w:val="99"/>
    <w:rPr>
      <w:rFonts w:ascii="Times New Roman" w:hAnsi="Times New Roman" w:eastAsia="宋体"/>
      <w:b/>
      <w:kern w:val="44"/>
      <w:sz w:val="44"/>
    </w:rPr>
  </w:style>
  <w:style w:type="character" w:customStyle="1" w:styleId="108">
    <w:name w:val="Char Char23"/>
    <w:qFormat/>
    <w:uiPriority w:val="99"/>
    <w:rPr>
      <w:rFonts w:eastAsia="宋体"/>
      <w:b/>
      <w:kern w:val="44"/>
      <w:sz w:val="44"/>
      <w:lang w:val="en-US" w:eastAsia="zh-CN"/>
    </w:rPr>
  </w:style>
  <w:style w:type="character" w:customStyle="1" w:styleId="109">
    <w:name w:val="Char Char24"/>
    <w:qFormat/>
    <w:uiPriority w:val="99"/>
    <w:rPr>
      <w:rFonts w:eastAsia="宋体"/>
      <w:b/>
      <w:kern w:val="44"/>
      <w:sz w:val="44"/>
      <w:lang w:val="en-US" w:eastAsia="zh-CN"/>
    </w:rPr>
  </w:style>
  <w:style w:type="character" w:customStyle="1" w:styleId="110">
    <w:name w:val="Char Char6"/>
    <w:qFormat/>
    <w:uiPriority w:val="99"/>
    <w:rPr>
      <w:rFonts w:eastAsia="宋体"/>
      <w:b/>
      <w:kern w:val="44"/>
      <w:sz w:val="44"/>
      <w:lang w:val="en-US" w:eastAsia="zh-CN"/>
    </w:rPr>
  </w:style>
  <w:style w:type="character" w:customStyle="1" w:styleId="111">
    <w:name w:val="Char Char9"/>
    <w:qFormat/>
    <w:uiPriority w:val="99"/>
    <w:rPr>
      <w:rFonts w:eastAsia="宋体"/>
      <w:b/>
      <w:kern w:val="44"/>
      <w:sz w:val="44"/>
      <w:lang w:val="en-US" w:eastAsia="zh-CN"/>
    </w:rPr>
  </w:style>
  <w:style w:type="character" w:customStyle="1" w:styleId="112">
    <w:name w:val="Char Char91"/>
    <w:qFormat/>
    <w:uiPriority w:val="99"/>
    <w:rPr>
      <w:rFonts w:eastAsia="宋体"/>
      <w:b/>
      <w:kern w:val="44"/>
      <w:sz w:val="44"/>
      <w:lang w:val="en-US" w:eastAsia="zh-CN"/>
    </w:rPr>
  </w:style>
  <w:style w:type="paragraph" w:customStyle="1" w:styleId="113">
    <w:name w:val="Char1"/>
    <w:basedOn w:val="1"/>
    <w:qFormat/>
    <w:uiPriority w:val="99"/>
    <w:pPr>
      <w:widowControl/>
      <w:spacing w:after="160" w:line="240" w:lineRule="exact"/>
      <w:jc w:val="left"/>
    </w:pPr>
  </w:style>
  <w:style w:type="character" w:customStyle="1" w:styleId="114">
    <w:name w:val="Comment Text Char1"/>
    <w:qFormat/>
    <w:uiPriority w:val="99"/>
    <w:rPr>
      <w:sz w:val="24"/>
    </w:rPr>
  </w:style>
  <w:style w:type="character" w:customStyle="1" w:styleId="115">
    <w:name w:val="current"/>
    <w:qFormat/>
    <w:uiPriority w:val="99"/>
    <w:rPr>
      <w:color w:val="FFFFFF"/>
      <w:bdr w:val="single" w:color="028BD3" w:sz="6" w:space="0"/>
      <w:shd w:val="clear" w:color="auto" w:fill="028BD3"/>
    </w:rPr>
  </w:style>
  <w:style w:type="paragraph" w:customStyle="1" w:styleId="116">
    <w:name w:val="Default"/>
    <w:qFormat/>
    <w:uiPriority w:val="99"/>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117">
    <w:name w:val="disabled"/>
    <w:qFormat/>
    <w:uiPriority w:val="99"/>
    <w:rPr>
      <w:vanish/>
    </w:rPr>
  </w:style>
  <w:style w:type="paragraph" w:customStyle="1" w:styleId="118">
    <w:name w:val="flNote"/>
    <w:basedOn w:val="1"/>
    <w:qFormat/>
    <w:uiPriority w:val="99"/>
    <w:pPr>
      <w:adjustRightInd w:val="0"/>
      <w:spacing w:before="320" w:after="160" w:line="360" w:lineRule="atLeast"/>
      <w:jc w:val="center"/>
      <w:textAlignment w:val="baseline"/>
    </w:pPr>
    <w:rPr>
      <w:rFonts w:ascii="Arial" w:eastAsia="黑体"/>
      <w:sz w:val="30"/>
      <w:szCs w:val="20"/>
    </w:rPr>
  </w:style>
  <w:style w:type="character" w:customStyle="1" w:styleId="119">
    <w:name w:val="Heading 3 Char1"/>
    <w:qFormat/>
    <w:uiPriority w:val="99"/>
    <w:rPr>
      <w:rFonts w:eastAsia="宋体"/>
      <w:b/>
      <w:kern w:val="2"/>
      <w:sz w:val="32"/>
      <w:lang w:val="en-US" w:eastAsia="zh-CN"/>
    </w:rPr>
  </w:style>
  <w:style w:type="paragraph" w:customStyle="1" w:styleId="120">
    <w:name w:val="p0"/>
    <w:basedOn w:val="1"/>
    <w:qFormat/>
    <w:uiPriority w:val="99"/>
    <w:pPr>
      <w:widowControl/>
    </w:pPr>
    <w:rPr>
      <w:rFonts w:ascii="Calibri" w:hAnsi="Calibri"/>
    </w:rPr>
  </w:style>
  <w:style w:type="paragraph" w:customStyle="1" w:styleId="121">
    <w:name w:val="reader-word-layer"/>
    <w:basedOn w:val="1"/>
    <w:qFormat/>
    <w:uiPriority w:val="99"/>
    <w:pPr>
      <w:widowControl/>
      <w:spacing w:before="100" w:beforeAutospacing="1" w:after="100" w:afterAutospacing="1"/>
      <w:jc w:val="left"/>
    </w:pPr>
    <w:rPr>
      <w:rFonts w:hAnsi="宋体"/>
      <w:sz w:val="24"/>
    </w:rPr>
  </w:style>
  <w:style w:type="character" w:customStyle="1" w:styleId="122">
    <w:name w:val="textcontents"/>
    <w:qFormat/>
    <w:uiPriority w:val="99"/>
  </w:style>
  <w:style w:type="character" w:customStyle="1" w:styleId="123">
    <w:name w:val="标题 1 Char"/>
    <w:qFormat/>
    <w:uiPriority w:val="99"/>
    <w:rPr>
      <w:rFonts w:ascii="Times New Roman" w:hAnsi="Times New Roman" w:eastAsia="黑体"/>
      <w:b/>
      <w:kern w:val="44"/>
      <w:sz w:val="44"/>
    </w:rPr>
  </w:style>
  <w:style w:type="paragraph" w:customStyle="1" w:styleId="124">
    <w:name w:val="TOC 标题1"/>
    <w:basedOn w:val="3"/>
    <w:next w:val="1"/>
    <w:qFormat/>
    <w:uiPriority w:val="99"/>
    <w:pPr>
      <w:spacing w:before="340" w:after="330" w:line="576" w:lineRule="auto"/>
      <w:outlineLvl w:val="9"/>
    </w:pPr>
    <w:rPr>
      <w:rFonts w:ascii="Calibri" w:hAnsi="Calibri"/>
      <w:sz w:val="44"/>
    </w:rPr>
  </w:style>
  <w:style w:type="character" w:customStyle="1" w:styleId="125">
    <w:name w:val="标题 Char"/>
    <w:link w:val="45"/>
    <w:qFormat/>
    <w:locked/>
    <w:uiPriority w:val="99"/>
    <w:rPr>
      <w:rFonts w:ascii="Cambria" w:hAnsi="Cambria"/>
      <w:b/>
      <w:kern w:val="2"/>
      <w:sz w:val="32"/>
    </w:rPr>
  </w:style>
  <w:style w:type="character" w:customStyle="1" w:styleId="126">
    <w:name w:val="标题 3 Char"/>
    <w:qFormat/>
    <w:uiPriority w:val="99"/>
    <w:rPr>
      <w:rFonts w:ascii="Times New Roman" w:hAnsi="Times New Roman" w:eastAsia="黑体"/>
      <w:b/>
      <w:kern w:val="2"/>
      <w:sz w:val="32"/>
    </w:rPr>
  </w:style>
  <w:style w:type="character" w:customStyle="1" w:styleId="127">
    <w:name w:val="标题 4 Char"/>
    <w:qFormat/>
    <w:uiPriority w:val="99"/>
    <w:rPr>
      <w:rFonts w:ascii="Arial" w:hAnsi="Arial"/>
      <w:b/>
      <w:kern w:val="2"/>
      <w:sz w:val="28"/>
    </w:rPr>
  </w:style>
  <w:style w:type="character" w:customStyle="1" w:styleId="128">
    <w:name w:val="标题 5 Char"/>
    <w:qFormat/>
    <w:uiPriority w:val="99"/>
    <w:rPr>
      <w:rFonts w:ascii="Times New Roman" w:hAnsi="Times New Roman"/>
      <w:b/>
      <w:kern w:val="2"/>
      <w:sz w:val="28"/>
    </w:rPr>
  </w:style>
  <w:style w:type="character" w:customStyle="1" w:styleId="129">
    <w:name w:val="标题 Char1"/>
    <w:qFormat/>
    <w:uiPriority w:val="99"/>
    <w:rPr>
      <w:rFonts w:ascii="Cambria" w:hAnsi="Cambria" w:eastAsia="宋体"/>
      <w:b/>
      <w:sz w:val="32"/>
    </w:rPr>
  </w:style>
  <w:style w:type="character" w:customStyle="1" w:styleId="130">
    <w:name w:val="标题 Char2"/>
    <w:qFormat/>
    <w:uiPriority w:val="99"/>
    <w:rPr>
      <w:rFonts w:ascii="Cambria" w:hAnsi="Cambria" w:eastAsia="宋体"/>
      <w:b/>
      <w:sz w:val="32"/>
    </w:rPr>
  </w:style>
  <w:style w:type="paragraph" w:customStyle="1" w:styleId="131">
    <w:name w:val="标题4"/>
    <w:basedOn w:val="4"/>
    <w:next w:val="21"/>
    <w:link w:val="132"/>
    <w:qFormat/>
    <w:uiPriority w:val="99"/>
  </w:style>
  <w:style w:type="character" w:customStyle="1" w:styleId="132">
    <w:name w:val="标题4 Char Char"/>
    <w:link w:val="131"/>
    <w:qFormat/>
    <w:locked/>
    <w:uiPriority w:val="99"/>
    <w:rPr>
      <w:rFonts w:ascii="Arial" w:hAnsi="Arial"/>
      <w:b/>
      <w:sz w:val="32"/>
    </w:rPr>
  </w:style>
  <w:style w:type="paragraph" w:customStyle="1" w:styleId="133">
    <w:name w:val="标题5"/>
    <w:basedOn w:val="5"/>
    <w:link w:val="134"/>
    <w:qFormat/>
    <w:uiPriority w:val="99"/>
    <w:pPr>
      <w:spacing w:before="260" w:after="260" w:line="413" w:lineRule="auto"/>
    </w:pPr>
    <w:rPr>
      <w:rFonts w:ascii="Arial" w:hAnsi="Arial" w:eastAsia="宋体"/>
      <w:sz w:val="24"/>
    </w:rPr>
  </w:style>
  <w:style w:type="character" w:customStyle="1" w:styleId="134">
    <w:name w:val="标题5 Char Char"/>
    <w:link w:val="133"/>
    <w:qFormat/>
    <w:locked/>
    <w:uiPriority w:val="99"/>
    <w:rPr>
      <w:rFonts w:ascii="Arial" w:hAnsi="Arial"/>
      <w:b/>
      <w:sz w:val="32"/>
    </w:rPr>
  </w:style>
  <w:style w:type="character" w:customStyle="1" w:styleId="135">
    <w:name w:val="不明显参考1"/>
    <w:qFormat/>
    <w:uiPriority w:val="99"/>
    <w:rPr>
      <w:smallCaps/>
      <w:color w:val="C0504D"/>
      <w:u w:val="single"/>
    </w:rPr>
  </w:style>
  <w:style w:type="character" w:customStyle="1" w:styleId="136">
    <w:name w:val="不明显强调1"/>
    <w:qFormat/>
    <w:uiPriority w:val="99"/>
    <w:rPr>
      <w:i/>
      <w:color w:val="808080"/>
    </w:rPr>
  </w:style>
  <w:style w:type="character" w:customStyle="1" w:styleId="137">
    <w:name w:val="纯文本 Char"/>
    <w:qFormat/>
    <w:uiPriority w:val="99"/>
    <w:rPr>
      <w:rFonts w:ascii="宋体" w:hAnsi="Courier New"/>
      <w:kern w:val="2"/>
      <w:sz w:val="24"/>
    </w:rPr>
  </w:style>
  <w:style w:type="character" w:customStyle="1" w:styleId="138">
    <w:name w:val="纯文本 Char1"/>
    <w:qFormat/>
    <w:uiPriority w:val="99"/>
    <w:rPr>
      <w:rFonts w:ascii="宋体" w:hAnsi="Courier New" w:eastAsia="宋体"/>
      <w:sz w:val="21"/>
    </w:rPr>
  </w:style>
  <w:style w:type="character" w:customStyle="1" w:styleId="139">
    <w:name w:val="脚注文本 Char"/>
    <w:link w:val="35"/>
    <w:qFormat/>
    <w:locked/>
    <w:uiPriority w:val="99"/>
    <w:rPr>
      <w:rFonts w:ascii="Times New Roman" w:hAnsi="Times New Roman"/>
      <w:sz w:val="18"/>
    </w:rPr>
  </w:style>
  <w:style w:type="paragraph" w:customStyle="1" w:styleId="140">
    <w:name w:val="空半行"/>
    <w:basedOn w:val="1"/>
    <w:qFormat/>
    <w:uiPriority w:val="99"/>
    <w:pPr>
      <w:adjustRightInd w:val="0"/>
      <w:spacing w:line="120" w:lineRule="exact"/>
      <w:textAlignment w:val="baseline"/>
    </w:pPr>
    <w:rPr>
      <w:rFonts w:eastAsia="仿宋_GB2312"/>
      <w:color w:val="FFFFFF"/>
      <w:sz w:val="30"/>
      <w:szCs w:val="20"/>
    </w:rPr>
  </w:style>
  <w:style w:type="paragraph" w:customStyle="1" w:styleId="141">
    <w:name w:val="List Paragraph"/>
    <w:basedOn w:val="1"/>
    <w:qFormat/>
    <w:uiPriority w:val="99"/>
    <w:pPr>
      <w:ind w:firstLine="420" w:firstLineChars="200"/>
    </w:pPr>
    <w:rPr>
      <w:rFonts w:ascii="Calibri" w:hAnsi="Calibri"/>
      <w:szCs w:val="22"/>
    </w:rPr>
  </w:style>
  <w:style w:type="paragraph" w:customStyle="1" w:styleId="142">
    <w:name w:val="列出段落1"/>
    <w:basedOn w:val="1"/>
    <w:qFormat/>
    <w:uiPriority w:val="99"/>
    <w:pPr>
      <w:ind w:firstLine="420" w:firstLineChars="200"/>
    </w:pPr>
    <w:rPr>
      <w:rFonts w:ascii="Calibri" w:hAnsi="Calibri"/>
      <w:szCs w:val="22"/>
    </w:rPr>
  </w:style>
  <w:style w:type="character" w:customStyle="1" w:styleId="143">
    <w:name w:val="明显参考1"/>
    <w:qFormat/>
    <w:uiPriority w:val="99"/>
    <w:rPr>
      <w:b/>
      <w:smallCaps/>
      <w:color w:val="C0504D"/>
      <w:spacing w:val="5"/>
      <w:u w:val="single"/>
    </w:rPr>
  </w:style>
  <w:style w:type="character" w:customStyle="1" w:styleId="144">
    <w:name w:val="明显强调1"/>
    <w:qFormat/>
    <w:uiPriority w:val="99"/>
    <w:rPr>
      <w:b/>
      <w:i/>
      <w:color w:val="4F81BD"/>
    </w:rPr>
  </w:style>
  <w:style w:type="paragraph" w:customStyle="1" w:styleId="145">
    <w:name w:val="Intense Quote"/>
    <w:basedOn w:val="1"/>
    <w:next w:val="1"/>
    <w:link w:val="146"/>
    <w:qFormat/>
    <w:uiPriority w:val="99"/>
    <w:pPr>
      <w:pBdr>
        <w:bottom w:val="single" w:color="4F81BD" w:sz="4" w:space="4"/>
      </w:pBdr>
      <w:spacing w:before="200" w:after="280"/>
      <w:ind w:left="936" w:right="936"/>
    </w:pPr>
    <w:rPr>
      <w:rFonts w:ascii="Times New Roman" w:cs="Times New Roman"/>
      <w:b/>
      <w:bCs/>
      <w:i/>
      <w:iCs/>
      <w:color w:val="4F81BD"/>
      <w:sz w:val="20"/>
      <w:szCs w:val="20"/>
    </w:rPr>
  </w:style>
  <w:style w:type="character" w:customStyle="1" w:styleId="146">
    <w:name w:val="明显引用 Char"/>
    <w:link w:val="145"/>
    <w:qFormat/>
    <w:locked/>
    <w:uiPriority w:val="99"/>
    <w:rPr>
      <w:rFonts w:ascii="Times New Roman" w:hAnsi="Times New Roman"/>
      <w:b/>
      <w:i/>
      <w:color w:val="4F81BD"/>
    </w:rPr>
  </w:style>
  <w:style w:type="character" w:customStyle="1" w:styleId="147">
    <w:name w:val="明显引用 Char1"/>
    <w:qFormat/>
    <w:uiPriority w:val="99"/>
    <w:rPr>
      <w:rFonts w:ascii="Times New Roman" w:hAnsi="Times New Roman" w:eastAsia="宋体"/>
      <w:b/>
      <w:i/>
      <w:color w:val="4F81BD"/>
      <w:sz w:val="24"/>
    </w:rPr>
  </w:style>
  <w:style w:type="character" w:customStyle="1" w:styleId="148">
    <w:name w:val="批注框文本 Char1"/>
    <w:qFormat/>
    <w:uiPriority w:val="99"/>
    <w:rPr>
      <w:rFonts w:ascii="Times New Roman" w:hAnsi="Times New Roman" w:eastAsia="宋体"/>
      <w:sz w:val="18"/>
    </w:rPr>
  </w:style>
  <w:style w:type="character" w:customStyle="1" w:styleId="149">
    <w:name w:val="批注文字 Char2"/>
    <w:link w:val="17"/>
    <w:qFormat/>
    <w:locked/>
    <w:uiPriority w:val="99"/>
    <w:rPr>
      <w:rFonts w:ascii="Times New Roman" w:hAnsi="Times New Roman"/>
      <w:kern w:val="2"/>
      <w:sz w:val="24"/>
    </w:rPr>
  </w:style>
  <w:style w:type="character" w:customStyle="1" w:styleId="150">
    <w:name w:val="批注文字 Char Char"/>
    <w:qFormat/>
    <w:uiPriority w:val="99"/>
    <w:rPr>
      <w:rFonts w:ascii="宋体" w:hAnsi="Times New Roman" w:eastAsia="宋体"/>
      <w:sz w:val="20"/>
    </w:rPr>
  </w:style>
  <w:style w:type="character" w:customStyle="1" w:styleId="151">
    <w:name w:val="批注文字 Char1"/>
    <w:qFormat/>
    <w:uiPriority w:val="99"/>
    <w:rPr>
      <w:rFonts w:ascii="Times New Roman" w:hAnsi="Times New Roman" w:eastAsia="宋体"/>
      <w:sz w:val="24"/>
    </w:rPr>
  </w:style>
  <w:style w:type="character" w:customStyle="1" w:styleId="152">
    <w:name w:val="批注主题 Char1"/>
    <w:qFormat/>
    <w:uiPriority w:val="99"/>
    <w:rPr>
      <w:rFonts w:ascii="Times New Roman" w:hAnsi="Times New Roman" w:eastAsia="宋体"/>
      <w:b/>
      <w:sz w:val="24"/>
    </w:rPr>
  </w:style>
  <w:style w:type="character" w:customStyle="1" w:styleId="153">
    <w:name w:val="日期 Char"/>
    <w:link w:val="26"/>
    <w:qFormat/>
    <w:locked/>
    <w:uiPriority w:val="99"/>
    <w:rPr>
      <w:rFonts w:ascii="Times New Roman" w:hAnsi="Times New Roman"/>
      <w:kern w:val="2"/>
      <w:sz w:val="24"/>
    </w:rPr>
  </w:style>
  <w:style w:type="character" w:customStyle="1" w:styleId="154">
    <w:name w:val="日期 Char1"/>
    <w:qFormat/>
    <w:uiPriority w:val="99"/>
    <w:rPr>
      <w:rFonts w:ascii="Times New Roman" w:hAnsi="Times New Roman" w:eastAsia="宋体"/>
      <w:sz w:val="24"/>
    </w:rPr>
  </w:style>
  <w:style w:type="character" w:customStyle="1" w:styleId="155">
    <w:name w:val="书籍标题1"/>
    <w:qFormat/>
    <w:uiPriority w:val="99"/>
    <w:rPr>
      <w:b/>
      <w:smallCaps/>
      <w:spacing w:val="5"/>
    </w:rPr>
  </w:style>
  <w:style w:type="character" w:customStyle="1" w:styleId="156">
    <w:name w:val="文档结构图 Char"/>
    <w:link w:val="15"/>
    <w:qFormat/>
    <w:locked/>
    <w:uiPriority w:val="99"/>
    <w:rPr>
      <w:rFonts w:ascii="Times New Roman" w:hAnsi="Times New Roman"/>
      <w:kern w:val="2"/>
      <w:sz w:val="24"/>
      <w:shd w:val="clear" w:color="auto" w:fill="000080"/>
    </w:rPr>
  </w:style>
  <w:style w:type="character" w:customStyle="1" w:styleId="157">
    <w:name w:val="文档结构图 Char1"/>
    <w:qFormat/>
    <w:uiPriority w:val="99"/>
    <w:rPr>
      <w:rFonts w:ascii="宋体" w:hAnsi="Times New Roman" w:eastAsia="宋体"/>
      <w:sz w:val="18"/>
    </w:rPr>
  </w:style>
  <w:style w:type="paragraph" w:customStyle="1" w:styleId="158">
    <w:name w:val="No Spacing"/>
    <w:qFormat/>
    <w:uiPriority w:val="99"/>
    <w:pPr>
      <w:widowControl w:val="0"/>
      <w:jc w:val="both"/>
    </w:pPr>
    <w:rPr>
      <w:rFonts w:ascii="Times New Roman" w:hAnsi="Times New Roman" w:eastAsia="宋体" w:cs="宋体"/>
      <w:kern w:val="2"/>
      <w:sz w:val="21"/>
      <w:szCs w:val="24"/>
      <w:lang w:val="en-US" w:eastAsia="zh-CN" w:bidi="ar-SA"/>
    </w:rPr>
  </w:style>
  <w:style w:type="paragraph" w:customStyle="1" w:styleId="159">
    <w:name w:val="无间隔1"/>
    <w:qFormat/>
    <w:uiPriority w:val="99"/>
    <w:pPr>
      <w:widowControl w:val="0"/>
      <w:jc w:val="both"/>
    </w:pPr>
    <w:rPr>
      <w:rFonts w:ascii="Times New Roman" w:hAnsi="Times New Roman" w:eastAsia="宋体" w:cs="宋体"/>
      <w:kern w:val="2"/>
      <w:sz w:val="21"/>
      <w:szCs w:val="24"/>
      <w:lang w:val="en-US" w:eastAsia="zh-CN" w:bidi="ar-SA"/>
    </w:rPr>
  </w:style>
  <w:style w:type="paragraph" w:customStyle="1" w:styleId="160">
    <w:name w:val="修订1"/>
    <w:qFormat/>
    <w:uiPriority w:val="99"/>
    <w:rPr>
      <w:rFonts w:ascii="Times New Roman" w:hAnsi="Times New Roman" w:eastAsia="宋体" w:cs="宋体"/>
      <w:kern w:val="2"/>
      <w:sz w:val="21"/>
      <w:szCs w:val="24"/>
      <w:lang w:val="en-US" w:eastAsia="zh-CN" w:bidi="ar-SA"/>
    </w:rPr>
  </w:style>
  <w:style w:type="paragraph" w:customStyle="1" w:styleId="161">
    <w:name w:val="样式 标题 2 + Times New Roman 四号 非加粗 段前: 5 磅 段后: 0 磅 行距: 固定值 20..."/>
    <w:basedOn w:val="4"/>
    <w:qFormat/>
    <w:uiPriority w:val="99"/>
    <w:pPr>
      <w:spacing w:before="100" w:line="400" w:lineRule="exact"/>
    </w:pPr>
    <w:rPr>
      <w:rFonts w:ascii="Times New Roman" w:hAnsi="Times New Roman"/>
      <w:b w:val="0"/>
      <w:bCs w:val="0"/>
      <w:sz w:val="28"/>
      <w:szCs w:val="20"/>
    </w:rPr>
  </w:style>
  <w:style w:type="paragraph" w:customStyle="1" w:styleId="162">
    <w:name w:val="样式 标题 3 + (中文) 黑体 小四 非加粗 段前: 7.8 磅 段后: 0 磅 行距: 固定值 20 磅"/>
    <w:basedOn w:val="5"/>
    <w:qFormat/>
    <w:uiPriority w:val="99"/>
    <w:pPr>
      <w:spacing w:line="400" w:lineRule="exact"/>
    </w:pPr>
    <w:rPr>
      <w:b w:val="0"/>
      <w:bCs w:val="0"/>
      <w:szCs w:val="20"/>
    </w:rPr>
  </w:style>
  <w:style w:type="paragraph" w:customStyle="1" w:styleId="163">
    <w:name w:val="样式1"/>
    <w:basedOn w:val="1"/>
    <w:next w:val="6"/>
    <w:qFormat/>
    <w:uiPriority w:val="99"/>
    <w:pPr>
      <w:spacing w:line="360" w:lineRule="auto"/>
      <w:ind w:firstLine="420" w:firstLineChars="200"/>
    </w:pPr>
    <w:rPr>
      <w:rFonts w:hAnsi="宋体"/>
    </w:rPr>
  </w:style>
  <w:style w:type="character" w:customStyle="1" w:styleId="164">
    <w:name w:val="页脚 Char"/>
    <w:link w:val="30"/>
    <w:qFormat/>
    <w:locked/>
    <w:uiPriority w:val="99"/>
    <w:rPr>
      <w:rFonts w:ascii="Times New Roman" w:hAnsi="Times New Roman"/>
      <w:kern w:val="2"/>
      <w:sz w:val="18"/>
    </w:rPr>
  </w:style>
  <w:style w:type="character" w:customStyle="1" w:styleId="165">
    <w:name w:val="页眉 Char"/>
    <w:link w:val="31"/>
    <w:qFormat/>
    <w:locked/>
    <w:uiPriority w:val="99"/>
    <w:rPr>
      <w:rFonts w:ascii="Times New Roman" w:hAnsi="Times New Roman"/>
      <w:kern w:val="2"/>
      <w:sz w:val="18"/>
    </w:rPr>
  </w:style>
  <w:style w:type="paragraph" w:customStyle="1" w:styleId="166">
    <w:name w:val="Quote"/>
    <w:basedOn w:val="1"/>
    <w:next w:val="1"/>
    <w:link w:val="167"/>
    <w:qFormat/>
    <w:uiPriority w:val="99"/>
    <w:rPr>
      <w:rFonts w:ascii="Times New Roman" w:cs="Times New Roman"/>
      <w:i/>
      <w:iCs/>
      <w:color w:val="000000"/>
      <w:sz w:val="20"/>
      <w:szCs w:val="20"/>
    </w:rPr>
  </w:style>
  <w:style w:type="character" w:customStyle="1" w:styleId="167">
    <w:name w:val="引用 Char"/>
    <w:link w:val="166"/>
    <w:qFormat/>
    <w:locked/>
    <w:uiPriority w:val="99"/>
    <w:rPr>
      <w:rFonts w:ascii="Times New Roman" w:hAnsi="Times New Roman"/>
      <w:i/>
      <w:color w:val="000000"/>
    </w:rPr>
  </w:style>
  <w:style w:type="character" w:customStyle="1" w:styleId="168">
    <w:name w:val="引用 Char1"/>
    <w:qFormat/>
    <w:uiPriority w:val="99"/>
    <w:rPr>
      <w:rFonts w:ascii="Times New Roman" w:hAnsi="Times New Roman" w:eastAsia="宋体"/>
      <w:i/>
      <w:color w:val="000000"/>
      <w:sz w:val="24"/>
    </w:rPr>
  </w:style>
  <w:style w:type="paragraph" w:customStyle="1" w:styleId="169">
    <w:name w:val="正文_0"/>
    <w:basedOn w:val="170"/>
    <w:next w:val="176"/>
    <w:qFormat/>
    <w:uiPriority w:val="99"/>
    <w:pPr>
      <w:widowControl w:val="0"/>
      <w:jc w:val="both"/>
    </w:pPr>
    <w:rPr>
      <w:rFonts w:ascii="宋体" w:hAnsi="Times New Roman" w:eastAsia="宋体" w:cs="宋体"/>
      <w:kern w:val="2"/>
      <w:sz w:val="21"/>
      <w:szCs w:val="22"/>
      <w:lang w:val="en-US" w:eastAsia="zh-CN" w:bidi="ar-SA"/>
    </w:rPr>
  </w:style>
  <w:style w:type="paragraph" w:customStyle="1" w:styleId="170">
    <w:name w:val="正文_2"/>
    <w:basedOn w:val="171"/>
    <w:next w:val="17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71">
    <w:name w:val="正文_3"/>
    <w:basedOn w:val="172"/>
    <w:next w:val="17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paragraph" w:customStyle="1" w:styleId="172">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3">
    <w:name w:val="页脚_0"/>
    <w:basedOn w:val="169"/>
    <w:next w:val="174"/>
    <w:qFormat/>
    <w:uiPriority w:val="99"/>
    <w:pPr>
      <w:tabs>
        <w:tab w:val="center" w:pos="4153"/>
        <w:tab w:val="right" w:pos="8306"/>
      </w:tabs>
      <w:snapToGrid w:val="0"/>
      <w:jc w:val="left"/>
    </w:pPr>
    <w:rPr>
      <w:sz w:val="18"/>
      <w:szCs w:val="18"/>
    </w:rPr>
  </w:style>
  <w:style w:type="paragraph" w:customStyle="1" w:styleId="17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正文文本_1"/>
    <w:basedOn w:val="170"/>
    <w:qFormat/>
    <w:uiPriority w:val="99"/>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176">
    <w:name w:val="正文文本_0"/>
    <w:basedOn w:val="169"/>
    <w:next w:val="169"/>
    <w:qFormat/>
    <w:uiPriority w:val="0"/>
    <w:pPr>
      <w:adjustRightInd w:val="0"/>
      <w:spacing w:after="60" w:line="360" w:lineRule="atLeast"/>
      <w:ind w:leftChars="30" w:rightChars="30"/>
      <w:jc w:val="center"/>
    </w:pPr>
    <w:rPr>
      <w:rFonts w:eastAsia="Times New Roman"/>
      <w:kern w:val="0"/>
      <w:sz w:val="20"/>
      <w:szCs w:val="20"/>
    </w:rPr>
  </w:style>
  <w:style w:type="paragraph" w:customStyle="1" w:styleId="177">
    <w:name w:val="正文_1"/>
    <w:qFormat/>
    <w:uiPriority w:val="99"/>
    <w:pPr>
      <w:widowControl w:val="0"/>
      <w:jc w:val="both"/>
    </w:pPr>
    <w:rPr>
      <w:rFonts w:ascii="Times New Roman" w:hAnsi="Times New Roman" w:eastAsia="宋体" w:cs="宋体"/>
      <w:kern w:val="2"/>
      <w:sz w:val="21"/>
      <w:szCs w:val="24"/>
      <w:lang w:val="en-US" w:eastAsia="zh-CN" w:bidi="ar-SA"/>
    </w:rPr>
  </w:style>
  <w:style w:type="paragraph" w:customStyle="1" w:styleId="178">
    <w:name w:val="正文_1_0"/>
    <w:qFormat/>
    <w:uiPriority w:val="99"/>
    <w:pPr>
      <w:widowControl w:val="0"/>
      <w:jc w:val="both"/>
    </w:pPr>
    <w:rPr>
      <w:rFonts w:ascii="Times New Roman" w:hAnsi="Times New Roman" w:eastAsia="宋体" w:cs="宋体"/>
      <w:kern w:val="2"/>
      <w:sz w:val="21"/>
      <w:szCs w:val="24"/>
      <w:lang w:val="en-US" w:eastAsia="zh-CN" w:bidi="ar-SA"/>
    </w:rPr>
  </w:style>
  <w:style w:type="character" w:customStyle="1" w:styleId="179">
    <w:name w:val="正文文本 Char1"/>
    <w:qFormat/>
    <w:uiPriority w:val="99"/>
    <w:rPr>
      <w:kern w:val="2"/>
      <w:sz w:val="22"/>
    </w:rPr>
  </w:style>
  <w:style w:type="character" w:customStyle="1" w:styleId="180">
    <w:name w:val="正文文本缩进 Char"/>
    <w:link w:val="19"/>
    <w:qFormat/>
    <w:locked/>
    <w:uiPriority w:val="99"/>
    <w:rPr>
      <w:rFonts w:ascii="宋体" w:eastAsia="宋体"/>
      <w:kern w:val="2"/>
      <w:sz w:val="21"/>
    </w:rPr>
  </w:style>
  <w:style w:type="character" w:customStyle="1" w:styleId="181">
    <w:name w:val="正文文本缩进 2 Char"/>
    <w:link w:val="27"/>
    <w:qFormat/>
    <w:locked/>
    <w:uiPriority w:val="99"/>
    <w:rPr>
      <w:rFonts w:ascii="Times New Roman" w:hAnsi="Times New Roman"/>
      <w:kern w:val="2"/>
      <w:sz w:val="24"/>
    </w:rPr>
  </w:style>
  <w:style w:type="character" w:customStyle="1" w:styleId="182">
    <w:name w:val="纯文本 字符1"/>
    <w:qFormat/>
    <w:uiPriority w:val="99"/>
    <w:rPr>
      <w:rFonts w:ascii="宋体" w:hAnsi="Courier New" w:eastAsia="宋体"/>
      <w:kern w:val="2"/>
      <w:sz w:val="21"/>
      <w:lang w:val="en-US" w:eastAsia="zh-CN"/>
    </w:rPr>
  </w:style>
  <w:style w:type="character" w:customStyle="1" w:styleId="183">
    <w:name w:val="批注主题 Char2"/>
    <w:semiHidden/>
    <w:qFormat/>
    <w:uiPriority w:val="99"/>
    <w:rPr>
      <w:b/>
      <w:kern w:val="2"/>
      <w:sz w:val="24"/>
    </w:rPr>
  </w:style>
  <w:style w:type="character" w:customStyle="1" w:styleId="184">
    <w:name w:val="普通文字 Char Char2"/>
    <w:qFormat/>
    <w:uiPriority w:val="99"/>
    <w:rPr>
      <w:rFonts w:ascii="宋体" w:hAnsi="Courier New" w:eastAsia="宋体"/>
      <w:kern w:val="2"/>
      <w:sz w:val="24"/>
      <w:lang w:val="en-US" w:eastAsia="zh-CN"/>
    </w:rPr>
  </w:style>
  <w:style w:type="character" w:customStyle="1" w:styleId="185">
    <w:name w:val="标题 Char3"/>
    <w:qFormat/>
    <w:uiPriority w:val="99"/>
    <w:rPr>
      <w:rFonts w:ascii="Cambria" w:hAnsi="Cambria"/>
      <w:b/>
      <w:kern w:val="2"/>
      <w:sz w:val="32"/>
    </w:rPr>
  </w:style>
  <w:style w:type="character" w:customStyle="1" w:styleId="186">
    <w:name w:val="页眉 Char1"/>
    <w:semiHidden/>
    <w:qFormat/>
    <w:uiPriority w:val="99"/>
    <w:rPr>
      <w:kern w:val="2"/>
      <w:sz w:val="18"/>
    </w:rPr>
  </w:style>
  <w:style w:type="character" w:customStyle="1" w:styleId="187">
    <w:name w:val="正文文本缩进 Char1"/>
    <w:semiHidden/>
    <w:qFormat/>
    <w:uiPriority w:val="99"/>
    <w:rPr>
      <w:kern w:val="2"/>
      <w:sz w:val="24"/>
    </w:rPr>
  </w:style>
  <w:style w:type="character" w:customStyle="1" w:styleId="188">
    <w:name w:val="标题6 Char"/>
    <w:link w:val="189"/>
    <w:qFormat/>
    <w:locked/>
    <w:uiPriority w:val="99"/>
    <w:rPr>
      <w:rFonts w:ascii="宋体" w:hAnsi="宋体" w:eastAsia="黑体"/>
      <w:kern w:val="2"/>
      <w:sz w:val="32"/>
    </w:rPr>
  </w:style>
  <w:style w:type="paragraph" w:customStyle="1" w:styleId="189">
    <w:name w:val="标题6"/>
    <w:basedOn w:val="1"/>
    <w:link w:val="188"/>
    <w:qFormat/>
    <w:uiPriority w:val="99"/>
    <w:pPr>
      <w:keepNext/>
      <w:keepLines/>
      <w:spacing w:line="400" w:lineRule="exact"/>
      <w:jc w:val="center"/>
      <w:outlineLvl w:val="2"/>
    </w:pPr>
    <w:rPr>
      <w:rFonts w:hAnsi="宋体" w:eastAsia="黑体" w:cs="Times New Roman"/>
      <w:kern w:val="2"/>
      <w:sz w:val="32"/>
      <w:szCs w:val="32"/>
    </w:rPr>
  </w:style>
  <w:style w:type="character" w:customStyle="1" w:styleId="190">
    <w:name w:val="日期 Char2"/>
    <w:semiHidden/>
    <w:qFormat/>
    <w:uiPriority w:val="99"/>
    <w:rPr>
      <w:kern w:val="2"/>
      <w:sz w:val="24"/>
    </w:rPr>
  </w:style>
  <w:style w:type="character" w:customStyle="1" w:styleId="191">
    <w:name w:val="明显引用 Char2"/>
    <w:qFormat/>
    <w:uiPriority w:val="99"/>
    <w:rPr>
      <w:b/>
      <w:i/>
      <w:color w:val="4F81BD"/>
      <w:kern w:val="2"/>
      <w:sz w:val="24"/>
    </w:rPr>
  </w:style>
  <w:style w:type="character" w:customStyle="1" w:styleId="192">
    <w:name w:val="纯文本 Char2"/>
    <w:qFormat/>
    <w:uiPriority w:val="99"/>
    <w:rPr>
      <w:rFonts w:ascii="宋体" w:hAnsi="Courier New" w:eastAsia="宋体"/>
      <w:kern w:val="2"/>
      <w:sz w:val="21"/>
    </w:rPr>
  </w:style>
  <w:style w:type="character" w:customStyle="1" w:styleId="193">
    <w:name w:val="文档结构图 Char2"/>
    <w:semiHidden/>
    <w:qFormat/>
    <w:uiPriority w:val="99"/>
    <w:rPr>
      <w:rFonts w:ascii="宋体" w:hAnsi="宋体" w:eastAsia="宋体"/>
      <w:kern w:val="2"/>
      <w:sz w:val="18"/>
    </w:rPr>
  </w:style>
  <w:style w:type="character" w:customStyle="1" w:styleId="194">
    <w:name w:val="普通文字 Char Char1"/>
    <w:qFormat/>
    <w:uiPriority w:val="99"/>
    <w:rPr>
      <w:rFonts w:ascii="宋体" w:hAnsi="Courier New" w:eastAsia="宋体"/>
      <w:kern w:val="2"/>
      <w:sz w:val="24"/>
      <w:lang w:val="en-US" w:eastAsia="zh-CN"/>
    </w:rPr>
  </w:style>
  <w:style w:type="character" w:customStyle="1" w:styleId="195">
    <w:name w:val="明显参考11"/>
    <w:qFormat/>
    <w:uiPriority w:val="99"/>
    <w:rPr>
      <w:b/>
      <w:smallCaps/>
      <w:color w:val="auto"/>
      <w:spacing w:val="5"/>
      <w:u w:val="single"/>
    </w:rPr>
  </w:style>
  <w:style w:type="character" w:customStyle="1" w:styleId="196">
    <w:name w:val="页脚 Char1"/>
    <w:semiHidden/>
    <w:qFormat/>
    <w:uiPriority w:val="99"/>
    <w:rPr>
      <w:kern w:val="2"/>
      <w:sz w:val="18"/>
    </w:rPr>
  </w:style>
  <w:style w:type="character" w:customStyle="1" w:styleId="197">
    <w:name w:val="批注文字 字符"/>
    <w:qFormat/>
    <w:uiPriority w:val="99"/>
    <w:rPr>
      <w:kern w:val="2"/>
      <w:sz w:val="24"/>
    </w:rPr>
  </w:style>
  <w:style w:type="character" w:customStyle="1" w:styleId="198">
    <w:name w:val="不明显参考11"/>
    <w:qFormat/>
    <w:uiPriority w:val="99"/>
    <w:rPr>
      <w:smallCaps/>
      <w:color w:val="auto"/>
      <w:u w:val="single"/>
    </w:rPr>
  </w:style>
  <w:style w:type="character" w:customStyle="1" w:styleId="199">
    <w:name w:val="批注文字 Char3"/>
    <w:semiHidden/>
    <w:qFormat/>
    <w:locked/>
    <w:uiPriority w:val="99"/>
    <w:rPr>
      <w:kern w:val="2"/>
      <w:sz w:val="24"/>
    </w:rPr>
  </w:style>
  <w:style w:type="character" w:customStyle="1" w:styleId="200">
    <w:name w:val="脚注文本 Char1"/>
    <w:qFormat/>
    <w:uiPriority w:val="99"/>
    <w:rPr>
      <w:kern w:val="2"/>
      <w:sz w:val="18"/>
    </w:rPr>
  </w:style>
  <w:style w:type="character" w:customStyle="1" w:styleId="201">
    <w:name w:val="引用 Char2"/>
    <w:qFormat/>
    <w:uiPriority w:val="99"/>
    <w:rPr>
      <w:i/>
      <w:color w:val="000000"/>
      <w:kern w:val="2"/>
      <w:sz w:val="24"/>
    </w:rPr>
  </w:style>
  <w:style w:type="character" w:customStyle="1" w:styleId="202">
    <w:name w:val="批注文字 Char4"/>
    <w:qFormat/>
    <w:uiPriority w:val="99"/>
    <w:rPr>
      <w:kern w:val="2"/>
      <w:sz w:val="24"/>
    </w:rPr>
  </w:style>
  <w:style w:type="character" w:customStyle="1" w:styleId="203">
    <w:name w:val="正文文本缩进 2 Char1"/>
    <w:semiHidden/>
    <w:qFormat/>
    <w:uiPriority w:val="99"/>
    <w:rPr>
      <w:kern w:val="2"/>
      <w:sz w:val="24"/>
    </w:rPr>
  </w:style>
  <w:style w:type="character" w:customStyle="1" w:styleId="204">
    <w:name w:val="正文文本 Char2"/>
    <w:semiHidden/>
    <w:qFormat/>
    <w:uiPriority w:val="99"/>
    <w:rPr>
      <w:kern w:val="2"/>
      <w:sz w:val="24"/>
    </w:rPr>
  </w:style>
  <w:style w:type="character" w:customStyle="1" w:styleId="205">
    <w:name w:val="明显强调11"/>
    <w:qFormat/>
    <w:uiPriority w:val="99"/>
    <w:rPr>
      <w:b/>
      <w:i/>
      <w:color w:val="4F81BD"/>
    </w:rPr>
  </w:style>
  <w:style w:type="character" w:customStyle="1" w:styleId="206">
    <w:name w:val="书籍标题11"/>
    <w:qFormat/>
    <w:uiPriority w:val="99"/>
    <w:rPr>
      <w:b/>
      <w:smallCaps/>
      <w:spacing w:val="5"/>
    </w:rPr>
  </w:style>
  <w:style w:type="character" w:customStyle="1" w:styleId="207">
    <w:name w:val="标题 2 Char_0"/>
    <w:link w:val="208"/>
    <w:qFormat/>
    <w:locked/>
    <w:uiPriority w:val="99"/>
    <w:rPr>
      <w:rFonts w:ascii="Cambria" w:hAnsi="Cambria"/>
      <w:b/>
      <w:kern w:val="2"/>
      <w:sz w:val="32"/>
    </w:rPr>
  </w:style>
  <w:style w:type="paragraph" w:customStyle="1" w:styleId="208">
    <w:name w:val="标题 2_0"/>
    <w:basedOn w:val="169"/>
    <w:next w:val="169"/>
    <w:link w:val="207"/>
    <w:qFormat/>
    <w:uiPriority w:val="99"/>
    <w:pPr>
      <w:keepNext/>
      <w:keepLines/>
      <w:spacing w:before="260" w:after="260" w:line="416" w:lineRule="auto"/>
      <w:outlineLvl w:val="1"/>
    </w:pPr>
    <w:rPr>
      <w:rFonts w:ascii="Cambria" w:hAnsi="Cambria" w:cs="Times New Roman"/>
      <w:b/>
      <w:bCs/>
      <w:sz w:val="32"/>
      <w:szCs w:val="32"/>
    </w:rPr>
  </w:style>
  <w:style w:type="character" w:customStyle="1" w:styleId="209">
    <w:name w:val="不明显强调11"/>
    <w:qFormat/>
    <w:uiPriority w:val="99"/>
    <w:rPr>
      <w:i/>
      <w:color w:val="808080"/>
    </w:rPr>
  </w:style>
  <w:style w:type="character" w:customStyle="1" w:styleId="210">
    <w:name w:val="批注框文本 Char2"/>
    <w:semiHidden/>
    <w:qFormat/>
    <w:uiPriority w:val="99"/>
    <w:rPr>
      <w:kern w:val="2"/>
      <w:sz w:val="18"/>
    </w:rPr>
  </w:style>
  <w:style w:type="character" w:customStyle="1" w:styleId="211">
    <w:name w:val="副标题 Char1"/>
    <w:qFormat/>
    <w:uiPriority w:val="99"/>
    <w:rPr>
      <w:rFonts w:ascii="Cambria" w:hAnsi="Cambria"/>
      <w:b/>
      <w:kern w:val="28"/>
      <w:sz w:val="32"/>
    </w:rPr>
  </w:style>
  <w:style w:type="character" w:customStyle="1" w:styleId="212">
    <w:name w:val="Char Char17"/>
    <w:qFormat/>
    <w:uiPriority w:val="99"/>
    <w:rPr>
      <w:rFonts w:eastAsia="黑体"/>
      <w:b/>
      <w:kern w:val="44"/>
      <w:sz w:val="44"/>
    </w:rPr>
  </w:style>
  <w:style w:type="paragraph" w:customStyle="1" w:styleId="213">
    <w:name w:val="正文1"/>
    <w:qFormat/>
    <w:uiPriority w:val="99"/>
    <w:pPr>
      <w:spacing w:line="384" w:lineRule="auto"/>
    </w:pPr>
    <w:rPr>
      <w:rFonts w:ascii="宋体" w:hAnsi="宋体" w:eastAsia="宋体" w:cs="Times New Roman"/>
      <w:sz w:val="24"/>
      <w:szCs w:val="24"/>
      <w:lang w:val="en-US" w:eastAsia="zh-CN" w:bidi="ar-SA"/>
    </w:rPr>
  </w:style>
  <w:style w:type="paragraph" w:customStyle="1" w:styleId="214">
    <w:name w:val="TOC 标题11"/>
    <w:basedOn w:val="3"/>
    <w:next w:val="1"/>
    <w:qFormat/>
    <w:uiPriority w:val="99"/>
    <w:pPr>
      <w:spacing w:before="340" w:after="330" w:line="576" w:lineRule="auto"/>
      <w:outlineLvl w:val="9"/>
    </w:pPr>
    <w:rPr>
      <w:rFonts w:ascii="Calibri" w:hAnsi="Calibri" w:eastAsia="宋体" w:cs="Calibri"/>
      <w:sz w:val="44"/>
    </w:rPr>
  </w:style>
  <w:style w:type="paragraph" w:customStyle="1" w:styleId="215">
    <w:name w:val="修订11"/>
    <w:qFormat/>
    <w:uiPriority w:val="99"/>
    <w:rPr>
      <w:rFonts w:ascii="Times New Roman" w:hAnsi="Times New Roman" w:eastAsia="宋体" w:cs="Times New Roman"/>
      <w:kern w:val="2"/>
      <w:sz w:val="21"/>
      <w:szCs w:val="21"/>
      <w:lang w:val="en-US" w:eastAsia="zh-CN" w:bidi="ar-SA"/>
    </w:rPr>
  </w:style>
  <w:style w:type="paragraph" w:customStyle="1" w:styleId="216">
    <w:name w:val="MsoNormal"/>
    <w:basedOn w:val="213"/>
    <w:qFormat/>
    <w:uiPriority w:val="99"/>
    <w:rPr>
      <w:rFonts w:ascii="Calibri" w:hAnsi="Calibri"/>
      <w:sz w:val="21"/>
    </w:rPr>
  </w:style>
  <w:style w:type="paragraph" w:customStyle="1" w:styleId="217">
    <w:name w:val="列出段落2"/>
    <w:basedOn w:val="1"/>
    <w:qFormat/>
    <w:uiPriority w:val="99"/>
    <w:pPr>
      <w:ind w:firstLine="420" w:firstLineChars="200"/>
    </w:pPr>
    <w:rPr>
      <w:rFonts w:ascii="Calibri" w:hAnsi="Calibri" w:cs="Calibri"/>
      <w:kern w:val="2"/>
    </w:rPr>
  </w:style>
  <w:style w:type="paragraph" w:customStyle="1" w:styleId="218">
    <w:name w:val="正文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Char2"/>
    <w:basedOn w:val="1"/>
    <w:qFormat/>
    <w:uiPriority w:val="99"/>
    <w:rPr>
      <w:rFonts w:ascii="Tahoma" w:hAnsi="Tahoma" w:cs="Times New Roman"/>
      <w:kern w:val="2"/>
      <w:sz w:val="24"/>
      <w:szCs w:val="20"/>
    </w:rPr>
  </w:style>
  <w:style w:type="paragraph" w:customStyle="1" w:styleId="220">
    <w:name w:val="引用1"/>
    <w:basedOn w:val="1"/>
    <w:next w:val="1"/>
    <w:qFormat/>
    <w:uiPriority w:val="99"/>
    <w:rPr>
      <w:rFonts w:ascii="Times New Roman" w:cs="Times New Roman"/>
      <w:i/>
      <w:iCs/>
      <w:color w:val="000000"/>
      <w:sz w:val="20"/>
      <w:szCs w:val="20"/>
    </w:rPr>
  </w:style>
  <w:style w:type="paragraph" w:customStyle="1" w:styleId="221">
    <w:name w:val="默认段落字体 Char"/>
    <w:basedOn w:val="1"/>
    <w:qFormat/>
    <w:uiPriority w:val="99"/>
    <w:rPr>
      <w:rFonts w:ascii="Times New Roman" w:cs="Times New Roman"/>
      <w:kern w:val="2"/>
    </w:rPr>
  </w:style>
  <w:style w:type="paragraph" w:customStyle="1" w:styleId="222">
    <w:name w:val="明显引用1"/>
    <w:basedOn w:val="1"/>
    <w:next w:val="1"/>
    <w:qFormat/>
    <w:uiPriority w:val="99"/>
    <w:pPr>
      <w:pBdr>
        <w:bottom w:val="single" w:color="4F81BD" w:sz="4" w:space="4"/>
      </w:pBdr>
      <w:spacing w:before="200" w:after="280"/>
      <w:ind w:left="936" w:right="936"/>
    </w:pPr>
    <w:rPr>
      <w:rFonts w:ascii="Times New Roman" w:cs="Times New Roman"/>
      <w:b/>
      <w:bCs/>
      <w:i/>
      <w:iCs/>
      <w:color w:val="4F81BD"/>
      <w:sz w:val="20"/>
      <w:szCs w:val="20"/>
    </w:rPr>
  </w:style>
  <w:style w:type="paragraph" w:customStyle="1" w:styleId="223">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24">
    <w:name w:val="正文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Blockquote"/>
    <w:basedOn w:val="224"/>
    <w:qFormat/>
    <w:uiPriority w:val="99"/>
    <w:pPr>
      <w:autoSpaceDE w:val="0"/>
      <w:autoSpaceDN w:val="0"/>
      <w:adjustRightInd w:val="0"/>
      <w:spacing w:before="100" w:after="100"/>
      <w:ind w:left="360" w:right="360"/>
      <w:jc w:val="left"/>
    </w:pPr>
    <w:rPr>
      <w:kern w:val="0"/>
      <w:sz w:val="24"/>
      <w:szCs w:val="20"/>
    </w:rPr>
  </w:style>
  <w:style w:type="paragraph" w:customStyle="1" w:styleId="226">
    <w:name w:val="Normal_0"/>
    <w:qFormat/>
    <w:uiPriority w:val="99"/>
    <w:pPr>
      <w:widowControl w:val="0"/>
      <w:jc w:val="both"/>
    </w:pPr>
    <w:rPr>
      <w:rFonts w:ascii="Times New Roman" w:hAnsi="Times New Roman" w:eastAsia="宋体" w:cs="Times New Roman"/>
      <w:lang w:val="en-US" w:eastAsia="zh-CN" w:bidi="ar-SA"/>
    </w:rPr>
  </w:style>
  <w:style w:type="paragraph" w:customStyle="1" w:styleId="227">
    <w:name w:val="Char Char Char Char Char Char Char1"/>
    <w:basedOn w:val="1"/>
    <w:qFormat/>
    <w:uiPriority w:val="99"/>
    <w:rPr>
      <w:rFonts w:ascii="Times New Roman" w:cs="Times New Roman"/>
      <w:kern w:val="2"/>
      <w:szCs w:val="24"/>
    </w:rPr>
  </w:style>
  <w:style w:type="paragraph" w:customStyle="1" w:styleId="228">
    <w:name w:val="_Style 202"/>
    <w:qFormat/>
    <w:uiPriority w:val="99"/>
    <w:rPr>
      <w:rFonts w:ascii="宋体" w:hAnsi="Times New Roman" w:eastAsia="宋体" w:cs="宋体"/>
      <w:sz w:val="21"/>
      <w:szCs w:val="21"/>
      <w:lang w:val="en-US" w:eastAsia="zh-CN" w:bidi="ar-SA"/>
    </w:rPr>
  </w:style>
  <w:style w:type="character" w:customStyle="1" w:styleId="229">
    <w:name w:val="hover1"/>
    <w:qFormat/>
    <w:uiPriority w:val="99"/>
    <w:rPr>
      <w:rFonts w:cs="Times New Roman"/>
      <w:shd w:val="clear" w:color="auto" w:fill="9370DB"/>
    </w:rPr>
  </w:style>
  <w:style w:type="paragraph" w:customStyle="1" w:styleId="230">
    <w:name w:val="_Style 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_Style 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正文2"/>
    <w:qFormat/>
    <w:uiPriority w:val="99"/>
    <w:pPr>
      <w:spacing w:line="384" w:lineRule="auto"/>
    </w:pPr>
    <w:rPr>
      <w:rFonts w:ascii="宋体" w:hAnsi="宋体" w:eastAsia="宋体" w:cs="Times New Roman"/>
      <w:sz w:val="24"/>
      <w:szCs w:val="24"/>
      <w:lang w:val="en-US" w:eastAsia="zh-CN" w:bidi="ar-SA"/>
    </w:rPr>
  </w:style>
  <w:style w:type="character" w:customStyle="1" w:styleId="233">
    <w:name w:val="style2"/>
    <w:qFormat/>
    <w:uiPriority w:val="99"/>
    <w:rPr>
      <w:rFonts w:cs="Times New Roman"/>
    </w:rPr>
  </w:style>
  <w:style w:type="character" w:customStyle="1" w:styleId="234">
    <w:name w:val="Char Char"/>
    <w:qFormat/>
    <w:uiPriority w:val="99"/>
    <w:rPr>
      <w:rFonts w:ascii="Arial" w:hAnsi="Arial" w:eastAsia="黑体"/>
      <w:b/>
      <w:kern w:val="2"/>
      <w:sz w:val="32"/>
      <w:lang w:val="en-US" w:eastAsia="zh-CN"/>
    </w:rPr>
  </w:style>
  <w:style w:type="character" w:customStyle="1" w:styleId="235">
    <w:name w:val="font161"/>
    <w:qFormat/>
    <w:uiPriority w:val="99"/>
    <w:rPr>
      <w:b/>
      <w:sz w:val="32"/>
    </w:rPr>
  </w:style>
  <w:style w:type="character" w:customStyle="1" w:styleId="236">
    <w:name w:val="Char Char2"/>
    <w:qFormat/>
    <w:uiPriority w:val="99"/>
    <w:rPr>
      <w:rFonts w:ascii="宋体" w:hAnsi="Courier New" w:eastAsia="宋体"/>
      <w:color w:val="000000"/>
      <w:kern w:val="2"/>
      <w:sz w:val="21"/>
      <w:lang w:val="en-US" w:eastAsia="zh-CN"/>
    </w:rPr>
  </w:style>
  <w:style w:type="character" w:customStyle="1" w:styleId="237">
    <w:name w:val="正文文本缩进 3 Char1"/>
    <w:semiHidden/>
    <w:qFormat/>
    <w:uiPriority w:val="99"/>
    <w:rPr>
      <w:rFonts w:cs="Times New Roman"/>
      <w:sz w:val="16"/>
      <w:szCs w:val="16"/>
    </w:rPr>
  </w:style>
  <w:style w:type="character" w:customStyle="1" w:styleId="238">
    <w:name w:val="正文文本 3 Char1"/>
    <w:semiHidden/>
    <w:qFormat/>
    <w:uiPriority w:val="99"/>
    <w:rPr>
      <w:rFonts w:cs="Times New Roman"/>
      <w:sz w:val="16"/>
      <w:szCs w:val="16"/>
    </w:rPr>
  </w:style>
  <w:style w:type="paragraph" w:customStyle="1" w:styleId="239">
    <w:name w:val="Table Paragraph"/>
    <w:basedOn w:val="1"/>
    <w:qFormat/>
    <w:uiPriority w:val="99"/>
    <w:pPr>
      <w:autoSpaceDE w:val="0"/>
      <w:autoSpaceDN w:val="0"/>
      <w:adjustRightInd w:val="0"/>
      <w:jc w:val="left"/>
    </w:pPr>
    <w:rPr>
      <w:rFonts w:ascii="Times New Roman" w:cs="Times New Roman"/>
      <w:sz w:val="24"/>
      <w:szCs w:val="24"/>
    </w:rPr>
  </w:style>
  <w:style w:type="character" w:customStyle="1" w:styleId="240">
    <w:name w:val="正文文本 2 Char1"/>
    <w:semiHidden/>
    <w:qFormat/>
    <w:uiPriority w:val="99"/>
    <w:rPr>
      <w:rFonts w:cs="Times New Roman"/>
    </w:rPr>
  </w:style>
  <w:style w:type="paragraph" w:customStyle="1" w:styleId="241">
    <w:name w:val="表格文字居中"/>
    <w:basedOn w:val="1"/>
    <w:next w:val="1"/>
    <w:qFormat/>
    <w:uiPriority w:val="99"/>
    <w:pPr>
      <w:tabs>
        <w:tab w:val="left" w:pos="720"/>
        <w:tab w:val="left" w:pos="900"/>
      </w:tabs>
      <w:adjustRightInd w:val="0"/>
      <w:snapToGrid w:val="0"/>
      <w:spacing w:beforeLines="20" w:afterLines="20" w:line="360" w:lineRule="auto"/>
      <w:jc w:val="center"/>
    </w:pPr>
    <w:rPr>
      <w:rFonts w:hAnsi="Arial" w:cs="Times New Roman"/>
      <w:sz w:val="18"/>
      <w:szCs w:val="20"/>
    </w:rPr>
  </w:style>
  <w:style w:type="paragraph" w:customStyle="1" w:styleId="242">
    <w:name w:val="样式 样式 样式 样式 标题 2 + 宋体 五号 非加粗 黑色 + 段前: 6 磅 段后: 0 磅 行距: 单倍行距 + 段前:..."/>
    <w:basedOn w:val="1"/>
    <w:qFormat/>
    <w:uiPriority w:val="99"/>
    <w:pPr>
      <w:keepNext/>
      <w:keepLines/>
      <w:adjustRightInd w:val="0"/>
      <w:spacing w:before="240"/>
      <w:jc w:val="left"/>
      <w:outlineLvl w:val="1"/>
    </w:pPr>
    <w:rPr>
      <w:rFonts w:hAnsi="宋体" w:cs="Times New Roman"/>
      <w:b/>
      <w:bCs/>
      <w:color w:val="000000"/>
      <w:szCs w:val="20"/>
    </w:rPr>
  </w:style>
  <w:style w:type="paragraph" w:customStyle="1" w:styleId="243">
    <w:name w:val="Char Char Char"/>
    <w:basedOn w:val="1"/>
    <w:qFormat/>
    <w:uiPriority w:val="99"/>
    <w:rPr>
      <w:rFonts w:ascii="Tahoma" w:hAnsi="Tahoma" w:cs="Times New Roman"/>
      <w:kern w:val="2"/>
      <w:sz w:val="24"/>
      <w:szCs w:val="20"/>
    </w:rPr>
  </w:style>
  <w:style w:type="paragraph" w:customStyle="1" w:styleId="244">
    <w:name w:val="样式 标题 1 + 黑体 三号 非加粗 居中 段前: 6 磅 段后: 6 磅 行距: 固定值 20 磅"/>
    <w:basedOn w:val="3"/>
    <w:qFormat/>
    <w:uiPriority w:val="99"/>
    <w:pPr>
      <w:spacing w:before="120" w:after="120" w:line="400" w:lineRule="exact"/>
      <w:jc w:val="center"/>
    </w:pPr>
    <w:rPr>
      <w:rFonts w:ascii="黑体" w:hAnsi="黑体"/>
      <w:b w:val="0"/>
      <w:bCs w:val="0"/>
      <w:szCs w:val="20"/>
    </w:rPr>
  </w:style>
  <w:style w:type="paragraph" w:customStyle="1" w:styleId="245">
    <w:name w:val="xl24"/>
    <w:basedOn w:val="1"/>
    <w:qFormat/>
    <w:uiPriority w:val="99"/>
    <w:pPr>
      <w:widowControl/>
      <w:spacing w:before="100" w:beforeAutospacing="1" w:after="100" w:afterAutospacing="1"/>
      <w:jc w:val="left"/>
    </w:pPr>
    <w:rPr>
      <w:rFonts w:hAnsi="宋体" w:cs="Times New Roman"/>
      <w:sz w:val="22"/>
      <w:szCs w:val="22"/>
    </w:rPr>
  </w:style>
  <w:style w:type="paragraph" w:customStyle="1" w:styleId="246">
    <w:name w:val="xl36"/>
    <w:basedOn w:val="1"/>
    <w:qFormat/>
    <w:uiPriority w:val="99"/>
    <w:pPr>
      <w:widowControl/>
      <w:pBdr>
        <w:top w:val="single" w:color="auto" w:sz="4" w:space="0"/>
        <w:bottom w:val="single" w:color="auto" w:sz="4" w:space="0"/>
      </w:pBdr>
      <w:spacing w:before="100" w:beforeAutospacing="1" w:after="100" w:afterAutospacing="1"/>
      <w:jc w:val="center"/>
    </w:pPr>
    <w:rPr>
      <w:rFonts w:hAnsi="宋体" w:cs="Times New Roman"/>
      <w:sz w:val="20"/>
      <w:szCs w:val="20"/>
    </w:rPr>
  </w:style>
  <w:style w:type="paragraph" w:customStyle="1" w:styleId="247">
    <w:name w:val="3"/>
    <w:basedOn w:val="1"/>
    <w:next w:val="24"/>
    <w:qFormat/>
    <w:uiPriority w:val="99"/>
    <w:rPr>
      <w:rFonts w:hAnsi="Courier New" w:cs="Times New Roman"/>
      <w:kern w:val="2"/>
      <w:szCs w:val="20"/>
    </w:rPr>
  </w:style>
  <w:style w:type="paragraph" w:customStyle="1" w:styleId="248">
    <w:name w:val="表格"/>
    <w:basedOn w:val="1"/>
    <w:qFormat/>
    <w:uiPriority w:val="99"/>
    <w:pPr>
      <w:jc w:val="center"/>
      <w:textAlignment w:val="center"/>
    </w:pPr>
    <w:rPr>
      <w:rFonts w:ascii="华文细黑" w:hAnsi="华文细黑" w:cs="Times New Roman"/>
      <w:szCs w:val="20"/>
    </w:rPr>
  </w:style>
  <w:style w:type="paragraph" w:customStyle="1" w:styleId="249">
    <w:name w:val="Char Char Char Char Char Char Char Char Char Char Char Char Char Char Char Char"/>
    <w:basedOn w:val="1"/>
    <w:qFormat/>
    <w:uiPriority w:val="99"/>
    <w:pPr>
      <w:tabs>
        <w:tab w:val="left" w:pos="360"/>
      </w:tabs>
      <w:spacing w:line="360" w:lineRule="auto"/>
      <w:ind w:left="482" w:firstLine="200" w:firstLineChars="200"/>
    </w:pPr>
    <w:rPr>
      <w:rFonts w:cs="Times New Roman"/>
      <w:kern w:val="2"/>
      <w:sz w:val="24"/>
      <w:szCs w:val="20"/>
    </w:rPr>
  </w:style>
  <w:style w:type="paragraph" w:customStyle="1" w:styleId="250">
    <w:name w:val="6'"/>
    <w:basedOn w:val="1"/>
    <w:qFormat/>
    <w:uiPriority w:val="99"/>
    <w:pPr>
      <w:autoSpaceDE w:val="0"/>
      <w:autoSpaceDN w:val="0"/>
      <w:adjustRightInd w:val="0"/>
      <w:snapToGrid w:val="0"/>
      <w:spacing w:line="320" w:lineRule="exact"/>
      <w:jc w:val="center"/>
      <w:textAlignment w:val="baseline"/>
    </w:pPr>
    <w:rPr>
      <w:rFonts w:ascii="Times New Roman" w:cs="Times New Roman"/>
      <w:spacing w:val="20"/>
      <w:kern w:val="28"/>
      <w:szCs w:val="20"/>
    </w:rPr>
  </w:style>
  <w:style w:type="paragraph" w:customStyle="1" w:styleId="251">
    <w:name w:val="5 Char Char Char Char Char Char Char Char Char Char"/>
    <w:basedOn w:val="1"/>
    <w:qFormat/>
    <w:uiPriority w:val="99"/>
    <w:rPr>
      <w:rFonts w:ascii="Times New Roman" w:cs="Times New Roman"/>
      <w:kern w:val="2"/>
      <w:szCs w:val="24"/>
    </w:rPr>
  </w:style>
  <w:style w:type="paragraph" w:customStyle="1" w:styleId="252">
    <w:name w:val="合同正文"/>
    <w:basedOn w:val="1"/>
    <w:qFormat/>
    <w:uiPriority w:val="99"/>
    <w:pPr>
      <w:adjustRightInd w:val="0"/>
      <w:spacing w:line="580" w:lineRule="exact"/>
    </w:pPr>
    <w:rPr>
      <w:rFonts w:ascii="仿宋_GB2312" w:eastAsia="仿宋_GB2312" w:cs="Times New Roman"/>
      <w:b/>
      <w:kern w:val="2"/>
      <w:sz w:val="24"/>
      <w:szCs w:val="20"/>
    </w:rPr>
  </w:style>
  <w:style w:type="paragraph" w:customStyle="1" w:styleId="253">
    <w:name w:val="2"/>
    <w:basedOn w:val="1"/>
    <w:next w:val="24"/>
    <w:qFormat/>
    <w:uiPriority w:val="99"/>
    <w:rPr>
      <w:rFonts w:hAnsi="Courier New" w:cs="Times New Roman"/>
      <w:kern w:val="2"/>
      <w:szCs w:val="20"/>
    </w:rPr>
  </w:style>
  <w:style w:type="paragraph" w:customStyle="1" w:styleId="254">
    <w:name w:val="表格文字"/>
    <w:basedOn w:val="1"/>
    <w:qFormat/>
    <w:uiPriority w:val="99"/>
    <w:pPr>
      <w:adjustRightInd w:val="0"/>
      <w:spacing w:line="420" w:lineRule="atLeast"/>
      <w:jc w:val="left"/>
      <w:textAlignment w:val="baseline"/>
    </w:pPr>
    <w:rPr>
      <w:rFonts w:ascii="Times New Roman" w:cs="Times New Roman"/>
      <w:szCs w:val="20"/>
    </w:rPr>
  </w:style>
  <w:style w:type="paragraph" w:customStyle="1" w:styleId="255">
    <w:name w:val="列出段落3"/>
    <w:basedOn w:val="1"/>
    <w:qFormat/>
    <w:uiPriority w:val="99"/>
    <w:pPr>
      <w:ind w:firstLine="420" w:firstLineChars="200"/>
    </w:pPr>
    <w:rPr>
      <w:rFonts w:ascii="Times New Roman" w:cs="Times New Roman"/>
      <w:kern w:val="2"/>
      <w:szCs w:val="24"/>
    </w:rPr>
  </w:style>
  <w:style w:type="paragraph" w:customStyle="1" w:styleId="256">
    <w:name w:val="Char Char Char Char Char Char Char Char Char Char"/>
    <w:basedOn w:val="1"/>
    <w:qFormat/>
    <w:uiPriority w:val="99"/>
    <w:pPr>
      <w:widowControl/>
      <w:spacing w:after="160" w:line="240" w:lineRule="exact"/>
      <w:jc w:val="left"/>
    </w:pPr>
    <w:rPr>
      <w:rFonts w:ascii="Verdana" w:hAnsi="Verdana" w:cs="Times New Roman"/>
      <w:szCs w:val="20"/>
      <w:lang w:eastAsia="en-US"/>
    </w:rPr>
  </w:style>
  <w:style w:type="table" w:customStyle="1" w:styleId="257">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8">
    <w:name w:val="网格型1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59">
    <w:name w:val="列出段落4"/>
    <w:basedOn w:val="1"/>
    <w:qFormat/>
    <w:uiPriority w:val="99"/>
    <w:pPr>
      <w:ind w:firstLine="420" w:firstLineChars="200"/>
    </w:pPr>
    <w:rPr>
      <w:rFonts w:ascii="Times New Roman" w:cs="Times New Roman"/>
      <w:kern w:val="2"/>
      <w:szCs w:val="24"/>
    </w:rPr>
  </w:style>
  <w:style w:type="character" w:customStyle="1" w:styleId="260">
    <w:name w:val="Body text|1_"/>
    <w:link w:val="261"/>
    <w:qFormat/>
    <w:locked/>
    <w:uiPriority w:val="99"/>
    <w:rPr>
      <w:rFonts w:ascii="宋体" w:hAnsi="宋体" w:eastAsia="宋体" w:cs="Times New Roman"/>
      <w:sz w:val="20"/>
      <w:szCs w:val="20"/>
      <w:lang w:val="zh-CN"/>
    </w:rPr>
  </w:style>
  <w:style w:type="paragraph" w:customStyle="1" w:styleId="261">
    <w:name w:val="Body text|1"/>
    <w:basedOn w:val="1"/>
    <w:link w:val="260"/>
    <w:qFormat/>
    <w:uiPriority w:val="99"/>
    <w:pPr>
      <w:spacing w:line="360" w:lineRule="auto"/>
      <w:ind w:firstLine="400"/>
      <w:jc w:val="left"/>
    </w:pPr>
    <w:rPr>
      <w:rFonts w:hAnsi="宋体"/>
      <w:sz w:val="20"/>
      <w:szCs w:val="20"/>
      <w:lang w:val="zh-CN"/>
    </w:rPr>
  </w:style>
  <w:style w:type="character" w:customStyle="1" w:styleId="262">
    <w:name w:val="Other|1_"/>
    <w:link w:val="263"/>
    <w:qFormat/>
    <w:locked/>
    <w:uiPriority w:val="99"/>
    <w:rPr>
      <w:rFonts w:ascii="宋体" w:hAnsi="宋体" w:eastAsia="宋体" w:cs="Times New Roman"/>
      <w:sz w:val="20"/>
      <w:szCs w:val="20"/>
      <w:lang w:val="zh-CN"/>
    </w:rPr>
  </w:style>
  <w:style w:type="paragraph" w:customStyle="1" w:styleId="263">
    <w:name w:val="Other|1"/>
    <w:basedOn w:val="1"/>
    <w:link w:val="262"/>
    <w:qFormat/>
    <w:uiPriority w:val="99"/>
    <w:pPr>
      <w:spacing w:line="360" w:lineRule="auto"/>
      <w:ind w:firstLine="400"/>
      <w:jc w:val="left"/>
    </w:pPr>
    <w:rPr>
      <w:rFonts w:hAnsi="宋体"/>
      <w:sz w:val="20"/>
      <w:szCs w:val="20"/>
      <w:lang w:val="zh-CN"/>
    </w:rPr>
  </w:style>
  <w:style w:type="character" w:customStyle="1" w:styleId="264">
    <w:name w:val="Header or footer|1_"/>
    <w:link w:val="265"/>
    <w:qFormat/>
    <w:locked/>
    <w:uiPriority w:val="99"/>
    <w:rPr>
      <w:rFonts w:cs="Times New Roman"/>
      <w:sz w:val="17"/>
      <w:szCs w:val="17"/>
      <w:lang w:val="zh-CN"/>
    </w:rPr>
  </w:style>
  <w:style w:type="paragraph" w:customStyle="1" w:styleId="265">
    <w:name w:val="Header or footer|1"/>
    <w:basedOn w:val="1"/>
    <w:link w:val="264"/>
    <w:qFormat/>
    <w:uiPriority w:val="99"/>
    <w:pPr>
      <w:jc w:val="center"/>
    </w:pPr>
    <w:rPr>
      <w:sz w:val="17"/>
      <w:szCs w:val="17"/>
      <w:lang w:val="zh-CN"/>
    </w:rPr>
  </w:style>
  <w:style w:type="character" w:customStyle="1" w:styleId="266">
    <w:name w:val="4 Char Char"/>
    <w:link w:val="267"/>
    <w:qFormat/>
    <w:locked/>
    <w:uiPriority w:val="99"/>
    <w:rPr>
      <w:rFonts w:ascii="宋体" w:hAnsi="Courier New"/>
      <w:kern w:val="2"/>
    </w:rPr>
  </w:style>
  <w:style w:type="paragraph" w:customStyle="1" w:styleId="267">
    <w:name w:val="4"/>
    <w:basedOn w:val="1"/>
    <w:next w:val="24"/>
    <w:link w:val="266"/>
    <w:qFormat/>
    <w:uiPriority w:val="99"/>
    <w:rPr>
      <w:rFonts w:hAnsi="Courier New" w:cs="Times New Roman"/>
      <w:kern w:val="2"/>
      <w:sz w:val="20"/>
      <w:szCs w:val="20"/>
    </w:rPr>
  </w:style>
  <w:style w:type="character" w:customStyle="1" w:styleId="268">
    <w:name w:val="Char Char61"/>
    <w:qFormat/>
    <w:uiPriority w:val="99"/>
    <w:rPr>
      <w:rFonts w:ascii="宋体" w:hAnsi="Courier New"/>
      <w:kern w:val="2"/>
      <w:sz w:val="21"/>
    </w:rPr>
  </w:style>
  <w:style w:type="character" w:customStyle="1" w:styleId="269">
    <w:name w:val="正文缩进 Char"/>
    <w:link w:val="13"/>
    <w:qFormat/>
    <w:locked/>
    <w:uiPriority w:val="99"/>
    <w:rPr>
      <w:sz w:val="20"/>
    </w:rPr>
  </w:style>
  <w:style w:type="character" w:customStyle="1" w:styleId="270">
    <w:name w:val="Char Char1"/>
    <w:qFormat/>
    <w:uiPriority w:val="99"/>
    <w:rPr>
      <w:rFonts w:ascii="宋体" w:hAnsi="Courier New" w:eastAsia="华文宋体"/>
      <w:kern w:val="2"/>
      <w:sz w:val="28"/>
      <w:lang w:val="en-US" w:eastAsia="zh-CN"/>
    </w:rPr>
  </w:style>
  <w:style w:type="character" w:customStyle="1" w:styleId="271">
    <w:name w:val="Char Char Char1"/>
    <w:qFormat/>
    <w:uiPriority w:val="99"/>
    <w:rPr>
      <w:rFonts w:ascii="宋体" w:hAnsi="Courier New" w:eastAsia="宋体"/>
      <w:kern w:val="2"/>
      <w:sz w:val="21"/>
      <w:lang w:val="en-US" w:eastAsia="zh-CN"/>
    </w:rPr>
  </w:style>
  <w:style w:type="character" w:customStyle="1" w:styleId="272">
    <w:name w:val="105v1"/>
    <w:qFormat/>
    <w:uiPriority w:val="99"/>
    <w:rPr>
      <w:rFonts w:ascii="??" w:hAnsi="??"/>
      <w:sz w:val="21"/>
    </w:rPr>
  </w:style>
  <w:style w:type="character" w:customStyle="1" w:styleId="273">
    <w:name w:val="f141"/>
    <w:qFormat/>
    <w:uiPriority w:val="99"/>
    <w:rPr>
      <w:sz w:val="21"/>
    </w:rPr>
  </w:style>
  <w:style w:type="character" w:customStyle="1" w:styleId="274">
    <w:name w:val="062"/>
    <w:qFormat/>
    <w:uiPriority w:val="99"/>
    <w:rPr>
      <w:rFonts w:ascii="宋体" w:eastAsia="宋体"/>
      <w:b/>
      <w:sz w:val="32"/>
    </w:rPr>
  </w:style>
  <w:style w:type="character" w:customStyle="1" w:styleId="275">
    <w:name w:val="ask-title"/>
    <w:qFormat/>
    <w:uiPriority w:val="99"/>
    <w:rPr>
      <w:rFonts w:cs="Times New Roman"/>
    </w:rPr>
  </w:style>
  <w:style w:type="paragraph" w:customStyle="1" w:styleId="276">
    <w:name w:val="样式3"/>
    <w:basedOn w:val="1"/>
    <w:qFormat/>
    <w:uiPriority w:val="99"/>
    <w:pPr>
      <w:snapToGrid w:val="0"/>
      <w:spacing w:line="360" w:lineRule="auto"/>
      <w:jc w:val="center"/>
    </w:pPr>
    <w:rPr>
      <w:rFonts w:ascii="方正小标宋简体" w:eastAsia="方正小标宋简体" w:cs="Times New Roman"/>
      <w:kern w:val="2"/>
      <w:sz w:val="44"/>
      <w:szCs w:val="44"/>
    </w:rPr>
  </w:style>
  <w:style w:type="paragraph" w:customStyle="1" w:styleId="277">
    <w:name w:val="font7"/>
    <w:basedOn w:val="1"/>
    <w:qFormat/>
    <w:uiPriority w:val="99"/>
    <w:pPr>
      <w:widowControl/>
      <w:spacing w:before="100" w:beforeAutospacing="1" w:after="100" w:afterAutospacing="1"/>
      <w:jc w:val="left"/>
    </w:pPr>
    <w:rPr>
      <w:rFonts w:ascii="Times New Roman" w:cs="Times New Roman"/>
      <w:sz w:val="24"/>
      <w:szCs w:val="24"/>
    </w:rPr>
  </w:style>
  <w:style w:type="paragraph" w:customStyle="1" w:styleId="278">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279">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280">
    <w:name w:val="Char Char Char Char Char Char1 Char"/>
    <w:basedOn w:val="15"/>
    <w:qFormat/>
    <w:uiPriority w:val="99"/>
    <w:rPr>
      <w:rFonts w:ascii="Verdana" w:hAnsi="Verdana"/>
      <w:sz w:val="20"/>
      <w:szCs w:val="20"/>
      <w:shd w:val="clear" w:color="auto" w:fill="auto"/>
      <w:lang w:eastAsia="en-US"/>
    </w:rPr>
  </w:style>
  <w:style w:type="paragraph" w:customStyle="1" w:styleId="281">
    <w:name w:val="font14"/>
    <w:basedOn w:val="1"/>
    <w:qFormat/>
    <w:uiPriority w:val="99"/>
    <w:pPr>
      <w:widowControl/>
      <w:spacing w:before="100" w:beforeAutospacing="1" w:after="100" w:afterAutospacing="1"/>
      <w:jc w:val="left"/>
    </w:pPr>
    <w:rPr>
      <w:rFonts w:hAnsi="宋体" w:cs="Times New Roman"/>
      <w:color w:val="000000"/>
      <w:sz w:val="18"/>
      <w:szCs w:val="18"/>
    </w:rPr>
  </w:style>
  <w:style w:type="paragraph" w:customStyle="1" w:styleId="282">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283">
    <w:name w:val="_Style 3"/>
    <w:basedOn w:val="1"/>
    <w:qFormat/>
    <w:uiPriority w:val="99"/>
    <w:rPr>
      <w:rFonts w:ascii="Times New Roman" w:cs="Times New Roman"/>
      <w:kern w:val="2"/>
      <w:szCs w:val="24"/>
    </w:rPr>
  </w:style>
  <w:style w:type="paragraph" w:customStyle="1" w:styleId="284">
    <w:name w:val="font9"/>
    <w:basedOn w:val="1"/>
    <w:qFormat/>
    <w:uiPriority w:val="99"/>
    <w:pPr>
      <w:widowControl/>
      <w:spacing w:before="100" w:beforeAutospacing="1" w:after="100" w:afterAutospacing="1"/>
      <w:jc w:val="left"/>
    </w:pPr>
    <w:rPr>
      <w:rFonts w:hAnsi="宋体" w:cs="Times New Roman"/>
    </w:rPr>
  </w:style>
  <w:style w:type="paragraph" w:customStyle="1" w:styleId="285">
    <w:name w:val="_Style 42"/>
    <w:basedOn w:val="1"/>
    <w:next w:val="24"/>
    <w:qFormat/>
    <w:uiPriority w:val="99"/>
    <w:rPr>
      <w:rFonts w:hAnsi="Courier New" w:cs="Times New Roman"/>
      <w:kern w:val="2"/>
      <w:szCs w:val="20"/>
    </w:rPr>
  </w:style>
  <w:style w:type="paragraph" w:customStyle="1" w:styleId="286">
    <w:name w:val="表内文字"/>
    <w:basedOn w:val="1"/>
    <w:qFormat/>
    <w:uiPriority w:val="99"/>
    <w:pPr>
      <w:snapToGrid w:val="0"/>
      <w:spacing w:line="340" w:lineRule="exact"/>
      <w:jc w:val="center"/>
    </w:pPr>
    <w:rPr>
      <w:rFonts w:hAnsi="宋体" w:cs="Times New Roman"/>
      <w:b/>
      <w:color w:val="000000"/>
      <w:kern w:val="2"/>
    </w:rPr>
  </w:style>
  <w:style w:type="paragraph" w:customStyle="1" w:styleId="287">
    <w:name w:val="Char3"/>
    <w:basedOn w:val="1"/>
    <w:qFormat/>
    <w:uiPriority w:val="99"/>
    <w:pPr>
      <w:widowControl/>
      <w:spacing w:after="160" w:line="240" w:lineRule="exact"/>
      <w:jc w:val="left"/>
    </w:pPr>
    <w:rPr>
      <w:rFonts w:ascii="Verdana" w:hAnsi="Verdana" w:cs="Times New Roman"/>
      <w:szCs w:val="20"/>
      <w:lang w:eastAsia="en-US"/>
    </w:rPr>
  </w:style>
  <w:style w:type="paragraph" w:customStyle="1" w:styleId="288">
    <w:name w:val="font12"/>
    <w:basedOn w:val="1"/>
    <w:qFormat/>
    <w:uiPriority w:val="99"/>
    <w:pPr>
      <w:widowControl/>
      <w:spacing w:before="100" w:beforeAutospacing="1" w:after="100" w:afterAutospacing="1"/>
      <w:jc w:val="left"/>
    </w:pPr>
    <w:rPr>
      <w:rFonts w:hAnsi="宋体" w:cs="Times New Roman"/>
      <w:color w:val="000000"/>
      <w:sz w:val="18"/>
      <w:szCs w:val="18"/>
    </w:rPr>
  </w:style>
  <w:style w:type="paragraph" w:customStyle="1" w:styleId="289">
    <w:name w:val="正文3"/>
    <w:qFormat/>
    <w:uiPriority w:val="99"/>
    <w:pPr>
      <w:jc w:val="both"/>
    </w:pPr>
    <w:rPr>
      <w:rFonts w:ascii="Times New Roman" w:hAnsi="Times New Roman" w:eastAsia="宋体" w:cs="Times New Roman"/>
      <w:kern w:val="2"/>
      <w:sz w:val="21"/>
      <w:szCs w:val="21"/>
      <w:lang w:val="en-US" w:eastAsia="zh-CN" w:bidi="ar-SA"/>
    </w:rPr>
  </w:style>
  <w:style w:type="paragraph" w:customStyle="1" w:styleId="290">
    <w:name w:val="font0"/>
    <w:basedOn w:val="1"/>
    <w:qFormat/>
    <w:uiPriority w:val="99"/>
    <w:pPr>
      <w:widowControl/>
      <w:spacing w:before="100" w:beforeAutospacing="1" w:after="100" w:afterAutospacing="1"/>
      <w:jc w:val="left"/>
    </w:pPr>
    <w:rPr>
      <w:rFonts w:hAnsi="宋体" w:cs="Times New Roman"/>
      <w:sz w:val="24"/>
      <w:szCs w:val="24"/>
    </w:rPr>
  </w:style>
  <w:style w:type="paragraph" w:customStyle="1" w:styleId="291">
    <w:name w:val="font8"/>
    <w:basedOn w:val="1"/>
    <w:qFormat/>
    <w:uiPriority w:val="99"/>
    <w:pPr>
      <w:widowControl/>
      <w:spacing w:before="100" w:beforeAutospacing="1" w:after="100" w:afterAutospacing="1"/>
      <w:jc w:val="left"/>
    </w:pPr>
    <w:rPr>
      <w:rFonts w:ascii="Times New Roman" w:cs="Times New Roman"/>
    </w:rPr>
  </w:style>
  <w:style w:type="paragraph" w:customStyle="1" w:styleId="292">
    <w:name w:val="xl28"/>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Times New Roman" w:cs="Times New Roman"/>
    </w:rPr>
  </w:style>
  <w:style w:type="paragraph" w:customStyle="1" w:styleId="293">
    <w:name w:val="bb"/>
    <w:basedOn w:val="1"/>
    <w:qFormat/>
    <w:uiPriority w:val="99"/>
    <w:pPr>
      <w:widowControl/>
      <w:spacing w:before="100" w:beforeAutospacing="1" w:after="100" w:afterAutospacing="1"/>
      <w:jc w:val="left"/>
    </w:pPr>
    <w:rPr>
      <w:rFonts w:hAnsi="宋体" w:cs="Times New Roman"/>
      <w:sz w:val="24"/>
      <w:szCs w:val="24"/>
    </w:rPr>
  </w:style>
  <w:style w:type="paragraph" w:customStyle="1" w:styleId="294">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295">
    <w:name w:val="xl29"/>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296">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cs="Times New Roman"/>
      <w:sz w:val="24"/>
      <w:szCs w:val="24"/>
    </w:rPr>
  </w:style>
  <w:style w:type="paragraph" w:customStyle="1" w:styleId="297">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29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299">
    <w:name w:val="font11"/>
    <w:basedOn w:val="1"/>
    <w:qFormat/>
    <w:uiPriority w:val="99"/>
    <w:pPr>
      <w:widowControl/>
      <w:spacing w:before="100" w:beforeAutospacing="1" w:after="100" w:afterAutospacing="1"/>
      <w:jc w:val="left"/>
    </w:pPr>
    <w:rPr>
      <w:rFonts w:hAnsi="宋体" w:cs="Times New Roman"/>
      <w:b/>
      <w:bCs/>
      <w:color w:val="000000"/>
      <w:sz w:val="18"/>
      <w:szCs w:val="18"/>
    </w:rPr>
  </w:style>
  <w:style w:type="paragraph" w:customStyle="1" w:styleId="300">
    <w:name w:val="font10"/>
    <w:basedOn w:val="1"/>
    <w:qFormat/>
    <w:uiPriority w:val="99"/>
    <w:pPr>
      <w:widowControl/>
      <w:spacing w:before="100" w:beforeAutospacing="1" w:after="100" w:afterAutospacing="1"/>
      <w:jc w:val="left"/>
    </w:pPr>
    <w:rPr>
      <w:rFonts w:ascii="Arial" w:hAnsi="Arial" w:cs="Arial"/>
      <w:sz w:val="19"/>
      <w:szCs w:val="19"/>
    </w:rPr>
  </w:style>
  <w:style w:type="paragraph" w:customStyle="1" w:styleId="301">
    <w:name w:val="font5"/>
    <w:basedOn w:val="1"/>
    <w:qFormat/>
    <w:uiPriority w:val="99"/>
    <w:pPr>
      <w:widowControl/>
      <w:spacing w:before="100" w:beforeAutospacing="1" w:after="100" w:afterAutospacing="1"/>
      <w:jc w:val="left"/>
    </w:pPr>
    <w:rPr>
      <w:rFonts w:hAnsi="宋体" w:cs="Times New Roman"/>
      <w:sz w:val="24"/>
      <w:szCs w:val="24"/>
    </w:rPr>
  </w:style>
  <w:style w:type="paragraph" w:customStyle="1" w:styleId="302">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font13"/>
    <w:basedOn w:val="1"/>
    <w:qFormat/>
    <w:uiPriority w:val="99"/>
    <w:pPr>
      <w:widowControl/>
      <w:spacing w:before="100" w:beforeAutospacing="1" w:after="100" w:afterAutospacing="1"/>
      <w:jc w:val="left"/>
    </w:pPr>
    <w:rPr>
      <w:rFonts w:hAnsi="宋体" w:cs="Times New Roman"/>
      <w:b/>
      <w:bCs/>
      <w:color w:val="000000"/>
      <w:sz w:val="18"/>
      <w:szCs w:val="18"/>
    </w:rPr>
  </w:style>
  <w:style w:type="paragraph" w:customStyle="1" w:styleId="304">
    <w:name w:val="Char Char Char Char Char Char Char Char Char Char1"/>
    <w:basedOn w:val="15"/>
    <w:qFormat/>
    <w:uiPriority w:val="99"/>
    <w:pPr>
      <w:keepNext/>
      <w:numPr>
        <w:ilvl w:val="0"/>
        <w:numId w:val="1"/>
      </w:numPr>
      <w:tabs>
        <w:tab w:val="left" w:pos="425"/>
        <w:tab w:val="left" w:pos="709"/>
        <w:tab w:val="left" w:pos="840"/>
      </w:tabs>
      <w:spacing w:beforeLines="100"/>
      <w:ind w:left="0"/>
    </w:pPr>
    <w:rPr>
      <w:rFonts w:ascii="Tahoma" w:hAnsi="Tahoma"/>
      <w:sz w:val="24"/>
      <w:szCs w:val="20"/>
      <w:shd w:val="clear" w:color="auto" w:fill="auto"/>
    </w:rPr>
  </w:style>
  <w:style w:type="paragraph" w:customStyle="1" w:styleId="305">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b/>
      <w:bCs/>
      <w:sz w:val="24"/>
      <w:szCs w:val="24"/>
    </w:rPr>
  </w:style>
  <w:style w:type="paragraph" w:customStyle="1" w:styleId="306">
    <w:name w:val="font6"/>
    <w:basedOn w:val="1"/>
    <w:qFormat/>
    <w:uiPriority w:val="99"/>
    <w:pPr>
      <w:widowControl/>
      <w:spacing w:before="100" w:beforeAutospacing="1" w:after="100" w:afterAutospacing="1"/>
      <w:jc w:val="left"/>
    </w:pPr>
    <w:rPr>
      <w:rFonts w:hAnsi="宋体" w:cs="Times New Roman"/>
      <w:sz w:val="18"/>
      <w:szCs w:val="18"/>
    </w:rPr>
  </w:style>
  <w:style w:type="paragraph" w:customStyle="1" w:styleId="307">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30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309">
    <w:name w:val="Char Char Char Char Char Char1 Char1"/>
    <w:basedOn w:val="1"/>
    <w:qFormat/>
    <w:uiPriority w:val="99"/>
    <w:pPr>
      <w:widowControl/>
      <w:spacing w:after="160" w:line="240" w:lineRule="exact"/>
      <w:jc w:val="left"/>
    </w:pPr>
    <w:rPr>
      <w:rFonts w:ascii="Times New Roman" w:cs="Times New Roman"/>
      <w:kern w:val="2"/>
      <w:szCs w:val="24"/>
    </w:rPr>
  </w:style>
  <w:style w:type="paragraph" w:customStyle="1" w:styleId="310">
    <w:name w:val="xl2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311">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cs="Times New Roman"/>
    </w:rPr>
  </w:style>
  <w:style w:type="table" w:customStyle="1" w:styleId="312">
    <w:name w:val="网格型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3">
    <w:name w:val="网格型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4">
    <w:name w:val="网格型4"/>
    <w:qFormat/>
    <w:uiPriority w:val="99"/>
    <w:rPr>
      <w:rFonts w:ascii="宋体" w:cs="宋体"/>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5">
    <w:name w:val="TOC 标题2"/>
    <w:basedOn w:val="3"/>
    <w:next w:val="1"/>
    <w:qFormat/>
    <w:uiPriority w:val="99"/>
    <w:pPr>
      <w:spacing w:before="340" w:after="330" w:line="576" w:lineRule="auto"/>
      <w:outlineLvl w:val="9"/>
    </w:pPr>
    <w:rPr>
      <w:rFonts w:ascii="Calibri" w:hAnsi="Calibri"/>
      <w:sz w:val="44"/>
    </w:rPr>
  </w:style>
  <w:style w:type="character" w:customStyle="1" w:styleId="316">
    <w:name w:val="不明显参考2"/>
    <w:qFormat/>
    <w:uiPriority w:val="99"/>
    <w:rPr>
      <w:smallCaps/>
      <w:color w:val="C0504D"/>
      <w:u w:val="single"/>
    </w:rPr>
  </w:style>
  <w:style w:type="character" w:customStyle="1" w:styleId="317">
    <w:name w:val="不明显强调2"/>
    <w:qFormat/>
    <w:uiPriority w:val="99"/>
    <w:rPr>
      <w:i/>
      <w:color w:val="808080"/>
    </w:rPr>
  </w:style>
  <w:style w:type="character" w:customStyle="1" w:styleId="318">
    <w:name w:val="明显参考2"/>
    <w:qFormat/>
    <w:uiPriority w:val="99"/>
    <w:rPr>
      <w:b/>
      <w:smallCaps/>
      <w:color w:val="C0504D"/>
      <w:spacing w:val="5"/>
      <w:u w:val="single"/>
    </w:rPr>
  </w:style>
  <w:style w:type="character" w:customStyle="1" w:styleId="319">
    <w:name w:val="明显强调2"/>
    <w:qFormat/>
    <w:uiPriority w:val="99"/>
    <w:rPr>
      <w:b/>
      <w:i/>
      <w:color w:val="4F81BD"/>
    </w:rPr>
  </w:style>
  <w:style w:type="character" w:customStyle="1" w:styleId="320">
    <w:name w:val="书籍标题2"/>
    <w:qFormat/>
    <w:uiPriority w:val="99"/>
    <w:rPr>
      <w:b/>
      <w:smallCaps/>
      <w:spacing w:val="5"/>
    </w:rPr>
  </w:style>
  <w:style w:type="paragraph" w:customStyle="1" w:styleId="321">
    <w:name w:val="修订2"/>
    <w:qFormat/>
    <w:uiPriority w:val="99"/>
    <w:rPr>
      <w:rFonts w:ascii="Times New Roman" w:hAnsi="Times New Roman" w:eastAsia="宋体" w:cs="宋体"/>
      <w:kern w:val="2"/>
      <w:sz w:val="21"/>
      <w:szCs w:val="24"/>
      <w:lang w:val="en-US" w:eastAsia="zh-CN" w:bidi="ar-SA"/>
    </w:rPr>
  </w:style>
  <w:style w:type="table" w:customStyle="1" w:styleId="322">
    <w:name w:val="网格型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3">
    <w:name w:val="网格型11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24">
    <w:name w:val="网格型2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25">
    <w:name w:val="网格型3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26">
    <w:name w:val="明显参考3"/>
    <w:qFormat/>
    <w:uiPriority w:val="99"/>
    <w:rPr>
      <w:rFonts w:cs="Times New Roman"/>
      <w:b/>
      <w:bCs/>
      <w:smallCaps/>
      <w:color w:val="C0504D"/>
      <w:spacing w:val="5"/>
      <w:u w:val="single"/>
    </w:rPr>
  </w:style>
  <w:style w:type="character" w:customStyle="1" w:styleId="327">
    <w:name w:val="first-child2"/>
    <w:qFormat/>
    <w:uiPriority w:val="99"/>
    <w:rPr>
      <w:rFonts w:cs="Times New Roman"/>
    </w:rPr>
  </w:style>
  <w:style w:type="character" w:customStyle="1" w:styleId="328">
    <w:name w:val="content"/>
    <w:qFormat/>
    <w:uiPriority w:val="99"/>
    <w:rPr>
      <w:rFonts w:cs="Times New Roman"/>
    </w:rPr>
  </w:style>
  <w:style w:type="character" w:customStyle="1" w:styleId="329">
    <w:name w:val="中等深浅网格 2 - 强调文字颜色 2 Char"/>
    <w:qFormat/>
    <w:uiPriority w:val="99"/>
    <w:rPr>
      <w:rFonts w:cs="Times New Roman"/>
      <w:i/>
      <w:iCs/>
      <w:color w:val="000000"/>
    </w:rPr>
  </w:style>
  <w:style w:type="character" w:customStyle="1" w:styleId="330">
    <w:name w:val="ant-tree-switcher"/>
    <w:qFormat/>
    <w:uiPriority w:val="99"/>
    <w:rPr>
      <w:rFonts w:cs="Times New Roman"/>
    </w:rPr>
  </w:style>
  <w:style w:type="character" w:customStyle="1" w:styleId="331">
    <w:name w:val="不明显参考3"/>
    <w:qFormat/>
    <w:uiPriority w:val="99"/>
    <w:rPr>
      <w:rFonts w:cs="Times New Roman"/>
      <w:smallCaps/>
      <w:color w:val="C0504D"/>
      <w:u w:val="single"/>
    </w:rPr>
  </w:style>
  <w:style w:type="character" w:customStyle="1" w:styleId="332">
    <w:name w:val="纯文本 Char11"/>
    <w:qFormat/>
    <w:uiPriority w:val="99"/>
    <w:rPr>
      <w:rFonts w:ascii="宋体" w:hAnsi="Courier New" w:eastAsia="宋体" w:cs="Courier New"/>
      <w:sz w:val="21"/>
      <w:szCs w:val="21"/>
    </w:rPr>
  </w:style>
  <w:style w:type="character" w:customStyle="1" w:styleId="333">
    <w:name w:val="ant-badge-status-dot2"/>
    <w:qFormat/>
    <w:uiPriority w:val="99"/>
    <w:rPr>
      <w:rFonts w:cs="Times New Roman"/>
      <w:shd w:val="clear" w:color="auto" w:fill="FFFFFF"/>
    </w:rPr>
  </w:style>
  <w:style w:type="character" w:customStyle="1" w:styleId="334">
    <w:name w:val="书籍标题3"/>
    <w:qFormat/>
    <w:uiPriority w:val="99"/>
    <w:rPr>
      <w:rFonts w:cs="Times New Roman"/>
      <w:b/>
      <w:bCs/>
      <w:smallCaps/>
      <w:spacing w:val="5"/>
    </w:rPr>
  </w:style>
  <w:style w:type="character" w:customStyle="1" w:styleId="335">
    <w:name w:val="标题 4 Char1"/>
    <w:link w:val="6"/>
    <w:qFormat/>
    <w:locked/>
    <w:uiPriority w:val="99"/>
    <w:rPr>
      <w:rFonts w:ascii="Arial" w:hAnsi="Arial" w:eastAsia="宋体" w:cs="Arial"/>
      <w:b/>
      <w:bCs/>
      <w:kern w:val="2"/>
      <w:sz w:val="28"/>
      <w:szCs w:val="28"/>
      <w:lang w:val="en-US" w:eastAsia="zh-CN"/>
    </w:rPr>
  </w:style>
  <w:style w:type="character" w:customStyle="1" w:styleId="336">
    <w:name w:val="ant-select-tree-checkbox2"/>
    <w:qFormat/>
    <w:uiPriority w:val="99"/>
    <w:rPr>
      <w:rFonts w:cs="Times New Roman"/>
    </w:rPr>
  </w:style>
  <w:style w:type="character" w:customStyle="1" w:styleId="337">
    <w:name w:val="标题 1 Char1"/>
    <w:link w:val="3"/>
    <w:qFormat/>
    <w:locked/>
    <w:uiPriority w:val="99"/>
    <w:rPr>
      <w:rFonts w:ascii="黑体" w:hAnsi="宋体" w:eastAsia="黑体" w:cs="黑体"/>
      <w:b/>
      <w:bCs/>
      <w:kern w:val="44"/>
      <w:sz w:val="44"/>
      <w:szCs w:val="44"/>
      <w:lang w:val="en-US" w:eastAsia="zh-CN"/>
    </w:rPr>
  </w:style>
  <w:style w:type="character" w:customStyle="1" w:styleId="338">
    <w:name w:val="标题 2 Char1"/>
    <w:link w:val="4"/>
    <w:qFormat/>
    <w:locked/>
    <w:uiPriority w:val="99"/>
    <w:rPr>
      <w:rFonts w:ascii="Arial" w:hAnsi="Arial" w:eastAsia="黑体" w:cs="Arial"/>
      <w:b/>
      <w:bCs/>
      <w:kern w:val="2"/>
      <w:sz w:val="32"/>
      <w:szCs w:val="32"/>
      <w:lang w:val="en-US" w:eastAsia="zh-CN"/>
    </w:rPr>
  </w:style>
  <w:style w:type="character" w:customStyle="1" w:styleId="339">
    <w:name w:val="标题 3 Char1"/>
    <w:link w:val="5"/>
    <w:qFormat/>
    <w:locked/>
    <w:uiPriority w:val="99"/>
    <w:rPr>
      <w:rFonts w:ascii="黑体" w:hAnsi="宋体" w:eastAsia="黑体" w:cs="黑体"/>
      <w:b/>
      <w:bCs/>
      <w:kern w:val="2"/>
      <w:sz w:val="32"/>
      <w:szCs w:val="32"/>
      <w:lang w:val="en-US" w:eastAsia="zh-CN"/>
    </w:rPr>
  </w:style>
  <w:style w:type="character" w:customStyle="1" w:styleId="340">
    <w:name w:val="标题 5 Char1"/>
    <w:link w:val="7"/>
    <w:qFormat/>
    <w:locked/>
    <w:uiPriority w:val="99"/>
    <w:rPr>
      <w:rFonts w:ascii="宋体" w:hAnsi="宋体" w:eastAsia="宋体" w:cs="宋体"/>
      <w:b/>
      <w:bCs/>
      <w:kern w:val="2"/>
      <w:sz w:val="28"/>
      <w:szCs w:val="28"/>
      <w:lang w:val="en-US" w:eastAsia="zh-CN"/>
    </w:rPr>
  </w:style>
  <w:style w:type="character" w:customStyle="1" w:styleId="341">
    <w:name w:val="纯文本 Char3"/>
    <w:qFormat/>
    <w:locked/>
    <w:uiPriority w:val="99"/>
    <w:rPr>
      <w:rFonts w:ascii="宋体" w:hAnsi="Courier New" w:eastAsia="宋体" w:cs="宋体"/>
      <w:kern w:val="2"/>
      <w:sz w:val="24"/>
      <w:szCs w:val="24"/>
      <w:lang w:val="en-US" w:eastAsia="zh-CN"/>
    </w:rPr>
  </w:style>
  <w:style w:type="character" w:customStyle="1" w:styleId="342">
    <w:name w:val="普通文字 Char Char21"/>
    <w:qFormat/>
    <w:uiPriority w:val="99"/>
    <w:rPr>
      <w:rFonts w:ascii="宋体" w:hAnsi="Courier New" w:eastAsia="宋体" w:cs="宋体"/>
      <w:kern w:val="2"/>
      <w:sz w:val="24"/>
      <w:szCs w:val="24"/>
    </w:rPr>
  </w:style>
  <w:style w:type="character" w:customStyle="1" w:styleId="343">
    <w:name w:val="明显引用字符"/>
    <w:qFormat/>
    <w:uiPriority w:val="99"/>
    <w:rPr>
      <w:rFonts w:cs="Times New Roman"/>
      <w:b/>
      <w:bCs/>
      <w:i/>
      <w:iCs/>
      <w:color w:val="4F81BD"/>
    </w:rPr>
  </w:style>
  <w:style w:type="character" w:customStyle="1" w:styleId="344">
    <w:name w:val="all-fit-info"/>
    <w:qFormat/>
    <w:uiPriority w:val="99"/>
    <w:rPr>
      <w:rFonts w:cs="Times New Roman"/>
      <w:color w:val="939393"/>
    </w:rPr>
  </w:style>
  <w:style w:type="character" w:customStyle="1" w:styleId="345">
    <w:name w:val="明显强调3"/>
    <w:qFormat/>
    <w:uiPriority w:val="99"/>
    <w:rPr>
      <w:rFonts w:cs="Times New Roman"/>
      <w:b/>
      <w:bCs/>
      <w:i/>
      <w:iCs/>
      <w:color w:val="4F81BD"/>
    </w:rPr>
  </w:style>
  <w:style w:type="character" w:customStyle="1" w:styleId="346">
    <w:name w:val="last-child8"/>
    <w:qFormat/>
    <w:uiPriority w:val="99"/>
    <w:rPr>
      <w:rFonts w:cs="Times New Roman"/>
    </w:rPr>
  </w:style>
  <w:style w:type="character" w:customStyle="1" w:styleId="347">
    <w:name w:val="Char Char241"/>
    <w:qFormat/>
    <w:uiPriority w:val="99"/>
    <w:rPr>
      <w:rFonts w:ascii="宋体" w:hAnsi="宋体" w:eastAsia="宋体" w:cs="宋体"/>
      <w:b/>
      <w:bCs/>
      <w:kern w:val="44"/>
      <w:sz w:val="44"/>
      <w:szCs w:val="44"/>
      <w:lang w:val="en-US" w:eastAsia="zh-CN"/>
    </w:rPr>
  </w:style>
  <w:style w:type="character" w:customStyle="1" w:styleId="348">
    <w:name w:val="all-fit-info2"/>
    <w:qFormat/>
    <w:uiPriority w:val="99"/>
    <w:rPr>
      <w:rFonts w:cs="Times New Roman"/>
      <w:color w:val="939393"/>
    </w:rPr>
  </w:style>
  <w:style w:type="character" w:customStyle="1" w:styleId="349">
    <w:name w:val="current1"/>
    <w:qFormat/>
    <w:uiPriority w:val="99"/>
    <w:rPr>
      <w:rFonts w:cs="Times New Roman"/>
      <w:color w:val="00C1DE"/>
    </w:rPr>
  </w:style>
  <w:style w:type="character" w:customStyle="1" w:styleId="350">
    <w:name w:val="last-child6"/>
    <w:qFormat/>
    <w:uiPriority w:val="99"/>
    <w:rPr>
      <w:rFonts w:cs="Times New Roman"/>
    </w:rPr>
  </w:style>
  <w:style w:type="character" w:customStyle="1" w:styleId="351">
    <w:name w:val="ant-select-tree-switcher"/>
    <w:qFormat/>
    <w:uiPriority w:val="99"/>
    <w:rPr>
      <w:rFonts w:cs="Times New Roman"/>
    </w:rPr>
  </w:style>
  <w:style w:type="character" w:customStyle="1" w:styleId="352">
    <w:name w:val="label"/>
    <w:qFormat/>
    <w:uiPriority w:val="99"/>
    <w:rPr>
      <w:rFonts w:cs="Times New Roman"/>
    </w:rPr>
  </w:style>
  <w:style w:type="character" w:customStyle="1" w:styleId="353">
    <w:name w:val="Char Char242"/>
    <w:qFormat/>
    <w:uiPriority w:val="99"/>
    <w:rPr>
      <w:rFonts w:ascii="宋体" w:hAnsi="宋体" w:eastAsia="宋体" w:cs="宋体"/>
      <w:b/>
      <w:bCs/>
      <w:kern w:val="44"/>
      <w:sz w:val="44"/>
      <w:szCs w:val="44"/>
      <w:lang w:val="en-US" w:eastAsia="zh-CN"/>
    </w:rPr>
  </w:style>
  <w:style w:type="character" w:customStyle="1" w:styleId="354">
    <w:name w:val="ant-radio *"/>
    <w:qFormat/>
    <w:uiPriority w:val="99"/>
    <w:rPr>
      <w:rFonts w:cs="Times New Roman"/>
    </w:rPr>
  </w:style>
  <w:style w:type="character" w:customStyle="1" w:styleId="355">
    <w:name w:val="ant-tree-iconele"/>
    <w:qFormat/>
    <w:uiPriority w:val="99"/>
    <w:rPr>
      <w:rFonts w:cs="Times New Roman"/>
    </w:rPr>
  </w:style>
  <w:style w:type="character" w:customStyle="1" w:styleId="356">
    <w:name w:val="temp8"/>
    <w:qFormat/>
    <w:uiPriority w:val="99"/>
    <w:rPr>
      <w:rFonts w:cs="Times New Roman"/>
    </w:rPr>
  </w:style>
  <w:style w:type="character" w:customStyle="1" w:styleId="357">
    <w:name w:val="change-camera-place"/>
    <w:qFormat/>
    <w:uiPriority w:val="99"/>
    <w:rPr>
      <w:rFonts w:cs="Times New Roman"/>
      <w:color w:val="3177FD"/>
    </w:rPr>
  </w:style>
  <w:style w:type="character" w:customStyle="1" w:styleId="358">
    <w:name w:val="不明显强调3"/>
    <w:qFormat/>
    <w:uiPriority w:val="99"/>
    <w:rPr>
      <w:rFonts w:cs="Times New Roman"/>
      <w:i/>
      <w:iCs/>
      <w:color w:val="808080"/>
    </w:rPr>
  </w:style>
  <w:style w:type="character" w:customStyle="1" w:styleId="359">
    <w:name w:val="last-of-type"/>
    <w:qFormat/>
    <w:uiPriority w:val="99"/>
    <w:rPr>
      <w:rFonts w:cs="Times New Roman"/>
      <w:color w:val="FF4A44"/>
      <w:sz w:val="27"/>
      <w:szCs w:val="27"/>
    </w:rPr>
  </w:style>
  <w:style w:type="character" w:customStyle="1" w:styleId="360">
    <w:name w:val="引用字符"/>
    <w:qFormat/>
    <w:uiPriority w:val="99"/>
    <w:rPr>
      <w:rFonts w:cs="Times New Roman"/>
      <w:i/>
      <w:iCs/>
      <w:color w:val="000000"/>
    </w:rPr>
  </w:style>
  <w:style w:type="character" w:customStyle="1" w:styleId="361">
    <w:name w:val="all-fit-info1"/>
    <w:qFormat/>
    <w:uiPriority w:val="99"/>
    <w:rPr>
      <w:rFonts w:cs="Times New Roman"/>
      <w:color w:val="939393"/>
    </w:rPr>
  </w:style>
  <w:style w:type="character" w:customStyle="1" w:styleId="362">
    <w:name w:val="tag-type1"/>
    <w:qFormat/>
    <w:uiPriority w:val="99"/>
    <w:rPr>
      <w:rFonts w:cs="Times New Roman"/>
      <w:color w:val="FFFFFF"/>
      <w:sz w:val="18"/>
      <w:szCs w:val="18"/>
      <w:shd w:val="clear" w:color="auto" w:fill="317FFD"/>
    </w:rPr>
  </w:style>
  <w:style w:type="character" w:customStyle="1" w:styleId="363">
    <w:name w:val="temp6"/>
    <w:qFormat/>
    <w:uiPriority w:val="99"/>
    <w:rPr>
      <w:rFonts w:cs="Times New Roman"/>
    </w:rPr>
  </w:style>
  <w:style w:type="character" w:customStyle="1" w:styleId="364">
    <w:name w:val="info-label"/>
    <w:qFormat/>
    <w:uiPriority w:val="99"/>
    <w:rPr>
      <w:rFonts w:cs="Times New Roman"/>
      <w:b/>
    </w:rPr>
  </w:style>
  <w:style w:type="character" w:customStyle="1" w:styleId="365">
    <w:name w:val="last-child9"/>
    <w:qFormat/>
    <w:uiPriority w:val="99"/>
    <w:rPr>
      <w:rFonts w:cs="Times New Roman"/>
    </w:rPr>
  </w:style>
  <w:style w:type="character" w:customStyle="1" w:styleId="366">
    <w:name w:val="tag-type"/>
    <w:qFormat/>
    <w:uiPriority w:val="99"/>
    <w:rPr>
      <w:rFonts w:cs="Times New Roman"/>
      <w:color w:val="FFFFFF"/>
      <w:sz w:val="18"/>
      <w:szCs w:val="18"/>
      <w:shd w:val="clear" w:color="auto" w:fill="317FFD"/>
    </w:rPr>
  </w:style>
  <w:style w:type="character" w:customStyle="1" w:styleId="367">
    <w:name w:val="ant-tree-checkbox2"/>
    <w:qFormat/>
    <w:uiPriority w:val="99"/>
    <w:rPr>
      <w:rFonts w:cs="Times New Roman"/>
    </w:rPr>
  </w:style>
  <w:style w:type="character" w:customStyle="1" w:styleId="368">
    <w:name w:val="last-child7"/>
    <w:qFormat/>
    <w:uiPriority w:val="99"/>
    <w:rPr>
      <w:rFonts w:cs="Times New Roman"/>
    </w:rPr>
  </w:style>
  <w:style w:type="character" w:customStyle="1" w:styleId="369">
    <w:name w:val="temp7"/>
    <w:qFormat/>
    <w:uiPriority w:val="99"/>
    <w:rPr>
      <w:rFonts w:cs="Times New Roman"/>
    </w:rPr>
  </w:style>
  <w:style w:type="character" w:customStyle="1" w:styleId="370">
    <w:name w:val="ant-tree-icon_loading"/>
    <w:qFormat/>
    <w:uiPriority w:val="99"/>
    <w:rPr>
      <w:rFonts w:cs="Times New Roman"/>
      <w:shd w:val="clear" w:color="auto" w:fill="FFFFFF"/>
    </w:rPr>
  </w:style>
  <w:style w:type="character" w:customStyle="1" w:styleId="371">
    <w:name w:val="中等深浅网格 3 - 强调文字颜色 2 Char"/>
    <w:qFormat/>
    <w:uiPriority w:val="99"/>
    <w:rPr>
      <w:rFonts w:cs="Times New Roman"/>
      <w:b/>
      <w:bCs/>
      <w:i/>
      <w:iCs/>
      <w:color w:val="4F81BD"/>
    </w:rPr>
  </w:style>
  <w:style w:type="character" w:customStyle="1" w:styleId="372">
    <w:name w:val="ant-select-tree-iconele"/>
    <w:qFormat/>
    <w:uiPriority w:val="99"/>
    <w:rPr>
      <w:rFonts w:cs="Times New Roman"/>
    </w:rPr>
  </w:style>
  <w:style w:type="character" w:customStyle="1" w:styleId="373">
    <w:name w:val="info-content"/>
    <w:qFormat/>
    <w:uiPriority w:val="99"/>
    <w:rPr>
      <w:rFonts w:cs="Times New Roman"/>
      <w:color w:val="808080"/>
    </w:rPr>
  </w:style>
  <w:style w:type="character" w:customStyle="1" w:styleId="374">
    <w:name w:val="纯文本 Char4"/>
    <w:link w:val="24"/>
    <w:qFormat/>
    <w:locked/>
    <w:uiPriority w:val="99"/>
    <w:rPr>
      <w:rFonts w:ascii="宋体" w:hAnsi="Courier New" w:eastAsia="宋体" w:cs="宋体"/>
      <w:kern w:val="2"/>
      <w:sz w:val="21"/>
      <w:lang w:val="en-US" w:eastAsia="zh-CN"/>
    </w:rPr>
  </w:style>
  <w:style w:type="paragraph" w:customStyle="1" w:styleId="375">
    <w:name w:val="正文_2_0"/>
    <w:basedOn w:val="376"/>
    <w:next w:val="37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paragraph" w:customStyle="1" w:styleId="376">
    <w:name w:val="正文_2_1"/>
    <w:basedOn w:val="1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7">
    <w:name w:val="正文文本_1_0"/>
    <w:basedOn w:val="375"/>
    <w:qFormat/>
    <w:uiPriority w:val="99"/>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378">
    <w:name w:val="正文_2_1_0"/>
    <w:basedOn w:val="171"/>
    <w:qFormat/>
    <w:uiPriority w:val="0"/>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wmf"/><Relationship Id="rId14" Type="http://schemas.openxmlformats.org/officeDocument/2006/relationships/image" Target="media/image4.wmf"/><Relationship Id="rId13" Type="http://schemas.openxmlformats.org/officeDocument/2006/relationships/image" Target="media/image3.wmf"/><Relationship Id="rId12" Type="http://schemas.openxmlformats.org/officeDocument/2006/relationships/image" Target="media/image2.wmf"/><Relationship Id="rId11" Type="http://schemas.openxmlformats.org/officeDocument/2006/relationships/image" Target="media/image1.w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ZC</Company>
  <Pages>154</Pages>
  <Words>3133</Words>
  <Characters>3608</Characters>
  <Lines>808</Lines>
  <Paragraphs>227</Paragraphs>
  <TotalTime>46</TotalTime>
  <ScaleCrop>false</ScaleCrop>
  <LinksUpToDate>false</LinksUpToDate>
  <CharactersWithSpaces>4127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2018-11-08T11:24:00Z</dcterms:created>
  <dc:creator>yi luo</dc:creator>
  <cp:lastModifiedBy>Administrator</cp:lastModifiedBy>
  <cp:lastPrinted>2025-04-30T01:12:00Z</cp:lastPrinted>
  <dcterms:modified xsi:type="dcterms:W3CDTF">2025-04-30T09:57:55Z</dcterms:modified>
  <cp:revision>5326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BF2500F58994475BA7F540559E9628EC_13</vt:lpwstr>
  </property>
  <property fmtid="{D5CDD505-2E9C-101B-9397-08002B2CF9AE}" pid="4" name="KSOTemplateDocerSaveRecord">
    <vt:lpwstr>eyJoZGlkIjoiM2FlMjk4MmM5Zjk0ZTMxZDhjZGQ1MDdhNTAxMjk1N2EiLCJ1c2VySWQiOiIxMTQwMDY4MDQ4In0=</vt:lpwstr>
  </property>
</Properties>
</file>