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DC375">
      <w:pPr>
        <w:jc w:val="center"/>
        <w:rPr>
          <w:rFonts w:hint="eastAsia" w:ascii="宋体" w:hAnsi="宋体" w:eastAsia="宋体" w:cs="宋体"/>
          <w:b/>
          <w:color w:val="auto"/>
          <w:kern w:val="2"/>
          <w:sz w:val="52"/>
          <w:szCs w:val="52"/>
          <w:highlight w:val="none"/>
          <w:lang w:eastAsia="zh-CN"/>
        </w:rPr>
      </w:pPr>
      <w:bookmarkStart w:id="0" w:name="_Toc20595"/>
      <w:bookmarkStart w:id="1" w:name="_Toc105753204"/>
      <w:bookmarkStart w:id="2" w:name="_Toc533783505"/>
    </w:p>
    <w:p w14:paraId="38583CA3">
      <w:pPr>
        <w:jc w:val="center"/>
        <w:rPr>
          <w:rFonts w:hint="eastAsia" w:ascii="宋体" w:hAnsi="宋体" w:eastAsia="宋体" w:cs="宋体"/>
          <w:b/>
          <w:bCs/>
          <w:color w:val="auto"/>
          <w:kern w:val="2"/>
          <w:sz w:val="44"/>
          <w:szCs w:val="44"/>
          <w:highlight w:val="none"/>
        </w:rPr>
      </w:pPr>
      <w:r>
        <w:rPr>
          <w:rFonts w:hint="eastAsia" w:ascii="宋体" w:hAnsi="宋体" w:eastAsia="宋体" w:cs="宋体"/>
          <w:b/>
          <w:color w:val="auto"/>
          <w:kern w:val="2"/>
          <w:sz w:val="52"/>
          <w:szCs w:val="52"/>
          <w:highlight w:val="none"/>
          <w:lang w:eastAsia="zh-CN"/>
        </w:rPr>
        <w:t>贺州市平桂区羊头镇政府公租房2024年维修维护工程</w:t>
      </w:r>
    </w:p>
    <w:p w14:paraId="640537ED">
      <w:pPr>
        <w:pStyle w:val="7"/>
        <w:ind w:left="63" w:right="63"/>
        <w:rPr>
          <w:rFonts w:hint="eastAsia" w:ascii="宋体" w:hAnsi="宋体" w:eastAsia="宋体" w:cs="宋体"/>
          <w:color w:val="auto"/>
          <w:highlight w:val="none"/>
        </w:rPr>
      </w:pPr>
    </w:p>
    <w:p w14:paraId="0528BCFF">
      <w:pPr>
        <w:pStyle w:val="7"/>
        <w:ind w:left="63" w:right="63"/>
        <w:rPr>
          <w:rFonts w:hint="eastAsia" w:ascii="宋体" w:hAnsi="宋体" w:eastAsia="宋体" w:cs="宋体"/>
          <w:color w:val="auto"/>
          <w:highlight w:val="none"/>
        </w:rPr>
      </w:pPr>
    </w:p>
    <w:p w14:paraId="7DF338A4">
      <w:pPr>
        <w:jc w:val="center"/>
        <w:outlineLvl w:val="0"/>
        <w:rPr>
          <w:rFonts w:hint="eastAsia" w:ascii="宋体" w:hAnsi="宋体" w:eastAsia="宋体" w:cs="宋体"/>
          <w:b/>
          <w:bCs/>
          <w:color w:val="auto"/>
          <w:kern w:val="2"/>
          <w:sz w:val="72"/>
          <w:szCs w:val="72"/>
          <w:highlight w:val="none"/>
        </w:rPr>
      </w:pPr>
      <w:bookmarkStart w:id="3" w:name="_Toc28615"/>
    </w:p>
    <w:p w14:paraId="01B48B68">
      <w:pPr>
        <w:jc w:val="center"/>
        <w:outlineLvl w:val="0"/>
        <w:rPr>
          <w:rFonts w:hint="eastAsia" w:ascii="宋体" w:hAnsi="宋体" w:eastAsia="宋体" w:cs="宋体"/>
          <w:b/>
          <w:bCs/>
          <w:color w:val="auto"/>
          <w:kern w:val="2"/>
          <w:sz w:val="72"/>
          <w:szCs w:val="72"/>
          <w:highlight w:val="none"/>
        </w:rPr>
      </w:pPr>
    </w:p>
    <w:p w14:paraId="4D5A7B3E">
      <w:pPr>
        <w:jc w:val="center"/>
        <w:outlineLvl w:val="0"/>
        <w:rPr>
          <w:rFonts w:hint="eastAsia" w:ascii="宋体" w:hAnsi="宋体" w:eastAsia="宋体" w:cs="宋体"/>
          <w:b/>
          <w:bCs/>
          <w:color w:val="auto"/>
          <w:kern w:val="2"/>
          <w:sz w:val="72"/>
          <w:szCs w:val="72"/>
          <w:highlight w:val="none"/>
        </w:rPr>
      </w:pPr>
      <w:r>
        <w:rPr>
          <w:rFonts w:hint="eastAsia" w:ascii="宋体" w:hAnsi="宋体" w:eastAsia="宋体" w:cs="宋体"/>
          <w:b/>
          <w:bCs/>
          <w:color w:val="auto"/>
          <w:kern w:val="2"/>
          <w:sz w:val="72"/>
          <w:szCs w:val="72"/>
          <w:highlight w:val="none"/>
        </w:rPr>
        <w:t>竞争性磋商文件</w:t>
      </w:r>
      <w:bookmarkEnd w:id="3"/>
    </w:p>
    <w:p w14:paraId="2E764D2F">
      <w:pPr>
        <w:rPr>
          <w:rFonts w:hint="eastAsia" w:ascii="宋体" w:hAnsi="宋体" w:eastAsia="宋体" w:cs="宋体"/>
          <w:color w:val="auto"/>
          <w:kern w:val="2"/>
          <w:szCs w:val="20"/>
          <w:highlight w:val="none"/>
        </w:rPr>
      </w:pPr>
    </w:p>
    <w:p w14:paraId="33EAE580">
      <w:pPr>
        <w:rPr>
          <w:rFonts w:hint="eastAsia" w:ascii="宋体" w:hAnsi="宋体" w:eastAsia="宋体" w:cs="宋体"/>
          <w:color w:val="auto"/>
          <w:kern w:val="2"/>
          <w:szCs w:val="20"/>
          <w:highlight w:val="none"/>
        </w:rPr>
      </w:pPr>
    </w:p>
    <w:p w14:paraId="4DCB0C0F">
      <w:pPr>
        <w:rPr>
          <w:rFonts w:hint="eastAsia" w:ascii="宋体" w:hAnsi="宋体" w:eastAsia="宋体" w:cs="宋体"/>
          <w:color w:val="auto"/>
          <w:kern w:val="2"/>
          <w:szCs w:val="20"/>
          <w:highlight w:val="none"/>
        </w:rPr>
      </w:pPr>
    </w:p>
    <w:p w14:paraId="6D542794">
      <w:pPr>
        <w:rPr>
          <w:rFonts w:hint="eastAsia" w:ascii="宋体" w:hAnsi="宋体" w:eastAsia="宋体" w:cs="宋体"/>
          <w:color w:val="auto"/>
          <w:kern w:val="2"/>
          <w:szCs w:val="20"/>
          <w:highlight w:val="none"/>
        </w:rPr>
      </w:pPr>
    </w:p>
    <w:p w14:paraId="14DB1382">
      <w:pPr>
        <w:rPr>
          <w:rFonts w:hint="eastAsia" w:ascii="宋体" w:hAnsi="宋体" w:eastAsia="宋体" w:cs="宋体"/>
          <w:color w:val="auto"/>
          <w:kern w:val="2"/>
          <w:szCs w:val="20"/>
          <w:highlight w:val="none"/>
        </w:rPr>
      </w:pPr>
    </w:p>
    <w:p w14:paraId="0863B049">
      <w:pPr>
        <w:ind w:firstLine="1748" w:firstLineChars="544"/>
        <w:rPr>
          <w:rFonts w:hint="eastAsia" w:ascii="宋体" w:hAnsi="宋体" w:eastAsia="宋体" w:cs="宋体"/>
          <w:b/>
          <w:color w:val="auto"/>
          <w:kern w:val="2"/>
          <w:sz w:val="30"/>
          <w:szCs w:val="30"/>
          <w:highlight w:val="none"/>
          <w:lang w:val="en-US" w:eastAsia="zh-CN"/>
        </w:rPr>
      </w:pPr>
      <w:r>
        <w:rPr>
          <w:rFonts w:hint="eastAsia" w:ascii="宋体" w:hAnsi="宋体" w:eastAsia="宋体" w:cs="宋体"/>
          <w:b/>
          <w:color w:val="auto"/>
          <w:kern w:val="2"/>
          <w:sz w:val="32"/>
          <w:szCs w:val="32"/>
          <w:highlight w:val="none"/>
        </w:rPr>
        <w:t>项目编号：HZZC2025-C2-030005-GXZW</w:t>
      </w:r>
    </w:p>
    <w:p w14:paraId="0D4D32CD">
      <w:pPr>
        <w:rPr>
          <w:rFonts w:hint="eastAsia" w:ascii="宋体" w:hAnsi="宋体" w:eastAsia="宋体" w:cs="宋体"/>
          <w:b/>
          <w:color w:val="auto"/>
          <w:kern w:val="2"/>
          <w:sz w:val="30"/>
          <w:szCs w:val="30"/>
          <w:highlight w:val="none"/>
        </w:rPr>
      </w:pPr>
    </w:p>
    <w:p w14:paraId="1A54A30D">
      <w:pPr>
        <w:rPr>
          <w:rFonts w:hint="eastAsia" w:ascii="宋体" w:hAnsi="宋体" w:eastAsia="宋体" w:cs="宋体"/>
          <w:b/>
          <w:color w:val="auto"/>
          <w:kern w:val="2"/>
          <w:sz w:val="30"/>
          <w:szCs w:val="30"/>
          <w:highlight w:val="none"/>
        </w:rPr>
      </w:pPr>
    </w:p>
    <w:p w14:paraId="7C80828B">
      <w:pPr>
        <w:tabs>
          <w:tab w:val="left" w:pos="5869"/>
        </w:tabs>
        <w:rPr>
          <w:rFonts w:hint="eastAsia" w:ascii="宋体" w:hAnsi="宋体" w:eastAsia="宋体" w:cs="宋体"/>
          <w:b/>
          <w:color w:val="auto"/>
          <w:kern w:val="2"/>
          <w:sz w:val="30"/>
          <w:szCs w:val="30"/>
          <w:highlight w:val="none"/>
        </w:rPr>
      </w:pPr>
    </w:p>
    <w:p w14:paraId="25FF40E2">
      <w:pPr>
        <w:pStyle w:val="6"/>
        <w:ind w:left="0" w:leftChars="0" w:firstLine="0" w:firstLineChars="0"/>
        <w:rPr>
          <w:rFonts w:hint="eastAsia" w:ascii="宋体" w:hAnsi="宋体" w:eastAsia="宋体" w:cs="宋体"/>
          <w:b/>
          <w:color w:val="auto"/>
          <w:kern w:val="2"/>
          <w:sz w:val="32"/>
          <w:szCs w:val="32"/>
          <w:highlight w:val="none"/>
        </w:rPr>
      </w:pPr>
      <w:bookmarkStart w:id="4" w:name="_Toc10755"/>
    </w:p>
    <w:p w14:paraId="7F0D0867">
      <w:pPr>
        <w:pStyle w:val="6"/>
        <w:rPr>
          <w:rFonts w:hint="eastAsia" w:ascii="宋体" w:hAnsi="宋体" w:eastAsia="宋体" w:cs="宋体"/>
          <w:b/>
          <w:color w:val="auto"/>
          <w:kern w:val="2"/>
          <w:sz w:val="32"/>
          <w:szCs w:val="32"/>
          <w:highlight w:val="none"/>
        </w:rPr>
      </w:pPr>
    </w:p>
    <w:p w14:paraId="1EEE0224">
      <w:pPr>
        <w:pStyle w:val="6"/>
        <w:rPr>
          <w:rFonts w:hint="eastAsia" w:ascii="宋体" w:hAnsi="宋体" w:eastAsia="宋体" w:cs="宋体"/>
          <w:b/>
          <w:color w:val="auto"/>
          <w:kern w:val="2"/>
          <w:sz w:val="32"/>
          <w:szCs w:val="32"/>
          <w:highlight w:val="none"/>
        </w:rPr>
      </w:pPr>
    </w:p>
    <w:p w14:paraId="68016603">
      <w:pPr>
        <w:spacing w:line="360" w:lineRule="auto"/>
        <w:ind w:right="265" w:rightChars="126"/>
        <w:outlineLvl w:val="0"/>
        <w:rPr>
          <w:rFonts w:hint="eastAsia" w:ascii="宋体" w:hAnsi="宋体" w:eastAsia="宋体" w:cs="宋体"/>
          <w:b/>
          <w:color w:val="auto"/>
          <w:kern w:val="2"/>
          <w:sz w:val="32"/>
          <w:szCs w:val="32"/>
          <w:highlight w:val="none"/>
        </w:rPr>
      </w:pPr>
    </w:p>
    <w:p w14:paraId="1478F981">
      <w:pPr>
        <w:spacing w:line="360" w:lineRule="auto"/>
        <w:ind w:right="265" w:rightChars="126" w:firstLine="1285" w:firstLineChars="400"/>
        <w:outlineLvl w:val="0"/>
        <w:rPr>
          <w:rFonts w:hint="eastAsia" w:ascii="宋体" w:hAnsi="宋体" w:eastAsia="宋体" w:cs="宋体"/>
          <w:b/>
          <w:color w:val="auto"/>
          <w:kern w:val="2"/>
          <w:sz w:val="32"/>
          <w:szCs w:val="32"/>
          <w:highlight w:val="none"/>
          <w:lang w:eastAsia="zh-CN"/>
        </w:rPr>
      </w:pPr>
      <w:r>
        <w:rPr>
          <w:rFonts w:hint="eastAsia" w:ascii="宋体" w:hAnsi="宋体" w:eastAsia="宋体" w:cs="宋体"/>
          <w:b/>
          <w:color w:val="auto"/>
          <w:kern w:val="2"/>
          <w:sz w:val="32"/>
          <w:szCs w:val="32"/>
          <w:highlight w:val="none"/>
        </w:rPr>
        <w:t>采  购  人：</w:t>
      </w:r>
      <w:bookmarkEnd w:id="4"/>
      <w:r>
        <w:rPr>
          <w:rFonts w:hint="eastAsia" w:ascii="宋体" w:hAnsi="宋体" w:eastAsia="宋体" w:cs="宋体"/>
          <w:b/>
          <w:color w:val="auto"/>
          <w:kern w:val="2"/>
          <w:sz w:val="32"/>
          <w:szCs w:val="32"/>
          <w:highlight w:val="none"/>
          <w:lang w:eastAsia="zh-CN"/>
        </w:rPr>
        <w:t>贺州市平桂区羊头镇人民政府</w:t>
      </w:r>
    </w:p>
    <w:p w14:paraId="48A3EEF1">
      <w:pPr>
        <w:spacing w:line="360" w:lineRule="auto"/>
        <w:ind w:right="265" w:rightChars="126"/>
        <w:rPr>
          <w:rFonts w:hint="eastAsia" w:ascii="宋体" w:hAnsi="宋体" w:eastAsia="宋体" w:cs="宋体"/>
          <w:b/>
          <w:color w:val="auto"/>
          <w:kern w:val="2"/>
          <w:sz w:val="32"/>
          <w:szCs w:val="32"/>
          <w:highlight w:val="none"/>
        </w:rPr>
      </w:pPr>
    </w:p>
    <w:p w14:paraId="42BF7695">
      <w:pPr>
        <w:spacing w:line="360" w:lineRule="auto"/>
        <w:ind w:right="265" w:rightChars="126"/>
        <w:jc w:val="center"/>
        <w:outlineLvl w:val="0"/>
        <w:rPr>
          <w:rFonts w:hint="eastAsia" w:ascii="宋体" w:hAnsi="宋体" w:eastAsia="宋体" w:cs="宋体"/>
          <w:b/>
          <w:color w:val="auto"/>
          <w:kern w:val="2"/>
          <w:sz w:val="32"/>
          <w:szCs w:val="32"/>
          <w:highlight w:val="none"/>
        </w:rPr>
      </w:pPr>
      <w:bookmarkStart w:id="5" w:name="_Toc29994"/>
      <w:r>
        <w:rPr>
          <w:rFonts w:hint="eastAsia" w:ascii="宋体" w:hAnsi="宋体" w:eastAsia="宋体" w:cs="宋体"/>
          <w:b/>
          <w:color w:val="auto"/>
          <w:kern w:val="2"/>
          <w:sz w:val="32"/>
          <w:szCs w:val="32"/>
          <w:highlight w:val="none"/>
        </w:rPr>
        <w:t>采购代理机构：</w:t>
      </w:r>
      <w:bookmarkEnd w:id="5"/>
      <w:r>
        <w:rPr>
          <w:rFonts w:hint="eastAsia" w:ascii="宋体" w:hAnsi="宋体" w:eastAsia="宋体" w:cs="宋体"/>
          <w:b/>
          <w:color w:val="auto"/>
          <w:kern w:val="2"/>
          <w:sz w:val="32"/>
          <w:szCs w:val="32"/>
          <w:highlight w:val="none"/>
          <w:lang w:eastAsia="zh-CN"/>
        </w:rPr>
        <w:t xml:space="preserve">广西致稳工程咨询有限责任公司 </w:t>
      </w:r>
    </w:p>
    <w:p w14:paraId="13FE649B">
      <w:pPr>
        <w:ind w:firstLine="3213" w:firstLineChars="1000"/>
        <w:rPr>
          <w:rFonts w:hint="eastAsia" w:ascii="宋体" w:hAnsi="宋体" w:eastAsia="宋体" w:cs="宋体"/>
          <w:b/>
          <w:color w:val="auto"/>
          <w:kern w:val="2"/>
          <w:sz w:val="32"/>
          <w:szCs w:val="32"/>
          <w:highlight w:val="none"/>
          <w:lang w:eastAsia="zh-CN"/>
        </w:rPr>
      </w:pPr>
    </w:p>
    <w:p w14:paraId="3AC2ADA9">
      <w:pPr>
        <w:jc w:val="center"/>
        <w:rPr>
          <w:rFonts w:hint="eastAsia" w:ascii="宋体" w:hAnsi="宋体" w:eastAsia="宋体" w:cs="宋体"/>
          <w:color w:val="auto"/>
          <w:kern w:val="0"/>
          <w:highlight w:val="none"/>
        </w:rPr>
      </w:pPr>
      <w:r>
        <w:rPr>
          <w:rFonts w:hint="eastAsia" w:ascii="宋体" w:hAnsi="宋体" w:eastAsia="宋体" w:cs="宋体"/>
          <w:b/>
          <w:color w:val="auto"/>
          <w:kern w:val="2"/>
          <w:sz w:val="32"/>
          <w:szCs w:val="32"/>
          <w:highlight w:val="none"/>
          <w:lang w:eastAsia="zh-CN"/>
        </w:rPr>
        <w:t>202</w:t>
      </w:r>
      <w:r>
        <w:rPr>
          <w:rFonts w:hint="eastAsia" w:ascii="宋体" w:hAnsi="宋体" w:eastAsia="宋体" w:cs="宋体"/>
          <w:b/>
          <w:color w:val="auto"/>
          <w:kern w:val="2"/>
          <w:sz w:val="32"/>
          <w:szCs w:val="32"/>
          <w:highlight w:val="none"/>
          <w:lang w:val="en-US" w:eastAsia="zh-CN"/>
        </w:rPr>
        <w:t>5</w:t>
      </w:r>
      <w:r>
        <w:rPr>
          <w:rFonts w:hint="eastAsia" w:ascii="宋体" w:hAnsi="宋体" w:eastAsia="宋体" w:cs="宋体"/>
          <w:b/>
          <w:color w:val="auto"/>
          <w:kern w:val="2"/>
          <w:sz w:val="32"/>
          <w:szCs w:val="32"/>
          <w:highlight w:val="none"/>
          <w:lang w:eastAsia="zh-CN"/>
        </w:rPr>
        <w:t>年</w:t>
      </w:r>
      <w:r>
        <w:rPr>
          <w:rFonts w:hint="eastAsia" w:ascii="宋体" w:hAnsi="宋体" w:eastAsia="宋体" w:cs="宋体"/>
          <w:b/>
          <w:color w:val="auto"/>
          <w:kern w:val="2"/>
          <w:sz w:val="32"/>
          <w:szCs w:val="32"/>
          <w:highlight w:val="none"/>
          <w:lang w:val="en-US" w:eastAsia="zh-CN"/>
        </w:rPr>
        <w:t xml:space="preserve"> 01月24日</w:t>
      </w:r>
    </w:p>
    <w:p w14:paraId="6F6644F5">
      <w:pPr>
        <w:pStyle w:val="11"/>
        <w:tabs>
          <w:tab w:val="right" w:leader="dot" w:pos="9283"/>
        </w:tabs>
        <w:spacing w:line="360" w:lineRule="auto"/>
        <w:jc w:val="center"/>
        <w:outlineLvl w:val="0"/>
        <w:rPr>
          <w:rFonts w:hint="eastAsia" w:ascii="宋体" w:hAnsi="宋体" w:eastAsia="宋体" w:cs="宋体"/>
          <w:color w:val="auto"/>
          <w:sz w:val="36"/>
          <w:szCs w:val="36"/>
          <w:highlight w:val="none"/>
        </w:rPr>
        <w:sectPr>
          <w:footerReference r:id="rId3" w:type="default"/>
          <w:pgSz w:w="11907" w:h="16840"/>
          <w:pgMar w:top="1440" w:right="1270" w:bottom="1440" w:left="1397" w:header="851" w:footer="851" w:gutter="0"/>
          <w:pgNumType w:fmt="decimal" w:start="1"/>
          <w:cols w:space="720" w:num="1"/>
          <w:docGrid w:linePitch="312" w:charSpace="0"/>
        </w:sectPr>
      </w:pPr>
    </w:p>
    <w:p w14:paraId="5D42FC93">
      <w:pPr>
        <w:pStyle w:val="11"/>
        <w:tabs>
          <w:tab w:val="right" w:leader="dot" w:pos="9283"/>
        </w:tabs>
        <w:spacing w:line="360" w:lineRule="auto"/>
        <w:jc w:val="center"/>
        <w:outlineLvl w:val="0"/>
        <w:rPr>
          <w:rFonts w:hint="eastAsia" w:ascii="宋体" w:hAnsi="宋体" w:eastAsia="宋体" w:cs="宋体"/>
          <w:b/>
          <w:color w:val="auto"/>
          <w:highlight w:val="none"/>
        </w:rPr>
      </w:pPr>
      <w:r>
        <w:rPr>
          <w:rFonts w:hint="eastAsia" w:ascii="宋体" w:hAnsi="宋体" w:eastAsia="宋体" w:cs="宋体"/>
          <w:color w:val="auto"/>
          <w:sz w:val="36"/>
          <w:szCs w:val="36"/>
          <w:highlight w:val="none"/>
        </w:rPr>
        <w:t>目  录</w:t>
      </w:r>
    </w:p>
    <w:sdt>
      <w:sdtPr>
        <w:rPr>
          <w:rFonts w:hint="eastAsia" w:ascii="宋体" w:hAnsi="宋体" w:eastAsia="宋体" w:cs="宋体"/>
          <w:color w:val="auto"/>
          <w:sz w:val="21"/>
          <w:szCs w:val="21"/>
          <w:highlight w:val="none"/>
          <w:lang w:val="en-US" w:eastAsia="zh-CN" w:bidi="ar-SA"/>
        </w:rPr>
        <w:id w:val="147453809"/>
        <w15:color w:val="DBDBDB"/>
        <w:docPartObj>
          <w:docPartGallery w:val="Table of Contents"/>
          <w:docPartUnique/>
        </w:docPartObj>
      </w:sdtPr>
      <w:sdtEndPr>
        <w:rPr>
          <w:rFonts w:hint="eastAsia" w:ascii="宋体" w:hAnsi="宋体" w:eastAsia="宋体" w:cs="宋体"/>
          <w:color w:val="auto"/>
          <w:sz w:val="21"/>
          <w:szCs w:val="44"/>
          <w:highlight w:val="none"/>
          <w:lang w:val="en-US" w:eastAsia="zh-CN" w:bidi="ar-SA"/>
        </w:rPr>
      </w:sdtEndPr>
      <w:sdtContent>
        <w:p w14:paraId="61AA26E8">
          <w:pPr>
            <w:spacing w:before="0" w:beforeLines="0" w:after="0" w:afterLines="0" w:line="240" w:lineRule="auto"/>
            <w:ind w:left="0" w:leftChars="0" w:right="0" w:rightChars="0" w:firstLine="0" w:firstLineChars="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44"/>
              <w:highlight w:val="none"/>
            </w:rPr>
            <w:fldChar w:fldCharType="begin"/>
          </w:r>
          <w:r>
            <w:rPr>
              <w:rFonts w:hint="eastAsia" w:ascii="宋体" w:hAnsi="宋体" w:eastAsia="宋体" w:cs="宋体"/>
              <w:color w:val="auto"/>
              <w:sz w:val="32"/>
              <w:szCs w:val="44"/>
              <w:highlight w:val="none"/>
            </w:rPr>
            <w:instrText xml:space="preserve">TOC \o "1-1" \h \u </w:instrText>
          </w:r>
          <w:r>
            <w:rPr>
              <w:rFonts w:hint="eastAsia" w:ascii="宋体" w:hAnsi="宋体" w:eastAsia="宋体" w:cs="宋体"/>
              <w:color w:val="auto"/>
              <w:sz w:val="32"/>
              <w:szCs w:val="44"/>
              <w:highlight w:val="none"/>
            </w:rPr>
            <w:fldChar w:fldCharType="separate"/>
          </w:r>
        </w:p>
        <w:p w14:paraId="0259A6A4">
          <w:pPr>
            <w:pStyle w:val="18"/>
            <w:tabs>
              <w:tab w:val="right" w:leader="dot" w:pos="924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_Toc20595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0"/>
              <w:sz w:val="28"/>
              <w:szCs w:val="28"/>
              <w:highlight w:val="none"/>
            </w:rPr>
            <w:t>第一章  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_Toc20595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C44BC6C">
          <w:pPr>
            <w:pStyle w:val="18"/>
            <w:tabs>
              <w:tab w:val="right" w:leader="dot" w:pos="924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_Toc4726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14:paraId="5BBEED9D">
          <w:pPr>
            <w:pStyle w:val="18"/>
            <w:tabs>
              <w:tab w:val="right" w:leader="dot" w:pos="9240"/>
            </w:tabs>
            <w:spacing w:line="48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_Toc24488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0"/>
              <w:sz w:val="28"/>
              <w:szCs w:val="28"/>
              <w:highlight w:val="none"/>
            </w:rPr>
            <w:t>第三章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2</w:t>
          </w:r>
        </w:p>
        <w:p w14:paraId="1CD916C4">
          <w:pPr>
            <w:pStyle w:val="18"/>
            <w:tabs>
              <w:tab w:val="right" w:leader="dot" w:pos="9240"/>
            </w:tabs>
            <w:spacing w:line="48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_Toc23246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lang w:val="zh-CN"/>
            </w:rPr>
            <w:t>第四章  合同条款及格式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006CC29F">
          <w:pPr>
            <w:pStyle w:val="18"/>
            <w:tabs>
              <w:tab w:val="right" w:leader="dot" w:pos="9240"/>
            </w:tabs>
            <w:spacing w:line="48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_Toc7688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技术标准和要求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7</w:t>
          </w:r>
        </w:p>
        <w:p w14:paraId="5164D5B7">
          <w:pPr>
            <w:pStyle w:val="18"/>
            <w:tabs>
              <w:tab w:val="right" w:leader="dot" w:pos="9240"/>
            </w:tabs>
            <w:spacing w:line="48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_Toc32094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0"/>
              <w:sz w:val="28"/>
              <w:szCs w:val="28"/>
              <w:highlight w:val="none"/>
            </w:rPr>
            <w:t>第六章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1D69AF17">
          <w:pPr>
            <w:pStyle w:val="18"/>
            <w:tabs>
              <w:tab w:val="right" w:leader="dot" w:pos="9240"/>
            </w:tabs>
            <w:spacing w:line="48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_Toc8448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0"/>
              <w:sz w:val="28"/>
              <w:szCs w:val="28"/>
              <w:highlight w:val="none"/>
            </w:rPr>
            <w:t>第七章  工程量清单（附后）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3</w:t>
          </w:r>
        </w:p>
        <w:p w14:paraId="142BE772">
          <w:pPr>
            <w:rPr>
              <w:rFonts w:hint="eastAsia" w:ascii="宋体" w:hAnsi="宋体" w:eastAsia="宋体" w:cs="宋体"/>
              <w:color w:val="auto"/>
              <w:kern w:val="0"/>
              <w:highlight w:val="none"/>
            </w:rPr>
          </w:pPr>
          <w:r>
            <w:rPr>
              <w:rFonts w:hint="eastAsia" w:ascii="宋体" w:hAnsi="宋体" w:eastAsia="宋体" w:cs="宋体"/>
              <w:color w:val="auto"/>
              <w:szCs w:val="44"/>
              <w:highlight w:val="none"/>
            </w:rPr>
            <w:fldChar w:fldCharType="end"/>
          </w:r>
        </w:p>
      </w:sdtContent>
    </w:sdt>
    <w:p w14:paraId="27A75FA3">
      <w:pPr>
        <w:rPr>
          <w:rFonts w:hint="eastAsia" w:ascii="宋体" w:hAnsi="宋体" w:eastAsia="宋体" w:cs="宋体"/>
          <w:color w:val="auto"/>
          <w:kern w:val="0"/>
          <w:highlight w:val="none"/>
        </w:rPr>
      </w:pPr>
    </w:p>
    <w:p w14:paraId="01820BF8">
      <w:pPr>
        <w:pStyle w:val="2"/>
        <w:jc w:val="center"/>
        <w:rPr>
          <w:rFonts w:hint="eastAsia" w:ascii="宋体" w:hAnsi="宋体" w:eastAsia="宋体" w:cs="宋体"/>
          <w:color w:val="auto"/>
          <w:kern w:val="0"/>
          <w:highlight w:val="none"/>
        </w:rPr>
      </w:pPr>
    </w:p>
    <w:p w14:paraId="0EDD4F6C">
      <w:pPr>
        <w:bidi w:val="0"/>
        <w:rPr>
          <w:rFonts w:hint="eastAsia" w:ascii="宋体" w:hAnsi="宋体" w:eastAsia="宋体" w:cs="宋体"/>
          <w:color w:val="auto"/>
          <w:highlight w:val="none"/>
        </w:rPr>
      </w:pPr>
    </w:p>
    <w:p w14:paraId="2DF86D85">
      <w:pPr>
        <w:bidi w:val="0"/>
        <w:rPr>
          <w:rFonts w:hint="eastAsia" w:ascii="宋体" w:hAnsi="宋体" w:eastAsia="宋体" w:cs="宋体"/>
          <w:color w:val="auto"/>
          <w:highlight w:val="none"/>
        </w:rPr>
      </w:pPr>
    </w:p>
    <w:p w14:paraId="088BB215">
      <w:pPr>
        <w:bidi w:val="0"/>
        <w:rPr>
          <w:rFonts w:hint="eastAsia" w:ascii="宋体" w:hAnsi="宋体" w:eastAsia="宋体" w:cs="宋体"/>
          <w:color w:val="auto"/>
          <w:highlight w:val="none"/>
        </w:rPr>
      </w:pPr>
    </w:p>
    <w:p w14:paraId="475B6CBE">
      <w:pPr>
        <w:tabs>
          <w:tab w:val="left" w:pos="6214"/>
        </w:tabs>
        <w:bidi w:val="0"/>
        <w:jc w:val="left"/>
        <w:rPr>
          <w:rFonts w:hint="eastAsia" w:ascii="宋体" w:hAnsi="宋体" w:eastAsia="宋体" w:cs="宋体"/>
          <w:color w:val="auto"/>
          <w:highlight w:val="none"/>
          <w:lang w:eastAsia="zh-CN"/>
        </w:rPr>
        <w:sectPr>
          <w:footerReference r:id="rId4" w:type="default"/>
          <w:pgSz w:w="11907" w:h="16840"/>
          <w:pgMar w:top="1440" w:right="1270" w:bottom="1440" w:left="1397" w:header="851" w:footer="851" w:gutter="0"/>
          <w:pgNumType w:fmt="decimal" w:start="1"/>
          <w:cols w:space="720" w:num="1"/>
          <w:docGrid w:linePitch="312" w:charSpace="0"/>
        </w:sectPr>
      </w:pPr>
      <w:r>
        <w:rPr>
          <w:rFonts w:hint="eastAsia" w:ascii="宋体" w:hAnsi="宋体" w:eastAsia="宋体" w:cs="宋体"/>
          <w:color w:val="auto"/>
          <w:highlight w:val="none"/>
          <w:lang w:eastAsia="zh-CN"/>
        </w:rPr>
        <w:tab/>
      </w:r>
    </w:p>
    <w:p w14:paraId="39BD332C">
      <w:pPr>
        <w:pStyle w:val="2"/>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第一章  竞争性磋商公告</w:t>
      </w:r>
      <w:bookmarkEnd w:id="0"/>
      <w:bookmarkEnd w:id="1"/>
      <w:bookmarkEnd w:id="2"/>
    </w:p>
    <w:p w14:paraId="5B352496">
      <w:pPr>
        <w:spacing w:line="360" w:lineRule="auto"/>
        <w:jc w:val="center"/>
        <w:rPr>
          <w:rFonts w:hint="eastAsia" w:ascii="宋体" w:hAnsi="宋体" w:eastAsia="宋体" w:cs="宋体"/>
          <w:b/>
          <w:color w:val="auto"/>
          <w:sz w:val="27"/>
          <w:szCs w:val="27"/>
          <w:highlight w:val="none"/>
          <w:lang w:eastAsia="zh-CN"/>
        </w:rPr>
      </w:pPr>
      <w:bookmarkStart w:id="6" w:name="_Toc35393797"/>
      <w:bookmarkStart w:id="7" w:name="_Toc28359011"/>
      <w:r>
        <w:rPr>
          <w:rFonts w:hint="eastAsia" w:ascii="宋体" w:hAnsi="宋体" w:eastAsia="宋体" w:cs="宋体"/>
          <w:b/>
          <w:color w:val="auto"/>
          <w:sz w:val="27"/>
          <w:szCs w:val="27"/>
          <w:highlight w:val="none"/>
          <w:lang w:eastAsia="zh-CN"/>
        </w:rPr>
        <w:t>广西致稳工程咨询有限责任公司</w:t>
      </w:r>
    </w:p>
    <w:p w14:paraId="0316BB6A">
      <w:pPr>
        <w:spacing w:line="360" w:lineRule="auto"/>
        <w:jc w:val="center"/>
        <w:rPr>
          <w:rFonts w:hint="eastAsia" w:ascii="宋体" w:hAnsi="宋体" w:eastAsia="宋体" w:cs="宋体"/>
          <w:b/>
          <w:color w:val="auto"/>
          <w:sz w:val="27"/>
          <w:szCs w:val="27"/>
          <w:highlight w:val="none"/>
        </w:rPr>
      </w:pPr>
      <w:r>
        <w:rPr>
          <w:rFonts w:hint="eastAsia" w:ascii="宋体" w:hAnsi="宋体" w:eastAsia="宋体" w:cs="宋体"/>
          <w:b/>
          <w:color w:val="auto"/>
          <w:sz w:val="27"/>
          <w:szCs w:val="27"/>
          <w:highlight w:val="none"/>
        </w:rPr>
        <w:t>关于</w:t>
      </w:r>
      <w:r>
        <w:rPr>
          <w:rFonts w:hint="eastAsia" w:ascii="宋体" w:hAnsi="宋体" w:eastAsia="宋体" w:cs="宋体"/>
          <w:b/>
          <w:color w:val="auto"/>
          <w:sz w:val="27"/>
          <w:szCs w:val="27"/>
          <w:highlight w:val="none"/>
          <w:lang w:eastAsia="zh-CN"/>
        </w:rPr>
        <w:t>贺州市平桂区羊头镇政府公租房2024年维修维护工程</w:t>
      </w:r>
      <w:r>
        <w:rPr>
          <w:rFonts w:hint="eastAsia" w:ascii="宋体" w:hAnsi="宋体" w:eastAsia="宋体" w:cs="宋体"/>
          <w:b/>
          <w:color w:val="auto"/>
          <w:sz w:val="28"/>
          <w:szCs w:val="28"/>
          <w:highlight w:val="none"/>
        </w:rPr>
        <w:t>（项目编号：HZZC2025-C2-030005-GXZW）</w:t>
      </w:r>
      <w:r>
        <w:rPr>
          <w:rFonts w:hint="eastAsia" w:ascii="宋体" w:hAnsi="宋体" w:eastAsia="宋体" w:cs="宋体"/>
          <w:b/>
          <w:color w:val="auto"/>
          <w:sz w:val="27"/>
          <w:szCs w:val="27"/>
          <w:highlight w:val="none"/>
        </w:rPr>
        <w:t>竞争性磋商公告</w:t>
      </w:r>
      <w:bookmarkEnd w:id="6"/>
      <w:bookmarkEnd w:id="7"/>
      <w:r>
        <w:rPr>
          <w:rFonts w:hint="eastAsia" w:ascii="宋体" w:hAnsi="宋体" w:eastAsia="宋体" w:cs="宋体"/>
          <w:b/>
          <w:color w:val="auto"/>
          <w:sz w:val="27"/>
          <w:szCs w:val="27"/>
          <w:highlight w:val="none"/>
          <w:lang w:eastAsia="zh-CN"/>
        </w:rPr>
        <w:t>（远程异地评标）</w:t>
      </w:r>
    </w:p>
    <w:p w14:paraId="069F3FA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项目概况</w:t>
      </w:r>
    </w:p>
    <w:p w14:paraId="4BC74AE4">
      <w:pPr>
        <w:pBdr>
          <w:top w:val="single" w:color="auto" w:sz="4" w:space="1"/>
          <w:left w:val="single" w:color="auto" w:sz="4" w:space="4"/>
          <w:bottom w:val="single" w:color="auto" w:sz="4" w:space="1"/>
          <w:right w:val="single" w:color="auto" w:sz="4" w:space="4"/>
        </w:pBdr>
        <w:spacing w:line="360" w:lineRule="auto"/>
        <w:ind w:firstLine="420"/>
        <w:rPr>
          <w:rFonts w:hint="eastAsia" w:ascii="宋体" w:hAnsi="宋体" w:eastAsia="宋体" w:cs="宋体"/>
          <w:color w:val="auto"/>
          <w:sz w:val="28"/>
          <w:szCs w:val="28"/>
          <w:highlight w:val="none"/>
        </w:rPr>
      </w:pPr>
      <w:r>
        <w:rPr>
          <w:rFonts w:hint="eastAsia" w:ascii="宋体" w:hAnsi="宋体" w:eastAsia="宋体" w:cs="宋体"/>
          <w:color w:val="auto"/>
          <w:highlight w:val="none"/>
          <w:u w:val="single"/>
          <w:lang w:eastAsia="zh-CN"/>
        </w:rPr>
        <w:t>贺州市平桂区羊头镇政府公租房2024年维修维护工程</w:t>
      </w:r>
      <w:r>
        <w:rPr>
          <w:rFonts w:hint="eastAsia" w:ascii="宋体" w:hAnsi="宋体" w:eastAsia="宋体" w:cs="宋体"/>
          <w:color w:val="auto"/>
          <w:highlight w:val="none"/>
        </w:rPr>
        <w:t>采购项目的潜在供应商应在</w:t>
      </w:r>
      <w:r>
        <w:rPr>
          <w:rFonts w:hint="eastAsia" w:ascii="宋体" w:hAnsi="宋体" w:eastAsia="宋体" w:cs="宋体"/>
          <w:color w:val="auto"/>
          <w:highlight w:val="none"/>
          <w:lang w:eastAsia="zh-CN"/>
        </w:rPr>
        <w:t>广西政府采购云平台（https://www.gcy.zfcg.gxzf.gov.cn/）</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"https://www.zcygov.cn/获取采购文件，并于2022年"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获取采购文件，并于</w:t>
      </w:r>
      <w:r>
        <w:rPr>
          <w:rStyle w:val="17"/>
          <w:rFonts w:hint="eastAsia" w:ascii="宋体" w:hAnsi="宋体" w:eastAsia="宋体" w:cs="宋体"/>
          <w:color w:val="auto"/>
          <w:highlight w:val="none"/>
          <w:lang w:eastAsia="zh-CN"/>
        </w:rPr>
        <w:t>202</w:t>
      </w:r>
      <w:r>
        <w:rPr>
          <w:rStyle w:val="17"/>
          <w:rFonts w:hint="eastAsia" w:ascii="宋体" w:hAnsi="宋体" w:eastAsia="宋体" w:cs="宋体"/>
          <w:color w:val="auto"/>
          <w:highlight w:val="none"/>
          <w:lang w:val="en-US" w:eastAsia="zh-CN"/>
        </w:rPr>
        <w:t>5</w:t>
      </w:r>
      <w:r>
        <w:rPr>
          <w:rStyle w:val="17"/>
          <w:rFonts w:hint="eastAsia" w:ascii="宋体" w:hAnsi="宋体" w:eastAsia="宋体" w:cs="宋体"/>
          <w:color w:val="auto"/>
          <w:highlight w:val="none"/>
          <w:lang w:eastAsia="zh-CN"/>
        </w:rPr>
        <w:t>年</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 xml:space="preserve"> 02月 08 日09</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 xml:space="preserve"> 00</w:t>
      </w:r>
      <w:r>
        <w:rPr>
          <w:rFonts w:hint="eastAsia" w:ascii="宋体" w:hAnsi="宋体" w:eastAsia="宋体" w:cs="宋体"/>
          <w:color w:val="auto"/>
          <w:highlight w:val="none"/>
        </w:rPr>
        <w:t>分</w:t>
      </w:r>
      <w:r>
        <w:rPr>
          <w:rFonts w:hint="eastAsia" w:ascii="宋体" w:hAnsi="宋体" w:eastAsia="宋体" w:cs="宋体"/>
          <w:bCs/>
          <w:color w:val="auto"/>
          <w:highlight w:val="none"/>
        </w:rPr>
        <w:t>（北京时间）前提交响应文件</w:t>
      </w:r>
      <w:r>
        <w:rPr>
          <w:rFonts w:hint="eastAsia" w:ascii="宋体" w:hAnsi="宋体" w:eastAsia="宋体" w:cs="宋体"/>
          <w:color w:val="auto"/>
          <w:highlight w:val="none"/>
        </w:rPr>
        <w:t>。</w:t>
      </w:r>
    </w:p>
    <w:p w14:paraId="032D1989">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color w:val="auto"/>
          <w:highlight w:val="none"/>
        </w:rPr>
      </w:pPr>
      <w:bookmarkStart w:id="8" w:name="_Toc28359012"/>
      <w:bookmarkStart w:id="9" w:name="_Toc28359089"/>
      <w:bookmarkStart w:id="10" w:name="_Toc35393798"/>
      <w:bookmarkStart w:id="11" w:name="_Toc35393629"/>
      <w:r>
        <w:rPr>
          <w:rFonts w:hint="eastAsia" w:ascii="宋体" w:hAnsi="宋体" w:eastAsia="宋体" w:cs="宋体"/>
          <w:b/>
          <w:color w:val="auto"/>
          <w:highlight w:val="none"/>
        </w:rPr>
        <w:t>一、项目基本情况</w:t>
      </w:r>
      <w:bookmarkEnd w:id="8"/>
      <w:bookmarkEnd w:id="9"/>
      <w:bookmarkEnd w:id="10"/>
      <w:bookmarkEnd w:id="11"/>
    </w:p>
    <w:p w14:paraId="04268736">
      <w:pPr>
        <w:spacing w:line="360" w:lineRule="auto"/>
        <w:ind w:firstLine="424" w:firstLineChars="202"/>
        <w:rPr>
          <w:rFonts w:hint="eastAsia" w:ascii="宋体" w:hAnsi="宋体" w:eastAsia="宋体" w:cs="宋体"/>
          <w:color w:val="auto"/>
          <w:highlight w:val="none"/>
          <w:lang w:eastAsia="zh-CN"/>
        </w:rPr>
      </w:pPr>
      <w:r>
        <w:rPr>
          <w:rFonts w:hint="eastAsia" w:ascii="宋体" w:hAnsi="宋体" w:eastAsia="宋体" w:cs="宋体"/>
          <w:color w:val="auto"/>
          <w:highlight w:val="none"/>
        </w:rPr>
        <w:t>1.项目编号：HZZC2025-C2-030005-GXZW</w:t>
      </w:r>
    </w:p>
    <w:p w14:paraId="649414C5">
      <w:pPr>
        <w:spacing w:line="360" w:lineRule="auto"/>
        <w:ind w:firstLine="424" w:firstLineChars="202"/>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2.项目名称：</w:t>
      </w:r>
      <w:r>
        <w:rPr>
          <w:rFonts w:hint="eastAsia" w:ascii="宋体" w:hAnsi="宋体" w:eastAsia="宋体" w:cs="宋体"/>
          <w:color w:val="auto"/>
          <w:highlight w:val="none"/>
          <w:lang w:eastAsia="zh-CN"/>
        </w:rPr>
        <w:t>贺州市平桂区羊头镇政府公租房2024年维修维护工程</w:t>
      </w:r>
    </w:p>
    <w:p w14:paraId="0C1C5323">
      <w:pPr>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3.采购方式：竞争性磋商</w:t>
      </w:r>
    </w:p>
    <w:p w14:paraId="523C2611">
      <w:pPr>
        <w:spacing w:line="360" w:lineRule="auto"/>
        <w:ind w:firstLine="426" w:firstLineChars="202"/>
        <w:rPr>
          <w:rFonts w:hint="eastAsia" w:ascii="宋体" w:hAnsi="宋体" w:eastAsia="宋体" w:cs="宋体"/>
          <w:b/>
          <w:bCs/>
          <w:color w:val="auto"/>
          <w:highlight w:val="none"/>
        </w:rPr>
      </w:pPr>
      <w:r>
        <w:rPr>
          <w:rFonts w:hint="eastAsia" w:ascii="宋体" w:hAnsi="宋体" w:eastAsia="宋体" w:cs="宋体"/>
          <w:b/>
          <w:bCs/>
          <w:color w:val="auto"/>
          <w:highlight w:val="none"/>
        </w:rPr>
        <w:t>4.预算金额：</w:t>
      </w:r>
      <w:r>
        <w:rPr>
          <w:rFonts w:hint="eastAsia" w:ascii="宋体" w:hAnsi="宋体" w:eastAsia="宋体" w:cs="宋体"/>
          <w:b/>
          <w:bCs/>
          <w:color w:val="auto"/>
          <w:highlight w:val="none"/>
          <w:lang w:val="en-US" w:eastAsia="zh-CN"/>
        </w:rPr>
        <w:t>人民币壹佰柒拾捌万肆仟柒佰贰拾贰元零壹分</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1784722.01</w:t>
      </w:r>
      <w:r>
        <w:rPr>
          <w:rFonts w:hint="eastAsia" w:ascii="宋体" w:hAnsi="宋体" w:eastAsia="宋体" w:cs="宋体"/>
          <w:b/>
          <w:bCs/>
          <w:color w:val="auto"/>
          <w:highlight w:val="none"/>
          <w:lang w:eastAsia="zh-CN"/>
        </w:rPr>
        <w:t>元）（含社会保险费</w:t>
      </w:r>
      <w:r>
        <w:rPr>
          <w:rFonts w:hint="eastAsia" w:ascii="宋体" w:hAnsi="宋体" w:eastAsia="宋体" w:cs="宋体"/>
          <w:b/>
          <w:bCs/>
          <w:color w:val="auto"/>
          <w:highlight w:val="none"/>
          <w:lang w:eastAsia="zh-CN"/>
        </w:rPr>
        <w:t>）</w:t>
      </w:r>
    </w:p>
    <w:p w14:paraId="7503C010">
      <w:pPr>
        <w:spacing w:line="360" w:lineRule="auto"/>
        <w:ind w:firstLine="426" w:firstLineChars="202"/>
        <w:rPr>
          <w:rFonts w:hint="eastAsia" w:ascii="宋体" w:hAnsi="宋体" w:eastAsia="宋体" w:cs="宋体"/>
          <w:color w:val="auto"/>
          <w:highlight w:val="none"/>
          <w:lang w:val="en-US"/>
        </w:rPr>
      </w:pPr>
      <w:r>
        <w:rPr>
          <w:rFonts w:hint="eastAsia" w:ascii="宋体" w:hAnsi="宋体" w:eastAsia="宋体" w:cs="宋体"/>
          <w:b/>
          <w:bCs/>
          <w:color w:val="auto"/>
          <w:highlight w:val="none"/>
        </w:rPr>
        <w:t>5.最高限价：</w:t>
      </w:r>
      <w:r>
        <w:rPr>
          <w:rFonts w:hint="eastAsia" w:ascii="宋体" w:hAnsi="宋体" w:eastAsia="宋体" w:cs="宋体"/>
          <w:b/>
          <w:bCs/>
          <w:color w:val="auto"/>
          <w:highlight w:val="none"/>
          <w:lang w:val="en-US" w:eastAsia="zh-CN"/>
        </w:rPr>
        <w:t>与预算金额一致</w:t>
      </w:r>
    </w:p>
    <w:p w14:paraId="747DABDA">
      <w:pPr>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6.采购需求：</w:t>
      </w:r>
    </w:p>
    <w:p w14:paraId="4F28D5F0">
      <w:pPr>
        <w:spacing w:line="360" w:lineRule="auto"/>
        <w:ind w:firstLine="424" w:firstLineChars="202"/>
        <w:rPr>
          <w:rFonts w:hint="eastAsia" w:ascii="宋体" w:hAnsi="宋体" w:eastAsia="宋体" w:cs="宋体"/>
          <w:color w:val="auto"/>
          <w:highlight w:val="none"/>
          <w:lang w:eastAsia="zh-CN"/>
        </w:rPr>
      </w:pPr>
      <w:r>
        <w:rPr>
          <w:rFonts w:hint="eastAsia" w:ascii="宋体" w:hAnsi="宋体" w:eastAsia="宋体" w:cs="宋体"/>
          <w:color w:val="auto"/>
          <w:highlight w:val="none"/>
        </w:rPr>
        <w:t>6.1建设规模：</w:t>
      </w:r>
      <w:r>
        <w:rPr>
          <w:rFonts w:hint="eastAsia" w:ascii="宋体" w:hAnsi="宋体" w:eastAsia="宋体" w:cs="宋体"/>
          <w:color w:val="auto"/>
          <w:highlight w:val="none"/>
          <w:lang w:eastAsia="zh-CN"/>
        </w:rPr>
        <w:t>主要建设内容</w:t>
      </w:r>
      <w:r>
        <w:rPr>
          <w:rFonts w:hint="eastAsia" w:ascii="宋体" w:hAnsi="宋体" w:eastAsia="宋体" w:cs="宋体"/>
          <w:color w:val="auto"/>
          <w:highlight w:val="none"/>
          <w:lang w:val="en-US" w:eastAsia="zh-CN"/>
        </w:rPr>
        <w:t>为主体翻新改造工程、拆除工程、室外工程、水电安装工程等</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eastAsia="zh-CN"/>
        </w:rPr>
        <w:t>具体建设内容以经财政投资评审的《工程量清单》载列为准，技术要求以经审图备案的《施工图设计》载明为准</w:t>
      </w:r>
      <w:r>
        <w:rPr>
          <w:rFonts w:hint="eastAsia" w:ascii="宋体" w:hAnsi="宋体" w:eastAsia="宋体" w:cs="宋体"/>
          <w:color w:val="auto"/>
          <w:highlight w:val="none"/>
          <w:lang w:eastAsia="zh-CN"/>
        </w:rPr>
        <w:t>。</w:t>
      </w:r>
    </w:p>
    <w:p w14:paraId="3B98C17F">
      <w:pPr>
        <w:spacing w:line="360" w:lineRule="auto"/>
        <w:ind w:firstLine="424" w:firstLineChars="202"/>
        <w:rPr>
          <w:rFonts w:hint="eastAsia" w:ascii="宋体" w:hAnsi="宋体" w:eastAsia="宋体" w:cs="宋体"/>
          <w:color w:val="auto"/>
          <w:highlight w:val="none"/>
          <w:lang w:eastAsia="zh-CN"/>
        </w:rPr>
      </w:pPr>
      <w:r>
        <w:rPr>
          <w:rFonts w:hint="eastAsia" w:ascii="宋体" w:hAnsi="宋体" w:eastAsia="宋体" w:cs="宋体"/>
          <w:color w:val="auto"/>
          <w:highlight w:val="none"/>
        </w:rPr>
        <w:t>6.2</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范围：</w:t>
      </w:r>
      <w:r>
        <w:rPr>
          <w:rFonts w:hint="eastAsia" w:ascii="宋体" w:hAnsi="宋体" w:eastAsia="宋体" w:cs="宋体"/>
          <w:color w:val="auto"/>
          <w:highlight w:val="none"/>
          <w:lang w:eastAsia="zh-CN"/>
        </w:rPr>
        <w:t>建设规模描述的施工，具体建设内容以经财政投资评审的《工程量清单》载列为准，技术要求以《施工图设计》载明为准</w:t>
      </w:r>
      <w:r>
        <w:rPr>
          <w:rFonts w:hint="eastAsia" w:ascii="宋体" w:hAnsi="宋体" w:eastAsia="宋体" w:cs="宋体"/>
          <w:color w:val="auto"/>
          <w:highlight w:val="none"/>
          <w:lang w:eastAsia="zh-CN"/>
        </w:rPr>
        <w:t>。</w:t>
      </w:r>
    </w:p>
    <w:p w14:paraId="777F8F98">
      <w:pPr>
        <w:pStyle w:val="7"/>
        <w:spacing w:line="360" w:lineRule="auto"/>
        <w:ind w:left="63" w:right="63" w:firstLine="361" w:firstLineChars="172"/>
        <w:jc w:val="left"/>
        <w:rPr>
          <w:rFonts w:hint="eastAsia" w:ascii="宋体" w:hAnsi="宋体" w:eastAsia="宋体" w:cs="宋体"/>
          <w:color w:val="auto"/>
          <w:highlight w:val="none"/>
        </w:rPr>
      </w:pPr>
      <w:r>
        <w:rPr>
          <w:rFonts w:hint="eastAsia" w:ascii="宋体" w:hAnsi="宋体" w:eastAsia="宋体" w:cs="宋体"/>
          <w:color w:val="auto"/>
          <w:highlight w:val="none"/>
        </w:rPr>
        <w:t>6.3</w:t>
      </w:r>
      <w:r>
        <w:rPr>
          <w:rFonts w:hint="eastAsia" w:ascii="宋体" w:hAnsi="宋体" w:eastAsia="宋体" w:cs="宋体"/>
          <w:bCs/>
          <w:color w:val="auto"/>
          <w:highlight w:val="none"/>
        </w:rPr>
        <w:t>质量要求：合格</w:t>
      </w:r>
    </w:p>
    <w:p w14:paraId="46FBBF4A">
      <w:pPr>
        <w:tabs>
          <w:tab w:val="left" w:pos="1680"/>
        </w:tabs>
        <w:spacing w:line="360" w:lineRule="auto"/>
        <w:ind w:right="27" w:rightChars="13" w:firstLine="424" w:firstLineChars="202"/>
        <w:rPr>
          <w:rFonts w:hint="eastAsia" w:ascii="宋体" w:hAnsi="宋体" w:eastAsia="宋体" w:cs="宋体"/>
          <w:bCs/>
          <w:color w:val="auto"/>
          <w:highlight w:val="none"/>
        </w:rPr>
      </w:pPr>
      <w:r>
        <w:rPr>
          <w:rFonts w:hint="eastAsia" w:ascii="宋体" w:hAnsi="宋体" w:eastAsia="宋体" w:cs="宋体"/>
          <w:bCs/>
          <w:color w:val="auto"/>
          <w:highlight w:val="none"/>
        </w:rPr>
        <w:t>7.</w:t>
      </w:r>
      <w:r>
        <w:rPr>
          <w:rFonts w:hint="eastAsia" w:ascii="宋体" w:hAnsi="宋体" w:eastAsia="宋体" w:cs="宋体"/>
          <w:bCs/>
          <w:color w:val="auto"/>
          <w:highlight w:val="none"/>
          <w:lang w:eastAsia="zh-CN"/>
        </w:rPr>
        <w:t>合同履行期限</w:t>
      </w: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90日历天</w:t>
      </w:r>
    </w:p>
    <w:p w14:paraId="66334E06">
      <w:pPr>
        <w:spacing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8.本项目（不接受）联合体。</w:t>
      </w:r>
    </w:p>
    <w:p w14:paraId="632B39E8">
      <w:pPr>
        <w:spacing w:line="360" w:lineRule="auto"/>
        <w:rPr>
          <w:rFonts w:hint="eastAsia" w:ascii="宋体" w:hAnsi="宋体" w:eastAsia="宋体" w:cs="宋体"/>
          <w:b/>
          <w:color w:val="auto"/>
          <w:highlight w:val="none"/>
        </w:rPr>
      </w:pPr>
      <w:bookmarkStart w:id="12" w:name="_Toc28359090"/>
      <w:bookmarkStart w:id="13" w:name="_Toc35393630"/>
      <w:bookmarkStart w:id="14" w:name="_Toc35393799"/>
      <w:bookmarkStart w:id="15" w:name="_Toc28359013"/>
      <w:r>
        <w:rPr>
          <w:rFonts w:hint="eastAsia" w:ascii="宋体" w:hAnsi="宋体" w:eastAsia="宋体" w:cs="宋体"/>
          <w:b/>
          <w:color w:val="auto"/>
          <w:highlight w:val="none"/>
        </w:rPr>
        <w:t>二、申请人的资格要求：</w:t>
      </w:r>
      <w:bookmarkEnd w:id="12"/>
      <w:bookmarkEnd w:id="13"/>
      <w:bookmarkEnd w:id="14"/>
      <w:bookmarkEnd w:id="15"/>
    </w:p>
    <w:p w14:paraId="15D627AC">
      <w:pPr>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14:paraId="55087DB1">
      <w:pPr>
        <w:spacing w:line="360" w:lineRule="auto"/>
        <w:ind w:firstLine="424" w:firstLineChars="202"/>
        <w:rPr>
          <w:rFonts w:hint="eastAsia" w:ascii="宋体" w:hAnsi="宋体" w:eastAsia="宋体" w:cs="宋体"/>
          <w:color w:val="auto"/>
          <w:highlight w:val="none"/>
          <w:lang w:eastAsia="zh-CN"/>
        </w:rPr>
      </w:pPr>
      <w:bookmarkStart w:id="16" w:name="_Toc28359091"/>
      <w:bookmarkStart w:id="17" w:name="_Toc28359014"/>
      <w:r>
        <w:rPr>
          <w:rFonts w:hint="eastAsia" w:ascii="宋体" w:hAnsi="宋体" w:eastAsia="宋体" w:cs="宋体"/>
          <w:color w:val="auto"/>
          <w:highlight w:val="none"/>
        </w:rPr>
        <w:t>2.落实政府采购政策需满足的资格要求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eastAsia="zh-CN"/>
        </w:rPr>
        <w:t>本项目为专门面向中小企业采购的项目（供应商应为中小企业或监狱企业或残疾人福利性单位)；</w:t>
      </w:r>
    </w:p>
    <w:p w14:paraId="7F000236">
      <w:pPr>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p>
    <w:p w14:paraId="22FC79F3">
      <w:pPr>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3.1资质条件：具备国内独立法人资格，具备</w:t>
      </w:r>
      <w:r>
        <w:rPr>
          <w:rFonts w:hint="eastAsia" w:ascii="宋体" w:hAnsi="宋体" w:eastAsia="宋体" w:cs="宋体"/>
          <w:color w:val="auto"/>
          <w:highlight w:val="none"/>
          <w:lang w:eastAsia="zh-CN"/>
        </w:rPr>
        <w:t>市政公用工程施工总承包</w:t>
      </w:r>
      <w:r>
        <w:rPr>
          <w:rFonts w:hint="eastAsia" w:ascii="宋体" w:hAnsi="宋体" w:eastAsia="宋体" w:cs="宋体"/>
          <w:color w:val="auto"/>
          <w:highlight w:val="none"/>
        </w:rPr>
        <w:t>叁级（含以上级）资质；具有省级及以上建设行政主管部门颁发的安全生产许可</w:t>
      </w:r>
      <w:bookmarkStart w:id="1417" w:name="_GoBack"/>
      <w:bookmarkEnd w:id="1417"/>
      <w:r>
        <w:rPr>
          <w:rFonts w:hint="eastAsia" w:ascii="宋体" w:hAnsi="宋体" w:eastAsia="宋体" w:cs="宋体"/>
          <w:color w:val="auto"/>
          <w:highlight w:val="none"/>
        </w:rPr>
        <w:t>证；在人员、设备、资金等方面具备相应的施工能力；</w:t>
      </w:r>
    </w:p>
    <w:p w14:paraId="28935DFC">
      <w:pPr>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3.2人员要求：拟投入本项目的项目经理、技术负责人、专职安全员等主要现场管理人员必须是本单位的在岗人员，对相关人员的具体条件要求如下：</w:t>
      </w:r>
    </w:p>
    <w:p w14:paraId="51851B09">
      <w:pPr>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3.2.1项目经理：具备</w:t>
      </w:r>
      <w:r>
        <w:rPr>
          <w:rFonts w:hint="eastAsia" w:ascii="宋体" w:hAnsi="宋体" w:eastAsia="宋体" w:cs="宋体"/>
          <w:color w:val="auto"/>
          <w:highlight w:val="none"/>
          <w:lang w:eastAsia="zh-CN"/>
        </w:rPr>
        <w:t>市政公用工程专业贰级</w:t>
      </w:r>
      <w:r>
        <w:rPr>
          <w:rFonts w:hint="eastAsia" w:ascii="宋体" w:hAnsi="宋体" w:eastAsia="宋体" w:cs="宋体"/>
          <w:color w:val="auto"/>
          <w:highlight w:val="none"/>
        </w:rPr>
        <w:t>以上(含贰级)注册建造师资格，并具备有效的省级或省级以上建设行政主管部门颁发的安全生产考核合格证书（B类）；</w:t>
      </w:r>
    </w:p>
    <w:p w14:paraId="19664291">
      <w:pPr>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3.2.2技术负责人：具有</w:t>
      </w:r>
      <w:r>
        <w:rPr>
          <w:rFonts w:hint="eastAsia" w:ascii="宋体" w:hAnsi="宋体" w:eastAsia="宋体" w:cs="宋体"/>
          <w:color w:val="auto"/>
          <w:highlight w:val="none"/>
          <w:lang w:eastAsia="zh-CN"/>
        </w:rPr>
        <w:t>工程类</w:t>
      </w:r>
      <w:r>
        <w:rPr>
          <w:rFonts w:hint="eastAsia" w:ascii="宋体" w:hAnsi="宋体" w:eastAsia="宋体" w:cs="宋体"/>
          <w:color w:val="auto"/>
          <w:highlight w:val="none"/>
        </w:rPr>
        <w:t>中级以上（含中级）技术职称；</w:t>
      </w:r>
    </w:p>
    <w:p w14:paraId="6432D45A">
      <w:pPr>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3.2.3专职安全员：具有有效的安全生产考核合格证书（C类）。</w:t>
      </w:r>
    </w:p>
    <w:p w14:paraId="271CFA20">
      <w:pPr>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3.3业绩要求：无要求；</w:t>
      </w:r>
    </w:p>
    <w:p w14:paraId="083AB14C">
      <w:pPr>
        <w:spacing w:line="360" w:lineRule="auto"/>
        <w:rPr>
          <w:rFonts w:hint="eastAsia" w:ascii="宋体" w:hAnsi="宋体" w:eastAsia="宋体" w:cs="宋体"/>
          <w:b/>
          <w:color w:val="auto"/>
          <w:highlight w:val="none"/>
        </w:rPr>
      </w:pPr>
      <w:bookmarkStart w:id="18" w:name="_Toc35393800"/>
      <w:bookmarkStart w:id="19" w:name="_Toc35393631"/>
      <w:r>
        <w:rPr>
          <w:rFonts w:hint="eastAsia" w:ascii="宋体" w:hAnsi="宋体" w:eastAsia="宋体" w:cs="宋体"/>
          <w:b/>
          <w:color w:val="auto"/>
          <w:highlight w:val="none"/>
        </w:rPr>
        <w:t>三、获取采购文件</w:t>
      </w:r>
      <w:bookmarkEnd w:id="16"/>
      <w:bookmarkEnd w:id="17"/>
      <w:bookmarkEnd w:id="18"/>
      <w:bookmarkEnd w:id="19"/>
    </w:p>
    <w:p w14:paraId="6E131C7A">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时间：</w:t>
      </w:r>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 xml:space="preserve"> 01月 24日</w:t>
      </w:r>
      <w:r>
        <w:rPr>
          <w:rFonts w:hint="eastAsia" w:ascii="宋体" w:hAnsi="宋体" w:eastAsia="宋体" w:cs="宋体"/>
          <w:color w:val="auto"/>
          <w:highlight w:val="none"/>
        </w:rPr>
        <w:t>至</w:t>
      </w:r>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 xml:space="preserve"> 02月 07日</w:t>
      </w:r>
      <w:r>
        <w:rPr>
          <w:rFonts w:hint="eastAsia" w:ascii="宋体" w:hAnsi="宋体" w:eastAsia="宋体" w:cs="宋体"/>
          <w:color w:val="auto"/>
          <w:highlight w:val="none"/>
        </w:rPr>
        <w:t>，</w:t>
      </w:r>
      <w:r>
        <w:rPr>
          <w:rFonts w:hint="eastAsia" w:ascii="宋体" w:hAnsi="宋体" w:eastAsia="宋体" w:cs="宋体"/>
          <w:color w:val="auto"/>
          <w:szCs w:val="21"/>
          <w:highlight w:val="none"/>
        </w:rPr>
        <w:t>每天上午8:00至12:00，下午12:00至23:59（北京时间，法定节假日除外）</w:t>
      </w:r>
    </w:p>
    <w:p w14:paraId="39A8728F">
      <w:pPr>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地点：</w:t>
      </w:r>
      <w:r>
        <w:rPr>
          <w:rFonts w:hint="eastAsia" w:ascii="宋体" w:hAnsi="宋体" w:eastAsia="宋体" w:cs="宋体"/>
          <w:color w:val="auto"/>
          <w:highlight w:val="none"/>
          <w:lang w:eastAsia="zh-CN"/>
        </w:rPr>
        <w:t>广西政府采购云平台（https://www.gcy.zfcg.gxzf.gov.cn/）</w:t>
      </w:r>
    </w:p>
    <w:p w14:paraId="2195BB89">
      <w:pPr>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方式：(1)本项目由潜在供应商登录“</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”填写获取采购文件信息并获取采购文件；(2)供应商按照采购文件规定的时间和地点提交响应文件。未注册的供应商可登录</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进行注册，如在操作过程中遇到问题或者需要技术支持，请致电</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客服热线：</w:t>
      </w:r>
      <w:r>
        <w:rPr>
          <w:rFonts w:hint="eastAsia" w:ascii="宋体" w:hAnsi="宋体" w:eastAsia="宋体" w:cs="宋体"/>
          <w:color w:val="auto"/>
          <w:highlight w:val="none"/>
          <w:lang w:eastAsia="zh-CN"/>
        </w:rPr>
        <w:t>95763</w:t>
      </w:r>
      <w:r>
        <w:rPr>
          <w:rFonts w:hint="eastAsia" w:ascii="宋体" w:hAnsi="宋体" w:eastAsia="宋体" w:cs="宋体"/>
          <w:color w:val="auto"/>
          <w:highlight w:val="none"/>
        </w:rPr>
        <w:t>；(3)已获取采购文件的供应商不等于符合本项目的供应商资格条件。</w:t>
      </w:r>
    </w:p>
    <w:p w14:paraId="58EA4865">
      <w:pPr>
        <w:spacing w:line="360" w:lineRule="auto"/>
        <w:rPr>
          <w:rFonts w:hint="eastAsia" w:ascii="宋体" w:hAnsi="宋体" w:eastAsia="宋体" w:cs="宋体"/>
          <w:b/>
          <w:color w:val="auto"/>
          <w:highlight w:val="none"/>
        </w:rPr>
      </w:pPr>
      <w:bookmarkStart w:id="20" w:name="_Toc35393801"/>
      <w:bookmarkStart w:id="21" w:name="_Toc28359092"/>
      <w:bookmarkStart w:id="22" w:name="_Toc28359015"/>
      <w:bookmarkStart w:id="23" w:name="_Toc35393632"/>
      <w:r>
        <w:rPr>
          <w:rFonts w:hint="eastAsia" w:ascii="宋体" w:hAnsi="宋体" w:eastAsia="宋体" w:cs="宋体"/>
          <w:b/>
          <w:color w:val="auto"/>
          <w:highlight w:val="none"/>
        </w:rPr>
        <w:t>四、响应文件提交</w:t>
      </w:r>
      <w:bookmarkEnd w:id="20"/>
      <w:bookmarkEnd w:id="21"/>
      <w:bookmarkEnd w:id="22"/>
      <w:bookmarkEnd w:id="23"/>
    </w:p>
    <w:p w14:paraId="14B11145">
      <w:pPr>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1.截止时间：</w:t>
      </w:r>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 xml:space="preserve"> 02月 08 日 09 </w:t>
      </w:r>
      <w:r>
        <w:rPr>
          <w:rFonts w:hint="eastAsia" w:ascii="宋体" w:hAnsi="宋体" w:eastAsia="宋体" w:cs="宋体"/>
          <w:color w:val="auto"/>
          <w:highlight w:val="none"/>
          <w:lang w:eastAsia="zh-CN"/>
        </w:rPr>
        <w:t>时</w:t>
      </w:r>
      <w:r>
        <w:rPr>
          <w:rFonts w:hint="eastAsia" w:ascii="宋体" w:hAnsi="宋体" w:eastAsia="宋体" w:cs="宋体"/>
          <w:color w:val="auto"/>
          <w:highlight w:val="none"/>
          <w:lang w:val="en-US" w:eastAsia="zh-CN"/>
        </w:rPr>
        <w:t xml:space="preserve"> 00 </w:t>
      </w:r>
      <w:r>
        <w:rPr>
          <w:rFonts w:hint="eastAsia" w:ascii="宋体" w:hAnsi="宋体" w:eastAsia="宋体" w:cs="宋体"/>
          <w:color w:val="auto"/>
          <w:highlight w:val="none"/>
          <w:lang w:eastAsia="zh-CN"/>
        </w:rPr>
        <w:t>分</w:t>
      </w:r>
      <w:r>
        <w:rPr>
          <w:rFonts w:hint="eastAsia" w:ascii="宋体" w:hAnsi="宋体" w:eastAsia="宋体" w:cs="宋体"/>
          <w:color w:val="auto"/>
          <w:highlight w:val="none"/>
        </w:rPr>
        <w:t>（北京时间）</w:t>
      </w:r>
    </w:p>
    <w:p w14:paraId="584A2E1D">
      <w:pPr>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2.地点：通过“</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”平台电子在线投标响应</w:t>
      </w:r>
    </w:p>
    <w:p w14:paraId="2D46F046">
      <w:pPr>
        <w:spacing w:line="360" w:lineRule="auto"/>
        <w:rPr>
          <w:rFonts w:hint="eastAsia" w:ascii="宋体" w:hAnsi="宋体" w:eastAsia="宋体" w:cs="宋体"/>
          <w:b/>
          <w:color w:val="auto"/>
          <w:highlight w:val="none"/>
        </w:rPr>
      </w:pPr>
      <w:bookmarkStart w:id="24" w:name="_Toc28359016"/>
      <w:bookmarkStart w:id="25" w:name="_Toc28359093"/>
      <w:bookmarkStart w:id="26" w:name="_Toc35393802"/>
      <w:bookmarkStart w:id="27" w:name="_Toc35393633"/>
      <w:r>
        <w:rPr>
          <w:rFonts w:hint="eastAsia" w:ascii="宋体" w:hAnsi="宋体" w:eastAsia="宋体" w:cs="宋体"/>
          <w:b/>
          <w:color w:val="auto"/>
          <w:highlight w:val="none"/>
        </w:rPr>
        <w:t>五、开启</w:t>
      </w:r>
      <w:bookmarkEnd w:id="24"/>
      <w:bookmarkEnd w:id="25"/>
      <w:bookmarkEnd w:id="26"/>
      <w:bookmarkEnd w:id="27"/>
    </w:p>
    <w:p w14:paraId="5FCEA6E5">
      <w:pPr>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1.时间：</w:t>
      </w:r>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 xml:space="preserve"> 02月 08 日 09 </w:t>
      </w:r>
      <w:r>
        <w:rPr>
          <w:rFonts w:hint="eastAsia" w:ascii="宋体" w:hAnsi="宋体" w:eastAsia="宋体" w:cs="宋体"/>
          <w:color w:val="auto"/>
          <w:highlight w:val="none"/>
          <w:lang w:eastAsia="zh-CN"/>
        </w:rPr>
        <w:t>时</w:t>
      </w:r>
      <w:r>
        <w:rPr>
          <w:rFonts w:hint="eastAsia" w:ascii="宋体" w:hAnsi="宋体" w:eastAsia="宋体" w:cs="宋体"/>
          <w:color w:val="auto"/>
          <w:highlight w:val="none"/>
          <w:lang w:val="en-US" w:eastAsia="zh-CN"/>
        </w:rPr>
        <w:t xml:space="preserve"> 00 </w:t>
      </w:r>
      <w:r>
        <w:rPr>
          <w:rFonts w:hint="eastAsia" w:ascii="宋体" w:hAnsi="宋体" w:eastAsia="宋体" w:cs="宋体"/>
          <w:color w:val="auto"/>
          <w:highlight w:val="none"/>
          <w:lang w:eastAsia="zh-CN"/>
        </w:rPr>
        <w:t>分</w:t>
      </w:r>
      <w:r>
        <w:rPr>
          <w:rFonts w:hint="eastAsia" w:ascii="宋体" w:hAnsi="宋体" w:eastAsia="宋体" w:cs="宋体"/>
          <w:color w:val="auto"/>
          <w:highlight w:val="none"/>
        </w:rPr>
        <w:t>（北京时间）</w:t>
      </w:r>
    </w:p>
    <w:p w14:paraId="53DBAF89">
      <w:pPr>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2.地点：广西壮族自治区贺州市八步区贺州市八步区贺州大道33号</w:t>
      </w:r>
      <w:r>
        <w:rPr>
          <w:rFonts w:hint="eastAsia" w:ascii="宋体" w:hAnsi="宋体" w:eastAsia="宋体" w:cs="宋体"/>
          <w:color w:val="auto"/>
          <w:highlight w:val="none"/>
          <w:lang w:val="en-US" w:eastAsia="zh-CN"/>
        </w:rPr>
        <w:t>业主</w:t>
      </w:r>
      <w:r>
        <w:rPr>
          <w:rFonts w:hint="eastAsia" w:ascii="宋体" w:hAnsi="宋体" w:eastAsia="宋体" w:cs="宋体"/>
          <w:color w:val="auto"/>
          <w:highlight w:val="none"/>
        </w:rPr>
        <w:t>评标室 </w:t>
      </w:r>
    </w:p>
    <w:p w14:paraId="0D4C232B">
      <w:pPr>
        <w:spacing w:line="360" w:lineRule="auto"/>
        <w:rPr>
          <w:rFonts w:hint="eastAsia" w:ascii="宋体" w:hAnsi="宋体" w:eastAsia="宋体" w:cs="宋体"/>
          <w:b/>
          <w:color w:val="auto"/>
          <w:highlight w:val="none"/>
        </w:rPr>
      </w:pPr>
      <w:bookmarkStart w:id="28" w:name="_Toc28359017"/>
      <w:bookmarkStart w:id="29" w:name="_Toc28359094"/>
      <w:bookmarkStart w:id="30" w:name="_Toc35393634"/>
      <w:bookmarkStart w:id="31" w:name="_Toc35393803"/>
      <w:r>
        <w:rPr>
          <w:rFonts w:hint="eastAsia" w:ascii="宋体" w:hAnsi="宋体" w:eastAsia="宋体" w:cs="宋体"/>
          <w:b/>
          <w:color w:val="auto"/>
          <w:highlight w:val="none"/>
        </w:rPr>
        <w:t>六、公告期限</w:t>
      </w:r>
      <w:bookmarkEnd w:id="28"/>
      <w:bookmarkEnd w:id="29"/>
      <w:bookmarkEnd w:id="30"/>
      <w:bookmarkEnd w:id="31"/>
    </w:p>
    <w:p w14:paraId="47366A02">
      <w:pPr>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自本公告发布之日起5个工作日。</w:t>
      </w:r>
    </w:p>
    <w:p w14:paraId="780D9E1A">
      <w:pPr>
        <w:spacing w:line="360" w:lineRule="auto"/>
        <w:rPr>
          <w:rFonts w:hint="eastAsia" w:ascii="宋体" w:hAnsi="宋体" w:eastAsia="宋体" w:cs="宋体"/>
          <w:b/>
          <w:color w:val="auto"/>
          <w:highlight w:val="none"/>
        </w:rPr>
      </w:pPr>
      <w:bookmarkStart w:id="32" w:name="_Toc35393635"/>
      <w:bookmarkStart w:id="33" w:name="_Toc35393804"/>
      <w:r>
        <w:rPr>
          <w:rFonts w:hint="eastAsia" w:ascii="宋体" w:hAnsi="宋体" w:eastAsia="宋体" w:cs="宋体"/>
          <w:b/>
          <w:color w:val="auto"/>
          <w:highlight w:val="none"/>
        </w:rPr>
        <w:t>七、其他补充事宜</w:t>
      </w:r>
      <w:bookmarkEnd w:id="32"/>
      <w:bookmarkEnd w:id="33"/>
    </w:p>
    <w:p w14:paraId="19E4E4AE">
      <w:pPr>
        <w:spacing w:line="360" w:lineRule="auto"/>
        <w:ind w:right="27" w:rightChars="13" w:firstLine="424" w:firstLineChars="202"/>
        <w:rPr>
          <w:rFonts w:hint="eastAsia" w:ascii="宋体" w:hAnsi="宋体" w:eastAsia="宋体" w:cs="宋体"/>
          <w:bCs/>
          <w:color w:val="auto"/>
          <w:highlight w:val="none"/>
        </w:rPr>
      </w:pPr>
      <w:r>
        <w:rPr>
          <w:rFonts w:hint="eastAsia" w:ascii="宋体" w:hAnsi="宋体" w:eastAsia="宋体" w:cs="宋体"/>
          <w:bCs/>
          <w:color w:val="auto"/>
          <w:highlight w:val="none"/>
        </w:rPr>
        <w:t>1.本项目需要落实的政府采购政策：响应《政府采购促进中小企业发展管理办法（财库〔2020〕46号）》、《财政部关于进一步加大政府采购支持中小企业力度的通知（财库〔2022〕19号）》文件指导精神：本项目为专门面向“中小企业”的项目或者采购包，不再执行价格评审优惠的扶持政策。</w:t>
      </w:r>
    </w:p>
    <w:p w14:paraId="00CEC54C">
      <w:pPr>
        <w:pStyle w:val="7"/>
        <w:spacing w:line="360" w:lineRule="auto"/>
        <w:ind w:left="63" w:right="63" w:firstLine="361" w:firstLineChars="172"/>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42C632F9">
      <w:pPr>
        <w:pStyle w:val="7"/>
        <w:spacing w:line="360" w:lineRule="auto"/>
        <w:ind w:left="63" w:right="63" w:firstLine="361" w:firstLineChars="172"/>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3.供应商应未在“信用中国”网站(www.creditchina.gov.cn)、中国政府采购网</w:t>
      </w:r>
      <w:r>
        <w:rPr>
          <w:rFonts w:hint="eastAsia" w:ascii="宋体" w:hAnsi="宋体" w:eastAsia="宋体" w:cs="宋体"/>
          <w:b/>
          <w:bCs w:val="0"/>
          <w:color w:val="auto"/>
          <w:szCs w:val="21"/>
          <w:highlight w:val="none"/>
        </w:rPr>
        <w:t>(www.ccgp.gov.cn)等渠道被列入失信被执行人、重大税收违法案件当事人名单、政府采购严</w:t>
      </w:r>
      <w:r>
        <w:rPr>
          <w:rFonts w:hint="eastAsia" w:ascii="宋体" w:hAnsi="宋体" w:eastAsia="宋体" w:cs="宋体"/>
          <w:bCs/>
          <w:color w:val="auto"/>
          <w:szCs w:val="21"/>
          <w:highlight w:val="none"/>
        </w:rPr>
        <w:t>重违法失信行为记录名单。</w:t>
      </w:r>
    </w:p>
    <w:p w14:paraId="4B2603C0">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4.磋商保证金：</w:t>
      </w:r>
      <w:r>
        <w:rPr>
          <w:rFonts w:hint="eastAsia" w:ascii="宋体" w:hAnsi="宋体" w:eastAsia="宋体" w:cs="宋体"/>
          <w:color w:val="auto"/>
          <w:highlight w:val="none"/>
          <w:lang w:eastAsia="zh-CN"/>
        </w:rPr>
        <w:t>本项目不要求</w:t>
      </w:r>
      <w:r>
        <w:rPr>
          <w:rFonts w:hint="eastAsia" w:ascii="宋体" w:hAnsi="宋体" w:eastAsia="宋体" w:cs="宋体"/>
          <w:color w:val="auto"/>
          <w:highlight w:val="none"/>
          <w:lang w:val="en-US" w:eastAsia="zh-CN"/>
        </w:rPr>
        <w:t>缴纳</w:t>
      </w:r>
      <w:r>
        <w:rPr>
          <w:rFonts w:hint="eastAsia" w:ascii="宋体" w:hAnsi="宋体" w:eastAsia="宋体" w:cs="宋体"/>
          <w:color w:val="auto"/>
          <w:highlight w:val="none"/>
          <w:lang w:eastAsia="zh-CN"/>
        </w:rPr>
        <w:t>投标保证金</w:t>
      </w:r>
      <w:r>
        <w:rPr>
          <w:rFonts w:hint="eastAsia" w:ascii="宋体" w:hAnsi="宋体" w:eastAsia="宋体" w:cs="宋体"/>
          <w:color w:val="auto"/>
          <w:highlight w:val="none"/>
        </w:rPr>
        <w:t>；</w:t>
      </w:r>
    </w:p>
    <w:p w14:paraId="4FEB39BA">
      <w:pPr>
        <w:spacing w:line="360" w:lineRule="auto"/>
        <w:ind w:firstLine="422"/>
        <w:rPr>
          <w:rFonts w:hint="eastAsia" w:ascii="宋体" w:hAnsi="宋体" w:eastAsia="宋体" w:cs="宋体"/>
          <w:color w:val="auto"/>
          <w:highlight w:val="none"/>
          <w:lang w:eastAsia="zh-CN"/>
        </w:rPr>
      </w:pPr>
      <w:r>
        <w:rPr>
          <w:rFonts w:hint="eastAsia" w:ascii="宋体" w:hAnsi="宋体" w:eastAsia="宋体" w:cs="宋体"/>
          <w:color w:val="auto"/>
          <w:highlight w:val="none"/>
        </w:rPr>
        <w:t>5.公告发布媒介：</w:t>
      </w:r>
      <w:bookmarkStart w:id="34" w:name="_Toc395382364"/>
      <w:r>
        <w:rPr>
          <w:rFonts w:hint="eastAsia" w:ascii="宋体" w:hAnsi="宋体" w:eastAsia="宋体" w:cs="宋体"/>
          <w:color w:val="auto"/>
          <w:highlight w:val="none"/>
        </w:rPr>
        <w:t>本次竞争性磋商公告同时在</w:t>
      </w:r>
      <w:bookmarkEnd w:id="34"/>
      <w:r>
        <w:rPr>
          <w:rFonts w:hint="eastAsia" w:ascii="宋体" w:hAnsi="宋体" w:eastAsia="宋体" w:cs="宋体"/>
          <w:color w:val="auto"/>
          <w:highlight w:val="none"/>
        </w:rPr>
        <w:t>中国政府采购网、广西壮族自治区政府采购网发布</w:t>
      </w:r>
      <w:r>
        <w:rPr>
          <w:rFonts w:hint="eastAsia" w:ascii="宋体" w:hAnsi="宋体" w:eastAsia="宋体" w:cs="宋体"/>
          <w:color w:val="auto"/>
          <w:highlight w:val="none"/>
          <w:lang w:eastAsia="zh-CN"/>
        </w:rPr>
        <w:t>。</w:t>
      </w:r>
    </w:p>
    <w:p w14:paraId="79DD8236">
      <w:pPr>
        <w:keepNext w:val="0"/>
        <w:keepLines w:val="0"/>
        <w:pageBreakBefore w:val="0"/>
        <w:widowControl w:val="0"/>
        <w:kinsoku/>
        <w:wordWrap/>
        <w:overflowPunct/>
        <w:topLinePunct w:val="0"/>
        <w:autoSpaceDE/>
        <w:autoSpaceDN/>
        <w:bidi w:val="0"/>
        <w:adjustRightInd/>
        <w:snapToGrid/>
        <w:spacing w:line="396" w:lineRule="auto"/>
        <w:ind w:right="27" w:rightChars="13" w:firstLine="42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6.监督部门：</w:t>
      </w:r>
      <w:r>
        <w:rPr>
          <w:rFonts w:hint="eastAsia" w:ascii="宋体" w:hAnsi="宋体" w:eastAsia="宋体" w:cs="宋体"/>
          <w:color w:val="auto"/>
          <w:highlight w:val="none"/>
          <w:lang w:val="en-US" w:eastAsia="zh-CN"/>
        </w:rPr>
        <w:t>贺州市平桂区政府采购管理办公室</w:t>
      </w:r>
      <w:r>
        <w:rPr>
          <w:rFonts w:hint="eastAsia" w:ascii="宋体" w:hAnsi="宋体" w:eastAsia="宋体" w:cs="宋体"/>
          <w:color w:val="auto"/>
          <w:highlight w:val="none"/>
          <w:lang w:val="en-US"/>
        </w:rPr>
        <w:t>，电话：</w:t>
      </w:r>
      <w:r>
        <w:rPr>
          <w:rFonts w:hint="eastAsia" w:ascii="宋体" w:hAnsi="宋体" w:eastAsia="宋体" w:cs="宋体"/>
          <w:color w:val="auto"/>
          <w:highlight w:val="none"/>
          <w:lang w:val="en-US" w:eastAsia="zh-CN"/>
        </w:rPr>
        <w:t>0774-8832896</w:t>
      </w:r>
    </w:p>
    <w:p w14:paraId="32CB004D">
      <w:pPr>
        <w:keepNext w:val="0"/>
        <w:keepLines w:val="0"/>
        <w:pageBreakBefore w:val="0"/>
        <w:widowControl w:val="0"/>
        <w:kinsoku/>
        <w:wordWrap/>
        <w:overflowPunct/>
        <w:topLinePunct w:val="0"/>
        <w:autoSpaceDE/>
        <w:autoSpaceDN/>
        <w:bidi w:val="0"/>
        <w:adjustRightInd/>
        <w:snapToGrid/>
        <w:spacing w:line="396" w:lineRule="auto"/>
        <w:ind w:right="27" w:rightChars="13" w:firstLine="42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7.本项目采用远程异地评标，评标主会场地址:广西致稳工</w:t>
      </w:r>
      <w:r>
        <w:rPr>
          <w:rFonts w:hint="eastAsia" w:ascii="宋体" w:hAnsi="宋体" w:eastAsia="宋体" w:cs="宋体"/>
          <w:color w:val="auto"/>
          <w:highlight w:val="none"/>
          <w:lang w:val="en-US" w:eastAsia="zh-CN"/>
        </w:rPr>
        <w:t>程咨询有限责任公司(贺州市八步区贺州大道 33 号)，评标副会场地址：广西弘达建设工程咨询有限公司（广西壮族自治区百色市右江区广西壮族自治区百色市右江区那毕乡供销合作社商务写字楼6层608-1号房）</w:t>
      </w:r>
    </w:p>
    <w:p w14:paraId="4687ECE2">
      <w:pPr>
        <w:keepNext w:val="0"/>
        <w:keepLines w:val="0"/>
        <w:pageBreakBefore w:val="0"/>
        <w:widowControl w:val="0"/>
        <w:kinsoku/>
        <w:wordWrap/>
        <w:overflowPunct/>
        <w:topLinePunct w:val="0"/>
        <w:autoSpaceDE/>
        <w:autoSpaceDN/>
        <w:bidi w:val="0"/>
        <w:adjustRightInd/>
        <w:snapToGrid/>
        <w:spacing w:line="396" w:lineRule="auto"/>
        <w:ind w:right="27" w:rightChars="13"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.在线投标响应（电子投标）说明：</w:t>
      </w:r>
    </w:p>
    <w:p w14:paraId="6220C75D">
      <w:pPr>
        <w:keepNext w:val="0"/>
        <w:keepLines w:val="0"/>
        <w:pageBreakBefore w:val="0"/>
        <w:widowControl w:val="0"/>
        <w:kinsoku/>
        <w:wordWrap/>
        <w:overflowPunct/>
        <w:topLinePunct w:val="0"/>
        <w:autoSpaceDE/>
        <w:autoSpaceDN/>
        <w:bidi w:val="0"/>
        <w:adjustRightInd/>
        <w:snapToGrid/>
        <w:spacing w:line="396" w:lineRule="auto"/>
        <w:ind w:right="27" w:rightChars="13" w:firstLine="420"/>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（1）本项目为全流程电子化采购项目，通过“</w:t>
      </w:r>
      <w:r>
        <w:rPr>
          <w:rFonts w:hint="eastAsia" w:ascii="宋体" w:hAnsi="宋体" w:eastAsia="宋体" w:cs="宋体"/>
          <w:color w:val="auto"/>
          <w:kern w:val="2"/>
          <w:highlight w:val="none"/>
          <w:lang w:eastAsia="zh-CN"/>
        </w:rPr>
        <w:t>广西政府采购云平台</w:t>
      </w:r>
      <w:r>
        <w:rPr>
          <w:rFonts w:hint="eastAsia" w:ascii="宋体" w:hAnsi="宋体" w:eastAsia="宋体" w:cs="宋体"/>
          <w:color w:val="auto"/>
          <w:kern w:val="2"/>
          <w:highlight w:val="none"/>
        </w:rPr>
        <w:t>”实行在线电子竞标，供应商应先安装“</w:t>
      </w:r>
      <w:r>
        <w:rPr>
          <w:rFonts w:hint="eastAsia" w:ascii="宋体" w:hAnsi="宋体" w:eastAsia="宋体" w:cs="宋体"/>
          <w:color w:val="auto"/>
          <w:kern w:val="2"/>
          <w:highlight w:val="none"/>
          <w:lang w:eastAsia="zh-CN"/>
        </w:rPr>
        <w:t>广西政府采购云平台</w:t>
      </w:r>
      <w:r>
        <w:rPr>
          <w:rFonts w:hint="eastAsia" w:ascii="宋体" w:hAnsi="宋体" w:eastAsia="宋体" w:cs="宋体"/>
          <w:color w:val="auto"/>
          <w:kern w:val="2"/>
          <w:highlight w:val="none"/>
        </w:rPr>
        <w:t>电子交易客户端”（请自行前往“</w:t>
      </w:r>
      <w:r>
        <w:rPr>
          <w:rFonts w:hint="eastAsia" w:ascii="宋体" w:hAnsi="宋体" w:eastAsia="宋体" w:cs="宋体"/>
          <w:color w:val="auto"/>
          <w:kern w:val="2"/>
          <w:highlight w:val="none"/>
          <w:lang w:eastAsia="zh-CN"/>
        </w:rPr>
        <w:t>广西政府采购云平台</w:t>
      </w:r>
      <w:r>
        <w:rPr>
          <w:rFonts w:hint="eastAsia" w:ascii="宋体" w:hAnsi="宋体" w:eastAsia="宋体" w:cs="宋体"/>
          <w:color w:val="auto"/>
          <w:kern w:val="2"/>
          <w:highlight w:val="none"/>
        </w:rPr>
        <w:t>”进行下载），并按照本项目采购文件和“</w:t>
      </w:r>
      <w:r>
        <w:rPr>
          <w:rFonts w:hint="eastAsia" w:ascii="宋体" w:hAnsi="宋体" w:eastAsia="宋体" w:cs="宋体"/>
          <w:color w:val="auto"/>
          <w:kern w:val="2"/>
          <w:highlight w:val="none"/>
          <w:lang w:eastAsia="zh-CN"/>
        </w:rPr>
        <w:t>广西政府采购云平台</w:t>
      </w:r>
      <w:r>
        <w:rPr>
          <w:rFonts w:hint="eastAsia" w:ascii="宋体" w:hAnsi="宋体" w:eastAsia="宋体" w:cs="宋体"/>
          <w:color w:val="auto"/>
          <w:kern w:val="2"/>
          <w:highlight w:val="none"/>
        </w:rPr>
        <w:t>”的要求编制、加密后在响应文件递交截止时间前通过网络上传至 “</w:t>
      </w:r>
      <w:r>
        <w:rPr>
          <w:rFonts w:hint="eastAsia" w:ascii="宋体" w:hAnsi="宋体" w:eastAsia="宋体" w:cs="宋体"/>
          <w:color w:val="auto"/>
          <w:kern w:val="2"/>
          <w:highlight w:val="none"/>
          <w:lang w:eastAsia="zh-CN"/>
        </w:rPr>
        <w:t>广西政府采购云平台</w:t>
      </w:r>
      <w:r>
        <w:rPr>
          <w:rFonts w:hint="eastAsia" w:ascii="宋体" w:hAnsi="宋体" w:eastAsia="宋体" w:cs="宋体"/>
          <w:color w:val="auto"/>
          <w:kern w:val="2"/>
          <w:highlight w:val="none"/>
        </w:rPr>
        <w:t>”，供应商在“</w:t>
      </w:r>
      <w:r>
        <w:rPr>
          <w:rFonts w:hint="eastAsia" w:ascii="宋体" w:hAnsi="宋体" w:eastAsia="宋体" w:cs="宋体"/>
          <w:color w:val="auto"/>
          <w:kern w:val="2"/>
          <w:highlight w:val="none"/>
          <w:lang w:eastAsia="zh-CN"/>
        </w:rPr>
        <w:t>广西政府采购云平台</w:t>
      </w:r>
      <w:r>
        <w:rPr>
          <w:rFonts w:hint="eastAsia" w:ascii="宋体" w:hAnsi="宋体" w:eastAsia="宋体" w:cs="宋体"/>
          <w:color w:val="auto"/>
          <w:kern w:val="2"/>
          <w:highlight w:val="none"/>
        </w:rPr>
        <w:t>”提交电子响应文件时，请填写参加远程开标活动经办人联系方式。供应商登录“</w:t>
      </w:r>
      <w:r>
        <w:rPr>
          <w:rFonts w:hint="eastAsia" w:ascii="宋体" w:hAnsi="宋体" w:eastAsia="宋体" w:cs="宋体"/>
          <w:color w:val="auto"/>
          <w:kern w:val="2"/>
          <w:highlight w:val="none"/>
          <w:lang w:eastAsia="zh-CN"/>
        </w:rPr>
        <w:t>广西政府采购云平台</w:t>
      </w:r>
      <w:r>
        <w:rPr>
          <w:rFonts w:hint="eastAsia" w:ascii="宋体" w:hAnsi="宋体" w:eastAsia="宋体" w:cs="宋体"/>
          <w:color w:val="auto"/>
          <w:kern w:val="2"/>
          <w:highlight w:val="none"/>
        </w:rPr>
        <w:t>”，依次进入“服务中心-项目采购-操作流程-电子招投标-政府采购项目电子交易管理操作指南-供应商”查看电子投标具体操作流程。</w:t>
      </w:r>
    </w:p>
    <w:p w14:paraId="4C519E33">
      <w:pPr>
        <w:keepNext w:val="0"/>
        <w:keepLines w:val="0"/>
        <w:pageBreakBefore w:val="0"/>
        <w:widowControl w:val="0"/>
        <w:kinsoku/>
        <w:wordWrap/>
        <w:overflowPunct/>
        <w:topLinePunct w:val="0"/>
        <w:autoSpaceDE/>
        <w:autoSpaceDN/>
        <w:bidi w:val="0"/>
        <w:adjustRightInd/>
        <w:snapToGrid/>
        <w:spacing w:line="396" w:lineRule="auto"/>
        <w:ind w:right="27" w:rightChars="13" w:firstLine="420"/>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2）未进行网上注册并办理数字证书（CA认证）的供应商将无法参与本项目政府采购活动，供应商应当在响应文件递交截止时间前，完成电子交易平台上的CA数字证书办理（供应商可登录“广西政府采购网”，依次进入“办事服务-下载专区”或者登陆“</w:t>
      </w:r>
      <w:r>
        <w:rPr>
          <w:rFonts w:hint="eastAsia" w:ascii="宋体" w:hAnsi="宋体" w:eastAsia="宋体" w:cs="宋体"/>
          <w:color w:val="auto"/>
          <w:kern w:val="2"/>
          <w:highlight w:val="none"/>
          <w:lang w:eastAsia="zh-CN"/>
        </w:rPr>
        <w:t>广西政府采购云平台</w:t>
      </w:r>
      <w:r>
        <w:rPr>
          <w:rFonts w:hint="eastAsia" w:ascii="宋体" w:hAnsi="宋体" w:eastAsia="宋体" w:cs="宋体"/>
          <w:color w:val="auto"/>
          <w:kern w:val="2"/>
          <w:highlight w:val="none"/>
        </w:rPr>
        <w:t>”，依次进入“服务中心-入驻与配置”中查看CA数字证书办理操作流程。如在操作过程中遇到问题或者需要技术支持，请致电</w:t>
      </w:r>
      <w:r>
        <w:rPr>
          <w:rFonts w:hint="eastAsia" w:ascii="宋体" w:hAnsi="宋体" w:eastAsia="宋体" w:cs="宋体"/>
          <w:color w:val="auto"/>
          <w:kern w:val="2"/>
          <w:highlight w:val="none"/>
          <w:lang w:eastAsia="zh-CN"/>
        </w:rPr>
        <w:t>广西政府采购云平台</w:t>
      </w:r>
      <w:r>
        <w:rPr>
          <w:rFonts w:hint="eastAsia" w:ascii="宋体" w:hAnsi="宋体" w:eastAsia="宋体" w:cs="宋体"/>
          <w:color w:val="auto"/>
          <w:kern w:val="2"/>
          <w:highlight w:val="none"/>
        </w:rPr>
        <w:t>客服热线：95763）及响应文件的提交。</w:t>
      </w:r>
    </w:p>
    <w:p w14:paraId="5D7C4D5A">
      <w:pPr>
        <w:keepNext w:val="0"/>
        <w:keepLines w:val="0"/>
        <w:pageBreakBefore w:val="0"/>
        <w:widowControl w:val="0"/>
        <w:kinsoku/>
        <w:wordWrap/>
        <w:overflowPunct/>
        <w:topLinePunct w:val="0"/>
        <w:autoSpaceDE/>
        <w:autoSpaceDN/>
        <w:bidi w:val="0"/>
        <w:adjustRightInd/>
        <w:snapToGrid/>
        <w:spacing w:line="396" w:lineRule="auto"/>
        <w:ind w:right="27" w:rightChars="13" w:firstLine="420"/>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（3）CA证书在线解密：供应商竞标时，需携带制作响应文件时用来加密的有效数字证书（CA认证）登录“</w:t>
      </w:r>
      <w:r>
        <w:rPr>
          <w:rFonts w:hint="eastAsia" w:ascii="宋体" w:hAnsi="宋体" w:eastAsia="宋体" w:cs="宋体"/>
          <w:color w:val="auto"/>
          <w:kern w:val="2"/>
          <w:highlight w:val="none"/>
          <w:lang w:eastAsia="zh-CN"/>
        </w:rPr>
        <w:t>广西政府采购云平台</w:t>
      </w:r>
      <w:r>
        <w:rPr>
          <w:rFonts w:hint="eastAsia" w:ascii="宋体" w:hAnsi="宋体" w:eastAsia="宋体" w:cs="宋体"/>
          <w:color w:val="auto"/>
          <w:kern w:val="2"/>
          <w:highlight w:val="none"/>
        </w:rPr>
        <w:t>”电子开标大厅现场按规定时间对加密的响应文件进行解密，否则后果自负。</w:t>
      </w:r>
    </w:p>
    <w:p w14:paraId="39006DCA">
      <w:pPr>
        <w:keepNext w:val="0"/>
        <w:keepLines w:val="0"/>
        <w:pageBreakBefore w:val="0"/>
        <w:widowControl w:val="0"/>
        <w:kinsoku/>
        <w:wordWrap/>
        <w:overflowPunct/>
        <w:topLinePunct w:val="0"/>
        <w:autoSpaceDE/>
        <w:autoSpaceDN/>
        <w:bidi w:val="0"/>
        <w:adjustRightInd/>
        <w:snapToGrid/>
        <w:spacing w:line="396" w:lineRule="auto"/>
        <w:ind w:right="27" w:rightChars="13" w:firstLine="420"/>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（4）通过“政府采购云平台”上传递交的“电子加密响应文件”无法按时解密，供应商递交了电子备份响应文件的，以电子备份响应文件为依据，否则视为响应文件撤回。通过</w:t>
      </w:r>
      <w:r>
        <w:rPr>
          <w:rFonts w:hint="eastAsia" w:ascii="宋体" w:hAnsi="宋体" w:eastAsia="宋体" w:cs="宋体"/>
          <w:color w:val="auto"/>
          <w:kern w:val="2"/>
          <w:highlight w:val="none"/>
          <w:lang w:eastAsia="zh-CN"/>
        </w:rPr>
        <w:t>广西政府采购云平台</w:t>
      </w:r>
      <w:r>
        <w:rPr>
          <w:rFonts w:hint="eastAsia" w:ascii="宋体" w:hAnsi="宋体" w:eastAsia="宋体" w:cs="宋体"/>
          <w:color w:val="auto"/>
          <w:kern w:val="2"/>
          <w:highlight w:val="none"/>
        </w:rPr>
        <w:t>上传递交的电子加密响应文件已按时解密的，电子备份响应文件自动失效。供应商仅递交电子备份响应文件的，竞标无效。</w:t>
      </w:r>
    </w:p>
    <w:p w14:paraId="26D057C4">
      <w:pPr>
        <w:keepNext w:val="0"/>
        <w:keepLines w:val="0"/>
        <w:pageBreakBefore w:val="0"/>
        <w:widowControl w:val="0"/>
        <w:kinsoku/>
        <w:wordWrap/>
        <w:overflowPunct/>
        <w:topLinePunct w:val="0"/>
        <w:autoSpaceDE/>
        <w:autoSpaceDN/>
        <w:bidi w:val="0"/>
        <w:adjustRightInd/>
        <w:snapToGrid/>
        <w:spacing w:line="396" w:lineRule="auto"/>
        <w:ind w:right="27" w:rightChars="13" w:firstLine="420"/>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（5）本项目不接受未登陆“</w:t>
      </w:r>
      <w:r>
        <w:rPr>
          <w:rFonts w:hint="eastAsia" w:ascii="宋体" w:hAnsi="宋体" w:eastAsia="宋体" w:cs="宋体"/>
          <w:color w:val="auto"/>
          <w:kern w:val="2"/>
          <w:highlight w:val="none"/>
          <w:lang w:eastAsia="zh-CN"/>
        </w:rPr>
        <w:t>广西政府采购云平台</w:t>
      </w:r>
      <w:r>
        <w:rPr>
          <w:rFonts w:hint="eastAsia" w:ascii="宋体" w:hAnsi="宋体" w:eastAsia="宋体" w:cs="宋体"/>
          <w:color w:val="auto"/>
          <w:kern w:val="2"/>
          <w:highlight w:val="none"/>
        </w:rPr>
        <w:t>”获取本项目竞争性磋商文件的供应商竞标。</w:t>
      </w:r>
    </w:p>
    <w:p w14:paraId="5F5F9663">
      <w:pPr>
        <w:keepNext w:val="0"/>
        <w:keepLines w:val="0"/>
        <w:pageBreakBefore w:val="0"/>
        <w:widowControl w:val="0"/>
        <w:kinsoku/>
        <w:wordWrap/>
        <w:overflowPunct/>
        <w:topLinePunct w:val="0"/>
        <w:autoSpaceDE/>
        <w:autoSpaceDN/>
        <w:bidi w:val="0"/>
        <w:adjustRightInd/>
        <w:snapToGrid/>
        <w:spacing w:line="396" w:lineRule="auto"/>
        <w:ind w:right="27" w:rightChars="13" w:firstLine="420"/>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注：①为确保网上操作合法、有效和安全，请供应商确保在电子竞标过程中能够对相关数据电文进行加密和使用电子签章，妥善保管CA数字证书并使用有效的CA数字证书参与整个竞标活动。②供应商应当在响应文件递交截止时间前完成电子响应文件的上传、提交，响应文件递交截止时间前可以补充、修改或者撤回响应文件。补充或者修改响应文件的，应当先行撤回原响应文件，补充、修改后重新上传、提交，响应文件递交截止时间前未完成上传、提交的，视为撤回响应文件。响应文件递交截止时间以后上传递交的响应文件，“</w:t>
      </w:r>
      <w:r>
        <w:rPr>
          <w:rFonts w:hint="eastAsia" w:ascii="宋体" w:hAnsi="宋体" w:eastAsia="宋体" w:cs="宋体"/>
          <w:color w:val="auto"/>
          <w:kern w:val="2"/>
          <w:highlight w:val="none"/>
          <w:lang w:eastAsia="zh-CN"/>
        </w:rPr>
        <w:t>广西政府采购云平台</w:t>
      </w:r>
      <w:r>
        <w:rPr>
          <w:rFonts w:hint="eastAsia" w:ascii="宋体" w:hAnsi="宋体" w:eastAsia="宋体" w:cs="宋体"/>
          <w:color w:val="auto"/>
          <w:kern w:val="2"/>
          <w:highlight w:val="none"/>
        </w:rPr>
        <w:t xml:space="preserve">”将予以拒收。  </w:t>
      </w:r>
    </w:p>
    <w:p w14:paraId="73E3EA70">
      <w:pPr>
        <w:keepNext w:val="0"/>
        <w:keepLines w:val="0"/>
        <w:pageBreakBefore w:val="0"/>
        <w:widowControl w:val="0"/>
        <w:kinsoku/>
        <w:wordWrap/>
        <w:overflowPunct/>
        <w:topLinePunct w:val="0"/>
        <w:autoSpaceDE/>
        <w:autoSpaceDN/>
        <w:bidi w:val="0"/>
        <w:adjustRightInd/>
        <w:snapToGrid/>
        <w:spacing w:line="396" w:lineRule="auto"/>
        <w:textAlignment w:val="auto"/>
        <w:rPr>
          <w:rFonts w:hint="eastAsia" w:ascii="宋体" w:hAnsi="宋体" w:eastAsia="宋体" w:cs="宋体"/>
          <w:b/>
          <w:color w:val="auto"/>
          <w:highlight w:val="none"/>
        </w:rPr>
      </w:pPr>
      <w:bookmarkStart w:id="35" w:name="_Toc35393805"/>
      <w:bookmarkStart w:id="36" w:name="_Toc35393636"/>
      <w:bookmarkStart w:id="37" w:name="_Toc28359095"/>
      <w:bookmarkStart w:id="38" w:name="_Toc28359018"/>
      <w:r>
        <w:rPr>
          <w:rFonts w:hint="eastAsia" w:ascii="宋体" w:hAnsi="宋体" w:eastAsia="宋体" w:cs="宋体"/>
          <w:b/>
          <w:color w:val="auto"/>
          <w:highlight w:val="none"/>
        </w:rPr>
        <w:t>八、凡对本次采购提出询问，请按以下方式联系。</w:t>
      </w:r>
      <w:bookmarkEnd w:id="35"/>
      <w:bookmarkEnd w:id="36"/>
      <w:bookmarkEnd w:id="37"/>
      <w:bookmarkEnd w:id="38"/>
    </w:p>
    <w:p w14:paraId="3419C750">
      <w:pPr>
        <w:keepNext w:val="0"/>
        <w:keepLines w:val="0"/>
        <w:pageBreakBefore w:val="0"/>
        <w:widowControl w:val="0"/>
        <w:kinsoku/>
        <w:wordWrap/>
        <w:overflowPunct/>
        <w:topLinePunct w:val="0"/>
        <w:autoSpaceDE/>
        <w:autoSpaceDN/>
        <w:bidi w:val="0"/>
        <w:adjustRightInd/>
        <w:snapToGrid/>
        <w:spacing w:line="39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1.采购人信息：</w:t>
      </w:r>
    </w:p>
    <w:p w14:paraId="27D5E77F">
      <w:pPr>
        <w:keepNext w:val="0"/>
        <w:keepLines w:val="0"/>
        <w:pageBreakBefore w:val="0"/>
        <w:widowControl w:val="0"/>
        <w:kinsoku/>
        <w:wordWrap/>
        <w:overflowPunct/>
        <w:topLinePunct w:val="0"/>
        <w:autoSpaceDE/>
        <w:autoSpaceDN/>
        <w:bidi w:val="0"/>
        <w:adjustRightInd/>
        <w:snapToGrid/>
        <w:spacing w:line="396"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贺州市平桂区羊头镇人民政府</w:t>
      </w:r>
    </w:p>
    <w:p w14:paraId="494CA7A5">
      <w:pPr>
        <w:keepNext w:val="0"/>
        <w:keepLines w:val="0"/>
        <w:pageBreakBefore w:val="0"/>
        <w:widowControl w:val="0"/>
        <w:kinsoku/>
        <w:wordWrap/>
        <w:overflowPunct/>
        <w:topLinePunct w:val="0"/>
        <w:autoSpaceDE/>
        <w:autoSpaceDN/>
        <w:bidi w:val="0"/>
        <w:adjustRightInd/>
        <w:snapToGrid/>
        <w:spacing w:line="396"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：贺州市平桂区羊头镇羊头新街4号</w:t>
      </w:r>
    </w:p>
    <w:p w14:paraId="26546E19">
      <w:pPr>
        <w:keepNext w:val="0"/>
        <w:keepLines w:val="0"/>
        <w:pageBreakBefore w:val="0"/>
        <w:widowControl w:val="0"/>
        <w:kinsoku/>
        <w:wordWrap/>
        <w:overflowPunct/>
        <w:topLinePunct w:val="0"/>
        <w:autoSpaceDE/>
        <w:autoSpaceDN/>
        <w:bidi w:val="0"/>
        <w:adjustRightInd/>
        <w:snapToGrid/>
        <w:spacing w:line="396"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联系方式：赖工，0774-8860026</w:t>
      </w:r>
    </w:p>
    <w:p w14:paraId="515C24A3">
      <w:pPr>
        <w:keepNext w:val="0"/>
        <w:keepLines w:val="0"/>
        <w:pageBreakBefore w:val="0"/>
        <w:widowControl w:val="0"/>
        <w:kinsoku/>
        <w:wordWrap/>
        <w:overflowPunct/>
        <w:topLinePunct w:val="0"/>
        <w:autoSpaceDE/>
        <w:autoSpaceDN/>
        <w:bidi w:val="0"/>
        <w:adjustRightInd/>
        <w:snapToGrid/>
        <w:spacing w:line="396" w:lineRule="auto"/>
        <w:ind w:right="27" w:rightChars="13"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2.采购代理机构信息</w:t>
      </w:r>
    </w:p>
    <w:p w14:paraId="19351C86">
      <w:pPr>
        <w:keepNext w:val="0"/>
        <w:keepLines w:val="0"/>
        <w:pageBreakBefore w:val="0"/>
        <w:widowControl w:val="0"/>
        <w:kinsoku/>
        <w:wordWrap/>
        <w:overflowPunct/>
        <w:topLinePunct w:val="0"/>
        <w:autoSpaceDE/>
        <w:autoSpaceDN/>
        <w:bidi w:val="0"/>
        <w:adjustRightInd/>
        <w:snapToGrid/>
        <w:spacing w:line="396" w:lineRule="auto"/>
        <w:ind w:right="27" w:rightChars="13"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lang w:eastAsia="zh-CN"/>
        </w:rPr>
        <w:t xml:space="preserve">广西致稳工程咨询有限责任公司 </w:t>
      </w:r>
    </w:p>
    <w:p w14:paraId="75FE94AB">
      <w:pPr>
        <w:keepNext w:val="0"/>
        <w:keepLines w:val="0"/>
        <w:pageBreakBefore w:val="0"/>
        <w:widowControl w:val="0"/>
        <w:kinsoku/>
        <w:wordWrap/>
        <w:overflowPunct/>
        <w:topLinePunct w:val="0"/>
        <w:autoSpaceDE/>
        <w:autoSpaceDN/>
        <w:bidi w:val="0"/>
        <w:adjustRightInd/>
        <w:snapToGrid/>
        <w:spacing w:line="396" w:lineRule="auto"/>
        <w:ind w:right="27" w:rightChars="13" w:firstLine="42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地    址：</w:t>
      </w:r>
      <w:r>
        <w:rPr>
          <w:rFonts w:hint="eastAsia" w:ascii="宋体" w:hAnsi="宋体" w:eastAsia="宋体" w:cs="宋体"/>
          <w:color w:val="auto"/>
          <w:highlight w:val="none"/>
          <w:lang w:eastAsia="zh-CN"/>
        </w:rPr>
        <w:t>贺州市八步区贺州大道33号</w:t>
      </w:r>
    </w:p>
    <w:p w14:paraId="5D8E3EF0">
      <w:pPr>
        <w:keepNext w:val="0"/>
        <w:keepLines w:val="0"/>
        <w:pageBreakBefore w:val="0"/>
        <w:widowControl w:val="0"/>
        <w:kinsoku/>
        <w:wordWrap/>
        <w:overflowPunct/>
        <w:topLinePunct w:val="0"/>
        <w:autoSpaceDE/>
        <w:autoSpaceDN/>
        <w:bidi w:val="0"/>
        <w:adjustRightInd/>
        <w:snapToGrid/>
        <w:spacing w:line="396" w:lineRule="auto"/>
        <w:ind w:firstLine="424" w:firstLineChars="202"/>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联系方式：</w:t>
      </w:r>
      <w:r>
        <w:rPr>
          <w:rFonts w:hint="eastAsia" w:ascii="宋体" w:hAnsi="宋体" w:eastAsia="宋体" w:cs="宋体"/>
          <w:color w:val="auto"/>
          <w:highlight w:val="none"/>
          <w:lang w:eastAsia="zh-CN"/>
        </w:rPr>
        <w:t>何琳，</w:t>
      </w:r>
      <w:bookmarkStart w:id="39" w:name="_Toc35393808"/>
      <w:bookmarkStart w:id="40" w:name="_Toc35393639"/>
      <w:bookmarkStart w:id="41" w:name="_Toc28359098"/>
      <w:bookmarkStart w:id="42" w:name="_Toc28359021"/>
      <w:r>
        <w:rPr>
          <w:rFonts w:hint="eastAsia" w:ascii="宋体" w:hAnsi="宋体" w:eastAsia="宋体" w:cs="宋体"/>
          <w:color w:val="auto"/>
          <w:highlight w:val="none"/>
          <w:lang w:eastAsia="zh-CN"/>
        </w:rPr>
        <w:t xml:space="preserve">0774-5122388 </w:t>
      </w:r>
    </w:p>
    <w:p w14:paraId="68173F8D">
      <w:pPr>
        <w:keepNext w:val="0"/>
        <w:keepLines w:val="0"/>
        <w:pageBreakBefore w:val="0"/>
        <w:widowControl w:val="0"/>
        <w:kinsoku/>
        <w:wordWrap/>
        <w:overflowPunct/>
        <w:topLinePunct w:val="0"/>
        <w:autoSpaceDE/>
        <w:autoSpaceDN/>
        <w:bidi w:val="0"/>
        <w:adjustRightInd/>
        <w:snapToGrid/>
        <w:spacing w:line="396" w:lineRule="auto"/>
        <w:ind w:firstLine="424" w:firstLineChars="202"/>
        <w:textAlignment w:val="auto"/>
        <w:rPr>
          <w:rFonts w:hint="eastAsia" w:ascii="宋体" w:hAnsi="宋体" w:eastAsia="宋体" w:cs="宋体"/>
          <w:color w:val="auto"/>
          <w:highlight w:val="none"/>
        </w:rPr>
      </w:pPr>
      <w:r>
        <w:rPr>
          <w:rFonts w:hint="eastAsia" w:ascii="宋体" w:hAnsi="宋体" w:eastAsia="宋体" w:cs="宋体"/>
          <w:color w:val="auto"/>
          <w:highlight w:val="none"/>
        </w:rPr>
        <w:t>3.项目联系方式</w:t>
      </w:r>
      <w:bookmarkEnd w:id="39"/>
      <w:bookmarkEnd w:id="40"/>
      <w:bookmarkEnd w:id="41"/>
      <w:bookmarkEnd w:id="42"/>
    </w:p>
    <w:p w14:paraId="695B23E5">
      <w:pPr>
        <w:keepNext w:val="0"/>
        <w:keepLines w:val="0"/>
        <w:pageBreakBefore w:val="0"/>
        <w:widowControl w:val="0"/>
        <w:kinsoku/>
        <w:wordWrap/>
        <w:overflowPunct/>
        <w:topLinePunct w:val="0"/>
        <w:autoSpaceDE/>
        <w:autoSpaceDN/>
        <w:bidi w:val="0"/>
        <w:adjustRightInd/>
        <w:snapToGrid/>
        <w:spacing w:line="396" w:lineRule="auto"/>
        <w:ind w:firstLine="424" w:firstLineChars="202"/>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项目联系人：</w:t>
      </w:r>
      <w:r>
        <w:rPr>
          <w:rFonts w:hint="eastAsia" w:ascii="宋体" w:hAnsi="宋体" w:eastAsia="宋体" w:cs="宋体"/>
          <w:color w:val="auto"/>
          <w:highlight w:val="none"/>
          <w:lang w:eastAsia="zh-CN"/>
        </w:rPr>
        <w:t>何琳</w:t>
      </w:r>
    </w:p>
    <w:p w14:paraId="44738490">
      <w:pPr>
        <w:keepNext w:val="0"/>
        <w:keepLines w:val="0"/>
        <w:pageBreakBefore w:val="0"/>
        <w:widowControl w:val="0"/>
        <w:kinsoku/>
        <w:wordWrap/>
        <w:overflowPunct/>
        <w:topLinePunct w:val="0"/>
        <w:autoSpaceDE/>
        <w:autoSpaceDN/>
        <w:bidi w:val="0"/>
        <w:adjustRightInd/>
        <w:snapToGrid/>
        <w:spacing w:line="396" w:lineRule="auto"/>
        <w:ind w:right="29"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lang w:eastAsia="zh-CN"/>
        </w:rPr>
        <w:t xml:space="preserve">0774-5122388 </w:t>
      </w:r>
    </w:p>
    <w:p w14:paraId="039C3D76">
      <w:pPr>
        <w:pStyle w:val="7"/>
        <w:spacing w:line="360" w:lineRule="auto"/>
        <w:ind w:left="63" w:right="63"/>
        <w:rPr>
          <w:rFonts w:hint="eastAsia" w:ascii="宋体" w:hAnsi="宋体" w:eastAsia="宋体" w:cs="宋体"/>
          <w:color w:val="auto"/>
          <w:highlight w:val="none"/>
        </w:rPr>
      </w:pPr>
    </w:p>
    <w:p w14:paraId="1B7688A6">
      <w:pPr>
        <w:keepNext w:val="0"/>
        <w:keepLines w:val="0"/>
        <w:pageBreakBefore w:val="0"/>
        <w:kinsoku/>
        <w:wordWrap/>
        <w:overflowPunct/>
        <w:topLinePunct w:val="0"/>
        <w:autoSpaceDE/>
        <w:autoSpaceDN/>
        <w:bidi w:val="0"/>
        <w:adjustRightInd/>
        <w:snapToGrid/>
        <w:spacing w:before="313" w:beforeLines="100" w:line="360" w:lineRule="auto"/>
        <w:ind w:right="29" w:firstLine="371" w:firstLineChars="177"/>
        <w:jc w:val="right"/>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采购人：</w:t>
      </w:r>
      <w:r>
        <w:rPr>
          <w:rFonts w:hint="eastAsia" w:ascii="宋体" w:hAnsi="宋体" w:eastAsia="宋体" w:cs="宋体"/>
          <w:color w:val="auto"/>
          <w:highlight w:val="none"/>
          <w:lang w:eastAsia="zh-CN"/>
        </w:rPr>
        <w:t>贺州市平桂区羊头镇人民政府</w:t>
      </w:r>
      <w:r>
        <w:rPr>
          <w:rFonts w:hint="eastAsia" w:ascii="宋体" w:hAnsi="宋体" w:eastAsia="宋体" w:cs="宋体"/>
          <w:color w:val="auto"/>
          <w:highlight w:val="none"/>
        </w:rPr>
        <w:t xml:space="preserve"> </w:t>
      </w:r>
    </w:p>
    <w:p w14:paraId="69BFAC44">
      <w:pPr>
        <w:pStyle w:val="6"/>
        <w:rPr>
          <w:rFonts w:hint="eastAsia" w:ascii="宋体" w:hAnsi="宋体" w:eastAsia="宋体" w:cs="宋体"/>
          <w:color w:val="auto"/>
          <w:highlight w:val="none"/>
        </w:rPr>
      </w:pPr>
    </w:p>
    <w:p w14:paraId="031646B3">
      <w:pPr>
        <w:keepNext w:val="0"/>
        <w:keepLines w:val="0"/>
        <w:pageBreakBefore w:val="0"/>
        <w:widowControl/>
        <w:kinsoku/>
        <w:wordWrap/>
        <w:overflowPunct/>
        <w:topLinePunct w:val="0"/>
        <w:autoSpaceDE/>
        <w:autoSpaceDN/>
        <w:bidi w:val="0"/>
        <w:adjustRightInd/>
        <w:snapToGrid/>
        <w:spacing w:before="313" w:beforeLines="100" w:line="360" w:lineRule="auto"/>
        <w:jc w:val="right"/>
        <w:textAlignment w:val="auto"/>
        <w:rPr>
          <w:rFonts w:hint="eastAsia" w:ascii="宋体" w:hAnsi="宋体" w:eastAsia="宋体" w:cs="宋体"/>
          <w:color w:val="auto"/>
          <w:highlight w:val="none"/>
        </w:rPr>
      </w:pPr>
    </w:p>
    <w:p w14:paraId="6B3F756A">
      <w:pPr>
        <w:keepNext w:val="0"/>
        <w:keepLines w:val="0"/>
        <w:pageBreakBefore w:val="0"/>
        <w:widowControl/>
        <w:kinsoku/>
        <w:wordWrap/>
        <w:overflowPunct/>
        <w:topLinePunct w:val="0"/>
        <w:autoSpaceDE/>
        <w:autoSpaceDN/>
        <w:bidi w:val="0"/>
        <w:adjustRightInd/>
        <w:snapToGrid/>
        <w:spacing w:before="313" w:beforeLines="100" w:line="360" w:lineRule="auto"/>
        <w:jc w:val="right"/>
        <w:textAlignment w:val="auto"/>
        <w:rPr>
          <w:rFonts w:hint="eastAsia" w:ascii="宋体" w:hAnsi="宋体" w:eastAsia="宋体" w:cs="宋体"/>
          <w:color w:val="auto"/>
          <w:highlight w:val="none"/>
        </w:rPr>
      </w:pPr>
    </w:p>
    <w:p w14:paraId="042FB2B4">
      <w:pPr>
        <w:keepNext w:val="0"/>
        <w:keepLines w:val="0"/>
        <w:pageBreakBefore w:val="0"/>
        <w:widowControl/>
        <w:kinsoku/>
        <w:wordWrap/>
        <w:overflowPunct/>
        <w:topLinePunct w:val="0"/>
        <w:autoSpaceDE/>
        <w:autoSpaceDN/>
        <w:bidi w:val="0"/>
        <w:adjustRightInd/>
        <w:snapToGrid/>
        <w:spacing w:before="313" w:beforeLines="100" w:line="360" w:lineRule="auto"/>
        <w:jc w:val="right"/>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采购代理机构：</w:t>
      </w:r>
      <w:r>
        <w:rPr>
          <w:rFonts w:hint="eastAsia" w:ascii="宋体" w:hAnsi="宋体" w:eastAsia="宋体" w:cs="宋体"/>
          <w:color w:val="auto"/>
          <w:highlight w:val="none"/>
          <w:lang w:eastAsia="zh-CN"/>
        </w:rPr>
        <w:t xml:space="preserve">广西致稳工程咨询有限责任公司 </w:t>
      </w:r>
    </w:p>
    <w:p w14:paraId="0116F6A8">
      <w:pPr>
        <w:jc w:val="right"/>
        <w:rPr>
          <w:rFonts w:hint="eastAsia" w:ascii="宋体" w:hAnsi="宋体" w:eastAsia="宋体" w:cs="宋体"/>
          <w:color w:val="auto"/>
          <w:highlight w:val="none"/>
        </w:rPr>
      </w:pPr>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 xml:space="preserve"> 01 月24 日</w:t>
      </w:r>
    </w:p>
    <w:p w14:paraId="27010170">
      <w:pPr>
        <w:rPr>
          <w:rFonts w:hint="eastAsia" w:ascii="宋体" w:hAnsi="宋体" w:eastAsia="宋体" w:cs="宋体"/>
          <w:color w:val="auto"/>
          <w:highlight w:val="none"/>
        </w:rPr>
      </w:pPr>
    </w:p>
    <w:p w14:paraId="24E82377">
      <w:pPr>
        <w:widowControl/>
        <w:spacing w:line="360" w:lineRule="auto"/>
        <w:ind w:right="42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highlight w:val="none"/>
        </w:rPr>
        <w:br w:type="page"/>
      </w:r>
      <w:bookmarkStart w:id="43" w:name="_Toc105753205"/>
      <w:bookmarkStart w:id="44" w:name="_Toc533783506"/>
      <w:bookmarkStart w:id="45" w:name="_Toc533781554"/>
      <w:bookmarkStart w:id="46" w:name="_Toc533781568"/>
      <w:bookmarkStart w:id="47" w:name="_Toc533783520"/>
      <w:r>
        <w:rPr>
          <w:rFonts w:hint="eastAsia" w:ascii="宋体" w:hAnsi="宋体" w:eastAsia="宋体" w:cs="宋体"/>
          <w:b/>
          <w:color w:val="auto"/>
          <w:highlight w:val="none"/>
        </w:rPr>
        <w:t xml:space="preserve">  </w:t>
      </w:r>
      <w:bookmarkStart w:id="48" w:name="_Toc4726"/>
      <w:r>
        <w:rPr>
          <w:rFonts w:hint="eastAsia" w:ascii="宋体" w:hAnsi="宋体" w:eastAsia="宋体" w:cs="宋体"/>
          <w:b/>
          <w:color w:val="auto"/>
          <w:sz w:val="32"/>
          <w:szCs w:val="32"/>
          <w:highlight w:val="none"/>
        </w:rPr>
        <w:t>第二章  供应商须知</w:t>
      </w:r>
      <w:bookmarkEnd w:id="43"/>
      <w:bookmarkEnd w:id="44"/>
      <w:bookmarkEnd w:id="45"/>
      <w:bookmarkEnd w:id="48"/>
    </w:p>
    <w:p w14:paraId="7B2DEC32">
      <w:pPr>
        <w:pStyle w:val="3"/>
        <w:ind w:firstLine="420"/>
        <w:rPr>
          <w:rFonts w:hint="eastAsia" w:ascii="宋体" w:hAnsi="宋体" w:eastAsia="宋体" w:cs="宋体"/>
          <w:color w:val="auto"/>
          <w:highlight w:val="none"/>
        </w:rPr>
      </w:pPr>
      <w:bookmarkStart w:id="49" w:name="_Toc533783507"/>
      <w:bookmarkStart w:id="50" w:name="_Toc105753206"/>
      <w:bookmarkStart w:id="51" w:name="_Toc533781555"/>
      <w:r>
        <w:rPr>
          <w:rFonts w:hint="eastAsia" w:ascii="宋体" w:hAnsi="宋体" w:eastAsia="宋体" w:cs="宋体"/>
          <w:color w:val="auto"/>
          <w:highlight w:val="none"/>
        </w:rPr>
        <w:t>供应商须知前附表</w:t>
      </w:r>
      <w:bookmarkEnd w:id="49"/>
      <w:bookmarkEnd w:id="50"/>
      <w:bookmarkEnd w:id="51"/>
    </w:p>
    <w:tbl>
      <w:tblPr>
        <w:tblStyle w:val="13"/>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363"/>
        <w:gridCol w:w="15"/>
        <w:gridCol w:w="6760"/>
      </w:tblGrid>
      <w:tr w14:paraId="6B8A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956" w:type="dxa"/>
            <w:shd w:val="clear" w:color="auto" w:fill="E7E6E6"/>
            <w:vAlign w:val="center"/>
          </w:tcPr>
          <w:p w14:paraId="6413D8E2">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条款号</w:t>
            </w:r>
          </w:p>
        </w:tc>
        <w:tc>
          <w:tcPr>
            <w:tcW w:w="2363" w:type="dxa"/>
            <w:shd w:val="clear" w:color="auto" w:fill="E7E6E6"/>
            <w:vAlign w:val="center"/>
          </w:tcPr>
          <w:p w14:paraId="046F23C6">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条款名称</w:t>
            </w:r>
          </w:p>
        </w:tc>
        <w:tc>
          <w:tcPr>
            <w:tcW w:w="6775" w:type="dxa"/>
            <w:gridSpan w:val="2"/>
            <w:shd w:val="clear" w:color="auto" w:fill="E7E6E6"/>
            <w:vAlign w:val="center"/>
          </w:tcPr>
          <w:p w14:paraId="70FB367A">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内容</w:t>
            </w:r>
          </w:p>
        </w:tc>
      </w:tr>
      <w:tr w14:paraId="5D6E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956" w:type="dxa"/>
            <w:shd w:val="clear" w:color="auto" w:fill="auto"/>
            <w:vAlign w:val="center"/>
          </w:tcPr>
          <w:p w14:paraId="2A9DD622">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1.1.2</w:t>
            </w:r>
          </w:p>
        </w:tc>
        <w:tc>
          <w:tcPr>
            <w:tcW w:w="2363" w:type="dxa"/>
            <w:shd w:val="clear" w:color="auto" w:fill="auto"/>
            <w:vAlign w:val="center"/>
          </w:tcPr>
          <w:p w14:paraId="65E24689">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775" w:type="dxa"/>
            <w:gridSpan w:val="2"/>
            <w:shd w:val="clear" w:color="auto" w:fill="auto"/>
            <w:vAlign w:val="center"/>
          </w:tcPr>
          <w:p w14:paraId="5B3B0215">
            <w:pPr>
              <w:spacing w:line="4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采购人名称：</w:t>
            </w:r>
            <w:r>
              <w:rPr>
                <w:rFonts w:hint="eastAsia" w:ascii="宋体" w:hAnsi="宋体" w:eastAsia="宋体" w:cs="宋体"/>
                <w:color w:val="auto"/>
                <w:highlight w:val="none"/>
                <w:lang w:eastAsia="zh-CN"/>
              </w:rPr>
              <w:t>贺州市平桂区羊头镇人民政府</w:t>
            </w:r>
          </w:p>
          <w:p w14:paraId="2EE259B0">
            <w:pPr>
              <w:spacing w:line="4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贺州市平桂区羊头镇羊头新街4号</w:t>
            </w:r>
          </w:p>
          <w:p w14:paraId="752D5DCD">
            <w:pPr>
              <w:spacing w:line="4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联系人及电话: </w:t>
            </w:r>
            <w:r>
              <w:rPr>
                <w:rFonts w:hint="eastAsia" w:ascii="宋体" w:hAnsi="宋体" w:eastAsia="宋体" w:cs="宋体"/>
                <w:color w:val="auto"/>
                <w:highlight w:val="none"/>
                <w:lang w:val="en-US" w:eastAsia="zh-CN"/>
              </w:rPr>
              <w:t>赖工</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eastAsia="zh-CN"/>
              </w:rPr>
              <w:t>0774-8860026</w:t>
            </w:r>
          </w:p>
        </w:tc>
      </w:tr>
      <w:tr w14:paraId="01A4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2E78431C">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1.1.3</w:t>
            </w:r>
          </w:p>
        </w:tc>
        <w:tc>
          <w:tcPr>
            <w:tcW w:w="2363" w:type="dxa"/>
            <w:shd w:val="clear" w:color="auto" w:fill="auto"/>
            <w:vAlign w:val="center"/>
          </w:tcPr>
          <w:p w14:paraId="0ECC181A">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采购代理机构</w:t>
            </w:r>
          </w:p>
        </w:tc>
        <w:tc>
          <w:tcPr>
            <w:tcW w:w="6775" w:type="dxa"/>
            <w:gridSpan w:val="2"/>
            <w:shd w:val="clear" w:color="auto" w:fill="auto"/>
            <w:vAlign w:val="center"/>
          </w:tcPr>
          <w:p w14:paraId="12F88229">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采购代理机构名称：</w:t>
            </w:r>
            <w:r>
              <w:rPr>
                <w:rFonts w:hint="eastAsia" w:ascii="宋体" w:hAnsi="宋体" w:eastAsia="宋体" w:cs="宋体"/>
                <w:color w:val="auto"/>
                <w:highlight w:val="none"/>
                <w:lang w:eastAsia="zh-CN"/>
              </w:rPr>
              <w:t xml:space="preserve">广西致稳工程咨询有限责任公司 </w:t>
            </w:r>
          </w:p>
          <w:p w14:paraId="64919E9D">
            <w:pPr>
              <w:spacing w:line="4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贺州市八步区贺州大道33号</w:t>
            </w:r>
          </w:p>
          <w:p w14:paraId="7A0C0FC7">
            <w:pPr>
              <w:spacing w:line="4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项目联系人：</w:t>
            </w:r>
            <w:r>
              <w:rPr>
                <w:rFonts w:hint="eastAsia" w:ascii="宋体" w:hAnsi="宋体" w:eastAsia="宋体" w:cs="宋体"/>
                <w:color w:val="auto"/>
                <w:highlight w:val="none"/>
                <w:lang w:eastAsia="zh-CN"/>
              </w:rPr>
              <w:t>何琳</w:t>
            </w:r>
          </w:p>
          <w:p w14:paraId="02773B4F">
            <w:pPr>
              <w:spacing w:line="4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 xml:space="preserve">0774-5122388 </w:t>
            </w:r>
          </w:p>
        </w:tc>
      </w:tr>
      <w:tr w14:paraId="3150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78D6F4D2">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1.1.4</w:t>
            </w:r>
          </w:p>
        </w:tc>
        <w:tc>
          <w:tcPr>
            <w:tcW w:w="2363" w:type="dxa"/>
            <w:shd w:val="clear" w:color="auto" w:fill="auto"/>
            <w:vAlign w:val="center"/>
          </w:tcPr>
          <w:p w14:paraId="5559C883">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项目名称及编号</w:t>
            </w:r>
          </w:p>
        </w:tc>
        <w:tc>
          <w:tcPr>
            <w:tcW w:w="6775" w:type="dxa"/>
            <w:gridSpan w:val="2"/>
            <w:shd w:val="clear" w:color="auto" w:fill="auto"/>
            <w:vAlign w:val="center"/>
          </w:tcPr>
          <w:p w14:paraId="4E99D37F">
            <w:pPr>
              <w:spacing w:line="4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eastAsia="宋体" w:cs="宋体"/>
                <w:color w:val="auto"/>
                <w:highlight w:val="none"/>
                <w:lang w:eastAsia="zh-CN"/>
              </w:rPr>
              <w:t>贺州市平桂区羊头镇政府公租房2024年维修维护工程</w:t>
            </w:r>
          </w:p>
          <w:p w14:paraId="052E5677">
            <w:pPr>
              <w:spacing w:line="4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项目编号：HZZC2025-C2-030005-GXZW</w:t>
            </w:r>
          </w:p>
        </w:tc>
      </w:tr>
      <w:tr w14:paraId="7B84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01F6FC87">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1.1.5</w:t>
            </w:r>
          </w:p>
        </w:tc>
        <w:tc>
          <w:tcPr>
            <w:tcW w:w="2363" w:type="dxa"/>
            <w:shd w:val="clear" w:color="auto" w:fill="auto"/>
            <w:vAlign w:val="center"/>
          </w:tcPr>
          <w:p w14:paraId="39868809">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项目基本情况</w:t>
            </w:r>
          </w:p>
        </w:tc>
        <w:tc>
          <w:tcPr>
            <w:tcW w:w="6775" w:type="dxa"/>
            <w:gridSpan w:val="2"/>
            <w:shd w:val="clear" w:color="auto" w:fill="auto"/>
            <w:vAlign w:val="center"/>
          </w:tcPr>
          <w:p w14:paraId="48AC0395">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建设规模：</w:t>
            </w:r>
            <w:r>
              <w:rPr>
                <w:rFonts w:hint="eastAsia" w:ascii="宋体" w:hAnsi="宋体" w:eastAsia="宋体" w:cs="宋体"/>
                <w:color w:val="auto"/>
                <w:highlight w:val="none"/>
                <w:lang w:eastAsia="zh-CN"/>
              </w:rPr>
              <w:t>主要建设内容</w:t>
            </w:r>
            <w:r>
              <w:rPr>
                <w:rFonts w:hint="eastAsia" w:ascii="宋体" w:hAnsi="宋体" w:eastAsia="宋体" w:cs="宋体"/>
                <w:color w:val="auto"/>
                <w:highlight w:val="none"/>
                <w:lang w:val="en-US" w:eastAsia="zh-CN"/>
              </w:rPr>
              <w:t>为主体翻新改造工程、拆除工程、室外工程、水电安装工程等</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eastAsia="zh-CN"/>
              </w:rPr>
              <w:t>具体建设内容以经财政投资评审的《工程量清单》载列为准，技术要求以经审图备案的《施工图设计》载明为准</w:t>
            </w:r>
            <w:r>
              <w:rPr>
                <w:rFonts w:hint="eastAsia" w:ascii="宋体" w:hAnsi="宋体" w:eastAsia="宋体" w:cs="宋体"/>
                <w:color w:val="auto"/>
                <w:highlight w:val="none"/>
                <w:lang w:eastAsia="zh-CN"/>
              </w:rPr>
              <w:t>。</w:t>
            </w:r>
          </w:p>
          <w:p w14:paraId="482B6A45">
            <w:pPr>
              <w:numPr>
                <w:ilvl w:val="0"/>
                <w:numId w:val="1"/>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采购范围：建设规模描述的施工，具体建设内容以经财政投资评审的《工程量清单》载列为准，技术要求以《施工图设计》载明为准。</w:t>
            </w:r>
          </w:p>
          <w:p w14:paraId="0C721CF6">
            <w:pPr>
              <w:numPr>
                <w:ilvl w:val="0"/>
                <w:numId w:val="1"/>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质量要求：合格</w:t>
            </w:r>
          </w:p>
          <w:p w14:paraId="7E01B9BA">
            <w:pPr>
              <w:numPr>
                <w:ilvl w:val="0"/>
                <w:numId w:val="1"/>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合同履行期限：</w:t>
            </w:r>
            <w:r>
              <w:rPr>
                <w:rFonts w:hint="eastAsia" w:ascii="宋体" w:hAnsi="宋体" w:eastAsia="宋体" w:cs="宋体"/>
                <w:bCs/>
                <w:color w:val="auto"/>
                <w:highlight w:val="none"/>
                <w:lang w:val="en-US" w:eastAsia="zh-CN"/>
              </w:rPr>
              <w:t>90日历天</w:t>
            </w:r>
          </w:p>
        </w:tc>
      </w:tr>
      <w:tr w14:paraId="49D1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52EC7E36">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1.2.1</w:t>
            </w:r>
          </w:p>
        </w:tc>
        <w:tc>
          <w:tcPr>
            <w:tcW w:w="2363" w:type="dxa"/>
            <w:shd w:val="clear" w:color="auto" w:fill="auto"/>
            <w:vAlign w:val="center"/>
          </w:tcPr>
          <w:p w14:paraId="2EE8A6E1">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资金来源、落实情况</w:t>
            </w:r>
          </w:p>
        </w:tc>
        <w:tc>
          <w:tcPr>
            <w:tcW w:w="6775" w:type="dxa"/>
            <w:gridSpan w:val="2"/>
            <w:shd w:val="clear" w:color="auto" w:fill="auto"/>
            <w:vAlign w:val="center"/>
          </w:tcPr>
          <w:p w14:paraId="7C59B984">
            <w:pPr>
              <w:spacing w:line="400" w:lineRule="exact"/>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val="en-US" w:eastAsia="zh-CN"/>
              </w:rPr>
              <w:t>自筹</w:t>
            </w:r>
            <w:r>
              <w:rPr>
                <w:rFonts w:hint="eastAsia" w:ascii="宋体" w:hAnsi="宋体" w:eastAsia="宋体" w:cs="宋体"/>
                <w:color w:val="auto"/>
                <w:szCs w:val="22"/>
                <w:highlight w:val="none"/>
                <w:lang w:eastAsia="zh-CN"/>
              </w:rPr>
              <w:t>资金、已落实</w:t>
            </w:r>
          </w:p>
        </w:tc>
      </w:tr>
      <w:tr w14:paraId="7EFF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08E165AB">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1.2.2</w:t>
            </w:r>
          </w:p>
        </w:tc>
        <w:tc>
          <w:tcPr>
            <w:tcW w:w="2363" w:type="dxa"/>
            <w:shd w:val="clear" w:color="auto" w:fill="auto"/>
            <w:vAlign w:val="center"/>
          </w:tcPr>
          <w:p w14:paraId="3902E941">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增值税计税方法</w:t>
            </w:r>
          </w:p>
        </w:tc>
        <w:tc>
          <w:tcPr>
            <w:tcW w:w="6775" w:type="dxa"/>
            <w:gridSpan w:val="2"/>
            <w:shd w:val="clear" w:color="auto" w:fill="auto"/>
            <w:vAlign w:val="center"/>
          </w:tcPr>
          <w:p w14:paraId="4CC9E5A1">
            <w:pPr>
              <w:spacing w:line="40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简易计税法</w:t>
            </w:r>
          </w:p>
        </w:tc>
      </w:tr>
      <w:tr w14:paraId="3677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1A447C2F">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1.3.1</w:t>
            </w:r>
          </w:p>
        </w:tc>
        <w:tc>
          <w:tcPr>
            <w:tcW w:w="2363" w:type="dxa"/>
            <w:shd w:val="clear" w:color="auto" w:fill="auto"/>
            <w:vAlign w:val="center"/>
          </w:tcPr>
          <w:p w14:paraId="6F171866">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供应商资格要求</w:t>
            </w:r>
          </w:p>
        </w:tc>
        <w:tc>
          <w:tcPr>
            <w:tcW w:w="6775" w:type="dxa"/>
            <w:gridSpan w:val="2"/>
            <w:shd w:val="clear" w:color="auto" w:fill="auto"/>
            <w:vAlign w:val="center"/>
          </w:tcPr>
          <w:p w14:paraId="47BA85B6">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14:paraId="5636BF9E">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w:t>
            </w:r>
            <w:r>
              <w:rPr>
                <w:rFonts w:hint="eastAsia" w:ascii="宋体" w:hAnsi="宋体" w:eastAsia="宋体" w:cs="宋体"/>
                <w:color w:val="auto"/>
                <w:highlight w:val="none"/>
                <w:lang w:eastAsia="zh-CN"/>
              </w:rPr>
              <w:t>本项目为专门面向中小企业采购的项目（供应商应为中小企业或监狱企业或残疾人福利性单位)</w:t>
            </w:r>
            <w:r>
              <w:rPr>
                <w:rFonts w:hint="eastAsia" w:ascii="宋体" w:hAnsi="宋体" w:eastAsia="宋体" w:cs="宋体"/>
                <w:color w:val="auto"/>
                <w:highlight w:val="none"/>
              </w:rPr>
              <w:t>；</w:t>
            </w:r>
          </w:p>
          <w:p w14:paraId="4EEAECA4">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p>
          <w:p w14:paraId="1FEFF4ED">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3.1资质条件：具备国内独立法人资格，具备市政公用工程施工总承包叁级（含以上级）资质；具有省级及以上建设行政主管部门颁发的安全生产许可证；在人员、设备、资金等方面具备相应的施工能力；</w:t>
            </w:r>
          </w:p>
          <w:p w14:paraId="50F51C86">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3.2人员要求：拟投入本项目的项目经理、技术负责人、专职安全员等主要现场管理人员必须是本单位的在岗人员，对相关人员的具体条件要求如下：</w:t>
            </w:r>
          </w:p>
          <w:p w14:paraId="157EF3AA">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3.2.1项目经理：具备市政公用工程专业贰级以上(含贰级)注册建造师资格，并具备有效的省级或省级以上建设行政主管部门颁发的安全生产考核合格证书（B类）；</w:t>
            </w:r>
          </w:p>
          <w:p w14:paraId="7AC18448">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3.2.2技术负责人：具有工程类中级以上（含中级）技术职称；</w:t>
            </w:r>
          </w:p>
          <w:p w14:paraId="0362934C">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3.2.3专职安全员：具有有效的安全生产考核合格证书（C类）。</w:t>
            </w:r>
          </w:p>
          <w:p w14:paraId="14016F75">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3.3业绩要求：无要求；</w:t>
            </w:r>
          </w:p>
        </w:tc>
      </w:tr>
      <w:tr w14:paraId="3F2D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64417FE1">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1.3.2</w:t>
            </w:r>
          </w:p>
        </w:tc>
        <w:tc>
          <w:tcPr>
            <w:tcW w:w="2363" w:type="dxa"/>
            <w:shd w:val="clear" w:color="auto" w:fill="auto"/>
            <w:vAlign w:val="center"/>
          </w:tcPr>
          <w:p w14:paraId="7C0C6192">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p>
        </w:tc>
        <w:tc>
          <w:tcPr>
            <w:tcW w:w="6775" w:type="dxa"/>
            <w:gridSpan w:val="2"/>
            <w:shd w:val="clear" w:color="auto" w:fill="auto"/>
            <w:vAlign w:val="center"/>
          </w:tcPr>
          <w:p w14:paraId="7694B505">
            <w:pPr>
              <w:kinsoku w:val="0"/>
              <w:overflowPunct w:val="0"/>
              <w:spacing w:before="53" w:line="400" w:lineRule="exact"/>
              <w:rPr>
                <w:rFonts w:hint="eastAsia" w:ascii="宋体" w:hAnsi="宋体" w:eastAsia="宋体" w:cs="宋体"/>
                <w:color w:val="auto"/>
                <w:highlight w:val="none"/>
              </w:rPr>
            </w:pPr>
            <w:r>
              <w:rPr>
                <w:rFonts w:hint="eastAsia" w:ascii="宋体" w:hAnsi="宋体" w:eastAsia="宋体" w:cs="宋体"/>
                <w:color w:val="auto"/>
                <w:highlight w:val="none"/>
              </w:rPr>
              <w:t>不接受</w:t>
            </w:r>
          </w:p>
        </w:tc>
      </w:tr>
      <w:tr w14:paraId="0BDE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3B1EADF6">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1.3.3</w:t>
            </w:r>
          </w:p>
        </w:tc>
        <w:tc>
          <w:tcPr>
            <w:tcW w:w="2363" w:type="dxa"/>
            <w:shd w:val="clear" w:color="auto" w:fill="auto"/>
            <w:vAlign w:val="center"/>
          </w:tcPr>
          <w:p w14:paraId="1667C551">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供应商不得存在</w:t>
            </w:r>
          </w:p>
          <w:p w14:paraId="60FC3217">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的其他情形</w:t>
            </w:r>
          </w:p>
        </w:tc>
        <w:tc>
          <w:tcPr>
            <w:tcW w:w="6775" w:type="dxa"/>
            <w:gridSpan w:val="2"/>
            <w:shd w:val="clear" w:color="auto" w:fill="auto"/>
            <w:vAlign w:val="center"/>
          </w:tcPr>
          <w:p w14:paraId="76E0F733">
            <w:pPr>
              <w:kinsoku w:val="0"/>
              <w:overflowPunct w:val="0"/>
              <w:spacing w:before="53" w:line="400" w:lineRule="exact"/>
              <w:rPr>
                <w:rFonts w:hint="eastAsia" w:ascii="宋体" w:hAnsi="宋体" w:eastAsia="宋体" w:cs="宋体"/>
                <w:color w:val="auto"/>
                <w:highlight w:val="none"/>
              </w:rPr>
            </w:pPr>
            <w:r>
              <w:rPr>
                <w:rFonts w:hint="eastAsia" w:ascii="宋体" w:hAnsi="宋体" w:eastAsia="宋体" w:cs="宋体"/>
                <w:color w:val="auto"/>
                <w:highlight w:val="none"/>
              </w:rPr>
              <w:t>负责人为同一人或者存在直接控股、管理关系的不同竞标人，不得参加同一合同项下的采购活动。除单一来源采购项目外，为采购项目提供整体设计、规范编制或者项目管理、监理、检测等服务的竞标人，不得再参加该采购项目的其他采购活动。</w:t>
            </w:r>
          </w:p>
        </w:tc>
      </w:tr>
      <w:tr w14:paraId="6F86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4158A4C2">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1.8.1</w:t>
            </w:r>
          </w:p>
        </w:tc>
        <w:tc>
          <w:tcPr>
            <w:tcW w:w="2363" w:type="dxa"/>
            <w:shd w:val="clear" w:color="auto" w:fill="auto"/>
            <w:vAlign w:val="center"/>
          </w:tcPr>
          <w:p w14:paraId="2B9CE4EC">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踏勘现场</w:t>
            </w:r>
          </w:p>
        </w:tc>
        <w:tc>
          <w:tcPr>
            <w:tcW w:w="6775" w:type="dxa"/>
            <w:gridSpan w:val="2"/>
            <w:shd w:val="clear" w:color="auto" w:fill="auto"/>
            <w:vAlign w:val="center"/>
          </w:tcPr>
          <w:p w14:paraId="40C5D810">
            <w:pPr>
              <w:kinsoku w:val="0"/>
              <w:overflowPunct w:val="0"/>
              <w:spacing w:before="53" w:line="400" w:lineRule="exact"/>
              <w:rPr>
                <w:rFonts w:hint="eastAsia" w:ascii="宋体" w:hAnsi="宋体" w:eastAsia="宋体" w:cs="宋体"/>
                <w:color w:val="auto"/>
                <w:highlight w:val="none"/>
              </w:rPr>
            </w:pPr>
            <w:r>
              <w:rPr>
                <w:rFonts w:hint="eastAsia" w:ascii="宋体" w:hAnsi="宋体" w:eastAsia="宋体" w:cs="宋体"/>
                <w:color w:val="auto"/>
                <w:highlight w:val="none"/>
              </w:rPr>
              <w:t>不组织</w:t>
            </w:r>
          </w:p>
        </w:tc>
      </w:tr>
      <w:tr w14:paraId="75FF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01AD3D9B">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1.9.1</w:t>
            </w:r>
          </w:p>
        </w:tc>
        <w:tc>
          <w:tcPr>
            <w:tcW w:w="2363" w:type="dxa"/>
            <w:shd w:val="clear" w:color="auto" w:fill="auto"/>
            <w:vAlign w:val="center"/>
          </w:tcPr>
          <w:p w14:paraId="119FA1EF">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分包</w:t>
            </w:r>
          </w:p>
        </w:tc>
        <w:tc>
          <w:tcPr>
            <w:tcW w:w="6775" w:type="dxa"/>
            <w:gridSpan w:val="2"/>
            <w:shd w:val="clear" w:color="auto" w:fill="auto"/>
            <w:vAlign w:val="center"/>
          </w:tcPr>
          <w:p w14:paraId="09C88A05">
            <w:pPr>
              <w:kinsoku w:val="0"/>
              <w:overflowPunct w:val="0"/>
              <w:autoSpaceDE w:val="0"/>
              <w:autoSpaceDN w:val="0"/>
              <w:adjustRightInd w:val="0"/>
              <w:spacing w:before="53"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不允许</w:t>
            </w:r>
          </w:p>
        </w:tc>
      </w:tr>
      <w:tr w14:paraId="1381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56" w:type="dxa"/>
            <w:vMerge w:val="restart"/>
            <w:shd w:val="clear" w:color="auto" w:fill="auto"/>
            <w:vAlign w:val="center"/>
          </w:tcPr>
          <w:p w14:paraId="4F069E98">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2.2.2</w:t>
            </w:r>
          </w:p>
        </w:tc>
        <w:tc>
          <w:tcPr>
            <w:tcW w:w="2363" w:type="dxa"/>
            <w:shd w:val="clear" w:color="auto" w:fill="auto"/>
            <w:vAlign w:val="center"/>
          </w:tcPr>
          <w:p w14:paraId="32322FB9">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提交首次响应文件</w:t>
            </w:r>
          </w:p>
          <w:p w14:paraId="235382B4">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截止时间</w:t>
            </w:r>
          </w:p>
        </w:tc>
        <w:tc>
          <w:tcPr>
            <w:tcW w:w="6775" w:type="dxa"/>
            <w:gridSpan w:val="2"/>
            <w:shd w:val="clear" w:color="auto" w:fill="auto"/>
            <w:vAlign w:val="center"/>
          </w:tcPr>
          <w:p w14:paraId="55114759">
            <w:pPr>
              <w:kinsoku w:val="0"/>
              <w:overflowPunct w:val="0"/>
              <w:autoSpaceDE w:val="0"/>
              <w:autoSpaceDN w:val="0"/>
              <w:adjustRightInd w:val="0"/>
              <w:spacing w:before="53" w:line="40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 xml:space="preserve"> 02月 08 日 09 </w:t>
            </w:r>
            <w:r>
              <w:rPr>
                <w:rFonts w:hint="eastAsia" w:ascii="宋体" w:hAnsi="宋体" w:eastAsia="宋体" w:cs="宋体"/>
                <w:color w:val="auto"/>
                <w:highlight w:val="none"/>
                <w:lang w:eastAsia="zh-CN"/>
              </w:rPr>
              <w:t>时</w:t>
            </w:r>
            <w:r>
              <w:rPr>
                <w:rFonts w:hint="eastAsia" w:ascii="宋体" w:hAnsi="宋体" w:eastAsia="宋体" w:cs="宋体"/>
                <w:color w:val="auto"/>
                <w:highlight w:val="none"/>
                <w:lang w:val="en-US" w:eastAsia="zh-CN"/>
              </w:rPr>
              <w:t xml:space="preserve"> 00 </w:t>
            </w:r>
            <w:r>
              <w:rPr>
                <w:rFonts w:hint="eastAsia" w:ascii="宋体" w:hAnsi="宋体" w:eastAsia="宋体" w:cs="宋体"/>
                <w:color w:val="auto"/>
                <w:highlight w:val="none"/>
                <w:lang w:eastAsia="zh-CN"/>
              </w:rPr>
              <w:t>分</w:t>
            </w:r>
          </w:p>
        </w:tc>
      </w:tr>
      <w:tr w14:paraId="5EF7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shd w:val="clear" w:color="auto" w:fill="auto"/>
            <w:vAlign w:val="center"/>
          </w:tcPr>
          <w:p w14:paraId="4575C9CC">
            <w:pPr>
              <w:spacing w:line="400" w:lineRule="exact"/>
              <w:jc w:val="center"/>
              <w:rPr>
                <w:rFonts w:hint="eastAsia" w:ascii="宋体" w:hAnsi="宋体" w:eastAsia="宋体" w:cs="宋体"/>
                <w:color w:val="auto"/>
                <w:highlight w:val="none"/>
              </w:rPr>
            </w:pPr>
          </w:p>
        </w:tc>
        <w:tc>
          <w:tcPr>
            <w:tcW w:w="2363" w:type="dxa"/>
            <w:shd w:val="clear" w:color="auto" w:fill="auto"/>
            <w:vAlign w:val="center"/>
          </w:tcPr>
          <w:p w14:paraId="64DA884D">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澄清或修改发布方式</w:t>
            </w:r>
          </w:p>
        </w:tc>
        <w:tc>
          <w:tcPr>
            <w:tcW w:w="6775" w:type="dxa"/>
            <w:gridSpan w:val="2"/>
            <w:shd w:val="clear" w:color="auto" w:fill="auto"/>
            <w:vAlign w:val="center"/>
          </w:tcPr>
          <w:p w14:paraId="5850DA16">
            <w:pPr>
              <w:kinsoku w:val="0"/>
              <w:overflowPunct w:val="0"/>
              <w:autoSpaceDE w:val="0"/>
              <w:autoSpaceDN w:val="0"/>
              <w:adjustRightInd w:val="0"/>
              <w:spacing w:before="53"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在竞争性磋商公告发布媒介上发布。</w:t>
            </w:r>
          </w:p>
        </w:tc>
      </w:tr>
      <w:tr w14:paraId="63CE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69AF77C6">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2.2.3</w:t>
            </w:r>
          </w:p>
        </w:tc>
        <w:tc>
          <w:tcPr>
            <w:tcW w:w="2363" w:type="dxa"/>
            <w:shd w:val="clear" w:color="auto" w:fill="auto"/>
            <w:vAlign w:val="center"/>
          </w:tcPr>
          <w:p w14:paraId="68AF137D">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供应商确认收到澄清或修改的方式</w:t>
            </w:r>
          </w:p>
        </w:tc>
        <w:tc>
          <w:tcPr>
            <w:tcW w:w="6775" w:type="dxa"/>
            <w:gridSpan w:val="2"/>
            <w:shd w:val="clear" w:color="auto" w:fill="auto"/>
            <w:vAlign w:val="center"/>
          </w:tcPr>
          <w:p w14:paraId="7503893F">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不需要确认。澄清（修改）文件在本章第2.2.2款规定的网站上发布之日起，视为供应商已收到该澄清或修改。供应商未及时关注采购人在网站上发布的澄清（修改）文件造成的损失，由供应商自行负责。</w:t>
            </w:r>
          </w:p>
        </w:tc>
      </w:tr>
      <w:tr w14:paraId="3135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4F4D6CC1">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3.1.1</w:t>
            </w:r>
          </w:p>
        </w:tc>
        <w:tc>
          <w:tcPr>
            <w:tcW w:w="2363" w:type="dxa"/>
            <w:shd w:val="clear" w:color="auto" w:fill="auto"/>
            <w:vAlign w:val="center"/>
          </w:tcPr>
          <w:p w14:paraId="76111AB4">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响应文件组成</w:t>
            </w:r>
          </w:p>
        </w:tc>
        <w:tc>
          <w:tcPr>
            <w:tcW w:w="6775" w:type="dxa"/>
            <w:gridSpan w:val="2"/>
            <w:shd w:val="clear" w:color="auto" w:fill="auto"/>
            <w:vAlign w:val="center"/>
          </w:tcPr>
          <w:p w14:paraId="35F3E8B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响应文件的组成部分：商务部分、资格审查部分、技术部分、信誉实力、供应商认为需要提供的其他资料。</w:t>
            </w:r>
          </w:p>
          <w:p w14:paraId="5A12B366">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一、商务部分</w:t>
            </w:r>
          </w:p>
          <w:p w14:paraId="3EE08395">
            <w:pPr>
              <w:spacing w:line="360" w:lineRule="auto"/>
              <w:ind w:firstLine="210" w:firstLineChars="100"/>
              <w:rPr>
                <w:rFonts w:hint="eastAsia" w:ascii="宋体" w:hAnsi="宋体" w:eastAsia="宋体" w:cs="宋体"/>
                <w:color w:val="auto"/>
                <w:szCs w:val="22"/>
                <w:highlight w:val="none"/>
              </w:rPr>
            </w:pPr>
            <w:r>
              <w:rPr>
                <w:rFonts w:hint="eastAsia" w:ascii="宋体" w:hAnsi="宋体" w:eastAsia="宋体" w:cs="宋体"/>
                <w:color w:val="auto"/>
                <w:szCs w:val="22"/>
                <w:highlight w:val="none"/>
              </w:rPr>
              <w:t>（一）竞标函</w:t>
            </w:r>
          </w:p>
          <w:p w14:paraId="681EE968">
            <w:pPr>
              <w:spacing w:line="360" w:lineRule="auto"/>
              <w:ind w:firstLine="210" w:firstLineChars="100"/>
              <w:rPr>
                <w:rFonts w:hint="eastAsia" w:ascii="宋体" w:hAnsi="宋体" w:eastAsia="宋体" w:cs="宋体"/>
                <w:color w:val="auto"/>
                <w:szCs w:val="22"/>
                <w:highlight w:val="none"/>
              </w:rPr>
            </w:pPr>
            <w:r>
              <w:rPr>
                <w:rFonts w:hint="eastAsia" w:ascii="宋体" w:hAnsi="宋体" w:eastAsia="宋体" w:cs="宋体"/>
                <w:color w:val="auto"/>
                <w:szCs w:val="22"/>
                <w:highlight w:val="none"/>
              </w:rPr>
              <w:t>（二）竞标函附录</w:t>
            </w:r>
          </w:p>
          <w:p w14:paraId="20144487">
            <w:pPr>
              <w:spacing w:line="360" w:lineRule="auto"/>
              <w:ind w:firstLine="210" w:firstLineChars="100"/>
              <w:rPr>
                <w:rFonts w:hint="eastAsia" w:ascii="宋体" w:hAnsi="宋体" w:eastAsia="宋体" w:cs="宋体"/>
                <w:color w:val="auto"/>
                <w:szCs w:val="22"/>
                <w:highlight w:val="none"/>
              </w:rPr>
            </w:pPr>
            <w:r>
              <w:rPr>
                <w:rFonts w:hint="eastAsia" w:ascii="宋体" w:hAnsi="宋体" w:eastAsia="宋体" w:cs="宋体"/>
                <w:color w:val="auto"/>
                <w:szCs w:val="22"/>
                <w:highlight w:val="none"/>
              </w:rPr>
              <w:t>（三）已标价工程量清单</w:t>
            </w:r>
          </w:p>
          <w:p w14:paraId="2C83991E">
            <w:pPr>
              <w:spacing w:line="360" w:lineRule="auto"/>
              <w:rPr>
                <w:rFonts w:hint="eastAsia" w:ascii="宋体" w:hAnsi="宋体" w:eastAsia="宋体" w:cs="宋体"/>
                <w:color w:val="auto"/>
                <w:szCs w:val="22"/>
                <w:highlight w:val="none"/>
              </w:rPr>
            </w:pPr>
            <w:r>
              <w:rPr>
                <w:rFonts w:hint="eastAsia" w:ascii="宋体" w:hAnsi="宋体" w:eastAsia="宋体" w:cs="宋体"/>
                <w:b/>
                <w:color w:val="auto"/>
                <w:szCs w:val="22"/>
                <w:highlight w:val="none"/>
              </w:rPr>
              <w:t>二、资格审查部分</w:t>
            </w:r>
            <w:r>
              <w:rPr>
                <w:rFonts w:hint="eastAsia" w:ascii="宋体" w:hAnsi="宋体" w:eastAsia="宋体" w:cs="宋体"/>
                <w:color w:val="auto"/>
                <w:szCs w:val="22"/>
                <w:highlight w:val="none"/>
              </w:rPr>
              <w:t>【</w:t>
            </w:r>
            <w:r>
              <w:rPr>
                <w:rFonts w:hint="eastAsia" w:ascii="宋体" w:hAnsi="宋体" w:eastAsia="宋体" w:cs="宋体"/>
                <w:b/>
                <w:color w:val="auto"/>
                <w:highlight w:val="none"/>
              </w:rPr>
              <w:t>以下复印件均须加盖供应商单位公章】</w:t>
            </w:r>
          </w:p>
          <w:p w14:paraId="5C312DF9">
            <w:pPr>
              <w:spacing w:line="360" w:lineRule="auto"/>
              <w:ind w:firstLine="210" w:firstLineChars="100"/>
              <w:rPr>
                <w:rFonts w:hint="eastAsia" w:ascii="宋体" w:hAnsi="宋体" w:eastAsia="宋体" w:cs="宋体"/>
                <w:color w:val="auto"/>
                <w:szCs w:val="22"/>
                <w:highlight w:val="none"/>
              </w:rPr>
            </w:pPr>
            <w:r>
              <w:rPr>
                <w:rFonts w:hint="eastAsia" w:ascii="宋体" w:hAnsi="宋体" w:eastAsia="宋体" w:cs="宋体"/>
                <w:color w:val="auto"/>
                <w:szCs w:val="22"/>
                <w:highlight w:val="none"/>
              </w:rPr>
              <w:t>（一）法定代表人（负责人）身份证明原件，附：法定代表人（负责人）二代居民身份证复印件；（必须提供）</w:t>
            </w:r>
          </w:p>
          <w:p w14:paraId="0E37F8A1">
            <w:pPr>
              <w:spacing w:line="360" w:lineRule="auto"/>
              <w:ind w:firstLine="210" w:firstLineChars="100"/>
              <w:rPr>
                <w:rFonts w:hint="eastAsia" w:ascii="宋体" w:hAnsi="宋体" w:eastAsia="宋体" w:cs="宋体"/>
                <w:color w:val="auto"/>
                <w:szCs w:val="22"/>
                <w:highlight w:val="none"/>
              </w:rPr>
            </w:pPr>
            <w:r>
              <w:rPr>
                <w:rFonts w:hint="eastAsia" w:ascii="宋体" w:hAnsi="宋体" w:eastAsia="宋体" w:cs="宋体"/>
                <w:color w:val="auto"/>
                <w:szCs w:val="22"/>
                <w:highlight w:val="none"/>
              </w:rPr>
              <w:t>（二）法定代表人（负责人）授权委托书原件，附：委托代理人二代居民身份证复印件；（委托代理人签署响应文件时提供）</w:t>
            </w:r>
          </w:p>
          <w:p w14:paraId="5B2A14FE">
            <w:pPr>
              <w:spacing w:line="360" w:lineRule="auto"/>
              <w:ind w:firstLine="210" w:firstLineChars="100"/>
              <w:rPr>
                <w:rFonts w:hint="eastAsia" w:ascii="宋体" w:hAnsi="宋体" w:eastAsia="宋体" w:cs="宋体"/>
                <w:color w:val="auto"/>
                <w:szCs w:val="22"/>
                <w:highlight w:val="none"/>
              </w:rPr>
            </w:pPr>
            <w:r>
              <w:rPr>
                <w:rFonts w:hint="eastAsia" w:ascii="宋体" w:hAnsi="宋体" w:eastAsia="宋体" w:cs="宋体"/>
                <w:color w:val="auto"/>
                <w:szCs w:val="22"/>
                <w:highlight w:val="none"/>
              </w:rPr>
              <w:t>（三）联合体协议书（如有）；</w:t>
            </w:r>
          </w:p>
          <w:p w14:paraId="75EC72DC">
            <w:pPr>
              <w:spacing w:line="360" w:lineRule="auto"/>
              <w:ind w:firstLine="210" w:firstLineChars="100"/>
              <w:rPr>
                <w:rFonts w:hint="eastAsia" w:ascii="宋体" w:hAnsi="宋体" w:eastAsia="宋体" w:cs="宋体"/>
                <w:color w:val="auto"/>
                <w:szCs w:val="22"/>
                <w:highlight w:val="none"/>
              </w:rPr>
            </w:pPr>
            <w:r>
              <w:rPr>
                <w:rFonts w:hint="eastAsia" w:ascii="宋体" w:hAnsi="宋体" w:eastAsia="宋体" w:cs="宋体"/>
                <w:color w:val="auto"/>
                <w:szCs w:val="22"/>
                <w:highlight w:val="none"/>
              </w:rPr>
              <w:t>（四）供应商基本情况表，附：</w:t>
            </w:r>
          </w:p>
          <w:p w14:paraId="597477CB">
            <w:pPr>
              <w:spacing w:line="360" w:lineRule="auto"/>
              <w:ind w:firstLine="210" w:firstLineChars="1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（1）企业资质证书副本、安全生产许可证副本的复印件；</w:t>
            </w:r>
          </w:p>
          <w:p w14:paraId="4F5D873B">
            <w:pPr>
              <w:spacing w:line="360" w:lineRule="auto"/>
              <w:ind w:firstLine="210" w:firstLineChars="100"/>
              <w:rPr>
                <w:rFonts w:hint="eastAsia" w:ascii="宋体" w:hAnsi="宋体" w:eastAsia="宋体" w:cs="宋体"/>
                <w:color w:val="auto"/>
                <w:szCs w:val="22"/>
                <w:highlight w:val="none"/>
              </w:rPr>
            </w:pPr>
            <w:r>
              <w:rPr>
                <w:rFonts w:hint="eastAsia" w:ascii="宋体" w:hAnsi="宋体" w:eastAsia="宋体" w:cs="宋体"/>
                <w:color w:val="auto"/>
                <w:szCs w:val="22"/>
                <w:highlight w:val="none"/>
              </w:rPr>
              <w:t>（五）供应商的基本账户开户许可证（或《基本存款账户信息》凭证）</w:t>
            </w:r>
            <w:r>
              <w:rPr>
                <w:rFonts w:hint="eastAsia" w:ascii="宋体" w:hAnsi="宋体" w:eastAsia="宋体" w:cs="宋体"/>
                <w:b/>
                <w:bCs/>
                <w:color w:val="auto"/>
                <w:szCs w:val="22"/>
                <w:highlight w:val="none"/>
              </w:rPr>
              <w:t>复印件</w:t>
            </w:r>
            <w:r>
              <w:rPr>
                <w:rFonts w:hint="eastAsia" w:ascii="宋体" w:hAnsi="宋体" w:eastAsia="宋体" w:cs="宋体"/>
                <w:color w:val="auto"/>
                <w:szCs w:val="22"/>
                <w:highlight w:val="none"/>
              </w:rPr>
              <w:t>；</w:t>
            </w:r>
          </w:p>
          <w:p w14:paraId="6E01F6EF">
            <w:pPr>
              <w:spacing w:line="360" w:lineRule="auto"/>
              <w:ind w:left="57" w:firstLine="210" w:firstLineChars="100"/>
              <w:rPr>
                <w:rFonts w:hint="eastAsia" w:ascii="宋体" w:hAnsi="宋体" w:eastAsia="宋体" w:cs="宋体"/>
                <w:color w:val="auto"/>
                <w:szCs w:val="22"/>
                <w:highlight w:val="none"/>
              </w:rPr>
            </w:pPr>
            <w:r>
              <w:rPr>
                <w:rFonts w:hint="eastAsia" w:ascii="宋体" w:hAnsi="宋体" w:eastAsia="宋体" w:cs="宋体"/>
                <w:color w:val="auto"/>
                <w:szCs w:val="22"/>
                <w:highlight w:val="none"/>
              </w:rPr>
              <w:t>（六）项目管理机构配备表，附：</w:t>
            </w:r>
          </w:p>
          <w:p w14:paraId="4AFC8F69">
            <w:pPr>
              <w:spacing w:line="360" w:lineRule="auto"/>
              <w:ind w:left="-19" w:firstLine="424" w:firstLineChars="202"/>
              <w:rPr>
                <w:rFonts w:hint="eastAsia" w:ascii="宋体" w:hAnsi="宋体" w:eastAsia="宋体" w:cs="宋体"/>
                <w:color w:val="auto"/>
                <w:szCs w:val="22"/>
                <w:highlight w:val="none"/>
              </w:rPr>
            </w:pPr>
            <w:r>
              <w:rPr>
                <w:rFonts w:hint="eastAsia" w:ascii="宋体" w:hAnsi="宋体" w:eastAsia="宋体" w:cs="宋体"/>
                <w:color w:val="auto"/>
                <w:szCs w:val="22"/>
                <w:highlight w:val="none"/>
              </w:rPr>
              <w:t>（1）项目经理：二代居民身份证、注册建造师执业资格证书、安全生产考核合格证书(B类)的复印件；</w:t>
            </w:r>
          </w:p>
          <w:p w14:paraId="28AAECB6">
            <w:pPr>
              <w:spacing w:line="360" w:lineRule="auto"/>
              <w:ind w:left="-19" w:firstLine="424" w:firstLineChars="202"/>
              <w:rPr>
                <w:rFonts w:hint="eastAsia" w:ascii="宋体" w:hAnsi="宋体" w:eastAsia="宋体" w:cs="宋体"/>
                <w:color w:val="auto"/>
                <w:szCs w:val="22"/>
                <w:highlight w:val="none"/>
              </w:rPr>
            </w:pPr>
            <w:r>
              <w:rPr>
                <w:rFonts w:hint="eastAsia" w:ascii="宋体" w:hAnsi="宋体" w:eastAsia="宋体" w:cs="宋体"/>
                <w:color w:val="auto"/>
                <w:szCs w:val="22"/>
                <w:highlight w:val="none"/>
              </w:rPr>
              <w:t>（2）项目技术负责人：二代居民身份证、职称证书的复印件；</w:t>
            </w:r>
          </w:p>
          <w:p w14:paraId="51BCAA4D">
            <w:pPr>
              <w:spacing w:line="360" w:lineRule="auto"/>
              <w:ind w:left="-19" w:firstLine="424" w:firstLineChars="202"/>
              <w:rPr>
                <w:rFonts w:hint="eastAsia" w:ascii="宋体" w:hAnsi="宋体" w:eastAsia="宋体" w:cs="宋体"/>
                <w:color w:val="auto"/>
                <w:szCs w:val="22"/>
                <w:highlight w:val="none"/>
              </w:rPr>
            </w:pPr>
            <w:r>
              <w:rPr>
                <w:rFonts w:hint="eastAsia" w:ascii="宋体" w:hAnsi="宋体" w:eastAsia="宋体" w:cs="宋体"/>
                <w:color w:val="auto"/>
                <w:szCs w:val="22"/>
                <w:highlight w:val="none"/>
              </w:rPr>
              <w:t>（3）专职安全员：二代居民身份证、安全生产考核合格证书(C类)的复印件；</w:t>
            </w:r>
          </w:p>
          <w:p w14:paraId="263B68BC">
            <w:pPr>
              <w:spacing w:line="360" w:lineRule="auto"/>
              <w:ind w:left="-19" w:firstLine="424" w:firstLineChars="202"/>
              <w:rPr>
                <w:rFonts w:hint="eastAsia" w:ascii="宋体" w:hAnsi="宋体" w:eastAsia="宋体" w:cs="宋体"/>
                <w:color w:val="auto"/>
                <w:szCs w:val="22"/>
                <w:highlight w:val="none"/>
              </w:rPr>
            </w:pPr>
            <w:r>
              <w:rPr>
                <w:rFonts w:hint="eastAsia" w:ascii="宋体" w:hAnsi="宋体" w:eastAsia="宋体" w:cs="宋体"/>
                <w:color w:val="auto"/>
                <w:szCs w:val="22"/>
                <w:highlight w:val="none"/>
              </w:rPr>
              <w:t>（4）项目经理、项目技术负责人、专职安全员在现任职单位的社会保险缴纳证明材料</w:t>
            </w:r>
            <w:r>
              <w:rPr>
                <w:rFonts w:hint="eastAsia" w:ascii="宋体" w:hAnsi="宋体" w:eastAsia="宋体" w:cs="宋体"/>
                <w:b/>
                <w:color w:val="auto"/>
                <w:szCs w:val="22"/>
                <w:highlight w:val="none"/>
              </w:rPr>
              <w:t>（提交首次响应文件截止时间前半年内连续三个月）</w:t>
            </w:r>
            <w:r>
              <w:rPr>
                <w:rFonts w:hint="eastAsia" w:ascii="宋体" w:hAnsi="宋体" w:eastAsia="宋体" w:cs="宋体"/>
                <w:color w:val="auto"/>
                <w:szCs w:val="22"/>
                <w:highlight w:val="none"/>
              </w:rPr>
              <w:t>复印件；</w:t>
            </w:r>
          </w:p>
          <w:p w14:paraId="3AB676A3">
            <w:pPr>
              <w:spacing w:line="360" w:lineRule="auto"/>
              <w:ind w:left="-19" w:firstLine="424" w:firstLineChars="202"/>
              <w:rPr>
                <w:rFonts w:hint="eastAsia" w:ascii="宋体" w:hAnsi="宋体" w:eastAsia="宋体" w:cs="宋体"/>
                <w:color w:val="auto"/>
                <w:szCs w:val="22"/>
                <w:highlight w:val="none"/>
              </w:rPr>
            </w:pPr>
            <w:r>
              <w:rPr>
                <w:rFonts w:hint="eastAsia" w:ascii="宋体" w:hAnsi="宋体" w:eastAsia="宋体" w:cs="宋体"/>
                <w:color w:val="auto"/>
                <w:szCs w:val="22"/>
                <w:highlight w:val="none"/>
              </w:rPr>
              <w:t>（七）中小企业声明函或者残疾人福利性单位声明函或者供应商属于监狱企业的证明材料；</w:t>
            </w:r>
          </w:p>
          <w:p w14:paraId="1F31DED9">
            <w:pPr>
              <w:spacing w:line="360" w:lineRule="auto"/>
              <w:ind w:firstLine="210" w:firstLineChars="100"/>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val="en-US" w:eastAsia="zh-CN"/>
              </w:rPr>
              <w:t>八</w:t>
            </w:r>
            <w:r>
              <w:rPr>
                <w:rFonts w:hint="eastAsia" w:ascii="宋体" w:hAnsi="宋体" w:eastAsia="宋体" w:cs="宋体"/>
                <w:color w:val="auto"/>
                <w:szCs w:val="22"/>
                <w:highlight w:val="none"/>
              </w:rPr>
              <w:t>）资格审查需要的其他材料：贺州市政府采购供应商信用承诺函</w:t>
            </w:r>
            <w:r>
              <w:rPr>
                <w:rFonts w:hint="eastAsia" w:ascii="宋体" w:hAnsi="宋体" w:eastAsia="宋体" w:cs="宋体"/>
                <w:color w:val="auto"/>
                <w:szCs w:val="22"/>
                <w:highlight w:val="none"/>
                <w:lang w:eastAsia="zh-CN"/>
              </w:rPr>
              <w:t>。（格式附后，</w:t>
            </w:r>
            <w:r>
              <w:rPr>
                <w:rFonts w:hint="eastAsia" w:ascii="宋体" w:hAnsi="宋体" w:eastAsia="宋体" w:cs="宋体"/>
                <w:color w:val="auto"/>
                <w:szCs w:val="22"/>
                <w:highlight w:val="none"/>
              </w:rPr>
              <w:t>必须提供，否则响应文件按无效响应处理）。</w:t>
            </w:r>
          </w:p>
          <w:p w14:paraId="29AC7245">
            <w:pPr>
              <w:spacing w:line="360" w:lineRule="auto"/>
              <w:ind w:left="57"/>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三、技术部分</w:t>
            </w:r>
          </w:p>
          <w:p w14:paraId="6044F725">
            <w:pPr>
              <w:pStyle w:val="19"/>
              <w:numPr>
                <w:ilvl w:val="0"/>
                <w:numId w:val="0"/>
              </w:numPr>
              <w:spacing w:line="360" w:lineRule="auto"/>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kern w:val="0"/>
                <w:sz w:val="21"/>
                <w:szCs w:val="22"/>
                <w:highlight w:val="none"/>
                <w:lang w:val="en-US" w:eastAsia="zh-CN" w:bidi="ar-SA"/>
              </w:rPr>
              <w:t>（1）</w:t>
            </w:r>
            <w:r>
              <w:rPr>
                <w:rFonts w:hint="eastAsia" w:ascii="宋体" w:hAnsi="宋体" w:eastAsia="宋体" w:cs="宋体"/>
                <w:color w:val="auto"/>
                <w:highlight w:val="none"/>
              </w:rPr>
              <w:t>施工组织设计</w:t>
            </w:r>
          </w:p>
          <w:p w14:paraId="0F44F3F8">
            <w:pPr>
              <w:pStyle w:val="19"/>
              <w:numPr>
                <w:ilvl w:val="0"/>
                <w:numId w:val="0"/>
              </w:numPr>
              <w:spacing w:line="360" w:lineRule="auto"/>
              <w:ind w:left="0" w:leftChars="0" w:firstLine="210" w:firstLineChars="100"/>
              <w:rPr>
                <w:rFonts w:hint="eastAsia" w:ascii="宋体" w:hAnsi="宋体" w:eastAsia="宋体" w:cs="宋体"/>
                <w:color w:val="auto"/>
                <w:highlight w:val="none"/>
              </w:rPr>
            </w:pPr>
            <w:r>
              <w:rPr>
                <w:rFonts w:hint="eastAsia" w:ascii="宋体" w:hAnsi="宋体" w:eastAsia="宋体" w:cs="宋体"/>
                <w:color w:val="auto"/>
                <w:kern w:val="0"/>
                <w:sz w:val="21"/>
                <w:szCs w:val="22"/>
                <w:highlight w:val="none"/>
                <w:lang w:val="en-US" w:eastAsia="zh-CN" w:bidi="ar-SA"/>
              </w:rPr>
              <w:t>（2）</w:t>
            </w:r>
            <w:r>
              <w:rPr>
                <w:rFonts w:hint="eastAsia" w:ascii="宋体" w:hAnsi="宋体" w:eastAsia="宋体" w:cs="宋体"/>
                <w:color w:val="auto"/>
                <w:highlight w:val="none"/>
              </w:rPr>
              <w:t>项目管理机构</w:t>
            </w:r>
          </w:p>
          <w:p w14:paraId="2CB5AB52">
            <w:pPr>
              <w:spacing w:line="360" w:lineRule="auto"/>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四、信誉实力（如有）</w:t>
            </w:r>
          </w:p>
          <w:p w14:paraId="7D13F10F">
            <w:pPr>
              <w:spacing w:line="400" w:lineRule="exact"/>
              <w:rPr>
                <w:rFonts w:hint="eastAsia" w:ascii="宋体" w:hAnsi="宋体" w:eastAsia="宋体" w:cs="宋体"/>
                <w:color w:val="auto"/>
                <w:highlight w:val="none"/>
              </w:rPr>
            </w:pPr>
            <w:r>
              <w:rPr>
                <w:rFonts w:hint="eastAsia" w:ascii="宋体" w:hAnsi="宋体" w:eastAsia="宋体" w:cs="宋体"/>
                <w:b/>
                <w:color w:val="auto"/>
                <w:szCs w:val="22"/>
                <w:highlight w:val="none"/>
              </w:rPr>
              <w:t>五、</w:t>
            </w:r>
            <w:r>
              <w:rPr>
                <w:rFonts w:hint="eastAsia" w:ascii="宋体" w:hAnsi="宋体" w:eastAsia="宋体" w:cs="宋体"/>
                <w:b/>
                <w:color w:val="auto"/>
                <w:highlight w:val="none"/>
              </w:rPr>
              <w:t>供应商认为需要提供的其他资料（如有）</w:t>
            </w:r>
          </w:p>
        </w:tc>
      </w:tr>
      <w:tr w14:paraId="461E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35C9B083">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3.1.5</w:t>
            </w:r>
          </w:p>
        </w:tc>
        <w:tc>
          <w:tcPr>
            <w:tcW w:w="2363" w:type="dxa"/>
            <w:shd w:val="clear" w:color="auto" w:fill="auto"/>
            <w:vAlign w:val="center"/>
          </w:tcPr>
          <w:p w14:paraId="2F2EDD0B">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资格审查需要的其他材料</w:t>
            </w:r>
          </w:p>
        </w:tc>
        <w:tc>
          <w:tcPr>
            <w:tcW w:w="6775" w:type="dxa"/>
            <w:gridSpan w:val="2"/>
            <w:shd w:val="clear" w:color="auto" w:fill="auto"/>
            <w:vAlign w:val="center"/>
          </w:tcPr>
          <w:p w14:paraId="46DD946E">
            <w:pPr>
              <w:spacing w:line="400" w:lineRule="exact"/>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贺州市</w:t>
            </w:r>
            <w:r>
              <w:rPr>
                <w:rFonts w:hint="eastAsia" w:ascii="宋体" w:hAnsi="宋体" w:eastAsia="宋体" w:cs="宋体"/>
                <w:color w:val="auto"/>
                <w:szCs w:val="22"/>
                <w:highlight w:val="none"/>
                <w:lang w:val="en-US" w:eastAsia="zh-CN"/>
              </w:rPr>
              <w:t>平桂区</w:t>
            </w:r>
            <w:r>
              <w:rPr>
                <w:rFonts w:hint="eastAsia" w:ascii="宋体" w:hAnsi="宋体" w:eastAsia="宋体" w:cs="宋体"/>
                <w:color w:val="auto"/>
                <w:szCs w:val="22"/>
                <w:highlight w:val="none"/>
                <w:lang w:eastAsia="zh-CN"/>
              </w:rPr>
              <w:t>政府采购供应商信用承诺函。（格式附后，必须提供，否则响应文件按无效响应处理）。</w:t>
            </w:r>
          </w:p>
        </w:tc>
      </w:tr>
      <w:tr w14:paraId="1CDF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5E178859">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3.2.2</w:t>
            </w:r>
          </w:p>
        </w:tc>
        <w:tc>
          <w:tcPr>
            <w:tcW w:w="2363" w:type="dxa"/>
            <w:shd w:val="clear" w:color="auto" w:fill="auto"/>
            <w:vAlign w:val="center"/>
          </w:tcPr>
          <w:p w14:paraId="4875E96C">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上限控制价</w:t>
            </w:r>
          </w:p>
        </w:tc>
        <w:tc>
          <w:tcPr>
            <w:tcW w:w="6775" w:type="dxa"/>
            <w:gridSpan w:val="2"/>
            <w:shd w:val="clear" w:color="auto" w:fill="auto"/>
            <w:vAlign w:val="center"/>
          </w:tcPr>
          <w:p w14:paraId="579C1BC0">
            <w:pPr>
              <w:spacing w:line="40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本项目的上限控制价（含社会保险费）为人民币</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壹佰柒拾捌万肆仟柒佰贰拾贰元零壹分</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1784722.01</w:t>
            </w:r>
            <w:r>
              <w:rPr>
                <w:rFonts w:hint="eastAsia" w:ascii="宋体" w:hAnsi="宋体" w:eastAsia="宋体" w:cs="宋体"/>
                <w:b/>
                <w:bCs/>
                <w:color w:val="auto"/>
                <w:highlight w:val="none"/>
                <w:lang w:eastAsia="zh-CN"/>
              </w:rPr>
              <w:t>元）</w:t>
            </w:r>
            <w:r>
              <w:rPr>
                <w:rFonts w:hint="eastAsia" w:ascii="宋体" w:hAnsi="宋体" w:eastAsia="宋体" w:cs="宋体"/>
                <w:b/>
                <w:bCs/>
                <w:color w:val="auto"/>
                <w:highlight w:val="none"/>
              </w:rPr>
              <w:t>；</w:t>
            </w:r>
          </w:p>
          <w:p w14:paraId="628841A0">
            <w:pPr>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供应商的竞标报价（包括响应文件报价及谈判过程中的报价）均不得超过上限控制价，否则其响应文件按无效处理。</w:t>
            </w:r>
          </w:p>
        </w:tc>
      </w:tr>
      <w:tr w14:paraId="33D0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1D6D4374">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3.2.3</w:t>
            </w:r>
          </w:p>
        </w:tc>
        <w:tc>
          <w:tcPr>
            <w:tcW w:w="2363" w:type="dxa"/>
            <w:shd w:val="clear" w:color="auto" w:fill="auto"/>
            <w:vAlign w:val="center"/>
          </w:tcPr>
          <w:p w14:paraId="6F4E1047">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磋商报价的其他要求</w:t>
            </w:r>
          </w:p>
        </w:tc>
        <w:tc>
          <w:tcPr>
            <w:tcW w:w="6775" w:type="dxa"/>
            <w:gridSpan w:val="2"/>
            <w:shd w:val="clear" w:color="auto" w:fill="auto"/>
            <w:vAlign w:val="center"/>
          </w:tcPr>
          <w:p w14:paraId="321F3080">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无</w:t>
            </w:r>
          </w:p>
        </w:tc>
      </w:tr>
      <w:tr w14:paraId="6285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784E3EFC">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3.3.1</w:t>
            </w:r>
          </w:p>
        </w:tc>
        <w:tc>
          <w:tcPr>
            <w:tcW w:w="2363" w:type="dxa"/>
            <w:shd w:val="clear" w:color="auto" w:fill="auto"/>
            <w:vAlign w:val="center"/>
          </w:tcPr>
          <w:p w14:paraId="2EE3F20F">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磋商有效期</w:t>
            </w:r>
          </w:p>
        </w:tc>
        <w:tc>
          <w:tcPr>
            <w:tcW w:w="6775" w:type="dxa"/>
            <w:gridSpan w:val="2"/>
            <w:shd w:val="clear" w:color="auto" w:fill="auto"/>
            <w:vAlign w:val="center"/>
          </w:tcPr>
          <w:p w14:paraId="6C727941">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60日历天</w:t>
            </w:r>
          </w:p>
        </w:tc>
      </w:tr>
      <w:tr w14:paraId="17E6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50F61AAD">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3.4.1</w:t>
            </w:r>
          </w:p>
        </w:tc>
        <w:tc>
          <w:tcPr>
            <w:tcW w:w="2363" w:type="dxa"/>
            <w:shd w:val="clear" w:color="auto" w:fill="auto"/>
            <w:vAlign w:val="center"/>
          </w:tcPr>
          <w:p w14:paraId="4C2EA7C8">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磋商保证金</w:t>
            </w:r>
          </w:p>
        </w:tc>
        <w:tc>
          <w:tcPr>
            <w:tcW w:w="6775" w:type="dxa"/>
            <w:gridSpan w:val="2"/>
            <w:shd w:val="clear" w:color="auto" w:fill="auto"/>
            <w:vAlign w:val="center"/>
          </w:tcPr>
          <w:p w14:paraId="21A64C11">
            <w:pPr>
              <w:spacing w:line="4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本项目不要求投标保证金</w:t>
            </w:r>
          </w:p>
        </w:tc>
      </w:tr>
      <w:tr w14:paraId="6D1E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510CC9D3">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3.5.3</w:t>
            </w:r>
          </w:p>
        </w:tc>
        <w:tc>
          <w:tcPr>
            <w:tcW w:w="2363" w:type="dxa"/>
            <w:shd w:val="clear" w:color="auto" w:fill="auto"/>
            <w:vAlign w:val="center"/>
          </w:tcPr>
          <w:p w14:paraId="084B9295">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签字和（或）盖章要求</w:t>
            </w:r>
          </w:p>
        </w:tc>
        <w:tc>
          <w:tcPr>
            <w:tcW w:w="6775" w:type="dxa"/>
            <w:gridSpan w:val="2"/>
            <w:shd w:val="clear" w:color="auto" w:fill="auto"/>
            <w:vAlign w:val="center"/>
          </w:tcPr>
          <w:p w14:paraId="6A4D1E7B">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对响应文件的澄清、说明或者更正应当由供应商通过</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进行，且交换的数据电文必须进行CA电子签章。</w:t>
            </w:r>
          </w:p>
          <w:p w14:paraId="2497D1BA">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特别说明：响应文件的签字和（或）盖章应采用CA电子签章。</w:t>
            </w:r>
            <w:r>
              <w:rPr>
                <w:rFonts w:hint="eastAsia" w:ascii="宋体" w:hAnsi="宋体" w:eastAsia="宋体" w:cs="宋体"/>
                <w:color w:val="auto"/>
                <w:highlight w:val="none"/>
              </w:rPr>
              <w:t>如CA签章没有法人（负责人）或授权代表签名信息，供应商可在磋商响应文件中涉及到签名的位置线下签好字然后扫描或者拍照做成PDF的格式即可。</w:t>
            </w:r>
          </w:p>
        </w:tc>
      </w:tr>
      <w:tr w14:paraId="050F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7F848D67">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3.5.4</w:t>
            </w:r>
          </w:p>
        </w:tc>
        <w:tc>
          <w:tcPr>
            <w:tcW w:w="2363" w:type="dxa"/>
            <w:shd w:val="clear" w:color="auto" w:fill="auto"/>
            <w:vAlign w:val="center"/>
          </w:tcPr>
          <w:p w14:paraId="6EE48EE2">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响应文件份数及其他要求</w:t>
            </w:r>
          </w:p>
        </w:tc>
        <w:tc>
          <w:tcPr>
            <w:tcW w:w="6775" w:type="dxa"/>
            <w:gridSpan w:val="2"/>
            <w:shd w:val="clear" w:color="auto" w:fill="auto"/>
            <w:vAlign w:val="center"/>
          </w:tcPr>
          <w:p w14:paraId="1588990B">
            <w:pPr>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无。（</w:t>
            </w:r>
            <w:r>
              <w:rPr>
                <w:rFonts w:hint="eastAsia" w:ascii="宋体" w:hAnsi="宋体" w:eastAsia="宋体" w:cs="宋体"/>
                <w:color w:val="auto"/>
                <w:highlight w:val="none"/>
              </w:rPr>
              <w:t>本项目为贺州市全流程电子化项目，响应文件</w:t>
            </w:r>
            <w:r>
              <w:rPr>
                <w:rFonts w:hint="eastAsia" w:ascii="宋体" w:hAnsi="宋体" w:eastAsia="宋体" w:cs="宋体"/>
                <w:color w:val="auto"/>
                <w:highlight w:val="none"/>
                <w:lang w:eastAsia="zh-CN"/>
              </w:rPr>
              <w:t>为电子投标）</w:t>
            </w:r>
          </w:p>
        </w:tc>
      </w:tr>
      <w:tr w14:paraId="05A3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7E8B5854">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4.1.2</w:t>
            </w:r>
          </w:p>
        </w:tc>
        <w:tc>
          <w:tcPr>
            <w:tcW w:w="2363" w:type="dxa"/>
            <w:shd w:val="clear" w:color="auto" w:fill="auto"/>
            <w:vAlign w:val="center"/>
          </w:tcPr>
          <w:p w14:paraId="5719E334">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提交响应文件地点</w:t>
            </w:r>
          </w:p>
        </w:tc>
        <w:tc>
          <w:tcPr>
            <w:tcW w:w="6775" w:type="dxa"/>
            <w:gridSpan w:val="2"/>
            <w:shd w:val="clear" w:color="auto" w:fill="auto"/>
            <w:vAlign w:val="center"/>
          </w:tcPr>
          <w:p w14:paraId="0BB22DC8">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通过“</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”电子在线投标响应</w:t>
            </w:r>
          </w:p>
        </w:tc>
      </w:tr>
      <w:tr w14:paraId="0977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63C61205">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4.1.3</w:t>
            </w:r>
          </w:p>
        </w:tc>
        <w:tc>
          <w:tcPr>
            <w:tcW w:w="2363" w:type="dxa"/>
            <w:shd w:val="clear" w:color="auto" w:fill="auto"/>
            <w:vAlign w:val="center"/>
          </w:tcPr>
          <w:p w14:paraId="35D66CE8">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是否退还响应文件</w:t>
            </w:r>
          </w:p>
        </w:tc>
        <w:tc>
          <w:tcPr>
            <w:tcW w:w="6775" w:type="dxa"/>
            <w:gridSpan w:val="2"/>
            <w:shd w:val="clear" w:color="auto" w:fill="auto"/>
            <w:vAlign w:val="center"/>
          </w:tcPr>
          <w:p w14:paraId="3F292628">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否</w:t>
            </w:r>
          </w:p>
        </w:tc>
      </w:tr>
      <w:tr w14:paraId="49CC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56" w:type="dxa"/>
            <w:shd w:val="clear" w:color="auto" w:fill="auto"/>
            <w:vAlign w:val="center"/>
          </w:tcPr>
          <w:p w14:paraId="7E0D4757">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4.3.1</w:t>
            </w:r>
          </w:p>
        </w:tc>
        <w:tc>
          <w:tcPr>
            <w:tcW w:w="2363" w:type="dxa"/>
            <w:shd w:val="clear" w:color="auto" w:fill="auto"/>
            <w:vAlign w:val="center"/>
          </w:tcPr>
          <w:p w14:paraId="7AE05132">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响应文件解密开始时间及解密时限</w:t>
            </w:r>
          </w:p>
        </w:tc>
        <w:tc>
          <w:tcPr>
            <w:tcW w:w="6775" w:type="dxa"/>
            <w:gridSpan w:val="2"/>
            <w:shd w:val="clear" w:color="auto" w:fill="auto"/>
            <w:vAlign w:val="center"/>
          </w:tcPr>
          <w:p w14:paraId="23FDE5D6">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解密开始时间：同提交首次响应文件截止时间</w:t>
            </w:r>
          </w:p>
          <w:p w14:paraId="188D69A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解密时限：30分钟</w:t>
            </w:r>
          </w:p>
        </w:tc>
      </w:tr>
      <w:tr w14:paraId="0C1B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4FFE0420">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5.1</w:t>
            </w:r>
          </w:p>
        </w:tc>
        <w:tc>
          <w:tcPr>
            <w:tcW w:w="2363" w:type="dxa"/>
            <w:shd w:val="clear" w:color="auto" w:fill="auto"/>
            <w:vAlign w:val="center"/>
          </w:tcPr>
          <w:p w14:paraId="332E7BF3">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开标时间和地点</w:t>
            </w:r>
          </w:p>
        </w:tc>
        <w:tc>
          <w:tcPr>
            <w:tcW w:w="6775" w:type="dxa"/>
            <w:gridSpan w:val="2"/>
            <w:shd w:val="clear" w:color="auto" w:fill="auto"/>
            <w:vAlign w:val="center"/>
          </w:tcPr>
          <w:p w14:paraId="4DD9BEA1">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开标时间：同提交首次响应文件截止时间</w:t>
            </w:r>
          </w:p>
          <w:p w14:paraId="3DB243F9">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开标地点：同提交响应文件地点</w:t>
            </w:r>
          </w:p>
        </w:tc>
      </w:tr>
      <w:tr w14:paraId="40F9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56" w:type="dxa"/>
            <w:shd w:val="clear" w:color="auto" w:fill="auto"/>
            <w:vAlign w:val="center"/>
          </w:tcPr>
          <w:p w14:paraId="2C8BDADF">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6.1</w:t>
            </w:r>
          </w:p>
        </w:tc>
        <w:tc>
          <w:tcPr>
            <w:tcW w:w="2363" w:type="dxa"/>
            <w:shd w:val="clear" w:color="auto" w:fill="auto"/>
            <w:vAlign w:val="center"/>
          </w:tcPr>
          <w:p w14:paraId="53257C2F">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磋商小组组成</w:t>
            </w:r>
          </w:p>
        </w:tc>
        <w:tc>
          <w:tcPr>
            <w:tcW w:w="6775" w:type="dxa"/>
            <w:gridSpan w:val="2"/>
            <w:shd w:val="clear" w:color="auto" w:fill="auto"/>
            <w:vAlign w:val="center"/>
          </w:tcPr>
          <w:p w14:paraId="25226B42">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本竞争性磋商采购项目的磋商小组由3人组成；采购单位代表1人，随机抽取的评标专家2人。</w:t>
            </w:r>
          </w:p>
        </w:tc>
      </w:tr>
      <w:tr w14:paraId="6325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47430FC9">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6.2.1</w:t>
            </w:r>
          </w:p>
        </w:tc>
        <w:tc>
          <w:tcPr>
            <w:tcW w:w="2363" w:type="dxa"/>
            <w:shd w:val="clear" w:color="auto" w:fill="auto"/>
            <w:vAlign w:val="center"/>
          </w:tcPr>
          <w:p w14:paraId="4639D8F3">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磋商时间与磋商地点</w:t>
            </w:r>
          </w:p>
        </w:tc>
        <w:tc>
          <w:tcPr>
            <w:tcW w:w="6775" w:type="dxa"/>
            <w:gridSpan w:val="2"/>
            <w:shd w:val="clear" w:color="auto" w:fill="auto"/>
            <w:vAlign w:val="center"/>
          </w:tcPr>
          <w:p w14:paraId="4B3A989C">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磋商时间：具体时间由代理机构另行通知。</w:t>
            </w:r>
          </w:p>
          <w:p w14:paraId="3C0B5E96">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磋商地点：同开标地点。</w:t>
            </w:r>
          </w:p>
          <w:p w14:paraId="2A6F115D">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说明：磋商程序将通过</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开展。</w:t>
            </w:r>
          </w:p>
        </w:tc>
      </w:tr>
      <w:tr w14:paraId="4164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27BB656B">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6.2.2</w:t>
            </w:r>
          </w:p>
        </w:tc>
        <w:tc>
          <w:tcPr>
            <w:tcW w:w="2363" w:type="dxa"/>
            <w:shd w:val="clear" w:color="auto" w:fill="auto"/>
            <w:vAlign w:val="center"/>
          </w:tcPr>
          <w:p w14:paraId="2D3EDAC6">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磋商过程中可能实质变得的内容</w:t>
            </w:r>
          </w:p>
        </w:tc>
        <w:tc>
          <w:tcPr>
            <w:tcW w:w="6775" w:type="dxa"/>
            <w:gridSpan w:val="2"/>
            <w:shd w:val="clear" w:color="auto" w:fill="auto"/>
            <w:vAlign w:val="center"/>
          </w:tcPr>
          <w:p w14:paraId="005B0406">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磋商小组可以根据磋商文件和磋商情况实质性变动采购需求中的技术、服务要求以及合同草案条款，但不得变动磋商文件中的其他内容。</w:t>
            </w:r>
          </w:p>
        </w:tc>
      </w:tr>
      <w:tr w14:paraId="3FA6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014E8588">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6.3.1</w:t>
            </w:r>
          </w:p>
        </w:tc>
        <w:tc>
          <w:tcPr>
            <w:tcW w:w="2363" w:type="dxa"/>
            <w:shd w:val="clear" w:color="auto" w:fill="auto"/>
            <w:vAlign w:val="center"/>
          </w:tcPr>
          <w:p w14:paraId="24B40078">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评标方法</w:t>
            </w:r>
          </w:p>
        </w:tc>
        <w:tc>
          <w:tcPr>
            <w:tcW w:w="6775" w:type="dxa"/>
            <w:gridSpan w:val="2"/>
            <w:shd w:val="clear" w:color="auto" w:fill="auto"/>
            <w:vAlign w:val="center"/>
          </w:tcPr>
          <w:p w14:paraId="0DA375E3">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综合评分法</w:t>
            </w:r>
          </w:p>
        </w:tc>
      </w:tr>
      <w:tr w14:paraId="4E28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60A90C13">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7.1</w:t>
            </w:r>
          </w:p>
        </w:tc>
        <w:tc>
          <w:tcPr>
            <w:tcW w:w="2363" w:type="dxa"/>
            <w:shd w:val="clear" w:color="auto" w:fill="auto"/>
            <w:vAlign w:val="center"/>
          </w:tcPr>
          <w:p w14:paraId="50ADFAE9">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是否授权磋商小组确定成交供应商</w:t>
            </w:r>
          </w:p>
        </w:tc>
        <w:tc>
          <w:tcPr>
            <w:tcW w:w="6775" w:type="dxa"/>
            <w:gridSpan w:val="2"/>
            <w:shd w:val="clear" w:color="auto" w:fill="auto"/>
            <w:vAlign w:val="center"/>
          </w:tcPr>
          <w:p w14:paraId="25B327E8">
            <w:pPr>
              <w:spacing w:line="4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是</w:t>
            </w:r>
          </w:p>
        </w:tc>
      </w:tr>
      <w:tr w14:paraId="375F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shd w:val="clear" w:color="auto" w:fill="auto"/>
            <w:vAlign w:val="center"/>
          </w:tcPr>
          <w:p w14:paraId="58E63B7B">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7.2.1</w:t>
            </w:r>
          </w:p>
        </w:tc>
        <w:tc>
          <w:tcPr>
            <w:tcW w:w="2363" w:type="dxa"/>
            <w:shd w:val="clear" w:color="auto" w:fill="auto"/>
            <w:vAlign w:val="center"/>
          </w:tcPr>
          <w:p w14:paraId="73E1FEEE">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成交结果公告发布媒介</w:t>
            </w:r>
          </w:p>
        </w:tc>
        <w:tc>
          <w:tcPr>
            <w:tcW w:w="6775" w:type="dxa"/>
            <w:gridSpan w:val="2"/>
            <w:shd w:val="clear" w:color="auto" w:fill="auto"/>
            <w:vAlign w:val="center"/>
          </w:tcPr>
          <w:p w14:paraId="2C123BF2">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在竞争性磋商公告发布媒介上发布</w:t>
            </w:r>
          </w:p>
        </w:tc>
      </w:tr>
      <w:tr w14:paraId="600B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56" w:type="dxa"/>
            <w:shd w:val="clear" w:color="auto" w:fill="auto"/>
            <w:vAlign w:val="center"/>
          </w:tcPr>
          <w:p w14:paraId="74B92494">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7.3.1</w:t>
            </w:r>
          </w:p>
        </w:tc>
        <w:tc>
          <w:tcPr>
            <w:tcW w:w="2363" w:type="dxa"/>
            <w:shd w:val="clear" w:color="auto" w:fill="auto"/>
            <w:vAlign w:val="center"/>
          </w:tcPr>
          <w:p w14:paraId="624127D4">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履约保证金</w:t>
            </w:r>
          </w:p>
        </w:tc>
        <w:tc>
          <w:tcPr>
            <w:tcW w:w="6775" w:type="dxa"/>
            <w:gridSpan w:val="2"/>
            <w:shd w:val="clear" w:color="auto" w:fill="auto"/>
            <w:vAlign w:val="center"/>
          </w:tcPr>
          <w:p w14:paraId="38D2FFC2">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4"/>
                <w:highlight w:val="none"/>
                <w:lang w:eastAsia="zh-CN"/>
              </w:rPr>
              <w:t>是否</w:t>
            </w:r>
            <w:r>
              <w:rPr>
                <w:rFonts w:hint="eastAsia" w:ascii="宋体" w:hAnsi="宋体" w:eastAsia="宋体" w:cs="宋体"/>
                <w:color w:val="auto"/>
                <w:kern w:val="2"/>
                <w:szCs w:val="24"/>
                <w:highlight w:val="none"/>
              </w:rPr>
              <w:t>需</w:t>
            </w:r>
            <w:r>
              <w:rPr>
                <w:rFonts w:hint="eastAsia" w:ascii="宋体" w:hAnsi="宋体" w:eastAsia="宋体" w:cs="宋体"/>
                <w:color w:val="auto"/>
                <w:kern w:val="2"/>
                <w:szCs w:val="24"/>
                <w:highlight w:val="none"/>
                <w:lang w:eastAsia="zh-CN"/>
              </w:rPr>
              <w:t>要</w:t>
            </w:r>
            <w:r>
              <w:rPr>
                <w:rFonts w:hint="eastAsia" w:ascii="宋体" w:hAnsi="宋体" w:eastAsia="宋体" w:cs="宋体"/>
                <w:color w:val="auto"/>
                <w:kern w:val="2"/>
                <w:szCs w:val="24"/>
                <w:highlight w:val="none"/>
              </w:rPr>
              <w:t>提交履约保证金</w:t>
            </w:r>
            <w:r>
              <w:rPr>
                <w:rFonts w:hint="eastAsia" w:ascii="宋体" w:hAnsi="宋体" w:eastAsia="宋体" w:cs="宋体"/>
                <w:color w:val="auto"/>
                <w:kern w:val="2"/>
                <w:szCs w:val="24"/>
                <w:highlight w:val="none"/>
                <w:lang w:eastAsia="zh-CN"/>
              </w:rPr>
              <w:t>：无</w:t>
            </w:r>
            <w:r>
              <w:rPr>
                <w:rFonts w:hint="eastAsia" w:ascii="宋体" w:hAnsi="宋体" w:eastAsia="宋体" w:cs="宋体"/>
                <w:color w:val="auto"/>
                <w:kern w:val="2"/>
                <w:szCs w:val="24"/>
                <w:highlight w:val="none"/>
              </w:rPr>
              <w:t>需</w:t>
            </w:r>
            <w:r>
              <w:rPr>
                <w:rFonts w:hint="eastAsia" w:ascii="宋体" w:hAnsi="宋体" w:eastAsia="宋体" w:cs="宋体"/>
                <w:color w:val="auto"/>
                <w:kern w:val="2"/>
                <w:szCs w:val="24"/>
                <w:highlight w:val="none"/>
                <w:lang w:eastAsia="zh-CN"/>
              </w:rPr>
              <w:t>。</w:t>
            </w:r>
          </w:p>
        </w:tc>
      </w:tr>
      <w:tr w14:paraId="5800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7EED07C9">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7.4.1</w:t>
            </w:r>
          </w:p>
        </w:tc>
        <w:tc>
          <w:tcPr>
            <w:tcW w:w="2363" w:type="dxa"/>
            <w:shd w:val="clear" w:color="auto" w:fill="auto"/>
            <w:vAlign w:val="center"/>
          </w:tcPr>
          <w:p w14:paraId="18BCA9C8">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合同签订</w:t>
            </w:r>
          </w:p>
        </w:tc>
        <w:tc>
          <w:tcPr>
            <w:tcW w:w="6775" w:type="dxa"/>
            <w:gridSpan w:val="2"/>
            <w:shd w:val="clear" w:color="auto" w:fill="auto"/>
            <w:vAlign w:val="center"/>
          </w:tcPr>
          <w:p w14:paraId="5DEF5213">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highlight w:val="none"/>
              </w:rPr>
            </w:pPr>
            <w:r>
              <w:rPr>
                <w:rFonts w:hint="eastAsia" w:ascii="宋体" w:hAnsi="宋体" w:eastAsia="宋体" w:cs="宋体"/>
                <w:b/>
                <w:color w:val="auto"/>
                <w:highlight w:val="none"/>
              </w:rPr>
              <w:t>中标单位需在中标(成交)通知书发出之日起</w:t>
            </w:r>
            <w:r>
              <w:rPr>
                <w:rFonts w:hint="eastAsia" w:ascii="宋体" w:hAnsi="宋体" w:eastAsia="宋体" w:cs="宋体"/>
                <w:b/>
                <w:color w:val="auto"/>
                <w:highlight w:val="none"/>
                <w:lang w:val="en-US" w:eastAsia="zh-CN"/>
              </w:rPr>
              <w:t>25</w:t>
            </w:r>
            <w:r>
              <w:rPr>
                <w:rFonts w:hint="eastAsia" w:ascii="宋体" w:hAnsi="宋体" w:eastAsia="宋体" w:cs="宋体"/>
                <w:b/>
                <w:color w:val="auto"/>
                <w:highlight w:val="none"/>
              </w:rPr>
              <w:t>日内与采购人签订合同。</w:t>
            </w:r>
          </w:p>
        </w:tc>
      </w:tr>
      <w:tr w14:paraId="40BF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56" w:type="dxa"/>
            <w:shd w:val="clear" w:color="auto" w:fill="auto"/>
            <w:vAlign w:val="center"/>
          </w:tcPr>
          <w:p w14:paraId="45706A67">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10.2.1</w:t>
            </w:r>
          </w:p>
        </w:tc>
        <w:tc>
          <w:tcPr>
            <w:tcW w:w="2363" w:type="dxa"/>
            <w:shd w:val="clear" w:color="auto" w:fill="auto"/>
            <w:vAlign w:val="center"/>
          </w:tcPr>
          <w:p w14:paraId="6A2F5399">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质疑受理部门及质疑函接收方式</w:t>
            </w:r>
          </w:p>
        </w:tc>
        <w:tc>
          <w:tcPr>
            <w:tcW w:w="6775" w:type="dxa"/>
            <w:gridSpan w:val="2"/>
            <w:shd w:val="clear" w:color="auto" w:fill="auto"/>
            <w:vAlign w:val="center"/>
          </w:tcPr>
          <w:p w14:paraId="54743404">
            <w:pPr>
              <w:pStyle w:val="7"/>
              <w:ind w:left="63" w:right="63"/>
              <w:jc w:val="left"/>
              <w:rPr>
                <w:rFonts w:hint="eastAsia" w:ascii="宋体" w:hAnsi="宋体" w:eastAsia="宋体" w:cs="宋体"/>
                <w:color w:val="auto"/>
                <w:highlight w:val="none"/>
              </w:rPr>
            </w:pPr>
            <w:r>
              <w:rPr>
                <w:rFonts w:hint="eastAsia" w:ascii="宋体" w:hAnsi="宋体" w:eastAsia="宋体" w:cs="宋体"/>
                <w:color w:val="auto"/>
                <w:highlight w:val="none"/>
              </w:rPr>
              <w:t>通过</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“质疑模块”提出质疑，质疑应符合《政府采购质疑和投诉办法》（财政部令第94号）规定。</w:t>
            </w:r>
          </w:p>
        </w:tc>
      </w:tr>
      <w:tr w14:paraId="2396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71A16AF4">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10.3.1</w:t>
            </w:r>
          </w:p>
        </w:tc>
        <w:tc>
          <w:tcPr>
            <w:tcW w:w="2363" w:type="dxa"/>
            <w:shd w:val="clear" w:color="auto" w:fill="auto"/>
            <w:vAlign w:val="center"/>
          </w:tcPr>
          <w:p w14:paraId="30E057CA">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投诉受理部门及联系方式</w:t>
            </w:r>
          </w:p>
        </w:tc>
        <w:tc>
          <w:tcPr>
            <w:tcW w:w="6775" w:type="dxa"/>
            <w:gridSpan w:val="2"/>
            <w:shd w:val="clear" w:color="auto" w:fill="auto"/>
            <w:vAlign w:val="center"/>
          </w:tcPr>
          <w:p w14:paraId="6326C144">
            <w:pPr>
              <w:spacing w:line="4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受理部门：</w:t>
            </w:r>
            <w:r>
              <w:rPr>
                <w:rFonts w:hint="eastAsia" w:ascii="宋体" w:hAnsi="宋体" w:eastAsia="宋体" w:cs="宋体"/>
                <w:color w:val="auto"/>
                <w:highlight w:val="none"/>
                <w:lang w:val="en-US" w:eastAsia="zh-CN"/>
              </w:rPr>
              <w:t>贺州市平桂区政府采购管理办公室</w:t>
            </w:r>
          </w:p>
          <w:p w14:paraId="4500AACE">
            <w:pPr>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 xml:space="preserve">联系电话: </w:t>
            </w:r>
            <w:r>
              <w:rPr>
                <w:rFonts w:hint="eastAsia" w:ascii="宋体" w:hAnsi="宋体" w:eastAsia="宋体" w:cs="宋体"/>
                <w:color w:val="auto"/>
                <w:highlight w:val="none"/>
                <w:lang w:val="en-US" w:eastAsia="zh-CN"/>
              </w:rPr>
              <w:t>0774-8832896</w:t>
            </w:r>
          </w:p>
        </w:tc>
      </w:tr>
      <w:tr w14:paraId="391F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094" w:type="dxa"/>
            <w:gridSpan w:val="4"/>
            <w:shd w:val="clear" w:color="auto" w:fill="auto"/>
            <w:vAlign w:val="center"/>
          </w:tcPr>
          <w:p w14:paraId="078B3F82">
            <w:pPr>
              <w:spacing w:line="400" w:lineRule="exact"/>
              <w:jc w:val="left"/>
              <w:rPr>
                <w:rFonts w:hint="eastAsia" w:ascii="宋体" w:hAnsi="宋体" w:eastAsia="宋体" w:cs="宋体"/>
                <w:b/>
                <w:color w:val="auto"/>
                <w:highlight w:val="none"/>
              </w:rPr>
            </w:pPr>
            <w:r>
              <w:rPr>
                <w:rFonts w:hint="eastAsia" w:ascii="宋体" w:hAnsi="宋体" w:eastAsia="宋体" w:cs="宋体"/>
                <w:b/>
                <w:color w:val="auto"/>
                <w:highlight w:val="none"/>
              </w:rPr>
              <w:t>11 其他补充内容</w:t>
            </w:r>
          </w:p>
        </w:tc>
      </w:tr>
      <w:tr w14:paraId="4D9A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094" w:type="dxa"/>
            <w:gridSpan w:val="4"/>
            <w:shd w:val="clear" w:color="auto" w:fill="auto"/>
            <w:vAlign w:val="center"/>
          </w:tcPr>
          <w:p w14:paraId="05ECF427">
            <w:pPr>
              <w:spacing w:line="400" w:lineRule="exact"/>
              <w:rPr>
                <w:rFonts w:hint="eastAsia" w:ascii="宋体" w:hAnsi="宋体" w:eastAsia="宋体" w:cs="宋体"/>
                <w:b/>
                <w:color w:val="auto"/>
                <w:highlight w:val="none"/>
              </w:rPr>
            </w:pPr>
            <w:r>
              <w:rPr>
                <w:rFonts w:hint="eastAsia" w:ascii="宋体" w:hAnsi="宋体" w:eastAsia="宋体" w:cs="宋体"/>
                <w:b/>
                <w:color w:val="auto"/>
                <w:highlight w:val="none"/>
              </w:rPr>
              <w:t>11.1词语释义</w:t>
            </w:r>
          </w:p>
        </w:tc>
      </w:tr>
      <w:tr w14:paraId="0CB1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jc w:val="center"/>
        </w:trPr>
        <w:tc>
          <w:tcPr>
            <w:tcW w:w="956" w:type="dxa"/>
            <w:shd w:val="clear" w:color="auto" w:fill="auto"/>
            <w:vAlign w:val="center"/>
          </w:tcPr>
          <w:p w14:paraId="013BD2B6">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11.1.1</w:t>
            </w:r>
          </w:p>
        </w:tc>
        <w:tc>
          <w:tcPr>
            <w:tcW w:w="2363" w:type="dxa"/>
            <w:shd w:val="clear" w:color="auto" w:fill="auto"/>
            <w:vAlign w:val="center"/>
          </w:tcPr>
          <w:p w14:paraId="0D71613E">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法人或者其他组织的营业执照等证明文件</w:t>
            </w:r>
          </w:p>
        </w:tc>
        <w:tc>
          <w:tcPr>
            <w:tcW w:w="6775" w:type="dxa"/>
            <w:gridSpan w:val="2"/>
            <w:shd w:val="clear" w:color="auto" w:fill="auto"/>
            <w:vAlign w:val="center"/>
          </w:tcPr>
          <w:p w14:paraId="644CA141">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法人包括企业法人、机关法人、事业单位法人和社会团体法人；其他组织主要包括合伙企业、非企业专业服务机构、民办非企业单位、个体工商户、农村承包经营户等；</w:t>
            </w:r>
          </w:p>
          <w:p w14:paraId="13F5C467">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如供应商为企业法人、合伙企业或个体工商户的，应具有登记管理机关核发的有效的营业执照；供应商为事业单位法人的，应具有有效的事业单位法人证书；供应商为社会团体法人，应具有登记管理机关核发的有效的社会团体登记证书；供应商为民办非企业单位的，应具有登记管理机关核发的有效民办非企业单位登记证书；供应商为非企业专业服务机构的，应具有执业许可证等证明文件。</w:t>
            </w:r>
          </w:p>
        </w:tc>
      </w:tr>
      <w:tr w14:paraId="3FE6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956" w:type="dxa"/>
            <w:shd w:val="clear" w:color="auto" w:fill="auto"/>
            <w:vAlign w:val="center"/>
          </w:tcPr>
          <w:p w14:paraId="5037D78A">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11.1.2</w:t>
            </w:r>
          </w:p>
        </w:tc>
        <w:tc>
          <w:tcPr>
            <w:tcW w:w="2363" w:type="dxa"/>
            <w:shd w:val="clear" w:color="auto" w:fill="auto"/>
            <w:vAlign w:val="center"/>
          </w:tcPr>
          <w:p w14:paraId="4D9E6C8A">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法定代表人（负责人）</w:t>
            </w:r>
          </w:p>
        </w:tc>
        <w:tc>
          <w:tcPr>
            <w:tcW w:w="6775" w:type="dxa"/>
            <w:gridSpan w:val="2"/>
            <w:shd w:val="clear" w:color="auto" w:fill="auto"/>
            <w:vAlign w:val="center"/>
          </w:tcPr>
          <w:p w14:paraId="04B0427B">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本文所指的“法定代表人（负责人）”包括企业法人、机关单位法人、事业单位法人、社会团体法人的法定代表人，合伙企业的执行事务合伙人，民办非企业单位的法定代表人或单位负责人，个体工商户的经营者等代表单位行使职权的主要负责人。</w:t>
            </w:r>
          </w:p>
        </w:tc>
      </w:tr>
      <w:tr w14:paraId="3092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56" w:type="dxa"/>
            <w:shd w:val="clear" w:color="auto" w:fill="auto"/>
            <w:vAlign w:val="center"/>
          </w:tcPr>
          <w:p w14:paraId="7E4AA960">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11.1.3</w:t>
            </w:r>
          </w:p>
        </w:tc>
        <w:tc>
          <w:tcPr>
            <w:tcW w:w="2363" w:type="dxa"/>
            <w:shd w:val="clear" w:color="auto" w:fill="auto"/>
            <w:vAlign w:val="center"/>
          </w:tcPr>
          <w:p w14:paraId="7B75FB8F">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重大违法记录</w:t>
            </w:r>
          </w:p>
        </w:tc>
        <w:tc>
          <w:tcPr>
            <w:tcW w:w="6775" w:type="dxa"/>
            <w:gridSpan w:val="2"/>
            <w:shd w:val="clear" w:color="auto" w:fill="auto"/>
            <w:vAlign w:val="center"/>
          </w:tcPr>
          <w:p w14:paraId="7F579521">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指供应商因违法经营受到刑事处罚或者责令停产停业、吊销许可证或者执照、较大数额罚款等行政处罚。</w:t>
            </w:r>
          </w:p>
        </w:tc>
      </w:tr>
      <w:tr w14:paraId="5DBA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jc w:val="center"/>
        </w:trPr>
        <w:tc>
          <w:tcPr>
            <w:tcW w:w="956" w:type="dxa"/>
            <w:shd w:val="clear" w:color="auto" w:fill="auto"/>
            <w:vAlign w:val="center"/>
          </w:tcPr>
          <w:p w14:paraId="2EB6623D">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11.1.4</w:t>
            </w:r>
          </w:p>
        </w:tc>
        <w:tc>
          <w:tcPr>
            <w:tcW w:w="2363" w:type="dxa"/>
            <w:shd w:val="clear" w:color="auto" w:fill="auto"/>
            <w:vAlign w:val="center"/>
          </w:tcPr>
          <w:p w14:paraId="05A5C2F9">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中小企业</w:t>
            </w:r>
          </w:p>
        </w:tc>
        <w:tc>
          <w:tcPr>
            <w:tcW w:w="6775" w:type="dxa"/>
            <w:gridSpan w:val="2"/>
            <w:shd w:val="clear" w:color="auto" w:fill="auto"/>
            <w:vAlign w:val="center"/>
          </w:tcPr>
          <w:p w14:paraId="2C9E230C">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本文所指中小企业系指《政府采购促进中小企业发展管理办法》（财库﹝2020﹞46号）中规定的中小企业；</w:t>
            </w:r>
          </w:p>
          <w:p w14:paraId="73960403">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中小企业参加政府采购活动，应当出具符合《政府采购促进中小企业发展管理办法》（财库﹝2020﹞46号）、《广西壮族自治区财政厅关于进一步发挥政府采购政策功能促进企业发展的通知》（财库〔2022〕30号）规定的《中小企业申明函》，否则不得享受相关中小企业扶持政策。《中小企业申明函》格式见第六章。</w:t>
            </w:r>
          </w:p>
        </w:tc>
      </w:tr>
      <w:tr w14:paraId="6E58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956" w:type="dxa"/>
            <w:shd w:val="clear" w:color="auto" w:fill="auto"/>
            <w:vAlign w:val="center"/>
          </w:tcPr>
          <w:p w14:paraId="6BB8052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11.1.5</w:t>
            </w:r>
          </w:p>
        </w:tc>
        <w:tc>
          <w:tcPr>
            <w:tcW w:w="2363" w:type="dxa"/>
            <w:shd w:val="clear" w:color="auto" w:fill="auto"/>
            <w:vAlign w:val="center"/>
          </w:tcPr>
          <w:p w14:paraId="00D71F24">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残疾人企业</w:t>
            </w:r>
          </w:p>
        </w:tc>
        <w:tc>
          <w:tcPr>
            <w:tcW w:w="6775" w:type="dxa"/>
            <w:gridSpan w:val="2"/>
            <w:shd w:val="clear" w:color="auto" w:fill="auto"/>
            <w:vAlign w:val="center"/>
          </w:tcPr>
          <w:p w14:paraId="361DE270">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本文所指残疾人企业应满足一下要求：</w:t>
            </w:r>
          </w:p>
          <w:p w14:paraId="7F7D4848">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（1）根据《三部门联合发布关于促进残疾人就业政府采购政策的通知》（财库〔2017〕141号）被划分为享受政府采购支持政策的残疾人福利性单位；</w:t>
            </w:r>
          </w:p>
          <w:p w14:paraId="1D506568">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（2）提供本单位制造的货物、承担的工程或者服务（以下简称产品），或者提供其他残疾人福利性单位制造的货物（不包括使用非残疾人福利性单位注册商标的货物）。</w:t>
            </w:r>
          </w:p>
        </w:tc>
      </w:tr>
      <w:tr w14:paraId="0FE6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6D929FD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11.1.6</w:t>
            </w:r>
          </w:p>
        </w:tc>
        <w:tc>
          <w:tcPr>
            <w:tcW w:w="2363" w:type="dxa"/>
            <w:shd w:val="clear" w:color="auto" w:fill="auto"/>
            <w:vAlign w:val="center"/>
          </w:tcPr>
          <w:p w14:paraId="4720C06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监狱企业</w:t>
            </w:r>
          </w:p>
        </w:tc>
        <w:tc>
          <w:tcPr>
            <w:tcW w:w="6775" w:type="dxa"/>
            <w:gridSpan w:val="2"/>
            <w:shd w:val="clear" w:color="auto" w:fill="auto"/>
            <w:vAlign w:val="center"/>
          </w:tcPr>
          <w:p w14:paraId="1C90457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tc>
      </w:tr>
      <w:tr w14:paraId="60C6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094" w:type="dxa"/>
            <w:gridSpan w:val="4"/>
            <w:shd w:val="clear" w:color="auto" w:fill="auto"/>
            <w:vAlign w:val="center"/>
          </w:tcPr>
          <w:p w14:paraId="54393FEB">
            <w:pPr>
              <w:spacing w:line="400" w:lineRule="exact"/>
              <w:jc w:val="left"/>
              <w:rPr>
                <w:rFonts w:hint="eastAsia" w:ascii="宋体" w:hAnsi="宋体" w:eastAsia="宋体" w:cs="宋体"/>
                <w:b/>
                <w:color w:val="auto"/>
                <w:highlight w:val="none"/>
              </w:rPr>
            </w:pPr>
            <w:r>
              <w:rPr>
                <w:rFonts w:hint="eastAsia" w:ascii="宋体" w:hAnsi="宋体" w:eastAsia="宋体" w:cs="宋体"/>
                <w:b/>
                <w:color w:val="auto"/>
                <w:highlight w:val="none"/>
              </w:rPr>
              <w:t>11.2知识产权</w:t>
            </w:r>
          </w:p>
        </w:tc>
      </w:tr>
      <w:tr w14:paraId="4787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56" w:type="dxa"/>
            <w:shd w:val="clear" w:color="auto" w:fill="auto"/>
            <w:vAlign w:val="center"/>
          </w:tcPr>
          <w:p w14:paraId="50FB8B30">
            <w:pPr>
              <w:spacing w:line="400" w:lineRule="exact"/>
              <w:jc w:val="center"/>
              <w:rPr>
                <w:rFonts w:hint="eastAsia" w:ascii="宋体" w:hAnsi="宋体" w:eastAsia="宋体" w:cs="宋体"/>
                <w:color w:val="auto"/>
                <w:highlight w:val="none"/>
              </w:rPr>
            </w:pPr>
          </w:p>
        </w:tc>
        <w:tc>
          <w:tcPr>
            <w:tcW w:w="9138" w:type="dxa"/>
            <w:gridSpan w:val="3"/>
            <w:shd w:val="clear" w:color="auto" w:fill="auto"/>
            <w:vAlign w:val="center"/>
          </w:tcPr>
          <w:p w14:paraId="13DBE6D0">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构成本磋商文件各个组成部分的文件，未经采购人书面同意，供应商不得擅自复印和用于非本采购项目所需的其他目的。</w:t>
            </w:r>
          </w:p>
        </w:tc>
      </w:tr>
      <w:tr w14:paraId="3B32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094" w:type="dxa"/>
            <w:gridSpan w:val="4"/>
            <w:shd w:val="clear" w:color="auto" w:fill="auto"/>
            <w:vAlign w:val="center"/>
          </w:tcPr>
          <w:p w14:paraId="73BB2C8C">
            <w:pPr>
              <w:spacing w:line="400" w:lineRule="exact"/>
              <w:jc w:val="left"/>
              <w:rPr>
                <w:rFonts w:hint="eastAsia" w:ascii="宋体" w:hAnsi="宋体" w:eastAsia="宋体" w:cs="宋体"/>
                <w:b/>
                <w:color w:val="auto"/>
                <w:highlight w:val="none"/>
              </w:rPr>
            </w:pPr>
            <w:r>
              <w:rPr>
                <w:rFonts w:hint="eastAsia" w:ascii="宋体" w:hAnsi="宋体" w:eastAsia="宋体" w:cs="宋体"/>
                <w:b/>
                <w:color w:val="auto"/>
                <w:highlight w:val="none"/>
              </w:rPr>
              <w:t>11.3解释权</w:t>
            </w:r>
          </w:p>
        </w:tc>
      </w:tr>
      <w:tr w14:paraId="2CDD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56" w:type="dxa"/>
            <w:shd w:val="clear" w:color="auto" w:fill="auto"/>
            <w:vAlign w:val="center"/>
          </w:tcPr>
          <w:p w14:paraId="429DC86E">
            <w:pPr>
              <w:spacing w:line="400" w:lineRule="exact"/>
              <w:jc w:val="center"/>
              <w:rPr>
                <w:rFonts w:hint="eastAsia" w:ascii="宋体" w:hAnsi="宋体" w:eastAsia="宋体" w:cs="宋体"/>
                <w:color w:val="auto"/>
                <w:highlight w:val="none"/>
              </w:rPr>
            </w:pPr>
          </w:p>
        </w:tc>
        <w:tc>
          <w:tcPr>
            <w:tcW w:w="9138" w:type="dxa"/>
            <w:gridSpan w:val="3"/>
            <w:shd w:val="clear" w:color="auto" w:fill="auto"/>
            <w:vAlign w:val="center"/>
          </w:tcPr>
          <w:p w14:paraId="00308A16">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构成本磋商文件的各个组成文件应互为解释，互为说明；如有不明确或不一致，构成合同文件组成内容的，以合同文件约定内容为准；除磋商文件中有特别规定外，仅适用于采购响应阶段的规定，按澄清或修改文件、竞争性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代理机构负责解释。</w:t>
            </w:r>
          </w:p>
        </w:tc>
      </w:tr>
      <w:tr w14:paraId="34EE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094" w:type="dxa"/>
            <w:gridSpan w:val="4"/>
            <w:shd w:val="clear" w:color="auto" w:fill="auto"/>
            <w:vAlign w:val="center"/>
          </w:tcPr>
          <w:p w14:paraId="78D8F6B3">
            <w:pPr>
              <w:spacing w:line="400" w:lineRule="exact"/>
              <w:jc w:val="left"/>
              <w:rPr>
                <w:rFonts w:hint="eastAsia" w:ascii="宋体" w:hAnsi="宋体" w:eastAsia="宋体" w:cs="宋体"/>
                <w:b/>
                <w:color w:val="auto"/>
                <w:highlight w:val="none"/>
              </w:rPr>
            </w:pPr>
            <w:r>
              <w:rPr>
                <w:rFonts w:hint="eastAsia" w:ascii="宋体" w:hAnsi="宋体" w:eastAsia="宋体" w:cs="宋体"/>
                <w:b/>
                <w:color w:val="auto"/>
                <w:highlight w:val="none"/>
              </w:rPr>
              <w:t>11.4供应商信用信息查询</w:t>
            </w:r>
          </w:p>
        </w:tc>
      </w:tr>
      <w:tr w14:paraId="6119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746B1591">
            <w:pPr>
              <w:spacing w:line="400" w:lineRule="exact"/>
              <w:jc w:val="center"/>
              <w:rPr>
                <w:rFonts w:hint="eastAsia" w:ascii="宋体" w:hAnsi="宋体" w:eastAsia="宋体" w:cs="宋体"/>
                <w:color w:val="auto"/>
                <w:highlight w:val="none"/>
              </w:rPr>
            </w:pPr>
          </w:p>
        </w:tc>
        <w:tc>
          <w:tcPr>
            <w:tcW w:w="9138" w:type="dxa"/>
            <w:gridSpan w:val="3"/>
            <w:shd w:val="clear" w:color="auto" w:fill="auto"/>
            <w:vAlign w:val="center"/>
          </w:tcPr>
          <w:p w14:paraId="0E369407">
            <w:pPr>
              <w:spacing w:line="400" w:lineRule="exact"/>
              <w:rPr>
                <w:rFonts w:hint="eastAsia" w:ascii="宋体" w:hAnsi="宋体" w:eastAsia="宋体" w:cs="宋体"/>
                <w:color w:val="auto"/>
                <w:highlight w:val="none"/>
              </w:rPr>
            </w:pPr>
            <w:r>
              <w:rPr>
                <w:rFonts w:hint="eastAsia" w:ascii="宋体" w:hAnsi="宋体" w:eastAsia="宋体" w:cs="宋体"/>
                <w:b/>
                <w:color w:val="auto"/>
                <w:highlight w:val="none"/>
              </w:rPr>
              <w:t>查询渠道</w:t>
            </w:r>
            <w:r>
              <w:rPr>
                <w:rFonts w:hint="eastAsia" w:ascii="宋体" w:hAnsi="宋体" w:eastAsia="宋体" w:cs="宋体"/>
                <w:color w:val="auto"/>
                <w:highlight w:val="none"/>
              </w:rPr>
              <w:t>：“信用中国”网站(www.creditchina.gov.cn)、中国政府采购网(www.ccgp.gov.cn)。</w:t>
            </w:r>
          </w:p>
          <w:p w14:paraId="15CD1E20">
            <w:pPr>
              <w:spacing w:line="400" w:lineRule="exact"/>
              <w:rPr>
                <w:rFonts w:hint="eastAsia" w:ascii="宋体" w:hAnsi="宋体" w:eastAsia="宋体" w:cs="宋体"/>
                <w:color w:val="auto"/>
                <w:highlight w:val="none"/>
              </w:rPr>
            </w:pPr>
            <w:r>
              <w:rPr>
                <w:rFonts w:hint="eastAsia" w:ascii="宋体" w:hAnsi="宋体" w:eastAsia="宋体" w:cs="宋体"/>
                <w:b/>
                <w:color w:val="auto"/>
                <w:highlight w:val="none"/>
              </w:rPr>
              <w:t>查询时间</w:t>
            </w:r>
            <w:r>
              <w:rPr>
                <w:rFonts w:hint="eastAsia" w:ascii="宋体" w:hAnsi="宋体" w:eastAsia="宋体" w:cs="宋体"/>
                <w:color w:val="auto"/>
                <w:highlight w:val="none"/>
              </w:rPr>
              <w:t>：资格审查阶段。</w:t>
            </w:r>
          </w:p>
          <w:p w14:paraId="161297BB">
            <w:pPr>
              <w:spacing w:line="400" w:lineRule="exact"/>
              <w:rPr>
                <w:rFonts w:hint="eastAsia" w:ascii="宋体" w:hAnsi="宋体" w:eastAsia="宋体" w:cs="宋体"/>
                <w:color w:val="auto"/>
                <w:highlight w:val="none"/>
              </w:rPr>
            </w:pPr>
            <w:r>
              <w:rPr>
                <w:rFonts w:hint="eastAsia" w:ascii="宋体" w:hAnsi="宋体" w:eastAsia="宋体" w:cs="宋体"/>
                <w:b/>
                <w:color w:val="auto"/>
                <w:highlight w:val="none"/>
              </w:rPr>
              <w:t>信用信息使用规则</w:t>
            </w:r>
            <w:r>
              <w:rPr>
                <w:rFonts w:hint="eastAsia" w:ascii="宋体" w:hAnsi="宋体" w:eastAsia="宋体" w:cs="宋体"/>
                <w:color w:val="auto"/>
                <w:highlight w:val="none"/>
              </w:rPr>
              <w:t>：经查询，被列入失信被执行人、重大税收违法案件当事人名单、政府采购严重违法失信行为记录名单的供应商，资格审查不通过。</w:t>
            </w:r>
          </w:p>
          <w:p w14:paraId="408A0BBC">
            <w:pPr>
              <w:spacing w:line="400" w:lineRule="exact"/>
              <w:rPr>
                <w:rFonts w:hint="eastAsia" w:ascii="宋体" w:hAnsi="宋体" w:eastAsia="宋体" w:cs="宋体"/>
                <w:color w:val="auto"/>
                <w:highlight w:val="none"/>
              </w:rPr>
            </w:pPr>
            <w:r>
              <w:rPr>
                <w:rFonts w:hint="eastAsia" w:ascii="宋体" w:hAnsi="宋体" w:eastAsia="宋体" w:cs="宋体"/>
                <w:b/>
                <w:color w:val="auto"/>
                <w:highlight w:val="none"/>
              </w:rPr>
              <w:t>备注</w:t>
            </w:r>
            <w:r>
              <w:rPr>
                <w:rFonts w:hint="eastAsia" w:ascii="宋体" w:hAnsi="宋体" w:eastAsia="宋体" w:cs="宋体"/>
                <w:color w:val="auto"/>
                <w:highlight w:val="none"/>
              </w:rPr>
              <w:t>：本章1.3.2项规定接受联合体投标的，对所有联合体成员进行信用记录查询，联合体成员存在不良信用记录的，视同联合体存在不良信用记录。</w:t>
            </w:r>
          </w:p>
        </w:tc>
      </w:tr>
      <w:tr w14:paraId="5C9A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4" w:type="dxa"/>
            <w:gridSpan w:val="4"/>
            <w:shd w:val="clear" w:color="auto" w:fill="auto"/>
            <w:vAlign w:val="center"/>
          </w:tcPr>
          <w:p w14:paraId="551B834D">
            <w:pPr>
              <w:spacing w:line="400" w:lineRule="exact"/>
              <w:jc w:val="left"/>
              <w:rPr>
                <w:rFonts w:hint="eastAsia" w:ascii="宋体" w:hAnsi="宋体" w:eastAsia="宋体" w:cs="宋体"/>
                <w:b/>
                <w:color w:val="auto"/>
                <w:highlight w:val="none"/>
              </w:rPr>
            </w:pPr>
            <w:r>
              <w:rPr>
                <w:rFonts w:hint="eastAsia" w:ascii="宋体" w:hAnsi="宋体" w:eastAsia="宋体" w:cs="宋体"/>
                <w:b/>
                <w:color w:val="auto"/>
                <w:highlight w:val="none"/>
              </w:rPr>
              <w:t>11.5同义词</w:t>
            </w:r>
          </w:p>
        </w:tc>
      </w:tr>
      <w:tr w14:paraId="60C4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shd w:val="clear" w:color="auto" w:fill="auto"/>
            <w:vAlign w:val="center"/>
          </w:tcPr>
          <w:p w14:paraId="38F6CAD7">
            <w:pPr>
              <w:spacing w:line="400" w:lineRule="exact"/>
              <w:jc w:val="center"/>
              <w:rPr>
                <w:rFonts w:hint="eastAsia" w:ascii="宋体" w:hAnsi="宋体" w:eastAsia="宋体" w:cs="宋体"/>
                <w:color w:val="auto"/>
                <w:highlight w:val="none"/>
              </w:rPr>
            </w:pPr>
          </w:p>
        </w:tc>
        <w:tc>
          <w:tcPr>
            <w:tcW w:w="9138" w:type="dxa"/>
            <w:gridSpan w:val="3"/>
            <w:shd w:val="clear" w:color="auto" w:fill="auto"/>
            <w:vAlign w:val="center"/>
          </w:tcPr>
          <w:p w14:paraId="3259409A">
            <w:pPr>
              <w:pStyle w:val="19"/>
              <w:numPr>
                <w:ilvl w:val="0"/>
                <w:numId w:val="2"/>
              </w:numPr>
              <w:spacing w:line="400" w:lineRule="exact"/>
              <w:ind w:firstLineChars="0"/>
              <w:rPr>
                <w:rFonts w:hint="eastAsia" w:ascii="宋体" w:hAnsi="宋体" w:eastAsia="宋体" w:cs="宋体"/>
                <w:color w:val="auto"/>
                <w:highlight w:val="none"/>
              </w:rPr>
            </w:pPr>
            <w:r>
              <w:rPr>
                <w:rFonts w:hint="eastAsia" w:ascii="宋体" w:hAnsi="宋体" w:eastAsia="宋体" w:cs="宋体"/>
                <w:color w:val="auto"/>
                <w:highlight w:val="none"/>
              </w:rPr>
              <w:t>本文件中出现的措辞“招标文件”与“磋商文件”，“招标人”与“采购人”，“投标人”与“供应商”具有相同含义；</w:t>
            </w:r>
          </w:p>
          <w:p w14:paraId="58AA0E18">
            <w:pPr>
              <w:pStyle w:val="19"/>
              <w:numPr>
                <w:ilvl w:val="0"/>
                <w:numId w:val="2"/>
              </w:numPr>
              <w:spacing w:line="400" w:lineRule="exact"/>
              <w:ind w:firstLineChars="0"/>
              <w:rPr>
                <w:rFonts w:hint="eastAsia" w:ascii="宋体" w:hAnsi="宋体" w:eastAsia="宋体" w:cs="宋体"/>
                <w:b/>
                <w:color w:val="auto"/>
                <w:highlight w:val="none"/>
              </w:rPr>
            </w:pPr>
            <w:r>
              <w:rPr>
                <w:rFonts w:hint="eastAsia" w:ascii="宋体" w:hAnsi="宋体" w:eastAsia="宋体" w:cs="宋体"/>
                <w:color w:val="auto"/>
                <w:highlight w:val="none"/>
              </w:rPr>
              <w:t>构成招标文件组成部分的“通用合同条款”、“专用合同条款”、“技术标准和要求”和“工程量清单”等章节中出现的措辞“发包人”和“承包人”，在招标采购阶段应当分别按“采购人”和“供应商”进行理解。</w:t>
            </w:r>
          </w:p>
        </w:tc>
      </w:tr>
      <w:tr w14:paraId="584D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4" w:type="dxa"/>
            <w:gridSpan w:val="4"/>
            <w:shd w:val="clear" w:color="auto" w:fill="auto"/>
            <w:vAlign w:val="center"/>
          </w:tcPr>
          <w:p w14:paraId="15092454">
            <w:pPr>
              <w:spacing w:line="400" w:lineRule="exact"/>
              <w:jc w:val="left"/>
              <w:rPr>
                <w:rFonts w:hint="eastAsia" w:ascii="宋体" w:hAnsi="宋体" w:eastAsia="宋体" w:cs="宋体"/>
                <w:b/>
                <w:color w:val="auto"/>
                <w:highlight w:val="none"/>
              </w:rPr>
            </w:pPr>
            <w:r>
              <w:rPr>
                <w:rFonts w:hint="eastAsia" w:ascii="宋体" w:hAnsi="宋体" w:eastAsia="宋体" w:cs="宋体"/>
                <w:b/>
                <w:color w:val="auto"/>
                <w:highlight w:val="none"/>
              </w:rPr>
              <w:t>11.6采购人补充的其他内容</w:t>
            </w:r>
          </w:p>
        </w:tc>
      </w:tr>
      <w:tr w14:paraId="22AD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56" w:type="dxa"/>
            <w:shd w:val="clear" w:color="auto" w:fill="auto"/>
            <w:vAlign w:val="center"/>
          </w:tcPr>
          <w:p w14:paraId="0E53B935">
            <w:pPr>
              <w:spacing w:line="400" w:lineRule="exact"/>
              <w:jc w:val="center"/>
              <w:rPr>
                <w:rFonts w:hint="eastAsia" w:ascii="宋体" w:hAnsi="宋体" w:eastAsia="宋体" w:cs="宋体"/>
                <w:color w:val="auto"/>
                <w:highlight w:val="none"/>
              </w:rPr>
            </w:pPr>
          </w:p>
        </w:tc>
        <w:tc>
          <w:tcPr>
            <w:tcW w:w="2378" w:type="dxa"/>
            <w:gridSpan w:val="2"/>
            <w:shd w:val="clear" w:color="auto" w:fill="auto"/>
            <w:vAlign w:val="center"/>
          </w:tcPr>
          <w:p w14:paraId="3AC05FC1">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代理服务费</w:t>
            </w:r>
          </w:p>
        </w:tc>
        <w:tc>
          <w:tcPr>
            <w:tcW w:w="6760" w:type="dxa"/>
            <w:shd w:val="clear" w:color="auto" w:fill="auto"/>
            <w:vAlign w:val="center"/>
          </w:tcPr>
          <w:p w14:paraId="69E1D88F">
            <w:pPr>
              <w:spacing w:line="400" w:lineRule="exact"/>
              <w:rPr>
                <w:rFonts w:hint="eastAsia" w:ascii="宋体" w:hAnsi="宋体" w:eastAsia="宋体" w:cs="宋体"/>
                <w:color w:val="auto"/>
                <w:highlight w:val="none"/>
              </w:rPr>
            </w:pPr>
            <w:r>
              <w:rPr>
                <w:rFonts w:hint="eastAsia" w:ascii="宋体" w:hAnsi="宋体" w:eastAsia="宋体" w:cs="宋体"/>
                <w:bCs/>
                <w:color w:val="auto"/>
                <w:szCs w:val="21"/>
                <w:highlight w:val="none"/>
              </w:rPr>
              <w:t>参照《招标代理服务收费管理暂行办法》（计价格</w:t>
            </w:r>
            <w:r>
              <w:rPr>
                <w:rFonts w:hint="eastAsia" w:ascii="宋体" w:hAnsi="宋体" w:eastAsia="宋体" w:cs="宋体"/>
                <w:bCs/>
                <w:color w:val="auto"/>
                <w:szCs w:val="21"/>
                <w:highlight w:val="none"/>
              </w:rPr>
              <w:t>[2002]1980号）、发改办价格[2003]857号文、发改价格[2011]534号文规定的收费标准收取。以差额定率累进法计算。由成交人在领取成交通知书前一次性向采购代理机构支付。</w:t>
            </w:r>
          </w:p>
        </w:tc>
      </w:tr>
      <w:tr w14:paraId="3BEF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3334" w:type="dxa"/>
            <w:gridSpan w:val="3"/>
            <w:shd w:val="clear" w:color="auto" w:fill="auto"/>
            <w:vAlign w:val="center"/>
          </w:tcPr>
          <w:p w14:paraId="4436286F">
            <w:pPr>
              <w:shd w:val="clear"/>
              <w:spacing w:line="296"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中小企业划分标准</w:t>
            </w:r>
          </w:p>
          <w:p w14:paraId="06BC5EB0">
            <w:pPr>
              <w:shd w:val="clear"/>
              <w:spacing w:line="296" w:lineRule="exact"/>
              <w:jc w:val="center"/>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t>所属行业</w:t>
            </w:r>
          </w:p>
        </w:tc>
        <w:tc>
          <w:tcPr>
            <w:tcW w:w="6760" w:type="dxa"/>
            <w:shd w:val="clear" w:color="auto" w:fill="auto"/>
            <w:vAlign w:val="center"/>
          </w:tcPr>
          <w:p w14:paraId="4C51A597">
            <w:pPr>
              <w:pStyle w:val="27"/>
              <w:shd w:val="clear"/>
              <w:spacing w:line="400" w:lineRule="exact"/>
              <w:rPr>
                <w:rFonts w:hint="eastAsia" w:ascii="宋体" w:hAnsi="宋体" w:eastAsia="宋体" w:cs="宋体"/>
                <w:bCs/>
                <w:color w:val="auto"/>
                <w:szCs w:val="21"/>
                <w:highlight w:val="none"/>
              </w:rPr>
            </w:pPr>
            <w:r>
              <w:rPr>
                <w:rFonts w:hint="eastAsia" w:ascii="宋体" w:hAnsi="宋体" w:eastAsia="宋体" w:cs="宋体"/>
                <w:b/>
                <w:bCs/>
                <w:color w:val="auto"/>
                <w:sz w:val="21"/>
                <w:szCs w:val="21"/>
                <w:highlight w:val="none"/>
                <w:lang w:val="en-US" w:eastAsia="zh-CN"/>
              </w:rPr>
              <w:t>建筑业</w:t>
            </w:r>
          </w:p>
        </w:tc>
      </w:tr>
    </w:tbl>
    <w:p w14:paraId="0C3C3C4E">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678C73C">
      <w:pPr>
        <w:keepNext/>
        <w:keepLines/>
        <w:spacing w:before="100" w:beforeAutospacing="1" w:after="100" w:afterAutospacing="1"/>
        <w:jc w:val="center"/>
        <w:outlineLvl w:val="1"/>
        <w:rPr>
          <w:rFonts w:hint="eastAsia" w:ascii="宋体" w:hAnsi="宋体" w:eastAsia="宋体" w:cs="宋体"/>
          <w:b/>
          <w:color w:val="auto"/>
          <w:kern w:val="2"/>
          <w:sz w:val="28"/>
          <w:szCs w:val="28"/>
          <w:highlight w:val="none"/>
        </w:rPr>
      </w:pPr>
      <w:bookmarkStart w:id="52" w:name="_Toc15973708"/>
      <w:bookmarkStart w:id="53" w:name="_Toc105753207"/>
      <w:bookmarkStart w:id="54" w:name="_Toc533781556"/>
      <w:bookmarkStart w:id="55" w:name="_Toc533783508"/>
      <w:bookmarkStart w:id="56" w:name="_Toc18395229"/>
      <w:r>
        <w:rPr>
          <w:rFonts w:hint="eastAsia" w:ascii="宋体" w:hAnsi="宋体" w:eastAsia="宋体" w:cs="宋体"/>
          <w:b/>
          <w:color w:val="auto"/>
          <w:kern w:val="2"/>
          <w:sz w:val="28"/>
          <w:szCs w:val="28"/>
          <w:highlight w:val="none"/>
        </w:rPr>
        <w:t>供应商须知正文</w:t>
      </w:r>
      <w:bookmarkEnd w:id="52"/>
      <w:bookmarkEnd w:id="53"/>
      <w:bookmarkEnd w:id="54"/>
      <w:bookmarkEnd w:id="55"/>
      <w:bookmarkEnd w:id="56"/>
    </w:p>
    <w:p w14:paraId="68413AEF">
      <w:pPr>
        <w:keepNext/>
        <w:keepLines/>
        <w:spacing w:line="360" w:lineRule="auto"/>
        <w:outlineLvl w:val="2"/>
        <w:rPr>
          <w:rFonts w:hint="eastAsia" w:ascii="宋体" w:hAnsi="宋体" w:eastAsia="宋体" w:cs="宋体"/>
          <w:b/>
          <w:bCs/>
          <w:color w:val="auto"/>
          <w:kern w:val="2"/>
          <w:sz w:val="24"/>
          <w:szCs w:val="28"/>
          <w:highlight w:val="none"/>
        </w:rPr>
      </w:pPr>
      <w:bookmarkStart w:id="57" w:name="_Toc533783509"/>
      <w:bookmarkStart w:id="58" w:name="_Toc533781557"/>
      <w:r>
        <w:rPr>
          <w:rFonts w:hint="eastAsia" w:ascii="宋体" w:hAnsi="宋体" w:eastAsia="宋体" w:cs="宋体"/>
          <w:b/>
          <w:bCs/>
          <w:color w:val="auto"/>
          <w:kern w:val="2"/>
          <w:sz w:val="24"/>
          <w:szCs w:val="28"/>
          <w:highlight w:val="none"/>
        </w:rPr>
        <w:t>1.总则</w:t>
      </w:r>
      <w:bookmarkEnd w:id="57"/>
      <w:bookmarkEnd w:id="58"/>
    </w:p>
    <w:p w14:paraId="5269C122">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1.1项目概况</w:t>
      </w:r>
    </w:p>
    <w:p w14:paraId="40783354">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1.1.1根据《中华人民共和国政府采购法》、《中华人民共和国政府采购法实施条例》等有关法律、法规和规章的规定，对本项目进行采购。</w:t>
      </w:r>
    </w:p>
    <w:p w14:paraId="6D94126A">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1.1.2采购人：见供应商须知前附表。</w:t>
      </w:r>
    </w:p>
    <w:p w14:paraId="70BDE107">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1.1.3采购代理机构：见供应商须知前附表。</w:t>
      </w:r>
    </w:p>
    <w:p w14:paraId="70285D3D">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1.1.4项目名称及编号：见供应商须知前附表。</w:t>
      </w:r>
    </w:p>
    <w:p w14:paraId="4AAECE18">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1.1.5项目基本情况：见供应商须知前附表</w:t>
      </w:r>
    </w:p>
    <w:p w14:paraId="6092470C">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1.2资金来源、落实情况及增值税计税方法情况</w:t>
      </w:r>
    </w:p>
    <w:p w14:paraId="1611723F">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1.2.1资金来源、落实情况：见供应商须知前附表。</w:t>
      </w:r>
    </w:p>
    <w:p w14:paraId="7537D3ED">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1.2.2增值税计税方法：见供应商须知前附表。</w:t>
      </w:r>
    </w:p>
    <w:p w14:paraId="457052E0">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1.3供应商资格要求</w:t>
      </w:r>
    </w:p>
    <w:p w14:paraId="44AAF234">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1.3.1供应商应具备承担本采购项目的资质、能力、信誉：见供应商须知前附表。</w:t>
      </w:r>
    </w:p>
    <w:p w14:paraId="68990A9B">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1.3.2供应商须知前附表规定接受联合体投标的，联合体除应符合本章第1.3.1项和供应商须知前附表的要求外，还应遵守以下规定：</w:t>
      </w:r>
    </w:p>
    <w:p w14:paraId="574C24DF">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（1）联合体各方应按磋商文件提供的格式签订联合体协议书，明确联合体牵头人和各方权利义务，联合体各方应当共同与采购人签订采购合同，就采购合同约定的事项对采购人承担连带责任；</w:t>
      </w:r>
    </w:p>
    <w:p w14:paraId="164CB8B2">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（2）联合体中有同类资质的供应商按照联合体分工承担相同工作的，应当按照资质等级较低的供应商确定资质等级。</w:t>
      </w:r>
    </w:p>
    <w:p w14:paraId="281020BD">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（3）联合体各方不得再单独参加或者与其他供应商另外组成联合体参加同一合同项下的政府采购活动，否则相关各方的响应文件均按无效响应处理。</w:t>
      </w:r>
    </w:p>
    <w:p w14:paraId="1D73F27D">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1.3.3供应商不得存在下列情形之一：</w:t>
      </w:r>
    </w:p>
    <w:p w14:paraId="2263B569">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（1）与采购人存在利害关系可能影响采购活动公正性的；</w:t>
      </w:r>
    </w:p>
    <w:p w14:paraId="35FBFDFF">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（2）为本项目提供采购代理服务的；</w:t>
      </w:r>
    </w:p>
    <w:p w14:paraId="556AC418">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（3）与采购代理机构负责人为同一人或者存在直接控股和管理关系的；</w:t>
      </w:r>
    </w:p>
    <w:p w14:paraId="1DACEDB1">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（4）供应商不得存在的其他情形见供应商须知前附表。</w:t>
      </w:r>
    </w:p>
    <w:p w14:paraId="05009E01">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1.4费用承担</w:t>
      </w:r>
    </w:p>
    <w:p w14:paraId="116E46A8">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供应商准备和参加采购活动发生的费用自理。</w:t>
      </w:r>
    </w:p>
    <w:p w14:paraId="67D9A7B1">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1.5保密</w:t>
      </w:r>
    </w:p>
    <w:p w14:paraId="155C1CBA">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参与采购活动的各方应对磋商文件和响应文件中的商业和技术等秘密保密，否则应承担相应的法律责任。</w:t>
      </w:r>
    </w:p>
    <w:p w14:paraId="76082CED">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1.6语言文字</w:t>
      </w:r>
    </w:p>
    <w:p w14:paraId="2CAFE2C0">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磋商文件及响应文件使用的语言文字为中文。专用术语使用外文的，应附有中文注释。</w:t>
      </w:r>
    </w:p>
    <w:p w14:paraId="21B8C7C1">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1.7计量单位</w:t>
      </w:r>
    </w:p>
    <w:p w14:paraId="42DE9723">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所有计量均采用中华人民共和国法定计量单位。</w:t>
      </w:r>
    </w:p>
    <w:p w14:paraId="27B7A6FF">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1.8踏勘现场</w:t>
      </w:r>
    </w:p>
    <w:p w14:paraId="0AFC05D7">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1.8.1供应商须知前附表规定由采购人组织踏勘项目现场的，由采购人按前附表规定的时间和地点安排潜在供应商踏勘现场。</w:t>
      </w:r>
    </w:p>
    <w:p w14:paraId="314A8BB8">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1.8.2供应商须知前附表规定采购人不组织踏勘现场的，供应商根据需要自行踏勘项目现场。</w:t>
      </w:r>
    </w:p>
    <w:p w14:paraId="51BD5C75">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1.8.3供应商踏勘现场发生的费用自理。</w:t>
      </w:r>
    </w:p>
    <w:p w14:paraId="6C8F68CB">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1.8.4供应商自行负责在踏勘现场中所发生的人员伤亡和财产损失。</w:t>
      </w:r>
    </w:p>
    <w:p w14:paraId="528DDEA9">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1.9分包</w:t>
      </w:r>
    </w:p>
    <w:p w14:paraId="1AA6DA8C">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1.9.1供应商拟在成交后将成交项目的非主体、非关键性工作分包的，应符合供应商须知前附表规定的分包内容、分包金额和资质要求等限制性条件，除供应商须知前附表规定的非主体、非关键性工作，其他工作不得分包。</w:t>
      </w:r>
    </w:p>
    <w:p w14:paraId="192DE5BF">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1.9.2成交供应商不得向他人转让成交项目，接受分包的人不得再次分包。成交供应商就采购项目和分包项目向采购人负责，分包供应商就分包项目承担责任。</w:t>
      </w:r>
    </w:p>
    <w:p w14:paraId="4C00A8AA">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1.10响应偏差</w:t>
      </w:r>
    </w:p>
    <w:p w14:paraId="08BE5BA8">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响应文件应当对磋商文件的实质性要求和条件作出满足性或更有利于采购人的响应，否则，响应将被否决。</w:t>
      </w:r>
    </w:p>
    <w:p w14:paraId="14027647">
      <w:pPr>
        <w:keepNext/>
        <w:keepLines/>
        <w:spacing w:line="360" w:lineRule="auto"/>
        <w:outlineLvl w:val="2"/>
        <w:rPr>
          <w:rFonts w:hint="eastAsia" w:ascii="宋体" w:hAnsi="宋体" w:eastAsia="宋体" w:cs="宋体"/>
          <w:b/>
          <w:bCs/>
          <w:color w:val="auto"/>
          <w:kern w:val="2"/>
          <w:sz w:val="24"/>
          <w:szCs w:val="28"/>
          <w:highlight w:val="none"/>
        </w:rPr>
      </w:pPr>
      <w:bookmarkStart w:id="59" w:name="_Toc533781558"/>
      <w:bookmarkStart w:id="60" w:name="_Toc533783510"/>
      <w:r>
        <w:rPr>
          <w:rFonts w:hint="eastAsia" w:ascii="宋体" w:hAnsi="宋体" w:eastAsia="宋体" w:cs="宋体"/>
          <w:b/>
          <w:bCs/>
          <w:color w:val="auto"/>
          <w:kern w:val="2"/>
          <w:sz w:val="24"/>
          <w:szCs w:val="28"/>
          <w:highlight w:val="none"/>
        </w:rPr>
        <w:t>2.</w:t>
      </w:r>
      <w:bookmarkEnd w:id="59"/>
      <w:bookmarkEnd w:id="60"/>
      <w:r>
        <w:rPr>
          <w:rFonts w:hint="eastAsia" w:ascii="宋体" w:hAnsi="宋体" w:eastAsia="宋体" w:cs="宋体"/>
          <w:b/>
          <w:bCs/>
          <w:color w:val="auto"/>
          <w:kern w:val="2"/>
          <w:sz w:val="24"/>
          <w:szCs w:val="28"/>
          <w:highlight w:val="none"/>
        </w:rPr>
        <w:t>磋商文件</w:t>
      </w:r>
    </w:p>
    <w:p w14:paraId="10FE6071">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2.1磋商文件的组成</w:t>
      </w:r>
    </w:p>
    <w:p w14:paraId="1398F480">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2.1.1本磋商文件包括：</w:t>
      </w:r>
    </w:p>
    <w:p w14:paraId="5A373E7D">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（1）竞争性磋商公告</w:t>
      </w:r>
    </w:p>
    <w:p w14:paraId="48D6B9D0">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（2）供应商须知</w:t>
      </w:r>
    </w:p>
    <w:p w14:paraId="49DEABC5">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（3）评标办法</w:t>
      </w:r>
    </w:p>
    <w:p w14:paraId="41800320">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（4）合同条款及格式</w:t>
      </w:r>
    </w:p>
    <w:p w14:paraId="274A5173">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（5）技术标准和要求</w:t>
      </w:r>
    </w:p>
    <w:p w14:paraId="53E9A788">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（6）响应文件格式</w:t>
      </w:r>
    </w:p>
    <w:p w14:paraId="79D9F5B4">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（7）项目需求和说明</w:t>
      </w:r>
    </w:p>
    <w:p w14:paraId="4099A891">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2.1.2根据本章第2.2款对磋商文件所作的澄清、修改，构成磋商文件的组成部分。</w:t>
      </w:r>
    </w:p>
    <w:p w14:paraId="6D23C16F">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2.2磋商文件的澄清与修改</w:t>
      </w:r>
    </w:p>
    <w:p w14:paraId="2F231E30">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2.2.1供应商应仔细阅读和检查磋商文件的全部内容。如发现缺页或附件不全，应及时向采购人或采购代理机构提出，以便补齐。</w:t>
      </w:r>
    </w:p>
    <w:p w14:paraId="2D754F1D">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2.2.2提交首次响应文件截止时间前，采购人可以对已发出的磋商文件进行必要的澄清或者修改，并以供应商须知前附表2.2.2规定的形式，通知所有潜在供应商，澄清或者修改的内容作为磋商文件的组成部分。澄清或者修改的内容可能影响响应文件编制的，采购人应当在提交首次响应文件截止时间至少5日前，以供应商须知前附表2.2.2规定的形式通知所有获取磋商文件的供应商；不足5日的，采购人、采购代理机构应当顺延提交首次响应文件截止时间。</w:t>
      </w:r>
    </w:p>
    <w:p w14:paraId="6ECF552B">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2.2.3供应商在收到磋商文件的澄清或者修改后，应当按供应商须知前附表规定的形式，确认已收到该澄清或者修改。</w:t>
      </w:r>
    </w:p>
    <w:p w14:paraId="7CA66CF4">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2.2.4当磋商文件及其澄清、修改或补充文件对同一内容表述不一致时，以最后发出的书面文件为准。</w:t>
      </w:r>
    </w:p>
    <w:p w14:paraId="45C12C48">
      <w:pPr>
        <w:keepNext/>
        <w:keepLines/>
        <w:spacing w:line="360" w:lineRule="auto"/>
        <w:outlineLvl w:val="2"/>
        <w:rPr>
          <w:rFonts w:hint="eastAsia" w:ascii="宋体" w:hAnsi="宋体" w:eastAsia="宋体" w:cs="宋体"/>
          <w:b/>
          <w:bCs/>
          <w:color w:val="auto"/>
          <w:kern w:val="2"/>
          <w:sz w:val="24"/>
          <w:szCs w:val="28"/>
          <w:highlight w:val="none"/>
        </w:rPr>
      </w:pPr>
      <w:bookmarkStart w:id="61" w:name="_Toc533783511"/>
      <w:bookmarkStart w:id="62" w:name="_Toc533781559"/>
      <w:r>
        <w:rPr>
          <w:rFonts w:hint="eastAsia" w:ascii="宋体" w:hAnsi="宋体" w:eastAsia="宋体" w:cs="宋体"/>
          <w:b/>
          <w:bCs/>
          <w:color w:val="auto"/>
          <w:kern w:val="2"/>
          <w:sz w:val="24"/>
          <w:szCs w:val="28"/>
          <w:highlight w:val="none"/>
        </w:rPr>
        <w:t>3.响应文件</w:t>
      </w:r>
      <w:bookmarkEnd w:id="61"/>
      <w:bookmarkEnd w:id="62"/>
    </w:p>
    <w:p w14:paraId="038A1A44">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3.1响应文件的组成</w:t>
      </w:r>
    </w:p>
    <w:p w14:paraId="2705DA1B">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3.1.1响应文件应包括的内容：见供应商须知前附表。</w:t>
      </w:r>
    </w:p>
    <w:p w14:paraId="20B9375E">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3.1.2磋商文件第六章“响应文件格式”有规定格式要求的，供应商应按规定的格式填写并按要求提交相关的证明材料。</w:t>
      </w:r>
    </w:p>
    <w:p w14:paraId="33EDF42D">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3.1.3供应商须知前附表规定不接受联合体投标的，或供应商没有组成联合体的，响应文件不包括本章第3.1.1中所指的联合体协议书。</w:t>
      </w:r>
    </w:p>
    <w:p w14:paraId="6CBA3E36">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3.1.4供应商须知前附表未要求提交磋商保证金的，响应文件不包括本章第3.4.1的磋商保证金。</w:t>
      </w:r>
    </w:p>
    <w:p w14:paraId="0D4F343F">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3.1.5资格审查需要的其他材料：见供应商须知前附表。</w:t>
      </w:r>
    </w:p>
    <w:p w14:paraId="312D6215">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3.2磋商报价</w:t>
      </w:r>
    </w:p>
    <w:p w14:paraId="7A0C4CE1">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3.2.1供应商应充分了解该项目的总体情况以及影响磋商报价（包括最后报价）的其他要素。</w:t>
      </w:r>
    </w:p>
    <w:p w14:paraId="1063C4E6">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3.2.2采购人设有上限控制价的，供应商的磋商报价（包括最后报价）不得超过上限控制价，上限控制价在供应商须知前附表中载明。</w:t>
      </w:r>
    </w:p>
    <w:p w14:paraId="0BB3754C">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3.2.3报价的其他要求：见供应商须知前附表。</w:t>
      </w:r>
    </w:p>
    <w:p w14:paraId="207FEBB7">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3.3磋商有效期</w:t>
      </w:r>
    </w:p>
    <w:p w14:paraId="2743C02A">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3.3.1在供应商须知前附表规定的磋商有效期内，供应商不得要求撤回或修改其响应文件。磋商有效期从提交首次响应文件截止之日起算。</w:t>
      </w:r>
    </w:p>
    <w:p w14:paraId="1CF3E576">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3.3.2响应文件中承诺的磋商有效期应当不少于磋商文件中载明的磋商有效期。</w:t>
      </w:r>
    </w:p>
    <w:p w14:paraId="1879B73E">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3.3.3出现特殊情况需要延长磋商有效期的，采购人以书面形式通知所有供应商延长磋商有效期。供应商应予以书面答复，同意延长的，应相应延长其磋商保证金的有效期，但不得要求或被允许修改其响应文件；供应商拒绝延长的，其响应失效，但供应商有权收回其磋商保证金。</w:t>
      </w:r>
    </w:p>
    <w:p w14:paraId="6A589524">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3.4磋商保证金</w:t>
      </w:r>
    </w:p>
    <w:p w14:paraId="46B2CC84">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3.4.1供应商必须在提交首次响应文件截止时间前，按供应商须知前附表规定的金额、形式递交磋商保证金，提交磋商保证金的证明文件作为其响应文件的组成部分。联合体投标的，其磋商保证金可由联合体中的任一方缴纳，并在联合体协议书中明确，保证金缴纳应当符合供应商须知前附表的规定。</w:t>
      </w:r>
    </w:p>
    <w:p w14:paraId="13E16AA8">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3.4.2供应商不按本章第3.4.1项要求提交磋商保证金的，其响应文件按无效处理。</w:t>
      </w:r>
    </w:p>
    <w:p w14:paraId="24D21A45">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3.4.3供应商在提交首次响应文件截止时间前撤回已提交的响应文件的，采购人或者采购代理机构应当自收到供应商书面撤回通知之日起5个工作日内，退还已收取的磋商保证金。</w:t>
      </w:r>
    </w:p>
    <w:p w14:paraId="09487CF9">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3.4.4已提交响应文件的供应商，在提交最后报价之前，可以根据磋商情况退出磋商。采购人、采购代理机构应当自收到供应商退出之日起5个工作日内退还退出磋商的供应商的磋商保证金。</w:t>
      </w:r>
    </w:p>
    <w:p w14:paraId="37033E82">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3.4.5采购人或者采购代理机构应当自成交通知书发出之日起5个工作日内退还未成交供应商的磋商保证金，自采购合同签订之日起5个工作日内退还成交供应商的磋商保证金。</w:t>
      </w:r>
    </w:p>
    <w:p w14:paraId="0F3A169F">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3.4.6有下列情形之一的，磋商保证金将不予退还：</w:t>
      </w:r>
    </w:p>
    <w:p w14:paraId="20256614">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（1）供应商在提交首次响应文件截止时间后撤销响应文件的；</w:t>
      </w:r>
    </w:p>
    <w:p w14:paraId="5760AB41">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（2）供应商在响应文件中提供虚假材料的；</w:t>
      </w:r>
    </w:p>
    <w:p w14:paraId="6AAE152C">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（3）除因不可抗力或磋商文件认可的情形以外，成交供应商不与采购人签订合同的；</w:t>
      </w:r>
    </w:p>
    <w:p w14:paraId="542A8C46">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（4）供应商与采购人、其他供应商或者采购代理机构恶意串通的；</w:t>
      </w:r>
    </w:p>
    <w:p w14:paraId="37F0FDE9">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（5）法律法规规定的其他情形。</w:t>
      </w:r>
    </w:p>
    <w:p w14:paraId="1DD0BB71">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3.5响应文件的编制</w:t>
      </w:r>
    </w:p>
    <w:p w14:paraId="2089FE7E">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3.5.1响应文件应按</w:t>
      </w:r>
      <w:r>
        <w:rPr>
          <w:rFonts w:hint="eastAsia" w:ascii="宋体" w:hAnsi="宋体" w:eastAsia="宋体" w:cs="宋体"/>
          <w:color w:val="auto"/>
          <w:kern w:val="2"/>
          <w:highlight w:val="none"/>
          <w:lang w:eastAsia="zh-CN"/>
        </w:rPr>
        <w:t>广西政府采购云平台</w:t>
      </w:r>
      <w:r>
        <w:rPr>
          <w:rFonts w:hint="eastAsia" w:ascii="宋体" w:hAnsi="宋体" w:eastAsia="宋体" w:cs="宋体"/>
          <w:color w:val="auto"/>
          <w:kern w:val="2"/>
          <w:highlight w:val="none"/>
        </w:rPr>
        <w:t>要求及本磋商文件</w:t>
      </w:r>
      <w:r>
        <w:rPr>
          <w:rFonts w:hint="eastAsia" w:ascii="宋体" w:hAnsi="宋体" w:eastAsia="宋体" w:cs="宋体"/>
          <w:color w:val="auto"/>
          <w:kern w:val="2"/>
          <w:szCs w:val="24"/>
          <w:highlight w:val="none"/>
        </w:rPr>
        <w:t>第六章“响应文件格式”</w:t>
      </w:r>
      <w:r>
        <w:rPr>
          <w:rFonts w:hint="eastAsia" w:ascii="宋体" w:hAnsi="宋体" w:eastAsia="宋体" w:cs="宋体"/>
          <w:color w:val="auto"/>
          <w:kern w:val="2"/>
          <w:highlight w:val="none"/>
        </w:rPr>
        <w:t>要求制作、加密并递交</w:t>
      </w:r>
      <w:r>
        <w:rPr>
          <w:rFonts w:hint="eastAsia" w:ascii="宋体" w:hAnsi="宋体" w:eastAsia="宋体" w:cs="宋体"/>
          <w:color w:val="auto"/>
          <w:kern w:val="2"/>
          <w:szCs w:val="24"/>
          <w:highlight w:val="none"/>
        </w:rPr>
        <w:t>，如有必要，可以增加附页，作为响应文件的组成部分。</w:t>
      </w:r>
    </w:p>
    <w:p w14:paraId="15AA3F66">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3.5.2响应文件在满足磋商文件实质性要求的基础上，可以提出比磋商文件要求更有利于采购人的承诺。</w:t>
      </w:r>
    </w:p>
    <w:p w14:paraId="6F679FEC">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3.5.3响应文件应尽量避免涂改、行间插字或删除。如果出现上述情况，改动之处应加盖供应商单位章或由供应商的法定代表人或其授权的委托代理人签字确认。签字或盖章的具体要求见供应商须知前附表。</w:t>
      </w:r>
    </w:p>
    <w:p w14:paraId="05E6091F">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3.5.4响应文件份数及其他要求要求见供应商须知前附表。正本和副本的封面右上角上应清楚地标记“正本”或“副本”的字样。当副本和正本不一致时，以正本为准。</w:t>
      </w:r>
    </w:p>
    <w:p w14:paraId="2157A087">
      <w:pPr>
        <w:keepNext/>
        <w:keepLines/>
        <w:spacing w:line="360" w:lineRule="auto"/>
        <w:outlineLvl w:val="2"/>
        <w:rPr>
          <w:rFonts w:hint="eastAsia" w:ascii="宋体" w:hAnsi="宋体" w:eastAsia="宋体" w:cs="宋体"/>
          <w:b/>
          <w:bCs/>
          <w:color w:val="auto"/>
          <w:kern w:val="2"/>
          <w:sz w:val="24"/>
          <w:szCs w:val="28"/>
          <w:highlight w:val="none"/>
        </w:rPr>
      </w:pPr>
      <w:bookmarkStart w:id="63" w:name="_Toc533781560"/>
      <w:bookmarkStart w:id="64" w:name="_Toc533783512"/>
      <w:r>
        <w:rPr>
          <w:rFonts w:hint="eastAsia" w:ascii="宋体" w:hAnsi="宋体" w:eastAsia="宋体" w:cs="宋体"/>
          <w:b/>
          <w:bCs/>
          <w:color w:val="auto"/>
          <w:kern w:val="2"/>
          <w:sz w:val="24"/>
          <w:szCs w:val="28"/>
          <w:highlight w:val="none"/>
        </w:rPr>
        <w:t>4.响应磋商</w:t>
      </w:r>
      <w:bookmarkEnd w:id="63"/>
      <w:bookmarkEnd w:id="64"/>
    </w:p>
    <w:p w14:paraId="0902CAA4">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4.1响应文件的提交</w:t>
      </w:r>
    </w:p>
    <w:p w14:paraId="2D0398FE">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4.1.1供应商应在本章第2.2.2项规定的提交首次响应文件截止时间前提交响应文件。</w:t>
      </w:r>
    </w:p>
    <w:p w14:paraId="07C4DD05">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4.1.2供应商提交首次响应文件的地点：见供应商须知前附表。</w:t>
      </w:r>
    </w:p>
    <w:p w14:paraId="2E891275">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4.1.3除供应商须知前附表另有规定外，供应商所提交的响应文件不予退还。</w:t>
      </w:r>
    </w:p>
    <w:p w14:paraId="69E2DC77">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4.2响应文件的修改与撤回</w:t>
      </w:r>
    </w:p>
    <w:p w14:paraId="2A77D775">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4.2.1在本章第4.2.1项规定的提交首次响应文件截止时间前，供应商可以通过</w:t>
      </w:r>
      <w:r>
        <w:rPr>
          <w:rFonts w:hint="eastAsia" w:ascii="宋体" w:hAnsi="宋体" w:eastAsia="宋体" w:cs="宋体"/>
          <w:color w:val="auto"/>
          <w:kern w:val="2"/>
          <w:szCs w:val="24"/>
          <w:highlight w:val="none"/>
          <w:lang w:eastAsia="zh-CN"/>
        </w:rPr>
        <w:t>广西政府采购云平台</w:t>
      </w:r>
      <w:r>
        <w:rPr>
          <w:rFonts w:hint="eastAsia" w:ascii="宋体" w:hAnsi="宋体" w:eastAsia="宋体" w:cs="宋体"/>
          <w:color w:val="auto"/>
          <w:kern w:val="2"/>
          <w:szCs w:val="24"/>
          <w:highlight w:val="none"/>
        </w:rPr>
        <w:t>修改或撤回已提交的响应文件。</w:t>
      </w:r>
    </w:p>
    <w:p w14:paraId="2F4FA32F">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4.2.2供应商在提交首次响应文件截止时间前撤回已提交的响应文件的，其磋商保证金按照本章第3.4.3项的要求退还。</w:t>
      </w:r>
    </w:p>
    <w:p w14:paraId="21761E2F">
      <w:pPr>
        <w:keepNext/>
        <w:keepLines/>
        <w:spacing w:line="360" w:lineRule="auto"/>
        <w:outlineLvl w:val="3"/>
        <w:rPr>
          <w:rFonts w:hint="eastAsia" w:ascii="宋体" w:hAnsi="宋体" w:eastAsia="宋体" w:cs="宋体"/>
          <w:b/>
          <w:bCs/>
          <w:color w:val="auto"/>
          <w:kern w:val="2"/>
          <w:highlight w:val="none"/>
        </w:rPr>
      </w:pPr>
      <w:r>
        <w:rPr>
          <w:rFonts w:hint="eastAsia" w:ascii="宋体" w:hAnsi="宋体" w:eastAsia="宋体" w:cs="宋体"/>
          <w:b/>
          <w:bCs/>
          <w:color w:val="auto"/>
          <w:kern w:val="2"/>
          <w:szCs w:val="28"/>
          <w:highlight w:val="none"/>
        </w:rPr>
        <w:t>4.3</w:t>
      </w:r>
      <w:r>
        <w:rPr>
          <w:rFonts w:hint="eastAsia" w:ascii="宋体" w:hAnsi="宋体" w:eastAsia="宋体" w:cs="宋体"/>
          <w:b/>
          <w:bCs/>
          <w:color w:val="auto"/>
          <w:kern w:val="2"/>
          <w:highlight w:val="none"/>
        </w:rPr>
        <w:t>响应文件解密</w:t>
      </w:r>
    </w:p>
    <w:p w14:paraId="43ECF15B">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4.3.1磋商供应商应登录</w:t>
      </w:r>
      <w:r>
        <w:rPr>
          <w:rFonts w:hint="eastAsia" w:ascii="宋体" w:hAnsi="宋体" w:eastAsia="宋体" w:cs="宋体"/>
          <w:color w:val="auto"/>
          <w:kern w:val="2"/>
          <w:szCs w:val="24"/>
          <w:highlight w:val="none"/>
          <w:lang w:eastAsia="zh-CN"/>
        </w:rPr>
        <w:t>广西政府采购云平台</w:t>
      </w:r>
      <w:r>
        <w:rPr>
          <w:rFonts w:hint="eastAsia" w:ascii="宋体" w:hAnsi="宋体" w:eastAsia="宋体" w:cs="宋体"/>
          <w:color w:val="auto"/>
          <w:kern w:val="2"/>
          <w:szCs w:val="24"/>
          <w:highlight w:val="none"/>
        </w:rPr>
        <w:t>，用“项目采购-开标评标”功能进行解密磋商文件，解密开始时间及解密时限见供应商须知前附表；</w:t>
      </w:r>
    </w:p>
    <w:p w14:paraId="17EFA921">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4.3.2磋商供应商需按时在线解密投标文件，以在线解密的投标文件作为评审依据。若磋商供应商在规定时间内无法解密或解密失败，视为投标无效。</w:t>
      </w:r>
    </w:p>
    <w:p w14:paraId="3DDDD351">
      <w:pPr>
        <w:keepNext/>
        <w:keepLines/>
        <w:pageBreakBefore w:val="0"/>
        <w:widowControl w:val="0"/>
        <w:kinsoku/>
        <w:wordWrap/>
        <w:overflowPunct/>
        <w:topLinePunct w:val="0"/>
        <w:autoSpaceDE/>
        <w:autoSpaceDN/>
        <w:bidi w:val="0"/>
        <w:adjustRightInd/>
        <w:snapToGrid/>
        <w:spacing w:before="157" w:beforeLines="50" w:line="360" w:lineRule="auto"/>
        <w:textAlignment w:val="auto"/>
        <w:outlineLvl w:val="3"/>
        <w:rPr>
          <w:rFonts w:hint="eastAsia" w:ascii="宋体" w:hAnsi="宋体" w:eastAsia="宋体" w:cs="宋体"/>
          <w:bCs/>
          <w:color w:val="auto"/>
          <w:kern w:val="2"/>
          <w:szCs w:val="24"/>
          <w:highlight w:val="none"/>
        </w:rPr>
      </w:pPr>
      <w:r>
        <w:rPr>
          <w:rFonts w:hint="eastAsia" w:ascii="宋体" w:hAnsi="宋体" w:eastAsia="宋体" w:cs="宋体"/>
          <w:b/>
          <w:bCs/>
          <w:color w:val="auto"/>
          <w:kern w:val="2"/>
          <w:highlight w:val="none"/>
        </w:rPr>
        <w:t>4.4响应文件的相关说明</w:t>
      </w:r>
    </w:p>
    <w:p w14:paraId="1F290D2F">
      <w:pPr>
        <w:spacing w:line="440" w:lineRule="exact"/>
        <w:ind w:firstLine="422" w:firstLineChars="200"/>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1）供应商进行电子投标应安装客户端软件，并按照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7337A58D">
      <w:pPr>
        <w:spacing w:line="440" w:lineRule="exact"/>
        <w:ind w:firstLine="422" w:firstLineChars="200"/>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rPr>
        <w:t>（2）如有特殊情况，采购代理机构延长截止时间和开标时间，采购代理机构和供应商的权利和义务将受到新的截止时间和开标时间的约束。</w:t>
      </w:r>
    </w:p>
    <w:p w14:paraId="3EBA5948">
      <w:pPr>
        <w:keepNext/>
        <w:keepLines/>
        <w:pageBreakBefore w:val="0"/>
        <w:widowControl w:val="0"/>
        <w:kinsoku/>
        <w:wordWrap/>
        <w:overflowPunct/>
        <w:topLinePunct w:val="0"/>
        <w:autoSpaceDE/>
        <w:autoSpaceDN/>
        <w:bidi w:val="0"/>
        <w:adjustRightInd/>
        <w:snapToGrid/>
        <w:spacing w:before="157" w:beforeLines="50" w:line="360" w:lineRule="auto"/>
        <w:textAlignment w:val="auto"/>
        <w:outlineLvl w:val="2"/>
        <w:rPr>
          <w:rFonts w:hint="eastAsia" w:ascii="宋体" w:hAnsi="宋体" w:eastAsia="宋体" w:cs="宋体"/>
          <w:b/>
          <w:bCs/>
          <w:color w:val="auto"/>
          <w:kern w:val="2"/>
          <w:sz w:val="24"/>
          <w:szCs w:val="28"/>
          <w:highlight w:val="none"/>
        </w:rPr>
      </w:pPr>
      <w:bookmarkStart w:id="65" w:name="_Toc533781561"/>
      <w:bookmarkStart w:id="66" w:name="_Toc533783513"/>
      <w:r>
        <w:rPr>
          <w:rFonts w:hint="eastAsia" w:ascii="宋体" w:hAnsi="宋体" w:eastAsia="宋体" w:cs="宋体"/>
          <w:b/>
          <w:bCs/>
          <w:color w:val="auto"/>
          <w:kern w:val="2"/>
          <w:sz w:val="24"/>
          <w:szCs w:val="28"/>
          <w:highlight w:val="none"/>
        </w:rPr>
        <w:t>5.开标会议</w:t>
      </w:r>
      <w:bookmarkEnd w:id="65"/>
      <w:bookmarkEnd w:id="66"/>
    </w:p>
    <w:p w14:paraId="383BE58D">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5.1开标时间和地点</w:t>
      </w:r>
    </w:p>
    <w:p w14:paraId="32DE6785">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采购人在本章第4.2.1项规定的提交首次响应文件截止时间（开标时间）和供应商须知前附表规定的地点公开开标，并邀请所有供应商的法定代表人（负责人）或其委托代理人准时参加。供应商的法定代表人（负责人）或委托代理人应当在规定的时间自行登陆</w:t>
      </w:r>
      <w:r>
        <w:rPr>
          <w:rFonts w:hint="eastAsia" w:ascii="宋体" w:hAnsi="宋体" w:eastAsia="宋体" w:cs="宋体"/>
          <w:color w:val="auto"/>
          <w:kern w:val="2"/>
          <w:highlight w:val="none"/>
        </w:rPr>
        <w:t>“</w:t>
      </w:r>
      <w:r>
        <w:rPr>
          <w:rFonts w:hint="eastAsia" w:ascii="宋体" w:hAnsi="宋体" w:eastAsia="宋体" w:cs="宋体"/>
          <w:color w:val="auto"/>
          <w:kern w:val="2"/>
          <w:highlight w:val="none"/>
          <w:lang w:eastAsia="zh-CN"/>
        </w:rPr>
        <w:t>广西政府采购云平台</w:t>
      </w:r>
      <w:r>
        <w:rPr>
          <w:rFonts w:hint="eastAsia" w:ascii="宋体" w:hAnsi="宋体" w:eastAsia="宋体" w:cs="宋体"/>
          <w:color w:val="auto"/>
          <w:kern w:val="2"/>
          <w:highlight w:val="none"/>
        </w:rPr>
        <w:t>”平台电子开标大厅开标</w:t>
      </w:r>
      <w:r>
        <w:rPr>
          <w:rFonts w:hint="eastAsia" w:ascii="宋体" w:hAnsi="宋体" w:eastAsia="宋体" w:cs="宋体"/>
          <w:color w:val="auto"/>
          <w:kern w:val="2"/>
          <w:szCs w:val="24"/>
          <w:highlight w:val="none"/>
        </w:rPr>
        <w:t>参加开标会。</w:t>
      </w:r>
    </w:p>
    <w:p w14:paraId="4D548D21">
      <w:pPr>
        <w:keepNext/>
        <w:keepLines/>
        <w:pageBreakBefore w:val="0"/>
        <w:widowControl w:val="0"/>
        <w:kinsoku/>
        <w:wordWrap/>
        <w:overflowPunct/>
        <w:topLinePunct w:val="0"/>
        <w:autoSpaceDE/>
        <w:autoSpaceDN/>
        <w:bidi w:val="0"/>
        <w:adjustRightInd/>
        <w:snapToGrid/>
        <w:spacing w:before="157" w:beforeLines="50" w:line="360" w:lineRule="auto"/>
        <w:textAlignment w:val="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5.2开标程序</w:t>
      </w:r>
    </w:p>
    <w:p w14:paraId="5FD70DEF">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5.2.1开标时间后，主持人宣布开标会议开始。</w:t>
      </w:r>
    </w:p>
    <w:p w14:paraId="6EF3817C">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5.2.2供应商登录</w:t>
      </w:r>
      <w:r>
        <w:rPr>
          <w:rFonts w:hint="eastAsia" w:ascii="宋体" w:hAnsi="宋体" w:eastAsia="宋体" w:cs="宋体"/>
          <w:color w:val="auto"/>
          <w:kern w:val="2"/>
          <w:szCs w:val="24"/>
          <w:highlight w:val="none"/>
          <w:lang w:eastAsia="zh-CN"/>
        </w:rPr>
        <w:t>广西政府采购云平台</w:t>
      </w:r>
      <w:r>
        <w:rPr>
          <w:rFonts w:hint="eastAsia" w:ascii="宋体" w:hAnsi="宋体" w:eastAsia="宋体" w:cs="宋体"/>
          <w:color w:val="auto"/>
          <w:kern w:val="2"/>
          <w:szCs w:val="24"/>
          <w:highlight w:val="none"/>
        </w:rPr>
        <w:t>对响应文件进行在线解密。</w:t>
      </w:r>
    </w:p>
    <w:p w14:paraId="198630FA">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5.2.3磋商小组对磋商响应文件进行评估和比较。</w:t>
      </w:r>
    </w:p>
    <w:p w14:paraId="7272A44F">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5.2.4以</w:t>
      </w:r>
      <w:r>
        <w:rPr>
          <w:rFonts w:hint="eastAsia" w:ascii="宋体" w:hAnsi="宋体" w:eastAsia="宋体" w:cs="宋体"/>
          <w:color w:val="auto"/>
          <w:kern w:val="2"/>
          <w:szCs w:val="24"/>
          <w:highlight w:val="none"/>
          <w:lang w:eastAsia="zh-CN"/>
        </w:rPr>
        <w:t>广西政府采购云平台</w:t>
      </w:r>
      <w:r>
        <w:rPr>
          <w:rFonts w:hint="eastAsia" w:ascii="宋体" w:hAnsi="宋体" w:eastAsia="宋体" w:cs="宋体"/>
          <w:color w:val="auto"/>
          <w:kern w:val="2"/>
          <w:szCs w:val="24"/>
          <w:highlight w:val="none"/>
        </w:rPr>
        <w:t>中获取磋商文件顺序确定各供应商磋商顺序。</w:t>
      </w:r>
    </w:p>
    <w:p w14:paraId="5AD81D72">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5.2.5发起磋商，由磋商小组与单一供应商分别进行磋商。</w:t>
      </w:r>
    </w:p>
    <w:p w14:paraId="4706B403">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5.2.6磋商小组要求所有实质性响应的供应商在规定时间内提交最后报价。</w:t>
      </w:r>
    </w:p>
    <w:p w14:paraId="56C45AD3">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5.2.7由磋商小组采用综合评分法对提交最后报价的供应商的响应文件和最后报价进行综合评审，在符合采购需求、质量和服务要求的前提下，按评审得分从高到低顺序推荐确定成交候选供应商。</w:t>
      </w:r>
    </w:p>
    <w:p w14:paraId="01B580FC">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特别说明：</w:t>
      </w:r>
      <w:r>
        <w:rPr>
          <w:rFonts w:hint="eastAsia" w:ascii="宋体" w:hAnsi="宋体" w:eastAsia="宋体" w:cs="宋体"/>
          <w:color w:val="auto"/>
          <w:kern w:val="2"/>
          <w:szCs w:val="24"/>
          <w:highlight w:val="none"/>
          <w:lang w:eastAsia="zh-CN"/>
        </w:rPr>
        <w:t>广西政府采购云平台</w:t>
      </w:r>
      <w:r>
        <w:rPr>
          <w:rFonts w:hint="eastAsia" w:ascii="宋体" w:hAnsi="宋体" w:eastAsia="宋体" w:cs="宋体"/>
          <w:color w:val="auto"/>
          <w:kern w:val="2"/>
          <w:szCs w:val="24"/>
          <w:highlight w:val="none"/>
        </w:rPr>
        <w:t>公司如对电子化磋商及评审程序有调整的，按调整后的程序操作。</w:t>
      </w:r>
    </w:p>
    <w:p w14:paraId="300C9F25">
      <w:pPr>
        <w:keepNext/>
        <w:keepLines/>
        <w:pageBreakBefore w:val="0"/>
        <w:widowControl w:val="0"/>
        <w:kinsoku/>
        <w:wordWrap/>
        <w:overflowPunct/>
        <w:topLinePunct w:val="0"/>
        <w:autoSpaceDE/>
        <w:autoSpaceDN/>
        <w:bidi w:val="0"/>
        <w:adjustRightInd/>
        <w:snapToGrid/>
        <w:spacing w:before="157" w:beforeLines="50" w:line="240" w:lineRule="auto"/>
        <w:textAlignment w:val="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5.3不予开标</w:t>
      </w:r>
    </w:p>
    <w:p w14:paraId="21CD3344">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采购过程中出现以下情形，导致电子交易平台无法正常运行，或者无法保证电子交易的公平、公正和安全时，采购组织机构可中止电子交易活动：</w:t>
      </w:r>
    </w:p>
    <w:p w14:paraId="5F17BED7">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 xml:space="preserve">（1）电子交易平台发生故障而无法登录访问的； </w:t>
      </w:r>
    </w:p>
    <w:p w14:paraId="10F8F78B">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（2）电子交易平台应用或数据库出现错误，不能进行正常操作的；</w:t>
      </w:r>
    </w:p>
    <w:p w14:paraId="4192D871">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（3）电子交易平台发现严重安全漏洞，有潜在泄密危险的；</w:t>
      </w:r>
    </w:p>
    <w:p w14:paraId="4BE432DD">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 xml:space="preserve">（4）病毒发作导致不能进行正常操作的； </w:t>
      </w:r>
    </w:p>
    <w:p w14:paraId="0167A75F">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（5）其他无法保证电子交易的公平、公正和安全的情况。</w:t>
      </w:r>
    </w:p>
    <w:p w14:paraId="596DA9C7">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3B20E55A">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5.4开标异议</w:t>
      </w:r>
    </w:p>
    <w:p w14:paraId="68E4F1F9">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供应商对开标有异议的，可以在开标现场提出，采购人当场作出答复，并制作记录。也可以在开标环节结束之日起7个工作日内向采购人或采购代理机构提出质疑。</w:t>
      </w:r>
    </w:p>
    <w:p w14:paraId="5542E6F9">
      <w:pPr>
        <w:keepNext/>
        <w:keepLines/>
        <w:spacing w:line="360" w:lineRule="auto"/>
        <w:outlineLvl w:val="2"/>
        <w:rPr>
          <w:rFonts w:hint="eastAsia" w:ascii="宋体" w:hAnsi="宋体" w:eastAsia="宋体" w:cs="宋体"/>
          <w:b/>
          <w:bCs/>
          <w:color w:val="auto"/>
          <w:kern w:val="2"/>
          <w:sz w:val="24"/>
          <w:szCs w:val="28"/>
          <w:highlight w:val="none"/>
        </w:rPr>
      </w:pPr>
      <w:bookmarkStart w:id="67" w:name="_Toc533783514"/>
      <w:bookmarkStart w:id="68" w:name="_Toc533781562"/>
      <w:r>
        <w:rPr>
          <w:rFonts w:hint="eastAsia" w:ascii="宋体" w:hAnsi="宋体" w:eastAsia="宋体" w:cs="宋体"/>
          <w:b/>
          <w:bCs/>
          <w:color w:val="auto"/>
          <w:kern w:val="2"/>
          <w:sz w:val="24"/>
          <w:szCs w:val="28"/>
          <w:highlight w:val="none"/>
        </w:rPr>
        <w:t>6.磋商与评审</w:t>
      </w:r>
      <w:bookmarkEnd w:id="67"/>
      <w:bookmarkEnd w:id="68"/>
    </w:p>
    <w:p w14:paraId="280E2567">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6.1磋商小组</w:t>
      </w:r>
    </w:p>
    <w:p w14:paraId="42758D1F">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6.1.1评审及磋商工作由采购人依法组建的磋商小组负责。磋商小组的人员构成及评审专家的专业要求见供应商须知前附表。</w:t>
      </w:r>
    </w:p>
    <w:p w14:paraId="0790B115">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6.1.2磋商小组成员有下列情形之一的，应当回避：</w:t>
      </w:r>
    </w:p>
    <w:p w14:paraId="6566E939">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（1）参加采购活动前3年内与供应商存在劳动关系；</w:t>
      </w:r>
    </w:p>
    <w:p w14:paraId="3AF869E9">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（2）参加采购活动前3年内担任供应商的董事、监事；</w:t>
      </w:r>
    </w:p>
    <w:p w14:paraId="53F7153D">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（3）参加采购活动前3年内是供应商的控股股东或者实际控制人；</w:t>
      </w:r>
    </w:p>
    <w:p w14:paraId="4A1263B6">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（4）与供应商的法定代表人或者负责人有夫妻、直系血亲、三代以内旁系血亲或者近姻亲关系；</w:t>
      </w:r>
    </w:p>
    <w:p w14:paraId="714C4379">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（5）与供应商有其他可能影响政府采购活动公平、公正进行的关系。</w:t>
      </w:r>
    </w:p>
    <w:p w14:paraId="412464BB">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（6）项目主管部门或者行政监督部门的人员；</w:t>
      </w:r>
    </w:p>
    <w:p w14:paraId="24EA28EC">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（7）与供应商有经济利益关系，对响应文件公正评审及磋商可能造成不良影响的；</w:t>
      </w:r>
    </w:p>
    <w:p w14:paraId="15521D87">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（8）曾因在政府采购有关活动中从事违法行为而受过行政处罚或刑事处罚的；</w:t>
      </w:r>
    </w:p>
    <w:p w14:paraId="18CCE5F3">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（9）与供应商有其他可能影响政府采购公平、公正进行的关系。</w:t>
      </w:r>
    </w:p>
    <w:p w14:paraId="2362596F">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6.1.3磋商小组成员有下列情形的，列入不良行为记录：</w:t>
      </w:r>
    </w:p>
    <w:p w14:paraId="7BAB83CB">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(一)未按照磋商文件规定的评审程序、评审方法和评审标准进行独立评审；</w:t>
      </w:r>
    </w:p>
    <w:p w14:paraId="718AAA04">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(二)泄露评审文件、评审情况；</w:t>
      </w:r>
    </w:p>
    <w:p w14:paraId="69C62F93">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(三)与供应商存在利害关系未回避；</w:t>
      </w:r>
    </w:p>
    <w:p w14:paraId="496026D9">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(四)收受采购人、采购代理机构、供应商贿赂或者获取其他不正当利益；</w:t>
      </w:r>
    </w:p>
    <w:p w14:paraId="49710EED">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(五)拒不履行配合答复供应商询问、质疑、投诉等法定义务；</w:t>
      </w:r>
    </w:p>
    <w:p w14:paraId="612B62D2">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(六)以评审专家身份从事有损政府采购公信力的活动。</w:t>
      </w:r>
    </w:p>
    <w:p w14:paraId="6B6C0F30">
      <w:pPr>
        <w:spacing w:line="440" w:lineRule="exact"/>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6.1.4磋商小组应当配合答复供应商的询问、质疑和投诉等事项，不得泄露评审文件、评审情况和在评审过程中获悉的商业秘密。</w:t>
      </w:r>
    </w:p>
    <w:p w14:paraId="6446909C">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6.2磋商</w:t>
      </w:r>
    </w:p>
    <w:p w14:paraId="1CAB749A">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6.2.1响应文件实质性响应磋商文件的供应商获得参加磋商的资格，磋商小组所有成员应当集中与单一供应商分别进行磋商，并给予所有参加磋商的供应商平等的磋商机会。磋商时间及磋商地点：见供应商须知前附表。</w:t>
      </w:r>
    </w:p>
    <w:p w14:paraId="2094B2CB">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6.2.2在磋商过程中，磋商小组可以根据磋商文件和磋商情况实质性变动供应商须知前附表中规定的内容，但不得变动磋商文件中的其他内容。实质性变动的内容，须经采购人代表确认。对磋商文件作出的实质性变动是磋商文件的有效组成部分。</w:t>
      </w:r>
    </w:p>
    <w:p w14:paraId="3F632391">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6.2.3磋商小组与每个参加磋商的供应商均进行磋商后，本轮磋商完成，磋商小组应当就本轮磋商的结果形成书面记录。在一轮磋商结束后，磋商小组可以根据磋商文件和磋商情况进行下一轮磋商直至确定最终采购需求。磋商结束后，磋商小组应当将磋商结果通知所有参加磋商的供应商。</w:t>
      </w:r>
    </w:p>
    <w:p w14:paraId="6E98E6A4">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6.2.4因磋商文件实质性变动而需重新提交响应文件的，供应商应当在磋商小组规定期限内按照磋商文件的变动情况重新提交响应文件，重新提交的响应文件应按照本章第3条、第4条的规定进行编制、密封、标记和提交，并标明“重新提交”字样，否则重新提交的响应文件无效。</w:t>
      </w:r>
    </w:p>
    <w:p w14:paraId="61F0800C">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6.2.5磋商文件能够详细列明采购标的的技术、服务要求的，磋商结束后，磋商小组应当要求所有实质性响应的供应商在规定时间内提交最后报价，提交最后报价的供应商不得少于3家（根据《政府采购竞争性磋商采购方式管理暂行办法》第二十一条第三款规定，市场竞争不充分的科研项目，以及需要扶持的科技成果转化项目，提交最后报价的供应商可以为2家）。</w:t>
      </w:r>
    </w:p>
    <w:p w14:paraId="45E6EB21">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6.2.6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32FBB44">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6.2.7已提交响应文件的供应商，在提交最后报价之前，可以根据磋商情况退出磋商。最后报价是供应商响应文件的有效组成部分。</w:t>
      </w:r>
    </w:p>
    <w:p w14:paraId="28C30910">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6.3评审</w:t>
      </w:r>
    </w:p>
    <w:p w14:paraId="49A47183">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6.3.1评标方法：见供应商须知前附表。</w:t>
      </w:r>
    </w:p>
    <w:p w14:paraId="3DF53E15">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6.3.2磋商小组按照第三章“评标办法”规定的方法、评审因素、标准和程序对响应文件进行独立评审。第三章“评标办法”没有规定的方法、评审因素和标准，不作为评审依据。</w:t>
      </w:r>
    </w:p>
    <w:p w14:paraId="17E90908">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6.3.3未实质性响应磋商文件的响应文件按无效响应处理，磋商小组应当告知提交响应文件的供应商。</w:t>
      </w:r>
    </w:p>
    <w:p w14:paraId="76EBDAF1">
      <w:pPr>
        <w:keepNext/>
        <w:keepLines/>
        <w:spacing w:line="360" w:lineRule="auto"/>
        <w:outlineLvl w:val="2"/>
        <w:rPr>
          <w:rFonts w:hint="eastAsia" w:ascii="宋体" w:hAnsi="宋体" w:eastAsia="宋体" w:cs="宋体"/>
          <w:b/>
          <w:bCs/>
          <w:color w:val="auto"/>
          <w:kern w:val="2"/>
          <w:sz w:val="24"/>
          <w:szCs w:val="28"/>
          <w:highlight w:val="none"/>
        </w:rPr>
      </w:pPr>
      <w:bookmarkStart w:id="69" w:name="_Toc533781563"/>
      <w:bookmarkStart w:id="70" w:name="_Toc533783515"/>
      <w:r>
        <w:rPr>
          <w:rFonts w:hint="eastAsia" w:ascii="宋体" w:hAnsi="宋体" w:eastAsia="宋体" w:cs="宋体"/>
          <w:b/>
          <w:bCs/>
          <w:color w:val="auto"/>
          <w:kern w:val="2"/>
          <w:sz w:val="24"/>
          <w:szCs w:val="28"/>
          <w:highlight w:val="none"/>
        </w:rPr>
        <w:t>7.合同授予</w:t>
      </w:r>
      <w:bookmarkEnd w:id="69"/>
      <w:bookmarkEnd w:id="70"/>
    </w:p>
    <w:p w14:paraId="32A42627">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7.1定标方式</w:t>
      </w:r>
    </w:p>
    <w:p w14:paraId="1BB4AA9E">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除供应商须知前附表规定磋商小组直接确定成交供应商外，采购人应当在收到评标报告后5个工作日内，从评标报告提出的成交候选供应商中，按照排序由高到低的原则确定成交供应商。磋商小组推荐成交候选供应商人数见供应商须知前附表。</w:t>
      </w:r>
    </w:p>
    <w:p w14:paraId="4786E26C">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7.2成交结果公告及成交通知书</w:t>
      </w:r>
    </w:p>
    <w:p w14:paraId="46DDAE60">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7.2.1采购人或者采购代理机构应当在成交供应商确定后2个工作日内，在供应商须知前附表规定的媒体上公告成交结果，同时向成交供应商发出成交通知书，并将磋商文件随成交结果同时公告。成交结果公告期限1个工作日。</w:t>
      </w:r>
    </w:p>
    <w:p w14:paraId="441F162F">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7.2.2成交通知书对采购人和成交供应商均具有法律效力。成交通知书发出后，采购人改变成交结果的，或者成交供应商放弃成交项目的，应当依法承担法律责任。</w:t>
      </w:r>
    </w:p>
    <w:p w14:paraId="5E9F1C9C">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7.3履约保证金</w:t>
      </w:r>
    </w:p>
    <w:p w14:paraId="76551E3C">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7.3.1在签订合同前，成交供应商应按供应商须知前附表规定的形式、金额、格式向采购人提交履约保证金。联合体成交的，其履约保证金以联合体各方或者联合体中牵头人的名义提交。</w:t>
      </w:r>
    </w:p>
    <w:p w14:paraId="2660C911">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7.3.2成交供应商不能按本章第7.3.1项要求提交履约保证金的，视为放弃成交资格，其磋商保证金不予退还，给采购人造成的损失超过磋商保证金数额的，成交供应商还应当对超过部分予以赔偿。</w:t>
      </w:r>
    </w:p>
    <w:p w14:paraId="19CFF79F">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7.4合同签订</w:t>
      </w:r>
    </w:p>
    <w:p w14:paraId="570E13D7">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7.4.1采购人与成交供应商应当按供应商须知前附表规定的时间内，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9593015">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7.4.2联合体成交的，联合体各方应当共同与采购人签订合同，就成交项目向采购人承担连带责任。</w:t>
      </w:r>
    </w:p>
    <w:p w14:paraId="3BC29D53">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7.4.3成交供应商拒绝与采购人签订合同的，采购人可以按照评标报告推荐的成交候选人名单排序，确定下一候选人为成交供应商，也可以重新开展采购活动。拒绝签订采购合同的成交供应商不得参加对该项目重新开展的采购活动。</w:t>
      </w:r>
    </w:p>
    <w:p w14:paraId="60B5E4B9">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7.4.4合同履行中，采购人需追加与合同标的相同的货物、工程或者服务的，在不改变合同其他条款的前提下，可以与供应商协商签订补充合同，但所有补充合同的采购金额不得超过原合同采购金额的百分之十。</w:t>
      </w:r>
    </w:p>
    <w:p w14:paraId="73E5E534">
      <w:pPr>
        <w:keepNext/>
        <w:keepLines/>
        <w:spacing w:line="360" w:lineRule="auto"/>
        <w:outlineLvl w:val="2"/>
        <w:rPr>
          <w:rFonts w:hint="eastAsia" w:ascii="宋体" w:hAnsi="宋体" w:eastAsia="宋体" w:cs="宋体"/>
          <w:b/>
          <w:bCs/>
          <w:color w:val="auto"/>
          <w:kern w:val="2"/>
          <w:sz w:val="24"/>
          <w:szCs w:val="28"/>
          <w:highlight w:val="none"/>
        </w:rPr>
      </w:pPr>
      <w:bookmarkStart w:id="71" w:name="_Toc533781564"/>
      <w:bookmarkStart w:id="72" w:name="_Toc533783516"/>
      <w:r>
        <w:rPr>
          <w:rFonts w:hint="eastAsia" w:ascii="宋体" w:hAnsi="宋体" w:eastAsia="宋体" w:cs="宋体"/>
          <w:b/>
          <w:bCs/>
          <w:color w:val="auto"/>
          <w:kern w:val="2"/>
          <w:sz w:val="24"/>
          <w:szCs w:val="28"/>
          <w:highlight w:val="none"/>
        </w:rPr>
        <w:t>8.重新采购</w:t>
      </w:r>
      <w:bookmarkEnd w:id="71"/>
      <w:bookmarkEnd w:id="72"/>
    </w:p>
    <w:p w14:paraId="24FCB304">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有下列情形之一的，采购人将重新开展采购活动：</w:t>
      </w:r>
    </w:p>
    <w:p w14:paraId="5EA29B18">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在采购过程中符合要求的供应商或者报价未超过采购预算的供应商不足3家的（根据《政府采购竞争性磋商采购方式管理暂行办法》第二十一条第三款规定，市场竞争不充分的科研项目，以及需要扶持的科技成果转化项目，提交最后报价的供应商可以为2家）。</w:t>
      </w:r>
    </w:p>
    <w:p w14:paraId="22C5E743">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（2）其他有关法规和文件规定的应当重新开展采购活动的情形。</w:t>
      </w:r>
    </w:p>
    <w:p w14:paraId="6A094B0C">
      <w:pPr>
        <w:keepNext/>
        <w:keepLines/>
        <w:spacing w:line="360" w:lineRule="auto"/>
        <w:outlineLvl w:val="2"/>
        <w:rPr>
          <w:rFonts w:hint="eastAsia" w:ascii="宋体" w:hAnsi="宋体" w:eastAsia="宋体" w:cs="宋体"/>
          <w:b/>
          <w:bCs/>
          <w:color w:val="auto"/>
          <w:kern w:val="2"/>
          <w:sz w:val="24"/>
          <w:szCs w:val="28"/>
          <w:highlight w:val="none"/>
        </w:rPr>
      </w:pPr>
      <w:bookmarkStart w:id="73" w:name="_Toc533783517"/>
      <w:bookmarkStart w:id="74" w:name="_Toc533781565"/>
      <w:r>
        <w:rPr>
          <w:rFonts w:hint="eastAsia" w:ascii="宋体" w:hAnsi="宋体" w:eastAsia="宋体" w:cs="宋体"/>
          <w:b/>
          <w:bCs/>
          <w:color w:val="auto"/>
          <w:kern w:val="2"/>
          <w:sz w:val="24"/>
          <w:szCs w:val="28"/>
          <w:highlight w:val="none"/>
        </w:rPr>
        <w:t>9.纪律和监督</w:t>
      </w:r>
      <w:bookmarkEnd w:id="73"/>
      <w:bookmarkEnd w:id="74"/>
    </w:p>
    <w:p w14:paraId="31EC3FFC">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9.1对采购人的纪律要求</w:t>
      </w:r>
    </w:p>
    <w:p w14:paraId="3F9E42B0">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采购人不得泄漏政府采购活动中应当保密的情况和资料，不得与供应商串通损害国家利益、社会公共利益或者他人合法权益。</w:t>
      </w:r>
    </w:p>
    <w:p w14:paraId="6DB5AFB2">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9.2对供应商的纪律要求</w:t>
      </w:r>
    </w:p>
    <w:p w14:paraId="540E26E5">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9.2.1供应商不得相互串通投标或者与采购人或采购代理机构串通投标，不得向采购人、采购代理机构或者磋商小组成员行贿谋取成交，不得采取不正当手段诋毁、排挤其他供应商，不得以他人名义投标或者以其他方式弄虚作假骗取成交；供应商不得以任何方式干扰、影响评标工作。</w:t>
      </w:r>
    </w:p>
    <w:p w14:paraId="564B1A93">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9.2.2供应商不得向采购人或磋商小组成员或其他有关人员索问评标过程的情况和材料。</w:t>
      </w:r>
    </w:p>
    <w:p w14:paraId="7A85A5A5">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9.2.3有下列情形之一的视为供应商相互串通竞标，其响应文件按无效处理：</w:t>
      </w:r>
    </w:p>
    <w:p w14:paraId="0A987AD5">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（1）不同供应商的响应文件由同一单位或者个人编制；或不同供应商报名的IP地址一致的；</w:t>
      </w:r>
    </w:p>
    <w:p w14:paraId="5928E4DF">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（2）不同供应商委托同一单位或者个人办理投标事宜的；</w:t>
      </w:r>
    </w:p>
    <w:p w14:paraId="2BC22F0D">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（3）不同的供应商响应文件载明的项目管理员为同一人；</w:t>
      </w:r>
    </w:p>
    <w:p w14:paraId="55A56B33">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（4）不同供应商的响应文件异常一致或磋商报价呈规律性差异；</w:t>
      </w:r>
    </w:p>
    <w:p w14:paraId="32AF417D">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（5）不同供应商的响应文件相互混装；</w:t>
      </w:r>
    </w:p>
    <w:p w14:paraId="7A1C6972">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（6）不同供应商的磋商保证金从同一单位或者个人账户转出；</w:t>
      </w:r>
    </w:p>
    <w:p w14:paraId="3EBD82A9">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9.2.4有下列情形之一的，属于恶意串通，对供应商依照政府采购法第七十七条第一款的规定追究法律责任：</w:t>
      </w:r>
    </w:p>
    <w:p w14:paraId="42AE6B9A">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（1）供应商直接或间接从采购人或者代理机构处获得其他供应商的相关信息并修改其响应文件；</w:t>
      </w:r>
    </w:p>
    <w:p w14:paraId="0CE843E3">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（2）供应商按照采购人或者采购代理机构的授意撤换、修改响应文件；</w:t>
      </w:r>
    </w:p>
    <w:p w14:paraId="403A89FC">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（3）供应商之间协商报价、技术方案等响应文件的实质性内容；</w:t>
      </w:r>
    </w:p>
    <w:p w14:paraId="4EF6F425">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（4）属于同一集团、协会、商会等组织成员的供应商按照组织要求协同参加政府采购活动；</w:t>
      </w:r>
    </w:p>
    <w:p w14:paraId="4BAC5249">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（5）供应商之间事先约定一致抬高或者压低磋商报价，或者在采购项目中事先约定轮流以高价或者低价成交，或者事先约定由某一特定供应商成交，然后再参加投标；</w:t>
      </w:r>
    </w:p>
    <w:p w14:paraId="56C66279">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（6）供应商之间商定部分供应商放弃参加政府采购活动或放弃成交；</w:t>
      </w:r>
    </w:p>
    <w:p w14:paraId="13514679">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（7）供应商与采购人或采购代理机构之间、供应商相互之间，为谋定特定供应商成交或排斥其他供应商的其他串通行为。</w:t>
      </w:r>
    </w:p>
    <w:p w14:paraId="158D2E74">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9.2.4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B599107">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（一）提供虚假材料谋取中标、成交的；</w:t>
      </w:r>
    </w:p>
    <w:p w14:paraId="68C97394">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（二）采取不正当手段诋毁、排挤其他供应商的；</w:t>
      </w:r>
    </w:p>
    <w:p w14:paraId="5400322C">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（三）与采购人、其他供应商或者采购代理机构恶意串通的；</w:t>
      </w:r>
    </w:p>
    <w:p w14:paraId="41C15051">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（四）向采购人、采购代理机构行贿或者提供其他不正当利益的；</w:t>
      </w:r>
    </w:p>
    <w:p w14:paraId="1382C074">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（五）在招标采购过程中与采购人进行协商谈判的；</w:t>
      </w:r>
    </w:p>
    <w:p w14:paraId="144759DD">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（六）拒绝有关部门监督检查或者提供虚假情况的。</w:t>
      </w:r>
    </w:p>
    <w:p w14:paraId="71FA78B1">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9.3对磋商小组成员的纪律要求</w:t>
      </w:r>
    </w:p>
    <w:p w14:paraId="6877A1EF">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9.3.1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p>
    <w:p w14:paraId="01CED876">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9.3.2磋商小组应当遵守评审工作纪律，不得泄露评审文件、评审情况和评审中获悉的商业秘密。磋商小组在评审过程中发现供应商有行贿、提供虚假材料或者串通等违法行为的，应当及时向有关部门报告。</w:t>
      </w:r>
    </w:p>
    <w:p w14:paraId="32686030">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9.3.3磋商小组成员未完成评审工作擅自离开评审现场,或者在评审活动中有违法违规行为的,不得获取劳务报酬和报销异地评审差旅费。</w:t>
      </w:r>
    </w:p>
    <w:p w14:paraId="7CD405E6">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9.4对与评标活动有关的工作人员的纪律要求</w:t>
      </w:r>
    </w:p>
    <w:p w14:paraId="34EE30EA">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与评标活动有关的工作人员不得收受他人的财物或者其他好处，不得泄露评审文件、评审情况和评审中获悉的商业秘密。在评标活动中，与评标活动有关的工作人员不得擅离职守，影响评标程序正常进行。</w:t>
      </w:r>
    </w:p>
    <w:p w14:paraId="4A057851">
      <w:pPr>
        <w:keepNext/>
        <w:keepLines/>
        <w:spacing w:line="360" w:lineRule="auto"/>
        <w:outlineLvl w:val="2"/>
        <w:rPr>
          <w:rFonts w:hint="eastAsia" w:ascii="宋体" w:hAnsi="宋体" w:eastAsia="宋体" w:cs="宋体"/>
          <w:b/>
          <w:bCs/>
          <w:color w:val="auto"/>
          <w:kern w:val="2"/>
          <w:sz w:val="24"/>
          <w:szCs w:val="24"/>
          <w:highlight w:val="none"/>
        </w:rPr>
      </w:pPr>
      <w:bookmarkStart w:id="75" w:name="_Toc533781566"/>
      <w:bookmarkStart w:id="76" w:name="_Toc533783518"/>
      <w:r>
        <w:rPr>
          <w:rFonts w:hint="eastAsia" w:ascii="宋体" w:hAnsi="宋体" w:eastAsia="宋体" w:cs="宋体"/>
          <w:b/>
          <w:bCs/>
          <w:color w:val="auto"/>
          <w:kern w:val="2"/>
          <w:sz w:val="24"/>
          <w:szCs w:val="24"/>
          <w:highlight w:val="none"/>
        </w:rPr>
        <w:t>10</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bCs/>
          <w:color w:val="auto"/>
          <w:kern w:val="2"/>
          <w:sz w:val="24"/>
          <w:szCs w:val="24"/>
          <w:highlight w:val="none"/>
        </w:rPr>
        <w:t>质疑和投诉</w:t>
      </w:r>
      <w:bookmarkEnd w:id="75"/>
      <w:bookmarkEnd w:id="76"/>
    </w:p>
    <w:p w14:paraId="76F0D847">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10.1询问</w:t>
      </w:r>
    </w:p>
    <w:p w14:paraId="2B2A194B">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供应商对政府采购活动事项有疑问的，可以向采购人提出询问，采购人应当及时作出答复，但答复的内容不得涉及商业秘密。采购人或者采购代理机构应当在3个工作日内对供应商依法提出的询问作出答复。</w:t>
      </w:r>
    </w:p>
    <w:p w14:paraId="3E01792E">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10.2质疑</w:t>
      </w:r>
    </w:p>
    <w:p w14:paraId="0D0C7D09">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10.2.1供应商认为磋商文件、采购过程和成交结果使自己的权益受到损害的，可以在知道或者应知其权益受到损害之日起七个工作日内，以书面形式向采购人提出质疑。质疑受理部门及质疑函接收方式见供应商须知前附表。</w:t>
      </w:r>
    </w:p>
    <w:p w14:paraId="7AF1894B">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10.2.2供应商应知其权益受到损害之日，是指：</w:t>
      </w:r>
    </w:p>
    <w:p w14:paraId="10A1EF5A">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（1）对可以质疑的磋商文件提出质疑的，为收到磋商文件之日或者磋商文件公告期限届满之日；</w:t>
      </w:r>
    </w:p>
    <w:p w14:paraId="30B4431A">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（2）对采购过程提出质疑的，为各采购程序环节结束之日；</w:t>
      </w:r>
    </w:p>
    <w:p w14:paraId="6E1B152F">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（3）对成交结果提出质疑的，为成交结果公告期限届满之日。</w:t>
      </w:r>
    </w:p>
    <w:p w14:paraId="66B22BE2">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10.2.3提出质疑的供应商应当是参与所质疑项目采购活动的供应商。质疑供应商应当在法定质疑期内一次性提出针对同一采购程序环节的质疑。</w:t>
      </w:r>
    </w:p>
    <w:p w14:paraId="42D8CC86">
      <w:pPr>
        <w:spacing w:line="360" w:lineRule="exact"/>
        <w:ind w:firstLine="315" w:firstLineChars="15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10.2.4供应商提出质疑应当提交质疑函和必要的证明材料。质疑函应当包括下列内容：</w:t>
      </w:r>
    </w:p>
    <w:p w14:paraId="15B73A57">
      <w:pPr>
        <w:spacing w:line="360" w:lineRule="exact"/>
        <w:ind w:firstLine="315" w:firstLineChars="15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（一）供应商的姓名或者名称、地址、邮编、联系人及联系电话；</w:t>
      </w:r>
    </w:p>
    <w:p w14:paraId="3326CF69">
      <w:pPr>
        <w:spacing w:line="360" w:lineRule="exact"/>
        <w:ind w:firstLine="315" w:firstLineChars="15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（二）质疑项目的名称、编号；</w:t>
      </w:r>
    </w:p>
    <w:p w14:paraId="1037B6D1">
      <w:pPr>
        <w:spacing w:line="360" w:lineRule="exact"/>
        <w:ind w:firstLine="315" w:firstLineChars="15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（三）具体、明确的质疑事项和与质疑事项相关的请求；</w:t>
      </w:r>
    </w:p>
    <w:p w14:paraId="7A64A26B">
      <w:pPr>
        <w:spacing w:line="360" w:lineRule="exact"/>
        <w:ind w:firstLine="315" w:firstLineChars="15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（四）事实依据；</w:t>
      </w:r>
    </w:p>
    <w:p w14:paraId="493975C5">
      <w:pPr>
        <w:spacing w:line="360" w:lineRule="exact"/>
        <w:ind w:firstLine="315" w:firstLineChars="15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（五）必要的法律依据；</w:t>
      </w:r>
    </w:p>
    <w:p w14:paraId="18A6C34B">
      <w:pPr>
        <w:spacing w:line="360" w:lineRule="exact"/>
        <w:ind w:firstLine="315" w:firstLineChars="15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（六）提出质疑的日期。</w:t>
      </w:r>
    </w:p>
    <w:p w14:paraId="763A936E">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供应商为自然人的，应当由本人签字；供应商为法人或者其他组织的，应当由法定代表人、主要负责人，或者其授权代表签字或者盖章，并加盖公章。</w:t>
      </w:r>
    </w:p>
    <w:p w14:paraId="3BDB127E">
      <w:pPr>
        <w:keepNext/>
        <w:keepLines/>
        <w:spacing w:line="360" w:lineRule="auto"/>
        <w:outlineLvl w:val="3"/>
        <w:rPr>
          <w:rFonts w:hint="eastAsia" w:ascii="宋体" w:hAnsi="宋体" w:eastAsia="宋体" w:cs="宋体"/>
          <w:b/>
          <w:bCs/>
          <w:color w:val="auto"/>
          <w:kern w:val="2"/>
          <w:szCs w:val="28"/>
          <w:highlight w:val="none"/>
        </w:rPr>
      </w:pPr>
      <w:r>
        <w:rPr>
          <w:rFonts w:hint="eastAsia" w:ascii="宋体" w:hAnsi="宋体" w:eastAsia="宋体" w:cs="宋体"/>
          <w:b/>
          <w:bCs/>
          <w:color w:val="auto"/>
          <w:kern w:val="2"/>
          <w:szCs w:val="28"/>
          <w:highlight w:val="none"/>
        </w:rPr>
        <w:t>10.3投诉</w:t>
      </w:r>
    </w:p>
    <w:p w14:paraId="7BE96564">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10.3.1质疑供应商对采购人、采购代理机构的答复不满意，或者采购人、采购代理机构未在规定时间内作出答复的，可以在答复期满后15个工作日内向供应商须知前附表规定的投诉受理部门提起投诉。</w:t>
      </w:r>
    </w:p>
    <w:p w14:paraId="433C78F7">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10.3.2投诉人提起投诉应当符合下列条件：</w:t>
      </w:r>
    </w:p>
    <w:p w14:paraId="3E4C6AB5">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（1）提起投诉前已依法进行质疑；</w:t>
      </w:r>
    </w:p>
    <w:p w14:paraId="23696B38">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（2）投诉书内容符合《政府采购质疑和投诉办法》（财政部令第94号）的规定；</w:t>
      </w:r>
    </w:p>
    <w:p w14:paraId="7C36BD87">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（3）在投诉有效期限内提起投诉；</w:t>
      </w:r>
    </w:p>
    <w:p w14:paraId="2513F920">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（4）同一投诉事项未经财政部门投诉处理；</w:t>
      </w:r>
    </w:p>
    <w:p w14:paraId="68AB361F">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（5）财政部规定的其他条件。</w:t>
      </w:r>
    </w:p>
    <w:p w14:paraId="239A94CD">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10.3.3投诉人投诉时,应当提交投诉书和必要的证明材料，并按照被投诉采购人、采购代理机构（以下简称被投诉人）和与投诉事项有关的供应商数量提供投诉书的副本。投诉书应当包括下列内容：</w:t>
      </w:r>
    </w:p>
    <w:p w14:paraId="022A2BE9">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（一）投诉人和被投诉人的姓名或者名称、通讯地址、邮编、联系人及联系电话；</w:t>
      </w:r>
    </w:p>
    <w:p w14:paraId="64DC7F41">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（二）质疑和质疑答复情况说明及相关证明材料；</w:t>
      </w:r>
    </w:p>
    <w:p w14:paraId="701A68AC">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（三）具体、明确的投诉事项和与投诉事项相关的投诉请求；</w:t>
      </w:r>
    </w:p>
    <w:p w14:paraId="3060E0BC">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（四）事实依据；</w:t>
      </w:r>
    </w:p>
    <w:p w14:paraId="70C6E2D1">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（五）法律依据；</w:t>
      </w:r>
    </w:p>
    <w:p w14:paraId="6AF75594">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（六）提起投诉的日期。</w:t>
      </w:r>
    </w:p>
    <w:p w14:paraId="569F2E7E">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投诉人为自然人的，应当由本人签字；投诉人为法人或者其他组织的，应当由法定代表人、主要负责人，或者其授权代表签字或者盖章，并加盖公章。</w:t>
      </w:r>
    </w:p>
    <w:p w14:paraId="77807013">
      <w:pPr>
        <w:keepNext/>
        <w:keepLines/>
        <w:spacing w:line="360" w:lineRule="auto"/>
        <w:outlineLvl w:val="2"/>
        <w:rPr>
          <w:rFonts w:hint="eastAsia" w:ascii="宋体" w:hAnsi="宋体" w:eastAsia="宋体" w:cs="宋体"/>
          <w:b/>
          <w:bCs/>
          <w:color w:val="auto"/>
          <w:kern w:val="2"/>
          <w:sz w:val="24"/>
          <w:szCs w:val="28"/>
          <w:highlight w:val="none"/>
        </w:rPr>
      </w:pPr>
      <w:bookmarkStart w:id="77" w:name="_Toc533781567"/>
      <w:bookmarkStart w:id="78" w:name="_Toc533783519"/>
      <w:r>
        <w:rPr>
          <w:rFonts w:hint="eastAsia" w:ascii="宋体" w:hAnsi="宋体" w:eastAsia="宋体" w:cs="宋体"/>
          <w:b/>
          <w:bCs/>
          <w:color w:val="auto"/>
          <w:kern w:val="2"/>
          <w:sz w:val="24"/>
          <w:szCs w:val="28"/>
          <w:highlight w:val="none"/>
        </w:rPr>
        <w:t>11.其他补充内容</w:t>
      </w:r>
      <w:bookmarkEnd w:id="77"/>
      <w:bookmarkEnd w:id="78"/>
    </w:p>
    <w:p w14:paraId="5316EFBD">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见供应商须知前附表。</w:t>
      </w:r>
    </w:p>
    <w:p w14:paraId="4A7C2685">
      <w:pPr>
        <w:widowControl/>
        <w:jc w:val="lef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p>
    <w:p w14:paraId="08A7CA78">
      <w:pPr>
        <w:pStyle w:val="2"/>
        <w:jc w:val="center"/>
        <w:rPr>
          <w:rFonts w:hint="eastAsia" w:ascii="宋体" w:hAnsi="宋体" w:eastAsia="宋体" w:cs="宋体"/>
          <w:color w:val="auto"/>
          <w:kern w:val="0"/>
          <w:highlight w:val="none"/>
        </w:rPr>
      </w:pPr>
      <w:bookmarkStart w:id="79" w:name="_Toc105753208"/>
      <w:bookmarkStart w:id="80" w:name="_Toc24488"/>
      <w:r>
        <w:rPr>
          <w:rFonts w:hint="eastAsia" w:ascii="宋体" w:hAnsi="宋体" w:eastAsia="宋体" w:cs="宋体"/>
          <w:color w:val="auto"/>
          <w:kern w:val="0"/>
          <w:highlight w:val="none"/>
        </w:rPr>
        <w:t>第三章  评标办法</w:t>
      </w:r>
      <w:bookmarkEnd w:id="46"/>
      <w:bookmarkEnd w:id="47"/>
      <w:bookmarkEnd w:id="79"/>
      <w:bookmarkEnd w:id="80"/>
    </w:p>
    <w:p w14:paraId="57817681">
      <w:pPr>
        <w:pStyle w:val="3"/>
        <w:rPr>
          <w:rFonts w:hint="eastAsia" w:ascii="宋体" w:hAnsi="宋体" w:eastAsia="宋体" w:cs="宋体"/>
          <w:color w:val="auto"/>
          <w:highlight w:val="none"/>
        </w:rPr>
      </w:pPr>
      <w:bookmarkStart w:id="81" w:name="_Toc105753209"/>
      <w:bookmarkStart w:id="82" w:name="_Toc533781569"/>
      <w:bookmarkStart w:id="83" w:name="_Toc533783521"/>
      <w:bookmarkStart w:id="84" w:name="_Toc533781570"/>
      <w:bookmarkStart w:id="85" w:name="_Toc533783522"/>
      <w:r>
        <w:rPr>
          <w:rFonts w:hint="eastAsia" w:ascii="宋体" w:hAnsi="宋体" w:eastAsia="宋体" w:cs="宋体"/>
          <w:color w:val="auto"/>
          <w:highlight w:val="none"/>
        </w:rPr>
        <w:t>评标办法前附表</w:t>
      </w:r>
      <w:bookmarkEnd w:id="81"/>
      <w:bookmarkEnd w:id="82"/>
      <w:bookmarkEnd w:id="83"/>
    </w:p>
    <w:tbl>
      <w:tblPr>
        <w:tblStyle w:val="13"/>
        <w:tblpPr w:leftFromText="180" w:rightFromText="180" w:vertAnchor="text" w:horzAnchor="page" w:tblpX="1255" w:tblpY="521"/>
        <w:tblOverlap w:val="never"/>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456"/>
        <w:gridCol w:w="1052"/>
        <w:gridCol w:w="743"/>
        <w:gridCol w:w="101"/>
        <w:gridCol w:w="280"/>
        <w:gridCol w:w="1234"/>
        <w:gridCol w:w="4962"/>
      </w:tblGrid>
      <w:tr w14:paraId="4342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06" w:type="dxa"/>
            <w:shd w:val="clear" w:color="auto" w:fill="E7E6E6"/>
            <w:vAlign w:val="center"/>
          </w:tcPr>
          <w:p w14:paraId="22F532AF">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条款号</w:t>
            </w:r>
          </w:p>
        </w:tc>
        <w:tc>
          <w:tcPr>
            <w:tcW w:w="3866" w:type="dxa"/>
            <w:gridSpan w:val="6"/>
            <w:shd w:val="clear" w:color="auto" w:fill="E7E6E6"/>
            <w:vAlign w:val="center"/>
          </w:tcPr>
          <w:p w14:paraId="0369B32C">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评审因素</w:t>
            </w:r>
          </w:p>
        </w:tc>
        <w:tc>
          <w:tcPr>
            <w:tcW w:w="4962" w:type="dxa"/>
            <w:shd w:val="clear" w:color="auto" w:fill="E7E6E6"/>
            <w:vAlign w:val="center"/>
          </w:tcPr>
          <w:p w14:paraId="52AEDDCB">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评审标准</w:t>
            </w:r>
          </w:p>
        </w:tc>
      </w:tr>
      <w:tr w14:paraId="5494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34" w:type="dxa"/>
            <w:gridSpan w:val="8"/>
            <w:shd w:val="clear" w:color="auto" w:fill="FFFFFF" w:themeFill="background1"/>
            <w:vAlign w:val="center"/>
          </w:tcPr>
          <w:p w14:paraId="11666024">
            <w:pPr>
              <w:spacing w:beforeLines="50"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2.1初步评审</w:t>
            </w:r>
          </w:p>
        </w:tc>
      </w:tr>
      <w:tr w14:paraId="37B8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6" w:type="dxa"/>
            <w:vMerge w:val="restart"/>
            <w:shd w:val="clear" w:color="auto" w:fill="auto"/>
            <w:vAlign w:val="center"/>
          </w:tcPr>
          <w:p w14:paraId="2FEDA90F">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2.1.1</w:t>
            </w:r>
          </w:p>
        </w:tc>
        <w:tc>
          <w:tcPr>
            <w:tcW w:w="1508" w:type="dxa"/>
            <w:gridSpan w:val="2"/>
            <w:vMerge w:val="restart"/>
            <w:shd w:val="clear" w:color="auto" w:fill="auto"/>
            <w:vAlign w:val="center"/>
          </w:tcPr>
          <w:p w14:paraId="5F8C588F">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资格审查</w:t>
            </w:r>
          </w:p>
        </w:tc>
        <w:tc>
          <w:tcPr>
            <w:tcW w:w="7320" w:type="dxa"/>
            <w:gridSpan w:val="5"/>
            <w:shd w:val="clear" w:color="auto" w:fill="auto"/>
            <w:vAlign w:val="center"/>
          </w:tcPr>
          <w:p w14:paraId="44512979">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合格标准：缺少任何一项或有任何一项不合格者，其资格审查视为不合格</w:t>
            </w:r>
          </w:p>
        </w:tc>
      </w:tr>
      <w:tr w14:paraId="23B7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06" w:type="dxa"/>
            <w:vMerge w:val="continue"/>
            <w:shd w:val="clear" w:color="auto" w:fill="auto"/>
            <w:vAlign w:val="center"/>
          </w:tcPr>
          <w:p w14:paraId="2EE2A4E2">
            <w:pPr>
              <w:spacing w:beforeLines="50" w:line="360" w:lineRule="auto"/>
              <w:rPr>
                <w:rFonts w:hint="eastAsia" w:ascii="宋体" w:hAnsi="宋体" w:eastAsia="宋体" w:cs="宋体"/>
                <w:color w:val="auto"/>
                <w:highlight w:val="none"/>
              </w:rPr>
            </w:pPr>
          </w:p>
        </w:tc>
        <w:tc>
          <w:tcPr>
            <w:tcW w:w="1508" w:type="dxa"/>
            <w:gridSpan w:val="2"/>
            <w:vMerge w:val="continue"/>
            <w:shd w:val="clear" w:color="auto" w:fill="auto"/>
            <w:vAlign w:val="center"/>
          </w:tcPr>
          <w:p w14:paraId="6295F324">
            <w:pPr>
              <w:spacing w:beforeLines="50" w:line="360" w:lineRule="auto"/>
              <w:jc w:val="center"/>
              <w:rPr>
                <w:rFonts w:hint="eastAsia" w:ascii="宋体" w:hAnsi="宋体" w:eastAsia="宋体" w:cs="宋体"/>
                <w:color w:val="auto"/>
                <w:highlight w:val="none"/>
              </w:rPr>
            </w:pPr>
          </w:p>
        </w:tc>
        <w:tc>
          <w:tcPr>
            <w:tcW w:w="844" w:type="dxa"/>
            <w:gridSpan w:val="2"/>
            <w:vMerge w:val="restart"/>
            <w:shd w:val="clear" w:color="auto" w:fill="auto"/>
            <w:vAlign w:val="center"/>
          </w:tcPr>
          <w:p w14:paraId="56E6EE04">
            <w:pPr>
              <w:spacing w:beforeLines="50" w:line="360" w:lineRule="auto"/>
              <w:jc w:val="center"/>
              <w:rPr>
                <w:rFonts w:hint="eastAsia" w:ascii="宋体" w:hAnsi="宋体" w:eastAsia="宋体" w:cs="宋体"/>
                <w:color w:val="auto"/>
                <w:highlight w:val="none"/>
              </w:rPr>
            </w:pPr>
          </w:p>
        </w:tc>
        <w:tc>
          <w:tcPr>
            <w:tcW w:w="1514" w:type="dxa"/>
            <w:gridSpan w:val="2"/>
            <w:shd w:val="clear" w:color="auto" w:fill="auto"/>
            <w:vAlign w:val="center"/>
          </w:tcPr>
          <w:p w14:paraId="655C0DD2">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诚信要求</w:t>
            </w:r>
          </w:p>
        </w:tc>
        <w:tc>
          <w:tcPr>
            <w:tcW w:w="4962" w:type="dxa"/>
            <w:shd w:val="clear" w:color="auto" w:fill="auto"/>
            <w:vAlign w:val="center"/>
          </w:tcPr>
          <w:p w14:paraId="686C3123">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符合第二章“供应商须知”第11.4款规定</w:t>
            </w:r>
          </w:p>
        </w:tc>
      </w:tr>
      <w:tr w14:paraId="6D78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06" w:type="dxa"/>
            <w:vMerge w:val="continue"/>
            <w:shd w:val="clear" w:color="auto" w:fill="auto"/>
            <w:vAlign w:val="center"/>
          </w:tcPr>
          <w:p w14:paraId="46B158AF">
            <w:pPr>
              <w:spacing w:beforeLines="50" w:line="360" w:lineRule="auto"/>
              <w:rPr>
                <w:rFonts w:hint="eastAsia" w:ascii="宋体" w:hAnsi="宋体" w:eastAsia="宋体" w:cs="宋体"/>
                <w:color w:val="auto"/>
                <w:highlight w:val="none"/>
              </w:rPr>
            </w:pPr>
          </w:p>
        </w:tc>
        <w:tc>
          <w:tcPr>
            <w:tcW w:w="1508" w:type="dxa"/>
            <w:gridSpan w:val="2"/>
            <w:vMerge w:val="continue"/>
            <w:shd w:val="clear" w:color="auto" w:fill="auto"/>
            <w:vAlign w:val="center"/>
          </w:tcPr>
          <w:p w14:paraId="5C1259C8">
            <w:pPr>
              <w:spacing w:beforeLines="50" w:line="360" w:lineRule="auto"/>
              <w:jc w:val="center"/>
              <w:rPr>
                <w:rFonts w:hint="eastAsia" w:ascii="宋体" w:hAnsi="宋体" w:eastAsia="宋体" w:cs="宋体"/>
                <w:color w:val="auto"/>
                <w:highlight w:val="none"/>
              </w:rPr>
            </w:pPr>
          </w:p>
        </w:tc>
        <w:tc>
          <w:tcPr>
            <w:tcW w:w="844" w:type="dxa"/>
            <w:gridSpan w:val="2"/>
            <w:vMerge w:val="continue"/>
            <w:shd w:val="clear" w:color="auto" w:fill="auto"/>
            <w:vAlign w:val="center"/>
          </w:tcPr>
          <w:p w14:paraId="375456FB">
            <w:pPr>
              <w:spacing w:beforeLines="50" w:line="360" w:lineRule="auto"/>
              <w:jc w:val="center"/>
              <w:rPr>
                <w:rFonts w:hint="eastAsia" w:ascii="宋体" w:hAnsi="宋体" w:eastAsia="宋体" w:cs="宋体"/>
                <w:color w:val="auto"/>
                <w:highlight w:val="none"/>
              </w:rPr>
            </w:pPr>
          </w:p>
        </w:tc>
        <w:tc>
          <w:tcPr>
            <w:tcW w:w="1514" w:type="dxa"/>
            <w:gridSpan w:val="2"/>
            <w:shd w:val="clear" w:color="auto" w:fill="auto"/>
            <w:vAlign w:val="center"/>
          </w:tcPr>
          <w:p w14:paraId="61CE2E4F">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磋商保证金</w:t>
            </w:r>
          </w:p>
        </w:tc>
        <w:tc>
          <w:tcPr>
            <w:tcW w:w="4962" w:type="dxa"/>
            <w:shd w:val="clear" w:color="auto" w:fill="auto"/>
            <w:vAlign w:val="center"/>
          </w:tcPr>
          <w:p w14:paraId="49267FA6">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符合第二章“供应商须知”第3.4.1项规定</w:t>
            </w:r>
          </w:p>
        </w:tc>
      </w:tr>
      <w:tr w14:paraId="1028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06" w:type="dxa"/>
            <w:vMerge w:val="continue"/>
            <w:shd w:val="clear" w:color="auto" w:fill="auto"/>
            <w:vAlign w:val="center"/>
          </w:tcPr>
          <w:p w14:paraId="6AEE151F">
            <w:pPr>
              <w:spacing w:beforeLines="50" w:line="360" w:lineRule="auto"/>
              <w:rPr>
                <w:rFonts w:hint="eastAsia" w:ascii="宋体" w:hAnsi="宋体" w:eastAsia="宋体" w:cs="宋体"/>
                <w:color w:val="auto"/>
                <w:highlight w:val="none"/>
              </w:rPr>
            </w:pPr>
          </w:p>
        </w:tc>
        <w:tc>
          <w:tcPr>
            <w:tcW w:w="1508" w:type="dxa"/>
            <w:gridSpan w:val="2"/>
            <w:vMerge w:val="continue"/>
            <w:shd w:val="clear" w:color="auto" w:fill="auto"/>
            <w:vAlign w:val="center"/>
          </w:tcPr>
          <w:p w14:paraId="0FEF35E6">
            <w:pPr>
              <w:spacing w:beforeLines="50" w:line="360" w:lineRule="auto"/>
              <w:jc w:val="center"/>
              <w:rPr>
                <w:rFonts w:hint="eastAsia" w:ascii="宋体" w:hAnsi="宋体" w:eastAsia="宋体" w:cs="宋体"/>
                <w:color w:val="auto"/>
                <w:highlight w:val="none"/>
              </w:rPr>
            </w:pPr>
          </w:p>
        </w:tc>
        <w:tc>
          <w:tcPr>
            <w:tcW w:w="844" w:type="dxa"/>
            <w:gridSpan w:val="2"/>
            <w:vMerge w:val="continue"/>
            <w:shd w:val="clear" w:color="auto" w:fill="auto"/>
            <w:vAlign w:val="center"/>
          </w:tcPr>
          <w:p w14:paraId="04930C45">
            <w:pPr>
              <w:spacing w:beforeLines="50" w:line="360" w:lineRule="auto"/>
              <w:jc w:val="center"/>
              <w:rPr>
                <w:rFonts w:hint="eastAsia" w:ascii="宋体" w:hAnsi="宋体" w:eastAsia="宋体" w:cs="宋体"/>
                <w:color w:val="auto"/>
                <w:highlight w:val="none"/>
              </w:rPr>
            </w:pPr>
          </w:p>
        </w:tc>
        <w:tc>
          <w:tcPr>
            <w:tcW w:w="1514" w:type="dxa"/>
            <w:gridSpan w:val="2"/>
            <w:shd w:val="clear" w:color="auto" w:fill="auto"/>
            <w:vAlign w:val="center"/>
          </w:tcPr>
          <w:p w14:paraId="07DE138C">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其他要求</w:t>
            </w:r>
          </w:p>
        </w:tc>
        <w:tc>
          <w:tcPr>
            <w:tcW w:w="4962" w:type="dxa"/>
            <w:shd w:val="clear" w:color="auto" w:fill="auto"/>
            <w:vAlign w:val="center"/>
          </w:tcPr>
          <w:p w14:paraId="68690D4E">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符合第二章“供应商须知”第3.1.5项规定</w:t>
            </w:r>
          </w:p>
        </w:tc>
      </w:tr>
      <w:tr w14:paraId="5B5B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906" w:type="dxa"/>
            <w:vMerge w:val="continue"/>
            <w:shd w:val="clear" w:color="auto" w:fill="auto"/>
            <w:vAlign w:val="center"/>
          </w:tcPr>
          <w:p w14:paraId="53795ADE">
            <w:pPr>
              <w:spacing w:beforeLines="50" w:line="360" w:lineRule="auto"/>
              <w:rPr>
                <w:rFonts w:hint="eastAsia" w:ascii="宋体" w:hAnsi="宋体" w:eastAsia="宋体" w:cs="宋体"/>
                <w:color w:val="auto"/>
                <w:highlight w:val="none"/>
              </w:rPr>
            </w:pPr>
          </w:p>
        </w:tc>
        <w:tc>
          <w:tcPr>
            <w:tcW w:w="1508" w:type="dxa"/>
            <w:gridSpan w:val="2"/>
            <w:vMerge w:val="continue"/>
            <w:shd w:val="clear" w:color="auto" w:fill="auto"/>
            <w:vAlign w:val="center"/>
          </w:tcPr>
          <w:p w14:paraId="17FE9FC6">
            <w:pPr>
              <w:spacing w:beforeLines="50" w:line="360" w:lineRule="auto"/>
              <w:jc w:val="center"/>
              <w:rPr>
                <w:rFonts w:hint="eastAsia" w:ascii="宋体" w:hAnsi="宋体" w:eastAsia="宋体" w:cs="宋体"/>
                <w:color w:val="auto"/>
                <w:highlight w:val="none"/>
              </w:rPr>
            </w:pPr>
          </w:p>
        </w:tc>
        <w:tc>
          <w:tcPr>
            <w:tcW w:w="844" w:type="dxa"/>
            <w:gridSpan w:val="2"/>
            <w:vMerge w:val="restart"/>
            <w:shd w:val="clear" w:color="auto" w:fill="auto"/>
            <w:vAlign w:val="center"/>
          </w:tcPr>
          <w:p w14:paraId="4CCB2A1A">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特定资质条件</w:t>
            </w:r>
          </w:p>
        </w:tc>
        <w:tc>
          <w:tcPr>
            <w:tcW w:w="1514" w:type="dxa"/>
            <w:gridSpan w:val="2"/>
            <w:shd w:val="clear" w:color="auto" w:fill="auto"/>
            <w:vAlign w:val="center"/>
          </w:tcPr>
          <w:p w14:paraId="6AD19375">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资质条件</w:t>
            </w:r>
          </w:p>
        </w:tc>
        <w:tc>
          <w:tcPr>
            <w:tcW w:w="4962" w:type="dxa"/>
            <w:shd w:val="clear" w:color="auto" w:fill="auto"/>
            <w:vAlign w:val="center"/>
          </w:tcPr>
          <w:p w14:paraId="681CE95D">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符合第二章“供应商须知”第1.3.1项规定</w:t>
            </w:r>
          </w:p>
        </w:tc>
      </w:tr>
      <w:tr w14:paraId="1446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06" w:type="dxa"/>
            <w:vMerge w:val="continue"/>
            <w:shd w:val="clear" w:color="auto" w:fill="auto"/>
            <w:vAlign w:val="center"/>
          </w:tcPr>
          <w:p w14:paraId="31AA7996">
            <w:pPr>
              <w:spacing w:beforeLines="50" w:line="360" w:lineRule="auto"/>
              <w:rPr>
                <w:rFonts w:hint="eastAsia" w:ascii="宋体" w:hAnsi="宋体" w:eastAsia="宋体" w:cs="宋体"/>
                <w:color w:val="auto"/>
                <w:highlight w:val="none"/>
              </w:rPr>
            </w:pPr>
          </w:p>
        </w:tc>
        <w:tc>
          <w:tcPr>
            <w:tcW w:w="1508" w:type="dxa"/>
            <w:gridSpan w:val="2"/>
            <w:vMerge w:val="continue"/>
            <w:shd w:val="clear" w:color="auto" w:fill="auto"/>
            <w:vAlign w:val="center"/>
          </w:tcPr>
          <w:p w14:paraId="55DE61BF">
            <w:pPr>
              <w:spacing w:beforeLines="50" w:line="360" w:lineRule="auto"/>
              <w:jc w:val="center"/>
              <w:rPr>
                <w:rFonts w:hint="eastAsia" w:ascii="宋体" w:hAnsi="宋体" w:eastAsia="宋体" w:cs="宋体"/>
                <w:color w:val="auto"/>
                <w:highlight w:val="none"/>
              </w:rPr>
            </w:pPr>
          </w:p>
        </w:tc>
        <w:tc>
          <w:tcPr>
            <w:tcW w:w="844" w:type="dxa"/>
            <w:gridSpan w:val="2"/>
            <w:vMerge w:val="continue"/>
            <w:shd w:val="clear" w:color="auto" w:fill="auto"/>
            <w:vAlign w:val="center"/>
          </w:tcPr>
          <w:p w14:paraId="2D3750CA">
            <w:pPr>
              <w:spacing w:beforeLines="50" w:line="360" w:lineRule="auto"/>
              <w:jc w:val="center"/>
              <w:rPr>
                <w:rFonts w:hint="eastAsia" w:ascii="宋体" w:hAnsi="宋体" w:eastAsia="宋体" w:cs="宋体"/>
                <w:color w:val="auto"/>
                <w:highlight w:val="none"/>
              </w:rPr>
            </w:pPr>
          </w:p>
        </w:tc>
        <w:tc>
          <w:tcPr>
            <w:tcW w:w="1514" w:type="dxa"/>
            <w:gridSpan w:val="2"/>
            <w:shd w:val="clear" w:color="auto" w:fill="auto"/>
            <w:vAlign w:val="center"/>
          </w:tcPr>
          <w:p w14:paraId="282188D6">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业绩要求</w:t>
            </w:r>
          </w:p>
        </w:tc>
        <w:tc>
          <w:tcPr>
            <w:tcW w:w="4962" w:type="dxa"/>
            <w:shd w:val="clear" w:color="auto" w:fill="auto"/>
            <w:vAlign w:val="center"/>
          </w:tcPr>
          <w:p w14:paraId="0E4E66EC">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符合第二章“供应商须知”第1.3.1项规定</w:t>
            </w:r>
          </w:p>
        </w:tc>
      </w:tr>
      <w:tr w14:paraId="3A34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06" w:type="dxa"/>
            <w:vMerge w:val="continue"/>
            <w:shd w:val="clear" w:color="auto" w:fill="auto"/>
            <w:vAlign w:val="center"/>
          </w:tcPr>
          <w:p w14:paraId="793ABF99">
            <w:pPr>
              <w:spacing w:beforeLines="50" w:line="360" w:lineRule="auto"/>
              <w:rPr>
                <w:rFonts w:hint="eastAsia" w:ascii="宋体" w:hAnsi="宋体" w:eastAsia="宋体" w:cs="宋体"/>
                <w:color w:val="auto"/>
                <w:highlight w:val="none"/>
              </w:rPr>
            </w:pPr>
          </w:p>
        </w:tc>
        <w:tc>
          <w:tcPr>
            <w:tcW w:w="1508" w:type="dxa"/>
            <w:gridSpan w:val="2"/>
            <w:vMerge w:val="continue"/>
            <w:shd w:val="clear" w:color="auto" w:fill="auto"/>
            <w:vAlign w:val="center"/>
          </w:tcPr>
          <w:p w14:paraId="2133D717">
            <w:pPr>
              <w:spacing w:beforeLines="50" w:line="360" w:lineRule="auto"/>
              <w:jc w:val="center"/>
              <w:rPr>
                <w:rFonts w:hint="eastAsia" w:ascii="宋体" w:hAnsi="宋体" w:eastAsia="宋体" w:cs="宋体"/>
                <w:color w:val="auto"/>
                <w:highlight w:val="none"/>
              </w:rPr>
            </w:pPr>
          </w:p>
        </w:tc>
        <w:tc>
          <w:tcPr>
            <w:tcW w:w="844" w:type="dxa"/>
            <w:gridSpan w:val="2"/>
            <w:vMerge w:val="continue"/>
            <w:shd w:val="clear" w:color="auto" w:fill="auto"/>
            <w:vAlign w:val="center"/>
          </w:tcPr>
          <w:p w14:paraId="2ECCFA9A">
            <w:pPr>
              <w:spacing w:beforeLines="50" w:line="360" w:lineRule="auto"/>
              <w:jc w:val="center"/>
              <w:rPr>
                <w:rFonts w:hint="eastAsia" w:ascii="宋体" w:hAnsi="宋体" w:eastAsia="宋体" w:cs="宋体"/>
                <w:color w:val="auto"/>
                <w:highlight w:val="none"/>
              </w:rPr>
            </w:pPr>
          </w:p>
        </w:tc>
        <w:tc>
          <w:tcPr>
            <w:tcW w:w="1514" w:type="dxa"/>
            <w:gridSpan w:val="2"/>
            <w:shd w:val="clear" w:color="auto" w:fill="auto"/>
            <w:vAlign w:val="center"/>
          </w:tcPr>
          <w:p w14:paraId="41CE073F">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人员要求</w:t>
            </w:r>
          </w:p>
        </w:tc>
        <w:tc>
          <w:tcPr>
            <w:tcW w:w="4962" w:type="dxa"/>
            <w:shd w:val="clear" w:color="auto" w:fill="auto"/>
            <w:vAlign w:val="center"/>
          </w:tcPr>
          <w:p w14:paraId="3A4558C5">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符合第二章“供应商须知”第1.3.1项规定</w:t>
            </w:r>
          </w:p>
        </w:tc>
      </w:tr>
      <w:tr w14:paraId="3A51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06" w:type="dxa"/>
            <w:vMerge w:val="restart"/>
            <w:shd w:val="clear" w:color="auto" w:fill="auto"/>
            <w:vAlign w:val="center"/>
          </w:tcPr>
          <w:p w14:paraId="5E196B12">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2.1.2</w:t>
            </w:r>
          </w:p>
        </w:tc>
        <w:tc>
          <w:tcPr>
            <w:tcW w:w="1508" w:type="dxa"/>
            <w:gridSpan w:val="2"/>
            <w:vMerge w:val="restart"/>
            <w:shd w:val="clear" w:color="auto" w:fill="auto"/>
            <w:vAlign w:val="center"/>
          </w:tcPr>
          <w:p w14:paraId="7BDF5507">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符合性</w:t>
            </w:r>
          </w:p>
          <w:p w14:paraId="3AB1246C">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审查</w:t>
            </w:r>
          </w:p>
        </w:tc>
        <w:tc>
          <w:tcPr>
            <w:tcW w:w="7320" w:type="dxa"/>
            <w:gridSpan w:val="5"/>
            <w:tcBorders>
              <w:bottom w:val="single" w:color="auto" w:sz="4" w:space="0"/>
            </w:tcBorders>
            <w:shd w:val="clear" w:color="auto" w:fill="auto"/>
            <w:vAlign w:val="center"/>
          </w:tcPr>
          <w:p w14:paraId="7FD11B28">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合格标准：缺少任何一项或有任何一项不合格者，其符合性审查视为不合格</w:t>
            </w:r>
          </w:p>
        </w:tc>
      </w:tr>
      <w:tr w14:paraId="5C19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06" w:type="dxa"/>
            <w:vMerge w:val="continue"/>
            <w:shd w:val="clear" w:color="auto" w:fill="auto"/>
            <w:vAlign w:val="center"/>
          </w:tcPr>
          <w:p w14:paraId="64454CF6">
            <w:pPr>
              <w:spacing w:beforeLines="50" w:line="360" w:lineRule="auto"/>
              <w:rPr>
                <w:rFonts w:hint="eastAsia" w:ascii="宋体" w:hAnsi="宋体" w:eastAsia="宋体" w:cs="宋体"/>
                <w:color w:val="auto"/>
                <w:highlight w:val="none"/>
              </w:rPr>
            </w:pPr>
          </w:p>
        </w:tc>
        <w:tc>
          <w:tcPr>
            <w:tcW w:w="1508" w:type="dxa"/>
            <w:gridSpan w:val="2"/>
            <w:vMerge w:val="continue"/>
            <w:tcBorders>
              <w:right w:val="single" w:color="auto" w:sz="4" w:space="0"/>
            </w:tcBorders>
            <w:shd w:val="clear" w:color="auto" w:fill="auto"/>
            <w:vAlign w:val="center"/>
          </w:tcPr>
          <w:p w14:paraId="3561CA68">
            <w:pPr>
              <w:spacing w:beforeLines="50" w:line="360" w:lineRule="auto"/>
              <w:rPr>
                <w:rFonts w:hint="eastAsia" w:ascii="宋体" w:hAnsi="宋体" w:eastAsia="宋体" w:cs="宋体"/>
                <w:color w:val="auto"/>
                <w:highlight w:val="none"/>
              </w:rPr>
            </w:pP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BF2343C">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报价</w:t>
            </w:r>
          </w:p>
        </w:tc>
        <w:tc>
          <w:tcPr>
            <w:tcW w:w="4962" w:type="dxa"/>
            <w:tcBorders>
              <w:top w:val="single" w:color="auto" w:sz="4" w:space="0"/>
              <w:left w:val="single" w:color="auto" w:sz="4" w:space="0"/>
              <w:bottom w:val="single" w:color="auto" w:sz="4" w:space="0"/>
              <w:right w:val="single" w:color="auto" w:sz="4" w:space="0"/>
            </w:tcBorders>
            <w:shd w:val="clear" w:color="auto" w:fill="auto"/>
            <w:vAlign w:val="center"/>
          </w:tcPr>
          <w:p w14:paraId="78D96819">
            <w:pPr>
              <w:keepNext w:val="0"/>
              <w:keepLines w:val="0"/>
              <w:pageBreakBefore w:val="0"/>
              <w:widowControl w:val="0"/>
              <w:kinsoku/>
              <w:wordWrap/>
              <w:overflowPunct/>
              <w:topLinePunct w:val="0"/>
              <w:autoSpaceDE/>
              <w:autoSpaceDN/>
              <w:bidi w:val="0"/>
              <w:adjustRightInd/>
              <w:snapToGrid/>
              <w:spacing w:beforeLines="50"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只能有一个有效报价，且符合第二章“供应商须知”第3.2.2项、第3.2.3项规定</w:t>
            </w:r>
          </w:p>
        </w:tc>
      </w:tr>
      <w:tr w14:paraId="5F8D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6" w:type="dxa"/>
            <w:vMerge w:val="continue"/>
            <w:shd w:val="clear" w:color="auto" w:fill="auto"/>
            <w:vAlign w:val="center"/>
          </w:tcPr>
          <w:p w14:paraId="526F3C6A">
            <w:pPr>
              <w:spacing w:beforeLines="50" w:line="360" w:lineRule="auto"/>
              <w:rPr>
                <w:rFonts w:hint="eastAsia" w:ascii="宋体" w:hAnsi="宋体" w:eastAsia="宋体" w:cs="宋体"/>
                <w:color w:val="auto"/>
                <w:highlight w:val="none"/>
              </w:rPr>
            </w:pPr>
          </w:p>
        </w:tc>
        <w:tc>
          <w:tcPr>
            <w:tcW w:w="1508" w:type="dxa"/>
            <w:gridSpan w:val="2"/>
            <w:vMerge w:val="continue"/>
            <w:tcBorders>
              <w:right w:val="single" w:color="auto" w:sz="4" w:space="0"/>
            </w:tcBorders>
            <w:shd w:val="clear" w:color="auto" w:fill="auto"/>
            <w:vAlign w:val="center"/>
          </w:tcPr>
          <w:p w14:paraId="518EB216">
            <w:pPr>
              <w:spacing w:beforeLines="50" w:line="360" w:lineRule="auto"/>
              <w:rPr>
                <w:rFonts w:hint="eastAsia" w:ascii="宋体" w:hAnsi="宋体" w:eastAsia="宋体" w:cs="宋体"/>
                <w:color w:val="auto"/>
                <w:highlight w:val="none"/>
              </w:rPr>
            </w:pPr>
          </w:p>
        </w:tc>
        <w:tc>
          <w:tcPr>
            <w:tcW w:w="743" w:type="dxa"/>
            <w:vMerge w:val="restart"/>
            <w:tcBorders>
              <w:top w:val="single" w:color="auto" w:sz="4" w:space="0"/>
              <w:left w:val="single" w:color="auto" w:sz="4" w:space="0"/>
              <w:right w:val="single" w:color="auto" w:sz="4" w:space="0"/>
            </w:tcBorders>
            <w:shd w:val="clear" w:color="auto" w:fill="auto"/>
            <w:vAlign w:val="center"/>
          </w:tcPr>
          <w:p w14:paraId="22B0FDD2">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商务资信</w:t>
            </w:r>
          </w:p>
        </w:tc>
        <w:tc>
          <w:tcPr>
            <w:tcW w:w="16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51A815">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供应商名称</w:t>
            </w:r>
          </w:p>
        </w:tc>
        <w:tc>
          <w:tcPr>
            <w:tcW w:w="4962" w:type="dxa"/>
            <w:tcBorders>
              <w:top w:val="single" w:color="auto" w:sz="4" w:space="0"/>
              <w:left w:val="single" w:color="auto" w:sz="4" w:space="0"/>
              <w:bottom w:val="single" w:color="auto" w:sz="4" w:space="0"/>
              <w:right w:val="single" w:color="auto" w:sz="4" w:space="0"/>
            </w:tcBorders>
            <w:shd w:val="clear" w:color="auto" w:fill="auto"/>
            <w:vAlign w:val="center"/>
          </w:tcPr>
          <w:p w14:paraId="312993AF">
            <w:pPr>
              <w:keepNext w:val="0"/>
              <w:keepLines w:val="0"/>
              <w:pageBreakBefore w:val="0"/>
              <w:widowControl w:val="0"/>
              <w:kinsoku/>
              <w:wordWrap/>
              <w:overflowPunct/>
              <w:topLinePunct w:val="0"/>
              <w:autoSpaceDE/>
              <w:autoSpaceDN/>
              <w:bidi w:val="0"/>
              <w:adjustRightInd/>
              <w:snapToGrid/>
              <w:spacing w:beforeLines="50"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与供应商的法人或者其他组织营业执照等证明文件、资质证书、安全生产许可证书一致</w:t>
            </w:r>
          </w:p>
        </w:tc>
      </w:tr>
      <w:tr w14:paraId="6640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shd w:val="clear" w:color="auto" w:fill="auto"/>
            <w:vAlign w:val="center"/>
          </w:tcPr>
          <w:p w14:paraId="6763645F">
            <w:pPr>
              <w:spacing w:beforeLines="50" w:line="360" w:lineRule="auto"/>
              <w:rPr>
                <w:rFonts w:hint="eastAsia" w:ascii="宋体" w:hAnsi="宋体" w:eastAsia="宋体" w:cs="宋体"/>
                <w:color w:val="auto"/>
                <w:highlight w:val="none"/>
              </w:rPr>
            </w:pPr>
          </w:p>
        </w:tc>
        <w:tc>
          <w:tcPr>
            <w:tcW w:w="1508" w:type="dxa"/>
            <w:gridSpan w:val="2"/>
            <w:vMerge w:val="continue"/>
            <w:tcBorders>
              <w:right w:val="single" w:color="auto" w:sz="4" w:space="0"/>
            </w:tcBorders>
            <w:shd w:val="clear" w:color="auto" w:fill="auto"/>
            <w:vAlign w:val="center"/>
          </w:tcPr>
          <w:p w14:paraId="2F539063">
            <w:pPr>
              <w:spacing w:beforeLines="50" w:line="360" w:lineRule="auto"/>
              <w:rPr>
                <w:rFonts w:hint="eastAsia" w:ascii="宋体" w:hAnsi="宋体" w:eastAsia="宋体" w:cs="宋体"/>
                <w:color w:val="auto"/>
                <w:highlight w:val="none"/>
              </w:rPr>
            </w:pPr>
          </w:p>
        </w:tc>
        <w:tc>
          <w:tcPr>
            <w:tcW w:w="743" w:type="dxa"/>
            <w:vMerge w:val="continue"/>
            <w:tcBorders>
              <w:top w:val="single" w:color="auto" w:sz="4" w:space="0"/>
              <w:left w:val="single" w:color="auto" w:sz="4" w:space="0"/>
              <w:right w:val="single" w:color="auto" w:sz="4" w:space="0"/>
            </w:tcBorders>
            <w:shd w:val="clear" w:color="auto" w:fill="auto"/>
            <w:vAlign w:val="center"/>
          </w:tcPr>
          <w:p w14:paraId="157D0C4F">
            <w:pPr>
              <w:spacing w:beforeLines="50" w:line="360" w:lineRule="auto"/>
              <w:jc w:val="center"/>
              <w:rPr>
                <w:rFonts w:hint="eastAsia" w:ascii="宋体" w:hAnsi="宋体" w:eastAsia="宋体" w:cs="宋体"/>
                <w:color w:val="auto"/>
                <w:highlight w:val="none"/>
              </w:rPr>
            </w:pPr>
          </w:p>
        </w:tc>
        <w:tc>
          <w:tcPr>
            <w:tcW w:w="16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A151D6">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签字盖章</w:t>
            </w:r>
          </w:p>
        </w:tc>
        <w:tc>
          <w:tcPr>
            <w:tcW w:w="4962" w:type="dxa"/>
            <w:tcBorders>
              <w:top w:val="single" w:color="auto" w:sz="4" w:space="0"/>
              <w:left w:val="single" w:color="auto" w:sz="4" w:space="0"/>
              <w:bottom w:val="single" w:color="auto" w:sz="4" w:space="0"/>
              <w:right w:val="single" w:color="auto" w:sz="4" w:space="0"/>
            </w:tcBorders>
            <w:shd w:val="clear" w:color="auto" w:fill="auto"/>
            <w:vAlign w:val="center"/>
          </w:tcPr>
          <w:p w14:paraId="18A56C3B">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符合第二章“供应商须知”第3.5.3项规定</w:t>
            </w:r>
          </w:p>
        </w:tc>
      </w:tr>
      <w:tr w14:paraId="2495F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shd w:val="clear" w:color="auto" w:fill="auto"/>
            <w:vAlign w:val="center"/>
          </w:tcPr>
          <w:p w14:paraId="361E6641">
            <w:pPr>
              <w:spacing w:beforeLines="50" w:line="360" w:lineRule="auto"/>
              <w:rPr>
                <w:rFonts w:hint="eastAsia" w:ascii="宋体" w:hAnsi="宋体" w:eastAsia="宋体" w:cs="宋体"/>
                <w:color w:val="auto"/>
                <w:highlight w:val="none"/>
              </w:rPr>
            </w:pPr>
          </w:p>
        </w:tc>
        <w:tc>
          <w:tcPr>
            <w:tcW w:w="1508" w:type="dxa"/>
            <w:gridSpan w:val="2"/>
            <w:vMerge w:val="continue"/>
            <w:tcBorders>
              <w:right w:val="single" w:color="auto" w:sz="4" w:space="0"/>
            </w:tcBorders>
            <w:shd w:val="clear" w:color="auto" w:fill="auto"/>
            <w:vAlign w:val="center"/>
          </w:tcPr>
          <w:p w14:paraId="05C31989">
            <w:pPr>
              <w:spacing w:beforeLines="50" w:line="360" w:lineRule="auto"/>
              <w:rPr>
                <w:rFonts w:hint="eastAsia" w:ascii="宋体" w:hAnsi="宋体" w:eastAsia="宋体" w:cs="宋体"/>
                <w:color w:val="auto"/>
                <w:highlight w:val="none"/>
              </w:rPr>
            </w:pPr>
          </w:p>
        </w:tc>
        <w:tc>
          <w:tcPr>
            <w:tcW w:w="743" w:type="dxa"/>
            <w:vMerge w:val="continue"/>
            <w:tcBorders>
              <w:top w:val="single" w:color="auto" w:sz="4" w:space="0"/>
              <w:left w:val="single" w:color="auto" w:sz="4" w:space="0"/>
              <w:right w:val="single" w:color="auto" w:sz="4" w:space="0"/>
            </w:tcBorders>
            <w:shd w:val="clear" w:color="auto" w:fill="auto"/>
            <w:vAlign w:val="center"/>
          </w:tcPr>
          <w:p w14:paraId="04167A6A">
            <w:pPr>
              <w:spacing w:beforeLines="50" w:line="360" w:lineRule="auto"/>
              <w:jc w:val="center"/>
              <w:rPr>
                <w:rFonts w:hint="eastAsia" w:ascii="宋体" w:hAnsi="宋体" w:eastAsia="宋体" w:cs="宋体"/>
                <w:color w:val="auto"/>
                <w:highlight w:val="none"/>
              </w:rPr>
            </w:pPr>
          </w:p>
        </w:tc>
        <w:tc>
          <w:tcPr>
            <w:tcW w:w="16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21EE6E">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响应文件格式</w:t>
            </w:r>
          </w:p>
        </w:tc>
        <w:tc>
          <w:tcPr>
            <w:tcW w:w="4962" w:type="dxa"/>
            <w:tcBorders>
              <w:top w:val="single" w:color="auto" w:sz="4" w:space="0"/>
              <w:left w:val="single" w:color="auto" w:sz="4" w:space="0"/>
              <w:bottom w:val="single" w:color="auto" w:sz="4" w:space="0"/>
              <w:right w:val="single" w:color="auto" w:sz="4" w:space="0"/>
            </w:tcBorders>
            <w:shd w:val="clear" w:color="auto" w:fill="auto"/>
            <w:vAlign w:val="center"/>
          </w:tcPr>
          <w:p w14:paraId="10E895A6">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符合第六章“响应文件格式”的要求</w:t>
            </w:r>
          </w:p>
        </w:tc>
      </w:tr>
      <w:tr w14:paraId="7B16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shd w:val="clear" w:color="auto" w:fill="auto"/>
            <w:vAlign w:val="center"/>
          </w:tcPr>
          <w:p w14:paraId="2664B037">
            <w:pPr>
              <w:spacing w:beforeLines="50" w:line="360" w:lineRule="auto"/>
              <w:rPr>
                <w:rFonts w:hint="eastAsia" w:ascii="宋体" w:hAnsi="宋体" w:eastAsia="宋体" w:cs="宋体"/>
                <w:color w:val="auto"/>
                <w:highlight w:val="none"/>
              </w:rPr>
            </w:pPr>
          </w:p>
        </w:tc>
        <w:tc>
          <w:tcPr>
            <w:tcW w:w="1508" w:type="dxa"/>
            <w:gridSpan w:val="2"/>
            <w:vMerge w:val="continue"/>
            <w:tcBorders>
              <w:right w:val="single" w:color="auto" w:sz="4" w:space="0"/>
            </w:tcBorders>
            <w:shd w:val="clear" w:color="auto" w:fill="auto"/>
            <w:vAlign w:val="center"/>
          </w:tcPr>
          <w:p w14:paraId="7C51C946">
            <w:pPr>
              <w:spacing w:beforeLines="50" w:line="360" w:lineRule="auto"/>
              <w:rPr>
                <w:rFonts w:hint="eastAsia" w:ascii="宋体" w:hAnsi="宋体" w:eastAsia="宋体" w:cs="宋体"/>
                <w:color w:val="auto"/>
                <w:highlight w:val="none"/>
              </w:rPr>
            </w:pPr>
          </w:p>
        </w:tc>
        <w:tc>
          <w:tcPr>
            <w:tcW w:w="743" w:type="dxa"/>
            <w:vMerge w:val="continue"/>
            <w:tcBorders>
              <w:top w:val="single" w:color="auto" w:sz="4" w:space="0"/>
              <w:left w:val="single" w:color="auto" w:sz="4" w:space="0"/>
              <w:right w:val="single" w:color="auto" w:sz="4" w:space="0"/>
            </w:tcBorders>
            <w:shd w:val="clear" w:color="auto" w:fill="auto"/>
            <w:vAlign w:val="center"/>
          </w:tcPr>
          <w:p w14:paraId="2663599D">
            <w:pPr>
              <w:spacing w:beforeLines="50" w:line="360" w:lineRule="auto"/>
              <w:jc w:val="center"/>
              <w:rPr>
                <w:rFonts w:hint="eastAsia" w:ascii="宋体" w:hAnsi="宋体" w:eastAsia="宋体" w:cs="宋体"/>
                <w:color w:val="auto"/>
                <w:highlight w:val="none"/>
              </w:rPr>
            </w:pPr>
          </w:p>
        </w:tc>
        <w:tc>
          <w:tcPr>
            <w:tcW w:w="16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A1B5BB">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投标内容</w:t>
            </w:r>
          </w:p>
        </w:tc>
        <w:tc>
          <w:tcPr>
            <w:tcW w:w="4962" w:type="dxa"/>
            <w:tcBorders>
              <w:top w:val="single" w:color="auto" w:sz="4" w:space="0"/>
              <w:left w:val="single" w:color="auto" w:sz="4" w:space="0"/>
              <w:bottom w:val="single" w:color="auto" w:sz="4" w:space="0"/>
              <w:right w:val="single" w:color="auto" w:sz="4" w:space="0"/>
            </w:tcBorders>
            <w:shd w:val="clear" w:color="auto" w:fill="auto"/>
            <w:vAlign w:val="center"/>
          </w:tcPr>
          <w:p w14:paraId="31B32247">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符合第二章“供应商须知”第1.1.5项规定</w:t>
            </w:r>
          </w:p>
        </w:tc>
      </w:tr>
      <w:tr w14:paraId="2C3B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shd w:val="clear" w:color="auto" w:fill="auto"/>
            <w:vAlign w:val="center"/>
          </w:tcPr>
          <w:p w14:paraId="7491C52D">
            <w:pPr>
              <w:spacing w:beforeLines="50" w:line="360" w:lineRule="auto"/>
              <w:rPr>
                <w:rFonts w:hint="eastAsia" w:ascii="宋体" w:hAnsi="宋体" w:eastAsia="宋体" w:cs="宋体"/>
                <w:color w:val="auto"/>
                <w:highlight w:val="none"/>
              </w:rPr>
            </w:pPr>
          </w:p>
        </w:tc>
        <w:tc>
          <w:tcPr>
            <w:tcW w:w="1508" w:type="dxa"/>
            <w:gridSpan w:val="2"/>
            <w:vMerge w:val="continue"/>
            <w:tcBorders>
              <w:right w:val="single" w:color="auto" w:sz="4" w:space="0"/>
            </w:tcBorders>
            <w:shd w:val="clear" w:color="auto" w:fill="auto"/>
            <w:vAlign w:val="center"/>
          </w:tcPr>
          <w:p w14:paraId="7A1331FE">
            <w:pPr>
              <w:spacing w:beforeLines="50" w:line="360" w:lineRule="auto"/>
              <w:rPr>
                <w:rFonts w:hint="eastAsia" w:ascii="宋体" w:hAnsi="宋体" w:eastAsia="宋体" w:cs="宋体"/>
                <w:color w:val="auto"/>
                <w:highlight w:val="none"/>
              </w:rPr>
            </w:pPr>
          </w:p>
        </w:tc>
        <w:tc>
          <w:tcPr>
            <w:tcW w:w="743" w:type="dxa"/>
            <w:vMerge w:val="continue"/>
            <w:tcBorders>
              <w:top w:val="single" w:color="auto" w:sz="4" w:space="0"/>
              <w:left w:val="single" w:color="auto" w:sz="4" w:space="0"/>
              <w:right w:val="single" w:color="auto" w:sz="4" w:space="0"/>
            </w:tcBorders>
            <w:shd w:val="clear" w:color="auto" w:fill="auto"/>
            <w:vAlign w:val="center"/>
          </w:tcPr>
          <w:p w14:paraId="497EBA3E">
            <w:pPr>
              <w:spacing w:beforeLines="50" w:line="360" w:lineRule="auto"/>
              <w:jc w:val="center"/>
              <w:rPr>
                <w:rFonts w:hint="eastAsia" w:ascii="宋体" w:hAnsi="宋体" w:eastAsia="宋体" w:cs="宋体"/>
                <w:color w:val="auto"/>
                <w:highlight w:val="none"/>
              </w:rPr>
            </w:pPr>
          </w:p>
        </w:tc>
        <w:tc>
          <w:tcPr>
            <w:tcW w:w="16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7A4194">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工期</w:t>
            </w:r>
          </w:p>
        </w:tc>
        <w:tc>
          <w:tcPr>
            <w:tcW w:w="4962" w:type="dxa"/>
            <w:tcBorders>
              <w:top w:val="single" w:color="auto" w:sz="4" w:space="0"/>
              <w:left w:val="single" w:color="auto" w:sz="4" w:space="0"/>
              <w:bottom w:val="single" w:color="auto" w:sz="4" w:space="0"/>
              <w:right w:val="single" w:color="auto" w:sz="4" w:space="0"/>
            </w:tcBorders>
            <w:shd w:val="clear" w:color="auto" w:fill="auto"/>
            <w:vAlign w:val="center"/>
          </w:tcPr>
          <w:p w14:paraId="1CA49173">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符合第二章“供应商须知”第1.1.5项规定</w:t>
            </w:r>
          </w:p>
        </w:tc>
      </w:tr>
      <w:tr w14:paraId="6D39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shd w:val="clear" w:color="auto" w:fill="auto"/>
            <w:vAlign w:val="center"/>
          </w:tcPr>
          <w:p w14:paraId="6917D8EE">
            <w:pPr>
              <w:spacing w:beforeLines="50" w:line="360" w:lineRule="auto"/>
              <w:rPr>
                <w:rFonts w:hint="eastAsia" w:ascii="宋体" w:hAnsi="宋体" w:eastAsia="宋体" w:cs="宋体"/>
                <w:color w:val="auto"/>
                <w:highlight w:val="none"/>
              </w:rPr>
            </w:pPr>
          </w:p>
        </w:tc>
        <w:tc>
          <w:tcPr>
            <w:tcW w:w="1508" w:type="dxa"/>
            <w:gridSpan w:val="2"/>
            <w:vMerge w:val="continue"/>
            <w:tcBorders>
              <w:right w:val="single" w:color="auto" w:sz="4" w:space="0"/>
            </w:tcBorders>
            <w:shd w:val="clear" w:color="auto" w:fill="auto"/>
            <w:vAlign w:val="center"/>
          </w:tcPr>
          <w:p w14:paraId="632ECD47">
            <w:pPr>
              <w:spacing w:beforeLines="50" w:line="360" w:lineRule="auto"/>
              <w:rPr>
                <w:rFonts w:hint="eastAsia" w:ascii="宋体" w:hAnsi="宋体" w:eastAsia="宋体" w:cs="宋体"/>
                <w:color w:val="auto"/>
                <w:highlight w:val="none"/>
              </w:rPr>
            </w:pPr>
          </w:p>
        </w:tc>
        <w:tc>
          <w:tcPr>
            <w:tcW w:w="743" w:type="dxa"/>
            <w:vMerge w:val="continue"/>
            <w:tcBorders>
              <w:top w:val="single" w:color="auto" w:sz="4" w:space="0"/>
              <w:left w:val="single" w:color="auto" w:sz="4" w:space="0"/>
              <w:right w:val="single" w:color="auto" w:sz="4" w:space="0"/>
            </w:tcBorders>
            <w:shd w:val="clear" w:color="auto" w:fill="auto"/>
            <w:vAlign w:val="center"/>
          </w:tcPr>
          <w:p w14:paraId="149DC5B4">
            <w:pPr>
              <w:spacing w:beforeLines="50" w:line="360" w:lineRule="auto"/>
              <w:jc w:val="center"/>
              <w:rPr>
                <w:rFonts w:hint="eastAsia" w:ascii="宋体" w:hAnsi="宋体" w:eastAsia="宋体" w:cs="宋体"/>
                <w:color w:val="auto"/>
                <w:highlight w:val="none"/>
              </w:rPr>
            </w:pPr>
          </w:p>
        </w:tc>
        <w:tc>
          <w:tcPr>
            <w:tcW w:w="16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7C472E">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工程质量</w:t>
            </w:r>
          </w:p>
        </w:tc>
        <w:tc>
          <w:tcPr>
            <w:tcW w:w="4962" w:type="dxa"/>
            <w:tcBorders>
              <w:top w:val="single" w:color="auto" w:sz="4" w:space="0"/>
              <w:left w:val="single" w:color="auto" w:sz="4" w:space="0"/>
              <w:bottom w:val="single" w:color="auto" w:sz="4" w:space="0"/>
              <w:right w:val="single" w:color="auto" w:sz="4" w:space="0"/>
            </w:tcBorders>
            <w:shd w:val="clear" w:color="auto" w:fill="auto"/>
            <w:vAlign w:val="center"/>
          </w:tcPr>
          <w:p w14:paraId="3875EF6C">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符合第二章“供应商须知”第1.1.5项规定</w:t>
            </w:r>
          </w:p>
        </w:tc>
      </w:tr>
      <w:tr w14:paraId="2FB6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shd w:val="clear" w:color="auto" w:fill="auto"/>
            <w:vAlign w:val="center"/>
          </w:tcPr>
          <w:p w14:paraId="60CE5F91">
            <w:pPr>
              <w:spacing w:beforeLines="50" w:line="360" w:lineRule="auto"/>
              <w:rPr>
                <w:rFonts w:hint="eastAsia" w:ascii="宋体" w:hAnsi="宋体" w:eastAsia="宋体" w:cs="宋体"/>
                <w:color w:val="auto"/>
                <w:highlight w:val="none"/>
              </w:rPr>
            </w:pPr>
          </w:p>
        </w:tc>
        <w:tc>
          <w:tcPr>
            <w:tcW w:w="1508" w:type="dxa"/>
            <w:gridSpan w:val="2"/>
            <w:vMerge w:val="continue"/>
            <w:tcBorders>
              <w:right w:val="single" w:color="auto" w:sz="4" w:space="0"/>
            </w:tcBorders>
            <w:shd w:val="clear" w:color="auto" w:fill="auto"/>
            <w:vAlign w:val="center"/>
          </w:tcPr>
          <w:p w14:paraId="31B377B8">
            <w:pPr>
              <w:spacing w:beforeLines="50" w:line="360" w:lineRule="auto"/>
              <w:rPr>
                <w:rFonts w:hint="eastAsia" w:ascii="宋体" w:hAnsi="宋体" w:eastAsia="宋体" w:cs="宋体"/>
                <w:color w:val="auto"/>
                <w:highlight w:val="none"/>
              </w:rPr>
            </w:pPr>
          </w:p>
        </w:tc>
        <w:tc>
          <w:tcPr>
            <w:tcW w:w="743" w:type="dxa"/>
            <w:vMerge w:val="continue"/>
            <w:tcBorders>
              <w:top w:val="single" w:color="auto" w:sz="4" w:space="0"/>
              <w:left w:val="single" w:color="auto" w:sz="4" w:space="0"/>
              <w:right w:val="single" w:color="auto" w:sz="4" w:space="0"/>
            </w:tcBorders>
            <w:shd w:val="clear" w:color="auto" w:fill="auto"/>
            <w:vAlign w:val="center"/>
          </w:tcPr>
          <w:p w14:paraId="6EB2BE7C">
            <w:pPr>
              <w:spacing w:beforeLines="50" w:line="360" w:lineRule="auto"/>
              <w:jc w:val="center"/>
              <w:rPr>
                <w:rFonts w:hint="eastAsia" w:ascii="宋体" w:hAnsi="宋体" w:eastAsia="宋体" w:cs="宋体"/>
                <w:color w:val="auto"/>
                <w:highlight w:val="none"/>
              </w:rPr>
            </w:pPr>
          </w:p>
        </w:tc>
        <w:tc>
          <w:tcPr>
            <w:tcW w:w="16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76724B">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磋商有效期</w:t>
            </w:r>
          </w:p>
        </w:tc>
        <w:tc>
          <w:tcPr>
            <w:tcW w:w="4962" w:type="dxa"/>
            <w:tcBorders>
              <w:top w:val="single" w:color="auto" w:sz="4" w:space="0"/>
              <w:left w:val="single" w:color="auto" w:sz="4" w:space="0"/>
              <w:bottom w:val="single" w:color="auto" w:sz="4" w:space="0"/>
              <w:right w:val="single" w:color="auto" w:sz="4" w:space="0"/>
            </w:tcBorders>
            <w:shd w:val="clear" w:color="auto" w:fill="auto"/>
            <w:vAlign w:val="center"/>
          </w:tcPr>
          <w:p w14:paraId="0F4C6FF7">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符合第二章“供应商须知”第3.3.1项规定</w:t>
            </w:r>
          </w:p>
        </w:tc>
      </w:tr>
      <w:tr w14:paraId="04BD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shd w:val="clear" w:color="auto" w:fill="auto"/>
            <w:vAlign w:val="center"/>
          </w:tcPr>
          <w:p w14:paraId="7325062A">
            <w:pPr>
              <w:spacing w:beforeLines="50" w:line="360" w:lineRule="auto"/>
              <w:rPr>
                <w:rFonts w:hint="eastAsia" w:ascii="宋体" w:hAnsi="宋体" w:eastAsia="宋体" w:cs="宋体"/>
                <w:color w:val="auto"/>
                <w:highlight w:val="none"/>
              </w:rPr>
            </w:pPr>
          </w:p>
        </w:tc>
        <w:tc>
          <w:tcPr>
            <w:tcW w:w="1508" w:type="dxa"/>
            <w:gridSpan w:val="2"/>
            <w:vMerge w:val="continue"/>
            <w:tcBorders>
              <w:right w:val="single" w:color="auto" w:sz="4" w:space="0"/>
            </w:tcBorders>
            <w:shd w:val="clear" w:color="auto" w:fill="auto"/>
            <w:vAlign w:val="center"/>
          </w:tcPr>
          <w:p w14:paraId="6BDA9BDC">
            <w:pPr>
              <w:spacing w:beforeLines="50" w:line="360" w:lineRule="auto"/>
              <w:rPr>
                <w:rFonts w:hint="eastAsia" w:ascii="宋体" w:hAnsi="宋体" w:eastAsia="宋体" w:cs="宋体"/>
                <w:color w:val="auto"/>
                <w:highlight w:val="none"/>
              </w:rPr>
            </w:pPr>
          </w:p>
        </w:tc>
        <w:tc>
          <w:tcPr>
            <w:tcW w:w="743" w:type="dxa"/>
            <w:vMerge w:val="continue"/>
            <w:tcBorders>
              <w:top w:val="single" w:color="auto" w:sz="4" w:space="0"/>
              <w:left w:val="single" w:color="auto" w:sz="4" w:space="0"/>
              <w:right w:val="single" w:color="auto" w:sz="4" w:space="0"/>
            </w:tcBorders>
            <w:shd w:val="clear" w:color="auto" w:fill="auto"/>
            <w:vAlign w:val="center"/>
          </w:tcPr>
          <w:p w14:paraId="70B9BDBB">
            <w:pPr>
              <w:spacing w:beforeLines="50" w:line="360" w:lineRule="auto"/>
              <w:jc w:val="center"/>
              <w:rPr>
                <w:rFonts w:hint="eastAsia" w:ascii="宋体" w:hAnsi="宋体" w:eastAsia="宋体" w:cs="宋体"/>
                <w:color w:val="auto"/>
                <w:highlight w:val="none"/>
              </w:rPr>
            </w:pPr>
          </w:p>
        </w:tc>
        <w:tc>
          <w:tcPr>
            <w:tcW w:w="16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7E69D8">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权利义务</w:t>
            </w:r>
          </w:p>
        </w:tc>
        <w:tc>
          <w:tcPr>
            <w:tcW w:w="4962" w:type="dxa"/>
            <w:tcBorders>
              <w:top w:val="single" w:color="auto" w:sz="4" w:space="0"/>
              <w:left w:val="single" w:color="auto" w:sz="4" w:space="0"/>
              <w:bottom w:val="single" w:color="auto" w:sz="4" w:space="0"/>
              <w:right w:val="single" w:color="auto" w:sz="4" w:space="0"/>
            </w:tcBorders>
            <w:shd w:val="clear" w:color="auto" w:fill="auto"/>
            <w:vAlign w:val="center"/>
          </w:tcPr>
          <w:p w14:paraId="0B9755C0">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竞标函附录中的相关承诺符合或优于第四章“合同条款及格式”的相关规定</w:t>
            </w:r>
          </w:p>
        </w:tc>
      </w:tr>
      <w:tr w14:paraId="0CC6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shd w:val="clear" w:color="auto" w:fill="auto"/>
            <w:vAlign w:val="center"/>
          </w:tcPr>
          <w:p w14:paraId="62E4EAD7">
            <w:pPr>
              <w:spacing w:beforeLines="50" w:line="360" w:lineRule="auto"/>
              <w:rPr>
                <w:rFonts w:hint="eastAsia" w:ascii="宋体" w:hAnsi="宋体" w:eastAsia="宋体" w:cs="宋体"/>
                <w:color w:val="auto"/>
                <w:highlight w:val="none"/>
              </w:rPr>
            </w:pPr>
          </w:p>
        </w:tc>
        <w:tc>
          <w:tcPr>
            <w:tcW w:w="1508" w:type="dxa"/>
            <w:gridSpan w:val="2"/>
            <w:vMerge w:val="continue"/>
            <w:tcBorders>
              <w:right w:val="single" w:color="auto" w:sz="4" w:space="0"/>
            </w:tcBorders>
            <w:shd w:val="clear" w:color="auto" w:fill="auto"/>
            <w:vAlign w:val="center"/>
          </w:tcPr>
          <w:p w14:paraId="124FECEB">
            <w:pPr>
              <w:spacing w:beforeLines="50" w:line="360" w:lineRule="auto"/>
              <w:rPr>
                <w:rFonts w:hint="eastAsia" w:ascii="宋体" w:hAnsi="宋体" w:eastAsia="宋体" w:cs="宋体"/>
                <w:color w:val="auto"/>
                <w:highlight w:val="none"/>
              </w:rPr>
            </w:pPr>
          </w:p>
        </w:tc>
        <w:tc>
          <w:tcPr>
            <w:tcW w:w="743" w:type="dxa"/>
            <w:vMerge w:val="continue"/>
            <w:tcBorders>
              <w:left w:val="single" w:color="auto" w:sz="4" w:space="0"/>
              <w:bottom w:val="single" w:color="auto" w:sz="4" w:space="0"/>
              <w:right w:val="single" w:color="auto" w:sz="4" w:space="0"/>
            </w:tcBorders>
            <w:shd w:val="clear" w:color="auto" w:fill="auto"/>
            <w:vAlign w:val="center"/>
          </w:tcPr>
          <w:p w14:paraId="4330CF85">
            <w:pPr>
              <w:spacing w:beforeLines="50" w:line="360" w:lineRule="auto"/>
              <w:jc w:val="center"/>
              <w:rPr>
                <w:rFonts w:hint="eastAsia" w:ascii="宋体" w:hAnsi="宋体" w:eastAsia="宋体" w:cs="宋体"/>
                <w:color w:val="auto"/>
                <w:highlight w:val="none"/>
              </w:rPr>
            </w:pPr>
          </w:p>
        </w:tc>
        <w:tc>
          <w:tcPr>
            <w:tcW w:w="16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D843406">
            <w:pPr>
              <w:keepNext w:val="0"/>
              <w:keepLines w:val="0"/>
              <w:pageBreakBefore w:val="0"/>
              <w:widowControl w:val="0"/>
              <w:kinsoku/>
              <w:wordWrap/>
              <w:overflowPunct/>
              <w:topLinePunct w:val="0"/>
              <w:autoSpaceDE/>
              <w:autoSpaceDN/>
              <w:bidi w:val="0"/>
              <w:adjustRightInd/>
              <w:snapToGrid/>
              <w:spacing w:beforeLines="50"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已标价工程量清单</w:t>
            </w:r>
          </w:p>
        </w:tc>
        <w:tc>
          <w:tcPr>
            <w:tcW w:w="4962" w:type="dxa"/>
            <w:tcBorders>
              <w:top w:val="single" w:color="auto" w:sz="4" w:space="0"/>
              <w:left w:val="single" w:color="auto" w:sz="4" w:space="0"/>
              <w:bottom w:val="single" w:color="auto" w:sz="4" w:space="0"/>
              <w:right w:val="single" w:color="auto" w:sz="4" w:space="0"/>
            </w:tcBorders>
            <w:shd w:val="clear" w:color="auto" w:fill="auto"/>
            <w:vAlign w:val="center"/>
          </w:tcPr>
          <w:p w14:paraId="0761A1BD">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符合第七章“工程量清单”的编制要求</w:t>
            </w:r>
          </w:p>
        </w:tc>
      </w:tr>
      <w:tr w14:paraId="4803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shd w:val="clear" w:color="auto" w:fill="auto"/>
            <w:vAlign w:val="center"/>
          </w:tcPr>
          <w:p w14:paraId="609173FC">
            <w:pPr>
              <w:spacing w:beforeLines="50" w:line="360" w:lineRule="auto"/>
              <w:rPr>
                <w:rFonts w:hint="eastAsia" w:ascii="宋体" w:hAnsi="宋体" w:eastAsia="宋体" w:cs="宋体"/>
                <w:color w:val="auto"/>
                <w:highlight w:val="none"/>
              </w:rPr>
            </w:pPr>
          </w:p>
        </w:tc>
        <w:tc>
          <w:tcPr>
            <w:tcW w:w="1508" w:type="dxa"/>
            <w:gridSpan w:val="2"/>
            <w:vMerge w:val="continue"/>
            <w:shd w:val="clear" w:color="auto" w:fill="auto"/>
            <w:vAlign w:val="center"/>
          </w:tcPr>
          <w:p w14:paraId="1A8E7790">
            <w:pPr>
              <w:spacing w:beforeLines="50" w:line="360" w:lineRule="auto"/>
              <w:rPr>
                <w:rFonts w:hint="eastAsia" w:ascii="宋体" w:hAnsi="宋体" w:eastAsia="宋体" w:cs="宋体"/>
                <w:color w:val="auto"/>
                <w:highlight w:val="none"/>
              </w:rPr>
            </w:pPr>
          </w:p>
        </w:tc>
        <w:tc>
          <w:tcPr>
            <w:tcW w:w="743" w:type="dxa"/>
            <w:tcBorders>
              <w:top w:val="single" w:color="auto" w:sz="4" w:space="0"/>
            </w:tcBorders>
            <w:shd w:val="clear" w:color="auto" w:fill="auto"/>
            <w:vAlign w:val="center"/>
          </w:tcPr>
          <w:p w14:paraId="7EBB252B">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技术</w:t>
            </w:r>
          </w:p>
        </w:tc>
        <w:tc>
          <w:tcPr>
            <w:tcW w:w="1615" w:type="dxa"/>
            <w:gridSpan w:val="3"/>
            <w:tcBorders>
              <w:top w:val="single" w:color="auto" w:sz="4" w:space="0"/>
            </w:tcBorders>
            <w:shd w:val="clear" w:color="auto" w:fill="auto"/>
            <w:vAlign w:val="center"/>
          </w:tcPr>
          <w:p w14:paraId="0B68F845">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技术标准和要求</w:t>
            </w:r>
          </w:p>
        </w:tc>
        <w:tc>
          <w:tcPr>
            <w:tcW w:w="4962" w:type="dxa"/>
            <w:tcBorders>
              <w:top w:val="single" w:color="auto" w:sz="4" w:space="0"/>
            </w:tcBorders>
            <w:shd w:val="clear" w:color="auto" w:fill="auto"/>
            <w:vAlign w:val="center"/>
          </w:tcPr>
          <w:p w14:paraId="47D30A6E">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符合第五章“技术标准和要求”规定</w:t>
            </w:r>
          </w:p>
        </w:tc>
      </w:tr>
      <w:tr w14:paraId="19E1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734" w:type="dxa"/>
            <w:gridSpan w:val="8"/>
            <w:shd w:val="clear" w:color="auto" w:fill="auto"/>
            <w:vAlign w:val="center"/>
          </w:tcPr>
          <w:p w14:paraId="3ACAB1A2">
            <w:pPr>
              <w:spacing w:beforeLines="50"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2.2综合评分</w:t>
            </w:r>
          </w:p>
        </w:tc>
      </w:tr>
      <w:tr w14:paraId="5FA4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906" w:type="dxa"/>
            <w:shd w:val="clear" w:color="auto" w:fill="auto"/>
            <w:vAlign w:val="center"/>
          </w:tcPr>
          <w:p w14:paraId="064D59F0">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2.2.1</w:t>
            </w:r>
          </w:p>
        </w:tc>
        <w:tc>
          <w:tcPr>
            <w:tcW w:w="1508" w:type="dxa"/>
            <w:gridSpan w:val="2"/>
            <w:shd w:val="clear" w:color="auto" w:fill="auto"/>
            <w:vAlign w:val="center"/>
          </w:tcPr>
          <w:p w14:paraId="2BD5D90F">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分值构成（总分100分）</w:t>
            </w:r>
          </w:p>
        </w:tc>
        <w:tc>
          <w:tcPr>
            <w:tcW w:w="7320" w:type="dxa"/>
            <w:gridSpan w:val="5"/>
            <w:shd w:val="clear" w:color="auto" w:fill="auto"/>
            <w:vAlign w:val="center"/>
          </w:tcPr>
          <w:p w14:paraId="080E4203">
            <w:pPr>
              <w:widowControl/>
              <w:spacing w:beforeLines="50"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报价分：</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w:t>
            </w:r>
          </w:p>
          <w:p w14:paraId="1FE64DFA">
            <w:pPr>
              <w:spacing w:beforeLines="50" w:line="240" w:lineRule="auto"/>
              <w:rPr>
                <w:rFonts w:hint="eastAsia" w:ascii="宋体" w:hAnsi="宋体" w:eastAsia="宋体" w:cs="宋体"/>
                <w:color w:val="auto"/>
                <w:highlight w:val="none"/>
              </w:rPr>
            </w:pPr>
            <w:r>
              <w:rPr>
                <w:rFonts w:hint="eastAsia" w:ascii="宋体" w:hAnsi="宋体" w:eastAsia="宋体" w:cs="宋体"/>
                <w:color w:val="auto"/>
                <w:highlight w:val="none"/>
              </w:rPr>
              <w:t>技术分：</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分</w:t>
            </w:r>
          </w:p>
          <w:p w14:paraId="5645CD8C">
            <w:pPr>
              <w:spacing w:beforeLines="50" w:line="24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项目管理配备：</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eastAsia="zh-CN"/>
              </w:rPr>
              <w:t>分</w:t>
            </w:r>
          </w:p>
        </w:tc>
      </w:tr>
      <w:tr w14:paraId="5CF4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shd w:val="clear" w:color="auto" w:fill="auto"/>
            <w:vAlign w:val="center"/>
          </w:tcPr>
          <w:p w14:paraId="23483E0F">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2.2.2</w:t>
            </w:r>
          </w:p>
        </w:tc>
        <w:tc>
          <w:tcPr>
            <w:tcW w:w="1508" w:type="dxa"/>
            <w:gridSpan w:val="2"/>
            <w:shd w:val="clear" w:color="auto" w:fill="auto"/>
            <w:vAlign w:val="center"/>
          </w:tcPr>
          <w:p w14:paraId="33839B60">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评标报价</w:t>
            </w:r>
          </w:p>
        </w:tc>
        <w:tc>
          <w:tcPr>
            <w:tcW w:w="7320" w:type="dxa"/>
            <w:gridSpan w:val="5"/>
            <w:shd w:val="clear" w:color="auto" w:fill="auto"/>
            <w:vAlign w:val="center"/>
          </w:tcPr>
          <w:p w14:paraId="0C99B25D">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响应《政府采购促进中小企业发展管理办法（财库〔2020〕46号）》、《财政部关于进一步加大政府采购支持中小企业力度的通知（财库〔2022〕19号）》文件指导精神：本项目为专门面向“</w:t>
            </w:r>
            <w:r>
              <w:rPr>
                <w:rFonts w:hint="eastAsia" w:ascii="宋体" w:hAnsi="宋体" w:eastAsia="宋体" w:cs="宋体"/>
                <w:b/>
                <w:bCs/>
                <w:color w:val="auto"/>
                <w:highlight w:val="none"/>
                <w:lang w:eastAsia="zh-CN"/>
              </w:rPr>
              <w:t>中小</w:t>
            </w:r>
            <w:r>
              <w:rPr>
                <w:rFonts w:hint="eastAsia" w:ascii="宋体" w:hAnsi="宋体" w:eastAsia="宋体" w:cs="宋体"/>
                <w:b/>
                <w:bCs/>
                <w:color w:val="auto"/>
                <w:highlight w:val="none"/>
              </w:rPr>
              <w:t>企业”的项目或者采购包，不再执行价格评审优惠的扶持政策。</w:t>
            </w:r>
          </w:p>
          <w:p w14:paraId="11370D0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评标价=最后磋商报价。</w:t>
            </w:r>
          </w:p>
        </w:tc>
      </w:tr>
      <w:tr w14:paraId="6DCE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trPr>
        <w:tc>
          <w:tcPr>
            <w:tcW w:w="906" w:type="dxa"/>
            <w:vMerge w:val="restart"/>
            <w:shd w:val="clear" w:color="auto" w:fill="auto"/>
            <w:vAlign w:val="center"/>
          </w:tcPr>
          <w:p w14:paraId="4C6A45CC">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2.2.3</w:t>
            </w:r>
          </w:p>
        </w:tc>
        <w:tc>
          <w:tcPr>
            <w:tcW w:w="456" w:type="dxa"/>
            <w:shd w:val="clear" w:color="auto" w:fill="auto"/>
            <w:vAlign w:val="center"/>
          </w:tcPr>
          <w:p w14:paraId="01484F06">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一</w:t>
            </w:r>
          </w:p>
        </w:tc>
        <w:tc>
          <w:tcPr>
            <w:tcW w:w="1052" w:type="dxa"/>
            <w:shd w:val="clear" w:color="auto" w:fill="auto"/>
            <w:vAlign w:val="center"/>
          </w:tcPr>
          <w:p w14:paraId="73706F15">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报价分（</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w:t>
            </w:r>
          </w:p>
        </w:tc>
        <w:tc>
          <w:tcPr>
            <w:tcW w:w="7320" w:type="dxa"/>
            <w:gridSpan w:val="5"/>
            <w:shd w:val="clear" w:color="auto" w:fill="auto"/>
            <w:vAlign w:val="center"/>
          </w:tcPr>
          <w:p w14:paraId="1CB2EF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1.评标基准价：以最低评标报价作为评标基准价。</w:t>
            </w:r>
          </w:p>
          <w:p w14:paraId="3D937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在评标过程中，磋商小组发现供应商的磋商报价明显低于其他供应商的磋商报价或者明显低于上限控制价的，有理由怀疑其磋商报价可能低于其成本的，应当要求该供应商做出书面说明并提供相关证明材料。如不提供或评委认定其资料不能详尽合理说明其成本的，则视为供应商低于成本价报价，其报价按无效处理。</w:t>
            </w:r>
          </w:p>
          <w:p w14:paraId="6861BD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3.报价分=（评标基准价/评标报价）×报价分满分分值</w:t>
            </w:r>
          </w:p>
        </w:tc>
      </w:tr>
      <w:tr w14:paraId="33FB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906" w:type="dxa"/>
            <w:vMerge w:val="continue"/>
            <w:shd w:val="clear" w:color="auto" w:fill="auto"/>
            <w:vAlign w:val="center"/>
          </w:tcPr>
          <w:p w14:paraId="652421CA">
            <w:pPr>
              <w:spacing w:beforeLines="50" w:line="360" w:lineRule="auto"/>
              <w:rPr>
                <w:rFonts w:hint="eastAsia" w:ascii="宋体" w:hAnsi="宋体" w:eastAsia="宋体" w:cs="宋体"/>
                <w:color w:val="auto"/>
                <w:highlight w:val="none"/>
              </w:rPr>
            </w:pPr>
          </w:p>
        </w:tc>
        <w:tc>
          <w:tcPr>
            <w:tcW w:w="456" w:type="dxa"/>
            <w:vMerge w:val="restart"/>
            <w:shd w:val="clear" w:color="auto" w:fill="auto"/>
            <w:vAlign w:val="center"/>
          </w:tcPr>
          <w:p w14:paraId="6175D154">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二</w:t>
            </w:r>
          </w:p>
        </w:tc>
        <w:tc>
          <w:tcPr>
            <w:tcW w:w="1052" w:type="dxa"/>
            <w:vMerge w:val="restart"/>
            <w:shd w:val="clear" w:color="auto" w:fill="auto"/>
            <w:vAlign w:val="center"/>
          </w:tcPr>
          <w:p w14:paraId="5B99CAA2">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技术分（</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0分）</w:t>
            </w:r>
          </w:p>
        </w:tc>
        <w:tc>
          <w:tcPr>
            <w:tcW w:w="1124" w:type="dxa"/>
            <w:gridSpan w:val="3"/>
            <w:vMerge w:val="restart"/>
            <w:shd w:val="clear" w:color="auto" w:fill="auto"/>
            <w:vAlign w:val="center"/>
          </w:tcPr>
          <w:p w14:paraId="1F42CD2A">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施工组织设计（</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分）</w:t>
            </w:r>
          </w:p>
        </w:tc>
        <w:tc>
          <w:tcPr>
            <w:tcW w:w="1234" w:type="dxa"/>
            <w:shd w:val="clear" w:color="auto" w:fill="auto"/>
            <w:vAlign w:val="center"/>
          </w:tcPr>
          <w:p w14:paraId="2FB0AE1A">
            <w:pPr>
              <w:pStyle w:val="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主要施工方法（</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w:t>
            </w:r>
          </w:p>
        </w:tc>
        <w:tc>
          <w:tcPr>
            <w:tcW w:w="4962" w:type="dxa"/>
            <w:shd w:val="clear" w:color="auto" w:fill="auto"/>
            <w:vAlign w:val="center"/>
          </w:tcPr>
          <w:p w14:paraId="40509500">
            <w:pPr>
              <w:keepNext w:val="0"/>
              <w:keepLines w:val="0"/>
              <w:pageBreakBefore w:val="0"/>
              <w:widowControl/>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分、良</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分、中</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分、差</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p>
          <w:p w14:paraId="15FFEA1E">
            <w:pPr>
              <w:pStyle w:val="8"/>
              <w:spacing w:line="360" w:lineRule="auto"/>
              <w:jc w:val="left"/>
              <w:rPr>
                <w:rFonts w:hint="eastAsia" w:ascii="宋体" w:hAnsi="宋体" w:eastAsia="宋体" w:cs="宋体"/>
                <w:b/>
                <w:color w:val="auto"/>
                <w:highlight w:val="none"/>
              </w:rPr>
            </w:pPr>
            <w:r>
              <w:rPr>
                <w:rFonts w:hint="eastAsia" w:ascii="宋体" w:hAnsi="宋体" w:eastAsia="宋体" w:cs="宋体"/>
                <w:color w:val="auto"/>
                <w:highlight w:val="none"/>
              </w:rPr>
              <w:t>各主要分部施工方法符合项目实际，须有详尽的施工技术方案，工艺先进、方法科学合理、可行，能指导具体施工并确保安全。</w:t>
            </w:r>
          </w:p>
        </w:tc>
      </w:tr>
      <w:tr w14:paraId="5AC6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shd w:val="clear" w:color="auto" w:fill="auto"/>
            <w:vAlign w:val="center"/>
          </w:tcPr>
          <w:p w14:paraId="5C1AF4A0">
            <w:pPr>
              <w:spacing w:beforeLines="50" w:line="360" w:lineRule="auto"/>
              <w:rPr>
                <w:rFonts w:hint="eastAsia" w:ascii="宋体" w:hAnsi="宋体" w:eastAsia="宋体" w:cs="宋体"/>
                <w:color w:val="auto"/>
                <w:highlight w:val="none"/>
              </w:rPr>
            </w:pPr>
          </w:p>
        </w:tc>
        <w:tc>
          <w:tcPr>
            <w:tcW w:w="456" w:type="dxa"/>
            <w:vMerge w:val="continue"/>
            <w:shd w:val="clear" w:color="auto" w:fill="auto"/>
            <w:vAlign w:val="center"/>
          </w:tcPr>
          <w:p w14:paraId="411226B8">
            <w:pPr>
              <w:spacing w:beforeLines="50" w:line="360" w:lineRule="auto"/>
              <w:rPr>
                <w:rFonts w:hint="eastAsia" w:ascii="宋体" w:hAnsi="宋体" w:eastAsia="宋体" w:cs="宋体"/>
                <w:color w:val="auto"/>
                <w:highlight w:val="none"/>
              </w:rPr>
            </w:pPr>
          </w:p>
        </w:tc>
        <w:tc>
          <w:tcPr>
            <w:tcW w:w="1052" w:type="dxa"/>
            <w:vMerge w:val="continue"/>
            <w:shd w:val="clear" w:color="auto" w:fill="auto"/>
            <w:vAlign w:val="center"/>
          </w:tcPr>
          <w:p w14:paraId="178251A1">
            <w:pPr>
              <w:spacing w:beforeLines="50" w:line="360" w:lineRule="auto"/>
              <w:rPr>
                <w:rFonts w:hint="eastAsia" w:ascii="宋体" w:hAnsi="宋体" w:eastAsia="宋体" w:cs="宋体"/>
                <w:color w:val="auto"/>
                <w:highlight w:val="none"/>
              </w:rPr>
            </w:pPr>
          </w:p>
        </w:tc>
        <w:tc>
          <w:tcPr>
            <w:tcW w:w="1124" w:type="dxa"/>
            <w:gridSpan w:val="3"/>
            <w:vMerge w:val="continue"/>
            <w:shd w:val="clear" w:color="auto" w:fill="auto"/>
            <w:vAlign w:val="center"/>
          </w:tcPr>
          <w:p w14:paraId="562B6DAE">
            <w:pPr>
              <w:spacing w:beforeLines="50" w:line="360" w:lineRule="auto"/>
              <w:jc w:val="center"/>
              <w:rPr>
                <w:rFonts w:hint="eastAsia" w:ascii="宋体" w:hAnsi="宋体" w:eastAsia="宋体" w:cs="宋体"/>
                <w:color w:val="auto"/>
                <w:highlight w:val="none"/>
              </w:rPr>
            </w:pPr>
          </w:p>
        </w:tc>
        <w:tc>
          <w:tcPr>
            <w:tcW w:w="1234" w:type="dxa"/>
            <w:shd w:val="clear" w:color="auto" w:fill="auto"/>
            <w:vAlign w:val="center"/>
          </w:tcPr>
          <w:p w14:paraId="21DAAD42">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拟投入的主要物资计划（</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w:t>
            </w:r>
          </w:p>
        </w:tc>
        <w:tc>
          <w:tcPr>
            <w:tcW w:w="4962" w:type="dxa"/>
            <w:shd w:val="clear" w:color="auto" w:fill="auto"/>
            <w:vAlign w:val="center"/>
          </w:tcPr>
          <w:p w14:paraId="087B0FF6">
            <w:pPr>
              <w:keepNext w:val="0"/>
              <w:keepLines w:val="0"/>
              <w:pageBreakBefore w:val="0"/>
              <w:widowControl/>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分、良</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分、中</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分、差</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p>
          <w:p w14:paraId="3493D496">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投入的施工材料有详细的组织计划且计划周密，数量、选型配置、进场时间安排合理，满足施工需要。</w:t>
            </w:r>
          </w:p>
        </w:tc>
      </w:tr>
      <w:tr w14:paraId="46AE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shd w:val="clear" w:color="auto" w:fill="auto"/>
            <w:vAlign w:val="center"/>
          </w:tcPr>
          <w:p w14:paraId="27AD647A">
            <w:pPr>
              <w:spacing w:beforeLines="50" w:line="360" w:lineRule="auto"/>
              <w:rPr>
                <w:rFonts w:hint="eastAsia" w:ascii="宋体" w:hAnsi="宋体" w:eastAsia="宋体" w:cs="宋体"/>
                <w:color w:val="auto"/>
                <w:highlight w:val="none"/>
              </w:rPr>
            </w:pPr>
          </w:p>
        </w:tc>
        <w:tc>
          <w:tcPr>
            <w:tcW w:w="456" w:type="dxa"/>
            <w:vMerge w:val="continue"/>
            <w:shd w:val="clear" w:color="auto" w:fill="auto"/>
            <w:vAlign w:val="center"/>
          </w:tcPr>
          <w:p w14:paraId="6605A118">
            <w:pPr>
              <w:spacing w:beforeLines="50" w:line="360" w:lineRule="auto"/>
              <w:rPr>
                <w:rFonts w:hint="eastAsia" w:ascii="宋体" w:hAnsi="宋体" w:eastAsia="宋体" w:cs="宋体"/>
                <w:color w:val="auto"/>
                <w:highlight w:val="none"/>
              </w:rPr>
            </w:pPr>
          </w:p>
        </w:tc>
        <w:tc>
          <w:tcPr>
            <w:tcW w:w="1052" w:type="dxa"/>
            <w:vMerge w:val="continue"/>
            <w:shd w:val="clear" w:color="auto" w:fill="auto"/>
            <w:vAlign w:val="center"/>
          </w:tcPr>
          <w:p w14:paraId="72C3A1EB">
            <w:pPr>
              <w:spacing w:beforeLines="50" w:line="360" w:lineRule="auto"/>
              <w:rPr>
                <w:rFonts w:hint="eastAsia" w:ascii="宋体" w:hAnsi="宋体" w:eastAsia="宋体" w:cs="宋体"/>
                <w:color w:val="auto"/>
                <w:highlight w:val="none"/>
              </w:rPr>
            </w:pPr>
          </w:p>
        </w:tc>
        <w:tc>
          <w:tcPr>
            <w:tcW w:w="1124" w:type="dxa"/>
            <w:gridSpan w:val="3"/>
            <w:vMerge w:val="continue"/>
            <w:shd w:val="clear" w:color="auto" w:fill="auto"/>
            <w:vAlign w:val="center"/>
          </w:tcPr>
          <w:p w14:paraId="2AD50703">
            <w:pPr>
              <w:spacing w:beforeLines="50" w:line="360" w:lineRule="auto"/>
              <w:jc w:val="center"/>
              <w:rPr>
                <w:rFonts w:hint="eastAsia" w:ascii="宋体" w:hAnsi="宋体" w:eastAsia="宋体" w:cs="宋体"/>
                <w:color w:val="auto"/>
                <w:highlight w:val="none"/>
              </w:rPr>
            </w:pPr>
          </w:p>
        </w:tc>
        <w:tc>
          <w:tcPr>
            <w:tcW w:w="1234" w:type="dxa"/>
            <w:shd w:val="clear" w:color="auto" w:fill="auto"/>
            <w:vAlign w:val="center"/>
          </w:tcPr>
          <w:p w14:paraId="5F166B61">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拟投入的主要施工机械、设备计划（</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w:t>
            </w:r>
          </w:p>
        </w:tc>
        <w:tc>
          <w:tcPr>
            <w:tcW w:w="4962" w:type="dxa"/>
            <w:shd w:val="clear" w:color="auto" w:fill="auto"/>
            <w:vAlign w:val="center"/>
          </w:tcPr>
          <w:p w14:paraId="2976042D">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分、良</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分、中</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分、差</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p>
          <w:p w14:paraId="30DBFA75">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投入的施工机械、设备、机具有详细的组织计划且计划周密，设备数量、选型配置、进场时间安排合理，满足施工需要。</w:t>
            </w:r>
          </w:p>
        </w:tc>
      </w:tr>
      <w:tr w14:paraId="5A54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shd w:val="clear" w:color="auto" w:fill="auto"/>
            <w:vAlign w:val="center"/>
          </w:tcPr>
          <w:p w14:paraId="5D4C19B6">
            <w:pPr>
              <w:spacing w:beforeLines="50" w:line="360" w:lineRule="auto"/>
              <w:rPr>
                <w:rFonts w:hint="eastAsia" w:ascii="宋体" w:hAnsi="宋体" w:eastAsia="宋体" w:cs="宋体"/>
                <w:color w:val="auto"/>
                <w:highlight w:val="none"/>
              </w:rPr>
            </w:pPr>
          </w:p>
        </w:tc>
        <w:tc>
          <w:tcPr>
            <w:tcW w:w="456" w:type="dxa"/>
            <w:vMerge w:val="continue"/>
            <w:shd w:val="clear" w:color="auto" w:fill="auto"/>
            <w:vAlign w:val="center"/>
          </w:tcPr>
          <w:p w14:paraId="13A6DFE8">
            <w:pPr>
              <w:spacing w:beforeLines="50" w:line="360" w:lineRule="auto"/>
              <w:rPr>
                <w:rFonts w:hint="eastAsia" w:ascii="宋体" w:hAnsi="宋体" w:eastAsia="宋体" w:cs="宋体"/>
                <w:color w:val="auto"/>
                <w:highlight w:val="none"/>
              </w:rPr>
            </w:pPr>
          </w:p>
        </w:tc>
        <w:tc>
          <w:tcPr>
            <w:tcW w:w="1052" w:type="dxa"/>
            <w:vMerge w:val="continue"/>
            <w:shd w:val="clear" w:color="auto" w:fill="auto"/>
            <w:vAlign w:val="center"/>
          </w:tcPr>
          <w:p w14:paraId="2EFA8AD5">
            <w:pPr>
              <w:spacing w:beforeLines="50" w:line="360" w:lineRule="auto"/>
              <w:rPr>
                <w:rFonts w:hint="eastAsia" w:ascii="宋体" w:hAnsi="宋体" w:eastAsia="宋体" w:cs="宋体"/>
                <w:color w:val="auto"/>
                <w:highlight w:val="none"/>
              </w:rPr>
            </w:pPr>
          </w:p>
        </w:tc>
        <w:tc>
          <w:tcPr>
            <w:tcW w:w="1124" w:type="dxa"/>
            <w:gridSpan w:val="3"/>
            <w:vMerge w:val="continue"/>
            <w:shd w:val="clear" w:color="auto" w:fill="auto"/>
            <w:vAlign w:val="center"/>
          </w:tcPr>
          <w:p w14:paraId="14C62F32">
            <w:pPr>
              <w:spacing w:beforeLines="50" w:line="360" w:lineRule="auto"/>
              <w:jc w:val="center"/>
              <w:rPr>
                <w:rFonts w:hint="eastAsia" w:ascii="宋体" w:hAnsi="宋体" w:eastAsia="宋体" w:cs="宋体"/>
                <w:color w:val="auto"/>
                <w:highlight w:val="none"/>
              </w:rPr>
            </w:pPr>
          </w:p>
        </w:tc>
        <w:tc>
          <w:tcPr>
            <w:tcW w:w="1234" w:type="dxa"/>
            <w:shd w:val="clear" w:color="auto" w:fill="auto"/>
            <w:vAlign w:val="center"/>
          </w:tcPr>
          <w:p w14:paraId="7F7BF6F8">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劳动力安排计划（</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w:t>
            </w:r>
          </w:p>
        </w:tc>
        <w:tc>
          <w:tcPr>
            <w:tcW w:w="4962" w:type="dxa"/>
            <w:shd w:val="clear" w:color="auto" w:fill="auto"/>
            <w:vAlign w:val="center"/>
          </w:tcPr>
          <w:p w14:paraId="5C0CE0A8">
            <w:pPr>
              <w:keepNext w:val="0"/>
              <w:keepLines w:val="0"/>
              <w:pageBreakBefore w:val="0"/>
              <w:widowControl/>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分、良</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分、中</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分、差</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p>
          <w:p w14:paraId="4964654C">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各主要施工工序应有详细周密的劳动力安排计划，有各工种劳动力安排计划，劳动力投入合理，满足施工需要。</w:t>
            </w:r>
          </w:p>
        </w:tc>
      </w:tr>
      <w:tr w14:paraId="387D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shd w:val="clear" w:color="auto" w:fill="auto"/>
            <w:vAlign w:val="center"/>
          </w:tcPr>
          <w:p w14:paraId="0670DE64">
            <w:pPr>
              <w:spacing w:beforeLines="50" w:line="360" w:lineRule="auto"/>
              <w:rPr>
                <w:rFonts w:hint="eastAsia" w:ascii="宋体" w:hAnsi="宋体" w:eastAsia="宋体" w:cs="宋体"/>
                <w:color w:val="auto"/>
                <w:highlight w:val="none"/>
              </w:rPr>
            </w:pPr>
          </w:p>
        </w:tc>
        <w:tc>
          <w:tcPr>
            <w:tcW w:w="456" w:type="dxa"/>
            <w:vMerge w:val="continue"/>
            <w:shd w:val="clear" w:color="auto" w:fill="auto"/>
            <w:vAlign w:val="center"/>
          </w:tcPr>
          <w:p w14:paraId="0A7E4571">
            <w:pPr>
              <w:spacing w:beforeLines="50" w:line="360" w:lineRule="auto"/>
              <w:rPr>
                <w:rFonts w:hint="eastAsia" w:ascii="宋体" w:hAnsi="宋体" w:eastAsia="宋体" w:cs="宋体"/>
                <w:color w:val="auto"/>
                <w:highlight w:val="none"/>
              </w:rPr>
            </w:pPr>
          </w:p>
        </w:tc>
        <w:tc>
          <w:tcPr>
            <w:tcW w:w="1052" w:type="dxa"/>
            <w:vMerge w:val="continue"/>
            <w:shd w:val="clear" w:color="auto" w:fill="auto"/>
            <w:vAlign w:val="center"/>
          </w:tcPr>
          <w:p w14:paraId="482589D2">
            <w:pPr>
              <w:spacing w:beforeLines="50" w:line="360" w:lineRule="auto"/>
              <w:rPr>
                <w:rFonts w:hint="eastAsia" w:ascii="宋体" w:hAnsi="宋体" w:eastAsia="宋体" w:cs="宋体"/>
                <w:color w:val="auto"/>
                <w:highlight w:val="none"/>
              </w:rPr>
            </w:pPr>
          </w:p>
        </w:tc>
        <w:tc>
          <w:tcPr>
            <w:tcW w:w="1124" w:type="dxa"/>
            <w:gridSpan w:val="3"/>
            <w:vMerge w:val="continue"/>
            <w:shd w:val="clear" w:color="auto" w:fill="auto"/>
            <w:vAlign w:val="center"/>
          </w:tcPr>
          <w:p w14:paraId="193FE979">
            <w:pPr>
              <w:spacing w:beforeLines="50" w:line="360" w:lineRule="auto"/>
              <w:jc w:val="center"/>
              <w:rPr>
                <w:rFonts w:hint="eastAsia" w:ascii="宋体" w:hAnsi="宋体" w:eastAsia="宋体" w:cs="宋体"/>
                <w:color w:val="auto"/>
                <w:highlight w:val="none"/>
              </w:rPr>
            </w:pPr>
          </w:p>
        </w:tc>
        <w:tc>
          <w:tcPr>
            <w:tcW w:w="1234" w:type="dxa"/>
            <w:shd w:val="clear" w:color="auto" w:fill="auto"/>
            <w:vAlign w:val="center"/>
          </w:tcPr>
          <w:p w14:paraId="56C632B1">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确保工程质量的技术组织措施（</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w:t>
            </w:r>
          </w:p>
        </w:tc>
        <w:tc>
          <w:tcPr>
            <w:tcW w:w="4962" w:type="dxa"/>
            <w:shd w:val="clear" w:color="auto" w:fill="auto"/>
            <w:vAlign w:val="center"/>
          </w:tcPr>
          <w:p w14:paraId="34B94D02">
            <w:pPr>
              <w:keepNext w:val="0"/>
              <w:keepLines w:val="0"/>
              <w:pageBreakBefore w:val="0"/>
              <w:widowControl/>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分、良</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分、中</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分、差</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p>
          <w:p w14:paraId="60FA42F7">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应有专门的质量技术管理班子和制度，且人员配备合理，制度健全。主要工序应有质量技术保证措施和手段，自控体系完整，能有效保证技术质量，达到承诺的质量标准。</w:t>
            </w:r>
          </w:p>
        </w:tc>
      </w:tr>
      <w:tr w14:paraId="77644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shd w:val="clear" w:color="auto" w:fill="auto"/>
            <w:vAlign w:val="center"/>
          </w:tcPr>
          <w:p w14:paraId="4B9CECCC">
            <w:pPr>
              <w:spacing w:beforeLines="50" w:line="360" w:lineRule="auto"/>
              <w:rPr>
                <w:rFonts w:hint="eastAsia" w:ascii="宋体" w:hAnsi="宋体" w:eastAsia="宋体" w:cs="宋体"/>
                <w:color w:val="auto"/>
                <w:highlight w:val="none"/>
              </w:rPr>
            </w:pPr>
          </w:p>
        </w:tc>
        <w:tc>
          <w:tcPr>
            <w:tcW w:w="456" w:type="dxa"/>
            <w:vMerge w:val="continue"/>
            <w:shd w:val="clear" w:color="auto" w:fill="auto"/>
            <w:vAlign w:val="center"/>
          </w:tcPr>
          <w:p w14:paraId="733B6643">
            <w:pPr>
              <w:spacing w:beforeLines="50" w:line="360" w:lineRule="auto"/>
              <w:rPr>
                <w:rFonts w:hint="eastAsia" w:ascii="宋体" w:hAnsi="宋体" w:eastAsia="宋体" w:cs="宋体"/>
                <w:color w:val="auto"/>
                <w:highlight w:val="none"/>
              </w:rPr>
            </w:pPr>
          </w:p>
        </w:tc>
        <w:tc>
          <w:tcPr>
            <w:tcW w:w="1052" w:type="dxa"/>
            <w:vMerge w:val="continue"/>
            <w:shd w:val="clear" w:color="auto" w:fill="auto"/>
            <w:vAlign w:val="center"/>
          </w:tcPr>
          <w:p w14:paraId="72CD6BF9">
            <w:pPr>
              <w:spacing w:beforeLines="50" w:line="360" w:lineRule="auto"/>
              <w:rPr>
                <w:rFonts w:hint="eastAsia" w:ascii="宋体" w:hAnsi="宋体" w:eastAsia="宋体" w:cs="宋体"/>
                <w:color w:val="auto"/>
                <w:highlight w:val="none"/>
              </w:rPr>
            </w:pPr>
          </w:p>
        </w:tc>
        <w:tc>
          <w:tcPr>
            <w:tcW w:w="1124" w:type="dxa"/>
            <w:gridSpan w:val="3"/>
            <w:vMerge w:val="continue"/>
            <w:shd w:val="clear" w:color="auto" w:fill="auto"/>
            <w:vAlign w:val="center"/>
          </w:tcPr>
          <w:p w14:paraId="242E7AE4">
            <w:pPr>
              <w:spacing w:beforeLines="50" w:line="360" w:lineRule="auto"/>
              <w:jc w:val="center"/>
              <w:rPr>
                <w:rFonts w:hint="eastAsia" w:ascii="宋体" w:hAnsi="宋体" w:eastAsia="宋体" w:cs="宋体"/>
                <w:color w:val="auto"/>
                <w:highlight w:val="none"/>
              </w:rPr>
            </w:pPr>
          </w:p>
        </w:tc>
        <w:tc>
          <w:tcPr>
            <w:tcW w:w="1234" w:type="dxa"/>
            <w:shd w:val="clear" w:color="auto" w:fill="auto"/>
            <w:vAlign w:val="center"/>
          </w:tcPr>
          <w:p w14:paraId="3B771460">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确保安全生产的技术组织措施（</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w:t>
            </w:r>
          </w:p>
        </w:tc>
        <w:tc>
          <w:tcPr>
            <w:tcW w:w="4962" w:type="dxa"/>
            <w:shd w:val="clear" w:color="auto" w:fill="auto"/>
            <w:vAlign w:val="center"/>
          </w:tcPr>
          <w:p w14:paraId="71EFFCA7">
            <w:pPr>
              <w:keepNext w:val="0"/>
              <w:keepLines w:val="0"/>
              <w:pageBreakBefore w:val="0"/>
              <w:widowControl/>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分、良</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分、中</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分、差</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p>
          <w:p w14:paraId="45136FAC">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应有专门的安全管理人员和制度，且人员配备合理，制度健全，各道工序安全技术措施针对性强，符合实际且满足有关安全技术标准要求。现场防火、应急救援、社会治安安全措施得力。</w:t>
            </w:r>
          </w:p>
        </w:tc>
      </w:tr>
      <w:tr w14:paraId="4D51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shd w:val="clear" w:color="auto" w:fill="auto"/>
            <w:vAlign w:val="center"/>
          </w:tcPr>
          <w:p w14:paraId="2FEEBDAD">
            <w:pPr>
              <w:spacing w:beforeLines="50" w:line="360" w:lineRule="auto"/>
              <w:rPr>
                <w:rFonts w:hint="eastAsia" w:ascii="宋体" w:hAnsi="宋体" w:eastAsia="宋体" w:cs="宋体"/>
                <w:color w:val="auto"/>
                <w:highlight w:val="none"/>
              </w:rPr>
            </w:pPr>
          </w:p>
        </w:tc>
        <w:tc>
          <w:tcPr>
            <w:tcW w:w="456" w:type="dxa"/>
            <w:vMerge w:val="continue"/>
            <w:shd w:val="clear" w:color="auto" w:fill="auto"/>
            <w:vAlign w:val="center"/>
          </w:tcPr>
          <w:p w14:paraId="35D10C65">
            <w:pPr>
              <w:spacing w:beforeLines="50" w:line="360" w:lineRule="auto"/>
              <w:rPr>
                <w:rFonts w:hint="eastAsia" w:ascii="宋体" w:hAnsi="宋体" w:eastAsia="宋体" w:cs="宋体"/>
                <w:color w:val="auto"/>
                <w:highlight w:val="none"/>
              </w:rPr>
            </w:pPr>
          </w:p>
        </w:tc>
        <w:tc>
          <w:tcPr>
            <w:tcW w:w="1052" w:type="dxa"/>
            <w:vMerge w:val="continue"/>
            <w:shd w:val="clear" w:color="auto" w:fill="auto"/>
            <w:vAlign w:val="center"/>
          </w:tcPr>
          <w:p w14:paraId="2BCC609B">
            <w:pPr>
              <w:spacing w:beforeLines="50" w:line="360" w:lineRule="auto"/>
              <w:rPr>
                <w:rFonts w:hint="eastAsia" w:ascii="宋体" w:hAnsi="宋体" w:eastAsia="宋体" w:cs="宋体"/>
                <w:color w:val="auto"/>
                <w:highlight w:val="none"/>
              </w:rPr>
            </w:pPr>
          </w:p>
        </w:tc>
        <w:tc>
          <w:tcPr>
            <w:tcW w:w="1124" w:type="dxa"/>
            <w:gridSpan w:val="3"/>
            <w:vMerge w:val="continue"/>
            <w:shd w:val="clear" w:color="auto" w:fill="auto"/>
            <w:vAlign w:val="center"/>
          </w:tcPr>
          <w:p w14:paraId="3F3FDBAC">
            <w:pPr>
              <w:spacing w:beforeLines="50" w:line="360" w:lineRule="auto"/>
              <w:jc w:val="center"/>
              <w:rPr>
                <w:rFonts w:hint="eastAsia" w:ascii="宋体" w:hAnsi="宋体" w:eastAsia="宋体" w:cs="宋体"/>
                <w:color w:val="auto"/>
                <w:highlight w:val="none"/>
              </w:rPr>
            </w:pPr>
          </w:p>
        </w:tc>
        <w:tc>
          <w:tcPr>
            <w:tcW w:w="1234" w:type="dxa"/>
            <w:shd w:val="clear" w:color="auto" w:fill="auto"/>
            <w:vAlign w:val="center"/>
          </w:tcPr>
          <w:p w14:paraId="3EAF2976">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确保工期的技术组织措施（</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w:t>
            </w:r>
          </w:p>
        </w:tc>
        <w:tc>
          <w:tcPr>
            <w:tcW w:w="4962" w:type="dxa"/>
            <w:shd w:val="clear" w:color="auto" w:fill="auto"/>
            <w:vAlign w:val="center"/>
          </w:tcPr>
          <w:p w14:paraId="3BD29CA7">
            <w:pPr>
              <w:keepNext w:val="0"/>
              <w:keepLines w:val="0"/>
              <w:pageBreakBefore w:val="0"/>
              <w:widowControl/>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分、良</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分、中</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分、差</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p>
          <w:p w14:paraId="0F7DB14F">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14:paraId="56F4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shd w:val="clear" w:color="auto" w:fill="auto"/>
            <w:vAlign w:val="center"/>
          </w:tcPr>
          <w:p w14:paraId="0FA57190">
            <w:pPr>
              <w:spacing w:beforeLines="50" w:line="360" w:lineRule="auto"/>
              <w:rPr>
                <w:rFonts w:hint="eastAsia" w:ascii="宋体" w:hAnsi="宋体" w:eastAsia="宋体" w:cs="宋体"/>
                <w:color w:val="auto"/>
                <w:highlight w:val="none"/>
              </w:rPr>
            </w:pPr>
          </w:p>
        </w:tc>
        <w:tc>
          <w:tcPr>
            <w:tcW w:w="456" w:type="dxa"/>
            <w:vMerge w:val="continue"/>
            <w:shd w:val="clear" w:color="auto" w:fill="auto"/>
            <w:vAlign w:val="center"/>
          </w:tcPr>
          <w:p w14:paraId="19C5AE4D">
            <w:pPr>
              <w:spacing w:beforeLines="50" w:line="360" w:lineRule="auto"/>
              <w:rPr>
                <w:rFonts w:hint="eastAsia" w:ascii="宋体" w:hAnsi="宋体" w:eastAsia="宋体" w:cs="宋体"/>
                <w:color w:val="auto"/>
                <w:highlight w:val="none"/>
              </w:rPr>
            </w:pPr>
          </w:p>
        </w:tc>
        <w:tc>
          <w:tcPr>
            <w:tcW w:w="1052" w:type="dxa"/>
            <w:vMerge w:val="continue"/>
            <w:shd w:val="clear" w:color="auto" w:fill="auto"/>
            <w:vAlign w:val="center"/>
          </w:tcPr>
          <w:p w14:paraId="5055CF6A">
            <w:pPr>
              <w:spacing w:beforeLines="50" w:line="360" w:lineRule="auto"/>
              <w:rPr>
                <w:rFonts w:hint="eastAsia" w:ascii="宋体" w:hAnsi="宋体" w:eastAsia="宋体" w:cs="宋体"/>
                <w:color w:val="auto"/>
                <w:highlight w:val="none"/>
              </w:rPr>
            </w:pPr>
          </w:p>
        </w:tc>
        <w:tc>
          <w:tcPr>
            <w:tcW w:w="1124" w:type="dxa"/>
            <w:gridSpan w:val="3"/>
            <w:vMerge w:val="continue"/>
            <w:shd w:val="clear" w:color="auto" w:fill="auto"/>
            <w:vAlign w:val="center"/>
          </w:tcPr>
          <w:p w14:paraId="4D272C85">
            <w:pPr>
              <w:spacing w:beforeLines="50" w:line="360" w:lineRule="auto"/>
              <w:jc w:val="center"/>
              <w:rPr>
                <w:rFonts w:hint="eastAsia" w:ascii="宋体" w:hAnsi="宋体" w:eastAsia="宋体" w:cs="宋体"/>
                <w:color w:val="auto"/>
                <w:highlight w:val="none"/>
              </w:rPr>
            </w:pPr>
          </w:p>
        </w:tc>
        <w:tc>
          <w:tcPr>
            <w:tcW w:w="1234" w:type="dxa"/>
            <w:shd w:val="clear" w:color="auto" w:fill="auto"/>
            <w:vAlign w:val="center"/>
          </w:tcPr>
          <w:p w14:paraId="100551F8">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确保文明施工的技术组织措施（</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w:t>
            </w:r>
          </w:p>
        </w:tc>
        <w:tc>
          <w:tcPr>
            <w:tcW w:w="4962" w:type="dxa"/>
            <w:shd w:val="clear" w:color="auto" w:fill="auto"/>
            <w:vAlign w:val="center"/>
          </w:tcPr>
          <w:p w14:paraId="6F8A5B56">
            <w:pPr>
              <w:keepNext w:val="0"/>
              <w:keepLines w:val="0"/>
              <w:pageBreakBefore w:val="0"/>
              <w:widowControl/>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分、良</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分、中</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分、差</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p>
          <w:p w14:paraId="579C4859">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tc>
      </w:tr>
      <w:tr w14:paraId="2196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shd w:val="clear" w:color="auto" w:fill="auto"/>
            <w:vAlign w:val="center"/>
          </w:tcPr>
          <w:p w14:paraId="55C62EF8">
            <w:pPr>
              <w:spacing w:beforeLines="50" w:line="360" w:lineRule="auto"/>
              <w:rPr>
                <w:rFonts w:hint="eastAsia" w:ascii="宋体" w:hAnsi="宋体" w:eastAsia="宋体" w:cs="宋体"/>
                <w:color w:val="auto"/>
                <w:highlight w:val="none"/>
              </w:rPr>
            </w:pPr>
          </w:p>
        </w:tc>
        <w:tc>
          <w:tcPr>
            <w:tcW w:w="456" w:type="dxa"/>
            <w:vMerge w:val="continue"/>
            <w:shd w:val="clear" w:color="auto" w:fill="auto"/>
            <w:vAlign w:val="center"/>
          </w:tcPr>
          <w:p w14:paraId="5623005C">
            <w:pPr>
              <w:spacing w:beforeLines="50" w:line="360" w:lineRule="auto"/>
              <w:rPr>
                <w:rFonts w:hint="eastAsia" w:ascii="宋体" w:hAnsi="宋体" w:eastAsia="宋体" w:cs="宋体"/>
                <w:color w:val="auto"/>
                <w:highlight w:val="none"/>
              </w:rPr>
            </w:pPr>
          </w:p>
        </w:tc>
        <w:tc>
          <w:tcPr>
            <w:tcW w:w="1052" w:type="dxa"/>
            <w:vMerge w:val="continue"/>
            <w:shd w:val="clear" w:color="auto" w:fill="auto"/>
            <w:vAlign w:val="center"/>
          </w:tcPr>
          <w:p w14:paraId="6AD45380">
            <w:pPr>
              <w:spacing w:beforeLines="50" w:line="360" w:lineRule="auto"/>
              <w:rPr>
                <w:rFonts w:hint="eastAsia" w:ascii="宋体" w:hAnsi="宋体" w:eastAsia="宋体" w:cs="宋体"/>
                <w:color w:val="auto"/>
                <w:highlight w:val="none"/>
              </w:rPr>
            </w:pPr>
          </w:p>
        </w:tc>
        <w:tc>
          <w:tcPr>
            <w:tcW w:w="1124" w:type="dxa"/>
            <w:gridSpan w:val="3"/>
            <w:vMerge w:val="continue"/>
            <w:shd w:val="clear" w:color="auto" w:fill="auto"/>
            <w:vAlign w:val="center"/>
          </w:tcPr>
          <w:p w14:paraId="1E9ABC8F">
            <w:pPr>
              <w:spacing w:beforeLines="50" w:line="360" w:lineRule="auto"/>
              <w:jc w:val="center"/>
              <w:rPr>
                <w:rFonts w:hint="eastAsia" w:ascii="宋体" w:hAnsi="宋体" w:eastAsia="宋体" w:cs="宋体"/>
                <w:color w:val="auto"/>
                <w:highlight w:val="none"/>
              </w:rPr>
            </w:pPr>
          </w:p>
        </w:tc>
        <w:tc>
          <w:tcPr>
            <w:tcW w:w="1234" w:type="dxa"/>
            <w:shd w:val="clear" w:color="auto" w:fill="auto"/>
            <w:vAlign w:val="center"/>
          </w:tcPr>
          <w:p w14:paraId="38FABF39">
            <w:pPr>
              <w:keepNext w:val="0"/>
              <w:keepLines w:val="0"/>
              <w:pageBreakBefore w:val="0"/>
              <w:widowControl/>
              <w:kinsoku/>
              <w:wordWrap/>
              <w:overflowPunct/>
              <w:topLinePunct w:val="0"/>
              <w:autoSpaceDE/>
              <w:autoSpaceDN/>
              <w:bidi w:val="0"/>
              <w:adjustRightInd/>
              <w:snapToGrid/>
              <w:spacing w:line="324"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工程施工的重点和难点及保证措施</w:t>
            </w:r>
          </w:p>
          <w:p w14:paraId="16B7BD7A">
            <w:pPr>
              <w:keepNext w:val="0"/>
              <w:keepLines w:val="0"/>
              <w:pageBreakBefore w:val="0"/>
              <w:widowControl/>
              <w:kinsoku/>
              <w:wordWrap/>
              <w:overflowPunct/>
              <w:topLinePunct w:val="0"/>
              <w:autoSpaceDE/>
              <w:autoSpaceDN/>
              <w:bidi w:val="0"/>
              <w:adjustRightInd/>
              <w:snapToGrid/>
              <w:spacing w:line="324"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w:t>
            </w:r>
          </w:p>
        </w:tc>
        <w:tc>
          <w:tcPr>
            <w:tcW w:w="4962" w:type="dxa"/>
            <w:shd w:val="clear" w:color="auto" w:fill="auto"/>
            <w:vAlign w:val="center"/>
          </w:tcPr>
          <w:p w14:paraId="54A6F0D6">
            <w:pPr>
              <w:keepNext w:val="0"/>
              <w:keepLines w:val="0"/>
              <w:pageBreakBefore w:val="0"/>
              <w:widowControl/>
              <w:kinsoku/>
              <w:wordWrap/>
              <w:overflowPunct/>
              <w:topLinePunct w:val="0"/>
              <w:autoSpaceDE/>
              <w:autoSpaceDN/>
              <w:bidi w:val="0"/>
              <w:adjustRightInd/>
              <w:snapToGrid/>
              <w:spacing w:line="324"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分、良</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分、中</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分、差</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p>
          <w:p w14:paraId="0A8EA939">
            <w:pPr>
              <w:keepNext w:val="0"/>
              <w:keepLines w:val="0"/>
              <w:pageBreakBefore w:val="0"/>
              <w:widowControl/>
              <w:kinsoku/>
              <w:wordWrap/>
              <w:overflowPunct/>
              <w:topLinePunct w:val="0"/>
              <w:autoSpaceDE/>
              <w:autoSpaceDN/>
              <w:bidi w:val="0"/>
              <w:adjustRightInd/>
              <w:snapToGrid/>
              <w:spacing w:line="324"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针对本工程的特点，阐述本工程的重点和难点，解决重点和难点问题的方法是否合理。</w:t>
            </w:r>
          </w:p>
        </w:tc>
      </w:tr>
      <w:tr w14:paraId="4682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shd w:val="clear" w:color="auto" w:fill="auto"/>
            <w:vAlign w:val="center"/>
          </w:tcPr>
          <w:p w14:paraId="56F4F41A">
            <w:pPr>
              <w:spacing w:beforeLines="50" w:line="360" w:lineRule="auto"/>
              <w:rPr>
                <w:rFonts w:hint="eastAsia" w:ascii="宋体" w:hAnsi="宋体" w:eastAsia="宋体" w:cs="宋体"/>
                <w:color w:val="auto"/>
                <w:highlight w:val="none"/>
              </w:rPr>
            </w:pPr>
          </w:p>
        </w:tc>
        <w:tc>
          <w:tcPr>
            <w:tcW w:w="456" w:type="dxa"/>
            <w:vMerge w:val="continue"/>
            <w:shd w:val="clear" w:color="auto" w:fill="auto"/>
            <w:vAlign w:val="center"/>
          </w:tcPr>
          <w:p w14:paraId="42729D68">
            <w:pPr>
              <w:spacing w:beforeLines="50" w:line="360" w:lineRule="auto"/>
              <w:rPr>
                <w:rFonts w:hint="eastAsia" w:ascii="宋体" w:hAnsi="宋体" w:eastAsia="宋体" w:cs="宋体"/>
                <w:color w:val="auto"/>
                <w:highlight w:val="none"/>
              </w:rPr>
            </w:pPr>
          </w:p>
        </w:tc>
        <w:tc>
          <w:tcPr>
            <w:tcW w:w="1052" w:type="dxa"/>
            <w:vMerge w:val="continue"/>
            <w:shd w:val="clear" w:color="auto" w:fill="auto"/>
            <w:vAlign w:val="center"/>
          </w:tcPr>
          <w:p w14:paraId="1EC977FA">
            <w:pPr>
              <w:spacing w:beforeLines="50" w:line="360" w:lineRule="auto"/>
              <w:rPr>
                <w:rFonts w:hint="eastAsia" w:ascii="宋体" w:hAnsi="宋体" w:eastAsia="宋体" w:cs="宋体"/>
                <w:color w:val="auto"/>
                <w:highlight w:val="none"/>
              </w:rPr>
            </w:pPr>
          </w:p>
        </w:tc>
        <w:tc>
          <w:tcPr>
            <w:tcW w:w="1124" w:type="dxa"/>
            <w:gridSpan w:val="3"/>
            <w:vMerge w:val="continue"/>
            <w:shd w:val="clear" w:color="auto" w:fill="auto"/>
            <w:vAlign w:val="center"/>
          </w:tcPr>
          <w:p w14:paraId="166509A0">
            <w:pPr>
              <w:spacing w:beforeLines="50" w:line="360" w:lineRule="auto"/>
              <w:jc w:val="center"/>
              <w:rPr>
                <w:rFonts w:hint="eastAsia" w:ascii="宋体" w:hAnsi="宋体" w:eastAsia="宋体" w:cs="宋体"/>
                <w:color w:val="auto"/>
                <w:highlight w:val="none"/>
              </w:rPr>
            </w:pPr>
          </w:p>
        </w:tc>
        <w:tc>
          <w:tcPr>
            <w:tcW w:w="1234" w:type="dxa"/>
            <w:shd w:val="clear" w:color="auto" w:fill="auto"/>
            <w:vAlign w:val="center"/>
          </w:tcPr>
          <w:p w14:paraId="00A29C18">
            <w:pPr>
              <w:keepNext w:val="0"/>
              <w:keepLines w:val="0"/>
              <w:pageBreakBefore w:val="0"/>
              <w:widowControl/>
              <w:kinsoku/>
              <w:wordWrap/>
              <w:overflowPunct/>
              <w:topLinePunct w:val="0"/>
              <w:autoSpaceDE/>
              <w:autoSpaceDN/>
              <w:bidi w:val="0"/>
              <w:adjustRightInd/>
              <w:snapToGrid/>
              <w:spacing w:line="324"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施工总平面布置图（</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w:t>
            </w:r>
          </w:p>
        </w:tc>
        <w:tc>
          <w:tcPr>
            <w:tcW w:w="4962" w:type="dxa"/>
            <w:shd w:val="clear" w:color="auto" w:fill="auto"/>
            <w:vAlign w:val="center"/>
          </w:tcPr>
          <w:p w14:paraId="690D6690">
            <w:pPr>
              <w:keepNext w:val="0"/>
              <w:keepLines w:val="0"/>
              <w:pageBreakBefore w:val="0"/>
              <w:widowControl/>
              <w:kinsoku/>
              <w:wordWrap/>
              <w:overflowPunct/>
              <w:topLinePunct w:val="0"/>
              <w:autoSpaceDE/>
              <w:autoSpaceDN/>
              <w:bidi w:val="0"/>
              <w:adjustRightInd/>
              <w:snapToGrid/>
              <w:spacing w:before="157" w:beforeLines="50" w:line="324"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分、良</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分、中</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分、差</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p>
          <w:p w14:paraId="53B67C71">
            <w:pPr>
              <w:keepNext w:val="0"/>
              <w:keepLines w:val="0"/>
              <w:pageBreakBefore w:val="0"/>
              <w:widowControl/>
              <w:kinsoku/>
              <w:wordWrap/>
              <w:overflowPunct/>
              <w:topLinePunct w:val="0"/>
              <w:autoSpaceDE/>
              <w:autoSpaceDN/>
              <w:bidi w:val="0"/>
              <w:adjustRightInd/>
              <w:snapToGrid/>
              <w:spacing w:line="324"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应有施工总平面布置图，安排科学合理，符合本项目施工实际要求。</w:t>
            </w:r>
          </w:p>
        </w:tc>
      </w:tr>
      <w:tr w14:paraId="149B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06" w:type="dxa"/>
            <w:vMerge w:val="continue"/>
            <w:shd w:val="clear" w:color="auto" w:fill="auto"/>
            <w:vAlign w:val="center"/>
          </w:tcPr>
          <w:p w14:paraId="22673682">
            <w:pPr>
              <w:spacing w:beforeLines="50" w:line="360" w:lineRule="auto"/>
              <w:rPr>
                <w:rFonts w:hint="eastAsia" w:ascii="宋体" w:hAnsi="宋体" w:eastAsia="宋体" w:cs="宋体"/>
                <w:color w:val="auto"/>
                <w:highlight w:val="none"/>
              </w:rPr>
            </w:pPr>
          </w:p>
        </w:tc>
        <w:tc>
          <w:tcPr>
            <w:tcW w:w="456" w:type="dxa"/>
            <w:vMerge w:val="restart"/>
            <w:shd w:val="clear" w:color="auto" w:fill="auto"/>
            <w:vAlign w:val="center"/>
          </w:tcPr>
          <w:p w14:paraId="04E37942">
            <w:pPr>
              <w:spacing w:beforeLines="5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三</w:t>
            </w:r>
          </w:p>
        </w:tc>
        <w:tc>
          <w:tcPr>
            <w:tcW w:w="1052" w:type="dxa"/>
            <w:vMerge w:val="restart"/>
            <w:shd w:val="clear" w:color="auto" w:fill="auto"/>
            <w:vAlign w:val="center"/>
          </w:tcPr>
          <w:p w14:paraId="433E326F">
            <w:pPr>
              <w:spacing w:beforeLines="50"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项目管理配备（10）分</w:t>
            </w:r>
          </w:p>
        </w:tc>
        <w:tc>
          <w:tcPr>
            <w:tcW w:w="1124" w:type="dxa"/>
            <w:gridSpan w:val="3"/>
            <w:vMerge w:val="restart"/>
            <w:shd w:val="clear" w:color="auto" w:fill="auto"/>
            <w:vAlign w:val="center"/>
          </w:tcPr>
          <w:p w14:paraId="3F8968D7">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项目管理配备</w:t>
            </w:r>
            <w:r>
              <w:rPr>
                <w:rFonts w:hint="eastAsia" w:ascii="宋体" w:hAnsi="宋体" w:eastAsia="宋体" w:cs="宋体"/>
                <w:color w:val="auto"/>
                <w:szCs w:val="21"/>
                <w:highlight w:val="none"/>
              </w:rPr>
              <w:t>评分标准（满分</w:t>
            </w:r>
            <w:r>
              <w:rPr>
                <w:rFonts w:hint="eastAsia" w:ascii="宋体" w:hAnsi="宋体" w:eastAsia="宋体" w:cs="宋体"/>
                <w:color w:val="auto"/>
                <w:szCs w:val="21"/>
                <w:highlight w:val="none"/>
              </w:rPr>
              <w:t>10分）</w:t>
            </w:r>
          </w:p>
        </w:tc>
        <w:tc>
          <w:tcPr>
            <w:tcW w:w="1234" w:type="dxa"/>
            <w:shd w:val="clear" w:color="auto" w:fill="auto"/>
            <w:vAlign w:val="center"/>
          </w:tcPr>
          <w:p w14:paraId="7AF9F2A2">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项目经理任职资格</w:t>
            </w:r>
          </w:p>
          <w:p w14:paraId="06363B47">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4962" w:type="dxa"/>
            <w:shd w:val="clear" w:color="auto" w:fill="auto"/>
            <w:vAlign w:val="center"/>
          </w:tcPr>
          <w:p w14:paraId="148FBBB0">
            <w:pPr>
              <w:keepNext w:val="0"/>
              <w:keepLines w:val="0"/>
              <w:pageBreakBefore w:val="0"/>
              <w:shd w:val="clear"/>
              <w:kinsoku/>
              <w:wordWrap/>
              <w:overflowPunct/>
              <w:topLinePunct w:val="0"/>
              <w:autoSpaceDE/>
              <w:autoSpaceDN/>
              <w:bidi w:val="0"/>
              <w:adjustRightInd/>
              <w:snapToGrid/>
              <w:spacing w:line="360" w:lineRule="exact"/>
              <w:ind w:firstLine="420" w:firstLineChars="200"/>
              <w:jc w:val="left"/>
              <w:textAlignment w:val="auto"/>
              <w:rPr>
                <w:rStyle w:val="20"/>
                <w:rFonts w:hint="eastAsia" w:ascii="宋体" w:hAnsi="宋体" w:eastAsia="宋体" w:cs="宋体"/>
                <w:color w:val="auto"/>
                <w:kern w:val="2"/>
                <w:sz w:val="21"/>
                <w:szCs w:val="21"/>
                <w:highlight w:val="none"/>
                <w:lang w:val="en-US" w:eastAsia="zh-CN" w:bidi="ar-SA"/>
              </w:rPr>
            </w:pPr>
            <w:r>
              <w:rPr>
                <w:rStyle w:val="20"/>
                <w:rFonts w:hint="eastAsia" w:ascii="宋体" w:hAnsi="宋体" w:eastAsia="宋体" w:cs="宋体"/>
                <w:color w:val="auto"/>
                <w:kern w:val="2"/>
                <w:sz w:val="21"/>
                <w:szCs w:val="21"/>
                <w:highlight w:val="none"/>
                <w:lang w:val="en-US" w:eastAsia="zh-CN" w:bidi="ar-SA"/>
              </w:rPr>
              <w:t>项目经理具有工程类专业中级以上（含中级）职称，得5分；（满分5分）</w:t>
            </w:r>
          </w:p>
          <w:p w14:paraId="2593473D">
            <w:pPr>
              <w:keepNext w:val="0"/>
              <w:keepLines w:val="0"/>
              <w:pageBreakBefore w:val="0"/>
              <w:shd w:val="clear"/>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注：未提供上述人员</w:t>
            </w:r>
            <w:r>
              <w:rPr>
                <w:rFonts w:hint="eastAsia" w:ascii="宋体" w:hAnsi="宋体" w:eastAsia="宋体" w:cs="宋体"/>
                <w:b/>
                <w:bCs/>
                <w:color w:val="auto"/>
                <w:highlight w:val="none"/>
                <w:lang w:eastAsia="zh-CN"/>
              </w:rPr>
              <w:t>半年内近三个月的社保</w:t>
            </w:r>
            <w:r>
              <w:rPr>
                <w:rFonts w:hint="eastAsia" w:ascii="宋体" w:hAnsi="宋体" w:eastAsia="宋体" w:cs="宋体"/>
                <w:b/>
                <w:bCs/>
                <w:color w:val="auto"/>
                <w:highlight w:val="none"/>
              </w:rPr>
              <w:t>缴纳证明的不予计分。</w:t>
            </w:r>
          </w:p>
        </w:tc>
      </w:tr>
      <w:tr w14:paraId="7E1A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shd w:val="clear" w:color="auto" w:fill="auto"/>
            <w:vAlign w:val="center"/>
          </w:tcPr>
          <w:p w14:paraId="0728C80F">
            <w:pPr>
              <w:spacing w:beforeLines="50" w:line="360" w:lineRule="auto"/>
              <w:rPr>
                <w:rFonts w:hint="eastAsia" w:ascii="宋体" w:hAnsi="宋体" w:eastAsia="宋体" w:cs="宋体"/>
                <w:color w:val="auto"/>
                <w:highlight w:val="none"/>
              </w:rPr>
            </w:pPr>
          </w:p>
        </w:tc>
        <w:tc>
          <w:tcPr>
            <w:tcW w:w="456" w:type="dxa"/>
            <w:vMerge w:val="continue"/>
            <w:shd w:val="clear" w:color="auto" w:fill="auto"/>
            <w:vAlign w:val="center"/>
          </w:tcPr>
          <w:p w14:paraId="0FD7AF04">
            <w:pPr>
              <w:spacing w:beforeLines="50" w:line="360" w:lineRule="auto"/>
              <w:rPr>
                <w:rFonts w:hint="eastAsia" w:ascii="宋体" w:hAnsi="宋体" w:eastAsia="宋体" w:cs="宋体"/>
                <w:color w:val="auto"/>
                <w:highlight w:val="none"/>
                <w:lang w:eastAsia="zh-CN"/>
              </w:rPr>
            </w:pPr>
          </w:p>
        </w:tc>
        <w:tc>
          <w:tcPr>
            <w:tcW w:w="1052" w:type="dxa"/>
            <w:vMerge w:val="continue"/>
            <w:shd w:val="clear" w:color="auto" w:fill="auto"/>
            <w:vAlign w:val="center"/>
          </w:tcPr>
          <w:p w14:paraId="3E37DC80">
            <w:pPr>
              <w:spacing w:beforeLines="50" w:line="360" w:lineRule="auto"/>
              <w:rPr>
                <w:rFonts w:hint="eastAsia" w:ascii="宋体" w:hAnsi="宋体" w:eastAsia="宋体" w:cs="宋体"/>
                <w:color w:val="auto"/>
                <w:szCs w:val="21"/>
                <w:highlight w:val="none"/>
                <w:lang w:eastAsia="zh-CN"/>
              </w:rPr>
            </w:pPr>
          </w:p>
        </w:tc>
        <w:tc>
          <w:tcPr>
            <w:tcW w:w="1124" w:type="dxa"/>
            <w:gridSpan w:val="3"/>
            <w:vMerge w:val="continue"/>
            <w:shd w:val="clear" w:color="auto" w:fill="auto"/>
            <w:vAlign w:val="center"/>
          </w:tcPr>
          <w:p w14:paraId="39E53E93">
            <w:pPr>
              <w:spacing w:beforeLines="50" w:line="360" w:lineRule="auto"/>
              <w:jc w:val="center"/>
              <w:rPr>
                <w:rFonts w:hint="eastAsia" w:ascii="宋体" w:hAnsi="宋体" w:eastAsia="宋体" w:cs="宋体"/>
                <w:color w:val="auto"/>
                <w:highlight w:val="none"/>
              </w:rPr>
            </w:pPr>
          </w:p>
        </w:tc>
        <w:tc>
          <w:tcPr>
            <w:tcW w:w="1234" w:type="dxa"/>
            <w:shd w:val="clear" w:color="auto" w:fill="auto"/>
            <w:vAlign w:val="center"/>
          </w:tcPr>
          <w:p w14:paraId="00A4AD90">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其他主要</w:t>
            </w:r>
          </w:p>
          <w:p w14:paraId="102A58B1">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人员</w:t>
            </w:r>
          </w:p>
          <w:p w14:paraId="7E87D093">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5</w:t>
            </w:r>
            <w:r>
              <w:rPr>
                <w:rFonts w:hint="eastAsia" w:ascii="宋体" w:hAnsi="宋体" w:eastAsia="宋体" w:cs="宋体"/>
                <w:color w:val="auto"/>
                <w:kern w:val="0"/>
                <w:highlight w:val="none"/>
              </w:rPr>
              <w:t>分）</w:t>
            </w:r>
          </w:p>
        </w:tc>
        <w:tc>
          <w:tcPr>
            <w:tcW w:w="4962" w:type="dxa"/>
            <w:shd w:val="clear" w:color="auto" w:fill="auto"/>
            <w:vAlign w:val="center"/>
          </w:tcPr>
          <w:p w14:paraId="0715A15C">
            <w:pPr>
              <w:keepNext w:val="0"/>
              <w:keepLines w:val="0"/>
              <w:pageBreakBefore w:val="0"/>
              <w:shd w:val="clea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其他配备人员：安全员、施工员、质量员、材料员应具有相应岗位资格证书，得5分；（满分5分）。</w:t>
            </w:r>
          </w:p>
          <w:p w14:paraId="2039300B">
            <w:pPr>
              <w:keepNext w:val="0"/>
              <w:keepLines w:val="0"/>
              <w:pageBreakBefore w:val="0"/>
              <w:shd w:val="clear"/>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注：未提供上述人员</w:t>
            </w:r>
            <w:r>
              <w:rPr>
                <w:rFonts w:hint="eastAsia" w:ascii="宋体" w:hAnsi="宋体" w:eastAsia="宋体" w:cs="宋体"/>
                <w:b/>
                <w:bCs/>
                <w:color w:val="auto"/>
                <w:highlight w:val="none"/>
                <w:lang w:eastAsia="zh-CN"/>
              </w:rPr>
              <w:t>半年内近三个月的社保</w:t>
            </w:r>
            <w:r>
              <w:rPr>
                <w:rFonts w:hint="eastAsia" w:ascii="宋体" w:hAnsi="宋体" w:eastAsia="宋体" w:cs="宋体"/>
                <w:b/>
                <w:bCs/>
                <w:color w:val="auto"/>
                <w:highlight w:val="none"/>
              </w:rPr>
              <w:t>缴纳证明的不予计分。</w:t>
            </w:r>
          </w:p>
        </w:tc>
      </w:tr>
      <w:tr w14:paraId="5DD0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6" w:type="dxa"/>
            <w:vMerge w:val="continue"/>
            <w:shd w:val="clear" w:color="auto" w:fill="auto"/>
            <w:vAlign w:val="center"/>
          </w:tcPr>
          <w:p w14:paraId="6EF03FC8">
            <w:pPr>
              <w:spacing w:beforeLines="50" w:line="360" w:lineRule="auto"/>
              <w:rPr>
                <w:rFonts w:hint="eastAsia" w:ascii="宋体" w:hAnsi="宋体" w:eastAsia="宋体" w:cs="宋体"/>
                <w:color w:val="auto"/>
                <w:highlight w:val="none"/>
              </w:rPr>
            </w:pPr>
          </w:p>
        </w:tc>
        <w:tc>
          <w:tcPr>
            <w:tcW w:w="456" w:type="dxa"/>
            <w:shd w:val="clear" w:color="auto" w:fill="auto"/>
            <w:vAlign w:val="center"/>
          </w:tcPr>
          <w:p w14:paraId="7036EDEB">
            <w:pPr>
              <w:spacing w:beforeLines="5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四</w:t>
            </w:r>
          </w:p>
        </w:tc>
        <w:tc>
          <w:tcPr>
            <w:tcW w:w="8372" w:type="dxa"/>
            <w:gridSpan w:val="6"/>
            <w:shd w:val="clear" w:color="auto" w:fill="auto"/>
            <w:vAlign w:val="center"/>
          </w:tcPr>
          <w:p w14:paraId="429EAD3F">
            <w:pPr>
              <w:spacing w:beforeLines="50"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 xml:space="preserve">总分=一+二 </w:t>
            </w:r>
            <w:r>
              <w:rPr>
                <w:rFonts w:hint="eastAsia" w:ascii="宋体" w:hAnsi="宋体" w:eastAsia="宋体" w:cs="宋体"/>
                <w:color w:val="auto"/>
                <w:highlight w:val="none"/>
                <w:lang w:val="en-US" w:eastAsia="zh-CN"/>
              </w:rPr>
              <w:t>+三</w:t>
            </w:r>
          </w:p>
        </w:tc>
      </w:tr>
      <w:tr w14:paraId="493A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shd w:val="clear" w:color="auto" w:fill="auto"/>
            <w:vAlign w:val="center"/>
          </w:tcPr>
          <w:p w14:paraId="6251F88B">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2.4.1</w:t>
            </w:r>
          </w:p>
        </w:tc>
        <w:tc>
          <w:tcPr>
            <w:tcW w:w="1508" w:type="dxa"/>
            <w:gridSpan w:val="2"/>
            <w:shd w:val="clear" w:color="auto" w:fill="auto"/>
            <w:vAlign w:val="center"/>
          </w:tcPr>
          <w:p w14:paraId="6109C5DD">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评审得分排序</w:t>
            </w:r>
          </w:p>
        </w:tc>
        <w:tc>
          <w:tcPr>
            <w:tcW w:w="7320" w:type="dxa"/>
            <w:gridSpan w:val="5"/>
            <w:shd w:val="clear" w:color="auto" w:fill="auto"/>
            <w:vAlign w:val="center"/>
          </w:tcPr>
          <w:p w14:paraId="7718B057">
            <w:pPr>
              <w:spacing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rPr>
              <w:t>按评审得分由高到低排序。评审得分相同的，按技术分得分由高到低排序；若技术分得分仍相同的，按报价由低到高顺序排列。</w:t>
            </w:r>
          </w:p>
        </w:tc>
      </w:tr>
    </w:tbl>
    <w:p w14:paraId="4029F0E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6495F98">
      <w:pPr>
        <w:pStyle w:val="3"/>
        <w:rPr>
          <w:rFonts w:hint="eastAsia" w:ascii="宋体" w:hAnsi="宋体" w:eastAsia="宋体" w:cs="宋体"/>
          <w:color w:val="auto"/>
          <w:sz w:val="28"/>
          <w:szCs w:val="28"/>
          <w:highlight w:val="none"/>
        </w:rPr>
      </w:pPr>
      <w:bookmarkStart w:id="86" w:name="_Toc105753210"/>
      <w:r>
        <w:rPr>
          <w:rFonts w:hint="eastAsia" w:ascii="宋体" w:hAnsi="宋体" w:eastAsia="宋体" w:cs="宋体"/>
          <w:color w:val="auto"/>
          <w:sz w:val="28"/>
          <w:szCs w:val="28"/>
          <w:highlight w:val="none"/>
        </w:rPr>
        <w:t>评标办法正文</w:t>
      </w:r>
      <w:bookmarkEnd w:id="84"/>
      <w:bookmarkEnd w:id="85"/>
      <w:bookmarkEnd w:id="86"/>
    </w:p>
    <w:p w14:paraId="0D2594D5">
      <w:pPr>
        <w:pStyle w:val="4"/>
        <w:rPr>
          <w:rFonts w:hint="eastAsia" w:ascii="宋体" w:hAnsi="宋体" w:eastAsia="宋体" w:cs="宋体"/>
          <w:color w:val="auto"/>
          <w:highlight w:val="none"/>
        </w:rPr>
      </w:pPr>
      <w:bookmarkStart w:id="87" w:name="_Toc533781571"/>
      <w:bookmarkStart w:id="88" w:name="_Toc533783523"/>
      <w:r>
        <w:rPr>
          <w:rFonts w:hint="eastAsia" w:ascii="宋体" w:hAnsi="宋体" w:eastAsia="宋体" w:cs="宋体"/>
          <w:color w:val="auto"/>
          <w:highlight w:val="none"/>
        </w:rPr>
        <w:t>1.评审标准</w:t>
      </w:r>
      <w:bookmarkEnd w:id="87"/>
      <w:bookmarkEnd w:id="88"/>
    </w:p>
    <w:p w14:paraId="4958F5A3">
      <w:pPr>
        <w:pStyle w:val="5"/>
        <w:rPr>
          <w:rFonts w:hint="eastAsia" w:ascii="宋体" w:hAnsi="宋体" w:eastAsia="宋体" w:cs="宋体"/>
          <w:color w:val="auto"/>
          <w:highlight w:val="none"/>
        </w:rPr>
      </w:pPr>
      <w:r>
        <w:rPr>
          <w:rFonts w:hint="eastAsia" w:ascii="宋体" w:hAnsi="宋体" w:eastAsia="宋体" w:cs="宋体"/>
          <w:color w:val="auto"/>
          <w:highlight w:val="none"/>
        </w:rPr>
        <w:t>1.1初步评审标准</w:t>
      </w:r>
    </w:p>
    <w:p w14:paraId="13AA74E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1.1.1资格审查：见评标办法前附表。</w:t>
      </w:r>
    </w:p>
    <w:p w14:paraId="52A514C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1.1.2符合性审查：见评标办法前附表。</w:t>
      </w:r>
    </w:p>
    <w:p w14:paraId="76646ACD">
      <w:pPr>
        <w:pStyle w:val="5"/>
        <w:rPr>
          <w:rFonts w:hint="eastAsia" w:ascii="宋体" w:hAnsi="宋体" w:eastAsia="宋体" w:cs="宋体"/>
          <w:color w:val="auto"/>
          <w:highlight w:val="none"/>
        </w:rPr>
      </w:pPr>
      <w:r>
        <w:rPr>
          <w:rFonts w:hint="eastAsia" w:ascii="宋体" w:hAnsi="宋体" w:eastAsia="宋体" w:cs="宋体"/>
          <w:color w:val="auto"/>
          <w:highlight w:val="none"/>
        </w:rPr>
        <w:t>1.2评定标准</w:t>
      </w:r>
    </w:p>
    <w:p w14:paraId="3D2062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综合评分法。</w:t>
      </w:r>
    </w:p>
    <w:p w14:paraId="66C0DC6C">
      <w:pPr>
        <w:pStyle w:val="4"/>
        <w:rPr>
          <w:rFonts w:hint="eastAsia" w:ascii="宋体" w:hAnsi="宋体" w:eastAsia="宋体" w:cs="宋体"/>
          <w:color w:val="auto"/>
          <w:highlight w:val="none"/>
        </w:rPr>
      </w:pPr>
      <w:bookmarkStart w:id="89" w:name="_Toc533783524"/>
      <w:bookmarkStart w:id="90" w:name="_Toc533781572"/>
      <w:r>
        <w:rPr>
          <w:rFonts w:hint="eastAsia" w:ascii="宋体" w:hAnsi="宋体" w:eastAsia="宋体" w:cs="宋体"/>
          <w:color w:val="auto"/>
          <w:highlight w:val="none"/>
        </w:rPr>
        <w:t>2.评标程序</w:t>
      </w:r>
      <w:bookmarkEnd w:id="89"/>
      <w:bookmarkEnd w:id="90"/>
    </w:p>
    <w:p w14:paraId="1BEE7CC6">
      <w:pPr>
        <w:pStyle w:val="5"/>
        <w:rPr>
          <w:rFonts w:hint="eastAsia" w:ascii="宋体" w:hAnsi="宋体" w:eastAsia="宋体" w:cs="宋体"/>
          <w:color w:val="auto"/>
          <w:highlight w:val="none"/>
        </w:rPr>
      </w:pPr>
      <w:r>
        <w:rPr>
          <w:rFonts w:hint="eastAsia" w:ascii="宋体" w:hAnsi="宋体" w:eastAsia="宋体" w:cs="宋体"/>
          <w:color w:val="auto"/>
          <w:highlight w:val="none"/>
        </w:rPr>
        <w:t>2.1初步评审</w:t>
      </w:r>
    </w:p>
    <w:p w14:paraId="72A4A85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2.1.1磋商小组依据本章第1.1款规定的标准对响应文件进行初步评审。有一项不符合评审标准的，其响应文件作无效处理。</w:t>
      </w:r>
    </w:p>
    <w:p w14:paraId="7FD4F1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2.1.2供应商有以下情形之一的，其响应文件作无效处理：</w:t>
      </w:r>
    </w:p>
    <w:p w14:paraId="1323BB9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（1）第二章“供应商须知”第1.3.3项规定的任一情形；</w:t>
      </w:r>
    </w:p>
    <w:p w14:paraId="7E6D735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（2）串通投标或弄虚作假或有其他违法行为的；</w:t>
      </w:r>
    </w:p>
    <w:p w14:paraId="3DE3E06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（3）响应文件中含有采购人不能接受的附件条件的；</w:t>
      </w:r>
    </w:p>
    <w:p w14:paraId="33AC4DF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（4）不按磋商小组要求澄清、说明或补正的。</w:t>
      </w:r>
    </w:p>
    <w:p w14:paraId="43DE662B">
      <w:pPr>
        <w:pStyle w:val="5"/>
        <w:rPr>
          <w:rFonts w:hint="eastAsia" w:ascii="宋体" w:hAnsi="宋体" w:eastAsia="宋体" w:cs="宋体"/>
          <w:color w:val="auto"/>
          <w:highlight w:val="none"/>
        </w:rPr>
      </w:pPr>
      <w:r>
        <w:rPr>
          <w:rFonts w:hint="eastAsia" w:ascii="宋体" w:hAnsi="宋体" w:eastAsia="宋体" w:cs="宋体"/>
          <w:color w:val="auto"/>
          <w:highlight w:val="none"/>
        </w:rPr>
        <w:t>2.2综合评分</w:t>
      </w:r>
    </w:p>
    <w:p w14:paraId="1117413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由磋商小组采用综合评分法对提交有效最后报价的供应商的响应文件和最后报价进行综合评分。评审时，磋商小组各成员应当独立对每个有效响应的文件进行评价、打分，然后汇总每个供应商每项评分因素的得分。</w:t>
      </w:r>
    </w:p>
    <w:p w14:paraId="336662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2.2.1分值构成：见评标办法前附表。</w:t>
      </w:r>
    </w:p>
    <w:p w14:paraId="164B49C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2.2.2评标报价：见评标办法前附表。</w:t>
      </w:r>
    </w:p>
    <w:p w14:paraId="6A3EB87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2.2.3评分标准：见评标办法前附表。</w:t>
      </w:r>
    </w:p>
    <w:p w14:paraId="53A5F68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2.2.4评分分值计算保留小数点后两位，小数点后第三位“四舍五入”。</w:t>
      </w:r>
    </w:p>
    <w:p w14:paraId="333AAB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2.2.5判断磋商报价是否低于成本：由磋商小组认定供应商是否以低于成本竞标。</w:t>
      </w:r>
    </w:p>
    <w:p w14:paraId="005D6E59">
      <w:pPr>
        <w:pStyle w:val="5"/>
        <w:rPr>
          <w:rFonts w:hint="eastAsia" w:ascii="宋体" w:hAnsi="宋体" w:eastAsia="宋体" w:cs="宋体"/>
          <w:color w:val="auto"/>
          <w:highlight w:val="none"/>
        </w:rPr>
      </w:pPr>
      <w:r>
        <w:rPr>
          <w:rFonts w:hint="eastAsia" w:ascii="宋体" w:hAnsi="宋体" w:eastAsia="宋体" w:cs="宋体"/>
          <w:color w:val="auto"/>
          <w:highlight w:val="none"/>
        </w:rPr>
        <w:t>2.3响应文件的澄清、说明和补正</w:t>
      </w:r>
    </w:p>
    <w:p w14:paraId="6A0C7B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2.3.1磋商小组在对响应文件的有效性、完整性和响应程度进行审查时，可以要求供应商对响应文件中含义不明确、同类问题表述不一致或者有明显文字和计算错误的内容等作出必要的澄清、说明或者更正。澄清、说明和补正必须由磋商小组书面提出、供应商书面答复，否则无效。磋商小组不得接受供应商主动提出的澄清、说明或补正。</w:t>
      </w:r>
    </w:p>
    <w:p w14:paraId="1B8255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2.3.2磋商报价有算术错误的，磋商小组按以下原则对磋商报价进行修正，修正的价格经供应商书面确认后具有约束力。供应商不接受修正价格的，其响应文件无效。</w:t>
      </w:r>
    </w:p>
    <w:p w14:paraId="4F1DD5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（1）磋商报价的大写金额与小写金额不一致的，以大写金额为准；</w:t>
      </w:r>
    </w:p>
    <w:p w14:paraId="75D2AD1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（2）总价金额与依据单价计算出的结果不一致的，以单价金额为准修正总价，但单价金额小数点有明显错误的除外。</w:t>
      </w:r>
    </w:p>
    <w:p w14:paraId="761A507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w:t>
      </w:r>
    </w:p>
    <w:p w14:paraId="326AA81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2.3.3供应商的澄清、说明或者更正不得超出响应文件的范围或者改变响应文件的实质性内容（算术性错误修正的除外）。供应商的书面澄清、说明和补正属于响应文件的组成部分。</w:t>
      </w:r>
    </w:p>
    <w:p w14:paraId="3B00AAA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2.3.4磋商小组对供应商提交的澄清、说明或补正有疑问的，可以要求供应商进一步澄清、说明或补正，直至满足磋商小组的要求。</w:t>
      </w:r>
    </w:p>
    <w:p w14:paraId="7E09F8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2.3.5对响应文件进行澄清、说明和补正时来往的书面材料传递，由采购代理机构的专职代理员或者交易中心的工作人员进行。</w:t>
      </w:r>
    </w:p>
    <w:p w14:paraId="683BC6AF">
      <w:pPr>
        <w:pStyle w:val="5"/>
        <w:rPr>
          <w:rFonts w:hint="eastAsia" w:ascii="宋体" w:hAnsi="宋体" w:eastAsia="宋体" w:cs="宋体"/>
          <w:color w:val="auto"/>
          <w:highlight w:val="none"/>
        </w:rPr>
      </w:pPr>
      <w:r>
        <w:rPr>
          <w:rFonts w:hint="eastAsia" w:ascii="宋体" w:hAnsi="宋体" w:eastAsia="宋体" w:cs="宋体"/>
          <w:color w:val="auto"/>
          <w:highlight w:val="none"/>
        </w:rPr>
        <w:t>2.4评标结果</w:t>
      </w:r>
    </w:p>
    <w:p w14:paraId="5B20DC0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2.4.1供应商评审得分排序规则：见评标办法须知前附表。</w:t>
      </w:r>
    </w:p>
    <w:p w14:paraId="53DDEC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2.4.2磋商小组按照供应商评审得分由高到低的顺序推荐成交候选人，并标明排序。</w:t>
      </w:r>
    </w:p>
    <w:p w14:paraId="78132DF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2.4.3磋商小组完成评标后，应当向采购人提交书面评标报告。评审专家应当在评标报告上签字，对自己的评审意见承担法律责任。对评标报告有异议的，应当在评标报告上签署不同意见并说明理由，否则视为同意评标报告。</w:t>
      </w:r>
    </w:p>
    <w:p w14:paraId="40BC00D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2.4.4磋商小组应将评标过程中使用的文件、表格以及其他材料即时归还采购人。</w:t>
      </w:r>
    </w:p>
    <w:p w14:paraId="09164F90">
      <w:pPr>
        <w:pStyle w:val="4"/>
        <w:rPr>
          <w:rFonts w:hint="eastAsia" w:ascii="宋体" w:hAnsi="宋体" w:eastAsia="宋体" w:cs="宋体"/>
          <w:color w:val="auto"/>
          <w:highlight w:val="none"/>
        </w:rPr>
      </w:pPr>
      <w:bookmarkStart w:id="91" w:name="_Toc533781573"/>
      <w:bookmarkStart w:id="92" w:name="_Toc533783525"/>
      <w:r>
        <w:rPr>
          <w:rFonts w:hint="eastAsia" w:ascii="宋体" w:hAnsi="宋体" w:eastAsia="宋体" w:cs="宋体"/>
          <w:color w:val="auto"/>
          <w:highlight w:val="none"/>
        </w:rPr>
        <w:t>3.特殊情况的处置程序</w:t>
      </w:r>
      <w:bookmarkEnd w:id="91"/>
      <w:bookmarkEnd w:id="92"/>
    </w:p>
    <w:p w14:paraId="0A69F68E">
      <w:pPr>
        <w:pStyle w:val="5"/>
        <w:rPr>
          <w:rFonts w:hint="eastAsia" w:ascii="宋体" w:hAnsi="宋体" w:eastAsia="宋体" w:cs="宋体"/>
          <w:color w:val="auto"/>
          <w:highlight w:val="none"/>
        </w:rPr>
      </w:pPr>
      <w:r>
        <w:rPr>
          <w:rFonts w:hint="eastAsia" w:ascii="宋体" w:hAnsi="宋体" w:eastAsia="宋体" w:cs="宋体"/>
          <w:color w:val="auto"/>
          <w:highlight w:val="none"/>
        </w:rPr>
        <w:t>3.1关于评标活动暂停</w:t>
      </w:r>
    </w:p>
    <w:p w14:paraId="02B9782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3.1.1磋商小组应当执行连续评标的原则，按评标办法中规定的程序、内容、方法、标准完成全部评标工作。只有发生不可抗力导致评标工作无法继续时，评标活动方可暂停。</w:t>
      </w:r>
    </w:p>
    <w:p w14:paraId="4C08269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3.1.2发生评标暂停情况时，磋商小组应当封存全部投标文件和评标记录，待不可抗力的影响结束且具备继续评标的条件时，由原磋商小组继续评标。</w:t>
      </w:r>
    </w:p>
    <w:p w14:paraId="106B078F">
      <w:pPr>
        <w:pStyle w:val="5"/>
        <w:rPr>
          <w:rFonts w:hint="eastAsia" w:ascii="宋体" w:hAnsi="宋体" w:eastAsia="宋体" w:cs="宋体"/>
          <w:color w:val="auto"/>
          <w:highlight w:val="none"/>
        </w:rPr>
      </w:pPr>
      <w:r>
        <w:rPr>
          <w:rFonts w:hint="eastAsia" w:ascii="宋体" w:hAnsi="宋体" w:eastAsia="宋体" w:cs="宋体"/>
          <w:color w:val="auto"/>
          <w:highlight w:val="none"/>
        </w:rPr>
        <w:t>3.2关于评标中途更换评委</w:t>
      </w:r>
    </w:p>
    <w:p w14:paraId="7585BFA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3.2.1出现评审专家缺席、回避等情形导致评审现场专家数量不符合规定的，采购人或者采购代理机构应当及时补抽评审专家，或者经采购人主管预算单位同意自行选定补足评审专家。被更换的磋商小组成员所作出的评标意见无效。</w:t>
      </w:r>
    </w:p>
    <w:p w14:paraId="529EC8E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无法及时补足评审专家的，采购人或者采购代理机构应当立即停止评审工作，妥善保存磋商文件，依法重新组建磋商小组进行评审。原评磋商小组所作出的评标意见无效。</w:t>
      </w:r>
    </w:p>
    <w:p w14:paraId="37CF0E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3.2.2评审专家发现磋商文件内容违反国家有关强制性规定或者磋商文件存在歧义、重大缺陷导致评审工作无法进行时，应当停止评审并向采购人或者采购代理机构书面说明情况。</w:t>
      </w:r>
    </w:p>
    <w:p w14:paraId="5A825309">
      <w:pPr>
        <w:pStyle w:val="5"/>
        <w:rPr>
          <w:rFonts w:hint="eastAsia" w:ascii="宋体" w:hAnsi="宋体" w:eastAsia="宋体" w:cs="宋体"/>
          <w:color w:val="auto"/>
          <w:highlight w:val="none"/>
        </w:rPr>
      </w:pPr>
      <w:r>
        <w:rPr>
          <w:rFonts w:hint="eastAsia" w:ascii="宋体" w:hAnsi="宋体" w:eastAsia="宋体" w:cs="宋体"/>
          <w:color w:val="auto"/>
          <w:highlight w:val="none"/>
        </w:rPr>
        <w:t>3.3关于争议解决</w:t>
      </w:r>
    </w:p>
    <w:p w14:paraId="6CA9ADF4">
      <w:pPr>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对需要共同认定的事项存在争议的，按照少数服从多数的原则做出结论。</w:t>
      </w:r>
      <w:r>
        <w:rPr>
          <w:rFonts w:hint="eastAsia" w:ascii="宋体" w:hAnsi="宋体" w:eastAsia="宋体" w:cs="宋体"/>
          <w:b/>
          <w:color w:val="auto"/>
          <w:highlight w:val="none"/>
        </w:rPr>
        <w:br w:type="page"/>
      </w:r>
    </w:p>
    <w:p w14:paraId="5B16386F">
      <w:pPr>
        <w:keepNext/>
        <w:keepLines/>
        <w:spacing w:line="360" w:lineRule="auto"/>
        <w:jc w:val="center"/>
        <w:outlineLvl w:val="0"/>
        <w:rPr>
          <w:rFonts w:hint="eastAsia" w:ascii="宋体" w:hAnsi="宋体" w:eastAsia="宋体" w:cs="宋体"/>
          <w:b/>
          <w:bCs/>
          <w:color w:val="auto"/>
          <w:sz w:val="32"/>
          <w:szCs w:val="44"/>
          <w:highlight w:val="none"/>
          <w:lang w:val="zh-CN"/>
        </w:rPr>
      </w:pPr>
      <w:bookmarkStart w:id="93" w:name="_Toc53129783"/>
      <w:bookmarkStart w:id="94" w:name="_Toc105753211"/>
      <w:bookmarkStart w:id="95" w:name="_Toc15973712"/>
      <w:bookmarkStart w:id="96" w:name="_Toc37834288"/>
      <w:bookmarkStart w:id="97" w:name="_Toc533783526"/>
      <w:bookmarkStart w:id="98" w:name="_Toc23246"/>
      <w:bookmarkStart w:id="99" w:name="_Toc533781574"/>
      <w:r>
        <w:rPr>
          <w:rFonts w:hint="eastAsia" w:ascii="宋体" w:hAnsi="宋体" w:eastAsia="宋体" w:cs="宋体"/>
          <w:b/>
          <w:bCs/>
          <w:color w:val="auto"/>
          <w:sz w:val="32"/>
          <w:szCs w:val="44"/>
          <w:highlight w:val="none"/>
          <w:lang w:val="zh-CN"/>
        </w:rPr>
        <w:t>第四章  合同条款及格式</w:t>
      </w:r>
      <w:bookmarkEnd w:id="93"/>
      <w:bookmarkEnd w:id="94"/>
      <w:bookmarkEnd w:id="95"/>
      <w:bookmarkEnd w:id="96"/>
      <w:bookmarkEnd w:id="97"/>
      <w:bookmarkEnd w:id="98"/>
      <w:bookmarkEnd w:id="99"/>
    </w:p>
    <w:p w14:paraId="04013874">
      <w:pPr>
        <w:pStyle w:val="2"/>
        <w:jc w:val="center"/>
        <w:rPr>
          <w:rFonts w:hint="eastAsia" w:ascii="宋体" w:hAnsi="宋体" w:eastAsia="宋体" w:cs="宋体"/>
          <w:color w:val="auto"/>
          <w:sz w:val="28"/>
          <w:szCs w:val="28"/>
          <w:highlight w:val="none"/>
        </w:rPr>
      </w:pPr>
      <w:bookmarkStart w:id="100" w:name="_Toc296503025"/>
      <w:bookmarkStart w:id="101" w:name="_Toc11228"/>
      <w:bookmarkStart w:id="102" w:name="_Toc31436"/>
      <w:r>
        <w:rPr>
          <w:rFonts w:hint="eastAsia" w:ascii="宋体" w:hAnsi="宋体" w:eastAsia="宋体" w:cs="宋体"/>
          <w:color w:val="auto"/>
          <w:sz w:val="28"/>
          <w:szCs w:val="28"/>
          <w:highlight w:val="none"/>
        </w:rPr>
        <w:t>第一</w:t>
      </w:r>
      <w:bookmarkEnd w:id="100"/>
      <w:r>
        <w:rPr>
          <w:rFonts w:hint="eastAsia" w:ascii="宋体" w:hAnsi="宋体" w:eastAsia="宋体" w:cs="宋体"/>
          <w:color w:val="auto"/>
          <w:sz w:val="28"/>
          <w:szCs w:val="28"/>
          <w:highlight w:val="none"/>
        </w:rPr>
        <w:t>部分 合同协议书</w:t>
      </w:r>
      <w:bookmarkEnd w:id="101"/>
      <w:bookmarkEnd w:id="102"/>
    </w:p>
    <w:p w14:paraId="737AE36C">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发包人（全称）：</w:t>
      </w:r>
      <w:r>
        <w:rPr>
          <w:rFonts w:hint="eastAsia" w:ascii="宋体" w:hAnsi="宋体" w:eastAsia="宋体" w:cs="宋体"/>
          <w:color w:val="auto"/>
          <w:highlight w:val="none"/>
          <w:u w:val="single"/>
        </w:rPr>
        <w:t>                              </w:t>
      </w:r>
    </w:p>
    <w:p w14:paraId="08714D31">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承包人（全称）：</w:t>
      </w:r>
      <w:r>
        <w:rPr>
          <w:rFonts w:hint="eastAsia" w:ascii="宋体" w:hAnsi="宋体" w:eastAsia="宋体" w:cs="宋体"/>
          <w:color w:val="auto"/>
          <w:highlight w:val="none"/>
          <w:u w:val="single"/>
        </w:rPr>
        <w:t>                              </w:t>
      </w:r>
    </w:p>
    <w:p w14:paraId="2BEA60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根据《中华人民共和国</w:t>
      </w:r>
      <w:r>
        <w:rPr>
          <w:rFonts w:hint="eastAsia" w:ascii="宋体" w:hAnsi="宋体" w:eastAsia="宋体" w:cs="宋体"/>
          <w:color w:val="auto"/>
          <w:highlight w:val="none"/>
          <w:lang w:eastAsia="zh-CN"/>
        </w:rPr>
        <w:t>民法典</w:t>
      </w:r>
      <w:r>
        <w:rPr>
          <w:rFonts w:hint="eastAsia" w:ascii="宋体" w:hAnsi="宋体" w:eastAsia="宋体" w:cs="宋体"/>
          <w:color w:val="auto"/>
          <w:highlight w:val="none"/>
        </w:rPr>
        <w:t>》、《中华人民共和国建筑法》及有关法律规定，遵循平等、自愿、公平和诚实信用的原则，双方就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工程施工及有关事项协商一致，共同达成如下协议：</w:t>
      </w:r>
      <w:bookmarkStart w:id="103" w:name="_Toc351203481"/>
    </w:p>
    <w:p w14:paraId="5D400236">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一、工程概况</w:t>
      </w:r>
      <w:bookmarkEnd w:id="103"/>
    </w:p>
    <w:p w14:paraId="581E7B6C">
      <w:pPr>
        <w:spacing w:line="360" w:lineRule="auto"/>
        <w:ind w:firstLine="411" w:firstLineChars="196"/>
        <w:rPr>
          <w:rFonts w:hint="eastAsia" w:ascii="宋体" w:hAnsi="宋体" w:eastAsia="宋体" w:cs="宋体"/>
          <w:color w:val="auto"/>
          <w:highlight w:val="none"/>
          <w:u w:val="single"/>
        </w:rPr>
      </w:pPr>
      <w:r>
        <w:rPr>
          <w:rFonts w:hint="eastAsia" w:ascii="宋体" w:hAnsi="宋体" w:eastAsia="宋体" w:cs="宋体"/>
          <w:bCs/>
          <w:color w:val="auto"/>
          <w:highlight w:val="none"/>
        </w:rPr>
        <w:t>1. 工程名称</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E76C712">
      <w:pPr>
        <w:spacing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2. 工程地点：</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421459E">
      <w:pPr>
        <w:spacing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3. 工程立项批准文号：</w:t>
      </w:r>
      <w:r>
        <w:rPr>
          <w:rFonts w:hint="eastAsia" w:ascii="宋体" w:hAnsi="宋体" w:eastAsia="宋体" w:cs="宋体"/>
          <w:color w:val="auto"/>
          <w:highlight w:val="none"/>
          <w:u w:val="single"/>
        </w:rPr>
        <w:t xml:space="preserve">       </w:t>
      </w:r>
      <w:r>
        <w:rPr>
          <w:rFonts w:hint="eastAsia" w:ascii="宋体" w:hAnsi="宋体" w:eastAsia="宋体" w:cs="宋体"/>
          <w:bCs/>
          <w:color w:val="auto"/>
          <w:highlight w:val="none"/>
        </w:rPr>
        <w:t>。</w:t>
      </w:r>
    </w:p>
    <w:p w14:paraId="2D5B6F35">
      <w:pPr>
        <w:spacing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4. 资金来源：</w:t>
      </w:r>
      <w:r>
        <w:rPr>
          <w:rFonts w:hint="eastAsia" w:ascii="宋体" w:hAnsi="宋体" w:eastAsia="宋体" w:cs="宋体"/>
          <w:color w:val="auto"/>
          <w:highlight w:val="none"/>
          <w:u w:val="single"/>
        </w:rPr>
        <w:t xml:space="preserve">       </w:t>
      </w:r>
      <w:r>
        <w:rPr>
          <w:rFonts w:hint="eastAsia" w:ascii="宋体" w:hAnsi="宋体" w:eastAsia="宋体" w:cs="宋体"/>
          <w:bCs/>
          <w:color w:val="auto"/>
          <w:highlight w:val="none"/>
        </w:rPr>
        <w:t>。</w:t>
      </w:r>
    </w:p>
    <w:p w14:paraId="73F9A1DA">
      <w:pPr>
        <w:spacing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5. 工程内容：</w:t>
      </w:r>
      <w:r>
        <w:rPr>
          <w:rFonts w:hint="eastAsia" w:ascii="宋体" w:hAnsi="宋体" w:eastAsia="宋体" w:cs="宋体"/>
          <w:color w:val="auto"/>
          <w:highlight w:val="none"/>
          <w:u w:val="single"/>
        </w:rPr>
        <w:t xml:space="preserve">       </w:t>
      </w:r>
      <w:r>
        <w:rPr>
          <w:rFonts w:hint="eastAsia" w:ascii="宋体" w:hAnsi="宋体" w:eastAsia="宋体" w:cs="宋体"/>
          <w:bCs/>
          <w:color w:val="auto"/>
          <w:highlight w:val="none"/>
        </w:rPr>
        <w:t>。</w:t>
      </w:r>
    </w:p>
    <w:p w14:paraId="379CAE2F">
      <w:pPr>
        <w:spacing w:line="360" w:lineRule="auto"/>
        <w:ind w:firstLine="411" w:firstLineChars="196"/>
        <w:rPr>
          <w:rFonts w:hint="eastAsia" w:ascii="宋体" w:hAnsi="宋体" w:eastAsia="宋体" w:cs="宋体"/>
          <w:bCs/>
          <w:color w:val="auto"/>
          <w:highlight w:val="none"/>
        </w:rPr>
      </w:pPr>
      <w:r>
        <w:rPr>
          <w:rFonts w:hint="eastAsia" w:ascii="宋体" w:hAnsi="宋体" w:eastAsia="宋体" w:cs="宋体"/>
          <w:color w:val="auto"/>
          <w:highlight w:val="none"/>
        </w:rPr>
        <w:t>群体工程应附《承包人承揽工程项目一览表》（附件1）。</w:t>
      </w:r>
    </w:p>
    <w:p w14:paraId="5486F793">
      <w:pPr>
        <w:spacing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6. 工程承包范围：</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4C37C5B">
      <w:pPr>
        <w:spacing w:line="360" w:lineRule="auto"/>
        <w:ind w:firstLine="407" w:firstLineChars="193"/>
        <w:rPr>
          <w:rFonts w:hint="eastAsia" w:ascii="宋体" w:hAnsi="宋体" w:eastAsia="宋体" w:cs="宋体"/>
          <w:b/>
          <w:bCs/>
          <w:color w:val="auto"/>
          <w:highlight w:val="none"/>
        </w:rPr>
      </w:pPr>
      <w:bookmarkStart w:id="104" w:name="_Toc351203482"/>
      <w:r>
        <w:rPr>
          <w:rFonts w:hint="eastAsia" w:ascii="宋体" w:hAnsi="宋体" w:eastAsia="宋体" w:cs="宋体"/>
          <w:b/>
          <w:bCs/>
          <w:color w:val="auto"/>
          <w:highlight w:val="none"/>
        </w:rPr>
        <w:t>二、合同工期</w:t>
      </w:r>
      <w:bookmarkEnd w:id="104"/>
    </w:p>
    <w:p w14:paraId="2E809337">
      <w:pPr>
        <w:spacing w:line="360" w:lineRule="auto"/>
        <w:ind w:firstLine="459"/>
        <w:rPr>
          <w:rFonts w:hint="eastAsia" w:ascii="宋体" w:hAnsi="宋体" w:eastAsia="宋体" w:cs="宋体"/>
          <w:color w:val="auto"/>
          <w:highlight w:val="none"/>
        </w:rPr>
      </w:pPr>
      <w:r>
        <w:rPr>
          <w:rFonts w:hint="eastAsia" w:ascii="宋体" w:hAnsi="宋体" w:eastAsia="宋体" w:cs="宋体"/>
          <w:color w:val="auto"/>
          <w:highlight w:val="none"/>
        </w:rPr>
        <w:t>计划开工日期：</w:t>
      </w:r>
      <w:r>
        <w:rPr>
          <w:rFonts w:hint="eastAsia" w:ascii="宋体" w:hAnsi="宋体" w:eastAsia="宋体" w:cs="宋体"/>
          <w:color w:val="auto"/>
          <w:highlight w:val="none"/>
          <w:u w:val="single"/>
        </w:rPr>
        <w:t></w:t>
      </w:r>
      <w:r>
        <w:rPr>
          <w:rFonts w:hint="eastAsia" w:ascii="宋体" w:hAnsi="宋体" w:eastAsia="宋体" w:cs="宋体"/>
          <w:color w:val="auto"/>
          <w:highlight w:val="none"/>
        </w:rPr>
        <w:t>年</w:t>
      </w:r>
      <w:r>
        <w:rPr>
          <w:rFonts w:hint="eastAsia" w:ascii="宋体" w:hAnsi="宋体" w:eastAsia="宋体" w:cs="宋体"/>
          <w:color w:val="auto"/>
          <w:highlight w:val="none"/>
          <w:u w:val="single"/>
        </w:rPr>
        <w:t></w:t>
      </w:r>
      <w:r>
        <w:rPr>
          <w:rFonts w:hint="eastAsia" w:ascii="宋体" w:hAnsi="宋体" w:eastAsia="宋体" w:cs="宋体"/>
          <w:color w:val="auto"/>
          <w:highlight w:val="none"/>
        </w:rPr>
        <w:t>月</w:t>
      </w:r>
      <w:r>
        <w:rPr>
          <w:rFonts w:hint="eastAsia" w:ascii="宋体" w:hAnsi="宋体" w:eastAsia="宋体" w:cs="宋体"/>
          <w:color w:val="auto"/>
          <w:highlight w:val="none"/>
          <w:u w:val="single"/>
        </w:rPr>
        <w:t></w:t>
      </w:r>
      <w:r>
        <w:rPr>
          <w:rFonts w:hint="eastAsia" w:ascii="宋体" w:hAnsi="宋体" w:eastAsia="宋体" w:cs="宋体"/>
          <w:color w:val="auto"/>
          <w:highlight w:val="none"/>
        </w:rPr>
        <w:t>日。（具体以发包人书面通知为准）</w:t>
      </w:r>
    </w:p>
    <w:p w14:paraId="756296EF">
      <w:pPr>
        <w:spacing w:line="360" w:lineRule="auto"/>
        <w:ind w:firstLine="459"/>
        <w:rPr>
          <w:rFonts w:hint="eastAsia" w:ascii="宋体" w:hAnsi="宋体" w:eastAsia="宋体" w:cs="宋体"/>
          <w:color w:val="auto"/>
          <w:highlight w:val="none"/>
        </w:rPr>
      </w:pPr>
      <w:r>
        <w:rPr>
          <w:rFonts w:hint="eastAsia" w:ascii="宋体" w:hAnsi="宋体" w:eastAsia="宋体" w:cs="宋体"/>
          <w:color w:val="auto"/>
          <w:highlight w:val="none"/>
        </w:rPr>
        <w:t>计划竣工日期：</w:t>
      </w:r>
      <w:r>
        <w:rPr>
          <w:rFonts w:hint="eastAsia" w:ascii="宋体" w:hAnsi="宋体" w:eastAsia="宋体" w:cs="宋体"/>
          <w:color w:val="auto"/>
          <w:highlight w:val="none"/>
          <w:u w:val="single"/>
        </w:rPr>
        <w:t></w:t>
      </w:r>
      <w:r>
        <w:rPr>
          <w:rFonts w:hint="eastAsia" w:ascii="宋体" w:hAnsi="宋体" w:eastAsia="宋体" w:cs="宋体"/>
          <w:color w:val="auto"/>
          <w:highlight w:val="none"/>
        </w:rPr>
        <w:t>年</w:t>
      </w:r>
      <w:r>
        <w:rPr>
          <w:rFonts w:hint="eastAsia" w:ascii="宋体" w:hAnsi="宋体" w:eastAsia="宋体" w:cs="宋体"/>
          <w:color w:val="auto"/>
          <w:highlight w:val="none"/>
          <w:u w:val="single"/>
        </w:rPr>
        <w:t></w:t>
      </w:r>
      <w:r>
        <w:rPr>
          <w:rFonts w:hint="eastAsia" w:ascii="宋体" w:hAnsi="宋体" w:eastAsia="宋体" w:cs="宋体"/>
          <w:color w:val="auto"/>
          <w:highlight w:val="none"/>
        </w:rPr>
        <w:t>月</w:t>
      </w:r>
      <w:r>
        <w:rPr>
          <w:rFonts w:hint="eastAsia" w:ascii="宋体" w:hAnsi="宋体" w:eastAsia="宋体" w:cs="宋体"/>
          <w:color w:val="auto"/>
          <w:highlight w:val="none"/>
          <w:u w:val="single"/>
        </w:rPr>
        <w:t></w:t>
      </w:r>
      <w:r>
        <w:rPr>
          <w:rFonts w:hint="eastAsia" w:ascii="宋体" w:hAnsi="宋体" w:eastAsia="宋体" w:cs="宋体"/>
          <w:color w:val="auto"/>
          <w:highlight w:val="none"/>
        </w:rPr>
        <w:t>日。</w:t>
      </w:r>
    </w:p>
    <w:p w14:paraId="44E4A3E4">
      <w:pPr>
        <w:spacing w:line="360" w:lineRule="auto"/>
        <w:ind w:firstLine="459"/>
        <w:rPr>
          <w:rFonts w:hint="eastAsia" w:ascii="宋体" w:hAnsi="宋体" w:eastAsia="宋体" w:cs="宋体"/>
          <w:color w:val="auto"/>
          <w:highlight w:val="none"/>
        </w:rPr>
      </w:pPr>
      <w:r>
        <w:rPr>
          <w:rFonts w:hint="eastAsia" w:ascii="宋体" w:hAnsi="宋体" w:eastAsia="宋体" w:cs="宋体"/>
          <w:color w:val="auto"/>
          <w:highlight w:val="none"/>
        </w:rPr>
        <w:t>工期总日历天数：</w:t>
      </w:r>
      <w:r>
        <w:rPr>
          <w:rFonts w:hint="eastAsia" w:ascii="宋体" w:hAnsi="宋体" w:eastAsia="宋体" w:cs="宋体"/>
          <w:color w:val="auto"/>
          <w:highlight w:val="none"/>
          <w:u w:val="single"/>
        </w:rPr>
        <w:t></w:t>
      </w:r>
      <w:r>
        <w:rPr>
          <w:rFonts w:hint="eastAsia" w:ascii="宋体" w:hAnsi="宋体" w:eastAsia="宋体" w:cs="宋体"/>
          <w:color w:val="auto"/>
          <w:highlight w:val="none"/>
        </w:rPr>
        <w:t>天。工期总日历天数与根据前述计划开竣工日期计算的工期天数不一致的，以工期总日历天数为准。</w:t>
      </w:r>
    </w:p>
    <w:p w14:paraId="59D0CA58">
      <w:pPr>
        <w:spacing w:line="360" w:lineRule="auto"/>
        <w:ind w:firstLine="459"/>
        <w:rPr>
          <w:rFonts w:hint="eastAsia" w:ascii="宋体" w:hAnsi="宋体" w:eastAsia="宋体" w:cs="宋体"/>
          <w:b/>
          <w:bCs/>
          <w:color w:val="auto"/>
          <w:highlight w:val="none"/>
        </w:rPr>
      </w:pPr>
      <w:bookmarkStart w:id="105" w:name="_Toc351203483"/>
      <w:r>
        <w:rPr>
          <w:rFonts w:hint="eastAsia" w:ascii="宋体" w:hAnsi="宋体" w:eastAsia="宋体" w:cs="宋体"/>
          <w:b/>
          <w:bCs/>
          <w:color w:val="auto"/>
          <w:highlight w:val="none"/>
        </w:rPr>
        <w:t>三、质量标准</w:t>
      </w:r>
      <w:bookmarkEnd w:id="105"/>
    </w:p>
    <w:p w14:paraId="1B2B1EF5">
      <w:pPr>
        <w:spacing w:line="360" w:lineRule="auto"/>
        <w:ind w:firstLine="459"/>
        <w:rPr>
          <w:rFonts w:hint="eastAsia" w:ascii="宋体" w:hAnsi="宋体" w:eastAsia="宋体" w:cs="宋体"/>
          <w:color w:val="auto"/>
          <w:highlight w:val="none"/>
        </w:rPr>
      </w:pPr>
      <w:r>
        <w:rPr>
          <w:rFonts w:hint="eastAsia" w:ascii="宋体" w:hAnsi="宋体" w:eastAsia="宋体" w:cs="宋体"/>
          <w:color w:val="auto"/>
          <w:highlight w:val="none"/>
        </w:rPr>
        <w:t>工程质量符合</w:t>
      </w:r>
      <w:r>
        <w:rPr>
          <w:rFonts w:hint="eastAsia" w:ascii="宋体" w:hAnsi="宋体" w:eastAsia="宋体" w:cs="宋体"/>
          <w:color w:val="auto"/>
          <w:highlight w:val="none"/>
          <w:u w:val="single"/>
        </w:rPr>
        <w:t></w:t>
      </w:r>
      <w:r>
        <w:rPr>
          <w:rFonts w:hint="eastAsia" w:ascii="宋体" w:hAnsi="宋体" w:eastAsia="宋体" w:cs="宋体"/>
          <w:color w:val="auto"/>
          <w:highlight w:val="none"/>
        </w:rPr>
        <w:t>标准。</w:t>
      </w:r>
    </w:p>
    <w:p w14:paraId="3A27CB4D">
      <w:pPr>
        <w:spacing w:line="360" w:lineRule="auto"/>
        <w:ind w:firstLine="459"/>
        <w:rPr>
          <w:rFonts w:hint="eastAsia" w:ascii="宋体" w:hAnsi="宋体" w:eastAsia="宋体" w:cs="宋体"/>
          <w:b/>
          <w:bCs/>
          <w:color w:val="auto"/>
          <w:highlight w:val="none"/>
        </w:rPr>
      </w:pPr>
      <w:bookmarkStart w:id="106" w:name="_Toc351203484"/>
      <w:r>
        <w:rPr>
          <w:rFonts w:hint="eastAsia" w:ascii="宋体" w:hAnsi="宋体" w:eastAsia="宋体" w:cs="宋体"/>
          <w:b/>
          <w:bCs/>
          <w:color w:val="auto"/>
          <w:highlight w:val="none"/>
        </w:rPr>
        <w:t>四、签约合同价与合同价格形式</w:t>
      </w:r>
      <w:bookmarkEnd w:id="106"/>
    </w:p>
    <w:p w14:paraId="0DB765AF">
      <w:pPr>
        <w:spacing w:line="360" w:lineRule="auto"/>
        <w:ind w:firstLine="459"/>
        <w:rPr>
          <w:rFonts w:hint="eastAsia" w:ascii="宋体" w:hAnsi="宋体" w:eastAsia="宋体" w:cs="宋体"/>
          <w:color w:val="auto"/>
          <w:highlight w:val="none"/>
        </w:rPr>
      </w:pPr>
      <w:r>
        <w:rPr>
          <w:rFonts w:hint="eastAsia" w:ascii="宋体" w:hAnsi="宋体" w:eastAsia="宋体" w:cs="宋体"/>
          <w:color w:val="auto"/>
          <w:highlight w:val="none"/>
        </w:rPr>
        <w:t>1. 签约合同价为：</w:t>
      </w:r>
    </w:p>
    <w:p w14:paraId="68EE374D">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4F5C058D">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其中：</w:t>
      </w:r>
    </w:p>
    <w:p w14:paraId="2702289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（1）安全文明施工费：</w:t>
      </w:r>
    </w:p>
    <w:p w14:paraId="0DB37E45">
      <w:pPr>
        <w:spacing w:line="360" w:lineRule="auto"/>
        <w:ind w:left="420" w:leftChars="200"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1930DD3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（2）建安劳保费：</w:t>
      </w:r>
    </w:p>
    <w:p w14:paraId="6D998219">
      <w:pPr>
        <w:spacing w:line="360" w:lineRule="auto"/>
        <w:ind w:left="420" w:leftChars="200"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3204D22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（3）材料和工程设备暂估价金额：</w:t>
      </w:r>
    </w:p>
    <w:p w14:paraId="54DDB4A0">
      <w:pPr>
        <w:spacing w:line="360" w:lineRule="auto"/>
        <w:ind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0DFF10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（4）专业工程暂估价金额：</w:t>
      </w:r>
    </w:p>
    <w:p w14:paraId="43C4CC87">
      <w:pPr>
        <w:spacing w:line="360" w:lineRule="auto"/>
        <w:ind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39C0AA7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（5）暂列金额：</w:t>
      </w:r>
    </w:p>
    <w:p w14:paraId="19E90C46">
      <w:pPr>
        <w:spacing w:line="360" w:lineRule="auto"/>
        <w:ind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6129EB1A">
      <w:pPr>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（6）增值税额：</w:t>
      </w:r>
    </w:p>
    <w:p w14:paraId="55B63AB9">
      <w:pPr>
        <w:spacing w:line="360" w:lineRule="auto"/>
        <w:ind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21B1ADDF">
      <w:pPr>
        <w:spacing w:line="360" w:lineRule="auto"/>
        <w:ind w:firstLine="987" w:firstLineChars="470"/>
        <w:rPr>
          <w:rFonts w:hint="eastAsia" w:ascii="宋体" w:hAnsi="宋体" w:eastAsia="宋体" w:cs="宋体"/>
          <w:color w:val="auto"/>
          <w:highlight w:val="none"/>
        </w:rPr>
      </w:pPr>
      <w:r>
        <w:rPr>
          <w:rFonts w:hint="eastAsia" w:ascii="宋体" w:hAnsi="宋体" w:eastAsia="宋体" w:cs="宋体"/>
          <w:color w:val="auto"/>
          <w:highlight w:val="none"/>
        </w:rPr>
        <w:t>增值税率：</w:t>
      </w:r>
      <w:r>
        <w:rPr>
          <w:rFonts w:hint="eastAsia" w:ascii="宋体" w:hAnsi="宋体" w:eastAsia="宋体" w:cs="宋体"/>
          <w:color w:val="auto"/>
          <w:highlight w:val="none"/>
          <w:u w:val="single"/>
        </w:rPr>
        <w:t xml:space="preserve">  　　　　　　  </w:t>
      </w:r>
    </w:p>
    <w:p w14:paraId="54B85E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 合同价格形式：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66A79B4">
      <w:pPr>
        <w:spacing w:line="360" w:lineRule="auto"/>
        <w:ind w:firstLine="422" w:firstLineChars="200"/>
        <w:rPr>
          <w:rFonts w:hint="eastAsia" w:ascii="宋体" w:hAnsi="宋体" w:eastAsia="宋体" w:cs="宋体"/>
          <w:b/>
          <w:bCs/>
          <w:color w:val="auto"/>
          <w:highlight w:val="none"/>
        </w:rPr>
      </w:pPr>
      <w:bookmarkStart w:id="107" w:name="_Toc351203485"/>
      <w:r>
        <w:rPr>
          <w:rFonts w:hint="eastAsia" w:ascii="宋体" w:hAnsi="宋体" w:eastAsia="宋体" w:cs="宋体"/>
          <w:b/>
          <w:bCs/>
          <w:color w:val="auto"/>
          <w:highlight w:val="none"/>
        </w:rPr>
        <w:t>五、</w:t>
      </w:r>
      <w:bookmarkEnd w:id="107"/>
      <w:r>
        <w:rPr>
          <w:rFonts w:hint="eastAsia" w:ascii="宋体" w:hAnsi="宋体" w:eastAsia="宋体" w:cs="宋体"/>
          <w:b/>
          <w:bCs/>
          <w:color w:val="auto"/>
          <w:highlight w:val="none"/>
        </w:rPr>
        <w:t>项目经理</w:t>
      </w:r>
    </w:p>
    <w:p w14:paraId="2759871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承包人项目经理：</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53FF7300">
      <w:pPr>
        <w:spacing w:line="360" w:lineRule="auto"/>
        <w:ind w:firstLine="422" w:firstLineChars="200"/>
        <w:rPr>
          <w:rFonts w:hint="eastAsia" w:ascii="宋体" w:hAnsi="宋体" w:eastAsia="宋体" w:cs="宋体"/>
          <w:b/>
          <w:bCs/>
          <w:color w:val="auto"/>
          <w:highlight w:val="none"/>
        </w:rPr>
      </w:pPr>
      <w:bookmarkStart w:id="108" w:name="_Toc351203486"/>
      <w:r>
        <w:rPr>
          <w:rFonts w:hint="eastAsia" w:ascii="宋体" w:hAnsi="宋体" w:eastAsia="宋体" w:cs="宋体"/>
          <w:b/>
          <w:bCs/>
          <w:color w:val="auto"/>
          <w:highlight w:val="none"/>
        </w:rPr>
        <w:t>六、合同文件构成</w:t>
      </w:r>
      <w:bookmarkEnd w:id="108"/>
    </w:p>
    <w:p w14:paraId="55ADC78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本协议书与下列文件一起构成合同文件：</w:t>
      </w:r>
    </w:p>
    <w:p w14:paraId="0519200E">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（1）成交通知书；</w:t>
      </w:r>
    </w:p>
    <w:p w14:paraId="3EFEB845">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（2）投标函及其附录； </w:t>
      </w:r>
    </w:p>
    <w:p w14:paraId="2C8D8831">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（3）专用合同条款及其附件；</w:t>
      </w:r>
    </w:p>
    <w:p w14:paraId="5B3BC1EA">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（4）通用合同条款；</w:t>
      </w:r>
    </w:p>
    <w:p w14:paraId="05CA9781">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（5）技术标准和要求；</w:t>
      </w:r>
    </w:p>
    <w:p w14:paraId="5835E652">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（6）已标价工程量清单或预算书； </w:t>
      </w:r>
    </w:p>
    <w:p w14:paraId="208CD313">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（7）图纸；</w:t>
      </w:r>
    </w:p>
    <w:p w14:paraId="25A7F205">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（8）其他合同文件。</w:t>
      </w:r>
    </w:p>
    <w:p w14:paraId="2F7BB8FA">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在合同订立及履行过程中形成的与合同有关的文件均构成合同文件组成部分。</w:t>
      </w:r>
    </w:p>
    <w:p w14:paraId="7DE15A02">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上述各项合同文件包括合同当事人就该项合同文件所作出的补充和修改，属于同一类内容的文件，应以最新签署的为准。专用合同条款及其附件须经合同当事人签字或盖章。</w:t>
      </w:r>
    </w:p>
    <w:p w14:paraId="6D3D4E7C">
      <w:pPr>
        <w:autoSpaceDE w:val="0"/>
        <w:autoSpaceDN w:val="0"/>
        <w:adjustRightInd w:val="0"/>
        <w:spacing w:line="360" w:lineRule="auto"/>
        <w:ind w:firstLine="422" w:firstLineChars="200"/>
        <w:jc w:val="left"/>
        <w:rPr>
          <w:rFonts w:hint="eastAsia" w:ascii="宋体" w:hAnsi="宋体" w:eastAsia="宋体" w:cs="宋体"/>
          <w:b/>
          <w:bCs/>
          <w:color w:val="auto"/>
          <w:highlight w:val="none"/>
        </w:rPr>
      </w:pPr>
      <w:bookmarkStart w:id="109" w:name="_Toc351203487"/>
      <w:r>
        <w:rPr>
          <w:rFonts w:hint="eastAsia" w:ascii="宋体" w:hAnsi="宋体" w:eastAsia="宋体" w:cs="宋体"/>
          <w:b/>
          <w:bCs/>
          <w:color w:val="auto"/>
          <w:highlight w:val="none"/>
        </w:rPr>
        <w:t>七、承诺</w:t>
      </w:r>
      <w:bookmarkEnd w:id="109"/>
    </w:p>
    <w:p w14:paraId="6860200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 发包人承诺按照法律规定履行项目审批手续、筹集工程建设资金并按照合同约定的期限和方式支付合同价款。</w:t>
      </w:r>
    </w:p>
    <w:p w14:paraId="3261F3B2">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 承包人承诺按照法律规定及合同约定组织完成工程施工，确保工程质量和安全，不进行转包及违法分包，并在缺陷责任期及保修期内承担相应的工程维修责任。</w:t>
      </w:r>
    </w:p>
    <w:p w14:paraId="4C0A1F62">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 发包人和承包人通过招投标形式签订合同的，双方理解并承诺不再就同一工程另行签订与合同实质性内容相背离的协议。</w:t>
      </w:r>
      <w:bookmarkStart w:id="110" w:name="_Toc351203488"/>
    </w:p>
    <w:p w14:paraId="6FDB6300">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八、词语含义</w:t>
      </w:r>
      <w:bookmarkEnd w:id="110"/>
    </w:p>
    <w:p w14:paraId="263F4BF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本协议书中词语含义与第二部分通用合同条款中赋予的含义相同。</w:t>
      </w:r>
    </w:p>
    <w:p w14:paraId="01EDE2C4">
      <w:pPr>
        <w:spacing w:line="360" w:lineRule="auto"/>
        <w:ind w:firstLine="422" w:firstLineChars="200"/>
        <w:rPr>
          <w:rFonts w:hint="eastAsia" w:ascii="宋体" w:hAnsi="宋体" w:eastAsia="宋体" w:cs="宋体"/>
          <w:b/>
          <w:bCs/>
          <w:color w:val="auto"/>
          <w:highlight w:val="none"/>
        </w:rPr>
      </w:pPr>
      <w:bookmarkStart w:id="111" w:name="_Toc351203489"/>
      <w:r>
        <w:rPr>
          <w:rFonts w:hint="eastAsia" w:ascii="宋体" w:hAnsi="宋体" w:eastAsia="宋体" w:cs="宋体"/>
          <w:b/>
          <w:bCs/>
          <w:color w:val="auto"/>
          <w:highlight w:val="none"/>
        </w:rPr>
        <w:t>九、签订时间</w:t>
      </w:r>
      <w:bookmarkEnd w:id="111"/>
    </w:p>
    <w:p w14:paraId="6EE4E852">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本合同于</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日签订。</w:t>
      </w:r>
    </w:p>
    <w:p w14:paraId="2A689855">
      <w:pPr>
        <w:spacing w:line="360" w:lineRule="auto"/>
        <w:ind w:firstLine="422" w:firstLineChars="200"/>
        <w:rPr>
          <w:rFonts w:hint="eastAsia" w:ascii="宋体" w:hAnsi="宋体" w:eastAsia="宋体" w:cs="宋体"/>
          <w:b/>
          <w:bCs/>
          <w:color w:val="auto"/>
          <w:highlight w:val="none"/>
        </w:rPr>
      </w:pPr>
      <w:bookmarkStart w:id="112" w:name="_Toc351203490"/>
      <w:r>
        <w:rPr>
          <w:rFonts w:hint="eastAsia" w:ascii="宋体" w:hAnsi="宋体" w:eastAsia="宋体" w:cs="宋体"/>
          <w:b/>
          <w:bCs/>
          <w:color w:val="auto"/>
          <w:highlight w:val="none"/>
        </w:rPr>
        <w:t>十、签订地点</w:t>
      </w:r>
      <w:bookmarkEnd w:id="112"/>
    </w:p>
    <w:p w14:paraId="641893B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本合同在</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签订。</w:t>
      </w:r>
    </w:p>
    <w:p w14:paraId="557BF9BA">
      <w:pPr>
        <w:spacing w:line="360" w:lineRule="auto"/>
        <w:ind w:firstLine="422" w:firstLineChars="200"/>
        <w:rPr>
          <w:rFonts w:hint="eastAsia" w:ascii="宋体" w:hAnsi="宋体" w:eastAsia="宋体" w:cs="宋体"/>
          <w:b/>
          <w:bCs/>
          <w:color w:val="auto"/>
          <w:highlight w:val="none"/>
        </w:rPr>
      </w:pPr>
      <w:bookmarkStart w:id="113" w:name="_Toc351203491"/>
      <w:r>
        <w:rPr>
          <w:rFonts w:hint="eastAsia" w:ascii="宋体" w:hAnsi="宋体" w:eastAsia="宋体" w:cs="宋体"/>
          <w:b/>
          <w:bCs/>
          <w:color w:val="auto"/>
          <w:highlight w:val="none"/>
        </w:rPr>
        <w:t>十一、补充协议</w:t>
      </w:r>
      <w:bookmarkEnd w:id="113"/>
    </w:p>
    <w:p w14:paraId="26D4C84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合同未尽事宜，合同当事人另行签订补充协议，补充协议是合同的组成部分。</w:t>
      </w:r>
    </w:p>
    <w:p w14:paraId="14048E55">
      <w:pPr>
        <w:spacing w:line="360" w:lineRule="auto"/>
        <w:ind w:firstLine="422" w:firstLineChars="200"/>
        <w:rPr>
          <w:rFonts w:hint="eastAsia" w:ascii="宋体" w:hAnsi="宋体" w:eastAsia="宋体" w:cs="宋体"/>
          <w:b/>
          <w:bCs/>
          <w:color w:val="auto"/>
          <w:highlight w:val="none"/>
        </w:rPr>
      </w:pPr>
      <w:bookmarkStart w:id="114" w:name="_Toc351203492"/>
      <w:r>
        <w:rPr>
          <w:rFonts w:hint="eastAsia" w:ascii="宋体" w:hAnsi="宋体" w:eastAsia="宋体" w:cs="宋体"/>
          <w:b/>
          <w:bCs/>
          <w:color w:val="auto"/>
          <w:highlight w:val="none"/>
        </w:rPr>
        <w:t>十二、合同生效</w:t>
      </w:r>
      <w:bookmarkEnd w:id="114"/>
    </w:p>
    <w:p w14:paraId="4904DCE7">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本合同自</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生效。</w:t>
      </w:r>
    </w:p>
    <w:p w14:paraId="27F94238">
      <w:pPr>
        <w:spacing w:line="360" w:lineRule="auto"/>
        <w:ind w:firstLine="422" w:firstLineChars="200"/>
        <w:rPr>
          <w:rFonts w:hint="eastAsia" w:ascii="宋体" w:hAnsi="宋体" w:eastAsia="宋体" w:cs="宋体"/>
          <w:b/>
          <w:bCs/>
          <w:color w:val="auto"/>
          <w:highlight w:val="none"/>
        </w:rPr>
      </w:pPr>
      <w:bookmarkStart w:id="115" w:name="_Toc351203493"/>
      <w:r>
        <w:rPr>
          <w:rFonts w:hint="eastAsia" w:ascii="宋体" w:hAnsi="宋体" w:eastAsia="宋体" w:cs="宋体"/>
          <w:b/>
          <w:bCs/>
          <w:color w:val="auto"/>
          <w:highlight w:val="none"/>
        </w:rPr>
        <w:t>十三、合同份数</w:t>
      </w:r>
      <w:bookmarkEnd w:id="115"/>
    </w:p>
    <w:p w14:paraId="071D6AA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本合同一式</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份，均具有同等法律效力，发包人执</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份，承包人执</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份。</w:t>
      </w:r>
    </w:p>
    <w:p w14:paraId="63918908">
      <w:pPr>
        <w:spacing w:line="360" w:lineRule="auto"/>
        <w:rPr>
          <w:rFonts w:hint="eastAsia" w:ascii="宋体" w:hAnsi="宋体" w:eastAsia="宋体" w:cs="宋体"/>
          <w:bCs/>
          <w:color w:val="auto"/>
          <w:highlight w:val="none"/>
        </w:rPr>
      </w:pPr>
    </w:p>
    <w:p w14:paraId="585292A2">
      <w:pPr>
        <w:spacing w:line="360" w:lineRule="auto"/>
        <w:rPr>
          <w:rFonts w:hint="eastAsia" w:ascii="宋体" w:hAnsi="宋体" w:eastAsia="宋体" w:cs="宋体"/>
          <w:color w:val="auto"/>
          <w:highlight w:val="none"/>
        </w:rPr>
      </w:pPr>
    </w:p>
    <w:p w14:paraId="00580D8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发包人：  （公章）                              承包人：  （公章）</w:t>
      </w:r>
    </w:p>
    <w:p w14:paraId="6CC80C65">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04AF186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                    法定代表人或其委托代理人：</w:t>
      </w:r>
    </w:p>
    <w:p w14:paraId="2D24504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（签字）                                     （签字）</w:t>
      </w:r>
    </w:p>
    <w:p w14:paraId="187E28C8">
      <w:pPr>
        <w:spacing w:line="360" w:lineRule="auto"/>
        <w:rPr>
          <w:rFonts w:hint="eastAsia" w:ascii="宋体" w:hAnsi="宋体" w:eastAsia="宋体" w:cs="宋体"/>
          <w:color w:val="auto"/>
          <w:highlight w:val="none"/>
          <w:u w:val="single"/>
        </w:rPr>
      </w:pPr>
    </w:p>
    <w:p w14:paraId="281B91C0">
      <w:pPr>
        <w:rPr>
          <w:rFonts w:hint="eastAsia" w:ascii="宋体" w:hAnsi="宋体" w:eastAsia="宋体" w:cs="宋体"/>
          <w:color w:val="auto"/>
          <w:highlight w:val="none"/>
          <w:u w:val="single"/>
        </w:rPr>
      </w:pPr>
      <w:r>
        <w:rPr>
          <w:rFonts w:hint="eastAsia" w:ascii="宋体" w:hAnsi="宋体" w:eastAsia="宋体" w:cs="宋体"/>
          <w:color w:val="auto"/>
          <w:highlight w:val="none"/>
        </w:rPr>
        <w:t>社会信用代码</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社会信用代码：</w:t>
      </w:r>
      <w:r>
        <w:rPr>
          <w:rFonts w:hint="eastAsia" w:ascii="宋体" w:hAnsi="宋体" w:eastAsia="宋体" w:cs="宋体"/>
          <w:color w:val="auto"/>
          <w:highlight w:val="none"/>
          <w:u w:val="single"/>
        </w:rPr>
        <w:t></w:t>
      </w:r>
    </w:p>
    <w:p w14:paraId="44DB703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地  址：</w:t>
      </w:r>
      <w:r>
        <w:rPr>
          <w:rFonts w:hint="eastAsia" w:ascii="宋体" w:hAnsi="宋体" w:eastAsia="宋体" w:cs="宋体"/>
          <w:color w:val="auto"/>
          <w:highlight w:val="none"/>
          <w:u w:val="single"/>
        </w:rPr>
        <w:t xml:space="preserve">        </w:t>
      </w:r>
    </w:p>
    <w:p w14:paraId="28AF33D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     </w:t>
      </w:r>
      <w:r>
        <w:rPr>
          <w:rFonts w:hint="eastAsia" w:ascii="宋体" w:hAnsi="宋体" w:eastAsia="宋体" w:cs="宋体"/>
          <w:color w:val="auto"/>
          <w:highlight w:val="none"/>
        </w:rPr>
        <w:t xml:space="preserve">                 邮政编码：</w:t>
      </w:r>
      <w:r>
        <w:rPr>
          <w:rFonts w:hint="eastAsia" w:ascii="宋体" w:hAnsi="宋体" w:eastAsia="宋体" w:cs="宋体"/>
          <w:color w:val="auto"/>
          <w:highlight w:val="none"/>
          <w:u w:val="single"/>
        </w:rPr>
        <w:t xml:space="preserve">   </w:t>
      </w:r>
    </w:p>
    <w:p w14:paraId="13E2848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法定代表人：</w:t>
      </w:r>
      <w:r>
        <w:rPr>
          <w:rFonts w:hint="eastAsia" w:ascii="宋体" w:hAnsi="宋体" w:eastAsia="宋体" w:cs="宋体"/>
          <w:color w:val="auto"/>
          <w:highlight w:val="none"/>
          <w:u w:val="single"/>
        </w:rPr>
        <w:t xml:space="preserve">             </w:t>
      </w:r>
    </w:p>
    <w:p w14:paraId="49F97F6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委托代理人：</w:t>
      </w:r>
      <w:r>
        <w:rPr>
          <w:rFonts w:hint="eastAsia" w:ascii="宋体" w:hAnsi="宋体" w:eastAsia="宋体" w:cs="宋体"/>
          <w:color w:val="auto"/>
          <w:highlight w:val="none"/>
          <w:u w:val="single"/>
        </w:rPr>
        <w:t xml:space="preserve">             </w:t>
      </w:r>
    </w:p>
    <w:p w14:paraId="4DE6328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  话：</w:t>
      </w:r>
      <w:r>
        <w:rPr>
          <w:rFonts w:hint="eastAsia" w:ascii="宋体" w:hAnsi="宋体" w:eastAsia="宋体" w:cs="宋体"/>
          <w:color w:val="auto"/>
          <w:highlight w:val="none"/>
          <w:u w:val="single"/>
        </w:rPr>
        <w:t xml:space="preserve">     </w:t>
      </w:r>
    </w:p>
    <w:p w14:paraId="32532A6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传  真：</w:t>
      </w:r>
      <w:r>
        <w:rPr>
          <w:rFonts w:hint="eastAsia" w:ascii="宋体" w:hAnsi="宋体" w:eastAsia="宋体" w:cs="宋体"/>
          <w:color w:val="auto"/>
          <w:highlight w:val="none"/>
          <w:u w:val="single"/>
        </w:rPr>
        <w:t xml:space="preserve">     </w:t>
      </w:r>
    </w:p>
    <w:p w14:paraId="00E9F33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电子信箱：</w:t>
      </w:r>
      <w:r>
        <w:rPr>
          <w:rFonts w:hint="eastAsia" w:ascii="宋体" w:hAnsi="宋体" w:eastAsia="宋体" w:cs="宋体"/>
          <w:color w:val="auto"/>
          <w:highlight w:val="none"/>
          <w:u w:val="single"/>
        </w:rPr>
        <w:t xml:space="preserve">   </w:t>
      </w:r>
    </w:p>
    <w:p w14:paraId="447E572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开户银行：</w:t>
      </w:r>
      <w:r>
        <w:rPr>
          <w:rFonts w:hint="eastAsia" w:ascii="宋体" w:hAnsi="宋体" w:eastAsia="宋体" w:cs="宋体"/>
          <w:color w:val="auto"/>
          <w:highlight w:val="none"/>
          <w:u w:val="single"/>
        </w:rPr>
        <w:t xml:space="preserve">   </w:t>
      </w:r>
    </w:p>
    <w:p w14:paraId="40ACAB84">
      <w:pPr>
        <w:rPr>
          <w:rFonts w:hint="eastAsia" w:ascii="宋体" w:hAnsi="宋体" w:eastAsia="宋体" w:cs="宋体"/>
          <w:color w:val="auto"/>
          <w:highlight w:val="none"/>
          <w:u w:val="single"/>
        </w:rPr>
      </w:pPr>
      <w:r>
        <w:rPr>
          <w:rFonts w:hint="eastAsia" w:ascii="宋体" w:hAnsi="宋体" w:eastAsia="宋体" w:cs="宋体"/>
          <w:color w:val="auto"/>
          <w:highlight w:val="none"/>
        </w:rPr>
        <w:t>账  号：</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账  号：</w:t>
      </w:r>
      <w:r>
        <w:rPr>
          <w:rFonts w:hint="eastAsia" w:ascii="宋体" w:hAnsi="宋体" w:eastAsia="宋体" w:cs="宋体"/>
          <w:color w:val="auto"/>
          <w:highlight w:val="none"/>
          <w:u w:val="single"/>
        </w:rPr>
        <w:t xml:space="preserve">     </w:t>
      </w:r>
    </w:p>
    <w:p w14:paraId="34565E30">
      <w:pPr>
        <w:widowControl/>
        <w:jc w:val="left"/>
        <w:rPr>
          <w:rFonts w:hint="eastAsia" w:ascii="宋体" w:hAnsi="宋体" w:eastAsia="宋体" w:cs="宋体"/>
          <w:color w:val="auto"/>
          <w:highlight w:val="none"/>
          <w:u w:val="single"/>
        </w:rPr>
      </w:pPr>
      <w:r>
        <w:rPr>
          <w:rFonts w:hint="eastAsia" w:ascii="宋体" w:hAnsi="宋体" w:eastAsia="宋体" w:cs="宋体"/>
          <w:color w:val="auto"/>
          <w:highlight w:val="none"/>
        </w:rPr>
        <w:br w:type="page"/>
      </w:r>
    </w:p>
    <w:p w14:paraId="72968318">
      <w:pPr>
        <w:pStyle w:val="2"/>
        <w:jc w:val="center"/>
        <w:rPr>
          <w:rFonts w:hint="eastAsia" w:ascii="宋体" w:hAnsi="宋体" w:eastAsia="宋体" w:cs="宋体"/>
          <w:color w:val="auto"/>
          <w:highlight w:val="none"/>
        </w:rPr>
      </w:pPr>
      <w:bookmarkStart w:id="116" w:name="_Toc475386996"/>
      <w:bookmarkEnd w:id="116"/>
      <w:bookmarkStart w:id="117" w:name="_Toc477197184"/>
      <w:bookmarkEnd w:id="117"/>
      <w:bookmarkStart w:id="118" w:name="_Toc351203632"/>
      <w:bookmarkEnd w:id="118"/>
      <w:bookmarkStart w:id="119" w:name="_Toc468956398"/>
      <w:bookmarkEnd w:id="119"/>
      <w:bookmarkStart w:id="120" w:name="_Toc466232903"/>
      <w:bookmarkEnd w:id="120"/>
      <w:bookmarkStart w:id="121" w:name="_Toc389065256"/>
      <w:bookmarkEnd w:id="121"/>
      <w:bookmarkStart w:id="122" w:name="_Toc477337730"/>
      <w:bookmarkEnd w:id="122"/>
      <w:bookmarkStart w:id="123" w:name="_Toc373478338"/>
      <w:bookmarkEnd w:id="123"/>
      <w:bookmarkStart w:id="124" w:name="_Toc469155302"/>
      <w:bookmarkEnd w:id="124"/>
      <w:bookmarkStart w:id="125" w:name="_Toc373227691"/>
      <w:bookmarkEnd w:id="125"/>
      <w:bookmarkStart w:id="126" w:name="_Toc478067910"/>
      <w:bookmarkEnd w:id="126"/>
      <w:bookmarkStart w:id="127" w:name="_Toc469308990"/>
      <w:bookmarkEnd w:id="127"/>
      <w:bookmarkStart w:id="128" w:name="_Toc476555585"/>
      <w:bookmarkEnd w:id="128"/>
      <w:bookmarkStart w:id="129" w:name="_Toc469309113"/>
      <w:bookmarkStart w:id="130" w:name="_Toc4476"/>
      <w:bookmarkStart w:id="131" w:name="_Toc28964"/>
      <w:r>
        <w:rPr>
          <w:rFonts w:hint="eastAsia" w:ascii="宋体" w:hAnsi="宋体" w:eastAsia="宋体" w:cs="宋体"/>
          <w:color w:val="auto"/>
          <w:highlight w:val="none"/>
        </w:rPr>
        <w:t>第二部分 通用</w:t>
      </w:r>
      <w:bookmarkEnd w:id="129"/>
      <w:r>
        <w:rPr>
          <w:rFonts w:hint="eastAsia" w:ascii="宋体" w:hAnsi="宋体" w:eastAsia="宋体" w:cs="宋体"/>
          <w:color w:val="auto"/>
          <w:highlight w:val="none"/>
        </w:rPr>
        <w:t>合同条款</w:t>
      </w:r>
      <w:bookmarkEnd w:id="130"/>
      <w:bookmarkEnd w:id="131"/>
    </w:p>
    <w:p w14:paraId="2C028C95">
      <w:pPr>
        <w:ind w:firstLine="1558" w:firstLineChars="739"/>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采用《建设工程施工合同（示范文本）》（GF—2013—0201）。</w:t>
      </w:r>
    </w:p>
    <w:p w14:paraId="5CE14050">
      <w:pPr>
        <w:pStyle w:val="2"/>
        <w:spacing w:line="460" w:lineRule="exact"/>
        <w:jc w:val="center"/>
        <w:rPr>
          <w:rFonts w:hint="eastAsia" w:ascii="宋体" w:hAnsi="宋体" w:eastAsia="宋体" w:cs="宋体"/>
          <w:color w:val="auto"/>
          <w:sz w:val="30"/>
          <w:szCs w:val="30"/>
          <w:highlight w:val="none"/>
        </w:rPr>
      </w:pPr>
      <w:bookmarkStart w:id="132" w:name="_Toc469309114"/>
      <w:bookmarkEnd w:id="132"/>
      <w:bookmarkStart w:id="133" w:name="_Toc478067911"/>
      <w:bookmarkEnd w:id="133"/>
      <w:bookmarkStart w:id="134" w:name="_Toc468956399"/>
      <w:bookmarkEnd w:id="134"/>
      <w:bookmarkStart w:id="135" w:name="_Toc469155303"/>
      <w:bookmarkEnd w:id="135"/>
      <w:bookmarkStart w:id="136" w:name="_Toc466232904"/>
      <w:bookmarkEnd w:id="136"/>
      <w:bookmarkStart w:id="137" w:name="_Toc477197185"/>
      <w:bookmarkEnd w:id="137"/>
      <w:bookmarkStart w:id="138" w:name="_Toc475386997"/>
      <w:bookmarkEnd w:id="138"/>
      <w:bookmarkStart w:id="139" w:name="_Toc476555586"/>
      <w:bookmarkEnd w:id="139"/>
      <w:bookmarkStart w:id="140" w:name="_Toc469308991"/>
      <w:bookmarkEnd w:id="140"/>
      <w:bookmarkStart w:id="141" w:name="_Toc477337731"/>
      <w:bookmarkEnd w:id="141"/>
      <w:bookmarkStart w:id="142" w:name="_Toc389065257"/>
      <w:bookmarkStart w:id="143" w:name="_Toc15056"/>
      <w:bookmarkStart w:id="144" w:name="_Toc14372"/>
      <w:r>
        <w:rPr>
          <w:rFonts w:hint="eastAsia" w:ascii="宋体" w:hAnsi="宋体" w:eastAsia="宋体" w:cs="宋体"/>
          <w:color w:val="auto"/>
          <w:sz w:val="30"/>
          <w:szCs w:val="30"/>
          <w:highlight w:val="none"/>
        </w:rPr>
        <w:t>第</w:t>
      </w:r>
      <w:bookmarkEnd w:id="142"/>
      <w:r>
        <w:rPr>
          <w:rFonts w:hint="eastAsia" w:ascii="宋体" w:hAnsi="宋体" w:eastAsia="宋体" w:cs="宋体"/>
          <w:color w:val="auto"/>
          <w:sz w:val="30"/>
          <w:szCs w:val="30"/>
          <w:highlight w:val="none"/>
        </w:rPr>
        <w:t>三部分专用合同条款</w:t>
      </w:r>
      <w:bookmarkEnd w:id="143"/>
      <w:bookmarkEnd w:id="144"/>
    </w:p>
    <w:p w14:paraId="5FF28784">
      <w:pPr>
        <w:pStyle w:val="8"/>
        <w:spacing w:line="360" w:lineRule="exact"/>
        <w:rPr>
          <w:rFonts w:hint="eastAsia" w:ascii="宋体" w:hAnsi="宋体" w:eastAsia="宋体" w:cs="宋体"/>
          <w:color w:val="auto"/>
          <w:highlight w:val="none"/>
        </w:rPr>
      </w:pPr>
      <w:bookmarkStart w:id="145" w:name="_Toc373227692"/>
      <w:bookmarkEnd w:id="145"/>
      <w:bookmarkStart w:id="146" w:name="_Toc373478339"/>
      <w:bookmarkEnd w:id="146"/>
      <w:bookmarkStart w:id="147" w:name="_Toc351203633"/>
      <w:bookmarkEnd w:id="147"/>
      <w:bookmarkStart w:id="148" w:name="_Toc469308992"/>
      <w:bookmarkEnd w:id="148"/>
      <w:bookmarkStart w:id="149" w:name="_Toc468956400"/>
      <w:bookmarkEnd w:id="149"/>
      <w:bookmarkStart w:id="150" w:name="_Toc389065258"/>
      <w:bookmarkEnd w:id="150"/>
      <w:bookmarkStart w:id="151" w:name="_Toc469155304"/>
      <w:bookmarkEnd w:id="151"/>
    </w:p>
    <w:p w14:paraId="4C8B091D">
      <w:pPr>
        <w:pStyle w:val="3"/>
        <w:rPr>
          <w:rFonts w:hint="eastAsia" w:ascii="宋体" w:hAnsi="宋体" w:eastAsia="宋体" w:cs="宋体"/>
          <w:color w:val="auto"/>
          <w:highlight w:val="none"/>
        </w:rPr>
      </w:pPr>
      <w:r>
        <w:rPr>
          <w:rFonts w:hint="eastAsia" w:ascii="宋体" w:hAnsi="宋体" w:eastAsia="宋体" w:cs="宋体"/>
          <w:color w:val="auto"/>
          <w:sz w:val="44"/>
          <w:szCs w:val="44"/>
          <w:highlight w:val="none"/>
        </w:rPr>
        <w:t xml:space="preserve"> </w:t>
      </w:r>
      <w:bookmarkStart w:id="152" w:name="_Toc509759997"/>
      <w:bookmarkStart w:id="153" w:name="_Toc511243540"/>
      <w:bookmarkStart w:id="154" w:name="_Toc511243314"/>
      <w:bookmarkStart w:id="155" w:name="_Toc465114853"/>
      <w:r>
        <w:rPr>
          <w:rFonts w:hint="eastAsia" w:ascii="宋体" w:hAnsi="宋体" w:eastAsia="宋体" w:cs="宋体"/>
          <w:color w:val="auto"/>
          <w:highlight w:val="none"/>
        </w:rPr>
        <w:t>1</w:t>
      </w:r>
      <w:bookmarkStart w:id="156" w:name="_Toc296347155"/>
      <w:bookmarkStart w:id="157" w:name="_Toc296891196"/>
      <w:bookmarkStart w:id="158" w:name="_Toc296503156"/>
      <w:bookmarkStart w:id="159" w:name="_Toc296346657"/>
      <w:bookmarkStart w:id="160" w:name="_Toc292559361"/>
      <w:bookmarkStart w:id="161" w:name="_Toc297048342"/>
      <w:bookmarkStart w:id="162" w:name="_Toc292559866"/>
      <w:bookmarkStart w:id="163" w:name="_Toc296944495"/>
      <w:bookmarkStart w:id="164" w:name="_Toc297120456"/>
      <w:bookmarkStart w:id="165" w:name="_Toc296890984"/>
      <w:r>
        <w:rPr>
          <w:rFonts w:hint="eastAsia" w:ascii="宋体" w:hAnsi="宋体" w:eastAsia="宋体" w:cs="宋体"/>
          <w:color w:val="auto"/>
          <w:highlight w:val="none"/>
        </w:rPr>
        <w:t>. 一般约定</w:t>
      </w:r>
      <w:bookmarkEnd w:id="152"/>
      <w:bookmarkEnd w:id="153"/>
      <w:bookmarkEnd w:id="154"/>
      <w:bookmarkEnd w:id="155"/>
    </w:p>
    <w:bookmarkEnd w:id="156"/>
    <w:bookmarkEnd w:id="157"/>
    <w:bookmarkEnd w:id="158"/>
    <w:bookmarkEnd w:id="159"/>
    <w:bookmarkEnd w:id="160"/>
    <w:bookmarkEnd w:id="161"/>
    <w:bookmarkEnd w:id="162"/>
    <w:bookmarkEnd w:id="163"/>
    <w:bookmarkEnd w:id="164"/>
    <w:bookmarkEnd w:id="165"/>
    <w:p w14:paraId="159D83CC">
      <w:pPr>
        <w:pStyle w:val="4"/>
        <w:rPr>
          <w:rFonts w:hint="eastAsia" w:ascii="宋体" w:hAnsi="宋体" w:eastAsia="宋体" w:cs="宋体"/>
          <w:color w:val="auto"/>
          <w:highlight w:val="none"/>
        </w:rPr>
      </w:pPr>
      <w:bookmarkStart w:id="166" w:name="_Toc373227693"/>
      <w:bookmarkStart w:id="167" w:name="_Toc511243541"/>
      <w:bookmarkStart w:id="168" w:name="_Toc509759998"/>
      <w:bookmarkStart w:id="169" w:name="_Toc465114854"/>
      <w:bookmarkStart w:id="170" w:name="_Toc373478340"/>
      <w:bookmarkStart w:id="171" w:name="_Toc511243315"/>
      <w:bookmarkStart w:id="172" w:name="_Toc389065259"/>
      <w:r>
        <w:rPr>
          <w:rFonts w:hint="eastAsia" w:ascii="宋体" w:hAnsi="宋体" w:eastAsia="宋体" w:cs="宋体"/>
          <w:color w:val="auto"/>
          <w:highlight w:val="none"/>
        </w:rPr>
        <w:t>1.1 词语定义</w:t>
      </w:r>
      <w:bookmarkEnd w:id="166"/>
      <w:bookmarkEnd w:id="167"/>
      <w:bookmarkEnd w:id="168"/>
      <w:bookmarkEnd w:id="169"/>
      <w:bookmarkEnd w:id="170"/>
      <w:bookmarkEnd w:id="171"/>
      <w:bookmarkEnd w:id="172"/>
    </w:p>
    <w:p w14:paraId="41609682">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1.1.1 合同</w:t>
      </w:r>
    </w:p>
    <w:p w14:paraId="6E2B0D3C">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1.1.1.10 其他合同文件包括：</w:t>
      </w:r>
      <w:r>
        <w:rPr>
          <w:rFonts w:hint="eastAsia" w:ascii="宋体" w:hAnsi="宋体" w:eastAsia="宋体" w:cs="宋体"/>
          <w:color w:val="auto"/>
          <w:highlight w:val="none"/>
          <w:u w:val="single"/>
        </w:rPr>
        <w:t xml:space="preserve">（1）合同协议书；（2）中标通知书；（3）投标文件及其附录；（4）专用合同条款；（5）通用合同条款；（6）招标文件（含所有补充和答疑）；（7）技术标准和要求；（8）已标价工程量清单或预算书；（9）图纸；（10）其他合同文件等；（11）《建设工程工程量清单计价规范（GB50500-2013）》、《建设工程工程量清单计算规范（GB5854~50862-2013）及其广西实施细则（修订本）》  </w:t>
      </w:r>
      <w:r>
        <w:rPr>
          <w:rFonts w:hint="eastAsia" w:ascii="宋体" w:hAnsi="宋体" w:eastAsia="宋体" w:cs="宋体"/>
          <w:color w:val="auto"/>
          <w:highlight w:val="none"/>
        </w:rPr>
        <w:t>。</w:t>
      </w:r>
    </w:p>
    <w:p w14:paraId="29D1312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合同当事人及其他相关方</w:t>
      </w:r>
    </w:p>
    <w:p w14:paraId="3D07C37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1.1.2.4 监理人：</w:t>
      </w:r>
    </w:p>
    <w:p w14:paraId="229A55A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     </w:t>
      </w:r>
      <w:r>
        <w:rPr>
          <w:rFonts w:hint="eastAsia" w:ascii="宋体" w:hAnsi="宋体" w:eastAsia="宋体" w:cs="宋体"/>
          <w:color w:val="auto"/>
          <w:highlight w:val="none"/>
        </w:rPr>
        <w:t>；</w:t>
      </w:r>
    </w:p>
    <w:p w14:paraId="0B1D2B9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3810CAA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30EE43F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14:paraId="72A3548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00042CC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1.1.2.5 设计人：</w:t>
      </w:r>
    </w:p>
    <w:p w14:paraId="425D345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    </w:t>
      </w:r>
      <w:r>
        <w:rPr>
          <w:rFonts w:hint="eastAsia" w:ascii="宋体" w:hAnsi="宋体" w:eastAsia="宋体" w:cs="宋体"/>
          <w:color w:val="auto"/>
          <w:highlight w:val="none"/>
        </w:rPr>
        <w:t>；</w:t>
      </w:r>
    </w:p>
    <w:p w14:paraId="24E690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0D83F5C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4B3DEF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                </w:t>
      </w:r>
      <w:r>
        <w:rPr>
          <w:rFonts w:hint="eastAsia" w:ascii="宋体" w:hAnsi="宋体" w:eastAsia="宋体" w:cs="宋体"/>
          <w:color w:val="auto"/>
          <w:highlight w:val="none"/>
        </w:rPr>
        <w:t>；</w:t>
      </w:r>
    </w:p>
    <w:p w14:paraId="62744CD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0DCF7E2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工程和设备</w:t>
      </w:r>
    </w:p>
    <w:p w14:paraId="5D627BD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1.1.3.7 作为施工现场组成部分的其他场所包括：</w:t>
      </w:r>
      <w:r>
        <w:rPr>
          <w:rFonts w:hint="eastAsia" w:ascii="宋体" w:hAnsi="宋体" w:eastAsia="宋体" w:cs="宋体"/>
          <w:color w:val="auto"/>
          <w:highlight w:val="none"/>
          <w:u w:val="single"/>
        </w:rPr>
        <w:t xml:space="preserve">按现有条件施工  </w:t>
      </w:r>
      <w:r>
        <w:rPr>
          <w:rFonts w:hint="eastAsia" w:ascii="宋体" w:hAnsi="宋体" w:eastAsia="宋体" w:cs="宋体"/>
          <w:color w:val="auto"/>
          <w:highlight w:val="none"/>
        </w:rPr>
        <w:t>。</w:t>
      </w:r>
    </w:p>
    <w:p w14:paraId="29295278">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1.1.3.9 永久占地包括：</w:t>
      </w:r>
      <w:r>
        <w:rPr>
          <w:rFonts w:hint="eastAsia" w:ascii="宋体" w:hAnsi="宋体" w:eastAsia="宋体" w:cs="宋体"/>
          <w:color w:val="auto"/>
          <w:highlight w:val="none"/>
          <w:u w:val="single"/>
        </w:rPr>
        <w:t>施工图所示占地线范围，范围、坐标详见施工图。</w:t>
      </w:r>
    </w:p>
    <w:p w14:paraId="48683AD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1.1.3.10 临时占地包括：</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550044EB">
      <w:pPr>
        <w:pStyle w:val="4"/>
        <w:rPr>
          <w:rFonts w:hint="eastAsia" w:ascii="宋体" w:hAnsi="宋体" w:eastAsia="宋体" w:cs="宋体"/>
          <w:color w:val="auto"/>
          <w:highlight w:val="none"/>
        </w:rPr>
      </w:pPr>
      <w:bookmarkStart w:id="173" w:name="_Toc465114855"/>
      <w:bookmarkStart w:id="174" w:name="_Toc511243542"/>
      <w:bookmarkStart w:id="175" w:name="_Toc373227694"/>
      <w:bookmarkStart w:id="176" w:name="_Toc511243316"/>
      <w:bookmarkStart w:id="177" w:name="_Toc373478341"/>
      <w:bookmarkStart w:id="178" w:name="_Toc389065260"/>
      <w:bookmarkStart w:id="179" w:name="_Toc509759999"/>
      <w:r>
        <w:rPr>
          <w:rFonts w:hint="eastAsia" w:ascii="宋体" w:hAnsi="宋体" w:eastAsia="宋体" w:cs="宋体"/>
          <w:color w:val="auto"/>
          <w:highlight w:val="none"/>
        </w:rPr>
        <w:t>1.3 法律</w:t>
      </w:r>
      <w:bookmarkEnd w:id="173"/>
      <w:bookmarkEnd w:id="174"/>
      <w:bookmarkEnd w:id="175"/>
      <w:bookmarkEnd w:id="176"/>
      <w:bookmarkEnd w:id="177"/>
      <w:bookmarkEnd w:id="178"/>
      <w:bookmarkEnd w:id="179"/>
    </w:p>
    <w:p w14:paraId="6B8F86C9">
      <w:pPr>
        <w:autoSpaceDE w:val="0"/>
        <w:autoSpaceDN w:val="0"/>
        <w:adjustRightIn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适用于合同的其他规范性文件：</w:t>
      </w:r>
      <w:r>
        <w:rPr>
          <w:rFonts w:hint="eastAsia" w:ascii="宋体" w:hAnsi="宋体" w:eastAsia="宋体" w:cs="宋体"/>
          <w:color w:val="auto"/>
          <w:highlight w:val="none"/>
          <w:u w:val="single"/>
        </w:rPr>
        <w:t>按合同签订时国家现行法律、行政法规及工程所在地政府有关法规和规章</w:t>
      </w:r>
      <w:r>
        <w:rPr>
          <w:rFonts w:hint="eastAsia" w:ascii="宋体" w:hAnsi="宋体" w:eastAsia="宋体" w:cs="宋体"/>
          <w:color w:val="auto"/>
          <w:highlight w:val="none"/>
        </w:rPr>
        <w:t>。</w:t>
      </w:r>
    </w:p>
    <w:p w14:paraId="2195B985">
      <w:pPr>
        <w:pStyle w:val="4"/>
        <w:rPr>
          <w:rFonts w:hint="eastAsia" w:ascii="宋体" w:hAnsi="宋体" w:eastAsia="宋体" w:cs="宋体"/>
          <w:color w:val="auto"/>
          <w:highlight w:val="none"/>
        </w:rPr>
      </w:pPr>
      <w:bookmarkStart w:id="180" w:name="_Toc511243317"/>
      <w:bookmarkStart w:id="181" w:name="_Toc373227695"/>
      <w:bookmarkStart w:id="182" w:name="_Toc465114856"/>
      <w:bookmarkStart w:id="183" w:name="_Toc389065261"/>
      <w:bookmarkStart w:id="184" w:name="_Toc511243543"/>
      <w:bookmarkStart w:id="185" w:name="_Toc373478342"/>
      <w:bookmarkStart w:id="186" w:name="_Toc509760000"/>
      <w:r>
        <w:rPr>
          <w:rFonts w:hint="eastAsia" w:ascii="宋体" w:hAnsi="宋体" w:eastAsia="宋体" w:cs="宋体"/>
          <w:color w:val="auto"/>
          <w:highlight w:val="none"/>
        </w:rPr>
        <w:t>1.4 标准和规范</w:t>
      </w:r>
      <w:bookmarkEnd w:id="180"/>
      <w:bookmarkEnd w:id="181"/>
      <w:bookmarkEnd w:id="182"/>
      <w:bookmarkEnd w:id="183"/>
      <w:bookmarkEnd w:id="184"/>
      <w:bookmarkEnd w:id="185"/>
      <w:bookmarkEnd w:id="186"/>
    </w:p>
    <w:p w14:paraId="511D399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1.4.1 适用于工程的标准规范包括：</w:t>
      </w:r>
      <w:r>
        <w:rPr>
          <w:rFonts w:hint="eastAsia" w:ascii="宋体" w:hAnsi="宋体" w:eastAsia="宋体" w:cs="宋体"/>
          <w:color w:val="auto"/>
          <w:highlight w:val="none"/>
          <w:u w:val="single"/>
        </w:rPr>
        <w:t>现行国家、地方、部门有关标准规范</w:t>
      </w:r>
      <w:r>
        <w:rPr>
          <w:rFonts w:hint="eastAsia" w:ascii="宋体" w:hAnsi="宋体" w:eastAsia="宋体" w:cs="宋体"/>
          <w:color w:val="auto"/>
          <w:highlight w:val="none"/>
        </w:rPr>
        <w:t>。</w:t>
      </w:r>
    </w:p>
    <w:p w14:paraId="626AC4EE">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1.4.2 发包人提供国外标准、规范的名称：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53D9925">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发包人提供国外标准、规范的份数：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4034422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发包人提供国外标准、规范的名称：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70B9F2A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1.4.3 发包人对工程的技术标准和功能要求的特殊要求：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312065A">
      <w:pPr>
        <w:pStyle w:val="4"/>
        <w:rPr>
          <w:rFonts w:hint="eastAsia" w:ascii="宋体" w:hAnsi="宋体" w:eastAsia="宋体" w:cs="宋体"/>
          <w:color w:val="auto"/>
          <w:highlight w:val="none"/>
        </w:rPr>
      </w:pPr>
      <w:bookmarkStart w:id="187" w:name="_Toc511243318"/>
      <w:bookmarkStart w:id="188" w:name="_Toc465114857"/>
      <w:bookmarkStart w:id="189" w:name="_Toc373227696"/>
      <w:bookmarkStart w:id="190" w:name="_Toc389065262"/>
      <w:bookmarkStart w:id="191" w:name="_Toc509760001"/>
      <w:bookmarkStart w:id="192" w:name="_Toc373478343"/>
      <w:bookmarkStart w:id="193" w:name="_Toc511243544"/>
      <w:r>
        <w:rPr>
          <w:rFonts w:hint="eastAsia" w:ascii="宋体" w:hAnsi="宋体" w:eastAsia="宋体" w:cs="宋体"/>
          <w:color w:val="auto"/>
          <w:highlight w:val="none"/>
        </w:rPr>
        <w:t>1.5 合同文件的优先顺序</w:t>
      </w:r>
      <w:bookmarkEnd w:id="187"/>
      <w:bookmarkEnd w:id="188"/>
      <w:bookmarkEnd w:id="189"/>
      <w:bookmarkEnd w:id="190"/>
      <w:bookmarkEnd w:id="191"/>
      <w:bookmarkEnd w:id="192"/>
      <w:bookmarkEnd w:id="193"/>
    </w:p>
    <w:p w14:paraId="5754374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合同文件组成及优先顺序为：</w:t>
      </w:r>
    </w:p>
    <w:p w14:paraId="2038418A">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（1）合同协议书；</w:t>
      </w:r>
    </w:p>
    <w:p w14:paraId="0EC7B62D">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（2）中标通知书；</w:t>
      </w:r>
    </w:p>
    <w:p w14:paraId="4FA2665D">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（3）投标函及其附录；</w:t>
      </w:r>
    </w:p>
    <w:p w14:paraId="6095FD75">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（4）专用合同条款及其附件；</w:t>
      </w:r>
    </w:p>
    <w:p w14:paraId="7761413E">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（5）通用合同条款；</w:t>
      </w:r>
    </w:p>
    <w:p w14:paraId="4B51431F">
      <w:pPr>
        <w:pStyle w:val="21"/>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r>
        <w:rPr>
          <w:rFonts w:hint="eastAsia" w:ascii="宋体" w:hAnsi="宋体" w:eastAsia="宋体" w:cs="宋体"/>
          <w:color w:val="auto"/>
          <w:kern w:val="0"/>
          <w:highlight w:val="none"/>
          <w:u w:val="single"/>
        </w:rPr>
        <w:t>已标价工程量清单或预算书</w:t>
      </w:r>
      <w:r>
        <w:rPr>
          <w:rFonts w:hint="eastAsia" w:ascii="宋体" w:hAnsi="宋体" w:eastAsia="宋体" w:cs="宋体"/>
          <w:color w:val="auto"/>
          <w:kern w:val="0"/>
          <w:highlight w:val="none"/>
        </w:rPr>
        <w:t>；</w:t>
      </w:r>
    </w:p>
    <w:p w14:paraId="7F2D5FD6">
      <w:pPr>
        <w:pStyle w:val="21"/>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（7）</w:t>
      </w:r>
      <w:r>
        <w:rPr>
          <w:rFonts w:hint="eastAsia" w:ascii="宋体" w:hAnsi="宋体" w:eastAsia="宋体" w:cs="宋体"/>
          <w:color w:val="auto"/>
          <w:kern w:val="0"/>
          <w:highlight w:val="none"/>
          <w:u w:val="single"/>
        </w:rPr>
        <w:t>施工图纸</w:t>
      </w:r>
      <w:r>
        <w:rPr>
          <w:rFonts w:hint="eastAsia" w:ascii="宋体" w:hAnsi="宋体" w:eastAsia="宋体" w:cs="宋体"/>
          <w:color w:val="auto"/>
          <w:kern w:val="0"/>
          <w:highlight w:val="none"/>
        </w:rPr>
        <w:t>；</w:t>
      </w:r>
    </w:p>
    <w:p w14:paraId="338EDE6A">
      <w:pPr>
        <w:pStyle w:val="21"/>
        <w:spacing w:line="360" w:lineRule="auto"/>
        <w:ind w:firstLine="420" w:firstLineChars="200"/>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（8）</w:t>
      </w:r>
      <w:r>
        <w:rPr>
          <w:rFonts w:hint="eastAsia" w:ascii="宋体" w:hAnsi="宋体" w:eastAsia="宋体" w:cs="宋体"/>
          <w:color w:val="auto"/>
          <w:kern w:val="0"/>
          <w:highlight w:val="none"/>
          <w:u w:val="single"/>
        </w:rPr>
        <w:t xml:space="preserve">技术标准和要求； </w:t>
      </w:r>
    </w:p>
    <w:p w14:paraId="5E3A14E5">
      <w:pPr>
        <w:pStyle w:val="21"/>
        <w:spacing w:line="360" w:lineRule="auto"/>
        <w:ind w:firstLine="420" w:firstLineChars="200"/>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（9）</w:t>
      </w:r>
      <w:r>
        <w:rPr>
          <w:rFonts w:hint="eastAsia" w:ascii="宋体" w:hAnsi="宋体" w:eastAsia="宋体" w:cs="宋体"/>
          <w:color w:val="auto"/>
          <w:kern w:val="0"/>
          <w:highlight w:val="none"/>
          <w:u w:val="single"/>
        </w:rPr>
        <w:t>其他合同文件；</w:t>
      </w:r>
    </w:p>
    <w:p w14:paraId="74F0560E">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14:paraId="0D614E1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说明：（6）、（7）、（8）、（9）填空内容分别限于技术标准和要求、图纸、已标价工程量清单或预算书、其他合同文件四者之一，其优先顺序可根据采取的不同合同方式由双方约定。</w:t>
      </w:r>
    </w:p>
    <w:p w14:paraId="37FA3A09">
      <w:pPr>
        <w:pStyle w:val="4"/>
        <w:rPr>
          <w:rFonts w:hint="eastAsia" w:ascii="宋体" w:hAnsi="宋体" w:eastAsia="宋体" w:cs="宋体"/>
          <w:color w:val="auto"/>
          <w:highlight w:val="none"/>
        </w:rPr>
      </w:pPr>
      <w:bookmarkStart w:id="194" w:name="_Toc373227697"/>
      <w:bookmarkStart w:id="195" w:name="_Toc511243319"/>
      <w:bookmarkStart w:id="196" w:name="_Toc373478344"/>
      <w:bookmarkStart w:id="197" w:name="_Toc465114858"/>
      <w:bookmarkStart w:id="198" w:name="_Toc509760002"/>
      <w:bookmarkStart w:id="199" w:name="_Toc511243545"/>
      <w:bookmarkStart w:id="200" w:name="_Toc389065263"/>
      <w:r>
        <w:rPr>
          <w:rFonts w:hint="eastAsia" w:ascii="宋体" w:hAnsi="宋体" w:eastAsia="宋体" w:cs="宋体"/>
          <w:color w:val="auto"/>
          <w:highlight w:val="none"/>
        </w:rPr>
        <w:t>1.6 图纸和承包人文件</w:t>
      </w:r>
      <w:bookmarkEnd w:id="194"/>
      <w:bookmarkEnd w:id="195"/>
      <w:bookmarkEnd w:id="196"/>
      <w:bookmarkEnd w:id="197"/>
      <w:bookmarkEnd w:id="198"/>
      <w:bookmarkEnd w:id="199"/>
      <w:bookmarkEnd w:id="200"/>
      <w:r>
        <w:rPr>
          <w:rFonts w:hint="eastAsia" w:ascii="宋体" w:hAnsi="宋体" w:eastAsia="宋体" w:cs="宋体"/>
          <w:color w:val="auto"/>
          <w:highlight w:val="none"/>
        </w:rPr>
        <w:tab/>
      </w:r>
    </w:p>
    <w:p w14:paraId="0473DBC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1.6.1 图纸的提供</w:t>
      </w:r>
    </w:p>
    <w:p w14:paraId="2018F55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发包人向承包人提供图纸的期限：</w:t>
      </w:r>
      <w:r>
        <w:rPr>
          <w:rFonts w:hint="eastAsia" w:ascii="宋体" w:hAnsi="宋体" w:eastAsia="宋体" w:cs="宋体"/>
          <w:color w:val="auto"/>
          <w:highlight w:val="none"/>
          <w:u w:val="single"/>
        </w:rPr>
        <w:t>合同签订之日起7个工作日内</w:t>
      </w:r>
      <w:r>
        <w:rPr>
          <w:rFonts w:hint="eastAsia" w:ascii="宋体" w:hAnsi="宋体" w:eastAsia="宋体" w:cs="宋体"/>
          <w:color w:val="auto"/>
          <w:highlight w:val="none"/>
        </w:rPr>
        <w:t>；</w:t>
      </w:r>
    </w:p>
    <w:p w14:paraId="0F768F1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叁 套，承包人需要增加图纸套数的，发包人应代为复制，复制费用由承包人承担</w:t>
      </w:r>
      <w:r>
        <w:rPr>
          <w:rFonts w:hint="eastAsia" w:ascii="宋体" w:hAnsi="宋体" w:eastAsia="宋体" w:cs="宋体"/>
          <w:color w:val="auto"/>
          <w:highlight w:val="none"/>
        </w:rPr>
        <w:t>；</w:t>
      </w:r>
    </w:p>
    <w:p w14:paraId="5947D59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发包人向承包人提供图纸的内容：</w:t>
      </w:r>
      <w:r>
        <w:rPr>
          <w:rFonts w:hint="eastAsia" w:ascii="宋体" w:hAnsi="宋体" w:eastAsia="宋体" w:cs="宋体"/>
          <w:color w:val="auto"/>
          <w:highlight w:val="none"/>
          <w:u w:val="single"/>
        </w:rPr>
        <w:t>施工图纸和其他技术资料</w:t>
      </w:r>
      <w:r>
        <w:rPr>
          <w:rFonts w:hint="eastAsia" w:ascii="宋体" w:hAnsi="宋体" w:eastAsia="宋体" w:cs="宋体"/>
          <w:color w:val="auto"/>
          <w:highlight w:val="none"/>
        </w:rPr>
        <w:t>。</w:t>
      </w:r>
    </w:p>
    <w:p w14:paraId="011A920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1.6.4 承包人文件</w:t>
      </w:r>
    </w:p>
    <w:p w14:paraId="650EC635">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需要由承包人提供的文件，包括：</w:t>
      </w:r>
      <w:r>
        <w:rPr>
          <w:rFonts w:hint="eastAsia" w:ascii="宋体" w:hAnsi="宋体" w:eastAsia="宋体" w:cs="宋体"/>
          <w:color w:val="auto"/>
          <w:highlight w:val="none"/>
          <w:u w:val="single"/>
        </w:rPr>
        <w:t xml:space="preserve">施工方责任主体项目责任人质量终身责任书（授权书、承诺书、质量终身责任信息一览表）； </w:t>
      </w:r>
    </w:p>
    <w:p w14:paraId="2C2D9985">
      <w:pPr>
        <w:spacing w:line="360" w:lineRule="auto"/>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2.廉政责任书；                                                                                                      3.施工单位营业执照和资质证书；                                                                                                  4.施工单位的安全生产许可证及年审记录；                                                                                                    5.施工现场及毗邻区域的供水、供电、排水、供气、供热、通信等地下设施情况；                            6.包含施工安全技术措施的施工组织设计；                                                                                                                         7.建筑施工工人工伤险、意外伤害险凭证；                                                                                   8.施工单位缴纳的农民工工资保障金证明和承诺书；                                                                       9.施工单位法人公司对项目部人员的任命文件；                                                                             10.施工单位项目负责人、</w:t>
      </w:r>
      <w:r>
        <w:rPr>
          <w:rFonts w:hint="eastAsia" w:ascii="宋体" w:hAnsi="宋体" w:eastAsia="宋体" w:cs="宋体"/>
          <w:color w:val="auto"/>
          <w:highlight w:val="none"/>
          <w:u w:val="single"/>
          <w:lang w:eastAsia="zh-CN"/>
        </w:rPr>
        <w:t>技术负责人</w:t>
      </w:r>
      <w:r>
        <w:rPr>
          <w:rFonts w:hint="eastAsia" w:ascii="宋体" w:hAnsi="宋体" w:eastAsia="宋体" w:cs="宋体"/>
          <w:color w:val="auto"/>
          <w:highlight w:val="none"/>
          <w:u w:val="single"/>
        </w:rPr>
        <w:t>、安全员等职业资格或岗位证书；                                                                                                    11.活动板房施工质量检查表和质量竣工验收记录、检测报告；                                                       12.危险性较大的分部分项工程清单和专项安全施工方案；</w:t>
      </w:r>
      <w:r>
        <w:rPr>
          <w:rFonts w:hint="eastAsia" w:ascii="宋体" w:hAnsi="宋体" w:eastAsia="宋体" w:cs="宋体"/>
          <w:color w:val="auto"/>
          <w:highlight w:val="none"/>
        </w:rPr>
        <w:t>；</w:t>
      </w:r>
    </w:p>
    <w:p w14:paraId="11DACF3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承包人提供的文件的期限为：</w:t>
      </w:r>
      <w:r>
        <w:rPr>
          <w:rFonts w:hint="eastAsia" w:ascii="宋体" w:hAnsi="宋体" w:eastAsia="宋体" w:cs="宋体"/>
          <w:color w:val="auto"/>
          <w:highlight w:val="none"/>
          <w:u w:val="single"/>
        </w:rPr>
        <w:t>                             </w:t>
      </w:r>
      <w:r>
        <w:rPr>
          <w:rFonts w:hint="eastAsia" w:ascii="宋体" w:hAnsi="宋体" w:eastAsia="宋体" w:cs="宋体"/>
          <w:color w:val="auto"/>
          <w:highlight w:val="none"/>
        </w:rPr>
        <w:t>；</w:t>
      </w:r>
    </w:p>
    <w:p w14:paraId="51600F0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承包人提供的文件的数量为：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14:paraId="0B6DA3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承包人提供的文件的形式为：</w:t>
      </w:r>
      <w:r>
        <w:rPr>
          <w:rFonts w:hint="eastAsia" w:ascii="宋体" w:hAnsi="宋体" w:eastAsia="宋体" w:cs="宋体"/>
          <w:color w:val="auto"/>
          <w:highlight w:val="none"/>
          <w:u w:val="single"/>
        </w:rPr>
        <w:t>                            </w:t>
      </w:r>
      <w:r>
        <w:rPr>
          <w:rFonts w:hint="eastAsia" w:ascii="宋体" w:hAnsi="宋体" w:eastAsia="宋体" w:cs="宋体"/>
          <w:color w:val="auto"/>
          <w:highlight w:val="none"/>
        </w:rPr>
        <w:t>；</w:t>
      </w:r>
    </w:p>
    <w:p w14:paraId="1E84A1A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发包人审批承包人文件的期限：</w:t>
      </w:r>
      <w:r>
        <w:rPr>
          <w:rFonts w:hint="eastAsia" w:ascii="宋体" w:hAnsi="宋体" w:eastAsia="宋体" w:cs="宋体"/>
          <w:color w:val="auto"/>
          <w:highlight w:val="none"/>
          <w:u w:val="single"/>
        </w:rPr>
        <w:t>                           </w:t>
      </w:r>
      <w:r>
        <w:rPr>
          <w:rFonts w:hint="eastAsia" w:ascii="宋体" w:hAnsi="宋体" w:eastAsia="宋体" w:cs="宋体"/>
          <w:color w:val="auto"/>
          <w:highlight w:val="none"/>
        </w:rPr>
        <w:t>。</w:t>
      </w:r>
    </w:p>
    <w:p w14:paraId="215236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1.6.5 现场图纸准备</w:t>
      </w:r>
    </w:p>
    <w:p w14:paraId="447365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关于现场图纸准备的约定：</w:t>
      </w:r>
      <w:r>
        <w:rPr>
          <w:rFonts w:hint="eastAsia" w:ascii="宋体" w:hAnsi="宋体" w:eastAsia="宋体" w:cs="宋体"/>
          <w:color w:val="auto"/>
          <w:highlight w:val="none"/>
          <w:u w:val="single"/>
        </w:rPr>
        <w:t>执行《通用条款》</w:t>
      </w:r>
      <w:r>
        <w:rPr>
          <w:rFonts w:hint="eastAsia" w:ascii="宋体" w:hAnsi="宋体" w:eastAsia="宋体" w:cs="宋体"/>
          <w:color w:val="auto"/>
          <w:highlight w:val="none"/>
        </w:rPr>
        <w:t>。</w:t>
      </w:r>
    </w:p>
    <w:p w14:paraId="27FDD709">
      <w:pPr>
        <w:pStyle w:val="4"/>
        <w:rPr>
          <w:rFonts w:hint="eastAsia" w:ascii="宋体" w:hAnsi="宋体" w:eastAsia="宋体" w:cs="宋体"/>
          <w:color w:val="auto"/>
          <w:highlight w:val="none"/>
        </w:rPr>
      </w:pPr>
      <w:bookmarkStart w:id="201" w:name="_Toc511243320"/>
      <w:bookmarkStart w:id="202" w:name="_Toc373227698"/>
      <w:bookmarkStart w:id="203" w:name="_Toc465114859"/>
      <w:bookmarkStart w:id="204" w:name="_Toc373478345"/>
      <w:bookmarkStart w:id="205" w:name="_Toc511243546"/>
      <w:bookmarkStart w:id="206" w:name="_Toc509760003"/>
      <w:bookmarkStart w:id="207" w:name="_Toc389065264"/>
      <w:r>
        <w:rPr>
          <w:rFonts w:hint="eastAsia" w:ascii="宋体" w:hAnsi="宋体" w:eastAsia="宋体" w:cs="宋体"/>
          <w:color w:val="auto"/>
          <w:highlight w:val="none"/>
        </w:rPr>
        <w:t>1.7 联络</w:t>
      </w:r>
      <w:bookmarkEnd w:id="201"/>
      <w:bookmarkEnd w:id="202"/>
      <w:bookmarkEnd w:id="203"/>
      <w:bookmarkEnd w:id="204"/>
      <w:bookmarkEnd w:id="205"/>
      <w:bookmarkEnd w:id="206"/>
      <w:bookmarkEnd w:id="207"/>
    </w:p>
    <w:p w14:paraId="660AF31D">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1.7.1发包人和承包人应当在</w:t>
      </w:r>
      <w:r>
        <w:rPr>
          <w:rFonts w:hint="eastAsia" w:ascii="宋体" w:hAnsi="宋体" w:eastAsia="宋体" w:cs="宋体"/>
          <w:color w:val="auto"/>
          <w:highlight w:val="none"/>
          <w:u w:val="single"/>
        </w:rPr>
        <w:t xml:space="preserve">3  </w:t>
      </w:r>
      <w:r>
        <w:rPr>
          <w:rFonts w:hint="eastAsia" w:ascii="宋体" w:hAnsi="宋体" w:eastAsia="宋体" w:cs="宋体"/>
          <w:color w:val="auto"/>
          <w:kern w:val="0"/>
          <w:highlight w:val="none"/>
        </w:rPr>
        <w:t>天内将与合同有关的通知、批准、证明、证书、指示、指令、要求、请求、同意、意见、确定和决定等书面函件送达对方当事人。</w:t>
      </w:r>
    </w:p>
    <w:p w14:paraId="48C2B9E3">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1.7.2 发包人接收文件的地点：</w:t>
      </w:r>
      <w:r>
        <w:rPr>
          <w:rFonts w:hint="eastAsia" w:ascii="宋体" w:hAnsi="宋体" w:eastAsia="宋体" w:cs="宋体"/>
          <w:color w:val="auto"/>
          <w:highlight w:val="none"/>
          <w:u w:val="single"/>
        </w:rPr>
        <w:t>      </w:t>
      </w:r>
      <w:r>
        <w:rPr>
          <w:rFonts w:hint="eastAsia" w:ascii="宋体" w:hAnsi="宋体" w:eastAsia="宋体" w:cs="宋体"/>
          <w:color w:val="auto"/>
          <w:kern w:val="0"/>
          <w:highlight w:val="none"/>
        </w:rPr>
        <w:t>；</w:t>
      </w:r>
    </w:p>
    <w:p w14:paraId="26EF72C1">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发包人指定的接收人为：</w:t>
      </w:r>
      <w:r>
        <w:rPr>
          <w:rFonts w:hint="eastAsia" w:ascii="宋体" w:hAnsi="宋体" w:eastAsia="宋体" w:cs="宋体"/>
          <w:color w:val="auto"/>
          <w:highlight w:val="none"/>
          <w:u w:val="single"/>
        </w:rPr>
        <w:t>               </w:t>
      </w:r>
      <w:r>
        <w:rPr>
          <w:rFonts w:hint="eastAsia" w:ascii="宋体" w:hAnsi="宋体" w:eastAsia="宋体" w:cs="宋体"/>
          <w:color w:val="auto"/>
          <w:kern w:val="0"/>
          <w:highlight w:val="none"/>
        </w:rPr>
        <w:t>。</w:t>
      </w:r>
    </w:p>
    <w:p w14:paraId="33113017">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承包人接收文件的地点：</w:t>
      </w:r>
      <w:r>
        <w:rPr>
          <w:rFonts w:hint="eastAsia" w:ascii="宋体" w:hAnsi="宋体" w:eastAsia="宋体" w:cs="宋体"/>
          <w:color w:val="auto"/>
          <w:highlight w:val="none"/>
          <w:u w:val="single"/>
        </w:rPr>
        <w:t>             </w:t>
      </w:r>
      <w:r>
        <w:rPr>
          <w:rFonts w:hint="eastAsia" w:ascii="宋体" w:hAnsi="宋体" w:eastAsia="宋体" w:cs="宋体"/>
          <w:color w:val="auto"/>
          <w:kern w:val="0"/>
          <w:highlight w:val="none"/>
        </w:rPr>
        <w:t>；</w:t>
      </w:r>
    </w:p>
    <w:p w14:paraId="6D037F13">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承包人指定的接收人为：</w:t>
      </w:r>
      <w:r>
        <w:rPr>
          <w:rFonts w:hint="eastAsia" w:ascii="宋体" w:hAnsi="宋体" w:eastAsia="宋体" w:cs="宋体"/>
          <w:color w:val="auto"/>
          <w:highlight w:val="none"/>
          <w:u w:val="single"/>
        </w:rPr>
        <w:t>             </w:t>
      </w:r>
      <w:r>
        <w:rPr>
          <w:rFonts w:hint="eastAsia" w:ascii="宋体" w:hAnsi="宋体" w:eastAsia="宋体" w:cs="宋体"/>
          <w:color w:val="auto"/>
          <w:kern w:val="0"/>
          <w:highlight w:val="none"/>
        </w:rPr>
        <w:t>。</w:t>
      </w:r>
    </w:p>
    <w:p w14:paraId="23348001">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监理人接收文件的地点：</w:t>
      </w:r>
      <w:r>
        <w:rPr>
          <w:rFonts w:hint="eastAsia" w:ascii="宋体" w:hAnsi="宋体" w:eastAsia="宋体" w:cs="宋体"/>
          <w:color w:val="auto"/>
          <w:highlight w:val="none"/>
          <w:u w:val="single"/>
        </w:rPr>
        <w:t>            </w:t>
      </w:r>
      <w:r>
        <w:rPr>
          <w:rFonts w:hint="eastAsia" w:ascii="宋体" w:hAnsi="宋体" w:eastAsia="宋体" w:cs="宋体"/>
          <w:color w:val="auto"/>
          <w:kern w:val="0"/>
          <w:highlight w:val="none"/>
        </w:rPr>
        <w:t>；</w:t>
      </w:r>
    </w:p>
    <w:p w14:paraId="03438CF4">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监理人指定的接收人为：</w:t>
      </w:r>
      <w:r>
        <w:rPr>
          <w:rFonts w:hint="eastAsia" w:ascii="宋体" w:hAnsi="宋体" w:eastAsia="宋体" w:cs="宋体"/>
          <w:color w:val="auto"/>
          <w:highlight w:val="none"/>
          <w:u w:val="single"/>
        </w:rPr>
        <w:t>            </w:t>
      </w:r>
      <w:r>
        <w:rPr>
          <w:rFonts w:hint="eastAsia" w:ascii="宋体" w:hAnsi="宋体" w:eastAsia="宋体" w:cs="宋体"/>
          <w:color w:val="auto"/>
          <w:kern w:val="0"/>
          <w:highlight w:val="none"/>
        </w:rPr>
        <w:t>。</w:t>
      </w:r>
    </w:p>
    <w:p w14:paraId="54644878">
      <w:pPr>
        <w:pStyle w:val="4"/>
        <w:rPr>
          <w:rFonts w:hint="eastAsia" w:ascii="宋体" w:hAnsi="宋体" w:eastAsia="宋体" w:cs="宋体"/>
          <w:color w:val="auto"/>
          <w:highlight w:val="none"/>
        </w:rPr>
      </w:pPr>
      <w:bookmarkStart w:id="208" w:name="_Toc511243547"/>
      <w:bookmarkStart w:id="209" w:name="_Toc465114860"/>
      <w:bookmarkStart w:id="210" w:name="_Toc373227699"/>
      <w:bookmarkStart w:id="211" w:name="_Toc373478346"/>
      <w:bookmarkStart w:id="212" w:name="_Toc389065265"/>
      <w:bookmarkStart w:id="213" w:name="_Toc509760004"/>
      <w:bookmarkStart w:id="214" w:name="_Toc511243321"/>
      <w:r>
        <w:rPr>
          <w:rFonts w:hint="eastAsia" w:ascii="宋体" w:hAnsi="宋体" w:eastAsia="宋体" w:cs="宋体"/>
          <w:color w:val="auto"/>
          <w:highlight w:val="none"/>
        </w:rPr>
        <w:t>1.10 交通运输</w:t>
      </w:r>
      <w:bookmarkEnd w:id="208"/>
      <w:bookmarkEnd w:id="209"/>
      <w:bookmarkEnd w:id="210"/>
      <w:bookmarkEnd w:id="211"/>
      <w:bookmarkEnd w:id="212"/>
      <w:bookmarkEnd w:id="213"/>
      <w:bookmarkEnd w:id="214"/>
    </w:p>
    <w:p w14:paraId="1C1778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bookmarkStart w:id="215" w:name="_Toc312677986"/>
      <w:bookmarkStart w:id="216" w:name="_Toc303539100"/>
      <w:bookmarkStart w:id="217" w:name="_Toc318581155"/>
      <w:bookmarkStart w:id="218" w:name="_Toc304295521"/>
      <w:bookmarkStart w:id="219" w:name="_Toc300934943"/>
      <w:r>
        <w:rPr>
          <w:rFonts w:hint="eastAsia" w:ascii="宋体" w:hAnsi="宋体" w:eastAsia="宋体" w:cs="宋体"/>
          <w:color w:val="auto"/>
          <w:highlight w:val="none"/>
        </w:rPr>
        <w:t>.10.1 出入现场的权利</w:t>
      </w:r>
    </w:p>
    <w:p w14:paraId="660ABD2E">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关于出入现场的权利的约定：</w:t>
      </w:r>
      <w:r>
        <w:rPr>
          <w:rFonts w:hint="eastAsia" w:ascii="宋体" w:hAnsi="宋体" w:eastAsia="宋体" w:cs="宋体"/>
          <w:color w:val="auto"/>
          <w:highlight w:val="none"/>
          <w:u w:val="single"/>
        </w:rPr>
        <w:t>执行《通用条款》 </w:t>
      </w:r>
      <w:r>
        <w:rPr>
          <w:rFonts w:hint="eastAsia" w:ascii="宋体" w:hAnsi="宋体" w:eastAsia="宋体" w:cs="宋体"/>
          <w:color w:val="auto"/>
          <w:highlight w:val="none"/>
        </w:rPr>
        <w:t>。</w:t>
      </w:r>
    </w:p>
    <w:bookmarkEnd w:id="215"/>
    <w:bookmarkEnd w:id="216"/>
    <w:bookmarkEnd w:id="217"/>
    <w:bookmarkEnd w:id="218"/>
    <w:bookmarkEnd w:id="219"/>
    <w:p w14:paraId="74735A5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w:t>
      </w:r>
      <w:bookmarkStart w:id="220" w:name="_Toc300934944"/>
      <w:bookmarkStart w:id="221" w:name="_Toc303539101"/>
      <w:bookmarkStart w:id="222" w:name="_Toc312677987"/>
      <w:bookmarkStart w:id="223" w:name="_Toc318581156"/>
      <w:bookmarkStart w:id="224" w:name="_Toc304295522"/>
      <w:r>
        <w:rPr>
          <w:rFonts w:hint="eastAsia" w:ascii="宋体" w:hAnsi="宋体" w:eastAsia="宋体" w:cs="宋体"/>
          <w:color w:val="auto"/>
          <w:highlight w:val="none"/>
        </w:rPr>
        <w:t>.10.3 场内交通</w:t>
      </w:r>
    </w:p>
    <w:p w14:paraId="13847B3D">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关于场外交通和场内交通的边界的约定：</w:t>
      </w:r>
      <w:r>
        <w:rPr>
          <w:rFonts w:hint="eastAsia" w:ascii="宋体" w:hAnsi="宋体" w:eastAsia="宋体" w:cs="宋体"/>
          <w:color w:val="auto"/>
          <w:highlight w:val="none"/>
          <w:u w:val="single"/>
        </w:rPr>
        <w:t>执行《通用条款》  </w:t>
      </w:r>
      <w:r>
        <w:rPr>
          <w:rFonts w:hint="eastAsia" w:ascii="宋体" w:hAnsi="宋体" w:eastAsia="宋体" w:cs="宋体"/>
          <w:color w:val="auto"/>
          <w:highlight w:val="none"/>
        </w:rPr>
        <w:t>。</w:t>
      </w:r>
    </w:p>
    <w:p w14:paraId="3FD7BC1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关于发包人向承包人免费提供满足工程施工需要的场内道路和交通设施的约定：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bookmarkEnd w:id="220"/>
      <w:bookmarkEnd w:id="221"/>
      <w:bookmarkEnd w:id="222"/>
      <w:bookmarkEnd w:id="223"/>
      <w:bookmarkEnd w:id="224"/>
      <w:bookmarkStart w:id="225" w:name="_Toc318581157"/>
    </w:p>
    <w:p w14:paraId="6BE16AA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1.10.4 超大件和超重件的运输</w:t>
      </w:r>
    </w:p>
    <w:p w14:paraId="7C769363">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运输超大件或超重件所需的道路和桥梁临时加固改造费用和其他有关费用由</w:t>
      </w:r>
      <w:r>
        <w:rPr>
          <w:rFonts w:hint="eastAsia" w:ascii="宋体" w:hAnsi="宋体" w:eastAsia="宋体" w:cs="宋体"/>
          <w:color w:val="auto"/>
          <w:highlight w:val="none"/>
          <w:u w:val="single"/>
        </w:rPr>
        <w:t xml:space="preserve"> 承包人  </w:t>
      </w:r>
      <w:r>
        <w:rPr>
          <w:rFonts w:hint="eastAsia" w:ascii="宋体" w:hAnsi="宋体" w:eastAsia="宋体" w:cs="宋体"/>
          <w:color w:val="auto"/>
          <w:highlight w:val="none"/>
        </w:rPr>
        <w:t>承担。</w:t>
      </w:r>
    </w:p>
    <w:bookmarkEnd w:id="225"/>
    <w:p w14:paraId="52E43307">
      <w:pPr>
        <w:pStyle w:val="4"/>
        <w:rPr>
          <w:rFonts w:hint="eastAsia" w:ascii="宋体" w:hAnsi="宋体" w:eastAsia="宋体" w:cs="宋体"/>
          <w:color w:val="auto"/>
          <w:highlight w:val="none"/>
        </w:rPr>
      </w:pPr>
      <w:bookmarkStart w:id="226" w:name="_Toc509760005"/>
      <w:bookmarkStart w:id="227" w:name="_Toc511243322"/>
      <w:bookmarkStart w:id="228" w:name="_Toc373227700"/>
      <w:bookmarkStart w:id="229" w:name="_Toc373478347"/>
      <w:bookmarkStart w:id="230" w:name="_Toc511243548"/>
      <w:bookmarkStart w:id="231" w:name="_Toc389065266"/>
      <w:bookmarkStart w:id="232" w:name="_Toc465114861"/>
      <w:r>
        <w:rPr>
          <w:rFonts w:hint="eastAsia" w:ascii="宋体" w:hAnsi="宋体" w:eastAsia="宋体" w:cs="宋体"/>
          <w:color w:val="auto"/>
          <w:highlight w:val="none"/>
        </w:rPr>
        <w:t>1.11 知识产权</w:t>
      </w:r>
      <w:bookmarkEnd w:id="226"/>
      <w:bookmarkEnd w:id="227"/>
      <w:bookmarkEnd w:id="228"/>
      <w:bookmarkEnd w:id="229"/>
      <w:bookmarkEnd w:id="230"/>
      <w:bookmarkEnd w:id="231"/>
      <w:bookmarkEnd w:id="232"/>
    </w:p>
    <w:p w14:paraId="3D56362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highlight w:val="none"/>
          <w:u w:val="single"/>
        </w:rPr>
        <w:t xml:space="preserve">发包人  </w:t>
      </w:r>
      <w:r>
        <w:rPr>
          <w:rFonts w:hint="eastAsia" w:ascii="宋体" w:hAnsi="宋体" w:eastAsia="宋体" w:cs="宋体"/>
          <w:color w:val="auto"/>
          <w:highlight w:val="none"/>
        </w:rPr>
        <w:t>。</w:t>
      </w:r>
    </w:p>
    <w:p w14:paraId="6F8A69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关于发包人提供的上述文件的使用限制的要求：</w:t>
      </w:r>
      <w:r>
        <w:rPr>
          <w:rFonts w:hint="eastAsia" w:ascii="宋体" w:hAnsi="宋体" w:eastAsia="宋体" w:cs="宋体"/>
          <w:color w:val="auto"/>
          <w:highlight w:val="none"/>
          <w:u w:val="single"/>
        </w:rPr>
        <w:t xml:space="preserve"> 仅用于本项目   </w:t>
      </w:r>
      <w:r>
        <w:rPr>
          <w:rFonts w:hint="eastAsia" w:ascii="宋体" w:hAnsi="宋体" w:eastAsia="宋体" w:cs="宋体"/>
          <w:color w:val="auto"/>
          <w:highlight w:val="none"/>
        </w:rPr>
        <w:t>。</w:t>
      </w:r>
    </w:p>
    <w:p w14:paraId="14F47D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1.11.2 关于承包人为实施工程所编制文件的著作权的归属：</w:t>
      </w:r>
      <w:r>
        <w:rPr>
          <w:rFonts w:hint="eastAsia" w:ascii="宋体" w:hAnsi="宋体" w:eastAsia="宋体" w:cs="宋体"/>
          <w:color w:val="auto"/>
          <w:highlight w:val="none"/>
          <w:u w:val="single"/>
        </w:rPr>
        <w:t xml:space="preserve">   发包人  </w:t>
      </w:r>
      <w:r>
        <w:rPr>
          <w:rFonts w:hint="eastAsia" w:ascii="宋体" w:hAnsi="宋体" w:eastAsia="宋体" w:cs="宋体"/>
          <w:color w:val="auto"/>
          <w:highlight w:val="none"/>
        </w:rPr>
        <w:t>。</w:t>
      </w:r>
    </w:p>
    <w:p w14:paraId="7FD7FABF">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关于承包人提供的上述文件的使用限制的要求：</w:t>
      </w:r>
      <w:r>
        <w:rPr>
          <w:rFonts w:hint="eastAsia" w:ascii="宋体" w:hAnsi="宋体" w:eastAsia="宋体" w:cs="宋体"/>
          <w:color w:val="auto"/>
          <w:highlight w:val="none"/>
          <w:u w:val="single"/>
        </w:rPr>
        <w:t>仅用于本项目，未经发包人书面同意不得向第三方提供</w:t>
      </w:r>
      <w:r>
        <w:rPr>
          <w:rFonts w:hint="eastAsia" w:ascii="宋体" w:hAnsi="宋体" w:eastAsia="宋体" w:cs="宋体"/>
          <w:color w:val="auto"/>
          <w:highlight w:val="none"/>
        </w:rPr>
        <w:t>。</w:t>
      </w:r>
    </w:p>
    <w:p w14:paraId="4DA69044">
      <w:pPr>
        <w:spacing w:line="360" w:lineRule="auto"/>
        <w:rPr>
          <w:rFonts w:hint="eastAsia" w:ascii="宋体" w:hAnsi="宋体" w:eastAsia="宋体" w:cs="宋体"/>
          <w:color w:val="auto"/>
          <w:kern w:val="0"/>
          <w:highlight w:val="none"/>
        </w:rPr>
      </w:pPr>
      <w:r>
        <w:rPr>
          <w:rFonts w:hint="eastAsia" w:ascii="宋体" w:hAnsi="宋体" w:eastAsia="宋体" w:cs="宋体"/>
          <w:color w:val="auto"/>
          <w:highlight w:val="none"/>
        </w:rPr>
        <w:t>1.11.4 承包人在施工过程中所采用的专利、专有技术、技术秘密的使用费的承担方式：</w:t>
      </w:r>
      <w:r>
        <w:rPr>
          <w:rFonts w:hint="eastAsia" w:ascii="宋体" w:hAnsi="宋体" w:eastAsia="宋体" w:cs="宋体"/>
          <w:color w:val="auto"/>
          <w:highlight w:val="none"/>
          <w:u w:val="single"/>
        </w:rPr>
        <w:t>只能用于本项目，未经发包人书面同意不得向第三方提供。</w:t>
      </w:r>
    </w:p>
    <w:p w14:paraId="7DC9F0D3">
      <w:pPr>
        <w:pStyle w:val="4"/>
        <w:rPr>
          <w:rFonts w:hint="eastAsia" w:ascii="宋体" w:hAnsi="宋体" w:eastAsia="宋体" w:cs="宋体"/>
          <w:color w:val="auto"/>
          <w:highlight w:val="none"/>
        </w:rPr>
      </w:pPr>
      <w:bookmarkStart w:id="233" w:name="_Toc389065267"/>
      <w:bookmarkStart w:id="234" w:name="_Toc509760006"/>
      <w:bookmarkStart w:id="235" w:name="_Toc373227701"/>
      <w:bookmarkStart w:id="236" w:name="_Toc373478348"/>
      <w:bookmarkStart w:id="237" w:name="_Toc511243323"/>
      <w:bookmarkStart w:id="238" w:name="_Toc511243549"/>
      <w:bookmarkStart w:id="239" w:name="_Toc465114862"/>
      <w:r>
        <w:rPr>
          <w:rFonts w:hint="eastAsia" w:ascii="宋体" w:hAnsi="宋体" w:eastAsia="宋体" w:cs="宋体"/>
          <w:color w:val="auto"/>
          <w:highlight w:val="none"/>
        </w:rPr>
        <w:t>1.13工程量清单错误的修正</w:t>
      </w:r>
      <w:bookmarkEnd w:id="233"/>
      <w:bookmarkEnd w:id="234"/>
      <w:bookmarkEnd w:id="235"/>
      <w:bookmarkEnd w:id="236"/>
      <w:bookmarkEnd w:id="237"/>
      <w:bookmarkEnd w:id="238"/>
      <w:bookmarkEnd w:id="239"/>
    </w:p>
    <w:p w14:paraId="2C82237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出现工程量清单工程量偏差时，是否调整合同价格：</w:t>
      </w:r>
      <w:r>
        <w:rPr>
          <w:rFonts w:hint="eastAsia" w:ascii="宋体" w:hAnsi="宋体" w:eastAsia="宋体" w:cs="宋体"/>
          <w:color w:val="auto"/>
          <w:highlight w:val="none"/>
          <w:u w:val="single"/>
        </w:rPr>
        <w:t xml:space="preserve">   是  </w:t>
      </w:r>
      <w:r>
        <w:rPr>
          <w:rFonts w:hint="eastAsia" w:ascii="宋体" w:hAnsi="宋体" w:eastAsia="宋体" w:cs="宋体"/>
          <w:color w:val="auto"/>
          <w:kern w:val="0"/>
          <w:highlight w:val="none"/>
        </w:rPr>
        <w:t>。</w:t>
      </w:r>
    </w:p>
    <w:p w14:paraId="274B6371">
      <w:pPr>
        <w:pStyle w:val="21"/>
        <w:spacing w:line="360" w:lineRule="auto"/>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允许调整合同价格的工程量偏差范围及其调整办法：</w:t>
      </w:r>
      <w:r>
        <w:rPr>
          <w:rFonts w:hint="eastAsia" w:ascii="宋体" w:hAnsi="宋体" w:eastAsia="宋体" w:cs="宋体"/>
          <w:color w:val="auto"/>
          <w:highlight w:val="none"/>
          <w:u w:val="single"/>
        </w:rPr>
        <w:t>工程变更、项目特征不符、工程量清单缺项、工程量偏差等引起的调整。</w:t>
      </w:r>
      <w:r>
        <w:rPr>
          <w:rFonts w:hint="eastAsia" w:ascii="宋体" w:hAnsi="宋体" w:eastAsia="宋体" w:cs="宋体"/>
          <w:color w:val="auto"/>
          <w:highlight w:val="none"/>
          <w:u w:val="single"/>
          <w:lang w:eastAsia="zh-CN"/>
        </w:rPr>
        <w:t>需调整的工程量施工前必须经甲方签字同意后才能实施。</w:t>
      </w:r>
    </w:p>
    <w:p w14:paraId="755C1409">
      <w:pPr>
        <w:pStyle w:val="22"/>
        <w:keepNext w:val="0"/>
        <w:keepLines w:val="0"/>
        <w:spacing w:before="0" w:after="0" w:line="440" w:lineRule="exact"/>
        <w:ind w:firstLine="420" w:firstLineChars="200"/>
        <w:rPr>
          <w:rFonts w:hint="eastAsia" w:ascii="宋体" w:hAnsi="宋体" w:eastAsia="宋体" w:cs="宋体"/>
          <w:b w:val="0"/>
          <w:bCs w:val="0"/>
          <w:color w:val="auto"/>
          <w:sz w:val="21"/>
          <w:szCs w:val="21"/>
          <w:highlight w:val="none"/>
          <w:u w:val="single"/>
        </w:rPr>
      </w:pPr>
      <w:bookmarkStart w:id="240" w:name="_Toc508296474"/>
      <w:bookmarkStart w:id="241" w:name="_Toc511243550"/>
      <w:bookmarkStart w:id="242" w:name="_Toc511243324"/>
      <w:bookmarkStart w:id="243" w:name="_Toc508314416"/>
      <w:r>
        <w:rPr>
          <w:rFonts w:hint="eastAsia" w:ascii="宋体" w:hAnsi="宋体" w:eastAsia="宋体" w:cs="宋体"/>
          <w:b w:val="0"/>
          <w:bCs w:val="0"/>
          <w:color w:val="auto"/>
          <w:sz w:val="21"/>
          <w:szCs w:val="21"/>
          <w:highlight w:val="none"/>
          <w:u w:val="single"/>
        </w:rPr>
        <w:t>1.13.1由于工程变更、工程量偏差导致该清单项目的工程数量发生变化</w:t>
      </w:r>
      <w:r>
        <w:rPr>
          <w:rFonts w:hint="eastAsia" w:ascii="宋体" w:hAnsi="宋体" w:eastAsia="宋体" w:cs="宋体"/>
          <w:b w:val="0"/>
          <w:bCs w:val="0"/>
          <w:color w:val="auto"/>
          <w:sz w:val="21"/>
          <w:szCs w:val="21"/>
          <w:highlight w:val="none"/>
          <w:u w:val="single"/>
          <w:lang w:eastAsia="zh-CN"/>
        </w:rPr>
        <w:t>不得超过总工程量的</w:t>
      </w:r>
      <w:r>
        <w:rPr>
          <w:rFonts w:hint="eastAsia" w:ascii="宋体" w:hAnsi="宋体" w:eastAsia="宋体" w:cs="宋体"/>
          <w:b w:val="0"/>
          <w:bCs w:val="0"/>
          <w:color w:val="auto"/>
          <w:sz w:val="21"/>
          <w:szCs w:val="21"/>
          <w:highlight w:val="none"/>
          <w:u w:val="single"/>
          <w:lang w:val="en-US" w:eastAsia="zh-CN"/>
        </w:rPr>
        <w:t>10</w:t>
      </w:r>
      <w:r>
        <w:rPr>
          <w:rFonts w:hint="eastAsia" w:ascii="宋体" w:hAnsi="宋体" w:eastAsia="宋体" w:cs="宋体"/>
          <w:b w:val="0"/>
          <w:bCs w:val="0"/>
          <w:color w:val="auto"/>
          <w:sz w:val="21"/>
          <w:szCs w:val="21"/>
          <w:highlight w:val="none"/>
          <w:u w:val="single"/>
        </w:rPr>
        <w:t>%以内（</w:t>
      </w:r>
      <w:r>
        <w:rPr>
          <w:rFonts w:hint="eastAsia" w:ascii="宋体" w:hAnsi="宋体" w:eastAsia="宋体" w:cs="宋体"/>
          <w:b w:val="0"/>
          <w:bCs w:val="0"/>
          <w:color w:val="auto"/>
          <w:sz w:val="21"/>
          <w:szCs w:val="21"/>
          <w:highlight w:val="none"/>
          <w:u w:val="single"/>
          <w:lang w:eastAsia="zh-CN"/>
        </w:rPr>
        <w:t>不</w:t>
      </w:r>
      <w:r>
        <w:rPr>
          <w:rFonts w:hint="eastAsia" w:ascii="宋体" w:hAnsi="宋体" w:eastAsia="宋体" w:cs="宋体"/>
          <w:b w:val="0"/>
          <w:bCs w:val="0"/>
          <w:color w:val="auto"/>
          <w:sz w:val="21"/>
          <w:szCs w:val="21"/>
          <w:highlight w:val="none"/>
          <w:u w:val="single"/>
        </w:rPr>
        <w:t>含1</w:t>
      </w:r>
      <w:r>
        <w:rPr>
          <w:rFonts w:hint="eastAsia" w:ascii="宋体" w:hAnsi="宋体" w:eastAsia="宋体" w:cs="宋体"/>
          <w:b w:val="0"/>
          <w:bCs w:val="0"/>
          <w:color w:val="auto"/>
          <w:sz w:val="21"/>
          <w:szCs w:val="21"/>
          <w:highlight w:val="none"/>
          <w:u w:val="single"/>
          <w:lang w:val="en-US" w:eastAsia="zh-CN"/>
        </w:rPr>
        <w:t>0</w:t>
      </w:r>
      <w:r>
        <w:rPr>
          <w:rFonts w:hint="eastAsia" w:ascii="宋体" w:hAnsi="宋体" w:eastAsia="宋体" w:cs="宋体"/>
          <w:b w:val="0"/>
          <w:bCs w:val="0"/>
          <w:color w:val="auto"/>
          <w:sz w:val="21"/>
          <w:szCs w:val="21"/>
          <w:highlight w:val="none"/>
          <w:u w:val="single"/>
        </w:rPr>
        <w:t>%）。</w:t>
      </w:r>
      <w:bookmarkEnd w:id="240"/>
      <w:bookmarkEnd w:id="241"/>
      <w:bookmarkEnd w:id="242"/>
      <w:bookmarkEnd w:id="243"/>
    </w:p>
    <w:p w14:paraId="618AACFF">
      <w:pPr>
        <w:pStyle w:val="22"/>
        <w:keepNext w:val="0"/>
        <w:keepLines w:val="0"/>
        <w:spacing w:before="0" w:after="0" w:line="440" w:lineRule="exact"/>
        <w:ind w:firstLine="420" w:firstLineChars="200"/>
        <w:rPr>
          <w:rFonts w:hint="eastAsia" w:ascii="宋体" w:hAnsi="宋体" w:eastAsia="宋体" w:cs="宋体"/>
          <w:b w:val="0"/>
          <w:bCs w:val="0"/>
          <w:color w:val="auto"/>
          <w:sz w:val="21"/>
          <w:szCs w:val="21"/>
          <w:highlight w:val="none"/>
          <w:u w:val="single"/>
        </w:rPr>
      </w:pPr>
      <w:bookmarkStart w:id="244" w:name="_Toc511243325"/>
      <w:bookmarkStart w:id="245" w:name="_Toc508314417"/>
      <w:bookmarkStart w:id="246" w:name="_Toc508296475"/>
      <w:bookmarkStart w:id="247" w:name="_Toc511243551"/>
      <w:r>
        <w:rPr>
          <w:rFonts w:hint="eastAsia" w:ascii="宋体" w:hAnsi="宋体" w:eastAsia="宋体" w:cs="宋体"/>
          <w:b w:val="0"/>
          <w:bCs w:val="0"/>
          <w:color w:val="auto"/>
          <w:sz w:val="21"/>
          <w:szCs w:val="21"/>
          <w:highlight w:val="none"/>
          <w:u w:val="single"/>
        </w:rPr>
        <w:t>1.13.2由于工程变更、项目特征不符、工程量清单缺项导致的新增清单项目，由承包人根据工程资料、计量规则和计价方法、工程造价管理机构发布的信息价格和承包人报价浮动率提出变更工程项目的单价，并应报发包人确认后，经</w:t>
      </w:r>
      <w:r>
        <w:rPr>
          <w:rFonts w:hint="eastAsia" w:ascii="宋体" w:hAnsi="宋体" w:eastAsia="宋体" w:cs="宋体"/>
          <w:b w:val="0"/>
          <w:bCs w:val="0"/>
          <w:color w:val="auto"/>
          <w:sz w:val="21"/>
          <w:szCs w:val="21"/>
          <w:highlight w:val="none"/>
          <w:u w:val="single"/>
          <w:lang w:eastAsia="zh-CN"/>
        </w:rPr>
        <w:t>贺州市平桂区羊头镇人民政府</w:t>
      </w:r>
      <w:r>
        <w:rPr>
          <w:rFonts w:hint="eastAsia" w:ascii="宋体" w:hAnsi="宋体" w:eastAsia="宋体" w:cs="宋体"/>
          <w:b w:val="0"/>
          <w:bCs w:val="0"/>
          <w:color w:val="auto"/>
          <w:sz w:val="21"/>
          <w:szCs w:val="21"/>
          <w:highlight w:val="none"/>
          <w:u w:val="single"/>
        </w:rPr>
        <w:t>审定的单价调整。承包人报价浮动率可按下列公式计算</w:t>
      </w:r>
      <w:bookmarkEnd w:id="244"/>
      <w:bookmarkEnd w:id="245"/>
      <w:bookmarkEnd w:id="246"/>
      <w:bookmarkEnd w:id="247"/>
    </w:p>
    <w:p w14:paraId="4E03368E">
      <w:pPr>
        <w:pStyle w:val="22"/>
        <w:keepNext w:val="0"/>
        <w:keepLines w:val="0"/>
        <w:spacing w:before="0" w:after="0" w:line="440" w:lineRule="exact"/>
        <w:ind w:firstLine="420" w:firstLineChars="200"/>
        <w:rPr>
          <w:rFonts w:hint="eastAsia" w:ascii="宋体" w:hAnsi="宋体" w:eastAsia="宋体" w:cs="宋体"/>
          <w:b w:val="0"/>
          <w:bCs w:val="0"/>
          <w:color w:val="auto"/>
          <w:sz w:val="21"/>
          <w:szCs w:val="21"/>
          <w:highlight w:val="none"/>
          <w:u w:val="single"/>
        </w:rPr>
      </w:pPr>
      <w:bookmarkStart w:id="248" w:name="_Toc511243552"/>
      <w:bookmarkStart w:id="249" w:name="_Toc508296476"/>
      <w:bookmarkStart w:id="250" w:name="_Toc511243326"/>
      <w:bookmarkStart w:id="251" w:name="_Toc508314418"/>
      <w:r>
        <w:rPr>
          <w:rFonts w:hint="eastAsia" w:ascii="宋体" w:hAnsi="宋体" w:eastAsia="宋体" w:cs="宋体"/>
          <w:b w:val="0"/>
          <w:bCs w:val="0"/>
          <w:color w:val="auto"/>
          <w:sz w:val="21"/>
          <w:szCs w:val="21"/>
          <w:highlight w:val="none"/>
          <w:u w:val="single"/>
        </w:rPr>
        <w:t>承包人报价浮动率L＝（1-中标价/招标控制价）×100%</w:t>
      </w:r>
      <w:bookmarkEnd w:id="248"/>
      <w:bookmarkEnd w:id="249"/>
      <w:bookmarkEnd w:id="250"/>
      <w:bookmarkEnd w:id="251"/>
    </w:p>
    <w:p w14:paraId="2E73FFAD">
      <w:pPr>
        <w:pStyle w:val="22"/>
        <w:keepNext w:val="0"/>
        <w:keepLines w:val="0"/>
        <w:spacing w:before="0" w:after="0" w:line="440" w:lineRule="exact"/>
        <w:ind w:firstLine="420" w:firstLineChars="200"/>
        <w:rPr>
          <w:rFonts w:hint="eastAsia" w:ascii="宋体" w:hAnsi="宋体" w:eastAsia="宋体" w:cs="宋体"/>
          <w:b w:val="0"/>
          <w:bCs w:val="0"/>
          <w:color w:val="auto"/>
          <w:sz w:val="21"/>
          <w:szCs w:val="21"/>
          <w:highlight w:val="none"/>
          <w:u w:val="single"/>
        </w:rPr>
      </w:pPr>
      <w:bookmarkStart w:id="252" w:name="_Toc511243553"/>
      <w:bookmarkStart w:id="253" w:name="_Toc508296477"/>
      <w:bookmarkStart w:id="254" w:name="_Toc511243327"/>
      <w:bookmarkStart w:id="255" w:name="_Toc508314419"/>
      <w:r>
        <w:rPr>
          <w:rFonts w:hint="eastAsia" w:ascii="宋体" w:hAnsi="宋体" w:eastAsia="宋体" w:cs="宋体"/>
          <w:b w:val="0"/>
          <w:bCs w:val="0"/>
          <w:color w:val="auto"/>
          <w:sz w:val="21"/>
          <w:szCs w:val="21"/>
          <w:highlight w:val="none"/>
          <w:u w:val="single"/>
        </w:rPr>
        <w:t>式中“中标价”、“招标控制价”均应不含暂列金额、材料和工程设备暂估价、专业工程暂估价。招标工程计价方法为招标时公布的招标控制价的计算方法。</w:t>
      </w:r>
      <w:bookmarkEnd w:id="252"/>
      <w:bookmarkEnd w:id="253"/>
      <w:bookmarkEnd w:id="254"/>
      <w:bookmarkEnd w:id="255"/>
    </w:p>
    <w:p w14:paraId="60B53E7C">
      <w:pPr>
        <w:pStyle w:val="22"/>
        <w:keepNext w:val="0"/>
        <w:keepLines w:val="0"/>
        <w:spacing w:before="0" w:after="0" w:line="440" w:lineRule="exact"/>
        <w:ind w:firstLine="420" w:firstLineChars="200"/>
        <w:rPr>
          <w:rFonts w:hint="eastAsia" w:ascii="宋体" w:hAnsi="宋体" w:eastAsia="宋体" w:cs="宋体"/>
          <w:b w:val="0"/>
          <w:bCs w:val="0"/>
          <w:color w:val="auto"/>
          <w:sz w:val="21"/>
          <w:szCs w:val="21"/>
          <w:highlight w:val="none"/>
          <w:u w:val="single"/>
        </w:rPr>
      </w:pPr>
      <w:bookmarkStart w:id="256" w:name="_Toc508314420"/>
      <w:bookmarkStart w:id="257" w:name="_Toc511243328"/>
      <w:bookmarkStart w:id="258" w:name="_Toc508296478"/>
      <w:bookmarkStart w:id="259" w:name="_Toc511243554"/>
      <w:r>
        <w:rPr>
          <w:rFonts w:hint="eastAsia" w:ascii="宋体" w:hAnsi="宋体" w:eastAsia="宋体" w:cs="宋体"/>
          <w:b w:val="0"/>
          <w:bCs w:val="0"/>
          <w:color w:val="auto"/>
          <w:sz w:val="21"/>
          <w:szCs w:val="21"/>
          <w:highlight w:val="none"/>
          <w:u w:val="single"/>
        </w:rPr>
        <w:t>1.13.3实际完成工程量清单与已标价工程量清单列明的该项目中工程量的变化幅度超过15%的，应当首先调整项目单价。调整原则是：当工程量增加15%以上时，增加部分的工程量的综合单价应予调低（增加部分的工程量的综合单价以原投标综合单价和按1.13.2款规定计算的较低的价格确定该清单综合单价）；当工程量减少15%以上时，减少后剩余部分工程量综合单价应予调高(其减少后剩余部分的工程量的综合单价以原投标综合单价和按1.13.2款规定计算的较高的价格确定该清单综合单价)。</w:t>
      </w:r>
      <w:bookmarkEnd w:id="256"/>
      <w:bookmarkEnd w:id="257"/>
      <w:bookmarkEnd w:id="258"/>
      <w:bookmarkEnd w:id="259"/>
    </w:p>
    <w:p w14:paraId="41C3897F">
      <w:pPr>
        <w:pStyle w:val="3"/>
        <w:rPr>
          <w:rFonts w:hint="eastAsia" w:ascii="宋体" w:hAnsi="宋体" w:eastAsia="宋体" w:cs="宋体"/>
          <w:color w:val="auto"/>
          <w:highlight w:val="none"/>
        </w:rPr>
      </w:pPr>
      <w:bookmarkStart w:id="260" w:name="_Toc509760007"/>
      <w:bookmarkStart w:id="261" w:name="_Toc465114863"/>
      <w:bookmarkStart w:id="262" w:name="_Toc511243329"/>
      <w:bookmarkStart w:id="263" w:name="_Toc511243555"/>
      <w:bookmarkStart w:id="264" w:name="_Toc389065268"/>
      <w:bookmarkStart w:id="265" w:name="_Toc373227702"/>
      <w:bookmarkStart w:id="266" w:name="_Toc373478349"/>
      <w:bookmarkStart w:id="267" w:name="_Toc351203634"/>
    </w:p>
    <w:p w14:paraId="1AAB7122">
      <w:pPr>
        <w:pStyle w:val="3"/>
        <w:rPr>
          <w:rFonts w:hint="eastAsia" w:ascii="宋体" w:hAnsi="宋体" w:eastAsia="宋体" w:cs="宋体"/>
          <w:color w:val="auto"/>
          <w:highlight w:val="none"/>
        </w:rPr>
      </w:pPr>
      <w:r>
        <w:rPr>
          <w:rFonts w:hint="eastAsia" w:ascii="宋体" w:hAnsi="宋体" w:eastAsia="宋体" w:cs="宋体"/>
          <w:color w:val="auto"/>
          <w:highlight w:val="none"/>
        </w:rPr>
        <w:t>2</w:t>
      </w:r>
      <w:bookmarkStart w:id="268" w:name="_Toc292559362"/>
      <w:bookmarkStart w:id="269" w:name="_Toc296347156"/>
      <w:bookmarkStart w:id="270" w:name="_Toc296503157"/>
      <w:bookmarkStart w:id="271" w:name="_Toc297048343"/>
      <w:bookmarkStart w:id="272" w:name="_Toc296891197"/>
      <w:bookmarkStart w:id="273" w:name="_Toc292559867"/>
      <w:bookmarkStart w:id="274" w:name="_Toc296890985"/>
      <w:bookmarkStart w:id="275" w:name="_Toc296944496"/>
      <w:bookmarkStart w:id="276" w:name="_Toc296346658"/>
      <w:bookmarkStart w:id="277" w:name="_Toc297120457"/>
      <w:r>
        <w:rPr>
          <w:rFonts w:hint="eastAsia" w:ascii="宋体" w:hAnsi="宋体" w:eastAsia="宋体" w:cs="宋体"/>
          <w:color w:val="auto"/>
          <w:highlight w:val="none"/>
        </w:rPr>
        <w:t>. 发包人</w:t>
      </w:r>
      <w:bookmarkEnd w:id="260"/>
      <w:bookmarkEnd w:id="261"/>
      <w:bookmarkEnd w:id="262"/>
      <w:bookmarkEnd w:id="263"/>
      <w:bookmarkEnd w:id="264"/>
      <w:bookmarkEnd w:id="265"/>
      <w:bookmarkEnd w:id="266"/>
      <w:bookmarkEnd w:id="267"/>
    </w:p>
    <w:bookmarkEnd w:id="268"/>
    <w:bookmarkEnd w:id="269"/>
    <w:bookmarkEnd w:id="270"/>
    <w:bookmarkEnd w:id="271"/>
    <w:bookmarkEnd w:id="272"/>
    <w:bookmarkEnd w:id="273"/>
    <w:bookmarkEnd w:id="274"/>
    <w:bookmarkEnd w:id="275"/>
    <w:bookmarkEnd w:id="276"/>
    <w:bookmarkEnd w:id="277"/>
    <w:p w14:paraId="5C58B751">
      <w:pPr>
        <w:pStyle w:val="4"/>
        <w:rPr>
          <w:rFonts w:hint="eastAsia" w:ascii="宋体" w:hAnsi="宋体" w:eastAsia="宋体" w:cs="宋体"/>
          <w:color w:val="auto"/>
          <w:highlight w:val="none"/>
        </w:rPr>
      </w:pPr>
      <w:bookmarkStart w:id="278" w:name="_Toc511243556"/>
      <w:bookmarkStart w:id="279" w:name="_Toc373478350"/>
      <w:bookmarkStart w:id="280" w:name="_Toc373227703"/>
      <w:bookmarkStart w:id="281" w:name="_Toc511243330"/>
      <w:bookmarkStart w:id="282" w:name="_Toc389065269"/>
      <w:bookmarkStart w:id="283" w:name="_Toc509760008"/>
      <w:bookmarkStart w:id="284" w:name="_Toc465114864"/>
      <w:r>
        <w:rPr>
          <w:rFonts w:hint="eastAsia" w:ascii="宋体" w:hAnsi="宋体" w:eastAsia="宋体" w:cs="宋体"/>
          <w:color w:val="auto"/>
          <w:highlight w:val="none"/>
        </w:rPr>
        <w:t>2.2 发包人代表</w:t>
      </w:r>
      <w:bookmarkEnd w:id="278"/>
      <w:bookmarkEnd w:id="279"/>
      <w:bookmarkEnd w:id="280"/>
      <w:bookmarkEnd w:id="281"/>
      <w:bookmarkEnd w:id="282"/>
      <w:bookmarkEnd w:id="283"/>
      <w:bookmarkEnd w:id="284"/>
    </w:p>
    <w:p w14:paraId="271A405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发包人代表：</w:t>
      </w:r>
    </w:p>
    <w:p w14:paraId="1F4B82E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6C40DFF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5D2EDF7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6561B22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   </w:t>
      </w:r>
      <w:r>
        <w:rPr>
          <w:rFonts w:hint="eastAsia" w:ascii="宋体" w:hAnsi="宋体" w:eastAsia="宋体" w:cs="宋体"/>
          <w:color w:val="auto"/>
          <w:highlight w:val="none"/>
        </w:rPr>
        <w:t>；</w:t>
      </w:r>
    </w:p>
    <w:p w14:paraId="246A4BB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   </w:t>
      </w:r>
      <w:r>
        <w:rPr>
          <w:rFonts w:hint="eastAsia" w:ascii="宋体" w:hAnsi="宋体" w:eastAsia="宋体" w:cs="宋体"/>
          <w:color w:val="auto"/>
          <w:highlight w:val="none"/>
        </w:rPr>
        <w:t>；</w:t>
      </w:r>
    </w:p>
    <w:p w14:paraId="0A274B6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501CCB06">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发包人对发包人代表的授权范围如下：</w:t>
      </w:r>
      <w:r>
        <w:rPr>
          <w:rFonts w:hint="eastAsia" w:ascii="宋体" w:hAnsi="宋体" w:eastAsia="宋体" w:cs="宋体"/>
          <w:color w:val="auto"/>
          <w:highlight w:val="none"/>
          <w:u w:val="single"/>
        </w:rPr>
        <w:t>负责处理合同履行过程中与发包人有关的具体事宜</w:t>
      </w:r>
      <w:r>
        <w:rPr>
          <w:rFonts w:hint="eastAsia" w:ascii="宋体" w:hAnsi="宋体" w:eastAsia="宋体" w:cs="宋体"/>
          <w:color w:val="auto"/>
          <w:highlight w:val="none"/>
        </w:rPr>
        <w:t>。</w:t>
      </w:r>
    </w:p>
    <w:p w14:paraId="5DBF8E98">
      <w:pPr>
        <w:pStyle w:val="4"/>
        <w:rPr>
          <w:rFonts w:hint="eastAsia" w:ascii="宋体" w:hAnsi="宋体" w:eastAsia="宋体" w:cs="宋体"/>
          <w:color w:val="auto"/>
          <w:highlight w:val="none"/>
        </w:rPr>
      </w:pPr>
      <w:bookmarkStart w:id="285" w:name="_Toc511243557"/>
      <w:bookmarkStart w:id="286" w:name="_Toc373478351"/>
      <w:bookmarkStart w:id="287" w:name="_Toc373227704"/>
      <w:bookmarkStart w:id="288" w:name="_Toc511243331"/>
      <w:bookmarkStart w:id="289" w:name="_Toc509760009"/>
      <w:bookmarkStart w:id="290" w:name="_Toc465114865"/>
      <w:bookmarkStart w:id="291" w:name="_Toc389065270"/>
      <w:r>
        <w:rPr>
          <w:rFonts w:hint="eastAsia" w:ascii="宋体" w:hAnsi="宋体" w:eastAsia="宋体" w:cs="宋体"/>
          <w:color w:val="auto"/>
          <w:highlight w:val="none"/>
        </w:rPr>
        <w:t>2.4 施工现场、施工条件和基础资料的提供</w:t>
      </w:r>
      <w:bookmarkEnd w:id="285"/>
      <w:bookmarkEnd w:id="286"/>
      <w:bookmarkEnd w:id="287"/>
      <w:bookmarkEnd w:id="288"/>
      <w:bookmarkEnd w:id="289"/>
      <w:bookmarkEnd w:id="290"/>
      <w:bookmarkEnd w:id="291"/>
    </w:p>
    <w:p w14:paraId="76DEA2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2.4.1 提供施工现场</w:t>
      </w:r>
    </w:p>
    <w:p w14:paraId="5E8FBE3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关于发包人移交施工现场的期限要求：</w:t>
      </w:r>
      <w:r>
        <w:rPr>
          <w:rFonts w:hint="eastAsia" w:ascii="宋体" w:hAnsi="宋体" w:eastAsia="宋体" w:cs="宋体"/>
          <w:color w:val="auto"/>
          <w:highlight w:val="none"/>
          <w:u w:val="single"/>
        </w:rPr>
        <w:t xml:space="preserve">                         </w:t>
      </w:r>
      <w:r>
        <w:rPr>
          <w:rFonts w:hint="eastAsia" w:ascii="宋体" w:hAnsi="宋体" w:eastAsia="宋体" w:cs="宋体"/>
          <w:color w:val="auto"/>
          <w:highlight w:val="none"/>
        </w:rPr>
        <w:t>。</w:t>
      </w:r>
    </w:p>
    <w:p w14:paraId="6511D5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2.4.2 提供施工条件</w:t>
      </w:r>
    </w:p>
    <w:p w14:paraId="3AB08E15">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关于发包人应负责提供施工所需要的条件，包括：</w:t>
      </w:r>
      <w:r>
        <w:rPr>
          <w:rFonts w:hint="eastAsia" w:ascii="宋体" w:hAnsi="宋体" w:eastAsia="宋体" w:cs="宋体"/>
          <w:color w:val="auto"/>
          <w:highlight w:val="none"/>
          <w:u w:val="single"/>
        </w:rPr>
        <w:t xml:space="preserve">施工用水、施工用电、施工用地、建筑垃圾堆放地、测量基准点  </w:t>
      </w:r>
      <w:r>
        <w:rPr>
          <w:rFonts w:hint="eastAsia" w:ascii="宋体" w:hAnsi="宋体" w:eastAsia="宋体" w:cs="宋体"/>
          <w:color w:val="auto"/>
          <w:highlight w:val="none"/>
        </w:rPr>
        <w:t>。</w:t>
      </w:r>
    </w:p>
    <w:p w14:paraId="6B837EFE">
      <w:pPr>
        <w:pStyle w:val="4"/>
        <w:rPr>
          <w:rFonts w:hint="eastAsia" w:ascii="宋体" w:hAnsi="宋体" w:eastAsia="宋体" w:cs="宋体"/>
          <w:color w:val="auto"/>
          <w:highlight w:val="none"/>
        </w:rPr>
      </w:pPr>
      <w:bookmarkStart w:id="292" w:name="_Toc373478352"/>
      <w:bookmarkStart w:id="293" w:name="_Toc373227705"/>
      <w:bookmarkStart w:id="294" w:name="_Toc511243558"/>
      <w:bookmarkStart w:id="295" w:name="_Toc511243332"/>
      <w:bookmarkStart w:id="296" w:name="_Toc509760010"/>
      <w:bookmarkStart w:id="297" w:name="_Toc465114866"/>
      <w:bookmarkStart w:id="298" w:name="_Toc389065271"/>
      <w:r>
        <w:rPr>
          <w:rFonts w:hint="eastAsia" w:ascii="宋体" w:hAnsi="宋体" w:eastAsia="宋体" w:cs="宋体"/>
          <w:color w:val="auto"/>
          <w:highlight w:val="none"/>
        </w:rPr>
        <w:t>2.5 资金来源证明及支付担保</w:t>
      </w:r>
      <w:bookmarkEnd w:id="292"/>
      <w:bookmarkEnd w:id="293"/>
      <w:bookmarkEnd w:id="294"/>
      <w:bookmarkEnd w:id="295"/>
      <w:bookmarkEnd w:id="296"/>
      <w:bookmarkEnd w:id="297"/>
      <w:bookmarkEnd w:id="298"/>
    </w:p>
    <w:p w14:paraId="6B3F2E1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发包人提供资金来源证明的期限要求：</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546885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发包人是否提供支付担保：</w:t>
      </w:r>
      <w:r>
        <w:rPr>
          <w:rFonts w:hint="eastAsia" w:ascii="宋体" w:hAnsi="宋体" w:eastAsia="宋体" w:cs="宋体"/>
          <w:color w:val="auto"/>
          <w:highlight w:val="none"/>
          <w:u w:val="single"/>
        </w:rPr>
        <w:t xml:space="preserve">否   </w:t>
      </w:r>
      <w:r>
        <w:rPr>
          <w:rFonts w:hint="eastAsia" w:ascii="宋体" w:hAnsi="宋体" w:eastAsia="宋体" w:cs="宋体"/>
          <w:color w:val="auto"/>
          <w:highlight w:val="none"/>
        </w:rPr>
        <w:t>。</w:t>
      </w:r>
    </w:p>
    <w:p w14:paraId="704C36E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发包人提供支付担保的形式：</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14:paraId="596C8191">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发包人提供的支付担保格式见合同附件2。</w:t>
      </w:r>
    </w:p>
    <w:p w14:paraId="32DE7BB6">
      <w:pPr>
        <w:pStyle w:val="3"/>
        <w:rPr>
          <w:rFonts w:hint="eastAsia" w:ascii="宋体" w:hAnsi="宋体" w:eastAsia="宋体" w:cs="宋体"/>
          <w:color w:val="auto"/>
          <w:highlight w:val="none"/>
        </w:rPr>
      </w:pPr>
      <w:bookmarkStart w:id="299" w:name="_Toc373227706"/>
      <w:bookmarkStart w:id="300" w:name="_Toc373478353"/>
      <w:bookmarkStart w:id="301" w:name="_Toc511243333"/>
      <w:bookmarkStart w:id="302" w:name="_Toc389065272"/>
      <w:bookmarkStart w:id="303" w:name="_Toc509760011"/>
      <w:bookmarkStart w:id="304" w:name="_Toc511243559"/>
      <w:bookmarkStart w:id="305" w:name="_Toc465114867"/>
      <w:bookmarkStart w:id="306" w:name="_Toc351203635"/>
      <w:r>
        <w:rPr>
          <w:rFonts w:hint="eastAsia" w:ascii="宋体" w:hAnsi="宋体" w:eastAsia="宋体" w:cs="宋体"/>
          <w:color w:val="auto"/>
          <w:highlight w:val="none"/>
        </w:rPr>
        <w:t>3</w:t>
      </w:r>
      <w:bookmarkStart w:id="307" w:name="_Toc297120458"/>
      <w:bookmarkStart w:id="308" w:name="_Toc296347157"/>
      <w:bookmarkStart w:id="309" w:name="_Toc296944497"/>
      <w:bookmarkStart w:id="310" w:name="_Toc296346659"/>
      <w:bookmarkStart w:id="311" w:name="_Toc297048344"/>
      <w:bookmarkStart w:id="312" w:name="_Toc292559868"/>
      <w:bookmarkStart w:id="313" w:name="_Toc292559363"/>
      <w:bookmarkStart w:id="314" w:name="_Toc296890986"/>
      <w:bookmarkStart w:id="315" w:name="_Toc296503158"/>
      <w:bookmarkStart w:id="316" w:name="_Toc296891198"/>
      <w:r>
        <w:rPr>
          <w:rFonts w:hint="eastAsia" w:ascii="宋体" w:hAnsi="宋体" w:eastAsia="宋体" w:cs="宋体"/>
          <w:color w:val="auto"/>
          <w:highlight w:val="none"/>
        </w:rPr>
        <w:t>. 承包人</w:t>
      </w:r>
      <w:bookmarkEnd w:id="299"/>
      <w:bookmarkEnd w:id="300"/>
      <w:bookmarkEnd w:id="301"/>
      <w:bookmarkEnd w:id="302"/>
      <w:bookmarkEnd w:id="303"/>
      <w:bookmarkEnd w:id="304"/>
      <w:bookmarkEnd w:id="305"/>
      <w:bookmarkEnd w:id="306"/>
    </w:p>
    <w:bookmarkEnd w:id="307"/>
    <w:bookmarkEnd w:id="308"/>
    <w:bookmarkEnd w:id="309"/>
    <w:bookmarkEnd w:id="310"/>
    <w:bookmarkEnd w:id="311"/>
    <w:bookmarkEnd w:id="312"/>
    <w:bookmarkEnd w:id="313"/>
    <w:bookmarkEnd w:id="314"/>
    <w:bookmarkEnd w:id="315"/>
    <w:bookmarkEnd w:id="316"/>
    <w:p w14:paraId="26F6C0AA">
      <w:pPr>
        <w:pStyle w:val="4"/>
        <w:rPr>
          <w:rFonts w:hint="eastAsia" w:ascii="宋体" w:hAnsi="宋体" w:eastAsia="宋体" w:cs="宋体"/>
          <w:color w:val="auto"/>
          <w:highlight w:val="none"/>
        </w:rPr>
      </w:pPr>
      <w:bookmarkStart w:id="317" w:name="_Toc373478354"/>
      <w:bookmarkStart w:id="318" w:name="_Toc511243560"/>
      <w:bookmarkStart w:id="319" w:name="_Toc465114868"/>
      <w:bookmarkStart w:id="320" w:name="_Toc511243334"/>
      <w:bookmarkStart w:id="321" w:name="_Toc509760012"/>
      <w:bookmarkStart w:id="322" w:name="_Toc389065273"/>
      <w:bookmarkStart w:id="323" w:name="_Toc373227707"/>
      <w:r>
        <w:rPr>
          <w:rFonts w:hint="eastAsia" w:ascii="宋体" w:hAnsi="宋体" w:eastAsia="宋体" w:cs="宋体"/>
          <w:color w:val="auto"/>
          <w:highlight w:val="none"/>
        </w:rPr>
        <w:t>3.1 承包人的一般义务</w:t>
      </w:r>
      <w:bookmarkEnd w:id="317"/>
      <w:bookmarkEnd w:id="318"/>
      <w:bookmarkEnd w:id="319"/>
      <w:bookmarkEnd w:id="320"/>
      <w:bookmarkEnd w:id="321"/>
      <w:bookmarkEnd w:id="322"/>
      <w:bookmarkEnd w:id="323"/>
    </w:p>
    <w:p w14:paraId="7398811F">
      <w:pPr>
        <w:pStyle w:val="21"/>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（9）</w:t>
      </w:r>
      <w:r>
        <w:rPr>
          <w:rFonts w:hint="eastAsia" w:ascii="宋体" w:hAnsi="宋体" w:eastAsia="宋体" w:cs="宋体"/>
          <w:color w:val="auto"/>
          <w:highlight w:val="none"/>
        </w:rPr>
        <w:t>承包人提交的竣工资料的内容：</w:t>
      </w:r>
      <w:r>
        <w:rPr>
          <w:rFonts w:hint="eastAsia" w:ascii="宋体" w:hAnsi="宋体" w:eastAsia="宋体" w:cs="宋体"/>
          <w:color w:val="auto"/>
          <w:highlight w:val="none"/>
          <w:u w:val="single"/>
        </w:rPr>
        <w:t xml:space="preserve">工程实施概况和大事记，已完工程移交清单，竣工图，列入保修期继续施工的尾工工程项目清单；未完成工程缺陷修复清单；施工期观测资料，监理人指示应列入完工报告的各类施工文件，原始记录及其它应补充的资料  </w:t>
      </w:r>
      <w:r>
        <w:rPr>
          <w:rFonts w:hint="eastAsia" w:ascii="宋体" w:hAnsi="宋体" w:eastAsia="宋体" w:cs="宋体"/>
          <w:color w:val="auto"/>
          <w:highlight w:val="none"/>
        </w:rPr>
        <w:t>。</w:t>
      </w:r>
    </w:p>
    <w:p w14:paraId="704CC9C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承包人需要提交的竣工资料套数：</w:t>
      </w:r>
      <w:r>
        <w:rPr>
          <w:rFonts w:hint="eastAsia" w:ascii="宋体" w:hAnsi="宋体" w:eastAsia="宋体" w:cs="宋体"/>
          <w:color w:val="auto"/>
          <w:highlight w:val="none"/>
          <w:u w:val="single"/>
        </w:rPr>
        <w:t xml:space="preserve"> 四套。（纸质及电子版竣工图）  </w:t>
      </w:r>
      <w:r>
        <w:rPr>
          <w:rFonts w:hint="eastAsia" w:ascii="宋体" w:hAnsi="宋体" w:eastAsia="宋体" w:cs="宋体"/>
          <w:color w:val="auto"/>
          <w:highlight w:val="none"/>
        </w:rPr>
        <w:t>。</w:t>
      </w:r>
    </w:p>
    <w:p w14:paraId="144A8FB0">
      <w:pPr>
        <w:spacing w:line="360" w:lineRule="auto"/>
        <w:ind w:left="424" w:leftChars="202"/>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承包人提交的竣工资料的费用承担：</w:t>
      </w:r>
      <w:r>
        <w:rPr>
          <w:rFonts w:hint="eastAsia" w:ascii="宋体" w:hAnsi="宋体" w:eastAsia="宋体" w:cs="宋体"/>
          <w:color w:val="auto"/>
          <w:highlight w:val="none"/>
          <w:u w:val="single"/>
        </w:rPr>
        <w:t xml:space="preserve">由承包人承担  </w:t>
      </w:r>
      <w:r>
        <w:rPr>
          <w:rFonts w:hint="eastAsia" w:ascii="宋体" w:hAnsi="宋体" w:eastAsia="宋体" w:cs="宋体"/>
          <w:color w:val="auto"/>
          <w:highlight w:val="none"/>
        </w:rPr>
        <w:t>。</w:t>
      </w:r>
    </w:p>
    <w:p w14:paraId="29506980">
      <w:pPr>
        <w:spacing w:line="360" w:lineRule="auto"/>
        <w:ind w:left="424" w:leftChars="202"/>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承包人提交的竣工资料移交时间：</w:t>
      </w:r>
      <w:r>
        <w:rPr>
          <w:rFonts w:hint="eastAsia" w:ascii="宋体" w:hAnsi="宋体" w:eastAsia="宋体" w:cs="宋体"/>
          <w:color w:val="auto"/>
          <w:highlight w:val="none"/>
          <w:u w:val="single"/>
        </w:rPr>
        <w:t xml:space="preserve">工程竣工验收合格后30日内  </w:t>
      </w:r>
      <w:r>
        <w:rPr>
          <w:rFonts w:hint="eastAsia" w:ascii="宋体" w:hAnsi="宋体" w:eastAsia="宋体" w:cs="宋体"/>
          <w:color w:val="auto"/>
          <w:highlight w:val="none"/>
        </w:rPr>
        <w:t>。</w:t>
      </w:r>
    </w:p>
    <w:p w14:paraId="2A8A4D4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承包人提交的竣工资料形式要求：</w:t>
      </w:r>
      <w:r>
        <w:rPr>
          <w:rFonts w:hint="eastAsia" w:ascii="宋体" w:hAnsi="宋体" w:eastAsia="宋体" w:cs="宋体"/>
          <w:color w:val="auto"/>
          <w:highlight w:val="none"/>
          <w:u w:val="single"/>
        </w:rPr>
        <w:t xml:space="preserve">   按照提交竣工档案资料要求   </w:t>
      </w:r>
      <w:r>
        <w:rPr>
          <w:rFonts w:hint="eastAsia" w:ascii="宋体" w:hAnsi="宋体" w:eastAsia="宋体" w:cs="宋体"/>
          <w:color w:val="auto"/>
          <w:highlight w:val="none"/>
        </w:rPr>
        <w:t>。</w:t>
      </w:r>
    </w:p>
    <w:p w14:paraId="7A871969">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（10）承包人应履行的其他义务：</w:t>
      </w:r>
      <w:r>
        <w:rPr>
          <w:rFonts w:hint="eastAsia" w:ascii="宋体" w:hAnsi="宋体" w:eastAsia="宋体" w:cs="宋体"/>
          <w:color w:val="auto"/>
          <w:highlight w:val="none"/>
          <w:u w:val="single"/>
        </w:rPr>
        <w:t>全面完成合同约定的有关承包人的义务</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5668A92B">
      <w:pPr>
        <w:pStyle w:val="4"/>
        <w:rPr>
          <w:rFonts w:hint="eastAsia" w:ascii="宋体" w:hAnsi="宋体" w:eastAsia="宋体" w:cs="宋体"/>
          <w:color w:val="auto"/>
          <w:highlight w:val="none"/>
        </w:rPr>
      </w:pPr>
      <w:bookmarkStart w:id="324" w:name="_Toc465114869"/>
      <w:bookmarkStart w:id="325" w:name="_Toc509760013"/>
      <w:bookmarkStart w:id="326" w:name="_Toc511243561"/>
      <w:bookmarkStart w:id="327" w:name="_Toc373478355"/>
      <w:bookmarkStart w:id="328" w:name="_Toc511243335"/>
      <w:bookmarkStart w:id="329" w:name="_Toc389065274"/>
      <w:bookmarkStart w:id="330" w:name="_Toc373227708"/>
      <w:r>
        <w:rPr>
          <w:rFonts w:hint="eastAsia" w:ascii="宋体" w:hAnsi="宋体" w:eastAsia="宋体" w:cs="宋体"/>
          <w:color w:val="auto"/>
          <w:highlight w:val="none"/>
        </w:rPr>
        <w:t>3.2 项目经理</w:t>
      </w:r>
      <w:bookmarkEnd w:id="324"/>
      <w:bookmarkEnd w:id="325"/>
      <w:bookmarkEnd w:id="326"/>
      <w:bookmarkEnd w:id="327"/>
      <w:bookmarkEnd w:id="328"/>
      <w:bookmarkEnd w:id="329"/>
      <w:bookmarkEnd w:id="330"/>
    </w:p>
    <w:p w14:paraId="59615D2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3.2.1 </w:t>
      </w:r>
      <w:r>
        <w:rPr>
          <w:rFonts w:hint="eastAsia" w:ascii="宋体" w:hAnsi="宋体" w:eastAsia="宋体" w:cs="宋体"/>
          <w:color w:val="auto"/>
          <w:highlight w:val="none"/>
        </w:rPr>
        <w:t>项目经理：</w:t>
      </w:r>
    </w:p>
    <w:p w14:paraId="24F4FA8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30A761E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1E4EAB6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建造师执业资格等级：</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52D8C6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建造师注册证书号：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14:paraId="0044E44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建造师执业印章号：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14:paraId="11C6906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14:paraId="10D0AFC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4D00F21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0D9910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308663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承包人对项目经理的授权范围如下：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实行项目经理责任制，负责项目的施工组织与管理</w:t>
      </w:r>
      <w:r>
        <w:rPr>
          <w:rFonts w:hint="eastAsia" w:ascii="宋体" w:hAnsi="宋体" w:eastAsia="宋体" w:cs="宋体"/>
          <w:color w:val="auto"/>
          <w:highlight w:val="none"/>
          <w:u w:val="single"/>
        </w:rPr>
        <w:t>。</w:t>
      </w:r>
      <w:r>
        <w:rPr>
          <w:rFonts w:hint="eastAsia" w:ascii="宋体" w:hAnsi="宋体" w:eastAsia="宋体" w:cs="宋体"/>
          <w:color w:val="auto"/>
          <w:kern w:val="0"/>
          <w:highlight w:val="none"/>
          <w:u w:val="single"/>
        </w:rPr>
        <w:t>但未经承包人盖章同意不得以承包人和（或本工程项目部）名义向外融资、采购材料设备、租用建筑周转材料、雇佣劳动力、签订分包合同等从事一切为承包人设立义务或责任的行为。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78FDD0E">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关于项目经理每月在施工现场的时间要求：</w:t>
      </w:r>
      <w:r>
        <w:rPr>
          <w:rFonts w:hint="eastAsia" w:ascii="宋体" w:hAnsi="宋体" w:eastAsia="宋体" w:cs="宋体"/>
          <w:bCs/>
          <w:color w:val="auto"/>
          <w:highlight w:val="none"/>
          <w:u w:val="single"/>
        </w:rPr>
        <w:t>项目经理每月在现场时间不得少于21日历天</w:t>
      </w:r>
      <w:r>
        <w:rPr>
          <w:rFonts w:hint="eastAsia" w:ascii="宋体" w:hAnsi="宋体" w:eastAsia="宋体" w:cs="宋体"/>
          <w:color w:val="auto"/>
          <w:highlight w:val="none"/>
          <w:u w:val="single"/>
        </w:rPr>
        <w:t>。未经发包人同意，少在现场一日，发包人有权向承包人处违约金3000元/日（人民币）</w:t>
      </w:r>
      <w:r>
        <w:rPr>
          <w:rFonts w:hint="eastAsia" w:ascii="宋体" w:hAnsi="宋体" w:eastAsia="宋体" w:cs="宋体"/>
          <w:color w:val="auto"/>
          <w:highlight w:val="none"/>
        </w:rPr>
        <w:t>。</w:t>
      </w:r>
    </w:p>
    <w:p w14:paraId="50BDD668">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kern w:val="0"/>
          <w:highlight w:val="none"/>
        </w:rPr>
        <w:t>承包人未提交劳动合同，以及没有为项目经理缴纳社会保险证明的违约责任：</w:t>
      </w:r>
    </w:p>
    <w:p w14:paraId="25878134">
      <w:pPr>
        <w:spacing w:line="360" w:lineRule="auto"/>
        <w:rPr>
          <w:rFonts w:hint="eastAsia" w:ascii="宋体" w:hAnsi="宋体" w:eastAsia="宋体" w:cs="宋体"/>
          <w:color w:val="auto"/>
          <w:kern w:val="0"/>
          <w:highlight w:val="none"/>
        </w:rPr>
      </w:pPr>
      <w:r>
        <w:rPr>
          <w:rFonts w:hint="eastAsia" w:ascii="宋体" w:hAnsi="宋体" w:eastAsia="宋体" w:cs="宋体"/>
          <w:color w:val="auto"/>
          <w:highlight w:val="none"/>
          <w:u w:val="single"/>
        </w:rPr>
        <w:t>承包人承担因此给发包人造成的损失，并仍须履行义务</w:t>
      </w:r>
      <w:r>
        <w:rPr>
          <w:rFonts w:hint="eastAsia" w:ascii="宋体" w:hAnsi="宋体" w:eastAsia="宋体" w:cs="宋体"/>
          <w:color w:val="auto"/>
          <w:highlight w:val="none"/>
        </w:rPr>
        <w:t>。</w:t>
      </w:r>
    </w:p>
    <w:p w14:paraId="3B2E98CC">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kern w:val="0"/>
          <w:highlight w:val="none"/>
        </w:rPr>
        <w:t>项目经理未经批准，擅自离开施工现场的违约责任：</w:t>
      </w:r>
      <w:r>
        <w:rPr>
          <w:rFonts w:hint="eastAsia" w:ascii="宋体" w:hAnsi="宋体" w:eastAsia="宋体" w:cs="宋体"/>
          <w:color w:val="auto"/>
          <w:highlight w:val="none"/>
          <w:u w:val="single"/>
        </w:rPr>
        <w:t xml:space="preserve">项目经理每月在岗带班时间不得少于当月施工时间的80%。未经发包人同意或正当理由，项目经理每月在岗带班时间少于当月施工时间80%的，少在岗带班一天，发包人有权处违约金3000元/日（人民币）  </w:t>
      </w:r>
      <w:r>
        <w:rPr>
          <w:rFonts w:hint="eastAsia" w:ascii="宋体" w:hAnsi="宋体" w:eastAsia="宋体" w:cs="宋体"/>
          <w:color w:val="auto"/>
          <w:highlight w:val="none"/>
        </w:rPr>
        <w:t>。</w:t>
      </w:r>
    </w:p>
    <w:p w14:paraId="7ECE72D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3.2.3 承包人擅自更换项目经理的违约责任：</w:t>
      </w:r>
      <w:r>
        <w:rPr>
          <w:rFonts w:hint="eastAsia" w:ascii="宋体" w:hAnsi="宋体" w:eastAsia="宋体" w:cs="宋体"/>
          <w:color w:val="auto"/>
          <w:highlight w:val="none"/>
          <w:u w:val="single"/>
        </w:rPr>
        <w:t>承包人项目经理必须与承包人投标时所承诺的人员一致，并在  （开工日期）  前到任。在监理人向承包人颁发    （竣工证明材料名称）    前，项目经理不得同时兼任其他任何项目的项目经理</w:t>
      </w:r>
      <w:r>
        <w:rPr>
          <w:rFonts w:hint="eastAsia" w:ascii="宋体" w:hAnsi="宋体" w:eastAsia="宋体" w:cs="宋体"/>
          <w:color w:val="auto"/>
          <w:kern w:val="0"/>
          <w:highlight w:val="none"/>
          <w:u w:val="single"/>
        </w:rPr>
        <w:t>（符合桂建管</w:t>
      </w:r>
      <w:r>
        <w:rPr>
          <w:rFonts w:hint="eastAsia" w:ascii="宋体" w:hAnsi="宋体" w:eastAsia="宋体" w:cs="宋体"/>
          <w:color w:val="auto"/>
          <w:highlight w:val="none"/>
          <w:u w:val="single"/>
        </w:rPr>
        <w:t>﹝2013﹞</w:t>
      </w:r>
      <w:r>
        <w:rPr>
          <w:rFonts w:hint="eastAsia" w:ascii="宋体" w:hAnsi="宋体" w:eastAsia="宋体" w:cs="宋体"/>
          <w:color w:val="auto"/>
          <w:kern w:val="0"/>
          <w:highlight w:val="none"/>
          <w:u w:val="single"/>
        </w:rPr>
        <w:t>17号和</w:t>
      </w:r>
      <w:r>
        <w:rPr>
          <w:rFonts w:hint="eastAsia" w:ascii="宋体" w:hAnsi="宋体" w:eastAsia="宋体" w:cs="宋体"/>
          <w:color w:val="auto"/>
          <w:highlight w:val="none"/>
          <w:u w:val="single"/>
        </w:rPr>
        <w:t>桂建管﹝2014﹞25号</w:t>
      </w:r>
      <w:r>
        <w:rPr>
          <w:rFonts w:hint="eastAsia" w:ascii="宋体" w:hAnsi="宋体" w:eastAsia="宋体" w:cs="宋体"/>
          <w:color w:val="auto"/>
          <w:kern w:val="0"/>
          <w:highlight w:val="none"/>
          <w:u w:val="single"/>
        </w:rPr>
        <w:t>文除外）</w:t>
      </w:r>
      <w:r>
        <w:rPr>
          <w:rFonts w:hint="eastAsia" w:ascii="宋体" w:hAnsi="宋体" w:eastAsia="宋体" w:cs="宋体"/>
          <w:color w:val="auto"/>
          <w:highlight w:val="none"/>
          <w:u w:val="single"/>
        </w:rPr>
        <w:t>。未经发包人书面同意，承包人擅自更换项目经理的视为违约，违约金处10000元/人•次（人民币）</w:t>
      </w:r>
      <w:r>
        <w:rPr>
          <w:rFonts w:hint="eastAsia" w:ascii="宋体" w:hAnsi="宋体" w:eastAsia="宋体" w:cs="宋体"/>
          <w:color w:val="auto"/>
          <w:highlight w:val="none"/>
        </w:rPr>
        <w:t>。</w:t>
      </w:r>
    </w:p>
    <w:p w14:paraId="0ACB1A8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3.2.4 承包人无正当理由拒绝更换项目经理的违约责任：</w:t>
      </w:r>
      <w:r>
        <w:rPr>
          <w:rFonts w:hint="eastAsia" w:ascii="宋体" w:hAnsi="宋体" w:eastAsia="宋体" w:cs="宋体"/>
          <w:color w:val="auto"/>
          <w:highlight w:val="none"/>
          <w:u w:val="single"/>
        </w:rPr>
        <w:t>因承包人项目经理不称职，发包人要求调换而未及时调换的，视为承包人违约，必须向发包人交纳处罚金10000元/人•次（人民币）</w:t>
      </w:r>
      <w:r>
        <w:rPr>
          <w:rFonts w:hint="eastAsia" w:ascii="宋体" w:hAnsi="宋体" w:eastAsia="宋体" w:cs="宋体"/>
          <w:color w:val="auto"/>
          <w:highlight w:val="none"/>
        </w:rPr>
        <w:t>。</w:t>
      </w:r>
    </w:p>
    <w:p w14:paraId="461F1FDF">
      <w:pPr>
        <w:pStyle w:val="4"/>
        <w:rPr>
          <w:rFonts w:hint="eastAsia" w:ascii="宋体" w:hAnsi="宋体" w:eastAsia="宋体" w:cs="宋体"/>
          <w:color w:val="auto"/>
          <w:highlight w:val="none"/>
        </w:rPr>
      </w:pPr>
      <w:bookmarkStart w:id="331" w:name="_Toc465114870"/>
      <w:bookmarkStart w:id="332" w:name="_Toc511243562"/>
      <w:bookmarkStart w:id="333" w:name="_Toc509760014"/>
      <w:bookmarkStart w:id="334" w:name="_Toc373227709"/>
      <w:bookmarkStart w:id="335" w:name="_Toc511243336"/>
      <w:bookmarkStart w:id="336" w:name="_Toc373478356"/>
      <w:bookmarkStart w:id="337" w:name="_Toc389065275"/>
      <w:r>
        <w:rPr>
          <w:rFonts w:hint="eastAsia" w:ascii="宋体" w:hAnsi="宋体" w:eastAsia="宋体" w:cs="宋体"/>
          <w:color w:val="auto"/>
          <w:highlight w:val="none"/>
        </w:rPr>
        <w:t>3.3 承包人人员</w:t>
      </w:r>
      <w:bookmarkEnd w:id="331"/>
      <w:bookmarkEnd w:id="332"/>
      <w:bookmarkEnd w:id="333"/>
      <w:bookmarkEnd w:id="334"/>
      <w:bookmarkEnd w:id="335"/>
      <w:bookmarkEnd w:id="336"/>
      <w:bookmarkEnd w:id="337"/>
    </w:p>
    <w:p w14:paraId="6D1FEEB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 承包人提交项目管理机构及施工现场管理人员安排报告（格式见合同附件3）的期限：</w:t>
      </w:r>
    </w:p>
    <w:p w14:paraId="447DB67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合同签订后7个工作日内  </w:t>
      </w:r>
      <w:r>
        <w:rPr>
          <w:rFonts w:hint="eastAsia" w:ascii="宋体" w:hAnsi="宋体" w:eastAsia="宋体" w:cs="宋体"/>
          <w:color w:val="auto"/>
          <w:highlight w:val="none"/>
        </w:rPr>
        <w:t>。</w:t>
      </w:r>
    </w:p>
    <w:p w14:paraId="3CC45B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3.3.3 承包人无正当理由拒绝撤换主要施工管理人员的违约责任：</w:t>
      </w:r>
      <w:r>
        <w:rPr>
          <w:rFonts w:hint="eastAsia" w:ascii="宋体" w:hAnsi="宋体" w:eastAsia="宋体" w:cs="宋体"/>
          <w:color w:val="auto"/>
          <w:highlight w:val="none"/>
          <w:u w:val="single"/>
        </w:rPr>
        <w:t>因承包人主要施工管理人员不称职，发包人要求调换而无正当理由拒绝撤换或未及时调换的，视为承包人违约，必须向发包人交纳处罚金，处罚标准：技术负责人6000元/人•次（人民币）；专业工程师3000元/人•次（人民币）</w:t>
      </w:r>
      <w:r>
        <w:rPr>
          <w:rFonts w:hint="eastAsia" w:ascii="宋体" w:hAnsi="宋体" w:eastAsia="宋体" w:cs="宋体"/>
          <w:color w:val="auto"/>
          <w:highlight w:val="none"/>
        </w:rPr>
        <w:t>。</w:t>
      </w:r>
    </w:p>
    <w:p w14:paraId="563B16F6">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3.3.4 承包人主要施工管理人员离开施工现场的批准要求：</w:t>
      </w:r>
      <w:r>
        <w:rPr>
          <w:rFonts w:hint="eastAsia" w:ascii="宋体" w:hAnsi="宋体" w:eastAsia="宋体" w:cs="宋体"/>
          <w:color w:val="auto"/>
          <w:highlight w:val="none"/>
          <w:u w:val="single"/>
        </w:rPr>
        <w:t xml:space="preserve">需经业主同意  </w:t>
      </w:r>
      <w:r>
        <w:rPr>
          <w:rFonts w:hint="eastAsia" w:ascii="宋体" w:hAnsi="宋体" w:eastAsia="宋体" w:cs="宋体"/>
          <w:color w:val="auto"/>
          <w:highlight w:val="none"/>
        </w:rPr>
        <w:t>。</w:t>
      </w:r>
    </w:p>
    <w:p w14:paraId="48D5244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3.3.5 承包人擅自更换主要施工管理人员的违约责任：</w:t>
      </w:r>
      <w:r>
        <w:rPr>
          <w:rFonts w:hint="eastAsia" w:ascii="宋体" w:hAnsi="宋体" w:eastAsia="宋体" w:cs="宋体"/>
          <w:color w:val="auto"/>
          <w:highlight w:val="none"/>
          <w:u w:val="single"/>
        </w:rPr>
        <w:t>项目技术负责人、专职安全员及其承诺的其它在场管理人员未经发包人书面同意不准擅自更换，擅自更换项目技术负责人处5000元/人•次（人民币）违约金；擅自更换专职安全员处3000元/人•次（人民币）违约金；擅自更换其它在场管理人员处1000元/人•次（人民币）违约金</w:t>
      </w:r>
      <w:r>
        <w:rPr>
          <w:rFonts w:hint="eastAsia" w:ascii="宋体" w:hAnsi="宋体" w:eastAsia="宋体" w:cs="宋体"/>
          <w:color w:val="auto"/>
          <w:highlight w:val="none"/>
        </w:rPr>
        <w:t>。</w:t>
      </w:r>
    </w:p>
    <w:p w14:paraId="52A8DB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承包人主要施工管理人员擅自离开施工现场的违约责任：</w:t>
      </w:r>
      <w:r>
        <w:rPr>
          <w:rFonts w:hint="eastAsia" w:ascii="宋体" w:hAnsi="宋体" w:eastAsia="宋体" w:cs="宋体"/>
          <w:color w:val="auto"/>
          <w:highlight w:val="none"/>
          <w:u w:val="single"/>
        </w:rPr>
        <w:t>未经发包人同意，项目技术负责人擅自离岗的，视为承包人违约，发包人有权处违约金5000元/人•次（人民币）；未经发包人同意，专职安全员擅自离岗的，视为承包人违约，发包人有权处违约金3000元/人•次（人民币）；其它在场管理人员擅自离岗的，视为承包人违约，发包人有权处违约金1000元/人•次（人民币）</w:t>
      </w:r>
      <w:r>
        <w:rPr>
          <w:rFonts w:hint="eastAsia" w:ascii="宋体" w:hAnsi="宋体" w:eastAsia="宋体" w:cs="宋体"/>
          <w:color w:val="auto"/>
          <w:highlight w:val="none"/>
        </w:rPr>
        <w:t>。</w:t>
      </w:r>
    </w:p>
    <w:p w14:paraId="76A712BD">
      <w:pPr>
        <w:pStyle w:val="4"/>
        <w:rPr>
          <w:rFonts w:hint="eastAsia" w:ascii="宋体" w:hAnsi="宋体" w:eastAsia="宋体" w:cs="宋体"/>
          <w:color w:val="auto"/>
          <w:highlight w:val="none"/>
        </w:rPr>
      </w:pPr>
      <w:bookmarkStart w:id="338" w:name="_Toc389065276"/>
      <w:bookmarkStart w:id="339" w:name="_Toc465114871"/>
      <w:bookmarkStart w:id="340" w:name="_Toc509760015"/>
      <w:bookmarkStart w:id="341" w:name="_Toc373227710"/>
      <w:bookmarkStart w:id="342" w:name="_Toc511243337"/>
      <w:bookmarkStart w:id="343" w:name="_Toc373478357"/>
      <w:bookmarkStart w:id="344" w:name="_Toc511243563"/>
      <w:r>
        <w:rPr>
          <w:rFonts w:hint="eastAsia" w:ascii="宋体" w:hAnsi="宋体" w:eastAsia="宋体" w:cs="宋体"/>
          <w:color w:val="auto"/>
          <w:highlight w:val="none"/>
        </w:rPr>
        <w:t>3</w:t>
      </w:r>
      <w:bookmarkStart w:id="345" w:name="_Toc292559869"/>
      <w:bookmarkStart w:id="346" w:name="_Toc296944498"/>
      <w:bookmarkStart w:id="347" w:name="_Toc296891199"/>
      <w:bookmarkStart w:id="348" w:name="_Toc292559364"/>
      <w:bookmarkStart w:id="349" w:name="_Toc304295523"/>
      <w:bookmarkStart w:id="350" w:name="_Toc296890987"/>
      <w:bookmarkStart w:id="351" w:name="_Toc312677988"/>
      <w:bookmarkStart w:id="352" w:name="_Toc296346660"/>
      <w:bookmarkStart w:id="353" w:name="_Toc300934945"/>
      <w:bookmarkStart w:id="354" w:name="_Toc296347158"/>
      <w:bookmarkStart w:id="355" w:name="_Toc297048345"/>
      <w:bookmarkStart w:id="356" w:name="_Toc297216151"/>
      <w:bookmarkStart w:id="357" w:name="_Toc297120459"/>
      <w:bookmarkStart w:id="358" w:name="_Toc296503159"/>
      <w:bookmarkStart w:id="359" w:name="_Toc297123492"/>
      <w:bookmarkStart w:id="360" w:name="_Toc303539102"/>
      <w:r>
        <w:rPr>
          <w:rFonts w:hint="eastAsia" w:ascii="宋体" w:hAnsi="宋体" w:eastAsia="宋体" w:cs="宋体"/>
          <w:color w:val="auto"/>
          <w:highlight w:val="none"/>
        </w:rPr>
        <w:t>.5 分包</w:t>
      </w:r>
      <w:bookmarkEnd w:id="338"/>
      <w:bookmarkEnd w:id="339"/>
      <w:bookmarkEnd w:id="340"/>
      <w:bookmarkEnd w:id="341"/>
      <w:bookmarkEnd w:id="342"/>
      <w:bookmarkEnd w:id="343"/>
      <w:bookmarkEnd w:id="344"/>
    </w:p>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14:paraId="1467792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bookmarkStart w:id="361" w:name="_Toc296346661"/>
      <w:bookmarkStart w:id="362" w:name="_Toc303539103"/>
      <w:bookmarkStart w:id="363" w:name="_Toc297048346"/>
      <w:bookmarkStart w:id="364" w:name="_Toc300934946"/>
      <w:bookmarkStart w:id="365" w:name="_Toc292559365"/>
      <w:bookmarkStart w:id="366" w:name="_Toc297216152"/>
      <w:bookmarkStart w:id="367" w:name="_Toc296890988"/>
      <w:bookmarkStart w:id="368" w:name="_Toc296503160"/>
      <w:bookmarkStart w:id="369" w:name="_Toc318581158"/>
      <w:bookmarkStart w:id="370" w:name="_Toc296347159"/>
      <w:bookmarkStart w:id="371" w:name="_Toc304295524"/>
      <w:bookmarkStart w:id="372" w:name="_Toc312677989"/>
      <w:bookmarkStart w:id="373" w:name="_Toc296944499"/>
      <w:bookmarkStart w:id="374" w:name="_Toc297123493"/>
      <w:bookmarkStart w:id="375" w:name="_Toc292559870"/>
      <w:bookmarkStart w:id="376" w:name="_Toc297120460"/>
      <w:bookmarkStart w:id="377" w:name="_Toc296891200"/>
      <w:r>
        <w:rPr>
          <w:rFonts w:hint="eastAsia" w:ascii="宋体" w:hAnsi="宋体" w:eastAsia="宋体" w:cs="宋体"/>
          <w:color w:val="auto"/>
          <w:highlight w:val="none"/>
        </w:rPr>
        <w:t>.5.1 分包的一般约定</w:t>
      </w:r>
    </w:p>
    <w:p w14:paraId="5BB808E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禁止分包的工程包括：</w:t>
      </w:r>
      <w:r>
        <w:rPr>
          <w:rFonts w:hint="eastAsia" w:ascii="宋体" w:hAnsi="宋体" w:eastAsia="宋体" w:cs="宋体"/>
          <w:color w:val="auto"/>
          <w:highlight w:val="none"/>
          <w:u w:val="single"/>
        </w:rPr>
        <w:t xml:space="preserve">施工图纸及工程量清单的所有内容   </w:t>
      </w:r>
      <w:r>
        <w:rPr>
          <w:rFonts w:hint="eastAsia" w:ascii="宋体" w:hAnsi="宋体" w:eastAsia="宋体" w:cs="宋体"/>
          <w:color w:val="auto"/>
          <w:highlight w:val="none"/>
        </w:rPr>
        <w:t>。</w:t>
      </w:r>
    </w:p>
    <w:p w14:paraId="11E5EED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主体结构、关键性工作的范围：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2196432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w:t>
      </w:r>
      <w:bookmarkStart w:id="378" w:name="_Toc318581159"/>
      <w:bookmarkStart w:id="379" w:name="_Toc312677990"/>
      <w:r>
        <w:rPr>
          <w:rFonts w:hint="eastAsia" w:ascii="宋体" w:hAnsi="宋体" w:eastAsia="宋体" w:cs="宋体"/>
          <w:color w:val="auto"/>
          <w:highlight w:val="none"/>
        </w:rPr>
        <w:t>.5.2 分包的确定</w:t>
      </w:r>
    </w:p>
    <w:p w14:paraId="315702EE">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允许分包的专业工程包括：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178CD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其他关于分包的约定：</w:t>
      </w:r>
    </w:p>
    <w:p w14:paraId="42E610B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14:paraId="27F74BE3">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（2）在相关分包合同签订并报送有关建设行政主管部门备案后7天内，承包人应当将一份副本提交给监理人，承包人应保障分包工作不得再次分包。</w:t>
      </w:r>
    </w:p>
    <w:p w14:paraId="658A15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（3）未经承包人和监理人审批同意的分包工程和分包人，承包人有权拒绝验收分包工程和支付相应款项，由此引起的发包人费用增加和(或)延误的工期由发包人承担。</w:t>
      </w:r>
    </w:p>
    <w:p w14:paraId="18CE5BA6">
      <w:pPr>
        <w:pStyle w:val="8"/>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（4）承包人有以下情况之一者，发包人有权解除合同，并视情况扣除其履约保证金：</w:t>
      </w:r>
    </w:p>
    <w:p w14:paraId="70A890C4">
      <w:pPr>
        <w:pStyle w:val="8"/>
        <w:spacing w:line="360" w:lineRule="auto"/>
        <w:ind w:firstLine="441" w:firstLineChars="210"/>
        <w:rPr>
          <w:rFonts w:hint="eastAsia" w:ascii="宋体" w:hAnsi="宋体" w:eastAsia="宋体" w:cs="宋体"/>
          <w:color w:val="auto"/>
          <w:highlight w:val="none"/>
        </w:rPr>
      </w:pPr>
      <w:r>
        <w:rPr>
          <w:rFonts w:hint="eastAsia" w:ascii="宋体" w:hAnsi="宋体" w:eastAsia="宋体" w:cs="宋体"/>
          <w:color w:val="auto"/>
          <w:highlight w:val="none"/>
        </w:rPr>
        <w:t>①个人承包工程，包括本人单位及外单位人员承包，发包人不承认其个人拥有任何资质等级及营业许可资格。没收全部履约保证金。</w:t>
      </w:r>
    </w:p>
    <w:p w14:paraId="5633E570">
      <w:pPr>
        <w:pStyle w:val="8"/>
        <w:spacing w:line="360" w:lineRule="auto"/>
        <w:ind w:firstLine="441" w:firstLineChars="210"/>
        <w:rPr>
          <w:rFonts w:hint="eastAsia" w:ascii="宋体" w:hAnsi="宋体" w:eastAsia="宋体" w:cs="宋体"/>
          <w:color w:val="auto"/>
          <w:highlight w:val="none"/>
        </w:rPr>
      </w:pPr>
      <w:r>
        <w:rPr>
          <w:rFonts w:hint="eastAsia" w:ascii="宋体" w:hAnsi="宋体" w:eastAsia="宋体" w:cs="宋体"/>
          <w:color w:val="auto"/>
          <w:highlight w:val="none"/>
        </w:rPr>
        <w:t>②几个人联合承包工程，就地组织暗分包队伍，不具备完成本工程的技术、机械能力，被发包人判定为没有能力履行的承包人。没收全部履约保证金。</w:t>
      </w:r>
    </w:p>
    <w:p w14:paraId="37103A7B">
      <w:pPr>
        <w:pStyle w:val="8"/>
        <w:spacing w:line="360" w:lineRule="auto"/>
        <w:ind w:firstLine="441" w:firstLineChars="210"/>
        <w:rPr>
          <w:rFonts w:hint="eastAsia" w:ascii="宋体" w:hAnsi="宋体" w:eastAsia="宋体" w:cs="宋体"/>
          <w:color w:val="auto"/>
          <w:highlight w:val="none"/>
        </w:rPr>
      </w:pPr>
      <w:r>
        <w:rPr>
          <w:rFonts w:hint="eastAsia" w:ascii="宋体" w:hAnsi="宋体" w:eastAsia="宋体" w:cs="宋体"/>
          <w:color w:val="auto"/>
          <w:highlight w:val="none"/>
        </w:rPr>
        <w:t>③就地转包全部的工程，以谋取高额转让费、管理费的承包人。没收全部履约保证金。</w:t>
      </w:r>
    </w:p>
    <w:p w14:paraId="2D41BC1D">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69DDA9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3.5.4 分包合同价款</w:t>
      </w:r>
    </w:p>
    <w:bookmarkEnd w:id="378"/>
    <w:bookmarkEnd w:id="379"/>
    <w:p w14:paraId="2CDBE706">
      <w:pPr>
        <w:spacing w:line="360" w:lineRule="auto"/>
        <w:ind w:firstLine="420" w:firstLineChars="200"/>
        <w:rPr>
          <w:rFonts w:hint="eastAsia" w:ascii="宋体" w:hAnsi="宋体" w:eastAsia="宋体" w:cs="宋体"/>
          <w:color w:val="auto"/>
          <w:highlight w:val="none"/>
        </w:rPr>
      </w:pPr>
      <w:bookmarkStart w:id="380" w:name="_Toc373227711"/>
      <w:bookmarkStart w:id="381" w:name="_Toc389065277"/>
      <w:bookmarkStart w:id="382" w:name="_Toc373478358"/>
      <w:r>
        <w:rPr>
          <w:rFonts w:hint="eastAsia" w:ascii="宋体" w:hAnsi="宋体" w:eastAsia="宋体" w:cs="宋体"/>
          <w:color w:val="auto"/>
          <w:highlight w:val="none"/>
        </w:rPr>
        <w:t>关于分包合同价款支付的约定：</w:t>
      </w:r>
      <w:r>
        <w:rPr>
          <w:rFonts w:hint="eastAsia" w:ascii="宋体" w:hAnsi="宋体" w:eastAsia="宋体" w:cs="宋体"/>
          <w:color w:val="auto"/>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56687CCE">
      <w:pPr>
        <w:pStyle w:val="4"/>
        <w:rPr>
          <w:rFonts w:hint="eastAsia" w:ascii="宋体" w:hAnsi="宋体" w:eastAsia="宋体" w:cs="宋体"/>
          <w:color w:val="auto"/>
          <w:highlight w:val="none"/>
        </w:rPr>
      </w:pPr>
      <w:bookmarkStart w:id="383" w:name="_Toc465114872"/>
      <w:bookmarkStart w:id="384" w:name="_Toc509760016"/>
      <w:bookmarkStart w:id="385" w:name="_Toc511243338"/>
      <w:bookmarkStart w:id="386" w:name="_Toc511243564"/>
      <w:r>
        <w:rPr>
          <w:rFonts w:hint="eastAsia" w:ascii="宋体" w:hAnsi="宋体" w:eastAsia="宋体" w:cs="宋体"/>
          <w:color w:val="auto"/>
          <w:highlight w:val="none"/>
        </w:rPr>
        <w:t>3.6 工程照管与成品、半成品保护</w:t>
      </w:r>
      <w:bookmarkEnd w:id="380"/>
      <w:bookmarkEnd w:id="381"/>
      <w:bookmarkEnd w:id="382"/>
      <w:bookmarkEnd w:id="383"/>
      <w:bookmarkEnd w:id="384"/>
      <w:bookmarkEnd w:id="385"/>
      <w:bookmarkEnd w:id="386"/>
    </w:p>
    <w:p w14:paraId="6DA895DF">
      <w:pPr>
        <w:spacing w:line="360" w:lineRule="auto"/>
        <w:ind w:firstLine="420" w:firstLineChars="200"/>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承包人负责照管工程及工程相关的材料、工程设备的起始时间：</w:t>
      </w:r>
      <w:r>
        <w:rPr>
          <w:rFonts w:hint="eastAsia" w:ascii="宋体" w:hAnsi="宋体" w:eastAsia="宋体" w:cs="宋体"/>
          <w:color w:val="auto"/>
          <w:kern w:val="0"/>
          <w:highlight w:val="none"/>
          <w:u w:val="single"/>
        </w:rPr>
        <w:t>从开工之日起至竣工验收交付使用之日止</w:t>
      </w:r>
      <w:r>
        <w:rPr>
          <w:rFonts w:hint="eastAsia" w:ascii="宋体" w:hAnsi="宋体" w:eastAsia="宋体" w:cs="宋体"/>
          <w:color w:val="auto"/>
          <w:kern w:val="0"/>
          <w:highlight w:val="none"/>
        </w:rPr>
        <w:t>。</w:t>
      </w:r>
    </w:p>
    <w:p w14:paraId="63385238">
      <w:pPr>
        <w:pStyle w:val="4"/>
        <w:rPr>
          <w:rFonts w:hint="eastAsia" w:ascii="宋体" w:hAnsi="宋体" w:eastAsia="宋体" w:cs="宋体"/>
          <w:color w:val="auto"/>
          <w:highlight w:val="none"/>
        </w:rPr>
      </w:pPr>
      <w:bookmarkStart w:id="387" w:name="_Toc373478359"/>
      <w:bookmarkStart w:id="388" w:name="_Toc389065278"/>
      <w:bookmarkStart w:id="389" w:name="_Toc373227712"/>
      <w:bookmarkStart w:id="390" w:name="_Toc511243565"/>
      <w:bookmarkStart w:id="391" w:name="_Toc511243339"/>
      <w:bookmarkStart w:id="392" w:name="_Toc509760017"/>
      <w:bookmarkStart w:id="393" w:name="_Toc465114873"/>
      <w:r>
        <w:rPr>
          <w:rFonts w:hint="eastAsia" w:ascii="宋体" w:hAnsi="宋体" w:eastAsia="宋体" w:cs="宋体"/>
          <w:color w:val="auto"/>
          <w:highlight w:val="none"/>
        </w:rPr>
        <w:t>3.7 履约</w:t>
      </w:r>
      <w:bookmarkEnd w:id="387"/>
      <w:bookmarkEnd w:id="388"/>
      <w:bookmarkEnd w:id="389"/>
      <w:r>
        <w:rPr>
          <w:rFonts w:hint="eastAsia" w:ascii="宋体" w:hAnsi="宋体" w:eastAsia="宋体" w:cs="宋体"/>
          <w:color w:val="auto"/>
          <w:highlight w:val="none"/>
        </w:rPr>
        <w:t>保证金</w:t>
      </w:r>
      <w:bookmarkEnd w:id="390"/>
      <w:bookmarkEnd w:id="391"/>
      <w:bookmarkEnd w:id="392"/>
      <w:bookmarkEnd w:id="393"/>
    </w:p>
    <w:p w14:paraId="41E1E3B4">
      <w:pPr>
        <w:spacing w:line="360" w:lineRule="auto"/>
        <w:ind w:firstLine="420" w:firstLineChars="200"/>
        <w:jc w:val="left"/>
        <w:rPr>
          <w:rFonts w:hint="eastAsia" w:ascii="宋体" w:hAnsi="宋体" w:eastAsia="宋体" w:cs="宋体"/>
          <w:color w:val="auto"/>
          <w:highlight w:val="none"/>
        </w:rPr>
      </w:pPr>
      <w:bookmarkStart w:id="394" w:name="_Toc373478360"/>
      <w:bookmarkStart w:id="395" w:name="_Toc389065279"/>
      <w:bookmarkStart w:id="396" w:name="_Toc373227713"/>
      <w:bookmarkStart w:id="397" w:name="_Toc351203636"/>
      <w:r>
        <w:rPr>
          <w:rFonts w:hint="eastAsia" w:ascii="宋体" w:hAnsi="宋体" w:eastAsia="宋体" w:cs="宋体"/>
          <w:color w:val="auto"/>
          <w:highlight w:val="none"/>
        </w:rPr>
        <w:t>承包人提供履约担保的形式、金额及期限的：</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w:t>
      </w:r>
    </w:p>
    <w:p w14:paraId="24D7E764">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承包人在中标后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个工作日内，按规定将农民工工资保障金存入帐户。工程竣工验收结算经审定后，按照规定程序，将农民工工资保障金没有使用或剩余的金额退还给承包人。</w:t>
      </w:r>
    </w:p>
    <w:p w14:paraId="7CE55828">
      <w:pPr>
        <w:pStyle w:val="3"/>
        <w:rPr>
          <w:rFonts w:hint="eastAsia" w:ascii="宋体" w:hAnsi="宋体" w:eastAsia="宋体" w:cs="宋体"/>
          <w:color w:val="auto"/>
          <w:highlight w:val="none"/>
        </w:rPr>
      </w:pPr>
      <w:bookmarkStart w:id="398" w:name="_Toc511243566"/>
      <w:bookmarkStart w:id="399" w:name="_Toc465114874"/>
      <w:bookmarkStart w:id="400" w:name="_Toc511243340"/>
      <w:bookmarkStart w:id="401" w:name="_Toc509760018"/>
      <w:r>
        <w:rPr>
          <w:rFonts w:hint="eastAsia" w:ascii="宋体" w:hAnsi="宋体" w:eastAsia="宋体" w:cs="宋体"/>
          <w:color w:val="auto"/>
          <w:highlight w:val="none"/>
        </w:rPr>
        <w:t>4</w:t>
      </w:r>
      <w:bookmarkStart w:id="402" w:name="_Toc296503162"/>
      <w:bookmarkStart w:id="403" w:name="_Toc296347161"/>
      <w:bookmarkStart w:id="404" w:name="_Toc297048348"/>
      <w:bookmarkStart w:id="405" w:name="_Toc296346663"/>
      <w:bookmarkStart w:id="406" w:name="_Toc297120462"/>
      <w:bookmarkStart w:id="407" w:name="_Toc296891202"/>
      <w:bookmarkStart w:id="408" w:name="_Toc292559871"/>
      <w:bookmarkStart w:id="409" w:name="_Toc267251413"/>
      <w:bookmarkStart w:id="410" w:name="_Toc296890990"/>
      <w:bookmarkStart w:id="411" w:name="_Toc292559366"/>
      <w:bookmarkStart w:id="412" w:name="_Toc296944501"/>
      <w:r>
        <w:rPr>
          <w:rFonts w:hint="eastAsia" w:ascii="宋体" w:hAnsi="宋体" w:eastAsia="宋体" w:cs="宋体"/>
          <w:color w:val="auto"/>
          <w:highlight w:val="none"/>
        </w:rPr>
        <w:t>. 监</w:t>
      </w:r>
      <w:bookmarkEnd w:id="402"/>
      <w:bookmarkEnd w:id="403"/>
      <w:bookmarkEnd w:id="404"/>
      <w:bookmarkEnd w:id="405"/>
      <w:bookmarkEnd w:id="406"/>
      <w:bookmarkEnd w:id="407"/>
      <w:bookmarkEnd w:id="408"/>
      <w:bookmarkEnd w:id="409"/>
      <w:bookmarkEnd w:id="410"/>
      <w:bookmarkEnd w:id="411"/>
      <w:bookmarkEnd w:id="412"/>
      <w:r>
        <w:rPr>
          <w:rFonts w:hint="eastAsia" w:ascii="宋体" w:hAnsi="宋体" w:eastAsia="宋体" w:cs="宋体"/>
          <w:color w:val="auto"/>
          <w:highlight w:val="none"/>
        </w:rPr>
        <w:t>理人</w:t>
      </w:r>
      <w:bookmarkEnd w:id="394"/>
      <w:bookmarkEnd w:id="395"/>
      <w:bookmarkEnd w:id="396"/>
      <w:bookmarkEnd w:id="397"/>
      <w:bookmarkEnd w:id="398"/>
      <w:bookmarkEnd w:id="399"/>
      <w:bookmarkEnd w:id="400"/>
      <w:bookmarkEnd w:id="401"/>
    </w:p>
    <w:p w14:paraId="634CC609">
      <w:pPr>
        <w:pStyle w:val="4"/>
        <w:rPr>
          <w:rFonts w:hint="eastAsia" w:ascii="宋体" w:hAnsi="宋体" w:eastAsia="宋体" w:cs="宋体"/>
          <w:color w:val="auto"/>
          <w:highlight w:val="none"/>
        </w:rPr>
      </w:pPr>
      <w:bookmarkStart w:id="413" w:name="_Toc511243567"/>
      <w:bookmarkStart w:id="414" w:name="_Toc509760019"/>
      <w:bookmarkStart w:id="415" w:name="_Toc373227714"/>
      <w:bookmarkStart w:id="416" w:name="_Toc389065280"/>
      <w:bookmarkStart w:id="417" w:name="_Toc465114875"/>
      <w:bookmarkStart w:id="418" w:name="_Toc373478361"/>
      <w:bookmarkStart w:id="419" w:name="_Toc511243341"/>
      <w:r>
        <w:rPr>
          <w:rFonts w:hint="eastAsia" w:ascii="宋体" w:hAnsi="宋体" w:eastAsia="宋体" w:cs="宋体"/>
          <w:color w:val="auto"/>
          <w:highlight w:val="none"/>
        </w:rPr>
        <w:t>4.1 监理人的一般规定</w:t>
      </w:r>
      <w:bookmarkEnd w:id="413"/>
      <w:bookmarkEnd w:id="414"/>
      <w:bookmarkEnd w:id="415"/>
      <w:bookmarkEnd w:id="416"/>
      <w:bookmarkEnd w:id="417"/>
      <w:bookmarkEnd w:id="418"/>
      <w:bookmarkEnd w:id="419"/>
    </w:p>
    <w:p w14:paraId="10AA30D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关于监理人的监理内容：</w:t>
      </w:r>
      <w:r>
        <w:rPr>
          <w:rFonts w:hint="eastAsia" w:ascii="宋体" w:hAnsi="宋体" w:eastAsia="宋体" w:cs="宋体"/>
          <w:color w:val="auto"/>
          <w:highlight w:val="none"/>
          <w:u w:val="single"/>
        </w:rPr>
        <w:t xml:space="preserve">  按监理合同约定  </w:t>
      </w:r>
      <w:r>
        <w:rPr>
          <w:rFonts w:hint="eastAsia" w:ascii="宋体" w:hAnsi="宋体" w:eastAsia="宋体" w:cs="宋体"/>
          <w:color w:val="auto"/>
          <w:highlight w:val="none"/>
        </w:rPr>
        <w:t>。</w:t>
      </w:r>
    </w:p>
    <w:p w14:paraId="4409C1B1">
      <w:pPr>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关于监理人的监理权限：</w:t>
      </w:r>
      <w:r>
        <w:rPr>
          <w:rFonts w:hint="eastAsia" w:ascii="宋体" w:hAnsi="宋体" w:eastAsia="宋体" w:cs="宋体"/>
          <w:color w:val="auto"/>
          <w:highlight w:val="none"/>
          <w:u w:val="single"/>
        </w:rPr>
        <w:t xml:space="preserve">  按监理合同约定  </w:t>
      </w:r>
      <w:r>
        <w:rPr>
          <w:rFonts w:hint="eastAsia" w:ascii="宋体" w:hAnsi="宋体" w:eastAsia="宋体" w:cs="宋体"/>
          <w:color w:val="auto"/>
          <w:highlight w:val="none"/>
        </w:rPr>
        <w:t xml:space="preserve">。 </w:t>
      </w:r>
    </w:p>
    <w:p w14:paraId="60EF42E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关于监理人在施工现场的办公场所、生活场所的提供和费用承担的约定：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AD68189">
      <w:pPr>
        <w:pStyle w:val="4"/>
        <w:rPr>
          <w:rFonts w:hint="eastAsia" w:ascii="宋体" w:hAnsi="宋体" w:eastAsia="宋体" w:cs="宋体"/>
          <w:color w:val="auto"/>
          <w:highlight w:val="none"/>
        </w:rPr>
      </w:pPr>
      <w:bookmarkStart w:id="420" w:name="_Toc509760020"/>
      <w:bookmarkStart w:id="421" w:name="_Toc465114876"/>
      <w:bookmarkStart w:id="422" w:name="_Toc373478362"/>
      <w:bookmarkStart w:id="423" w:name="_Toc511243342"/>
      <w:bookmarkStart w:id="424" w:name="_Toc511243568"/>
      <w:bookmarkStart w:id="425" w:name="_Toc373227715"/>
      <w:bookmarkStart w:id="426" w:name="_Toc389065281"/>
      <w:r>
        <w:rPr>
          <w:rFonts w:hint="eastAsia" w:ascii="宋体" w:hAnsi="宋体" w:eastAsia="宋体" w:cs="宋体"/>
          <w:color w:val="auto"/>
          <w:highlight w:val="none"/>
        </w:rPr>
        <w:t>4.2 监理人员</w:t>
      </w:r>
      <w:bookmarkEnd w:id="420"/>
      <w:bookmarkEnd w:id="421"/>
      <w:bookmarkEnd w:id="422"/>
      <w:bookmarkEnd w:id="423"/>
      <w:bookmarkEnd w:id="424"/>
      <w:bookmarkEnd w:id="425"/>
      <w:bookmarkEnd w:id="426"/>
    </w:p>
    <w:p w14:paraId="1608AB5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总监理工程师：</w:t>
      </w:r>
    </w:p>
    <w:p w14:paraId="654D9CB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655D37C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0DFAEDD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监理工程师执业资格证书号：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14:paraId="77D9537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0C3541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7B9D730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0A9307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关于监理人的其他约定：</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50B95C27">
      <w:pPr>
        <w:pStyle w:val="4"/>
        <w:rPr>
          <w:rFonts w:hint="eastAsia" w:ascii="宋体" w:hAnsi="宋体" w:eastAsia="宋体" w:cs="宋体"/>
          <w:color w:val="auto"/>
          <w:highlight w:val="none"/>
        </w:rPr>
      </w:pPr>
      <w:bookmarkStart w:id="427" w:name="_Toc389065282"/>
      <w:bookmarkStart w:id="428" w:name="_Toc511243569"/>
      <w:bookmarkStart w:id="429" w:name="_Toc465114877"/>
      <w:bookmarkStart w:id="430" w:name="_Toc373478363"/>
      <w:bookmarkStart w:id="431" w:name="_Toc511243343"/>
      <w:bookmarkStart w:id="432" w:name="_Toc509760021"/>
      <w:bookmarkStart w:id="433" w:name="_Toc373227716"/>
      <w:r>
        <w:rPr>
          <w:rFonts w:hint="eastAsia" w:ascii="宋体" w:hAnsi="宋体" w:eastAsia="宋体" w:cs="宋体"/>
          <w:color w:val="auto"/>
          <w:highlight w:val="none"/>
        </w:rPr>
        <w:t>4.4 商定或确定</w:t>
      </w:r>
      <w:bookmarkEnd w:id="427"/>
      <w:bookmarkEnd w:id="428"/>
      <w:bookmarkEnd w:id="429"/>
      <w:bookmarkEnd w:id="430"/>
      <w:bookmarkEnd w:id="431"/>
      <w:bookmarkEnd w:id="432"/>
      <w:bookmarkEnd w:id="433"/>
    </w:p>
    <w:p w14:paraId="6CEDB16D">
      <w:pPr>
        <w:spacing w:line="360" w:lineRule="auto"/>
        <w:ind w:firstLine="420" w:firstLineChars="200"/>
        <w:rPr>
          <w:rFonts w:hint="eastAsia" w:ascii="宋体" w:hAnsi="宋体" w:eastAsia="宋体" w:cs="宋体"/>
          <w:color w:val="auto"/>
          <w:highlight w:val="none"/>
        </w:rPr>
      </w:pPr>
      <w:bookmarkStart w:id="434" w:name="_Toc267251418"/>
      <w:r>
        <w:rPr>
          <w:rFonts w:hint="eastAsia" w:ascii="宋体" w:hAnsi="宋体" w:eastAsia="宋体" w:cs="宋体"/>
          <w:color w:val="auto"/>
          <w:highlight w:val="none"/>
        </w:rPr>
        <w:t>在发包人和承包人不能通过协商达成一致意见时，发包人授权监理人对以下事项进行确定：</w:t>
      </w:r>
    </w:p>
    <w:p w14:paraId="1718CDFD">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E93586A">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D572152">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68CA5AA">
      <w:pPr>
        <w:pStyle w:val="3"/>
        <w:rPr>
          <w:rFonts w:hint="eastAsia" w:ascii="宋体" w:hAnsi="宋体" w:eastAsia="宋体" w:cs="宋体"/>
          <w:color w:val="auto"/>
          <w:highlight w:val="none"/>
        </w:rPr>
      </w:pPr>
      <w:bookmarkStart w:id="435" w:name="_Toc389065283"/>
      <w:bookmarkStart w:id="436" w:name="_Toc373227717"/>
      <w:bookmarkStart w:id="437" w:name="_Toc373478364"/>
      <w:bookmarkStart w:id="438" w:name="_Toc509760022"/>
      <w:bookmarkStart w:id="439" w:name="_Toc511243570"/>
      <w:bookmarkStart w:id="440" w:name="_Toc351203637"/>
      <w:bookmarkStart w:id="441" w:name="_Toc465114878"/>
      <w:bookmarkStart w:id="442" w:name="_Toc511243344"/>
      <w:r>
        <w:rPr>
          <w:rFonts w:hint="eastAsia" w:ascii="宋体" w:hAnsi="宋体" w:eastAsia="宋体" w:cs="宋体"/>
          <w:color w:val="auto"/>
          <w:highlight w:val="none"/>
        </w:rPr>
        <w:t>5</w:t>
      </w:r>
      <w:bookmarkEnd w:id="434"/>
      <w:bookmarkStart w:id="443" w:name="_Toc296944502"/>
      <w:bookmarkStart w:id="444" w:name="_Toc296890991"/>
      <w:bookmarkStart w:id="445" w:name="_Toc292559872"/>
      <w:bookmarkStart w:id="446" w:name="_Toc296347162"/>
      <w:bookmarkStart w:id="447" w:name="_Toc297120463"/>
      <w:bookmarkStart w:id="448" w:name="_Toc296891203"/>
      <w:bookmarkStart w:id="449" w:name="_Toc297048349"/>
      <w:bookmarkStart w:id="450" w:name="_Toc296503163"/>
      <w:bookmarkStart w:id="451" w:name="_Toc296346664"/>
      <w:bookmarkStart w:id="452" w:name="_Toc292559367"/>
      <w:r>
        <w:rPr>
          <w:rFonts w:hint="eastAsia" w:ascii="宋体" w:hAnsi="宋体" w:eastAsia="宋体" w:cs="宋体"/>
          <w:color w:val="auto"/>
          <w:highlight w:val="none"/>
        </w:rPr>
        <w:t>. 工程质量</w:t>
      </w:r>
      <w:bookmarkEnd w:id="435"/>
      <w:bookmarkEnd w:id="436"/>
      <w:bookmarkEnd w:id="437"/>
      <w:bookmarkEnd w:id="438"/>
      <w:bookmarkEnd w:id="439"/>
      <w:bookmarkEnd w:id="440"/>
      <w:bookmarkEnd w:id="441"/>
      <w:bookmarkEnd w:id="442"/>
    </w:p>
    <w:p w14:paraId="11FBDEF1">
      <w:pPr>
        <w:pStyle w:val="4"/>
        <w:rPr>
          <w:rFonts w:hint="eastAsia" w:ascii="宋体" w:hAnsi="宋体" w:eastAsia="宋体" w:cs="宋体"/>
          <w:color w:val="auto"/>
          <w:highlight w:val="none"/>
        </w:rPr>
      </w:pPr>
      <w:bookmarkStart w:id="453" w:name="_Toc511243571"/>
      <w:bookmarkStart w:id="454" w:name="_Toc509760023"/>
      <w:bookmarkStart w:id="455" w:name="_Toc511243345"/>
      <w:bookmarkStart w:id="456" w:name="_Toc373227718"/>
      <w:bookmarkStart w:id="457" w:name="_Toc373478365"/>
      <w:bookmarkStart w:id="458" w:name="_Toc465114879"/>
      <w:bookmarkStart w:id="459" w:name="_Toc389065284"/>
      <w:r>
        <w:rPr>
          <w:rFonts w:hint="eastAsia" w:ascii="宋体" w:hAnsi="宋体" w:eastAsia="宋体" w:cs="宋体"/>
          <w:color w:val="auto"/>
          <w:highlight w:val="none"/>
        </w:rPr>
        <w:t>5.1 质量要求</w:t>
      </w:r>
      <w:bookmarkEnd w:id="453"/>
      <w:bookmarkEnd w:id="454"/>
      <w:bookmarkEnd w:id="455"/>
      <w:bookmarkEnd w:id="456"/>
      <w:bookmarkEnd w:id="457"/>
      <w:bookmarkEnd w:id="458"/>
      <w:bookmarkEnd w:id="459"/>
    </w:p>
    <w:p w14:paraId="7813B0B3">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5</w:t>
      </w:r>
      <w:bookmarkStart w:id="460" w:name="_Toc312677997"/>
      <w:bookmarkStart w:id="461" w:name="_Toc318581164"/>
      <w:bookmarkStart w:id="462" w:name="_Toc297216155"/>
      <w:bookmarkStart w:id="463" w:name="_Toc303539106"/>
      <w:bookmarkStart w:id="464" w:name="_Toc304295527"/>
      <w:bookmarkStart w:id="465" w:name="_Toc297123496"/>
      <w:bookmarkStart w:id="466" w:name="_Toc300934949"/>
      <w:r>
        <w:rPr>
          <w:rFonts w:hint="eastAsia" w:ascii="宋体" w:hAnsi="宋体" w:eastAsia="宋体" w:cs="宋体"/>
          <w:color w:val="auto"/>
          <w:highlight w:val="none"/>
        </w:rPr>
        <w:t>.1.1 特殊质量标准和要求：</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01BCBF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关于工程奖项的约定：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DCC5C3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5.3 隐蔽工程检查</w:t>
      </w:r>
    </w:p>
    <w:p w14:paraId="68A60D18">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5.3.2承包人提前通知监理人隐蔽工程检查的期限的约定：</w:t>
      </w:r>
      <w:r>
        <w:rPr>
          <w:rFonts w:hint="eastAsia" w:ascii="宋体" w:hAnsi="宋体" w:eastAsia="宋体" w:cs="宋体"/>
          <w:bCs/>
          <w:color w:val="auto"/>
          <w:highlight w:val="non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27F0CE2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监理人不能按时进行检查时，应提前</w:t>
      </w:r>
      <w:r>
        <w:rPr>
          <w:rFonts w:hint="eastAsia" w:ascii="宋体" w:hAnsi="宋体" w:eastAsia="宋体" w:cs="宋体"/>
          <w:color w:val="auto"/>
          <w:highlight w:val="none"/>
          <w:u w:val="single"/>
        </w:rPr>
        <w:t xml:space="preserve">  48 </w:t>
      </w:r>
      <w:r>
        <w:rPr>
          <w:rFonts w:hint="eastAsia" w:ascii="宋体" w:hAnsi="宋体" w:eastAsia="宋体" w:cs="宋体"/>
          <w:color w:val="auto"/>
          <w:highlight w:val="none"/>
        </w:rPr>
        <w:t>小时提交书面延期要求。</w:t>
      </w:r>
    </w:p>
    <w:p w14:paraId="5557D8F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48  </w:t>
      </w:r>
      <w:r>
        <w:rPr>
          <w:rFonts w:hint="eastAsia" w:ascii="宋体" w:hAnsi="宋体" w:eastAsia="宋体" w:cs="宋体"/>
          <w:color w:val="auto"/>
          <w:highlight w:val="none"/>
        </w:rPr>
        <w:t>小时。</w:t>
      </w:r>
    </w:p>
    <w:p w14:paraId="2FDDC545">
      <w:pPr>
        <w:pStyle w:val="3"/>
        <w:rPr>
          <w:rFonts w:hint="eastAsia" w:ascii="宋体" w:hAnsi="宋体" w:eastAsia="宋体" w:cs="宋体"/>
          <w:color w:val="auto"/>
          <w:highlight w:val="none"/>
        </w:rPr>
      </w:pPr>
      <w:bookmarkStart w:id="467" w:name="_Toc511243572"/>
      <w:bookmarkStart w:id="468" w:name="_Toc351203638"/>
      <w:bookmarkStart w:id="469" w:name="_Toc373478366"/>
      <w:bookmarkStart w:id="470" w:name="_Toc373227719"/>
      <w:bookmarkStart w:id="471" w:name="_Toc389065285"/>
      <w:bookmarkStart w:id="472" w:name="_Toc509760024"/>
      <w:bookmarkStart w:id="473" w:name="_Toc511243346"/>
      <w:bookmarkStart w:id="474" w:name="_Toc465114880"/>
      <w:r>
        <w:rPr>
          <w:rFonts w:hint="eastAsia" w:ascii="宋体" w:hAnsi="宋体" w:eastAsia="宋体" w:cs="宋体"/>
          <w:color w:val="auto"/>
          <w:highlight w:val="none"/>
        </w:rPr>
        <w:t>6. 安全文明施工与环境保护</w:t>
      </w:r>
      <w:bookmarkEnd w:id="467"/>
      <w:bookmarkEnd w:id="468"/>
      <w:bookmarkEnd w:id="469"/>
      <w:bookmarkEnd w:id="470"/>
      <w:bookmarkEnd w:id="471"/>
      <w:bookmarkEnd w:id="472"/>
      <w:bookmarkEnd w:id="473"/>
      <w:bookmarkEnd w:id="474"/>
    </w:p>
    <w:p w14:paraId="3709B06F">
      <w:pPr>
        <w:pStyle w:val="4"/>
        <w:rPr>
          <w:rFonts w:hint="eastAsia" w:ascii="宋体" w:hAnsi="宋体" w:eastAsia="宋体" w:cs="宋体"/>
          <w:color w:val="auto"/>
          <w:highlight w:val="none"/>
        </w:rPr>
      </w:pPr>
      <w:bookmarkStart w:id="475" w:name="_Toc373478367"/>
      <w:bookmarkStart w:id="476" w:name="_Toc465114881"/>
      <w:bookmarkStart w:id="477" w:name="_Toc511243573"/>
      <w:bookmarkStart w:id="478" w:name="_Toc509760025"/>
      <w:bookmarkStart w:id="479" w:name="_Toc511243347"/>
      <w:bookmarkStart w:id="480" w:name="_Toc373227720"/>
      <w:bookmarkStart w:id="481" w:name="_Toc389065286"/>
      <w:r>
        <w:rPr>
          <w:rFonts w:hint="eastAsia" w:ascii="宋体" w:hAnsi="宋体" w:eastAsia="宋体" w:cs="宋体"/>
          <w:color w:val="auto"/>
          <w:highlight w:val="none"/>
        </w:rPr>
        <w:t>6.1 安全文明施工</w:t>
      </w:r>
      <w:bookmarkEnd w:id="475"/>
      <w:bookmarkEnd w:id="476"/>
      <w:bookmarkEnd w:id="477"/>
      <w:bookmarkEnd w:id="478"/>
      <w:bookmarkEnd w:id="479"/>
      <w:bookmarkEnd w:id="480"/>
      <w:bookmarkEnd w:id="481"/>
    </w:p>
    <w:p w14:paraId="5D48B88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6.1.1 项目安全生产的达标目标及相应事项的约定：</w:t>
      </w:r>
      <w:r>
        <w:rPr>
          <w:rFonts w:hint="eastAsia" w:ascii="宋体" w:hAnsi="宋体" w:eastAsia="宋体" w:cs="宋体"/>
          <w:color w:val="auto"/>
          <w:highlight w:val="none"/>
          <w:u w:val="single"/>
        </w:rPr>
        <w:t xml:space="preserve">  工程施工必须按照国家安全生产有关法律法规进行施工，如发生安全事故，查明原因，一切后果及经济损失由责任方承担  </w:t>
      </w:r>
      <w:r>
        <w:rPr>
          <w:rFonts w:hint="eastAsia" w:ascii="宋体" w:hAnsi="宋体" w:eastAsia="宋体" w:cs="宋体"/>
          <w:color w:val="auto"/>
          <w:highlight w:val="none"/>
        </w:rPr>
        <w:t>。</w:t>
      </w:r>
    </w:p>
    <w:p w14:paraId="0C8E324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关于安全文明施工奖项的约定：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53C4FF8">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6.1.4 关于治安保卫的特别约定：</w:t>
      </w:r>
      <w:r>
        <w:rPr>
          <w:rFonts w:hint="eastAsia" w:ascii="宋体" w:hAnsi="宋体" w:eastAsia="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638A18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关于编制施工场地治安管理计划的约定：</w:t>
      </w:r>
      <w:r>
        <w:rPr>
          <w:rFonts w:hint="eastAsia" w:ascii="宋体" w:hAnsi="宋体" w:eastAsia="宋体" w:cs="宋体"/>
          <w:color w:val="auto"/>
          <w:highlight w:val="none"/>
          <w:u w:val="single"/>
        </w:rPr>
        <w:t>承包人应当负责统一管理施工场地的治安保卫事项，履行合同工程的治安保卫职责。施工场地治安管理计划和突发治安事件紧急预案的编制责任人：施工技术管理人员</w:t>
      </w:r>
      <w:r>
        <w:rPr>
          <w:rFonts w:hint="eastAsia" w:ascii="宋体" w:hAnsi="宋体" w:eastAsia="宋体" w:cs="宋体"/>
          <w:color w:val="auto"/>
          <w:highlight w:val="none"/>
        </w:rPr>
        <w:t>。</w:t>
      </w:r>
    </w:p>
    <w:p w14:paraId="2D93B55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6.1.5 文明施工</w:t>
      </w:r>
    </w:p>
    <w:p w14:paraId="3CD1FF89">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合同当事人对文明施工的要求：</w:t>
      </w:r>
      <w:r>
        <w:rPr>
          <w:rFonts w:hint="eastAsia" w:ascii="宋体" w:hAnsi="宋体" w:eastAsia="宋体" w:cs="宋体"/>
          <w:color w:val="auto"/>
          <w:highlight w:val="none"/>
          <w:u w:val="single"/>
        </w:rPr>
        <w:t xml:space="preserve">(1)实行“门前三包”制度，工地出入口以及施工临时占用道路和场外临时用地范围内包无泥土洒漏，包无污水横流，包无扬尘污染，门口50米范围内及时落实清扫，确保清洁无尘。（2）密闭遮盖建筑材料，施工过程中使用水泥、石灰、砂石、涂料、铺装材料等易产生扬尘的建筑材料，须采取密闭存储。采用防尘布苫盖，设置围挡或堆砌围墙等措施。（3）密闭遮盖运输，进出工地的物料、渣土、垃圾运输车辆，须采用有效密闭封盖，装载料面不得高出车厢护栏，出工地前对装载物料的表层进行喷淋并加盖篷布。（4）设置规范的围档，施工现场必须实行封闭管理，沿工地四周连续设置围档。（5）设置规范出入口和车辆冲洗平台，在地工进出口内侧设置洗车平台，车辆驶离工地前，须在洗车平台清洗轮胎及车身，不得带泥上路，洗车平台四周须设置防溢座，废水导流渠、废水收集池，沉砂池及其它防治设施，收集洗车、施工以及降尘过程中产生的废水和泥浆，未经批准任何工地，不能擅自增加出入口.(6)采取湿法作业，施工作业阶段应采取有效降尘，配置洒水、喷淋、喷雾等设施，大型工地（占地面积50亩及以上工地，或建筑面积1万平方米及以上，或者施工工期一年及以上）落实有效抑尘设备。（7）建筑垃圾防尘，施工工程中产生的弃土、弃料及其他建筑垃圾，应及时清运，若在工地内堆置超过一周的，须采取覆盖防尘布、防尘网、定期喷水压尘等措施。（8）工地主要道路防尘，施工工地内的车行道路，须采取铺设有防扬尘功能材料，并辅以洒水、喷洒抑尘剂等措施，保持工地路面清洁，防止机动车扬尘。（9）输送作业的防尘措施。工地内从建筑上层将具有粉尘逸散性的物料、渣土或废弃物输送至地面或地下楼层时，要从电梯孔道、建筑内部管道或密闭输送管道输送，或者打包装框搬运，不得凌空抛撒。（10）拆迁施工场所防尘措施，拆除工程施工前，工地周围须设置围挡，拆迁作业时，须辅以持续加压洒水，以抑制扬尘飞散。（11）加强堆料场整洁，对易产生扬尘的临时物料堆、渣土堆、废渣、建材等，须采用防尘网和防尘布覆盖，必要时进行喷淋、固化处理。（12）安装视频监控，在城区内由市住建局审批的建筑面积达到1万平方米以上（含1万平方米）或者施工工期一年以上（含一年）建工地出入口安装视频监控装置并联网至市住建局，加强日常监管，确保出入车辆清洗干净，无带泥上路现象。（13）祼露地块防尘，针对工地内的祼露地块，采取遮盖等各种防尘措施  </w:t>
      </w:r>
      <w:r>
        <w:rPr>
          <w:rFonts w:hint="eastAsia" w:ascii="宋体" w:hAnsi="宋体" w:eastAsia="宋体" w:cs="宋体"/>
          <w:color w:val="auto"/>
          <w:highlight w:val="none"/>
        </w:rPr>
        <w:t>。</w:t>
      </w:r>
    </w:p>
    <w:p w14:paraId="7BCE53B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6.1.6 关于安全文明施工费支付比例和支付期限的约定：</w:t>
      </w:r>
    </w:p>
    <w:p w14:paraId="22C2CD6E">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（1）本合同价款已包含安全文明施工费</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元。</w:t>
      </w:r>
    </w:p>
    <w:p w14:paraId="64B4578A">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（2）使用要求：专款专用。具体按</w:t>
      </w:r>
      <w:r>
        <w:rPr>
          <w:rFonts w:hint="eastAsia" w:ascii="宋体" w:hAnsi="宋体" w:eastAsia="宋体" w:cs="宋体"/>
          <w:color w:val="auto"/>
          <w:kern w:val="0"/>
          <w:highlight w:val="none"/>
          <w:u w:val="single"/>
        </w:rPr>
        <w:t>《广西壮族自治区建设工程安全文明施工费使用管理细则》（桂建质〔2015〕16号）</w:t>
      </w:r>
      <w:r>
        <w:rPr>
          <w:rFonts w:hint="eastAsia" w:ascii="宋体" w:hAnsi="宋体" w:eastAsia="宋体" w:cs="宋体"/>
          <w:color w:val="auto"/>
          <w:kern w:val="0"/>
          <w:highlight w:val="none"/>
        </w:rPr>
        <w:t>和</w:t>
      </w:r>
      <w:r>
        <w:rPr>
          <w:rFonts w:hint="eastAsia" w:ascii="宋体" w:hAnsi="宋体" w:eastAsia="宋体" w:cs="宋体"/>
          <w:color w:val="auto"/>
          <w:kern w:val="0"/>
          <w:highlight w:val="none"/>
          <w:u w:val="single"/>
        </w:rPr>
        <w:t xml:space="preserve">  贺州  </w:t>
      </w:r>
      <w:r>
        <w:rPr>
          <w:rFonts w:hint="eastAsia" w:ascii="宋体" w:hAnsi="宋体" w:eastAsia="宋体" w:cs="宋体"/>
          <w:color w:val="auto"/>
          <w:kern w:val="0"/>
          <w:highlight w:val="none"/>
        </w:rPr>
        <w:t>市相关规定执行。</w:t>
      </w:r>
    </w:p>
    <w:p w14:paraId="03CA1FEB">
      <w:pPr>
        <w:pStyle w:val="23"/>
        <w:snapToGrid w:val="0"/>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highlight w:val="none"/>
        </w:rPr>
        <w:t>（3）支付约定：</w:t>
      </w:r>
      <w:r>
        <w:rPr>
          <w:rFonts w:hint="eastAsia" w:ascii="宋体" w:hAnsi="宋体" w:eastAsia="宋体" w:cs="宋体"/>
          <w:color w:val="auto"/>
          <w:kern w:val="0"/>
          <w:highlight w:val="none"/>
          <w:u w:val="single"/>
        </w:rPr>
        <w:t>在本合同签订后    个工作日内，预付安全文明施工费总额的     （30-50 %），其余部分与进度款同期支付。</w:t>
      </w:r>
    </w:p>
    <w:p w14:paraId="714FCCD0">
      <w:pPr>
        <w:autoSpaceDE w:val="0"/>
        <w:autoSpaceDN w:val="0"/>
        <w:adjustRightInd w:val="0"/>
        <w:spacing w:line="360" w:lineRule="auto"/>
        <w:ind w:firstLine="420" w:firstLineChars="200"/>
        <w:jc w:val="left"/>
        <w:rPr>
          <w:rFonts w:hint="eastAsia" w:ascii="宋体" w:hAnsi="宋体" w:eastAsia="宋体" w:cs="宋体"/>
          <w:color w:val="auto"/>
          <w:highlight w:val="none"/>
        </w:rPr>
      </w:pPr>
      <w:bookmarkStart w:id="482" w:name="_Toc389065287"/>
      <w:bookmarkStart w:id="483" w:name="_Toc373227721"/>
      <w:bookmarkStart w:id="484" w:name="_Toc373478368"/>
      <w:r>
        <w:rPr>
          <w:rFonts w:hint="eastAsia" w:ascii="宋体" w:hAnsi="宋体" w:eastAsia="宋体" w:cs="宋体"/>
          <w:color w:val="auto"/>
          <w:highlight w:val="none"/>
        </w:rPr>
        <w:t>6.3 环境保护</w:t>
      </w:r>
      <w:bookmarkEnd w:id="482"/>
      <w:bookmarkEnd w:id="483"/>
      <w:bookmarkEnd w:id="484"/>
    </w:p>
    <w:p w14:paraId="6614AA5F">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因施工需要，经发包人批准，由承包人办理有关施工场地交通、环卫和施工噪音管理等手续，费用由承包人负责。</w:t>
      </w:r>
    </w:p>
    <w:p w14:paraId="219F36D4">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经过城市道路的施工车辆，必须按交警、城管、运输等部门相关规定执行。由于施工车辆造成的道路、环境等污染，其责任和费用均由承包人承担。</w:t>
      </w:r>
    </w:p>
    <w:bookmarkEnd w:id="460"/>
    <w:bookmarkEnd w:id="461"/>
    <w:bookmarkEnd w:id="462"/>
    <w:bookmarkEnd w:id="463"/>
    <w:bookmarkEnd w:id="464"/>
    <w:bookmarkEnd w:id="465"/>
    <w:bookmarkEnd w:id="466"/>
    <w:p w14:paraId="06B68E07">
      <w:pPr>
        <w:pStyle w:val="3"/>
        <w:rPr>
          <w:rFonts w:hint="eastAsia" w:ascii="宋体" w:hAnsi="宋体" w:eastAsia="宋体" w:cs="宋体"/>
          <w:color w:val="auto"/>
          <w:highlight w:val="none"/>
        </w:rPr>
      </w:pPr>
      <w:bookmarkStart w:id="485" w:name="_Toc509760026"/>
      <w:bookmarkStart w:id="486" w:name="_Toc373227722"/>
      <w:bookmarkStart w:id="487" w:name="_Toc389065288"/>
      <w:bookmarkStart w:id="488" w:name="_Toc511243348"/>
      <w:bookmarkStart w:id="489" w:name="_Toc351203639"/>
      <w:bookmarkStart w:id="490" w:name="_Toc465114882"/>
      <w:bookmarkStart w:id="491" w:name="_Toc511243574"/>
      <w:bookmarkStart w:id="492" w:name="_Toc373478369"/>
      <w:r>
        <w:rPr>
          <w:rFonts w:hint="eastAsia" w:ascii="宋体" w:hAnsi="宋体" w:eastAsia="宋体" w:cs="宋体"/>
          <w:color w:val="auto"/>
          <w:highlight w:val="none"/>
        </w:rPr>
        <w:t>7. 工期和进度</w:t>
      </w:r>
      <w:bookmarkEnd w:id="485"/>
      <w:bookmarkEnd w:id="486"/>
      <w:bookmarkEnd w:id="487"/>
      <w:bookmarkEnd w:id="488"/>
      <w:bookmarkEnd w:id="489"/>
      <w:bookmarkEnd w:id="490"/>
      <w:bookmarkEnd w:id="491"/>
      <w:bookmarkEnd w:id="492"/>
    </w:p>
    <w:p w14:paraId="1DE44F87">
      <w:pPr>
        <w:pStyle w:val="4"/>
        <w:rPr>
          <w:rFonts w:hint="eastAsia" w:ascii="宋体" w:hAnsi="宋体" w:eastAsia="宋体" w:cs="宋体"/>
          <w:color w:val="auto"/>
          <w:highlight w:val="none"/>
        </w:rPr>
      </w:pPr>
      <w:bookmarkStart w:id="493" w:name="_Toc389065289"/>
      <w:bookmarkStart w:id="494" w:name="_Toc511243575"/>
      <w:bookmarkStart w:id="495" w:name="_Toc373227723"/>
      <w:bookmarkStart w:id="496" w:name="_Toc465114883"/>
      <w:bookmarkStart w:id="497" w:name="_Toc511243349"/>
      <w:bookmarkStart w:id="498" w:name="_Toc373478370"/>
      <w:bookmarkStart w:id="499" w:name="_Toc509760027"/>
      <w:r>
        <w:rPr>
          <w:rFonts w:hint="eastAsia" w:ascii="宋体" w:hAnsi="宋体" w:eastAsia="宋体" w:cs="宋体"/>
          <w:color w:val="auto"/>
          <w:highlight w:val="none"/>
        </w:rPr>
        <w:t>7.1 施工组织设计</w:t>
      </w:r>
      <w:bookmarkEnd w:id="493"/>
      <w:bookmarkEnd w:id="494"/>
      <w:bookmarkEnd w:id="495"/>
      <w:bookmarkEnd w:id="496"/>
      <w:bookmarkEnd w:id="497"/>
      <w:bookmarkEnd w:id="498"/>
      <w:bookmarkEnd w:id="499"/>
    </w:p>
    <w:p w14:paraId="43F8F4A6">
      <w:pPr>
        <w:autoSpaceDE w:val="0"/>
        <w:autoSpaceDN w:val="0"/>
        <w:adjustRightInd w:val="0"/>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7.1.1 合</w:t>
      </w:r>
      <w:r>
        <w:rPr>
          <w:rFonts w:hint="eastAsia" w:ascii="宋体" w:hAnsi="宋体" w:eastAsia="宋体" w:cs="宋体"/>
          <w:color w:val="auto"/>
          <w:kern w:val="0"/>
          <w:highlight w:val="none"/>
        </w:rPr>
        <w:t>同当事人约定的施工组织设计应包括的其他内容：</w:t>
      </w:r>
      <w:r>
        <w:rPr>
          <w:rFonts w:hint="eastAsia" w:ascii="宋体" w:hAnsi="宋体" w:eastAsia="宋体" w:cs="宋体"/>
          <w:color w:val="auto"/>
          <w:highlight w:val="none"/>
          <w:u w:val="single"/>
        </w:rPr>
        <w:t xml:space="preserve">按《通用合同条款》执行  </w:t>
      </w:r>
      <w:r>
        <w:rPr>
          <w:rFonts w:hint="eastAsia" w:ascii="宋体" w:hAnsi="宋体" w:eastAsia="宋体" w:cs="宋体"/>
          <w:color w:val="auto"/>
          <w:highlight w:val="none"/>
        </w:rPr>
        <w:t>。</w:t>
      </w:r>
    </w:p>
    <w:p w14:paraId="4CCF858C">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7.1.2 </w:t>
      </w:r>
      <w:r>
        <w:rPr>
          <w:rFonts w:hint="eastAsia" w:ascii="宋体" w:hAnsi="宋体" w:eastAsia="宋体" w:cs="宋体"/>
          <w:color w:val="auto"/>
          <w:kern w:val="0"/>
          <w:highlight w:val="none"/>
        </w:rPr>
        <w:t>施工组织设计的提交和修改</w:t>
      </w:r>
    </w:p>
    <w:p w14:paraId="77571ED2">
      <w:pPr>
        <w:autoSpaceDE w:val="0"/>
        <w:autoSpaceDN w:val="0"/>
        <w:adjustRightInd w:val="0"/>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承包人提交详细施工组织设计的期限的约定：</w:t>
      </w:r>
      <w:r>
        <w:rPr>
          <w:rFonts w:hint="eastAsia" w:ascii="宋体" w:hAnsi="宋体" w:eastAsia="宋体" w:cs="宋体"/>
          <w:color w:val="auto"/>
          <w:highlight w:val="none"/>
          <w:u w:val="single"/>
        </w:rPr>
        <w:t xml:space="preserve">  在收到监理人发出的开工通知后7日内   </w:t>
      </w:r>
      <w:r>
        <w:rPr>
          <w:rFonts w:hint="eastAsia" w:ascii="宋体" w:hAnsi="宋体" w:eastAsia="宋体" w:cs="宋体"/>
          <w:color w:val="auto"/>
          <w:highlight w:val="none"/>
        </w:rPr>
        <w:t>。</w:t>
      </w:r>
    </w:p>
    <w:p w14:paraId="165C80C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发包人和监理人在收到详细的施工组织设计后确认或提出修改意见的期限：</w:t>
      </w:r>
      <w:r>
        <w:rPr>
          <w:rFonts w:hint="eastAsia" w:ascii="宋体" w:hAnsi="宋体" w:eastAsia="宋体" w:cs="宋体"/>
          <w:color w:val="auto"/>
          <w:highlight w:val="none"/>
          <w:u w:val="single"/>
        </w:rPr>
        <w:t>自收到承包人提交的施工组织设计后7日内予以确认或提出修改意见</w:t>
      </w:r>
      <w:r>
        <w:rPr>
          <w:rFonts w:hint="eastAsia" w:ascii="宋体" w:hAnsi="宋体" w:eastAsia="宋体" w:cs="宋体"/>
          <w:color w:val="auto"/>
          <w:highlight w:val="none"/>
        </w:rPr>
        <w:t>。</w:t>
      </w:r>
    </w:p>
    <w:p w14:paraId="499466BE">
      <w:pPr>
        <w:pStyle w:val="4"/>
        <w:rPr>
          <w:rFonts w:hint="eastAsia" w:ascii="宋体" w:hAnsi="宋体" w:eastAsia="宋体" w:cs="宋体"/>
          <w:color w:val="auto"/>
          <w:highlight w:val="none"/>
        </w:rPr>
      </w:pPr>
      <w:bookmarkStart w:id="500" w:name="_Toc389065290"/>
      <w:bookmarkStart w:id="501" w:name="_Toc511243350"/>
      <w:bookmarkStart w:id="502" w:name="_Toc373227724"/>
      <w:bookmarkStart w:id="503" w:name="_Toc511243576"/>
      <w:bookmarkStart w:id="504" w:name="_Toc465114884"/>
      <w:bookmarkStart w:id="505" w:name="_Toc509760028"/>
      <w:bookmarkStart w:id="506" w:name="_Toc373478371"/>
      <w:r>
        <w:rPr>
          <w:rFonts w:hint="eastAsia" w:ascii="宋体" w:hAnsi="宋体" w:eastAsia="宋体" w:cs="宋体"/>
          <w:color w:val="auto"/>
          <w:highlight w:val="none"/>
        </w:rPr>
        <w:t>7</w:t>
      </w:r>
      <w:bookmarkStart w:id="507" w:name="_Toc312677479"/>
      <w:bookmarkStart w:id="508" w:name="_Toc312678005"/>
      <w:bookmarkStart w:id="509" w:name="_Toc304295541"/>
      <w:bookmarkStart w:id="510" w:name="_Toc303539123"/>
      <w:bookmarkStart w:id="511" w:name="_Toc297123514"/>
      <w:bookmarkStart w:id="512" w:name="_Toc297216173"/>
      <w:bookmarkStart w:id="513" w:name="_Toc300934966"/>
      <w:r>
        <w:rPr>
          <w:rFonts w:hint="eastAsia" w:ascii="宋体" w:hAnsi="宋体" w:eastAsia="宋体" w:cs="宋体"/>
          <w:color w:val="auto"/>
          <w:highlight w:val="none"/>
        </w:rPr>
        <w:t>.2 施工进度计划</w:t>
      </w:r>
      <w:bookmarkEnd w:id="500"/>
      <w:bookmarkEnd w:id="501"/>
      <w:bookmarkEnd w:id="502"/>
      <w:bookmarkEnd w:id="503"/>
      <w:bookmarkEnd w:id="504"/>
      <w:bookmarkEnd w:id="505"/>
      <w:bookmarkEnd w:id="506"/>
    </w:p>
    <w:p w14:paraId="41427C0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7.2.2 施工进度计划的修订</w:t>
      </w:r>
    </w:p>
    <w:p w14:paraId="19C588E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发包人和监理人在收到修订的施工进度计划后确认或提出修改意见的期限：</w:t>
      </w:r>
      <w:r>
        <w:rPr>
          <w:rFonts w:hint="eastAsia" w:ascii="宋体" w:hAnsi="宋体" w:eastAsia="宋体" w:cs="宋体"/>
          <w:color w:val="auto"/>
          <w:highlight w:val="none"/>
          <w:u w:val="single"/>
        </w:rPr>
        <w:t xml:space="preserve">自收到承包人提交后7日内  </w:t>
      </w:r>
      <w:r>
        <w:rPr>
          <w:rFonts w:hint="eastAsia" w:ascii="宋体" w:hAnsi="宋体" w:eastAsia="宋体" w:cs="宋体"/>
          <w:color w:val="auto"/>
          <w:highlight w:val="none"/>
        </w:rPr>
        <w:t>。</w:t>
      </w:r>
    </w:p>
    <w:p w14:paraId="15A1E8CC">
      <w:pPr>
        <w:pStyle w:val="4"/>
        <w:rPr>
          <w:rFonts w:hint="eastAsia" w:ascii="宋体" w:hAnsi="宋体" w:eastAsia="宋体" w:cs="宋体"/>
          <w:color w:val="auto"/>
          <w:highlight w:val="none"/>
        </w:rPr>
      </w:pPr>
      <w:bookmarkStart w:id="514" w:name="_Toc373227725"/>
      <w:bookmarkStart w:id="515" w:name="_Toc373478372"/>
      <w:bookmarkStart w:id="516" w:name="_Toc511243351"/>
      <w:bookmarkStart w:id="517" w:name="_Toc389065291"/>
      <w:bookmarkStart w:id="518" w:name="_Toc509760029"/>
      <w:bookmarkStart w:id="519" w:name="_Toc511243577"/>
      <w:bookmarkStart w:id="520" w:name="_Toc465114885"/>
      <w:r>
        <w:rPr>
          <w:rFonts w:hint="eastAsia" w:ascii="宋体" w:hAnsi="宋体" w:eastAsia="宋体" w:cs="宋体"/>
          <w:color w:val="auto"/>
          <w:highlight w:val="none"/>
        </w:rPr>
        <w:t>7.3 开工</w:t>
      </w:r>
      <w:bookmarkEnd w:id="514"/>
      <w:bookmarkEnd w:id="515"/>
      <w:bookmarkEnd w:id="516"/>
      <w:bookmarkEnd w:id="517"/>
      <w:bookmarkEnd w:id="518"/>
      <w:bookmarkEnd w:id="519"/>
      <w:bookmarkEnd w:id="520"/>
    </w:p>
    <w:p w14:paraId="3A531BF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7.3.1 开工准备</w:t>
      </w:r>
    </w:p>
    <w:p w14:paraId="27B1D7F1">
      <w:pPr>
        <w:spacing w:line="360" w:lineRule="auto"/>
        <w:ind w:firstLine="426"/>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关于承包人提交</w:t>
      </w:r>
      <w:r>
        <w:rPr>
          <w:rFonts w:hint="eastAsia" w:ascii="宋体" w:hAnsi="宋体" w:eastAsia="宋体" w:cs="宋体"/>
          <w:color w:val="auto"/>
          <w:kern w:val="0"/>
          <w:highlight w:val="none"/>
        </w:rPr>
        <w:t>工程开工报审表的期限：</w:t>
      </w:r>
      <w:r>
        <w:rPr>
          <w:rFonts w:hint="eastAsia" w:ascii="宋体" w:hAnsi="宋体" w:eastAsia="宋体" w:cs="宋体"/>
          <w:color w:val="auto"/>
          <w:highlight w:val="none"/>
          <w:u w:val="single"/>
        </w:rPr>
        <w:t xml:space="preserve">  开工前7日  </w:t>
      </w:r>
      <w:r>
        <w:rPr>
          <w:rFonts w:hint="eastAsia" w:ascii="宋体" w:hAnsi="宋体" w:eastAsia="宋体" w:cs="宋体"/>
          <w:color w:val="auto"/>
          <w:highlight w:val="none"/>
        </w:rPr>
        <w:t>。</w:t>
      </w:r>
    </w:p>
    <w:p w14:paraId="047BCFFC">
      <w:pPr>
        <w:spacing w:line="360" w:lineRule="auto"/>
        <w:ind w:firstLine="426"/>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关于发包人应完成的其他开工准备工作及期限：</w:t>
      </w:r>
      <w:r>
        <w:rPr>
          <w:rFonts w:hint="eastAsia" w:ascii="宋体" w:hAnsi="宋体" w:eastAsia="宋体" w:cs="宋体"/>
          <w:color w:val="auto"/>
          <w:highlight w:val="none"/>
          <w:u w:val="single"/>
        </w:rPr>
        <w:t xml:space="preserve">开工前7日   </w:t>
      </w:r>
      <w:r>
        <w:rPr>
          <w:rFonts w:hint="eastAsia" w:ascii="宋体" w:hAnsi="宋体" w:eastAsia="宋体" w:cs="宋体"/>
          <w:color w:val="auto"/>
          <w:highlight w:val="none"/>
        </w:rPr>
        <w:t>。</w:t>
      </w:r>
    </w:p>
    <w:p w14:paraId="390644E7">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关于承包人应完成的其他开工准备工作及期限：</w:t>
      </w:r>
      <w:r>
        <w:rPr>
          <w:rFonts w:hint="eastAsia" w:ascii="宋体" w:hAnsi="宋体" w:eastAsia="宋体" w:cs="宋体"/>
          <w:color w:val="auto"/>
          <w:highlight w:val="none"/>
          <w:u w:val="single"/>
        </w:rPr>
        <w:t>开工前7日</w:t>
      </w:r>
      <w:r>
        <w:rPr>
          <w:rFonts w:hint="eastAsia" w:ascii="宋体" w:hAnsi="宋体" w:eastAsia="宋体" w:cs="宋体"/>
          <w:color w:val="auto"/>
          <w:highlight w:val="none"/>
        </w:rPr>
        <w:t>。</w:t>
      </w:r>
    </w:p>
    <w:p w14:paraId="61FFCD8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7.3.2 开工通知</w:t>
      </w:r>
    </w:p>
    <w:p w14:paraId="1CC200C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因发包人原因造成监理人未能在计划开工日期之日起</w:t>
      </w:r>
      <w:r>
        <w:rPr>
          <w:rFonts w:hint="eastAsia" w:ascii="宋体" w:hAnsi="宋体" w:eastAsia="宋体" w:cs="宋体"/>
          <w:color w:val="auto"/>
          <w:highlight w:val="none"/>
          <w:u w:val="single"/>
        </w:rPr>
        <w:t xml:space="preserve"> 14 </w:t>
      </w:r>
      <w:r>
        <w:rPr>
          <w:rFonts w:hint="eastAsia" w:ascii="宋体" w:hAnsi="宋体" w:eastAsia="宋体" w:cs="宋体"/>
          <w:color w:val="auto"/>
          <w:highlight w:val="none"/>
        </w:rPr>
        <w:t>天内发出开工通知的，承包人有权提出价格调整要求，或者解除合同。</w:t>
      </w:r>
    </w:p>
    <w:bookmarkEnd w:id="507"/>
    <w:bookmarkEnd w:id="508"/>
    <w:bookmarkEnd w:id="509"/>
    <w:bookmarkEnd w:id="510"/>
    <w:bookmarkEnd w:id="511"/>
    <w:bookmarkEnd w:id="512"/>
    <w:bookmarkEnd w:id="513"/>
    <w:p w14:paraId="27132E1C">
      <w:pPr>
        <w:pStyle w:val="4"/>
        <w:rPr>
          <w:rFonts w:hint="eastAsia" w:ascii="宋体" w:hAnsi="宋体" w:eastAsia="宋体" w:cs="宋体"/>
          <w:color w:val="auto"/>
          <w:highlight w:val="none"/>
        </w:rPr>
      </w:pPr>
      <w:bookmarkStart w:id="521" w:name="_Toc511243578"/>
      <w:bookmarkStart w:id="522" w:name="_Toc511243352"/>
      <w:bookmarkStart w:id="523" w:name="_Toc389065292"/>
      <w:bookmarkStart w:id="524" w:name="_Toc509760030"/>
      <w:bookmarkStart w:id="525" w:name="_Toc465114886"/>
      <w:bookmarkStart w:id="526" w:name="_Toc373478373"/>
      <w:bookmarkStart w:id="527" w:name="_Toc373227726"/>
      <w:r>
        <w:rPr>
          <w:rFonts w:hint="eastAsia" w:ascii="宋体" w:hAnsi="宋体" w:eastAsia="宋体" w:cs="宋体"/>
          <w:color w:val="auto"/>
          <w:highlight w:val="none"/>
        </w:rPr>
        <w:t>7.4 测量放线</w:t>
      </w:r>
      <w:bookmarkEnd w:id="521"/>
      <w:bookmarkEnd w:id="522"/>
      <w:bookmarkEnd w:id="523"/>
      <w:bookmarkEnd w:id="524"/>
      <w:bookmarkEnd w:id="525"/>
      <w:bookmarkEnd w:id="526"/>
      <w:bookmarkEnd w:id="527"/>
    </w:p>
    <w:p w14:paraId="6249543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7.4.1发包人通过监理人向承包人提供测量基准点、基准线和水准点及其书面资料的期限：</w:t>
      </w:r>
    </w:p>
    <w:p w14:paraId="14E57D05">
      <w:pPr>
        <w:spacing w:line="360" w:lineRule="auto"/>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开工前7日  </w:t>
      </w:r>
      <w:r>
        <w:rPr>
          <w:rFonts w:hint="eastAsia" w:ascii="宋体" w:hAnsi="宋体" w:eastAsia="宋体" w:cs="宋体"/>
          <w:color w:val="auto"/>
          <w:highlight w:val="none"/>
        </w:rPr>
        <w:t>。</w:t>
      </w:r>
    </w:p>
    <w:p w14:paraId="3DDE4A76">
      <w:pPr>
        <w:pStyle w:val="4"/>
        <w:rPr>
          <w:rFonts w:hint="eastAsia" w:ascii="宋体" w:hAnsi="宋体" w:eastAsia="宋体" w:cs="宋体"/>
          <w:color w:val="auto"/>
          <w:highlight w:val="none"/>
        </w:rPr>
      </w:pPr>
      <w:bookmarkStart w:id="528" w:name="_Toc389065293"/>
      <w:bookmarkStart w:id="529" w:name="_Toc465114887"/>
      <w:bookmarkStart w:id="530" w:name="_Toc373478374"/>
      <w:bookmarkStart w:id="531" w:name="_Toc511243353"/>
      <w:bookmarkStart w:id="532" w:name="_Toc511243579"/>
      <w:bookmarkStart w:id="533" w:name="_Toc373227727"/>
      <w:bookmarkStart w:id="534" w:name="_Toc509760031"/>
      <w:r>
        <w:rPr>
          <w:rFonts w:hint="eastAsia" w:ascii="宋体" w:hAnsi="宋体" w:eastAsia="宋体" w:cs="宋体"/>
          <w:color w:val="auto"/>
          <w:highlight w:val="none"/>
        </w:rPr>
        <w:t>7</w:t>
      </w:r>
      <w:bookmarkStart w:id="535" w:name="_Toc304295546"/>
      <w:bookmarkStart w:id="536" w:name="_Toc312677484"/>
      <w:bookmarkStart w:id="537" w:name="_Toc312678010"/>
      <w:bookmarkStart w:id="538" w:name="_Toc303539125"/>
      <w:bookmarkStart w:id="539" w:name="_Toc297216175"/>
      <w:bookmarkStart w:id="540" w:name="_Toc297123516"/>
      <w:bookmarkStart w:id="541" w:name="_Toc300934968"/>
      <w:r>
        <w:rPr>
          <w:rFonts w:hint="eastAsia" w:ascii="宋体" w:hAnsi="宋体" w:eastAsia="宋体" w:cs="宋体"/>
          <w:color w:val="auto"/>
          <w:highlight w:val="none"/>
        </w:rPr>
        <w:t>.5 工期延误</w:t>
      </w:r>
      <w:bookmarkEnd w:id="528"/>
      <w:bookmarkEnd w:id="529"/>
      <w:bookmarkEnd w:id="530"/>
      <w:bookmarkEnd w:id="531"/>
      <w:bookmarkEnd w:id="532"/>
      <w:bookmarkEnd w:id="533"/>
      <w:bookmarkEnd w:id="534"/>
    </w:p>
    <w:bookmarkEnd w:id="535"/>
    <w:bookmarkEnd w:id="536"/>
    <w:bookmarkEnd w:id="537"/>
    <w:bookmarkEnd w:id="538"/>
    <w:bookmarkEnd w:id="539"/>
    <w:bookmarkEnd w:id="540"/>
    <w:bookmarkEnd w:id="541"/>
    <w:p w14:paraId="7B27A19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7.5.1 因发包人原因导致工期延误</w:t>
      </w:r>
    </w:p>
    <w:p w14:paraId="7BB7F4BE">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（7）因发包人原因导致工期延误的其他情形：</w:t>
      </w:r>
      <w:r>
        <w:rPr>
          <w:rFonts w:hint="eastAsia" w:ascii="宋体" w:hAnsi="宋体" w:eastAsia="宋体" w:cs="宋体"/>
          <w:color w:val="auto"/>
          <w:highlight w:val="none"/>
          <w:u w:val="single"/>
        </w:rPr>
        <w:t xml:space="preserve">  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eastAsia="宋体" w:cs="宋体"/>
          <w:color w:val="auto"/>
          <w:highlight w:val="none"/>
        </w:rPr>
        <w:t xml:space="preserve">                                           </w:t>
      </w:r>
    </w:p>
    <w:p w14:paraId="20EA046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w:t>
      </w:r>
      <w:bookmarkStart w:id="542" w:name="_Toc312678012"/>
      <w:bookmarkStart w:id="543" w:name="_Toc312677486"/>
      <w:bookmarkStart w:id="544" w:name="_Toc318581169"/>
      <w:bookmarkStart w:id="545" w:name="_Toc304295548"/>
      <w:bookmarkStart w:id="546" w:name="_Toc300934970"/>
      <w:bookmarkStart w:id="547" w:name="_Toc303539127"/>
      <w:bookmarkStart w:id="548" w:name="_Toc297216177"/>
      <w:bookmarkStart w:id="549" w:name="_Toc297123518"/>
      <w:r>
        <w:rPr>
          <w:rFonts w:hint="eastAsia" w:ascii="宋体" w:hAnsi="宋体" w:eastAsia="宋体" w:cs="宋体"/>
          <w:color w:val="auto"/>
          <w:highlight w:val="none"/>
        </w:rPr>
        <w:t>.5.2 因承包人原因导致工期延误</w:t>
      </w:r>
    </w:p>
    <w:bookmarkEnd w:id="542"/>
    <w:bookmarkEnd w:id="543"/>
    <w:bookmarkEnd w:id="544"/>
    <w:p w14:paraId="2B2E6ED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双方约定经监理工程师确认，工期相应顺延的情况：</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0B1700D">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因</w:t>
      </w:r>
      <w:bookmarkStart w:id="550" w:name="_Toc312678013"/>
      <w:bookmarkStart w:id="551" w:name="_Toc312677487"/>
      <w:bookmarkStart w:id="552" w:name="_Toc318581170"/>
      <w:r>
        <w:rPr>
          <w:rFonts w:hint="eastAsia" w:ascii="宋体" w:hAnsi="宋体" w:eastAsia="宋体" w:cs="宋体"/>
          <w:color w:val="auto"/>
          <w:highlight w:val="none"/>
        </w:rPr>
        <w:t>承包人原因造成工期延误，逾期竣工违约金的计算方法为：</w:t>
      </w:r>
      <w:r>
        <w:rPr>
          <w:rFonts w:hint="eastAsia" w:ascii="宋体" w:hAnsi="宋体" w:eastAsia="宋体" w:cs="宋体"/>
          <w:color w:val="auto"/>
          <w:highlight w:val="none"/>
          <w:u w:val="single"/>
        </w:rPr>
        <w:t xml:space="preserve">非上述原因，承包人不能按合同约定的时间竣工，承包人应承担违约责任。应向发包人支付误期赔偿费（赔偿费按逾期竣工的单栋工程罚款，每延误一天,按该栋工程结算造价扣除建安劳保费、发包人材料设备价款、暂估专业工程、暂列金额后的万分之一处罚,罚款直接从结算款中扣除。），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bookmarkEnd w:id="545"/>
    <w:bookmarkEnd w:id="546"/>
    <w:bookmarkEnd w:id="547"/>
    <w:bookmarkEnd w:id="548"/>
    <w:bookmarkEnd w:id="549"/>
    <w:bookmarkEnd w:id="550"/>
    <w:bookmarkEnd w:id="551"/>
    <w:bookmarkEnd w:id="552"/>
    <w:p w14:paraId="2978C74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因承包人原因造成工期延误，逾</w:t>
      </w:r>
      <w:bookmarkStart w:id="553" w:name="_Toc318581171"/>
      <w:bookmarkStart w:id="554" w:name="_Toc312678014"/>
      <w:r>
        <w:rPr>
          <w:rFonts w:hint="eastAsia" w:ascii="宋体" w:hAnsi="宋体" w:eastAsia="宋体" w:cs="宋体"/>
          <w:color w:val="auto"/>
          <w:highlight w:val="none"/>
        </w:rPr>
        <w:t>期竣工违约金的上限：</w:t>
      </w:r>
      <w:r>
        <w:rPr>
          <w:rFonts w:hint="eastAsia" w:ascii="宋体" w:hAnsi="宋体" w:eastAsia="宋体" w:cs="宋体"/>
          <w:color w:val="auto"/>
          <w:highlight w:val="none"/>
          <w:u w:val="single"/>
        </w:rPr>
        <w:t>逾期竣工的单位工程结算造价扣除建安劳保费、发包人材料设备价款、暂估专业工程、暂列金额后的5%</w:t>
      </w:r>
      <w:r>
        <w:rPr>
          <w:rFonts w:hint="eastAsia" w:ascii="宋体" w:hAnsi="宋体" w:eastAsia="宋体" w:cs="宋体"/>
          <w:color w:val="auto"/>
          <w:highlight w:val="none"/>
        </w:rPr>
        <w:t>。</w:t>
      </w:r>
    </w:p>
    <w:bookmarkEnd w:id="553"/>
    <w:bookmarkEnd w:id="554"/>
    <w:p w14:paraId="5CA023D1">
      <w:pPr>
        <w:spacing w:line="360" w:lineRule="auto"/>
        <w:ind w:firstLine="420" w:firstLineChars="200"/>
        <w:jc w:val="left"/>
        <w:rPr>
          <w:rFonts w:hint="eastAsia" w:ascii="宋体" w:hAnsi="宋体" w:eastAsia="宋体" w:cs="宋体"/>
          <w:color w:val="auto"/>
          <w:highlight w:val="none"/>
        </w:rPr>
      </w:pPr>
      <w:bookmarkStart w:id="555" w:name="_Toc373478375"/>
      <w:bookmarkStart w:id="556" w:name="_Toc389065294"/>
      <w:bookmarkStart w:id="557" w:name="_Toc373227728"/>
      <w:r>
        <w:rPr>
          <w:rFonts w:hint="eastAsia" w:ascii="宋体" w:hAnsi="宋体" w:eastAsia="宋体" w:cs="宋体"/>
          <w:color w:val="auto"/>
          <w:highlight w:val="none"/>
        </w:rPr>
        <w:t>7</w:t>
      </w:r>
      <w:bookmarkStart w:id="558" w:name="_Toc304295549"/>
      <w:bookmarkStart w:id="559" w:name="_Toc312678015"/>
      <w:bookmarkStart w:id="560" w:name="_Toc297123519"/>
      <w:bookmarkStart w:id="561" w:name="_Toc297216178"/>
      <w:bookmarkStart w:id="562" w:name="_Toc300934971"/>
      <w:bookmarkStart w:id="563" w:name="_Toc303539128"/>
      <w:r>
        <w:rPr>
          <w:rFonts w:hint="eastAsia" w:ascii="宋体" w:hAnsi="宋体" w:eastAsia="宋体" w:cs="宋体"/>
          <w:color w:val="auto"/>
          <w:highlight w:val="none"/>
        </w:rPr>
        <w:t>.6 不</w:t>
      </w:r>
      <w:bookmarkEnd w:id="558"/>
      <w:bookmarkEnd w:id="559"/>
      <w:bookmarkEnd w:id="560"/>
      <w:bookmarkEnd w:id="561"/>
      <w:bookmarkEnd w:id="562"/>
      <w:bookmarkEnd w:id="563"/>
      <w:r>
        <w:rPr>
          <w:rFonts w:hint="eastAsia" w:ascii="宋体" w:hAnsi="宋体" w:eastAsia="宋体" w:cs="宋体"/>
          <w:color w:val="auto"/>
          <w:highlight w:val="none"/>
        </w:rPr>
        <w:t>利物质条件</w:t>
      </w:r>
      <w:bookmarkEnd w:id="555"/>
      <w:bookmarkEnd w:id="556"/>
      <w:bookmarkEnd w:id="557"/>
    </w:p>
    <w:p w14:paraId="714A8950">
      <w:pPr>
        <w:spacing w:line="360" w:lineRule="auto"/>
        <w:ind w:firstLine="420" w:firstLineChars="200"/>
        <w:jc w:val="left"/>
        <w:rPr>
          <w:rFonts w:hint="eastAsia" w:ascii="宋体" w:hAnsi="宋体" w:eastAsia="宋体" w:cs="宋体"/>
          <w:color w:val="auto"/>
          <w:highlight w:val="none"/>
          <w:u w:val="single"/>
        </w:rPr>
      </w:pPr>
      <w:bookmarkStart w:id="564" w:name="_Toc297216179"/>
      <w:bookmarkStart w:id="565" w:name="_Toc297123520"/>
      <w:bookmarkStart w:id="566" w:name="_Toc304295550"/>
      <w:bookmarkStart w:id="567" w:name="_Toc318581172"/>
      <w:bookmarkStart w:id="568" w:name="_Toc300934972"/>
      <w:bookmarkStart w:id="569" w:name="_Toc312678016"/>
      <w:bookmarkStart w:id="570" w:name="_Toc303539129"/>
      <w:r>
        <w:rPr>
          <w:rFonts w:hint="eastAsia" w:ascii="宋体" w:hAnsi="宋体" w:eastAsia="宋体" w:cs="宋体"/>
          <w:color w:val="auto"/>
          <w:highlight w:val="none"/>
        </w:rPr>
        <w:t>不利物质条件的其他情形和有关约定：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564"/>
    <w:bookmarkEnd w:id="565"/>
    <w:bookmarkEnd w:id="566"/>
    <w:bookmarkEnd w:id="567"/>
    <w:bookmarkEnd w:id="568"/>
    <w:bookmarkEnd w:id="569"/>
    <w:bookmarkEnd w:id="570"/>
    <w:p w14:paraId="1490FA88">
      <w:pPr>
        <w:pStyle w:val="4"/>
        <w:rPr>
          <w:rFonts w:hint="eastAsia" w:ascii="宋体" w:hAnsi="宋体" w:eastAsia="宋体" w:cs="宋体"/>
          <w:color w:val="auto"/>
          <w:highlight w:val="none"/>
        </w:rPr>
      </w:pPr>
      <w:bookmarkStart w:id="571" w:name="_Toc373227729"/>
      <w:bookmarkStart w:id="572" w:name="_Toc373478376"/>
      <w:bookmarkStart w:id="573" w:name="_Toc511243354"/>
      <w:bookmarkStart w:id="574" w:name="_Toc509760032"/>
      <w:bookmarkStart w:id="575" w:name="_Toc389065295"/>
      <w:bookmarkStart w:id="576" w:name="_Toc465114888"/>
      <w:bookmarkStart w:id="577" w:name="_Toc511243580"/>
      <w:r>
        <w:rPr>
          <w:rFonts w:hint="eastAsia" w:ascii="宋体" w:hAnsi="宋体" w:eastAsia="宋体" w:cs="宋体"/>
          <w:color w:val="auto"/>
          <w:highlight w:val="none"/>
        </w:rPr>
        <w:t>7</w:t>
      </w:r>
      <w:bookmarkStart w:id="578" w:name="_Toc297123521"/>
      <w:bookmarkStart w:id="579" w:name="_Toc304295551"/>
      <w:bookmarkStart w:id="580" w:name="_Toc297216180"/>
      <w:bookmarkStart w:id="581" w:name="_Toc312678017"/>
      <w:bookmarkStart w:id="582" w:name="_Toc303539130"/>
      <w:bookmarkStart w:id="583" w:name="_Toc300934973"/>
      <w:r>
        <w:rPr>
          <w:rFonts w:hint="eastAsia" w:ascii="宋体" w:hAnsi="宋体" w:eastAsia="宋体" w:cs="宋体"/>
          <w:color w:val="auto"/>
          <w:highlight w:val="none"/>
        </w:rPr>
        <w:t>.7 异常恶劣的气候条件</w:t>
      </w:r>
      <w:bookmarkEnd w:id="571"/>
      <w:bookmarkEnd w:id="572"/>
      <w:bookmarkEnd w:id="573"/>
      <w:bookmarkEnd w:id="574"/>
      <w:bookmarkEnd w:id="575"/>
      <w:bookmarkEnd w:id="576"/>
      <w:bookmarkEnd w:id="577"/>
    </w:p>
    <w:bookmarkEnd w:id="578"/>
    <w:bookmarkEnd w:id="579"/>
    <w:bookmarkEnd w:id="580"/>
    <w:bookmarkEnd w:id="581"/>
    <w:bookmarkEnd w:id="582"/>
    <w:bookmarkEnd w:id="583"/>
    <w:p w14:paraId="3B8569D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发包人和承包人同意以下情形视为异常恶劣的气候条件：</w:t>
      </w:r>
    </w:p>
    <w:p w14:paraId="2F5E9C24">
      <w:pPr>
        <w:pStyle w:val="21"/>
        <w:spacing w:line="360" w:lineRule="auto"/>
        <w:ind w:firstLine="315" w:firstLineChars="150"/>
        <w:jc w:val="left"/>
        <w:rPr>
          <w:rFonts w:hint="eastAsia" w:ascii="宋体" w:hAnsi="宋体" w:eastAsia="宋体" w:cs="宋体"/>
          <w:color w:val="auto"/>
          <w:highlight w:val="none"/>
          <w:u w:val="single"/>
        </w:rPr>
      </w:pPr>
      <w:bookmarkStart w:id="584" w:name="_Toc465114889"/>
      <w:bookmarkStart w:id="585" w:name="_Toc389065296"/>
      <w:bookmarkStart w:id="586" w:name="_Toc373478377"/>
      <w:bookmarkStart w:id="587" w:name="_Toc373227730"/>
      <w:r>
        <w:rPr>
          <w:rFonts w:hint="eastAsia" w:ascii="宋体" w:hAnsi="宋体" w:eastAsia="宋体" w:cs="宋体"/>
          <w:color w:val="auto"/>
          <w:highlight w:val="none"/>
          <w:u w:val="single"/>
        </w:rPr>
        <w:t>（1）日降雨量大于100㎜的雨日超过2天；</w:t>
      </w:r>
    </w:p>
    <w:p w14:paraId="2FAE7898">
      <w:pPr>
        <w:pStyle w:val="24"/>
        <w:spacing w:line="360" w:lineRule="auto"/>
        <w:ind w:firstLine="367" w:firstLineChars="175"/>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（2）8级以上的持续1日的大风；</w:t>
      </w:r>
    </w:p>
    <w:p w14:paraId="7BD6C3A2">
      <w:pPr>
        <w:pStyle w:val="24"/>
        <w:spacing w:line="360" w:lineRule="auto"/>
        <w:ind w:firstLine="367" w:firstLineChars="175"/>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（3）日气温超过40 ℃的高温大于2天；</w:t>
      </w:r>
    </w:p>
    <w:p w14:paraId="56FC08FC">
      <w:pPr>
        <w:pStyle w:val="24"/>
        <w:spacing w:line="360" w:lineRule="auto"/>
        <w:ind w:firstLine="367" w:firstLineChars="175"/>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（4）日气温低于-10℃的严寒大于2天；</w:t>
      </w:r>
    </w:p>
    <w:p w14:paraId="4AF0D3E5">
      <w:pPr>
        <w:pStyle w:val="24"/>
        <w:spacing w:line="360" w:lineRule="auto"/>
        <w:ind w:firstLine="367" w:firstLineChars="175"/>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（5）造成工程损坏的冰雹和大雪灾害；</w:t>
      </w:r>
    </w:p>
    <w:p w14:paraId="48310EEE">
      <w:pPr>
        <w:pStyle w:val="24"/>
        <w:spacing w:line="360" w:lineRule="auto"/>
        <w:ind w:firstLine="367" w:firstLineChars="175"/>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（6）6 级以上的地震；</w:t>
      </w:r>
    </w:p>
    <w:p w14:paraId="7A962473">
      <w:pPr>
        <w:pStyle w:val="24"/>
        <w:spacing w:line="360" w:lineRule="auto"/>
        <w:ind w:firstLine="367" w:firstLineChars="175"/>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（7）10 年一遇及以上的洪水；</w:t>
      </w:r>
    </w:p>
    <w:p w14:paraId="4ABBEC1A">
      <w:pPr>
        <w:pStyle w:val="24"/>
        <w:spacing w:line="360" w:lineRule="auto"/>
        <w:ind w:firstLine="367" w:firstLineChars="175"/>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（8）其他异常恶劣气候灾害。</w:t>
      </w:r>
    </w:p>
    <w:p w14:paraId="715D85B6">
      <w:pPr>
        <w:pStyle w:val="4"/>
        <w:rPr>
          <w:rFonts w:hint="eastAsia" w:ascii="宋体" w:hAnsi="宋体" w:eastAsia="宋体" w:cs="宋体"/>
          <w:color w:val="auto"/>
          <w:highlight w:val="none"/>
        </w:rPr>
      </w:pPr>
      <w:bookmarkStart w:id="588" w:name="_Toc509760033"/>
      <w:bookmarkStart w:id="589" w:name="_Toc511243355"/>
      <w:bookmarkStart w:id="590" w:name="_Toc511243581"/>
      <w:r>
        <w:rPr>
          <w:rFonts w:hint="eastAsia" w:ascii="宋体" w:hAnsi="宋体" w:eastAsia="宋体" w:cs="宋体"/>
          <w:color w:val="auto"/>
          <w:highlight w:val="none"/>
        </w:rPr>
        <w:t>7.9 提前竣工</w:t>
      </w:r>
      <w:bookmarkEnd w:id="584"/>
      <w:bookmarkEnd w:id="585"/>
      <w:bookmarkEnd w:id="586"/>
      <w:bookmarkEnd w:id="587"/>
      <w:bookmarkEnd w:id="588"/>
      <w:bookmarkEnd w:id="589"/>
      <w:bookmarkEnd w:id="590"/>
    </w:p>
    <w:p w14:paraId="19858F5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7.9.2提前竣工（赶工）增加费的计算方法：</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F326082">
      <w:pPr>
        <w:pStyle w:val="3"/>
        <w:rPr>
          <w:rFonts w:hint="eastAsia" w:ascii="宋体" w:hAnsi="宋体" w:eastAsia="宋体" w:cs="宋体"/>
          <w:color w:val="auto"/>
          <w:highlight w:val="none"/>
        </w:rPr>
      </w:pPr>
      <w:bookmarkStart w:id="591" w:name="_Toc465114890"/>
      <w:bookmarkStart w:id="592" w:name="_Toc511243356"/>
      <w:bookmarkStart w:id="593" w:name="_Toc373478378"/>
      <w:bookmarkStart w:id="594" w:name="_Toc509760034"/>
      <w:bookmarkStart w:id="595" w:name="_Toc351203640"/>
      <w:bookmarkStart w:id="596" w:name="_Toc373227731"/>
      <w:bookmarkStart w:id="597" w:name="_Toc511243582"/>
      <w:bookmarkStart w:id="598" w:name="_Toc389065297"/>
      <w:r>
        <w:rPr>
          <w:rFonts w:hint="eastAsia" w:ascii="宋体" w:hAnsi="宋体" w:eastAsia="宋体" w:cs="宋体"/>
          <w:color w:val="auto"/>
          <w:highlight w:val="none"/>
        </w:rPr>
        <w:t>8. 材料与设备</w:t>
      </w:r>
      <w:bookmarkEnd w:id="591"/>
      <w:bookmarkEnd w:id="592"/>
      <w:bookmarkEnd w:id="593"/>
      <w:bookmarkEnd w:id="594"/>
      <w:bookmarkEnd w:id="595"/>
      <w:bookmarkEnd w:id="596"/>
      <w:bookmarkEnd w:id="597"/>
      <w:bookmarkEnd w:id="598"/>
    </w:p>
    <w:bookmarkEnd w:id="443"/>
    <w:bookmarkEnd w:id="444"/>
    <w:bookmarkEnd w:id="445"/>
    <w:bookmarkEnd w:id="446"/>
    <w:bookmarkEnd w:id="447"/>
    <w:bookmarkEnd w:id="448"/>
    <w:bookmarkEnd w:id="449"/>
    <w:bookmarkEnd w:id="450"/>
    <w:bookmarkEnd w:id="451"/>
    <w:bookmarkEnd w:id="452"/>
    <w:p w14:paraId="46685209">
      <w:pPr>
        <w:pStyle w:val="4"/>
        <w:rPr>
          <w:rFonts w:hint="eastAsia" w:ascii="宋体" w:hAnsi="宋体" w:eastAsia="宋体" w:cs="宋体"/>
          <w:color w:val="auto"/>
          <w:highlight w:val="none"/>
        </w:rPr>
      </w:pPr>
      <w:bookmarkStart w:id="599" w:name="_Toc511243357"/>
      <w:bookmarkStart w:id="600" w:name="_Toc511243583"/>
      <w:bookmarkStart w:id="601" w:name="_Toc373478379"/>
      <w:bookmarkStart w:id="602" w:name="_Toc465114891"/>
      <w:bookmarkStart w:id="603" w:name="_Toc509760035"/>
      <w:bookmarkStart w:id="604" w:name="_Toc389065298"/>
      <w:bookmarkStart w:id="605" w:name="_Toc373227732"/>
      <w:r>
        <w:rPr>
          <w:rFonts w:hint="eastAsia" w:ascii="宋体" w:hAnsi="宋体" w:eastAsia="宋体" w:cs="宋体"/>
          <w:color w:val="auto"/>
          <w:highlight w:val="none"/>
        </w:rPr>
        <w:t>8.2 承包人采购材料与工程设备</w:t>
      </w:r>
      <w:bookmarkEnd w:id="599"/>
      <w:bookmarkEnd w:id="600"/>
      <w:bookmarkEnd w:id="601"/>
      <w:bookmarkEnd w:id="602"/>
      <w:bookmarkEnd w:id="603"/>
      <w:bookmarkEnd w:id="604"/>
      <w:bookmarkEnd w:id="605"/>
    </w:p>
    <w:p w14:paraId="66ACFC2F">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除已标价工程量清单《发包人提供主要材料和工程设备一览表》（表-21）中明确的材料、工程设备外，由承包人负责材料和工程设备的采购、运输和保管。《</w:t>
      </w:r>
      <w:r>
        <w:rPr>
          <w:rFonts w:hint="eastAsia" w:ascii="宋体" w:hAnsi="宋体" w:eastAsia="宋体" w:cs="宋体"/>
          <w:color w:val="auto"/>
          <w:highlight w:val="none"/>
        </w:rPr>
        <w:t>承包人提供主要材料和工程设备一览表》</w:t>
      </w:r>
      <w:r>
        <w:rPr>
          <w:rFonts w:hint="eastAsia" w:ascii="宋体" w:hAnsi="宋体" w:eastAsia="宋体" w:cs="宋体"/>
          <w:color w:val="auto"/>
          <w:kern w:val="0"/>
          <w:highlight w:val="none"/>
        </w:rPr>
        <w:t>（表-22）见已标价工程量清单。</w:t>
      </w:r>
    </w:p>
    <w:p w14:paraId="39E312C6">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1E1AB145">
      <w:pPr>
        <w:pStyle w:val="4"/>
        <w:rPr>
          <w:rFonts w:hint="eastAsia" w:ascii="宋体" w:hAnsi="宋体" w:eastAsia="宋体" w:cs="宋体"/>
          <w:color w:val="auto"/>
          <w:highlight w:val="none"/>
        </w:rPr>
      </w:pPr>
      <w:bookmarkStart w:id="606" w:name="_Toc389065299"/>
      <w:bookmarkStart w:id="607" w:name="_Toc511243358"/>
      <w:bookmarkStart w:id="608" w:name="_Toc511243584"/>
      <w:bookmarkStart w:id="609" w:name="_Toc373227733"/>
      <w:bookmarkStart w:id="610" w:name="_Toc465114892"/>
      <w:bookmarkStart w:id="611" w:name="_Toc373478380"/>
      <w:bookmarkStart w:id="612" w:name="_Toc509760036"/>
      <w:r>
        <w:rPr>
          <w:rFonts w:hint="eastAsia" w:ascii="宋体" w:hAnsi="宋体" w:eastAsia="宋体" w:cs="宋体"/>
          <w:color w:val="auto"/>
          <w:highlight w:val="none"/>
        </w:rPr>
        <w:t>8</w:t>
      </w:r>
      <w:bookmarkStart w:id="613" w:name="_Toc312678019"/>
      <w:bookmarkStart w:id="614" w:name="_Toc296890995"/>
      <w:bookmarkStart w:id="615" w:name="_Toc280868654"/>
      <w:bookmarkStart w:id="616" w:name="_Toc304295556"/>
      <w:bookmarkStart w:id="617" w:name="_Toc292559877"/>
      <w:bookmarkStart w:id="618" w:name="_Toc297048353"/>
      <w:bookmarkStart w:id="619" w:name="_Toc292559372"/>
      <w:bookmarkStart w:id="620" w:name="_Toc312677493"/>
      <w:bookmarkStart w:id="621" w:name="_Toc297123527"/>
      <w:bookmarkStart w:id="622" w:name="_Toc297120467"/>
      <w:bookmarkStart w:id="623" w:name="_Toc300934979"/>
      <w:bookmarkStart w:id="624" w:name="_Toc296346668"/>
      <w:bookmarkStart w:id="625" w:name="_Toc297216186"/>
      <w:bookmarkStart w:id="626" w:name="_Toc296347166"/>
      <w:bookmarkStart w:id="627" w:name="_Toc296891207"/>
      <w:bookmarkStart w:id="628" w:name="_Toc296503167"/>
      <w:bookmarkStart w:id="629" w:name="_Toc296944506"/>
      <w:bookmarkStart w:id="630" w:name="_Toc303539136"/>
      <w:bookmarkStart w:id="631" w:name="_Toc280868655"/>
      <w:bookmarkStart w:id="632" w:name="_Toc267251424"/>
      <w:bookmarkStart w:id="633" w:name="_Toc280868656"/>
      <w:r>
        <w:rPr>
          <w:rFonts w:hint="eastAsia" w:ascii="宋体" w:hAnsi="宋体" w:eastAsia="宋体" w:cs="宋体"/>
          <w:color w:val="auto"/>
          <w:highlight w:val="none"/>
        </w:rPr>
        <w:t>.4 材料与工程设备的保管与使用</w:t>
      </w:r>
      <w:bookmarkEnd w:id="606"/>
      <w:bookmarkEnd w:id="607"/>
      <w:bookmarkEnd w:id="608"/>
      <w:bookmarkEnd w:id="609"/>
      <w:bookmarkEnd w:id="610"/>
      <w:bookmarkEnd w:id="611"/>
      <w:bookmarkEnd w:id="612"/>
    </w:p>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14:paraId="6BE238FB">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8</w:t>
      </w:r>
      <w:bookmarkStart w:id="634" w:name="_Toc292559373"/>
      <w:bookmarkStart w:id="635" w:name="_Toc292559878"/>
      <w:bookmarkStart w:id="636" w:name="_Toc312678020"/>
      <w:bookmarkStart w:id="637" w:name="_Toc300934980"/>
      <w:bookmarkStart w:id="638" w:name="_Toc297123528"/>
      <w:bookmarkStart w:id="639" w:name="_Toc296891208"/>
      <w:bookmarkStart w:id="640" w:name="_Toc297216187"/>
      <w:bookmarkStart w:id="641" w:name="_Toc296347167"/>
      <w:bookmarkStart w:id="642" w:name="_Toc304295557"/>
      <w:bookmarkStart w:id="643" w:name="_Toc297120468"/>
      <w:bookmarkStart w:id="644" w:name="_Toc312677494"/>
      <w:bookmarkStart w:id="645" w:name="_Toc303539137"/>
      <w:bookmarkStart w:id="646" w:name="_Toc318581173"/>
      <w:bookmarkStart w:id="647" w:name="_Toc296503168"/>
      <w:bookmarkStart w:id="648" w:name="_Toc296944507"/>
      <w:bookmarkStart w:id="649" w:name="_Toc296890996"/>
      <w:bookmarkStart w:id="650" w:name="_Toc296346669"/>
      <w:bookmarkStart w:id="651" w:name="_Toc297048354"/>
      <w:r>
        <w:rPr>
          <w:rFonts w:hint="eastAsia" w:ascii="宋体" w:hAnsi="宋体" w:eastAsia="宋体" w:cs="宋体"/>
          <w:color w:val="auto"/>
          <w:highlight w:val="none"/>
        </w:rPr>
        <w:t>.4.1发包人供应的材料设备的保管费用的承担：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634"/>
    <w:bookmarkEnd w:id="635"/>
    <w:p w14:paraId="5BDD7B50">
      <w:pPr>
        <w:pStyle w:val="4"/>
        <w:rPr>
          <w:rFonts w:hint="eastAsia" w:ascii="宋体" w:hAnsi="宋体" w:eastAsia="宋体" w:cs="宋体"/>
          <w:color w:val="auto"/>
          <w:highlight w:val="none"/>
        </w:rPr>
      </w:pPr>
      <w:bookmarkStart w:id="652" w:name="_Toc509760037"/>
      <w:bookmarkStart w:id="653" w:name="_Toc465114893"/>
      <w:bookmarkStart w:id="654" w:name="_Toc373478381"/>
      <w:bookmarkStart w:id="655" w:name="_Toc511243359"/>
      <w:bookmarkStart w:id="656" w:name="_Toc373227734"/>
      <w:bookmarkStart w:id="657" w:name="_Toc511243585"/>
      <w:bookmarkStart w:id="658" w:name="_Toc389065300"/>
      <w:r>
        <w:rPr>
          <w:rFonts w:hint="eastAsia" w:ascii="宋体" w:hAnsi="宋体" w:eastAsia="宋体" w:cs="宋体"/>
          <w:color w:val="auto"/>
          <w:highlight w:val="none"/>
        </w:rPr>
        <w:t>8.6 样品</w:t>
      </w:r>
      <w:bookmarkEnd w:id="652"/>
      <w:bookmarkEnd w:id="653"/>
      <w:bookmarkEnd w:id="654"/>
      <w:bookmarkEnd w:id="655"/>
      <w:bookmarkEnd w:id="656"/>
      <w:bookmarkEnd w:id="657"/>
      <w:bookmarkEnd w:id="658"/>
    </w:p>
    <w:p w14:paraId="5D01F4DF">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8.6.1 样品的报送与封存</w:t>
      </w:r>
    </w:p>
    <w:p w14:paraId="009E8D29">
      <w:pPr>
        <w:autoSpaceDE w:val="0"/>
        <w:autoSpaceDN w:val="0"/>
        <w:adjustRightInd w:val="0"/>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需要承包人报送样品的材料或工程设备，样品的种类、名称、规格、数量要求：</w:t>
      </w:r>
      <w:r>
        <w:rPr>
          <w:rFonts w:hint="eastAsia" w:ascii="宋体" w:hAnsi="宋体" w:eastAsia="宋体" w:cs="宋体"/>
          <w:color w:val="auto"/>
          <w:highlight w:val="none"/>
          <w:u w:val="single"/>
        </w:rPr>
        <w:t>主要材料涉及品种、款式、颜色等方面内容的，承包人应提交准备合格的材料样品送发包人选定。</w:t>
      </w:r>
    </w:p>
    <w:p w14:paraId="044E87D1">
      <w:pPr>
        <w:pStyle w:val="4"/>
        <w:rPr>
          <w:rFonts w:hint="eastAsia" w:ascii="宋体" w:hAnsi="宋体" w:eastAsia="宋体" w:cs="宋体"/>
          <w:color w:val="auto"/>
          <w:highlight w:val="none"/>
        </w:rPr>
      </w:pPr>
      <w:bookmarkStart w:id="659" w:name="_Toc511243360"/>
      <w:bookmarkStart w:id="660" w:name="_Toc465114894"/>
      <w:bookmarkStart w:id="661" w:name="_Toc389065301"/>
      <w:bookmarkStart w:id="662" w:name="_Toc511243586"/>
      <w:bookmarkStart w:id="663" w:name="_Toc509760038"/>
      <w:bookmarkStart w:id="664" w:name="_Toc373227735"/>
      <w:bookmarkStart w:id="665" w:name="_Toc373478382"/>
      <w:r>
        <w:rPr>
          <w:rFonts w:hint="eastAsia" w:ascii="宋体" w:hAnsi="宋体" w:eastAsia="宋体" w:cs="宋体"/>
          <w:color w:val="auto"/>
          <w:highlight w:val="none"/>
        </w:rPr>
        <w:t>8.8 施工设备和临时设施</w:t>
      </w:r>
      <w:bookmarkEnd w:id="659"/>
      <w:bookmarkEnd w:id="660"/>
      <w:bookmarkEnd w:id="661"/>
      <w:bookmarkEnd w:id="662"/>
      <w:bookmarkEnd w:id="663"/>
      <w:bookmarkEnd w:id="664"/>
      <w:bookmarkEnd w:id="665"/>
    </w:p>
    <w:p w14:paraId="0EA08724">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8.8.1 承包人提供的施工设备和临时设施</w:t>
      </w:r>
    </w:p>
    <w:p w14:paraId="33808775">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4CA2DA6C">
      <w:pPr>
        <w:pStyle w:val="24"/>
        <w:autoSpaceDE w:val="0"/>
        <w:autoSpaceDN w:val="0"/>
        <w:adjustRightInd w:val="0"/>
        <w:spacing w:line="44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关于修建临时设施费用承担的约定：</w:t>
      </w:r>
      <w:r>
        <w:rPr>
          <w:rFonts w:hint="eastAsia" w:ascii="宋体" w:hAnsi="宋体" w:eastAsia="宋体" w:cs="宋体"/>
          <w:color w:val="auto"/>
          <w:szCs w:val="21"/>
          <w:highlight w:val="none"/>
          <w:u w:val="single"/>
        </w:rPr>
        <w:t>①承包人的临时用地（含项目部驻地等）租用费（含拆迁补偿）、临时用地的环保、恢复等费用均由承包人负责，以上费用在投标报价中综合考虑。</w:t>
      </w:r>
    </w:p>
    <w:p w14:paraId="23650E07">
      <w:pPr>
        <w:pStyle w:val="24"/>
        <w:autoSpaceDE w:val="0"/>
        <w:autoSpaceDN w:val="0"/>
        <w:adjustRightInd w:val="0"/>
        <w:spacing w:line="44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②承包人负责合同实施期间其合同段内临时交通道路（含场内外连接公共交通道路）和交通设施的修建、维修、养护和交通管理工作，并承担一切费用。</w:t>
      </w:r>
    </w:p>
    <w:p w14:paraId="564372C9">
      <w:pPr>
        <w:pStyle w:val="24"/>
        <w:autoSpaceDE w:val="0"/>
        <w:autoSpaceDN w:val="0"/>
        <w:adjustRightInd w:val="0"/>
        <w:spacing w:line="44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6032D52B">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8.8.2 发包人提供的施工设备和临时设施</w:t>
      </w:r>
    </w:p>
    <w:p w14:paraId="0179C9E9">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发包人提供的施工设备和临时设施：</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418897">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发包人提供的施工设备和临时设施的运行、维护、拆除、清运费用的承担人：</w:t>
      </w:r>
      <w:r>
        <w:rPr>
          <w:rFonts w:hint="eastAsia" w:ascii="宋体" w:hAnsi="宋体" w:eastAsia="宋体" w:cs="宋体"/>
          <w:color w:val="auto"/>
          <w:highlight w:val="none"/>
          <w:u w:val="single"/>
        </w:rPr>
        <w:t xml:space="preserve">  承包人</w:t>
      </w:r>
      <w:r>
        <w:rPr>
          <w:rFonts w:hint="eastAsia" w:ascii="宋体" w:hAnsi="宋体" w:eastAsia="宋体" w:cs="宋体"/>
          <w:color w:val="auto"/>
          <w:highlight w:val="none"/>
        </w:rPr>
        <w:t>。</w:t>
      </w:r>
    </w:p>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14:paraId="7F85FC06">
      <w:pPr>
        <w:pStyle w:val="3"/>
        <w:rPr>
          <w:rFonts w:hint="eastAsia" w:ascii="宋体" w:hAnsi="宋体" w:eastAsia="宋体" w:cs="宋体"/>
          <w:color w:val="auto"/>
          <w:highlight w:val="none"/>
        </w:rPr>
      </w:pPr>
      <w:bookmarkStart w:id="666" w:name="_Toc373227736"/>
      <w:bookmarkStart w:id="667" w:name="_Toc389065302"/>
      <w:bookmarkStart w:id="668" w:name="_Toc373478383"/>
      <w:bookmarkStart w:id="669" w:name="_Toc511243587"/>
      <w:bookmarkStart w:id="670" w:name="_Toc351203641"/>
      <w:bookmarkStart w:id="671" w:name="_Toc511243361"/>
      <w:bookmarkStart w:id="672" w:name="_Toc509760039"/>
      <w:bookmarkStart w:id="673" w:name="_Toc465114895"/>
      <w:r>
        <w:rPr>
          <w:rFonts w:hint="eastAsia" w:ascii="宋体" w:hAnsi="宋体" w:eastAsia="宋体" w:cs="宋体"/>
          <w:color w:val="auto"/>
          <w:highlight w:val="none"/>
        </w:rPr>
        <w:t>9</w:t>
      </w:r>
      <w:bookmarkEnd w:id="631"/>
      <w:bookmarkEnd w:id="632"/>
      <w:bookmarkEnd w:id="633"/>
      <w:bookmarkStart w:id="674" w:name="_Toc304295559"/>
      <w:bookmarkStart w:id="675" w:name="_Toc312678021"/>
      <w:bookmarkStart w:id="676" w:name="_Toc297123533"/>
      <w:bookmarkStart w:id="677" w:name="_Toc303539139"/>
      <w:bookmarkStart w:id="678" w:name="_Toc312677495"/>
      <w:bookmarkStart w:id="679" w:name="_Toc297216192"/>
      <w:bookmarkStart w:id="680" w:name="_Toc300934982"/>
      <w:bookmarkStart w:id="681" w:name="_Toc292559883"/>
      <w:bookmarkStart w:id="682" w:name="_Toc296347172"/>
      <w:bookmarkStart w:id="683" w:name="_Toc297120473"/>
      <w:bookmarkStart w:id="684" w:name="_Toc296503173"/>
      <w:bookmarkStart w:id="685" w:name="_Toc267251427"/>
      <w:bookmarkStart w:id="686" w:name="_Toc296891001"/>
      <w:bookmarkStart w:id="687" w:name="_Toc292559378"/>
      <w:bookmarkStart w:id="688" w:name="_Toc296346674"/>
      <w:bookmarkStart w:id="689" w:name="_Toc296944512"/>
      <w:bookmarkStart w:id="690" w:name="_Toc297048359"/>
      <w:bookmarkStart w:id="691" w:name="_Toc267251428"/>
      <w:bookmarkStart w:id="692" w:name="_Toc296891213"/>
      <w:r>
        <w:rPr>
          <w:rFonts w:hint="eastAsia" w:ascii="宋体" w:hAnsi="宋体" w:eastAsia="宋体" w:cs="宋体"/>
          <w:color w:val="auto"/>
          <w:highlight w:val="none"/>
        </w:rPr>
        <w:t>. 试验与检验</w:t>
      </w:r>
      <w:bookmarkEnd w:id="666"/>
      <w:bookmarkEnd w:id="667"/>
      <w:bookmarkEnd w:id="668"/>
      <w:bookmarkEnd w:id="669"/>
      <w:bookmarkEnd w:id="670"/>
      <w:bookmarkEnd w:id="671"/>
      <w:bookmarkEnd w:id="672"/>
      <w:bookmarkEnd w:id="673"/>
    </w:p>
    <w:bookmarkEnd w:id="674"/>
    <w:bookmarkEnd w:id="675"/>
    <w:bookmarkEnd w:id="676"/>
    <w:bookmarkEnd w:id="677"/>
    <w:bookmarkEnd w:id="678"/>
    <w:bookmarkEnd w:id="679"/>
    <w:bookmarkEnd w:id="680"/>
    <w:p w14:paraId="78C8A614">
      <w:pPr>
        <w:pStyle w:val="4"/>
        <w:rPr>
          <w:rFonts w:hint="eastAsia" w:ascii="宋体" w:hAnsi="宋体" w:eastAsia="宋体" w:cs="宋体"/>
          <w:color w:val="auto"/>
          <w:highlight w:val="none"/>
        </w:rPr>
      </w:pPr>
      <w:bookmarkStart w:id="693" w:name="_Toc465114896"/>
      <w:bookmarkStart w:id="694" w:name="_Toc373227737"/>
      <w:bookmarkStart w:id="695" w:name="_Toc373478384"/>
      <w:bookmarkStart w:id="696" w:name="_Toc511243588"/>
      <w:bookmarkStart w:id="697" w:name="_Toc509760040"/>
      <w:bookmarkStart w:id="698" w:name="_Toc511243362"/>
      <w:bookmarkStart w:id="699" w:name="_Toc389065303"/>
      <w:r>
        <w:rPr>
          <w:rFonts w:hint="eastAsia" w:ascii="宋体" w:hAnsi="宋体" w:eastAsia="宋体" w:cs="宋体"/>
          <w:color w:val="auto"/>
          <w:highlight w:val="none"/>
        </w:rPr>
        <w:t>9</w:t>
      </w:r>
      <w:bookmarkStart w:id="700" w:name="_Toc304295560"/>
      <w:bookmarkStart w:id="701" w:name="_Toc303539140"/>
      <w:bookmarkStart w:id="702" w:name="_Toc312677496"/>
      <w:bookmarkStart w:id="703" w:name="_Toc300934983"/>
      <w:bookmarkStart w:id="704" w:name="_Toc312678022"/>
      <w:bookmarkStart w:id="705" w:name="_Toc297216193"/>
      <w:bookmarkStart w:id="706" w:name="_Toc297123534"/>
      <w:r>
        <w:rPr>
          <w:rFonts w:hint="eastAsia" w:ascii="宋体" w:hAnsi="宋体" w:eastAsia="宋体" w:cs="宋体"/>
          <w:color w:val="auto"/>
          <w:highlight w:val="none"/>
        </w:rPr>
        <w:t>.1 试验设备与试验人员</w:t>
      </w:r>
      <w:bookmarkEnd w:id="693"/>
      <w:bookmarkEnd w:id="694"/>
      <w:bookmarkEnd w:id="695"/>
      <w:bookmarkEnd w:id="696"/>
      <w:bookmarkEnd w:id="697"/>
      <w:bookmarkEnd w:id="698"/>
      <w:bookmarkEnd w:id="699"/>
    </w:p>
    <w:bookmarkEnd w:id="700"/>
    <w:bookmarkEnd w:id="701"/>
    <w:bookmarkEnd w:id="702"/>
    <w:bookmarkEnd w:id="703"/>
    <w:bookmarkEnd w:id="704"/>
    <w:bookmarkEnd w:id="705"/>
    <w:bookmarkEnd w:id="706"/>
    <w:p w14:paraId="78A28DD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w:t>
      </w:r>
      <w:bookmarkStart w:id="707" w:name="_Toc312677497"/>
      <w:bookmarkStart w:id="708" w:name="_Toc300934984"/>
      <w:bookmarkStart w:id="709" w:name="_Toc303539141"/>
      <w:bookmarkStart w:id="710" w:name="_Toc297216194"/>
      <w:bookmarkStart w:id="711" w:name="_Toc304295561"/>
      <w:bookmarkStart w:id="712" w:name="_Toc297123535"/>
      <w:bookmarkStart w:id="713" w:name="_Toc312678023"/>
      <w:bookmarkStart w:id="714" w:name="_Toc318581174"/>
      <w:r>
        <w:rPr>
          <w:rFonts w:hint="eastAsia" w:ascii="宋体" w:hAnsi="宋体" w:eastAsia="宋体" w:cs="宋体"/>
          <w:color w:val="auto"/>
          <w:highlight w:val="none"/>
        </w:rPr>
        <w:t>.1.2 试验设备</w:t>
      </w:r>
    </w:p>
    <w:p w14:paraId="7BE2D9D6">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施工现场需要配置的试验场所：</w:t>
      </w:r>
      <w:bookmarkEnd w:id="707"/>
      <w:bookmarkEnd w:id="708"/>
      <w:bookmarkEnd w:id="709"/>
      <w:bookmarkEnd w:id="710"/>
      <w:bookmarkEnd w:id="711"/>
      <w:bookmarkEnd w:id="712"/>
      <w:bookmarkEnd w:id="713"/>
      <w:bookmarkStart w:id="715" w:name="_Toc303539142"/>
      <w:bookmarkStart w:id="716" w:name="_Toc312678024"/>
      <w:bookmarkStart w:id="717" w:name="_Toc297216195"/>
      <w:bookmarkStart w:id="718" w:name="_Toc300934985"/>
      <w:bookmarkStart w:id="719" w:name="_Toc312677498"/>
      <w:bookmarkStart w:id="720" w:name="_Toc304295562"/>
      <w:bookmarkStart w:id="721" w:name="_Toc297123536"/>
      <w:r>
        <w:rPr>
          <w:rFonts w:hint="eastAsia" w:ascii="宋体" w:hAnsi="宋体" w:eastAsia="宋体" w:cs="宋体"/>
          <w:color w:val="auto"/>
          <w:highlight w:val="none"/>
          <w:u w:val="single"/>
        </w:rPr>
        <w:t xml:space="preserve">按通用条款    </w:t>
      </w:r>
      <w:r>
        <w:rPr>
          <w:rFonts w:hint="eastAsia" w:ascii="宋体" w:hAnsi="宋体" w:eastAsia="宋体" w:cs="宋体"/>
          <w:color w:val="auto"/>
          <w:highlight w:val="none"/>
        </w:rPr>
        <w:t>。</w:t>
      </w:r>
    </w:p>
    <w:p w14:paraId="5015FF2A">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施工现场需要配备的试验设备：</w:t>
      </w:r>
      <w:r>
        <w:rPr>
          <w:rFonts w:hint="eastAsia" w:ascii="宋体" w:hAnsi="宋体" w:eastAsia="宋体" w:cs="宋体"/>
          <w:color w:val="auto"/>
          <w:highlight w:val="none"/>
          <w:u w:val="single"/>
        </w:rPr>
        <w:t xml:space="preserve">按通用条款    </w:t>
      </w:r>
      <w:r>
        <w:rPr>
          <w:rFonts w:hint="eastAsia" w:ascii="宋体" w:hAnsi="宋体" w:eastAsia="宋体" w:cs="宋体"/>
          <w:color w:val="auto"/>
          <w:highlight w:val="none"/>
        </w:rPr>
        <w:t>。</w:t>
      </w:r>
    </w:p>
    <w:p w14:paraId="0106EB7F">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施工现场需要具备的其他试验条件：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D8E46A4">
      <w:pPr>
        <w:pStyle w:val="4"/>
        <w:rPr>
          <w:rFonts w:hint="eastAsia" w:ascii="宋体" w:hAnsi="宋体" w:eastAsia="宋体" w:cs="宋体"/>
          <w:color w:val="auto"/>
          <w:highlight w:val="none"/>
        </w:rPr>
      </w:pPr>
      <w:bookmarkStart w:id="722" w:name="_Toc509760041"/>
      <w:bookmarkStart w:id="723" w:name="_Toc389065304"/>
      <w:bookmarkStart w:id="724" w:name="_Toc373478385"/>
      <w:bookmarkStart w:id="725" w:name="_Toc511243589"/>
      <w:bookmarkStart w:id="726" w:name="_Toc511243363"/>
      <w:bookmarkStart w:id="727" w:name="_Toc465114897"/>
      <w:bookmarkStart w:id="728" w:name="_Toc373227738"/>
      <w:r>
        <w:rPr>
          <w:rFonts w:hint="eastAsia" w:ascii="宋体" w:hAnsi="宋体" w:eastAsia="宋体" w:cs="宋体"/>
          <w:color w:val="auto"/>
          <w:highlight w:val="none"/>
        </w:rPr>
        <w:t>9.4 现场工艺试验</w:t>
      </w:r>
      <w:bookmarkEnd w:id="722"/>
      <w:bookmarkEnd w:id="723"/>
      <w:bookmarkEnd w:id="724"/>
      <w:bookmarkEnd w:id="725"/>
      <w:bookmarkEnd w:id="726"/>
      <w:bookmarkEnd w:id="727"/>
      <w:bookmarkEnd w:id="728"/>
      <w:r>
        <w:rPr>
          <w:rFonts w:hint="eastAsia" w:ascii="宋体" w:hAnsi="宋体" w:eastAsia="宋体" w:cs="宋体"/>
          <w:color w:val="auto"/>
          <w:highlight w:val="none"/>
        </w:rPr>
        <w:t xml:space="preserve"> </w:t>
      </w:r>
    </w:p>
    <w:p w14:paraId="2EF2A37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现场工艺试验的有关约定：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6F1C412">
      <w:pPr>
        <w:pStyle w:val="4"/>
        <w:rPr>
          <w:rFonts w:hint="eastAsia" w:ascii="宋体" w:hAnsi="宋体" w:eastAsia="宋体" w:cs="宋体"/>
          <w:color w:val="auto"/>
          <w:highlight w:val="none"/>
        </w:rPr>
      </w:pPr>
      <w:bookmarkStart w:id="729" w:name="_Toc511243364"/>
      <w:bookmarkStart w:id="730" w:name="_Toc509760042"/>
      <w:bookmarkStart w:id="731" w:name="_Toc465114898"/>
      <w:bookmarkStart w:id="732" w:name="_Toc511243590"/>
      <w:bookmarkStart w:id="733" w:name="OLE_LINK1"/>
      <w:r>
        <w:rPr>
          <w:rFonts w:hint="eastAsia" w:ascii="宋体" w:hAnsi="宋体" w:eastAsia="宋体" w:cs="宋体"/>
          <w:color w:val="auto"/>
          <w:highlight w:val="none"/>
        </w:rPr>
        <w:t>9.5 检验费用</w:t>
      </w:r>
      <w:bookmarkEnd w:id="729"/>
      <w:bookmarkEnd w:id="730"/>
      <w:bookmarkEnd w:id="731"/>
      <w:bookmarkEnd w:id="732"/>
    </w:p>
    <w:p w14:paraId="44CCCC59">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根据《建设工程质量检测管理办法》（建设部令第141号）以及</w:t>
      </w:r>
      <w:r>
        <w:rPr>
          <w:rFonts w:hint="eastAsia" w:ascii="宋体" w:hAnsi="宋体" w:eastAsia="宋体" w:cs="宋体"/>
          <w:bCs/>
          <w:color w:val="auto"/>
          <w:highlight w:val="none"/>
        </w:rPr>
        <w:t>《广西壮族自治区建设工程质量检测管理规定》（桂建管〔2013〕11号）</w:t>
      </w:r>
      <w:r>
        <w:rPr>
          <w:rFonts w:hint="eastAsia" w:ascii="宋体" w:hAnsi="宋体" w:eastAsia="宋体" w:cs="宋体"/>
          <w:color w:val="auto"/>
          <w:highlight w:val="none"/>
        </w:rPr>
        <w:t>规定，工程质量检测业务由发包人委托有相应资质的检测机构检测。费用由发包人直接支付给检测机构，不计入合同价款内。检验试验配合费按费用定额规定计取，计入本合同价款内。</w:t>
      </w:r>
    </w:p>
    <w:bookmarkEnd w:id="714"/>
    <w:bookmarkEnd w:id="715"/>
    <w:bookmarkEnd w:id="716"/>
    <w:bookmarkEnd w:id="717"/>
    <w:bookmarkEnd w:id="718"/>
    <w:bookmarkEnd w:id="719"/>
    <w:bookmarkEnd w:id="720"/>
    <w:bookmarkEnd w:id="721"/>
    <w:bookmarkEnd w:id="733"/>
    <w:p w14:paraId="36181F51">
      <w:pPr>
        <w:pStyle w:val="3"/>
        <w:rPr>
          <w:rFonts w:hint="eastAsia" w:ascii="宋体" w:hAnsi="宋体" w:eastAsia="宋体" w:cs="宋体"/>
          <w:color w:val="auto"/>
          <w:highlight w:val="none"/>
        </w:rPr>
      </w:pPr>
      <w:bookmarkStart w:id="734" w:name="_Toc511243365"/>
      <w:bookmarkStart w:id="735" w:name="_Toc509760043"/>
      <w:bookmarkStart w:id="736" w:name="_Toc465114899"/>
      <w:bookmarkStart w:id="737" w:name="_Toc373478386"/>
      <w:bookmarkStart w:id="738" w:name="_Toc389065305"/>
      <w:bookmarkStart w:id="739" w:name="_Toc351203642"/>
      <w:bookmarkStart w:id="740" w:name="_Toc373227739"/>
      <w:bookmarkStart w:id="741" w:name="_Toc511243591"/>
      <w:r>
        <w:rPr>
          <w:rFonts w:hint="eastAsia" w:ascii="宋体" w:hAnsi="宋体" w:eastAsia="宋体" w:cs="宋体"/>
          <w:color w:val="auto"/>
          <w:highlight w:val="none"/>
        </w:rPr>
        <w:t>1</w:t>
      </w:r>
      <w:bookmarkEnd w:id="681"/>
      <w:bookmarkEnd w:id="682"/>
      <w:bookmarkEnd w:id="683"/>
      <w:bookmarkEnd w:id="684"/>
      <w:bookmarkEnd w:id="685"/>
      <w:bookmarkEnd w:id="686"/>
      <w:bookmarkEnd w:id="687"/>
      <w:bookmarkEnd w:id="688"/>
      <w:bookmarkEnd w:id="689"/>
      <w:bookmarkEnd w:id="690"/>
      <w:bookmarkEnd w:id="691"/>
      <w:bookmarkEnd w:id="692"/>
      <w:bookmarkStart w:id="742" w:name="_Toc292559398"/>
      <w:bookmarkStart w:id="743" w:name="_Toc296346694"/>
      <w:bookmarkStart w:id="744" w:name="_Toc303539146"/>
      <w:bookmarkStart w:id="745" w:name="_Toc296891233"/>
      <w:bookmarkStart w:id="746" w:name="_Toc296347192"/>
      <w:bookmarkStart w:id="747" w:name="_Toc304295566"/>
      <w:bookmarkStart w:id="748" w:name="_Toc297048379"/>
      <w:bookmarkStart w:id="749" w:name="_Toc297216199"/>
      <w:bookmarkStart w:id="750" w:name="_Toc297123540"/>
      <w:bookmarkStart w:id="751" w:name="_Toc296944532"/>
      <w:bookmarkStart w:id="752" w:name="_Toc296891021"/>
      <w:bookmarkStart w:id="753" w:name="_Toc297120493"/>
      <w:bookmarkStart w:id="754" w:name="_Toc300934989"/>
      <w:bookmarkStart w:id="755" w:name="_Toc296503193"/>
      <w:bookmarkStart w:id="756" w:name="_Toc292559903"/>
      <w:bookmarkStart w:id="757" w:name="_Toc312677499"/>
      <w:bookmarkStart w:id="758" w:name="_Toc312678025"/>
      <w:bookmarkStart w:id="759" w:name="_Toc267251433"/>
      <w:bookmarkStart w:id="760" w:name="_Toc267251435"/>
      <w:bookmarkStart w:id="761" w:name="_Toc267251437"/>
      <w:bookmarkStart w:id="762" w:name="_Toc267251440"/>
      <w:bookmarkStart w:id="763" w:name="_Toc267251439"/>
      <w:bookmarkStart w:id="764" w:name="_Toc267251441"/>
      <w:bookmarkStart w:id="765" w:name="_Toc267251442"/>
      <w:r>
        <w:rPr>
          <w:rFonts w:hint="eastAsia" w:ascii="宋体" w:hAnsi="宋体" w:eastAsia="宋体" w:cs="宋体"/>
          <w:color w:val="auto"/>
          <w:highlight w:val="none"/>
        </w:rPr>
        <w:t>0. 变更</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bookmarkEnd w:id="757"/>
    <w:bookmarkEnd w:id="758"/>
    <w:p w14:paraId="1B958E09">
      <w:pPr>
        <w:pStyle w:val="4"/>
        <w:rPr>
          <w:rFonts w:hint="eastAsia" w:ascii="宋体" w:hAnsi="宋体" w:eastAsia="宋体" w:cs="宋体"/>
          <w:color w:val="auto"/>
          <w:highlight w:val="none"/>
        </w:rPr>
      </w:pPr>
      <w:bookmarkStart w:id="766" w:name="_Toc373478387"/>
      <w:bookmarkStart w:id="767" w:name="_Toc509760044"/>
      <w:bookmarkStart w:id="768" w:name="_Toc511243592"/>
      <w:bookmarkStart w:id="769" w:name="_Toc373227740"/>
      <w:bookmarkStart w:id="770" w:name="_Toc389065306"/>
      <w:bookmarkStart w:id="771" w:name="_Toc465114900"/>
      <w:bookmarkStart w:id="772" w:name="_Toc511243366"/>
      <w:r>
        <w:rPr>
          <w:rFonts w:hint="eastAsia" w:ascii="宋体" w:hAnsi="宋体" w:eastAsia="宋体" w:cs="宋体"/>
          <w:color w:val="auto"/>
          <w:highlight w:val="none"/>
        </w:rPr>
        <w:t>1</w:t>
      </w:r>
      <w:bookmarkStart w:id="773" w:name="_Toc300934990"/>
      <w:bookmarkStart w:id="774" w:name="_Toc297216200"/>
      <w:bookmarkStart w:id="775" w:name="_Toc296944533"/>
      <w:bookmarkStart w:id="776" w:name="_Toc296503194"/>
      <w:bookmarkStart w:id="777" w:name="_Toc296346695"/>
      <w:bookmarkStart w:id="778" w:name="_Toc297123541"/>
      <w:bookmarkStart w:id="779" w:name="_Toc303539147"/>
      <w:bookmarkStart w:id="780" w:name="_Toc312677500"/>
      <w:bookmarkStart w:id="781" w:name="_Toc296891234"/>
      <w:bookmarkStart w:id="782" w:name="_Toc292559904"/>
      <w:bookmarkStart w:id="783" w:name="_Toc312678026"/>
      <w:bookmarkStart w:id="784" w:name="_Toc292559399"/>
      <w:bookmarkStart w:id="785" w:name="_Toc297048380"/>
      <w:bookmarkStart w:id="786" w:name="_Toc296347193"/>
      <w:bookmarkStart w:id="787" w:name="_Toc296891022"/>
      <w:bookmarkStart w:id="788" w:name="_Toc297120494"/>
      <w:bookmarkStart w:id="789" w:name="_Toc304295567"/>
      <w:r>
        <w:rPr>
          <w:rFonts w:hint="eastAsia" w:ascii="宋体" w:hAnsi="宋体" w:eastAsia="宋体" w:cs="宋体"/>
          <w:color w:val="auto"/>
          <w:highlight w:val="none"/>
        </w:rPr>
        <w:t>0.1 变更的范围</w:t>
      </w:r>
      <w:bookmarkEnd w:id="766"/>
      <w:bookmarkEnd w:id="767"/>
      <w:bookmarkEnd w:id="768"/>
      <w:bookmarkEnd w:id="769"/>
      <w:bookmarkEnd w:id="770"/>
      <w:bookmarkEnd w:id="771"/>
      <w:bookmarkEnd w:id="772"/>
    </w:p>
    <w:p w14:paraId="4EF30289">
      <w:pPr>
        <w:spacing w:line="360" w:lineRule="auto"/>
        <w:ind w:firstLine="426"/>
        <w:jc w:val="left"/>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关于变更的范围的约定：</w:t>
      </w:r>
      <w:r>
        <w:rPr>
          <w:rFonts w:hint="eastAsia" w:ascii="宋体" w:hAnsi="宋体" w:eastAsia="宋体" w:cs="宋体"/>
          <w:color w:val="auto"/>
          <w:highlight w:val="none"/>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r>
        <w:rPr>
          <w:rFonts w:hint="eastAsia" w:ascii="宋体" w:hAnsi="宋体" w:eastAsia="宋体" w:cs="宋体"/>
          <w:color w:val="auto"/>
          <w:highlight w:val="none"/>
          <w:u w:val="single"/>
          <w:lang w:eastAsia="zh-CN"/>
        </w:rPr>
        <w:t>。</w:t>
      </w:r>
    </w:p>
    <w:p w14:paraId="2ABD6E55">
      <w:pPr>
        <w:spacing w:line="360" w:lineRule="auto"/>
        <w:jc w:val="left"/>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 xml:space="preserve">10.2 </w:t>
      </w:r>
      <w:r>
        <w:rPr>
          <w:rFonts w:hint="eastAsia" w:ascii="宋体" w:hAnsi="宋体" w:eastAsia="宋体" w:cs="宋体"/>
          <w:b/>
          <w:bCs/>
          <w:color w:val="auto"/>
          <w:highlight w:val="none"/>
        </w:rPr>
        <w:t>所有工程变更须经设计及监理审核确认，最后经发包人书面批准后方能有效。</w:t>
      </w:r>
    </w:p>
    <w:p w14:paraId="22802A28">
      <w:pPr>
        <w:pStyle w:val="4"/>
        <w:rPr>
          <w:rFonts w:hint="eastAsia" w:ascii="宋体" w:hAnsi="宋体" w:eastAsia="宋体" w:cs="宋体"/>
          <w:color w:val="auto"/>
          <w:highlight w:val="none"/>
        </w:rPr>
      </w:pPr>
      <w:bookmarkStart w:id="790" w:name="_Toc511243593"/>
      <w:bookmarkStart w:id="791" w:name="_Toc373478388"/>
      <w:bookmarkStart w:id="792" w:name="_Toc509760045"/>
      <w:bookmarkStart w:id="793" w:name="_Toc389065307"/>
      <w:bookmarkStart w:id="794" w:name="_Toc465114901"/>
      <w:bookmarkStart w:id="795" w:name="_Toc511243367"/>
      <w:bookmarkStart w:id="796" w:name="_Toc373227741"/>
      <w:r>
        <w:rPr>
          <w:rFonts w:hint="eastAsia" w:ascii="宋体" w:hAnsi="宋体" w:eastAsia="宋体" w:cs="宋体"/>
          <w:color w:val="auto"/>
          <w:highlight w:val="none"/>
        </w:rPr>
        <w:t>10.3 变更程序</w:t>
      </w:r>
      <w:bookmarkEnd w:id="790"/>
      <w:bookmarkEnd w:id="791"/>
      <w:bookmarkEnd w:id="792"/>
      <w:bookmarkEnd w:id="793"/>
      <w:bookmarkEnd w:id="794"/>
      <w:bookmarkEnd w:id="795"/>
      <w:bookmarkEnd w:id="796"/>
    </w:p>
    <w:p w14:paraId="35684CE5">
      <w:pPr>
        <w:pStyle w:val="8"/>
        <w:spacing w:line="360" w:lineRule="auto"/>
        <w:ind w:firstLine="441" w:firstLineChars="210"/>
        <w:rPr>
          <w:rFonts w:hint="eastAsia" w:ascii="宋体" w:hAnsi="宋体" w:eastAsia="宋体" w:cs="宋体"/>
          <w:bCs/>
          <w:color w:val="auto"/>
          <w:highlight w:val="none"/>
        </w:rPr>
      </w:pPr>
      <w:r>
        <w:rPr>
          <w:rFonts w:hint="eastAsia" w:ascii="宋体" w:hAnsi="宋体" w:eastAsia="宋体" w:cs="宋体"/>
          <w:bCs/>
          <w:color w:val="auto"/>
          <w:highlight w:val="none"/>
        </w:rPr>
        <w:t>10.3.1 国有投资项目：</w:t>
      </w:r>
    </w:p>
    <w:p w14:paraId="198DC7A0">
      <w:pPr>
        <w:pStyle w:val="8"/>
        <w:spacing w:line="360" w:lineRule="auto"/>
        <w:ind w:firstLine="441" w:firstLineChars="210"/>
        <w:rPr>
          <w:rFonts w:hint="eastAsia" w:ascii="宋体" w:hAnsi="宋体" w:eastAsia="宋体" w:cs="宋体"/>
          <w:bCs/>
          <w:color w:val="auto"/>
          <w:highlight w:val="none"/>
        </w:rPr>
      </w:pPr>
      <w:r>
        <w:rPr>
          <w:rFonts w:hint="eastAsia" w:ascii="宋体" w:hAnsi="宋体" w:eastAsia="宋体" w:cs="宋体"/>
          <w:bCs/>
          <w:color w:val="auto"/>
          <w:highlight w:val="none"/>
        </w:rPr>
        <w:t>⑴设计变更和工程签证，按各市政府或相关部门的规定办理。属不可抗力（自然灾害、突发事件等）造成变更的，按特事特办原则予以办理。</w:t>
      </w:r>
    </w:p>
    <w:p w14:paraId="453C1588">
      <w:pPr>
        <w:pStyle w:val="8"/>
        <w:spacing w:line="360" w:lineRule="auto"/>
        <w:ind w:firstLine="441" w:firstLineChars="210"/>
        <w:rPr>
          <w:rFonts w:hint="eastAsia" w:ascii="宋体" w:hAnsi="宋体" w:eastAsia="宋体" w:cs="宋体"/>
          <w:bCs/>
          <w:color w:val="auto"/>
          <w:highlight w:val="none"/>
        </w:rPr>
      </w:pPr>
      <w:r>
        <w:rPr>
          <w:rFonts w:hint="eastAsia" w:ascii="宋体" w:hAnsi="宋体" w:eastAsia="宋体" w:cs="宋体"/>
          <w:bCs/>
          <w:color w:val="auto"/>
          <w:highlight w:val="none"/>
        </w:rPr>
        <w:t>⑵建设单位在实施项目过程中，若发生单价变动，由建设单位、监理单位、施工单位及其他相关单位共同商定并签字确认。</w:t>
      </w:r>
    </w:p>
    <w:p w14:paraId="08A9BC6E">
      <w:pPr>
        <w:spacing w:line="360" w:lineRule="auto"/>
        <w:ind w:firstLine="420" w:firstLineChars="200"/>
        <w:jc w:val="left"/>
        <w:rPr>
          <w:rFonts w:hint="eastAsia" w:ascii="宋体" w:hAnsi="宋体" w:eastAsia="宋体" w:cs="宋体"/>
          <w:bCs/>
          <w:color w:val="auto"/>
          <w:highlight w:val="none"/>
        </w:rPr>
      </w:pPr>
      <w:r>
        <w:rPr>
          <w:rFonts w:hint="eastAsia" w:ascii="宋体" w:hAnsi="宋体" w:eastAsia="宋体" w:cs="宋体"/>
          <w:bCs/>
          <w:color w:val="auto"/>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62229E74">
      <w:pPr>
        <w:spacing w:line="360" w:lineRule="auto"/>
        <w:jc w:val="left"/>
        <w:rPr>
          <w:rFonts w:hint="eastAsia" w:ascii="宋体" w:hAnsi="宋体" w:eastAsia="宋体" w:cs="宋体"/>
          <w:bCs/>
          <w:color w:val="auto"/>
          <w:highlight w:val="none"/>
        </w:rPr>
      </w:pPr>
      <w:r>
        <w:rPr>
          <w:rFonts w:hint="eastAsia" w:ascii="宋体" w:hAnsi="宋体" w:eastAsia="宋体" w:cs="宋体"/>
          <w:bCs/>
          <w:color w:val="auto"/>
          <w:highlight w:val="none"/>
        </w:rPr>
        <w:t>10.3.2 非国有投资项目：</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w:t>
      </w:r>
    </w:p>
    <w:p w14:paraId="335FE181">
      <w:pPr>
        <w:pStyle w:val="4"/>
        <w:rPr>
          <w:rFonts w:hint="eastAsia" w:ascii="宋体" w:hAnsi="宋体" w:eastAsia="宋体" w:cs="宋体"/>
          <w:color w:val="auto"/>
          <w:highlight w:val="none"/>
        </w:rPr>
      </w:pPr>
      <w:bookmarkStart w:id="797" w:name="_Toc509760046"/>
      <w:bookmarkStart w:id="798" w:name="_Toc465114902"/>
      <w:bookmarkStart w:id="799" w:name="_Toc373478389"/>
      <w:bookmarkStart w:id="800" w:name="_Toc511243368"/>
      <w:bookmarkStart w:id="801" w:name="_Toc389065308"/>
      <w:bookmarkStart w:id="802" w:name="_Toc511243594"/>
      <w:bookmarkStart w:id="803" w:name="_Toc373227742"/>
      <w:r>
        <w:rPr>
          <w:rFonts w:hint="eastAsia" w:ascii="宋体" w:hAnsi="宋体" w:eastAsia="宋体" w:cs="宋体"/>
          <w:color w:val="auto"/>
          <w:highlight w:val="none"/>
        </w:rPr>
        <w:t>10.4 变更估价</w:t>
      </w:r>
      <w:bookmarkEnd w:id="797"/>
      <w:bookmarkEnd w:id="798"/>
      <w:bookmarkEnd w:id="799"/>
      <w:bookmarkEnd w:id="800"/>
      <w:bookmarkEnd w:id="801"/>
      <w:bookmarkEnd w:id="802"/>
      <w:bookmarkEnd w:id="803"/>
    </w:p>
    <w:p w14:paraId="68F1B9A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10.4.1 变更估价原则</w:t>
      </w:r>
    </w:p>
    <w:p w14:paraId="2C7E46C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关于变更估价的约定: </w:t>
      </w:r>
      <w:bookmarkStart w:id="804" w:name="_Toc251051742"/>
      <w:r>
        <w:rPr>
          <w:rFonts w:hint="eastAsia" w:ascii="宋体" w:hAnsi="宋体" w:eastAsia="宋体" w:cs="宋体"/>
          <w:bCs/>
          <w:color w:val="auto"/>
          <w:highlight w:val="none"/>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ascii="宋体" w:hAnsi="宋体" w:eastAsia="宋体" w:cs="宋体"/>
          <w:b/>
          <w:color w:val="auto"/>
          <w:highlight w:val="none"/>
        </w:rPr>
        <w:t>□</w:t>
      </w:r>
      <w:r>
        <w:rPr>
          <w:rFonts w:hint="eastAsia" w:ascii="宋体" w:hAnsi="宋体" w:eastAsia="宋体" w:cs="宋体"/>
          <w:bCs/>
          <w:color w:val="auto"/>
          <w:highlight w:val="none"/>
          <w:u w:val="single"/>
        </w:rPr>
        <w:t>乘以下浮系数 5 %，</w:t>
      </w:r>
      <w:r>
        <w:rPr>
          <w:rFonts w:hint="eastAsia" w:ascii="宋体" w:hAnsi="宋体" w:eastAsia="宋体" w:cs="宋体"/>
          <w:b/>
          <w:color w:val="auto"/>
          <w:highlight w:val="none"/>
        </w:rPr>
        <w:t>□</w:t>
      </w:r>
      <w:r>
        <w:rPr>
          <w:rFonts w:hint="eastAsia" w:ascii="宋体" w:hAnsi="宋体" w:eastAsia="宋体" w:cs="宋体"/>
          <w:bCs/>
          <w:color w:val="auto"/>
          <w:highlight w:val="none"/>
          <w:u w:val="single"/>
        </w:rPr>
        <w:t xml:space="preserve">不乘下浮系数）计算，其中材料价格按施工期间的《贺州市建设工程造价信息》相应价格信息进行计算；《贺州市建设工程造价信息》没有相应价格信息的按市场价计算；无定额可套的，根据市场价格协商确定综合价格；对于国有资产投资的项目，新增项目的单价必须经 </w:t>
      </w:r>
      <w:r>
        <w:rPr>
          <w:rFonts w:hint="eastAsia" w:ascii="宋体" w:hAnsi="宋体" w:eastAsia="宋体" w:cs="宋体"/>
          <w:b/>
          <w:bCs w:val="0"/>
          <w:color w:val="auto"/>
          <w:highlight w:val="none"/>
          <w:u w:val="single"/>
        </w:rPr>
        <w:t>相关审计部门</w:t>
      </w:r>
      <w:r>
        <w:rPr>
          <w:rFonts w:hint="eastAsia" w:ascii="宋体" w:hAnsi="宋体" w:eastAsia="宋体" w:cs="宋体"/>
          <w:bCs/>
          <w:color w:val="auto"/>
          <w:highlight w:val="none"/>
          <w:u w:val="single"/>
          <w:lang w:val="en-US" w:eastAsia="zh-CN"/>
        </w:rPr>
        <w:t xml:space="preserve"> </w:t>
      </w:r>
      <w:r>
        <w:rPr>
          <w:rFonts w:hint="eastAsia" w:ascii="宋体" w:hAnsi="宋体" w:eastAsia="宋体" w:cs="宋体"/>
          <w:bCs/>
          <w:color w:val="auto"/>
          <w:highlight w:val="none"/>
          <w:u w:val="single"/>
        </w:rPr>
        <w:t>审定</w:t>
      </w:r>
      <w:bookmarkEnd w:id="804"/>
      <w:r>
        <w:rPr>
          <w:rFonts w:hint="eastAsia" w:ascii="宋体" w:hAnsi="宋体" w:eastAsia="宋体" w:cs="宋体"/>
          <w:color w:val="auto"/>
          <w:highlight w:val="none"/>
        </w:rPr>
        <w:t>。</w:t>
      </w:r>
    </w:p>
    <w:p w14:paraId="1FD75026">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工程变更导致实际完成的变更工程量与已标价清单或预算书中列明的该项目工程量有偏差时，其综合单价的确定按专用条款“1.13工程量清单错误的修正”执行。</w:t>
      </w:r>
      <w:bookmarkStart w:id="805" w:name="_Toc389065309"/>
      <w:bookmarkStart w:id="806" w:name="_Toc373478390"/>
      <w:bookmarkStart w:id="807" w:name="_Toc373227743"/>
    </w:p>
    <w:p w14:paraId="22275FED">
      <w:pPr>
        <w:pStyle w:val="4"/>
        <w:rPr>
          <w:rFonts w:hint="eastAsia" w:ascii="宋体" w:hAnsi="宋体" w:eastAsia="宋体" w:cs="宋体"/>
          <w:color w:val="auto"/>
          <w:highlight w:val="none"/>
        </w:rPr>
      </w:pPr>
      <w:bookmarkStart w:id="808" w:name="_Toc511243595"/>
      <w:bookmarkStart w:id="809" w:name="_Toc511243369"/>
      <w:bookmarkStart w:id="810" w:name="_Toc465114903"/>
      <w:bookmarkStart w:id="811" w:name="_Toc509760047"/>
      <w:r>
        <w:rPr>
          <w:rFonts w:hint="eastAsia" w:ascii="宋体" w:hAnsi="宋体" w:eastAsia="宋体" w:cs="宋体"/>
          <w:color w:val="auto"/>
          <w:highlight w:val="none"/>
        </w:rPr>
        <w:t>1</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Start w:id="812" w:name="_Toc300934993"/>
      <w:bookmarkStart w:id="813" w:name="_Toc292559907"/>
      <w:bookmarkStart w:id="814" w:name="_Toc297123544"/>
      <w:bookmarkStart w:id="815" w:name="_Toc297216203"/>
      <w:bookmarkStart w:id="816" w:name="_Toc296346698"/>
      <w:bookmarkStart w:id="817" w:name="_Toc296503197"/>
      <w:bookmarkStart w:id="818" w:name="_Toc296347196"/>
      <w:bookmarkStart w:id="819" w:name="_Toc303539150"/>
      <w:bookmarkStart w:id="820" w:name="_Toc297120497"/>
      <w:bookmarkStart w:id="821" w:name="_Toc296944536"/>
      <w:bookmarkStart w:id="822" w:name="_Toc296891237"/>
      <w:bookmarkStart w:id="823" w:name="_Toc297048383"/>
      <w:bookmarkStart w:id="824" w:name="_Toc292559402"/>
      <w:bookmarkStart w:id="825" w:name="_Toc296891025"/>
      <w:bookmarkStart w:id="826" w:name="_Toc304295570"/>
      <w:bookmarkStart w:id="827" w:name="_Toc312677503"/>
      <w:bookmarkStart w:id="828" w:name="_Toc312678029"/>
      <w:r>
        <w:rPr>
          <w:rFonts w:hint="eastAsia" w:ascii="宋体" w:hAnsi="宋体" w:eastAsia="宋体" w:cs="宋体"/>
          <w:color w:val="auto"/>
          <w:highlight w:val="none"/>
        </w:rPr>
        <w:t>0.5 承</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Start w:id="829" w:name="_Toc292559408"/>
      <w:bookmarkStart w:id="830" w:name="_Toc296346704"/>
      <w:bookmarkStart w:id="831" w:name="_Toc296503203"/>
      <w:bookmarkStart w:id="832" w:name="_Toc297123545"/>
      <w:bookmarkStart w:id="833" w:name="_Toc297120503"/>
      <w:bookmarkStart w:id="834" w:name="_Toc292559913"/>
      <w:bookmarkStart w:id="835" w:name="_Toc303539151"/>
      <w:bookmarkStart w:id="836" w:name="_Toc300934994"/>
      <w:bookmarkStart w:id="837" w:name="_Toc297216204"/>
      <w:bookmarkStart w:id="838" w:name="_Toc296944542"/>
      <w:bookmarkStart w:id="839" w:name="_Toc296891031"/>
      <w:bookmarkStart w:id="840" w:name="_Toc297048389"/>
      <w:bookmarkStart w:id="841" w:name="_Toc296347202"/>
      <w:bookmarkStart w:id="842" w:name="_Toc296891243"/>
      <w:r>
        <w:rPr>
          <w:rFonts w:hint="eastAsia" w:ascii="宋体" w:hAnsi="宋体" w:eastAsia="宋体" w:cs="宋体"/>
          <w:color w:val="auto"/>
          <w:highlight w:val="none"/>
        </w:rPr>
        <w:t>包人的合理化建议</w:t>
      </w:r>
      <w:bookmarkEnd w:id="805"/>
      <w:bookmarkEnd w:id="806"/>
      <w:bookmarkEnd w:id="807"/>
      <w:bookmarkEnd w:id="808"/>
      <w:bookmarkEnd w:id="809"/>
      <w:bookmarkEnd w:id="810"/>
      <w:bookmarkEnd w:id="811"/>
    </w:p>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14:paraId="1BF413F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监理人审查承包人合理化建议的期限：</w:t>
      </w:r>
      <w:r>
        <w:rPr>
          <w:rFonts w:hint="eastAsia" w:ascii="宋体" w:hAnsi="宋体" w:eastAsia="宋体" w:cs="宋体"/>
          <w:color w:val="auto"/>
          <w:highlight w:val="none"/>
          <w:u w:val="single"/>
        </w:rPr>
        <w:t xml:space="preserve">自承包人提交合理化建议后7日内  </w:t>
      </w:r>
      <w:r>
        <w:rPr>
          <w:rFonts w:hint="eastAsia" w:ascii="宋体" w:hAnsi="宋体" w:eastAsia="宋体" w:cs="宋体"/>
          <w:color w:val="auto"/>
          <w:highlight w:val="none"/>
        </w:rPr>
        <w:t>。</w:t>
      </w:r>
    </w:p>
    <w:p w14:paraId="3630A90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发包人审批承包人合理化建议的期限：</w:t>
      </w:r>
      <w:r>
        <w:rPr>
          <w:rFonts w:hint="eastAsia" w:ascii="宋体" w:hAnsi="宋体" w:eastAsia="宋体" w:cs="宋体"/>
          <w:color w:val="auto"/>
          <w:highlight w:val="none"/>
          <w:u w:val="single"/>
        </w:rPr>
        <w:t xml:space="preserve">自收到监理人审核的承包人合理化建议后7日内  </w:t>
      </w:r>
      <w:r>
        <w:rPr>
          <w:rFonts w:hint="eastAsia" w:ascii="宋体" w:hAnsi="宋体" w:eastAsia="宋体" w:cs="宋体"/>
          <w:color w:val="auto"/>
          <w:highlight w:val="none"/>
        </w:rPr>
        <w:t>。</w:t>
      </w:r>
    </w:p>
    <w:p w14:paraId="60CFB91A">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承</w:t>
      </w:r>
      <w:bookmarkStart w:id="843" w:name="_Toc296891244"/>
      <w:bookmarkStart w:id="844" w:name="_Toc304295571"/>
      <w:bookmarkStart w:id="845" w:name="_Toc296503204"/>
      <w:bookmarkStart w:id="846" w:name="_Toc297216205"/>
      <w:bookmarkStart w:id="847" w:name="_Toc318581175"/>
      <w:bookmarkStart w:id="848" w:name="_Toc292559914"/>
      <w:bookmarkStart w:id="849" w:name="_Toc292559409"/>
      <w:bookmarkStart w:id="850" w:name="_Toc297120504"/>
      <w:bookmarkStart w:id="851" w:name="_Toc312677504"/>
      <w:bookmarkStart w:id="852" w:name="_Toc300934995"/>
      <w:bookmarkStart w:id="853" w:name="_Toc296347203"/>
      <w:bookmarkStart w:id="854" w:name="_Toc297123546"/>
      <w:bookmarkStart w:id="855" w:name="_Toc312678030"/>
      <w:bookmarkStart w:id="856" w:name="_Toc296891032"/>
      <w:bookmarkStart w:id="857" w:name="_Toc303539152"/>
      <w:bookmarkStart w:id="858" w:name="_Toc296944543"/>
      <w:bookmarkStart w:id="859" w:name="_Toc297048390"/>
      <w:bookmarkStart w:id="860" w:name="_Toc296346705"/>
      <w:r>
        <w:rPr>
          <w:rFonts w:hint="eastAsia" w:ascii="宋体" w:hAnsi="宋体" w:eastAsia="宋体" w:cs="宋体"/>
          <w:color w:val="auto"/>
          <w:highlight w:val="none"/>
        </w:rPr>
        <w:t>包人提出的合理化建议降低了合同价格或者提高了工程经济效益的奖励的方法和金额为：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14:paraId="5040C840">
      <w:pPr>
        <w:pStyle w:val="4"/>
        <w:rPr>
          <w:rFonts w:hint="eastAsia" w:ascii="宋体" w:hAnsi="宋体" w:eastAsia="宋体" w:cs="宋体"/>
          <w:color w:val="auto"/>
          <w:highlight w:val="none"/>
        </w:rPr>
      </w:pPr>
      <w:bookmarkStart w:id="861" w:name="_Toc389065310"/>
      <w:bookmarkStart w:id="862" w:name="_Toc465114904"/>
      <w:bookmarkStart w:id="863" w:name="_Toc373227744"/>
      <w:bookmarkStart w:id="864" w:name="_Toc511243596"/>
      <w:bookmarkStart w:id="865" w:name="_Toc511243370"/>
      <w:bookmarkStart w:id="866" w:name="_Toc509760048"/>
      <w:bookmarkStart w:id="867" w:name="_Toc373478391"/>
      <w:r>
        <w:rPr>
          <w:rFonts w:hint="eastAsia" w:ascii="宋体" w:hAnsi="宋体" w:eastAsia="宋体" w:cs="宋体"/>
          <w:color w:val="auto"/>
          <w:highlight w:val="none"/>
        </w:rPr>
        <w:t>1</w:t>
      </w:r>
      <w:bookmarkStart w:id="868" w:name="_Toc292559404"/>
      <w:bookmarkStart w:id="869" w:name="_Toc296346700"/>
      <w:bookmarkStart w:id="870" w:name="_Toc304295574"/>
      <w:bookmarkStart w:id="871" w:name="_Toc297123548"/>
      <w:bookmarkStart w:id="872" w:name="_Toc296347198"/>
      <w:bookmarkStart w:id="873" w:name="_Toc296944538"/>
      <w:bookmarkStart w:id="874" w:name="_Toc312677507"/>
      <w:bookmarkStart w:id="875" w:name="_Toc300934997"/>
      <w:bookmarkStart w:id="876" w:name="_Toc297120499"/>
      <w:bookmarkStart w:id="877" w:name="_Toc297048385"/>
      <w:bookmarkStart w:id="878" w:name="_Toc292559909"/>
      <w:bookmarkStart w:id="879" w:name="_Toc303539154"/>
      <w:bookmarkStart w:id="880" w:name="_Toc296891239"/>
      <w:bookmarkStart w:id="881" w:name="_Toc296503199"/>
      <w:bookmarkStart w:id="882" w:name="_Toc312678033"/>
      <w:bookmarkStart w:id="883" w:name="_Toc297216207"/>
      <w:bookmarkStart w:id="884" w:name="_Toc296891027"/>
      <w:r>
        <w:rPr>
          <w:rFonts w:hint="eastAsia" w:ascii="宋体" w:hAnsi="宋体" w:eastAsia="宋体" w:cs="宋体"/>
          <w:color w:val="auto"/>
          <w:highlight w:val="none"/>
        </w:rPr>
        <w:t>0.7 暂估价</w:t>
      </w:r>
      <w:bookmarkEnd w:id="861"/>
      <w:bookmarkEnd w:id="862"/>
      <w:bookmarkEnd w:id="863"/>
      <w:bookmarkEnd w:id="864"/>
      <w:bookmarkEnd w:id="865"/>
      <w:bookmarkEnd w:id="866"/>
      <w:bookmarkEnd w:id="867"/>
    </w:p>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14:paraId="457BD42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暂</w:t>
      </w:r>
      <w:bookmarkStart w:id="885" w:name="_Toc312678034"/>
      <w:bookmarkStart w:id="886" w:name="_Toc312677508"/>
      <w:bookmarkStart w:id="887" w:name="_Toc318581176"/>
      <w:r>
        <w:rPr>
          <w:rFonts w:hint="eastAsia" w:ascii="宋体" w:hAnsi="宋体" w:eastAsia="宋体" w:cs="宋体"/>
          <w:color w:val="auto"/>
          <w:kern w:val="0"/>
          <w:highlight w:val="none"/>
        </w:rPr>
        <w:t>估价材料和工程设备的明细详见已标价工程量清单《</w:t>
      </w:r>
      <w:r>
        <w:rPr>
          <w:rFonts w:hint="eastAsia" w:ascii="宋体" w:hAnsi="宋体" w:eastAsia="宋体" w:cs="宋体"/>
          <w:color w:val="auto"/>
          <w:highlight w:val="none"/>
        </w:rPr>
        <w:t>材料（工程设备）暂估价格及调整表》</w:t>
      </w:r>
      <w:r>
        <w:rPr>
          <w:rFonts w:hint="eastAsia" w:ascii="宋体" w:hAnsi="宋体" w:eastAsia="宋体" w:cs="宋体"/>
          <w:color w:val="auto"/>
          <w:kern w:val="0"/>
          <w:highlight w:val="none"/>
        </w:rPr>
        <w:t>（表12-2）和《</w:t>
      </w:r>
      <w:r>
        <w:rPr>
          <w:rFonts w:hint="eastAsia" w:ascii="宋体" w:hAnsi="宋体" w:eastAsia="宋体" w:cs="宋体"/>
          <w:color w:val="auto"/>
          <w:highlight w:val="none"/>
        </w:rPr>
        <w:t>专业工程暂估价表》（</w:t>
      </w:r>
      <w:r>
        <w:rPr>
          <w:rFonts w:hint="eastAsia" w:ascii="宋体" w:hAnsi="宋体" w:eastAsia="宋体" w:cs="宋体"/>
          <w:color w:val="auto"/>
          <w:kern w:val="0"/>
          <w:highlight w:val="none"/>
        </w:rPr>
        <w:t>表12-3）。</w:t>
      </w:r>
    </w:p>
    <w:bookmarkEnd w:id="885"/>
    <w:bookmarkEnd w:id="886"/>
    <w:bookmarkEnd w:id="887"/>
    <w:p w14:paraId="7F013CD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w:t>
      </w:r>
      <w:bookmarkStart w:id="888" w:name="_Toc312678035"/>
      <w:bookmarkStart w:id="889" w:name="_Toc312677509"/>
      <w:bookmarkStart w:id="890" w:name="_Toc318581177"/>
      <w:r>
        <w:rPr>
          <w:rFonts w:hint="eastAsia" w:ascii="宋体" w:hAnsi="宋体" w:eastAsia="宋体" w:cs="宋体"/>
          <w:color w:val="auto"/>
          <w:highlight w:val="none"/>
        </w:rPr>
        <w:t>0.7.1 依法必须招标的暂估价项目</w:t>
      </w:r>
    </w:p>
    <w:bookmarkEnd w:id="888"/>
    <w:bookmarkEnd w:id="889"/>
    <w:bookmarkEnd w:id="890"/>
    <w:p w14:paraId="7E7EF10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对于依法必须招标的暂估价项目的确认和批准采取第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种方式确定。</w:t>
      </w:r>
    </w:p>
    <w:p w14:paraId="3A2E8A0A">
      <w:pPr>
        <w:pStyle w:val="21"/>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第1种方式：对于依法必须招标的暂估价项目，由承包人招标，对该暂估价项目的确认和批准按照以下约定执行：</w:t>
      </w:r>
    </w:p>
    <w:p w14:paraId="75F5FFB7">
      <w:pPr>
        <w:pStyle w:val="21"/>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25C7831C">
      <w:pPr>
        <w:pStyle w:val="21"/>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承包人应当根据施工进度计划，提前14天将招标文件通过监理人报送发包人审批，发包人应当在收到承包人报送的相关文件后7天内完成审批或提出修改意见；发包人有权确定招标控制价并委派评标委员会成员；</w:t>
      </w:r>
    </w:p>
    <w:p w14:paraId="387325C4">
      <w:pPr>
        <w:pStyle w:val="21"/>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6A2E9E8C">
      <w:pPr>
        <w:pStyle w:val="21"/>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2种方式：对于依法必须招标的暂估价项目，由发包人和承包人共同招标确定暂估价供应商或分包人的，承包人应按照施工进度计划，在招标工作启动前14天通知发包人，并提交暂估价项目招标方案和工作分工。发包人应在收到后7天内确认；招标过程中发包人有权确定招标控制价并委派评标委员会成员。确定中标人后，由发包人、承包人与中标人共同签订暂估价合同。</w:t>
      </w:r>
    </w:p>
    <w:p w14:paraId="1F8B779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10.7.2 不属于依法必须招标的暂估价项目</w:t>
      </w:r>
    </w:p>
    <w:p w14:paraId="5878EFD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对于不属于依法必须招标的暂估价项目的确认和批准采取第</w:t>
      </w:r>
      <w:r>
        <w:rPr>
          <w:rFonts w:hint="eastAsia" w:ascii="宋体" w:hAnsi="宋体" w:eastAsia="宋体" w:cs="宋体"/>
          <w:color w:val="auto"/>
          <w:highlight w:val="none"/>
          <w:u w:val="single"/>
        </w:rPr>
        <w:t xml:space="preserve">  1 </w:t>
      </w:r>
      <w:r>
        <w:rPr>
          <w:rFonts w:hint="eastAsia" w:ascii="宋体" w:hAnsi="宋体" w:eastAsia="宋体" w:cs="宋体"/>
          <w:color w:val="auto"/>
          <w:highlight w:val="none"/>
        </w:rPr>
        <w:t xml:space="preserve"> 种方式确定。</w:t>
      </w:r>
    </w:p>
    <w:p w14:paraId="19F3E5A7">
      <w:pPr>
        <w:pStyle w:val="21"/>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第1种方式：对于不属于依法必须招标的暂估价项目，按本项约定确认和批准：</w:t>
      </w:r>
    </w:p>
    <w:p w14:paraId="01C4BF93">
      <w:pPr>
        <w:pStyle w:val="21"/>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A6FF301">
      <w:pPr>
        <w:pStyle w:val="21"/>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发包人认为承包人确定的供应商、分包人无法满足工程质量或合同要求的，发包人可以要求承包人重新确定暂估价项目的供应商、分包人；（3）承包人应当在签订暂估价合同后7天内，将暂估价合同副本报送发包人留存。</w:t>
      </w:r>
    </w:p>
    <w:p w14:paraId="09449A91">
      <w:pPr>
        <w:pStyle w:val="21"/>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第2种方式：承包人按照第10.7.1项【依法必须招标的暂估价项目】约定的第1种方式确定暂估价项目。</w:t>
      </w:r>
    </w:p>
    <w:p w14:paraId="26FF8DCC">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第3种方式：</w:t>
      </w:r>
      <w:r>
        <w:rPr>
          <w:rFonts w:hint="eastAsia" w:ascii="宋体" w:hAnsi="宋体" w:eastAsia="宋体" w:cs="宋体"/>
          <w:color w:val="auto"/>
          <w:kern w:val="0"/>
          <w:highlight w:val="none"/>
        </w:rPr>
        <w:t>承包人直接实施的暂估价项目</w:t>
      </w:r>
    </w:p>
    <w:p w14:paraId="10A6231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承包人直接实施的暂估价项目的约定：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DF1EED3">
      <w:pPr>
        <w:pStyle w:val="4"/>
        <w:rPr>
          <w:rFonts w:hint="eastAsia" w:ascii="宋体" w:hAnsi="宋体" w:eastAsia="宋体" w:cs="宋体"/>
          <w:color w:val="auto"/>
          <w:highlight w:val="none"/>
        </w:rPr>
      </w:pPr>
      <w:bookmarkStart w:id="891" w:name="_Toc509760049"/>
      <w:bookmarkStart w:id="892" w:name="_Toc389065311"/>
      <w:bookmarkStart w:id="893" w:name="_Toc511243371"/>
      <w:bookmarkStart w:id="894" w:name="_Toc465114905"/>
      <w:bookmarkStart w:id="895" w:name="_Toc373227745"/>
      <w:bookmarkStart w:id="896" w:name="_Toc373478392"/>
      <w:bookmarkStart w:id="897" w:name="_Toc511243597"/>
      <w:r>
        <w:rPr>
          <w:rFonts w:hint="eastAsia" w:ascii="宋体" w:hAnsi="宋体" w:eastAsia="宋体" w:cs="宋体"/>
          <w:color w:val="auto"/>
          <w:highlight w:val="none"/>
        </w:rPr>
        <w:t>10.8 暂列金额</w:t>
      </w:r>
      <w:bookmarkEnd w:id="891"/>
      <w:bookmarkEnd w:id="892"/>
      <w:bookmarkEnd w:id="893"/>
      <w:bookmarkEnd w:id="894"/>
      <w:bookmarkEnd w:id="895"/>
      <w:bookmarkEnd w:id="896"/>
      <w:bookmarkEnd w:id="897"/>
    </w:p>
    <w:p w14:paraId="4039AEB7">
      <w:pPr>
        <w:autoSpaceDE w:val="0"/>
        <w:autoSpaceDN w:val="0"/>
        <w:adjustRightInd w:val="0"/>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合同当事人关于暂列金额使用的约定：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2594F267">
      <w:pPr>
        <w:pStyle w:val="3"/>
        <w:keepNext/>
        <w:keepLines/>
        <w:pageBreakBefore w:val="0"/>
        <w:widowControl w:val="0"/>
        <w:kinsoku/>
        <w:wordWrap/>
        <w:overflowPunct/>
        <w:topLinePunct w:val="0"/>
        <w:autoSpaceDE/>
        <w:autoSpaceDN/>
        <w:bidi w:val="0"/>
        <w:adjustRightInd/>
        <w:snapToGrid/>
        <w:spacing w:before="157" w:beforeLines="50"/>
        <w:textAlignment w:val="auto"/>
        <w:rPr>
          <w:rFonts w:hint="eastAsia" w:ascii="宋体" w:hAnsi="宋体" w:eastAsia="宋体" w:cs="宋体"/>
          <w:color w:val="auto"/>
          <w:highlight w:val="none"/>
        </w:rPr>
      </w:pPr>
      <w:bookmarkStart w:id="898" w:name="_Toc389065312"/>
      <w:bookmarkStart w:id="899" w:name="_Toc511243598"/>
      <w:bookmarkStart w:id="900" w:name="_Toc465114906"/>
      <w:bookmarkStart w:id="901" w:name="_Toc373478393"/>
      <w:bookmarkStart w:id="902" w:name="_Toc511243372"/>
      <w:bookmarkStart w:id="903" w:name="_Toc509760050"/>
      <w:bookmarkStart w:id="904" w:name="_Toc351203643"/>
      <w:bookmarkStart w:id="905" w:name="_Toc373227746"/>
      <w:r>
        <w:rPr>
          <w:rFonts w:hint="eastAsia" w:ascii="宋体" w:hAnsi="宋体" w:eastAsia="宋体" w:cs="宋体"/>
          <w:color w:val="auto"/>
          <w:highlight w:val="none"/>
        </w:rPr>
        <w:t>11. 价格调整</w:t>
      </w:r>
      <w:bookmarkEnd w:id="898"/>
      <w:bookmarkEnd w:id="899"/>
      <w:bookmarkEnd w:id="900"/>
      <w:bookmarkEnd w:id="901"/>
      <w:bookmarkEnd w:id="902"/>
      <w:bookmarkEnd w:id="903"/>
      <w:bookmarkEnd w:id="904"/>
      <w:bookmarkEnd w:id="905"/>
    </w:p>
    <w:p w14:paraId="1C1DA7DF">
      <w:pPr>
        <w:pStyle w:val="4"/>
        <w:rPr>
          <w:rFonts w:hint="eastAsia" w:ascii="宋体" w:hAnsi="宋体" w:eastAsia="宋体" w:cs="宋体"/>
          <w:color w:val="auto"/>
          <w:highlight w:val="none"/>
        </w:rPr>
      </w:pPr>
      <w:bookmarkStart w:id="906" w:name="_Toc511243373"/>
      <w:bookmarkStart w:id="907" w:name="_Toc373227747"/>
      <w:bookmarkStart w:id="908" w:name="_Toc465114907"/>
      <w:bookmarkStart w:id="909" w:name="_Toc389065313"/>
      <w:bookmarkStart w:id="910" w:name="_Toc509760051"/>
      <w:bookmarkStart w:id="911" w:name="_Toc511243599"/>
      <w:bookmarkStart w:id="912" w:name="_Toc373478394"/>
      <w:bookmarkStart w:id="913" w:name="_Toc296891241"/>
      <w:bookmarkStart w:id="914" w:name="_Toc297120501"/>
      <w:bookmarkStart w:id="915" w:name="_Toc304295577"/>
      <w:bookmarkStart w:id="916" w:name="_Toc300935000"/>
      <w:bookmarkStart w:id="917" w:name="_Toc297123550"/>
      <w:bookmarkStart w:id="918" w:name="_Toc297048387"/>
      <w:bookmarkStart w:id="919" w:name="_Toc292559406"/>
      <w:bookmarkStart w:id="920" w:name="_Toc303539157"/>
      <w:bookmarkStart w:id="921" w:name="_Toc296891029"/>
      <w:bookmarkStart w:id="922" w:name="_Toc296503201"/>
      <w:bookmarkStart w:id="923" w:name="_Toc296347200"/>
      <w:bookmarkStart w:id="924" w:name="_Toc312678039"/>
      <w:bookmarkStart w:id="925" w:name="_Toc296944540"/>
      <w:bookmarkStart w:id="926" w:name="_Toc297216209"/>
      <w:bookmarkStart w:id="927" w:name="_Toc296346702"/>
      <w:bookmarkStart w:id="928" w:name="_Toc292559911"/>
      <w:r>
        <w:rPr>
          <w:rFonts w:hint="eastAsia" w:ascii="宋体" w:hAnsi="宋体" w:eastAsia="宋体" w:cs="宋体"/>
          <w:color w:val="auto"/>
          <w:highlight w:val="none"/>
        </w:rPr>
        <w:t>11.1 市场价格波动引起的调整</w:t>
      </w:r>
      <w:bookmarkEnd w:id="906"/>
      <w:bookmarkEnd w:id="907"/>
      <w:bookmarkEnd w:id="908"/>
      <w:bookmarkEnd w:id="909"/>
      <w:bookmarkEnd w:id="910"/>
      <w:bookmarkEnd w:id="911"/>
      <w:bookmarkEnd w:id="912"/>
    </w:p>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14:paraId="75D026BB">
      <w:pPr>
        <w:keepNext w:val="0"/>
        <w:keepLines w:val="0"/>
        <w:pageBreakBefore w:val="0"/>
        <w:widowControl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highlight w:val="none"/>
        </w:rPr>
        <w:t>市场价格波动是否调整合同价格的约定：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按第2种方式进行调整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568C84B">
      <w:pPr>
        <w:keepNext w:val="0"/>
        <w:keepLines w:val="0"/>
        <w:pageBreakBefore w:val="0"/>
        <w:widowControl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因市场价格波动调整合同价格，采用以下第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种方式对合同价格进行调整：</w:t>
      </w:r>
    </w:p>
    <w:p w14:paraId="21042968">
      <w:pPr>
        <w:keepNext w:val="0"/>
        <w:keepLines w:val="0"/>
        <w:pageBreakBefore w:val="0"/>
        <w:widowControl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第1种方式：采用价格指数进行价格调整。</w:t>
      </w:r>
    </w:p>
    <w:p w14:paraId="794FED29">
      <w:pPr>
        <w:keepNext w:val="0"/>
        <w:keepLines w:val="0"/>
        <w:pageBreakBefore w:val="0"/>
        <w:widowControl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关于各可调因子、定值和变值权重，以及基本价格指数及其来源的约定：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77886FFF">
      <w:pPr>
        <w:keepNext w:val="0"/>
        <w:keepLines w:val="0"/>
        <w:pageBreakBefore w:val="0"/>
        <w:widowControl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第2种方式：采用造价信息进行价格调整。</w:t>
      </w:r>
    </w:p>
    <w:p w14:paraId="0A974290">
      <w:pPr>
        <w:keepNext w:val="0"/>
        <w:keepLines w:val="0"/>
        <w:pageBreakBefore w:val="0"/>
        <w:widowControl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（1）允许调整的主要材料和设备、基期价格、风险系数、投标报价：详见《承包人提供主要材料和设备一览表》。</w:t>
      </w:r>
    </w:p>
    <w:p w14:paraId="2D4CEB4E">
      <w:pPr>
        <w:keepNext w:val="0"/>
        <w:keepLines w:val="0"/>
        <w:pageBreakBefore w:val="0"/>
        <w:widowControl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（2）主要材料和设备确认价：</w:t>
      </w:r>
    </w:p>
    <w:p w14:paraId="5CD6CEF5">
      <w:pPr>
        <w:keepNext w:val="0"/>
        <w:keepLines w:val="0"/>
        <w:pageBreakBefore w:val="0"/>
        <w:widowControl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主要材料单价按照《</w:t>
      </w:r>
      <w:r>
        <w:rPr>
          <w:rFonts w:hint="eastAsia" w:ascii="宋体" w:hAnsi="宋体" w:eastAsia="宋体" w:cs="宋体"/>
          <w:color w:val="auto"/>
          <w:highlight w:val="none"/>
          <w:lang w:eastAsia="zh-CN"/>
        </w:rPr>
        <w:t>贺州</w:t>
      </w:r>
      <w:r>
        <w:rPr>
          <w:rFonts w:hint="eastAsia" w:ascii="宋体" w:hAnsi="宋体" w:eastAsia="宋体" w:cs="宋体"/>
          <w:color w:val="auto"/>
          <w:highlight w:val="none"/>
        </w:rPr>
        <w:t>市建设工程造价信息》贺州市市信息公布价价格，无价格公布的参照同期邻近地区信息价及市场询价。所有材料均按5km的运距。</w:t>
      </w:r>
    </w:p>
    <w:p w14:paraId="2221754A">
      <w:pPr>
        <w:keepNext w:val="0"/>
        <w:keepLines w:val="0"/>
        <w:pageBreakBefore w:val="0"/>
        <w:widowControl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（3）价差计算方法：</w:t>
      </w:r>
    </w:p>
    <w:p w14:paraId="6D0574D3">
      <w:pPr>
        <w:keepNext w:val="0"/>
        <w:keepLines w:val="0"/>
        <w:pageBreakBefore w:val="0"/>
        <w:widowControl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①《承包人提供主要材料和设备一览表》中载明的材料投标报价低于基准价格的：合同履行期间材料和设备单价涨幅以基准价格为基础超过约定的风险范围时，或材料和设备单价跌幅以投标报价为基础超过约定的风险范围时，其超过部分据实调整。</w:t>
      </w:r>
    </w:p>
    <w:p w14:paraId="5B086906">
      <w:pPr>
        <w:keepNext w:val="0"/>
        <w:keepLines w:val="0"/>
        <w:pageBreakBefore w:val="0"/>
        <w:widowControl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14:paraId="3D5F6EF5">
      <w:pPr>
        <w:keepNext w:val="0"/>
        <w:keepLines w:val="0"/>
        <w:pageBreakBefore w:val="0"/>
        <w:widowControl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③承包人在《承包人提供主要材料和设备一览表》中载明的材料和设备单价等于基准单价的：合同履行期间材料和 设备单价涨跌幅以基准单价为基础超过约定的风险范围时，其超过部分据实调整。</w:t>
      </w:r>
    </w:p>
    <w:p w14:paraId="729945D6">
      <w:pPr>
        <w:spacing w:line="360" w:lineRule="auto"/>
        <w:ind w:firstLine="645"/>
        <w:jc w:val="left"/>
        <w:rPr>
          <w:rFonts w:hint="eastAsia" w:ascii="宋体" w:hAnsi="宋体" w:eastAsia="宋体" w:cs="宋体"/>
          <w:color w:val="auto"/>
          <w:highlight w:val="none"/>
        </w:rPr>
      </w:pPr>
      <w:r>
        <w:rPr>
          <w:rFonts w:hint="eastAsia" w:ascii="宋体" w:hAnsi="宋体" w:eastAsia="宋体" w:cs="宋体"/>
          <w:color w:val="auto"/>
          <w:highlight w:val="none"/>
        </w:rPr>
        <w:t>第3种方式：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bookmarkEnd w:id="759"/>
    <w:bookmarkEnd w:id="760"/>
    <w:bookmarkEnd w:id="761"/>
    <w:bookmarkEnd w:id="762"/>
    <w:bookmarkEnd w:id="763"/>
    <w:bookmarkEnd w:id="764"/>
    <w:p w14:paraId="346979ED">
      <w:pPr>
        <w:pStyle w:val="3"/>
        <w:keepNext/>
        <w:keepLines/>
        <w:pageBreakBefore w:val="0"/>
        <w:widowControl w:val="0"/>
        <w:kinsoku/>
        <w:wordWrap/>
        <w:overflowPunct/>
        <w:topLinePunct w:val="0"/>
        <w:autoSpaceDE/>
        <w:autoSpaceDN/>
        <w:bidi w:val="0"/>
        <w:adjustRightInd/>
        <w:snapToGrid/>
        <w:spacing w:before="157" w:beforeLines="50"/>
        <w:textAlignment w:val="auto"/>
        <w:rPr>
          <w:rFonts w:hint="eastAsia" w:ascii="宋体" w:hAnsi="宋体" w:eastAsia="宋体" w:cs="宋体"/>
          <w:color w:val="auto"/>
          <w:highlight w:val="none"/>
        </w:rPr>
      </w:pPr>
      <w:bookmarkStart w:id="929" w:name="_Toc292559915"/>
      <w:bookmarkStart w:id="930" w:name="_Toc296347204"/>
      <w:bookmarkStart w:id="931" w:name="_Toc296891245"/>
      <w:bookmarkStart w:id="932" w:name="_Toc296503205"/>
      <w:bookmarkStart w:id="933" w:name="_Toc296944544"/>
      <w:bookmarkStart w:id="934" w:name="_Toc292559410"/>
      <w:bookmarkStart w:id="935" w:name="_Toc297048391"/>
      <w:bookmarkStart w:id="936" w:name="_Toc296891033"/>
      <w:bookmarkStart w:id="937" w:name="_Toc296346706"/>
      <w:bookmarkStart w:id="938" w:name="_Toc297120505"/>
      <w:bookmarkStart w:id="939" w:name="_Toc351203644"/>
      <w:bookmarkStart w:id="940" w:name="_Toc373478395"/>
      <w:bookmarkStart w:id="941" w:name="_Toc509760052"/>
      <w:bookmarkStart w:id="942" w:name="_Toc511243374"/>
      <w:bookmarkStart w:id="943" w:name="_Toc511243600"/>
      <w:bookmarkStart w:id="944" w:name="_Toc373227748"/>
      <w:bookmarkStart w:id="945" w:name="_Toc465114908"/>
      <w:bookmarkStart w:id="946" w:name="_Toc303539159"/>
      <w:bookmarkStart w:id="947" w:name="_Toc304295579"/>
      <w:bookmarkStart w:id="948" w:name="_Toc300935002"/>
      <w:bookmarkStart w:id="949" w:name="_Toc312678040"/>
      <w:bookmarkStart w:id="950" w:name="_Toc297216211"/>
      <w:bookmarkStart w:id="951" w:name="_Toc297123552"/>
      <w:r>
        <w:rPr>
          <w:rFonts w:hint="eastAsia" w:ascii="宋体" w:hAnsi="宋体" w:eastAsia="宋体" w:cs="宋体"/>
          <w:color w:val="auto"/>
          <w:highlight w:val="none"/>
        </w:rPr>
        <w:t xml:space="preserve">12. </w:t>
      </w:r>
      <w:bookmarkEnd w:id="929"/>
      <w:bookmarkEnd w:id="930"/>
      <w:bookmarkEnd w:id="931"/>
      <w:bookmarkEnd w:id="932"/>
      <w:bookmarkEnd w:id="933"/>
      <w:bookmarkEnd w:id="934"/>
      <w:bookmarkEnd w:id="935"/>
      <w:bookmarkEnd w:id="936"/>
      <w:bookmarkEnd w:id="937"/>
      <w:bookmarkEnd w:id="938"/>
      <w:r>
        <w:rPr>
          <w:rFonts w:hint="eastAsia" w:ascii="宋体" w:hAnsi="宋体" w:eastAsia="宋体" w:cs="宋体"/>
          <w:color w:val="auto"/>
          <w:highlight w:val="none"/>
        </w:rPr>
        <w:t>合同价格、计量与支付</w:t>
      </w:r>
      <w:bookmarkEnd w:id="939"/>
      <w:bookmarkEnd w:id="940"/>
      <w:bookmarkEnd w:id="941"/>
      <w:bookmarkEnd w:id="942"/>
      <w:bookmarkEnd w:id="943"/>
      <w:bookmarkEnd w:id="944"/>
      <w:bookmarkEnd w:id="945"/>
    </w:p>
    <w:bookmarkEnd w:id="946"/>
    <w:bookmarkEnd w:id="947"/>
    <w:bookmarkEnd w:id="948"/>
    <w:bookmarkEnd w:id="949"/>
    <w:bookmarkEnd w:id="950"/>
    <w:bookmarkEnd w:id="951"/>
    <w:p w14:paraId="30AAB8B4">
      <w:pPr>
        <w:pStyle w:val="4"/>
        <w:rPr>
          <w:rFonts w:hint="eastAsia" w:ascii="宋体" w:hAnsi="宋体" w:eastAsia="宋体" w:cs="宋体"/>
          <w:color w:val="auto"/>
          <w:highlight w:val="none"/>
        </w:rPr>
      </w:pPr>
      <w:bookmarkStart w:id="952" w:name="_Toc292559411"/>
      <w:bookmarkStart w:id="953" w:name="_Toc267251461"/>
      <w:bookmarkStart w:id="954" w:name="_Toc292559916"/>
      <w:bookmarkStart w:id="955" w:name="_Toc296891246"/>
      <w:bookmarkStart w:id="956" w:name="_Toc296891034"/>
      <w:bookmarkStart w:id="957" w:name="_Toc296944545"/>
      <w:bookmarkStart w:id="958" w:name="_Toc296347205"/>
      <w:bookmarkStart w:id="959" w:name="_Toc297048392"/>
      <w:bookmarkStart w:id="960" w:name="_Toc296503206"/>
      <w:bookmarkStart w:id="961" w:name="_Toc297120506"/>
      <w:bookmarkStart w:id="962" w:name="_Toc296346707"/>
      <w:bookmarkStart w:id="963" w:name="_Toc373227749"/>
      <w:bookmarkStart w:id="964" w:name="_Toc511243601"/>
      <w:bookmarkStart w:id="965" w:name="_Toc511243375"/>
      <w:bookmarkStart w:id="966" w:name="_Toc509760053"/>
      <w:bookmarkStart w:id="967" w:name="_Toc389065314"/>
      <w:bookmarkStart w:id="968" w:name="_Toc465114909"/>
      <w:bookmarkStart w:id="969" w:name="_Toc373478396"/>
      <w:bookmarkStart w:id="970" w:name="_Toc300935003"/>
      <w:bookmarkStart w:id="971" w:name="_Toc312678041"/>
      <w:bookmarkStart w:id="972" w:name="_Toc297123553"/>
      <w:bookmarkStart w:id="973" w:name="_Toc297216212"/>
      <w:bookmarkStart w:id="974" w:name="_Toc304295580"/>
      <w:bookmarkStart w:id="975" w:name="_Toc303539160"/>
      <w:r>
        <w:rPr>
          <w:rFonts w:hint="eastAsia" w:ascii="宋体" w:hAnsi="宋体" w:eastAsia="宋体" w:cs="宋体"/>
          <w:color w:val="auto"/>
          <w:highlight w:val="none"/>
        </w:rPr>
        <w:t>12.1 合</w:t>
      </w:r>
      <w:bookmarkEnd w:id="952"/>
      <w:bookmarkEnd w:id="953"/>
      <w:bookmarkEnd w:id="954"/>
      <w:r>
        <w:rPr>
          <w:rFonts w:hint="eastAsia" w:ascii="宋体" w:hAnsi="宋体" w:eastAsia="宋体" w:cs="宋体"/>
          <w:color w:val="auto"/>
          <w:highlight w:val="none"/>
        </w:rPr>
        <w:t>同价</w:t>
      </w:r>
      <w:bookmarkEnd w:id="955"/>
      <w:bookmarkEnd w:id="956"/>
      <w:bookmarkEnd w:id="957"/>
      <w:bookmarkEnd w:id="958"/>
      <w:bookmarkEnd w:id="959"/>
      <w:bookmarkEnd w:id="960"/>
      <w:bookmarkEnd w:id="961"/>
      <w:bookmarkEnd w:id="962"/>
      <w:r>
        <w:rPr>
          <w:rFonts w:hint="eastAsia" w:ascii="宋体" w:hAnsi="宋体" w:eastAsia="宋体" w:cs="宋体"/>
          <w:color w:val="auto"/>
          <w:highlight w:val="none"/>
        </w:rPr>
        <w:t>格形式</w:t>
      </w:r>
      <w:bookmarkEnd w:id="963"/>
      <w:bookmarkEnd w:id="964"/>
      <w:bookmarkEnd w:id="965"/>
      <w:bookmarkEnd w:id="966"/>
      <w:bookmarkEnd w:id="967"/>
      <w:bookmarkEnd w:id="968"/>
      <w:bookmarkEnd w:id="969"/>
    </w:p>
    <w:bookmarkEnd w:id="970"/>
    <w:bookmarkEnd w:id="971"/>
    <w:bookmarkEnd w:id="972"/>
    <w:bookmarkEnd w:id="973"/>
    <w:bookmarkEnd w:id="974"/>
    <w:bookmarkEnd w:id="975"/>
    <w:p w14:paraId="5BDFC615">
      <w:pPr>
        <w:spacing w:line="360" w:lineRule="auto"/>
        <w:ind w:firstLine="420" w:firstLineChars="200"/>
        <w:jc w:val="left"/>
        <w:rPr>
          <w:rFonts w:hint="eastAsia" w:ascii="宋体" w:hAnsi="宋体" w:eastAsia="宋体" w:cs="宋体"/>
          <w:color w:val="auto"/>
          <w:highlight w:val="none"/>
        </w:rPr>
      </w:pPr>
      <w:bookmarkStart w:id="976" w:name="_Toc373478397"/>
      <w:bookmarkStart w:id="977" w:name="_Toc373227750"/>
      <w:bookmarkStart w:id="978" w:name="_Toc389065315"/>
      <w:bookmarkStart w:id="979" w:name="_Toc297123554"/>
      <w:bookmarkStart w:id="980" w:name="_Toc297216213"/>
      <w:bookmarkStart w:id="981" w:name="_Toc312678042"/>
      <w:bookmarkStart w:id="982" w:name="_Toc300935004"/>
      <w:bookmarkStart w:id="983" w:name="_Toc304295581"/>
      <w:bookmarkStart w:id="984" w:name="_Toc303539161"/>
      <w:bookmarkStart w:id="985" w:name="_Toc296891035"/>
      <w:bookmarkStart w:id="986" w:name="_Toc296347206"/>
      <w:bookmarkStart w:id="987" w:name="_Toc296503207"/>
      <w:bookmarkStart w:id="988" w:name="_Toc296346708"/>
      <w:bookmarkStart w:id="989" w:name="_Toc297048393"/>
      <w:bookmarkStart w:id="990" w:name="_Toc297120507"/>
      <w:bookmarkStart w:id="991" w:name="_Toc292559412"/>
      <w:bookmarkStart w:id="992" w:name="_Toc296891247"/>
      <w:bookmarkStart w:id="993" w:name="_Toc296944546"/>
      <w:bookmarkStart w:id="994" w:name="_Toc292559917"/>
      <w:r>
        <w:rPr>
          <w:rFonts w:hint="eastAsia" w:ascii="宋体" w:hAnsi="宋体" w:eastAsia="宋体" w:cs="宋体"/>
          <w:color w:val="auto"/>
          <w:highlight w:val="none"/>
        </w:rPr>
        <w:t>本工程采用</w:t>
      </w:r>
      <w:r>
        <w:rPr>
          <w:rFonts w:hint="eastAsia" w:ascii="宋体" w:hAnsi="宋体" w:eastAsia="宋体" w:cs="宋体"/>
          <w:color w:val="auto"/>
          <w:highlight w:val="none"/>
          <w:u w:val="single"/>
        </w:rPr>
        <w:t xml:space="preserve">  固定综合单价 </w:t>
      </w:r>
      <w:r>
        <w:rPr>
          <w:rFonts w:hint="eastAsia" w:ascii="宋体" w:hAnsi="宋体" w:eastAsia="宋体" w:cs="宋体"/>
          <w:color w:val="auto"/>
          <w:highlight w:val="none"/>
        </w:rPr>
        <w:t>合同价格形式。</w:t>
      </w:r>
    </w:p>
    <w:p w14:paraId="4AA0CF8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（1）单价合同。</w:t>
      </w:r>
    </w:p>
    <w:p w14:paraId="4BA6B94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单价合同采用综合单价方式确定，工程量按实际结算。</w:t>
      </w:r>
    </w:p>
    <w:p w14:paraId="66D47B3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综合单价包含的风险范围：</w:t>
      </w:r>
      <w:r>
        <w:rPr>
          <w:rFonts w:hint="eastAsia" w:ascii="宋体" w:hAnsi="宋体" w:eastAsia="宋体" w:cs="宋体"/>
          <w:color w:val="auto"/>
          <w:highlight w:val="none"/>
          <w:u w:val="single"/>
        </w:rPr>
        <w:t>除工程变更、项目特征不符、政策性调整、《承包人提供主要材料和设备一览表》约定的材料、设备价格变动风险以外因素。</w:t>
      </w:r>
    </w:p>
    <w:p w14:paraId="48BC3412">
      <w:pPr>
        <w:pStyle w:val="8"/>
        <w:spacing w:line="360" w:lineRule="auto"/>
        <w:ind w:firstLine="441" w:firstLineChars="210"/>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p>
    <w:p w14:paraId="705524EA">
      <w:pPr>
        <w:pStyle w:val="8"/>
        <w:spacing w:line="360" w:lineRule="auto"/>
        <w:ind w:firstLine="441" w:firstLineChars="210"/>
        <w:rPr>
          <w:rFonts w:hint="eastAsia" w:ascii="宋体" w:hAnsi="宋体" w:eastAsia="宋体" w:cs="宋体"/>
          <w:color w:val="auto"/>
          <w:highlight w:val="none"/>
        </w:rPr>
      </w:pPr>
      <w:r>
        <w:rPr>
          <w:rFonts w:hint="eastAsia" w:ascii="宋体" w:hAnsi="宋体" w:eastAsia="宋体" w:cs="宋体"/>
          <w:color w:val="auto"/>
          <w:highlight w:val="none"/>
        </w:rPr>
        <w:t>①工程变更：按10.4.1变更估价原则的约定调整。</w:t>
      </w:r>
    </w:p>
    <w:p w14:paraId="221F1F26">
      <w:pPr>
        <w:pStyle w:val="8"/>
        <w:spacing w:line="360" w:lineRule="auto"/>
        <w:ind w:firstLine="441" w:firstLineChars="210"/>
        <w:rPr>
          <w:rFonts w:hint="eastAsia" w:ascii="宋体" w:hAnsi="宋体" w:eastAsia="宋体" w:cs="宋体"/>
          <w:color w:val="auto"/>
          <w:highlight w:val="none"/>
        </w:rPr>
      </w:pPr>
      <w:r>
        <w:rPr>
          <w:rFonts w:hint="eastAsia" w:ascii="宋体" w:hAnsi="宋体" w:eastAsia="宋体" w:cs="宋体"/>
          <w:color w:val="auto"/>
          <w:highlight w:val="none"/>
        </w:rPr>
        <w:t>②政策性调整：按自治区建设行政主管部门颁布的文件执行。</w:t>
      </w:r>
    </w:p>
    <w:p w14:paraId="71E4C59F">
      <w:pPr>
        <w:pStyle w:val="8"/>
        <w:spacing w:line="360" w:lineRule="auto"/>
        <w:ind w:firstLine="441" w:firstLineChars="210"/>
        <w:rPr>
          <w:rFonts w:hint="eastAsia" w:ascii="宋体" w:hAnsi="宋体" w:eastAsia="宋体" w:cs="宋体"/>
          <w:color w:val="auto"/>
          <w:highlight w:val="none"/>
        </w:rPr>
      </w:pPr>
      <w:r>
        <w:rPr>
          <w:rFonts w:hint="eastAsia" w:ascii="宋体" w:hAnsi="宋体" w:eastAsia="宋体" w:cs="宋体"/>
          <w:color w:val="auto"/>
          <w:highlight w:val="none"/>
        </w:rPr>
        <w:t>③材料价格风险：按11.1的约定调整。</w:t>
      </w:r>
    </w:p>
    <w:p w14:paraId="12799DB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④其它：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17067F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（2）总价合同。</w:t>
      </w:r>
    </w:p>
    <w:p w14:paraId="14D94D4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总价包含的风险范围：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1D5FEC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B0A2C6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（3）其他价格方式：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230BF0A">
      <w:pPr>
        <w:pStyle w:val="4"/>
        <w:rPr>
          <w:rFonts w:hint="eastAsia" w:ascii="宋体" w:hAnsi="宋体" w:eastAsia="宋体" w:cs="宋体"/>
          <w:color w:val="auto"/>
          <w:highlight w:val="none"/>
        </w:rPr>
      </w:pPr>
      <w:bookmarkStart w:id="995" w:name="_Toc511243602"/>
      <w:bookmarkStart w:id="996" w:name="_Toc465114910"/>
      <w:bookmarkStart w:id="997" w:name="_Toc511243376"/>
      <w:bookmarkStart w:id="998" w:name="_Toc509760054"/>
      <w:r>
        <w:rPr>
          <w:rFonts w:hint="eastAsia" w:ascii="宋体" w:hAnsi="宋体" w:eastAsia="宋体" w:cs="宋体"/>
          <w:color w:val="auto"/>
          <w:highlight w:val="none"/>
        </w:rPr>
        <w:t>12.2 预付款</w:t>
      </w:r>
      <w:bookmarkEnd w:id="976"/>
      <w:bookmarkEnd w:id="977"/>
      <w:bookmarkEnd w:id="978"/>
      <w:bookmarkEnd w:id="995"/>
      <w:bookmarkEnd w:id="996"/>
      <w:bookmarkEnd w:id="997"/>
      <w:bookmarkEnd w:id="998"/>
    </w:p>
    <w:bookmarkEnd w:id="979"/>
    <w:bookmarkEnd w:id="980"/>
    <w:bookmarkEnd w:id="981"/>
    <w:bookmarkEnd w:id="982"/>
    <w:bookmarkEnd w:id="983"/>
    <w:bookmarkEnd w:id="984"/>
    <w:p w14:paraId="5397D5F2">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12.2.1 预付款的支付</w:t>
      </w:r>
    </w:p>
    <w:p w14:paraId="6FE325FD">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预付款支付比例或金额：</w:t>
      </w:r>
      <w:r>
        <w:rPr>
          <w:rFonts w:hint="eastAsia" w:ascii="宋体" w:hAnsi="宋体" w:eastAsia="宋体" w:cs="宋体"/>
          <w:color w:val="auto"/>
          <w:highlight w:val="none"/>
          <w:u w:val="single"/>
        </w:rPr>
        <w:t>合同价款扣除发包人材料设备价款、暂估专业工程、暂列金额后的30%</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w:t>
      </w:r>
    </w:p>
    <w:p w14:paraId="6CE9F381">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预付款支付期限：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合</w:t>
      </w:r>
      <w:r>
        <w:rPr>
          <w:rFonts w:hint="eastAsia" w:ascii="宋体" w:hAnsi="宋体" w:eastAsia="宋体" w:cs="宋体"/>
          <w:color w:val="auto"/>
          <w:highlight w:val="none"/>
          <w:u w:val="single"/>
        </w:rPr>
        <w:t xml:space="preserve">同签订后7天内  </w:t>
      </w:r>
      <w:r>
        <w:rPr>
          <w:rFonts w:hint="eastAsia" w:ascii="宋体" w:hAnsi="宋体" w:eastAsia="宋体" w:cs="宋体"/>
          <w:color w:val="auto"/>
          <w:highlight w:val="none"/>
        </w:rPr>
        <w:t>。</w:t>
      </w:r>
    </w:p>
    <w:p w14:paraId="4DF315AF">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预付款扣回的方式：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工</w:t>
      </w:r>
      <w:r>
        <w:rPr>
          <w:rFonts w:hint="eastAsia" w:ascii="宋体" w:hAnsi="宋体" w:eastAsia="宋体" w:cs="宋体"/>
          <w:color w:val="auto"/>
          <w:highlight w:val="none"/>
          <w:u w:val="single"/>
        </w:rPr>
        <w:t xml:space="preserve">程预付款应从每期支付给承包人的工程进度款中按预付款同比例扣回，直至合同累计完成金额达到签约合同价的80%时全部扣完 </w:t>
      </w:r>
      <w:r>
        <w:rPr>
          <w:rFonts w:hint="eastAsia" w:ascii="宋体" w:hAnsi="宋体" w:eastAsia="宋体" w:cs="宋体"/>
          <w:color w:val="auto"/>
          <w:highlight w:val="none"/>
        </w:rPr>
        <w:t>。</w:t>
      </w:r>
    </w:p>
    <w:p w14:paraId="72565D2D">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12.2.2 预付款担保</w:t>
      </w:r>
    </w:p>
    <w:p w14:paraId="0CC6762C">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承包人提交预付款担保的期限：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188D705">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预付款担保的形式为：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199FE09">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预付款担保格式见合同附件7。</w:t>
      </w:r>
    </w:p>
    <w:bookmarkEnd w:id="985"/>
    <w:bookmarkEnd w:id="986"/>
    <w:bookmarkEnd w:id="987"/>
    <w:bookmarkEnd w:id="988"/>
    <w:bookmarkEnd w:id="989"/>
    <w:bookmarkEnd w:id="990"/>
    <w:bookmarkEnd w:id="991"/>
    <w:bookmarkEnd w:id="992"/>
    <w:bookmarkEnd w:id="993"/>
    <w:bookmarkEnd w:id="994"/>
    <w:p w14:paraId="44C126FD">
      <w:pPr>
        <w:pStyle w:val="4"/>
        <w:pageBreakBefore w:val="0"/>
        <w:kinsoku/>
        <w:wordWrap/>
        <w:overflowPunct/>
        <w:topLinePunct w:val="0"/>
        <w:autoSpaceDE/>
        <w:autoSpaceDN/>
        <w:bidi w:val="0"/>
        <w:adjustRightInd/>
        <w:snapToGrid/>
        <w:spacing w:line="372" w:lineRule="auto"/>
        <w:textAlignment w:val="auto"/>
        <w:rPr>
          <w:rFonts w:hint="eastAsia" w:ascii="宋体" w:hAnsi="宋体" w:eastAsia="宋体" w:cs="宋体"/>
          <w:color w:val="auto"/>
          <w:highlight w:val="none"/>
        </w:rPr>
      </w:pPr>
      <w:bookmarkStart w:id="999" w:name="_Toc389065316"/>
      <w:bookmarkStart w:id="1000" w:name="_Toc373227751"/>
      <w:bookmarkStart w:id="1001" w:name="_Toc511243377"/>
      <w:bookmarkStart w:id="1002" w:name="_Toc465114911"/>
      <w:bookmarkStart w:id="1003" w:name="_Toc511243603"/>
      <w:bookmarkStart w:id="1004" w:name="_Toc373478398"/>
      <w:bookmarkStart w:id="1005" w:name="_Toc509760055"/>
      <w:r>
        <w:rPr>
          <w:rFonts w:hint="eastAsia" w:ascii="宋体" w:hAnsi="宋体" w:eastAsia="宋体" w:cs="宋体"/>
          <w:color w:val="auto"/>
          <w:highlight w:val="none"/>
        </w:rPr>
        <w:t>12.3 计量</w:t>
      </w:r>
      <w:bookmarkEnd w:id="999"/>
      <w:bookmarkEnd w:id="1000"/>
      <w:bookmarkEnd w:id="1001"/>
      <w:bookmarkEnd w:id="1002"/>
      <w:bookmarkEnd w:id="1003"/>
      <w:bookmarkEnd w:id="1004"/>
      <w:bookmarkEnd w:id="1005"/>
    </w:p>
    <w:p w14:paraId="0B85F274">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12.3.1 计量原则</w:t>
      </w:r>
    </w:p>
    <w:p w14:paraId="775974C5">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工程量计算规则：</w:t>
      </w:r>
      <w:r>
        <w:rPr>
          <w:rFonts w:hint="eastAsia" w:ascii="宋体" w:hAnsi="宋体" w:eastAsia="宋体" w:cs="宋体"/>
          <w:color w:val="auto"/>
          <w:highlight w:val="none"/>
          <w:u w:val="single"/>
        </w:rPr>
        <w:t>工程的计量均以《建设工程工程量清单计价规范》（GB50500－2013）和及其广西壮族自治区实施细则、《建设工程工程量清单计算规范》（GB50854~50862－2013）</w:t>
      </w:r>
      <w:r>
        <w:rPr>
          <w:rFonts w:hint="eastAsia" w:ascii="宋体" w:hAnsi="宋体" w:eastAsia="宋体" w:cs="宋体"/>
          <w:color w:val="auto"/>
          <w:highlight w:val="none"/>
          <w:u w:val="single"/>
          <w:lang w:eastAsia="zh-CN"/>
        </w:rPr>
        <w:t>、2022年《广西壮族自治区市政工程消耗量定额》、2015年《广西壮族自治区安装工程消耗量定额》</w:t>
      </w:r>
      <w:r>
        <w:rPr>
          <w:rFonts w:hint="eastAsia" w:ascii="宋体" w:hAnsi="宋体" w:eastAsia="宋体" w:cs="宋体"/>
          <w:color w:val="auto"/>
          <w:highlight w:val="none"/>
          <w:u w:val="single"/>
        </w:rPr>
        <w:t>及其广西实施细则、本工程补充项目清单为准。</w:t>
      </w:r>
    </w:p>
    <w:p w14:paraId="55222D5B">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12.3.2 计量周期</w:t>
      </w:r>
    </w:p>
    <w:p w14:paraId="15BBB6E0">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关于计量周期的约定：</w:t>
      </w:r>
      <w:r>
        <w:rPr>
          <w:rFonts w:hint="eastAsia" w:ascii="宋体" w:hAnsi="宋体" w:eastAsia="宋体" w:cs="宋体"/>
          <w:color w:val="auto"/>
          <w:highlight w:val="none"/>
          <w:u w:val="single"/>
        </w:rPr>
        <w:t>每月25日前</w:t>
      </w:r>
      <w:r>
        <w:rPr>
          <w:rFonts w:hint="eastAsia" w:ascii="宋体" w:hAnsi="宋体" w:eastAsia="宋体" w:cs="宋体"/>
          <w:color w:val="auto"/>
          <w:highlight w:val="none"/>
        </w:rPr>
        <w:t>。</w:t>
      </w:r>
    </w:p>
    <w:p w14:paraId="218080B2">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12.3.3 单价合同的计量</w:t>
      </w:r>
    </w:p>
    <w:p w14:paraId="1B34030B">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关于单价合同计量的约定：</w:t>
      </w:r>
    </w:p>
    <w:p w14:paraId="3B55F4D6">
      <w:pPr>
        <w:pageBreakBefore w:val="0"/>
        <w:kinsoku/>
        <w:wordWrap/>
        <w:overflowPunct/>
        <w:topLinePunct w:val="0"/>
        <w:autoSpaceDE/>
        <w:autoSpaceDN/>
        <w:bidi w:val="0"/>
        <w:adjustRightInd/>
        <w:snapToGrid/>
        <w:spacing w:line="372" w:lineRule="auto"/>
        <w:ind w:firstLine="441" w:firstLineChars="210"/>
        <w:textAlignment w:val="auto"/>
        <w:rPr>
          <w:rFonts w:hint="eastAsia" w:ascii="宋体" w:hAnsi="宋体" w:eastAsia="宋体" w:cs="宋体"/>
          <w:color w:val="auto"/>
          <w:highlight w:val="none"/>
        </w:rPr>
      </w:pPr>
      <w:r>
        <w:rPr>
          <w:rFonts w:hint="eastAsia" w:ascii="宋体" w:hAnsi="宋体" w:eastAsia="宋体" w:cs="宋体"/>
          <w:color w:val="auto"/>
          <w:highlight w:val="none"/>
        </w:rPr>
        <w:t>(1) 工程量清单所列的工程量，不能作为承包人按合同履行其责任依据，实际施工中发生的工程量增加或减少并不影响承包人履行合同的责任，工程结算以完成的实际工程量为准。</w:t>
      </w:r>
    </w:p>
    <w:p w14:paraId="7855AF3C">
      <w:pPr>
        <w:pageBreakBefore w:val="0"/>
        <w:kinsoku/>
        <w:wordWrap/>
        <w:overflowPunct/>
        <w:topLinePunct w:val="0"/>
        <w:autoSpaceDE/>
        <w:autoSpaceDN/>
        <w:bidi w:val="0"/>
        <w:adjustRightInd/>
        <w:snapToGrid/>
        <w:spacing w:line="372" w:lineRule="auto"/>
        <w:ind w:firstLine="441" w:firstLineChars="210"/>
        <w:textAlignment w:val="auto"/>
        <w:rPr>
          <w:rFonts w:hint="eastAsia" w:ascii="宋体" w:hAnsi="宋体" w:eastAsia="宋体" w:cs="宋体"/>
          <w:color w:val="auto"/>
          <w:highlight w:val="none"/>
        </w:rPr>
      </w:pPr>
      <w:r>
        <w:rPr>
          <w:rFonts w:hint="eastAsia" w:ascii="宋体" w:hAnsi="宋体" w:eastAsia="宋体" w:cs="宋体"/>
          <w:color w:val="auto"/>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064ECF43">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12.3.4 总价合同的计量</w:t>
      </w:r>
    </w:p>
    <w:p w14:paraId="7CBFE887">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关于总价合同计量的约定：除工程变更外，原图纸范围内的工程量不得按实计量。进度款按支付分解表支付，按通用条款第</w:t>
      </w:r>
      <w:r>
        <w:rPr>
          <w:rFonts w:hint="eastAsia" w:ascii="宋体" w:hAnsi="宋体" w:eastAsia="宋体" w:cs="宋体"/>
          <w:color w:val="auto"/>
          <w:kern w:val="0"/>
          <w:highlight w:val="none"/>
        </w:rPr>
        <w:t>12.3.4</w:t>
      </w:r>
      <w:r>
        <w:rPr>
          <w:rFonts w:hint="eastAsia" w:ascii="宋体" w:hAnsi="宋体" w:eastAsia="宋体" w:cs="宋体"/>
          <w:color w:val="auto"/>
          <w:highlight w:val="none"/>
        </w:rPr>
        <w:t>项</w:t>
      </w:r>
      <w:r>
        <w:rPr>
          <w:rFonts w:hint="eastAsia" w:ascii="宋体" w:hAnsi="宋体" w:eastAsia="宋体" w:cs="宋体"/>
          <w:color w:val="auto"/>
          <w:kern w:val="0"/>
          <w:highlight w:val="none"/>
        </w:rPr>
        <w:t>〔总价合同的计量〕</w:t>
      </w:r>
      <w:r>
        <w:rPr>
          <w:rFonts w:hint="eastAsia" w:ascii="宋体" w:hAnsi="宋体" w:eastAsia="宋体" w:cs="宋体"/>
          <w:color w:val="auto"/>
          <w:highlight w:val="none"/>
        </w:rPr>
        <w:t>约定进行计量，但</w:t>
      </w:r>
      <w:r>
        <w:rPr>
          <w:rFonts w:hint="eastAsia" w:ascii="宋体" w:hAnsi="宋体" w:eastAsia="宋体" w:cs="宋体"/>
          <w:color w:val="auto"/>
          <w:kern w:val="0"/>
          <w:highlight w:val="none"/>
        </w:rPr>
        <w:t>合同价款按照支付分解表进行支付。</w:t>
      </w:r>
    </w:p>
    <w:p w14:paraId="4F28E012">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12.3.6 其他价格形式合同的计量</w:t>
      </w:r>
    </w:p>
    <w:p w14:paraId="6713CDF4">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其他价格形式的计量方式和程序：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A9F5DDE">
      <w:pPr>
        <w:pStyle w:val="4"/>
        <w:pageBreakBefore w:val="0"/>
        <w:kinsoku/>
        <w:wordWrap/>
        <w:overflowPunct/>
        <w:topLinePunct w:val="0"/>
        <w:autoSpaceDE/>
        <w:autoSpaceDN/>
        <w:bidi w:val="0"/>
        <w:adjustRightInd/>
        <w:snapToGrid/>
        <w:spacing w:line="372" w:lineRule="auto"/>
        <w:textAlignment w:val="auto"/>
        <w:rPr>
          <w:rFonts w:hint="eastAsia" w:ascii="宋体" w:hAnsi="宋体" w:eastAsia="宋体" w:cs="宋体"/>
          <w:color w:val="auto"/>
          <w:highlight w:val="none"/>
        </w:rPr>
      </w:pPr>
      <w:bookmarkStart w:id="1006" w:name="_Toc465114912"/>
      <w:bookmarkStart w:id="1007" w:name="_Toc511243378"/>
      <w:bookmarkStart w:id="1008" w:name="_Toc509760056"/>
      <w:bookmarkStart w:id="1009" w:name="_Toc373227752"/>
      <w:bookmarkStart w:id="1010" w:name="_Toc511243604"/>
      <w:bookmarkStart w:id="1011" w:name="_Toc389065317"/>
      <w:bookmarkStart w:id="1012" w:name="_Toc373478399"/>
      <w:r>
        <w:rPr>
          <w:rFonts w:hint="eastAsia" w:ascii="宋体" w:hAnsi="宋体" w:eastAsia="宋体" w:cs="宋体"/>
          <w:color w:val="auto"/>
          <w:highlight w:val="none"/>
        </w:rPr>
        <w:t>12.4 工程进度款支付</w:t>
      </w:r>
      <w:bookmarkEnd w:id="1006"/>
      <w:bookmarkEnd w:id="1007"/>
      <w:bookmarkEnd w:id="1008"/>
      <w:bookmarkEnd w:id="1009"/>
      <w:bookmarkEnd w:id="1010"/>
      <w:bookmarkEnd w:id="1011"/>
      <w:bookmarkEnd w:id="1012"/>
    </w:p>
    <w:p w14:paraId="33606150">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bookmarkStart w:id="1013" w:name="_Toc300935006"/>
      <w:bookmarkStart w:id="1014" w:name="_Toc297048397"/>
      <w:bookmarkStart w:id="1015" w:name="_Toc296891251"/>
      <w:bookmarkStart w:id="1016" w:name="_Toc296944550"/>
      <w:bookmarkStart w:id="1017" w:name="_Toc297216215"/>
      <w:bookmarkStart w:id="1018" w:name="_Toc303539163"/>
      <w:bookmarkStart w:id="1019" w:name="_Toc297123556"/>
      <w:bookmarkStart w:id="1020" w:name="_Toc297120511"/>
      <w:bookmarkStart w:id="1021" w:name="_Toc292559416"/>
      <w:bookmarkStart w:id="1022" w:name="_Toc292559921"/>
      <w:bookmarkStart w:id="1023" w:name="_Toc296503211"/>
      <w:bookmarkStart w:id="1024" w:name="_Toc296347210"/>
      <w:bookmarkStart w:id="1025" w:name="_Toc296346712"/>
      <w:bookmarkStart w:id="1026" w:name="_Toc296891039"/>
      <w:r>
        <w:rPr>
          <w:rFonts w:hint="eastAsia" w:ascii="宋体" w:hAnsi="宋体" w:eastAsia="宋体" w:cs="宋体"/>
          <w:color w:val="auto"/>
          <w:highlight w:val="none"/>
        </w:rPr>
        <w:t>12.4.1 付款周期</w:t>
      </w:r>
    </w:p>
    <w:p w14:paraId="3492F18A">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关于付款周期的约定：工程款原则上参照实际工程量按月支付，合同内进度款支付限额为已完成工程量的80%</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工程变更部分进度款支付限额为已完成工程量的70%</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工程完工验收达到质量要求，工程款支付至已完合同内工程量的</w:t>
      </w:r>
      <w:r>
        <w:rPr>
          <w:rFonts w:hint="eastAsia" w:ascii="宋体" w:hAnsi="宋体" w:eastAsia="宋体" w:cs="宋体"/>
          <w:color w:val="auto"/>
          <w:highlight w:val="none"/>
          <w:lang w:val="en-US" w:eastAsia="zh-CN"/>
        </w:rPr>
        <w:t>90</w:t>
      </w:r>
      <w:r>
        <w:rPr>
          <w:rFonts w:hint="eastAsia" w:ascii="宋体" w:hAnsi="宋体" w:eastAsia="宋体" w:cs="宋体"/>
          <w:color w:val="auto"/>
          <w:highlight w:val="none"/>
        </w:rPr>
        <w:t>%；结算经有关部门审定后10个工作日内工程款支付至结算总价（竣工结算审计总价）的97%（含工程变更部分）；发包人按工程价款结算总额的3%预留工程质量保修金，待工程缺陷责任期满后返还。承包人每一次在申请付款时必须提供相关付款材料和开具项目所在地正式的发票（含税）给发包人，否则，发包人有权暂停付款。</w:t>
      </w:r>
    </w:p>
    <w:p w14:paraId="5F9872A3">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12.4.2 进度付款申请单的编制</w:t>
      </w:r>
    </w:p>
    <w:p w14:paraId="7CDF5428">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关于进度付款申请单编制的约定：</w:t>
      </w:r>
      <w:r>
        <w:rPr>
          <w:rFonts w:hint="eastAsia" w:ascii="宋体" w:hAnsi="宋体" w:eastAsia="宋体" w:cs="宋体"/>
          <w:color w:val="auto"/>
          <w:highlight w:val="none"/>
          <w:u w:val="single"/>
        </w:rPr>
        <w:t xml:space="preserve"> 一式</w:t>
      </w:r>
      <w:r>
        <w:rPr>
          <w:rFonts w:hint="eastAsia" w:ascii="宋体" w:hAnsi="宋体" w:eastAsia="宋体" w:cs="宋体"/>
          <w:color w:val="auto"/>
          <w:highlight w:val="none"/>
          <w:u w:val="single"/>
          <w:lang w:eastAsia="zh-CN"/>
        </w:rPr>
        <w:t>三</w:t>
      </w:r>
      <w:r>
        <w:rPr>
          <w:rFonts w:hint="eastAsia" w:ascii="宋体" w:hAnsi="宋体" w:eastAsia="宋体" w:cs="宋体"/>
          <w:color w:val="auto"/>
          <w:highlight w:val="none"/>
          <w:u w:val="single"/>
        </w:rPr>
        <w:t xml:space="preserve">份 </w:t>
      </w:r>
      <w:r>
        <w:rPr>
          <w:rFonts w:hint="eastAsia" w:ascii="宋体" w:hAnsi="宋体" w:eastAsia="宋体" w:cs="宋体"/>
          <w:color w:val="auto"/>
          <w:highlight w:val="none"/>
        </w:rPr>
        <w:t>。</w:t>
      </w:r>
    </w:p>
    <w:p w14:paraId="7EA35503">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r>
        <w:rPr>
          <w:rFonts w:hint="eastAsia" w:ascii="宋体" w:hAnsi="宋体" w:eastAsia="宋体" w:cs="宋体"/>
          <w:color w:val="auto"/>
          <w:highlight w:val="none"/>
        </w:rPr>
        <w:t>2.4.3 进度付款申请单的提交</w:t>
      </w:r>
    </w:p>
    <w:p w14:paraId="31CAFF27">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（1）单价合同进度付款申请单提交的约定：</w:t>
      </w:r>
      <w:r>
        <w:rPr>
          <w:rFonts w:hint="eastAsia" w:ascii="宋体" w:hAnsi="宋体" w:eastAsia="宋体" w:cs="宋体"/>
          <w:color w:val="auto"/>
          <w:highlight w:val="none"/>
          <w:u w:val="single"/>
        </w:rPr>
        <w:t xml:space="preserve">  本月已完成工程的价款、累计已完成的工程价款、累计已支付的工程价款、应抵扣的工程预付款、增加和扣减的其他金额等   </w:t>
      </w:r>
      <w:r>
        <w:rPr>
          <w:rFonts w:hint="eastAsia" w:ascii="宋体" w:hAnsi="宋体" w:eastAsia="宋体" w:cs="宋体"/>
          <w:color w:val="auto"/>
          <w:highlight w:val="none"/>
        </w:rPr>
        <w:t>。</w:t>
      </w:r>
    </w:p>
    <w:p w14:paraId="761881C5">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（2）总价合同进度付款申请单提交的约定：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591CC24">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（3）其他价格形式合同进度付款申请单提交的约定：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C245202">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12.4.4 进度款审核和支付</w:t>
      </w:r>
    </w:p>
    <w:p w14:paraId="6EAF4E42">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（1）监理人审查并报送发包人的期限：</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5日内完成审查并报送发包人</w:t>
      </w:r>
      <w:r>
        <w:rPr>
          <w:rFonts w:hint="eastAsia" w:ascii="宋体" w:hAnsi="宋体" w:eastAsia="宋体" w:cs="宋体"/>
          <w:color w:val="auto"/>
          <w:highlight w:val="none"/>
        </w:rPr>
        <w:t>。</w:t>
      </w:r>
    </w:p>
    <w:p w14:paraId="3706CD3F">
      <w:pPr>
        <w:pageBreakBefore w:val="0"/>
        <w:kinsoku/>
        <w:wordWrap/>
        <w:overflowPunct/>
        <w:topLinePunct w:val="0"/>
        <w:autoSpaceDE/>
        <w:autoSpaceDN/>
        <w:bidi w:val="0"/>
        <w:adjustRightInd/>
        <w:snapToGrid/>
        <w:spacing w:line="372"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发包人完成审批并签发进度款支付证书的期限：</w:t>
      </w:r>
      <w:r>
        <w:rPr>
          <w:rFonts w:hint="eastAsia" w:ascii="宋体" w:hAnsi="宋体" w:eastAsia="宋体" w:cs="宋体"/>
          <w:color w:val="auto"/>
          <w:highlight w:val="none"/>
          <w:u w:val="single"/>
        </w:rPr>
        <w:t xml:space="preserve">  发包人应在收到之日起</w:t>
      </w:r>
      <w:r>
        <w:rPr>
          <w:rFonts w:hint="eastAsia" w:ascii="宋体" w:hAnsi="宋体" w:eastAsia="宋体" w:cs="宋体"/>
          <w:bCs/>
          <w:color w:val="auto"/>
          <w:highlight w:val="none"/>
          <w:u w:val="single"/>
        </w:rPr>
        <w:t>7日</w:t>
      </w:r>
      <w:r>
        <w:rPr>
          <w:rFonts w:hint="eastAsia" w:ascii="宋体" w:hAnsi="宋体" w:eastAsia="宋体" w:cs="宋体"/>
          <w:color w:val="auto"/>
          <w:highlight w:val="none"/>
          <w:u w:val="single"/>
        </w:rPr>
        <w:t xml:space="preserve">内完成审批并签发进度款支付证书  </w:t>
      </w:r>
      <w:r>
        <w:rPr>
          <w:rFonts w:hint="eastAsia" w:ascii="宋体" w:hAnsi="宋体" w:eastAsia="宋体" w:cs="宋体"/>
          <w:color w:val="auto"/>
          <w:highlight w:val="none"/>
        </w:rPr>
        <w:t>。</w:t>
      </w:r>
    </w:p>
    <w:p w14:paraId="76DA0806">
      <w:pPr>
        <w:pageBreakBefore w:val="0"/>
        <w:kinsoku/>
        <w:wordWrap/>
        <w:overflowPunct/>
        <w:topLinePunct w:val="0"/>
        <w:autoSpaceDE/>
        <w:autoSpaceDN/>
        <w:bidi w:val="0"/>
        <w:adjustRightInd/>
        <w:snapToGrid/>
        <w:spacing w:line="372" w:lineRule="auto"/>
        <w:ind w:firstLine="525" w:firstLineChars="25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（2）发包人支付进度款的期限：</w:t>
      </w:r>
      <w:r>
        <w:rPr>
          <w:rFonts w:hint="eastAsia" w:ascii="宋体" w:hAnsi="宋体" w:eastAsia="宋体" w:cs="宋体"/>
          <w:color w:val="auto"/>
          <w:highlight w:val="none"/>
          <w:u w:val="single"/>
        </w:rPr>
        <w:t xml:space="preserve"> 发包人应在进度款支付证书或临时进度款支付证书签发之日起14日内完成支付，按双方确认的实际完成的合同内工程量的80％工程进度款支付、合同外工程量的</w:t>
      </w:r>
      <w:r>
        <w:rPr>
          <w:rFonts w:hint="eastAsia" w:ascii="宋体" w:hAnsi="宋体" w:eastAsia="宋体" w:cs="宋体"/>
          <w:color w:val="auto"/>
          <w:highlight w:val="none"/>
          <w:u w:val="single"/>
          <w:lang w:val="en-US" w:eastAsia="zh-CN"/>
        </w:rPr>
        <w:t>70</w:t>
      </w:r>
      <w:r>
        <w:rPr>
          <w:rFonts w:hint="eastAsia" w:ascii="宋体" w:hAnsi="宋体" w:eastAsia="宋体" w:cs="宋体"/>
          <w:color w:val="auto"/>
          <w:highlight w:val="none"/>
          <w:u w:val="single"/>
        </w:rPr>
        <w:t>％工程进度款支付</w:t>
      </w:r>
      <w:r>
        <w:rPr>
          <w:rFonts w:hint="eastAsia" w:ascii="宋体" w:hAnsi="宋体" w:eastAsia="宋体" w:cs="宋体"/>
          <w:color w:val="auto"/>
          <w:highlight w:val="none"/>
        </w:rPr>
        <w:t>。</w:t>
      </w:r>
    </w:p>
    <w:p w14:paraId="73ED4008">
      <w:pPr>
        <w:pageBreakBefore w:val="0"/>
        <w:kinsoku/>
        <w:wordWrap/>
        <w:overflowPunct/>
        <w:topLinePunct w:val="0"/>
        <w:autoSpaceDE/>
        <w:autoSpaceDN/>
        <w:bidi w:val="0"/>
        <w:adjustRightInd/>
        <w:snapToGrid/>
        <w:spacing w:line="372" w:lineRule="auto"/>
        <w:ind w:firstLine="525" w:firstLineChars="25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发包人逾期支付进度款的违约金的计算方式：</w:t>
      </w:r>
      <w:r>
        <w:rPr>
          <w:rFonts w:hint="eastAsia" w:ascii="宋体" w:hAnsi="宋体" w:eastAsia="宋体" w:cs="宋体"/>
          <w:color w:val="auto"/>
          <w:highlight w:val="none"/>
          <w:u w:val="single"/>
        </w:rPr>
        <w:t>本工程的所有工程</w:t>
      </w:r>
      <w:r>
        <w:rPr>
          <w:rFonts w:hint="eastAsia" w:ascii="宋体" w:hAnsi="宋体" w:eastAsia="宋体" w:cs="宋体"/>
          <w:color w:val="auto"/>
          <w:highlight w:val="none"/>
          <w:u w:val="single"/>
          <w:lang w:eastAsia="zh-CN"/>
        </w:rPr>
        <w:t>款</w:t>
      </w:r>
      <w:r>
        <w:rPr>
          <w:rFonts w:hint="eastAsia" w:ascii="宋体" w:hAnsi="宋体" w:eastAsia="宋体" w:cs="宋体"/>
          <w:color w:val="auto"/>
          <w:highlight w:val="none"/>
          <w:u w:val="single"/>
        </w:rPr>
        <w:t xml:space="preserve">均以银行转账方式汇入合同约定的承包人账户  </w:t>
      </w:r>
      <w:r>
        <w:rPr>
          <w:rFonts w:hint="eastAsia" w:ascii="宋体" w:hAnsi="宋体" w:eastAsia="宋体" w:cs="宋体"/>
          <w:color w:val="auto"/>
          <w:highlight w:val="none"/>
        </w:rPr>
        <w:t>。</w:t>
      </w:r>
    </w:p>
    <w:p w14:paraId="76BA0C0A">
      <w:pPr>
        <w:pStyle w:val="6"/>
        <w:pageBreakBefore w:val="0"/>
        <w:kinsoku/>
        <w:wordWrap/>
        <w:overflowPunct/>
        <w:topLinePunct w:val="0"/>
        <w:autoSpaceDE/>
        <w:autoSpaceDN/>
        <w:bidi w:val="0"/>
        <w:adjustRightInd/>
        <w:snapToGrid/>
        <w:spacing w:line="372" w:lineRule="auto"/>
        <w:textAlignment w:val="auto"/>
        <w:rPr>
          <w:rFonts w:hint="eastAsia" w:ascii="宋体" w:hAnsi="宋体" w:eastAsia="宋体" w:cs="宋体"/>
          <w:color w:val="auto"/>
          <w:sz w:val="21"/>
          <w:szCs w:val="21"/>
          <w:highlight w:val="none"/>
          <w:u w:val="single"/>
          <w:lang w:val="en-US" w:eastAsia="zh-CN" w:bidi="ar-SA"/>
        </w:rPr>
      </w:pPr>
      <w:r>
        <w:rPr>
          <w:rFonts w:hint="eastAsia" w:ascii="宋体" w:hAnsi="宋体" w:eastAsia="宋体" w:cs="宋体"/>
          <w:b/>
          <w:bCs/>
          <w:color w:val="auto"/>
          <w:sz w:val="21"/>
          <w:szCs w:val="21"/>
          <w:highlight w:val="none"/>
          <w:lang w:val="en-US" w:eastAsia="zh-CN" w:bidi="ar-SA"/>
        </w:rPr>
        <w:t>付款方式：</w:t>
      </w:r>
      <w:r>
        <w:rPr>
          <w:rFonts w:hint="eastAsia" w:ascii="宋体" w:hAnsi="宋体" w:eastAsia="宋体" w:cs="宋体"/>
          <w:b w:val="0"/>
          <w:bCs w:val="0"/>
          <w:color w:val="auto"/>
          <w:sz w:val="21"/>
          <w:szCs w:val="21"/>
          <w:highlight w:val="none"/>
          <w:u w:val="single"/>
          <w:lang w:val="en-US" w:eastAsia="zh-CN" w:bidi="ar-SA"/>
        </w:rPr>
        <w:t>银行转账，</w:t>
      </w:r>
      <w:r>
        <w:rPr>
          <w:rFonts w:hint="eastAsia" w:ascii="宋体" w:hAnsi="宋体" w:eastAsia="宋体" w:cs="宋体"/>
          <w:color w:val="auto"/>
          <w:sz w:val="21"/>
          <w:szCs w:val="21"/>
          <w:highlight w:val="none"/>
          <w:u w:val="single"/>
          <w:lang w:val="en-US" w:eastAsia="zh-CN" w:bidi="ar-SA"/>
        </w:rPr>
        <w:t>对满足合同约定支付条件的采购项目，采购人均在收到发票后30日内将资金支付到合同约定的供应商账户。</w:t>
      </w:r>
    </w:p>
    <w:p w14:paraId="1E37BCE3">
      <w:pPr>
        <w:pStyle w:val="6"/>
        <w:pageBreakBefore w:val="0"/>
        <w:kinsoku/>
        <w:wordWrap/>
        <w:overflowPunct/>
        <w:topLinePunct w:val="0"/>
        <w:autoSpaceDE/>
        <w:autoSpaceDN/>
        <w:bidi w:val="0"/>
        <w:adjustRightInd/>
        <w:snapToGrid/>
        <w:spacing w:line="372" w:lineRule="auto"/>
        <w:textAlignment w:val="auto"/>
        <w:rPr>
          <w:rFonts w:hint="eastAsia" w:ascii="宋体" w:hAnsi="宋体" w:eastAsia="宋体" w:cs="宋体"/>
          <w:color w:val="auto"/>
          <w:highlight w:val="none"/>
        </w:rPr>
      </w:pPr>
    </w:p>
    <w:p w14:paraId="7F6E98D4">
      <w:pPr>
        <w:pageBreakBefore w:val="0"/>
        <w:kinsoku/>
        <w:wordWrap/>
        <w:overflowPunct/>
        <w:topLinePunct w:val="0"/>
        <w:autoSpaceDE/>
        <w:autoSpaceDN/>
        <w:bidi w:val="0"/>
        <w:adjustRightInd/>
        <w:snapToGrid/>
        <w:spacing w:line="372" w:lineRule="auto"/>
        <w:ind w:firstLine="525" w:firstLineChars="25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12.4.6 支付分解表的编制</w:t>
      </w:r>
    </w:p>
    <w:p w14:paraId="3F46CA1A">
      <w:pPr>
        <w:pageBreakBefore w:val="0"/>
        <w:kinsoku/>
        <w:wordWrap/>
        <w:overflowPunct/>
        <w:topLinePunct w:val="0"/>
        <w:autoSpaceDE/>
        <w:autoSpaceDN/>
        <w:bidi w:val="0"/>
        <w:adjustRightInd/>
        <w:snapToGrid/>
        <w:spacing w:line="372" w:lineRule="auto"/>
        <w:ind w:firstLine="525" w:firstLineChars="25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2. 总价合同支付分解表的编制与审批：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EEF82B9">
      <w:pPr>
        <w:pageBreakBefore w:val="0"/>
        <w:kinsoku/>
        <w:wordWrap/>
        <w:overflowPunct/>
        <w:topLinePunct w:val="0"/>
        <w:autoSpaceDE/>
        <w:autoSpaceDN/>
        <w:bidi w:val="0"/>
        <w:adjustRightInd/>
        <w:snapToGrid/>
        <w:spacing w:line="372" w:lineRule="auto"/>
        <w:ind w:firstLine="525" w:firstLineChars="25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3. 单价合同的总价项目支付分解表的编制与审批：总价项目不采用支付分解表的方式计算，而按《建设工程工程量清单计价规范（GB50500-2013）广西壮族自治区实施细则》的规定执行。</w:t>
      </w:r>
    </w:p>
    <w:bookmarkEnd w:id="765"/>
    <w:p w14:paraId="7A22CA9D">
      <w:pPr>
        <w:pStyle w:val="3"/>
        <w:keepNext/>
        <w:keepLines/>
        <w:pageBreakBefore w:val="0"/>
        <w:widowControl w:val="0"/>
        <w:kinsoku/>
        <w:wordWrap/>
        <w:overflowPunct/>
        <w:topLinePunct w:val="0"/>
        <w:autoSpaceDE/>
        <w:autoSpaceDN/>
        <w:bidi w:val="0"/>
        <w:adjustRightInd/>
        <w:snapToGrid/>
        <w:spacing w:before="157" w:beforeLines="50"/>
        <w:textAlignment w:val="auto"/>
        <w:rPr>
          <w:rFonts w:hint="eastAsia" w:ascii="宋体" w:hAnsi="宋体" w:eastAsia="宋体" w:cs="宋体"/>
          <w:color w:val="auto"/>
          <w:highlight w:val="none"/>
        </w:rPr>
      </w:pPr>
      <w:bookmarkStart w:id="1027" w:name="_Toc511243379"/>
      <w:bookmarkStart w:id="1028" w:name="_Toc511243605"/>
      <w:bookmarkStart w:id="1029" w:name="_Toc373478400"/>
      <w:bookmarkStart w:id="1030" w:name="_Toc509760057"/>
      <w:bookmarkStart w:id="1031" w:name="_Toc465114913"/>
      <w:bookmarkStart w:id="1032" w:name="_Toc389065318"/>
      <w:bookmarkStart w:id="1033" w:name="_Toc351203645"/>
      <w:bookmarkStart w:id="1034" w:name="_Toc373227753"/>
      <w:bookmarkStart w:id="1035" w:name="_Toc297048405"/>
      <w:bookmarkStart w:id="1036" w:name="_Toc296944558"/>
      <w:bookmarkStart w:id="1037" w:name="_Toc296891259"/>
      <w:bookmarkStart w:id="1038" w:name="_Toc297123564"/>
      <w:bookmarkStart w:id="1039" w:name="_Toc296347218"/>
      <w:bookmarkStart w:id="1040" w:name="_Toc297216223"/>
      <w:bookmarkStart w:id="1041" w:name="_Toc296891047"/>
      <w:bookmarkStart w:id="1042" w:name="_Toc312678053"/>
      <w:bookmarkStart w:id="1043" w:name="_Toc300935015"/>
      <w:bookmarkStart w:id="1044" w:name="_Toc292559424"/>
      <w:bookmarkStart w:id="1045" w:name="_Toc303539172"/>
      <w:bookmarkStart w:id="1046" w:name="_Toc296503219"/>
      <w:bookmarkStart w:id="1047" w:name="_Toc304295593"/>
      <w:bookmarkStart w:id="1048" w:name="_Toc296346720"/>
      <w:bookmarkStart w:id="1049" w:name="_Toc292559929"/>
      <w:bookmarkStart w:id="1050" w:name="_Toc297120519"/>
      <w:r>
        <w:rPr>
          <w:rFonts w:hint="eastAsia" w:ascii="宋体" w:hAnsi="宋体" w:eastAsia="宋体" w:cs="宋体"/>
          <w:color w:val="auto"/>
          <w:highlight w:val="none"/>
        </w:rPr>
        <w:t>13. 验收和工程试车</w:t>
      </w:r>
      <w:bookmarkEnd w:id="1027"/>
      <w:bookmarkEnd w:id="1028"/>
      <w:bookmarkEnd w:id="1029"/>
      <w:bookmarkEnd w:id="1030"/>
      <w:bookmarkEnd w:id="1031"/>
      <w:bookmarkEnd w:id="1032"/>
      <w:bookmarkEnd w:id="1033"/>
      <w:bookmarkEnd w:id="1034"/>
    </w:p>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14:paraId="35C01052">
      <w:pPr>
        <w:pStyle w:val="4"/>
        <w:rPr>
          <w:rFonts w:hint="eastAsia" w:ascii="宋体" w:hAnsi="宋体" w:eastAsia="宋体" w:cs="宋体"/>
          <w:color w:val="auto"/>
          <w:highlight w:val="none"/>
        </w:rPr>
      </w:pPr>
      <w:bookmarkStart w:id="1051" w:name="_Toc373227754"/>
      <w:bookmarkStart w:id="1052" w:name="_Toc511243606"/>
      <w:bookmarkStart w:id="1053" w:name="_Toc373478401"/>
      <w:bookmarkStart w:id="1054" w:name="_Toc509760058"/>
      <w:bookmarkStart w:id="1055" w:name="_Toc465114914"/>
      <w:bookmarkStart w:id="1056" w:name="_Toc389065319"/>
      <w:bookmarkStart w:id="1057" w:name="_Toc511243380"/>
      <w:r>
        <w:rPr>
          <w:rFonts w:hint="eastAsia" w:ascii="宋体" w:hAnsi="宋体" w:eastAsia="宋体" w:cs="宋体"/>
          <w:color w:val="auto"/>
          <w:highlight w:val="none"/>
        </w:rPr>
        <w:t>13.1 分部分项工程验收</w:t>
      </w:r>
      <w:bookmarkEnd w:id="1051"/>
      <w:bookmarkEnd w:id="1052"/>
      <w:bookmarkEnd w:id="1053"/>
      <w:bookmarkEnd w:id="1054"/>
      <w:bookmarkEnd w:id="1055"/>
      <w:bookmarkEnd w:id="1056"/>
      <w:bookmarkEnd w:id="1057"/>
    </w:p>
    <w:p w14:paraId="44C6D40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13.1.2监理人不能按时进行验收时，应提前</w:t>
      </w:r>
      <w:r>
        <w:rPr>
          <w:rFonts w:hint="eastAsia" w:ascii="宋体" w:hAnsi="宋体" w:eastAsia="宋体" w:cs="宋体"/>
          <w:color w:val="auto"/>
          <w:highlight w:val="none"/>
          <w:u w:val="single"/>
        </w:rPr>
        <w:t xml:space="preserve">  48  </w:t>
      </w:r>
      <w:r>
        <w:rPr>
          <w:rFonts w:hint="eastAsia" w:ascii="宋体" w:hAnsi="宋体" w:eastAsia="宋体" w:cs="宋体"/>
          <w:color w:val="auto"/>
          <w:highlight w:val="none"/>
        </w:rPr>
        <w:t>小时提交书面延期要求。</w:t>
      </w:r>
    </w:p>
    <w:p w14:paraId="14A75AF6">
      <w:pPr>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24  </w:t>
      </w:r>
      <w:r>
        <w:rPr>
          <w:rFonts w:hint="eastAsia" w:ascii="宋体" w:hAnsi="宋体" w:eastAsia="宋体" w:cs="宋体"/>
          <w:color w:val="auto"/>
          <w:highlight w:val="none"/>
        </w:rPr>
        <w:t>小时。</w:t>
      </w:r>
    </w:p>
    <w:p w14:paraId="7452198C">
      <w:pPr>
        <w:pStyle w:val="4"/>
        <w:rPr>
          <w:rFonts w:hint="eastAsia" w:ascii="宋体" w:hAnsi="宋体" w:eastAsia="宋体" w:cs="宋体"/>
          <w:color w:val="auto"/>
          <w:highlight w:val="none"/>
        </w:rPr>
      </w:pPr>
      <w:bookmarkStart w:id="1058" w:name="_Toc511243381"/>
      <w:bookmarkStart w:id="1059" w:name="_Toc511243607"/>
      <w:bookmarkStart w:id="1060" w:name="_Toc509760059"/>
      <w:bookmarkStart w:id="1061" w:name="_Toc373227755"/>
      <w:bookmarkStart w:id="1062" w:name="_Toc465114915"/>
      <w:bookmarkStart w:id="1063" w:name="_Toc373478402"/>
      <w:bookmarkStart w:id="1064" w:name="_Toc389065320"/>
      <w:bookmarkStart w:id="1065" w:name="_Toc304295596"/>
      <w:bookmarkStart w:id="1066" w:name="_Toc296891263"/>
      <w:bookmarkStart w:id="1067" w:name="_Toc296346724"/>
      <w:bookmarkStart w:id="1068" w:name="_Toc312678056"/>
      <w:bookmarkStart w:id="1069" w:name="_Toc297120523"/>
      <w:bookmarkStart w:id="1070" w:name="_Toc300935016"/>
      <w:bookmarkStart w:id="1071" w:name="_Toc297216224"/>
      <w:bookmarkStart w:id="1072" w:name="_Toc297048409"/>
      <w:bookmarkStart w:id="1073" w:name="_Toc292559933"/>
      <w:bookmarkStart w:id="1074" w:name="_Toc296891051"/>
      <w:bookmarkStart w:id="1075" w:name="_Toc297123565"/>
      <w:bookmarkStart w:id="1076" w:name="_Toc296347222"/>
      <w:bookmarkStart w:id="1077" w:name="_Toc296503223"/>
      <w:bookmarkStart w:id="1078" w:name="_Toc292559428"/>
      <w:bookmarkStart w:id="1079" w:name="_Toc303539173"/>
      <w:bookmarkStart w:id="1080" w:name="_Toc296944562"/>
      <w:bookmarkStart w:id="1081" w:name="_Toc267251470"/>
      <w:bookmarkStart w:id="1082" w:name="_Toc267251474"/>
      <w:bookmarkStart w:id="1083" w:name="_Toc267251471"/>
      <w:bookmarkStart w:id="1084" w:name="_Toc267251475"/>
      <w:bookmarkStart w:id="1085" w:name="_Toc267251473"/>
      <w:bookmarkStart w:id="1086" w:name="_Toc267251472"/>
      <w:bookmarkStart w:id="1087" w:name="_Toc267251476"/>
      <w:r>
        <w:rPr>
          <w:rFonts w:hint="eastAsia" w:ascii="宋体" w:hAnsi="宋体" w:eastAsia="宋体" w:cs="宋体"/>
          <w:color w:val="auto"/>
          <w:highlight w:val="none"/>
        </w:rPr>
        <w:t>13.2 竣工验收</w:t>
      </w:r>
      <w:bookmarkEnd w:id="1058"/>
      <w:bookmarkEnd w:id="1059"/>
      <w:bookmarkEnd w:id="1060"/>
      <w:bookmarkEnd w:id="1061"/>
      <w:bookmarkEnd w:id="1062"/>
      <w:bookmarkEnd w:id="1063"/>
      <w:bookmarkEnd w:id="1064"/>
    </w:p>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14:paraId="73F50247">
      <w:pPr>
        <w:spacing w:line="360" w:lineRule="auto"/>
        <w:ind w:firstLine="420" w:firstLineChars="200"/>
        <w:jc w:val="left"/>
        <w:rPr>
          <w:rFonts w:hint="eastAsia" w:ascii="宋体" w:hAnsi="宋体" w:eastAsia="宋体" w:cs="宋体"/>
          <w:color w:val="auto"/>
          <w:highlight w:val="none"/>
        </w:rPr>
      </w:pPr>
      <w:bookmarkStart w:id="1088" w:name="_Toc280868704"/>
      <w:bookmarkStart w:id="1089" w:name="_Toc280868705"/>
      <w:bookmarkStart w:id="1090" w:name="_Toc280868706"/>
      <w:bookmarkStart w:id="1091" w:name="_Toc280868707"/>
      <w:bookmarkStart w:id="1092" w:name="_Toc280868708"/>
      <w:bookmarkStart w:id="1093" w:name="_Toc280868709"/>
      <w:r>
        <w:rPr>
          <w:rFonts w:hint="eastAsia" w:ascii="宋体" w:hAnsi="宋体" w:eastAsia="宋体" w:cs="宋体"/>
          <w:color w:val="auto"/>
          <w:highlight w:val="none"/>
        </w:rPr>
        <w:t>13.2.1竣工验收条件</w:t>
      </w:r>
    </w:p>
    <w:p w14:paraId="5B0BFE7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highlight w:val="none"/>
          <w:u w:val="single"/>
        </w:rPr>
        <w:t xml:space="preserve">  竣工图纸、竣工验收意见书、施工合同及补充协议、工程结算书、图纸会审纪录、设计修改通知单、签证单等  </w:t>
      </w:r>
      <w:r>
        <w:rPr>
          <w:rFonts w:hint="eastAsia" w:ascii="宋体" w:hAnsi="宋体" w:eastAsia="宋体" w:cs="宋体"/>
          <w:color w:val="auto"/>
          <w:highlight w:val="none"/>
        </w:rPr>
        <w:t>。</w:t>
      </w:r>
    </w:p>
    <w:p w14:paraId="0CD710D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竣工验收资料的份数：</w:t>
      </w:r>
      <w:r>
        <w:rPr>
          <w:rFonts w:hint="eastAsia" w:ascii="宋体" w:hAnsi="宋体" w:eastAsia="宋体" w:cs="宋体"/>
          <w:color w:val="auto"/>
          <w:highlight w:val="none"/>
          <w:u w:val="single"/>
        </w:rPr>
        <w:t xml:space="preserve">  一式叁份 </w:t>
      </w:r>
      <w:r>
        <w:rPr>
          <w:rFonts w:hint="eastAsia" w:ascii="宋体" w:hAnsi="宋体" w:eastAsia="宋体" w:cs="宋体"/>
          <w:color w:val="auto"/>
          <w:highlight w:val="none"/>
        </w:rPr>
        <w:t>。</w:t>
      </w:r>
    </w:p>
    <w:p w14:paraId="4A9A67F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bCs/>
          <w:color w:val="auto"/>
          <w:highlight w:val="none"/>
        </w:rPr>
        <w:t>承包人提供竣工图的约定：</w:t>
      </w:r>
      <w:r>
        <w:rPr>
          <w:rFonts w:hint="eastAsia" w:ascii="宋体" w:hAnsi="宋体" w:eastAsia="宋体" w:cs="宋体"/>
          <w:bCs/>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p>
    <w:p w14:paraId="542B5E5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13.2.2竣工验收程序</w:t>
      </w:r>
    </w:p>
    <w:bookmarkEnd w:id="1088"/>
    <w:p w14:paraId="331F0EB9">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关于竣工验收程序的约定：</w:t>
      </w:r>
      <w:r>
        <w:rPr>
          <w:rFonts w:hint="eastAsia" w:ascii="宋体" w:hAnsi="宋体" w:eastAsia="宋体" w:cs="宋体"/>
          <w:color w:val="auto"/>
          <w:highlight w:val="none"/>
          <w:u w:val="single"/>
        </w:rPr>
        <w:t xml:space="preserve">   按国家有关验收规范执行   </w:t>
      </w:r>
      <w:r>
        <w:rPr>
          <w:rFonts w:hint="eastAsia" w:ascii="宋体" w:hAnsi="宋体" w:eastAsia="宋体" w:cs="宋体"/>
          <w:color w:val="auto"/>
          <w:highlight w:val="none"/>
        </w:rPr>
        <w:t>。</w:t>
      </w:r>
    </w:p>
    <w:p w14:paraId="4A1045DD">
      <w:pPr>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highlight w:val="none"/>
        </w:rPr>
        <w:t>发包人不按照本项约定组织竣工验收、颁发工程接收证书的违约金的计算方法：</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1089"/>
    <w:p w14:paraId="66D11A6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13.2.5移交、接收全部与部分工程</w:t>
      </w:r>
    </w:p>
    <w:bookmarkEnd w:id="1090"/>
    <w:p w14:paraId="626F3DD4">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承包人向发包人移交工程的期限：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1A23AF6">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发包人未按本合同约定接收全部或部分工程的，违约金的计算方法为：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1091"/>
    <w:p w14:paraId="415D18C5">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承包人未按时移交工程的，违约金的计算方法为：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C39BF16">
      <w:pPr>
        <w:pStyle w:val="4"/>
        <w:rPr>
          <w:rFonts w:hint="eastAsia" w:ascii="宋体" w:hAnsi="宋体" w:eastAsia="宋体" w:cs="宋体"/>
          <w:color w:val="auto"/>
          <w:highlight w:val="none"/>
        </w:rPr>
      </w:pPr>
      <w:bookmarkStart w:id="1094" w:name="_Toc511243382"/>
      <w:bookmarkStart w:id="1095" w:name="_Toc509760060"/>
      <w:bookmarkStart w:id="1096" w:name="_Toc465114916"/>
      <w:bookmarkStart w:id="1097" w:name="_Toc373227756"/>
      <w:bookmarkStart w:id="1098" w:name="_Toc389065321"/>
      <w:bookmarkStart w:id="1099" w:name="_Toc511243608"/>
      <w:bookmarkStart w:id="1100" w:name="_Toc373478403"/>
      <w:r>
        <w:rPr>
          <w:rFonts w:hint="eastAsia" w:ascii="宋体" w:hAnsi="宋体" w:eastAsia="宋体" w:cs="宋体"/>
          <w:color w:val="auto"/>
          <w:highlight w:val="none"/>
        </w:rPr>
        <w:t>13.3 工程试车</w:t>
      </w:r>
      <w:bookmarkEnd w:id="1094"/>
      <w:bookmarkEnd w:id="1095"/>
      <w:bookmarkEnd w:id="1096"/>
      <w:bookmarkEnd w:id="1097"/>
      <w:bookmarkEnd w:id="1098"/>
      <w:bookmarkEnd w:id="1099"/>
      <w:bookmarkEnd w:id="1100"/>
    </w:p>
    <w:bookmarkEnd w:id="1092"/>
    <w:p w14:paraId="793E313E">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13.3.1 试车程序</w:t>
      </w:r>
    </w:p>
    <w:p w14:paraId="17BC811F">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工程试车内容：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837ACD4">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（1）单机无负荷试车费用由</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0404B7AD">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（2）无负荷联动试车费用由</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0625937C">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13.3.3 投料试车</w:t>
      </w:r>
    </w:p>
    <w:p w14:paraId="10FE4436">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关于投料试车相关事项的约定：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63AD2C0">
      <w:pPr>
        <w:pStyle w:val="4"/>
        <w:rPr>
          <w:rFonts w:hint="eastAsia" w:ascii="宋体" w:hAnsi="宋体" w:eastAsia="宋体" w:cs="宋体"/>
          <w:color w:val="auto"/>
          <w:highlight w:val="none"/>
        </w:rPr>
      </w:pPr>
      <w:bookmarkStart w:id="1101" w:name="_Toc511243609"/>
      <w:bookmarkStart w:id="1102" w:name="_Toc389065322"/>
      <w:bookmarkStart w:id="1103" w:name="_Toc373478404"/>
      <w:bookmarkStart w:id="1104" w:name="_Toc373227757"/>
      <w:bookmarkStart w:id="1105" w:name="_Toc509760061"/>
      <w:bookmarkStart w:id="1106" w:name="_Toc465114917"/>
      <w:bookmarkStart w:id="1107" w:name="_Toc511243383"/>
      <w:r>
        <w:rPr>
          <w:rFonts w:hint="eastAsia" w:ascii="宋体" w:hAnsi="宋体" w:eastAsia="宋体" w:cs="宋体"/>
          <w:color w:val="auto"/>
          <w:highlight w:val="none"/>
        </w:rPr>
        <w:t>13.6 竣工退场</w:t>
      </w:r>
      <w:bookmarkEnd w:id="1101"/>
      <w:bookmarkEnd w:id="1102"/>
      <w:bookmarkEnd w:id="1103"/>
      <w:bookmarkEnd w:id="1104"/>
      <w:bookmarkEnd w:id="1105"/>
      <w:bookmarkEnd w:id="1106"/>
      <w:bookmarkEnd w:id="1107"/>
    </w:p>
    <w:p w14:paraId="25521EA0">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13.6.1 竣工退场</w:t>
      </w:r>
    </w:p>
    <w:p w14:paraId="5D53D29C">
      <w:pPr>
        <w:spacing w:line="360" w:lineRule="auto"/>
        <w:ind w:firstLine="420" w:firstLineChars="200"/>
        <w:jc w:val="left"/>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kern w:val="0"/>
          <w:highlight w:val="none"/>
        </w:rPr>
        <w:t>承包人完成竣工退场的期限：</w:t>
      </w:r>
      <w:r>
        <w:rPr>
          <w:rFonts w:hint="eastAsia" w:ascii="宋体" w:hAnsi="宋体" w:eastAsia="宋体" w:cs="宋体"/>
          <w:color w:val="auto"/>
          <w:highlight w:val="none"/>
          <w:u w:val="single"/>
        </w:rPr>
        <w:t xml:space="preserve">  监理人颁发(出具)工程接收证书后，承包人负责按照通用合同条款本项约定的要求对施工场地进行清理  </w:t>
      </w:r>
      <w:r>
        <w:rPr>
          <w:rFonts w:hint="eastAsia" w:ascii="宋体" w:hAnsi="宋体" w:eastAsia="宋体" w:cs="宋体"/>
          <w:color w:val="auto"/>
          <w:kern w:val="0"/>
          <w:highlight w:val="none"/>
        </w:rPr>
        <w:t>。</w:t>
      </w:r>
    </w:p>
    <w:p w14:paraId="5BCC3C43">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13.7</w:t>
      </w:r>
      <w:r>
        <w:rPr>
          <w:rFonts w:hint="eastAsia" w:ascii="宋体" w:hAnsi="宋体" w:eastAsia="宋体" w:cs="宋体"/>
          <w:b/>
          <w:bCs/>
          <w:color w:val="auto"/>
          <w:sz w:val="21"/>
          <w:szCs w:val="21"/>
          <w:highlight w:val="none"/>
          <w:lang w:val="en-US" w:eastAsia="zh-CN" w:bidi="ar-SA"/>
        </w:rPr>
        <w:t>履约验收</w:t>
      </w:r>
    </w:p>
    <w:p w14:paraId="00EF85FE">
      <w:pPr>
        <w:keepNext w:val="0"/>
        <w:keepLines w:val="0"/>
        <w:pageBreakBefore w:val="0"/>
        <w:widowControl w:val="0"/>
        <w:kinsoku/>
        <w:wordWrap/>
        <w:overflowPunct/>
        <w:topLinePunct w:val="0"/>
        <w:autoSpaceDE/>
        <w:autoSpaceDN/>
        <w:bidi w:val="0"/>
        <w:adjustRightInd/>
        <w:snapToGrid/>
        <w:spacing w:before="157" w:beforeLines="50" w:line="372" w:lineRule="auto"/>
        <w:ind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u w:val="none"/>
          <w:lang w:val="en-US" w:eastAsia="zh-CN" w:bidi="ar-SA"/>
        </w:rPr>
        <w:t>履约验收</w:t>
      </w:r>
      <w:r>
        <w:rPr>
          <w:rFonts w:hint="eastAsia" w:ascii="宋体" w:hAnsi="宋体" w:eastAsia="宋体" w:cs="宋体"/>
          <w:color w:val="auto"/>
          <w:sz w:val="21"/>
          <w:szCs w:val="21"/>
          <w:highlight w:val="none"/>
          <w:u w:val="none"/>
          <w:lang w:val="en-US" w:eastAsia="zh-CN" w:bidi="ar-SA"/>
        </w:rPr>
        <w:t>：</w:t>
      </w:r>
      <w:r>
        <w:rPr>
          <w:rFonts w:hint="eastAsia" w:ascii="宋体" w:hAnsi="宋体" w:eastAsia="宋体" w:cs="宋体"/>
          <w:color w:val="auto"/>
          <w:sz w:val="21"/>
          <w:szCs w:val="21"/>
          <w:highlight w:val="none"/>
          <w:u w:val="single"/>
          <w:lang w:val="en-US" w:eastAsia="zh-CN" w:bidi="ar-SA"/>
        </w:rPr>
        <w:t>在项目完成且收到供应商验收申请后5个工作日内组织开展履约验收</w:t>
      </w:r>
      <w:r>
        <w:rPr>
          <w:rFonts w:hint="eastAsia" w:ascii="宋体" w:hAnsi="宋体" w:eastAsia="宋体" w:cs="宋体"/>
          <w:color w:val="auto"/>
          <w:sz w:val="21"/>
          <w:szCs w:val="21"/>
          <w:highlight w:val="none"/>
          <w:lang w:val="en-US" w:eastAsia="zh-CN" w:bidi="ar-SA"/>
        </w:rPr>
        <w:t>。</w:t>
      </w:r>
    </w:p>
    <w:p w14:paraId="49E09056">
      <w:pPr>
        <w:pStyle w:val="3"/>
        <w:keepNext/>
        <w:keepLines/>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cs="宋体"/>
          <w:color w:val="auto"/>
          <w:highlight w:val="none"/>
        </w:rPr>
      </w:pPr>
      <w:bookmarkStart w:id="1108" w:name="_Toc389065323"/>
      <w:bookmarkStart w:id="1109" w:name="_Toc465114918"/>
      <w:bookmarkStart w:id="1110" w:name="_Toc373227758"/>
      <w:bookmarkStart w:id="1111" w:name="_Toc511243610"/>
      <w:bookmarkStart w:id="1112" w:name="_Toc373478405"/>
      <w:bookmarkStart w:id="1113" w:name="_Toc511243384"/>
      <w:bookmarkStart w:id="1114" w:name="_Toc509760062"/>
      <w:bookmarkStart w:id="1115" w:name="_Toc351203646"/>
    </w:p>
    <w:p w14:paraId="72C9D0F2">
      <w:pPr>
        <w:pStyle w:val="3"/>
        <w:rPr>
          <w:rFonts w:hint="eastAsia" w:ascii="宋体" w:hAnsi="宋体" w:eastAsia="宋体" w:cs="宋体"/>
          <w:color w:val="auto"/>
          <w:highlight w:val="none"/>
        </w:rPr>
      </w:pPr>
      <w:r>
        <w:rPr>
          <w:rFonts w:hint="eastAsia" w:ascii="宋体" w:hAnsi="宋体" w:eastAsia="宋体" w:cs="宋体"/>
          <w:color w:val="auto"/>
          <w:highlight w:val="none"/>
        </w:rPr>
        <w:t>14. 竣工结算</w:t>
      </w:r>
      <w:bookmarkEnd w:id="1108"/>
      <w:bookmarkEnd w:id="1109"/>
      <w:bookmarkEnd w:id="1110"/>
      <w:bookmarkEnd w:id="1111"/>
      <w:bookmarkEnd w:id="1112"/>
      <w:bookmarkEnd w:id="1113"/>
      <w:bookmarkEnd w:id="1114"/>
      <w:bookmarkEnd w:id="1115"/>
    </w:p>
    <w:p w14:paraId="320B5272">
      <w:pPr>
        <w:pStyle w:val="4"/>
        <w:rPr>
          <w:rFonts w:hint="eastAsia" w:ascii="宋体" w:hAnsi="宋体" w:eastAsia="宋体" w:cs="宋体"/>
          <w:color w:val="auto"/>
          <w:highlight w:val="none"/>
        </w:rPr>
      </w:pPr>
      <w:bookmarkStart w:id="1116" w:name="_Toc373227759"/>
      <w:bookmarkStart w:id="1117" w:name="_Toc373478406"/>
      <w:bookmarkStart w:id="1118" w:name="_Toc465114919"/>
      <w:bookmarkStart w:id="1119" w:name="_Toc511243385"/>
      <w:bookmarkStart w:id="1120" w:name="_Toc389065324"/>
      <w:bookmarkStart w:id="1121" w:name="_Toc511243611"/>
      <w:bookmarkStart w:id="1122" w:name="_Toc509760063"/>
      <w:r>
        <w:rPr>
          <w:rFonts w:hint="eastAsia" w:ascii="宋体" w:hAnsi="宋体" w:eastAsia="宋体" w:cs="宋体"/>
          <w:color w:val="auto"/>
          <w:highlight w:val="none"/>
        </w:rPr>
        <w:t>14.1 竣工付款申请</w:t>
      </w:r>
      <w:bookmarkEnd w:id="1116"/>
      <w:bookmarkEnd w:id="1117"/>
      <w:bookmarkEnd w:id="1118"/>
      <w:bookmarkEnd w:id="1119"/>
      <w:bookmarkEnd w:id="1120"/>
      <w:bookmarkEnd w:id="1121"/>
      <w:bookmarkEnd w:id="1122"/>
    </w:p>
    <w:p w14:paraId="3B94BFF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承包人提交竣工付款申请单的期限：</w:t>
      </w:r>
      <w:r>
        <w:rPr>
          <w:rFonts w:hint="eastAsia" w:ascii="宋体" w:hAnsi="宋体" w:eastAsia="宋体" w:cs="宋体"/>
          <w:bCs/>
          <w:color w:val="auto"/>
          <w:highlight w:val="none"/>
          <w:u w:val="single"/>
        </w:rPr>
        <w:t>工程竣工后28日内承包人提交工程结算书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CB9B070">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竣工付款申请单应包括的内容：</w:t>
      </w:r>
      <w:r>
        <w:rPr>
          <w:rFonts w:hint="eastAsia" w:ascii="宋体" w:hAnsi="宋体" w:eastAsia="宋体" w:cs="宋体"/>
          <w:bCs/>
          <w:color w:val="auto"/>
          <w:highlight w:val="none"/>
          <w:u w:val="single"/>
        </w:rPr>
        <w:t>合同、工程量计算书、结算书、签证单、竣工图等以及结算审核的其它资料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077ED5F">
      <w:pPr>
        <w:pStyle w:val="4"/>
        <w:rPr>
          <w:rFonts w:hint="eastAsia" w:ascii="宋体" w:hAnsi="宋体" w:eastAsia="宋体" w:cs="宋体"/>
          <w:color w:val="auto"/>
          <w:highlight w:val="none"/>
        </w:rPr>
      </w:pPr>
      <w:bookmarkStart w:id="1123" w:name="_Toc373227760"/>
      <w:bookmarkStart w:id="1124" w:name="_Toc511243612"/>
      <w:bookmarkStart w:id="1125" w:name="_Toc509760064"/>
      <w:bookmarkStart w:id="1126" w:name="_Toc465114920"/>
      <w:bookmarkStart w:id="1127" w:name="_Toc373478407"/>
      <w:bookmarkStart w:id="1128" w:name="_Toc389065325"/>
      <w:bookmarkStart w:id="1129" w:name="_Toc511243386"/>
      <w:r>
        <w:rPr>
          <w:rFonts w:hint="eastAsia" w:ascii="宋体" w:hAnsi="宋体" w:eastAsia="宋体" w:cs="宋体"/>
          <w:color w:val="auto"/>
          <w:highlight w:val="none"/>
        </w:rPr>
        <w:t>14.2 竣工结算审核</w:t>
      </w:r>
      <w:bookmarkEnd w:id="1123"/>
      <w:bookmarkEnd w:id="1124"/>
      <w:bookmarkEnd w:id="1125"/>
      <w:bookmarkEnd w:id="1126"/>
      <w:bookmarkEnd w:id="1127"/>
      <w:bookmarkEnd w:id="1128"/>
      <w:bookmarkEnd w:id="1129"/>
    </w:p>
    <w:p w14:paraId="77C9D2B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发包人审批竣工付款申请单的期限：</w:t>
      </w: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2B75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19FC43B">
            <w:pPr>
              <w:spacing w:line="360" w:lineRule="auto"/>
              <w:rPr>
                <w:rFonts w:hint="eastAsia" w:ascii="宋体" w:hAnsi="宋体" w:eastAsia="宋体" w:cs="宋体"/>
                <w:bCs/>
                <w:color w:val="auto"/>
                <w:highlight w:val="none"/>
              </w:rPr>
            </w:pPr>
          </w:p>
        </w:tc>
        <w:tc>
          <w:tcPr>
            <w:tcW w:w="2466" w:type="dxa"/>
            <w:vAlign w:val="center"/>
          </w:tcPr>
          <w:p w14:paraId="26FA111D">
            <w:pPr>
              <w:spacing w:line="360" w:lineRule="auto"/>
              <w:ind w:firstLine="27" w:firstLineChars="13"/>
              <w:jc w:val="center"/>
              <w:rPr>
                <w:rFonts w:hint="eastAsia" w:ascii="宋体" w:hAnsi="宋体" w:eastAsia="宋体" w:cs="宋体"/>
                <w:bCs/>
                <w:color w:val="auto"/>
                <w:highlight w:val="none"/>
              </w:rPr>
            </w:pPr>
            <w:r>
              <w:rPr>
                <w:rFonts w:hint="eastAsia" w:ascii="宋体" w:hAnsi="宋体" w:eastAsia="宋体" w:cs="宋体"/>
                <w:bCs/>
                <w:color w:val="auto"/>
                <w:highlight w:val="none"/>
              </w:rPr>
              <w:t>工程竣工结算报告金额</w:t>
            </w:r>
          </w:p>
        </w:tc>
        <w:tc>
          <w:tcPr>
            <w:tcW w:w="5967" w:type="dxa"/>
            <w:vAlign w:val="center"/>
          </w:tcPr>
          <w:p w14:paraId="65BB4652">
            <w:pPr>
              <w:spacing w:line="360" w:lineRule="auto"/>
              <w:ind w:firstLine="441" w:firstLineChars="210"/>
              <w:jc w:val="center"/>
              <w:rPr>
                <w:rFonts w:hint="eastAsia" w:ascii="宋体" w:hAnsi="宋体" w:eastAsia="宋体" w:cs="宋体"/>
                <w:bCs/>
                <w:color w:val="auto"/>
                <w:highlight w:val="none"/>
              </w:rPr>
            </w:pPr>
            <w:r>
              <w:rPr>
                <w:rFonts w:hint="eastAsia" w:ascii="宋体" w:hAnsi="宋体" w:eastAsia="宋体" w:cs="宋体"/>
                <w:bCs/>
                <w:color w:val="auto"/>
                <w:highlight w:val="none"/>
              </w:rPr>
              <w:t>发包人审查时间</w:t>
            </w:r>
          </w:p>
        </w:tc>
      </w:tr>
      <w:tr w14:paraId="738C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59E62BD">
            <w:pPr>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tc>
        <w:tc>
          <w:tcPr>
            <w:tcW w:w="2466" w:type="dxa"/>
            <w:vAlign w:val="center"/>
          </w:tcPr>
          <w:p w14:paraId="203CD555">
            <w:pPr>
              <w:keepNext w:val="0"/>
              <w:keepLines w:val="0"/>
              <w:pageBreakBefore w:val="0"/>
              <w:widowControl w:val="0"/>
              <w:kinsoku/>
              <w:wordWrap/>
              <w:overflowPunct/>
              <w:topLinePunct w:val="0"/>
              <w:autoSpaceDE/>
              <w:autoSpaceDN/>
              <w:bidi w:val="0"/>
              <w:adjustRightInd/>
              <w:snapToGrid/>
              <w:spacing w:before="157" w:beforeLines="50" w:line="360" w:lineRule="auto"/>
              <w:ind w:firstLine="27" w:firstLineChars="13"/>
              <w:jc w:val="center"/>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500万元以下</w:t>
            </w:r>
          </w:p>
        </w:tc>
        <w:tc>
          <w:tcPr>
            <w:tcW w:w="5967" w:type="dxa"/>
            <w:vAlign w:val="center"/>
          </w:tcPr>
          <w:p w14:paraId="0B8B445D">
            <w:pPr>
              <w:keepNext w:val="0"/>
              <w:keepLines w:val="0"/>
              <w:pageBreakBefore w:val="0"/>
              <w:widowControl w:val="0"/>
              <w:kinsoku/>
              <w:wordWrap/>
              <w:overflowPunct/>
              <w:topLinePunct w:val="0"/>
              <w:autoSpaceDE/>
              <w:autoSpaceDN/>
              <w:bidi w:val="0"/>
              <w:adjustRightInd/>
              <w:snapToGrid/>
              <w:spacing w:before="157" w:beforeLines="50" w:line="360" w:lineRule="auto"/>
              <w:ind w:firstLine="441" w:firstLineChars="210"/>
              <w:jc w:val="center"/>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从接到竣工结算报告和完整的竣工结算资料之日起20天</w:t>
            </w:r>
          </w:p>
        </w:tc>
      </w:tr>
      <w:tr w14:paraId="7F1F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99BCF0C">
            <w:pPr>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highlight w:val="none"/>
              </w:rPr>
              <w:t>2</w:t>
            </w:r>
          </w:p>
        </w:tc>
        <w:tc>
          <w:tcPr>
            <w:tcW w:w="2466" w:type="dxa"/>
            <w:vAlign w:val="center"/>
          </w:tcPr>
          <w:p w14:paraId="7D443340">
            <w:pPr>
              <w:keepNext w:val="0"/>
              <w:keepLines w:val="0"/>
              <w:pageBreakBefore w:val="0"/>
              <w:widowControl w:val="0"/>
              <w:kinsoku/>
              <w:wordWrap/>
              <w:overflowPunct/>
              <w:topLinePunct w:val="0"/>
              <w:autoSpaceDE/>
              <w:autoSpaceDN/>
              <w:bidi w:val="0"/>
              <w:adjustRightInd/>
              <w:snapToGrid/>
              <w:spacing w:before="157" w:beforeLines="50" w:line="360" w:lineRule="auto"/>
              <w:ind w:firstLine="27" w:firstLineChars="13"/>
              <w:jc w:val="center"/>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500万元-2000万元</w:t>
            </w:r>
          </w:p>
        </w:tc>
        <w:tc>
          <w:tcPr>
            <w:tcW w:w="5967" w:type="dxa"/>
            <w:vAlign w:val="center"/>
          </w:tcPr>
          <w:p w14:paraId="3D4370CF">
            <w:pPr>
              <w:keepNext w:val="0"/>
              <w:keepLines w:val="0"/>
              <w:pageBreakBefore w:val="0"/>
              <w:widowControl w:val="0"/>
              <w:kinsoku/>
              <w:wordWrap/>
              <w:overflowPunct/>
              <w:topLinePunct w:val="0"/>
              <w:autoSpaceDE/>
              <w:autoSpaceDN/>
              <w:bidi w:val="0"/>
              <w:adjustRightInd/>
              <w:snapToGrid/>
              <w:spacing w:before="157" w:beforeLines="50" w:line="360" w:lineRule="auto"/>
              <w:ind w:firstLine="441" w:firstLineChars="210"/>
              <w:jc w:val="center"/>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从接到竣工结算报告和完整的竣工结算资料之日起30天</w:t>
            </w:r>
          </w:p>
        </w:tc>
      </w:tr>
      <w:tr w14:paraId="51447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DEFCBA1">
            <w:pPr>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highlight w:val="none"/>
              </w:rPr>
              <w:t>3</w:t>
            </w:r>
          </w:p>
        </w:tc>
        <w:tc>
          <w:tcPr>
            <w:tcW w:w="2466" w:type="dxa"/>
            <w:vAlign w:val="center"/>
          </w:tcPr>
          <w:p w14:paraId="12632D61">
            <w:pPr>
              <w:keepNext w:val="0"/>
              <w:keepLines w:val="0"/>
              <w:pageBreakBefore w:val="0"/>
              <w:widowControl w:val="0"/>
              <w:kinsoku/>
              <w:wordWrap/>
              <w:overflowPunct/>
              <w:topLinePunct w:val="0"/>
              <w:autoSpaceDE/>
              <w:autoSpaceDN/>
              <w:bidi w:val="0"/>
              <w:adjustRightInd/>
              <w:snapToGrid/>
              <w:spacing w:before="157" w:beforeLines="50" w:line="360" w:lineRule="auto"/>
              <w:ind w:firstLine="27" w:firstLineChars="13"/>
              <w:jc w:val="center"/>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2000万元-5000万元</w:t>
            </w:r>
          </w:p>
        </w:tc>
        <w:tc>
          <w:tcPr>
            <w:tcW w:w="5967" w:type="dxa"/>
            <w:vAlign w:val="center"/>
          </w:tcPr>
          <w:p w14:paraId="457BEACF">
            <w:pPr>
              <w:keepNext w:val="0"/>
              <w:keepLines w:val="0"/>
              <w:pageBreakBefore w:val="0"/>
              <w:widowControl w:val="0"/>
              <w:kinsoku/>
              <w:wordWrap/>
              <w:overflowPunct/>
              <w:topLinePunct w:val="0"/>
              <w:autoSpaceDE/>
              <w:autoSpaceDN/>
              <w:bidi w:val="0"/>
              <w:adjustRightInd/>
              <w:snapToGrid/>
              <w:spacing w:before="157" w:beforeLines="50" w:line="360" w:lineRule="auto"/>
              <w:ind w:firstLine="441" w:firstLineChars="210"/>
              <w:jc w:val="center"/>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从接到竣工结算报告和完整的竣工结算资料之日起45天</w:t>
            </w:r>
          </w:p>
        </w:tc>
      </w:tr>
      <w:tr w14:paraId="69EE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34F7529C">
            <w:pPr>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highlight w:val="none"/>
              </w:rPr>
              <w:t>4</w:t>
            </w:r>
          </w:p>
        </w:tc>
        <w:tc>
          <w:tcPr>
            <w:tcW w:w="2466" w:type="dxa"/>
            <w:vAlign w:val="center"/>
          </w:tcPr>
          <w:p w14:paraId="41ACB7BC">
            <w:pPr>
              <w:keepNext w:val="0"/>
              <w:keepLines w:val="0"/>
              <w:pageBreakBefore w:val="0"/>
              <w:widowControl w:val="0"/>
              <w:kinsoku/>
              <w:wordWrap/>
              <w:overflowPunct/>
              <w:topLinePunct w:val="0"/>
              <w:autoSpaceDE/>
              <w:autoSpaceDN/>
              <w:bidi w:val="0"/>
              <w:adjustRightInd/>
              <w:snapToGrid/>
              <w:spacing w:before="157" w:beforeLines="50" w:line="360" w:lineRule="auto"/>
              <w:ind w:firstLine="27" w:firstLineChars="13"/>
              <w:jc w:val="center"/>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5000万元以上</w:t>
            </w:r>
          </w:p>
        </w:tc>
        <w:tc>
          <w:tcPr>
            <w:tcW w:w="5967" w:type="dxa"/>
            <w:vAlign w:val="center"/>
          </w:tcPr>
          <w:p w14:paraId="5A7C19DC">
            <w:pPr>
              <w:keepNext w:val="0"/>
              <w:keepLines w:val="0"/>
              <w:pageBreakBefore w:val="0"/>
              <w:widowControl w:val="0"/>
              <w:kinsoku/>
              <w:wordWrap/>
              <w:overflowPunct/>
              <w:topLinePunct w:val="0"/>
              <w:autoSpaceDE/>
              <w:autoSpaceDN/>
              <w:bidi w:val="0"/>
              <w:adjustRightInd/>
              <w:snapToGrid/>
              <w:spacing w:before="157" w:beforeLines="50" w:line="360" w:lineRule="auto"/>
              <w:ind w:firstLine="441" w:firstLineChars="210"/>
              <w:jc w:val="center"/>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从接到竣工结算报告和完整的竣工结算资料之日起60天</w:t>
            </w:r>
          </w:p>
        </w:tc>
      </w:tr>
    </w:tbl>
    <w:p w14:paraId="4812A07A">
      <w:pPr>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bCs/>
          <w:color w:val="auto"/>
          <w:highlight w:val="none"/>
        </w:rPr>
        <w:t>因承包人提供的结算资料不完整而需要补充或承包人不按时对账耽误时间时，审查时间应相应顺延</w:t>
      </w:r>
      <w:r>
        <w:rPr>
          <w:rFonts w:hint="eastAsia" w:ascii="宋体" w:hAnsi="宋体" w:eastAsia="宋体" w:cs="宋体"/>
          <w:color w:val="auto"/>
          <w:highlight w:val="none"/>
        </w:rPr>
        <w:t>。</w:t>
      </w:r>
    </w:p>
    <w:p w14:paraId="54F4912E">
      <w:pPr>
        <w:spacing w:line="400" w:lineRule="exact"/>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结算审核约定：</w:t>
      </w:r>
    </w:p>
    <w:p w14:paraId="4ED4CD2D">
      <w:pPr>
        <w:keepNext w:val="0"/>
        <w:keepLines w:val="0"/>
        <w:pageBreakBefore w:val="0"/>
        <w:widowControl w:val="0"/>
        <w:kinsoku/>
        <w:wordWrap/>
        <w:overflowPunct/>
        <w:topLinePunct w:val="0"/>
        <w:autoSpaceDE/>
        <w:autoSpaceDN/>
        <w:bidi w:val="0"/>
        <w:adjustRightInd/>
        <w:snapToGrid/>
        <w:spacing w:line="460" w:lineRule="exact"/>
        <w:ind w:firstLine="411" w:firstLineChars="196"/>
        <w:textAlignment w:val="auto"/>
        <w:rPr>
          <w:rFonts w:hint="eastAsia" w:ascii="宋体" w:hAnsi="宋体" w:eastAsia="宋体" w:cs="宋体"/>
          <w:bCs/>
          <w:color w:val="auto"/>
          <w:highlight w:val="none"/>
          <w:u w:val="single"/>
        </w:rPr>
      </w:pPr>
      <w:r>
        <w:rPr>
          <w:rFonts w:hint="eastAsia" w:ascii="宋体" w:hAnsi="宋体" w:eastAsia="宋体" w:cs="宋体"/>
          <w:bCs/>
          <w:color w:val="auto"/>
          <w:highlight w:val="none"/>
        </w:rPr>
        <w:t>非国有投资项目：</w:t>
      </w:r>
      <w:r>
        <w:rPr>
          <w:rFonts w:hint="eastAsia" w:ascii="宋体" w:hAnsi="宋体" w:eastAsia="宋体" w:cs="宋体"/>
          <w:bCs/>
          <w:color w:val="auto"/>
          <w:highlight w:val="none"/>
          <w:u w:val="single"/>
        </w:rPr>
        <w:t>1、工程竣工验收报告经发包人认可后   天内，承包人向发包人递交竣工验收合格资料及完整的结算资料和报告，双方按照协议书约定的合同价款及专用条款约定的合同价调整内容，进行工程竣工结算。2、发包人收到承包人递交的竣工结算报告及结算资料之日起   天内进行审核，给予确认或者提出初审意见。发包人逾期不予审定结算的视为发包人已同意上述竣工结算报告及结算资料，并以此作为最终结算的依据。发包人初审竣工结算完毕之日起  天内，按审定后的结算价款，通知经办银行向承包人支付工程竣工结算价款。承包人应根据发包人的需要随时将竣工工程交付发包人。</w:t>
      </w:r>
    </w:p>
    <w:p w14:paraId="421D451F">
      <w:pPr>
        <w:keepNext w:val="0"/>
        <w:keepLines w:val="0"/>
        <w:pageBreakBefore w:val="0"/>
        <w:widowControl w:val="0"/>
        <w:kinsoku/>
        <w:wordWrap/>
        <w:overflowPunct/>
        <w:topLinePunct w:val="0"/>
        <w:autoSpaceDE/>
        <w:autoSpaceDN/>
        <w:bidi w:val="0"/>
        <w:adjustRightInd/>
        <w:snapToGrid/>
        <w:spacing w:line="460" w:lineRule="exact"/>
        <w:ind w:firstLine="411" w:firstLineChars="196"/>
        <w:textAlignment w:val="auto"/>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 xml:space="preserve">国有投资项目：（双方结合各地政府或有关部门出台的管理规定进行约定）                  </w:t>
      </w:r>
    </w:p>
    <w:p w14:paraId="3EEC295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发包人完成竣工付款的期限：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3E27CE1">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关于竣工付款证书异议部分复核的方式和程序：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35F64AD">
      <w:pPr>
        <w:pStyle w:val="4"/>
        <w:rPr>
          <w:rFonts w:hint="eastAsia" w:ascii="宋体" w:hAnsi="宋体" w:eastAsia="宋体" w:cs="宋体"/>
          <w:color w:val="auto"/>
          <w:highlight w:val="none"/>
        </w:rPr>
      </w:pPr>
      <w:bookmarkStart w:id="1130" w:name="_Toc373227761"/>
      <w:bookmarkStart w:id="1131" w:name="_Toc373478408"/>
      <w:bookmarkStart w:id="1132" w:name="_Toc465114921"/>
      <w:bookmarkStart w:id="1133" w:name="_Toc511243613"/>
      <w:bookmarkStart w:id="1134" w:name="_Toc389065326"/>
      <w:bookmarkStart w:id="1135" w:name="_Toc511243387"/>
      <w:bookmarkStart w:id="1136" w:name="_Toc509760065"/>
      <w:r>
        <w:rPr>
          <w:rFonts w:hint="eastAsia" w:ascii="宋体" w:hAnsi="宋体" w:eastAsia="宋体" w:cs="宋体"/>
          <w:color w:val="auto"/>
          <w:highlight w:val="none"/>
        </w:rPr>
        <w:t>14.4 最终结清</w:t>
      </w:r>
      <w:bookmarkEnd w:id="1130"/>
      <w:bookmarkEnd w:id="1131"/>
      <w:bookmarkEnd w:id="1132"/>
      <w:bookmarkEnd w:id="1133"/>
      <w:bookmarkEnd w:id="1134"/>
      <w:bookmarkEnd w:id="1135"/>
      <w:bookmarkEnd w:id="1136"/>
    </w:p>
    <w:p w14:paraId="1AF77594">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14.4.1 最终结清申请单</w:t>
      </w:r>
    </w:p>
    <w:p w14:paraId="015242F1">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承包人提交最终结清申请单的份数：</w:t>
      </w:r>
      <w:r>
        <w:rPr>
          <w:rFonts w:hint="eastAsia" w:ascii="宋体" w:hAnsi="宋体" w:eastAsia="宋体" w:cs="宋体"/>
          <w:color w:val="auto"/>
          <w:highlight w:val="none"/>
          <w:u w:val="single"/>
        </w:rPr>
        <w:t xml:space="preserve"> 3份   </w:t>
      </w:r>
      <w:r>
        <w:rPr>
          <w:rFonts w:hint="eastAsia" w:ascii="宋体" w:hAnsi="宋体" w:eastAsia="宋体" w:cs="宋体"/>
          <w:color w:val="auto"/>
          <w:highlight w:val="none"/>
        </w:rPr>
        <w:t>。</w:t>
      </w:r>
    </w:p>
    <w:p w14:paraId="2140F00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承包人提交最终结算申请单的期限：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770B208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14.4.2 最终结清证书和支付</w:t>
      </w:r>
    </w:p>
    <w:p w14:paraId="645C41F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（1）发包人完成最终结清申请单的审批并颁发最终结清证书的期限：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4951E1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（2）发包人完成支付的期限：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1081"/>
    <w:bookmarkEnd w:id="1082"/>
    <w:bookmarkEnd w:id="1083"/>
    <w:bookmarkEnd w:id="1084"/>
    <w:bookmarkEnd w:id="1085"/>
    <w:bookmarkEnd w:id="1086"/>
    <w:bookmarkEnd w:id="1087"/>
    <w:bookmarkEnd w:id="1093"/>
    <w:p w14:paraId="39C1B93F">
      <w:pPr>
        <w:pStyle w:val="3"/>
        <w:keepNext/>
        <w:keepLines/>
        <w:pageBreakBefore w:val="0"/>
        <w:widowControl w:val="0"/>
        <w:kinsoku/>
        <w:wordWrap/>
        <w:overflowPunct/>
        <w:topLinePunct w:val="0"/>
        <w:autoSpaceDE/>
        <w:autoSpaceDN/>
        <w:bidi w:val="0"/>
        <w:adjustRightInd/>
        <w:snapToGrid/>
        <w:spacing w:before="157" w:beforeLines="50"/>
        <w:textAlignment w:val="auto"/>
        <w:rPr>
          <w:rFonts w:hint="eastAsia" w:ascii="宋体" w:hAnsi="宋体" w:eastAsia="宋体" w:cs="宋体"/>
          <w:color w:val="auto"/>
          <w:highlight w:val="none"/>
        </w:rPr>
      </w:pPr>
      <w:bookmarkStart w:id="1137" w:name="_Toc509760066"/>
      <w:bookmarkStart w:id="1138" w:name="_Toc465114922"/>
      <w:bookmarkStart w:id="1139" w:name="_Toc373478409"/>
      <w:bookmarkStart w:id="1140" w:name="_Toc511243614"/>
      <w:bookmarkStart w:id="1141" w:name="_Toc373227762"/>
      <w:bookmarkStart w:id="1142" w:name="_Toc351203647"/>
      <w:bookmarkStart w:id="1143" w:name="_Toc389065327"/>
      <w:bookmarkStart w:id="1144" w:name="_Toc511243388"/>
      <w:bookmarkStart w:id="1145" w:name="_Toc267251483"/>
      <w:bookmarkStart w:id="1146" w:name="_Toc267251484"/>
      <w:bookmarkStart w:id="1147" w:name="_Toc267251482"/>
      <w:bookmarkStart w:id="1148" w:name="_Toc267251485"/>
      <w:bookmarkStart w:id="1149" w:name="_Toc267251490"/>
      <w:bookmarkStart w:id="1150" w:name="_Toc267251488"/>
      <w:bookmarkStart w:id="1151" w:name="_Toc267251486"/>
      <w:bookmarkStart w:id="1152" w:name="_Toc267251489"/>
      <w:bookmarkStart w:id="1153" w:name="_Toc267251496"/>
      <w:bookmarkStart w:id="1154" w:name="_Toc267251502"/>
      <w:bookmarkStart w:id="1155" w:name="_Toc267251494"/>
      <w:bookmarkStart w:id="1156" w:name="_Toc267251491"/>
      <w:bookmarkStart w:id="1157" w:name="_Toc267251497"/>
      <w:bookmarkStart w:id="1158" w:name="_Toc267251501"/>
      <w:bookmarkStart w:id="1159" w:name="_Toc267251493"/>
      <w:bookmarkStart w:id="1160" w:name="_Toc267251492"/>
      <w:bookmarkStart w:id="1161" w:name="_Toc267251499"/>
      <w:bookmarkStart w:id="1162" w:name="_Toc267251503"/>
      <w:bookmarkStart w:id="1163" w:name="_Toc267251495"/>
      <w:bookmarkStart w:id="1164" w:name="_Toc267251498"/>
      <w:bookmarkStart w:id="1165" w:name="_Toc267251506"/>
      <w:bookmarkStart w:id="1166" w:name="_Toc267251504"/>
      <w:bookmarkStart w:id="1167" w:name="_Toc267251507"/>
      <w:bookmarkStart w:id="1168" w:name="_Toc267251508"/>
      <w:bookmarkStart w:id="1169" w:name="_Toc267251511"/>
      <w:bookmarkStart w:id="1170" w:name="_Toc267251513"/>
      <w:bookmarkStart w:id="1171" w:name="_Toc267251509"/>
      <w:bookmarkStart w:id="1172" w:name="_Toc267251514"/>
      <w:bookmarkStart w:id="1173" w:name="_Toc267251515"/>
      <w:bookmarkStart w:id="1174" w:name="_Toc267251510"/>
      <w:r>
        <w:rPr>
          <w:rFonts w:hint="eastAsia" w:ascii="宋体" w:hAnsi="宋体" w:eastAsia="宋体" w:cs="宋体"/>
          <w:color w:val="auto"/>
          <w:highlight w:val="none"/>
        </w:rPr>
        <w:t>15. 缺陷责任期与保修</w:t>
      </w:r>
      <w:bookmarkEnd w:id="1137"/>
      <w:bookmarkEnd w:id="1138"/>
      <w:bookmarkEnd w:id="1139"/>
      <w:bookmarkEnd w:id="1140"/>
      <w:bookmarkEnd w:id="1141"/>
      <w:bookmarkEnd w:id="1142"/>
      <w:bookmarkEnd w:id="1143"/>
      <w:bookmarkEnd w:id="1144"/>
    </w:p>
    <w:p w14:paraId="79D38C40">
      <w:pPr>
        <w:pStyle w:val="4"/>
        <w:rPr>
          <w:rFonts w:hint="eastAsia" w:ascii="宋体" w:hAnsi="宋体" w:eastAsia="宋体" w:cs="宋体"/>
          <w:color w:val="auto"/>
          <w:highlight w:val="none"/>
        </w:rPr>
      </w:pPr>
      <w:bookmarkStart w:id="1175" w:name="_Toc511243615"/>
      <w:bookmarkStart w:id="1176" w:name="_Toc465114923"/>
      <w:bookmarkStart w:id="1177" w:name="_Toc373478410"/>
      <w:bookmarkStart w:id="1178" w:name="_Toc509760067"/>
      <w:bookmarkStart w:id="1179" w:name="_Toc373227763"/>
      <w:bookmarkStart w:id="1180" w:name="_Toc389065328"/>
      <w:bookmarkStart w:id="1181" w:name="_Toc511243389"/>
      <w:r>
        <w:rPr>
          <w:rFonts w:hint="eastAsia" w:ascii="宋体" w:hAnsi="宋体" w:eastAsia="宋体" w:cs="宋体"/>
          <w:color w:val="auto"/>
          <w:highlight w:val="none"/>
        </w:rPr>
        <w:t>15.2 缺陷责任期</w:t>
      </w:r>
      <w:bookmarkEnd w:id="1145"/>
      <w:bookmarkEnd w:id="1175"/>
      <w:bookmarkEnd w:id="1176"/>
      <w:bookmarkEnd w:id="1177"/>
      <w:bookmarkEnd w:id="1178"/>
      <w:bookmarkEnd w:id="1179"/>
      <w:bookmarkEnd w:id="1180"/>
      <w:bookmarkEnd w:id="1181"/>
    </w:p>
    <w:p w14:paraId="3D18C082">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缺陷责任期的具体期限：</w:t>
      </w:r>
      <w:r>
        <w:rPr>
          <w:rFonts w:hint="eastAsia" w:ascii="宋体" w:hAnsi="宋体" w:eastAsia="宋体" w:cs="宋体"/>
          <w:color w:val="auto"/>
          <w:highlight w:val="none"/>
          <w:u w:val="single"/>
        </w:rPr>
        <w:t xml:space="preserve">  12个月   </w:t>
      </w:r>
      <w:r>
        <w:rPr>
          <w:rFonts w:hint="eastAsia" w:ascii="宋体" w:hAnsi="宋体" w:eastAsia="宋体" w:cs="宋体"/>
          <w:color w:val="auto"/>
          <w:highlight w:val="none"/>
        </w:rPr>
        <w:t>。</w:t>
      </w:r>
    </w:p>
    <w:p w14:paraId="2100954C">
      <w:pPr>
        <w:pStyle w:val="4"/>
        <w:rPr>
          <w:rFonts w:hint="eastAsia" w:ascii="宋体" w:hAnsi="宋体" w:eastAsia="宋体" w:cs="宋体"/>
          <w:color w:val="auto"/>
          <w:highlight w:val="none"/>
        </w:rPr>
      </w:pPr>
      <w:bookmarkStart w:id="1182" w:name="_Toc373478411"/>
      <w:bookmarkStart w:id="1183" w:name="_Toc373227764"/>
      <w:bookmarkStart w:id="1184" w:name="_Toc509760068"/>
      <w:bookmarkStart w:id="1185" w:name="_Toc511243390"/>
      <w:bookmarkStart w:id="1186" w:name="_Toc511243616"/>
      <w:bookmarkStart w:id="1187" w:name="_Toc389065329"/>
      <w:bookmarkStart w:id="1188" w:name="_Toc465114924"/>
      <w:r>
        <w:rPr>
          <w:rFonts w:hint="eastAsia" w:ascii="宋体" w:hAnsi="宋体" w:eastAsia="宋体" w:cs="宋体"/>
          <w:color w:val="auto"/>
          <w:highlight w:val="none"/>
        </w:rPr>
        <w:t>15.3 质量保证金</w:t>
      </w:r>
      <w:bookmarkEnd w:id="1182"/>
      <w:bookmarkEnd w:id="1183"/>
      <w:bookmarkEnd w:id="1184"/>
      <w:bookmarkEnd w:id="1185"/>
      <w:bookmarkEnd w:id="1186"/>
      <w:bookmarkEnd w:id="1187"/>
      <w:bookmarkEnd w:id="1188"/>
    </w:p>
    <w:p w14:paraId="0708BDD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关于是否扣留质量保证金的约定：</w:t>
      </w:r>
      <w:r>
        <w:rPr>
          <w:rFonts w:hint="eastAsia" w:ascii="宋体" w:hAnsi="宋体" w:eastAsia="宋体" w:cs="宋体"/>
          <w:color w:val="auto"/>
          <w:highlight w:val="none"/>
          <w:u w:val="single"/>
        </w:rPr>
        <w:t xml:space="preserve">  扣留结算总额3%作为质量保证金   </w:t>
      </w:r>
      <w:r>
        <w:rPr>
          <w:rFonts w:hint="eastAsia" w:ascii="宋体" w:hAnsi="宋体" w:eastAsia="宋体" w:cs="宋体"/>
          <w:color w:val="auto"/>
          <w:highlight w:val="none"/>
        </w:rPr>
        <w:t>。</w:t>
      </w:r>
    </w:p>
    <w:p w14:paraId="1ACCAED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15.3.1 承包人提供质量保证金的方式</w:t>
      </w:r>
    </w:p>
    <w:p w14:paraId="60DD02B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质量保证金采用以下第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w:t>
      </w:r>
    </w:p>
    <w:p w14:paraId="5DEEB988">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（1）质量保证金保函，保证金额为：</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590FA23C">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bCs/>
          <w:color w:val="auto"/>
          <w:highlight w:val="none"/>
        </w:rPr>
        <w:t>发包人按工程价款结算总额的</w:t>
      </w:r>
      <w:r>
        <w:rPr>
          <w:rFonts w:hint="eastAsia" w:ascii="宋体" w:hAnsi="宋体" w:eastAsia="宋体" w:cs="宋体"/>
          <w:bCs/>
          <w:color w:val="auto"/>
          <w:highlight w:val="none"/>
          <w:u w:val="single"/>
        </w:rPr>
        <w:t xml:space="preserve"> 3  </w:t>
      </w:r>
      <w:r>
        <w:rPr>
          <w:rFonts w:hint="eastAsia" w:ascii="宋体" w:hAnsi="宋体" w:eastAsia="宋体" w:cs="宋体"/>
          <w:bCs/>
          <w:color w:val="auto"/>
          <w:highlight w:val="none"/>
        </w:rPr>
        <w:t>%预留工程质量保修金，待缺陷责任期满后返还</w:t>
      </w:r>
      <w:r>
        <w:rPr>
          <w:rFonts w:hint="eastAsia" w:ascii="宋体" w:hAnsi="宋体" w:eastAsia="宋体" w:cs="宋体"/>
          <w:color w:val="auto"/>
          <w:kern w:val="0"/>
          <w:highlight w:val="none"/>
        </w:rPr>
        <w:t>；</w:t>
      </w:r>
    </w:p>
    <w:p w14:paraId="23DEF74B">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（3）其他方式：</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w:t>
      </w:r>
    </w:p>
    <w:p w14:paraId="0C3E834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15.3.2 质量保证金的扣留</w:t>
      </w:r>
    </w:p>
    <w:p w14:paraId="511791C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质量保证金的扣留采取以下第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w:t>
      </w:r>
    </w:p>
    <w:p w14:paraId="21C79846">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（1）在支付工程进度款时逐次扣留，在此情形下，质量保证金的计算基数不包括预付款的支付、扣回以及价格调整的金额；</w:t>
      </w:r>
    </w:p>
    <w:p w14:paraId="7D8B70B3">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（2）工程竣工结算时一次性扣留质量保证金；</w:t>
      </w:r>
    </w:p>
    <w:p w14:paraId="07113FAE">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（3）其他扣留方式:</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503C6BC2">
      <w:pPr>
        <w:spacing w:line="360" w:lineRule="auto"/>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highlight w:val="none"/>
        </w:rPr>
        <w:t>关于质量保证金的补充约定：</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bookmarkEnd w:id="1146"/>
    <w:bookmarkEnd w:id="1147"/>
    <w:p w14:paraId="05BEA470">
      <w:pPr>
        <w:pStyle w:val="4"/>
        <w:rPr>
          <w:rFonts w:hint="eastAsia" w:ascii="宋体" w:hAnsi="宋体" w:eastAsia="宋体" w:cs="宋体"/>
          <w:color w:val="auto"/>
          <w:highlight w:val="none"/>
        </w:rPr>
      </w:pPr>
      <w:bookmarkStart w:id="1189" w:name="_Toc373227765"/>
      <w:bookmarkStart w:id="1190" w:name="_Toc465114925"/>
      <w:bookmarkStart w:id="1191" w:name="_Toc511243617"/>
      <w:bookmarkStart w:id="1192" w:name="_Toc509760069"/>
      <w:bookmarkStart w:id="1193" w:name="_Toc389065330"/>
      <w:bookmarkStart w:id="1194" w:name="_Toc373478412"/>
      <w:bookmarkStart w:id="1195" w:name="_Toc511243391"/>
      <w:r>
        <w:rPr>
          <w:rFonts w:hint="eastAsia" w:ascii="宋体" w:hAnsi="宋体" w:eastAsia="宋体" w:cs="宋体"/>
          <w:color w:val="auto"/>
          <w:highlight w:val="none"/>
        </w:rPr>
        <w:t>15.4 保修</w:t>
      </w:r>
      <w:bookmarkEnd w:id="1189"/>
      <w:bookmarkEnd w:id="1190"/>
      <w:bookmarkEnd w:id="1191"/>
      <w:bookmarkEnd w:id="1192"/>
      <w:bookmarkEnd w:id="1193"/>
      <w:bookmarkEnd w:id="1194"/>
      <w:bookmarkEnd w:id="1195"/>
    </w:p>
    <w:bookmarkEnd w:id="1148"/>
    <w:p w14:paraId="5F2FE28F">
      <w:pPr>
        <w:spacing w:line="360" w:lineRule="auto"/>
        <w:ind w:firstLine="409" w:firstLineChars="195"/>
        <w:jc w:val="left"/>
        <w:rPr>
          <w:rFonts w:hint="eastAsia" w:ascii="宋体" w:hAnsi="宋体" w:eastAsia="宋体" w:cs="宋体"/>
          <w:color w:val="auto"/>
          <w:highlight w:val="none"/>
        </w:rPr>
      </w:pPr>
      <w:r>
        <w:rPr>
          <w:rFonts w:hint="eastAsia" w:ascii="宋体" w:hAnsi="宋体" w:eastAsia="宋体" w:cs="宋体"/>
          <w:color w:val="auto"/>
          <w:highlight w:val="none"/>
        </w:rPr>
        <w:t>15.4.1 保修责任</w:t>
      </w:r>
    </w:p>
    <w:p w14:paraId="20ED3EA7">
      <w:pPr>
        <w:spacing w:line="360" w:lineRule="auto"/>
        <w:ind w:firstLine="409" w:firstLineChars="195"/>
        <w:jc w:val="left"/>
        <w:rPr>
          <w:rFonts w:hint="eastAsia" w:ascii="宋体" w:hAnsi="宋体" w:eastAsia="宋体" w:cs="宋体"/>
          <w:color w:val="auto"/>
          <w:kern w:val="0"/>
          <w:highlight w:val="none"/>
        </w:rPr>
      </w:pPr>
      <w:r>
        <w:rPr>
          <w:rFonts w:hint="eastAsia" w:ascii="宋体" w:hAnsi="宋体" w:eastAsia="宋体" w:cs="宋体"/>
          <w:color w:val="auto"/>
          <w:highlight w:val="none"/>
        </w:rPr>
        <w:t>工程保修期为：</w:t>
      </w:r>
      <w:r>
        <w:rPr>
          <w:rFonts w:hint="eastAsia" w:ascii="宋体" w:hAnsi="宋体" w:eastAsia="宋体" w:cs="宋体"/>
          <w:color w:val="auto"/>
          <w:kern w:val="0"/>
          <w:highlight w:val="none"/>
          <w:u w:val="single"/>
        </w:rPr>
        <w:t xml:space="preserve">按工程保修书约定  </w:t>
      </w:r>
      <w:r>
        <w:rPr>
          <w:rFonts w:hint="eastAsia" w:ascii="宋体" w:hAnsi="宋体" w:eastAsia="宋体" w:cs="宋体"/>
          <w:color w:val="auto"/>
          <w:kern w:val="0"/>
          <w:highlight w:val="none"/>
        </w:rPr>
        <w:t>。</w:t>
      </w:r>
    </w:p>
    <w:p w14:paraId="63C94227">
      <w:pPr>
        <w:spacing w:line="360" w:lineRule="auto"/>
        <w:ind w:firstLine="409" w:firstLineChars="195"/>
        <w:jc w:val="left"/>
        <w:rPr>
          <w:rFonts w:hint="eastAsia" w:ascii="宋体" w:hAnsi="宋体" w:eastAsia="宋体" w:cs="宋体"/>
          <w:color w:val="auto"/>
          <w:kern w:val="0"/>
          <w:highlight w:val="none"/>
          <w:u w:val="single"/>
        </w:rPr>
      </w:pPr>
      <w:r>
        <w:rPr>
          <w:rFonts w:hint="eastAsia" w:ascii="宋体" w:hAnsi="宋体" w:eastAsia="宋体" w:cs="宋体"/>
          <w:color w:val="auto"/>
          <w:highlight w:val="none"/>
        </w:rPr>
        <w:t>工程保修书具体内容见合同附件8。</w:t>
      </w:r>
    </w:p>
    <w:p w14:paraId="1021D7FB">
      <w:pPr>
        <w:spacing w:line="360" w:lineRule="auto"/>
        <w:ind w:firstLine="409" w:firstLineChars="195"/>
        <w:jc w:val="left"/>
        <w:rPr>
          <w:rFonts w:hint="eastAsia" w:ascii="宋体" w:hAnsi="宋体" w:eastAsia="宋体" w:cs="宋体"/>
          <w:color w:val="auto"/>
          <w:highlight w:val="none"/>
        </w:rPr>
      </w:pPr>
      <w:r>
        <w:rPr>
          <w:rFonts w:hint="eastAsia" w:ascii="宋体" w:hAnsi="宋体" w:eastAsia="宋体" w:cs="宋体"/>
          <w:color w:val="auto"/>
          <w:highlight w:val="none"/>
        </w:rPr>
        <w:t>15.4.3 修复通知</w:t>
      </w:r>
    </w:p>
    <w:p w14:paraId="35F61CA4">
      <w:pPr>
        <w:spacing w:line="360" w:lineRule="auto"/>
        <w:ind w:firstLine="409" w:firstLineChars="195"/>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承包人收到保修通知并到达工程现场的合理时间：</w:t>
      </w:r>
      <w:r>
        <w:rPr>
          <w:rFonts w:hint="eastAsia" w:ascii="宋体" w:hAnsi="宋体" w:eastAsia="宋体" w:cs="宋体"/>
          <w:color w:val="auto"/>
          <w:kern w:val="0"/>
          <w:highlight w:val="none"/>
          <w:u w:val="single"/>
        </w:rPr>
        <w:t xml:space="preserve">48小时内  </w:t>
      </w:r>
      <w:r>
        <w:rPr>
          <w:rFonts w:hint="eastAsia" w:ascii="宋体" w:hAnsi="宋体" w:eastAsia="宋体" w:cs="宋体"/>
          <w:color w:val="auto"/>
          <w:kern w:val="0"/>
          <w:highlight w:val="none"/>
        </w:rPr>
        <w:t>。</w:t>
      </w:r>
    </w:p>
    <w:bookmarkEnd w:id="1149"/>
    <w:bookmarkEnd w:id="1150"/>
    <w:bookmarkEnd w:id="1151"/>
    <w:bookmarkEnd w:id="1152"/>
    <w:p w14:paraId="009F1431">
      <w:pPr>
        <w:pStyle w:val="3"/>
        <w:keepNext/>
        <w:keepLines/>
        <w:pageBreakBefore w:val="0"/>
        <w:widowControl w:val="0"/>
        <w:kinsoku/>
        <w:wordWrap/>
        <w:overflowPunct/>
        <w:topLinePunct w:val="0"/>
        <w:autoSpaceDE/>
        <w:autoSpaceDN/>
        <w:bidi w:val="0"/>
        <w:adjustRightInd/>
        <w:snapToGrid/>
        <w:spacing w:before="157" w:beforeLines="50"/>
        <w:textAlignment w:val="auto"/>
        <w:rPr>
          <w:rFonts w:hint="eastAsia" w:ascii="宋体" w:hAnsi="宋体" w:eastAsia="宋体" w:cs="宋体"/>
          <w:color w:val="auto"/>
          <w:highlight w:val="none"/>
        </w:rPr>
      </w:pPr>
      <w:bookmarkStart w:id="1196" w:name="_Toc373227766"/>
      <w:bookmarkStart w:id="1197" w:name="_Toc511243392"/>
      <w:bookmarkStart w:id="1198" w:name="_Toc465114926"/>
      <w:bookmarkStart w:id="1199" w:name="_Toc389065331"/>
      <w:bookmarkStart w:id="1200" w:name="_Toc351203648"/>
      <w:bookmarkStart w:id="1201" w:name="_Toc509760070"/>
      <w:bookmarkStart w:id="1202" w:name="_Toc373478413"/>
      <w:bookmarkStart w:id="1203" w:name="_Toc511243618"/>
      <w:bookmarkStart w:id="1204" w:name="_Toc280868717"/>
      <w:bookmarkStart w:id="1205" w:name="_Toc280868718"/>
      <w:r>
        <w:rPr>
          <w:rFonts w:hint="eastAsia" w:ascii="宋体" w:hAnsi="宋体" w:eastAsia="宋体" w:cs="宋体"/>
          <w:color w:val="auto"/>
          <w:highlight w:val="none"/>
        </w:rPr>
        <w:t>16. 违约</w:t>
      </w:r>
      <w:bookmarkEnd w:id="1196"/>
      <w:bookmarkEnd w:id="1197"/>
      <w:bookmarkEnd w:id="1198"/>
      <w:bookmarkEnd w:id="1199"/>
      <w:bookmarkEnd w:id="1200"/>
      <w:bookmarkEnd w:id="1201"/>
      <w:bookmarkEnd w:id="1202"/>
      <w:bookmarkEnd w:id="1203"/>
    </w:p>
    <w:p w14:paraId="2D1CE97A">
      <w:pPr>
        <w:pStyle w:val="4"/>
        <w:rPr>
          <w:rFonts w:hint="eastAsia" w:ascii="宋体" w:hAnsi="宋体" w:eastAsia="宋体" w:cs="宋体"/>
          <w:color w:val="auto"/>
          <w:highlight w:val="none"/>
        </w:rPr>
      </w:pPr>
      <w:bookmarkStart w:id="1206" w:name="_Toc511243619"/>
      <w:bookmarkStart w:id="1207" w:name="_Toc373227767"/>
      <w:bookmarkStart w:id="1208" w:name="_Toc509760071"/>
      <w:bookmarkStart w:id="1209" w:name="_Toc389065332"/>
      <w:bookmarkStart w:id="1210" w:name="_Toc465114927"/>
      <w:bookmarkStart w:id="1211" w:name="_Toc373478414"/>
      <w:bookmarkStart w:id="1212" w:name="_Toc511243393"/>
      <w:r>
        <w:rPr>
          <w:rFonts w:hint="eastAsia" w:ascii="宋体" w:hAnsi="宋体" w:eastAsia="宋体" w:cs="宋体"/>
          <w:color w:val="auto"/>
          <w:highlight w:val="none"/>
        </w:rPr>
        <w:t>16.1 发包人违约</w:t>
      </w:r>
      <w:bookmarkEnd w:id="1206"/>
      <w:bookmarkEnd w:id="1207"/>
      <w:bookmarkEnd w:id="1208"/>
      <w:bookmarkEnd w:id="1209"/>
      <w:bookmarkEnd w:id="1210"/>
      <w:bookmarkEnd w:id="1211"/>
      <w:bookmarkEnd w:id="1212"/>
    </w:p>
    <w:p w14:paraId="7B94AFA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16.1.1发包人违约的情形</w:t>
      </w:r>
    </w:p>
    <w:p w14:paraId="685F3225">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发包人违约的其他情形：</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19757A0C">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16.1.2 发包人违约的责任</w:t>
      </w:r>
    </w:p>
    <w:p w14:paraId="0D1E9EA2">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发包人违约责任的承担方式和计算方法：</w:t>
      </w:r>
    </w:p>
    <w:p w14:paraId="4EC780E4">
      <w:pPr>
        <w:spacing w:line="360" w:lineRule="auto"/>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（1）因发包人原因未能在计划开工日期前7天内下达开工通知的违约责任：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5ADF1F82">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（2）因发包人原因未能按合同约定支付合同价款的违约责任：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783D46D3">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（3）发包人违反第10.1款〔变更的范围〕第（2）项约定，自行实施被取消的工作或转由他人实施的违约责任：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74FA39D7">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2200BAF5">
      <w:pPr>
        <w:spacing w:line="360" w:lineRule="auto"/>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（5）因发包人违反合同约定造成暂停施工的违约责任：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173544D7">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（6）发包人无正当理由没有在约定期限内发出复工指示，导致承包人无法复工的违约责任：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40EEBEBC">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（7）其他：</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20B4CE4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16.1.3 因发包人违约解除合同</w:t>
      </w:r>
    </w:p>
    <w:p w14:paraId="16127668">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承包人按16.1.1项〔发包人违约的情形〕约定暂停施工满</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天后发包人仍不纠正其违约行为并致使合同目的不能实现的，承包人有权解除合同。</w:t>
      </w:r>
    </w:p>
    <w:p w14:paraId="5EF51311">
      <w:pPr>
        <w:pStyle w:val="4"/>
        <w:rPr>
          <w:rFonts w:hint="eastAsia" w:ascii="宋体" w:hAnsi="宋体" w:eastAsia="宋体" w:cs="宋体"/>
          <w:color w:val="auto"/>
          <w:highlight w:val="none"/>
        </w:rPr>
      </w:pPr>
      <w:bookmarkStart w:id="1213" w:name="_Toc465114928"/>
      <w:bookmarkStart w:id="1214" w:name="_Toc373478415"/>
      <w:bookmarkStart w:id="1215" w:name="_Toc509760072"/>
      <w:bookmarkStart w:id="1216" w:name="_Toc389065333"/>
      <w:bookmarkStart w:id="1217" w:name="_Toc373227768"/>
      <w:bookmarkStart w:id="1218" w:name="_Toc511243620"/>
      <w:bookmarkStart w:id="1219" w:name="_Toc511243394"/>
      <w:r>
        <w:rPr>
          <w:rFonts w:hint="eastAsia" w:ascii="宋体" w:hAnsi="宋体" w:eastAsia="宋体" w:cs="宋体"/>
          <w:color w:val="auto"/>
          <w:highlight w:val="none"/>
        </w:rPr>
        <w:t>16.2 承包人违约</w:t>
      </w:r>
      <w:bookmarkEnd w:id="1213"/>
      <w:bookmarkEnd w:id="1214"/>
      <w:bookmarkEnd w:id="1215"/>
      <w:bookmarkEnd w:id="1216"/>
      <w:bookmarkEnd w:id="1217"/>
      <w:bookmarkEnd w:id="1218"/>
      <w:bookmarkEnd w:id="1219"/>
    </w:p>
    <w:p w14:paraId="2277923A">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16.2.1 承包人违约的情形</w:t>
      </w:r>
    </w:p>
    <w:p w14:paraId="5EFA1122">
      <w:pPr>
        <w:spacing w:line="360" w:lineRule="auto"/>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承包人违约的其他情形：</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79693A4F">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16.2.2承包人违约的责任</w:t>
      </w:r>
    </w:p>
    <w:p w14:paraId="0577F42C">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承包人违约责任的承担方式和计算方法：</w:t>
      </w:r>
    </w:p>
    <w:p w14:paraId="7926ADBD">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58A8BCED">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（2）承包人有本合同通用条款第16.2.1（6）条情形的，或经监理人检验认为修复质量不合格而承包人拒绝再进行修补的，发包人将扣除承包人全部质量保修金。</w:t>
      </w:r>
    </w:p>
    <w:p w14:paraId="64BEE680">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33B8617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16.2.3 因承包人违约解除合同</w:t>
      </w:r>
    </w:p>
    <w:p w14:paraId="0578A845">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关于承包人违约解除合同的特别约定：</w:t>
      </w:r>
      <w:r>
        <w:rPr>
          <w:rFonts w:hint="eastAsia" w:ascii="宋体" w:hAnsi="宋体" w:eastAsia="宋体" w:cs="宋体"/>
          <w:color w:val="auto"/>
          <w:kern w:val="0"/>
          <w:highlight w:val="none"/>
          <w:u w:val="single"/>
        </w:rPr>
        <w:t>承包人有违反以下情况之一的，发包人有权解除合同，并没收其全部履约保证金</w:t>
      </w:r>
      <w:r>
        <w:rPr>
          <w:rFonts w:hint="eastAsia" w:ascii="宋体" w:hAnsi="宋体" w:eastAsia="宋体" w:cs="宋体"/>
          <w:color w:val="auto"/>
          <w:kern w:val="0"/>
          <w:highlight w:val="none"/>
        </w:rPr>
        <w:t>。</w:t>
      </w:r>
    </w:p>
    <w:p w14:paraId="7B9E0729">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(1)承包人无正当理由不按开工通知的要求及时进场组织施工和不按签订协议书时商定的进度计划有效地开展施工准备，造成工期延误的；</w:t>
      </w:r>
    </w:p>
    <w:p w14:paraId="51672F6D">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(2)承包人违反本合同通用条款第3.5条规定私自将合同或合同的任何部分或任何权利转让给其他人，或私自将工程或工程的一部分分包出去的；</w:t>
      </w:r>
    </w:p>
    <w:p w14:paraId="0CEDF007">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(3)未经监理人批准，承包人私自将已按投标文件承诺进入工地的工程设备、施工设备、临时工程或材料撤离工地的；</w:t>
      </w:r>
    </w:p>
    <w:p w14:paraId="47369D79">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(4)由于承包人原因拒绝按合同进度计划及时完成合同规定的工程，而又未采取有效措施赶上进度，造成工期严重延误的；</w:t>
      </w:r>
    </w:p>
    <w:p w14:paraId="56D5481C">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(5)承包人否认合同有效或拒绝履行合同规定的承包人义务，或由于法律、财务等原因导致承包人无法继续履行或实质上已停止履行合同的义务的；</w:t>
      </w:r>
    </w:p>
    <w:p w14:paraId="4E9EC21B">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(6)合同签订之日起十五日内，承包人无法按合同规定及投标文件的承诺进场经监理工程师认可的全部人员和机械的。</w:t>
      </w:r>
    </w:p>
    <w:p w14:paraId="104DDB36">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6CED5FA8">
      <w:pPr>
        <w:pStyle w:val="3"/>
        <w:keepNext/>
        <w:keepLines/>
        <w:pageBreakBefore w:val="0"/>
        <w:widowControl w:val="0"/>
        <w:kinsoku/>
        <w:wordWrap/>
        <w:overflowPunct/>
        <w:topLinePunct w:val="0"/>
        <w:autoSpaceDE/>
        <w:autoSpaceDN/>
        <w:bidi w:val="0"/>
        <w:adjustRightInd/>
        <w:snapToGrid/>
        <w:spacing w:before="157" w:beforeLines="50"/>
        <w:textAlignment w:val="auto"/>
        <w:rPr>
          <w:rFonts w:hint="eastAsia" w:ascii="宋体" w:hAnsi="宋体" w:eastAsia="宋体" w:cs="宋体"/>
          <w:color w:val="auto"/>
          <w:highlight w:val="none"/>
        </w:rPr>
      </w:pPr>
      <w:bookmarkStart w:id="1220" w:name="_Toc351203649"/>
      <w:bookmarkStart w:id="1221" w:name="_Toc389065334"/>
      <w:bookmarkStart w:id="1222" w:name="_Toc373478416"/>
      <w:bookmarkStart w:id="1223" w:name="_Toc511243395"/>
      <w:bookmarkStart w:id="1224" w:name="_Toc373227769"/>
      <w:bookmarkStart w:id="1225" w:name="_Toc465114929"/>
      <w:bookmarkStart w:id="1226" w:name="_Toc509760073"/>
      <w:bookmarkStart w:id="1227" w:name="_Toc511243621"/>
      <w:r>
        <w:rPr>
          <w:rFonts w:hint="eastAsia" w:ascii="宋体" w:hAnsi="宋体" w:eastAsia="宋体" w:cs="宋体"/>
          <w:color w:val="auto"/>
          <w:highlight w:val="none"/>
        </w:rPr>
        <w:t>17. 不可抗力</w:t>
      </w:r>
      <w:bookmarkEnd w:id="1220"/>
      <w:bookmarkEnd w:id="1221"/>
      <w:bookmarkEnd w:id="1222"/>
      <w:bookmarkEnd w:id="1223"/>
      <w:bookmarkEnd w:id="1224"/>
      <w:bookmarkEnd w:id="1225"/>
      <w:bookmarkEnd w:id="1226"/>
      <w:bookmarkEnd w:id="1227"/>
      <w:r>
        <w:rPr>
          <w:rFonts w:hint="eastAsia" w:ascii="宋体" w:hAnsi="宋体" w:eastAsia="宋体" w:cs="宋体"/>
          <w:color w:val="auto"/>
          <w:highlight w:val="none"/>
        </w:rPr>
        <w:t xml:space="preserve"> </w:t>
      </w:r>
      <w:bookmarkEnd w:id="1204"/>
    </w:p>
    <w:p w14:paraId="523FE52D">
      <w:pPr>
        <w:pStyle w:val="4"/>
        <w:rPr>
          <w:rFonts w:hint="eastAsia" w:ascii="宋体" w:hAnsi="宋体" w:eastAsia="宋体" w:cs="宋体"/>
          <w:color w:val="auto"/>
          <w:highlight w:val="none"/>
        </w:rPr>
      </w:pPr>
      <w:bookmarkStart w:id="1228" w:name="_Toc509760074"/>
      <w:bookmarkStart w:id="1229" w:name="_Toc465114930"/>
      <w:bookmarkStart w:id="1230" w:name="_Toc511243622"/>
      <w:bookmarkStart w:id="1231" w:name="_Toc373478417"/>
      <w:bookmarkStart w:id="1232" w:name="_Toc511243396"/>
      <w:bookmarkStart w:id="1233" w:name="_Toc389065335"/>
      <w:bookmarkStart w:id="1234" w:name="_Toc373227770"/>
      <w:r>
        <w:rPr>
          <w:rFonts w:hint="eastAsia" w:ascii="宋体" w:hAnsi="宋体" w:eastAsia="宋体" w:cs="宋体"/>
          <w:color w:val="auto"/>
          <w:highlight w:val="none"/>
        </w:rPr>
        <w:t>17.1 不可抗力的确认</w:t>
      </w:r>
      <w:bookmarkEnd w:id="1228"/>
      <w:bookmarkEnd w:id="1229"/>
      <w:bookmarkEnd w:id="1230"/>
      <w:bookmarkEnd w:id="1231"/>
      <w:bookmarkEnd w:id="1232"/>
      <w:bookmarkEnd w:id="1233"/>
      <w:bookmarkEnd w:id="1234"/>
    </w:p>
    <w:p w14:paraId="19AFB5A7">
      <w:pPr>
        <w:spacing w:line="360" w:lineRule="auto"/>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highlight w:val="none"/>
        </w:rPr>
        <w:t>除通用合同条款约定的不可抗力事件之外，视为不可抗力的其他情形：</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5FE0F6BB">
      <w:pPr>
        <w:pStyle w:val="4"/>
        <w:rPr>
          <w:rFonts w:hint="eastAsia" w:ascii="宋体" w:hAnsi="宋体" w:eastAsia="宋体" w:cs="宋体"/>
          <w:color w:val="auto"/>
          <w:highlight w:val="none"/>
        </w:rPr>
      </w:pPr>
      <w:bookmarkStart w:id="1235" w:name="_Toc511243397"/>
      <w:bookmarkStart w:id="1236" w:name="_Toc465114931"/>
      <w:bookmarkStart w:id="1237" w:name="_Toc509760075"/>
      <w:bookmarkStart w:id="1238" w:name="_Toc373478418"/>
      <w:bookmarkStart w:id="1239" w:name="_Toc373227771"/>
      <w:bookmarkStart w:id="1240" w:name="_Toc389065336"/>
      <w:bookmarkStart w:id="1241" w:name="_Toc511243623"/>
      <w:r>
        <w:rPr>
          <w:rFonts w:hint="eastAsia" w:ascii="宋体" w:hAnsi="宋体" w:eastAsia="宋体" w:cs="宋体"/>
          <w:color w:val="auto"/>
          <w:highlight w:val="none"/>
        </w:rPr>
        <w:t>17.4 因不可抗力解除合同</w:t>
      </w:r>
      <w:bookmarkEnd w:id="1235"/>
      <w:bookmarkEnd w:id="1236"/>
      <w:bookmarkEnd w:id="1237"/>
      <w:bookmarkEnd w:id="1238"/>
      <w:bookmarkEnd w:id="1239"/>
      <w:bookmarkEnd w:id="1240"/>
      <w:bookmarkEnd w:id="1241"/>
    </w:p>
    <w:p w14:paraId="4695BB1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合同解除后，发包人应在商定或确定发包人应支付款项后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天内完成款项的支付。</w:t>
      </w:r>
    </w:p>
    <w:p w14:paraId="45B5317D">
      <w:pPr>
        <w:pStyle w:val="3"/>
        <w:keepNext/>
        <w:keepLines/>
        <w:pageBreakBefore w:val="0"/>
        <w:widowControl w:val="0"/>
        <w:kinsoku/>
        <w:wordWrap/>
        <w:overflowPunct/>
        <w:topLinePunct w:val="0"/>
        <w:autoSpaceDE/>
        <w:autoSpaceDN/>
        <w:bidi w:val="0"/>
        <w:adjustRightInd/>
        <w:snapToGrid/>
        <w:spacing w:before="157" w:beforeLines="50"/>
        <w:textAlignment w:val="auto"/>
        <w:rPr>
          <w:rFonts w:hint="eastAsia" w:ascii="宋体" w:hAnsi="宋体" w:eastAsia="宋体" w:cs="宋体"/>
          <w:color w:val="auto"/>
          <w:highlight w:val="none"/>
        </w:rPr>
      </w:pPr>
      <w:bookmarkStart w:id="1242" w:name="_Toc511243398"/>
      <w:bookmarkStart w:id="1243" w:name="_Toc373478419"/>
      <w:bookmarkStart w:id="1244" w:name="_Toc351203650"/>
      <w:bookmarkStart w:id="1245" w:name="_Toc373227772"/>
      <w:bookmarkStart w:id="1246" w:name="_Toc465114932"/>
      <w:bookmarkStart w:id="1247" w:name="_Toc389065337"/>
      <w:bookmarkStart w:id="1248" w:name="_Toc511243624"/>
      <w:bookmarkStart w:id="1249" w:name="_Toc509760076"/>
      <w:r>
        <w:rPr>
          <w:rFonts w:hint="eastAsia" w:ascii="宋体" w:hAnsi="宋体" w:eastAsia="宋体" w:cs="宋体"/>
          <w:color w:val="auto"/>
          <w:highlight w:val="none"/>
        </w:rPr>
        <w:t>18. 保险</w:t>
      </w:r>
      <w:bookmarkEnd w:id="1242"/>
      <w:bookmarkEnd w:id="1243"/>
      <w:bookmarkEnd w:id="1244"/>
      <w:bookmarkEnd w:id="1245"/>
      <w:bookmarkEnd w:id="1246"/>
      <w:bookmarkEnd w:id="1247"/>
      <w:bookmarkEnd w:id="1248"/>
      <w:bookmarkEnd w:id="1249"/>
    </w:p>
    <w:bookmarkEnd w:id="1205"/>
    <w:p w14:paraId="0440AE8C">
      <w:pPr>
        <w:pStyle w:val="4"/>
        <w:rPr>
          <w:rFonts w:hint="eastAsia" w:ascii="宋体" w:hAnsi="宋体" w:eastAsia="宋体" w:cs="宋体"/>
          <w:color w:val="auto"/>
          <w:highlight w:val="none"/>
        </w:rPr>
      </w:pPr>
      <w:bookmarkStart w:id="1250" w:name="_Toc373227773"/>
      <w:bookmarkStart w:id="1251" w:name="_Toc511243625"/>
      <w:bookmarkStart w:id="1252" w:name="_Toc509760077"/>
      <w:bookmarkStart w:id="1253" w:name="_Toc511243399"/>
      <w:bookmarkStart w:id="1254" w:name="_Toc389065338"/>
      <w:bookmarkStart w:id="1255" w:name="_Toc373478420"/>
      <w:bookmarkStart w:id="1256" w:name="_Toc465114933"/>
      <w:r>
        <w:rPr>
          <w:rFonts w:hint="eastAsia" w:ascii="宋体" w:hAnsi="宋体" w:eastAsia="宋体" w:cs="宋体"/>
          <w:color w:val="auto"/>
          <w:highlight w:val="none"/>
        </w:rPr>
        <w:t>18.1 工程保险</w:t>
      </w:r>
      <w:bookmarkEnd w:id="1250"/>
      <w:bookmarkEnd w:id="1251"/>
      <w:bookmarkEnd w:id="1252"/>
      <w:bookmarkEnd w:id="1253"/>
      <w:bookmarkEnd w:id="1254"/>
      <w:bookmarkEnd w:id="1255"/>
      <w:bookmarkEnd w:id="1256"/>
    </w:p>
    <w:p w14:paraId="16AB4C4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关于工程保险的特别约定：</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按国家相关政策规定</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42F4425D">
      <w:pPr>
        <w:pStyle w:val="4"/>
        <w:rPr>
          <w:rFonts w:hint="eastAsia" w:ascii="宋体" w:hAnsi="宋体" w:eastAsia="宋体" w:cs="宋体"/>
          <w:color w:val="auto"/>
          <w:highlight w:val="none"/>
        </w:rPr>
      </w:pPr>
      <w:bookmarkStart w:id="1257" w:name="_Toc373227774"/>
      <w:bookmarkStart w:id="1258" w:name="_Toc465114934"/>
      <w:bookmarkStart w:id="1259" w:name="_Toc511243626"/>
      <w:bookmarkStart w:id="1260" w:name="_Toc389065339"/>
      <w:bookmarkStart w:id="1261" w:name="_Toc373478421"/>
      <w:bookmarkStart w:id="1262" w:name="_Toc511243400"/>
      <w:bookmarkStart w:id="1263" w:name="_Toc509760078"/>
      <w:r>
        <w:rPr>
          <w:rFonts w:hint="eastAsia" w:ascii="宋体" w:hAnsi="宋体" w:eastAsia="宋体" w:cs="宋体"/>
          <w:color w:val="auto"/>
          <w:highlight w:val="none"/>
        </w:rPr>
        <w:t>18.3 其他保险</w:t>
      </w:r>
      <w:bookmarkEnd w:id="1257"/>
      <w:bookmarkEnd w:id="1258"/>
      <w:bookmarkEnd w:id="1259"/>
      <w:bookmarkEnd w:id="1260"/>
      <w:bookmarkEnd w:id="1261"/>
      <w:bookmarkEnd w:id="1262"/>
      <w:bookmarkEnd w:id="1263"/>
    </w:p>
    <w:p w14:paraId="00A0BF56">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关于其他保险的约定：</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w:t>
      </w:r>
    </w:p>
    <w:p w14:paraId="43E5E54E">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承包人是否应为其施工设备等办理财产保险：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E086144">
      <w:pPr>
        <w:pStyle w:val="4"/>
        <w:rPr>
          <w:rFonts w:hint="eastAsia" w:ascii="宋体" w:hAnsi="宋体" w:eastAsia="宋体" w:cs="宋体"/>
          <w:color w:val="auto"/>
          <w:highlight w:val="none"/>
        </w:rPr>
      </w:pPr>
      <w:bookmarkStart w:id="1264" w:name="_Toc373227775"/>
      <w:bookmarkStart w:id="1265" w:name="_Toc465114935"/>
      <w:bookmarkStart w:id="1266" w:name="_Toc509760079"/>
      <w:bookmarkStart w:id="1267" w:name="_Toc511243627"/>
      <w:bookmarkStart w:id="1268" w:name="_Toc373478422"/>
      <w:bookmarkStart w:id="1269" w:name="_Toc389065340"/>
      <w:bookmarkStart w:id="1270" w:name="_Toc511243401"/>
      <w:r>
        <w:rPr>
          <w:rFonts w:hint="eastAsia" w:ascii="宋体" w:hAnsi="宋体" w:eastAsia="宋体" w:cs="宋体"/>
          <w:color w:val="auto"/>
          <w:highlight w:val="none"/>
        </w:rPr>
        <w:t>18.7 通知义务</w:t>
      </w:r>
      <w:bookmarkEnd w:id="1264"/>
      <w:bookmarkEnd w:id="1265"/>
      <w:bookmarkEnd w:id="1266"/>
      <w:bookmarkEnd w:id="1267"/>
      <w:bookmarkEnd w:id="1268"/>
      <w:bookmarkEnd w:id="1269"/>
      <w:bookmarkEnd w:id="1270"/>
    </w:p>
    <w:p w14:paraId="3AB42BA8">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关于变更保险合同时的通知义务的约定：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1153"/>
    <w:bookmarkEnd w:id="1154"/>
    <w:bookmarkEnd w:id="1155"/>
    <w:bookmarkEnd w:id="1156"/>
    <w:bookmarkEnd w:id="1157"/>
    <w:bookmarkEnd w:id="1158"/>
    <w:bookmarkEnd w:id="1159"/>
    <w:bookmarkEnd w:id="1160"/>
    <w:bookmarkEnd w:id="1161"/>
    <w:bookmarkEnd w:id="1162"/>
    <w:bookmarkEnd w:id="1163"/>
    <w:bookmarkEnd w:id="1164"/>
    <w:p w14:paraId="730070D6">
      <w:pPr>
        <w:pStyle w:val="3"/>
        <w:keepNext/>
        <w:keepLines/>
        <w:pageBreakBefore w:val="0"/>
        <w:widowControl w:val="0"/>
        <w:kinsoku/>
        <w:wordWrap/>
        <w:overflowPunct/>
        <w:topLinePunct w:val="0"/>
        <w:autoSpaceDE/>
        <w:autoSpaceDN/>
        <w:bidi w:val="0"/>
        <w:adjustRightInd/>
        <w:snapToGrid/>
        <w:spacing w:before="157" w:beforeLines="50"/>
        <w:textAlignment w:val="auto"/>
        <w:rPr>
          <w:rFonts w:hint="eastAsia" w:ascii="宋体" w:hAnsi="宋体" w:eastAsia="宋体" w:cs="宋体"/>
          <w:color w:val="auto"/>
          <w:highlight w:val="none"/>
        </w:rPr>
      </w:pPr>
      <w:bookmarkStart w:id="1271" w:name="_Toc373227776"/>
      <w:bookmarkStart w:id="1272" w:name="_Toc351203651"/>
      <w:bookmarkStart w:id="1273" w:name="_Toc511243402"/>
      <w:bookmarkStart w:id="1274" w:name="_Toc373478423"/>
      <w:bookmarkStart w:id="1275" w:name="_Toc465114936"/>
      <w:bookmarkStart w:id="1276" w:name="_Toc389065341"/>
      <w:bookmarkStart w:id="1277" w:name="_Toc511243628"/>
      <w:bookmarkStart w:id="1278" w:name="_Toc509760080"/>
      <w:r>
        <w:rPr>
          <w:rFonts w:hint="eastAsia" w:ascii="宋体" w:hAnsi="宋体" w:eastAsia="宋体" w:cs="宋体"/>
          <w:color w:val="auto"/>
          <w:highlight w:val="none"/>
        </w:rPr>
        <w:t>20. 争议解决</w:t>
      </w:r>
      <w:bookmarkEnd w:id="1271"/>
      <w:bookmarkEnd w:id="1272"/>
      <w:bookmarkEnd w:id="1273"/>
      <w:bookmarkEnd w:id="1274"/>
      <w:bookmarkEnd w:id="1275"/>
      <w:bookmarkEnd w:id="1276"/>
      <w:bookmarkEnd w:id="1277"/>
      <w:bookmarkEnd w:id="1278"/>
    </w:p>
    <w:bookmarkEnd w:id="1165"/>
    <w:bookmarkEnd w:id="1166"/>
    <w:p w14:paraId="08FEF00E">
      <w:pPr>
        <w:pStyle w:val="4"/>
        <w:rPr>
          <w:rFonts w:hint="eastAsia" w:ascii="宋体" w:hAnsi="宋体" w:eastAsia="宋体" w:cs="宋体"/>
          <w:color w:val="auto"/>
          <w:highlight w:val="none"/>
        </w:rPr>
      </w:pPr>
      <w:bookmarkStart w:id="1279" w:name="_Toc509760081"/>
      <w:bookmarkStart w:id="1280" w:name="_Toc465114937"/>
      <w:bookmarkStart w:id="1281" w:name="_Toc373478424"/>
      <w:bookmarkStart w:id="1282" w:name="_Toc511243629"/>
      <w:bookmarkStart w:id="1283" w:name="_Toc373227777"/>
      <w:bookmarkStart w:id="1284" w:name="_Toc511243403"/>
      <w:bookmarkStart w:id="1285" w:name="_Toc389065342"/>
      <w:r>
        <w:rPr>
          <w:rFonts w:hint="eastAsia" w:ascii="宋体" w:hAnsi="宋体" w:eastAsia="宋体" w:cs="宋体"/>
          <w:color w:val="auto"/>
          <w:highlight w:val="none"/>
        </w:rPr>
        <w:t>20.3 争</w:t>
      </w:r>
      <w:bookmarkEnd w:id="1167"/>
      <w:r>
        <w:rPr>
          <w:rFonts w:hint="eastAsia" w:ascii="宋体" w:hAnsi="宋体" w:eastAsia="宋体" w:cs="宋体"/>
          <w:color w:val="auto"/>
          <w:highlight w:val="none"/>
        </w:rPr>
        <w:t>议评审</w:t>
      </w:r>
      <w:bookmarkEnd w:id="1279"/>
      <w:bookmarkEnd w:id="1280"/>
      <w:bookmarkEnd w:id="1281"/>
      <w:bookmarkEnd w:id="1282"/>
      <w:bookmarkEnd w:id="1283"/>
      <w:bookmarkEnd w:id="1284"/>
      <w:bookmarkEnd w:id="1285"/>
    </w:p>
    <w:p w14:paraId="50E9263E">
      <w:pPr>
        <w:spacing w:line="360" w:lineRule="auto"/>
        <w:ind w:left="149" w:leftChars="71" w:firstLine="315" w:firstLineChars="15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合同当事人是否同意将工程争议提交争议评审小组决定：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904D38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20.3.1 争议评审小组的确定</w:t>
      </w:r>
    </w:p>
    <w:p w14:paraId="4EA199EE">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争议评审小组成员的确定：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15E6B9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选定争议评审员的期限：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C53E7A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争议评审小组成员的报酬承担方式：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7C4DE1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其他事项的约定：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CACAEAE">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20.3.2 争议评审小组的决定</w:t>
      </w:r>
    </w:p>
    <w:p w14:paraId="5034A7A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合同当事人关于本项的约定：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32624F2">
      <w:pPr>
        <w:pStyle w:val="4"/>
        <w:rPr>
          <w:rFonts w:hint="eastAsia" w:ascii="宋体" w:hAnsi="宋体" w:eastAsia="宋体" w:cs="宋体"/>
          <w:color w:val="auto"/>
          <w:highlight w:val="none"/>
        </w:rPr>
      </w:pPr>
      <w:bookmarkStart w:id="1286" w:name="_Toc509760082"/>
      <w:bookmarkStart w:id="1287" w:name="_Toc465114938"/>
      <w:bookmarkStart w:id="1288" w:name="_Toc373227778"/>
      <w:bookmarkStart w:id="1289" w:name="_Toc373478425"/>
      <w:bookmarkStart w:id="1290" w:name="_Toc511243630"/>
      <w:bookmarkStart w:id="1291" w:name="_Toc389065343"/>
      <w:bookmarkStart w:id="1292" w:name="_Toc511243404"/>
      <w:r>
        <w:rPr>
          <w:rFonts w:hint="eastAsia" w:ascii="宋体" w:hAnsi="宋体" w:eastAsia="宋体" w:cs="宋体"/>
          <w:color w:val="auto"/>
          <w:highlight w:val="none"/>
        </w:rPr>
        <w:t>20.4 仲裁或诉讼</w:t>
      </w:r>
      <w:bookmarkEnd w:id="1168"/>
      <w:bookmarkEnd w:id="1286"/>
      <w:bookmarkEnd w:id="1287"/>
      <w:bookmarkEnd w:id="1288"/>
      <w:bookmarkEnd w:id="1289"/>
      <w:bookmarkEnd w:id="1290"/>
      <w:bookmarkEnd w:id="1291"/>
      <w:bookmarkEnd w:id="1292"/>
    </w:p>
    <w:p w14:paraId="7CE774F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因合同及合同有关事项发生的争议，按下列第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种方式解决：</w:t>
      </w:r>
    </w:p>
    <w:p w14:paraId="47B31F3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（1）提请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仲裁委员会按照该会仲裁规则进行仲裁，仲裁裁决是终局的，对合同双方均有约束力。</w:t>
      </w:r>
    </w:p>
    <w:p w14:paraId="66EDBD7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工程所在地有管辖权的 </w:t>
      </w:r>
      <w:r>
        <w:rPr>
          <w:rFonts w:hint="eastAsia" w:ascii="宋体" w:hAnsi="宋体" w:eastAsia="宋体" w:cs="宋体"/>
          <w:color w:val="auto"/>
          <w:highlight w:val="none"/>
        </w:rPr>
        <w:t>人民法院起诉。</w:t>
      </w:r>
      <w:bookmarkEnd w:id="1169"/>
      <w:bookmarkEnd w:id="1170"/>
      <w:bookmarkEnd w:id="1171"/>
      <w:bookmarkEnd w:id="1172"/>
      <w:bookmarkEnd w:id="1173"/>
      <w:bookmarkEnd w:id="1174"/>
    </w:p>
    <w:p w14:paraId="06B38626">
      <w:pPr>
        <w:pStyle w:val="3"/>
        <w:keepNext/>
        <w:keepLines/>
        <w:pageBreakBefore w:val="0"/>
        <w:widowControl w:val="0"/>
        <w:kinsoku/>
        <w:wordWrap/>
        <w:overflowPunct/>
        <w:topLinePunct w:val="0"/>
        <w:autoSpaceDE/>
        <w:autoSpaceDN/>
        <w:bidi w:val="0"/>
        <w:adjustRightInd/>
        <w:snapToGrid/>
        <w:spacing w:before="157" w:beforeLines="50"/>
        <w:textAlignment w:val="auto"/>
        <w:rPr>
          <w:rFonts w:hint="eastAsia" w:ascii="宋体" w:hAnsi="宋体" w:eastAsia="宋体" w:cs="宋体"/>
          <w:color w:val="auto"/>
          <w:highlight w:val="none"/>
        </w:rPr>
      </w:pPr>
      <w:bookmarkStart w:id="1293" w:name="_Toc373227779"/>
      <w:bookmarkStart w:id="1294" w:name="_Toc509760083"/>
      <w:bookmarkStart w:id="1295" w:name="_Toc389065344"/>
      <w:bookmarkStart w:id="1296" w:name="_Toc465114939"/>
      <w:bookmarkStart w:id="1297" w:name="_Toc511243405"/>
      <w:bookmarkStart w:id="1298" w:name="_Toc511243631"/>
      <w:bookmarkStart w:id="1299" w:name="_Toc373478426"/>
      <w:r>
        <w:rPr>
          <w:rFonts w:hint="eastAsia" w:ascii="宋体" w:hAnsi="宋体" w:eastAsia="宋体" w:cs="宋体"/>
          <w:color w:val="auto"/>
          <w:highlight w:val="none"/>
        </w:rPr>
        <w:t>21. 补充条款</w:t>
      </w:r>
      <w:bookmarkEnd w:id="1293"/>
      <w:bookmarkEnd w:id="1294"/>
      <w:bookmarkEnd w:id="1295"/>
      <w:bookmarkEnd w:id="1296"/>
      <w:bookmarkEnd w:id="1297"/>
      <w:bookmarkEnd w:id="1298"/>
      <w:bookmarkEnd w:id="1299"/>
    </w:p>
    <w:p w14:paraId="70B8A48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21.1 凡进入本工程工作的妇女应持有计生证、否则不准安排工作，禁止使用童工。</w:t>
      </w:r>
    </w:p>
    <w:p w14:paraId="73AE58E9">
      <w:pPr>
        <w:spacing w:line="460" w:lineRule="exact"/>
        <w:ind w:firstLine="420" w:firstLineChars="200"/>
        <w:rPr>
          <w:rFonts w:hint="eastAsia" w:ascii="宋体" w:hAnsi="宋体" w:eastAsia="宋体" w:cs="宋体"/>
          <w:color w:val="auto"/>
          <w:highlight w:val="none"/>
        </w:rPr>
      </w:pPr>
    </w:p>
    <w:p w14:paraId="0DDB8339">
      <w:pPr>
        <w:spacing w:line="460" w:lineRule="exact"/>
        <w:ind w:firstLine="420" w:firstLineChars="200"/>
        <w:rPr>
          <w:rFonts w:hint="eastAsia" w:ascii="宋体" w:hAnsi="宋体" w:eastAsia="宋体" w:cs="宋体"/>
          <w:color w:val="auto"/>
          <w:highlight w:val="none"/>
        </w:rPr>
        <w:sectPr>
          <w:footerReference r:id="rId5" w:type="default"/>
          <w:pgSz w:w="11907" w:h="16840"/>
          <w:pgMar w:top="1440" w:right="1270" w:bottom="1440" w:left="1397" w:header="851" w:footer="851" w:gutter="0"/>
          <w:pgNumType w:fmt="decimal" w:start="1"/>
          <w:cols w:space="720" w:num="1"/>
          <w:docGrid w:linePitch="312" w:charSpace="0"/>
        </w:sectPr>
      </w:pPr>
    </w:p>
    <w:p w14:paraId="5EC803D6">
      <w:pPr>
        <w:spacing w:line="360" w:lineRule="auto"/>
        <w:jc w:val="left"/>
        <w:rPr>
          <w:rFonts w:hint="eastAsia" w:ascii="宋体" w:hAnsi="宋体" w:eastAsia="宋体" w:cs="宋体"/>
          <w:b/>
          <w:color w:val="auto"/>
          <w:sz w:val="28"/>
          <w:szCs w:val="28"/>
          <w:highlight w:val="none"/>
        </w:rPr>
      </w:pPr>
      <w:bookmarkStart w:id="1300" w:name="_Toc351203652"/>
      <w:r>
        <w:rPr>
          <w:rFonts w:hint="eastAsia" w:ascii="宋体" w:hAnsi="宋体" w:eastAsia="宋体" w:cs="宋体"/>
          <w:b/>
          <w:color w:val="auto"/>
          <w:sz w:val="28"/>
          <w:szCs w:val="28"/>
          <w:highlight w:val="none"/>
        </w:rPr>
        <w:t>附件</w:t>
      </w:r>
      <w:bookmarkEnd w:id="1300"/>
    </w:p>
    <w:p w14:paraId="666D9E5E">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附件1：承包人承揽工程项目一览表</w:t>
      </w:r>
    </w:p>
    <w:p w14:paraId="01758A7F">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附件2：支付担保格式</w:t>
      </w:r>
    </w:p>
    <w:p w14:paraId="21FB89BB">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附件3：承包人主要施工管理人员表</w:t>
      </w:r>
    </w:p>
    <w:p w14:paraId="718DA107">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附件4：分包人主要施工管理人员表</w:t>
      </w:r>
    </w:p>
    <w:p w14:paraId="0C1B822F">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附件5：履约担保格式</w:t>
      </w:r>
    </w:p>
    <w:p w14:paraId="01F0BA4C">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附件6：承包人用于本工程施工的机械设备表</w:t>
      </w:r>
    </w:p>
    <w:p w14:paraId="0C4B15E9">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附件7：预付款担保格式</w:t>
      </w:r>
    </w:p>
    <w:p w14:paraId="6A5E3BDC">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附件8：工程质量保修书</w:t>
      </w:r>
    </w:p>
    <w:p w14:paraId="0F258BBB">
      <w:pPr>
        <w:spacing w:line="460" w:lineRule="exact"/>
        <w:ind w:firstLine="420" w:firstLineChars="200"/>
        <w:rPr>
          <w:rFonts w:hint="eastAsia" w:ascii="宋体" w:hAnsi="宋体" w:eastAsia="宋体" w:cs="宋体"/>
          <w:color w:val="auto"/>
          <w:highlight w:val="none"/>
        </w:rPr>
        <w:sectPr>
          <w:pgSz w:w="11907" w:h="16840"/>
          <w:pgMar w:top="1440" w:right="1440" w:bottom="1440" w:left="1797" w:header="851" w:footer="851" w:gutter="0"/>
          <w:pgNumType w:fmt="decimal"/>
          <w:cols w:space="720" w:num="1"/>
          <w:docGrid w:linePitch="312" w:charSpace="0"/>
        </w:sectPr>
      </w:pPr>
    </w:p>
    <w:p w14:paraId="1D41E329">
      <w:pPr>
        <w:spacing w:before="120" w:beforeLines="50" w:after="120" w:afterLines="50" w:line="440" w:lineRule="exact"/>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w:t>
      </w:r>
    </w:p>
    <w:p w14:paraId="7C6FC65E">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承包人承揽工程项目一览表</w:t>
      </w:r>
    </w:p>
    <w:p w14:paraId="1BB62092">
      <w:pPr>
        <w:spacing w:before="120" w:beforeLines="50" w:after="120" w:afterLines="50" w:line="440" w:lineRule="exact"/>
        <w:jc w:val="center"/>
        <w:rPr>
          <w:rFonts w:hint="eastAsia" w:ascii="宋体" w:hAnsi="宋体" w:eastAsia="宋体" w:cs="宋体"/>
          <w:color w:val="auto"/>
          <w:sz w:val="30"/>
          <w:szCs w:val="30"/>
          <w:highlight w:val="none"/>
        </w:rPr>
      </w:pPr>
    </w:p>
    <w:tbl>
      <w:tblPr>
        <w:tblStyle w:val="13"/>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27BC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14:paraId="44CBC459">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单位工程名称</w:t>
            </w:r>
          </w:p>
        </w:tc>
        <w:tc>
          <w:tcPr>
            <w:tcW w:w="1440" w:type="dxa"/>
            <w:vAlign w:val="center"/>
          </w:tcPr>
          <w:p w14:paraId="3AE841A5">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建设规模</w:t>
            </w:r>
          </w:p>
        </w:tc>
        <w:tc>
          <w:tcPr>
            <w:tcW w:w="1620" w:type="dxa"/>
            <w:vAlign w:val="center"/>
          </w:tcPr>
          <w:p w14:paraId="631EA391">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建筑面积(平方米)</w:t>
            </w:r>
          </w:p>
        </w:tc>
        <w:tc>
          <w:tcPr>
            <w:tcW w:w="1661" w:type="dxa"/>
            <w:vAlign w:val="center"/>
          </w:tcPr>
          <w:p w14:paraId="033E56C1">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结构形式</w:t>
            </w:r>
          </w:p>
        </w:tc>
        <w:tc>
          <w:tcPr>
            <w:tcW w:w="850" w:type="dxa"/>
            <w:vAlign w:val="center"/>
          </w:tcPr>
          <w:p w14:paraId="5BE7C428">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层数</w:t>
            </w:r>
          </w:p>
        </w:tc>
        <w:tc>
          <w:tcPr>
            <w:tcW w:w="1560" w:type="dxa"/>
            <w:vAlign w:val="center"/>
          </w:tcPr>
          <w:p w14:paraId="1FAD51C7">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生产能力</w:t>
            </w:r>
          </w:p>
        </w:tc>
        <w:tc>
          <w:tcPr>
            <w:tcW w:w="2126" w:type="dxa"/>
            <w:vAlign w:val="center"/>
          </w:tcPr>
          <w:p w14:paraId="73ECA196">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设备安装内容</w:t>
            </w:r>
          </w:p>
        </w:tc>
        <w:tc>
          <w:tcPr>
            <w:tcW w:w="1417" w:type="dxa"/>
            <w:vAlign w:val="center"/>
          </w:tcPr>
          <w:p w14:paraId="7219820A">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合同价格（元）</w:t>
            </w:r>
          </w:p>
        </w:tc>
        <w:tc>
          <w:tcPr>
            <w:tcW w:w="851" w:type="dxa"/>
            <w:vAlign w:val="center"/>
          </w:tcPr>
          <w:p w14:paraId="7587A881">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开工日期</w:t>
            </w:r>
          </w:p>
        </w:tc>
        <w:tc>
          <w:tcPr>
            <w:tcW w:w="850" w:type="dxa"/>
            <w:vAlign w:val="center"/>
          </w:tcPr>
          <w:p w14:paraId="7E42293A">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竣工日期</w:t>
            </w:r>
          </w:p>
        </w:tc>
      </w:tr>
      <w:tr w14:paraId="5B27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32416AB3">
            <w:pPr>
              <w:pStyle w:val="7"/>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42B83191">
            <w:pPr>
              <w:pStyle w:val="7"/>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334F494A">
            <w:pPr>
              <w:pStyle w:val="7"/>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3E4BED08">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73814C1D">
            <w:pPr>
              <w:pStyle w:val="7"/>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451B81F9">
            <w:pPr>
              <w:pStyle w:val="7"/>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499F7284">
            <w:pPr>
              <w:pStyle w:val="7"/>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2BACA78C">
            <w:pPr>
              <w:pStyle w:val="7"/>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0BD27F96">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705A93A7">
            <w:pPr>
              <w:pStyle w:val="7"/>
              <w:keepNext/>
              <w:spacing w:line="440" w:lineRule="exact"/>
              <w:ind w:left="63" w:right="63"/>
              <w:rPr>
                <w:rFonts w:hint="eastAsia" w:ascii="宋体" w:hAnsi="宋体" w:eastAsia="宋体" w:cs="宋体"/>
                <w:color w:val="auto"/>
                <w:sz w:val="30"/>
                <w:szCs w:val="30"/>
                <w:highlight w:val="none"/>
              </w:rPr>
            </w:pPr>
          </w:p>
        </w:tc>
      </w:tr>
      <w:tr w14:paraId="515D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CD048DC">
            <w:pPr>
              <w:pStyle w:val="7"/>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67402FE7">
            <w:pPr>
              <w:pStyle w:val="7"/>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62901ABA">
            <w:pPr>
              <w:pStyle w:val="7"/>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1AE96DDC">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2E93FAA0">
            <w:pPr>
              <w:pStyle w:val="7"/>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6F91F99B">
            <w:pPr>
              <w:pStyle w:val="7"/>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6B5E61E5">
            <w:pPr>
              <w:pStyle w:val="7"/>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05839DDB">
            <w:pPr>
              <w:pStyle w:val="7"/>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5C80FBF0">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088A8B9C">
            <w:pPr>
              <w:pStyle w:val="7"/>
              <w:keepNext/>
              <w:spacing w:line="440" w:lineRule="exact"/>
              <w:ind w:left="63" w:right="63"/>
              <w:rPr>
                <w:rFonts w:hint="eastAsia" w:ascii="宋体" w:hAnsi="宋体" w:eastAsia="宋体" w:cs="宋体"/>
                <w:color w:val="auto"/>
                <w:sz w:val="30"/>
                <w:szCs w:val="30"/>
                <w:highlight w:val="none"/>
              </w:rPr>
            </w:pPr>
          </w:p>
        </w:tc>
      </w:tr>
      <w:tr w14:paraId="584D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622308CA">
            <w:pPr>
              <w:pStyle w:val="7"/>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58E17E56">
            <w:pPr>
              <w:pStyle w:val="7"/>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0BF3AA63">
            <w:pPr>
              <w:pStyle w:val="7"/>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2675E1D9">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0B95624C">
            <w:pPr>
              <w:pStyle w:val="7"/>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5C0D85CB">
            <w:pPr>
              <w:pStyle w:val="7"/>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45CD448B">
            <w:pPr>
              <w:pStyle w:val="7"/>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1CB4751E">
            <w:pPr>
              <w:pStyle w:val="7"/>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7173CD56">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049696FA">
            <w:pPr>
              <w:pStyle w:val="7"/>
              <w:keepNext/>
              <w:spacing w:line="440" w:lineRule="exact"/>
              <w:ind w:left="63" w:right="63"/>
              <w:rPr>
                <w:rFonts w:hint="eastAsia" w:ascii="宋体" w:hAnsi="宋体" w:eastAsia="宋体" w:cs="宋体"/>
                <w:color w:val="auto"/>
                <w:sz w:val="30"/>
                <w:szCs w:val="30"/>
                <w:highlight w:val="none"/>
              </w:rPr>
            </w:pPr>
          </w:p>
        </w:tc>
      </w:tr>
      <w:tr w14:paraId="421D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35A2A84">
            <w:pPr>
              <w:pStyle w:val="7"/>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7D8550F1">
            <w:pPr>
              <w:pStyle w:val="7"/>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29B2BE72">
            <w:pPr>
              <w:pStyle w:val="7"/>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61F6C883">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1CAE7CA4">
            <w:pPr>
              <w:pStyle w:val="7"/>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5CC1282E">
            <w:pPr>
              <w:pStyle w:val="7"/>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49458124">
            <w:pPr>
              <w:pStyle w:val="7"/>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344EB98B">
            <w:pPr>
              <w:pStyle w:val="7"/>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3928E61A">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7891EA1C">
            <w:pPr>
              <w:pStyle w:val="7"/>
              <w:keepNext/>
              <w:spacing w:line="440" w:lineRule="exact"/>
              <w:ind w:left="63" w:right="63"/>
              <w:rPr>
                <w:rFonts w:hint="eastAsia" w:ascii="宋体" w:hAnsi="宋体" w:eastAsia="宋体" w:cs="宋体"/>
                <w:color w:val="auto"/>
                <w:sz w:val="30"/>
                <w:szCs w:val="30"/>
                <w:highlight w:val="none"/>
              </w:rPr>
            </w:pPr>
          </w:p>
        </w:tc>
      </w:tr>
      <w:tr w14:paraId="1437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360D08B7">
            <w:pPr>
              <w:pStyle w:val="7"/>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42A09B5A">
            <w:pPr>
              <w:pStyle w:val="7"/>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1F64317C">
            <w:pPr>
              <w:pStyle w:val="7"/>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1B11E109">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57537636">
            <w:pPr>
              <w:pStyle w:val="7"/>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38F569E4">
            <w:pPr>
              <w:pStyle w:val="7"/>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576C5019">
            <w:pPr>
              <w:pStyle w:val="7"/>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776176B0">
            <w:pPr>
              <w:pStyle w:val="7"/>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1F777ABF">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4EB3EEB8">
            <w:pPr>
              <w:pStyle w:val="7"/>
              <w:keepNext/>
              <w:spacing w:line="440" w:lineRule="exact"/>
              <w:ind w:left="63" w:right="63"/>
              <w:rPr>
                <w:rFonts w:hint="eastAsia" w:ascii="宋体" w:hAnsi="宋体" w:eastAsia="宋体" w:cs="宋体"/>
                <w:color w:val="auto"/>
                <w:sz w:val="30"/>
                <w:szCs w:val="30"/>
                <w:highlight w:val="none"/>
              </w:rPr>
            </w:pPr>
          </w:p>
        </w:tc>
      </w:tr>
      <w:tr w14:paraId="2E45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6BE56D64">
            <w:pPr>
              <w:pStyle w:val="7"/>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36E5F8AE">
            <w:pPr>
              <w:pStyle w:val="7"/>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1C5051AE">
            <w:pPr>
              <w:pStyle w:val="7"/>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5ED345C8">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4F28AED8">
            <w:pPr>
              <w:pStyle w:val="7"/>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649C1410">
            <w:pPr>
              <w:pStyle w:val="7"/>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6B90D6A1">
            <w:pPr>
              <w:pStyle w:val="7"/>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7411DF94">
            <w:pPr>
              <w:pStyle w:val="7"/>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6335946B">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30AC01F1">
            <w:pPr>
              <w:pStyle w:val="7"/>
              <w:keepNext/>
              <w:spacing w:line="440" w:lineRule="exact"/>
              <w:ind w:left="63" w:right="63"/>
              <w:rPr>
                <w:rFonts w:hint="eastAsia" w:ascii="宋体" w:hAnsi="宋体" w:eastAsia="宋体" w:cs="宋体"/>
                <w:color w:val="auto"/>
                <w:sz w:val="30"/>
                <w:szCs w:val="30"/>
                <w:highlight w:val="none"/>
              </w:rPr>
            </w:pPr>
          </w:p>
        </w:tc>
      </w:tr>
      <w:tr w14:paraId="2D60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CE7BA15">
            <w:pPr>
              <w:pStyle w:val="7"/>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59279F9D">
            <w:pPr>
              <w:pStyle w:val="7"/>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6847C36C">
            <w:pPr>
              <w:pStyle w:val="7"/>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17295BE1">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3D67E17A">
            <w:pPr>
              <w:pStyle w:val="7"/>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3AACB43C">
            <w:pPr>
              <w:pStyle w:val="7"/>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59457521">
            <w:pPr>
              <w:pStyle w:val="7"/>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37BCF6B3">
            <w:pPr>
              <w:pStyle w:val="7"/>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6E2023B3">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5E7A41A9">
            <w:pPr>
              <w:pStyle w:val="7"/>
              <w:keepNext/>
              <w:spacing w:line="440" w:lineRule="exact"/>
              <w:ind w:left="63" w:right="63"/>
              <w:rPr>
                <w:rFonts w:hint="eastAsia" w:ascii="宋体" w:hAnsi="宋体" w:eastAsia="宋体" w:cs="宋体"/>
                <w:color w:val="auto"/>
                <w:sz w:val="30"/>
                <w:szCs w:val="30"/>
                <w:highlight w:val="none"/>
              </w:rPr>
            </w:pPr>
          </w:p>
        </w:tc>
      </w:tr>
      <w:tr w14:paraId="6120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2E4DD8A7">
            <w:pPr>
              <w:pStyle w:val="7"/>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385FBCBB">
            <w:pPr>
              <w:pStyle w:val="7"/>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40609416">
            <w:pPr>
              <w:pStyle w:val="7"/>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7C749345">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66FD7ADA">
            <w:pPr>
              <w:pStyle w:val="7"/>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7ACE7B82">
            <w:pPr>
              <w:pStyle w:val="7"/>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318D9332">
            <w:pPr>
              <w:pStyle w:val="7"/>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606C9BD8">
            <w:pPr>
              <w:pStyle w:val="7"/>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50EC9C86">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1B6BBC0F">
            <w:pPr>
              <w:pStyle w:val="7"/>
              <w:keepNext/>
              <w:spacing w:line="440" w:lineRule="exact"/>
              <w:ind w:left="63" w:right="63"/>
              <w:rPr>
                <w:rFonts w:hint="eastAsia" w:ascii="宋体" w:hAnsi="宋体" w:eastAsia="宋体" w:cs="宋体"/>
                <w:color w:val="auto"/>
                <w:sz w:val="30"/>
                <w:szCs w:val="30"/>
                <w:highlight w:val="none"/>
              </w:rPr>
            </w:pPr>
          </w:p>
        </w:tc>
      </w:tr>
      <w:tr w14:paraId="7BC7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E4CF978">
            <w:pPr>
              <w:pStyle w:val="7"/>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4DFF7041">
            <w:pPr>
              <w:pStyle w:val="7"/>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3BCE33AD">
            <w:pPr>
              <w:pStyle w:val="7"/>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6231ECD3">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34AE57BA">
            <w:pPr>
              <w:pStyle w:val="7"/>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4B364F4D">
            <w:pPr>
              <w:pStyle w:val="7"/>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32B15C70">
            <w:pPr>
              <w:pStyle w:val="7"/>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3BC6082B">
            <w:pPr>
              <w:pStyle w:val="7"/>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70376268">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769B7B6A">
            <w:pPr>
              <w:pStyle w:val="7"/>
              <w:keepNext/>
              <w:spacing w:line="440" w:lineRule="exact"/>
              <w:ind w:left="63" w:right="63"/>
              <w:rPr>
                <w:rFonts w:hint="eastAsia" w:ascii="宋体" w:hAnsi="宋体" w:eastAsia="宋体" w:cs="宋体"/>
                <w:color w:val="auto"/>
                <w:sz w:val="30"/>
                <w:szCs w:val="30"/>
                <w:highlight w:val="none"/>
              </w:rPr>
            </w:pPr>
          </w:p>
        </w:tc>
      </w:tr>
      <w:tr w14:paraId="3B91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25AA4934">
            <w:pPr>
              <w:pStyle w:val="7"/>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08329835">
            <w:pPr>
              <w:pStyle w:val="7"/>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3C7EEC30">
            <w:pPr>
              <w:pStyle w:val="7"/>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54215488">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52F812D7">
            <w:pPr>
              <w:pStyle w:val="7"/>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376FE2D8">
            <w:pPr>
              <w:pStyle w:val="7"/>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0A7528A4">
            <w:pPr>
              <w:pStyle w:val="7"/>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4B1A2716">
            <w:pPr>
              <w:pStyle w:val="7"/>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77E0052D">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399BF5B2">
            <w:pPr>
              <w:pStyle w:val="7"/>
              <w:keepNext/>
              <w:spacing w:line="440" w:lineRule="exact"/>
              <w:ind w:left="63" w:right="63"/>
              <w:rPr>
                <w:rFonts w:hint="eastAsia" w:ascii="宋体" w:hAnsi="宋体" w:eastAsia="宋体" w:cs="宋体"/>
                <w:color w:val="auto"/>
                <w:sz w:val="30"/>
                <w:szCs w:val="30"/>
                <w:highlight w:val="none"/>
              </w:rPr>
            </w:pPr>
          </w:p>
        </w:tc>
      </w:tr>
    </w:tbl>
    <w:p w14:paraId="5FB08E6B">
      <w:pPr>
        <w:spacing w:line="460" w:lineRule="exact"/>
        <w:ind w:firstLine="420" w:firstLineChars="200"/>
        <w:rPr>
          <w:rFonts w:hint="eastAsia" w:ascii="宋体" w:hAnsi="宋体" w:eastAsia="宋体" w:cs="宋体"/>
          <w:color w:val="auto"/>
          <w:highlight w:val="none"/>
        </w:rPr>
      </w:pPr>
    </w:p>
    <w:p w14:paraId="2EE7DC4D">
      <w:pPr>
        <w:spacing w:line="460" w:lineRule="exact"/>
        <w:ind w:firstLine="420" w:firstLineChars="200"/>
        <w:rPr>
          <w:rFonts w:hint="eastAsia" w:ascii="宋体" w:hAnsi="宋体" w:eastAsia="宋体" w:cs="宋体"/>
          <w:color w:val="auto"/>
          <w:highlight w:val="none"/>
        </w:rPr>
        <w:sectPr>
          <w:pgSz w:w="16840" w:h="11907" w:orient="landscape"/>
          <w:pgMar w:top="1440" w:right="1440" w:bottom="1440" w:left="1797" w:header="851" w:footer="851" w:gutter="0"/>
          <w:pgNumType w:fmt="decimal"/>
          <w:cols w:space="720" w:num="1"/>
          <w:docGrid w:linePitch="312" w:charSpace="0"/>
        </w:sectPr>
      </w:pPr>
    </w:p>
    <w:p w14:paraId="2901BFAE">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w:t>
      </w:r>
      <w:bookmarkStart w:id="1301" w:name="_Toc296347232"/>
      <w:bookmarkStart w:id="1302" w:name="_Toc296891273"/>
      <w:bookmarkStart w:id="1303" w:name="_Toc296944572"/>
      <w:bookmarkStart w:id="1304" w:name="_Toc296891061"/>
      <w:bookmarkStart w:id="1305" w:name="_Toc296503233"/>
      <w:bookmarkStart w:id="1306" w:name="_Toc296346734"/>
      <w:r>
        <w:rPr>
          <w:rFonts w:hint="eastAsia" w:ascii="宋体" w:hAnsi="宋体" w:eastAsia="宋体" w:cs="宋体"/>
          <w:color w:val="auto"/>
          <w:sz w:val="30"/>
          <w:szCs w:val="30"/>
          <w:highlight w:val="none"/>
        </w:rPr>
        <w:t>件2：</w:t>
      </w:r>
    </w:p>
    <w:bookmarkEnd w:id="1301"/>
    <w:bookmarkEnd w:id="1302"/>
    <w:bookmarkEnd w:id="1303"/>
    <w:bookmarkEnd w:id="1304"/>
    <w:bookmarkEnd w:id="1305"/>
    <w:bookmarkEnd w:id="1306"/>
    <w:p w14:paraId="317D0450">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支付担保</w:t>
      </w:r>
    </w:p>
    <w:p w14:paraId="67A354A1">
      <w:pPr>
        <w:spacing w:before="120" w:beforeLines="50" w:after="120" w:afterLines="50" w:line="440" w:lineRule="exact"/>
        <w:jc w:val="center"/>
        <w:rPr>
          <w:rFonts w:hint="eastAsia" w:ascii="宋体" w:hAnsi="宋体" w:eastAsia="宋体" w:cs="宋体"/>
          <w:color w:val="auto"/>
          <w:sz w:val="30"/>
          <w:szCs w:val="30"/>
          <w:highlight w:val="none"/>
        </w:rPr>
      </w:pPr>
    </w:p>
    <w:p w14:paraId="48F804E1">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（承包人）：</w:t>
      </w:r>
    </w:p>
    <w:p w14:paraId="772A01AC">
      <w:pPr>
        <w:spacing w:line="360" w:lineRule="auto"/>
        <w:jc w:val="left"/>
        <w:rPr>
          <w:rFonts w:hint="eastAsia" w:ascii="宋体" w:hAnsi="宋体" w:eastAsia="宋体" w:cs="宋体"/>
          <w:color w:val="auto"/>
          <w:highlight w:val="none"/>
        </w:rPr>
      </w:pPr>
    </w:p>
    <w:p w14:paraId="3EE3F23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鉴于你方作为承包人已经与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（发包人名称）（以下称“发包人”）于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日签订了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（工程名称）《建设工程施工合同》（以下称“主合同”），应发包人的申请，我方愿就发包人履行主合同约定的工程款支付义务以保证的方式向你方提供如下担保：</w:t>
      </w:r>
    </w:p>
    <w:p w14:paraId="5CCBD6A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一、保证的范围及保证金额</w:t>
      </w:r>
    </w:p>
    <w:p w14:paraId="3D64D03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我方的保证范围是主合同约定的工程款。</w:t>
      </w:r>
    </w:p>
    <w:p w14:paraId="29A3953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本保函所称主合同约定的工程款是指主合同约定的除工程质量保证金以外的合同价款。</w:t>
      </w:r>
    </w:p>
    <w:p w14:paraId="6E4DF63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我方保证的金额是主合同约定的工程款的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%，数额最高不超过人民币元（大写：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F47FBC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14:paraId="29971CE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我方保证的方式为：连带责任保证。</w:t>
      </w:r>
    </w:p>
    <w:p w14:paraId="61ACBE6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我方保证的期间为：自本合同生效之日起至主合同约定的工程款支付完毕之日后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日内。</w:t>
      </w:r>
    </w:p>
    <w:p w14:paraId="03AD75B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你方与发包人协议变更工程款支付日期的，经我方书面同意后，保证期间按照变更后的支付日期做相应调整。</w:t>
      </w:r>
    </w:p>
    <w:p w14:paraId="7D143EF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三、承担保证责任的形式</w:t>
      </w:r>
    </w:p>
    <w:p w14:paraId="2A02760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我方承担保证责任的形式是代为支付。发包人未按主合同约定向你方支付工程款的，由我方在保证金额内代为支付。</w:t>
      </w:r>
    </w:p>
    <w:p w14:paraId="2C7C07D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四、代偿的安排</w:t>
      </w:r>
    </w:p>
    <w:p w14:paraId="64A4B82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你方要求我方承担保证责任的，应向我方发出书面索赔通知及发包人未支付主合同约定工程款的证明材料。索赔通知应写明要求索赔的金额，支付款项应到达的账号。</w:t>
      </w:r>
    </w:p>
    <w:p w14:paraId="536F725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15DA3DC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我方收到你方的书面索赔通知及相应的证明材料后７天内无条件支付。</w:t>
      </w:r>
    </w:p>
    <w:p w14:paraId="1C07AE9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五、保证责任的解除</w:t>
      </w:r>
    </w:p>
    <w:p w14:paraId="6730561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在本保函承诺的保证期间内，你方未书面向我方主张保证责任的，自保证期间届满次日起，我方保证责任解除。</w:t>
      </w:r>
    </w:p>
    <w:p w14:paraId="2450877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发包人按主合同约定履行了工程款的全部支付义务的，自本保函承诺的保证期间届满次日起，我方保证责任解除。</w:t>
      </w:r>
    </w:p>
    <w:p w14:paraId="0B4F922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我方按照本保函向你方履行保证责任所支付金额达到本保函保证金额时，自我方向你方支付（支付款项从我方账户划出）之日起，保证责任即解除。</w:t>
      </w:r>
    </w:p>
    <w:p w14:paraId="1A6921C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 按照法律法规的规定或出现应解除我方保证责任的其他情形的，我方在本保函项下的保证责任亦解除。</w:t>
      </w:r>
    </w:p>
    <w:p w14:paraId="1F2B073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 我方解除保证责任后，你方应自我方保证责任解除之日起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个工作日内，将本保函原件返还我方。</w:t>
      </w:r>
    </w:p>
    <w:p w14:paraId="5A5F8E9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六、免责条款</w:t>
      </w:r>
    </w:p>
    <w:p w14:paraId="2871CAC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因你方违约致使发包人不能履行义务的，我方不承担保证责任。</w:t>
      </w:r>
    </w:p>
    <w:p w14:paraId="5327430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依照法律法规的规定或你方与发包人的另行约定，免除发包人部分或全部义务的，我方亦免除其相应的保证责任。</w:t>
      </w:r>
    </w:p>
    <w:p w14:paraId="5C0C885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0993CA1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 因不可抗力造成发包人不能履行义务的，我方不承担保证责任。</w:t>
      </w:r>
    </w:p>
    <w:p w14:paraId="0909CD9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七、争议解决</w:t>
      </w:r>
    </w:p>
    <w:p w14:paraId="52F9A03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因本保函或本保函相关事项发生的纠纷，可由双方协商解决，协商不成的，按下列第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种方式解决：</w:t>
      </w:r>
    </w:p>
    <w:p w14:paraId="74354D6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仲裁委员会申请仲裁；</w:t>
      </w:r>
    </w:p>
    <w:p w14:paraId="2F76DCD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人民法院起诉。</w:t>
      </w:r>
    </w:p>
    <w:p w14:paraId="28C9961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八、保函的生效</w:t>
      </w:r>
    </w:p>
    <w:p w14:paraId="3246B9C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本保函自我方法定代表人（或其授权代理人）签字并加盖公章之日起生效。</w:t>
      </w:r>
    </w:p>
    <w:p w14:paraId="45BB1E60">
      <w:pPr>
        <w:spacing w:line="360" w:lineRule="auto"/>
        <w:jc w:val="left"/>
        <w:rPr>
          <w:rFonts w:hint="eastAsia" w:ascii="宋体" w:hAnsi="宋体" w:eastAsia="宋体" w:cs="宋体"/>
          <w:color w:val="auto"/>
          <w:highlight w:val="none"/>
        </w:rPr>
      </w:pPr>
    </w:p>
    <w:p w14:paraId="04D0DA0D">
      <w:pPr>
        <w:spacing w:line="360" w:lineRule="auto"/>
        <w:ind w:right="600"/>
        <w:jc w:val="left"/>
        <w:rPr>
          <w:rFonts w:hint="eastAsia" w:ascii="宋体" w:hAnsi="宋体" w:eastAsia="宋体" w:cs="宋体"/>
          <w:color w:val="auto"/>
          <w:highlight w:val="none"/>
        </w:rPr>
      </w:pPr>
    </w:p>
    <w:p w14:paraId="713E3DD7">
      <w:pPr>
        <w:spacing w:line="360" w:lineRule="auto"/>
        <w:ind w:right="600"/>
        <w:jc w:val="left"/>
        <w:rPr>
          <w:rFonts w:hint="eastAsia" w:ascii="宋体" w:hAnsi="宋体" w:eastAsia="宋体" w:cs="宋体"/>
          <w:color w:val="auto"/>
          <w:highlight w:val="none"/>
        </w:rPr>
      </w:pPr>
      <w:r>
        <w:rPr>
          <w:rFonts w:hint="eastAsia" w:ascii="宋体" w:hAnsi="宋体" w:eastAsia="宋体" w:cs="宋体"/>
          <w:color w:val="auto"/>
          <w:highlight w:val="none"/>
        </w:rPr>
        <w:t>担保人：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14:paraId="4019D1D1">
      <w:pPr>
        <w:spacing w:line="360" w:lineRule="auto"/>
        <w:ind w:right="1200"/>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p>
    <w:p w14:paraId="24B48907">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p>
    <w:p w14:paraId="779CAF09">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7FF2FA25">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p>
    <w:p w14:paraId="7C103E80">
      <w:pPr>
        <w:spacing w:line="360" w:lineRule="auto"/>
        <w:ind w:right="150" w:firstLine="420" w:firstLineChars="200"/>
        <w:jc w:val="left"/>
        <w:rPr>
          <w:rFonts w:hint="eastAsia" w:ascii="宋体" w:hAnsi="宋体" w:eastAsia="宋体" w:cs="宋体"/>
          <w:color w:val="auto"/>
          <w:highlight w:val="none"/>
          <w:u w:val="single"/>
        </w:rPr>
      </w:pPr>
    </w:p>
    <w:p w14:paraId="4FCE1DE8">
      <w:pPr>
        <w:spacing w:line="360" w:lineRule="auto"/>
        <w:ind w:right="15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457258BF">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w:t>
      </w:r>
      <w:bookmarkStart w:id="1307" w:name="_Toc296891268"/>
      <w:bookmarkStart w:id="1308" w:name="_Toc296347227"/>
      <w:bookmarkStart w:id="1309" w:name="_Toc296346729"/>
      <w:bookmarkStart w:id="1310" w:name="_Toc267261699"/>
      <w:bookmarkStart w:id="1311" w:name="_Toc296944567"/>
      <w:bookmarkStart w:id="1312" w:name="_Toc296503228"/>
      <w:bookmarkStart w:id="1313" w:name="_Toc296891056"/>
      <w:r>
        <w:rPr>
          <w:rFonts w:hint="eastAsia" w:ascii="宋体" w:hAnsi="宋体" w:eastAsia="宋体" w:cs="宋体"/>
          <w:color w:val="auto"/>
          <w:sz w:val="30"/>
          <w:szCs w:val="30"/>
          <w:highlight w:val="none"/>
        </w:rPr>
        <w:t>件3：</w:t>
      </w:r>
    </w:p>
    <w:bookmarkEnd w:id="1307"/>
    <w:bookmarkEnd w:id="1308"/>
    <w:bookmarkEnd w:id="1309"/>
    <w:bookmarkEnd w:id="1310"/>
    <w:bookmarkEnd w:id="1311"/>
    <w:bookmarkEnd w:id="1312"/>
    <w:bookmarkEnd w:id="1313"/>
    <w:p w14:paraId="2553408A">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承包人主要施工管理人员表</w:t>
      </w:r>
    </w:p>
    <w:tbl>
      <w:tblPr>
        <w:tblStyle w:val="13"/>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73C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B646578">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名    称</w:t>
            </w:r>
          </w:p>
        </w:tc>
        <w:tc>
          <w:tcPr>
            <w:tcW w:w="1418" w:type="dxa"/>
            <w:vAlign w:val="center"/>
          </w:tcPr>
          <w:p w14:paraId="1FB1508E">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姓名</w:t>
            </w:r>
          </w:p>
        </w:tc>
        <w:tc>
          <w:tcPr>
            <w:tcW w:w="1134" w:type="dxa"/>
            <w:vAlign w:val="center"/>
          </w:tcPr>
          <w:p w14:paraId="1BBFD21F">
            <w:pPr>
              <w:pStyle w:val="7"/>
              <w:keepNext/>
              <w:spacing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职务</w:t>
            </w:r>
          </w:p>
        </w:tc>
        <w:tc>
          <w:tcPr>
            <w:tcW w:w="1134" w:type="dxa"/>
            <w:vAlign w:val="center"/>
          </w:tcPr>
          <w:p w14:paraId="1200DADC">
            <w:pPr>
              <w:pStyle w:val="7"/>
              <w:keepNext/>
              <w:spacing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职称</w:t>
            </w:r>
          </w:p>
        </w:tc>
        <w:tc>
          <w:tcPr>
            <w:tcW w:w="4252" w:type="dxa"/>
            <w:vAlign w:val="center"/>
          </w:tcPr>
          <w:p w14:paraId="26BADF17">
            <w:pPr>
              <w:pStyle w:val="7"/>
              <w:keepNext/>
              <w:spacing w:line="440" w:lineRule="exact"/>
              <w:ind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计划进场时间</w:t>
            </w:r>
          </w:p>
        </w:tc>
      </w:tr>
      <w:tr w14:paraId="3A7A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54D0ACC1">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一、总部人员</w:t>
            </w:r>
          </w:p>
        </w:tc>
      </w:tr>
      <w:tr w14:paraId="3EB0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E5281EB">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项目主管</w:t>
            </w:r>
          </w:p>
        </w:tc>
        <w:tc>
          <w:tcPr>
            <w:tcW w:w="1418" w:type="dxa"/>
            <w:vAlign w:val="center"/>
          </w:tcPr>
          <w:p w14:paraId="027EB1F9">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7F482369">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27673F5C">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51A552D0">
            <w:pPr>
              <w:pStyle w:val="7"/>
              <w:keepNext/>
              <w:spacing w:line="440" w:lineRule="exact"/>
              <w:ind w:left="63" w:right="63"/>
              <w:rPr>
                <w:rFonts w:hint="eastAsia" w:ascii="宋体" w:hAnsi="宋体" w:eastAsia="宋体" w:cs="宋体"/>
                <w:color w:val="auto"/>
                <w:sz w:val="30"/>
                <w:szCs w:val="30"/>
                <w:highlight w:val="none"/>
              </w:rPr>
            </w:pPr>
          </w:p>
        </w:tc>
      </w:tr>
      <w:tr w14:paraId="0671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63900CD2">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其他人员</w:t>
            </w:r>
          </w:p>
        </w:tc>
        <w:tc>
          <w:tcPr>
            <w:tcW w:w="1418" w:type="dxa"/>
            <w:vAlign w:val="center"/>
          </w:tcPr>
          <w:p w14:paraId="474DD2E6">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0DDD96C1">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60CFB60A">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47A2C43A">
            <w:pPr>
              <w:pStyle w:val="7"/>
              <w:keepNext/>
              <w:spacing w:line="440" w:lineRule="exact"/>
              <w:ind w:left="63" w:right="63"/>
              <w:rPr>
                <w:rFonts w:hint="eastAsia" w:ascii="宋体" w:hAnsi="宋体" w:eastAsia="宋体" w:cs="宋体"/>
                <w:color w:val="auto"/>
                <w:sz w:val="30"/>
                <w:szCs w:val="30"/>
                <w:highlight w:val="none"/>
              </w:rPr>
            </w:pPr>
          </w:p>
        </w:tc>
      </w:tr>
      <w:tr w14:paraId="461C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F00A1AB">
            <w:pPr>
              <w:pStyle w:val="7"/>
              <w:keepNext/>
              <w:spacing w:line="440" w:lineRule="exact"/>
              <w:ind w:left="63" w:right="63"/>
              <w:rPr>
                <w:rFonts w:hint="eastAsia" w:ascii="宋体" w:hAnsi="宋体" w:eastAsia="宋体" w:cs="宋体"/>
                <w:color w:val="auto"/>
                <w:sz w:val="28"/>
                <w:szCs w:val="30"/>
                <w:highlight w:val="none"/>
              </w:rPr>
            </w:pPr>
          </w:p>
        </w:tc>
        <w:tc>
          <w:tcPr>
            <w:tcW w:w="1418" w:type="dxa"/>
            <w:vAlign w:val="center"/>
          </w:tcPr>
          <w:p w14:paraId="6BBE7990">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01E5BB18">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67ABEE2F">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772446EF">
            <w:pPr>
              <w:pStyle w:val="7"/>
              <w:keepNext/>
              <w:spacing w:line="440" w:lineRule="exact"/>
              <w:ind w:left="63" w:right="63"/>
              <w:rPr>
                <w:rFonts w:hint="eastAsia" w:ascii="宋体" w:hAnsi="宋体" w:eastAsia="宋体" w:cs="宋体"/>
                <w:color w:val="auto"/>
                <w:sz w:val="30"/>
                <w:szCs w:val="30"/>
                <w:highlight w:val="none"/>
              </w:rPr>
            </w:pPr>
          </w:p>
        </w:tc>
      </w:tr>
      <w:tr w14:paraId="0B81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4BCC8A0">
            <w:pPr>
              <w:pStyle w:val="7"/>
              <w:keepNext/>
              <w:spacing w:line="440" w:lineRule="exact"/>
              <w:ind w:left="63" w:right="63"/>
              <w:rPr>
                <w:rFonts w:hint="eastAsia" w:ascii="宋体" w:hAnsi="宋体" w:eastAsia="宋体" w:cs="宋体"/>
                <w:color w:val="auto"/>
                <w:sz w:val="28"/>
                <w:szCs w:val="30"/>
                <w:highlight w:val="none"/>
              </w:rPr>
            </w:pPr>
          </w:p>
        </w:tc>
        <w:tc>
          <w:tcPr>
            <w:tcW w:w="1418" w:type="dxa"/>
            <w:vAlign w:val="center"/>
          </w:tcPr>
          <w:p w14:paraId="0C8DB816">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6FA45D13">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4EF2931B">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6F7D98D5">
            <w:pPr>
              <w:pStyle w:val="7"/>
              <w:keepNext/>
              <w:spacing w:line="440" w:lineRule="exact"/>
              <w:ind w:left="63" w:right="63"/>
              <w:rPr>
                <w:rFonts w:hint="eastAsia" w:ascii="宋体" w:hAnsi="宋体" w:eastAsia="宋体" w:cs="宋体"/>
                <w:color w:val="auto"/>
                <w:sz w:val="30"/>
                <w:szCs w:val="30"/>
                <w:highlight w:val="none"/>
              </w:rPr>
            </w:pPr>
          </w:p>
        </w:tc>
      </w:tr>
      <w:tr w14:paraId="687E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2CF4DB4D">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二、现场人员</w:t>
            </w:r>
          </w:p>
        </w:tc>
      </w:tr>
      <w:tr w14:paraId="746C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A1D06E9">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项目经理</w:t>
            </w:r>
          </w:p>
        </w:tc>
        <w:tc>
          <w:tcPr>
            <w:tcW w:w="1418" w:type="dxa"/>
            <w:vAlign w:val="center"/>
          </w:tcPr>
          <w:p w14:paraId="3814F932">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6157564D">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41E3BE62">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27E07846">
            <w:pPr>
              <w:pStyle w:val="7"/>
              <w:keepNext/>
              <w:spacing w:line="440" w:lineRule="exact"/>
              <w:ind w:left="63" w:right="63"/>
              <w:rPr>
                <w:rFonts w:hint="eastAsia" w:ascii="宋体" w:hAnsi="宋体" w:eastAsia="宋体" w:cs="宋体"/>
                <w:color w:val="auto"/>
                <w:sz w:val="30"/>
                <w:szCs w:val="30"/>
                <w:highlight w:val="none"/>
              </w:rPr>
            </w:pPr>
          </w:p>
        </w:tc>
      </w:tr>
      <w:tr w14:paraId="0569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00B2213">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项目副经理</w:t>
            </w:r>
          </w:p>
        </w:tc>
        <w:tc>
          <w:tcPr>
            <w:tcW w:w="1418" w:type="dxa"/>
            <w:vAlign w:val="center"/>
          </w:tcPr>
          <w:p w14:paraId="0AC6269D">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338214BD">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2D25A119">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52F818AC">
            <w:pPr>
              <w:pStyle w:val="7"/>
              <w:keepNext/>
              <w:spacing w:line="440" w:lineRule="exact"/>
              <w:ind w:left="63" w:right="63"/>
              <w:rPr>
                <w:rFonts w:hint="eastAsia" w:ascii="宋体" w:hAnsi="宋体" w:eastAsia="宋体" w:cs="宋体"/>
                <w:color w:val="auto"/>
                <w:sz w:val="30"/>
                <w:szCs w:val="30"/>
                <w:highlight w:val="none"/>
              </w:rPr>
            </w:pPr>
          </w:p>
        </w:tc>
      </w:tr>
      <w:tr w14:paraId="7C75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345B057">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技术负责人</w:t>
            </w:r>
          </w:p>
        </w:tc>
        <w:tc>
          <w:tcPr>
            <w:tcW w:w="1418" w:type="dxa"/>
            <w:vAlign w:val="center"/>
          </w:tcPr>
          <w:p w14:paraId="4E0BC0D7">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0D3C2D6B">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699E8909">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0A19F434">
            <w:pPr>
              <w:pStyle w:val="7"/>
              <w:keepNext/>
              <w:spacing w:line="440" w:lineRule="exact"/>
              <w:ind w:left="63" w:right="63"/>
              <w:rPr>
                <w:rFonts w:hint="eastAsia" w:ascii="宋体" w:hAnsi="宋体" w:eastAsia="宋体" w:cs="宋体"/>
                <w:color w:val="auto"/>
                <w:sz w:val="30"/>
                <w:szCs w:val="30"/>
                <w:highlight w:val="none"/>
              </w:rPr>
            </w:pPr>
          </w:p>
        </w:tc>
      </w:tr>
      <w:tr w14:paraId="5F98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CDFA799">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造价管理</w:t>
            </w:r>
          </w:p>
        </w:tc>
        <w:tc>
          <w:tcPr>
            <w:tcW w:w="1418" w:type="dxa"/>
            <w:vAlign w:val="center"/>
          </w:tcPr>
          <w:p w14:paraId="41C5E306">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0A2DC932">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2A4EA4D9">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61E09D68">
            <w:pPr>
              <w:pStyle w:val="7"/>
              <w:keepNext/>
              <w:spacing w:line="440" w:lineRule="exact"/>
              <w:ind w:left="63" w:right="63"/>
              <w:rPr>
                <w:rFonts w:hint="eastAsia" w:ascii="宋体" w:hAnsi="宋体" w:eastAsia="宋体" w:cs="宋体"/>
                <w:color w:val="auto"/>
                <w:sz w:val="30"/>
                <w:szCs w:val="30"/>
                <w:highlight w:val="none"/>
              </w:rPr>
            </w:pPr>
          </w:p>
        </w:tc>
      </w:tr>
      <w:tr w14:paraId="60D3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0A4FF0DE">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质量管理</w:t>
            </w:r>
          </w:p>
        </w:tc>
        <w:tc>
          <w:tcPr>
            <w:tcW w:w="1418" w:type="dxa"/>
            <w:vAlign w:val="center"/>
          </w:tcPr>
          <w:p w14:paraId="1DD7B7A0">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68F6E7FE">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4C23103A">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43E3B6F6">
            <w:pPr>
              <w:pStyle w:val="7"/>
              <w:keepNext/>
              <w:spacing w:line="440" w:lineRule="exact"/>
              <w:ind w:left="63" w:right="63"/>
              <w:rPr>
                <w:rFonts w:hint="eastAsia" w:ascii="宋体" w:hAnsi="宋体" w:eastAsia="宋体" w:cs="宋体"/>
                <w:color w:val="auto"/>
                <w:sz w:val="30"/>
                <w:szCs w:val="30"/>
                <w:highlight w:val="none"/>
              </w:rPr>
            </w:pPr>
          </w:p>
        </w:tc>
      </w:tr>
      <w:tr w14:paraId="2CDD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D7EB1EE">
            <w:pPr>
              <w:pStyle w:val="7"/>
              <w:keepNext/>
              <w:spacing w:line="440" w:lineRule="exact"/>
              <w:ind w:left="63" w:right="63"/>
              <w:rPr>
                <w:rFonts w:hint="eastAsia" w:ascii="宋体" w:hAnsi="宋体" w:eastAsia="宋体" w:cs="宋体"/>
                <w:color w:val="auto"/>
                <w:sz w:val="28"/>
                <w:szCs w:val="30"/>
                <w:highlight w:val="none"/>
              </w:rPr>
            </w:pPr>
          </w:p>
        </w:tc>
        <w:tc>
          <w:tcPr>
            <w:tcW w:w="1418" w:type="dxa"/>
            <w:vAlign w:val="center"/>
          </w:tcPr>
          <w:p w14:paraId="08DB3AD5">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6FCCF0FC">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357C7F05">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3F69A2D8">
            <w:pPr>
              <w:pStyle w:val="7"/>
              <w:keepNext/>
              <w:spacing w:line="440" w:lineRule="exact"/>
              <w:ind w:left="63" w:right="63"/>
              <w:rPr>
                <w:rFonts w:hint="eastAsia" w:ascii="宋体" w:hAnsi="宋体" w:eastAsia="宋体" w:cs="宋体"/>
                <w:color w:val="auto"/>
                <w:sz w:val="30"/>
                <w:szCs w:val="30"/>
                <w:highlight w:val="none"/>
              </w:rPr>
            </w:pPr>
          </w:p>
        </w:tc>
      </w:tr>
      <w:tr w14:paraId="0E28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E48D01D">
            <w:pPr>
              <w:pStyle w:val="7"/>
              <w:keepNext/>
              <w:spacing w:line="440" w:lineRule="exact"/>
              <w:ind w:left="63" w:right="63"/>
              <w:rPr>
                <w:rFonts w:hint="eastAsia" w:ascii="宋体" w:hAnsi="宋体" w:eastAsia="宋体" w:cs="宋体"/>
                <w:color w:val="auto"/>
                <w:sz w:val="28"/>
                <w:szCs w:val="30"/>
                <w:highlight w:val="none"/>
              </w:rPr>
            </w:pPr>
          </w:p>
        </w:tc>
        <w:tc>
          <w:tcPr>
            <w:tcW w:w="1418" w:type="dxa"/>
            <w:vAlign w:val="center"/>
          </w:tcPr>
          <w:p w14:paraId="2E2B1F16">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4A30CD6B">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32259D97">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5D578CB9">
            <w:pPr>
              <w:pStyle w:val="7"/>
              <w:keepNext/>
              <w:spacing w:line="440" w:lineRule="exact"/>
              <w:ind w:left="63" w:right="63"/>
              <w:rPr>
                <w:rFonts w:hint="eastAsia" w:ascii="宋体" w:hAnsi="宋体" w:eastAsia="宋体" w:cs="宋体"/>
                <w:color w:val="auto"/>
                <w:sz w:val="30"/>
                <w:szCs w:val="30"/>
                <w:highlight w:val="none"/>
              </w:rPr>
            </w:pPr>
          </w:p>
        </w:tc>
      </w:tr>
      <w:tr w14:paraId="3AFD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3C2F215">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材料管理</w:t>
            </w:r>
          </w:p>
        </w:tc>
        <w:tc>
          <w:tcPr>
            <w:tcW w:w="1418" w:type="dxa"/>
            <w:vAlign w:val="center"/>
          </w:tcPr>
          <w:p w14:paraId="300E1AA8">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7ED1F1C1">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05D78814">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1CA84AE2">
            <w:pPr>
              <w:pStyle w:val="7"/>
              <w:keepNext/>
              <w:spacing w:line="440" w:lineRule="exact"/>
              <w:ind w:left="63" w:right="63"/>
              <w:rPr>
                <w:rFonts w:hint="eastAsia" w:ascii="宋体" w:hAnsi="宋体" w:eastAsia="宋体" w:cs="宋体"/>
                <w:color w:val="auto"/>
                <w:sz w:val="30"/>
                <w:szCs w:val="30"/>
                <w:highlight w:val="none"/>
              </w:rPr>
            </w:pPr>
          </w:p>
        </w:tc>
      </w:tr>
      <w:tr w14:paraId="21F9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6822878">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计划管理</w:t>
            </w:r>
          </w:p>
        </w:tc>
        <w:tc>
          <w:tcPr>
            <w:tcW w:w="1418" w:type="dxa"/>
            <w:vAlign w:val="center"/>
          </w:tcPr>
          <w:p w14:paraId="3DF635C2">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2BF53183">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7A23F778">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42DEC0DF">
            <w:pPr>
              <w:pStyle w:val="7"/>
              <w:keepNext/>
              <w:spacing w:line="440" w:lineRule="exact"/>
              <w:ind w:left="63" w:right="63"/>
              <w:rPr>
                <w:rFonts w:hint="eastAsia" w:ascii="宋体" w:hAnsi="宋体" w:eastAsia="宋体" w:cs="宋体"/>
                <w:color w:val="auto"/>
                <w:sz w:val="30"/>
                <w:szCs w:val="30"/>
                <w:highlight w:val="none"/>
              </w:rPr>
            </w:pPr>
          </w:p>
        </w:tc>
      </w:tr>
      <w:tr w14:paraId="418F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A1EABA5">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安全管理</w:t>
            </w:r>
          </w:p>
        </w:tc>
        <w:tc>
          <w:tcPr>
            <w:tcW w:w="1418" w:type="dxa"/>
            <w:vAlign w:val="center"/>
          </w:tcPr>
          <w:p w14:paraId="4336DF54">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03DBF671">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626CD4F3">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3A8B561B">
            <w:pPr>
              <w:pStyle w:val="7"/>
              <w:keepNext/>
              <w:spacing w:line="440" w:lineRule="exact"/>
              <w:ind w:left="63" w:right="63"/>
              <w:rPr>
                <w:rFonts w:hint="eastAsia" w:ascii="宋体" w:hAnsi="宋体" w:eastAsia="宋体" w:cs="宋体"/>
                <w:color w:val="auto"/>
                <w:sz w:val="30"/>
                <w:szCs w:val="30"/>
                <w:highlight w:val="none"/>
              </w:rPr>
            </w:pPr>
          </w:p>
        </w:tc>
      </w:tr>
      <w:tr w14:paraId="4846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66F95FA">
            <w:pPr>
              <w:pStyle w:val="7"/>
              <w:keepNext/>
              <w:spacing w:line="440" w:lineRule="exact"/>
              <w:ind w:left="63" w:right="63"/>
              <w:rPr>
                <w:rFonts w:hint="eastAsia" w:ascii="宋体" w:hAnsi="宋体" w:eastAsia="宋体" w:cs="宋体"/>
                <w:color w:val="auto"/>
                <w:sz w:val="28"/>
                <w:szCs w:val="30"/>
                <w:highlight w:val="none"/>
              </w:rPr>
            </w:pPr>
          </w:p>
        </w:tc>
        <w:tc>
          <w:tcPr>
            <w:tcW w:w="1418" w:type="dxa"/>
            <w:vAlign w:val="center"/>
          </w:tcPr>
          <w:p w14:paraId="63FC6B55">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4BB2FD92">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7F3BF43A">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4D74B44A">
            <w:pPr>
              <w:pStyle w:val="7"/>
              <w:keepNext/>
              <w:spacing w:line="440" w:lineRule="exact"/>
              <w:ind w:left="63" w:right="63"/>
              <w:rPr>
                <w:rFonts w:hint="eastAsia" w:ascii="宋体" w:hAnsi="宋体" w:eastAsia="宋体" w:cs="宋体"/>
                <w:color w:val="auto"/>
                <w:sz w:val="30"/>
                <w:szCs w:val="30"/>
                <w:highlight w:val="none"/>
              </w:rPr>
            </w:pPr>
          </w:p>
        </w:tc>
      </w:tr>
      <w:tr w14:paraId="5993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723DABE">
            <w:pPr>
              <w:pStyle w:val="7"/>
              <w:keepNext/>
              <w:spacing w:line="440" w:lineRule="exact"/>
              <w:ind w:left="63" w:right="63"/>
              <w:rPr>
                <w:rFonts w:hint="eastAsia" w:ascii="宋体" w:hAnsi="宋体" w:eastAsia="宋体" w:cs="宋体"/>
                <w:color w:val="auto"/>
                <w:sz w:val="28"/>
                <w:szCs w:val="30"/>
                <w:highlight w:val="none"/>
              </w:rPr>
            </w:pPr>
          </w:p>
        </w:tc>
        <w:tc>
          <w:tcPr>
            <w:tcW w:w="1418" w:type="dxa"/>
            <w:vAlign w:val="center"/>
          </w:tcPr>
          <w:p w14:paraId="5C458088">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5A040A4B">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34160E67">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58E8A0FF">
            <w:pPr>
              <w:pStyle w:val="7"/>
              <w:keepNext/>
              <w:spacing w:line="440" w:lineRule="exact"/>
              <w:ind w:left="63" w:right="63"/>
              <w:rPr>
                <w:rFonts w:hint="eastAsia" w:ascii="宋体" w:hAnsi="宋体" w:eastAsia="宋体" w:cs="宋体"/>
                <w:color w:val="auto"/>
                <w:sz w:val="30"/>
                <w:szCs w:val="30"/>
                <w:highlight w:val="none"/>
              </w:rPr>
            </w:pPr>
          </w:p>
        </w:tc>
      </w:tr>
      <w:tr w14:paraId="2F62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763F8C3">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其他人员</w:t>
            </w:r>
          </w:p>
        </w:tc>
        <w:tc>
          <w:tcPr>
            <w:tcW w:w="1418" w:type="dxa"/>
            <w:vAlign w:val="center"/>
          </w:tcPr>
          <w:p w14:paraId="68F24C48">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56FC9413">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3FCA5817">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6A25425F">
            <w:pPr>
              <w:pStyle w:val="7"/>
              <w:keepNext/>
              <w:spacing w:line="440" w:lineRule="exact"/>
              <w:ind w:left="63" w:right="63"/>
              <w:rPr>
                <w:rFonts w:hint="eastAsia" w:ascii="宋体" w:hAnsi="宋体" w:eastAsia="宋体" w:cs="宋体"/>
                <w:color w:val="auto"/>
                <w:sz w:val="30"/>
                <w:szCs w:val="30"/>
                <w:highlight w:val="none"/>
              </w:rPr>
            </w:pPr>
          </w:p>
        </w:tc>
      </w:tr>
      <w:tr w14:paraId="08D2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0AA1574">
            <w:pPr>
              <w:pStyle w:val="7"/>
              <w:keepNext/>
              <w:spacing w:line="440" w:lineRule="exact"/>
              <w:ind w:left="63" w:right="63"/>
              <w:rPr>
                <w:rFonts w:hint="eastAsia" w:ascii="宋体" w:hAnsi="宋体" w:eastAsia="宋体" w:cs="宋体"/>
                <w:color w:val="auto"/>
                <w:sz w:val="28"/>
                <w:szCs w:val="30"/>
                <w:highlight w:val="none"/>
              </w:rPr>
            </w:pPr>
          </w:p>
        </w:tc>
        <w:tc>
          <w:tcPr>
            <w:tcW w:w="1418" w:type="dxa"/>
            <w:vAlign w:val="center"/>
          </w:tcPr>
          <w:p w14:paraId="4911B7A9">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6F0C59E3">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5954D948">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0110103B">
            <w:pPr>
              <w:pStyle w:val="7"/>
              <w:keepNext/>
              <w:spacing w:line="440" w:lineRule="exact"/>
              <w:ind w:left="63" w:right="63"/>
              <w:rPr>
                <w:rFonts w:hint="eastAsia" w:ascii="宋体" w:hAnsi="宋体" w:eastAsia="宋体" w:cs="宋体"/>
                <w:color w:val="auto"/>
                <w:sz w:val="30"/>
                <w:szCs w:val="30"/>
                <w:highlight w:val="none"/>
              </w:rPr>
            </w:pPr>
          </w:p>
        </w:tc>
      </w:tr>
      <w:tr w14:paraId="590F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1425D49">
            <w:pPr>
              <w:pStyle w:val="7"/>
              <w:keepNext/>
              <w:spacing w:line="440" w:lineRule="exact"/>
              <w:ind w:left="63" w:right="63"/>
              <w:rPr>
                <w:rFonts w:hint="eastAsia" w:ascii="宋体" w:hAnsi="宋体" w:eastAsia="宋体" w:cs="宋体"/>
                <w:color w:val="auto"/>
                <w:sz w:val="28"/>
                <w:szCs w:val="30"/>
                <w:highlight w:val="none"/>
              </w:rPr>
            </w:pPr>
          </w:p>
        </w:tc>
        <w:tc>
          <w:tcPr>
            <w:tcW w:w="1418" w:type="dxa"/>
            <w:vAlign w:val="center"/>
          </w:tcPr>
          <w:p w14:paraId="5FDA51A9">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2E3B5085">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634F4DA3">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2BAD8480">
            <w:pPr>
              <w:pStyle w:val="7"/>
              <w:keepNext/>
              <w:spacing w:line="440" w:lineRule="exact"/>
              <w:ind w:left="63" w:right="63"/>
              <w:rPr>
                <w:rFonts w:hint="eastAsia" w:ascii="宋体" w:hAnsi="宋体" w:eastAsia="宋体" w:cs="宋体"/>
                <w:color w:val="auto"/>
                <w:sz w:val="30"/>
                <w:szCs w:val="30"/>
                <w:highlight w:val="none"/>
              </w:rPr>
            </w:pPr>
          </w:p>
        </w:tc>
      </w:tr>
      <w:tr w14:paraId="0AFA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C2A80FA">
            <w:pPr>
              <w:pStyle w:val="7"/>
              <w:keepNext/>
              <w:spacing w:line="440" w:lineRule="exact"/>
              <w:ind w:left="63" w:right="63"/>
              <w:rPr>
                <w:rFonts w:hint="eastAsia" w:ascii="宋体" w:hAnsi="宋体" w:eastAsia="宋体" w:cs="宋体"/>
                <w:color w:val="auto"/>
                <w:sz w:val="28"/>
                <w:szCs w:val="30"/>
                <w:highlight w:val="none"/>
              </w:rPr>
            </w:pPr>
          </w:p>
        </w:tc>
        <w:tc>
          <w:tcPr>
            <w:tcW w:w="1418" w:type="dxa"/>
            <w:vAlign w:val="center"/>
          </w:tcPr>
          <w:p w14:paraId="3A7B1571">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1ED5BA93">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7C64DB13">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6A126155">
            <w:pPr>
              <w:pStyle w:val="7"/>
              <w:keepNext/>
              <w:spacing w:line="440" w:lineRule="exact"/>
              <w:ind w:left="63" w:right="63"/>
              <w:rPr>
                <w:rFonts w:hint="eastAsia" w:ascii="宋体" w:hAnsi="宋体" w:eastAsia="宋体" w:cs="宋体"/>
                <w:color w:val="auto"/>
                <w:sz w:val="30"/>
                <w:szCs w:val="30"/>
                <w:highlight w:val="none"/>
              </w:rPr>
            </w:pPr>
          </w:p>
        </w:tc>
      </w:tr>
      <w:tr w14:paraId="43E0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D67D8E9">
            <w:pPr>
              <w:pStyle w:val="7"/>
              <w:keepNext/>
              <w:spacing w:line="440" w:lineRule="exact"/>
              <w:ind w:left="63" w:right="63"/>
              <w:rPr>
                <w:rFonts w:hint="eastAsia" w:ascii="宋体" w:hAnsi="宋体" w:eastAsia="宋体" w:cs="宋体"/>
                <w:color w:val="auto"/>
                <w:sz w:val="28"/>
                <w:szCs w:val="30"/>
                <w:highlight w:val="none"/>
              </w:rPr>
            </w:pPr>
          </w:p>
        </w:tc>
        <w:tc>
          <w:tcPr>
            <w:tcW w:w="1418" w:type="dxa"/>
            <w:vAlign w:val="center"/>
          </w:tcPr>
          <w:p w14:paraId="3A7E7F8D">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40A83F9F">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6F017E2B">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09BC6483">
            <w:pPr>
              <w:pStyle w:val="7"/>
              <w:keepNext/>
              <w:spacing w:line="440" w:lineRule="exact"/>
              <w:ind w:left="63" w:right="63"/>
              <w:rPr>
                <w:rFonts w:hint="eastAsia" w:ascii="宋体" w:hAnsi="宋体" w:eastAsia="宋体" w:cs="宋体"/>
                <w:color w:val="auto"/>
                <w:sz w:val="30"/>
                <w:szCs w:val="30"/>
                <w:highlight w:val="none"/>
              </w:rPr>
            </w:pPr>
          </w:p>
        </w:tc>
      </w:tr>
      <w:tr w14:paraId="3437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75C89E2">
            <w:pPr>
              <w:pStyle w:val="7"/>
              <w:keepNext/>
              <w:spacing w:line="440" w:lineRule="exact"/>
              <w:ind w:left="63" w:right="63"/>
              <w:rPr>
                <w:rFonts w:hint="eastAsia" w:ascii="宋体" w:hAnsi="宋体" w:eastAsia="宋体" w:cs="宋体"/>
                <w:color w:val="auto"/>
                <w:sz w:val="28"/>
                <w:szCs w:val="30"/>
                <w:highlight w:val="none"/>
              </w:rPr>
            </w:pPr>
          </w:p>
        </w:tc>
        <w:tc>
          <w:tcPr>
            <w:tcW w:w="1418" w:type="dxa"/>
            <w:vAlign w:val="center"/>
          </w:tcPr>
          <w:p w14:paraId="32C3D4AB">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21292B7A">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17883AB5">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75E8D35A">
            <w:pPr>
              <w:pStyle w:val="7"/>
              <w:keepNext/>
              <w:spacing w:line="440" w:lineRule="exact"/>
              <w:ind w:left="63" w:right="63"/>
              <w:rPr>
                <w:rFonts w:hint="eastAsia" w:ascii="宋体" w:hAnsi="宋体" w:eastAsia="宋体" w:cs="宋体"/>
                <w:color w:val="auto"/>
                <w:sz w:val="30"/>
                <w:szCs w:val="30"/>
                <w:highlight w:val="none"/>
              </w:rPr>
            </w:pPr>
          </w:p>
        </w:tc>
      </w:tr>
    </w:tbl>
    <w:p w14:paraId="53DDCA35">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w:t>
      </w:r>
      <w:bookmarkStart w:id="1314" w:name="_Toc296891269"/>
      <w:bookmarkStart w:id="1315" w:name="_Toc296346730"/>
      <w:bookmarkStart w:id="1316" w:name="_Toc296347228"/>
      <w:bookmarkStart w:id="1317" w:name="_Toc296891057"/>
      <w:bookmarkStart w:id="1318" w:name="_Toc296503229"/>
      <w:bookmarkStart w:id="1319" w:name="_Toc296944568"/>
      <w:r>
        <w:rPr>
          <w:rFonts w:hint="eastAsia" w:ascii="宋体" w:hAnsi="宋体" w:eastAsia="宋体" w:cs="宋体"/>
          <w:color w:val="auto"/>
          <w:sz w:val="30"/>
          <w:szCs w:val="30"/>
          <w:highlight w:val="none"/>
        </w:rPr>
        <w:t>件4：</w:t>
      </w:r>
    </w:p>
    <w:bookmarkEnd w:id="1314"/>
    <w:bookmarkEnd w:id="1315"/>
    <w:bookmarkEnd w:id="1316"/>
    <w:bookmarkEnd w:id="1317"/>
    <w:bookmarkEnd w:id="1318"/>
    <w:bookmarkEnd w:id="1319"/>
    <w:p w14:paraId="46B14503">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分包人主要施工管理人员表</w:t>
      </w:r>
    </w:p>
    <w:p w14:paraId="2CF9C1CB">
      <w:pPr>
        <w:spacing w:before="120" w:beforeLines="50" w:after="120" w:afterLines="50" w:line="440" w:lineRule="exact"/>
        <w:jc w:val="center"/>
        <w:rPr>
          <w:rFonts w:hint="eastAsia" w:ascii="宋体" w:hAnsi="宋体" w:eastAsia="宋体" w:cs="宋体"/>
          <w:color w:val="auto"/>
          <w:sz w:val="30"/>
          <w:szCs w:val="30"/>
          <w:highlight w:val="none"/>
        </w:rPr>
      </w:pPr>
    </w:p>
    <w:tbl>
      <w:tblPr>
        <w:tblStyle w:val="13"/>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6BFA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42B9950">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名    称</w:t>
            </w:r>
          </w:p>
        </w:tc>
        <w:tc>
          <w:tcPr>
            <w:tcW w:w="1418" w:type="dxa"/>
            <w:vAlign w:val="center"/>
          </w:tcPr>
          <w:p w14:paraId="71E1C704">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姓名</w:t>
            </w:r>
          </w:p>
        </w:tc>
        <w:tc>
          <w:tcPr>
            <w:tcW w:w="1134" w:type="dxa"/>
            <w:vAlign w:val="center"/>
          </w:tcPr>
          <w:p w14:paraId="247A855E">
            <w:pPr>
              <w:pStyle w:val="7"/>
              <w:keepNext/>
              <w:spacing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职务</w:t>
            </w:r>
          </w:p>
        </w:tc>
        <w:tc>
          <w:tcPr>
            <w:tcW w:w="1134" w:type="dxa"/>
            <w:vAlign w:val="center"/>
          </w:tcPr>
          <w:p w14:paraId="1701C4B9">
            <w:pPr>
              <w:pStyle w:val="7"/>
              <w:keepNext/>
              <w:spacing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职称</w:t>
            </w:r>
          </w:p>
        </w:tc>
        <w:tc>
          <w:tcPr>
            <w:tcW w:w="4252" w:type="dxa"/>
            <w:vAlign w:val="center"/>
          </w:tcPr>
          <w:p w14:paraId="69F5EDA4">
            <w:pPr>
              <w:pStyle w:val="7"/>
              <w:keepNext/>
              <w:spacing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主要资历、经验及承担过的项目</w:t>
            </w:r>
          </w:p>
        </w:tc>
      </w:tr>
      <w:tr w14:paraId="3760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1220F3FC">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一、总部人员</w:t>
            </w:r>
          </w:p>
        </w:tc>
      </w:tr>
      <w:tr w14:paraId="37A9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E77131A">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项目主管</w:t>
            </w:r>
          </w:p>
        </w:tc>
        <w:tc>
          <w:tcPr>
            <w:tcW w:w="1418" w:type="dxa"/>
            <w:vAlign w:val="center"/>
          </w:tcPr>
          <w:p w14:paraId="73E6678F">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5A4ACD36">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7D39E918">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7A25DFF4">
            <w:pPr>
              <w:pStyle w:val="7"/>
              <w:keepNext/>
              <w:spacing w:line="440" w:lineRule="exact"/>
              <w:ind w:left="63" w:right="63"/>
              <w:rPr>
                <w:rFonts w:hint="eastAsia" w:ascii="宋体" w:hAnsi="宋体" w:eastAsia="宋体" w:cs="宋体"/>
                <w:color w:val="auto"/>
                <w:sz w:val="30"/>
                <w:szCs w:val="30"/>
                <w:highlight w:val="none"/>
              </w:rPr>
            </w:pPr>
          </w:p>
        </w:tc>
      </w:tr>
      <w:tr w14:paraId="1C8D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02D7D7C3">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其他人员</w:t>
            </w:r>
          </w:p>
        </w:tc>
        <w:tc>
          <w:tcPr>
            <w:tcW w:w="1418" w:type="dxa"/>
            <w:vAlign w:val="center"/>
          </w:tcPr>
          <w:p w14:paraId="73D90AAC">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6158A417">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13881665">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36298CC4">
            <w:pPr>
              <w:pStyle w:val="7"/>
              <w:keepNext/>
              <w:spacing w:line="440" w:lineRule="exact"/>
              <w:ind w:left="63" w:right="63"/>
              <w:rPr>
                <w:rFonts w:hint="eastAsia" w:ascii="宋体" w:hAnsi="宋体" w:eastAsia="宋体" w:cs="宋体"/>
                <w:color w:val="auto"/>
                <w:sz w:val="30"/>
                <w:szCs w:val="30"/>
                <w:highlight w:val="none"/>
              </w:rPr>
            </w:pPr>
          </w:p>
        </w:tc>
      </w:tr>
      <w:tr w14:paraId="73F9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FBD7594">
            <w:pPr>
              <w:pStyle w:val="7"/>
              <w:keepNext/>
              <w:spacing w:line="440" w:lineRule="exact"/>
              <w:ind w:left="63" w:right="63"/>
              <w:rPr>
                <w:rFonts w:hint="eastAsia" w:ascii="宋体" w:hAnsi="宋体" w:eastAsia="宋体" w:cs="宋体"/>
                <w:color w:val="auto"/>
                <w:sz w:val="28"/>
                <w:szCs w:val="30"/>
                <w:highlight w:val="none"/>
              </w:rPr>
            </w:pPr>
          </w:p>
        </w:tc>
        <w:tc>
          <w:tcPr>
            <w:tcW w:w="1418" w:type="dxa"/>
            <w:vAlign w:val="center"/>
          </w:tcPr>
          <w:p w14:paraId="4E156BC7">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5A5228AD">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0EDF2592">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0090FBC1">
            <w:pPr>
              <w:pStyle w:val="7"/>
              <w:keepNext/>
              <w:spacing w:line="440" w:lineRule="exact"/>
              <w:ind w:left="63" w:right="63"/>
              <w:rPr>
                <w:rFonts w:hint="eastAsia" w:ascii="宋体" w:hAnsi="宋体" w:eastAsia="宋体" w:cs="宋体"/>
                <w:color w:val="auto"/>
                <w:sz w:val="30"/>
                <w:szCs w:val="30"/>
                <w:highlight w:val="none"/>
              </w:rPr>
            </w:pPr>
          </w:p>
        </w:tc>
      </w:tr>
      <w:tr w14:paraId="4629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D148343">
            <w:pPr>
              <w:pStyle w:val="7"/>
              <w:keepNext/>
              <w:spacing w:line="440" w:lineRule="exact"/>
              <w:ind w:left="63" w:right="63"/>
              <w:rPr>
                <w:rFonts w:hint="eastAsia" w:ascii="宋体" w:hAnsi="宋体" w:eastAsia="宋体" w:cs="宋体"/>
                <w:color w:val="auto"/>
                <w:sz w:val="28"/>
                <w:szCs w:val="30"/>
                <w:highlight w:val="none"/>
              </w:rPr>
            </w:pPr>
          </w:p>
        </w:tc>
        <w:tc>
          <w:tcPr>
            <w:tcW w:w="1418" w:type="dxa"/>
            <w:vAlign w:val="center"/>
          </w:tcPr>
          <w:p w14:paraId="16A3E8F2">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2233AE41">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43D026AC">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1622A3B0">
            <w:pPr>
              <w:pStyle w:val="7"/>
              <w:keepNext/>
              <w:spacing w:line="440" w:lineRule="exact"/>
              <w:ind w:left="63" w:right="63"/>
              <w:rPr>
                <w:rFonts w:hint="eastAsia" w:ascii="宋体" w:hAnsi="宋体" w:eastAsia="宋体" w:cs="宋体"/>
                <w:color w:val="auto"/>
                <w:sz w:val="30"/>
                <w:szCs w:val="30"/>
                <w:highlight w:val="none"/>
              </w:rPr>
            </w:pPr>
          </w:p>
        </w:tc>
      </w:tr>
      <w:tr w14:paraId="4798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45541064">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二、现场人员</w:t>
            </w:r>
          </w:p>
        </w:tc>
      </w:tr>
      <w:tr w14:paraId="34B6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8157449">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项目经理</w:t>
            </w:r>
          </w:p>
        </w:tc>
        <w:tc>
          <w:tcPr>
            <w:tcW w:w="1418" w:type="dxa"/>
            <w:vAlign w:val="center"/>
          </w:tcPr>
          <w:p w14:paraId="56D46C95">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49D4467E">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4A66730C">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330AD0BB">
            <w:pPr>
              <w:pStyle w:val="7"/>
              <w:keepNext/>
              <w:spacing w:line="440" w:lineRule="exact"/>
              <w:ind w:left="63" w:right="63"/>
              <w:rPr>
                <w:rFonts w:hint="eastAsia" w:ascii="宋体" w:hAnsi="宋体" w:eastAsia="宋体" w:cs="宋体"/>
                <w:color w:val="auto"/>
                <w:sz w:val="30"/>
                <w:szCs w:val="30"/>
                <w:highlight w:val="none"/>
              </w:rPr>
            </w:pPr>
          </w:p>
        </w:tc>
      </w:tr>
      <w:tr w14:paraId="3F5F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40EBEAE">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项目副经理</w:t>
            </w:r>
          </w:p>
        </w:tc>
        <w:tc>
          <w:tcPr>
            <w:tcW w:w="1418" w:type="dxa"/>
            <w:vAlign w:val="center"/>
          </w:tcPr>
          <w:p w14:paraId="3C22E34B">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6355DEF6">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435B8341">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0672B920">
            <w:pPr>
              <w:pStyle w:val="7"/>
              <w:keepNext/>
              <w:spacing w:line="440" w:lineRule="exact"/>
              <w:ind w:left="63" w:right="63"/>
              <w:rPr>
                <w:rFonts w:hint="eastAsia" w:ascii="宋体" w:hAnsi="宋体" w:eastAsia="宋体" w:cs="宋体"/>
                <w:color w:val="auto"/>
                <w:sz w:val="30"/>
                <w:szCs w:val="30"/>
                <w:highlight w:val="none"/>
              </w:rPr>
            </w:pPr>
          </w:p>
        </w:tc>
      </w:tr>
      <w:tr w14:paraId="00A9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54F2D73">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技术负责人</w:t>
            </w:r>
          </w:p>
        </w:tc>
        <w:tc>
          <w:tcPr>
            <w:tcW w:w="1418" w:type="dxa"/>
            <w:vAlign w:val="center"/>
          </w:tcPr>
          <w:p w14:paraId="013F0FDE">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560BA067">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02275C38">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3390A8E5">
            <w:pPr>
              <w:pStyle w:val="7"/>
              <w:keepNext/>
              <w:spacing w:line="440" w:lineRule="exact"/>
              <w:ind w:left="63" w:right="63"/>
              <w:rPr>
                <w:rFonts w:hint="eastAsia" w:ascii="宋体" w:hAnsi="宋体" w:eastAsia="宋体" w:cs="宋体"/>
                <w:color w:val="auto"/>
                <w:sz w:val="30"/>
                <w:szCs w:val="30"/>
                <w:highlight w:val="none"/>
              </w:rPr>
            </w:pPr>
          </w:p>
        </w:tc>
      </w:tr>
      <w:tr w14:paraId="0A11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AC1CB26">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造价管理</w:t>
            </w:r>
          </w:p>
        </w:tc>
        <w:tc>
          <w:tcPr>
            <w:tcW w:w="1418" w:type="dxa"/>
            <w:vAlign w:val="center"/>
          </w:tcPr>
          <w:p w14:paraId="219E19DB">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71F979CD">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49CC7168">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15DEFB88">
            <w:pPr>
              <w:pStyle w:val="7"/>
              <w:keepNext/>
              <w:spacing w:line="440" w:lineRule="exact"/>
              <w:ind w:left="63" w:right="63"/>
              <w:rPr>
                <w:rFonts w:hint="eastAsia" w:ascii="宋体" w:hAnsi="宋体" w:eastAsia="宋体" w:cs="宋体"/>
                <w:color w:val="auto"/>
                <w:sz w:val="30"/>
                <w:szCs w:val="30"/>
                <w:highlight w:val="none"/>
              </w:rPr>
            </w:pPr>
          </w:p>
        </w:tc>
      </w:tr>
      <w:tr w14:paraId="0B40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29F4540">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质量管理</w:t>
            </w:r>
          </w:p>
        </w:tc>
        <w:tc>
          <w:tcPr>
            <w:tcW w:w="1418" w:type="dxa"/>
            <w:vAlign w:val="center"/>
          </w:tcPr>
          <w:p w14:paraId="50D22F42">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50DC0EDA">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44DF97EE">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0B9C6A4C">
            <w:pPr>
              <w:pStyle w:val="7"/>
              <w:keepNext/>
              <w:spacing w:line="440" w:lineRule="exact"/>
              <w:ind w:left="63" w:right="63"/>
              <w:rPr>
                <w:rFonts w:hint="eastAsia" w:ascii="宋体" w:hAnsi="宋体" w:eastAsia="宋体" w:cs="宋体"/>
                <w:color w:val="auto"/>
                <w:sz w:val="30"/>
                <w:szCs w:val="30"/>
                <w:highlight w:val="none"/>
              </w:rPr>
            </w:pPr>
          </w:p>
        </w:tc>
      </w:tr>
      <w:tr w14:paraId="5B51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3AF088F">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材料管理</w:t>
            </w:r>
          </w:p>
        </w:tc>
        <w:tc>
          <w:tcPr>
            <w:tcW w:w="1418" w:type="dxa"/>
            <w:vAlign w:val="center"/>
          </w:tcPr>
          <w:p w14:paraId="7BFB96D3">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5F434634">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08A79685">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3FEB1F6C">
            <w:pPr>
              <w:pStyle w:val="7"/>
              <w:keepNext/>
              <w:spacing w:line="440" w:lineRule="exact"/>
              <w:ind w:left="63" w:right="63"/>
              <w:rPr>
                <w:rFonts w:hint="eastAsia" w:ascii="宋体" w:hAnsi="宋体" w:eastAsia="宋体" w:cs="宋体"/>
                <w:color w:val="auto"/>
                <w:sz w:val="30"/>
                <w:szCs w:val="30"/>
                <w:highlight w:val="none"/>
              </w:rPr>
            </w:pPr>
          </w:p>
        </w:tc>
      </w:tr>
      <w:tr w14:paraId="20D8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47E8A13">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计划管理</w:t>
            </w:r>
          </w:p>
        </w:tc>
        <w:tc>
          <w:tcPr>
            <w:tcW w:w="1418" w:type="dxa"/>
            <w:vAlign w:val="center"/>
          </w:tcPr>
          <w:p w14:paraId="2BD3AE9E">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3AD002D5">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1DF426E4">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6F91F220">
            <w:pPr>
              <w:pStyle w:val="7"/>
              <w:keepNext/>
              <w:spacing w:line="440" w:lineRule="exact"/>
              <w:ind w:left="63" w:right="63"/>
              <w:rPr>
                <w:rFonts w:hint="eastAsia" w:ascii="宋体" w:hAnsi="宋体" w:eastAsia="宋体" w:cs="宋体"/>
                <w:color w:val="auto"/>
                <w:sz w:val="30"/>
                <w:szCs w:val="30"/>
                <w:highlight w:val="none"/>
              </w:rPr>
            </w:pPr>
          </w:p>
        </w:tc>
      </w:tr>
      <w:tr w14:paraId="56FC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01CF1FB">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安全管理</w:t>
            </w:r>
          </w:p>
        </w:tc>
        <w:tc>
          <w:tcPr>
            <w:tcW w:w="1418" w:type="dxa"/>
            <w:vAlign w:val="center"/>
          </w:tcPr>
          <w:p w14:paraId="13A6E965">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57B44A40">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68B3040E">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1429171E">
            <w:pPr>
              <w:pStyle w:val="7"/>
              <w:keepNext/>
              <w:spacing w:line="440" w:lineRule="exact"/>
              <w:ind w:left="63" w:right="63"/>
              <w:rPr>
                <w:rFonts w:hint="eastAsia" w:ascii="宋体" w:hAnsi="宋体" w:eastAsia="宋体" w:cs="宋体"/>
                <w:color w:val="auto"/>
                <w:sz w:val="30"/>
                <w:szCs w:val="30"/>
                <w:highlight w:val="none"/>
              </w:rPr>
            </w:pPr>
          </w:p>
        </w:tc>
      </w:tr>
      <w:tr w14:paraId="6F13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05D8F910">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其他人员</w:t>
            </w:r>
          </w:p>
        </w:tc>
        <w:tc>
          <w:tcPr>
            <w:tcW w:w="1418" w:type="dxa"/>
            <w:vAlign w:val="center"/>
          </w:tcPr>
          <w:p w14:paraId="463EDEA9">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3335FEBE">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0A0104CA">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2DDB2A6E">
            <w:pPr>
              <w:pStyle w:val="7"/>
              <w:keepNext/>
              <w:spacing w:line="440" w:lineRule="exact"/>
              <w:ind w:left="63" w:right="63"/>
              <w:rPr>
                <w:rFonts w:hint="eastAsia" w:ascii="宋体" w:hAnsi="宋体" w:eastAsia="宋体" w:cs="宋体"/>
                <w:color w:val="auto"/>
                <w:sz w:val="30"/>
                <w:szCs w:val="30"/>
                <w:highlight w:val="none"/>
              </w:rPr>
            </w:pPr>
          </w:p>
        </w:tc>
      </w:tr>
      <w:tr w14:paraId="1078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CA81431">
            <w:pPr>
              <w:pStyle w:val="7"/>
              <w:keepNext/>
              <w:spacing w:line="440" w:lineRule="exact"/>
              <w:ind w:left="63" w:right="63"/>
              <w:rPr>
                <w:rFonts w:hint="eastAsia" w:ascii="宋体" w:hAnsi="宋体" w:eastAsia="宋体" w:cs="宋体"/>
                <w:color w:val="auto"/>
                <w:sz w:val="28"/>
                <w:szCs w:val="30"/>
                <w:highlight w:val="none"/>
              </w:rPr>
            </w:pPr>
          </w:p>
        </w:tc>
        <w:tc>
          <w:tcPr>
            <w:tcW w:w="1418" w:type="dxa"/>
            <w:vAlign w:val="center"/>
          </w:tcPr>
          <w:p w14:paraId="4C5214E4">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7A0C3CCF">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71023BBC">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447F09F5">
            <w:pPr>
              <w:pStyle w:val="7"/>
              <w:keepNext/>
              <w:spacing w:line="440" w:lineRule="exact"/>
              <w:ind w:left="63" w:right="63"/>
              <w:rPr>
                <w:rFonts w:hint="eastAsia" w:ascii="宋体" w:hAnsi="宋体" w:eastAsia="宋体" w:cs="宋体"/>
                <w:color w:val="auto"/>
                <w:sz w:val="30"/>
                <w:szCs w:val="30"/>
                <w:highlight w:val="none"/>
              </w:rPr>
            </w:pPr>
          </w:p>
        </w:tc>
      </w:tr>
      <w:tr w14:paraId="723E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72B2A3F">
            <w:pPr>
              <w:pStyle w:val="7"/>
              <w:keepNext/>
              <w:spacing w:line="440" w:lineRule="exact"/>
              <w:ind w:left="63" w:right="63"/>
              <w:rPr>
                <w:rFonts w:hint="eastAsia" w:ascii="宋体" w:hAnsi="宋体" w:eastAsia="宋体" w:cs="宋体"/>
                <w:color w:val="auto"/>
                <w:sz w:val="28"/>
                <w:szCs w:val="30"/>
                <w:highlight w:val="none"/>
              </w:rPr>
            </w:pPr>
          </w:p>
        </w:tc>
        <w:tc>
          <w:tcPr>
            <w:tcW w:w="1418" w:type="dxa"/>
            <w:vAlign w:val="center"/>
          </w:tcPr>
          <w:p w14:paraId="12957F40">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19D3C239">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49E84B57">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15D86278">
            <w:pPr>
              <w:pStyle w:val="7"/>
              <w:keepNext/>
              <w:spacing w:line="440" w:lineRule="exact"/>
              <w:ind w:left="63" w:right="63"/>
              <w:rPr>
                <w:rFonts w:hint="eastAsia" w:ascii="宋体" w:hAnsi="宋体" w:eastAsia="宋体" w:cs="宋体"/>
                <w:color w:val="auto"/>
                <w:sz w:val="30"/>
                <w:szCs w:val="30"/>
                <w:highlight w:val="none"/>
              </w:rPr>
            </w:pPr>
          </w:p>
        </w:tc>
      </w:tr>
      <w:tr w14:paraId="3666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1848B7C">
            <w:pPr>
              <w:pStyle w:val="7"/>
              <w:keepNext/>
              <w:spacing w:line="440" w:lineRule="exact"/>
              <w:ind w:left="63" w:right="63"/>
              <w:rPr>
                <w:rFonts w:hint="eastAsia" w:ascii="宋体" w:hAnsi="宋体" w:eastAsia="宋体" w:cs="宋体"/>
                <w:color w:val="auto"/>
                <w:sz w:val="28"/>
                <w:szCs w:val="30"/>
                <w:highlight w:val="none"/>
              </w:rPr>
            </w:pPr>
          </w:p>
        </w:tc>
        <w:tc>
          <w:tcPr>
            <w:tcW w:w="1418" w:type="dxa"/>
            <w:vAlign w:val="center"/>
          </w:tcPr>
          <w:p w14:paraId="5ABAEE8F">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413CF289">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2707E773">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6BF6A5DD">
            <w:pPr>
              <w:pStyle w:val="7"/>
              <w:keepNext/>
              <w:spacing w:line="440" w:lineRule="exact"/>
              <w:ind w:left="63" w:right="63"/>
              <w:rPr>
                <w:rFonts w:hint="eastAsia" w:ascii="宋体" w:hAnsi="宋体" w:eastAsia="宋体" w:cs="宋体"/>
                <w:color w:val="auto"/>
                <w:sz w:val="30"/>
                <w:szCs w:val="30"/>
                <w:highlight w:val="none"/>
              </w:rPr>
            </w:pPr>
          </w:p>
        </w:tc>
      </w:tr>
      <w:tr w14:paraId="233A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C32329C">
            <w:pPr>
              <w:pStyle w:val="7"/>
              <w:keepNext/>
              <w:spacing w:line="440" w:lineRule="exact"/>
              <w:ind w:left="63" w:right="63"/>
              <w:rPr>
                <w:rFonts w:hint="eastAsia" w:ascii="宋体" w:hAnsi="宋体" w:eastAsia="宋体" w:cs="宋体"/>
                <w:color w:val="auto"/>
                <w:sz w:val="28"/>
                <w:szCs w:val="30"/>
                <w:highlight w:val="none"/>
              </w:rPr>
            </w:pPr>
          </w:p>
        </w:tc>
        <w:tc>
          <w:tcPr>
            <w:tcW w:w="1418" w:type="dxa"/>
            <w:vAlign w:val="center"/>
          </w:tcPr>
          <w:p w14:paraId="2E98C711">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63664761">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70EFAD4D">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33C37B64">
            <w:pPr>
              <w:pStyle w:val="7"/>
              <w:keepNext/>
              <w:spacing w:line="440" w:lineRule="exact"/>
              <w:ind w:left="63" w:right="63"/>
              <w:rPr>
                <w:rFonts w:hint="eastAsia" w:ascii="宋体" w:hAnsi="宋体" w:eastAsia="宋体" w:cs="宋体"/>
                <w:color w:val="auto"/>
                <w:sz w:val="30"/>
                <w:szCs w:val="30"/>
                <w:highlight w:val="none"/>
              </w:rPr>
            </w:pPr>
          </w:p>
        </w:tc>
      </w:tr>
      <w:tr w14:paraId="2499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F523104">
            <w:pPr>
              <w:pStyle w:val="7"/>
              <w:keepNext/>
              <w:spacing w:line="440" w:lineRule="exact"/>
              <w:ind w:left="63" w:right="63"/>
              <w:rPr>
                <w:rFonts w:hint="eastAsia" w:ascii="宋体" w:hAnsi="宋体" w:eastAsia="宋体" w:cs="宋体"/>
                <w:color w:val="auto"/>
                <w:sz w:val="28"/>
                <w:szCs w:val="30"/>
                <w:highlight w:val="none"/>
              </w:rPr>
            </w:pPr>
          </w:p>
        </w:tc>
        <w:tc>
          <w:tcPr>
            <w:tcW w:w="1418" w:type="dxa"/>
            <w:vAlign w:val="center"/>
          </w:tcPr>
          <w:p w14:paraId="634F9FE0">
            <w:pPr>
              <w:pStyle w:val="7"/>
              <w:keepNext/>
              <w:spacing w:line="440" w:lineRule="exact"/>
              <w:ind w:left="63" w:right="63"/>
              <w:rPr>
                <w:rFonts w:hint="eastAsia" w:ascii="宋体" w:hAnsi="宋体" w:eastAsia="宋体" w:cs="宋体"/>
                <w:color w:val="auto"/>
                <w:sz w:val="28"/>
                <w:szCs w:val="30"/>
                <w:highlight w:val="none"/>
              </w:rPr>
            </w:pPr>
          </w:p>
        </w:tc>
        <w:tc>
          <w:tcPr>
            <w:tcW w:w="1134" w:type="dxa"/>
            <w:vAlign w:val="center"/>
          </w:tcPr>
          <w:p w14:paraId="6A7E7DB1">
            <w:pPr>
              <w:pStyle w:val="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7268B869">
            <w:pPr>
              <w:pStyle w:val="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7B8D42C9">
            <w:pPr>
              <w:pStyle w:val="7"/>
              <w:keepNext/>
              <w:spacing w:line="440" w:lineRule="exact"/>
              <w:ind w:left="63" w:right="63"/>
              <w:rPr>
                <w:rFonts w:hint="eastAsia" w:ascii="宋体" w:hAnsi="宋体" w:eastAsia="宋体" w:cs="宋体"/>
                <w:color w:val="auto"/>
                <w:sz w:val="30"/>
                <w:szCs w:val="30"/>
                <w:highlight w:val="none"/>
              </w:rPr>
            </w:pPr>
          </w:p>
        </w:tc>
      </w:tr>
    </w:tbl>
    <w:p w14:paraId="773C053D">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bookmarkStart w:id="1320" w:name="_Toc267261701"/>
      <w:r>
        <w:rPr>
          <w:rFonts w:hint="eastAsia" w:ascii="宋体" w:hAnsi="宋体" w:eastAsia="宋体" w:cs="宋体"/>
          <w:color w:val="auto"/>
          <w:sz w:val="30"/>
          <w:szCs w:val="30"/>
          <w:highlight w:val="none"/>
        </w:rPr>
        <w:t>附</w:t>
      </w:r>
      <w:bookmarkStart w:id="1321" w:name="_Toc296891059"/>
      <w:bookmarkStart w:id="1322" w:name="_Toc296346732"/>
      <w:bookmarkStart w:id="1323" w:name="_Toc296891271"/>
      <w:bookmarkStart w:id="1324" w:name="_Toc296347230"/>
      <w:bookmarkStart w:id="1325" w:name="_Toc296944570"/>
      <w:bookmarkStart w:id="1326" w:name="_Toc296503231"/>
      <w:r>
        <w:rPr>
          <w:rFonts w:hint="eastAsia" w:ascii="宋体" w:hAnsi="宋体" w:eastAsia="宋体" w:cs="宋体"/>
          <w:color w:val="auto"/>
          <w:sz w:val="30"/>
          <w:szCs w:val="30"/>
          <w:highlight w:val="none"/>
        </w:rPr>
        <w:t>件5：</w:t>
      </w:r>
    </w:p>
    <w:bookmarkEnd w:id="1320"/>
    <w:bookmarkEnd w:id="1321"/>
    <w:bookmarkEnd w:id="1322"/>
    <w:bookmarkEnd w:id="1323"/>
    <w:bookmarkEnd w:id="1324"/>
    <w:bookmarkEnd w:id="1325"/>
    <w:bookmarkEnd w:id="1326"/>
    <w:p w14:paraId="743DEAA1">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履约担保</w:t>
      </w:r>
    </w:p>
    <w:p w14:paraId="1D463C76">
      <w:pPr>
        <w:spacing w:line="360" w:lineRule="auto"/>
        <w:rPr>
          <w:rFonts w:hint="eastAsia" w:ascii="宋体" w:hAnsi="宋体" w:eastAsia="宋体" w:cs="宋体"/>
          <w:color w:val="auto"/>
          <w:highlight w:val="none"/>
          <w:u w:val="single"/>
        </w:rPr>
      </w:pPr>
    </w:p>
    <w:p w14:paraId="08D669D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（发包人名称）：</w:t>
      </w:r>
    </w:p>
    <w:p w14:paraId="3490F89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（发包人名称，以下简称“发包人”）已</w:t>
      </w:r>
    </w:p>
    <w:p w14:paraId="16DB572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日发放中标通知书，明确</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（承包人名称）（以下称“承包人”）为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（工程名称）的中标人。我方愿意无条件地、不可撤销地就承包人履行与你方就该工程签订的合同，向你方提供连带责任担保。 </w:t>
      </w:r>
    </w:p>
    <w:p w14:paraId="5DAF853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 担保金额人民币（大写）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18FB1D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担保有效期自你方与承包人签订的合同生效之日起至你方签发或应签发工程接收证书之日止。</w:t>
      </w:r>
    </w:p>
    <w:p w14:paraId="3E96381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在本担保有效期内，因承包人违反合同约定的义务给你方造成经济损失时，我方在收到你方以书面形式提出的在担保金额内的赔偿要求后，在7天内无条件支付。</w:t>
      </w:r>
    </w:p>
    <w:p w14:paraId="074BFD1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 你方和承包人按合同约定变更合同时，我方承担本担保规定的义务不变。</w:t>
      </w:r>
    </w:p>
    <w:p w14:paraId="72E04DB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 因本保函发生的纠纷，可由双方协商解决，协商不成的，任何一方均可提请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仲裁委员会仲裁。</w:t>
      </w:r>
    </w:p>
    <w:p w14:paraId="68959B7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 本保函自我方法定代表人（或其授权代理人）签字并加盖公章之日起生效。</w:t>
      </w:r>
    </w:p>
    <w:p w14:paraId="29FE8973">
      <w:pPr>
        <w:spacing w:line="360" w:lineRule="auto"/>
        <w:rPr>
          <w:rFonts w:hint="eastAsia" w:ascii="宋体" w:hAnsi="宋体" w:eastAsia="宋体" w:cs="宋体"/>
          <w:color w:val="auto"/>
          <w:highlight w:val="none"/>
        </w:rPr>
      </w:pPr>
    </w:p>
    <w:p w14:paraId="1172C45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担 保 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14:paraId="072485B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p>
    <w:p w14:paraId="683AE0A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p>
    <w:p w14:paraId="0B537D4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47D22315">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w:t>
      </w:r>
    </w:p>
    <w:p w14:paraId="327C69D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p>
    <w:p w14:paraId="4D28191D">
      <w:pPr>
        <w:spacing w:line="360" w:lineRule="auto"/>
        <w:jc w:val="left"/>
        <w:rPr>
          <w:rFonts w:hint="eastAsia" w:ascii="宋体" w:hAnsi="宋体" w:eastAsia="宋体" w:cs="宋体"/>
          <w:color w:val="auto"/>
          <w:highlight w:val="none"/>
          <w:u w:val="single"/>
        </w:rPr>
      </w:pPr>
    </w:p>
    <w:p w14:paraId="60AC6FA2">
      <w:pPr>
        <w:spacing w:line="360" w:lineRule="auto"/>
        <w:ind w:left="1329" w:hanging="1329" w:hangingChars="633"/>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5A2BDC99">
      <w:pPr>
        <w:spacing w:line="360" w:lineRule="auto"/>
        <w:ind w:left="1329" w:hanging="1329" w:hangingChars="633"/>
        <w:rPr>
          <w:rFonts w:hint="eastAsia" w:ascii="宋体" w:hAnsi="宋体" w:eastAsia="宋体" w:cs="宋体"/>
          <w:color w:val="auto"/>
          <w:highlight w:val="none"/>
        </w:rPr>
      </w:pPr>
    </w:p>
    <w:p w14:paraId="2D837AFC">
      <w:pPr>
        <w:spacing w:line="360" w:lineRule="auto"/>
        <w:ind w:left="1899" w:hanging="1899" w:hangingChars="633"/>
        <w:rPr>
          <w:rFonts w:hint="eastAsia" w:ascii="宋体" w:hAnsi="宋体" w:eastAsia="宋体" w:cs="宋体"/>
          <w:color w:val="auto"/>
          <w:sz w:val="30"/>
          <w:szCs w:val="30"/>
          <w:highlight w:val="none"/>
        </w:rPr>
        <w:sectPr>
          <w:pgSz w:w="11907" w:h="16840"/>
          <w:pgMar w:top="1440" w:right="1440" w:bottom="1440" w:left="1797" w:header="851" w:footer="851" w:gutter="0"/>
          <w:pgNumType w:fmt="decimal"/>
          <w:cols w:space="720" w:num="1"/>
          <w:docGrid w:linePitch="312" w:charSpace="0"/>
        </w:sectPr>
      </w:pPr>
    </w:p>
    <w:p w14:paraId="2BAAEDC8">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w:t>
      </w:r>
      <w:bookmarkStart w:id="1327" w:name="_Toc296346726"/>
      <w:bookmarkStart w:id="1328" w:name="_Toc296891265"/>
      <w:bookmarkStart w:id="1329" w:name="_Toc267261692"/>
      <w:bookmarkStart w:id="1330" w:name="_Toc296891053"/>
      <w:bookmarkStart w:id="1331" w:name="_Toc296944564"/>
      <w:bookmarkStart w:id="1332" w:name="_Toc296347224"/>
      <w:bookmarkStart w:id="1333" w:name="_Toc296503225"/>
      <w:r>
        <w:rPr>
          <w:rFonts w:hint="eastAsia" w:ascii="宋体" w:hAnsi="宋体" w:eastAsia="宋体" w:cs="宋体"/>
          <w:color w:val="auto"/>
          <w:sz w:val="30"/>
          <w:szCs w:val="30"/>
          <w:highlight w:val="none"/>
        </w:rPr>
        <w:t>件6：</w:t>
      </w:r>
    </w:p>
    <w:bookmarkEnd w:id="1327"/>
    <w:bookmarkEnd w:id="1328"/>
    <w:bookmarkEnd w:id="1329"/>
    <w:bookmarkEnd w:id="1330"/>
    <w:bookmarkEnd w:id="1331"/>
    <w:bookmarkEnd w:id="1332"/>
    <w:bookmarkEnd w:id="1333"/>
    <w:p w14:paraId="0C3478F8">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承包人用于本工程施工的机械设备表</w:t>
      </w:r>
    </w:p>
    <w:p w14:paraId="53082ED6">
      <w:pPr>
        <w:spacing w:before="120" w:beforeLines="50" w:after="120" w:afterLines="50" w:line="440" w:lineRule="exact"/>
        <w:jc w:val="center"/>
        <w:rPr>
          <w:rFonts w:hint="eastAsia" w:ascii="宋体" w:hAnsi="宋体" w:eastAsia="宋体" w:cs="宋体"/>
          <w:color w:val="auto"/>
          <w:sz w:val="30"/>
          <w:szCs w:val="30"/>
          <w:highlight w:val="none"/>
        </w:rPr>
      </w:pPr>
    </w:p>
    <w:tbl>
      <w:tblPr>
        <w:tblStyle w:val="13"/>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1AE9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27075C29">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序号</w:t>
            </w:r>
          </w:p>
        </w:tc>
        <w:tc>
          <w:tcPr>
            <w:tcW w:w="1418" w:type="dxa"/>
            <w:vAlign w:val="center"/>
          </w:tcPr>
          <w:p w14:paraId="38FB03B8">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机械或设备名称</w:t>
            </w:r>
          </w:p>
        </w:tc>
        <w:tc>
          <w:tcPr>
            <w:tcW w:w="850" w:type="dxa"/>
            <w:vAlign w:val="center"/>
          </w:tcPr>
          <w:p w14:paraId="29A68C08">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规格型号</w:t>
            </w:r>
          </w:p>
        </w:tc>
        <w:tc>
          <w:tcPr>
            <w:tcW w:w="1058" w:type="dxa"/>
            <w:vAlign w:val="center"/>
          </w:tcPr>
          <w:p w14:paraId="422D15DB">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数量</w:t>
            </w:r>
          </w:p>
        </w:tc>
        <w:tc>
          <w:tcPr>
            <w:tcW w:w="880" w:type="dxa"/>
            <w:vAlign w:val="center"/>
          </w:tcPr>
          <w:p w14:paraId="45B9FE1F">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产地</w:t>
            </w:r>
          </w:p>
        </w:tc>
        <w:tc>
          <w:tcPr>
            <w:tcW w:w="1020" w:type="dxa"/>
            <w:vAlign w:val="center"/>
          </w:tcPr>
          <w:p w14:paraId="26340ADB">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制造年份</w:t>
            </w:r>
          </w:p>
        </w:tc>
        <w:tc>
          <w:tcPr>
            <w:tcW w:w="1480" w:type="dxa"/>
            <w:vAlign w:val="center"/>
          </w:tcPr>
          <w:p w14:paraId="70284572">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额定功率（kW）</w:t>
            </w:r>
          </w:p>
        </w:tc>
        <w:tc>
          <w:tcPr>
            <w:tcW w:w="1020" w:type="dxa"/>
            <w:vAlign w:val="center"/>
          </w:tcPr>
          <w:p w14:paraId="7AF46A98">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生产能力</w:t>
            </w:r>
          </w:p>
        </w:tc>
        <w:tc>
          <w:tcPr>
            <w:tcW w:w="921" w:type="dxa"/>
            <w:vAlign w:val="center"/>
          </w:tcPr>
          <w:p w14:paraId="10848707">
            <w:pPr>
              <w:pStyle w:val="7"/>
              <w:keepNext/>
              <w:spacing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备注</w:t>
            </w:r>
          </w:p>
        </w:tc>
      </w:tr>
      <w:tr w14:paraId="4D12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5F16E74">
            <w:pPr>
              <w:pStyle w:val="7"/>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78BBBACF">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0BAC9A10">
            <w:pPr>
              <w:pStyle w:val="7"/>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3E595E9C">
            <w:pPr>
              <w:pStyle w:val="7"/>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775B7F94">
            <w:pPr>
              <w:pStyle w:val="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5EC67A83">
            <w:pPr>
              <w:pStyle w:val="7"/>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0A986DF9">
            <w:pPr>
              <w:pStyle w:val="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210489F9">
            <w:pPr>
              <w:pStyle w:val="7"/>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7AFC1168">
            <w:pPr>
              <w:pStyle w:val="7"/>
              <w:keepNext/>
              <w:spacing w:line="440" w:lineRule="exact"/>
              <w:ind w:left="63" w:right="63"/>
              <w:rPr>
                <w:rFonts w:hint="eastAsia" w:ascii="宋体" w:hAnsi="宋体" w:eastAsia="宋体" w:cs="宋体"/>
                <w:color w:val="auto"/>
                <w:sz w:val="30"/>
                <w:szCs w:val="30"/>
                <w:highlight w:val="none"/>
              </w:rPr>
            </w:pPr>
          </w:p>
        </w:tc>
      </w:tr>
      <w:tr w14:paraId="62C6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4ED0044">
            <w:pPr>
              <w:pStyle w:val="7"/>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1C327D0F">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47B1AE0D">
            <w:pPr>
              <w:pStyle w:val="7"/>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53F21408">
            <w:pPr>
              <w:pStyle w:val="7"/>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13BBA849">
            <w:pPr>
              <w:pStyle w:val="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4E16EC8C">
            <w:pPr>
              <w:pStyle w:val="7"/>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666D5084">
            <w:pPr>
              <w:pStyle w:val="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36BE5BCA">
            <w:pPr>
              <w:pStyle w:val="7"/>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7E3D2DF0">
            <w:pPr>
              <w:pStyle w:val="7"/>
              <w:keepNext/>
              <w:spacing w:line="440" w:lineRule="exact"/>
              <w:ind w:left="63" w:right="63"/>
              <w:rPr>
                <w:rFonts w:hint="eastAsia" w:ascii="宋体" w:hAnsi="宋体" w:eastAsia="宋体" w:cs="宋体"/>
                <w:color w:val="auto"/>
                <w:sz w:val="30"/>
                <w:szCs w:val="30"/>
                <w:highlight w:val="none"/>
              </w:rPr>
            </w:pPr>
          </w:p>
        </w:tc>
      </w:tr>
      <w:tr w14:paraId="6879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E592AB5">
            <w:pPr>
              <w:pStyle w:val="7"/>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3F82BA7A">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1D6650A7">
            <w:pPr>
              <w:pStyle w:val="7"/>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50D7FF51">
            <w:pPr>
              <w:pStyle w:val="7"/>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4FACEA2C">
            <w:pPr>
              <w:pStyle w:val="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565C657D">
            <w:pPr>
              <w:pStyle w:val="7"/>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590DF91C">
            <w:pPr>
              <w:pStyle w:val="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05690B52">
            <w:pPr>
              <w:pStyle w:val="7"/>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5A3729B0">
            <w:pPr>
              <w:pStyle w:val="7"/>
              <w:keepNext/>
              <w:spacing w:line="440" w:lineRule="exact"/>
              <w:ind w:left="63" w:right="63"/>
              <w:rPr>
                <w:rFonts w:hint="eastAsia" w:ascii="宋体" w:hAnsi="宋体" w:eastAsia="宋体" w:cs="宋体"/>
                <w:color w:val="auto"/>
                <w:sz w:val="30"/>
                <w:szCs w:val="30"/>
                <w:highlight w:val="none"/>
              </w:rPr>
            </w:pPr>
          </w:p>
        </w:tc>
      </w:tr>
      <w:tr w14:paraId="6DE1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7843EA3">
            <w:pPr>
              <w:pStyle w:val="7"/>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0F43F4C8">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1702DC6D">
            <w:pPr>
              <w:pStyle w:val="7"/>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13E2FE68">
            <w:pPr>
              <w:pStyle w:val="7"/>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44A92F51">
            <w:pPr>
              <w:pStyle w:val="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436CBE84">
            <w:pPr>
              <w:pStyle w:val="7"/>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36FB3EEB">
            <w:pPr>
              <w:pStyle w:val="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0BFBB999">
            <w:pPr>
              <w:pStyle w:val="7"/>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7E0BA36D">
            <w:pPr>
              <w:pStyle w:val="7"/>
              <w:keepNext/>
              <w:spacing w:line="440" w:lineRule="exact"/>
              <w:ind w:left="63" w:right="63"/>
              <w:rPr>
                <w:rFonts w:hint="eastAsia" w:ascii="宋体" w:hAnsi="宋体" w:eastAsia="宋体" w:cs="宋体"/>
                <w:color w:val="auto"/>
                <w:sz w:val="30"/>
                <w:szCs w:val="30"/>
                <w:highlight w:val="none"/>
              </w:rPr>
            </w:pPr>
          </w:p>
        </w:tc>
      </w:tr>
      <w:tr w14:paraId="7E37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F2C824E">
            <w:pPr>
              <w:pStyle w:val="7"/>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17D578AE">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5FD16F6F">
            <w:pPr>
              <w:pStyle w:val="7"/>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41350CFE">
            <w:pPr>
              <w:pStyle w:val="7"/>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4A1A1563">
            <w:pPr>
              <w:pStyle w:val="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6BEF6328">
            <w:pPr>
              <w:pStyle w:val="7"/>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2BA17901">
            <w:pPr>
              <w:pStyle w:val="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131FB0F3">
            <w:pPr>
              <w:pStyle w:val="7"/>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70DAFDF1">
            <w:pPr>
              <w:pStyle w:val="7"/>
              <w:keepNext/>
              <w:spacing w:line="440" w:lineRule="exact"/>
              <w:ind w:left="63" w:right="63"/>
              <w:rPr>
                <w:rFonts w:hint="eastAsia" w:ascii="宋体" w:hAnsi="宋体" w:eastAsia="宋体" w:cs="宋体"/>
                <w:color w:val="auto"/>
                <w:sz w:val="30"/>
                <w:szCs w:val="30"/>
                <w:highlight w:val="none"/>
              </w:rPr>
            </w:pPr>
          </w:p>
        </w:tc>
      </w:tr>
      <w:tr w14:paraId="5978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AAB8F8D">
            <w:pPr>
              <w:pStyle w:val="7"/>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1084827C">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0DB49897">
            <w:pPr>
              <w:pStyle w:val="7"/>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49801F85">
            <w:pPr>
              <w:pStyle w:val="7"/>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49B0CD98">
            <w:pPr>
              <w:pStyle w:val="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503F0AD2">
            <w:pPr>
              <w:pStyle w:val="7"/>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5C44FE0D">
            <w:pPr>
              <w:pStyle w:val="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13EE5157">
            <w:pPr>
              <w:pStyle w:val="7"/>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6E5FCA33">
            <w:pPr>
              <w:pStyle w:val="7"/>
              <w:keepNext/>
              <w:spacing w:line="440" w:lineRule="exact"/>
              <w:ind w:left="63" w:right="63"/>
              <w:rPr>
                <w:rFonts w:hint="eastAsia" w:ascii="宋体" w:hAnsi="宋体" w:eastAsia="宋体" w:cs="宋体"/>
                <w:color w:val="auto"/>
                <w:sz w:val="30"/>
                <w:szCs w:val="30"/>
                <w:highlight w:val="none"/>
              </w:rPr>
            </w:pPr>
          </w:p>
        </w:tc>
      </w:tr>
      <w:tr w14:paraId="7995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F93139A">
            <w:pPr>
              <w:pStyle w:val="7"/>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7A47F43B">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4F288F11">
            <w:pPr>
              <w:pStyle w:val="7"/>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7D5970C3">
            <w:pPr>
              <w:pStyle w:val="7"/>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03CCE970">
            <w:pPr>
              <w:pStyle w:val="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3FC9E77B">
            <w:pPr>
              <w:pStyle w:val="7"/>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1F0D3D53">
            <w:pPr>
              <w:pStyle w:val="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229A5FCF">
            <w:pPr>
              <w:pStyle w:val="7"/>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124B2F89">
            <w:pPr>
              <w:pStyle w:val="7"/>
              <w:keepNext/>
              <w:spacing w:line="440" w:lineRule="exact"/>
              <w:ind w:left="63" w:right="63"/>
              <w:rPr>
                <w:rFonts w:hint="eastAsia" w:ascii="宋体" w:hAnsi="宋体" w:eastAsia="宋体" w:cs="宋体"/>
                <w:color w:val="auto"/>
                <w:sz w:val="30"/>
                <w:szCs w:val="30"/>
                <w:highlight w:val="none"/>
              </w:rPr>
            </w:pPr>
          </w:p>
        </w:tc>
      </w:tr>
      <w:tr w14:paraId="3D86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FFB603B">
            <w:pPr>
              <w:pStyle w:val="7"/>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2B9D4659">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55D3D417">
            <w:pPr>
              <w:pStyle w:val="7"/>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2ADF5C50">
            <w:pPr>
              <w:pStyle w:val="7"/>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44F7F1F6">
            <w:pPr>
              <w:pStyle w:val="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58F6A55B">
            <w:pPr>
              <w:pStyle w:val="7"/>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2D13B2CA">
            <w:pPr>
              <w:pStyle w:val="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1F124604">
            <w:pPr>
              <w:pStyle w:val="7"/>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3F01AD8E">
            <w:pPr>
              <w:pStyle w:val="7"/>
              <w:keepNext/>
              <w:spacing w:line="440" w:lineRule="exact"/>
              <w:ind w:left="63" w:right="63"/>
              <w:rPr>
                <w:rFonts w:hint="eastAsia" w:ascii="宋体" w:hAnsi="宋体" w:eastAsia="宋体" w:cs="宋体"/>
                <w:color w:val="auto"/>
                <w:sz w:val="30"/>
                <w:szCs w:val="30"/>
                <w:highlight w:val="none"/>
              </w:rPr>
            </w:pPr>
          </w:p>
        </w:tc>
      </w:tr>
      <w:tr w14:paraId="1513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0751F8D7">
            <w:pPr>
              <w:rPr>
                <w:rFonts w:hint="eastAsia" w:ascii="宋体" w:hAnsi="宋体" w:eastAsia="宋体" w:cs="宋体"/>
                <w:color w:val="auto"/>
                <w:sz w:val="30"/>
                <w:szCs w:val="30"/>
                <w:highlight w:val="none"/>
              </w:rPr>
            </w:pPr>
          </w:p>
        </w:tc>
        <w:tc>
          <w:tcPr>
            <w:tcW w:w="1418" w:type="dxa"/>
            <w:vAlign w:val="top"/>
          </w:tcPr>
          <w:p w14:paraId="18CF7FC2">
            <w:pPr>
              <w:rPr>
                <w:rFonts w:hint="eastAsia" w:ascii="宋体" w:hAnsi="宋体" w:eastAsia="宋体" w:cs="宋体"/>
                <w:color w:val="auto"/>
                <w:sz w:val="30"/>
                <w:szCs w:val="30"/>
                <w:highlight w:val="none"/>
              </w:rPr>
            </w:pPr>
          </w:p>
        </w:tc>
        <w:tc>
          <w:tcPr>
            <w:tcW w:w="850" w:type="dxa"/>
            <w:vAlign w:val="top"/>
          </w:tcPr>
          <w:p w14:paraId="3FDF2069">
            <w:pPr>
              <w:rPr>
                <w:rFonts w:hint="eastAsia" w:ascii="宋体" w:hAnsi="宋体" w:eastAsia="宋体" w:cs="宋体"/>
                <w:color w:val="auto"/>
                <w:sz w:val="30"/>
                <w:szCs w:val="30"/>
                <w:highlight w:val="none"/>
              </w:rPr>
            </w:pPr>
          </w:p>
        </w:tc>
        <w:tc>
          <w:tcPr>
            <w:tcW w:w="1058" w:type="dxa"/>
            <w:vAlign w:val="top"/>
          </w:tcPr>
          <w:p w14:paraId="6B3CD23F">
            <w:pPr>
              <w:rPr>
                <w:rFonts w:hint="eastAsia" w:ascii="宋体" w:hAnsi="宋体" w:eastAsia="宋体" w:cs="宋体"/>
                <w:color w:val="auto"/>
                <w:sz w:val="30"/>
                <w:szCs w:val="30"/>
                <w:highlight w:val="none"/>
              </w:rPr>
            </w:pPr>
          </w:p>
        </w:tc>
        <w:tc>
          <w:tcPr>
            <w:tcW w:w="880" w:type="dxa"/>
            <w:vAlign w:val="top"/>
          </w:tcPr>
          <w:p w14:paraId="54C9C734">
            <w:pPr>
              <w:rPr>
                <w:rFonts w:hint="eastAsia" w:ascii="宋体" w:hAnsi="宋体" w:eastAsia="宋体" w:cs="宋体"/>
                <w:color w:val="auto"/>
                <w:sz w:val="30"/>
                <w:szCs w:val="30"/>
                <w:highlight w:val="none"/>
              </w:rPr>
            </w:pPr>
          </w:p>
        </w:tc>
        <w:tc>
          <w:tcPr>
            <w:tcW w:w="1020" w:type="dxa"/>
            <w:vAlign w:val="top"/>
          </w:tcPr>
          <w:p w14:paraId="1D211DD7">
            <w:pPr>
              <w:rPr>
                <w:rFonts w:hint="eastAsia" w:ascii="宋体" w:hAnsi="宋体" w:eastAsia="宋体" w:cs="宋体"/>
                <w:color w:val="auto"/>
                <w:sz w:val="30"/>
                <w:szCs w:val="30"/>
                <w:highlight w:val="none"/>
              </w:rPr>
            </w:pPr>
          </w:p>
        </w:tc>
        <w:tc>
          <w:tcPr>
            <w:tcW w:w="1480" w:type="dxa"/>
            <w:vAlign w:val="top"/>
          </w:tcPr>
          <w:p w14:paraId="1FB48F08">
            <w:pPr>
              <w:rPr>
                <w:rFonts w:hint="eastAsia" w:ascii="宋体" w:hAnsi="宋体" w:eastAsia="宋体" w:cs="宋体"/>
                <w:color w:val="auto"/>
                <w:sz w:val="30"/>
                <w:szCs w:val="30"/>
                <w:highlight w:val="none"/>
              </w:rPr>
            </w:pPr>
          </w:p>
        </w:tc>
        <w:tc>
          <w:tcPr>
            <w:tcW w:w="1020" w:type="dxa"/>
            <w:vAlign w:val="top"/>
          </w:tcPr>
          <w:p w14:paraId="0DB0E667">
            <w:pPr>
              <w:rPr>
                <w:rFonts w:hint="eastAsia" w:ascii="宋体" w:hAnsi="宋体" w:eastAsia="宋体" w:cs="宋体"/>
                <w:color w:val="auto"/>
                <w:sz w:val="30"/>
                <w:szCs w:val="30"/>
                <w:highlight w:val="none"/>
              </w:rPr>
            </w:pPr>
          </w:p>
        </w:tc>
        <w:tc>
          <w:tcPr>
            <w:tcW w:w="921" w:type="dxa"/>
            <w:vAlign w:val="top"/>
          </w:tcPr>
          <w:p w14:paraId="35C53DED">
            <w:pPr>
              <w:rPr>
                <w:rFonts w:hint="eastAsia" w:ascii="宋体" w:hAnsi="宋体" w:eastAsia="宋体" w:cs="宋体"/>
                <w:color w:val="auto"/>
                <w:sz w:val="30"/>
                <w:szCs w:val="30"/>
                <w:highlight w:val="none"/>
              </w:rPr>
            </w:pPr>
          </w:p>
        </w:tc>
      </w:tr>
      <w:tr w14:paraId="6D97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943B4D9">
            <w:pPr>
              <w:pStyle w:val="7"/>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52BE8D50">
            <w:pPr>
              <w:pStyle w:val="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63D33F64">
            <w:pPr>
              <w:pStyle w:val="7"/>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5A7ACA6E">
            <w:pPr>
              <w:pStyle w:val="7"/>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6AEE790F">
            <w:pPr>
              <w:pStyle w:val="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50DED21F">
            <w:pPr>
              <w:pStyle w:val="7"/>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7331186A">
            <w:pPr>
              <w:pStyle w:val="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7B57D9B4">
            <w:pPr>
              <w:pStyle w:val="7"/>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1DE11352">
            <w:pPr>
              <w:pStyle w:val="7"/>
              <w:keepNext/>
              <w:spacing w:line="440" w:lineRule="exact"/>
              <w:ind w:left="63" w:right="63"/>
              <w:rPr>
                <w:rFonts w:hint="eastAsia" w:ascii="宋体" w:hAnsi="宋体" w:eastAsia="宋体" w:cs="宋体"/>
                <w:color w:val="auto"/>
                <w:sz w:val="30"/>
                <w:szCs w:val="30"/>
                <w:highlight w:val="none"/>
              </w:rPr>
            </w:pPr>
          </w:p>
        </w:tc>
      </w:tr>
      <w:tr w14:paraId="13F6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676C3253">
            <w:pPr>
              <w:rPr>
                <w:rFonts w:hint="eastAsia" w:ascii="宋体" w:hAnsi="宋体" w:eastAsia="宋体" w:cs="宋体"/>
                <w:color w:val="auto"/>
                <w:sz w:val="30"/>
                <w:szCs w:val="30"/>
                <w:highlight w:val="none"/>
              </w:rPr>
            </w:pPr>
          </w:p>
        </w:tc>
        <w:tc>
          <w:tcPr>
            <w:tcW w:w="1418" w:type="dxa"/>
            <w:vAlign w:val="top"/>
          </w:tcPr>
          <w:p w14:paraId="2A41470A">
            <w:pPr>
              <w:rPr>
                <w:rFonts w:hint="eastAsia" w:ascii="宋体" w:hAnsi="宋体" w:eastAsia="宋体" w:cs="宋体"/>
                <w:color w:val="auto"/>
                <w:sz w:val="30"/>
                <w:szCs w:val="30"/>
                <w:highlight w:val="none"/>
              </w:rPr>
            </w:pPr>
          </w:p>
        </w:tc>
        <w:tc>
          <w:tcPr>
            <w:tcW w:w="850" w:type="dxa"/>
            <w:vAlign w:val="top"/>
          </w:tcPr>
          <w:p w14:paraId="10FD6C85">
            <w:pPr>
              <w:rPr>
                <w:rFonts w:hint="eastAsia" w:ascii="宋体" w:hAnsi="宋体" w:eastAsia="宋体" w:cs="宋体"/>
                <w:color w:val="auto"/>
                <w:sz w:val="30"/>
                <w:szCs w:val="30"/>
                <w:highlight w:val="none"/>
              </w:rPr>
            </w:pPr>
          </w:p>
        </w:tc>
        <w:tc>
          <w:tcPr>
            <w:tcW w:w="1058" w:type="dxa"/>
            <w:vAlign w:val="top"/>
          </w:tcPr>
          <w:p w14:paraId="4E3914FA">
            <w:pPr>
              <w:rPr>
                <w:rFonts w:hint="eastAsia" w:ascii="宋体" w:hAnsi="宋体" w:eastAsia="宋体" w:cs="宋体"/>
                <w:color w:val="auto"/>
                <w:sz w:val="30"/>
                <w:szCs w:val="30"/>
                <w:highlight w:val="none"/>
              </w:rPr>
            </w:pPr>
          </w:p>
        </w:tc>
        <w:tc>
          <w:tcPr>
            <w:tcW w:w="880" w:type="dxa"/>
            <w:vAlign w:val="top"/>
          </w:tcPr>
          <w:p w14:paraId="3EA7053D">
            <w:pPr>
              <w:rPr>
                <w:rFonts w:hint="eastAsia" w:ascii="宋体" w:hAnsi="宋体" w:eastAsia="宋体" w:cs="宋体"/>
                <w:color w:val="auto"/>
                <w:sz w:val="30"/>
                <w:szCs w:val="30"/>
                <w:highlight w:val="none"/>
              </w:rPr>
            </w:pPr>
          </w:p>
        </w:tc>
        <w:tc>
          <w:tcPr>
            <w:tcW w:w="1020" w:type="dxa"/>
            <w:vAlign w:val="top"/>
          </w:tcPr>
          <w:p w14:paraId="479F1D2D">
            <w:pPr>
              <w:rPr>
                <w:rFonts w:hint="eastAsia" w:ascii="宋体" w:hAnsi="宋体" w:eastAsia="宋体" w:cs="宋体"/>
                <w:color w:val="auto"/>
                <w:sz w:val="30"/>
                <w:szCs w:val="30"/>
                <w:highlight w:val="none"/>
              </w:rPr>
            </w:pPr>
          </w:p>
        </w:tc>
        <w:tc>
          <w:tcPr>
            <w:tcW w:w="1480" w:type="dxa"/>
            <w:vAlign w:val="top"/>
          </w:tcPr>
          <w:p w14:paraId="2099B408">
            <w:pPr>
              <w:rPr>
                <w:rFonts w:hint="eastAsia" w:ascii="宋体" w:hAnsi="宋体" w:eastAsia="宋体" w:cs="宋体"/>
                <w:color w:val="auto"/>
                <w:sz w:val="30"/>
                <w:szCs w:val="30"/>
                <w:highlight w:val="none"/>
              </w:rPr>
            </w:pPr>
          </w:p>
        </w:tc>
        <w:tc>
          <w:tcPr>
            <w:tcW w:w="1020" w:type="dxa"/>
            <w:vAlign w:val="top"/>
          </w:tcPr>
          <w:p w14:paraId="3F3557D8">
            <w:pPr>
              <w:rPr>
                <w:rFonts w:hint="eastAsia" w:ascii="宋体" w:hAnsi="宋体" w:eastAsia="宋体" w:cs="宋体"/>
                <w:color w:val="auto"/>
                <w:sz w:val="30"/>
                <w:szCs w:val="30"/>
                <w:highlight w:val="none"/>
              </w:rPr>
            </w:pPr>
          </w:p>
        </w:tc>
        <w:tc>
          <w:tcPr>
            <w:tcW w:w="921" w:type="dxa"/>
            <w:vAlign w:val="top"/>
          </w:tcPr>
          <w:p w14:paraId="4A1D0BDD">
            <w:pPr>
              <w:rPr>
                <w:rFonts w:hint="eastAsia" w:ascii="宋体" w:hAnsi="宋体" w:eastAsia="宋体" w:cs="宋体"/>
                <w:color w:val="auto"/>
                <w:sz w:val="30"/>
                <w:szCs w:val="30"/>
                <w:highlight w:val="none"/>
              </w:rPr>
            </w:pPr>
          </w:p>
        </w:tc>
      </w:tr>
      <w:tr w14:paraId="40AA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4B302F95">
            <w:pPr>
              <w:rPr>
                <w:rFonts w:hint="eastAsia" w:ascii="宋体" w:hAnsi="宋体" w:eastAsia="宋体" w:cs="宋体"/>
                <w:color w:val="auto"/>
                <w:sz w:val="30"/>
                <w:szCs w:val="30"/>
                <w:highlight w:val="none"/>
              </w:rPr>
            </w:pPr>
          </w:p>
        </w:tc>
        <w:tc>
          <w:tcPr>
            <w:tcW w:w="1418" w:type="dxa"/>
            <w:vAlign w:val="top"/>
          </w:tcPr>
          <w:p w14:paraId="07E824E7">
            <w:pPr>
              <w:rPr>
                <w:rFonts w:hint="eastAsia" w:ascii="宋体" w:hAnsi="宋体" w:eastAsia="宋体" w:cs="宋体"/>
                <w:color w:val="auto"/>
                <w:sz w:val="30"/>
                <w:szCs w:val="30"/>
                <w:highlight w:val="none"/>
              </w:rPr>
            </w:pPr>
          </w:p>
        </w:tc>
        <w:tc>
          <w:tcPr>
            <w:tcW w:w="850" w:type="dxa"/>
            <w:vAlign w:val="top"/>
          </w:tcPr>
          <w:p w14:paraId="22D3DDF1">
            <w:pPr>
              <w:rPr>
                <w:rFonts w:hint="eastAsia" w:ascii="宋体" w:hAnsi="宋体" w:eastAsia="宋体" w:cs="宋体"/>
                <w:color w:val="auto"/>
                <w:sz w:val="30"/>
                <w:szCs w:val="30"/>
                <w:highlight w:val="none"/>
              </w:rPr>
            </w:pPr>
          </w:p>
        </w:tc>
        <w:tc>
          <w:tcPr>
            <w:tcW w:w="1058" w:type="dxa"/>
            <w:vAlign w:val="top"/>
          </w:tcPr>
          <w:p w14:paraId="39DA1C7B">
            <w:pPr>
              <w:rPr>
                <w:rFonts w:hint="eastAsia" w:ascii="宋体" w:hAnsi="宋体" w:eastAsia="宋体" w:cs="宋体"/>
                <w:color w:val="auto"/>
                <w:sz w:val="30"/>
                <w:szCs w:val="30"/>
                <w:highlight w:val="none"/>
              </w:rPr>
            </w:pPr>
          </w:p>
        </w:tc>
        <w:tc>
          <w:tcPr>
            <w:tcW w:w="880" w:type="dxa"/>
            <w:vAlign w:val="top"/>
          </w:tcPr>
          <w:p w14:paraId="67ED3A54">
            <w:pPr>
              <w:rPr>
                <w:rFonts w:hint="eastAsia" w:ascii="宋体" w:hAnsi="宋体" w:eastAsia="宋体" w:cs="宋体"/>
                <w:color w:val="auto"/>
                <w:sz w:val="30"/>
                <w:szCs w:val="30"/>
                <w:highlight w:val="none"/>
              </w:rPr>
            </w:pPr>
          </w:p>
        </w:tc>
        <w:tc>
          <w:tcPr>
            <w:tcW w:w="1020" w:type="dxa"/>
            <w:vAlign w:val="top"/>
          </w:tcPr>
          <w:p w14:paraId="5AB90241">
            <w:pPr>
              <w:rPr>
                <w:rFonts w:hint="eastAsia" w:ascii="宋体" w:hAnsi="宋体" w:eastAsia="宋体" w:cs="宋体"/>
                <w:color w:val="auto"/>
                <w:sz w:val="30"/>
                <w:szCs w:val="30"/>
                <w:highlight w:val="none"/>
              </w:rPr>
            </w:pPr>
          </w:p>
        </w:tc>
        <w:tc>
          <w:tcPr>
            <w:tcW w:w="1480" w:type="dxa"/>
            <w:vAlign w:val="top"/>
          </w:tcPr>
          <w:p w14:paraId="58DD279A">
            <w:pPr>
              <w:rPr>
                <w:rFonts w:hint="eastAsia" w:ascii="宋体" w:hAnsi="宋体" w:eastAsia="宋体" w:cs="宋体"/>
                <w:color w:val="auto"/>
                <w:sz w:val="30"/>
                <w:szCs w:val="30"/>
                <w:highlight w:val="none"/>
              </w:rPr>
            </w:pPr>
          </w:p>
        </w:tc>
        <w:tc>
          <w:tcPr>
            <w:tcW w:w="1020" w:type="dxa"/>
            <w:vAlign w:val="top"/>
          </w:tcPr>
          <w:p w14:paraId="5184EBAC">
            <w:pPr>
              <w:rPr>
                <w:rFonts w:hint="eastAsia" w:ascii="宋体" w:hAnsi="宋体" w:eastAsia="宋体" w:cs="宋体"/>
                <w:color w:val="auto"/>
                <w:sz w:val="30"/>
                <w:szCs w:val="30"/>
                <w:highlight w:val="none"/>
              </w:rPr>
            </w:pPr>
          </w:p>
        </w:tc>
        <w:tc>
          <w:tcPr>
            <w:tcW w:w="921" w:type="dxa"/>
            <w:vAlign w:val="top"/>
          </w:tcPr>
          <w:p w14:paraId="1F168E8C">
            <w:pPr>
              <w:rPr>
                <w:rFonts w:hint="eastAsia" w:ascii="宋体" w:hAnsi="宋体" w:eastAsia="宋体" w:cs="宋体"/>
                <w:color w:val="auto"/>
                <w:sz w:val="30"/>
                <w:szCs w:val="30"/>
                <w:highlight w:val="none"/>
              </w:rPr>
            </w:pPr>
          </w:p>
        </w:tc>
      </w:tr>
      <w:tr w14:paraId="3E0A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627D4390">
            <w:pPr>
              <w:rPr>
                <w:rFonts w:hint="eastAsia" w:ascii="宋体" w:hAnsi="宋体" w:eastAsia="宋体" w:cs="宋体"/>
                <w:color w:val="auto"/>
                <w:sz w:val="30"/>
                <w:szCs w:val="30"/>
                <w:highlight w:val="none"/>
              </w:rPr>
            </w:pPr>
          </w:p>
        </w:tc>
        <w:tc>
          <w:tcPr>
            <w:tcW w:w="1418" w:type="dxa"/>
            <w:vAlign w:val="top"/>
          </w:tcPr>
          <w:p w14:paraId="352D9C11">
            <w:pPr>
              <w:rPr>
                <w:rFonts w:hint="eastAsia" w:ascii="宋体" w:hAnsi="宋体" w:eastAsia="宋体" w:cs="宋体"/>
                <w:color w:val="auto"/>
                <w:sz w:val="30"/>
                <w:szCs w:val="30"/>
                <w:highlight w:val="none"/>
              </w:rPr>
            </w:pPr>
          </w:p>
        </w:tc>
        <w:tc>
          <w:tcPr>
            <w:tcW w:w="850" w:type="dxa"/>
            <w:vAlign w:val="top"/>
          </w:tcPr>
          <w:p w14:paraId="7CE8CA0E">
            <w:pPr>
              <w:rPr>
                <w:rFonts w:hint="eastAsia" w:ascii="宋体" w:hAnsi="宋体" w:eastAsia="宋体" w:cs="宋体"/>
                <w:color w:val="auto"/>
                <w:sz w:val="30"/>
                <w:szCs w:val="30"/>
                <w:highlight w:val="none"/>
              </w:rPr>
            </w:pPr>
          </w:p>
        </w:tc>
        <w:tc>
          <w:tcPr>
            <w:tcW w:w="1058" w:type="dxa"/>
            <w:vAlign w:val="top"/>
          </w:tcPr>
          <w:p w14:paraId="04B548F2">
            <w:pPr>
              <w:rPr>
                <w:rFonts w:hint="eastAsia" w:ascii="宋体" w:hAnsi="宋体" w:eastAsia="宋体" w:cs="宋体"/>
                <w:color w:val="auto"/>
                <w:sz w:val="30"/>
                <w:szCs w:val="30"/>
                <w:highlight w:val="none"/>
              </w:rPr>
            </w:pPr>
          </w:p>
        </w:tc>
        <w:tc>
          <w:tcPr>
            <w:tcW w:w="880" w:type="dxa"/>
            <w:vAlign w:val="top"/>
          </w:tcPr>
          <w:p w14:paraId="185CC568">
            <w:pPr>
              <w:rPr>
                <w:rFonts w:hint="eastAsia" w:ascii="宋体" w:hAnsi="宋体" w:eastAsia="宋体" w:cs="宋体"/>
                <w:color w:val="auto"/>
                <w:sz w:val="30"/>
                <w:szCs w:val="30"/>
                <w:highlight w:val="none"/>
              </w:rPr>
            </w:pPr>
          </w:p>
        </w:tc>
        <w:tc>
          <w:tcPr>
            <w:tcW w:w="1020" w:type="dxa"/>
            <w:vAlign w:val="top"/>
          </w:tcPr>
          <w:p w14:paraId="68B77541">
            <w:pPr>
              <w:rPr>
                <w:rFonts w:hint="eastAsia" w:ascii="宋体" w:hAnsi="宋体" w:eastAsia="宋体" w:cs="宋体"/>
                <w:color w:val="auto"/>
                <w:sz w:val="30"/>
                <w:szCs w:val="30"/>
                <w:highlight w:val="none"/>
              </w:rPr>
            </w:pPr>
          </w:p>
        </w:tc>
        <w:tc>
          <w:tcPr>
            <w:tcW w:w="1480" w:type="dxa"/>
            <w:vAlign w:val="top"/>
          </w:tcPr>
          <w:p w14:paraId="5834B3F2">
            <w:pPr>
              <w:rPr>
                <w:rFonts w:hint="eastAsia" w:ascii="宋体" w:hAnsi="宋体" w:eastAsia="宋体" w:cs="宋体"/>
                <w:color w:val="auto"/>
                <w:sz w:val="30"/>
                <w:szCs w:val="30"/>
                <w:highlight w:val="none"/>
              </w:rPr>
            </w:pPr>
          </w:p>
        </w:tc>
        <w:tc>
          <w:tcPr>
            <w:tcW w:w="1020" w:type="dxa"/>
            <w:vAlign w:val="top"/>
          </w:tcPr>
          <w:p w14:paraId="30F20028">
            <w:pPr>
              <w:rPr>
                <w:rFonts w:hint="eastAsia" w:ascii="宋体" w:hAnsi="宋体" w:eastAsia="宋体" w:cs="宋体"/>
                <w:color w:val="auto"/>
                <w:sz w:val="30"/>
                <w:szCs w:val="30"/>
                <w:highlight w:val="none"/>
              </w:rPr>
            </w:pPr>
          </w:p>
        </w:tc>
        <w:tc>
          <w:tcPr>
            <w:tcW w:w="921" w:type="dxa"/>
            <w:vAlign w:val="top"/>
          </w:tcPr>
          <w:p w14:paraId="7673C264">
            <w:pPr>
              <w:rPr>
                <w:rFonts w:hint="eastAsia" w:ascii="宋体" w:hAnsi="宋体" w:eastAsia="宋体" w:cs="宋体"/>
                <w:color w:val="auto"/>
                <w:sz w:val="30"/>
                <w:szCs w:val="30"/>
                <w:highlight w:val="none"/>
              </w:rPr>
            </w:pPr>
          </w:p>
        </w:tc>
      </w:tr>
      <w:tr w14:paraId="28C6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70641249">
            <w:pPr>
              <w:rPr>
                <w:rFonts w:hint="eastAsia" w:ascii="宋体" w:hAnsi="宋体" w:eastAsia="宋体" w:cs="宋体"/>
                <w:color w:val="auto"/>
                <w:sz w:val="30"/>
                <w:szCs w:val="30"/>
                <w:highlight w:val="none"/>
              </w:rPr>
            </w:pPr>
          </w:p>
        </w:tc>
        <w:tc>
          <w:tcPr>
            <w:tcW w:w="1418" w:type="dxa"/>
            <w:vAlign w:val="top"/>
          </w:tcPr>
          <w:p w14:paraId="02E46CEF">
            <w:pPr>
              <w:rPr>
                <w:rFonts w:hint="eastAsia" w:ascii="宋体" w:hAnsi="宋体" w:eastAsia="宋体" w:cs="宋体"/>
                <w:color w:val="auto"/>
                <w:sz w:val="30"/>
                <w:szCs w:val="30"/>
                <w:highlight w:val="none"/>
              </w:rPr>
            </w:pPr>
          </w:p>
        </w:tc>
        <w:tc>
          <w:tcPr>
            <w:tcW w:w="850" w:type="dxa"/>
            <w:vAlign w:val="top"/>
          </w:tcPr>
          <w:p w14:paraId="245F6ABE">
            <w:pPr>
              <w:rPr>
                <w:rFonts w:hint="eastAsia" w:ascii="宋体" w:hAnsi="宋体" w:eastAsia="宋体" w:cs="宋体"/>
                <w:color w:val="auto"/>
                <w:sz w:val="30"/>
                <w:szCs w:val="30"/>
                <w:highlight w:val="none"/>
              </w:rPr>
            </w:pPr>
          </w:p>
        </w:tc>
        <w:tc>
          <w:tcPr>
            <w:tcW w:w="1058" w:type="dxa"/>
            <w:vAlign w:val="top"/>
          </w:tcPr>
          <w:p w14:paraId="5A809DF2">
            <w:pPr>
              <w:rPr>
                <w:rFonts w:hint="eastAsia" w:ascii="宋体" w:hAnsi="宋体" w:eastAsia="宋体" w:cs="宋体"/>
                <w:color w:val="auto"/>
                <w:sz w:val="30"/>
                <w:szCs w:val="30"/>
                <w:highlight w:val="none"/>
              </w:rPr>
            </w:pPr>
          </w:p>
        </w:tc>
        <w:tc>
          <w:tcPr>
            <w:tcW w:w="880" w:type="dxa"/>
            <w:vAlign w:val="top"/>
          </w:tcPr>
          <w:p w14:paraId="17362E68">
            <w:pPr>
              <w:rPr>
                <w:rFonts w:hint="eastAsia" w:ascii="宋体" w:hAnsi="宋体" w:eastAsia="宋体" w:cs="宋体"/>
                <w:color w:val="auto"/>
                <w:sz w:val="30"/>
                <w:szCs w:val="30"/>
                <w:highlight w:val="none"/>
              </w:rPr>
            </w:pPr>
          </w:p>
        </w:tc>
        <w:tc>
          <w:tcPr>
            <w:tcW w:w="1020" w:type="dxa"/>
            <w:vAlign w:val="top"/>
          </w:tcPr>
          <w:p w14:paraId="06C3075D">
            <w:pPr>
              <w:rPr>
                <w:rFonts w:hint="eastAsia" w:ascii="宋体" w:hAnsi="宋体" w:eastAsia="宋体" w:cs="宋体"/>
                <w:color w:val="auto"/>
                <w:sz w:val="30"/>
                <w:szCs w:val="30"/>
                <w:highlight w:val="none"/>
              </w:rPr>
            </w:pPr>
          </w:p>
        </w:tc>
        <w:tc>
          <w:tcPr>
            <w:tcW w:w="1480" w:type="dxa"/>
            <w:vAlign w:val="top"/>
          </w:tcPr>
          <w:p w14:paraId="1900C5C3">
            <w:pPr>
              <w:rPr>
                <w:rFonts w:hint="eastAsia" w:ascii="宋体" w:hAnsi="宋体" w:eastAsia="宋体" w:cs="宋体"/>
                <w:color w:val="auto"/>
                <w:sz w:val="30"/>
                <w:szCs w:val="30"/>
                <w:highlight w:val="none"/>
              </w:rPr>
            </w:pPr>
          </w:p>
        </w:tc>
        <w:tc>
          <w:tcPr>
            <w:tcW w:w="1020" w:type="dxa"/>
            <w:vAlign w:val="top"/>
          </w:tcPr>
          <w:p w14:paraId="0DBE74C3">
            <w:pPr>
              <w:rPr>
                <w:rFonts w:hint="eastAsia" w:ascii="宋体" w:hAnsi="宋体" w:eastAsia="宋体" w:cs="宋体"/>
                <w:color w:val="auto"/>
                <w:sz w:val="30"/>
                <w:szCs w:val="30"/>
                <w:highlight w:val="none"/>
              </w:rPr>
            </w:pPr>
          </w:p>
        </w:tc>
        <w:tc>
          <w:tcPr>
            <w:tcW w:w="921" w:type="dxa"/>
            <w:vAlign w:val="top"/>
          </w:tcPr>
          <w:p w14:paraId="41717D14">
            <w:pPr>
              <w:rPr>
                <w:rFonts w:hint="eastAsia" w:ascii="宋体" w:hAnsi="宋体" w:eastAsia="宋体" w:cs="宋体"/>
                <w:color w:val="auto"/>
                <w:sz w:val="30"/>
                <w:szCs w:val="30"/>
                <w:highlight w:val="none"/>
              </w:rPr>
            </w:pPr>
          </w:p>
        </w:tc>
      </w:tr>
      <w:tr w14:paraId="6F59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638C6671">
            <w:pPr>
              <w:rPr>
                <w:rFonts w:hint="eastAsia" w:ascii="宋体" w:hAnsi="宋体" w:eastAsia="宋体" w:cs="宋体"/>
                <w:color w:val="auto"/>
                <w:sz w:val="30"/>
                <w:szCs w:val="30"/>
                <w:highlight w:val="none"/>
              </w:rPr>
            </w:pPr>
          </w:p>
        </w:tc>
        <w:tc>
          <w:tcPr>
            <w:tcW w:w="1418" w:type="dxa"/>
            <w:vAlign w:val="top"/>
          </w:tcPr>
          <w:p w14:paraId="653AB209">
            <w:pPr>
              <w:rPr>
                <w:rFonts w:hint="eastAsia" w:ascii="宋体" w:hAnsi="宋体" w:eastAsia="宋体" w:cs="宋体"/>
                <w:color w:val="auto"/>
                <w:sz w:val="30"/>
                <w:szCs w:val="30"/>
                <w:highlight w:val="none"/>
              </w:rPr>
            </w:pPr>
          </w:p>
        </w:tc>
        <w:tc>
          <w:tcPr>
            <w:tcW w:w="850" w:type="dxa"/>
            <w:vAlign w:val="top"/>
          </w:tcPr>
          <w:p w14:paraId="56CE0059">
            <w:pPr>
              <w:rPr>
                <w:rFonts w:hint="eastAsia" w:ascii="宋体" w:hAnsi="宋体" w:eastAsia="宋体" w:cs="宋体"/>
                <w:color w:val="auto"/>
                <w:sz w:val="30"/>
                <w:szCs w:val="30"/>
                <w:highlight w:val="none"/>
              </w:rPr>
            </w:pPr>
          </w:p>
        </w:tc>
        <w:tc>
          <w:tcPr>
            <w:tcW w:w="1058" w:type="dxa"/>
            <w:vAlign w:val="top"/>
          </w:tcPr>
          <w:p w14:paraId="350E8014">
            <w:pPr>
              <w:rPr>
                <w:rFonts w:hint="eastAsia" w:ascii="宋体" w:hAnsi="宋体" w:eastAsia="宋体" w:cs="宋体"/>
                <w:color w:val="auto"/>
                <w:sz w:val="30"/>
                <w:szCs w:val="30"/>
                <w:highlight w:val="none"/>
              </w:rPr>
            </w:pPr>
          </w:p>
        </w:tc>
        <w:tc>
          <w:tcPr>
            <w:tcW w:w="880" w:type="dxa"/>
            <w:vAlign w:val="top"/>
          </w:tcPr>
          <w:p w14:paraId="06DF4BB7">
            <w:pPr>
              <w:rPr>
                <w:rFonts w:hint="eastAsia" w:ascii="宋体" w:hAnsi="宋体" w:eastAsia="宋体" w:cs="宋体"/>
                <w:color w:val="auto"/>
                <w:sz w:val="30"/>
                <w:szCs w:val="30"/>
                <w:highlight w:val="none"/>
              </w:rPr>
            </w:pPr>
          </w:p>
        </w:tc>
        <w:tc>
          <w:tcPr>
            <w:tcW w:w="1020" w:type="dxa"/>
            <w:vAlign w:val="top"/>
          </w:tcPr>
          <w:p w14:paraId="2886233C">
            <w:pPr>
              <w:rPr>
                <w:rFonts w:hint="eastAsia" w:ascii="宋体" w:hAnsi="宋体" w:eastAsia="宋体" w:cs="宋体"/>
                <w:color w:val="auto"/>
                <w:sz w:val="30"/>
                <w:szCs w:val="30"/>
                <w:highlight w:val="none"/>
              </w:rPr>
            </w:pPr>
          </w:p>
        </w:tc>
        <w:tc>
          <w:tcPr>
            <w:tcW w:w="1480" w:type="dxa"/>
            <w:vAlign w:val="top"/>
          </w:tcPr>
          <w:p w14:paraId="183AEB5D">
            <w:pPr>
              <w:rPr>
                <w:rFonts w:hint="eastAsia" w:ascii="宋体" w:hAnsi="宋体" w:eastAsia="宋体" w:cs="宋体"/>
                <w:color w:val="auto"/>
                <w:sz w:val="30"/>
                <w:szCs w:val="30"/>
                <w:highlight w:val="none"/>
              </w:rPr>
            </w:pPr>
          </w:p>
        </w:tc>
        <w:tc>
          <w:tcPr>
            <w:tcW w:w="1020" w:type="dxa"/>
            <w:vAlign w:val="top"/>
          </w:tcPr>
          <w:p w14:paraId="0437AA9D">
            <w:pPr>
              <w:rPr>
                <w:rFonts w:hint="eastAsia" w:ascii="宋体" w:hAnsi="宋体" w:eastAsia="宋体" w:cs="宋体"/>
                <w:color w:val="auto"/>
                <w:sz w:val="30"/>
                <w:szCs w:val="30"/>
                <w:highlight w:val="none"/>
              </w:rPr>
            </w:pPr>
          </w:p>
        </w:tc>
        <w:tc>
          <w:tcPr>
            <w:tcW w:w="921" w:type="dxa"/>
            <w:vAlign w:val="top"/>
          </w:tcPr>
          <w:p w14:paraId="3398FA3A">
            <w:pPr>
              <w:rPr>
                <w:rFonts w:hint="eastAsia" w:ascii="宋体" w:hAnsi="宋体" w:eastAsia="宋体" w:cs="宋体"/>
                <w:color w:val="auto"/>
                <w:sz w:val="30"/>
                <w:szCs w:val="30"/>
                <w:highlight w:val="none"/>
              </w:rPr>
            </w:pPr>
          </w:p>
        </w:tc>
      </w:tr>
      <w:tr w14:paraId="2064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462C4CC0">
            <w:pPr>
              <w:rPr>
                <w:rFonts w:hint="eastAsia" w:ascii="宋体" w:hAnsi="宋体" w:eastAsia="宋体" w:cs="宋体"/>
                <w:color w:val="auto"/>
                <w:sz w:val="30"/>
                <w:szCs w:val="30"/>
                <w:highlight w:val="none"/>
              </w:rPr>
            </w:pPr>
          </w:p>
        </w:tc>
        <w:tc>
          <w:tcPr>
            <w:tcW w:w="1418" w:type="dxa"/>
            <w:vAlign w:val="top"/>
          </w:tcPr>
          <w:p w14:paraId="08570288">
            <w:pPr>
              <w:rPr>
                <w:rFonts w:hint="eastAsia" w:ascii="宋体" w:hAnsi="宋体" w:eastAsia="宋体" w:cs="宋体"/>
                <w:color w:val="auto"/>
                <w:sz w:val="30"/>
                <w:szCs w:val="30"/>
                <w:highlight w:val="none"/>
              </w:rPr>
            </w:pPr>
          </w:p>
        </w:tc>
        <w:tc>
          <w:tcPr>
            <w:tcW w:w="850" w:type="dxa"/>
            <w:vAlign w:val="top"/>
          </w:tcPr>
          <w:p w14:paraId="3B073168">
            <w:pPr>
              <w:rPr>
                <w:rFonts w:hint="eastAsia" w:ascii="宋体" w:hAnsi="宋体" w:eastAsia="宋体" w:cs="宋体"/>
                <w:color w:val="auto"/>
                <w:sz w:val="30"/>
                <w:szCs w:val="30"/>
                <w:highlight w:val="none"/>
              </w:rPr>
            </w:pPr>
          </w:p>
        </w:tc>
        <w:tc>
          <w:tcPr>
            <w:tcW w:w="1058" w:type="dxa"/>
            <w:vAlign w:val="top"/>
          </w:tcPr>
          <w:p w14:paraId="2EE45244">
            <w:pPr>
              <w:rPr>
                <w:rFonts w:hint="eastAsia" w:ascii="宋体" w:hAnsi="宋体" w:eastAsia="宋体" w:cs="宋体"/>
                <w:color w:val="auto"/>
                <w:sz w:val="30"/>
                <w:szCs w:val="30"/>
                <w:highlight w:val="none"/>
              </w:rPr>
            </w:pPr>
          </w:p>
        </w:tc>
        <w:tc>
          <w:tcPr>
            <w:tcW w:w="880" w:type="dxa"/>
            <w:vAlign w:val="top"/>
          </w:tcPr>
          <w:p w14:paraId="293D639E">
            <w:pPr>
              <w:rPr>
                <w:rFonts w:hint="eastAsia" w:ascii="宋体" w:hAnsi="宋体" w:eastAsia="宋体" w:cs="宋体"/>
                <w:color w:val="auto"/>
                <w:sz w:val="30"/>
                <w:szCs w:val="30"/>
                <w:highlight w:val="none"/>
              </w:rPr>
            </w:pPr>
          </w:p>
        </w:tc>
        <w:tc>
          <w:tcPr>
            <w:tcW w:w="1020" w:type="dxa"/>
            <w:vAlign w:val="top"/>
          </w:tcPr>
          <w:p w14:paraId="17E3AFDD">
            <w:pPr>
              <w:rPr>
                <w:rFonts w:hint="eastAsia" w:ascii="宋体" w:hAnsi="宋体" w:eastAsia="宋体" w:cs="宋体"/>
                <w:color w:val="auto"/>
                <w:sz w:val="30"/>
                <w:szCs w:val="30"/>
                <w:highlight w:val="none"/>
              </w:rPr>
            </w:pPr>
          </w:p>
        </w:tc>
        <w:tc>
          <w:tcPr>
            <w:tcW w:w="1480" w:type="dxa"/>
            <w:vAlign w:val="top"/>
          </w:tcPr>
          <w:p w14:paraId="45966C14">
            <w:pPr>
              <w:rPr>
                <w:rFonts w:hint="eastAsia" w:ascii="宋体" w:hAnsi="宋体" w:eastAsia="宋体" w:cs="宋体"/>
                <w:color w:val="auto"/>
                <w:sz w:val="30"/>
                <w:szCs w:val="30"/>
                <w:highlight w:val="none"/>
              </w:rPr>
            </w:pPr>
          </w:p>
        </w:tc>
        <w:tc>
          <w:tcPr>
            <w:tcW w:w="1020" w:type="dxa"/>
            <w:vAlign w:val="top"/>
          </w:tcPr>
          <w:p w14:paraId="5FABA4E1">
            <w:pPr>
              <w:rPr>
                <w:rFonts w:hint="eastAsia" w:ascii="宋体" w:hAnsi="宋体" w:eastAsia="宋体" w:cs="宋体"/>
                <w:color w:val="auto"/>
                <w:sz w:val="30"/>
                <w:szCs w:val="30"/>
                <w:highlight w:val="none"/>
              </w:rPr>
            </w:pPr>
          </w:p>
        </w:tc>
        <w:tc>
          <w:tcPr>
            <w:tcW w:w="921" w:type="dxa"/>
            <w:vAlign w:val="top"/>
          </w:tcPr>
          <w:p w14:paraId="305790C9">
            <w:pPr>
              <w:rPr>
                <w:rFonts w:hint="eastAsia" w:ascii="宋体" w:hAnsi="宋体" w:eastAsia="宋体" w:cs="宋体"/>
                <w:color w:val="auto"/>
                <w:sz w:val="30"/>
                <w:szCs w:val="30"/>
                <w:highlight w:val="none"/>
              </w:rPr>
            </w:pPr>
          </w:p>
        </w:tc>
      </w:tr>
      <w:tr w14:paraId="7F0D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0BF12C86">
            <w:pPr>
              <w:rPr>
                <w:rFonts w:hint="eastAsia" w:ascii="宋体" w:hAnsi="宋体" w:eastAsia="宋体" w:cs="宋体"/>
                <w:color w:val="auto"/>
                <w:sz w:val="30"/>
                <w:szCs w:val="30"/>
                <w:highlight w:val="none"/>
              </w:rPr>
            </w:pPr>
          </w:p>
        </w:tc>
        <w:tc>
          <w:tcPr>
            <w:tcW w:w="1418" w:type="dxa"/>
            <w:vAlign w:val="top"/>
          </w:tcPr>
          <w:p w14:paraId="46779E7A">
            <w:pPr>
              <w:rPr>
                <w:rFonts w:hint="eastAsia" w:ascii="宋体" w:hAnsi="宋体" w:eastAsia="宋体" w:cs="宋体"/>
                <w:color w:val="auto"/>
                <w:sz w:val="30"/>
                <w:szCs w:val="30"/>
                <w:highlight w:val="none"/>
              </w:rPr>
            </w:pPr>
          </w:p>
        </w:tc>
        <w:tc>
          <w:tcPr>
            <w:tcW w:w="850" w:type="dxa"/>
            <w:vAlign w:val="top"/>
          </w:tcPr>
          <w:p w14:paraId="66431BB6">
            <w:pPr>
              <w:rPr>
                <w:rFonts w:hint="eastAsia" w:ascii="宋体" w:hAnsi="宋体" w:eastAsia="宋体" w:cs="宋体"/>
                <w:color w:val="auto"/>
                <w:sz w:val="30"/>
                <w:szCs w:val="30"/>
                <w:highlight w:val="none"/>
              </w:rPr>
            </w:pPr>
          </w:p>
        </w:tc>
        <w:tc>
          <w:tcPr>
            <w:tcW w:w="1058" w:type="dxa"/>
            <w:vAlign w:val="top"/>
          </w:tcPr>
          <w:p w14:paraId="018546E6">
            <w:pPr>
              <w:rPr>
                <w:rFonts w:hint="eastAsia" w:ascii="宋体" w:hAnsi="宋体" w:eastAsia="宋体" w:cs="宋体"/>
                <w:color w:val="auto"/>
                <w:sz w:val="30"/>
                <w:szCs w:val="30"/>
                <w:highlight w:val="none"/>
              </w:rPr>
            </w:pPr>
          </w:p>
        </w:tc>
        <w:tc>
          <w:tcPr>
            <w:tcW w:w="880" w:type="dxa"/>
            <w:vAlign w:val="top"/>
          </w:tcPr>
          <w:p w14:paraId="45B302A4">
            <w:pPr>
              <w:rPr>
                <w:rFonts w:hint="eastAsia" w:ascii="宋体" w:hAnsi="宋体" w:eastAsia="宋体" w:cs="宋体"/>
                <w:color w:val="auto"/>
                <w:sz w:val="30"/>
                <w:szCs w:val="30"/>
                <w:highlight w:val="none"/>
              </w:rPr>
            </w:pPr>
          </w:p>
        </w:tc>
        <w:tc>
          <w:tcPr>
            <w:tcW w:w="1020" w:type="dxa"/>
            <w:vAlign w:val="top"/>
          </w:tcPr>
          <w:p w14:paraId="6C7B9E76">
            <w:pPr>
              <w:rPr>
                <w:rFonts w:hint="eastAsia" w:ascii="宋体" w:hAnsi="宋体" w:eastAsia="宋体" w:cs="宋体"/>
                <w:color w:val="auto"/>
                <w:sz w:val="30"/>
                <w:szCs w:val="30"/>
                <w:highlight w:val="none"/>
              </w:rPr>
            </w:pPr>
          </w:p>
        </w:tc>
        <w:tc>
          <w:tcPr>
            <w:tcW w:w="1480" w:type="dxa"/>
            <w:vAlign w:val="top"/>
          </w:tcPr>
          <w:p w14:paraId="2D780E90">
            <w:pPr>
              <w:rPr>
                <w:rFonts w:hint="eastAsia" w:ascii="宋体" w:hAnsi="宋体" w:eastAsia="宋体" w:cs="宋体"/>
                <w:color w:val="auto"/>
                <w:sz w:val="30"/>
                <w:szCs w:val="30"/>
                <w:highlight w:val="none"/>
              </w:rPr>
            </w:pPr>
          </w:p>
        </w:tc>
        <w:tc>
          <w:tcPr>
            <w:tcW w:w="1020" w:type="dxa"/>
            <w:vAlign w:val="top"/>
          </w:tcPr>
          <w:p w14:paraId="34ACCC7B">
            <w:pPr>
              <w:rPr>
                <w:rFonts w:hint="eastAsia" w:ascii="宋体" w:hAnsi="宋体" w:eastAsia="宋体" w:cs="宋体"/>
                <w:color w:val="auto"/>
                <w:sz w:val="30"/>
                <w:szCs w:val="30"/>
                <w:highlight w:val="none"/>
              </w:rPr>
            </w:pPr>
          </w:p>
        </w:tc>
        <w:tc>
          <w:tcPr>
            <w:tcW w:w="921" w:type="dxa"/>
            <w:vAlign w:val="top"/>
          </w:tcPr>
          <w:p w14:paraId="3B8A7C6F">
            <w:pPr>
              <w:rPr>
                <w:rFonts w:hint="eastAsia" w:ascii="宋体" w:hAnsi="宋体" w:eastAsia="宋体" w:cs="宋体"/>
                <w:color w:val="auto"/>
                <w:sz w:val="30"/>
                <w:szCs w:val="30"/>
                <w:highlight w:val="none"/>
              </w:rPr>
            </w:pPr>
          </w:p>
        </w:tc>
      </w:tr>
      <w:tr w14:paraId="7F61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72F7892F">
            <w:pPr>
              <w:rPr>
                <w:rFonts w:hint="eastAsia" w:ascii="宋体" w:hAnsi="宋体" w:eastAsia="宋体" w:cs="宋体"/>
                <w:color w:val="auto"/>
                <w:sz w:val="30"/>
                <w:szCs w:val="30"/>
                <w:highlight w:val="none"/>
              </w:rPr>
            </w:pPr>
          </w:p>
        </w:tc>
        <w:tc>
          <w:tcPr>
            <w:tcW w:w="1418" w:type="dxa"/>
            <w:vAlign w:val="top"/>
          </w:tcPr>
          <w:p w14:paraId="6648FDEF">
            <w:pPr>
              <w:rPr>
                <w:rFonts w:hint="eastAsia" w:ascii="宋体" w:hAnsi="宋体" w:eastAsia="宋体" w:cs="宋体"/>
                <w:color w:val="auto"/>
                <w:sz w:val="30"/>
                <w:szCs w:val="30"/>
                <w:highlight w:val="none"/>
              </w:rPr>
            </w:pPr>
          </w:p>
        </w:tc>
        <w:tc>
          <w:tcPr>
            <w:tcW w:w="850" w:type="dxa"/>
            <w:vAlign w:val="top"/>
          </w:tcPr>
          <w:p w14:paraId="07B04B68">
            <w:pPr>
              <w:rPr>
                <w:rFonts w:hint="eastAsia" w:ascii="宋体" w:hAnsi="宋体" w:eastAsia="宋体" w:cs="宋体"/>
                <w:color w:val="auto"/>
                <w:sz w:val="30"/>
                <w:szCs w:val="30"/>
                <w:highlight w:val="none"/>
              </w:rPr>
            </w:pPr>
          </w:p>
        </w:tc>
        <w:tc>
          <w:tcPr>
            <w:tcW w:w="1058" w:type="dxa"/>
            <w:vAlign w:val="top"/>
          </w:tcPr>
          <w:p w14:paraId="766008E7">
            <w:pPr>
              <w:rPr>
                <w:rFonts w:hint="eastAsia" w:ascii="宋体" w:hAnsi="宋体" w:eastAsia="宋体" w:cs="宋体"/>
                <w:color w:val="auto"/>
                <w:sz w:val="30"/>
                <w:szCs w:val="30"/>
                <w:highlight w:val="none"/>
              </w:rPr>
            </w:pPr>
          </w:p>
        </w:tc>
        <w:tc>
          <w:tcPr>
            <w:tcW w:w="880" w:type="dxa"/>
            <w:vAlign w:val="top"/>
          </w:tcPr>
          <w:p w14:paraId="04D6F2B4">
            <w:pPr>
              <w:rPr>
                <w:rFonts w:hint="eastAsia" w:ascii="宋体" w:hAnsi="宋体" w:eastAsia="宋体" w:cs="宋体"/>
                <w:color w:val="auto"/>
                <w:sz w:val="30"/>
                <w:szCs w:val="30"/>
                <w:highlight w:val="none"/>
              </w:rPr>
            </w:pPr>
          </w:p>
        </w:tc>
        <w:tc>
          <w:tcPr>
            <w:tcW w:w="1020" w:type="dxa"/>
            <w:vAlign w:val="top"/>
          </w:tcPr>
          <w:p w14:paraId="4DAE36F7">
            <w:pPr>
              <w:rPr>
                <w:rFonts w:hint="eastAsia" w:ascii="宋体" w:hAnsi="宋体" w:eastAsia="宋体" w:cs="宋体"/>
                <w:color w:val="auto"/>
                <w:sz w:val="30"/>
                <w:szCs w:val="30"/>
                <w:highlight w:val="none"/>
              </w:rPr>
            </w:pPr>
          </w:p>
        </w:tc>
        <w:tc>
          <w:tcPr>
            <w:tcW w:w="1480" w:type="dxa"/>
            <w:vAlign w:val="top"/>
          </w:tcPr>
          <w:p w14:paraId="4B7203A2">
            <w:pPr>
              <w:rPr>
                <w:rFonts w:hint="eastAsia" w:ascii="宋体" w:hAnsi="宋体" w:eastAsia="宋体" w:cs="宋体"/>
                <w:color w:val="auto"/>
                <w:sz w:val="30"/>
                <w:szCs w:val="30"/>
                <w:highlight w:val="none"/>
              </w:rPr>
            </w:pPr>
          </w:p>
        </w:tc>
        <w:tc>
          <w:tcPr>
            <w:tcW w:w="1020" w:type="dxa"/>
            <w:vAlign w:val="top"/>
          </w:tcPr>
          <w:p w14:paraId="25C961E4">
            <w:pPr>
              <w:rPr>
                <w:rFonts w:hint="eastAsia" w:ascii="宋体" w:hAnsi="宋体" w:eastAsia="宋体" w:cs="宋体"/>
                <w:color w:val="auto"/>
                <w:sz w:val="30"/>
                <w:szCs w:val="30"/>
                <w:highlight w:val="none"/>
              </w:rPr>
            </w:pPr>
          </w:p>
        </w:tc>
        <w:tc>
          <w:tcPr>
            <w:tcW w:w="921" w:type="dxa"/>
            <w:vAlign w:val="top"/>
          </w:tcPr>
          <w:p w14:paraId="1FFDE3DF">
            <w:pPr>
              <w:rPr>
                <w:rFonts w:hint="eastAsia" w:ascii="宋体" w:hAnsi="宋体" w:eastAsia="宋体" w:cs="宋体"/>
                <w:color w:val="auto"/>
                <w:sz w:val="30"/>
                <w:szCs w:val="30"/>
                <w:highlight w:val="none"/>
              </w:rPr>
            </w:pPr>
          </w:p>
        </w:tc>
      </w:tr>
      <w:tr w14:paraId="34F8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76C8876E">
            <w:pPr>
              <w:rPr>
                <w:rFonts w:hint="eastAsia" w:ascii="宋体" w:hAnsi="宋体" w:eastAsia="宋体" w:cs="宋体"/>
                <w:color w:val="auto"/>
                <w:sz w:val="30"/>
                <w:szCs w:val="30"/>
                <w:highlight w:val="none"/>
              </w:rPr>
            </w:pPr>
          </w:p>
        </w:tc>
        <w:tc>
          <w:tcPr>
            <w:tcW w:w="1418" w:type="dxa"/>
            <w:vAlign w:val="top"/>
          </w:tcPr>
          <w:p w14:paraId="4335FB63">
            <w:pPr>
              <w:rPr>
                <w:rFonts w:hint="eastAsia" w:ascii="宋体" w:hAnsi="宋体" w:eastAsia="宋体" w:cs="宋体"/>
                <w:color w:val="auto"/>
                <w:sz w:val="30"/>
                <w:szCs w:val="30"/>
                <w:highlight w:val="none"/>
              </w:rPr>
            </w:pPr>
          </w:p>
        </w:tc>
        <w:tc>
          <w:tcPr>
            <w:tcW w:w="850" w:type="dxa"/>
            <w:vAlign w:val="top"/>
          </w:tcPr>
          <w:p w14:paraId="38EB5D49">
            <w:pPr>
              <w:rPr>
                <w:rFonts w:hint="eastAsia" w:ascii="宋体" w:hAnsi="宋体" w:eastAsia="宋体" w:cs="宋体"/>
                <w:color w:val="auto"/>
                <w:sz w:val="30"/>
                <w:szCs w:val="30"/>
                <w:highlight w:val="none"/>
              </w:rPr>
            </w:pPr>
          </w:p>
        </w:tc>
        <w:tc>
          <w:tcPr>
            <w:tcW w:w="1058" w:type="dxa"/>
            <w:vAlign w:val="top"/>
          </w:tcPr>
          <w:p w14:paraId="3ECD1461">
            <w:pPr>
              <w:rPr>
                <w:rFonts w:hint="eastAsia" w:ascii="宋体" w:hAnsi="宋体" w:eastAsia="宋体" w:cs="宋体"/>
                <w:color w:val="auto"/>
                <w:sz w:val="30"/>
                <w:szCs w:val="30"/>
                <w:highlight w:val="none"/>
              </w:rPr>
            </w:pPr>
          </w:p>
        </w:tc>
        <w:tc>
          <w:tcPr>
            <w:tcW w:w="880" w:type="dxa"/>
            <w:vAlign w:val="top"/>
          </w:tcPr>
          <w:p w14:paraId="7C4B6498">
            <w:pPr>
              <w:rPr>
                <w:rFonts w:hint="eastAsia" w:ascii="宋体" w:hAnsi="宋体" w:eastAsia="宋体" w:cs="宋体"/>
                <w:color w:val="auto"/>
                <w:sz w:val="30"/>
                <w:szCs w:val="30"/>
                <w:highlight w:val="none"/>
              </w:rPr>
            </w:pPr>
          </w:p>
        </w:tc>
        <w:tc>
          <w:tcPr>
            <w:tcW w:w="1020" w:type="dxa"/>
            <w:vAlign w:val="top"/>
          </w:tcPr>
          <w:p w14:paraId="0AC1B9E9">
            <w:pPr>
              <w:rPr>
                <w:rFonts w:hint="eastAsia" w:ascii="宋体" w:hAnsi="宋体" w:eastAsia="宋体" w:cs="宋体"/>
                <w:color w:val="auto"/>
                <w:sz w:val="30"/>
                <w:szCs w:val="30"/>
                <w:highlight w:val="none"/>
              </w:rPr>
            </w:pPr>
          </w:p>
        </w:tc>
        <w:tc>
          <w:tcPr>
            <w:tcW w:w="1480" w:type="dxa"/>
            <w:vAlign w:val="top"/>
          </w:tcPr>
          <w:p w14:paraId="5B6A3F8F">
            <w:pPr>
              <w:rPr>
                <w:rFonts w:hint="eastAsia" w:ascii="宋体" w:hAnsi="宋体" w:eastAsia="宋体" w:cs="宋体"/>
                <w:color w:val="auto"/>
                <w:sz w:val="30"/>
                <w:szCs w:val="30"/>
                <w:highlight w:val="none"/>
              </w:rPr>
            </w:pPr>
          </w:p>
        </w:tc>
        <w:tc>
          <w:tcPr>
            <w:tcW w:w="1020" w:type="dxa"/>
            <w:vAlign w:val="top"/>
          </w:tcPr>
          <w:p w14:paraId="68032B7B">
            <w:pPr>
              <w:rPr>
                <w:rFonts w:hint="eastAsia" w:ascii="宋体" w:hAnsi="宋体" w:eastAsia="宋体" w:cs="宋体"/>
                <w:color w:val="auto"/>
                <w:sz w:val="30"/>
                <w:szCs w:val="30"/>
                <w:highlight w:val="none"/>
              </w:rPr>
            </w:pPr>
          </w:p>
        </w:tc>
        <w:tc>
          <w:tcPr>
            <w:tcW w:w="921" w:type="dxa"/>
            <w:vAlign w:val="top"/>
          </w:tcPr>
          <w:p w14:paraId="44A11C0A">
            <w:pPr>
              <w:rPr>
                <w:rFonts w:hint="eastAsia" w:ascii="宋体" w:hAnsi="宋体" w:eastAsia="宋体" w:cs="宋体"/>
                <w:color w:val="auto"/>
                <w:sz w:val="30"/>
                <w:szCs w:val="30"/>
                <w:highlight w:val="none"/>
              </w:rPr>
            </w:pPr>
          </w:p>
        </w:tc>
      </w:tr>
    </w:tbl>
    <w:p w14:paraId="3A90AF70">
      <w:pPr>
        <w:spacing w:line="440" w:lineRule="exact"/>
        <w:rPr>
          <w:rFonts w:hint="eastAsia" w:ascii="宋体" w:hAnsi="宋体" w:eastAsia="宋体" w:cs="宋体"/>
          <w:color w:val="auto"/>
          <w:sz w:val="30"/>
          <w:szCs w:val="30"/>
          <w:highlight w:val="none"/>
        </w:rPr>
        <w:sectPr>
          <w:pgSz w:w="11907" w:h="16840"/>
          <w:pgMar w:top="1440" w:right="1440" w:bottom="1440" w:left="1797" w:header="851" w:footer="851" w:gutter="0"/>
          <w:pgNumType w:fmt="decimal"/>
          <w:cols w:space="720" w:num="1"/>
          <w:docGrid w:linePitch="312" w:charSpace="0"/>
        </w:sectPr>
      </w:pPr>
    </w:p>
    <w:p w14:paraId="1D66EE39">
      <w:pPr>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附件7：</w:t>
      </w:r>
    </w:p>
    <w:p w14:paraId="1CFA3FA9">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预付款担保</w:t>
      </w:r>
    </w:p>
    <w:p w14:paraId="5D44B3C5">
      <w:pPr>
        <w:spacing w:line="360" w:lineRule="auto"/>
        <w:rPr>
          <w:rFonts w:hint="eastAsia" w:ascii="宋体" w:hAnsi="宋体" w:eastAsia="宋体" w:cs="宋体"/>
          <w:color w:val="auto"/>
          <w:highlight w:val="none"/>
          <w:u w:val="single"/>
        </w:rPr>
      </w:pPr>
    </w:p>
    <w:p w14:paraId="649467A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（发包人名称）：</w:t>
      </w:r>
    </w:p>
    <w:p w14:paraId="253276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（承包人名称）（以下称“承包人”）与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（发包人名称）（以下简称“发包人”）于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日签订的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12E91C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 担保金额人民币（大写）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1F73B1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担保有效期自预付款支付给承包人起生效，至你方签发的进度款支付证书说明已完全扣清止。</w:t>
      </w:r>
    </w:p>
    <w:p w14:paraId="516CA0A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712682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 你方和承包人按合同约定变更合同时，我方承担本保函规定的义务不变。</w:t>
      </w:r>
    </w:p>
    <w:p w14:paraId="5F17ED1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 因本保函发生的纠纷，可由双方协商解决，协商不成的，任何一方均可提请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仲裁委员会仲裁。</w:t>
      </w:r>
    </w:p>
    <w:p w14:paraId="6C49BD2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 本保函自我方法定代表人（或其授权代理人）签字并加盖公章之日起生效。</w:t>
      </w:r>
    </w:p>
    <w:p w14:paraId="559BC536">
      <w:pPr>
        <w:spacing w:line="360" w:lineRule="auto"/>
        <w:rPr>
          <w:rFonts w:hint="eastAsia" w:ascii="宋体" w:hAnsi="宋体" w:eastAsia="宋体" w:cs="宋体"/>
          <w:color w:val="auto"/>
          <w:highlight w:val="none"/>
        </w:rPr>
      </w:pPr>
    </w:p>
    <w:p w14:paraId="11C53D3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担保人：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14:paraId="5CA921D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p>
    <w:p w14:paraId="462C2F4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p>
    <w:p w14:paraId="1CD36577">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3C7C46C3">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w:t>
      </w:r>
    </w:p>
    <w:p w14:paraId="51A0A49B">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p>
    <w:p w14:paraId="1F1C9B9F">
      <w:pPr>
        <w:spacing w:line="360" w:lineRule="auto"/>
        <w:rPr>
          <w:rFonts w:hint="eastAsia" w:ascii="宋体" w:hAnsi="宋体" w:eastAsia="宋体" w:cs="宋体"/>
          <w:color w:val="auto"/>
          <w:highlight w:val="none"/>
          <w:u w:val="single"/>
        </w:rPr>
      </w:pPr>
    </w:p>
    <w:p w14:paraId="7DE8255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1342AE67">
      <w:pPr>
        <w:spacing w:line="480" w:lineRule="auto"/>
        <w:rPr>
          <w:rFonts w:hint="eastAsia" w:ascii="宋体" w:hAnsi="宋体" w:eastAsia="宋体" w:cs="宋体"/>
          <w:color w:val="auto"/>
          <w:highlight w:val="none"/>
        </w:rPr>
      </w:pPr>
    </w:p>
    <w:p w14:paraId="719BDAC5">
      <w:pPr>
        <w:spacing w:line="480" w:lineRule="auto"/>
        <w:rPr>
          <w:rFonts w:hint="eastAsia" w:ascii="宋体" w:hAnsi="宋体" w:eastAsia="宋体" w:cs="宋体"/>
          <w:color w:val="auto"/>
          <w:highlight w:val="none"/>
        </w:rPr>
        <w:sectPr>
          <w:pgSz w:w="11907" w:h="16840"/>
          <w:pgMar w:top="1440" w:right="1440" w:bottom="1440" w:left="1797" w:header="851" w:footer="851" w:gutter="0"/>
          <w:pgNumType w:fmt="decimal"/>
          <w:cols w:space="720" w:num="1"/>
          <w:docGrid w:linePitch="312" w:charSpace="0"/>
        </w:sectPr>
      </w:pPr>
    </w:p>
    <w:p w14:paraId="3B0A1369">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w:t>
      </w:r>
      <w:bookmarkStart w:id="1334" w:name="_Toc296891054"/>
      <w:bookmarkStart w:id="1335" w:name="_Toc296347225"/>
      <w:bookmarkStart w:id="1336" w:name="_Toc296944565"/>
      <w:bookmarkStart w:id="1337" w:name="_Toc296503226"/>
      <w:bookmarkStart w:id="1338" w:name="_Toc267261693"/>
      <w:bookmarkStart w:id="1339" w:name="_Toc296346727"/>
      <w:bookmarkStart w:id="1340" w:name="_Toc296891266"/>
      <w:r>
        <w:rPr>
          <w:rFonts w:hint="eastAsia" w:ascii="宋体" w:hAnsi="宋体" w:eastAsia="宋体" w:cs="宋体"/>
          <w:color w:val="auto"/>
          <w:sz w:val="30"/>
          <w:szCs w:val="30"/>
          <w:highlight w:val="none"/>
        </w:rPr>
        <w:t>件8：</w:t>
      </w:r>
      <w:bookmarkEnd w:id="1334"/>
      <w:bookmarkEnd w:id="1335"/>
      <w:bookmarkEnd w:id="1336"/>
      <w:bookmarkEnd w:id="1337"/>
      <w:bookmarkEnd w:id="1338"/>
      <w:bookmarkEnd w:id="1339"/>
      <w:bookmarkEnd w:id="1340"/>
    </w:p>
    <w:p w14:paraId="52590427">
      <w:pPr>
        <w:spacing w:before="120" w:beforeLines="50" w:after="120" w:afterLines="50" w:line="44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工程质量保修书（房屋建筑工程）</w:t>
      </w:r>
    </w:p>
    <w:p w14:paraId="60E2F63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DE031A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86FB3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（工程全称）签订工程质量保修书。</w:t>
      </w:r>
    </w:p>
    <w:p w14:paraId="5624B4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一、工程质量保修范围和内容</w:t>
      </w:r>
    </w:p>
    <w:p w14:paraId="7ED903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14:paraId="709FC541">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8BDD83A">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A5F5F48">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二、质量保修期</w:t>
      </w:r>
    </w:p>
    <w:p w14:paraId="747E9E07">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14:paraId="405C8912">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1．地基基础工程和主体结构工程为设计文件规定的工程合理使用年限；</w:t>
      </w:r>
    </w:p>
    <w:p w14:paraId="3BD16B5B">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2．屋面防水工程、有防水要求的卫生间、房间和外墙面的防渗为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14:paraId="0EED8131">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3．装修工程为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14:paraId="36B082CA">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4．电气管线、给排水管道、设备安装工程为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14:paraId="0B94CA11">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5．供热与供冷系统为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个采暖期、供冷期；</w:t>
      </w:r>
    </w:p>
    <w:p w14:paraId="0D7A5A8A">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6．住宅小区内的给排水设施、道路等配套工程为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14:paraId="3AA9089E">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7．其他项目保修期限约定如下：</w:t>
      </w:r>
    </w:p>
    <w:p w14:paraId="3F554B7A">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DAEDC49">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w:t>
      </w:r>
    </w:p>
    <w:p w14:paraId="2DDFCF26">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三、缺陷责任期</w:t>
      </w:r>
    </w:p>
    <w:p w14:paraId="1318D650">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12 </w:t>
      </w:r>
      <w:r>
        <w:rPr>
          <w:rFonts w:hint="eastAsia" w:ascii="宋体" w:hAnsi="宋体" w:eastAsia="宋体" w:cs="宋体"/>
          <w:color w:val="auto"/>
          <w:szCs w:val="21"/>
          <w:highlight w:val="none"/>
        </w:rPr>
        <w:t>个月（最长不超过24个月），缺陷责任期自工程竣工验收合格之日起计算。单位工程先于全部工程进行验收，单位工程缺陷责任期自单位工程验收合格之日起算。</w:t>
      </w:r>
    </w:p>
    <w:p w14:paraId="317F3894">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缺陷责任期终止后，发包人应退还剩余的质量保证金。</w:t>
      </w:r>
    </w:p>
    <w:p w14:paraId="2086F07B">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四、质量保修责任</w:t>
      </w:r>
    </w:p>
    <w:p w14:paraId="6E82A78E">
      <w:pPr>
        <w:spacing w:line="36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天内派人保修。承包人不在约定期限内派人保修的，发包人可以委托他人修理，修理费用从质量保修金内扣除。</w:t>
      </w:r>
    </w:p>
    <w:p w14:paraId="65A0AA64">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2．发生紧急事故需抢修的，承包人在接到事故通知后，应当立即到达事故现场抢修。</w:t>
      </w:r>
    </w:p>
    <w:p w14:paraId="6D314680">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5C43D53">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14:paraId="5AE22C36">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五、保修费用</w:t>
      </w:r>
    </w:p>
    <w:p w14:paraId="062D994C">
      <w:pPr>
        <w:tabs>
          <w:tab w:val="left" w:pos="7380"/>
        </w:tabs>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14:paraId="7C9074C8">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六、双方约定的其他工程质量保修事项： </w:t>
      </w:r>
    </w:p>
    <w:p w14:paraId="141700D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81F7B0E">
      <w:pPr>
        <w:spacing w:line="360" w:lineRule="auto"/>
        <w:ind w:firstLine="399" w:firstLineChars="19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14:paraId="2D8AB94A">
      <w:pPr>
        <w:spacing w:line="360" w:lineRule="auto"/>
        <w:ind w:firstLine="420"/>
        <w:rPr>
          <w:rFonts w:hint="eastAsia" w:ascii="宋体" w:hAnsi="宋体" w:eastAsia="宋体" w:cs="宋体"/>
          <w:color w:val="auto"/>
          <w:szCs w:val="21"/>
          <w:highlight w:val="none"/>
        </w:rPr>
      </w:pPr>
    </w:p>
    <w:p w14:paraId="24C81F7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w:t>
      </w:r>
      <w:r>
        <w:rPr>
          <w:rFonts w:hint="eastAsia" w:ascii="宋体" w:hAnsi="宋体" w:eastAsia="宋体" w:cs="宋体"/>
          <w:color w:val="auto"/>
          <w:szCs w:val="21"/>
          <w:highlight w:val="none"/>
          <w:u w:val="single"/>
        </w:rPr>
        <w:t xml:space="preserve">         </w:t>
      </w:r>
      <w:r>
        <w:rPr>
          <w:rFonts w:hint="eastAsia" w:ascii="宋体" w:hAnsi="宋体" w:eastAsia="宋体" w:cs="宋体"/>
          <w:color w:val="auto"/>
          <w:szCs w:val="21"/>
          <w:highlight w:val="none"/>
        </w:rPr>
        <w:t xml:space="preserve">             承包人（公章）：</w:t>
      </w:r>
      <w:r>
        <w:rPr>
          <w:rFonts w:hint="eastAsia" w:ascii="宋体" w:hAnsi="宋体" w:eastAsia="宋体" w:cs="宋体"/>
          <w:color w:val="auto"/>
          <w:szCs w:val="21"/>
          <w:highlight w:val="none"/>
          <w:u w:val="single"/>
        </w:rPr>
        <w:t>          </w:t>
      </w:r>
    </w:p>
    <w:p w14:paraId="1FCB422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地  址：</w:t>
      </w:r>
      <w:r>
        <w:rPr>
          <w:rFonts w:hint="eastAsia" w:ascii="宋体" w:hAnsi="宋体" w:eastAsia="宋体" w:cs="宋体"/>
          <w:color w:val="auto"/>
          <w:szCs w:val="21"/>
          <w:highlight w:val="none"/>
          <w:u w:val="single"/>
        </w:rPr>
        <w:t>      </w:t>
      </w:r>
    </w:p>
    <w:p w14:paraId="08AF23F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法定代表人（签字）：</w:t>
      </w:r>
      <w:r>
        <w:rPr>
          <w:rFonts w:hint="eastAsia" w:ascii="宋体" w:hAnsi="宋体" w:eastAsia="宋体" w:cs="宋体"/>
          <w:color w:val="auto"/>
          <w:szCs w:val="21"/>
          <w:highlight w:val="none"/>
          <w:u w:val="single"/>
        </w:rPr>
        <w:t>     </w:t>
      </w:r>
    </w:p>
    <w:p w14:paraId="7834776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委托代理人（签字）：</w:t>
      </w:r>
      <w:r>
        <w:rPr>
          <w:rFonts w:hint="eastAsia" w:ascii="宋体" w:hAnsi="宋体" w:eastAsia="宋体" w:cs="宋体"/>
          <w:color w:val="auto"/>
          <w:szCs w:val="21"/>
          <w:highlight w:val="none"/>
          <w:u w:val="single"/>
        </w:rPr>
        <w:t>     </w:t>
      </w:r>
    </w:p>
    <w:p w14:paraId="1F19D93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rPr>
        <w:t>      </w:t>
      </w:r>
    </w:p>
    <w:p w14:paraId="316CCAA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color w:val="auto"/>
          <w:szCs w:val="21"/>
          <w:highlight w:val="none"/>
          <w:u w:val="single"/>
        </w:rPr>
        <w:t>    </w:t>
      </w:r>
    </w:p>
    <w:p w14:paraId="7363B7A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w:t>
      </w:r>
    </w:p>
    <w:p w14:paraId="4A9E9E59">
      <w:pPr>
        <w:tabs>
          <w:tab w:val="left" w:pos="2880"/>
          <w:tab w:val="left" w:pos="3060"/>
          <w:tab w:val="left" w:pos="450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账  号：</w:t>
      </w:r>
      <w:r>
        <w:rPr>
          <w:rFonts w:hint="eastAsia" w:ascii="宋体" w:hAnsi="宋体" w:eastAsia="宋体" w:cs="宋体"/>
          <w:color w:val="auto"/>
          <w:szCs w:val="21"/>
          <w:highlight w:val="none"/>
          <w:u w:val="single"/>
        </w:rPr>
        <w:t>    </w:t>
      </w:r>
    </w:p>
    <w:p w14:paraId="75240FAF">
      <w:pPr>
        <w:rPr>
          <w:rFonts w:hint="eastAsia" w:ascii="宋体" w:hAnsi="宋体" w:eastAsia="宋体" w:cs="宋体"/>
          <w:color w:val="auto"/>
          <w:kern w:val="2"/>
          <w:sz w:val="20"/>
          <w:szCs w:val="24"/>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 </w:t>
      </w:r>
    </w:p>
    <w:p w14:paraId="064A07C9">
      <w:pPr>
        <w:rPr>
          <w:rFonts w:hint="eastAsia" w:ascii="宋体" w:hAnsi="宋体" w:eastAsia="宋体" w:cs="宋体"/>
          <w:color w:val="auto"/>
          <w:kern w:val="2"/>
          <w:szCs w:val="24"/>
          <w:highlight w:val="none"/>
        </w:rPr>
      </w:pPr>
    </w:p>
    <w:p w14:paraId="30632A98">
      <w:pPr>
        <w:spacing w:line="320" w:lineRule="exact"/>
        <w:rPr>
          <w:rFonts w:hint="eastAsia" w:ascii="宋体" w:hAnsi="宋体" w:eastAsia="宋体" w:cs="宋体"/>
          <w:color w:val="auto"/>
          <w:kern w:val="2"/>
          <w:highlight w:val="none"/>
          <w:u w:val="single"/>
        </w:rPr>
      </w:pPr>
    </w:p>
    <w:p w14:paraId="05FD2496">
      <w:pPr>
        <w:spacing w:line="320" w:lineRule="exact"/>
        <w:ind w:firstLine="400" w:firstLineChars="200"/>
        <w:rPr>
          <w:rFonts w:hint="eastAsia" w:ascii="宋体" w:hAnsi="宋体" w:eastAsia="宋体" w:cs="宋体"/>
          <w:color w:val="auto"/>
          <w:kern w:val="2"/>
          <w:sz w:val="20"/>
          <w:highlight w:val="none"/>
          <w:u w:val="single"/>
        </w:rPr>
      </w:pPr>
    </w:p>
    <w:p w14:paraId="49D1E0E0">
      <w:pPr>
        <w:spacing w:before="120" w:beforeLines="50" w:after="120" w:afterLines="50" w:line="44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kern w:val="2"/>
          <w:szCs w:val="24"/>
          <w:highlight w:val="none"/>
        </w:rPr>
        <w:br w:type="page"/>
      </w:r>
      <w:bookmarkStart w:id="1341" w:name="_Toc105753215"/>
      <w:r>
        <w:rPr>
          <w:rFonts w:hint="eastAsia" w:ascii="宋体" w:hAnsi="宋体" w:eastAsia="宋体" w:cs="宋体"/>
          <w:color w:val="auto"/>
          <w:sz w:val="32"/>
          <w:szCs w:val="32"/>
          <w:highlight w:val="none"/>
        </w:rPr>
        <w:t>工程质量保修书（市政公用工程）</w:t>
      </w:r>
    </w:p>
    <w:p w14:paraId="6391B9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发包人（全称）：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1B2F18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承包人（全称）：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1CC43B5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417730E">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发包人和承包人根据《中华人民共和国建筑法》和《建设工程质量管理条例》，经协商一致就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（工程全称）签订工程质量保修书。</w:t>
      </w:r>
    </w:p>
    <w:p w14:paraId="16B8483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一、工程质量保修范围和内容</w:t>
      </w:r>
    </w:p>
    <w:p w14:paraId="385E5A5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承包人在质量保修期内，按照有关法律规定和合同约定，承担工程质量保修责任。</w:t>
      </w:r>
    </w:p>
    <w:p w14:paraId="246AA6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质量保修范围包括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，以及双方约定的其他项目。具体保修的内容，双方约定如下：</w:t>
      </w:r>
    </w:p>
    <w:p w14:paraId="5A12A98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B5CC64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二、质量保修期</w:t>
      </w:r>
    </w:p>
    <w:p w14:paraId="4D9F78D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根据《建设工程质量管理条例》及有关规定，工程的质量保修期如下：</w:t>
      </w:r>
    </w:p>
    <w:p w14:paraId="2001BA96">
      <w:pPr>
        <w:spacing w:line="360" w:lineRule="auto"/>
        <w:ind w:firstLine="426"/>
        <w:rPr>
          <w:rFonts w:hint="eastAsia" w:ascii="宋体" w:hAnsi="宋体" w:eastAsia="宋体" w:cs="宋体"/>
          <w:color w:val="auto"/>
          <w:highlight w:val="none"/>
        </w:rPr>
      </w:pPr>
      <w:r>
        <w:rPr>
          <w:rFonts w:hint="eastAsia" w:ascii="宋体" w:hAnsi="宋体" w:eastAsia="宋体" w:cs="宋体"/>
          <w:color w:val="auto"/>
          <w:highlight w:val="none"/>
        </w:rPr>
        <w:t>1．桥梁工程为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年（建议桥梁隧道主体结构工程为设计文件规定的合理使用年限）；</w:t>
      </w:r>
    </w:p>
    <w:p w14:paraId="15B497F7">
      <w:pPr>
        <w:spacing w:line="360" w:lineRule="auto"/>
        <w:ind w:firstLine="426"/>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rPr>
        <w:t>．道路工程为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年（建议路基、路面、桥面为</w:t>
      </w:r>
      <w:r>
        <w:rPr>
          <w:rFonts w:hint="eastAsia" w:ascii="宋体" w:hAnsi="宋体" w:eastAsia="宋体" w:cs="宋体"/>
          <w:color w:val="auto"/>
          <w:highlight w:val="none"/>
        </w:rPr>
        <w:t>2</w:t>
      </w:r>
      <w:r>
        <w:rPr>
          <w:rFonts w:hint="eastAsia" w:ascii="宋体" w:hAnsi="宋体" w:eastAsia="宋体" w:cs="宋体"/>
          <w:color w:val="auto"/>
          <w:highlight w:val="none"/>
        </w:rPr>
        <w:t>年）；</w:t>
      </w:r>
    </w:p>
    <w:p w14:paraId="16333198">
      <w:pPr>
        <w:spacing w:line="360" w:lineRule="auto"/>
        <w:ind w:firstLine="426"/>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rPr>
        <w:t>．排水（雨水）工程为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年（建议道路工程中的排水工程为</w:t>
      </w:r>
      <w:r>
        <w:rPr>
          <w:rFonts w:hint="eastAsia" w:ascii="宋体" w:hAnsi="宋体" w:eastAsia="宋体" w:cs="宋体"/>
          <w:color w:val="auto"/>
          <w:highlight w:val="none"/>
        </w:rPr>
        <w:t>3</w:t>
      </w:r>
      <w:r>
        <w:rPr>
          <w:rFonts w:hint="eastAsia" w:ascii="宋体" w:hAnsi="宋体" w:eastAsia="宋体" w:cs="宋体"/>
          <w:color w:val="auto"/>
          <w:highlight w:val="none"/>
        </w:rPr>
        <w:t>年）；</w:t>
      </w:r>
    </w:p>
    <w:p w14:paraId="63CCA662">
      <w:pPr>
        <w:spacing w:line="360" w:lineRule="auto"/>
        <w:ind w:firstLine="426"/>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rPr>
        <w:t>．绿化工程为</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单位工程竣工验收合格后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年</w:t>
      </w:r>
      <w:r>
        <w:rPr>
          <w:rFonts w:hint="eastAsia" w:ascii="宋体" w:hAnsi="宋体" w:eastAsia="宋体" w:cs="宋体"/>
          <w:color w:val="auto"/>
          <w:highlight w:val="none"/>
        </w:rPr>
        <w:t>；</w:t>
      </w:r>
    </w:p>
    <w:p w14:paraId="0EA76BBC">
      <w:pPr>
        <w:spacing w:line="360" w:lineRule="auto"/>
        <w:ind w:firstLine="426"/>
        <w:rPr>
          <w:rFonts w:hint="eastAsia" w:ascii="宋体" w:hAnsi="宋体" w:eastAsia="宋体" w:cs="宋体"/>
          <w:color w:val="auto"/>
          <w:highlight w:val="none"/>
        </w:rPr>
      </w:pPr>
      <w:r>
        <w:rPr>
          <w:rFonts w:hint="eastAsia" w:ascii="宋体" w:hAnsi="宋体" w:eastAsia="宋体" w:cs="宋体"/>
          <w:color w:val="auto"/>
          <w:highlight w:val="none"/>
        </w:rPr>
        <w:t xml:space="preserve">5.  </w:t>
      </w:r>
      <w:r>
        <w:rPr>
          <w:rFonts w:hint="eastAsia" w:ascii="宋体" w:hAnsi="宋体" w:eastAsia="宋体" w:cs="宋体"/>
          <w:color w:val="auto"/>
          <w:highlight w:val="none"/>
        </w:rPr>
        <w:t>地下防水工程为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年（建议为</w:t>
      </w:r>
      <w:r>
        <w:rPr>
          <w:rFonts w:hint="eastAsia" w:ascii="宋体" w:hAnsi="宋体" w:eastAsia="宋体" w:cs="宋体"/>
          <w:color w:val="auto"/>
          <w:highlight w:val="none"/>
        </w:rPr>
        <w:t>5</w:t>
      </w:r>
      <w:r>
        <w:rPr>
          <w:rFonts w:hint="eastAsia" w:ascii="宋体" w:hAnsi="宋体" w:eastAsia="宋体" w:cs="宋体"/>
          <w:color w:val="auto"/>
          <w:highlight w:val="none"/>
        </w:rPr>
        <w:t>年）；</w:t>
      </w:r>
    </w:p>
    <w:p w14:paraId="04A39297">
      <w:pPr>
        <w:spacing w:line="360" w:lineRule="auto"/>
        <w:ind w:firstLine="426"/>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rPr>
        <w:t>．其他附属工程为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p>
    <w:p w14:paraId="67ACAA0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7．其他项目保修期限约定如下：</w:t>
      </w:r>
    </w:p>
    <w:p w14:paraId="172425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DF20FE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质量保修期自工程竣工验收合格之日起计算。</w:t>
      </w:r>
    </w:p>
    <w:p w14:paraId="46E859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三、缺陷责任期</w:t>
      </w:r>
    </w:p>
    <w:p w14:paraId="6D9FF0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工程缺陷责任期为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个月（最长不超过</w:t>
      </w:r>
      <w:r>
        <w:rPr>
          <w:rFonts w:hint="eastAsia" w:ascii="宋体" w:hAnsi="宋体" w:eastAsia="宋体" w:cs="宋体"/>
          <w:color w:val="auto"/>
          <w:highlight w:val="none"/>
        </w:rPr>
        <w:t>24</w:t>
      </w:r>
      <w:r>
        <w:rPr>
          <w:rFonts w:hint="eastAsia" w:ascii="宋体" w:hAnsi="宋体" w:eastAsia="宋体" w:cs="宋体"/>
          <w:color w:val="auto"/>
          <w:highlight w:val="none"/>
        </w:rPr>
        <w:t>个月），缺陷责任期自工程竣工验收合格之日起计算。单位工程先于全部工程进行验收，单位工程缺陷责任期自单位工程验收合格之日起算。</w:t>
      </w:r>
    </w:p>
    <w:p w14:paraId="2613EF7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缺陷责任期</w:t>
      </w:r>
      <w:r>
        <w:rPr>
          <w:rFonts w:hint="eastAsia" w:ascii="宋体" w:hAnsi="宋体" w:eastAsia="宋体" w:cs="宋体"/>
          <w:color w:val="auto"/>
          <w:highlight w:val="none"/>
          <w:u w:val="single"/>
        </w:rPr>
        <w:t>满</w:t>
      </w:r>
      <w:r>
        <w:rPr>
          <w:rFonts w:hint="eastAsia" w:ascii="宋体" w:hAnsi="宋体" w:eastAsia="宋体" w:cs="宋体"/>
          <w:color w:val="auto"/>
          <w:highlight w:val="none"/>
        </w:rPr>
        <w:t>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w:t>
      </w:r>
      <w:r>
        <w:rPr>
          <w:rFonts w:hint="eastAsia" w:ascii="宋体" w:hAnsi="宋体" w:eastAsia="宋体" w:cs="宋体"/>
          <w:color w:val="auto"/>
          <w:highlight w:val="none"/>
          <w:u w:val="single"/>
        </w:rPr>
        <w:t>（按</w:t>
      </w:r>
      <w:r>
        <w:rPr>
          <w:rFonts w:hint="eastAsia" w:ascii="宋体" w:hAnsi="宋体" w:eastAsia="宋体" w:cs="宋体"/>
          <w:color w:val="auto"/>
          <w:highlight w:val="none"/>
          <w:u w:val="single"/>
        </w:rPr>
        <w:t>合同约定期限）</w:t>
      </w:r>
      <w:r>
        <w:rPr>
          <w:rFonts w:hint="eastAsia" w:ascii="宋体" w:hAnsi="宋体" w:eastAsia="宋体" w:cs="宋体"/>
          <w:color w:val="auto"/>
          <w:highlight w:val="none"/>
          <w:u w:val="single"/>
        </w:rPr>
        <w:t>，</w:t>
      </w:r>
      <w:r>
        <w:rPr>
          <w:rFonts w:hint="eastAsia" w:ascii="宋体" w:hAnsi="宋体" w:eastAsia="宋体" w:cs="宋体"/>
          <w:color w:val="auto"/>
          <w:highlight w:val="none"/>
        </w:rPr>
        <w:t>发包人应退还剩余的质量保证金。</w:t>
      </w:r>
    </w:p>
    <w:p w14:paraId="0E3A25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四、质量保修责任</w:t>
      </w:r>
    </w:p>
    <w:p w14:paraId="596846B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1．属于保修范围、内容的项目，承包人应当在接到保修通知之日起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天内派人保修。承包人不在约定期限内派人保修的，发包人可以委托他人修理，修理费用从质量保证金内扣除。</w:t>
      </w:r>
    </w:p>
    <w:p w14:paraId="10B3EF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2．发生紧急事故需抢修的，承包人在接到事故通知后，应当立即到达事故现场抢修。</w:t>
      </w:r>
    </w:p>
    <w:p w14:paraId="405B920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EAD60A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4．质量保修完成后，由发包人组织验收。</w:t>
      </w:r>
    </w:p>
    <w:p w14:paraId="12F7B9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五、保修费用</w:t>
      </w:r>
    </w:p>
    <w:p w14:paraId="2677D10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保修费用由造成质量缺陷的责任方承担。</w:t>
      </w:r>
    </w:p>
    <w:p w14:paraId="24FD9C66">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六、双方约定的其他工程质量保修事项：</w:t>
      </w:r>
      <w:r>
        <w:rPr>
          <w:rFonts w:hint="eastAsia" w:ascii="宋体" w:hAnsi="宋体" w:eastAsia="宋体" w:cs="宋体"/>
          <w:color w:val="auto"/>
          <w:highlight w:val="none"/>
          <w:u w:val="single"/>
        </w:rPr>
        <w:t xml:space="preserve">                                          </w:t>
      </w:r>
    </w:p>
    <w:p w14:paraId="243E7CDB">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8017491">
      <w:pPr>
        <w:spacing w:line="360" w:lineRule="auto"/>
        <w:ind w:firstLine="399" w:firstLineChars="190"/>
        <w:rPr>
          <w:rFonts w:hint="eastAsia" w:ascii="宋体" w:hAnsi="宋体" w:eastAsia="宋体" w:cs="宋体"/>
          <w:color w:val="auto"/>
          <w:highlight w:val="none"/>
        </w:rPr>
      </w:pPr>
      <w:r>
        <w:rPr>
          <w:rFonts w:hint="eastAsia" w:ascii="宋体" w:hAnsi="宋体" w:eastAsia="宋体" w:cs="宋体"/>
          <w:color w:val="auto"/>
          <w:highlight w:val="none"/>
        </w:rPr>
        <w:t>工程质量保修书由发包人、承包人在工程竣工验收前共同签署，作为施工合同附件，其有效期限至保修期满。</w:t>
      </w:r>
    </w:p>
    <w:p w14:paraId="2DEBBD50">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C145BFA">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0E6D63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发包人</w:t>
      </w:r>
      <w:r>
        <w:rPr>
          <w:rFonts w:hint="eastAsia" w:ascii="宋体" w:hAnsi="宋体" w:eastAsia="宋体" w:cs="宋体"/>
          <w:color w:val="auto"/>
          <w:highlight w:val="none"/>
        </w:rPr>
        <w:t>（</w:t>
      </w:r>
      <w:r>
        <w:rPr>
          <w:rFonts w:hint="eastAsia" w:ascii="宋体" w:hAnsi="宋体" w:eastAsia="宋体" w:cs="宋体"/>
          <w:color w:val="auto"/>
          <w:highlight w:val="none"/>
        </w:rPr>
        <w:t>公章</w:t>
      </w:r>
      <w:r>
        <w:rPr>
          <w:rFonts w:hint="eastAsia" w:ascii="宋体" w:hAnsi="宋体" w:eastAsia="宋体" w:cs="宋体"/>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承包人</w:t>
      </w:r>
      <w:r>
        <w:rPr>
          <w:rFonts w:hint="eastAsia" w:ascii="宋体" w:hAnsi="宋体" w:eastAsia="宋体" w:cs="宋体"/>
          <w:color w:val="auto"/>
          <w:highlight w:val="none"/>
        </w:rPr>
        <w:t>（</w:t>
      </w:r>
      <w:r>
        <w:rPr>
          <w:rFonts w:hint="eastAsia" w:ascii="宋体" w:hAnsi="宋体" w:eastAsia="宋体" w:cs="宋体"/>
          <w:color w:val="auto"/>
          <w:highlight w:val="none"/>
        </w:rPr>
        <w:t>公章</w:t>
      </w:r>
      <w:r>
        <w:rPr>
          <w:rFonts w:hint="eastAsia" w:ascii="宋体" w:hAnsi="宋体" w:eastAsia="宋体" w:cs="宋体"/>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w:t>
      </w:r>
    </w:p>
    <w:p w14:paraId="18E7C5D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地</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址：</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w:t>
      </w:r>
    </w:p>
    <w:p w14:paraId="2088232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rPr>
        <w:t>（</w:t>
      </w:r>
      <w:r>
        <w:rPr>
          <w:rFonts w:hint="eastAsia" w:ascii="宋体" w:hAnsi="宋体" w:eastAsia="宋体" w:cs="宋体"/>
          <w:color w:val="auto"/>
          <w:highlight w:val="none"/>
        </w:rPr>
        <w:t>签字</w:t>
      </w:r>
      <w:r>
        <w:rPr>
          <w:rFonts w:hint="eastAsia" w:ascii="宋体" w:hAnsi="宋体" w:eastAsia="宋体" w:cs="宋体"/>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法定代表人</w:t>
      </w:r>
      <w:r>
        <w:rPr>
          <w:rFonts w:hint="eastAsia" w:ascii="宋体" w:hAnsi="宋体" w:eastAsia="宋体" w:cs="宋体"/>
          <w:color w:val="auto"/>
          <w:highlight w:val="none"/>
        </w:rPr>
        <w:t>（</w:t>
      </w:r>
      <w:r>
        <w:rPr>
          <w:rFonts w:hint="eastAsia" w:ascii="宋体" w:hAnsi="宋体" w:eastAsia="宋体" w:cs="宋体"/>
          <w:color w:val="auto"/>
          <w:highlight w:val="none"/>
        </w:rPr>
        <w:t>签字</w:t>
      </w:r>
      <w:r>
        <w:rPr>
          <w:rFonts w:hint="eastAsia" w:ascii="宋体" w:hAnsi="宋体" w:eastAsia="宋体" w:cs="宋体"/>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w:t>
      </w:r>
    </w:p>
    <w:p w14:paraId="787C2EE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委托代理人</w:t>
      </w:r>
      <w:r>
        <w:rPr>
          <w:rFonts w:hint="eastAsia" w:ascii="宋体" w:hAnsi="宋体" w:eastAsia="宋体" w:cs="宋体"/>
          <w:color w:val="auto"/>
          <w:highlight w:val="none"/>
        </w:rPr>
        <w:t>（</w:t>
      </w:r>
      <w:r>
        <w:rPr>
          <w:rFonts w:hint="eastAsia" w:ascii="宋体" w:hAnsi="宋体" w:eastAsia="宋体" w:cs="宋体"/>
          <w:color w:val="auto"/>
          <w:highlight w:val="none"/>
        </w:rPr>
        <w:t>签字</w:t>
      </w:r>
      <w:r>
        <w:rPr>
          <w:rFonts w:hint="eastAsia" w:ascii="宋体" w:hAnsi="宋体" w:eastAsia="宋体" w:cs="宋体"/>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委托代理人</w:t>
      </w:r>
      <w:r>
        <w:rPr>
          <w:rFonts w:hint="eastAsia" w:ascii="宋体" w:hAnsi="宋体" w:eastAsia="宋体" w:cs="宋体"/>
          <w:color w:val="auto"/>
          <w:highlight w:val="none"/>
        </w:rPr>
        <w:t>（</w:t>
      </w:r>
      <w:r>
        <w:rPr>
          <w:rFonts w:hint="eastAsia" w:ascii="宋体" w:hAnsi="宋体" w:eastAsia="宋体" w:cs="宋体"/>
          <w:color w:val="auto"/>
          <w:highlight w:val="none"/>
        </w:rPr>
        <w:t>签字</w:t>
      </w:r>
      <w:r>
        <w:rPr>
          <w:rFonts w:hint="eastAsia" w:ascii="宋体" w:hAnsi="宋体" w:eastAsia="宋体" w:cs="宋体"/>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w:t>
      </w:r>
    </w:p>
    <w:p w14:paraId="4D1E837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话：</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电</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话：</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w:t>
      </w:r>
    </w:p>
    <w:p w14:paraId="48E8698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传</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真：</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传</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真：</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w:t>
      </w:r>
    </w:p>
    <w:p w14:paraId="3E95CB2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w:t>
      </w:r>
    </w:p>
    <w:p w14:paraId="5D4C686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账</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号：</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账</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号：</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w:t>
      </w:r>
    </w:p>
    <w:p w14:paraId="678436FB">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 xml:space="preserve"> </w:t>
      </w:r>
    </w:p>
    <w:p w14:paraId="218F5E90">
      <w:pP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p>
    <w:p w14:paraId="622F7BB0">
      <w:pPr>
        <w:jc w:val="center"/>
        <w:outlineLvl w:val="0"/>
        <w:rPr>
          <w:rFonts w:hint="eastAsia" w:ascii="宋体" w:hAnsi="宋体" w:eastAsia="宋体" w:cs="宋体"/>
          <w:b/>
          <w:color w:val="auto"/>
          <w:sz w:val="28"/>
          <w:szCs w:val="28"/>
          <w:highlight w:val="none"/>
        </w:rPr>
      </w:pPr>
      <w:bookmarkStart w:id="1342" w:name="_Toc7688"/>
      <w:r>
        <w:rPr>
          <w:rFonts w:hint="eastAsia" w:ascii="宋体" w:hAnsi="宋体" w:eastAsia="宋体" w:cs="宋体"/>
          <w:b/>
          <w:color w:val="auto"/>
          <w:sz w:val="28"/>
          <w:szCs w:val="28"/>
          <w:highlight w:val="none"/>
        </w:rPr>
        <w:t>第五章</w:t>
      </w:r>
      <w:bookmarkStart w:id="1343" w:name="_Toc459103910"/>
      <w:r>
        <w:rPr>
          <w:rFonts w:hint="eastAsia" w:ascii="宋体" w:hAnsi="宋体" w:eastAsia="宋体" w:cs="宋体"/>
          <w:b/>
          <w:color w:val="auto"/>
          <w:sz w:val="28"/>
          <w:szCs w:val="28"/>
          <w:highlight w:val="none"/>
        </w:rPr>
        <w:t xml:space="preserve">  </w:t>
      </w:r>
      <w:bookmarkEnd w:id="1343"/>
      <w:r>
        <w:rPr>
          <w:rFonts w:hint="eastAsia" w:ascii="宋体" w:hAnsi="宋体" w:eastAsia="宋体" w:cs="宋体"/>
          <w:b/>
          <w:color w:val="auto"/>
          <w:sz w:val="28"/>
          <w:szCs w:val="28"/>
          <w:highlight w:val="none"/>
        </w:rPr>
        <w:t>技术标准和要求</w:t>
      </w:r>
      <w:bookmarkEnd w:id="1341"/>
      <w:bookmarkEnd w:id="1342"/>
    </w:p>
    <w:p w14:paraId="215ED011">
      <w:pPr>
        <w:spacing w:line="440" w:lineRule="exact"/>
        <w:ind w:firstLine="422" w:firstLineChars="200"/>
        <w:rPr>
          <w:rFonts w:hint="eastAsia" w:ascii="宋体" w:hAnsi="宋体" w:eastAsia="宋体" w:cs="宋体"/>
          <w:b/>
          <w:color w:val="auto"/>
          <w:highlight w:val="none"/>
        </w:rPr>
      </w:pPr>
    </w:p>
    <w:p w14:paraId="2EE83F96">
      <w:pPr>
        <w:widowControl/>
        <w:jc w:val="center"/>
        <w:rPr>
          <w:rFonts w:hint="eastAsia" w:ascii="宋体" w:hAnsi="宋体" w:eastAsia="宋体" w:cs="宋体"/>
          <w:color w:val="auto"/>
          <w:kern w:val="2"/>
          <w:szCs w:val="24"/>
          <w:highlight w:val="none"/>
        </w:rPr>
      </w:pPr>
      <w:r>
        <w:rPr>
          <w:rFonts w:hint="eastAsia" w:ascii="宋体" w:hAnsi="宋体" w:eastAsia="宋体" w:cs="宋体"/>
          <w:color w:val="auto"/>
          <w:highlight w:val="none"/>
        </w:rPr>
        <w:t>包括国家行业和地方现行标准、规范和规程以及本项目施工图纸等</w:t>
      </w:r>
      <w:r>
        <w:rPr>
          <w:rFonts w:hint="eastAsia" w:ascii="宋体" w:hAnsi="宋体" w:eastAsia="宋体" w:cs="宋体"/>
          <w:color w:val="auto"/>
          <w:sz w:val="24"/>
          <w:highlight w:val="none"/>
        </w:rPr>
        <w:t>。</w:t>
      </w:r>
      <w:r>
        <w:rPr>
          <w:rFonts w:hint="eastAsia" w:ascii="宋体" w:hAnsi="宋体" w:eastAsia="宋体" w:cs="宋体"/>
          <w:color w:val="auto"/>
          <w:kern w:val="2"/>
          <w:szCs w:val="24"/>
          <w:highlight w:val="none"/>
        </w:rPr>
        <w:br w:type="page"/>
      </w:r>
    </w:p>
    <w:p w14:paraId="524A2CFF">
      <w:pPr>
        <w:rPr>
          <w:rFonts w:hint="eastAsia" w:ascii="宋体" w:hAnsi="宋体" w:eastAsia="宋体" w:cs="宋体"/>
          <w:color w:val="auto"/>
          <w:highlight w:val="none"/>
        </w:rPr>
      </w:pPr>
    </w:p>
    <w:p w14:paraId="57AAB7C2">
      <w:pPr>
        <w:pStyle w:val="2"/>
        <w:jc w:val="center"/>
        <w:rPr>
          <w:rFonts w:hint="eastAsia" w:ascii="宋体" w:hAnsi="宋体" w:eastAsia="宋体" w:cs="宋体"/>
          <w:color w:val="auto"/>
          <w:kern w:val="0"/>
          <w:highlight w:val="none"/>
        </w:rPr>
      </w:pPr>
      <w:bookmarkStart w:id="1344" w:name="_Toc533783527"/>
      <w:bookmarkStart w:id="1345" w:name="_Toc533781575"/>
      <w:bookmarkStart w:id="1346" w:name="_Toc32094"/>
      <w:bookmarkStart w:id="1347" w:name="_Toc105753216"/>
      <w:r>
        <w:rPr>
          <w:rFonts w:hint="eastAsia" w:ascii="宋体" w:hAnsi="宋体" w:eastAsia="宋体" w:cs="宋体"/>
          <w:color w:val="auto"/>
          <w:kern w:val="0"/>
          <w:highlight w:val="none"/>
        </w:rPr>
        <w:t xml:space="preserve">第六章  </w:t>
      </w:r>
      <w:bookmarkEnd w:id="1344"/>
      <w:bookmarkEnd w:id="1345"/>
      <w:r>
        <w:rPr>
          <w:rFonts w:hint="eastAsia" w:ascii="宋体" w:hAnsi="宋体" w:eastAsia="宋体" w:cs="宋体"/>
          <w:color w:val="auto"/>
          <w:kern w:val="0"/>
          <w:highlight w:val="none"/>
        </w:rPr>
        <w:t>响应文件格式</w:t>
      </w:r>
      <w:bookmarkEnd w:id="1346"/>
      <w:bookmarkEnd w:id="1347"/>
    </w:p>
    <w:p w14:paraId="03DA2122">
      <w:pPr>
        <w:jc w:val="center"/>
        <w:rPr>
          <w:rFonts w:hint="eastAsia" w:ascii="宋体" w:hAnsi="宋体" w:eastAsia="宋体" w:cs="宋体"/>
          <w:b/>
          <w:color w:val="auto"/>
          <w:kern w:val="2"/>
          <w:sz w:val="44"/>
          <w:szCs w:val="44"/>
          <w:highlight w:val="none"/>
        </w:rPr>
      </w:pPr>
      <w:bookmarkStart w:id="1348" w:name="_Toc533783534"/>
      <w:bookmarkStart w:id="1349" w:name="_Toc533781576"/>
    </w:p>
    <w:p w14:paraId="2C6FE1B1">
      <w:pPr>
        <w:jc w:val="center"/>
        <w:rPr>
          <w:rFonts w:hint="eastAsia" w:ascii="宋体" w:hAnsi="宋体" w:eastAsia="宋体" w:cs="宋体"/>
          <w:color w:val="auto"/>
          <w:kern w:val="2"/>
          <w:sz w:val="36"/>
          <w:szCs w:val="36"/>
          <w:highlight w:val="none"/>
        </w:rPr>
      </w:pPr>
      <w:r>
        <w:rPr>
          <w:rFonts w:hint="eastAsia" w:ascii="宋体" w:hAnsi="宋体" w:eastAsia="宋体" w:cs="宋体"/>
          <w:color w:val="auto"/>
          <w:kern w:val="2"/>
          <w:sz w:val="36"/>
          <w:szCs w:val="36"/>
          <w:highlight w:val="none"/>
        </w:rPr>
        <w:t>（封面格式）</w:t>
      </w:r>
    </w:p>
    <w:p w14:paraId="251634B2">
      <w:pPr>
        <w:ind w:firstLine="2160" w:firstLineChars="600"/>
        <w:rPr>
          <w:rFonts w:hint="eastAsia" w:ascii="宋体" w:hAnsi="宋体" w:eastAsia="宋体" w:cs="宋体"/>
          <w:color w:val="auto"/>
          <w:kern w:val="2"/>
          <w:sz w:val="36"/>
          <w:szCs w:val="36"/>
          <w:highlight w:val="none"/>
          <w:lang w:eastAsia="zh-CN"/>
        </w:rPr>
      </w:pPr>
      <w:r>
        <w:rPr>
          <w:rFonts w:hint="eastAsia" w:ascii="宋体" w:hAnsi="宋体" w:eastAsia="宋体" w:cs="宋体"/>
          <w:color w:val="auto"/>
          <w:kern w:val="2"/>
          <w:sz w:val="36"/>
          <w:szCs w:val="36"/>
          <w:highlight w:val="none"/>
        </w:rPr>
        <w:t xml:space="preserve">                          </w:t>
      </w:r>
    </w:p>
    <w:p w14:paraId="2BB4DF84">
      <w:pPr>
        <w:jc w:val="center"/>
        <w:rPr>
          <w:rFonts w:hint="eastAsia" w:ascii="宋体" w:hAnsi="宋体" w:eastAsia="宋体" w:cs="宋体"/>
          <w:color w:val="auto"/>
          <w:kern w:val="2"/>
          <w:sz w:val="36"/>
          <w:szCs w:val="36"/>
          <w:highlight w:val="none"/>
        </w:rPr>
      </w:pPr>
    </w:p>
    <w:p w14:paraId="3C237D3C">
      <w:pPr>
        <w:jc w:val="center"/>
        <w:rPr>
          <w:rFonts w:hint="eastAsia" w:ascii="宋体" w:hAnsi="宋体" w:eastAsia="宋体" w:cs="宋体"/>
          <w:color w:val="auto"/>
          <w:kern w:val="2"/>
          <w:sz w:val="36"/>
          <w:szCs w:val="36"/>
          <w:highlight w:val="none"/>
        </w:rPr>
      </w:pPr>
      <w:r>
        <w:rPr>
          <w:rFonts w:hint="eastAsia" w:ascii="宋体" w:hAnsi="宋体" w:eastAsia="宋体" w:cs="宋体"/>
          <w:color w:val="auto"/>
          <w:kern w:val="2"/>
          <w:sz w:val="36"/>
          <w:szCs w:val="36"/>
          <w:highlight w:val="none"/>
        </w:rPr>
        <w:t>××××××（供应商名称）</w:t>
      </w:r>
    </w:p>
    <w:p w14:paraId="7AF29B81">
      <w:pPr>
        <w:jc w:val="center"/>
        <w:rPr>
          <w:rFonts w:hint="eastAsia" w:ascii="宋体" w:hAnsi="宋体" w:eastAsia="宋体" w:cs="宋体"/>
          <w:color w:val="auto"/>
          <w:kern w:val="2"/>
          <w:sz w:val="36"/>
          <w:szCs w:val="36"/>
          <w:highlight w:val="none"/>
        </w:rPr>
      </w:pPr>
    </w:p>
    <w:p w14:paraId="6D197FCA">
      <w:pPr>
        <w:jc w:val="center"/>
        <w:rPr>
          <w:rFonts w:hint="eastAsia" w:ascii="宋体" w:hAnsi="宋体" w:eastAsia="宋体" w:cs="宋体"/>
          <w:color w:val="auto"/>
          <w:kern w:val="2"/>
          <w:sz w:val="36"/>
          <w:szCs w:val="36"/>
          <w:highlight w:val="none"/>
        </w:rPr>
      </w:pPr>
    </w:p>
    <w:p w14:paraId="352011A2">
      <w:pPr>
        <w:jc w:val="center"/>
        <w:rPr>
          <w:rFonts w:hint="eastAsia" w:ascii="宋体" w:hAnsi="宋体" w:eastAsia="宋体" w:cs="宋体"/>
          <w:b/>
          <w:color w:val="auto"/>
          <w:kern w:val="2"/>
          <w:sz w:val="44"/>
          <w:szCs w:val="44"/>
          <w:highlight w:val="none"/>
        </w:rPr>
      </w:pPr>
      <w:r>
        <w:rPr>
          <w:rFonts w:hint="eastAsia" w:ascii="宋体" w:hAnsi="宋体" w:eastAsia="宋体" w:cs="宋体"/>
          <w:b/>
          <w:color w:val="auto"/>
          <w:kern w:val="2"/>
          <w:sz w:val="44"/>
          <w:szCs w:val="44"/>
          <w:highlight w:val="none"/>
        </w:rPr>
        <w:t>竞争性磋商响应文件</w:t>
      </w:r>
    </w:p>
    <w:p w14:paraId="0EAF5667">
      <w:pPr>
        <w:rPr>
          <w:rFonts w:hint="eastAsia" w:ascii="宋体" w:hAnsi="宋体" w:eastAsia="宋体" w:cs="宋体"/>
          <w:color w:val="auto"/>
          <w:kern w:val="2"/>
          <w:sz w:val="36"/>
          <w:szCs w:val="36"/>
          <w:highlight w:val="none"/>
        </w:rPr>
      </w:pPr>
    </w:p>
    <w:p w14:paraId="40C06F00">
      <w:pPr>
        <w:jc w:val="center"/>
        <w:rPr>
          <w:rFonts w:hint="eastAsia" w:ascii="宋体" w:hAnsi="宋体" w:eastAsia="宋体" w:cs="宋体"/>
          <w:color w:val="auto"/>
          <w:kern w:val="2"/>
          <w:sz w:val="36"/>
          <w:szCs w:val="36"/>
          <w:highlight w:val="none"/>
        </w:rPr>
      </w:pPr>
    </w:p>
    <w:p w14:paraId="6FA074F5">
      <w:pPr>
        <w:jc w:val="center"/>
        <w:rPr>
          <w:rFonts w:hint="eastAsia" w:ascii="宋体" w:hAnsi="宋体" w:eastAsia="宋体" w:cs="宋体"/>
          <w:color w:val="auto"/>
          <w:kern w:val="2"/>
          <w:sz w:val="36"/>
          <w:szCs w:val="36"/>
          <w:highlight w:val="none"/>
        </w:rPr>
      </w:pPr>
    </w:p>
    <w:p w14:paraId="6A97F97C">
      <w:pPr>
        <w:ind w:firstLine="469" w:firstLineChars="146"/>
        <w:jc w:val="left"/>
        <w:rPr>
          <w:rFonts w:hint="eastAsia" w:ascii="宋体" w:hAnsi="宋体" w:eastAsia="宋体" w:cs="宋体"/>
          <w:b/>
          <w:color w:val="auto"/>
          <w:kern w:val="2"/>
          <w:sz w:val="32"/>
          <w:szCs w:val="32"/>
          <w:highlight w:val="none"/>
          <w:u w:val="single"/>
        </w:rPr>
      </w:pPr>
      <w:r>
        <w:rPr>
          <w:rFonts w:hint="eastAsia" w:ascii="宋体" w:hAnsi="宋体" w:eastAsia="宋体" w:cs="宋体"/>
          <w:b/>
          <w:color w:val="auto"/>
          <w:kern w:val="2"/>
          <w:sz w:val="32"/>
          <w:szCs w:val="32"/>
          <w:highlight w:val="none"/>
        </w:rPr>
        <w:t>项目名称：</w:t>
      </w:r>
      <w:r>
        <w:rPr>
          <w:rFonts w:hint="eastAsia" w:ascii="宋体" w:hAnsi="宋体" w:eastAsia="宋体" w:cs="宋体"/>
          <w:b/>
          <w:color w:val="auto"/>
          <w:kern w:val="2"/>
          <w:sz w:val="32"/>
          <w:szCs w:val="32"/>
          <w:highlight w:val="none"/>
          <w:u w:val="single"/>
        </w:rPr>
        <w:t xml:space="preserve">                                         </w:t>
      </w:r>
    </w:p>
    <w:p w14:paraId="6D6FC34F">
      <w:pPr>
        <w:rPr>
          <w:rFonts w:hint="eastAsia" w:ascii="宋体" w:hAnsi="宋体" w:eastAsia="宋体" w:cs="宋体"/>
          <w:b/>
          <w:color w:val="auto"/>
          <w:kern w:val="2"/>
          <w:sz w:val="32"/>
          <w:szCs w:val="32"/>
          <w:highlight w:val="none"/>
          <w:u w:val="single"/>
        </w:rPr>
      </w:pPr>
    </w:p>
    <w:p w14:paraId="23A68456">
      <w:pPr>
        <w:ind w:firstLine="482" w:firstLineChars="150"/>
        <w:rPr>
          <w:rFonts w:hint="eastAsia" w:ascii="宋体" w:hAnsi="宋体" w:eastAsia="宋体" w:cs="宋体"/>
          <w:b/>
          <w:color w:val="auto"/>
          <w:kern w:val="2"/>
          <w:sz w:val="32"/>
          <w:szCs w:val="32"/>
          <w:highlight w:val="none"/>
          <w:u w:val="single"/>
        </w:rPr>
      </w:pPr>
      <w:r>
        <w:rPr>
          <w:rFonts w:hint="eastAsia" w:ascii="宋体" w:hAnsi="宋体" w:eastAsia="宋体" w:cs="宋体"/>
          <w:b/>
          <w:color w:val="auto"/>
          <w:kern w:val="2"/>
          <w:sz w:val="32"/>
          <w:szCs w:val="32"/>
          <w:highlight w:val="none"/>
        </w:rPr>
        <w:t>项目编号：</w:t>
      </w:r>
      <w:r>
        <w:rPr>
          <w:rFonts w:hint="eastAsia" w:ascii="宋体" w:hAnsi="宋体" w:eastAsia="宋体" w:cs="宋体"/>
          <w:b/>
          <w:color w:val="auto"/>
          <w:kern w:val="2"/>
          <w:sz w:val="32"/>
          <w:szCs w:val="32"/>
          <w:highlight w:val="none"/>
          <w:u w:val="single"/>
        </w:rPr>
        <w:t xml:space="preserve">                                         </w:t>
      </w:r>
    </w:p>
    <w:p w14:paraId="797FFC6E">
      <w:pPr>
        <w:jc w:val="both"/>
        <w:rPr>
          <w:rFonts w:hint="eastAsia" w:ascii="宋体" w:hAnsi="宋体" w:eastAsia="宋体" w:cs="宋体"/>
          <w:color w:val="auto"/>
          <w:kern w:val="2"/>
          <w:sz w:val="32"/>
          <w:szCs w:val="32"/>
          <w:highlight w:val="none"/>
          <w:u w:val="single"/>
        </w:rPr>
      </w:pPr>
    </w:p>
    <w:p w14:paraId="5EF0EAFD">
      <w:pPr>
        <w:pStyle w:val="6"/>
        <w:rPr>
          <w:rFonts w:hint="eastAsia" w:ascii="宋体" w:hAnsi="宋体" w:eastAsia="宋体" w:cs="宋体"/>
          <w:color w:val="auto"/>
          <w:kern w:val="2"/>
          <w:sz w:val="32"/>
          <w:szCs w:val="32"/>
          <w:highlight w:val="none"/>
          <w:u w:val="single"/>
        </w:rPr>
      </w:pPr>
    </w:p>
    <w:p w14:paraId="6DDAA0D5">
      <w:pPr>
        <w:spacing w:line="480" w:lineRule="auto"/>
        <w:rPr>
          <w:rFonts w:hint="eastAsia" w:ascii="宋体" w:hAnsi="宋体" w:eastAsia="宋体" w:cs="宋体"/>
          <w:color w:val="auto"/>
          <w:kern w:val="2"/>
          <w:sz w:val="28"/>
          <w:szCs w:val="28"/>
          <w:highlight w:val="none"/>
        </w:rPr>
      </w:pPr>
    </w:p>
    <w:p w14:paraId="73EA44BD">
      <w:pPr>
        <w:spacing w:line="480" w:lineRule="auto"/>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供应商</w:t>
      </w:r>
      <w:r>
        <w:rPr>
          <w:rFonts w:hint="eastAsia" w:ascii="宋体" w:hAnsi="宋体" w:eastAsia="宋体" w:cs="宋体"/>
          <w:color w:val="auto"/>
          <w:kern w:val="2"/>
          <w:sz w:val="24"/>
          <w:szCs w:val="24"/>
          <w:highlight w:val="none"/>
          <w:lang w:eastAsia="zh-CN"/>
        </w:rPr>
        <w:t>（盖电子公章）</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14:paraId="37DB6C2C">
      <w:pPr>
        <w:spacing w:line="480" w:lineRule="auto"/>
        <w:ind w:firstLine="600" w:firstLineChars="25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法定代表人（负责人）或其委托代理人</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签字或盖章</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p>
    <w:p w14:paraId="64592591">
      <w:pPr>
        <w:spacing w:line="480" w:lineRule="auto"/>
        <w:ind w:right="560" w:firstLine="600" w:firstLineChars="25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日期：</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w:t>
      </w:r>
    </w:p>
    <w:p w14:paraId="6B292B02">
      <w:pPr>
        <w:widowControl/>
        <w:jc w:val="left"/>
        <w:rPr>
          <w:rFonts w:hint="eastAsia" w:ascii="宋体" w:hAnsi="宋体" w:eastAsia="宋体" w:cs="宋体"/>
          <w:color w:val="auto"/>
          <w:highlight w:val="none"/>
        </w:rPr>
      </w:pPr>
    </w:p>
    <w:p w14:paraId="20168EDD">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9E39BCC">
      <w:pPr>
        <w:widowControl/>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目录</w:t>
      </w:r>
    </w:p>
    <w:p w14:paraId="65AA7AA6">
      <w:pPr>
        <w:widowControl/>
        <w:jc w:val="left"/>
        <w:rPr>
          <w:rFonts w:hint="eastAsia" w:ascii="宋体" w:hAnsi="宋体" w:eastAsia="宋体" w:cs="宋体"/>
          <w:color w:val="auto"/>
          <w:highlight w:val="none"/>
        </w:rPr>
      </w:pPr>
    </w:p>
    <w:p w14:paraId="3941C463">
      <w:pPr>
        <w:pStyle w:val="7"/>
        <w:ind w:left="63" w:right="63"/>
        <w:rPr>
          <w:rFonts w:hint="eastAsia" w:ascii="宋体" w:hAnsi="宋体" w:eastAsia="宋体" w:cs="宋体"/>
          <w:color w:val="auto"/>
          <w:highlight w:val="none"/>
        </w:rPr>
      </w:pPr>
    </w:p>
    <w:p w14:paraId="1B162918">
      <w:pPr>
        <w:pStyle w:val="7"/>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目录由供应商自行编制</w:t>
      </w:r>
    </w:p>
    <w:p w14:paraId="53CE0D26">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2C5E750">
      <w:pPr>
        <w:pStyle w:val="4"/>
        <w:rPr>
          <w:rFonts w:hint="eastAsia" w:ascii="宋体" w:hAnsi="宋体" w:eastAsia="宋体" w:cs="宋体"/>
          <w:b w:val="0"/>
          <w:bCs w:val="0"/>
          <w:color w:val="auto"/>
          <w:sz w:val="28"/>
          <w:szCs w:val="28"/>
          <w:highlight w:val="none"/>
        </w:rPr>
      </w:pPr>
      <w:r>
        <w:rPr>
          <w:rFonts w:hint="eastAsia" w:ascii="宋体" w:hAnsi="宋体" w:eastAsia="宋体" w:cs="宋体"/>
          <w:color w:val="auto"/>
          <w:kern w:val="2"/>
          <w:sz w:val="28"/>
          <w:szCs w:val="28"/>
          <w:highlight w:val="none"/>
        </w:rPr>
        <w:t>一、商务部分</w:t>
      </w:r>
    </w:p>
    <w:p w14:paraId="23E0D821">
      <w:pPr>
        <w:pStyle w:val="4"/>
        <w:jc w:val="center"/>
        <w:rPr>
          <w:rFonts w:hint="eastAsia" w:ascii="宋体" w:hAnsi="宋体" w:eastAsia="宋体" w:cs="宋体"/>
          <w:b w:val="0"/>
          <w:bCs w:val="0"/>
          <w:color w:val="auto"/>
          <w:sz w:val="28"/>
          <w:szCs w:val="28"/>
          <w:highlight w:val="none"/>
        </w:rPr>
      </w:pPr>
      <w:r>
        <w:rPr>
          <w:rFonts w:hint="eastAsia" w:ascii="宋体" w:hAnsi="宋体" w:eastAsia="宋体" w:cs="宋体"/>
          <w:color w:val="auto"/>
          <w:sz w:val="28"/>
          <w:szCs w:val="28"/>
          <w:highlight w:val="none"/>
        </w:rPr>
        <w:t>（一）竞标函</w:t>
      </w:r>
    </w:p>
    <w:p w14:paraId="78D05576">
      <w:pPr>
        <w:spacing w:line="360" w:lineRule="auto"/>
        <w:rPr>
          <w:rFonts w:hint="eastAsia" w:ascii="宋体" w:hAnsi="宋体" w:eastAsia="宋体" w:cs="宋体"/>
          <w:color w:val="auto"/>
          <w:kern w:val="2"/>
          <w:szCs w:val="24"/>
          <w:highlight w:val="none"/>
        </w:rPr>
      </w:pPr>
    </w:p>
    <w:p w14:paraId="562BF4FC">
      <w:pPr>
        <w:tabs>
          <w:tab w:val="left" w:pos="2977"/>
        </w:tabs>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1.根据你方项目编号为</w:t>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（项目编号）</w:t>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rPr>
        <w:t>的</w:t>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（工程项目名称）</w:t>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rPr>
        <w:t>磋商文件，经踏勘项目现场和研究上述磋商文件的供应商须知、合同条款、图纸、工程建设标准和工程量清单及其他有关文件后，我方愿以人民币（大写）</w:t>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rPr>
        <w:t>元（RMB</w:t>
      </w:r>
      <w:r>
        <w:rPr>
          <w:rFonts w:hint="eastAsia" w:ascii="宋体" w:hAnsi="宋体" w:eastAsia="宋体" w:cs="宋体"/>
          <w:color w:val="auto"/>
          <w:kern w:val="2"/>
          <w:szCs w:val="24"/>
          <w:highlight w:val="none"/>
          <w:u w:val="single"/>
        </w:rPr>
        <w:t>￥</w:t>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rPr>
        <w:t>元）的总报价并按上述图纸、合同条款、工程建设标准和工程量清单（如有时）的条件要求承包上述工程的施工、竣工，并承担任何质量缺陷保修责任。我方保证工程质量达到</w:t>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rPr>
        <w:t>。</w:t>
      </w:r>
    </w:p>
    <w:p w14:paraId="273F1A58">
      <w:pPr>
        <w:tabs>
          <w:tab w:val="left" w:pos="7560"/>
        </w:tabs>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2.我方已详细审核全部磋商文件，包括修改文件（如有时）及有关附件。</w:t>
      </w:r>
    </w:p>
    <w:p w14:paraId="7D2A76FB">
      <w:pPr>
        <w:tabs>
          <w:tab w:val="left" w:pos="7560"/>
        </w:tabs>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3.我方同意所提交的响应文件在竞争性磋商文件的供应商须知中规定磋商有效期</w:t>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rPr>
        <w:t>内有效，在此期间内如果中标，我方将受此约束。</w:t>
      </w:r>
    </w:p>
    <w:p w14:paraId="7BF837FB">
      <w:pPr>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4.一旦我方中标，我方保证按合同书中规定的工期</w:t>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rPr>
        <w:t>日历天内完成并移交全部工程。</w:t>
      </w:r>
    </w:p>
    <w:p w14:paraId="254E166F">
      <w:pPr>
        <w:tabs>
          <w:tab w:val="left" w:pos="7560"/>
        </w:tabs>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5.我方同意所提交的响应文件在磋商文件</w:t>
      </w:r>
      <w:r>
        <w:rPr>
          <w:rFonts w:hint="eastAsia" w:ascii="宋体" w:hAnsi="宋体" w:eastAsia="宋体" w:cs="宋体"/>
          <w:color w:val="auto"/>
          <w:kern w:val="2"/>
          <w:highlight w:val="none"/>
        </w:rPr>
        <w:t>供应商</w:t>
      </w:r>
      <w:r>
        <w:rPr>
          <w:rFonts w:hint="eastAsia" w:ascii="宋体" w:hAnsi="宋体" w:eastAsia="宋体" w:cs="宋体"/>
          <w:color w:val="auto"/>
          <w:kern w:val="2"/>
          <w:szCs w:val="24"/>
          <w:highlight w:val="none"/>
        </w:rPr>
        <w:t>须知中规定的磋商有效期内有效，在此期间内如果中标，我方将受此约束。</w:t>
      </w:r>
    </w:p>
    <w:p w14:paraId="20734DFC">
      <w:pPr>
        <w:tabs>
          <w:tab w:val="left" w:pos="7560"/>
        </w:tabs>
        <w:spacing w:line="360" w:lineRule="auto"/>
        <w:ind w:firstLine="42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6.除非另外达成协议并生效，你方的中标通知书和本响应文件将成为约束双方的合同文件的组成部分。</w:t>
      </w:r>
    </w:p>
    <w:p w14:paraId="649A74FF">
      <w:pPr>
        <w:spacing w:line="360" w:lineRule="auto"/>
        <w:rPr>
          <w:rFonts w:hint="eastAsia" w:ascii="宋体" w:hAnsi="宋体" w:eastAsia="宋体" w:cs="宋体"/>
          <w:color w:val="auto"/>
          <w:kern w:val="2"/>
          <w:szCs w:val="24"/>
          <w:highlight w:val="none"/>
        </w:rPr>
      </w:pPr>
    </w:p>
    <w:p w14:paraId="480241E6">
      <w:pPr>
        <w:spacing w:line="360" w:lineRule="auto"/>
        <w:rPr>
          <w:rFonts w:hint="eastAsia" w:ascii="宋体" w:hAnsi="宋体" w:eastAsia="宋体" w:cs="宋体"/>
          <w:color w:val="auto"/>
          <w:kern w:val="2"/>
          <w:szCs w:val="24"/>
          <w:highlight w:val="none"/>
        </w:rPr>
      </w:pPr>
    </w:p>
    <w:p w14:paraId="644C5223">
      <w:pPr>
        <w:spacing w:line="360" w:lineRule="auto"/>
        <w:ind w:left="1000"/>
        <w:jc w:val="righ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 xml:space="preserve">     </w:t>
      </w:r>
    </w:p>
    <w:p w14:paraId="5FCF4AD2">
      <w:pPr>
        <w:spacing w:line="360" w:lineRule="auto"/>
        <w:ind w:left="1000"/>
        <w:jc w:val="center"/>
        <w:rPr>
          <w:rFonts w:hint="eastAsia" w:ascii="宋体" w:hAnsi="宋体" w:eastAsia="宋体" w:cs="宋体"/>
          <w:color w:val="auto"/>
          <w:kern w:val="2"/>
          <w:szCs w:val="24"/>
          <w:highlight w:val="none"/>
          <w:u w:val="single"/>
        </w:rPr>
      </w:pPr>
      <w:r>
        <w:rPr>
          <w:rFonts w:hint="eastAsia" w:ascii="宋体" w:hAnsi="宋体" w:eastAsia="宋体" w:cs="宋体"/>
          <w:color w:val="auto"/>
          <w:kern w:val="2"/>
          <w:szCs w:val="24"/>
          <w:highlight w:val="none"/>
          <w:lang w:val="en-US" w:eastAsia="zh-CN"/>
        </w:rPr>
        <w:t xml:space="preserve">                  </w:t>
      </w:r>
      <w:r>
        <w:rPr>
          <w:rFonts w:hint="eastAsia" w:ascii="宋体" w:hAnsi="宋体" w:eastAsia="宋体" w:cs="宋体"/>
          <w:color w:val="auto"/>
          <w:kern w:val="2"/>
          <w:highlight w:val="none"/>
        </w:rPr>
        <w:t>供应商</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u w:val="single"/>
          <w:lang w:eastAsia="zh-CN"/>
        </w:rPr>
        <w:t>（盖电子公章）</w:t>
      </w:r>
      <w:r>
        <w:rPr>
          <w:rFonts w:hint="eastAsia" w:ascii="宋体" w:hAnsi="宋体" w:eastAsia="宋体" w:cs="宋体"/>
          <w:color w:val="auto"/>
          <w:kern w:val="2"/>
          <w:szCs w:val="24"/>
          <w:highlight w:val="none"/>
        </w:rPr>
        <w:t xml:space="preserve">                                  </w:t>
      </w:r>
      <w:r>
        <w:rPr>
          <w:rFonts w:hint="eastAsia" w:ascii="宋体" w:hAnsi="宋体" w:eastAsia="宋体" w:cs="宋体"/>
          <w:color w:val="auto"/>
          <w:kern w:val="2"/>
          <w:szCs w:val="24"/>
          <w:highlight w:val="none"/>
          <w:u w:val="single"/>
        </w:rPr>
        <w:t xml:space="preserve">                                                                                              </w:t>
      </w:r>
    </w:p>
    <w:p w14:paraId="753D39EE">
      <w:pPr>
        <w:spacing w:line="360" w:lineRule="auto"/>
        <w:ind w:left="1000"/>
        <w:jc w:val="right"/>
        <w:rPr>
          <w:rFonts w:hint="eastAsia" w:ascii="宋体" w:hAnsi="宋体" w:eastAsia="宋体" w:cs="宋体"/>
          <w:color w:val="auto"/>
          <w:kern w:val="2"/>
          <w:szCs w:val="24"/>
          <w:highlight w:val="none"/>
          <w:u w:val="single"/>
        </w:rPr>
      </w:pPr>
      <w:r>
        <w:rPr>
          <w:rFonts w:hint="eastAsia" w:ascii="宋体" w:hAnsi="宋体" w:eastAsia="宋体" w:cs="宋体"/>
          <w:color w:val="auto"/>
          <w:kern w:val="2"/>
          <w:szCs w:val="24"/>
          <w:highlight w:val="none"/>
        </w:rPr>
        <w:t xml:space="preserve">         法定代表人（负责人）或其委托代理人：</w:t>
      </w:r>
      <w:r>
        <w:rPr>
          <w:rFonts w:hint="eastAsia" w:ascii="宋体" w:hAnsi="宋体" w:eastAsia="宋体" w:cs="宋体"/>
          <w:color w:val="auto"/>
          <w:kern w:val="2"/>
          <w:szCs w:val="24"/>
          <w:highlight w:val="none"/>
          <w:u w:val="single"/>
        </w:rPr>
        <w:t xml:space="preserve">      （签字或盖章）</w:t>
      </w:r>
    </w:p>
    <w:p w14:paraId="74CF1CAE">
      <w:pPr>
        <w:spacing w:line="360" w:lineRule="auto"/>
        <w:ind w:left="1000" w:firstLine="2940" w:firstLineChars="1400"/>
        <w:jc w:val="both"/>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 xml:space="preserve"> 邮政编码：</w:t>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rPr>
        <w:t>电话：</w:t>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rPr>
        <w:t xml:space="preserve"> 传真：</w:t>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p>
    <w:p w14:paraId="12EEC898">
      <w:pPr>
        <w:spacing w:line="360" w:lineRule="auto"/>
        <w:ind w:left="1000"/>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lang w:val="en-US" w:eastAsia="zh-CN"/>
        </w:rPr>
        <w:t xml:space="preserve">            </w:t>
      </w:r>
      <w:r>
        <w:rPr>
          <w:rFonts w:hint="eastAsia" w:ascii="宋体" w:hAnsi="宋体" w:eastAsia="宋体" w:cs="宋体"/>
          <w:color w:val="auto"/>
          <w:kern w:val="2"/>
          <w:szCs w:val="24"/>
          <w:highlight w:val="none"/>
        </w:rPr>
        <w:t>开户银行名称：</w:t>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p>
    <w:p w14:paraId="0136CB99">
      <w:pPr>
        <w:spacing w:line="360" w:lineRule="auto"/>
        <w:ind w:left="1000"/>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lang w:val="en-US" w:eastAsia="zh-CN"/>
        </w:rPr>
        <w:t xml:space="preserve">            </w:t>
      </w:r>
      <w:r>
        <w:rPr>
          <w:rFonts w:hint="eastAsia" w:ascii="宋体" w:hAnsi="宋体" w:eastAsia="宋体" w:cs="宋体"/>
          <w:color w:val="auto"/>
          <w:kern w:val="2"/>
          <w:szCs w:val="24"/>
          <w:highlight w:val="none"/>
        </w:rPr>
        <w:t>开户银行账号：</w:t>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p>
    <w:p w14:paraId="0231737D">
      <w:pPr>
        <w:spacing w:line="360" w:lineRule="auto"/>
        <w:ind w:left="1000" w:firstLine="2940" w:firstLineChars="1400"/>
        <w:jc w:val="both"/>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 xml:space="preserve"> 开户银行地址：</w:t>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p>
    <w:p w14:paraId="66CA21D2">
      <w:pPr>
        <w:spacing w:line="360" w:lineRule="auto"/>
        <w:ind w:left="1000"/>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lang w:val="en-US" w:eastAsia="zh-CN"/>
        </w:rPr>
        <w:t xml:space="preserve">           </w:t>
      </w:r>
      <w:r>
        <w:rPr>
          <w:rFonts w:hint="eastAsia" w:ascii="宋体" w:hAnsi="宋体" w:eastAsia="宋体" w:cs="宋体"/>
          <w:color w:val="auto"/>
          <w:kern w:val="2"/>
          <w:szCs w:val="24"/>
          <w:highlight w:val="none"/>
        </w:rPr>
        <w:t xml:space="preserve"> 开户银行电话：</w:t>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r>
        <w:rPr>
          <w:rFonts w:hint="eastAsia" w:ascii="宋体" w:hAnsi="宋体" w:eastAsia="宋体" w:cs="宋体"/>
          <w:color w:val="auto"/>
          <w:kern w:val="2"/>
          <w:szCs w:val="24"/>
          <w:highlight w:val="none"/>
          <w:u w:val="single"/>
        </w:rPr>
        <w:tab/>
      </w:r>
    </w:p>
    <w:p w14:paraId="3173D590">
      <w:pPr>
        <w:spacing w:line="360" w:lineRule="auto"/>
        <w:ind w:right="420" w:firstLine="1974" w:firstLineChars="940"/>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lang w:val="en-US" w:eastAsia="zh-CN"/>
        </w:rPr>
        <w:t xml:space="preserve">       </w:t>
      </w:r>
      <w:r>
        <w:rPr>
          <w:rFonts w:hint="eastAsia" w:ascii="宋体" w:hAnsi="宋体" w:eastAsia="宋体" w:cs="宋体"/>
          <w:color w:val="auto"/>
          <w:kern w:val="2"/>
          <w:szCs w:val="24"/>
          <w:highlight w:val="none"/>
        </w:rPr>
        <w:t>日</w:t>
      </w:r>
      <w:r>
        <w:rPr>
          <w:rFonts w:hint="eastAsia" w:ascii="宋体" w:hAnsi="宋体" w:eastAsia="宋体" w:cs="宋体"/>
          <w:color w:val="auto"/>
          <w:kern w:val="2"/>
          <w:szCs w:val="24"/>
          <w:highlight w:val="none"/>
          <w:lang w:val="en-US" w:eastAsia="zh-CN"/>
        </w:rPr>
        <w:t xml:space="preserve">  </w:t>
      </w:r>
      <w:r>
        <w:rPr>
          <w:rFonts w:hint="eastAsia" w:ascii="宋体" w:hAnsi="宋体" w:eastAsia="宋体" w:cs="宋体"/>
          <w:color w:val="auto"/>
          <w:kern w:val="2"/>
          <w:szCs w:val="24"/>
          <w:highlight w:val="none"/>
        </w:rPr>
        <w:t>期：</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年</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月</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日</w:t>
      </w:r>
    </w:p>
    <w:p w14:paraId="6E9DB533">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EE02BA0">
      <w:pPr>
        <w:pStyle w:val="4"/>
        <w:jc w:val="center"/>
        <w:rPr>
          <w:rFonts w:hint="eastAsia" w:ascii="宋体" w:hAnsi="宋体" w:eastAsia="宋体" w:cs="宋体"/>
          <w:b w:val="0"/>
          <w:bCs w:val="0"/>
          <w:color w:val="auto"/>
          <w:sz w:val="28"/>
          <w:szCs w:val="28"/>
          <w:highlight w:val="none"/>
        </w:rPr>
      </w:pPr>
      <w:r>
        <w:rPr>
          <w:rFonts w:hint="eastAsia" w:ascii="宋体" w:hAnsi="宋体" w:eastAsia="宋体" w:cs="宋体"/>
          <w:b w:val="0"/>
          <w:color w:val="auto"/>
          <w:sz w:val="28"/>
          <w:szCs w:val="28"/>
          <w:highlight w:val="none"/>
        </w:rPr>
        <w:t>（二）竞标函附录</w:t>
      </w:r>
    </w:p>
    <w:p w14:paraId="0692032E">
      <w:pPr>
        <w:jc w:val="center"/>
        <w:rPr>
          <w:rFonts w:hint="eastAsia" w:ascii="宋体" w:hAnsi="宋体" w:eastAsia="宋体" w:cs="宋体"/>
          <w:color w:val="auto"/>
          <w:kern w:val="2"/>
          <w:sz w:val="28"/>
          <w:szCs w:val="28"/>
          <w:highlight w:val="none"/>
        </w:rPr>
      </w:pPr>
    </w:p>
    <w:p w14:paraId="2D5D2CCA">
      <w:pPr>
        <w:ind w:firstLine="514" w:firstLineChars="245"/>
        <w:rPr>
          <w:rFonts w:hint="eastAsia" w:ascii="宋体" w:hAnsi="宋体" w:eastAsia="宋体" w:cs="宋体"/>
          <w:color w:val="auto"/>
          <w:kern w:val="2"/>
          <w:highlight w:val="none"/>
        </w:rPr>
      </w:pPr>
      <w:r>
        <w:rPr>
          <w:rFonts w:hint="eastAsia" w:ascii="宋体" w:hAnsi="宋体" w:eastAsia="宋体" w:cs="宋体"/>
          <w:color w:val="auto"/>
          <w:kern w:val="2"/>
          <w:highlight w:val="none"/>
        </w:rPr>
        <w:t>项目名称：</w:t>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rPr>
        <w:tab/>
      </w:r>
      <w:r>
        <w:rPr>
          <w:rFonts w:hint="eastAsia" w:ascii="宋体" w:hAnsi="宋体" w:eastAsia="宋体" w:cs="宋体"/>
          <w:color w:val="auto"/>
          <w:kern w:val="2"/>
          <w:highlight w:val="none"/>
        </w:rPr>
        <w:tab/>
      </w:r>
      <w:r>
        <w:rPr>
          <w:rFonts w:hint="eastAsia" w:ascii="宋体" w:hAnsi="宋体" w:eastAsia="宋体" w:cs="宋体"/>
          <w:color w:val="auto"/>
          <w:kern w:val="2"/>
          <w:highlight w:val="none"/>
        </w:rPr>
        <w:t>项目编号：</w:t>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p>
    <w:tbl>
      <w:tblPr>
        <w:tblStyle w:val="13"/>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1838"/>
        <w:gridCol w:w="2410"/>
        <w:gridCol w:w="1705"/>
      </w:tblGrid>
      <w:tr w14:paraId="2338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161D0B4">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序 号</w:t>
            </w:r>
          </w:p>
        </w:tc>
        <w:tc>
          <w:tcPr>
            <w:tcW w:w="1985" w:type="dxa"/>
            <w:vAlign w:val="center"/>
          </w:tcPr>
          <w:p w14:paraId="7135D80F">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条款内容</w:t>
            </w:r>
          </w:p>
        </w:tc>
        <w:tc>
          <w:tcPr>
            <w:tcW w:w="1838" w:type="dxa"/>
            <w:vAlign w:val="center"/>
          </w:tcPr>
          <w:p w14:paraId="1776C68B">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合同条款号</w:t>
            </w:r>
          </w:p>
        </w:tc>
        <w:tc>
          <w:tcPr>
            <w:tcW w:w="2410" w:type="dxa"/>
            <w:vAlign w:val="center"/>
          </w:tcPr>
          <w:p w14:paraId="5A9F1593">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供应商响应情况</w:t>
            </w:r>
          </w:p>
        </w:tc>
        <w:tc>
          <w:tcPr>
            <w:tcW w:w="1705" w:type="dxa"/>
            <w:vAlign w:val="center"/>
          </w:tcPr>
          <w:p w14:paraId="36EB2384">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备注</w:t>
            </w:r>
          </w:p>
        </w:tc>
      </w:tr>
      <w:tr w14:paraId="0E03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2250B67">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1</w:t>
            </w:r>
          </w:p>
        </w:tc>
        <w:tc>
          <w:tcPr>
            <w:tcW w:w="1985" w:type="dxa"/>
            <w:vAlign w:val="center"/>
          </w:tcPr>
          <w:p w14:paraId="1A21F75F">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磋商有效期</w:t>
            </w:r>
          </w:p>
        </w:tc>
        <w:tc>
          <w:tcPr>
            <w:tcW w:w="1838" w:type="dxa"/>
            <w:tcMar>
              <w:left w:w="170" w:type="dxa"/>
            </w:tcMar>
            <w:vAlign w:val="center"/>
          </w:tcPr>
          <w:p w14:paraId="5E29B481">
            <w:pPr>
              <w:rPr>
                <w:rFonts w:hint="eastAsia" w:ascii="宋体" w:hAnsi="宋体" w:eastAsia="宋体" w:cs="宋体"/>
                <w:color w:val="auto"/>
                <w:kern w:val="2"/>
                <w:highlight w:val="none"/>
              </w:rPr>
            </w:pPr>
          </w:p>
        </w:tc>
        <w:tc>
          <w:tcPr>
            <w:tcW w:w="2410" w:type="dxa"/>
            <w:vAlign w:val="center"/>
          </w:tcPr>
          <w:p w14:paraId="3E48A920">
            <w:pPr>
              <w:jc w:val="center"/>
              <w:rPr>
                <w:rFonts w:hint="eastAsia" w:ascii="宋体" w:hAnsi="宋体" w:eastAsia="宋体" w:cs="宋体"/>
                <w:color w:val="auto"/>
                <w:kern w:val="2"/>
                <w:highlight w:val="none"/>
                <w:u w:val="single"/>
              </w:rPr>
            </w:pP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日历天</w:t>
            </w:r>
          </w:p>
        </w:tc>
        <w:tc>
          <w:tcPr>
            <w:tcW w:w="1705" w:type="dxa"/>
            <w:vAlign w:val="center"/>
          </w:tcPr>
          <w:p w14:paraId="65BDC678">
            <w:pPr>
              <w:jc w:val="center"/>
              <w:rPr>
                <w:rFonts w:hint="eastAsia" w:ascii="宋体" w:hAnsi="宋体" w:eastAsia="宋体" w:cs="宋体"/>
                <w:color w:val="auto"/>
                <w:kern w:val="2"/>
                <w:highlight w:val="none"/>
              </w:rPr>
            </w:pPr>
          </w:p>
        </w:tc>
      </w:tr>
      <w:tr w14:paraId="057B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BCCD3A4">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2</w:t>
            </w:r>
          </w:p>
        </w:tc>
        <w:tc>
          <w:tcPr>
            <w:tcW w:w="1985" w:type="dxa"/>
            <w:vAlign w:val="center"/>
          </w:tcPr>
          <w:p w14:paraId="57765961">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工期</w:t>
            </w:r>
          </w:p>
        </w:tc>
        <w:tc>
          <w:tcPr>
            <w:tcW w:w="1838" w:type="dxa"/>
            <w:tcMar>
              <w:left w:w="170" w:type="dxa"/>
            </w:tcMar>
            <w:vAlign w:val="center"/>
          </w:tcPr>
          <w:p w14:paraId="7CA2EFEE">
            <w:pPr>
              <w:jc w:val="center"/>
              <w:rPr>
                <w:rFonts w:hint="eastAsia" w:ascii="宋体" w:hAnsi="宋体" w:eastAsia="宋体" w:cs="宋体"/>
                <w:color w:val="auto"/>
                <w:kern w:val="2"/>
                <w:highlight w:val="none"/>
              </w:rPr>
            </w:pPr>
          </w:p>
        </w:tc>
        <w:tc>
          <w:tcPr>
            <w:tcW w:w="2410" w:type="dxa"/>
            <w:vAlign w:val="center"/>
          </w:tcPr>
          <w:p w14:paraId="47ABC667">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日历天</w:t>
            </w:r>
          </w:p>
        </w:tc>
        <w:tc>
          <w:tcPr>
            <w:tcW w:w="1705" w:type="dxa"/>
            <w:vAlign w:val="center"/>
          </w:tcPr>
          <w:p w14:paraId="6133BFF1">
            <w:pPr>
              <w:jc w:val="center"/>
              <w:rPr>
                <w:rFonts w:hint="eastAsia" w:ascii="宋体" w:hAnsi="宋体" w:eastAsia="宋体" w:cs="宋体"/>
                <w:color w:val="auto"/>
                <w:kern w:val="2"/>
                <w:highlight w:val="none"/>
              </w:rPr>
            </w:pPr>
          </w:p>
        </w:tc>
      </w:tr>
      <w:tr w14:paraId="0779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08C48A6">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3</w:t>
            </w:r>
          </w:p>
        </w:tc>
        <w:tc>
          <w:tcPr>
            <w:tcW w:w="1985" w:type="dxa"/>
            <w:vAlign w:val="center"/>
          </w:tcPr>
          <w:p w14:paraId="1BBCF54A">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质量标准</w:t>
            </w:r>
          </w:p>
        </w:tc>
        <w:tc>
          <w:tcPr>
            <w:tcW w:w="1838" w:type="dxa"/>
            <w:tcMar>
              <w:left w:w="170" w:type="dxa"/>
            </w:tcMar>
            <w:vAlign w:val="center"/>
          </w:tcPr>
          <w:p w14:paraId="7E8E0460">
            <w:pPr>
              <w:jc w:val="center"/>
              <w:rPr>
                <w:rFonts w:hint="eastAsia" w:ascii="宋体" w:hAnsi="宋体" w:eastAsia="宋体" w:cs="宋体"/>
                <w:color w:val="auto"/>
                <w:kern w:val="2"/>
                <w:highlight w:val="none"/>
              </w:rPr>
            </w:pPr>
          </w:p>
        </w:tc>
        <w:tc>
          <w:tcPr>
            <w:tcW w:w="2410" w:type="dxa"/>
            <w:vAlign w:val="center"/>
          </w:tcPr>
          <w:p w14:paraId="7E5BFA51">
            <w:pPr>
              <w:jc w:val="center"/>
              <w:rPr>
                <w:rFonts w:hint="eastAsia" w:ascii="宋体" w:hAnsi="宋体" w:eastAsia="宋体" w:cs="宋体"/>
                <w:color w:val="auto"/>
                <w:kern w:val="2"/>
                <w:highlight w:val="none"/>
              </w:rPr>
            </w:pPr>
          </w:p>
        </w:tc>
        <w:tc>
          <w:tcPr>
            <w:tcW w:w="1705" w:type="dxa"/>
            <w:vAlign w:val="center"/>
          </w:tcPr>
          <w:p w14:paraId="52C91FF5">
            <w:pPr>
              <w:jc w:val="center"/>
              <w:rPr>
                <w:rFonts w:hint="eastAsia" w:ascii="宋体" w:hAnsi="宋体" w:eastAsia="宋体" w:cs="宋体"/>
                <w:color w:val="auto"/>
                <w:kern w:val="2"/>
                <w:highlight w:val="none"/>
              </w:rPr>
            </w:pPr>
          </w:p>
        </w:tc>
      </w:tr>
      <w:tr w14:paraId="30EA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6FA7F98">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4</w:t>
            </w:r>
          </w:p>
        </w:tc>
        <w:tc>
          <w:tcPr>
            <w:tcW w:w="1985" w:type="dxa"/>
            <w:vAlign w:val="center"/>
          </w:tcPr>
          <w:p w14:paraId="25F4E353">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缺陷责任期</w:t>
            </w:r>
          </w:p>
        </w:tc>
        <w:tc>
          <w:tcPr>
            <w:tcW w:w="1838" w:type="dxa"/>
            <w:tcMar>
              <w:left w:w="170" w:type="dxa"/>
            </w:tcMar>
            <w:vAlign w:val="center"/>
          </w:tcPr>
          <w:p w14:paraId="6B14D915">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专用条款</w:t>
            </w:r>
          </w:p>
        </w:tc>
        <w:tc>
          <w:tcPr>
            <w:tcW w:w="2410" w:type="dxa"/>
            <w:vAlign w:val="center"/>
          </w:tcPr>
          <w:p w14:paraId="17E70794">
            <w:pPr>
              <w:jc w:val="center"/>
              <w:rPr>
                <w:rFonts w:hint="eastAsia" w:ascii="宋体" w:hAnsi="宋体" w:eastAsia="宋体" w:cs="宋体"/>
                <w:color w:val="auto"/>
                <w:kern w:val="2"/>
                <w:highlight w:val="none"/>
              </w:rPr>
            </w:pPr>
          </w:p>
        </w:tc>
        <w:tc>
          <w:tcPr>
            <w:tcW w:w="1705" w:type="dxa"/>
            <w:vAlign w:val="center"/>
          </w:tcPr>
          <w:p w14:paraId="1819A0C5">
            <w:pPr>
              <w:jc w:val="center"/>
              <w:rPr>
                <w:rFonts w:hint="eastAsia" w:ascii="宋体" w:hAnsi="宋体" w:eastAsia="宋体" w:cs="宋体"/>
                <w:color w:val="auto"/>
                <w:kern w:val="2"/>
                <w:highlight w:val="none"/>
              </w:rPr>
            </w:pPr>
          </w:p>
        </w:tc>
      </w:tr>
      <w:tr w14:paraId="1B20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1C1833F">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5</w:t>
            </w:r>
          </w:p>
        </w:tc>
        <w:tc>
          <w:tcPr>
            <w:tcW w:w="1985" w:type="dxa"/>
            <w:vAlign w:val="center"/>
          </w:tcPr>
          <w:p w14:paraId="02363351">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开工预付款额度</w:t>
            </w:r>
          </w:p>
        </w:tc>
        <w:tc>
          <w:tcPr>
            <w:tcW w:w="1838" w:type="dxa"/>
            <w:tcMar>
              <w:left w:w="170" w:type="dxa"/>
            </w:tcMar>
            <w:vAlign w:val="center"/>
          </w:tcPr>
          <w:p w14:paraId="1105EF11">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专用条款</w:t>
            </w:r>
          </w:p>
        </w:tc>
        <w:tc>
          <w:tcPr>
            <w:tcW w:w="2410" w:type="dxa"/>
            <w:vAlign w:val="center"/>
          </w:tcPr>
          <w:p w14:paraId="52AC3C3D">
            <w:pPr>
              <w:jc w:val="center"/>
              <w:rPr>
                <w:rFonts w:hint="eastAsia" w:ascii="宋体" w:hAnsi="宋体" w:eastAsia="宋体" w:cs="宋体"/>
                <w:color w:val="auto"/>
                <w:kern w:val="2"/>
                <w:highlight w:val="none"/>
              </w:rPr>
            </w:pPr>
          </w:p>
        </w:tc>
        <w:tc>
          <w:tcPr>
            <w:tcW w:w="1705" w:type="dxa"/>
            <w:vAlign w:val="center"/>
          </w:tcPr>
          <w:p w14:paraId="1F99028E">
            <w:pPr>
              <w:jc w:val="center"/>
              <w:rPr>
                <w:rFonts w:hint="eastAsia" w:ascii="宋体" w:hAnsi="宋体" w:eastAsia="宋体" w:cs="宋体"/>
                <w:color w:val="auto"/>
                <w:kern w:val="2"/>
                <w:highlight w:val="none"/>
              </w:rPr>
            </w:pPr>
          </w:p>
        </w:tc>
      </w:tr>
      <w:tr w14:paraId="1D91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A4048B7">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6</w:t>
            </w:r>
          </w:p>
        </w:tc>
        <w:tc>
          <w:tcPr>
            <w:tcW w:w="1985" w:type="dxa"/>
            <w:vAlign w:val="center"/>
          </w:tcPr>
          <w:p w14:paraId="6F716F23">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质量保证金额度</w:t>
            </w:r>
          </w:p>
        </w:tc>
        <w:tc>
          <w:tcPr>
            <w:tcW w:w="1838" w:type="dxa"/>
            <w:tcMar>
              <w:left w:w="170" w:type="dxa"/>
            </w:tcMar>
            <w:vAlign w:val="center"/>
          </w:tcPr>
          <w:p w14:paraId="6B464EFD">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专用条款</w:t>
            </w:r>
          </w:p>
        </w:tc>
        <w:tc>
          <w:tcPr>
            <w:tcW w:w="2410" w:type="dxa"/>
            <w:vAlign w:val="center"/>
          </w:tcPr>
          <w:p w14:paraId="1489FAB3">
            <w:pPr>
              <w:jc w:val="center"/>
              <w:rPr>
                <w:rFonts w:hint="eastAsia" w:ascii="宋体" w:hAnsi="宋体" w:eastAsia="宋体" w:cs="宋体"/>
                <w:color w:val="auto"/>
                <w:kern w:val="2"/>
                <w:highlight w:val="none"/>
              </w:rPr>
            </w:pPr>
          </w:p>
        </w:tc>
        <w:tc>
          <w:tcPr>
            <w:tcW w:w="1705" w:type="dxa"/>
            <w:vAlign w:val="center"/>
          </w:tcPr>
          <w:p w14:paraId="771DA083">
            <w:pPr>
              <w:jc w:val="center"/>
              <w:rPr>
                <w:rFonts w:hint="eastAsia" w:ascii="宋体" w:hAnsi="宋体" w:eastAsia="宋体" w:cs="宋体"/>
                <w:color w:val="auto"/>
                <w:kern w:val="2"/>
                <w:highlight w:val="none"/>
              </w:rPr>
            </w:pPr>
          </w:p>
        </w:tc>
      </w:tr>
      <w:tr w14:paraId="61B0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97EB2F1">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7</w:t>
            </w:r>
          </w:p>
        </w:tc>
        <w:tc>
          <w:tcPr>
            <w:tcW w:w="1985" w:type="dxa"/>
            <w:vAlign w:val="center"/>
          </w:tcPr>
          <w:p w14:paraId="739E50B6">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技术标准和要求</w:t>
            </w:r>
          </w:p>
        </w:tc>
        <w:tc>
          <w:tcPr>
            <w:tcW w:w="1838" w:type="dxa"/>
            <w:tcMar>
              <w:left w:w="170" w:type="dxa"/>
            </w:tcMar>
            <w:vAlign w:val="center"/>
          </w:tcPr>
          <w:p w14:paraId="376F16E0">
            <w:pPr>
              <w:jc w:val="center"/>
              <w:rPr>
                <w:rFonts w:hint="eastAsia" w:ascii="宋体" w:hAnsi="宋体" w:eastAsia="宋体" w:cs="宋体"/>
                <w:color w:val="auto"/>
                <w:kern w:val="2"/>
                <w:highlight w:val="none"/>
              </w:rPr>
            </w:pPr>
          </w:p>
        </w:tc>
        <w:tc>
          <w:tcPr>
            <w:tcW w:w="2410" w:type="dxa"/>
            <w:vAlign w:val="center"/>
          </w:tcPr>
          <w:p w14:paraId="52C7A953">
            <w:pPr>
              <w:jc w:val="left"/>
              <w:rPr>
                <w:rFonts w:hint="eastAsia" w:ascii="宋体" w:hAnsi="宋体" w:eastAsia="宋体" w:cs="宋体"/>
                <w:color w:val="auto"/>
                <w:kern w:val="2"/>
                <w:highlight w:val="none"/>
              </w:rPr>
            </w:pPr>
            <w:r>
              <w:rPr>
                <w:rFonts w:hint="eastAsia" w:ascii="宋体" w:hAnsi="宋体" w:eastAsia="宋体" w:cs="宋体"/>
                <w:color w:val="auto"/>
                <w:kern w:val="2"/>
                <w:highlight w:val="none"/>
              </w:rPr>
              <w:t>是否符合磋商文件第五章“技术标准和要求”</w:t>
            </w:r>
          </w:p>
          <w:p w14:paraId="488570A2">
            <w:pPr>
              <w:jc w:val="left"/>
              <w:rPr>
                <w:rFonts w:hint="eastAsia" w:ascii="宋体" w:hAnsi="宋体" w:eastAsia="宋体" w:cs="宋体"/>
                <w:color w:val="auto"/>
                <w:kern w:val="2"/>
                <w:highlight w:val="none"/>
              </w:rPr>
            </w:pPr>
            <w:r>
              <w:rPr>
                <w:rFonts w:hint="eastAsia" w:ascii="宋体" w:hAnsi="宋体" w:eastAsia="宋体" w:cs="宋体"/>
                <w:color w:val="auto"/>
                <w:kern w:val="2"/>
                <w:highlight w:val="none"/>
              </w:rPr>
              <w:t>是（）     否（）</w:t>
            </w:r>
          </w:p>
        </w:tc>
        <w:tc>
          <w:tcPr>
            <w:tcW w:w="1705" w:type="dxa"/>
            <w:vAlign w:val="center"/>
          </w:tcPr>
          <w:p w14:paraId="32B45425">
            <w:pPr>
              <w:jc w:val="center"/>
              <w:rPr>
                <w:rFonts w:hint="eastAsia" w:ascii="宋体" w:hAnsi="宋体" w:eastAsia="宋体" w:cs="宋体"/>
                <w:color w:val="auto"/>
                <w:kern w:val="2"/>
                <w:highlight w:val="none"/>
              </w:rPr>
            </w:pPr>
          </w:p>
        </w:tc>
      </w:tr>
      <w:tr w14:paraId="3F91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8E3BC72">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w:t>
            </w:r>
          </w:p>
        </w:tc>
        <w:tc>
          <w:tcPr>
            <w:tcW w:w="1985" w:type="dxa"/>
            <w:vAlign w:val="center"/>
          </w:tcPr>
          <w:p w14:paraId="011E6D4D">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w:t>
            </w:r>
          </w:p>
        </w:tc>
        <w:tc>
          <w:tcPr>
            <w:tcW w:w="1838" w:type="dxa"/>
            <w:tcMar>
              <w:left w:w="170" w:type="dxa"/>
            </w:tcMar>
            <w:vAlign w:val="center"/>
          </w:tcPr>
          <w:p w14:paraId="7A745753">
            <w:pPr>
              <w:rPr>
                <w:rFonts w:hint="eastAsia" w:ascii="宋体" w:hAnsi="宋体" w:eastAsia="宋体" w:cs="宋体"/>
                <w:color w:val="auto"/>
                <w:kern w:val="2"/>
                <w:highlight w:val="none"/>
              </w:rPr>
            </w:pPr>
          </w:p>
        </w:tc>
        <w:tc>
          <w:tcPr>
            <w:tcW w:w="2410" w:type="dxa"/>
            <w:vAlign w:val="center"/>
          </w:tcPr>
          <w:p w14:paraId="0CDA837B">
            <w:pPr>
              <w:jc w:val="center"/>
              <w:rPr>
                <w:rFonts w:hint="eastAsia" w:ascii="宋体" w:hAnsi="宋体" w:eastAsia="宋体" w:cs="宋体"/>
                <w:color w:val="auto"/>
                <w:kern w:val="2"/>
                <w:highlight w:val="none"/>
              </w:rPr>
            </w:pPr>
          </w:p>
        </w:tc>
        <w:tc>
          <w:tcPr>
            <w:tcW w:w="1705" w:type="dxa"/>
            <w:vAlign w:val="center"/>
          </w:tcPr>
          <w:p w14:paraId="408CE212">
            <w:pPr>
              <w:jc w:val="center"/>
              <w:rPr>
                <w:rFonts w:hint="eastAsia" w:ascii="宋体" w:hAnsi="宋体" w:eastAsia="宋体" w:cs="宋体"/>
                <w:color w:val="auto"/>
                <w:kern w:val="2"/>
                <w:highlight w:val="none"/>
              </w:rPr>
            </w:pPr>
          </w:p>
        </w:tc>
      </w:tr>
      <w:tr w14:paraId="7E2B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14:paraId="64B1DF4D">
            <w:pPr>
              <w:spacing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说明：供应商在响应磋商文件中规定的实质性要求和条件的基础上，可做出其他有利于采购人的承诺。此类承诺可在本表中予以补充填写。</w:t>
            </w:r>
          </w:p>
        </w:tc>
      </w:tr>
    </w:tbl>
    <w:p w14:paraId="684ACE64">
      <w:pPr>
        <w:spacing w:line="480" w:lineRule="exact"/>
        <w:ind w:firstLine="420" w:firstLineChars="200"/>
        <w:rPr>
          <w:rFonts w:hint="eastAsia" w:ascii="宋体" w:hAnsi="宋体" w:eastAsia="宋体" w:cs="宋体"/>
          <w:color w:val="auto"/>
          <w:kern w:val="2"/>
          <w:highlight w:val="none"/>
        </w:rPr>
      </w:pPr>
    </w:p>
    <w:p w14:paraId="0E70F244">
      <w:pPr>
        <w:spacing w:line="480" w:lineRule="exact"/>
        <w:ind w:firstLine="42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w:t>
      </w:r>
      <w:r>
        <w:rPr>
          <w:rFonts w:hint="eastAsia" w:ascii="宋体" w:hAnsi="宋体" w:eastAsia="宋体" w:cs="宋体"/>
          <w:color w:val="auto"/>
          <w:kern w:val="2"/>
          <w:highlight w:val="none"/>
          <w:lang w:eastAsia="zh-CN"/>
        </w:rPr>
        <w:t>（盖电子公章）</w:t>
      </w:r>
      <w:r>
        <w:rPr>
          <w:rFonts w:hint="eastAsia" w:ascii="宋体" w:hAnsi="宋体" w:eastAsia="宋体" w:cs="宋体"/>
          <w:color w:val="auto"/>
          <w:kern w:val="2"/>
          <w:highlight w:val="none"/>
        </w:rPr>
        <w:t>：</w:t>
      </w:r>
      <w:r>
        <w:rPr>
          <w:rFonts w:hint="eastAsia" w:ascii="宋体" w:hAnsi="宋体" w:eastAsia="宋体" w:cs="宋体"/>
          <w:color w:val="auto"/>
          <w:kern w:val="2"/>
          <w:highlight w:val="none"/>
          <w:u w:val="single"/>
        </w:rPr>
        <w:t xml:space="preserve">                      </w:t>
      </w:r>
    </w:p>
    <w:p w14:paraId="5B67E807">
      <w:pPr>
        <w:spacing w:line="480" w:lineRule="exact"/>
        <w:ind w:firstLine="42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法定代表人（负责人）或其委托代理人（签字或盖章）：</w:t>
      </w:r>
      <w:r>
        <w:rPr>
          <w:rFonts w:hint="eastAsia" w:ascii="宋体" w:hAnsi="宋体" w:eastAsia="宋体" w:cs="宋体"/>
          <w:color w:val="auto"/>
          <w:kern w:val="2"/>
          <w:highlight w:val="none"/>
          <w:u w:val="single"/>
        </w:rPr>
        <w:t xml:space="preserve">                              </w:t>
      </w:r>
    </w:p>
    <w:p w14:paraId="0755A701">
      <w:pPr>
        <w:spacing w:line="480" w:lineRule="exact"/>
        <w:ind w:firstLine="42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日期：</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年</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月</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日</w:t>
      </w:r>
    </w:p>
    <w:p w14:paraId="53426147">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7FBC697">
      <w:pPr>
        <w:pStyle w:val="4"/>
        <w:jc w:val="center"/>
        <w:rPr>
          <w:rFonts w:hint="eastAsia" w:ascii="宋体" w:hAnsi="宋体" w:eastAsia="宋体" w:cs="宋体"/>
          <w:b w:val="0"/>
          <w:bCs w:val="0"/>
          <w:color w:val="auto"/>
          <w:sz w:val="28"/>
          <w:szCs w:val="28"/>
          <w:highlight w:val="none"/>
        </w:rPr>
      </w:pPr>
      <w:r>
        <w:rPr>
          <w:rFonts w:hint="eastAsia" w:ascii="宋体" w:hAnsi="宋体" w:eastAsia="宋体" w:cs="宋体"/>
          <w:b w:val="0"/>
          <w:color w:val="auto"/>
          <w:sz w:val="28"/>
          <w:szCs w:val="28"/>
          <w:highlight w:val="none"/>
        </w:rPr>
        <w:t>（三）已标价工程量清单</w:t>
      </w:r>
    </w:p>
    <w:p w14:paraId="7FD496D8">
      <w:pPr>
        <w:widowControl/>
        <w:spacing w:line="360" w:lineRule="auto"/>
        <w:ind w:firstLine="420" w:firstLineChars="200"/>
        <w:jc w:val="left"/>
        <w:rPr>
          <w:rFonts w:hint="eastAsia" w:ascii="宋体" w:hAnsi="宋体" w:eastAsia="宋体" w:cs="宋体"/>
          <w:color w:val="auto"/>
          <w:highlight w:val="none"/>
        </w:rPr>
      </w:pPr>
    </w:p>
    <w:p w14:paraId="21CD1C0C">
      <w:pPr>
        <w:widowControl/>
        <w:spacing w:line="360" w:lineRule="auto"/>
        <w:ind w:firstLine="420" w:firstLineChars="200"/>
        <w:jc w:val="left"/>
        <w:rPr>
          <w:rFonts w:hint="eastAsia" w:ascii="宋体" w:hAnsi="宋体" w:eastAsia="宋体" w:cs="宋体"/>
          <w:b/>
          <w:bCs/>
          <w:color w:val="auto"/>
          <w:szCs w:val="32"/>
          <w:highlight w:val="none"/>
        </w:rPr>
      </w:pPr>
      <w:r>
        <w:rPr>
          <w:rFonts w:hint="eastAsia" w:ascii="宋体" w:hAnsi="宋体" w:eastAsia="宋体" w:cs="宋体"/>
          <w:color w:val="auto"/>
          <w:highlight w:val="none"/>
        </w:rPr>
        <w:t>按照第七章工程量清单要求编制</w:t>
      </w:r>
      <w:r>
        <w:rPr>
          <w:rFonts w:hint="eastAsia" w:ascii="宋体" w:hAnsi="宋体" w:eastAsia="宋体" w:cs="宋体"/>
          <w:color w:val="auto"/>
          <w:highlight w:val="none"/>
        </w:rPr>
        <w:br w:type="page"/>
      </w:r>
    </w:p>
    <w:p w14:paraId="2EED49AC">
      <w:pPr>
        <w:pStyle w:val="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二、资格审查部分</w:t>
      </w:r>
    </w:p>
    <w:p w14:paraId="5776C5EA">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（一）法定代表人（负责人）身份证明</w:t>
      </w:r>
    </w:p>
    <w:p w14:paraId="1659FAD5">
      <w:pPr>
        <w:spacing w:line="480" w:lineRule="auto"/>
        <w:ind w:firstLine="703" w:firstLineChars="250"/>
        <w:jc w:val="center"/>
        <w:rPr>
          <w:rFonts w:hint="eastAsia" w:ascii="宋体" w:hAnsi="宋体" w:eastAsia="宋体" w:cs="宋体"/>
          <w:b/>
          <w:color w:val="auto"/>
          <w:kern w:val="2"/>
          <w:sz w:val="28"/>
          <w:szCs w:val="28"/>
          <w:highlight w:val="none"/>
        </w:rPr>
      </w:pPr>
    </w:p>
    <w:p w14:paraId="46F9210F">
      <w:pPr>
        <w:spacing w:line="560" w:lineRule="exact"/>
        <w:ind w:firstLine="525" w:firstLineChars="250"/>
        <w:rPr>
          <w:rFonts w:hint="eastAsia" w:ascii="宋体" w:hAnsi="宋体" w:eastAsia="宋体" w:cs="宋体"/>
          <w:color w:val="auto"/>
          <w:kern w:val="2"/>
          <w:highlight w:val="none"/>
        </w:rPr>
      </w:pPr>
      <w:r>
        <w:rPr>
          <w:rFonts w:hint="eastAsia" w:ascii="宋体" w:hAnsi="宋体" w:eastAsia="宋体" w:cs="宋体"/>
          <w:color w:val="auto"/>
          <w:kern w:val="2"/>
          <w:highlight w:val="none"/>
        </w:rPr>
        <w:t>供 应 商：</w:t>
      </w:r>
      <w:r>
        <w:rPr>
          <w:rFonts w:hint="eastAsia" w:ascii="宋体" w:hAnsi="宋体" w:eastAsia="宋体" w:cs="宋体"/>
          <w:color w:val="auto"/>
          <w:kern w:val="2"/>
          <w:highlight w:val="none"/>
          <w:u w:val="single"/>
        </w:rPr>
        <w:t xml:space="preserve">                                                        </w:t>
      </w:r>
    </w:p>
    <w:p w14:paraId="36B99428">
      <w:pPr>
        <w:spacing w:line="560" w:lineRule="exact"/>
        <w:ind w:firstLine="525" w:firstLineChars="250"/>
        <w:rPr>
          <w:rFonts w:hint="eastAsia" w:ascii="宋体" w:hAnsi="宋体" w:eastAsia="宋体" w:cs="宋体"/>
          <w:color w:val="auto"/>
          <w:kern w:val="2"/>
          <w:highlight w:val="none"/>
        </w:rPr>
      </w:pPr>
      <w:r>
        <w:rPr>
          <w:rFonts w:hint="eastAsia" w:ascii="宋体" w:hAnsi="宋体" w:eastAsia="宋体" w:cs="宋体"/>
          <w:color w:val="auto"/>
          <w:kern w:val="2"/>
          <w:highlight w:val="none"/>
        </w:rPr>
        <w:t>单位性质：</w:t>
      </w:r>
      <w:r>
        <w:rPr>
          <w:rFonts w:hint="eastAsia" w:ascii="宋体" w:hAnsi="宋体" w:eastAsia="宋体" w:cs="宋体"/>
          <w:color w:val="auto"/>
          <w:kern w:val="2"/>
          <w:highlight w:val="none"/>
          <w:u w:val="single"/>
        </w:rPr>
        <w:t xml:space="preserve">                                                        </w:t>
      </w:r>
    </w:p>
    <w:p w14:paraId="29D78FF4">
      <w:pPr>
        <w:spacing w:line="560" w:lineRule="exact"/>
        <w:ind w:firstLine="525" w:firstLineChars="250"/>
        <w:rPr>
          <w:rFonts w:hint="eastAsia" w:ascii="宋体" w:hAnsi="宋体" w:eastAsia="宋体" w:cs="宋体"/>
          <w:color w:val="auto"/>
          <w:kern w:val="2"/>
          <w:highlight w:val="none"/>
        </w:rPr>
      </w:pPr>
      <w:r>
        <w:rPr>
          <w:rFonts w:hint="eastAsia" w:ascii="宋体" w:hAnsi="宋体" w:eastAsia="宋体" w:cs="宋体"/>
          <w:color w:val="auto"/>
          <w:kern w:val="2"/>
          <w:highlight w:val="none"/>
        </w:rPr>
        <w:t>地    址：</w:t>
      </w:r>
      <w:r>
        <w:rPr>
          <w:rFonts w:hint="eastAsia" w:ascii="宋体" w:hAnsi="宋体" w:eastAsia="宋体" w:cs="宋体"/>
          <w:color w:val="auto"/>
          <w:kern w:val="2"/>
          <w:highlight w:val="none"/>
          <w:u w:val="single"/>
        </w:rPr>
        <w:t xml:space="preserve">                                                        </w:t>
      </w:r>
    </w:p>
    <w:p w14:paraId="50DFE99E">
      <w:pPr>
        <w:spacing w:line="560" w:lineRule="exact"/>
        <w:ind w:firstLine="525" w:firstLineChars="250"/>
        <w:rPr>
          <w:rFonts w:hint="eastAsia" w:ascii="宋体" w:hAnsi="宋体" w:eastAsia="宋体" w:cs="宋体"/>
          <w:color w:val="auto"/>
          <w:kern w:val="2"/>
          <w:highlight w:val="none"/>
        </w:rPr>
      </w:pPr>
      <w:r>
        <w:rPr>
          <w:rFonts w:hint="eastAsia" w:ascii="宋体" w:hAnsi="宋体" w:eastAsia="宋体" w:cs="宋体"/>
          <w:color w:val="auto"/>
          <w:kern w:val="2"/>
          <w:highlight w:val="none"/>
        </w:rPr>
        <w:t>成立时间：</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年</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月</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日</w:t>
      </w:r>
    </w:p>
    <w:p w14:paraId="1951B476">
      <w:pPr>
        <w:spacing w:line="560" w:lineRule="exact"/>
        <w:ind w:firstLine="525" w:firstLineChars="250"/>
        <w:rPr>
          <w:rFonts w:hint="eastAsia" w:ascii="宋体" w:hAnsi="宋体" w:eastAsia="宋体" w:cs="宋体"/>
          <w:color w:val="auto"/>
          <w:kern w:val="2"/>
          <w:highlight w:val="none"/>
        </w:rPr>
      </w:pPr>
      <w:r>
        <w:rPr>
          <w:rFonts w:hint="eastAsia" w:ascii="宋体" w:hAnsi="宋体" w:eastAsia="宋体" w:cs="宋体"/>
          <w:color w:val="auto"/>
          <w:kern w:val="2"/>
          <w:highlight w:val="none"/>
        </w:rPr>
        <w:t>经营期限：</w:t>
      </w:r>
      <w:r>
        <w:rPr>
          <w:rFonts w:hint="eastAsia" w:ascii="宋体" w:hAnsi="宋体" w:eastAsia="宋体" w:cs="宋体"/>
          <w:color w:val="auto"/>
          <w:kern w:val="2"/>
          <w:highlight w:val="none"/>
          <w:u w:val="single"/>
        </w:rPr>
        <w:t xml:space="preserve">                                                        </w:t>
      </w:r>
    </w:p>
    <w:p w14:paraId="78E73AF9">
      <w:pPr>
        <w:spacing w:line="560" w:lineRule="exact"/>
        <w:ind w:firstLine="525" w:firstLineChars="250"/>
        <w:rPr>
          <w:rFonts w:hint="eastAsia" w:ascii="宋体" w:hAnsi="宋体" w:eastAsia="宋体" w:cs="宋体"/>
          <w:color w:val="auto"/>
          <w:kern w:val="2"/>
          <w:highlight w:val="none"/>
        </w:rPr>
      </w:pPr>
      <w:r>
        <w:rPr>
          <w:rFonts w:hint="eastAsia" w:ascii="宋体" w:hAnsi="宋体" w:eastAsia="宋体" w:cs="宋体"/>
          <w:color w:val="auto"/>
          <w:kern w:val="2"/>
          <w:highlight w:val="none"/>
        </w:rPr>
        <w:t>姓    名：</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性     别：</w:t>
      </w:r>
      <w:r>
        <w:rPr>
          <w:rFonts w:hint="eastAsia" w:ascii="宋体" w:hAnsi="宋体" w:eastAsia="宋体" w:cs="宋体"/>
          <w:color w:val="auto"/>
          <w:kern w:val="2"/>
          <w:highlight w:val="none"/>
          <w:u w:val="single"/>
        </w:rPr>
        <w:t xml:space="preserve">                   </w:t>
      </w:r>
    </w:p>
    <w:p w14:paraId="31BB327E">
      <w:pPr>
        <w:spacing w:line="560" w:lineRule="exact"/>
        <w:ind w:firstLine="525" w:firstLineChars="250"/>
        <w:rPr>
          <w:rFonts w:hint="eastAsia" w:ascii="宋体" w:hAnsi="宋体" w:eastAsia="宋体" w:cs="宋体"/>
          <w:color w:val="auto"/>
          <w:kern w:val="2"/>
          <w:highlight w:val="none"/>
          <w:u w:val="single"/>
        </w:rPr>
      </w:pPr>
      <w:r>
        <w:rPr>
          <w:rFonts w:hint="eastAsia" w:ascii="宋体" w:hAnsi="宋体" w:eastAsia="宋体" w:cs="宋体"/>
          <w:color w:val="auto"/>
          <w:kern w:val="2"/>
          <w:highlight w:val="none"/>
        </w:rPr>
        <w:t>年    龄：</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职     务：</w:t>
      </w:r>
      <w:r>
        <w:rPr>
          <w:rFonts w:hint="eastAsia" w:ascii="宋体" w:hAnsi="宋体" w:eastAsia="宋体" w:cs="宋体"/>
          <w:color w:val="auto"/>
          <w:kern w:val="2"/>
          <w:highlight w:val="none"/>
          <w:u w:val="single"/>
        </w:rPr>
        <w:t xml:space="preserve">                   </w:t>
      </w:r>
    </w:p>
    <w:p w14:paraId="6FC21E6E">
      <w:pPr>
        <w:spacing w:line="560" w:lineRule="exact"/>
        <w:ind w:firstLine="525" w:firstLineChars="250"/>
        <w:rPr>
          <w:rFonts w:hint="eastAsia" w:ascii="宋体" w:hAnsi="宋体" w:eastAsia="宋体" w:cs="宋体"/>
          <w:color w:val="auto"/>
          <w:kern w:val="2"/>
          <w:highlight w:val="none"/>
          <w:u w:val="single"/>
        </w:rPr>
      </w:pPr>
      <w:r>
        <w:rPr>
          <w:rFonts w:hint="eastAsia" w:ascii="宋体" w:hAnsi="宋体" w:eastAsia="宋体" w:cs="宋体"/>
          <w:color w:val="auto"/>
          <w:kern w:val="2"/>
          <w:highlight w:val="none"/>
        </w:rPr>
        <w:t>身份证号：</w:t>
      </w:r>
      <w:r>
        <w:rPr>
          <w:rFonts w:hint="eastAsia" w:ascii="宋体" w:hAnsi="宋体" w:eastAsia="宋体" w:cs="宋体"/>
          <w:color w:val="auto"/>
          <w:kern w:val="2"/>
          <w:highlight w:val="none"/>
          <w:u w:val="single"/>
        </w:rPr>
        <w:t xml:space="preserve">                           </w:t>
      </w:r>
    </w:p>
    <w:p w14:paraId="23E2EA1B">
      <w:pPr>
        <w:spacing w:line="560" w:lineRule="exact"/>
        <w:ind w:firstLine="525" w:firstLineChars="250"/>
        <w:rPr>
          <w:rFonts w:hint="eastAsia" w:ascii="宋体" w:hAnsi="宋体" w:eastAsia="宋体" w:cs="宋体"/>
          <w:color w:val="auto"/>
          <w:kern w:val="2"/>
          <w:highlight w:val="none"/>
        </w:rPr>
      </w:pPr>
      <w:r>
        <w:rPr>
          <w:rFonts w:hint="eastAsia" w:ascii="宋体" w:hAnsi="宋体" w:eastAsia="宋体" w:cs="宋体"/>
          <w:color w:val="auto"/>
          <w:kern w:val="2"/>
          <w:highlight w:val="none"/>
        </w:rPr>
        <w:t>系</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（供应商名称）的法定代表人（负责人）。</w:t>
      </w:r>
    </w:p>
    <w:p w14:paraId="2A4B2DB3">
      <w:pPr>
        <w:spacing w:line="560" w:lineRule="exact"/>
        <w:ind w:firstLine="525" w:firstLineChars="250"/>
        <w:rPr>
          <w:rFonts w:hint="eastAsia" w:ascii="宋体" w:hAnsi="宋体" w:eastAsia="宋体" w:cs="宋体"/>
          <w:color w:val="auto"/>
          <w:kern w:val="2"/>
          <w:highlight w:val="none"/>
        </w:rPr>
      </w:pPr>
      <w:r>
        <w:rPr>
          <w:rFonts w:hint="eastAsia" w:ascii="宋体" w:hAnsi="宋体" w:eastAsia="宋体" w:cs="宋体"/>
          <w:color w:val="auto"/>
          <w:kern w:val="2"/>
          <w:highlight w:val="none"/>
        </w:rPr>
        <w:t>特此证明。</w:t>
      </w:r>
    </w:p>
    <w:p w14:paraId="3434AF3C">
      <w:pPr>
        <w:spacing w:line="500" w:lineRule="exact"/>
        <w:rPr>
          <w:rFonts w:hint="eastAsia" w:ascii="宋体" w:hAnsi="宋体" w:eastAsia="宋体" w:cs="宋体"/>
          <w:color w:val="auto"/>
          <w:kern w:val="2"/>
          <w:highlight w:val="none"/>
        </w:rPr>
      </w:pPr>
    </w:p>
    <w:p w14:paraId="509695F5">
      <w:pPr>
        <w:spacing w:line="500" w:lineRule="exact"/>
        <w:rPr>
          <w:rFonts w:hint="eastAsia" w:ascii="宋体" w:hAnsi="宋体" w:eastAsia="宋体" w:cs="宋体"/>
          <w:color w:val="auto"/>
          <w:kern w:val="2"/>
          <w:highlight w:val="none"/>
        </w:rPr>
      </w:pPr>
    </w:p>
    <w:p w14:paraId="397727AB">
      <w:pPr>
        <w:wordWrap w:val="0"/>
        <w:spacing w:line="500" w:lineRule="exact"/>
        <w:jc w:val="right"/>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w:t>
      </w:r>
      <w:r>
        <w:rPr>
          <w:rFonts w:hint="eastAsia" w:ascii="宋体" w:hAnsi="宋体" w:eastAsia="宋体" w:cs="宋体"/>
          <w:color w:val="auto"/>
          <w:highlight w:val="none"/>
        </w:rPr>
        <w:t>电子公章）</w:t>
      </w:r>
    </w:p>
    <w:p w14:paraId="39CF0137">
      <w:pPr>
        <w:wordWrap w:val="0"/>
        <w:spacing w:line="500" w:lineRule="exact"/>
        <w:jc w:val="right"/>
        <w:rPr>
          <w:rFonts w:hint="eastAsia" w:ascii="宋体" w:hAnsi="宋体" w:eastAsia="宋体" w:cs="宋体"/>
          <w:color w:val="auto"/>
          <w:kern w:val="2"/>
          <w:highlight w:val="none"/>
        </w:rPr>
      </w:pP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年</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月</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日</w:t>
      </w:r>
    </w:p>
    <w:p w14:paraId="744F3BC7">
      <w:pPr>
        <w:widowControl/>
        <w:jc w:val="left"/>
        <w:rPr>
          <w:rFonts w:hint="eastAsia" w:ascii="宋体" w:hAnsi="宋体" w:eastAsia="宋体" w:cs="宋体"/>
          <w:color w:val="auto"/>
          <w:highlight w:val="none"/>
        </w:rPr>
      </w:pPr>
    </w:p>
    <w:p w14:paraId="4FC2E1C6">
      <w:pPr>
        <w:widowControl/>
        <w:jc w:val="left"/>
        <w:rPr>
          <w:rFonts w:hint="eastAsia" w:ascii="宋体" w:hAnsi="宋体" w:eastAsia="宋体" w:cs="宋体"/>
          <w:color w:val="auto"/>
          <w:highlight w:val="none"/>
        </w:rPr>
      </w:pPr>
    </w:p>
    <w:p w14:paraId="13DF53B2">
      <w:pPr>
        <w:widowControl/>
        <w:jc w:val="left"/>
        <w:rPr>
          <w:rFonts w:hint="eastAsia" w:ascii="宋体" w:hAnsi="宋体" w:eastAsia="宋体" w:cs="宋体"/>
          <w:color w:val="auto"/>
          <w:highlight w:val="none"/>
        </w:rPr>
      </w:pPr>
      <w:r>
        <w:rPr>
          <w:rFonts w:hint="eastAsia" w:ascii="宋体" w:hAnsi="宋体" w:eastAsia="宋体" w:cs="宋体"/>
          <w:b/>
          <w:color w:val="auto"/>
          <w:highlight w:val="none"/>
        </w:rPr>
        <w:t>附：加盖供应商单位公章的法定代表人（负责人）二代居民身份证复印件。</w:t>
      </w:r>
    </w:p>
    <w:p w14:paraId="49E2903F">
      <w:pPr>
        <w:widowControl/>
        <w:jc w:val="left"/>
        <w:rPr>
          <w:rFonts w:hint="eastAsia" w:ascii="宋体" w:hAnsi="宋体" w:eastAsia="宋体" w:cs="宋体"/>
          <w:b/>
          <w:bCs/>
          <w:color w:val="auto"/>
          <w:szCs w:val="32"/>
          <w:highlight w:val="none"/>
        </w:rPr>
      </w:pPr>
      <w:r>
        <w:rPr>
          <w:rFonts w:hint="eastAsia" w:ascii="宋体" w:hAnsi="宋体" w:eastAsia="宋体" w:cs="宋体"/>
          <w:color w:val="auto"/>
          <w:highlight w:val="none"/>
        </w:rPr>
        <w:br w:type="page"/>
      </w:r>
    </w:p>
    <w:p w14:paraId="60F34C7B">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（二）法定代表人（负责人）授权委托书</w:t>
      </w:r>
    </w:p>
    <w:p w14:paraId="724946D4">
      <w:pPr>
        <w:autoSpaceDE w:val="0"/>
        <w:autoSpaceDN w:val="0"/>
        <w:adjustRightInd w:val="0"/>
        <w:jc w:val="center"/>
        <w:rPr>
          <w:rFonts w:hint="eastAsia" w:ascii="宋体" w:hAnsi="宋体" w:eastAsia="宋体" w:cs="宋体"/>
          <w:b/>
          <w:color w:val="auto"/>
          <w:highlight w:val="none"/>
        </w:rPr>
      </w:pPr>
    </w:p>
    <w:p w14:paraId="7BE9D089">
      <w:pPr>
        <w:autoSpaceDE w:val="0"/>
        <w:autoSpaceDN w:val="0"/>
        <w:adjustRightInd w:val="0"/>
        <w:ind w:firstLine="3057" w:firstLineChars="1450"/>
        <w:rPr>
          <w:rFonts w:hint="eastAsia" w:ascii="宋体" w:hAnsi="宋体" w:eastAsia="宋体" w:cs="宋体"/>
          <w:b/>
          <w:color w:val="auto"/>
          <w:highlight w:val="none"/>
        </w:rPr>
      </w:pPr>
    </w:p>
    <w:p w14:paraId="708B38ED">
      <w:pPr>
        <w:autoSpaceDE w:val="0"/>
        <w:autoSpaceDN w:val="0"/>
        <w:adjustRightInd w:val="0"/>
        <w:ind w:firstLine="3057" w:firstLineChars="1450"/>
        <w:rPr>
          <w:rFonts w:hint="eastAsia" w:ascii="宋体" w:hAnsi="宋体" w:eastAsia="宋体" w:cs="宋体"/>
          <w:b/>
          <w:color w:val="auto"/>
          <w:highlight w:val="none"/>
        </w:rPr>
      </w:pPr>
    </w:p>
    <w:p w14:paraId="63E3C68C">
      <w:pPr>
        <w:autoSpaceDE w:val="0"/>
        <w:autoSpaceDN w:val="0"/>
        <w:adjustRightInd w:val="0"/>
        <w:spacing w:line="480" w:lineRule="auto"/>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本人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 xml:space="preserve">（姓名）系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 xml:space="preserve">（供应商名称）的法定代表人（负责人），现委托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 xml:space="preserve">（姓名）为我方代理人。代理人根据授权，以我方名义签署、澄清、说明、补正、递交、撤回、修改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（项目名称）（采购项目编号）</w:t>
      </w:r>
      <w:r>
        <w:rPr>
          <w:rFonts w:hint="eastAsia" w:ascii="宋体" w:hAnsi="宋体" w:eastAsia="宋体" w:cs="宋体"/>
          <w:color w:val="auto"/>
          <w:highlight w:val="none"/>
        </w:rPr>
        <w:t>响应文件、签订合同和处理有关事宜，其法律后果由我方承担。</w:t>
      </w:r>
    </w:p>
    <w:p w14:paraId="14719759">
      <w:pPr>
        <w:autoSpaceDE w:val="0"/>
        <w:autoSpaceDN w:val="0"/>
        <w:adjustRightInd w:val="0"/>
        <w:spacing w:line="48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委托期限：</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w:t>
      </w:r>
    </w:p>
    <w:p w14:paraId="42F49534">
      <w:pPr>
        <w:autoSpaceDE w:val="0"/>
        <w:autoSpaceDN w:val="0"/>
        <w:adjustRightInd w:val="0"/>
        <w:spacing w:line="48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代理人无转委托权。</w:t>
      </w:r>
    </w:p>
    <w:p w14:paraId="7AD89CA6">
      <w:pPr>
        <w:autoSpaceDE w:val="0"/>
        <w:autoSpaceDN w:val="0"/>
        <w:adjustRightInd w:val="0"/>
        <w:spacing w:line="480" w:lineRule="auto"/>
        <w:ind w:firstLine="422" w:firstLineChars="200"/>
        <w:jc w:val="left"/>
        <w:rPr>
          <w:rFonts w:hint="eastAsia" w:ascii="宋体" w:hAnsi="宋体" w:eastAsia="宋体" w:cs="宋体"/>
          <w:b/>
          <w:color w:val="auto"/>
          <w:highlight w:val="none"/>
        </w:rPr>
      </w:pPr>
    </w:p>
    <w:p w14:paraId="4E84594F">
      <w:pPr>
        <w:autoSpaceDE w:val="0"/>
        <w:autoSpaceDN w:val="0"/>
        <w:adjustRightInd w:val="0"/>
        <w:spacing w:line="480" w:lineRule="auto"/>
        <w:ind w:firstLine="424" w:firstLineChars="202"/>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w:t>
      </w:r>
      <w:r>
        <w:rPr>
          <w:rFonts w:hint="eastAsia" w:ascii="宋体" w:hAnsi="宋体" w:eastAsia="宋体" w:cs="宋体"/>
          <w:color w:val="auto"/>
          <w:highlight w:val="none"/>
        </w:rPr>
        <w:t>电子公章）</w:t>
      </w:r>
    </w:p>
    <w:p w14:paraId="1AC01DFD">
      <w:pPr>
        <w:autoSpaceDE w:val="0"/>
        <w:autoSpaceDN w:val="0"/>
        <w:adjustRightInd w:val="0"/>
        <w:spacing w:line="480" w:lineRule="auto"/>
        <w:ind w:firstLine="424" w:firstLineChars="202"/>
        <w:jc w:val="left"/>
        <w:rPr>
          <w:rFonts w:hint="eastAsia" w:ascii="宋体" w:hAnsi="宋体" w:eastAsia="宋体" w:cs="宋体"/>
          <w:color w:val="auto"/>
          <w:highlight w:val="none"/>
        </w:rPr>
      </w:pPr>
      <w:r>
        <w:rPr>
          <w:rFonts w:hint="eastAsia" w:ascii="宋体" w:hAnsi="宋体" w:eastAsia="宋体" w:cs="宋体"/>
          <w:color w:val="auto"/>
          <w:highlight w:val="none"/>
        </w:rPr>
        <w:t>法定代表人（负责人）：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14:paraId="119A893F">
      <w:pPr>
        <w:autoSpaceDE w:val="0"/>
        <w:autoSpaceDN w:val="0"/>
        <w:adjustRightInd w:val="0"/>
        <w:spacing w:line="480" w:lineRule="auto"/>
        <w:ind w:firstLine="424" w:firstLineChars="202"/>
        <w:jc w:val="left"/>
        <w:rPr>
          <w:rFonts w:hint="eastAsia" w:ascii="宋体" w:hAnsi="宋体" w:eastAsia="宋体" w:cs="宋体"/>
          <w:color w:val="auto"/>
          <w:highlight w:val="none"/>
          <w:u w:val="singl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6F110CF">
      <w:pPr>
        <w:autoSpaceDE w:val="0"/>
        <w:autoSpaceDN w:val="0"/>
        <w:adjustRightInd w:val="0"/>
        <w:spacing w:line="480" w:lineRule="auto"/>
        <w:ind w:firstLine="424" w:firstLineChars="202"/>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委托代理人：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p>
    <w:p w14:paraId="40002F5D">
      <w:pPr>
        <w:autoSpaceDE w:val="0"/>
        <w:autoSpaceDN w:val="0"/>
        <w:adjustRightInd w:val="0"/>
        <w:spacing w:line="480" w:lineRule="auto"/>
        <w:ind w:firstLine="424" w:firstLineChars="202"/>
        <w:jc w:val="left"/>
        <w:rPr>
          <w:rFonts w:hint="eastAsia" w:ascii="宋体" w:hAnsi="宋体" w:eastAsia="宋体" w:cs="宋体"/>
          <w:color w:val="auto"/>
          <w:highlight w:val="none"/>
          <w:u w:val="singl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B3FDC65">
      <w:pPr>
        <w:autoSpaceDE w:val="0"/>
        <w:autoSpaceDN w:val="0"/>
        <w:adjustRightInd w:val="0"/>
        <w:spacing w:line="480" w:lineRule="auto"/>
        <w:ind w:firstLine="424" w:firstLineChars="202"/>
        <w:jc w:val="lef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57D0E16A">
      <w:pPr>
        <w:widowControl/>
        <w:jc w:val="left"/>
        <w:rPr>
          <w:rFonts w:hint="eastAsia" w:ascii="宋体" w:hAnsi="宋体" w:eastAsia="宋体" w:cs="宋体"/>
          <w:color w:val="auto"/>
          <w:highlight w:val="none"/>
        </w:rPr>
      </w:pPr>
    </w:p>
    <w:p w14:paraId="2ECCA6E7">
      <w:pPr>
        <w:autoSpaceDE w:val="0"/>
        <w:autoSpaceDN w:val="0"/>
        <w:adjustRightInd w:val="0"/>
        <w:spacing w:line="320" w:lineRule="exact"/>
        <w:ind w:firstLine="103" w:firstLineChars="49"/>
        <w:jc w:val="left"/>
        <w:rPr>
          <w:rFonts w:hint="eastAsia" w:ascii="宋体" w:hAnsi="宋体" w:eastAsia="宋体" w:cs="宋体"/>
          <w:color w:val="auto"/>
          <w:highlight w:val="none"/>
        </w:rPr>
      </w:pPr>
      <w:r>
        <w:rPr>
          <w:rFonts w:hint="eastAsia" w:ascii="宋体" w:hAnsi="宋体" w:eastAsia="宋体" w:cs="宋体"/>
          <w:b/>
          <w:color w:val="auto"/>
          <w:highlight w:val="none"/>
        </w:rPr>
        <w:t>附：加盖供应商单位公章的委托代理人二代居民身份证复印件</w:t>
      </w:r>
    </w:p>
    <w:p w14:paraId="0C59A9C8">
      <w:pPr>
        <w:pStyle w:val="4"/>
        <w:jc w:val="center"/>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highlight w:val="none"/>
        </w:rPr>
        <w:br w:type="page"/>
      </w:r>
    </w:p>
    <w:p w14:paraId="09C9F96A">
      <w:pPr>
        <w:pStyle w:val="4"/>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kern w:val="2"/>
          <w:sz w:val="24"/>
          <w:szCs w:val="24"/>
          <w:highlight w:val="none"/>
        </w:rPr>
        <w:t>供应商基本情况表</w:t>
      </w:r>
    </w:p>
    <w:tbl>
      <w:tblPr>
        <w:tblStyle w:val="1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2307"/>
      </w:tblGrid>
      <w:tr w14:paraId="13BA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4022B85D">
            <w:pPr>
              <w:jc w:val="center"/>
              <w:rPr>
                <w:rFonts w:hint="eastAsia" w:ascii="宋体" w:hAnsi="宋体" w:eastAsia="宋体" w:cs="宋体"/>
                <w:color w:val="auto"/>
                <w:highlight w:val="none"/>
              </w:rPr>
            </w:pPr>
            <w:r>
              <w:rPr>
                <w:rFonts w:hint="eastAsia" w:ascii="宋体" w:hAnsi="宋体" w:eastAsia="宋体" w:cs="宋体"/>
                <w:color w:val="auto"/>
                <w:highlight w:val="none"/>
              </w:rPr>
              <w:t>供应商名称</w:t>
            </w:r>
          </w:p>
        </w:tc>
        <w:tc>
          <w:tcPr>
            <w:tcW w:w="7725" w:type="dxa"/>
            <w:gridSpan w:val="8"/>
            <w:vAlign w:val="center"/>
          </w:tcPr>
          <w:p w14:paraId="5F9229A0">
            <w:pPr>
              <w:jc w:val="center"/>
              <w:rPr>
                <w:rFonts w:hint="eastAsia" w:ascii="宋体" w:hAnsi="宋体" w:eastAsia="宋体" w:cs="宋体"/>
                <w:color w:val="auto"/>
                <w:highlight w:val="none"/>
              </w:rPr>
            </w:pPr>
          </w:p>
        </w:tc>
      </w:tr>
      <w:tr w14:paraId="575E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626" w:type="dxa"/>
            <w:vAlign w:val="center"/>
          </w:tcPr>
          <w:p w14:paraId="2E69BB5B">
            <w:pPr>
              <w:jc w:val="center"/>
              <w:rPr>
                <w:rFonts w:hint="eastAsia" w:ascii="宋体" w:hAnsi="宋体" w:eastAsia="宋体" w:cs="宋体"/>
                <w:color w:val="auto"/>
                <w:highlight w:val="none"/>
              </w:rPr>
            </w:pPr>
            <w:r>
              <w:rPr>
                <w:rFonts w:hint="eastAsia" w:ascii="宋体" w:hAnsi="宋体" w:eastAsia="宋体" w:cs="宋体"/>
                <w:color w:val="auto"/>
                <w:highlight w:val="none"/>
              </w:rPr>
              <w:t>注册地址</w:t>
            </w:r>
          </w:p>
        </w:tc>
        <w:tc>
          <w:tcPr>
            <w:tcW w:w="3389" w:type="dxa"/>
            <w:gridSpan w:val="4"/>
            <w:vAlign w:val="center"/>
          </w:tcPr>
          <w:p w14:paraId="73BE7978">
            <w:pPr>
              <w:jc w:val="center"/>
              <w:rPr>
                <w:rFonts w:hint="eastAsia" w:ascii="宋体" w:hAnsi="宋体" w:eastAsia="宋体" w:cs="宋体"/>
                <w:color w:val="auto"/>
                <w:highlight w:val="none"/>
              </w:rPr>
            </w:pPr>
          </w:p>
        </w:tc>
        <w:tc>
          <w:tcPr>
            <w:tcW w:w="1246" w:type="dxa"/>
            <w:vAlign w:val="center"/>
          </w:tcPr>
          <w:p w14:paraId="2FEEF214">
            <w:pPr>
              <w:jc w:val="center"/>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3090" w:type="dxa"/>
            <w:gridSpan w:val="3"/>
            <w:vAlign w:val="center"/>
          </w:tcPr>
          <w:p w14:paraId="519A8F3E">
            <w:pPr>
              <w:jc w:val="center"/>
              <w:rPr>
                <w:rFonts w:hint="eastAsia" w:ascii="宋体" w:hAnsi="宋体" w:eastAsia="宋体" w:cs="宋体"/>
                <w:color w:val="auto"/>
                <w:highlight w:val="none"/>
              </w:rPr>
            </w:pPr>
          </w:p>
        </w:tc>
      </w:tr>
      <w:tr w14:paraId="09D6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14:paraId="4DA40680">
            <w:pPr>
              <w:jc w:val="center"/>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897" w:type="dxa"/>
            <w:vAlign w:val="center"/>
          </w:tcPr>
          <w:p w14:paraId="7E220926">
            <w:pPr>
              <w:jc w:val="cente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2492" w:type="dxa"/>
            <w:gridSpan w:val="3"/>
            <w:vAlign w:val="center"/>
          </w:tcPr>
          <w:p w14:paraId="74985B67">
            <w:pPr>
              <w:jc w:val="center"/>
              <w:rPr>
                <w:rFonts w:hint="eastAsia" w:ascii="宋体" w:hAnsi="宋体" w:eastAsia="宋体" w:cs="宋体"/>
                <w:color w:val="auto"/>
                <w:highlight w:val="none"/>
              </w:rPr>
            </w:pPr>
          </w:p>
        </w:tc>
        <w:tc>
          <w:tcPr>
            <w:tcW w:w="1246" w:type="dxa"/>
            <w:vAlign w:val="center"/>
          </w:tcPr>
          <w:p w14:paraId="3C80D441">
            <w:pPr>
              <w:jc w:val="center"/>
              <w:rPr>
                <w:rFonts w:hint="eastAsia" w:ascii="宋体" w:hAnsi="宋体" w:eastAsia="宋体" w:cs="宋体"/>
                <w:color w:val="auto"/>
                <w:highlight w:val="none"/>
              </w:rPr>
            </w:pPr>
            <w:r>
              <w:rPr>
                <w:rFonts w:hint="eastAsia" w:ascii="宋体" w:hAnsi="宋体" w:eastAsia="宋体" w:cs="宋体"/>
                <w:color w:val="auto"/>
                <w:highlight w:val="none"/>
              </w:rPr>
              <w:t>电  话</w:t>
            </w:r>
          </w:p>
        </w:tc>
        <w:tc>
          <w:tcPr>
            <w:tcW w:w="3090" w:type="dxa"/>
            <w:gridSpan w:val="3"/>
            <w:vAlign w:val="center"/>
          </w:tcPr>
          <w:p w14:paraId="1AB6505E">
            <w:pPr>
              <w:jc w:val="center"/>
              <w:rPr>
                <w:rFonts w:hint="eastAsia" w:ascii="宋体" w:hAnsi="宋体" w:eastAsia="宋体" w:cs="宋体"/>
                <w:color w:val="auto"/>
                <w:highlight w:val="none"/>
              </w:rPr>
            </w:pPr>
          </w:p>
        </w:tc>
      </w:tr>
      <w:tr w14:paraId="4820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26" w:type="dxa"/>
            <w:vMerge w:val="continue"/>
            <w:vAlign w:val="center"/>
          </w:tcPr>
          <w:p w14:paraId="4231A64B">
            <w:pPr>
              <w:jc w:val="center"/>
              <w:rPr>
                <w:rFonts w:hint="eastAsia" w:ascii="宋体" w:hAnsi="宋体" w:eastAsia="宋体" w:cs="宋体"/>
                <w:color w:val="auto"/>
                <w:highlight w:val="none"/>
              </w:rPr>
            </w:pPr>
          </w:p>
        </w:tc>
        <w:tc>
          <w:tcPr>
            <w:tcW w:w="897" w:type="dxa"/>
            <w:vAlign w:val="center"/>
          </w:tcPr>
          <w:p w14:paraId="02A3AAA2">
            <w:pPr>
              <w:jc w:val="center"/>
              <w:rPr>
                <w:rFonts w:hint="eastAsia" w:ascii="宋体" w:hAnsi="宋体" w:eastAsia="宋体" w:cs="宋体"/>
                <w:color w:val="auto"/>
                <w:highlight w:val="none"/>
              </w:rPr>
            </w:pPr>
            <w:r>
              <w:rPr>
                <w:rFonts w:hint="eastAsia" w:ascii="宋体" w:hAnsi="宋体" w:eastAsia="宋体" w:cs="宋体"/>
                <w:color w:val="auto"/>
                <w:highlight w:val="none"/>
              </w:rPr>
              <w:t>传  真</w:t>
            </w:r>
          </w:p>
        </w:tc>
        <w:tc>
          <w:tcPr>
            <w:tcW w:w="2492" w:type="dxa"/>
            <w:gridSpan w:val="3"/>
            <w:vAlign w:val="center"/>
          </w:tcPr>
          <w:p w14:paraId="04D8966C">
            <w:pPr>
              <w:jc w:val="center"/>
              <w:rPr>
                <w:rFonts w:hint="eastAsia" w:ascii="宋体" w:hAnsi="宋体" w:eastAsia="宋体" w:cs="宋体"/>
                <w:color w:val="auto"/>
                <w:highlight w:val="none"/>
              </w:rPr>
            </w:pPr>
          </w:p>
        </w:tc>
        <w:tc>
          <w:tcPr>
            <w:tcW w:w="1246" w:type="dxa"/>
            <w:vAlign w:val="center"/>
          </w:tcPr>
          <w:p w14:paraId="7EF95ED9">
            <w:pPr>
              <w:jc w:val="center"/>
              <w:rPr>
                <w:rFonts w:hint="eastAsia" w:ascii="宋体" w:hAnsi="宋体" w:eastAsia="宋体" w:cs="宋体"/>
                <w:color w:val="auto"/>
                <w:highlight w:val="none"/>
              </w:rPr>
            </w:pPr>
            <w:r>
              <w:rPr>
                <w:rFonts w:hint="eastAsia" w:ascii="宋体" w:hAnsi="宋体" w:eastAsia="宋体" w:cs="宋体"/>
                <w:color w:val="auto"/>
                <w:highlight w:val="none"/>
              </w:rPr>
              <w:t>网  址</w:t>
            </w:r>
          </w:p>
        </w:tc>
        <w:tc>
          <w:tcPr>
            <w:tcW w:w="3090" w:type="dxa"/>
            <w:gridSpan w:val="3"/>
            <w:vAlign w:val="center"/>
          </w:tcPr>
          <w:p w14:paraId="0798CA60">
            <w:pPr>
              <w:jc w:val="center"/>
              <w:rPr>
                <w:rFonts w:hint="eastAsia" w:ascii="宋体" w:hAnsi="宋体" w:eastAsia="宋体" w:cs="宋体"/>
                <w:color w:val="auto"/>
                <w:highlight w:val="none"/>
              </w:rPr>
            </w:pPr>
          </w:p>
        </w:tc>
      </w:tr>
      <w:tr w14:paraId="5A34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0E37DC2">
            <w:pPr>
              <w:jc w:val="center"/>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p>
        </w:tc>
        <w:tc>
          <w:tcPr>
            <w:tcW w:w="7725" w:type="dxa"/>
            <w:gridSpan w:val="8"/>
            <w:vAlign w:val="center"/>
          </w:tcPr>
          <w:p w14:paraId="7BF5AA44">
            <w:pPr>
              <w:jc w:val="center"/>
              <w:rPr>
                <w:rFonts w:hint="eastAsia" w:ascii="宋体" w:hAnsi="宋体" w:eastAsia="宋体" w:cs="宋体"/>
                <w:color w:val="auto"/>
                <w:highlight w:val="none"/>
              </w:rPr>
            </w:pPr>
          </w:p>
        </w:tc>
      </w:tr>
      <w:tr w14:paraId="5193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6" w:type="dxa"/>
            <w:vAlign w:val="center"/>
          </w:tcPr>
          <w:p w14:paraId="1789C203">
            <w:pPr>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897" w:type="dxa"/>
            <w:vAlign w:val="center"/>
          </w:tcPr>
          <w:p w14:paraId="6C37B821">
            <w:pPr>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3801" w:type="dxa"/>
            <w:gridSpan w:val="5"/>
            <w:vAlign w:val="center"/>
          </w:tcPr>
          <w:p w14:paraId="26B18886">
            <w:pPr>
              <w:jc w:val="center"/>
              <w:rPr>
                <w:rFonts w:hint="eastAsia" w:ascii="宋体" w:hAnsi="宋体" w:eastAsia="宋体" w:cs="宋体"/>
                <w:color w:val="auto"/>
                <w:highlight w:val="none"/>
              </w:rPr>
            </w:pPr>
          </w:p>
        </w:tc>
        <w:tc>
          <w:tcPr>
            <w:tcW w:w="720" w:type="dxa"/>
            <w:vAlign w:val="center"/>
          </w:tcPr>
          <w:p w14:paraId="1FC6AA9B">
            <w:pPr>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2307" w:type="dxa"/>
            <w:vAlign w:val="center"/>
          </w:tcPr>
          <w:p w14:paraId="40F106CE">
            <w:pPr>
              <w:jc w:val="center"/>
              <w:rPr>
                <w:rFonts w:hint="eastAsia" w:ascii="宋体" w:hAnsi="宋体" w:eastAsia="宋体" w:cs="宋体"/>
                <w:color w:val="auto"/>
                <w:highlight w:val="none"/>
              </w:rPr>
            </w:pPr>
          </w:p>
        </w:tc>
      </w:tr>
      <w:tr w14:paraId="420E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626" w:type="dxa"/>
            <w:vAlign w:val="center"/>
          </w:tcPr>
          <w:p w14:paraId="232322CF">
            <w:pPr>
              <w:jc w:val="center"/>
              <w:rPr>
                <w:rFonts w:hint="eastAsia" w:ascii="宋体" w:hAnsi="宋体" w:eastAsia="宋体" w:cs="宋体"/>
                <w:color w:val="auto"/>
                <w:highlight w:val="none"/>
              </w:rPr>
            </w:pPr>
            <w:r>
              <w:rPr>
                <w:rFonts w:hint="eastAsia" w:ascii="宋体" w:hAnsi="宋体" w:eastAsia="宋体" w:cs="宋体"/>
                <w:color w:val="auto"/>
                <w:highlight w:val="none"/>
              </w:rPr>
              <w:t>技术负责人</w:t>
            </w:r>
          </w:p>
        </w:tc>
        <w:tc>
          <w:tcPr>
            <w:tcW w:w="897" w:type="dxa"/>
            <w:vAlign w:val="center"/>
          </w:tcPr>
          <w:p w14:paraId="2CAEFC80">
            <w:pPr>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021" w:type="dxa"/>
            <w:vAlign w:val="center"/>
          </w:tcPr>
          <w:p w14:paraId="5020A28C">
            <w:pPr>
              <w:jc w:val="center"/>
              <w:rPr>
                <w:rFonts w:hint="eastAsia" w:ascii="宋体" w:hAnsi="宋体" w:eastAsia="宋体" w:cs="宋体"/>
                <w:color w:val="auto"/>
                <w:highlight w:val="none"/>
              </w:rPr>
            </w:pPr>
          </w:p>
        </w:tc>
        <w:tc>
          <w:tcPr>
            <w:tcW w:w="1160" w:type="dxa"/>
            <w:vAlign w:val="center"/>
          </w:tcPr>
          <w:p w14:paraId="57F2FDE5">
            <w:pPr>
              <w:jc w:val="cente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620" w:type="dxa"/>
            <w:gridSpan w:val="3"/>
            <w:vAlign w:val="center"/>
          </w:tcPr>
          <w:p w14:paraId="3D499B91">
            <w:pPr>
              <w:jc w:val="center"/>
              <w:rPr>
                <w:rFonts w:hint="eastAsia" w:ascii="宋体" w:hAnsi="宋体" w:eastAsia="宋体" w:cs="宋体"/>
                <w:color w:val="auto"/>
                <w:highlight w:val="none"/>
              </w:rPr>
            </w:pPr>
          </w:p>
        </w:tc>
        <w:tc>
          <w:tcPr>
            <w:tcW w:w="720" w:type="dxa"/>
            <w:vAlign w:val="center"/>
          </w:tcPr>
          <w:p w14:paraId="282FBE4C">
            <w:pPr>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2307" w:type="dxa"/>
            <w:vAlign w:val="center"/>
          </w:tcPr>
          <w:p w14:paraId="39885E76">
            <w:pPr>
              <w:jc w:val="center"/>
              <w:rPr>
                <w:rFonts w:hint="eastAsia" w:ascii="宋体" w:hAnsi="宋体" w:eastAsia="宋体" w:cs="宋体"/>
                <w:color w:val="auto"/>
                <w:highlight w:val="none"/>
              </w:rPr>
            </w:pPr>
          </w:p>
        </w:tc>
      </w:tr>
      <w:tr w14:paraId="5BFA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6" w:type="dxa"/>
            <w:vAlign w:val="center"/>
          </w:tcPr>
          <w:p w14:paraId="2A6A95F5">
            <w:pPr>
              <w:jc w:val="center"/>
              <w:rPr>
                <w:rFonts w:hint="eastAsia" w:ascii="宋体" w:hAnsi="宋体" w:eastAsia="宋体" w:cs="宋体"/>
                <w:color w:val="auto"/>
                <w:highlight w:val="none"/>
              </w:rPr>
            </w:pPr>
            <w:r>
              <w:rPr>
                <w:rFonts w:hint="eastAsia" w:ascii="宋体" w:hAnsi="宋体" w:eastAsia="宋体" w:cs="宋体"/>
                <w:color w:val="auto"/>
                <w:highlight w:val="none"/>
              </w:rPr>
              <w:t>成立时间</w:t>
            </w:r>
          </w:p>
        </w:tc>
        <w:tc>
          <w:tcPr>
            <w:tcW w:w="1918" w:type="dxa"/>
            <w:gridSpan w:val="2"/>
            <w:vAlign w:val="center"/>
          </w:tcPr>
          <w:p w14:paraId="0F38B0BB">
            <w:pPr>
              <w:jc w:val="center"/>
              <w:rPr>
                <w:rFonts w:hint="eastAsia" w:ascii="宋体" w:hAnsi="宋体" w:eastAsia="宋体" w:cs="宋体"/>
                <w:color w:val="auto"/>
                <w:highlight w:val="none"/>
              </w:rPr>
            </w:pPr>
          </w:p>
        </w:tc>
        <w:tc>
          <w:tcPr>
            <w:tcW w:w="5807" w:type="dxa"/>
            <w:gridSpan w:val="6"/>
            <w:vAlign w:val="center"/>
          </w:tcPr>
          <w:p w14:paraId="0F1C7CB5">
            <w:pPr>
              <w:jc w:val="center"/>
              <w:rPr>
                <w:rFonts w:hint="eastAsia" w:ascii="宋体" w:hAnsi="宋体" w:eastAsia="宋体" w:cs="宋体"/>
                <w:color w:val="auto"/>
                <w:highlight w:val="none"/>
              </w:rPr>
            </w:pPr>
            <w:r>
              <w:rPr>
                <w:rFonts w:hint="eastAsia" w:ascii="宋体" w:hAnsi="宋体" w:eastAsia="宋体" w:cs="宋体"/>
                <w:color w:val="auto"/>
                <w:highlight w:val="none"/>
              </w:rPr>
              <w:t>员工总人数：</w:t>
            </w:r>
          </w:p>
        </w:tc>
      </w:tr>
      <w:tr w14:paraId="2F11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4001A21">
            <w:pPr>
              <w:jc w:val="center"/>
              <w:rPr>
                <w:rFonts w:hint="eastAsia" w:ascii="宋体" w:hAnsi="宋体" w:eastAsia="宋体" w:cs="宋体"/>
                <w:color w:val="auto"/>
                <w:highlight w:val="none"/>
              </w:rPr>
            </w:pPr>
            <w:r>
              <w:rPr>
                <w:rFonts w:hint="eastAsia" w:ascii="宋体" w:hAnsi="宋体" w:eastAsia="宋体" w:cs="宋体"/>
                <w:color w:val="auto"/>
                <w:highlight w:val="none"/>
              </w:rPr>
              <w:t>资质等级</w:t>
            </w:r>
          </w:p>
        </w:tc>
        <w:tc>
          <w:tcPr>
            <w:tcW w:w="1918" w:type="dxa"/>
            <w:gridSpan w:val="2"/>
            <w:vAlign w:val="center"/>
          </w:tcPr>
          <w:p w14:paraId="1260ED83">
            <w:pPr>
              <w:jc w:val="center"/>
              <w:rPr>
                <w:rFonts w:hint="eastAsia" w:ascii="宋体" w:hAnsi="宋体" w:eastAsia="宋体" w:cs="宋体"/>
                <w:color w:val="auto"/>
                <w:highlight w:val="none"/>
              </w:rPr>
            </w:pPr>
          </w:p>
        </w:tc>
        <w:tc>
          <w:tcPr>
            <w:tcW w:w="1160" w:type="dxa"/>
            <w:vMerge w:val="restart"/>
            <w:vAlign w:val="center"/>
          </w:tcPr>
          <w:p w14:paraId="3C41E39D">
            <w:pPr>
              <w:jc w:val="center"/>
              <w:rPr>
                <w:rFonts w:hint="eastAsia" w:ascii="宋体" w:hAnsi="宋体" w:eastAsia="宋体" w:cs="宋体"/>
                <w:color w:val="auto"/>
                <w:highlight w:val="none"/>
              </w:rPr>
            </w:pPr>
            <w:r>
              <w:rPr>
                <w:rFonts w:hint="eastAsia" w:ascii="宋体" w:hAnsi="宋体" w:eastAsia="宋体" w:cs="宋体"/>
                <w:color w:val="auto"/>
                <w:highlight w:val="none"/>
              </w:rPr>
              <w:t>其中</w:t>
            </w:r>
          </w:p>
        </w:tc>
        <w:tc>
          <w:tcPr>
            <w:tcW w:w="1620" w:type="dxa"/>
            <w:gridSpan w:val="3"/>
            <w:vAlign w:val="center"/>
          </w:tcPr>
          <w:p w14:paraId="011C384C">
            <w:pPr>
              <w:jc w:val="center"/>
              <w:rPr>
                <w:rFonts w:hint="eastAsia" w:ascii="宋体" w:hAnsi="宋体" w:eastAsia="宋体" w:cs="宋体"/>
                <w:color w:val="auto"/>
                <w:highlight w:val="none"/>
              </w:rPr>
            </w:pPr>
            <w:r>
              <w:rPr>
                <w:rFonts w:hint="eastAsia" w:ascii="宋体" w:hAnsi="宋体" w:eastAsia="宋体" w:cs="宋体"/>
                <w:color w:val="auto"/>
                <w:highlight w:val="none"/>
              </w:rPr>
              <w:t>项目经理</w:t>
            </w:r>
          </w:p>
        </w:tc>
        <w:tc>
          <w:tcPr>
            <w:tcW w:w="3027" w:type="dxa"/>
            <w:gridSpan w:val="2"/>
            <w:vAlign w:val="center"/>
          </w:tcPr>
          <w:p w14:paraId="5CDF65D7">
            <w:pPr>
              <w:jc w:val="center"/>
              <w:rPr>
                <w:rFonts w:hint="eastAsia" w:ascii="宋体" w:hAnsi="宋体" w:eastAsia="宋体" w:cs="宋体"/>
                <w:color w:val="auto"/>
                <w:highlight w:val="none"/>
              </w:rPr>
            </w:pPr>
          </w:p>
        </w:tc>
      </w:tr>
      <w:tr w14:paraId="3DCE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CFEF260">
            <w:pPr>
              <w:jc w:val="center"/>
              <w:rPr>
                <w:rFonts w:hint="eastAsia" w:ascii="宋体" w:hAnsi="宋体" w:eastAsia="宋体" w:cs="宋体"/>
                <w:color w:val="auto"/>
                <w:highlight w:val="none"/>
              </w:rPr>
            </w:pPr>
            <w:r>
              <w:rPr>
                <w:rFonts w:hint="eastAsia" w:ascii="宋体" w:hAnsi="宋体" w:eastAsia="宋体" w:cs="宋体"/>
                <w:color w:val="auto"/>
                <w:highlight w:val="none"/>
              </w:rPr>
              <w:t>安全生产许可证号</w:t>
            </w:r>
          </w:p>
        </w:tc>
        <w:tc>
          <w:tcPr>
            <w:tcW w:w="1918" w:type="dxa"/>
            <w:gridSpan w:val="2"/>
            <w:vAlign w:val="center"/>
          </w:tcPr>
          <w:p w14:paraId="6E281ACF">
            <w:pPr>
              <w:jc w:val="center"/>
              <w:rPr>
                <w:rFonts w:hint="eastAsia" w:ascii="宋体" w:hAnsi="宋体" w:eastAsia="宋体" w:cs="宋体"/>
                <w:color w:val="auto"/>
                <w:highlight w:val="none"/>
              </w:rPr>
            </w:pPr>
          </w:p>
        </w:tc>
        <w:tc>
          <w:tcPr>
            <w:tcW w:w="1160" w:type="dxa"/>
            <w:vMerge w:val="continue"/>
            <w:vAlign w:val="center"/>
          </w:tcPr>
          <w:p w14:paraId="5E348A89">
            <w:pPr>
              <w:jc w:val="center"/>
              <w:rPr>
                <w:rFonts w:hint="eastAsia" w:ascii="宋体" w:hAnsi="宋体" w:eastAsia="宋体" w:cs="宋体"/>
                <w:color w:val="auto"/>
                <w:highlight w:val="none"/>
              </w:rPr>
            </w:pPr>
          </w:p>
        </w:tc>
        <w:tc>
          <w:tcPr>
            <w:tcW w:w="1620" w:type="dxa"/>
            <w:gridSpan w:val="3"/>
            <w:vAlign w:val="center"/>
          </w:tcPr>
          <w:p w14:paraId="50BA4712">
            <w:pPr>
              <w:jc w:val="center"/>
              <w:rPr>
                <w:rFonts w:hint="eastAsia" w:ascii="宋体" w:hAnsi="宋体" w:eastAsia="宋体" w:cs="宋体"/>
                <w:color w:val="auto"/>
                <w:highlight w:val="none"/>
              </w:rPr>
            </w:pPr>
            <w:r>
              <w:rPr>
                <w:rFonts w:hint="eastAsia" w:ascii="宋体" w:hAnsi="宋体" w:eastAsia="宋体" w:cs="宋体"/>
                <w:color w:val="auto"/>
                <w:highlight w:val="none"/>
              </w:rPr>
              <w:t>高级职称人员</w:t>
            </w:r>
          </w:p>
        </w:tc>
        <w:tc>
          <w:tcPr>
            <w:tcW w:w="3027" w:type="dxa"/>
            <w:gridSpan w:val="2"/>
            <w:vAlign w:val="center"/>
          </w:tcPr>
          <w:p w14:paraId="09EED638">
            <w:pPr>
              <w:jc w:val="center"/>
              <w:rPr>
                <w:rFonts w:hint="eastAsia" w:ascii="宋体" w:hAnsi="宋体" w:eastAsia="宋体" w:cs="宋体"/>
                <w:color w:val="auto"/>
                <w:highlight w:val="none"/>
              </w:rPr>
            </w:pPr>
          </w:p>
        </w:tc>
      </w:tr>
      <w:tr w14:paraId="055B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1DE8A3A">
            <w:pPr>
              <w:jc w:val="center"/>
              <w:rPr>
                <w:rFonts w:hint="eastAsia" w:ascii="宋体" w:hAnsi="宋体" w:eastAsia="宋体" w:cs="宋体"/>
                <w:color w:val="auto"/>
                <w:highlight w:val="none"/>
              </w:rPr>
            </w:pPr>
            <w:r>
              <w:rPr>
                <w:rFonts w:hint="eastAsia" w:ascii="宋体" w:hAnsi="宋体" w:eastAsia="宋体" w:cs="宋体"/>
                <w:color w:val="auto"/>
                <w:highlight w:val="none"/>
              </w:rPr>
              <w:t>注册资金</w:t>
            </w:r>
          </w:p>
        </w:tc>
        <w:tc>
          <w:tcPr>
            <w:tcW w:w="1918" w:type="dxa"/>
            <w:gridSpan w:val="2"/>
            <w:vAlign w:val="center"/>
          </w:tcPr>
          <w:p w14:paraId="00679ECE">
            <w:pPr>
              <w:jc w:val="center"/>
              <w:rPr>
                <w:rFonts w:hint="eastAsia" w:ascii="宋体" w:hAnsi="宋体" w:eastAsia="宋体" w:cs="宋体"/>
                <w:color w:val="auto"/>
                <w:highlight w:val="none"/>
              </w:rPr>
            </w:pPr>
          </w:p>
        </w:tc>
        <w:tc>
          <w:tcPr>
            <w:tcW w:w="1160" w:type="dxa"/>
            <w:vMerge w:val="continue"/>
            <w:vAlign w:val="center"/>
          </w:tcPr>
          <w:p w14:paraId="7A75A671">
            <w:pPr>
              <w:jc w:val="center"/>
              <w:rPr>
                <w:rFonts w:hint="eastAsia" w:ascii="宋体" w:hAnsi="宋体" w:eastAsia="宋体" w:cs="宋体"/>
                <w:color w:val="auto"/>
                <w:highlight w:val="none"/>
              </w:rPr>
            </w:pPr>
          </w:p>
        </w:tc>
        <w:tc>
          <w:tcPr>
            <w:tcW w:w="1620" w:type="dxa"/>
            <w:gridSpan w:val="3"/>
            <w:vAlign w:val="center"/>
          </w:tcPr>
          <w:p w14:paraId="432F11F7">
            <w:pPr>
              <w:jc w:val="center"/>
              <w:rPr>
                <w:rFonts w:hint="eastAsia" w:ascii="宋体" w:hAnsi="宋体" w:eastAsia="宋体" w:cs="宋体"/>
                <w:color w:val="auto"/>
                <w:highlight w:val="none"/>
              </w:rPr>
            </w:pPr>
            <w:r>
              <w:rPr>
                <w:rFonts w:hint="eastAsia" w:ascii="宋体" w:hAnsi="宋体" w:eastAsia="宋体" w:cs="宋体"/>
                <w:color w:val="auto"/>
                <w:highlight w:val="none"/>
              </w:rPr>
              <w:t>中级职称人员</w:t>
            </w:r>
          </w:p>
        </w:tc>
        <w:tc>
          <w:tcPr>
            <w:tcW w:w="3027" w:type="dxa"/>
            <w:gridSpan w:val="2"/>
            <w:vAlign w:val="center"/>
          </w:tcPr>
          <w:p w14:paraId="7605D8EC">
            <w:pPr>
              <w:jc w:val="center"/>
              <w:rPr>
                <w:rFonts w:hint="eastAsia" w:ascii="宋体" w:hAnsi="宋体" w:eastAsia="宋体" w:cs="宋体"/>
                <w:color w:val="auto"/>
                <w:highlight w:val="none"/>
              </w:rPr>
            </w:pPr>
          </w:p>
        </w:tc>
      </w:tr>
      <w:tr w14:paraId="1714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6E26B6D1">
            <w:pPr>
              <w:jc w:val="center"/>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1918" w:type="dxa"/>
            <w:gridSpan w:val="2"/>
            <w:vAlign w:val="center"/>
          </w:tcPr>
          <w:p w14:paraId="3CF7429A">
            <w:pPr>
              <w:jc w:val="center"/>
              <w:rPr>
                <w:rFonts w:hint="eastAsia" w:ascii="宋体" w:hAnsi="宋体" w:eastAsia="宋体" w:cs="宋体"/>
                <w:color w:val="auto"/>
                <w:highlight w:val="none"/>
              </w:rPr>
            </w:pPr>
          </w:p>
        </w:tc>
        <w:tc>
          <w:tcPr>
            <w:tcW w:w="1160" w:type="dxa"/>
            <w:vMerge w:val="continue"/>
            <w:vAlign w:val="center"/>
          </w:tcPr>
          <w:p w14:paraId="7E2A0CF7">
            <w:pPr>
              <w:jc w:val="center"/>
              <w:rPr>
                <w:rFonts w:hint="eastAsia" w:ascii="宋体" w:hAnsi="宋体" w:eastAsia="宋体" w:cs="宋体"/>
                <w:color w:val="auto"/>
                <w:highlight w:val="none"/>
              </w:rPr>
            </w:pPr>
          </w:p>
        </w:tc>
        <w:tc>
          <w:tcPr>
            <w:tcW w:w="1620" w:type="dxa"/>
            <w:gridSpan w:val="3"/>
            <w:vAlign w:val="center"/>
          </w:tcPr>
          <w:p w14:paraId="64907465">
            <w:pPr>
              <w:jc w:val="center"/>
              <w:rPr>
                <w:rFonts w:hint="eastAsia" w:ascii="宋体" w:hAnsi="宋体" w:eastAsia="宋体" w:cs="宋体"/>
                <w:color w:val="auto"/>
                <w:highlight w:val="none"/>
              </w:rPr>
            </w:pPr>
            <w:r>
              <w:rPr>
                <w:rFonts w:hint="eastAsia" w:ascii="宋体" w:hAnsi="宋体" w:eastAsia="宋体" w:cs="宋体"/>
                <w:color w:val="auto"/>
                <w:highlight w:val="none"/>
              </w:rPr>
              <w:t>初级职称人员</w:t>
            </w:r>
          </w:p>
        </w:tc>
        <w:tc>
          <w:tcPr>
            <w:tcW w:w="3027" w:type="dxa"/>
            <w:gridSpan w:val="2"/>
            <w:vAlign w:val="center"/>
          </w:tcPr>
          <w:p w14:paraId="257CEC7C">
            <w:pPr>
              <w:jc w:val="center"/>
              <w:rPr>
                <w:rFonts w:hint="eastAsia" w:ascii="宋体" w:hAnsi="宋体" w:eastAsia="宋体" w:cs="宋体"/>
                <w:color w:val="auto"/>
                <w:highlight w:val="none"/>
              </w:rPr>
            </w:pPr>
          </w:p>
        </w:tc>
      </w:tr>
      <w:tr w14:paraId="3B95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E299574">
            <w:pPr>
              <w:jc w:val="center"/>
              <w:rPr>
                <w:rFonts w:hint="eastAsia" w:ascii="宋体" w:hAnsi="宋体" w:eastAsia="宋体" w:cs="宋体"/>
                <w:color w:val="auto"/>
                <w:highlight w:val="none"/>
              </w:rPr>
            </w:pPr>
            <w:r>
              <w:rPr>
                <w:rFonts w:hint="eastAsia" w:ascii="宋体" w:hAnsi="宋体" w:eastAsia="宋体" w:cs="宋体"/>
                <w:color w:val="auto"/>
                <w:highlight w:val="none"/>
              </w:rPr>
              <w:t>账号</w:t>
            </w:r>
          </w:p>
        </w:tc>
        <w:tc>
          <w:tcPr>
            <w:tcW w:w="1918" w:type="dxa"/>
            <w:gridSpan w:val="2"/>
            <w:vAlign w:val="center"/>
          </w:tcPr>
          <w:p w14:paraId="5F379F51">
            <w:pPr>
              <w:jc w:val="center"/>
              <w:rPr>
                <w:rFonts w:hint="eastAsia" w:ascii="宋体" w:hAnsi="宋体" w:eastAsia="宋体" w:cs="宋体"/>
                <w:color w:val="auto"/>
                <w:highlight w:val="none"/>
              </w:rPr>
            </w:pPr>
          </w:p>
        </w:tc>
        <w:tc>
          <w:tcPr>
            <w:tcW w:w="1160" w:type="dxa"/>
            <w:vMerge w:val="continue"/>
            <w:vAlign w:val="center"/>
          </w:tcPr>
          <w:p w14:paraId="42ECE81A">
            <w:pPr>
              <w:jc w:val="center"/>
              <w:rPr>
                <w:rFonts w:hint="eastAsia" w:ascii="宋体" w:hAnsi="宋体" w:eastAsia="宋体" w:cs="宋体"/>
                <w:color w:val="auto"/>
                <w:highlight w:val="none"/>
              </w:rPr>
            </w:pPr>
          </w:p>
        </w:tc>
        <w:tc>
          <w:tcPr>
            <w:tcW w:w="1620" w:type="dxa"/>
            <w:gridSpan w:val="3"/>
            <w:vAlign w:val="center"/>
          </w:tcPr>
          <w:p w14:paraId="302CBB2F">
            <w:pPr>
              <w:jc w:val="center"/>
              <w:rPr>
                <w:rFonts w:hint="eastAsia" w:ascii="宋体" w:hAnsi="宋体" w:eastAsia="宋体" w:cs="宋体"/>
                <w:color w:val="auto"/>
                <w:highlight w:val="none"/>
              </w:rPr>
            </w:pPr>
            <w:r>
              <w:rPr>
                <w:rFonts w:hint="eastAsia" w:ascii="宋体" w:hAnsi="宋体" w:eastAsia="宋体" w:cs="宋体"/>
                <w:color w:val="auto"/>
                <w:highlight w:val="none"/>
              </w:rPr>
              <w:t>技  工</w:t>
            </w:r>
          </w:p>
        </w:tc>
        <w:tc>
          <w:tcPr>
            <w:tcW w:w="3027" w:type="dxa"/>
            <w:gridSpan w:val="2"/>
            <w:vAlign w:val="center"/>
          </w:tcPr>
          <w:p w14:paraId="16329DE9">
            <w:pPr>
              <w:jc w:val="center"/>
              <w:rPr>
                <w:rFonts w:hint="eastAsia" w:ascii="宋体" w:hAnsi="宋体" w:eastAsia="宋体" w:cs="宋体"/>
                <w:color w:val="auto"/>
                <w:highlight w:val="none"/>
              </w:rPr>
            </w:pPr>
          </w:p>
        </w:tc>
      </w:tr>
      <w:tr w14:paraId="4897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626" w:type="dxa"/>
            <w:vAlign w:val="center"/>
          </w:tcPr>
          <w:p w14:paraId="0EB2BD1A">
            <w:pPr>
              <w:jc w:val="center"/>
              <w:rPr>
                <w:rFonts w:hint="eastAsia" w:ascii="宋体" w:hAnsi="宋体" w:eastAsia="宋体" w:cs="宋体"/>
                <w:color w:val="auto"/>
                <w:highlight w:val="none"/>
              </w:rPr>
            </w:pPr>
            <w:r>
              <w:rPr>
                <w:rFonts w:hint="eastAsia" w:ascii="宋体" w:hAnsi="宋体" w:eastAsia="宋体" w:cs="宋体"/>
                <w:color w:val="auto"/>
                <w:highlight w:val="none"/>
              </w:rPr>
              <w:t>经营范围</w:t>
            </w:r>
          </w:p>
        </w:tc>
        <w:tc>
          <w:tcPr>
            <w:tcW w:w="7725" w:type="dxa"/>
            <w:gridSpan w:val="8"/>
            <w:vAlign w:val="center"/>
          </w:tcPr>
          <w:p w14:paraId="760B669B">
            <w:pPr>
              <w:jc w:val="center"/>
              <w:rPr>
                <w:rFonts w:hint="eastAsia" w:ascii="宋体" w:hAnsi="宋体" w:eastAsia="宋体" w:cs="宋体"/>
                <w:color w:val="auto"/>
                <w:highlight w:val="none"/>
              </w:rPr>
            </w:pPr>
          </w:p>
        </w:tc>
      </w:tr>
      <w:tr w14:paraId="1291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626" w:type="dxa"/>
            <w:vAlign w:val="center"/>
          </w:tcPr>
          <w:p w14:paraId="09A1C57A">
            <w:pPr>
              <w:jc w:val="center"/>
              <w:rPr>
                <w:rFonts w:hint="eastAsia" w:ascii="宋体" w:hAnsi="宋体" w:eastAsia="宋体" w:cs="宋体"/>
                <w:color w:val="auto"/>
                <w:highlight w:val="none"/>
              </w:rPr>
            </w:pPr>
            <w:r>
              <w:rPr>
                <w:rFonts w:hint="eastAsia" w:ascii="宋体" w:hAnsi="宋体" w:eastAsia="宋体" w:cs="宋体"/>
                <w:color w:val="auto"/>
                <w:highlight w:val="none"/>
              </w:rPr>
              <w:t>供应商关联企业情况</w:t>
            </w:r>
          </w:p>
        </w:tc>
        <w:tc>
          <w:tcPr>
            <w:tcW w:w="7725" w:type="dxa"/>
            <w:gridSpan w:val="8"/>
            <w:vAlign w:val="center"/>
          </w:tcPr>
          <w:p w14:paraId="160DD9C4">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供应商应提供关联企业情况，包括：</w:t>
            </w:r>
          </w:p>
          <w:p w14:paraId="7E9C7F96">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（1）供应商的所有股东名称及相应股权（出资额）比例；如供应商为上市公司，投标人应提供股权占公司股份总数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%以上的所有股东名称及相应股权比例；</w:t>
            </w:r>
          </w:p>
          <w:p w14:paraId="2336CAC7">
            <w:pPr>
              <w:spacing w:line="360" w:lineRule="auto"/>
              <w:ind w:left="210" w:hanging="210" w:hangingChars="100"/>
              <w:jc w:val="left"/>
              <w:rPr>
                <w:rFonts w:hint="eastAsia" w:ascii="宋体" w:hAnsi="宋体" w:eastAsia="宋体" w:cs="宋体"/>
                <w:color w:val="auto"/>
                <w:highlight w:val="none"/>
              </w:rPr>
            </w:pPr>
            <w:r>
              <w:rPr>
                <w:rFonts w:hint="eastAsia" w:ascii="宋体" w:hAnsi="宋体" w:eastAsia="宋体" w:cs="宋体"/>
                <w:color w:val="auto"/>
                <w:highlight w:val="none"/>
              </w:rPr>
              <w:t>（2）供应商投资（控股）或管理的下属企业名称、持有股权（出资额）比例；</w:t>
            </w:r>
          </w:p>
          <w:p w14:paraId="4625F032">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（3）与供应商单位负责人（法定代表人）为同一人的其他单位名称；</w:t>
            </w:r>
          </w:p>
        </w:tc>
      </w:tr>
      <w:tr w14:paraId="0401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1F16A65C">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7725" w:type="dxa"/>
            <w:gridSpan w:val="8"/>
            <w:vAlign w:val="center"/>
          </w:tcPr>
          <w:p w14:paraId="6BD1B1FD">
            <w:pPr>
              <w:jc w:val="center"/>
              <w:rPr>
                <w:rFonts w:hint="eastAsia" w:ascii="宋体" w:hAnsi="宋体" w:eastAsia="宋体" w:cs="宋体"/>
                <w:color w:val="auto"/>
                <w:highlight w:val="none"/>
              </w:rPr>
            </w:pPr>
          </w:p>
        </w:tc>
      </w:tr>
    </w:tbl>
    <w:p w14:paraId="129F40CD">
      <w:pPr>
        <w:widowControl/>
        <w:jc w:val="left"/>
        <w:rPr>
          <w:rFonts w:hint="eastAsia" w:ascii="宋体" w:hAnsi="宋体" w:eastAsia="宋体" w:cs="宋体"/>
          <w:color w:val="auto"/>
          <w:highlight w:val="none"/>
        </w:rPr>
      </w:pPr>
    </w:p>
    <w:p w14:paraId="2466A983">
      <w:pPr>
        <w:widowControl/>
        <w:spacing w:line="36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备注：</w:t>
      </w:r>
    </w:p>
    <w:p w14:paraId="5633BDEC">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1.供应商应根据磋商文件第二章“供应商须知”第3.1.1项的要求在本表后附相关证明材料。</w:t>
      </w:r>
    </w:p>
    <w:p w14:paraId="7E819D88">
      <w:pPr>
        <w:spacing w:beforeLines="50" w:line="360" w:lineRule="auto"/>
        <w:ind w:firstLine="424" w:firstLineChars="202"/>
        <w:rPr>
          <w:rFonts w:hint="eastAsia" w:ascii="宋体" w:hAnsi="宋体" w:eastAsia="宋体" w:cs="宋体"/>
          <w:b/>
          <w:bCs/>
          <w:color w:val="auto"/>
          <w:szCs w:val="32"/>
          <w:highlight w:val="none"/>
        </w:rPr>
      </w:pPr>
      <w:r>
        <w:rPr>
          <w:rFonts w:hint="eastAsia" w:ascii="宋体" w:hAnsi="宋体" w:eastAsia="宋体" w:cs="宋体"/>
          <w:color w:val="auto"/>
          <w:highlight w:val="none"/>
        </w:rPr>
        <w:t>2.以联合体形式参与竞标的，联合体各成员应分别填写。</w:t>
      </w:r>
      <w:r>
        <w:rPr>
          <w:rFonts w:hint="eastAsia" w:ascii="宋体" w:hAnsi="宋体" w:eastAsia="宋体" w:cs="宋体"/>
          <w:color w:val="auto"/>
          <w:highlight w:val="none"/>
        </w:rPr>
        <w:br w:type="page"/>
      </w:r>
    </w:p>
    <w:p w14:paraId="4EBCDA6B">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（五）供应商的基本账户开户许可证（或《基本存款账户信息》凭证）复印件；</w:t>
      </w:r>
    </w:p>
    <w:p w14:paraId="4412EF6C">
      <w:pPr>
        <w:pStyle w:val="4"/>
        <w:jc w:val="center"/>
        <w:outlineLvl w:val="9"/>
        <w:rPr>
          <w:rFonts w:hint="eastAsia" w:ascii="宋体" w:hAnsi="宋体" w:eastAsia="宋体" w:cs="宋体"/>
          <w:color w:val="auto"/>
          <w:sz w:val="24"/>
          <w:szCs w:val="24"/>
          <w:highlight w:val="none"/>
        </w:rPr>
      </w:pPr>
    </w:p>
    <w:p w14:paraId="5201A6CE">
      <w:pPr>
        <w:rPr>
          <w:rFonts w:hint="eastAsia" w:ascii="宋体" w:hAnsi="宋体" w:eastAsia="宋体" w:cs="宋体"/>
          <w:color w:val="auto"/>
          <w:sz w:val="24"/>
          <w:szCs w:val="24"/>
          <w:highlight w:val="none"/>
        </w:rPr>
      </w:pPr>
    </w:p>
    <w:p w14:paraId="61E06188">
      <w:pPr>
        <w:pStyle w:val="25"/>
        <w:outlineLvl w:val="9"/>
        <w:rPr>
          <w:rFonts w:hint="eastAsia" w:ascii="宋体" w:hAnsi="宋体" w:eastAsia="宋体" w:cs="宋体"/>
          <w:color w:val="auto"/>
          <w:sz w:val="24"/>
          <w:szCs w:val="24"/>
          <w:highlight w:val="none"/>
        </w:rPr>
      </w:pPr>
    </w:p>
    <w:p w14:paraId="10F51675">
      <w:pPr>
        <w:pStyle w:val="25"/>
        <w:outlineLvl w:val="9"/>
        <w:rPr>
          <w:rFonts w:hint="eastAsia" w:ascii="宋体" w:hAnsi="宋体" w:eastAsia="宋体" w:cs="宋体"/>
          <w:color w:val="auto"/>
          <w:sz w:val="24"/>
          <w:szCs w:val="24"/>
          <w:highlight w:val="none"/>
        </w:rPr>
      </w:pPr>
    </w:p>
    <w:p w14:paraId="705D6F98">
      <w:pPr>
        <w:pStyle w:val="25"/>
        <w:outlineLvl w:val="9"/>
        <w:rPr>
          <w:rFonts w:hint="eastAsia" w:ascii="宋体" w:hAnsi="宋体" w:eastAsia="宋体" w:cs="宋体"/>
          <w:color w:val="auto"/>
          <w:sz w:val="24"/>
          <w:szCs w:val="24"/>
          <w:highlight w:val="none"/>
        </w:rPr>
      </w:pPr>
    </w:p>
    <w:p w14:paraId="4594E8AE">
      <w:pPr>
        <w:pStyle w:val="25"/>
        <w:outlineLvl w:val="9"/>
        <w:rPr>
          <w:rFonts w:hint="eastAsia" w:ascii="宋体" w:hAnsi="宋体" w:eastAsia="宋体" w:cs="宋体"/>
          <w:color w:val="auto"/>
          <w:sz w:val="24"/>
          <w:szCs w:val="24"/>
          <w:highlight w:val="none"/>
        </w:rPr>
      </w:pPr>
    </w:p>
    <w:p w14:paraId="796C792E">
      <w:pPr>
        <w:pStyle w:val="25"/>
        <w:outlineLvl w:val="9"/>
        <w:rPr>
          <w:rFonts w:hint="eastAsia" w:ascii="宋体" w:hAnsi="宋体" w:eastAsia="宋体" w:cs="宋体"/>
          <w:color w:val="auto"/>
          <w:sz w:val="24"/>
          <w:szCs w:val="24"/>
          <w:highlight w:val="none"/>
        </w:rPr>
      </w:pPr>
    </w:p>
    <w:p w14:paraId="0AFC26FC">
      <w:pPr>
        <w:pStyle w:val="25"/>
        <w:outlineLvl w:val="9"/>
        <w:rPr>
          <w:rFonts w:hint="eastAsia" w:ascii="宋体" w:hAnsi="宋体" w:eastAsia="宋体" w:cs="宋体"/>
          <w:color w:val="auto"/>
          <w:sz w:val="24"/>
          <w:szCs w:val="24"/>
          <w:highlight w:val="none"/>
        </w:rPr>
      </w:pPr>
    </w:p>
    <w:p w14:paraId="060A7E3B">
      <w:pPr>
        <w:pStyle w:val="25"/>
        <w:outlineLvl w:val="9"/>
        <w:rPr>
          <w:rFonts w:hint="eastAsia" w:ascii="宋体" w:hAnsi="宋体" w:eastAsia="宋体" w:cs="宋体"/>
          <w:color w:val="auto"/>
          <w:sz w:val="24"/>
          <w:szCs w:val="24"/>
          <w:highlight w:val="none"/>
        </w:rPr>
      </w:pPr>
    </w:p>
    <w:p w14:paraId="2FD45689">
      <w:pPr>
        <w:pStyle w:val="25"/>
        <w:outlineLvl w:val="9"/>
        <w:rPr>
          <w:rFonts w:hint="eastAsia" w:ascii="宋体" w:hAnsi="宋体" w:eastAsia="宋体" w:cs="宋体"/>
          <w:color w:val="auto"/>
          <w:sz w:val="24"/>
          <w:szCs w:val="24"/>
          <w:highlight w:val="none"/>
        </w:rPr>
      </w:pPr>
    </w:p>
    <w:p w14:paraId="68AD3017">
      <w:pPr>
        <w:pStyle w:val="25"/>
        <w:outlineLvl w:val="9"/>
        <w:rPr>
          <w:rFonts w:hint="eastAsia" w:ascii="宋体" w:hAnsi="宋体" w:eastAsia="宋体" w:cs="宋体"/>
          <w:color w:val="auto"/>
          <w:sz w:val="24"/>
          <w:szCs w:val="24"/>
          <w:highlight w:val="none"/>
        </w:rPr>
      </w:pPr>
    </w:p>
    <w:p w14:paraId="54B57784">
      <w:pPr>
        <w:pStyle w:val="25"/>
        <w:outlineLvl w:val="9"/>
        <w:rPr>
          <w:rFonts w:hint="eastAsia" w:ascii="宋体" w:hAnsi="宋体" w:eastAsia="宋体" w:cs="宋体"/>
          <w:color w:val="auto"/>
          <w:sz w:val="24"/>
          <w:szCs w:val="24"/>
          <w:highlight w:val="none"/>
        </w:rPr>
      </w:pPr>
    </w:p>
    <w:p w14:paraId="2D737D5D">
      <w:pPr>
        <w:pStyle w:val="4"/>
        <w:jc w:val="center"/>
        <w:outlineLvl w:val="9"/>
        <w:rPr>
          <w:rFonts w:hint="eastAsia" w:ascii="宋体" w:hAnsi="宋体" w:eastAsia="宋体" w:cs="宋体"/>
          <w:color w:val="auto"/>
          <w:sz w:val="24"/>
          <w:szCs w:val="24"/>
          <w:highlight w:val="none"/>
        </w:rPr>
      </w:pPr>
    </w:p>
    <w:p w14:paraId="2E74C716">
      <w:pPr>
        <w:pStyle w:val="4"/>
        <w:jc w:val="center"/>
        <w:outlineLvl w:val="9"/>
        <w:rPr>
          <w:rFonts w:hint="eastAsia" w:ascii="宋体" w:hAnsi="宋体" w:eastAsia="宋体" w:cs="宋体"/>
          <w:color w:val="auto"/>
          <w:sz w:val="24"/>
          <w:szCs w:val="24"/>
          <w:highlight w:val="none"/>
        </w:rPr>
      </w:pPr>
    </w:p>
    <w:p w14:paraId="33F8BE36">
      <w:pPr>
        <w:pStyle w:val="4"/>
        <w:jc w:val="center"/>
        <w:outlineLvl w:val="9"/>
        <w:rPr>
          <w:rFonts w:hint="eastAsia" w:ascii="宋体" w:hAnsi="宋体" w:eastAsia="宋体" w:cs="宋体"/>
          <w:color w:val="auto"/>
          <w:sz w:val="24"/>
          <w:szCs w:val="24"/>
          <w:highlight w:val="none"/>
        </w:rPr>
      </w:pPr>
    </w:p>
    <w:p w14:paraId="7425CEC4">
      <w:pPr>
        <w:pStyle w:val="4"/>
        <w:jc w:val="center"/>
        <w:outlineLvl w:val="9"/>
        <w:rPr>
          <w:rFonts w:hint="eastAsia" w:ascii="宋体" w:hAnsi="宋体" w:eastAsia="宋体" w:cs="宋体"/>
          <w:color w:val="auto"/>
          <w:sz w:val="24"/>
          <w:szCs w:val="24"/>
          <w:highlight w:val="none"/>
        </w:rPr>
      </w:pPr>
    </w:p>
    <w:p w14:paraId="5641F804">
      <w:pPr>
        <w:pStyle w:val="4"/>
        <w:jc w:val="center"/>
        <w:outlineLvl w:val="9"/>
        <w:rPr>
          <w:rFonts w:hint="eastAsia" w:ascii="宋体" w:hAnsi="宋体" w:eastAsia="宋体" w:cs="宋体"/>
          <w:color w:val="auto"/>
          <w:sz w:val="24"/>
          <w:szCs w:val="24"/>
          <w:highlight w:val="none"/>
        </w:rPr>
      </w:pPr>
    </w:p>
    <w:p w14:paraId="3D97C476">
      <w:pPr>
        <w:pStyle w:val="4"/>
        <w:jc w:val="center"/>
        <w:outlineLvl w:val="9"/>
        <w:rPr>
          <w:rFonts w:hint="eastAsia" w:ascii="宋体" w:hAnsi="宋体" w:eastAsia="宋体" w:cs="宋体"/>
          <w:color w:val="auto"/>
          <w:sz w:val="24"/>
          <w:szCs w:val="24"/>
          <w:highlight w:val="none"/>
        </w:rPr>
      </w:pPr>
    </w:p>
    <w:p w14:paraId="1699B0D3">
      <w:pPr>
        <w:pStyle w:val="4"/>
        <w:jc w:val="center"/>
        <w:outlineLvl w:val="9"/>
        <w:rPr>
          <w:rFonts w:hint="eastAsia" w:ascii="宋体" w:hAnsi="宋体" w:eastAsia="宋体" w:cs="宋体"/>
          <w:color w:val="auto"/>
          <w:sz w:val="24"/>
          <w:szCs w:val="24"/>
          <w:highlight w:val="none"/>
        </w:rPr>
      </w:pPr>
    </w:p>
    <w:p w14:paraId="4B8967D9">
      <w:pPr>
        <w:pStyle w:val="4"/>
        <w:jc w:val="center"/>
        <w:outlineLvl w:val="9"/>
        <w:rPr>
          <w:rFonts w:hint="eastAsia" w:ascii="宋体" w:hAnsi="宋体" w:eastAsia="宋体" w:cs="宋体"/>
          <w:color w:val="auto"/>
          <w:sz w:val="24"/>
          <w:szCs w:val="24"/>
          <w:highlight w:val="none"/>
        </w:rPr>
      </w:pPr>
    </w:p>
    <w:p w14:paraId="62853A3E">
      <w:pPr>
        <w:pStyle w:val="4"/>
        <w:jc w:val="center"/>
        <w:outlineLvl w:val="9"/>
        <w:rPr>
          <w:rFonts w:hint="eastAsia" w:ascii="宋体" w:hAnsi="宋体" w:eastAsia="宋体" w:cs="宋体"/>
          <w:color w:val="auto"/>
          <w:sz w:val="24"/>
          <w:szCs w:val="24"/>
          <w:highlight w:val="none"/>
        </w:rPr>
      </w:pPr>
    </w:p>
    <w:p w14:paraId="05026D6F">
      <w:pPr>
        <w:pStyle w:val="4"/>
        <w:jc w:val="both"/>
        <w:outlineLvl w:val="9"/>
        <w:rPr>
          <w:rFonts w:hint="eastAsia" w:ascii="宋体" w:hAnsi="宋体" w:eastAsia="宋体" w:cs="宋体"/>
          <w:color w:val="auto"/>
          <w:sz w:val="24"/>
          <w:szCs w:val="24"/>
          <w:highlight w:val="none"/>
        </w:rPr>
      </w:pPr>
    </w:p>
    <w:p w14:paraId="46FB95F7">
      <w:pPr>
        <w:rPr>
          <w:rFonts w:hint="eastAsia" w:ascii="宋体" w:hAnsi="宋体" w:eastAsia="宋体" w:cs="宋体"/>
          <w:color w:val="auto"/>
          <w:sz w:val="24"/>
          <w:szCs w:val="24"/>
          <w:highlight w:val="none"/>
        </w:rPr>
      </w:pPr>
    </w:p>
    <w:p w14:paraId="25D4C352">
      <w:pPr>
        <w:pStyle w:val="4"/>
        <w:jc w:val="both"/>
        <w:outlineLvl w:val="9"/>
        <w:rPr>
          <w:rFonts w:hint="eastAsia" w:ascii="宋体" w:hAnsi="宋体" w:eastAsia="宋体" w:cs="宋体"/>
          <w:color w:val="auto"/>
          <w:sz w:val="24"/>
          <w:szCs w:val="24"/>
          <w:highlight w:val="none"/>
        </w:rPr>
      </w:pPr>
    </w:p>
    <w:p w14:paraId="708F50CC">
      <w:pPr>
        <w:pStyle w:val="4"/>
        <w:spacing w:line="240" w:lineRule="auto"/>
        <w:jc w:val="both"/>
        <w:outlineLvl w:val="9"/>
        <w:rPr>
          <w:rFonts w:hint="eastAsia" w:ascii="宋体" w:hAnsi="宋体" w:eastAsia="宋体" w:cs="宋体"/>
          <w:color w:val="auto"/>
          <w:sz w:val="24"/>
          <w:szCs w:val="24"/>
          <w:highlight w:val="none"/>
        </w:rPr>
      </w:pPr>
    </w:p>
    <w:p w14:paraId="78F21B80">
      <w:pPr>
        <w:rPr>
          <w:rFonts w:hint="eastAsia" w:ascii="宋体" w:hAnsi="宋体" w:eastAsia="宋体" w:cs="宋体"/>
          <w:color w:val="auto"/>
          <w:highlight w:val="none"/>
        </w:rPr>
      </w:pPr>
    </w:p>
    <w:p w14:paraId="0684D20F">
      <w:pPr>
        <w:pStyle w:val="4"/>
        <w:jc w:val="both"/>
        <w:outlineLvl w:val="9"/>
        <w:rPr>
          <w:rFonts w:hint="eastAsia" w:ascii="宋体" w:hAnsi="宋体" w:eastAsia="宋体" w:cs="宋体"/>
          <w:color w:val="auto"/>
          <w:sz w:val="24"/>
          <w:szCs w:val="24"/>
          <w:highlight w:val="none"/>
        </w:rPr>
      </w:pPr>
    </w:p>
    <w:p w14:paraId="455AD53F">
      <w:pPr>
        <w:rPr>
          <w:rFonts w:hint="eastAsia" w:ascii="宋体" w:hAnsi="宋体" w:eastAsia="宋体" w:cs="宋体"/>
          <w:color w:val="auto"/>
          <w:highlight w:val="none"/>
        </w:rPr>
      </w:pPr>
    </w:p>
    <w:p w14:paraId="22CC0967">
      <w:pPr>
        <w:pStyle w:val="4"/>
        <w:jc w:val="both"/>
        <w:rPr>
          <w:rFonts w:hint="eastAsia" w:ascii="宋体" w:hAnsi="宋体" w:eastAsia="宋体" w:cs="宋体"/>
          <w:color w:val="auto"/>
          <w:highlight w:val="none"/>
        </w:rPr>
      </w:pPr>
      <w:r>
        <w:rPr>
          <w:rFonts w:hint="eastAsia" w:ascii="宋体" w:hAnsi="宋体" w:eastAsia="宋体" w:cs="宋体"/>
          <w:color w:val="auto"/>
          <w:sz w:val="24"/>
          <w:szCs w:val="24"/>
          <w:highlight w:val="none"/>
        </w:rPr>
        <w:t>（六）项目管理机构配备表</w:t>
      </w:r>
    </w:p>
    <w:p w14:paraId="3EA3CD25">
      <w:pPr>
        <w:widowControl/>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项目管理机构配备表</w:t>
      </w:r>
    </w:p>
    <w:p w14:paraId="0424B46A">
      <w:pPr>
        <w:widowControl/>
        <w:jc w:val="left"/>
        <w:rPr>
          <w:rFonts w:hint="eastAsia" w:ascii="宋体" w:hAnsi="宋体" w:eastAsia="宋体" w:cs="宋体"/>
          <w:color w:val="auto"/>
          <w:highlight w:val="none"/>
        </w:rPr>
      </w:pPr>
    </w:p>
    <w:p w14:paraId="0DCD9BF9">
      <w:pPr>
        <w:rPr>
          <w:rFonts w:hint="eastAsia" w:ascii="宋体" w:hAnsi="宋体" w:eastAsia="宋体" w:cs="宋体"/>
          <w:color w:val="auto"/>
          <w:kern w:val="2"/>
          <w:highlight w:val="none"/>
        </w:rPr>
      </w:pPr>
      <w:r>
        <w:rPr>
          <w:rFonts w:hint="eastAsia" w:ascii="宋体" w:hAnsi="宋体" w:eastAsia="宋体" w:cs="宋体"/>
          <w:color w:val="auto"/>
          <w:kern w:val="2"/>
          <w:highlight w:val="none"/>
          <w:u w:val="single"/>
        </w:rPr>
        <w:t xml:space="preserve">            （项目名称）                    </w:t>
      </w:r>
      <w:r>
        <w:rPr>
          <w:rFonts w:hint="eastAsia" w:ascii="宋体" w:hAnsi="宋体" w:eastAsia="宋体" w:cs="宋体"/>
          <w:color w:val="auto"/>
          <w:kern w:val="2"/>
          <w:highlight w:val="none"/>
        </w:rPr>
        <w:t xml:space="preserve"> 工程</w:t>
      </w:r>
    </w:p>
    <w:tbl>
      <w:tblPr>
        <w:tblStyle w:val="13"/>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9"/>
        <w:gridCol w:w="800"/>
        <w:gridCol w:w="1148"/>
        <w:gridCol w:w="1148"/>
        <w:gridCol w:w="1148"/>
        <w:gridCol w:w="1148"/>
        <w:gridCol w:w="850"/>
        <w:gridCol w:w="1679"/>
      </w:tblGrid>
      <w:tr w14:paraId="2C02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129" w:type="dxa"/>
            <w:vMerge w:val="restart"/>
            <w:vAlign w:val="center"/>
          </w:tcPr>
          <w:p w14:paraId="4F2192CE">
            <w:pPr>
              <w:ind w:left="223" w:hanging="222" w:hangingChars="106"/>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岗位</w:t>
            </w:r>
          </w:p>
        </w:tc>
        <w:tc>
          <w:tcPr>
            <w:tcW w:w="709" w:type="dxa"/>
            <w:vMerge w:val="restart"/>
            <w:vAlign w:val="center"/>
          </w:tcPr>
          <w:p w14:paraId="5584FD0F">
            <w:pPr>
              <w:ind w:left="223" w:hanging="222" w:hangingChars="106"/>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姓名</w:t>
            </w:r>
          </w:p>
        </w:tc>
        <w:tc>
          <w:tcPr>
            <w:tcW w:w="800" w:type="dxa"/>
            <w:vMerge w:val="restart"/>
            <w:vAlign w:val="center"/>
          </w:tcPr>
          <w:p w14:paraId="36ED2699">
            <w:pPr>
              <w:ind w:left="223" w:hanging="222" w:hangingChars="106"/>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职称</w:t>
            </w:r>
          </w:p>
        </w:tc>
        <w:tc>
          <w:tcPr>
            <w:tcW w:w="4592" w:type="dxa"/>
            <w:gridSpan w:val="4"/>
            <w:vAlign w:val="center"/>
          </w:tcPr>
          <w:p w14:paraId="7A874FEA">
            <w:pPr>
              <w:ind w:left="223" w:hanging="222" w:hangingChars="106"/>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执业或职业资格证明</w:t>
            </w:r>
          </w:p>
        </w:tc>
        <w:tc>
          <w:tcPr>
            <w:tcW w:w="2529" w:type="dxa"/>
            <w:gridSpan w:val="2"/>
            <w:vAlign w:val="center"/>
          </w:tcPr>
          <w:p w14:paraId="7A8BA43D">
            <w:pPr>
              <w:ind w:left="223" w:hanging="222" w:hangingChars="106"/>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承担完工工程情况</w:t>
            </w:r>
          </w:p>
        </w:tc>
      </w:tr>
      <w:tr w14:paraId="460B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129" w:type="dxa"/>
            <w:vMerge w:val="continue"/>
            <w:vAlign w:val="center"/>
          </w:tcPr>
          <w:p w14:paraId="2255441A">
            <w:pPr>
              <w:ind w:left="223" w:hanging="222" w:hangingChars="106"/>
              <w:jc w:val="center"/>
              <w:rPr>
                <w:rFonts w:hint="eastAsia" w:ascii="宋体" w:hAnsi="宋体" w:eastAsia="宋体" w:cs="宋体"/>
                <w:color w:val="auto"/>
                <w:kern w:val="2"/>
                <w:highlight w:val="none"/>
              </w:rPr>
            </w:pPr>
          </w:p>
        </w:tc>
        <w:tc>
          <w:tcPr>
            <w:tcW w:w="709" w:type="dxa"/>
            <w:vMerge w:val="continue"/>
            <w:vAlign w:val="center"/>
          </w:tcPr>
          <w:p w14:paraId="04145BD9">
            <w:pPr>
              <w:ind w:left="223" w:hanging="222" w:hangingChars="106"/>
              <w:jc w:val="center"/>
              <w:rPr>
                <w:rFonts w:hint="eastAsia" w:ascii="宋体" w:hAnsi="宋体" w:eastAsia="宋体" w:cs="宋体"/>
                <w:color w:val="auto"/>
                <w:kern w:val="2"/>
                <w:highlight w:val="none"/>
              </w:rPr>
            </w:pPr>
          </w:p>
        </w:tc>
        <w:tc>
          <w:tcPr>
            <w:tcW w:w="800" w:type="dxa"/>
            <w:vMerge w:val="continue"/>
            <w:vAlign w:val="center"/>
          </w:tcPr>
          <w:p w14:paraId="5DA359F4">
            <w:pPr>
              <w:ind w:left="223" w:hanging="222" w:hangingChars="106"/>
              <w:jc w:val="center"/>
              <w:rPr>
                <w:rFonts w:hint="eastAsia" w:ascii="宋体" w:hAnsi="宋体" w:eastAsia="宋体" w:cs="宋体"/>
                <w:color w:val="auto"/>
                <w:kern w:val="2"/>
                <w:highlight w:val="none"/>
              </w:rPr>
            </w:pPr>
          </w:p>
        </w:tc>
        <w:tc>
          <w:tcPr>
            <w:tcW w:w="1148" w:type="dxa"/>
            <w:vAlign w:val="center"/>
          </w:tcPr>
          <w:p w14:paraId="4C717E8E">
            <w:pPr>
              <w:ind w:left="223" w:hanging="222" w:hangingChars="106"/>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证书名称</w:t>
            </w:r>
          </w:p>
        </w:tc>
        <w:tc>
          <w:tcPr>
            <w:tcW w:w="1148" w:type="dxa"/>
            <w:vAlign w:val="center"/>
          </w:tcPr>
          <w:p w14:paraId="2810AACB">
            <w:pPr>
              <w:ind w:left="223" w:hanging="222" w:hangingChars="106"/>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级别</w:t>
            </w:r>
          </w:p>
        </w:tc>
        <w:tc>
          <w:tcPr>
            <w:tcW w:w="1148" w:type="dxa"/>
            <w:vAlign w:val="center"/>
          </w:tcPr>
          <w:p w14:paraId="4AB453E7">
            <w:pPr>
              <w:ind w:left="223" w:hanging="222" w:hangingChars="106"/>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证号</w:t>
            </w:r>
          </w:p>
        </w:tc>
        <w:tc>
          <w:tcPr>
            <w:tcW w:w="1148" w:type="dxa"/>
            <w:vAlign w:val="center"/>
          </w:tcPr>
          <w:p w14:paraId="5F0C524C">
            <w:pPr>
              <w:ind w:left="223" w:hanging="222" w:hangingChars="106"/>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专业</w:t>
            </w:r>
          </w:p>
        </w:tc>
        <w:tc>
          <w:tcPr>
            <w:tcW w:w="850" w:type="dxa"/>
            <w:vAlign w:val="center"/>
          </w:tcPr>
          <w:p w14:paraId="7FDE8E42">
            <w:pPr>
              <w:ind w:left="223" w:hanging="222" w:hangingChars="106"/>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项目数</w:t>
            </w:r>
          </w:p>
        </w:tc>
        <w:tc>
          <w:tcPr>
            <w:tcW w:w="1679" w:type="dxa"/>
            <w:vAlign w:val="center"/>
          </w:tcPr>
          <w:p w14:paraId="4DC05DBD">
            <w:pPr>
              <w:ind w:left="223" w:hanging="222" w:hangingChars="106"/>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主要项目</w:t>
            </w:r>
          </w:p>
          <w:p w14:paraId="4761ECF6">
            <w:pPr>
              <w:ind w:left="223" w:hanging="222" w:hangingChars="106"/>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名称</w:t>
            </w:r>
          </w:p>
        </w:tc>
      </w:tr>
      <w:tr w14:paraId="4AB1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1A506D9F">
            <w:pPr>
              <w:ind w:left="223" w:hanging="222" w:hangingChars="106"/>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项目经理</w:t>
            </w:r>
          </w:p>
        </w:tc>
        <w:tc>
          <w:tcPr>
            <w:tcW w:w="709" w:type="dxa"/>
            <w:vAlign w:val="center"/>
          </w:tcPr>
          <w:p w14:paraId="49A0A489">
            <w:pPr>
              <w:ind w:left="223" w:hanging="222" w:hangingChars="106"/>
              <w:jc w:val="center"/>
              <w:rPr>
                <w:rFonts w:hint="eastAsia" w:ascii="宋体" w:hAnsi="宋体" w:eastAsia="宋体" w:cs="宋体"/>
                <w:color w:val="auto"/>
                <w:kern w:val="2"/>
                <w:highlight w:val="none"/>
              </w:rPr>
            </w:pPr>
          </w:p>
        </w:tc>
        <w:tc>
          <w:tcPr>
            <w:tcW w:w="800" w:type="dxa"/>
            <w:vAlign w:val="center"/>
          </w:tcPr>
          <w:p w14:paraId="3E984E43">
            <w:pPr>
              <w:ind w:left="223" w:hanging="222" w:hangingChars="106"/>
              <w:jc w:val="center"/>
              <w:rPr>
                <w:rFonts w:hint="eastAsia" w:ascii="宋体" w:hAnsi="宋体" w:eastAsia="宋体" w:cs="宋体"/>
                <w:color w:val="auto"/>
                <w:kern w:val="2"/>
                <w:highlight w:val="none"/>
              </w:rPr>
            </w:pPr>
          </w:p>
        </w:tc>
        <w:tc>
          <w:tcPr>
            <w:tcW w:w="1148" w:type="dxa"/>
            <w:vAlign w:val="center"/>
          </w:tcPr>
          <w:p w14:paraId="46304FCD">
            <w:pPr>
              <w:ind w:left="223" w:hanging="222" w:hangingChars="106"/>
              <w:jc w:val="center"/>
              <w:rPr>
                <w:rFonts w:hint="eastAsia" w:ascii="宋体" w:hAnsi="宋体" w:eastAsia="宋体" w:cs="宋体"/>
                <w:color w:val="auto"/>
                <w:kern w:val="2"/>
                <w:highlight w:val="none"/>
              </w:rPr>
            </w:pPr>
          </w:p>
        </w:tc>
        <w:tc>
          <w:tcPr>
            <w:tcW w:w="1148" w:type="dxa"/>
            <w:vAlign w:val="center"/>
          </w:tcPr>
          <w:p w14:paraId="47843BFD">
            <w:pPr>
              <w:ind w:left="223" w:hanging="222" w:hangingChars="106"/>
              <w:jc w:val="center"/>
              <w:rPr>
                <w:rFonts w:hint="eastAsia" w:ascii="宋体" w:hAnsi="宋体" w:eastAsia="宋体" w:cs="宋体"/>
                <w:color w:val="auto"/>
                <w:kern w:val="2"/>
                <w:highlight w:val="none"/>
              </w:rPr>
            </w:pPr>
          </w:p>
        </w:tc>
        <w:tc>
          <w:tcPr>
            <w:tcW w:w="1148" w:type="dxa"/>
            <w:vAlign w:val="center"/>
          </w:tcPr>
          <w:p w14:paraId="0A8DBC33">
            <w:pPr>
              <w:ind w:left="223" w:hanging="222" w:hangingChars="106"/>
              <w:jc w:val="center"/>
              <w:rPr>
                <w:rFonts w:hint="eastAsia" w:ascii="宋体" w:hAnsi="宋体" w:eastAsia="宋体" w:cs="宋体"/>
                <w:color w:val="auto"/>
                <w:kern w:val="2"/>
                <w:highlight w:val="none"/>
              </w:rPr>
            </w:pPr>
          </w:p>
        </w:tc>
        <w:tc>
          <w:tcPr>
            <w:tcW w:w="1148" w:type="dxa"/>
            <w:vAlign w:val="center"/>
          </w:tcPr>
          <w:p w14:paraId="4EB833DC">
            <w:pPr>
              <w:ind w:left="223" w:hanging="222" w:hangingChars="106"/>
              <w:jc w:val="center"/>
              <w:rPr>
                <w:rFonts w:hint="eastAsia" w:ascii="宋体" w:hAnsi="宋体" w:eastAsia="宋体" w:cs="宋体"/>
                <w:color w:val="auto"/>
                <w:kern w:val="2"/>
                <w:highlight w:val="none"/>
              </w:rPr>
            </w:pPr>
          </w:p>
        </w:tc>
        <w:tc>
          <w:tcPr>
            <w:tcW w:w="850" w:type="dxa"/>
            <w:vAlign w:val="center"/>
          </w:tcPr>
          <w:p w14:paraId="70535A0F">
            <w:pPr>
              <w:ind w:left="223" w:hanging="222" w:hangingChars="106"/>
              <w:jc w:val="center"/>
              <w:rPr>
                <w:rFonts w:hint="eastAsia" w:ascii="宋体" w:hAnsi="宋体" w:eastAsia="宋体" w:cs="宋体"/>
                <w:color w:val="auto"/>
                <w:kern w:val="2"/>
                <w:highlight w:val="none"/>
              </w:rPr>
            </w:pPr>
          </w:p>
        </w:tc>
        <w:tc>
          <w:tcPr>
            <w:tcW w:w="1679" w:type="dxa"/>
            <w:vAlign w:val="center"/>
          </w:tcPr>
          <w:p w14:paraId="30E83BC6">
            <w:pPr>
              <w:ind w:left="223" w:hanging="222" w:hangingChars="106"/>
              <w:jc w:val="center"/>
              <w:rPr>
                <w:rFonts w:hint="eastAsia" w:ascii="宋体" w:hAnsi="宋体" w:eastAsia="宋体" w:cs="宋体"/>
                <w:color w:val="auto"/>
                <w:kern w:val="2"/>
                <w:highlight w:val="none"/>
              </w:rPr>
            </w:pPr>
          </w:p>
        </w:tc>
      </w:tr>
      <w:tr w14:paraId="44BD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209A136D">
            <w:pPr>
              <w:ind w:left="223" w:hanging="222" w:hangingChars="106"/>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技术负责人</w:t>
            </w:r>
          </w:p>
        </w:tc>
        <w:tc>
          <w:tcPr>
            <w:tcW w:w="709" w:type="dxa"/>
            <w:vAlign w:val="center"/>
          </w:tcPr>
          <w:p w14:paraId="10AACF1D">
            <w:pPr>
              <w:ind w:left="223" w:hanging="222" w:hangingChars="106"/>
              <w:jc w:val="center"/>
              <w:rPr>
                <w:rFonts w:hint="eastAsia" w:ascii="宋体" w:hAnsi="宋体" w:eastAsia="宋体" w:cs="宋体"/>
                <w:color w:val="auto"/>
                <w:kern w:val="2"/>
                <w:highlight w:val="none"/>
              </w:rPr>
            </w:pPr>
          </w:p>
        </w:tc>
        <w:tc>
          <w:tcPr>
            <w:tcW w:w="800" w:type="dxa"/>
            <w:vAlign w:val="center"/>
          </w:tcPr>
          <w:p w14:paraId="594B5271">
            <w:pPr>
              <w:ind w:left="223" w:hanging="222" w:hangingChars="106"/>
              <w:jc w:val="center"/>
              <w:rPr>
                <w:rFonts w:hint="eastAsia" w:ascii="宋体" w:hAnsi="宋体" w:eastAsia="宋体" w:cs="宋体"/>
                <w:color w:val="auto"/>
                <w:kern w:val="2"/>
                <w:highlight w:val="none"/>
              </w:rPr>
            </w:pPr>
          </w:p>
        </w:tc>
        <w:tc>
          <w:tcPr>
            <w:tcW w:w="1148" w:type="dxa"/>
            <w:vAlign w:val="center"/>
          </w:tcPr>
          <w:p w14:paraId="14029B02">
            <w:pPr>
              <w:ind w:left="223" w:hanging="222" w:hangingChars="106"/>
              <w:jc w:val="center"/>
              <w:rPr>
                <w:rFonts w:hint="eastAsia" w:ascii="宋体" w:hAnsi="宋体" w:eastAsia="宋体" w:cs="宋体"/>
                <w:color w:val="auto"/>
                <w:kern w:val="2"/>
                <w:highlight w:val="none"/>
              </w:rPr>
            </w:pPr>
          </w:p>
        </w:tc>
        <w:tc>
          <w:tcPr>
            <w:tcW w:w="1148" w:type="dxa"/>
            <w:vAlign w:val="center"/>
          </w:tcPr>
          <w:p w14:paraId="7F129AB9">
            <w:pPr>
              <w:ind w:left="223" w:hanging="222" w:hangingChars="106"/>
              <w:jc w:val="center"/>
              <w:rPr>
                <w:rFonts w:hint="eastAsia" w:ascii="宋体" w:hAnsi="宋体" w:eastAsia="宋体" w:cs="宋体"/>
                <w:color w:val="auto"/>
                <w:kern w:val="2"/>
                <w:highlight w:val="none"/>
              </w:rPr>
            </w:pPr>
          </w:p>
        </w:tc>
        <w:tc>
          <w:tcPr>
            <w:tcW w:w="1148" w:type="dxa"/>
            <w:vAlign w:val="center"/>
          </w:tcPr>
          <w:p w14:paraId="0200B0C0">
            <w:pPr>
              <w:ind w:left="223" w:hanging="222" w:hangingChars="106"/>
              <w:jc w:val="center"/>
              <w:rPr>
                <w:rFonts w:hint="eastAsia" w:ascii="宋体" w:hAnsi="宋体" w:eastAsia="宋体" w:cs="宋体"/>
                <w:color w:val="auto"/>
                <w:kern w:val="2"/>
                <w:highlight w:val="none"/>
              </w:rPr>
            </w:pPr>
          </w:p>
        </w:tc>
        <w:tc>
          <w:tcPr>
            <w:tcW w:w="1148" w:type="dxa"/>
            <w:vAlign w:val="center"/>
          </w:tcPr>
          <w:p w14:paraId="3D7D80DB">
            <w:pPr>
              <w:ind w:left="223" w:hanging="222" w:hangingChars="106"/>
              <w:jc w:val="center"/>
              <w:rPr>
                <w:rFonts w:hint="eastAsia" w:ascii="宋体" w:hAnsi="宋体" w:eastAsia="宋体" w:cs="宋体"/>
                <w:color w:val="auto"/>
                <w:kern w:val="2"/>
                <w:highlight w:val="none"/>
              </w:rPr>
            </w:pPr>
          </w:p>
        </w:tc>
        <w:tc>
          <w:tcPr>
            <w:tcW w:w="850" w:type="dxa"/>
            <w:vAlign w:val="center"/>
          </w:tcPr>
          <w:p w14:paraId="622031BB">
            <w:pPr>
              <w:ind w:left="223" w:hanging="222" w:hangingChars="106"/>
              <w:jc w:val="center"/>
              <w:rPr>
                <w:rFonts w:hint="eastAsia" w:ascii="宋体" w:hAnsi="宋体" w:eastAsia="宋体" w:cs="宋体"/>
                <w:color w:val="auto"/>
                <w:kern w:val="2"/>
                <w:highlight w:val="none"/>
              </w:rPr>
            </w:pPr>
          </w:p>
        </w:tc>
        <w:tc>
          <w:tcPr>
            <w:tcW w:w="1679" w:type="dxa"/>
            <w:vAlign w:val="center"/>
          </w:tcPr>
          <w:p w14:paraId="70F3311A">
            <w:pPr>
              <w:ind w:left="223" w:hanging="222" w:hangingChars="106"/>
              <w:jc w:val="center"/>
              <w:rPr>
                <w:rFonts w:hint="eastAsia" w:ascii="宋体" w:hAnsi="宋体" w:eastAsia="宋体" w:cs="宋体"/>
                <w:color w:val="auto"/>
                <w:kern w:val="2"/>
                <w:highlight w:val="none"/>
              </w:rPr>
            </w:pPr>
          </w:p>
        </w:tc>
      </w:tr>
      <w:tr w14:paraId="1B69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3D0AA8CF">
            <w:pPr>
              <w:ind w:left="223" w:hanging="222" w:hangingChars="106"/>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专职安全员</w:t>
            </w:r>
          </w:p>
        </w:tc>
        <w:tc>
          <w:tcPr>
            <w:tcW w:w="709" w:type="dxa"/>
            <w:vAlign w:val="center"/>
          </w:tcPr>
          <w:p w14:paraId="4AAB2990">
            <w:pPr>
              <w:ind w:left="223" w:hanging="222" w:hangingChars="106"/>
              <w:jc w:val="center"/>
              <w:rPr>
                <w:rFonts w:hint="eastAsia" w:ascii="宋体" w:hAnsi="宋体" w:eastAsia="宋体" w:cs="宋体"/>
                <w:color w:val="auto"/>
                <w:kern w:val="2"/>
                <w:highlight w:val="none"/>
              </w:rPr>
            </w:pPr>
          </w:p>
        </w:tc>
        <w:tc>
          <w:tcPr>
            <w:tcW w:w="800" w:type="dxa"/>
            <w:vAlign w:val="center"/>
          </w:tcPr>
          <w:p w14:paraId="3E55893F">
            <w:pPr>
              <w:ind w:left="223" w:hanging="222" w:hangingChars="106"/>
              <w:jc w:val="center"/>
              <w:rPr>
                <w:rFonts w:hint="eastAsia" w:ascii="宋体" w:hAnsi="宋体" w:eastAsia="宋体" w:cs="宋体"/>
                <w:color w:val="auto"/>
                <w:kern w:val="2"/>
                <w:highlight w:val="none"/>
              </w:rPr>
            </w:pPr>
          </w:p>
        </w:tc>
        <w:tc>
          <w:tcPr>
            <w:tcW w:w="1148" w:type="dxa"/>
            <w:vAlign w:val="center"/>
          </w:tcPr>
          <w:p w14:paraId="06763DDA">
            <w:pPr>
              <w:ind w:left="223" w:hanging="222" w:hangingChars="106"/>
              <w:jc w:val="center"/>
              <w:rPr>
                <w:rFonts w:hint="eastAsia" w:ascii="宋体" w:hAnsi="宋体" w:eastAsia="宋体" w:cs="宋体"/>
                <w:color w:val="auto"/>
                <w:kern w:val="2"/>
                <w:highlight w:val="none"/>
              </w:rPr>
            </w:pPr>
          </w:p>
        </w:tc>
        <w:tc>
          <w:tcPr>
            <w:tcW w:w="1148" w:type="dxa"/>
            <w:vAlign w:val="center"/>
          </w:tcPr>
          <w:p w14:paraId="590720A2">
            <w:pPr>
              <w:ind w:left="223" w:hanging="222" w:hangingChars="106"/>
              <w:jc w:val="center"/>
              <w:rPr>
                <w:rFonts w:hint="eastAsia" w:ascii="宋体" w:hAnsi="宋体" w:eastAsia="宋体" w:cs="宋体"/>
                <w:color w:val="auto"/>
                <w:kern w:val="2"/>
                <w:highlight w:val="none"/>
              </w:rPr>
            </w:pPr>
          </w:p>
        </w:tc>
        <w:tc>
          <w:tcPr>
            <w:tcW w:w="1148" w:type="dxa"/>
            <w:vAlign w:val="center"/>
          </w:tcPr>
          <w:p w14:paraId="1676794C">
            <w:pPr>
              <w:ind w:left="223" w:hanging="222" w:hangingChars="106"/>
              <w:jc w:val="center"/>
              <w:rPr>
                <w:rFonts w:hint="eastAsia" w:ascii="宋体" w:hAnsi="宋体" w:eastAsia="宋体" w:cs="宋体"/>
                <w:color w:val="auto"/>
                <w:kern w:val="2"/>
                <w:highlight w:val="none"/>
              </w:rPr>
            </w:pPr>
          </w:p>
        </w:tc>
        <w:tc>
          <w:tcPr>
            <w:tcW w:w="1148" w:type="dxa"/>
            <w:vAlign w:val="center"/>
          </w:tcPr>
          <w:p w14:paraId="09DE0BCE">
            <w:pPr>
              <w:ind w:left="223" w:hanging="222" w:hangingChars="106"/>
              <w:jc w:val="center"/>
              <w:rPr>
                <w:rFonts w:hint="eastAsia" w:ascii="宋体" w:hAnsi="宋体" w:eastAsia="宋体" w:cs="宋体"/>
                <w:color w:val="auto"/>
                <w:kern w:val="2"/>
                <w:highlight w:val="none"/>
              </w:rPr>
            </w:pPr>
          </w:p>
        </w:tc>
        <w:tc>
          <w:tcPr>
            <w:tcW w:w="850" w:type="dxa"/>
            <w:vAlign w:val="center"/>
          </w:tcPr>
          <w:p w14:paraId="51364277">
            <w:pPr>
              <w:ind w:left="223" w:hanging="222" w:hangingChars="106"/>
              <w:jc w:val="center"/>
              <w:rPr>
                <w:rFonts w:hint="eastAsia" w:ascii="宋体" w:hAnsi="宋体" w:eastAsia="宋体" w:cs="宋体"/>
                <w:color w:val="auto"/>
                <w:kern w:val="2"/>
                <w:highlight w:val="none"/>
              </w:rPr>
            </w:pPr>
          </w:p>
        </w:tc>
        <w:tc>
          <w:tcPr>
            <w:tcW w:w="1679" w:type="dxa"/>
            <w:vAlign w:val="center"/>
          </w:tcPr>
          <w:p w14:paraId="1494BDF9">
            <w:pPr>
              <w:ind w:left="223" w:hanging="222" w:hangingChars="106"/>
              <w:jc w:val="center"/>
              <w:rPr>
                <w:rFonts w:hint="eastAsia" w:ascii="宋体" w:hAnsi="宋体" w:eastAsia="宋体" w:cs="宋体"/>
                <w:color w:val="auto"/>
                <w:kern w:val="2"/>
                <w:highlight w:val="none"/>
              </w:rPr>
            </w:pPr>
          </w:p>
        </w:tc>
      </w:tr>
      <w:tr w14:paraId="1D94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2A9370A7">
            <w:pPr>
              <w:ind w:left="13" w:hanging="12" w:hangingChars="6"/>
              <w:jc w:val="center"/>
              <w:rPr>
                <w:rFonts w:hint="eastAsia" w:ascii="宋体" w:hAnsi="宋体" w:eastAsia="宋体" w:cs="宋体"/>
                <w:color w:val="auto"/>
                <w:kern w:val="2"/>
                <w:highlight w:val="none"/>
              </w:rPr>
            </w:pPr>
          </w:p>
        </w:tc>
        <w:tc>
          <w:tcPr>
            <w:tcW w:w="709" w:type="dxa"/>
            <w:vAlign w:val="center"/>
          </w:tcPr>
          <w:p w14:paraId="0978E8D7">
            <w:pPr>
              <w:ind w:left="223" w:hanging="222" w:hangingChars="106"/>
              <w:jc w:val="center"/>
              <w:rPr>
                <w:rFonts w:hint="eastAsia" w:ascii="宋体" w:hAnsi="宋体" w:eastAsia="宋体" w:cs="宋体"/>
                <w:color w:val="auto"/>
                <w:kern w:val="2"/>
                <w:highlight w:val="none"/>
              </w:rPr>
            </w:pPr>
          </w:p>
        </w:tc>
        <w:tc>
          <w:tcPr>
            <w:tcW w:w="800" w:type="dxa"/>
            <w:vAlign w:val="center"/>
          </w:tcPr>
          <w:p w14:paraId="707EE769">
            <w:pPr>
              <w:ind w:left="223" w:hanging="222" w:hangingChars="106"/>
              <w:jc w:val="center"/>
              <w:rPr>
                <w:rFonts w:hint="eastAsia" w:ascii="宋体" w:hAnsi="宋体" w:eastAsia="宋体" w:cs="宋体"/>
                <w:color w:val="auto"/>
                <w:kern w:val="2"/>
                <w:highlight w:val="none"/>
              </w:rPr>
            </w:pPr>
          </w:p>
        </w:tc>
        <w:tc>
          <w:tcPr>
            <w:tcW w:w="1148" w:type="dxa"/>
            <w:vAlign w:val="center"/>
          </w:tcPr>
          <w:p w14:paraId="5477E9D3">
            <w:pPr>
              <w:ind w:left="223" w:hanging="222" w:hangingChars="106"/>
              <w:jc w:val="center"/>
              <w:rPr>
                <w:rFonts w:hint="eastAsia" w:ascii="宋体" w:hAnsi="宋体" w:eastAsia="宋体" w:cs="宋体"/>
                <w:color w:val="auto"/>
                <w:kern w:val="2"/>
                <w:highlight w:val="none"/>
              </w:rPr>
            </w:pPr>
          </w:p>
        </w:tc>
        <w:tc>
          <w:tcPr>
            <w:tcW w:w="1148" w:type="dxa"/>
            <w:vAlign w:val="center"/>
          </w:tcPr>
          <w:p w14:paraId="11CBE408">
            <w:pPr>
              <w:ind w:left="223" w:hanging="222" w:hangingChars="106"/>
              <w:jc w:val="center"/>
              <w:rPr>
                <w:rFonts w:hint="eastAsia" w:ascii="宋体" w:hAnsi="宋体" w:eastAsia="宋体" w:cs="宋体"/>
                <w:color w:val="auto"/>
                <w:kern w:val="2"/>
                <w:highlight w:val="none"/>
              </w:rPr>
            </w:pPr>
          </w:p>
        </w:tc>
        <w:tc>
          <w:tcPr>
            <w:tcW w:w="1148" w:type="dxa"/>
            <w:vAlign w:val="center"/>
          </w:tcPr>
          <w:p w14:paraId="676269CC">
            <w:pPr>
              <w:ind w:left="223" w:hanging="222" w:hangingChars="106"/>
              <w:jc w:val="center"/>
              <w:rPr>
                <w:rFonts w:hint="eastAsia" w:ascii="宋体" w:hAnsi="宋体" w:eastAsia="宋体" w:cs="宋体"/>
                <w:color w:val="auto"/>
                <w:kern w:val="2"/>
                <w:highlight w:val="none"/>
              </w:rPr>
            </w:pPr>
          </w:p>
        </w:tc>
        <w:tc>
          <w:tcPr>
            <w:tcW w:w="1148" w:type="dxa"/>
            <w:vAlign w:val="center"/>
          </w:tcPr>
          <w:p w14:paraId="37BE8D61">
            <w:pPr>
              <w:ind w:left="223" w:hanging="222" w:hangingChars="106"/>
              <w:jc w:val="center"/>
              <w:rPr>
                <w:rFonts w:hint="eastAsia" w:ascii="宋体" w:hAnsi="宋体" w:eastAsia="宋体" w:cs="宋体"/>
                <w:color w:val="auto"/>
                <w:kern w:val="2"/>
                <w:highlight w:val="none"/>
              </w:rPr>
            </w:pPr>
          </w:p>
        </w:tc>
        <w:tc>
          <w:tcPr>
            <w:tcW w:w="850" w:type="dxa"/>
            <w:vAlign w:val="center"/>
          </w:tcPr>
          <w:p w14:paraId="47D5AE71">
            <w:pPr>
              <w:ind w:left="223" w:hanging="222" w:hangingChars="106"/>
              <w:jc w:val="center"/>
              <w:rPr>
                <w:rFonts w:hint="eastAsia" w:ascii="宋体" w:hAnsi="宋体" w:eastAsia="宋体" w:cs="宋体"/>
                <w:color w:val="auto"/>
                <w:kern w:val="2"/>
                <w:highlight w:val="none"/>
              </w:rPr>
            </w:pPr>
          </w:p>
        </w:tc>
        <w:tc>
          <w:tcPr>
            <w:tcW w:w="1679" w:type="dxa"/>
            <w:vAlign w:val="center"/>
          </w:tcPr>
          <w:p w14:paraId="1F0A93D4">
            <w:pPr>
              <w:ind w:left="223" w:hanging="222" w:hangingChars="106"/>
              <w:jc w:val="center"/>
              <w:rPr>
                <w:rFonts w:hint="eastAsia" w:ascii="宋体" w:hAnsi="宋体" w:eastAsia="宋体" w:cs="宋体"/>
                <w:color w:val="auto"/>
                <w:kern w:val="2"/>
                <w:highlight w:val="none"/>
              </w:rPr>
            </w:pPr>
          </w:p>
        </w:tc>
      </w:tr>
      <w:tr w14:paraId="38BB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627C3230">
            <w:pPr>
              <w:ind w:left="223" w:hanging="222" w:hangingChars="106"/>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w:t>
            </w:r>
          </w:p>
        </w:tc>
        <w:tc>
          <w:tcPr>
            <w:tcW w:w="709" w:type="dxa"/>
            <w:vAlign w:val="center"/>
          </w:tcPr>
          <w:p w14:paraId="0CFC0E3F">
            <w:pPr>
              <w:ind w:left="223" w:hanging="222" w:hangingChars="106"/>
              <w:jc w:val="center"/>
              <w:rPr>
                <w:rFonts w:hint="eastAsia" w:ascii="宋体" w:hAnsi="宋体" w:eastAsia="宋体" w:cs="宋体"/>
                <w:color w:val="auto"/>
                <w:kern w:val="2"/>
                <w:highlight w:val="none"/>
              </w:rPr>
            </w:pPr>
          </w:p>
        </w:tc>
        <w:tc>
          <w:tcPr>
            <w:tcW w:w="800" w:type="dxa"/>
            <w:vAlign w:val="center"/>
          </w:tcPr>
          <w:p w14:paraId="07755C8A">
            <w:pPr>
              <w:ind w:left="223" w:hanging="222" w:hangingChars="106"/>
              <w:jc w:val="center"/>
              <w:rPr>
                <w:rFonts w:hint="eastAsia" w:ascii="宋体" w:hAnsi="宋体" w:eastAsia="宋体" w:cs="宋体"/>
                <w:color w:val="auto"/>
                <w:kern w:val="2"/>
                <w:highlight w:val="none"/>
              </w:rPr>
            </w:pPr>
          </w:p>
        </w:tc>
        <w:tc>
          <w:tcPr>
            <w:tcW w:w="1148" w:type="dxa"/>
            <w:vAlign w:val="center"/>
          </w:tcPr>
          <w:p w14:paraId="73707D19">
            <w:pPr>
              <w:ind w:left="223" w:hanging="222" w:hangingChars="106"/>
              <w:jc w:val="center"/>
              <w:rPr>
                <w:rFonts w:hint="eastAsia" w:ascii="宋体" w:hAnsi="宋体" w:eastAsia="宋体" w:cs="宋体"/>
                <w:color w:val="auto"/>
                <w:kern w:val="2"/>
                <w:highlight w:val="none"/>
              </w:rPr>
            </w:pPr>
          </w:p>
        </w:tc>
        <w:tc>
          <w:tcPr>
            <w:tcW w:w="1148" w:type="dxa"/>
            <w:vAlign w:val="center"/>
          </w:tcPr>
          <w:p w14:paraId="526518F1">
            <w:pPr>
              <w:ind w:left="223" w:hanging="222" w:hangingChars="106"/>
              <w:jc w:val="center"/>
              <w:rPr>
                <w:rFonts w:hint="eastAsia" w:ascii="宋体" w:hAnsi="宋体" w:eastAsia="宋体" w:cs="宋体"/>
                <w:color w:val="auto"/>
                <w:kern w:val="2"/>
                <w:highlight w:val="none"/>
              </w:rPr>
            </w:pPr>
          </w:p>
        </w:tc>
        <w:tc>
          <w:tcPr>
            <w:tcW w:w="1148" w:type="dxa"/>
            <w:vAlign w:val="center"/>
          </w:tcPr>
          <w:p w14:paraId="69A36F56">
            <w:pPr>
              <w:ind w:left="223" w:hanging="222" w:hangingChars="106"/>
              <w:jc w:val="center"/>
              <w:rPr>
                <w:rFonts w:hint="eastAsia" w:ascii="宋体" w:hAnsi="宋体" w:eastAsia="宋体" w:cs="宋体"/>
                <w:color w:val="auto"/>
                <w:kern w:val="2"/>
                <w:highlight w:val="none"/>
              </w:rPr>
            </w:pPr>
          </w:p>
        </w:tc>
        <w:tc>
          <w:tcPr>
            <w:tcW w:w="1148" w:type="dxa"/>
            <w:vAlign w:val="center"/>
          </w:tcPr>
          <w:p w14:paraId="271A2CE3">
            <w:pPr>
              <w:ind w:left="223" w:hanging="222" w:hangingChars="106"/>
              <w:jc w:val="center"/>
              <w:rPr>
                <w:rFonts w:hint="eastAsia" w:ascii="宋体" w:hAnsi="宋体" w:eastAsia="宋体" w:cs="宋体"/>
                <w:color w:val="auto"/>
                <w:kern w:val="2"/>
                <w:highlight w:val="none"/>
              </w:rPr>
            </w:pPr>
          </w:p>
        </w:tc>
        <w:tc>
          <w:tcPr>
            <w:tcW w:w="850" w:type="dxa"/>
            <w:vAlign w:val="center"/>
          </w:tcPr>
          <w:p w14:paraId="7E8358D6">
            <w:pPr>
              <w:ind w:left="223" w:hanging="222" w:hangingChars="106"/>
              <w:jc w:val="center"/>
              <w:rPr>
                <w:rFonts w:hint="eastAsia" w:ascii="宋体" w:hAnsi="宋体" w:eastAsia="宋体" w:cs="宋体"/>
                <w:color w:val="auto"/>
                <w:kern w:val="2"/>
                <w:highlight w:val="none"/>
              </w:rPr>
            </w:pPr>
          </w:p>
        </w:tc>
        <w:tc>
          <w:tcPr>
            <w:tcW w:w="1679" w:type="dxa"/>
            <w:vAlign w:val="center"/>
          </w:tcPr>
          <w:p w14:paraId="1DFD339E">
            <w:pPr>
              <w:ind w:left="223" w:hanging="222" w:hangingChars="106"/>
              <w:jc w:val="center"/>
              <w:rPr>
                <w:rFonts w:hint="eastAsia" w:ascii="宋体" w:hAnsi="宋体" w:eastAsia="宋体" w:cs="宋体"/>
                <w:color w:val="auto"/>
                <w:kern w:val="2"/>
                <w:highlight w:val="none"/>
              </w:rPr>
            </w:pPr>
          </w:p>
        </w:tc>
      </w:tr>
      <w:tr w14:paraId="6AC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72781EF4">
            <w:pPr>
              <w:ind w:left="223" w:hanging="222" w:hangingChars="106"/>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w:t>
            </w:r>
          </w:p>
        </w:tc>
        <w:tc>
          <w:tcPr>
            <w:tcW w:w="709" w:type="dxa"/>
            <w:vAlign w:val="center"/>
          </w:tcPr>
          <w:p w14:paraId="7F6292A3">
            <w:pPr>
              <w:ind w:left="223" w:hanging="222" w:hangingChars="106"/>
              <w:jc w:val="center"/>
              <w:rPr>
                <w:rFonts w:hint="eastAsia" w:ascii="宋体" w:hAnsi="宋体" w:eastAsia="宋体" w:cs="宋体"/>
                <w:color w:val="auto"/>
                <w:kern w:val="2"/>
                <w:highlight w:val="none"/>
              </w:rPr>
            </w:pPr>
          </w:p>
        </w:tc>
        <w:tc>
          <w:tcPr>
            <w:tcW w:w="800" w:type="dxa"/>
            <w:vAlign w:val="center"/>
          </w:tcPr>
          <w:p w14:paraId="30F47B0C">
            <w:pPr>
              <w:ind w:left="223" w:hanging="222" w:hangingChars="106"/>
              <w:jc w:val="center"/>
              <w:rPr>
                <w:rFonts w:hint="eastAsia" w:ascii="宋体" w:hAnsi="宋体" w:eastAsia="宋体" w:cs="宋体"/>
                <w:color w:val="auto"/>
                <w:kern w:val="2"/>
                <w:highlight w:val="none"/>
              </w:rPr>
            </w:pPr>
          </w:p>
        </w:tc>
        <w:tc>
          <w:tcPr>
            <w:tcW w:w="1148" w:type="dxa"/>
            <w:vAlign w:val="center"/>
          </w:tcPr>
          <w:p w14:paraId="756BB1A4">
            <w:pPr>
              <w:ind w:left="223" w:hanging="222" w:hangingChars="106"/>
              <w:jc w:val="center"/>
              <w:rPr>
                <w:rFonts w:hint="eastAsia" w:ascii="宋体" w:hAnsi="宋体" w:eastAsia="宋体" w:cs="宋体"/>
                <w:color w:val="auto"/>
                <w:kern w:val="2"/>
                <w:highlight w:val="none"/>
              </w:rPr>
            </w:pPr>
          </w:p>
        </w:tc>
        <w:tc>
          <w:tcPr>
            <w:tcW w:w="1148" w:type="dxa"/>
            <w:vAlign w:val="center"/>
          </w:tcPr>
          <w:p w14:paraId="05E292A9">
            <w:pPr>
              <w:ind w:left="223" w:hanging="222" w:hangingChars="106"/>
              <w:jc w:val="center"/>
              <w:rPr>
                <w:rFonts w:hint="eastAsia" w:ascii="宋体" w:hAnsi="宋体" w:eastAsia="宋体" w:cs="宋体"/>
                <w:color w:val="auto"/>
                <w:kern w:val="2"/>
                <w:highlight w:val="none"/>
              </w:rPr>
            </w:pPr>
          </w:p>
        </w:tc>
        <w:tc>
          <w:tcPr>
            <w:tcW w:w="1148" w:type="dxa"/>
            <w:vAlign w:val="center"/>
          </w:tcPr>
          <w:p w14:paraId="0AB40DB0">
            <w:pPr>
              <w:ind w:left="223" w:hanging="222" w:hangingChars="106"/>
              <w:jc w:val="center"/>
              <w:rPr>
                <w:rFonts w:hint="eastAsia" w:ascii="宋体" w:hAnsi="宋体" w:eastAsia="宋体" w:cs="宋体"/>
                <w:color w:val="auto"/>
                <w:kern w:val="2"/>
                <w:highlight w:val="none"/>
              </w:rPr>
            </w:pPr>
          </w:p>
        </w:tc>
        <w:tc>
          <w:tcPr>
            <w:tcW w:w="1148" w:type="dxa"/>
            <w:vAlign w:val="center"/>
          </w:tcPr>
          <w:p w14:paraId="0182EDDE">
            <w:pPr>
              <w:ind w:left="223" w:hanging="222" w:hangingChars="106"/>
              <w:jc w:val="center"/>
              <w:rPr>
                <w:rFonts w:hint="eastAsia" w:ascii="宋体" w:hAnsi="宋体" w:eastAsia="宋体" w:cs="宋体"/>
                <w:color w:val="auto"/>
                <w:kern w:val="2"/>
                <w:highlight w:val="none"/>
              </w:rPr>
            </w:pPr>
          </w:p>
        </w:tc>
        <w:tc>
          <w:tcPr>
            <w:tcW w:w="850" w:type="dxa"/>
            <w:vAlign w:val="center"/>
          </w:tcPr>
          <w:p w14:paraId="65091746">
            <w:pPr>
              <w:ind w:left="223" w:hanging="222" w:hangingChars="106"/>
              <w:jc w:val="center"/>
              <w:rPr>
                <w:rFonts w:hint="eastAsia" w:ascii="宋体" w:hAnsi="宋体" w:eastAsia="宋体" w:cs="宋体"/>
                <w:color w:val="auto"/>
                <w:kern w:val="2"/>
                <w:highlight w:val="none"/>
              </w:rPr>
            </w:pPr>
          </w:p>
        </w:tc>
        <w:tc>
          <w:tcPr>
            <w:tcW w:w="1679" w:type="dxa"/>
            <w:vAlign w:val="center"/>
          </w:tcPr>
          <w:p w14:paraId="005CF222">
            <w:pPr>
              <w:ind w:left="223" w:hanging="222" w:hangingChars="106"/>
              <w:jc w:val="center"/>
              <w:rPr>
                <w:rFonts w:hint="eastAsia" w:ascii="宋体" w:hAnsi="宋体" w:eastAsia="宋体" w:cs="宋体"/>
                <w:color w:val="auto"/>
                <w:kern w:val="2"/>
                <w:highlight w:val="none"/>
              </w:rPr>
            </w:pPr>
          </w:p>
        </w:tc>
      </w:tr>
      <w:tr w14:paraId="386E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4FDFD4AA">
            <w:pPr>
              <w:ind w:left="223" w:hanging="222" w:hangingChars="106"/>
              <w:jc w:val="center"/>
              <w:rPr>
                <w:rFonts w:hint="eastAsia" w:ascii="宋体" w:hAnsi="宋体" w:eastAsia="宋体" w:cs="宋体"/>
                <w:color w:val="auto"/>
                <w:kern w:val="2"/>
                <w:highlight w:val="none"/>
              </w:rPr>
            </w:pPr>
          </w:p>
        </w:tc>
        <w:tc>
          <w:tcPr>
            <w:tcW w:w="709" w:type="dxa"/>
            <w:vAlign w:val="center"/>
          </w:tcPr>
          <w:p w14:paraId="431222C9">
            <w:pPr>
              <w:ind w:left="223" w:hanging="222" w:hangingChars="106"/>
              <w:jc w:val="center"/>
              <w:rPr>
                <w:rFonts w:hint="eastAsia" w:ascii="宋体" w:hAnsi="宋体" w:eastAsia="宋体" w:cs="宋体"/>
                <w:color w:val="auto"/>
                <w:kern w:val="2"/>
                <w:highlight w:val="none"/>
              </w:rPr>
            </w:pPr>
          </w:p>
        </w:tc>
        <w:tc>
          <w:tcPr>
            <w:tcW w:w="800" w:type="dxa"/>
            <w:vAlign w:val="center"/>
          </w:tcPr>
          <w:p w14:paraId="2DA57020">
            <w:pPr>
              <w:ind w:left="223" w:hanging="222" w:hangingChars="106"/>
              <w:jc w:val="center"/>
              <w:rPr>
                <w:rFonts w:hint="eastAsia" w:ascii="宋体" w:hAnsi="宋体" w:eastAsia="宋体" w:cs="宋体"/>
                <w:color w:val="auto"/>
                <w:kern w:val="2"/>
                <w:highlight w:val="none"/>
              </w:rPr>
            </w:pPr>
          </w:p>
        </w:tc>
        <w:tc>
          <w:tcPr>
            <w:tcW w:w="1148" w:type="dxa"/>
            <w:vAlign w:val="center"/>
          </w:tcPr>
          <w:p w14:paraId="40674EE7">
            <w:pPr>
              <w:ind w:left="223" w:hanging="222" w:hangingChars="106"/>
              <w:jc w:val="center"/>
              <w:rPr>
                <w:rFonts w:hint="eastAsia" w:ascii="宋体" w:hAnsi="宋体" w:eastAsia="宋体" w:cs="宋体"/>
                <w:color w:val="auto"/>
                <w:kern w:val="2"/>
                <w:highlight w:val="none"/>
              </w:rPr>
            </w:pPr>
          </w:p>
        </w:tc>
        <w:tc>
          <w:tcPr>
            <w:tcW w:w="1148" w:type="dxa"/>
            <w:vAlign w:val="center"/>
          </w:tcPr>
          <w:p w14:paraId="47B80EE5">
            <w:pPr>
              <w:ind w:left="223" w:hanging="222" w:hangingChars="106"/>
              <w:jc w:val="center"/>
              <w:rPr>
                <w:rFonts w:hint="eastAsia" w:ascii="宋体" w:hAnsi="宋体" w:eastAsia="宋体" w:cs="宋体"/>
                <w:color w:val="auto"/>
                <w:kern w:val="2"/>
                <w:highlight w:val="none"/>
              </w:rPr>
            </w:pPr>
          </w:p>
        </w:tc>
        <w:tc>
          <w:tcPr>
            <w:tcW w:w="1148" w:type="dxa"/>
            <w:vAlign w:val="center"/>
          </w:tcPr>
          <w:p w14:paraId="31C0F806">
            <w:pPr>
              <w:ind w:left="223" w:hanging="222" w:hangingChars="106"/>
              <w:jc w:val="center"/>
              <w:rPr>
                <w:rFonts w:hint="eastAsia" w:ascii="宋体" w:hAnsi="宋体" w:eastAsia="宋体" w:cs="宋体"/>
                <w:color w:val="auto"/>
                <w:kern w:val="2"/>
                <w:highlight w:val="none"/>
              </w:rPr>
            </w:pPr>
          </w:p>
        </w:tc>
        <w:tc>
          <w:tcPr>
            <w:tcW w:w="1148" w:type="dxa"/>
            <w:vAlign w:val="center"/>
          </w:tcPr>
          <w:p w14:paraId="1330C04C">
            <w:pPr>
              <w:ind w:left="223" w:hanging="222" w:hangingChars="106"/>
              <w:jc w:val="center"/>
              <w:rPr>
                <w:rFonts w:hint="eastAsia" w:ascii="宋体" w:hAnsi="宋体" w:eastAsia="宋体" w:cs="宋体"/>
                <w:color w:val="auto"/>
                <w:kern w:val="2"/>
                <w:highlight w:val="none"/>
              </w:rPr>
            </w:pPr>
          </w:p>
        </w:tc>
        <w:tc>
          <w:tcPr>
            <w:tcW w:w="850" w:type="dxa"/>
            <w:vAlign w:val="center"/>
          </w:tcPr>
          <w:p w14:paraId="197E02C2">
            <w:pPr>
              <w:ind w:left="223" w:hanging="222" w:hangingChars="106"/>
              <w:jc w:val="center"/>
              <w:rPr>
                <w:rFonts w:hint="eastAsia" w:ascii="宋体" w:hAnsi="宋体" w:eastAsia="宋体" w:cs="宋体"/>
                <w:color w:val="auto"/>
                <w:kern w:val="2"/>
                <w:highlight w:val="none"/>
              </w:rPr>
            </w:pPr>
          </w:p>
        </w:tc>
        <w:tc>
          <w:tcPr>
            <w:tcW w:w="1679" w:type="dxa"/>
            <w:vAlign w:val="center"/>
          </w:tcPr>
          <w:p w14:paraId="62764551">
            <w:pPr>
              <w:ind w:left="223" w:hanging="222" w:hangingChars="106"/>
              <w:jc w:val="center"/>
              <w:rPr>
                <w:rFonts w:hint="eastAsia" w:ascii="宋体" w:hAnsi="宋体" w:eastAsia="宋体" w:cs="宋体"/>
                <w:color w:val="auto"/>
                <w:kern w:val="2"/>
                <w:highlight w:val="none"/>
              </w:rPr>
            </w:pPr>
          </w:p>
        </w:tc>
      </w:tr>
      <w:tr w14:paraId="131C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tcPr>
          <w:p w14:paraId="34F331D5">
            <w:pPr>
              <w:spacing w:beforeLines="50" w:afterLines="5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一旦我单位中标，将实行项目经理负责制，我方保证并配备上述项目管理机构。上述填报内容真实，若不真实，愿按有关规定接受处理。项目管理班子机构设置、职责分工等情况另附资料说明。</w:t>
            </w:r>
          </w:p>
        </w:tc>
      </w:tr>
    </w:tbl>
    <w:p w14:paraId="51D2E27B">
      <w:pPr>
        <w:tabs>
          <w:tab w:val="left" w:pos="0"/>
        </w:tabs>
        <w:spacing w:line="360" w:lineRule="auto"/>
        <w:ind w:right="-210"/>
        <w:rPr>
          <w:rFonts w:hint="eastAsia" w:ascii="宋体" w:hAnsi="宋体" w:eastAsia="宋体" w:cs="宋体"/>
          <w:color w:val="auto"/>
          <w:kern w:val="2"/>
          <w:highlight w:val="none"/>
        </w:rPr>
      </w:pPr>
    </w:p>
    <w:p w14:paraId="07236E4A">
      <w:pPr>
        <w:tabs>
          <w:tab w:val="left" w:pos="0"/>
        </w:tabs>
        <w:spacing w:line="480" w:lineRule="auto"/>
        <w:ind w:right="-210"/>
        <w:jc w:val="right"/>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w:t>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w:t>
      </w:r>
      <w:r>
        <w:rPr>
          <w:rFonts w:hint="eastAsia" w:ascii="宋体" w:hAnsi="宋体" w:eastAsia="宋体" w:cs="宋体"/>
          <w:color w:val="auto"/>
          <w:highlight w:val="none"/>
        </w:rPr>
        <w:t>电子公章）</w:t>
      </w:r>
    </w:p>
    <w:p w14:paraId="43AF4E46">
      <w:pPr>
        <w:tabs>
          <w:tab w:val="left" w:pos="0"/>
        </w:tabs>
        <w:spacing w:line="480" w:lineRule="auto"/>
        <w:ind w:right="-210"/>
        <w:jc w:val="right"/>
        <w:rPr>
          <w:rFonts w:hint="eastAsia" w:ascii="宋体" w:hAnsi="宋体" w:eastAsia="宋体" w:cs="宋体"/>
          <w:color w:val="auto"/>
          <w:kern w:val="2"/>
          <w:highlight w:val="none"/>
        </w:rPr>
      </w:pPr>
      <w:r>
        <w:rPr>
          <w:rFonts w:hint="eastAsia" w:ascii="宋体" w:hAnsi="宋体" w:eastAsia="宋体" w:cs="宋体"/>
          <w:color w:val="auto"/>
          <w:kern w:val="2"/>
          <w:highlight w:val="none"/>
        </w:rPr>
        <w:t>法定代表人（负责人）或授权委托代理人：</w:t>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rPr>
        <w:t>（签字或盖章）</w:t>
      </w:r>
    </w:p>
    <w:p w14:paraId="142A9565">
      <w:pPr>
        <w:tabs>
          <w:tab w:val="left" w:pos="0"/>
        </w:tabs>
        <w:spacing w:line="480" w:lineRule="auto"/>
        <w:ind w:right="-210"/>
        <w:jc w:val="right"/>
        <w:rPr>
          <w:rFonts w:hint="eastAsia" w:ascii="宋体" w:hAnsi="宋体" w:eastAsia="宋体" w:cs="宋体"/>
          <w:color w:val="auto"/>
          <w:kern w:val="2"/>
          <w:highlight w:val="none"/>
        </w:rPr>
      </w:pP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rPr>
        <w:t>年</w:t>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rPr>
        <w:t>月</w:t>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rPr>
        <w:t>日</w:t>
      </w:r>
    </w:p>
    <w:p w14:paraId="188A9A5E">
      <w:pPr>
        <w:tabs>
          <w:tab w:val="left" w:pos="0"/>
          <w:tab w:val="left" w:pos="2085"/>
        </w:tabs>
        <w:spacing w:line="360" w:lineRule="auto"/>
        <w:ind w:right="-210"/>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备注：</w:t>
      </w:r>
    </w:p>
    <w:p w14:paraId="3AA7CCEB">
      <w:pPr>
        <w:tabs>
          <w:tab w:val="left" w:pos="0"/>
          <w:tab w:val="left" w:pos="2085"/>
        </w:tabs>
        <w:spacing w:line="360" w:lineRule="auto"/>
        <w:ind w:right="-210"/>
        <w:rPr>
          <w:rFonts w:hint="eastAsia" w:ascii="宋体" w:hAnsi="宋体" w:eastAsia="宋体" w:cs="宋体"/>
          <w:color w:val="auto"/>
          <w:kern w:val="2"/>
          <w:highlight w:val="none"/>
        </w:rPr>
      </w:pPr>
      <w:r>
        <w:rPr>
          <w:rFonts w:hint="eastAsia" w:ascii="宋体" w:hAnsi="宋体" w:eastAsia="宋体" w:cs="宋体"/>
          <w:color w:val="auto"/>
          <w:kern w:val="2"/>
          <w:highlight w:val="none"/>
        </w:rPr>
        <w:t>1.本表所列岗位的所有管理人员的情况均应如实填写。可按以上格式扩展为多页填写，每一页均应加盖供应商单位章和由法定代表人（负责人）或授权委托代理人签字。</w:t>
      </w:r>
    </w:p>
    <w:p w14:paraId="11FD5A8E">
      <w:pPr>
        <w:tabs>
          <w:tab w:val="left" w:pos="0"/>
          <w:tab w:val="left" w:pos="2085"/>
        </w:tabs>
        <w:spacing w:line="360" w:lineRule="auto"/>
        <w:ind w:right="-210"/>
        <w:rPr>
          <w:rFonts w:hint="eastAsia" w:ascii="宋体" w:hAnsi="宋体" w:eastAsia="宋体" w:cs="宋体"/>
          <w:color w:val="auto"/>
          <w:kern w:val="2"/>
          <w:highlight w:val="none"/>
        </w:rPr>
      </w:pPr>
      <w:r>
        <w:rPr>
          <w:rFonts w:hint="eastAsia" w:ascii="宋体" w:hAnsi="宋体" w:eastAsia="宋体" w:cs="宋体"/>
          <w:color w:val="auto"/>
          <w:kern w:val="2"/>
          <w:highlight w:val="none"/>
        </w:rPr>
        <w:t>2.供应商应根据磋商文件第二章“供应商须知”第3.1.1项的规定在本表后附相关证明材料。</w:t>
      </w:r>
    </w:p>
    <w:p w14:paraId="22047844">
      <w:pPr>
        <w:widowControl/>
        <w:jc w:val="left"/>
        <w:rPr>
          <w:rFonts w:hint="eastAsia" w:ascii="宋体" w:hAnsi="宋体" w:eastAsia="宋体" w:cs="宋体"/>
          <w:bCs/>
          <w:color w:val="auto"/>
          <w:szCs w:val="32"/>
          <w:highlight w:val="none"/>
        </w:rPr>
      </w:pPr>
      <w:r>
        <w:rPr>
          <w:rFonts w:hint="eastAsia" w:ascii="宋体" w:hAnsi="宋体" w:eastAsia="宋体" w:cs="宋体"/>
          <w:bCs/>
          <w:color w:val="auto"/>
          <w:szCs w:val="32"/>
          <w:highlight w:val="none"/>
        </w:rPr>
        <w:t>3.供应商可以根据本章“技术部分-项目管理机构”的要求扩展完善此项目管理机构配备表。</w:t>
      </w:r>
      <w:r>
        <w:rPr>
          <w:rFonts w:hint="eastAsia" w:ascii="宋体" w:hAnsi="宋体" w:eastAsia="宋体" w:cs="宋体"/>
          <w:bCs/>
          <w:color w:val="auto"/>
          <w:szCs w:val="32"/>
          <w:highlight w:val="none"/>
        </w:rPr>
        <w:br w:type="page"/>
      </w:r>
    </w:p>
    <w:p w14:paraId="1DC7D5B2">
      <w:pPr>
        <w:pStyle w:val="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中小企业声明函或者残疾人福利性单位声明函或者供应商属于监狱企业的证明材料；</w:t>
      </w:r>
    </w:p>
    <w:p w14:paraId="58284ADA">
      <w:pPr>
        <w:pStyle w:val="4"/>
        <w:jc w:val="left"/>
        <w:rPr>
          <w:rFonts w:hint="eastAsia" w:ascii="宋体" w:hAnsi="宋体" w:eastAsia="宋体" w:cs="宋体"/>
          <w:color w:val="auto"/>
          <w:sz w:val="24"/>
          <w:szCs w:val="24"/>
          <w:highlight w:val="none"/>
        </w:rPr>
      </w:pPr>
    </w:p>
    <w:p w14:paraId="6F3C8487">
      <w:pPr>
        <w:pStyle w:val="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）资格审查需要的其他材料</w:t>
      </w:r>
    </w:p>
    <w:p w14:paraId="4796B927">
      <w:pPr>
        <w:widowControl/>
        <w:jc w:val="left"/>
        <w:rPr>
          <w:rFonts w:hint="eastAsia" w:ascii="宋体" w:hAnsi="宋体" w:eastAsia="宋体" w:cs="宋体"/>
          <w:color w:val="auto"/>
          <w:highlight w:val="none"/>
        </w:rPr>
      </w:pPr>
    </w:p>
    <w:p w14:paraId="2CC53692">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供应商应根据第二章“供应商须知”第3.1.5项的规定提供相关证明材料。</w:t>
      </w:r>
    </w:p>
    <w:p w14:paraId="14A17378">
      <w:pPr>
        <w:widowControl/>
        <w:jc w:val="left"/>
        <w:rPr>
          <w:rFonts w:hint="eastAsia" w:ascii="宋体" w:hAnsi="宋体" w:eastAsia="宋体" w:cs="宋体"/>
          <w:color w:val="auto"/>
          <w:highlight w:val="none"/>
        </w:rPr>
      </w:pPr>
    </w:p>
    <w:p w14:paraId="7C0A569B">
      <w:pPr>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rPr>
        <w:br w:type="page"/>
      </w:r>
    </w:p>
    <w:p w14:paraId="79808576">
      <w:pPr>
        <w:pStyle w:val="12"/>
        <w:widowControl/>
        <w:spacing w:before="450" w:after="450" w:line="555" w:lineRule="atLeast"/>
        <w:ind w:firstLine="1606" w:firstLineChars="500"/>
        <w:jc w:val="both"/>
        <w:rPr>
          <w:rFonts w:hint="eastAsia" w:ascii="宋体" w:hAnsi="宋体" w:eastAsia="宋体" w:cs="宋体"/>
          <w:color w:val="auto"/>
          <w:highlight w:val="none"/>
        </w:rPr>
      </w:pPr>
      <w:r>
        <w:rPr>
          <w:rFonts w:hint="eastAsia" w:ascii="宋体" w:hAnsi="宋体" w:eastAsia="宋体" w:cs="宋体"/>
          <w:b/>
          <w:color w:val="auto"/>
          <w:kern w:val="2"/>
          <w:sz w:val="32"/>
          <w:szCs w:val="32"/>
          <w:highlight w:val="none"/>
        </w:rPr>
        <w:t>贺州</w:t>
      </w:r>
      <w:r>
        <w:rPr>
          <w:rFonts w:hint="eastAsia" w:ascii="宋体" w:hAnsi="宋体" w:eastAsia="宋体" w:cs="宋体"/>
          <w:b/>
          <w:color w:val="auto"/>
          <w:kern w:val="2"/>
          <w:sz w:val="32"/>
          <w:szCs w:val="32"/>
          <w:highlight w:val="none"/>
        </w:rPr>
        <w:t>市</w:t>
      </w:r>
      <w:r>
        <w:rPr>
          <w:rFonts w:hint="eastAsia" w:ascii="宋体" w:hAnsi="宋体" w:eastAsia="宋体" w:cs="宋体"/>
          <w:b/>
          <w:color w:val="auto"/>
          <w:kern w:val="2"/>
          <w:sz w:val="32"/>
          <w:szCs w:val="32"/>
          <w:highlight w:val="none"/>
          <w:lang w:val="en-US" w:eastAsia="zh-CN"/>
        </w:rPr>
        <w:t>平桂区</w:t>
      </w:r>
      <w:r>
        <w:rPr>
          <w:rFonts w:hint="eastAsia" w:ascii="宋体" w:hAnsi="宋体" w:eastAsia="宋体" w:cs="宋体"/>
          <w:b/>
          <w:color w:val="auto"/>
          <w:kern w:val="2"/>
          <w:sz w:val="32"/>
          <w:szCs w:val="32"/>
          <w:highlight w:val="none"/>
        </w:rPr>
        <w:t>政府采购供应商信用承诺函（格式）</w:t>
      </w:r>
      <w:r>
        <w:rPr>
          <w:rFonts w:hint="eastAsia" w:ascii="宋体" w:hAnsi="宋体" w:eastAsia="宋体" w:cs="宋体"/>
          <w:color w:val="auto"/>
          <w:sz w:val="31"/>
          <w:szCs w:val="31"/>
          <w:highlight w:val="none"/>
        </w:rPr>
        <w:t> </w:t>
      </w:r>
    </w:p>
    <w:p w14:paraId="7C55B6E9">
      <w:pPr>
        <w:spacing w:line="360" w:lineRule="auto"/>
        <w:ind w:left="0" w:leftChars="0" w:firstLine="420" w:firstLineChars="200"/>
        <w:rPr>
          <w:rFonts w:hint="eastAsia" w:ascii="宋体" w:hAnsi="宋体" w:eastAsia="宋体" w:cs="宋体"/>
          <w:color w:val="auto"/>
          <w:highlight w:val="none"/>
        </w:rPr>
      </w:pPr>
    </w:p>
    <w:p w14:paraId="355958C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致(采购人或采购代理机构):</w:t>
      </w:r>
    </w:p>
    <w:p w14:paraId="7551ACFF">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供应商名称：</w:t>
      </w:r>
    </w:p>
    <w:p w14:paraId="32144376">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p>
    <w:p w14:paraId="458F4B9F">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供应商地址：</w:t>
      </w:r>
    </w:p>
    <w:p w14:paraId="1E90AF73">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2B31DD29">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1.我单位具有符合采购文件资格要求独立承担民事责任的能力。</w:t>
      </w:r>
    </w:p>
    <w:p w14:paraId="32B2E3B3">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2.我单位具有符合采购文件资格要求的财务状况报告。</w:t>
      </w:r>
    </w:p>
    <w:p w14:paraId="72C3EA18">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3.我单位具有符合采购文件资格要求的依法缴纳税收和社会保障记录的良好记录。</w:t>
      </w:r>
    </w:p>
    <w:p w14:paraId="35D218C8">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4.我单位具有符合采购文件资格要求履行合同所必需的设备和专业技术能力。</w:t>
      </w:r>
    </w:p>
    <w:p w14:paraId="2BAD9050">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1A75C687">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若我单位承诺不实，自愿承担提供虚假材料谋取中标、成交的法律责任。</w:t>
      </w:r>
    </w:p>
    <w:p w14:paraId="653BD5F0">
      <w:pPr>
        <w:spacing w:line="360" w:lineRule="auto"/>
        <w:ind w:left="0" w:leftChars="0" w:firstLine="420" w:firstLineChars="200"/>
        <w:rPr>
          <w:rFonts w:hint="eastAsia" w:ascii="宋体" w:hAnsi="宋体" w:eastAsia="宋体" w:cs="宋体"/>
          <w:color w:val="auto"/>
          <w:highlight w:val="none"/>
        </w:rPr>
      </w:pPr>
    </w:p>
    <w:p w14:paraId="6D2E303C">
      <w:pPr>
        <w:spacing w:line="48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lang w:val="en-US" w:eastAsia="zh-CN"/>
        </w:rPr>
        <w:t>盖</w:t>
      </w:r>
      <w:r>
        <w:rPr>
          <w:rFonts w:hint="eastAsia" w:ascii="宋体" w:hAnsi="宋体" w:eastAsia="宋体" w:cs="宋体"/>
          <w:color w:val="auto"/>
          <w:highlight w:val="none"/>
        </w:rPr>
        <w:t>章):</w:t>
      </w:r>
    </w:p>
    <w:p w14:paraId="01CC8527">
      <w:pPr>
        <w:spacing w:line="48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法定代表人或授权代表(签名):</w:t>
      </w:r>
    </w:p>
    <w:p w14:paraId="6D27E511">
      <w:pPr>
        <w:spacing w:line="48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6C2F0E62">
      <w:pPr>
        <w:spacing w:line="360" w:lineRule="auto"/>
        <w:ind w:left="0" w:leftChars="0" w:firstLine="420" w:firstLineChars="200"/>
        <w:rPr>
          <w:rFonts w:hint="eastAsia" w:ascii="宋体" w:hAnsi="宋体" w:eastAsia="宋体" w:cs="宋体"/>
          <w:color w:val="auto"/>
          <w:highlight w:val="none"/>
        </w:rPr>
      </w:pPr>
    </w:p>
    <w:p w14:paraId="618EAFBB">
      <w:pPr>
        <w:spacing w:line="360" w:lineRule="auto"/>
        <w:ind w:left="0" w:leftChars="0" w:firstLine="420" w:firstLineChars="200"/>
        <w:rPr>
          <w:rFonts w:hint="eastAsia" w:ascii="宋体" w:hAnsi="宋体" w:eastAsia="宋体" w:cs="宋体"/>
          <w:color w:val="auto"/>
          <w:highlight w:val="none"/>
        </w:rPr>
      </w:pPr>
    </w:p>
    <w:p w14:paraId="016D0582">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注：1.供应商须在投标(响应)文件中按此模板提供承诺函，未提供视为未实质性响应招标(采购)文件要求，按无效投标(响应)处理。2.供应商的法定代表人(其他组织的为负责人)或者授权 代表的签名或盖章应真实、有效，如由授权代表签名或盖章的，应提供“法定代表人授权书”。</w:t>
      </w:r>
    </w:p>
    <w:p w14:paraId="521068E6">
      <w:pPr>
        <w:pStyle w:val="4"/>
        <w:rPr>
          <w:rFonts w:hint="eastAsia" w:ascii="宋体" w:hAnsi="宋体" w:eastAsia="宋体" w:cs="宋体"/>
          <w:color w:val="auto"/>
          <w:sz w:val="28"/>
          <w:szCs w:val="28"/>
          <w:highlight w:val="none"/>
        </w:rPr>
      </w:pPr>
    </w:p>
    <w:p w14:paraId="028AF179">
      <w:pPr>
        <w:pStyle w:val="4"/>
        <w:rPr>
          <w:rFonts w:hint="eastAsia" w:ascii="宋体" w:hAnsi="宋体" w:eastAsia="宋体" w:cs="宋体"/>
          <w:color w:val="auto"/>
          <w:sz w:val="28"/>
          <w:szCs w:val="28"/>
          <w:highlight w:val="none"/>
        </w:rPr>
      </w:pPr>
    </w:p>
    <w:p w14:paraId="3451899D">
      <w:pPr>
        <w:rPr>
          <w:rFonts w:hint="eastAsia" w:ascii="宋体" w:hAnsi="宋体" w:eastAsia="宋体" w:cs="宋体"/>
          <w:color w:val="auto"/>
          <w:sz w:val="28"/>
          <w:szCs w:val="28"/>
          <w:highlight w:val="none"/>
        </w:rPr>
      </w:pPr>
    </w:p>
    <w:p w14:paraId="08CCBA3D">
      <w:pPr>
        <w:pStyle w:val="11"/>
        <w:spacing w:before="0" w:after="0"/>
        <w:rPr>
          <w:rFonts w:hint="eastAsia" w:ascii="宋体" w:hAnsi="宋体" w:eastAsia="宋体" w:cs="宋体"/>
          <w:color w:val="auto"/>
          <w:highlight w:val="none"/>
        </w:rPr>
      </w:pPr>
    </w:p>
    <w:p w14:paraId="557B720C">
      <w:pPr>
        <w:pStyle w:val="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三、技术部分</w:t>
      </w:r>
    </w:p>
    <w:p w14:paraId="71533C94">
      <w:pPr>
        <w:keepNext/>
        <w:keepLines/>
        <w:spacing w:line="360" w:lineRule="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（一）施工组织设计</w:t>
      </w:r>
    </w:p>
    <w:p w14:paraId="6029ACF0">
      <w:pPr>
        <w:spacing w:line="360" w:lineRule="auto"/>
        <w:ind w:left="440"/>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1.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 施工组织设计还应结合工程特点提出切实可行的工程质量、工程进度、安全生产、防汛度 汛、文明施工、水土保持、环境保护管理方案。</w:t>
      </w:r>
    </w:p>
    <w:p w14:paraId="32F2F540">
      <w:pPr>
        <w:spacing w:line="360" w:lineRule="auto"/>
        <w:ind w:firstLine="440"/>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施工组织设计应附的文字说明如下(不限于，仅供参考)：</w:t>
      </w:r>
    </w:p>
    <w:p w14:paraId="6BF9E9BC">
      <w:pPr>
        <w:numPr>
          <w:ilvl w:val="0"/>
          <w:numId w:val="3"/>
        </w:numPr>
        <w:tabs>
          <w:tab w:val="left" w:pos="923"/>
        </w:tabs>
        <w:spacing w:line="360" w:lineRule="auto"/>
        <w:ind w:firstLine="447" w:firstLineChars="213"/>
        <w:rPr>
          <w:rFonts w:hint="eastAsia" w:ascii="宋体" w:hAnsi="宋体" w:eastAsia="宋体" w:cs="宋体"/>
          <w:color w:val="auto"/>
          <w:highlight w:val="none"/>
          <w:lang w:val="zh-CN" w:bidi="zh-CN"/>
        </w:rPr>
      </w:pPr>
      <w:bookmarkStart w:id="1350" w:name="bookmark2221"/>
      <w:bookmarkEnd w:id="1350"/>
      <w:r>
        <w:rPr>
          <w:rFonts w:hint="eastAsia" w:ascii="宋体" w:hAnsi="宋体" w:eastAsia="宋体" w:cs="宋体"/>
          <w:color w:val="auto"/>
          <w:highlight w:val="none"/>
          <w:lang w:val="zh-CN" w:bidi="zh-CN"/>
        </w:rPr>
        <w:t>施工方案与技术措施；</w:t>
      </w:r>
    </w:p>
    <w:p w14:paraId="188A5A49">
      <w:pPr>
        <w:numPr>
          <w:ilvl w:val="0"/>
          <w:numId w:val="3"/>
        </w:numPr>
        <w:tabs>
          <w:tab w:val="left" w:pos="923"/>
        </w:tabs>
        <w:spacing w:line="360" w:lineRule="auto"/>
        <w:ind w:firstLine="447" w:firstLineChars="213"/>
        <w:rPr>
          <w:rFonts w:hint="eastAsia" w:ascii="宋体" w:hAnsi="宋体" w:eastAsia="宋体" w:cs="宋体"/>
          <w:color w:val="auto"/>
          <w:highlight w:val="none"/>
          <w:lang w:val="zh-CN" w:bidi="zh-CN"/>
        </w:rPr>
      </w:pPr>
      <w:bookmarkStart w:id="1351" w:name="bookmark2222"/>
      <w:bookmarkEnd w:id="1351"/>
      <w:r>
        <w:rPr>
          <w:rFonts w:hint="eastAsia" w:ascii="宋体" w:hAnsi="宋体" w:eastAsia="宋体" w:cs="宋体"/>
          <w:color w:val="auto"/>
          <w:highlight w:val="none"/>
          <w:lang w:val="zh-CN" w:bidi="zh-CN"/>
        </w:rPr>
        <w:t>质量管理体系与措施；</w:t>
      </w:r>
    </w:p>
    <w:p w14:paraId="53DDC7C9">
      <w:pPr>
        <w:numPr>
          <w:ilvl w:val="0"/>
          <w:numId w:val="3"/>
        </w:numPr>
        <w:tabs>
          <w:tab w:val="left" w:pos="923"/>
        </w:tabs>
        <w:spacing w:line="360" w:lineRule="auto"/>
        <w:ind w:firstLine="447" w:firstLineChars="213"/>
        <w:rPr>
          <w:rFonts w:hint="eastAsia" w:ascii="宋体" w:hAnsi="宋体" w:eastAsia="宋体" w:cs="宋体"/>
          <w:color w:val="auto"/>
          <w:highlight w:val="none"/>
          <w:lang w:val="zh-CN" w:bidi="zh-CN"/>
        </w:rPr>
      </w:pPr>
      <w:bookmarkStart w:id="1352" w:name="bookmark2223"/>
      <w:bookmarkEnd w:id="1352"/>
      <w:r>
        <w:rPr>
          <w:rFonts w:hint="eastAsia" w:ascii="宋体" w:hAnsi="宋体" w:eastAsia="宋体" w:cs="宋体"/>
          <w:color w:val="auto"/>
          <w:highlight w:val="none"/>
          <w:lang w:val="zh-CN" w:bidi="zh-CN"/>
        </w:rPr>
        <w:t>安全管理体系与措施；</w:t>
      </w:r>
    </w:p>
    <w:p w14:paraId="318813CB">
      <w:pPr>
        <w:numPr>
          <w:ilvl w:val="0"/>
          <w:numId w:val="3"/>
        </w:numPr>
        <w:tabs>
          <w:tab w:val="left" w:pos="923"/>
        </w:tabs>
        <w:spacing w:line="360" w:lineRule="auto"/>
        <w:ind w:firstLine="447" w:firstLineChars="213"/>
        <w:rPr>
          <w:rFonts w:hint="eastAsia" w:ascii="宋体" w:hAnsi="宋体" w:eastAsia="宋体" w:cs="宋体"/>
          <w:color w:val="auto"/>
          <w:highlight w:val="none"/>
          <w:lang w:val="zh-CN" w:bidi="zh-CN"/>
        </w:rPr>
      </w:pPr>
      <w:bookmarkStart w:id="1353" w:name="bookmark2224"/>
      <w:bookmarkEnd w:id="1353"/>
      <w:r>
        <w:rPr>
          <w:rFonts w:hint="eastAsia" w:ascii="宋体" w:hAnsi="宋体" w:eastAsia="宋体" w:cs="宋体"/>
          <w:color w:val="auto"/>
          <w:highlight w:val="none"/>
          <w:lang w:val="zh-CN" w:bidi="zh-CN"/>
        </w:rPr>
        <w:t>环境保护管理体系与措施；</w:t>
      </w:r>
    </w:p>
    <w:p w14:paraId="1A3EB747">
      <w:pPr>
        <w:numPr>
          <w:ilvl w:val="0"/>
          <w:numId w:val="3"/>
        </w:numPr>
        <w:tabs>
          <w:tab w:val="left" w:pos="923"/>
        </w:tabs>
        <w:spacing w:line="360" w:lineRule="auto"/>
        <w:ind w:firstLine="447" w:firstLineChars="213"/>
        <w:rPr>
          <w:rFonts w:hint="eastAsia" w:ascii="宋体" w:hAnsi="宋体" w:eastAsia="宋体" w:cs="宋体"/>
          <w:color w:val="auto"/>
          <w:highlight w:val="none"/>
          <w:lang w:val="zh-CN" w:bidi="zh-CN"/>
        </w:rPr>
      </w:pPr>
      <w:bookmarkStart w:id="1354" w:name="bookmark2225"/>
      <w:bookmarkEnd w:id="1354"/>
      <w:r>
        <w:rPr>
          <w:rFonts w:hint="eastAsia" w:ascii="宋体" w:hAnsi="宋体" w:eastAsia="宋体" w:cs="宋体"/>
          <w:color w:val="auto"/>
          <w:highlight w:val="none"/>
          <w:lang w:val="zh-CN" w:bidi="zh-CN"/>
        </w:rPr>
        <w:t>工程进度计划与措施；</w:t>
      </w:r>
    </w:p>
    <w:p w14:paraId="5F81BD34">
      <w:pPr>
        <w:numPr>
          <w:ilvl w:val="0"/>
          <w:numId w:val="3"/>
        </w:numPr>
        <w:tabs>
          <w:tab w:val="left" w:pos="923"/>
        </w:tabs>
        <w:spacing w:after="320" w:line="360" w:lineRule="auto"/>
        <w:ind w:firstLine="447" w:firstLineChars="213"/>
        <w:rPr>
          <w:rFonts w:hint="eastAsia" w:ascii="宋体" w:hAnsi="宋体" w:eastAsia="宋体" w:cs="宋体"/>
          <w:color w:val="auto"/>
          <w:highlight w:val="none"/>
          <w:lang w:val="zh-CN" w:bidi="zh-CN"/>
        </w:rPr>
      </w:pPr>
      <w:bookmarkStart w:id="1355" w:name="bookmark2226"/>
      <w:bookmarkEnd w:id="1355"/>
      <w:r>
        <w:rPr>
          <w:rFonts w:hint="eastAsia" w:ascii="宋体" w:hAnsi="宋体" w:eastAsia="宋体" w:cs="宋体"/>
          <w:color w:val="auto"/>
          <w:highlight w:val="none"/>
          <w:lang w:val="zh-CN" w:bidi="zh-CN"/>
        </w:rPr>
        <w:t>资源配备计划；</w:t>
      </w:r>
    </w:p>
    <w:p w14:paraId="0DD37E9C">
      <w:pPr>
        <w:tabs>
          <w:tab w:val="left" w:pos="923"/>
        </w:tabs>
        <w:spacing w:after="320" w:line="360" w:lineRule="auto"/>
        <w:ind w:firstLine="420" w:firstLineChars="200"/>
        <w:rPr>
          <w:rFonts w:hint="eastAsia" w:ascii="宋体" w:hAnsi="宋体" w:eastAsia="宋体" w:cs="宋体"/>
          <w:color w:val="auto"/>
          <w:highlight w:val="none"/>
          <w:lang w:bidi="zh-CN"/>
        </w:rPr>
      </w:pPr>
      <w:r>
        <w:rPr>
          <w:rFonts w:hint="eastAsia" w:ascii="宋体" w:hAnsi="宋体" w:eastAsia="宋体" w:cs="宋体"/>
          <w:color w:val="auto"/>
          <w:highlight w:val="none"/>
          <w:lang w:bidi="zh-CN"/>
        </w:rPr>
        <w:t>......</w:t>
      </w:r>
    </w:p>
    <w:p w14:paraId="5641533E">
      <w:pPr>
        <w:spacing w:line="360" w:lineRule="auto"/>
        <w:ind w:left="440"/>
        <w:rPr>
          <w:rFonts w:hint="eastAsia" w:ascii="宋体" w:hAnsi="宋体" w:eastAsia="宋体" w:cs="宋体"/>
          <w:color w:val="auto"/>
          <w:highlight w:val="none"/>
          <w:lang w:val="zh-CN" w:bidi="zh-CN"/>
        </w:rPr>
      </w:pPr>
      <w:bookmarkStart w:id="1356" w:name="bookmark2227"/>
      <w:bookmarkEnd w:id="1356"/>
      <w:r>
        <w:rPr>
          <w:rFonts w:hint="eastAsia" w:ascii="宋体" w:hAnsi="宋体" w:eastAsia="宋体" w:cs="宋体"/>
          <w:color w:val="auto"/>
          <w:highlight w:val="none"/>
          <w:lang w:val="zh-CN" w:bidi="zh-CN"/>
        </w:rPr>
        <w:t>2.施工组织设计除采用文字表述外应附下列图表，图表及格式要求附后。</w:t>
      </w:r>
    </w:p>
    <w:p w14:paraId="654074E0">
      <w:pPr>
        <w:spacing w:line="360" w:lineRule="auto"/>
        <w:ind w:left="440"/>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附件一：拟投入本合同工程的主要施工设备表</w:t>
      </w:r>
    </w:p>
    <w:p w14:paraId="611DD281">
      <w:pPr>
        <w:spacing w:line="360" w:lineRule="auto"/>
        <w:ind w:firstLine="420"/>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附件二：拟投入本合同工程的试验和检测仪器设备表</w:t>
      </w:r>
    </w:p>
    <w:p w14:paraId="70646D0F">
      <w:pPr>
        <w:spacing w:line="360" w:lineRule="auto"/>
        <w:ind w:firstLine="420"/>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附件三：拟投入本合同工程的劳动力计划表</w:t>
      </w:r>
    </w:p>
    <w:p w14:paraId="2589ACC4">
      <w:pPr>
        <w:spacing w:line="360" w:lineRule="auto"/>
        <w:ind w:firstLine="420"/>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附件四、拟投入本合同工程的材料进场计划表</w:t>
      </w:r>
    </w:p>
    <w:p w14:paraId="3E8D3E32">
      <w:pPr>
        <w:spacing w:line="360" w:lineRule="auto"/>
        <w:ind w:firstLine="420"/>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附件五：计划开工日期、完工日期和施工进度网络图(或横递图)</w:t>
      </w:r>
    </w:p>
    <w:p w14:paraId="1C7E192F">
      <w:pPr>
        <w:spacing w:line="360" w:lineRule="auto"/>
        <w:ind w:firstLine="420"/>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附件六：施工总平面图</w:t>
      </w:r>
    </w:p>
    <w:p w14:paraId="32BA9A75">
      <w:pPr>
        <w:spacing w:after="160" w:line="360" w:lineRule="auto"/>
        <w:ind w:firstLine="420"/>
        <w:rPr>
          <w:rFonts w:hint="eastAsia" w:ascii="宋体" w:hAnsi="宋体" w:eastAsia="宋体" w:cs="宋体"/>
          <w:color w:val="auto"/>
          <w:sz w:val="20"/>
          <w:szCs w:val="20"/>
          <w:highlight w:val="none"/>
          <w:lang w:val="zh-CN" w:bidi="zh-CN"/>
        </w:rPr>
      </w:pPr>
      <w:r>
        <w:rPr>
          <w:rFonts w:hint="eastAsia" w:ascii="宋体" w:hAnsi="宋体" w:eastAsia="宋体" w:cs="宋体"/>
          <w:color w:val="auto"/>
          <w:highlight w:val="none"/>
          <w:lang w:val="zh-CN" w:bidi="zh-CN"/>
        </w:rPr>
        <w:t>附件七：临时用地表</w:t>
      </w:r>
      <w:r>
        <w:rPr>
          <w:rFonts w:hint="eastAsia" w:ascii="宋体" w:hAnsi="宋体" w:eastAsia="宋体" w:cs="宋体"/>
          <w:color w:val="auto"/>
          <w:sz w:val="20"/>
          <w:szCs w:val="20"/>
          <w:highlight w:val="none"/>
          <w:lang w:val="zh-CN" w:bidi="zh-CN"/>
        </w:rPr>
        <w:br w:type="page"/>
      </w:r>
    </w:p>
    <w:p w14:paraId="1F55AA6F">
      <w:pPr>
        <w:rPr>
          <w:rFonts w:hint="eastAsia" w:ascii="宋体" w:hAnsi="宋体" w:eastAsia="宋体" w:cs="宋体"/>
          <w:b/>
          <w:color w:val="auto"/>
          <w:highlight w:val="none"/>
        </w:rPr>
      </w:pPr>
      <w:bookmarkStart w:id="1357" w:name="bookmark2230"/>
      <w:bookmarkStart w:id="1358" w:name="bookmark2229"/>
      <w:bookmarkStart w:id="1359" w:name="bookmark2228"/>
      <w:r>
        <w:rPr>
          <w:rFonts w:hint="eastAsia" w:ascii="宋体" w:hAnsi="宋体" w:eastAsia="宋体" w:cs="宋体"/>
          <w:b/>
          <w:color w:val="auto"/>
          <w:highlight w:val="none"/>
        </w:rPr>
        <w:t>附件一：拟投入本标段的主要施工设备表</w:t>
      </w:r>
      <w:bookmarkEnd w:id="1357"/>
      <w:bookmarkEnd w:id="1358"/>
      <w:bookmarkEnd w:id="1359"/>
    </w:p>
    <w:p w14:paraId="4DD74DE9">
      <w:pPr>
        <w:rPr>
          <w:rFonts w:hint="eastAsia" w:ascii="宋体" w:hAnsi="宋体" w:eastAsia="宋体" w:cs="宋体"/>
          <w:color w:val="auto"/>
          <w:highlight w:val="none"/>
        </w:rPr>
      </w:pPr>
    </w:p>
    <w:p w14:paraId="7B550EF5">
      <w:pPr>
        <w:jc w:val="center"/>
        <w:rPr>
          <w:rFonts w:hint="eastAsia" w:ascii="宋体" w:hAnsi="宋体" w:eastAsia="宋体" w:cs="宋体"/>
          <w:b/>
          <w:color w:val="auto"/>
          <w:highlight w:val="none"/>
        </w:rPr>
      </w:pPr>
      <w:bookmarkStart w:id="1360" w:name="_Toc19570"/>
      <w:bookmarkStart w:id="1361" w:name="bookmark2232"/>
      <w:bookmarkStart w:id="1362" w:name="_Toc13379"/>
      <w:bookmarkStart w:id="1363" w:name="bookmark2233"/>
      <w:bookmarkStart w:id="1364" w:name="bookmark2231"/>
      <w:r>
        <w:rPr>
          <w:rFonts w:hint="eastAsia" w:ascii="宋体" w:hAnsi="宋体" w:eastAsia="宋体" w:cs="宋体"/>
          <w:b/>
          <w:color w:val="auto"/>
          <w:highlight w:val="none"/>
        </w:rPr>
        <w:t>拟投入本标段的主要施工设备表</w:t>
      </w:r>
      <w:bookmarkEnd w:id="1360"/>
      <w:bookmarkEnd w:id="1361"/>
      <w:bookmarkEnd w:id="1362"/>
      <w:bookmarkEnd w:id="1363"/>
      <w:bookmarkEnd w:id="1364"/>
    </w:p>
    <w:p w14:paraId="1327C296">
      <w:pPr>
        <w:jc w:val="center"/>
        <w:rPr>
          <w:rFonts w:hint="eastAsia" w:ascii="宋体" w:hAnsi="宋体" w:eastAsia="宋体" w:cs="宋体"/>
          <w:color w:val="auto"/>
          <w:highlight w:val="none"/>
        </w:rPr>
      </w:pPr>
    </w:p>
    <w:tbl>
      <w:tblPr>
        <w:tblStyle w:val="13"/>
        <w:tblW w:w="8641" w:type="dxa"/>
        <w:jc w:val="center"/>
        <w:tblLayout w:type="fixed"/>
        <w:tblCellMar>
          <w:top w:w="0" w:type="dxa"/>
          <w:left w:w="10" w:type="dxa"/>
          <w:bottom w:w="0" w:type="dxa"/>
          <w:right w:w="10" w:type="dxa"/>
        </w:tblCellMar>
      </w:tblPr>
      <w:tblGrid>
        <w:gridCol w:w="581"/>
        <w:gridCol w:w="1133"/>
        <w:gridCol w:w="864"/>
        <w:gridCol w:w="869"/>
        <w:gridCol w:w="864"/>
        <w:gridCol w:w="864"/>
        <w:gridCol w:w="864"/>
        <w:gridCol w:w="864"/>
        <w:gridCol w:w="864"/>
        <w:gridCol w:w="874"/>
      </w:tblGrid>
      <w:tr w14:paraId="2EEBDDB3">
        <w:tblPrEx>
          <w:tblCellMar>
            <w:top w:w="0" w:type="dxa"/>
            <w:left w:w="10" w:type="dxa"/>
            <w:bottom w:w="0" w:type="dxa"/>
            <w:right w:w="10" w:type="dxa"/>
          </w:tblCellMar>
        </w:tblPrEx>
        <w:trPr>
          <w:trHeight w:val="1142" w:hRule="exact"/>
          <w:jc w:val="center"/>
        </w:trPr>
        <w:tc>
          <w:tcPr>
            <w:tcW w:w="581" w:type="dxa"/>
            <w:tcBorders>
              <w:top w:val="single" w:color="auto" w:sz="4" w:space="0"/>
              <w:left w:val="single" w:color="auto" w:sz="4" w:space="0"/>
            </w:tcBorders>
            <w:shd w:val="clear" w:color="auto" w:fill="FFFFFF"/>
            <w:vAlign w:val="center"/>
          </w:tcPr>
          <w:p w14:paraId="27EE62D3">
            <w:pPr>
              <w:spacing w:line="264" w:lineRule="exact"/>
              <w:jc w:val="left"/>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序号</w:t>
            </w:r>
          </w:p>
        </w:tc>
        <w:tc>
          <w:tcPr>
            <w:tcW w:w="1133" w:type="dxa"/>
            <w:tcBorders>
              <w:top w:val="single" w:color="auto" w:sz="4" w:space="0"/>
              <w:left w:val="single" w:color="auto" w:sz="4" w:space="0"/>
            </w:tcBorders>
            <w:shd w:val="clear" w:color="auto" w:fill="FFFFFF"/>
            <w:vAlign w:val="center"/>
          </w:tcPr>
          <w:p w14:paraId="292472D4">
            <w:pPr>
              <w:spacing w:line="269" w:lineRule="exact"/>
              <w:ind w:left="180"/>
              <w:jc w:val="left"/>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施工机械名称</w:t>
            </w:r>
          </w:p>
        </w:tc>
        <w:tc>
          <w:tcPr>
            <w:tcW w:w="864" w:type="dxa"/>
            <w:tcBorders>
              <w:top w:val="single" w:color="auto" w:sz="4" w:space="0"/>
              <w:left w:val="single" w:color="auto" w:sz="4" w:space="0"/>
            </w:tcBorders>
            <w:shd w:val="clear" w:color="auto" w:fill="FFFFFF"/>
            <w:vAlign w:val="center"/>
          </w:tcPr>
          <w:p w14:paraId="731CA32D">
            <w:pPr>
              <w:spacing w:after="60"/>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型号</w:t>
            </w:r>
          </w:p>
          <w:p w14:paraId="67DD95DC">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规格</w:t>
            </w:r>
          </w:p>
        </w:tc>
        <w:tc>
          <w:tcPr>
            <w:tcW w:w="869" w:type="dxa"/>
            <w:tcBorders>
              <w:top w:val="single" w:color="auto" w:sz="4" w:space="0"/>
              <w:left w:val="single" w:color="auto" w:sz="4" w:space="0"/>
            </w:tcBorders>
            <w:shd w:val="clear" w:color="auto" w:fill="FFFFFF"/>
            <w:vAlign w:val="center"/>
          </w:tcPr>
          <w:p w14:paraId="34814216">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数量</w:t>
            </w:r>
          </w:p>
        </w:tc>
        <w:tc>
          <w:tcPr>
            <w:tcW w:w="864" w:type="dxa"/>
            <w:tcBorders>
              <w:top w:val="single" w:color="auto" w:sz="4" w:space="0"/>
              <w:left w:val="single" w:color="auto" w:sz="4" w:space="0"/>
            </w:tcBorders>
            <w:shd w:val="clear" w:color="auto" w:fill="FFFFFF"/>
            <w:vAlign w:val="center"/>
          </w:tcPr>
          <w:p w14:paraId="5D0D3893">
            <w:pPr>
              <w:spacing w:line="266" w:lineRule="exact"/>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制造年份</w:t>
            </w:r>
          </w:p>
        </w:tc>
        <w:tc>
          <w:tcPr>
            <w:tcW w:w="864" w:type="dxa"/>
            <w:tcBorders>
              <w:top w:val="single" w:color="auto" w:sz="4" w:space="0"/>
              <w:left w:val="single" w:color="auto" w:sz="4" w:space="0"/>
            </w:tcBorders>
            <w:shd w:val="clear" w:color="auto" w:fill="FFFFFF"/>
            <w:vAlign w:val="center"/>
          </w:tcPr>
          <w:p w14:paraId="24A5B1C5">
            <w:pPr>
              <w:spacing w:line="265" w:lineRule="exact"/>
              <w:jc w:val="left"/>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额定功率</w:t>
            </w:r>
            <w:r>
              <w:rPr>
                <w:rFonts w:hint="eastAsia" w:ascii="宋体" w:hAnsi="宋体" w:eastAsia="宋体" w:cs="宋体"/>
                <w:color w:val="auto"/>
                <w:highlight w:val="none"/>
                <w:lang w:bidi="en-US"/>
              </w:rPr>
              <w:t>（KW）</w:t>
            </w:r>
            <w:r>
              <w:rPr>
                <w:rFonts w:hint="eastAsia" w:ascii="宋体" w:hAnsi="宋体" w:eastAsia="宋体" w:cs="宋体"/>
                <w:color w:val="auto"/>
                <w:highlight w:val="none"/>
                <w:lang w:val="zh-CN" w:bidi="zh-CN"/>
              </w:rPr>
              <w:t>或生产能力</w:t>
            </w:r>
          </w:p>
        </w:tc>
        <w:tc>
          <w:tcPr>
            <w:tcW w:w="864" w:type="dxa"/>
            <w:tcBorders>
              <w:top w:val="single" w:color="auto" w:sz="4" w:space="0"/>
              <w:left w:val="single" w:color="auto" w:sz="4" w:space="0"/>
            </w:tcBorders>
            <w:shd w:val="clear" w:color="auto" w:fill="FFFFFF"/>
            <w:vAlign w:val="center"/>
          </w:tcPr>
          <w:p w14:paraId="5187B9DD">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现在何处</w:t>
            </w:r>
          </w:p>
        </w:tc>
        <w:tc>
          <w:tcPr>
            <w:tcW w:w="864" w:type="dxa"/>
            <w:tcBorders>
              <w:top w:val="single" w:color="auto" w:sz="4" w:space="0"/>
              <w:left w:val="single" w:color="auto" w:sz="4" w:space="0"/>
            </w:tcBorders>
            <w:shd w:val="clear" w:color="auto" w:fill="FFFFFF"/>
            <w:vAlign w:val="center"/>
          </w:tcPr>
          <w:p w14:paraId="7E697834">
            <w:pPr>
              <w:jc w:val="right"/>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进场时间</w:t>
            </w:r>
          </w:p>
        </w:tc>
        <w:tc>
          <w:tcPr>
            <w:tcW w:w="864" w:type="dxa"/>
            <w:tcBorders>
              <w:top w:val="single" w:color="auto" w:sz="4" w:space="0"/>
              <w:left w:val="single" w:color="auto" w:sz="4" w:space="0"/>
            </w:tcBorders>
            <w:shd w:val="clear" w:color="auto" w:fill="FFFFFF"/>
            <w:vAlign w:val="center"/>
          </w:tcPr>
          <w:p w14:paraId="3605A530">
            <w:pPr>
              <w:jc w:val="right"/>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退场时间</w:t>
            </w:r>
          </w:p>
        </w:tc>
        <w:tc>
          <w:tcPr>
            <w:tcW w:w="874" w:type="dxa"/>
            <w:tcBorders>
              <w:top w:val="single" w:color="auto" w:sz="4" w:space="0"/>
              <w:left w:val="single" w:color="auto" w:sz="4" w:space="0"/>
              <w:right w:val="single" w:color="auto" w:sz="4" w:space="0"/>
            </w:tcBorders>
            <w:shd w:val="clear" w:color="auto" w:fill="FFFFFF"/>
            <w:vAlign w:val="center"/>
          </w:tcPr>
          <w:p w14:paraId="1EA83124">
            <w:pPr>
              <w:spacing w:line="257" w:lineRule="exact"/>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用于施工部位</w:t>
            </w:r>
          </w:p>
        </w:tc>
      </w:tr>
      <w:tr w14:paraId="5884BA79">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7E552CF5">
            <w:pPr>
              <w:rPr>
                <w:rFonts w:hint="eastAsia" w:ascii="宋体" w:hAnsi="宋体" w:eastAsia="宋体" w:cs="宋体"/>
                <w:color w:val="auto"/>
                <w:highlight w:val="none"/>
              </w:rPr>
            </w:pPr>
          </w:p>
        </w:tc>
        <w:tc>
          <w:tcPr>
            <w:tcW w:w="1133" w:type="dxa"/>
            <w:tcBorders>
              <w:top w:val="single" w:color="auto" w:sz="4" w:space="0"/>
              <w:left w:val="single" w:color="auto" w:sz="4" w:space="0"/>
            </w:tcBorders>
            <w:shd w:val="clear" w:color="auto" w:fill="FFFFFF"/>
          </w:tcPr>
          <w:p w14:paraId="584477CD">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4BB7B86F">
            <w:pPr>
              <w:rPr>
                <w:rFonts w:hint="eastAsia" w:ascii="宋体" w:hAnsi="宋体" w:eastAsia="宋体" w:cs="宋体"/>
                <w:color w:val="auto"/>
                <w:highlight w:val="none"/>
              </w:rPr>
            </w:pPr>
          </w:p>
        </w:tc>
        <w:tc>
          <w:tcPr>
            <w:tcW w:w="869" w:type="dxa"/>
            <w:tcBorders>
              <w:top w:val="single" w:color="auto" w:sz="4" w:space="0"/>
              <w:left w:val="single" w:color="auto" w:sz="4" w:space="0"/>
            </w:tcBorders>
            <w:shd w:val="clear" w:color="auto" w:fill="FFFFFF"/>
          </w:tcPr>
          <w:p w14:paraId="25CE3875">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3E2F9BEC">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47B4A803">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0BF135C0">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3DE0D29C">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09853EE5">
            <w:pPr>
              <w:rPr>
                <w:rFonts w:hint="eastAsia" w:ascii="宋体" w:hAnsi="宋体" w:eastAsia="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3BF2ECB7">
            <w:pPr>
              <w:rPr>
                <w:rFonts w:hint="eastAsia" w:ascii="宋体" w:hAnsi="宋体" w:eastAsia="宋体" w:cs="宋体"/>
                <w:color w:val="auto"/>
                <w:highlight w:val="none"/>
              </w:rPr>
            </w:pPr>
          </w:p>
        </w:tc>
      </w:tr>
      <w:tr w14:paraId="02067468">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67CA8CFF">
            <w:pPr>
              <w:rPr>
                <w:rFonts w:hint="eastAsia" w:ascii="宋体" w:hAnsi="宋体" w:eastAsia="宋体" w:cs="宋体"/>
                <w:color w:val="auto"/>
                <w:highlight w:val="none"/>
              </w:rPr>
            </w:pPr>
          </w:p>
        </w:tc>
        <w:tc>
          <w:tcPr>
            <w:tcW w:w="1133" w:type="dxa"/>
            <w:tcBorders>
              <w:top w:val="single" w:color="auto" w:sz="4" w:space="0"/>
              <w:left w:val="single" w:color="auto" w:sz="4" w:space="0"/>
            </w:tcBorders>
            <w:shd w:val="clear" w:color="auto" w:fill="FFFFFF"/>
          </w:tcPr>
          <w:p w14:paraId="608D7977">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2AEA1739">
            <w:pPr>
              <w:rPr>
                <w:rFonts w:hint="eastAsia" w:ascii="宋体" w:hAnsi="宋体" w:eastAsia="宋体" w:cs="宋体"/>
                <w:color w:val="auto"/>
                <w:highlight w:val="none"/>
              </w:rPr>
            </w:pPr>
          </w:p>
        </w:tc>
        <w:tc>
          <w:tcPr>
            <w:tcW w:w="869" w:type="dxa"/>
            <w:tcBorders>
              <w:top w:val="single" w:color="auto" w:sz="4" w:space="0"/>
              <w:left w:val="single" w:color="auto" w:sz="4" w:space="0"/>
            </w:tcBorders>
            <w:shd w:val="clear" w:color="auto" w:fill="FFFFFF"/>
          </w:tcPr>
          <w:p w14:paraId="522E579D">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460F005D">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1FEC95DA">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18AB3AB7">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68AB7D46">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124A6F26">
            <w:pPr>
              <w:rPr>
                <w:rFonts w:hint="eastAsia" w:ascii="宋体" w:hAnsi="宋体" w:eastAsia="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66761E2B">
            <w:pPr>
              <w:rPr>
                <w:rFonts w:hint="eastAsia" w:ascii="宋体" w:hAnsi="宋体" w:eastAsia="宋体" w:cs="宋体"/>
                <w:color w:val="auto"/>
                <w:highlight w:val="none"/>
              </w:rPr>
            </w:pPr>
          </w:p>
        </w:tc>
      </w:tr>
      <w:tr w14:paraId="2F11FFBA">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0B591F14">
            <w:pPr>
              <w:rPr>
                <w:rFonts w:hint="eastAsia" w:ascii="宋体" w:hAnsi="宋体" w:eastAsia="宋体" w:cs="宋体"/>
                <w:color w:val="auto"/>
                <w:highlight w:val="none"/>
              </w:rPr>
            </w:pPr>
          </w:p>
        </w:tc>
        <w:tc>
          <w:tcPr>
            <w:tcW w:w="1133" w:type="dxa"/>
            <w:tcBorders>
              <w:top w:val="single" w:color="auto" w:sz="4" w:space="0"/>
              <w:left w:val="single" w:color="auto" w:sz="4" w:space="0"/>
            </w:tcBorders>
            <w:shd w:val="clear" w:color="auto" w:fill="FFFFFF"/>
          </w:tcPr>
          <w:p w14:paraId="3E50661F">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4BC46967">
            <w:pPr>
              <w:rPr>
                <w:rFonts w:hint="eastAsia" w:ascii="宋体" w:hAnsi="宋体" w:eastAsia="宋体" w:cs="宋体"/>
                <w:color w:val="auto"/>
                <w:highlight w:val="none"/>
              </w:rPr>
            </w:pPr>
          </w:p>
        </w:tc>
        <w:tc>
          <w:tcPr>
            <w:tcW w:w="869" w:type="dxa"/>
            <w:tcBorders>
              <w:top w:val="single" w:color="auto" w:sz="4" w:space="0"/>
              <w:left w:val="single" w:color="auto" w:sz="4" w:space="0"/>
            </w:tcBorders>
            <w:shd w:val="clear" w:color="auto" w:fill="FFFFFF"/>
          </w:tcPr>
          <w:p w14:paraId="151D7C8D">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3316254C">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1E69CD5E">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04619C20">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25D3403A">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3690523A">
            <w:pPr>
              <w:rPr>
                <w:rFonts w:hint="eastAsia" w:ascii="宋体" w:hAnsi="宋体" w:eastAsia="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3C9F37C9">
            <w:pPr>
              <w:rPr>
                <w:rFonts w:hint="eastAsia" w:ascii="宋体" w:hAnsi="宋体" w:eastAsia="宋体" w:cs="宋体"/>
                <w:color w:val="auto"/>
                <w:highlight w:val="none"/>
              </w:rPr>
            </w:pPr>
          </w:p>
        </w:tc>
      </w:tr>
      <w:tr w14:paraId="145F995D">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62EBA20B">
            <w:pPr>
              <w:rPr>
                <w:rFonts w:hint="eastAsia" w:ascii="宋体" w:hAnsi="宋体" w:eastAsia="宋体" w:cs="宋体"/>
                <w:color w:val="auto"/>
                <w:highlight w:val="none"/>
              </w:rPr>
            </w:pPr>
          </w:p>
        </w:tc>
        <w:tc>
          <w:tcPr>
            <w:tcW w:w="1133" w:type="dxa"/>
            <w:tcBorders>
              <w:top w:val="single" w:color="auto" w:sz="4" w:space="0"/>
              <w:left w:val="single" w:color="auto" w:sz="4" w:space="0"/>
            </w:tcBorders>
            <w:shd w:val="clear" w:color="auto" w:fill="FFFFFF"/>
          </w:tcPr>
          <w:p w14:paraId="7B53F55E">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14616CA9">
            <w:pPr>
              <w:rPr>
                <w:rFonts w:hint="eastAsia" w:ascii="宋体" w:hAnsi="宋体" w:eastAsia="宋体" w:cs="宋体"/>
                <w:color w:val="auto"/>
                <w:highlight w:val="none"/>
              </w:rPr>
            </w:pPr>
          </w:p>
        </w:tc>
        <w:tc>
          <w:tcPr>
            <w:tcW w:w="869" w:type="dxa"/>
            <w:tcBorders>
              <w:top w:val="single" w:color="auto" w:sz="4" w:space="0"/>
              <w:left w:val="single" w:color="auto" w:sz="4" w:space="0"/>
            </w:tcBorders>
            <w:shd w:val="clear" w:color="auto" w:fill="FFFFFF"/>
          </w:tcPr>
          <w:p w14:paraId="22B23422">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6627B58B">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5B3D2B94">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5CA925AD">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60DE577E">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4AFF03A7">
            <w:pPr>
              <w:rPr>
                <w:rFonts w:hint="eastAsia" w:ascii="宋体" w:hAnsi="宋体" w:eastAsia="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6A3FF560">
            <w:pPr>
              <w:rPr>
                <w:rFonts w:hint="eastAsia" w:ascii="宋体" w:hAnsi="宋体" w:eastAsia="宋体" w:cs="宋体"/>
                <w:color w:val="auto"/>
                <w:highlight w:val="none"/>
              </w:rPr>
            </w:pPr>
          </w:p>
        </w:tc>
      </w:tr>
      <w:tr w14:paraId="327131FE">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54BA6B24">
            <w:pPr>
              <w:rPr>
                <w:rFonts w:hint="eastAsia" w:ascii="宋体" w:hAnsi="宋体" w:eastAsia="宋体" w:cs="宋体"/>
                <w:color w:val="auto"/>
                <w:highlight w:val="none"/>
              </w:rPr>
            </w:pPr>
          </w:p>
        </w:tc>
        <w:tc>
          <w:tcPr>
            <w:tcW w:w="1133" w:type="dxa"/>
            <w:tcBorders>
              <w:top w:val="single" w:color="auto" w:sz="4" w:space="0"/>
              <w:left w:val="single" w:color="auto" w:sz="4" w:space="0"/>
            </w:tcBorders>
            <w:shd w:val="clear" w:color="auto" w:fill="FFFFFF"/>
          </w:tcPr>
          <w:p w14:paraId="1E68BBC4">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63DCBAD0">
            <w:pPr>
              <w:rPr>
                <w:rFonts w:hint="eastAsia" w:ascii="宋体" w:hAnsi="宋体" w:eastAsia="宋体" w:cs="宋体"/>
                <w:color w:val="auto"/>
                <w:highlight w:val="none"/>
              </w:rPr>
            </w:pPr>
          </w:p>
        </w:tc>
        <w:tc>
          <w:tcPr>
            <w:tcW w:w="869" w:type="dxa"/>
            <w:tcBorders>
              <w:top w:val="single" w:color="auto" w:sz="4" w:space="0"/>
              <w:left w:val="single" w:color="auto" w:sz="4" w:space="0"/>
            </w:tcBorders>
            <w:shd w:val="clear" w:color="auto" w:fill="FFFFFF"/>
          </w:tcPr>
          <w:p w14:paraId="0E3A16E1">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45139365">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5758A4B8">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7550788E">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55F34DBB">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659E0375">
            <w:pPr>
              <w:rPr>
                <w:rFonts w:hint="eastAsia" w:ascii="宋体" w:hAnsi="宋体" w:eastAsia="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0769EFAA">
            <w:pPr>
              <w:rPr>
                <w:rFonts w:hint="eastAsia" w:ascii="宋体" w:hAnsi="宋体" w:eastAsia="宋体" w:cs="宋体"/>
                <w:color w:val="auto"/>
                <w:highlight w:val="none"/>
              </w:rPr>
            </w:pPr>
          </w:p>
        </w:tc>
      </w:tr>
      <w:tr w14:paraId="31880745">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7C5E9ECC">
            <w:pPr>
              <w:rPr>
                <w:rFonts w:hint="eastAsia" w:ascii="宋体" w:hAnsi="宋体" w:eastAsia="宋体" w:cs="宋体"/>
                <w:color w:val="auto"/>
                <w:highlight w:val="none"/>
              </w:rPr>
            </w:pPr>
          </w:p>
        </w:tc>
        <w:tc>
          <w:tcPr>
            <w:tcW w:w="1133" w:type="dxa"/>
            <w:tcBorders>
              <w:top w:val="single" w:color="auto" w:sz="4" w:space="0"/>
              <w:left w:val="single" w:color="auto" w:sz="4" w:space="0"/>
            </w:tcBorders>
            <w:shd w:val="clear" w:color="auto" w:fill="FFFFFF"/>
          </w:tcPr>
          <w:p w14:paraId="68F47DB8">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51B3E7CC">
            <w:pPr>
              <w:rPr>
                <w:rFonts w:hint="eastAsia" w:ascii="宋体" w:hAnsi="宋体" w:eastAsia="宋体" w:cs="宋体"/>
                <w:color w:val="auto"/>
                <w:highlight w:val="none"/>
              </w:rPr>
            </w:pPr>
          </w:p>
        </w:tc>
        <w:tc>
          <w:tcPr>
            <w:tcW w:w="869" w:type="dxa"/>
            <w:tcBorders>
              <w:top w:val="single" w:color="auto" w:sz="4" w:space="0"/>
              <w:left w:val="single" w:color="auto" w:sz="4" w:space="0"/>
            </w:tcBorders>
            <w:shd w:val="clear" w:color="auto" w:fill="FFFFFF"/>
          </w:tcPr>
          <w:p w14:paraId="6509E7A8">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4BDFE586">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4DC94955">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76943A30">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7C7B6913">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3F6CEE3B">
            <w:pPr>
              <w:rPr>
                <w:rFonts w:hint="eastAsia" w:ascii="宋体" w:hAnsi="宋体" w:eastAsia="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4CFFC204">
            <w:pPr>
              <w:rPr>
                <w:rFonts w:hint="eastAsia" w:ascii="宋体" w:hAnsi="宋体" w:eastAsia="宋体" w:cs="宋体"/>
                <w:color w:val="auto"/>
                <w:highlight w:val="none"/>
              </w:rPr>
            </w:pPr>
          </w:p>
        </w:tc>
      </w:tr>
      <w:tr w14:paraId="4718A695">
        <w:tblPrEx>
          <w:tblCellMar>
            <w:top w:w="0" w:type="dxa"/>
            <w:left w:w="10" w:type="dxa"/>
            <w:bottom w:w="0" w:type="dxa"/>
            <w:right w:w="10" w:type="dxa"/>
          </w:tblCellMar>
        </w:tblPrEx>
        <w:trPr>
          <w:trHeight w:val="571" w:hRule="exact"/>
          <w:jc w:val="center"/>
        </w:trPr>
        <w:tc>
          <w:tcPr>
            <w:tcW w:w="581" w:type="dxa"/>
            <w:tcBorders>
              <w:top w:val="single" w:color="auto" w:sz="4" w:space="0"/>
              <w:left w:val="single" w:color="auto" w:sz="4" w:space="0"/>
            </w:tcBorders>
            <w:shd w:val="clear" w:color="auto" w:fill="FFFFFF"/>
          </w:tcPr>
          <w:p w14:paraId="02FB9CFC">
            <w:pPr>
              <w:rPr>
                <w:rFonts w:hint="eastAsia" w:ascii="宋体" w:hAnsi="宋体" w:eastAsia="宋体" w:cs="宋体"/>
                <w:color w:val="auto"/>
                <w:highlight w:val="none"/>
              </w:rPr>
            </w:pPr>
          </w:p>
        </w:tc>
        <w:tc>
          <w:tcPr>
            <w:tcW w:w="1133" w:type="dxa"/>
            <w:tcBorders>
              <w:top w:val="single" w:color="auto" w:sz="4" w:space="0"/>
              <w:left w:val="single" w:color="auto" w:sz="4" w:space="0"/>
            </w:tcBorders>
            <w:shd w:val="clear" w:color="auto" w:fill="FFFFFF"/>
          </w:tcPr>
          <w:p w14:paraId="3C1FCFEC">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07ADF4D2">
            <w:pPr>
              <w:rPr>
                <w:rFonts w:hint="eastAsia" w:ascii="宋体" w:hAnsi="宋体" w:eastAsia="宋体" w:cs="宋体"/>
                <w:color w:val="auto"/>
                <w:highlight w:val="none"/>
              </w:rPr>
            </w:pPr>
          </w:p>
        </w:tc>
        <w:tc>
          <w:tcPr>
            <w:tcW w:w="869" w:type="dxa"/>
            <w:tcBorders>
              <w:top w:val="single" w:color="auto" w:sz="4" w:space="0"/>
              <w:left w:val="single" w:color="auto" w:sz="4" w:space="0"/>
            </w:tcBorders>
            <w:shd w:val="clear" w:color="auto" w:fill="FFFFFF"/>
          </w:tcPr>
          <w:p w14:paraId="2D37DF1C">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170AD62C">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79338E48">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1D0B7328">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77B4931A">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2DC74D4A">
            <w:pPr>
              <w:rPr>
                <w:rFonts w:hint="eastAsia" w:ascii="宋体" w:hAnsi="宋体" w:eastAsia="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4D1B3D96">
            <w:pPr>
              <w:rPr>
                <w:rFonts w:hint="eastAsia" w:ascii="宋体" w:hAnsi="宋体" w:eastAsia="宋体" w:cs="宋体"/>
                <w:color w:val="auto"/>
                <w:highlight w:val="none"/>
              </w:rPr>
            </w:pPr>
          </w:p>
        </w:tc>
      </w:tr>
      <w:tr w14:paraId="04845F8B">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70BC9A3F">
            <w:pPr>
              <w:rPr>
                <w:rFonts w:hint="eastAsia" w:ascii="宋体" w:hAnsi="宋体" w:eastAsia="宋体" w:cs="宋体"/>
                <w:color w:val="auto"/>
                <w:highlight w:val="none"/>
              </w:rPr>
            </w:pPr>
          </w:p>
        </w:tc>
        <w:tc>
          <w:tcPr>
            <w:tcW w:w="1133" w:type="dxa"/>
            <w:tcBorders>
              <w:top w:val="single" w:color="auto" w:sz="4" w:space="0"/>
              <w:left w:val="single" w:color="auto" w:sz="4" w:space="0"/>
            </w:tcBorders>
            <w:shd w:val="clear" w:color="auto" w:fill="FFFFFF"/>
          </w:tcPr>
          <w:p w14:paraId="12CA44B0">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76954A1C">
            <w:pPr>
              <w:rPr>
                <w:rFonts w:hint="eastAsia" w:ascii="宋体" w:hAnsi="宋体" w:eastAsia="宋体" w:cs="宋体"/>
                <w:color w:val="auto"/>
                <w:highlight w:val="none"/>
              </w:rPr>
            </w:pPr>
          </w:p>
        </w:tc>
        <w:tc>
          <w:tcPr>
            <w:tcW w:w="869" w:type="dxa"/>
            <w:tcBorders>
              <w:top w:val="single" w:color="auto" w:sz="4" w:space="0"/>
              <w:left w:val="single" w:color="auto" w:sz="4" w:space="0"/>
            </w:tcBorders>
            <w:shd w:val="clear" w:color="auto" w:fill="FFFFFF"/>
          </w:tcPr>
          <w:p w14:paraId="0E848FE9">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63F4C346">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4CD2E01C">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2F9A4324">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3C4E6D44">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7AB85C3A">
            <w:pPr>
              <w:rPr>
                <w:rFonts w:hint="eastAsia" w:ascii="宋体" w:hAnsi="宋体" w:eastAsia="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5EAE1672">
            <w:pPr>
              <w:rPr>
                <w:rFonts w:hint="eastAsia" w:ascii="宋体" w:hAnsi="宋体" w:eastAsia="宋体" w:cs="宋体"/>
                <w:color w:val="auto"/>
                <w:highlight w:val="none"/>
              </w:rPr>
            </w:pPr>
          </w:p>
        </w:tc>
      </w:tr>
      <w:tr w14:paraId="35F3AF58">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6DA75B5E">
            <w:pPr>
              <w:rPr>
                <w:rFonts w:hint="eastAsia" w:ascii="宋体" w:hAnsi="宋体" w:eastAsia="宋体" w:cs="宋体"/>
                <w:color w:val="auto"/>
                <w:highlight w:val="none"/>
              </w:rPr>
            </w:pPr>
          </w:p>
        </w:tc>
        <w:tc>
          <w:tcPr>
            <w:tcW w:w="1133" w:type="dxa"/>
            <w:tcBorders>
              <w:top w:val="single" w:color="auto" w:sz="4" w:space="0"/>
              <w:left w:val="single" w:color="auto" w:sz="4" w:space="0"/>
            </w:tcBorders>
            <w:shd w:val="clear" w:color="auto" w:fill="FFFFFF"/>
          </w:tcPr>
          <w:p w14:paraId="438E9DDA">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215BE9BD">
            <w:pPr>
              <w:rPr>
                <w:rFonts w:hint="eastAsia" w:ascii="宋体" w:hAnsi="宋体" w:eastAsia="宋体" w:cs="宋体"/>
                <w:color w:val="auto"/>
                <w:highlight w:val="none"/>
              </w:rPr>
            </w:pPr>
          </w:p>
        </w:tc>
        <w:tc>
          <w:tcPr>
            <w:tcW w:w="869" w:type="dxa"/>
            <w:tcBorders>
              <w:top w:val="single" w:color="auto" w:sz="4" w:space="0"/>
              <w:left w:val="single" w:color="auto" w:sz="4" w:space="0"/>
            </w:tcBorders>
            <w:shd w:val="clear" w:color="auto" w:fill="FFFFFF"/>
          </w:tcPr>
          <w:p w14:paraId="59EDBEDF">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652B5446">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71B645BC">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5BC31AA1">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2E617DE5">
            <w:pPr>
              <w:rPr>
                <w:rFonts w:hint="eastAsia" w:ascii="宋体" w:hAnsi="宋体" w:eastAsia="宋体" w:cs="宋体"/>
                <w:color w:val="auto"/>
                <w:highlight w:val="none"/>
              </w:rPr>
            </w:pPr>
          </w:p>
        </w:tc>
        <w:tc>
          <w:tcPr>
            <w:tcW w:w="864" w:type="dxa"/>
            <w:tcBorders>
              <w:top w:val="single" w:color="auto" w:sz="4" w:space="0"/>
              <w:left w:val="single" w:color="auto" w:sz="4" w:space="0"/>
            </w:tcBorders>
            <w:shd w:val="clear" w:color="auto" w:fill="FFFFFF"/>
          </w:tcPr>
          <w:p w14:paraId="2A4561D7">
            <w:pPr>
              <w:rPr>
                <w:rFonts w:hint="eastAsia" w:ascii="宋体" w:hAnsi="宋体" w:eastAsia="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226A30C3">
            <w:pPr>
              <w:rPr>
                <w:rFonts w:hint="eastAsia" w:ascii="宋体" w:hAnsi="宋体" w:eastAsia="宋体" w:cs="宋体"/>
                <w:color w:val="auto"/>
                <w:highlight w:val="none"/>
              </w:rPr>
            </w:pPr>
          </w:p>
        </w:tc>
      </w:tr>
      <w:tr w14:paraId="31F1C20F">
        <w:tblPrEx>
          <w:tblCellMar>
            <w:top w:w="0" w:type="dxa"/>
            <w:left w:w="10" w:type="dxa"/>
            <w:bottom w:w="0" w:type="dxa"/>
            <w:right w:w="10" w:type="dxa"/>
          </w:tblCellMar>
        </w:tblPrEx>
        <w:trPr>
          <w:trHeight w:val="576" w:hRule="exact"/>
          <w:jc w:val="center"/>
        </w:trPr>
        <w:tc>
          <w:tcPr>
            <w:tcW w:w="581" w:type="dxa"/>
            <w:tcBorders>
              <w:top w:val="single" w:color="auto" w:sz="4" w:space="0"/>
              <w:left w:val="single" w:color="auto" w:sz="4" w:space="0"/>
              <w:bottom w:val="single" w:color="auto" w:sz="4" w:space="0"/>
            </w:tcBorders>
            <w:shd w:val="clear" w:color="auto" w:fill="FFFFFF"/>
          </w:tcPr>
          <w:p w14:paraId="7D921D67">
            <w:pPr>
              <w:rPr>
                <w:rFonts w:hint="eastAsia" w:ascii="宋体" w:hAnsi="宋体" w:eastAsia="宋体" w:cs="宋体"/>
                <w:color w:val="auto"/>
                <w:highlight w:val="none"/>
              </w:rPr>
            </w:pPr>
          </w:p>
        </w:tc>
        <w:tc>
          <w:tcPr>
            <w:tcW w:w="1133" w:type="dxa"/>
            <w:tcBorders>
              <w:top w:val="single" w:color="auto" w:sz="4" w:space="0"/>
              <w:left w:val="single" w:color="auto" w:sz="4" w:space="0"/>
              <w:bottom w:val="single" w:color="auto" w:sz="4" w:space="0"/>
            </w:tcBorders>
            <w:shd w:val="clear" w:color="auto" w:fill="FFFFFF"/>
          </w:tcPr>
          <w:p w14:paraId="08C57D60">
            <w:pPr>
              <w:rPr>
                <w:rFonts w:hint="eastAsia" w:ascii="宋体" w:hAnsi="宋体" w:eastAsia="宋体" w:cs="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14:paraId="115603B8">
            <w:pPr>
              <w:rPr>
                <w:rFonts w:hint="eastAsia" w:ascii="宋体" w:hAnsi="宋体" w:eastAsia="宋体" w:cs="宋体"/>
                <w:color w:val="auto"/>
                <w:highlight w:val="none"/>
              </w:rPr>
            </w:pPr>
          </w:p>
        </w:tc>
        <w:tc>
          <w:tcPr>
            <w:tcW w:w="869" w:type="dxa"/>
            <w:tcBorders>
              <w:top w:val="single" w:color="auto" w:sz="4" w:space="0"/>
              <w:left w:val="single" w:color="auto" w:sz="4" w:space="0"/>
              <w:bottom w:val="single" w:color="auto" w:sz="4" w:space="0"/>
            </w:tcBorders>
            <w:shd w:val="clear" w:color="auto" w:fill="FFFFFF"/>
          </w:tcPr>
          <w:p w14:paraId="22085596">
            <w:pPr>
              <w:rPr>
                <w:rFonts w:hint="eastAsia" w:ascii="宋体" w:hAnsi="宋体" w:eastAsia="宋体" w:cs="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14:paraId="50E3F62D">
            <w:pPr>
              <w:rPr>
                <w:rFonts w:hint="eastAsia" w:ascii="宋体" w:hAnsi="宋体" w:eastAsia="宋体" w:cs="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14:paraId="6D71CB3F">
            <w:pPr>
              <w:rPr>
                <w:rFonts w:hint="eastAsia" w:ascii="宋体" w:hAnsi="宋体" w:eastAsia="宋体" w:cs="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14:paraId="120498D7">
            <w:pPr>
              <w:rPr>
                <w:rFonts w:hint="eastAsia" w:ascii="宋体" w:hAnsi="宋体" w:eastAsia="宋体" w:cs="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14:paraId="7B29F1E6">
            <w:pPr>
              <w:rPr>
                <w:rFonts w:hint="eastAsia" w:ascii="宋体" w:hAnsi="宋体" w:eastAsia="宋体" w:cs="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14:paraId="24DDA88B">
            <w:pPr>
              <w:rPr>
                <w:rFonts w:hint="eastAsia" w:ascii="宋体" w:hAnsi="宋体" w:eastAsia="宋体" w:cs="宋体"/>
                <w:color w:val="auto"/>
                <w:highlight w:val="none"/>
              </w:rPr>
            </w:pPr>
          </w:p>
        </w:tc>
        <w:tc>
          <w:tcPr>
            <w:tcW w:w="874" w:type="dxa"/>
            <w:tcBorders>
              <w:top w:val="single" w:color="auto" w:sz="4" w:space="0"/>
              <w:left w:val="single" w:color="auto" w:sz="4" w:space="0"/>
              <w:bottom w:val="single" w:color="auto" w:sz="4" w:space="0"/>
              <w:right w:val="single" w:color="auto" w:sz="4" w:space="0"/>
            </w:tcBorders>
            <w:shd w:val="clear" w:color="auto" w:fill="FFFFFF"/>
          </w:tcPr>
          <w:p w14:paraId="20F88F13">
            <w:pPr>
              <w:rPr>
                <w:rFonts w:hint="eastAsia" w:ascii="宋体" w:hAnsi="宋体" w:eastAsia="宋体" w:cs="宋体"/>
                <w:color w:val="auto"/>
                <w:highlight w:val="none"/>
              </w:rPr>
            </w:pPr>
          </w:p>
        </w:tc>
      </w:tr>
    </w:tbl>
    <w:p w14:paraId="02086DA4">
      <w:pPr>
        <w:spacing w:after="299" w:line="1" w:lineRule="exact"/>
        <w:rPr>
          <w:rFonts w:hint="eastAsia" w:ascii="宋体" w:hAnsi="宋体" w:eastAsia="宋体" w:cs="宋体"/>
          <w:color w:val="auto"/>
          <w:highlight w:val="none"/>
        </w:rPr>
      </w:pPr>
    </w:p>
    <w:p w14:paraId="33C78F4C">
      <w:pPr>
        <w:tabs>
          <w:tab w:val="left" w:pos="0"/>
        </w:tabs>
        <w:spacing w:line="360" w:lineRule="auto"/>
        <w:ind w:right="-210"/>
        <w:rPr>
          <w:rFonts w:hint="eastAsia" w:ascii="宋体" w:hAnsi="宋体" w:eastAsia="宋体" w:cs="宋体"/>
          <w:color w:val="auto"/>
          <w:kern w:val="2"/>
          <w:highlight w:val="none"/>
        </w:rPr>
      </w:pPr>
      <w:bookmarkStart w:id="1365" w:name="_Toc27417"/>
      <w:bookmarkStart w:id="1366" w:name="_Toc3373"/>
      <w:bookmarkStart w:id="1367" w:name="bookmark2235"/>
      <w:bookmarkStart w:id="1368" w:name="bookmark2236"/>
      <w:bookmarkStart w:id="1369" w:name="bookmark2234"/>
    </w:p>
    <w:p w14:paraId="36172833">
      <w:pPr>
        <w:tabs>
          <w:tab w:val="left" w:pos="0"/>
        </w:tabs>
        <w:spacing w:line="480" w:lineRule="auto"/>
        <w:ind w:right="-210"/>
        <w:jc w:val="right"/>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w:t>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w:t>
      </w:r>
      <w:r>
        <w:rPr>
          <w:rFonts w:hint="eastAsia" w:ascii="宋体" w:hAnsi="宋体" w:eastAsia="宋体" w:cs="宋体"/>
          <w:color w:val="auto"/>
          <w:highlight w:val="none"/>
        </w:rPr>
        <w:t>电子公章）</w:t>
      </w:r>
    </w:p>
    <w:p w14:paraId="45B8AF45">
      <w:pPr>
        <w:tabs>
          <w:tab w:val="left" w:pos="0"/>
        </w:tabs>
        <w:spacing w:line="480" w:lineRule="auto"/>
        <w:ind w:right="-210"/>
        <w:jc w:val="right"/>
        <w:rPr>
          <w:rFonts w:hint="eastAsia" w:ascii="宋体" w:hAnsi="宋体" w:eastAsia="宋体" w:cs="宋体"/>
          <w:color w:val="auto"/>
          <w:kern w:val="2"/>
          <w:highlight w:val="none"/>
        </w:rPr>
      </w:pPr>
      <w:r>
        <w:rPr>
          <w:rFonts w:hint="eastAsia" w:ascii="宋体" w:hAnsi="宋体" w:eastAsia="宋体" w:cs="宋体"/>
          <w:color w:val="auto"/>
          <w:kern w:val="2"/>
          <w:highlight w:val="none"/>
        </w:rPr>
        <w:t>法定代表人（负责人）或授权委托代理人：</w:t>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rPr>
        <w:t>（签字</w:t>
      </w:r>
      <w:r>
        <w:rPr>
          <w:rFonts w:hint="eastAsia" w:ascii="宋体" w:hAnsi="宋体" w:eastAsia="宋体" w:cs="宋体"/>
          <w:color w:val="auto"/>
          <w:kern w:val="2"/>
          <w:highlight w:val="none"/>
          <w:lang w:val="en-US" w:eastAsia="zh-CN"/>
        </w:rPr>
        <w:t>或盖章</w:t>
      </w:r>
      <w:r>
        <w:rPr>
          <w:rFonts w:hint="eastAsia" w:ascii="宋体" w:hAnsi="宋体" w:eastAsia="宋体" w:cs="宋体"/>
          <w:color w:val="auto"/>
          <w:kern w:val="2"/>
          <w:highlight w:val="none"/>
        </w:rPr>
        <w:t>）</w:t>
      </w:r>
    </w:p>
    <w:p w14:paraId="5DC193EC">
      <w:pPr>
        <w:tabs>
          <w:tab w:val="left" w:pos="0"/>
        </w:tabs>
        <w:spacing w:line="480" w:lineRule="auto"/>
        <w:ind w:right="-210"/>
        <w:jc w:val="right"/>
        <w:rPr>
          <w:rFonts w:hint="eastAsia" w:ascii="宋体" w:hAnsi="宋体" w:eastAsia="宋体" w:cs="宋体"/>
          <w:color w:val="auto"/>
          <w:kern w:val="2"/>
          <w:highlight w:val="none"/>
        </w:rPr>
      </w:pP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rPr>
        <w:t>年</w:t>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rPr>
        <w:t>月</w:t>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rPr>
        <w:t>日</w:t>
      </w:r>
    </w:p>
    <w:p w14:paraId="6067585E">
      <w:pPr>
        <w:widowControl/>
        <w:jc w:val="left"/>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br w:type="page"/>
      </w:r>
    </w:p>
    <w:p w14:paraId="4D378647">
      <w:pPr>
        <w:rPr>
          <w:rFonts w:hint="eastAsia" w:ascii="宋体" w:hAnsi="宋体" w:eastAsia="宋体" w:cs="宋体"/>
          <w:b/>
          <w:color w:val="auto"/>
          <w:highlight w:val="none"/>
        </w:rPr>
      </w:pPr>
      <w:r>
        <w:rPr>
          <w:rFonts w:hint="eastAsia" w:ascii="宋体" w:hAnsi="宋体" w:eastAsia="宋体" w:cs="宋体"/>
          <w:b/>
          <w:color w:val="auto"/>
          <w:highlight w:val="none"/>
        </w:rPr>
        <w:t>附件二：拟投入本合同工程的试验和检测仪器设备表</w:t>
      </w:r>
      <w:bookmarkEnd w:id="1365"/>
    </w:p>
    <w:p w14:paraId="4EEAC715">
      <w:pPr>
        <w:rPr>
          <w:rFonts w:hint="eastAsia" w:ascii="宋体" w:hAnsi="宋体" w:eastAsia="宋体" w:cs="宋体"/>
          <w:color w:val="auto"/>
          <w:highlight w:val="none"/>
        </w:rPr>
      </w:pPr>
    </w:p>
    <w:p w14:paraId="638FADCD">
      <w:pPr>
        <w:jc w:val="center"/>
        <w:rPr>
          <w:rFonts w:hint="eastAsia" w:ascii="宋体" w:hAnsi="宋体" w:eastAsia="宋体" w:cs="宋体"/>
          <w:b/>
          <w:color w:val="auto"/>
          <w:highlight w:val="none"/>
        </w:rPr>
      </w:pPr>
      <w:bookmarkStart w:id="1370" w:name="_Toc24555"/>
      <w:r>
        <w:rPr>
          <w:rFonts w:hint="eastAsia" w:ascii="宋体" w:hAnsi="宋体" w:eastAsia="宋体" w:cs="宋体"/>
          <w:b/>
          <w:color w:val="auto"/>
          <w:highlight w:val="none"/>
        </w:rPr>
        <w:t>拟投入本合同工程的试验和检测仪器设备表</w:t>
      </w:r>
      <w:bookmarkEnd w:id="1366"/>
      <w:bookmarkEnd w:id="1367"/>
      <w:bookmarkEnd w:id="1368"/>
      <w:bookmarkEnd w:id="1369"/>
      <w:bookmarkEnd w:id="1370"/>
    </w:p>
    <w:p w14:paraId="1316031B">
      <w:pPr>
        <w:jc w:val="center"/>
        <w:rPr>
          <w:rFonts w:hint="eastAsia" w:ascii="宋体" w:hAnsi="宋体" w:eastAsia="宋体" w:cs="宋体"/>
          <w:b/>
          <w:color w:val="auto"/>
          <w:highlight w:val="none"/>
        </w:rPr>
      </w:pPr>
    </w:p>
    <w:tbl>
      <w:tblPr>
        <w:tblStyle w:val="13"/>
        <w:tblW w:w="8351" w:type="dxa"/>
        <w:jc w:val="center"/>
        <w:tblLayout w:type="fixed"/>
        <w:tblCellMar>
          <w:top w:w="0" w:type="dxa"/>
          <w:left w:w="10" w:type="dxa"/>
          <w:bottom w:w="0" w:type="dxa"/>
          <w:right w:w="10" w:type="dxa"/>
        </w:tblCellMar>
      </w:tblPr>
      <w:tblGrid>
        <w:gridCol w:w="576"/>
        <w:gridCol w:w="1416"/>
        <w:gridCol w:w="907"/>
        <w:gridCol w:w="907"/>
        <w:gridCol w:w="907"/>
        <w:gridCol w:w="912"/>
        <w:gridCol w:w="902"/>
        <w:gridCol w:w="907"/>
        <w:gridCol w:w="917"/>
      </w:tblGrid>
      <w:tr w14:paraId="73C1F339">
        <w:tblPrEx>
          <w:tblCellMar>
            <w:top w:w="0" w:type="dxa"/>
            <w:left w:w="10" w:type="dxa"/>
            <w:bottom w:w="0" w:type="dxa"/>
            <w:right w:w="10" w:type="dxa"/>
          </w:tblCellMar>
        </w:tblPrEx>
        <w:trPr>
          <w:trHeight w:val="859" w:hRule="exact"/>
          <w:jc w:val="center"/>
        </w:trPr>
        <w:tc>
          <w:tcPr>
            <w:tcW w:w="576" w:type="dxa"/>
            <w:tcBorders>
              <w:top w:val="single" w:color="auto" w:sz="4" w:space="0"/>
              <w:left w:val="single" w:color="auto" w:sz="4" w:space="0"/>
            </w:tcBorders>
            <w:shd w:val="clear" w:color="auto" w:fill="FFFFFF"/>
            <w:vAlign w:val="center"/>
          </w:tcPr>
          <w:p w14:paraId="401B65A0">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序号</w:t>
            </w:r>
          </w:p>
        </w:tc>
        <w:tc>
          <w:tcPr>
            <w:tcW w:w="1416" w:type="dxa"/>
            <w:tcBorders>
              <w:top w:val="single" w:color="auto" w:sz="4" w:space="0"/>
              <w:left w:val="single" w:color="auto" w:sz="4" w:space="0"/>
            </w:tcBorders>
            <w:shd w:val="clear" w:color="auto" w:fill="FFFFFF"/>
            <w:vAlign w:val="center"/>
          </w:tcPr>
          <w:p w14:paraId="33657DD2">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仪器设备名称</w:t>
            </w:r>
          </w:p>
        </w:tc>
        <w:tc>
          <w:tcPr>
            <w:tcW w:w="907" w:type="dxa"/>
            <w:tcBorders>
              <w:top w:val="single" w:color="auto" w:sz="4" w:space="0"/>
              <w:left w:val="single" w:color="auto" w:sz="4" w:space="0"/>
            </w:tcBorders>
            <w:shd w:val="clear" w:color="auto" w:fill="FFFFFF"/>
            <w:vAlign w:val="center"/>
          </w:tcPr>
          <w:p w14:paraId="11719C04">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型号规格</w:t>
            </w:r>
          </w:p>
        </w:tc>
        <w:tc>
          <w:tcPr>
            <w:tcW w:w="907" w:type="dxa"/>
            <w:tcBorders>
              <w:top w:val="single" w:color="auto" w:sz="4" w:space="0"/>
              <w:left w:val="single" w:color="auto" w:sz="4" w:space="0"/>
            </w:tcBorders>
            <w:shd w:val="clear" w:color="auto" w:fill="FFFFFF"/>
            <w:vAlign w:val="center"/>
          </w:tcPr>
          <w:p w14:paraId="594AAC01">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数量</w:t>
            </w:r>
          </w:p>
        </w:tc>
        <w:tc>
          <w:tcPr>
            <w:tcW w:w="907" w:type="dxa"/>
            <w:tcBorders>
              <w:top w:val="single" w:color="auto" w:sz="4" w:space="0"/>
              <w:left w:val="single" w:color="auto" w:sz="4" w:space="0"/>
            </w:tcBorders>
            <w:shd w:val="clear" w:color="auto" w:fill="FFFFFF"/>
            <w:vAlign w:val="center"/>
          </w:tcPr>
          <w:p w14:paraId="469EB8AC">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国别产地</w:t>
            </w:r>
          </w:p>
        </w:tc>
        <w:tc>
          <w:tcPr>
            <w:tcW w:w="912" w:type="dxa"/>
            <w:tcBorders>
              <w:top w:val="single" w:color="auto" w:sz="4" w:space="0"/>
              <w:left w:val="single" w:color="auto" w:sz="4" w:space="0"/>
            </w:tcBorders>
            <w:shd w:val="clear" w:color="auto" w:fill="FFFFFF"/>
            <w:vAlign w:val="center"/>
          </w:tcPr>
          <w:p w14:paraId="5DA8708F">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制造年份</w:t>
            </w:r>
          </w:p>
        </w:tc>
        <w:tc>
          <w:tcPr>
            <w:tcW w:w="902" w:type="dxa"/>
            <w:tcBorders>
              <w:top w:val="single" w:color="auto" w:sz="4" w:space="0"/>
              <w:left w:val="single" w:color="auto" w:sz="4" w:space="0"/>
            </w:tcBorders>
            <w:shd w:val="clear" w:color="auto" w:fill="FFFFFF"/>
            <w:vAlign w:val="center"/>
          </w:tcPr>
          <w:p w14:paraId="702C67D7">
            <w:pPr>
              <w:spacing w:line="264" w:lineRule="exact"/>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己使用台时数</w:t>
            </w:r>
          </w:p>
        </w:tc>
        <w:tc>
          <w:tcPr>
            <w:tcW w:w="907" w:type="dxa"/>
            <w:tcBorders>
              <w:top w:val="single" w:color="auto" w:sz="4" w:space="0"/>
              <w:left w:val="single" w:color="auto" w:sz="4" w:space="0"/>
            </w:tcBorders>
            <w:shd w:val="clear" w:color="auto" w:fill="FFFFFF"/>
            <w:vAlign w:val="center"/>
          </w:tcPr>
          <w:p w14:paraId="443D1FBE">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用途</w:t>
            </w:r>
          </w:p>
        </w:tc>
        <w:tc>
          <w:tcPr>
            <w:tcW w:w="917" w:type="dxa"/>
            <w:tcBorders>
              <w:top w:val="single" w:color="auto" w:sz="4" w:space="0"/>
              <w:left w:val="single" w:color="auto" w:sz="4" w:space="0"/>
              <w:right w:val="single" w:color="auto" w:sz="4" w:space="0"/>
            </w:tcBorders>
            <w:shd w:val="clear" w:color="auto" w:fill="FFFFFF"/>
            <w:vAlign w:val="center"/>
          </w:tcPr>
          <w:p w14:paraId="2BB90515">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备注</w:t>
            </w:r>
          </w:p>
        </w:tc>
      </w:tr>
      <w:tr w14:paraId="665566BA">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30D6C674">
            <w:pPr>
              <w:rPr>
                <w:rFonts w:hint="eastAsia" w:ascii="宋体" w:hAnsi="宋体" w:eastAsia="宋体" w:cs="宋体"/>
                <w:color w:val="auto"/>
                <w:highlight w:val="none"/>
              </w:rPr>
            </w:pPr>
          </w:p>
        </w:tc>
        <w:tc>
          <w:tcPr>
            <w:tcW w:w="1416" w:type="dxa"/>
            <w:tcBorders>
              <w:top w:val="single" w:color="auto" w:sz="4" w:space="0"/>
              <w:left w:val="single" w:color="auto" w:sz="4" w:space="0"/>
            </w:tcBorders>
            <w:shd w:val="clear" w:color="auto" w:fill="FFFFFF"/>
          </w:tcPr>
          <w:p w14:paraId="306A0397">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22FB980A">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0249BEEF">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50221E51">
            <w:pPr>
              <w:rPr>
                <w:rFonts w:hint="eastAsia" w:ascii="宋体" w:hAnsi="宋体" w:eastAsia="宋体" w:cs="宋体"/>
                <w:color w:val="auto"/>
                <w:highlight w:val="none"/>
              </w:rPr>
            </w:pPr>
          </w:p>
        </w:tc>
        <w:tc>
          <w:tcPr>
            <w:tcW w:w="912" w:type="dxa"/>
            <w:tcBorders>
              <w:top w:val="single" w:color="auto" w:sz="4" w:space="0"/>
              <w:left w:val="single" w:color="auto" w:sz="4" w:space="0"/>
            </w:tcBorders>
            <w:shd w:val="clear" w:color="auto" w:fill="FFFFFF"/>
          </w:tcPr>
          <w:p w14:paraId="71936C57">
            <w:pPr>
              <w:rPr>
                <w:rFonts w:hint="eastAsia" w:ascii="宋体" w:hAnsi="宋体" w:eastAsia="宋体" w:cs="宋体"/>
                <w:color w:val="auto"/>
                <w:highlight w:val="none"/>
              </w:rPr>
            </w:pPr>
          </w:p>
        </w:tc>
        <w:tc>
          <w:tcPr>
            <w:tcW w:w="902" w:type="dxa"/>
            <w:tcBorders>
              <w:top w:val="single" w:color="auto" w:sz="4" w:space="0"/>
              <w:left w:val="single" w:color="auto" w:sz="4" w:space="0"/>
            </w:tcBorders>
            <w:shd w:val="clear" w:color="auto" w:fill="FFFFFF"/>
          </w:tcPr>
          <w:p w14:paraId="3D172950">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38CECB92">
            <w:pPr>
              <w:rPr>
                <w:rFonts w:hint="eastAsia" w:ascii="宋体" w:hAnsi="宋体" w:eastAsia="宋体" w:cs="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17E30555">
            <w:pPr>
              <w:rPr>
                <w:rFonts w:hint="eastAsia" w:ascii="宋体" w:hAnsi="宋体" w:eastAsia="宋体" w:cs="宋体"/>
                <w:color w:val="auto"/>
                <w:highlight w:val="none"/>
              </w:rPr>
            </w:pPr>
          </w:p>
        </w:tc>
      </w:tr>
      <w:tr w14:paraId="00BC592A">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3D80DC37">
            <w:pPr>
              <w:rPr>
                <w:rFonts w:hint="eastAsia" w:ascii="宋体" w:hAnsi="宋体" w:eastAsia="宋体" w:cs="宋体"/>
                <w:color w:val="auto"/>
                <w:highlight w:val="none"/>
              </w:rPr>
            </w:pPr>
          </w:p>
        </w:tc>
        <w:tc>
          <w:tcPr>
            <w:tcW w:w="1416" w:type="dxa"/>
            <w:tcBorders>
              <w:top w:val="single" w:color="auto" w:sz="4" w:space="0"/>
              <w:left w:val="single" w:color="auto" w:sz="4" w:space="0"/>
            </w:tcBorders>
            <w:shd w:val="clear" w:color="auto" w:fill="FFFFFF"/>
          </w:tcPr>
          <w:p w14:paraId="34CD2203">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42F4F040">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32ECAE20">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24F94E0A">
            <w:pPr>
              <w:rPr>
                <w:rFonts w:hint="eastAsia" w:ascii="宋体" w:hAnsi="宋体" w:eastAsia="宋体" w:cs="宋体"/>
                <w:color w:val="auto"/>
                <w:highlight w:val="none"/>
              </w:rPr>
            </w:pPr>
          </w:p>
        </w:tc>
        <w:tc>
          <w:tcPr>
            <w:tcW w:w="912" w:type="dxa"/>
            <w:tcBorders>
              <w:top w:val="single" w:color="auto" w:sz="4" w:space="0"/>
              <w:left w:val="single" w:color="auto" w:sz="4" w:space="0"/>
            </w:tcBorders>
            <w:shd w:val="clear" w:color="auto" w:fill="FFFFFF"/>
          </w:tcPr>
          <w:p w14:paraId="5DB4AE13">
            <w:pPr>
              <w:rPr>
                <w:rFonts w:hint="eastAsia" w:ascii="宋体" w:hAnsi="宋体" w:eastAsia="宋体" w:cs="宋体"/>
                <w:color w:val="auto"/>
                <w:highlight w:val="none"/>
              </w:rPr>
            </w:pPr>
          </w:p>
        </w:tc>
        <w:tc>
          <w:tcPr>
            <w:tcW w:w="902" w:type="dxa"/>
            <w:tcBorders>
              <w:top w:val="single" w:color="auto" w:sz="4" w:space="0"/>
              <w:left w:val="single" w:color="auto" w:sz="4" w:space="0"/>
            </w:tcBorders>
            <w:shd w:val="clear" w:color="auto" w:fill="FFFFFF"/>
          </w:tcPr>
          <w:p w14:paraId="798321B1">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5BBFA43D">
            <w:pPr>
              <w:rPr>
                <w:rFonts w:hint="eastAsia" w:ascii="宋体" w:hAnsi="宋体" w:eastAsia="宋体" w:cs="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2F1FA7F1">
            <w:pPr>
              <w:rPr>
                <w:rFonts w:hint="eastAsia" w:ascii="宋体" w:hAnsi="宋体" w:eastAsia="宋体" w:cs="宋体"/>
                <w:color w:val="auto"/>
                <w:highlight w:val="none"/>
              </w:rPr>
            </w:pPr>
          </w:p>
        </w:tc>
      </w:tr>
      <w:tr w14:paraId="4B5F50A2">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58F8F09F">
            <w:pPr>
              <w:rPr>
                <w:rFonts w:hint="eastAsia" w:ascii="宋体" w:hAnsi="宋体" w:eastAsia="宋体" w:cs="宋体"/>
                <w:color w:val="auto"/>
                <w:highlight w:val="none"/>
              </w:rPr>
            </w:pPr>
          </w:p>
        </w:tc>
        <w:tc>
          <w:tcPr>
            <w:tcW w:w="1416" w:type="dxa"/>
            <w:tcBorders>
              <w:top w:val="single" w:color="auto" w:sz="4" w:space="0"/>
              <w:left w:val="single" w:color="auto" w:sz="4" w:space="0"/>
            </w:tcBorders>
            <w:shd w:val="clear" w:color="auto" w:fill="FFFFFF"/>
          </w:tcPr>
          <w:p w14:paraId="563C0560">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652F66E3">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6F7326BF">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6F9B85B1">
            <w:pPr>
              <w:rPr>
                <w:rFonts w:hint="eastAsia" w:ascii="宋体" w:hAnsi="宋体" w:eastAsia="宋体" w:cs="宋体"/>
                <w:color w:val="auto"/>
                <w:highlight w:val="none"/>
              </w:rPr>
            </w:pPr>
          </w:p>
        </w:tc>
        <w:tc>
          <w:tcPr>
            <w:tcW w:w="912" w:type="dxa"/>
            <w:tcBorders>
              <w:top w:val="single" w:color="auto" w:sz="4" w:space="0"/>
              <w:left w:val="single" w:color="auto" w:sz="4" w:space="0"/>
            </w:tcBorders>
            <w:shd w:val="clear" w:color="auto" w:fill="FFFFFF"/>
          </w:tcPr>
          <w:p w14:paraId="680936A0">
            <w:pPr>
              <w:rPr>
                <w:rFonts w:hint="eastAsia" w:ascii="宋体" w:hAnsi="宋体" w:eastAsia="宋体" w:cs="宋体"/>
                <w:color w:val="auto"/>
                <w:highlight w:val="none"/>
              </w:rPr>
            </w:pPr>
          </w:p>
        </w:tc>
        <w:tc>
          <w:tcPr>
            <w:tcW w:w="902" w:type="dxa"/>
            <w:tcBorders>
              <w:top w:val="single" w:color="auto" w:sz="4" w:space="0"/>
              <w:left w:val="single" w:color="auto" w:sz="4" w:space="0"/>
            </w:tcBorders>
            <w:shd w:val="clear" w:color="auto" w:fill="FFFFFF"/>
          </w:tcPr>
          <w:p w14:paraId="01218280">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29F198B2">
            <w:pPr>
              <w:rPr>
                <w:rFonts w:hint="eastAsia" w:ascii="宋体" w:hAnsi="宋体" w:eastAsia="宋体" w:cs="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3CF9074E">
            <w:pPr>
              <w:rPr>
                <w:rFonts w:hint="eastAsia" w:ascii="宋体" w:hAnsi="宋体" w:eastAsia="宋体" w:cs="宋体"/>
                <w:color w:val="auto"/>
                <w:highlight w:val="none"/>
              </w:rPr>
            </w:pPr>
          </w:p>
        </w:tc>
      </w:tr>
      <w:tr w14:paraId="6D4D7A59">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570FB9B8">
            <w:pPr>
              <w:rPr>
                <w:rFonts w:hint="eastAsia" w:ascii="宋体" w:hAnsi="宋体" w:eastAsia="宋体" w:cs="宋体"/>
                <w:color w:val="auto"/>
                <w:highlight w:val="none"/>
              </w:rPr>
            </w:pPr>
          </w:p>
        </w:tc>
        <w:tc>
          <w:tcPr>
            <w:tcW w:w="1416" w:type="dxa"/>
            <w:tcBorders>
              <w:top w:val="single" w:color="auto" w:sz="4" w:space="0"/>
              <w:left w:val="single" w:color="auto" w:sz="4" w:space="0"/>
            </w:tcBorders>
            <w:shd w:val="clear" w:color="auto" w:fill="FFFFFF"/>
          </w:tcPr>
          <w:p w14:paraId="304A3B5C">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65894F07">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54F6FA47">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0DD70D21">
            <w:pPr>
              <w:rPr>
                <w:rFonts w:hint="eastAsia" w:ascii="宋体" w:hAnsi="宋体" w:eastAsia="宋体" w:cs="宋体"/>
                <w:color w:val="auto"/>
                <w:highlight w:val="none"/>
              </w:rPr>
            </w:pPr>
          </w:p>
        </w:tc>
        <w:tc>
          <w:tcPr>
            <w:tcW w:w="912" w:type="dxa"/>
            <w:tcBorders>
              <w:top w:val="single" w:color="auto" w:sz="4" w:space="0"/>
              <w:left w:val="single" w:color="auto" w:sz="4" w:space="0"/>
            </w:tcBorders>
            <w:shd w:val="clear" w:color="auto" w:fill="FFFFFF"/>
          </w:tcPr>
          <w:p w14:paraId="7D7F8EE4">
            <w:pPr>
              <w:rPr>
                <w:rFonts w:hint="eastAsia" w:ascii="宋体" w:hAnsi="宋体" w:eastAsia="宋体" w:cs="宋体"/>
                <w:color w:val="auto"/>
                <w:highlight w:val="none"/>
              </w:rPr>
            </w:pPr>
          </w:p>
        </w:tc>
        <w:tc>
          <w:tcPr>
            <w:tcW w:w="902" w:type="dxa"/>
            <w:tcBorders>
              <w:top w:val="single" w:color="auto" w:sz="4" w:space="0"/>
              <w:left w:val="single" w:color="auto" w:sz="4" w:space="0"/>
            </w:tcBorders>
            <w:shd w:val="clear" w:color="auto" w:fill="FFFFFF"/>
          </w:tcPr>
          <w:p w14:paraId="55177CD3">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71EFAD78">
            <w:pPr>
              <w:rPr>
                <w:rFonts w:hint="eastAsia" w:ascii="宋体" w:hAnsi="宋体" w:eastAsia="宋体" w:cs="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52465BE9">
            <w:pPr>
              <w:rPr>
                <w:rFonts w:hint="eastAsia" w:ascii="宋体" w:hAnsi="宋体" w:eastAsia="宋体" w:cs="宋体"/>
                <w:color w:val="auto"/>
                <w:highlight w:val="none"/>
              </w:rPr>
            </w:pPr>
          </w:p>
        </w:tc>
      </w:tr>
      <w:tr w14:paraId="2C2BCD4F">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145D1E29">
            <w:pPr>
              <w:rPr>
                <w:rFonts w:hint="eastAsia" w:ascii="宋体" w:hAnsi="宋体" w:eastAsia="宋体" w:cs="宋体"/>
                <w:color w:val="auto"/>
                <w:highlight w:val="none"/>
              </w:rPr>
            </w:pPr>
          </w:p>
        </w:tc>
        <w:tc>
          <w:tcPr>
            <w:tcW w:w="1416" w:type="dxa"/>
            <w:tcBorders>
              <w:top w:val="single" w:color="auto" w:sz="4" w:space="0"/>
              <w:left w:val="single" w:color="auto" w:sz="4" w:space="0"/>
            </w:tcBorders>
            <w:shd w:val="clear" w:color="auto" w:fill="FFFFFF"/>
          </w:tcPr>
          <w:p w14:paraId="1E56F62A">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4988F2D8">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35BA9F4F">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49B15ED5">
            <w:pPr>
              <w:rPr>
                <w:rFonts w:hint="eastAsia" w:ascii="宋体" w:hAnsi="宋体" w:eastAsia="宋体" w:cs="宋体"/>
                <w:color w:val="auto"/>
                <w:highlight w:val="none"/>
              </w:rPr>
            </w:pPr>
          </w:p>
        </w:tc>
        <w:tc>
          <w:tcPr>
            <w:tcW w:w="912" w:type="dxa"/>
            <w:tcBorders>
              <w:top w:val="single" w:color="auto" w:sz="4" w:space="0"/>
              <w:left w:val="single" w:color="auto" w:sz="4" w:space="0"/>
            </w:tcBorders>
            <w:shd w:val="clear" w:color="auto" w:fill="FFFFFF"/>
          </w:tcPr>
          <w:p w14:paraId="68C379D3">
            <w:pPr>
              <w:rPr>
                <w:rFonts w:hint="eastAsia" w:ascii="宋体" w:hAnsi="宋体" w:eastAsia="宋体" w:cs="宋体"/>
                <w:color w:val="auto"/>
                <w:highlight w:val="none"/>
              </w:rPr>
            </w:pPr>
          </w:p>
        </w:tc>
        <w:tc>
          <w:tcPr>
            <w:tcW w:w="902" w:type="dxa"/>
            <w:tcBorders>
              <w:top w:val="single" w:color="auto" w:sz="4" w:space="0"/>
              <w:left w:val="single" w:color="auto" w:sz="4" w:space="0"/>
            </w:tcBorders>
            <w:shd w:val="clear" w:color="auto" w:fill="FFFFFF"/>
          </w:tcPr>
          <w:p w14:paraId="0AD23BA0">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10C4BA93">
            <w:pPr>
              <w:rPr>
                <w:rFonts w:hint="eastAsia" w:ascii="宋体" w:hAnsi="宋体" w:eastAsia="宋体" w:cs="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26616569">
            <w:pPr>
              <w:rPr>
                <w:rFonts w:hint="eastAsia" w:ascii="宋体" w:hAnsi="宋体" w:eastAsia="宋体" w:cs="宋体"/>
                <w:color w:val="auto"/>
                <w:highlight w:val="none"/>
              </w:rPr>
            </w:pPr>
          </w:p>
        </w:tc>
      </w:tr>
      <w:tr w14:paraId="09679C91">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36A61E4E">
            <w:pPr>
              <w:rPr>
                <w:rFonts w:hint="eastAsia" w:ascii="宋体" w:hAnsi="宋体" w:eastAsia="宋体" w:cs="宋体"/>
                <w:color w:val="auto"/>
                <w:highlight w:val="none"/>
              </w:rPr>
            </w:pPr>
          </w:p>
        </w:tc>
        <w:tc>
          <w:tcPr>
            <w:tcW w:w="1416" w:type="dxa"/>
            <w:tcBorders>
              <w:top w:val="single" w:color="auto" w:sz="4" w:space="0"/>
              <w:left w:val="single" w:color="auto" w:sz="4" w:space="0"/>
            </w:tcBorders>
            <w:shd w:val="clear" w:color="auto" w:fill="FFFFFF"/>
          </w:tcPr>
          <w:p w14:paraId="5A04D54E">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18C2B476">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138B4A7C">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36819827">
            <w:pPr>
              <w:rPr>
                <w:rFonts w:hint="eastAsia" w:ascii="宋体" w:hAnsi="宋体" w:eastAsia="宋体" w:cs="宋体"/>
                <w:color w:val="auto"/>
                <w:highlight w:val="none"/>
              </w:rPr>
            </w:pPr>
          </w:p>
        </w:tc>
        <w:tc>
          <w:tcPr>
            <w:tcW w:w="912" w:type="dxa"/>
            <w:tcBorders>
              <w:top w:val="single" w:color="auto" w:sz="4" w:space="0"/>
              <w:left w:val="single" w:color="auto" w:sz="4" w:space="0"/>
            </w:tcBorders>
            <w:shd w:val="clear" w:color="auto" w:fill="FFFFFF"/>
          </w:tcPr>
          <w:p w14:paraId="6F292AFE">
            <w:pPr>
              <w:rPr>
                <w:rFonts w:hint="eastAsia" w:ascii="宋体" w:hAnsi="宋体" w:eastAsia="宋体" w:cs="宋体"/>
                <w:color w:val="auto"/>
                <w:highlight w:val="none"/>
              </w:rPr>
            </w:pPr>
          </w:p>
        </w:tc>
        <w:tc>
          <w:tcPr>
            <w:tcW w:w="902" w:type="dxa"/>
            <w:tcBorders>
              <w:top w:val="single" w:color="auto" w:sz="4" w:space="0"/>
              <w:left w:val="single" w:color="auto" w:sz="4" w:space="0"/>
            </w:tcBorders>
            <w:shd w:val="clear" w:color="auto" w:fill="FFFFFF"/>
          </w:tcPr>
          <w:p w14:paraId="7380EEA1">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53DC66CC">
            <w:pPr>
              <w:rPr>
                <w:rFonts w:hint="eastAsia" w:ascii="宋体" w:hAnsi="宋体" w:eastAsia="宋体" w:cs="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301F7A5B">
            <w:pPr>
              <w:rPr>
                <w:rFonts w:hint="eastAsia" w:ascii="宋体" w:hAnsi="宋体" w:eastAsia="宋体" w:cs="宋体"/>
                <w:color w:val="auto"/>
                <w:highlight w:val="none"/>
              </w:rPr>
            </w:pPr>
          </w:p>
        </w:tc>
      </w:tr>
      <w:tr w14:paraId="5EEC02E4">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3393CCC5">
            <w:pPr>
              <w:rPr>
                <w:rFonts w:hint="eastAsia" w:ascii="宋体" w:hAnsi="宋体" w:eastAsia="宋体" w:cs="宋体"/>
                <w:color w:val="auto"/>
                <w:highlight w:val="none"/>
              </w:rPr>
            </w:pPr>
          </w:p>
        </w:tc>
        <w:tc>
          <w:tcPr>
            <w:tcW w:w="1416" w:type="dxa"/>
            <w:tcBorders>
              <w:top w:val="single" w:color="auto" w:sz="4" w:space="0"/>
              <w:left w:val="single" w:color="auto" w:sz="4" w:space="0"/>
            </w:tcBorders>
            <w:shd w:val="clear" w:color="auto" w:fill="FFFFFF"/>
          </w:tcPr>
          <w:p w14:paraId="3E41D546">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5DEA361B">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78F96FE4">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435EFF20">
            <w:pPr>
              <w:rPr>
                <w:rFonts w:hint="eastAsia" w:ascii="宋体" w:hAnsi="宋体" w:eastAsia="宋体" w:cs="宋体"/>
                <w:color w:val="auto"/>
                <w:highlight w:val="none"/>
              </w:rPr>
            </w:pPr>
          </w:p>
        </w:tc>
        <w:tc>
          <w:tcPr>
            <w:tcW w:w="912" w:type="dxa"/>
            <w:tcBorders>
              <w:top w:val="single" w:color="auto" w:sz="4" w:space="0"/>
              <w:left w:val="single" w:color="auto" w:sz="4" w:space="0"/>
            </w:tcBorders>
            <w:shd w:val="clear" w:color="auto" w:fill="FFFFFF"/>
          </w:tcPr>
          <w:p w14:paraId="697DAAEF">
            <w:pPr>
              <w:rPr>
                <w:rFonts w:hint="eastAsia" w:ascii="宋体" w:hAnsi="宋体" w:eastAsia="宋体" w:cs="宋体"/>
                <w:color w:val="auto"/>
                <w:highlight w:val="none"/>
              </w:rPr>
            </w:pPr>
          </w:p>
        </w:tc>
        <w:tc>
          <w:tcPr>
            <w:tcW w:w="902" w:type="dxa"/>
            <w:tcBorders>
              <w:top w:val="single" w:color="auto" w:sz="4" w:space="0"/>
              <w:left w:val="single" w:color="auto" w:sz="4" w:space="0"/>
            </w:tcBorders>
            <w:shd w:val="clear" w:color="auto" w:fill="FFFFFF"/>
          </w:tcPr>
          <w:p w14:paraId="241D1A2C">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317BB26C">
            <w:pPr>
              <w:rPr>
                <w:rFonts w:hint="eastAsia" w:ascii="宋体" w:hAnsi="宋体" w:eastAsia="宋体" w:cs="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1601683A">
            <w:pPr>
              <w:rPr>
                <w:rFonts w:hint="eastAsia" w:ascii="宋体" w:hAnsi="宋体" w:eastAsia="宋体" w:cs="宋体"/>
                <w:color w:val="auto"/>
                <w:highlight w:val="none"/>
              </w:rPr>
            </w:pPr>
          </w:p>
        </w:tc>
      </w:tr>
      <w:tr w14:paraId="6880B5B0">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14:paraId="3F917E44">
            <w:pPr>
              <w:rPr>
                <w:rFonts w:hint="eastAsia" w:ascii="宋体" w:hAnsi="宋体" w:eastAsia="宋体" w:cs="宋体"/>
                <w:color w:val="auto"/>
                <w:highlight w:val="none"/>
              </w:rPr>
            </w:pPr>
          </w:p>
        </w:tc>
        <w:tc>
          <w:tcPr>
            <w:tcW w:w="1416" w:type="dxa"/>
            <w:tcBorders>
              <w:top w:val="single" w:color="auto" w:sz="4" w:space="0"/>
              <w:left w:val="single" w:color="auto" w:sz="4" w:space="0"/>
            </w:tcBorders>
            <w:shd w:val="clear" w:color="auto" w:fill="FFFFFF"/>
          </w:tcPr>
          <w:p w14:paraId="21AAD026">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51C068FF">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5E23A9B7">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2903FEF6">
            <w:pPr>
              <w:rPr>
                <w:rFonts w:hint="eastAsia" w:ascii="宋体" w:hAnsi="宋体" w:eastAsia="宋体" w:cs="宋体"/>
                <w:color w:val="auto"/>
                <w:highlight w:val="none"/>
              </w:rPr>
            </w:pPr>
          </w:p>
        </w:tc>
        <w:tc>
          <w:tcPr>
            <w:tcW w:w="912" w:type="dxa"/>
            <w:tcBorders>
              <w:top w:val="single" w:color="auto" w:sz="4" w:space="0"/>
              <w:left w:val="single" w:color="auto" w:sz="4" w:space="0"/>
            </w:tcBorders>
            <w:shd w:val="clear" w:color="auto" w:fill="FFFFFF"/>
          </w:tcPr>
          <w:p w14:paraId="713EFFB1">
            <w:pPr>
              <w:rPr>
                <w:rFonts w:hint="eastAsia" w:ascii="宋体" w:hAnsi="宋体" w:eastAsia="宋体" w:cs="宋体"/>
                <w:color w:val="auto"/>
                <w:highlight w:val="none"/>
              </w:rPr>
            </w:pPr>
          </w:p>
        </w:tc>
        <w:tc>
          <w:tcPr>
            <w:tcW w:w="902" w:type="dxa"/>
            <w:tcBorders>
              <w:top w:val="single" w:color="auto" w:sz="4" w:space="0"/>
              <w:left w:val="single" w:color="auto" w:sz="4" w:space="0"/>
            </w:tcBorders>
            <w:shd w:val="clear" w:color="auto" w:fill="FFFFFF"/>
          </w:tcPr>
          <w:p w14:paraId="69841FEE">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5303862C">
            <w:pPr>
              <w:rPr>
                <w:rFonts w:hint="eastAsia" w:ascii="宋体" w:hAnsi="宋体" w:eastAsia="宋体" w:cs="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4C0F7BA3">
            <w:pPr>
              <w:rPr>
                <w:rFonts w:hint="eastAsia" w:ascii="宋体" w:hAnsi="宋体" w:eastAsia="宋体" w:cs="宋体"/>
                <w:color w:val="auto"/>
                <w:highlight w:val="none"/>
              </w:rPr>
            </w:pPr>
          </w:p>
        </w:tc>
      </w:tr>
      <w:tr w14:paraId="4072E467">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0ED1FE53">
            <w:pPr>
              <w:rPr>
                <w:rFonts w:hint="eastAsia" w:ascii="宋体" w:hAnsi="宋体" w:eastAsia="宋体" w:cs="宋体"/>
                <w:color w:val="auto"/>
                <w:highlight w:val="none"/>
              </w:rPr>
            </w:pPr>
          </w:p>
        </w:tc>
        <w:tc>
          <w:tcPr>
            <w:tcW w:w="1416" w:type="dxa"/>
            <w:tcBorders>
              <w:top w:val="single" w:color="auto" w:sz="4" w:space="0"/>
              <w:left w:val="single" w:color="auto" w:sz="4" w:space="0"/>
            </w:tcBorders>
            <w:shd w:val="clear" w:color="auto" w:fill="FFFFFF"/>
          </w:tcPr>
          <w:p w14:paraId="52FF45BD">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049D0E40">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415F9FE7">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494E872B">
            <w:pPr>
              <w:rPr>
                <w:rFonts w:hint="eastAsia" w:ascii="宋体" w:hAnsi="宋体" w:eastAsia="宋体" w:cs="宋体"/>
                <w:color w:val="auto"/>
                <w:highlight w:val="none"/>
              </w:rPr>
            </w:pPr>
          </w:p>
        </w:tc>
        <w:tc>
          <w:tcPr>
            <w:tcW w:w="912" w:type="dxa"/>
            <w:tcBorders>
              <w:top w:val="single" w:color="auto" w:sz="4" w:space="0"/>
              <w:left w:val="single" w:color="auto" w:sz="4" w:space="0"/>
            </w:tcBorders>
            <w:shd w:val="clear" w:color="auto" w:fill="FFFFFF"/>
          </w:tcPr>
          <w:p w14:paraId="2EF6F76F">
            <w:pPr>
              <w:rPr>
                <w:rFonts w:hint="eastAsia" w:ascii="宋体" w:hAnsi="宋体" w:eastAsia="宋体" w:cs="宋体"/>
                <w:color w:val="auto"/>
                <w:highlight w:val="none"/>
              </w:rPr>
            </w:pPr>
          </w:p>
        </w:tc>
        <w:tc>
          <w:tcPr>
            <w:tcW w:w="902" w:type="dxa"/>
            <w:tcBorders>
              <w:top w:val="single" w:color="auto" w:sz="4" w:space="0"/>
              <w:left w:val="single" w:color="auto" w:sz="4" w:space="0"/>
            </w:tcBorders>
            <w:shd w:val="clear" w:color="auto" w:fill="FFFFFF"/>
          </w:tcPr>
          <w:p w14:paraId="66806EB9">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5FAADBD5">
            <w:pPr>
              <w:rPr>
                <w:rFonts w:hint="eastAsia" w:ascii="宋体" w:hAnsi="宋体" w:eastAsia="宋体" w:cs="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01E4ABC2">
            <w:pPr>
              <w:rPr>
                <w:rFonts w:hint="eastAsia" w:ascii="宋体" w:hAnsi="宋体" w:eastAsia="宋体" w:cs="宋体"/>
                <w:color w:val="auto"/>
                <w:highlight w:val="none"/>
              </w:rPr>
            </w:pPr>
          </w:p>
        </w:tc>
      </w:tr>
      <w:tr w14:paraId="1FD8E5BB">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0B1909ED">
            <w:pPr>
              <w:rPr>
                <w:rFonts w:hint="eastAsia" w:ascii="宋体" w:hAnsi="宋体" w:eastAsia="宋体" w:cs="宋体"/>
                <w:color w:val="auto"/>
                <w:highlight w:val="none"/>
              </w:rPr>
            </w:pPr>
          </w:p>
        </w:tc>
        <w:tc>
          <w:tcPr>
            <w:tcW w:w="1416" w:type="dxa"/>
            <w:tcBorders>
              <w:top w:val="single" w:color="auto" w:sz="4" w:space="0"/>
              <w:left w:val="single" w:color="auto" w:sz="4" w:space="0"/>
            </w:tcBorders>
            <w:shd w:val="clear" w:color="auto" w:fill="FFFFFF"/>
          </w:tcPr>
          <w:p w14:paraId="7790ACA3">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35D06AFB">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548FDBAF">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1DB977F0">
            <w:pPr>
              <w:rPr>
                <w:rFonts w:hint="eastAsia" w:ascii="宋体" w:hAnsi="宋体" w:eastAsia="宋体" w:cs="宋体"/>
                <w:color w:val="auto"/>
                <w:highlight w:val="none"/>
              </w:rPr>
            </w:pPr>
          </w:p>
        </w:tc>
        <w:tc>
          <w:tcPr>
            <w:tcW w:w="912" w:type="dxa"/>
            <w:tcBorders>
              <w:top w:val="single" w:color="auto" w:sz="4" w:space="0"/>
              <w:left w:val="single" w:color="auto" w:sz="4" w:space="0"/>
            </w:tcBorders>
            <w:shd w:val="clear" w:color="auto" w:fill="FFFFFF"/>
          </w:tcPr>
          <w:p w14:paraId="6CFAC608">
            <w:pPr>
              <w:rPr>
                <w:rFonts w:hint="eastAsia" w:ascii="宋体" w:hAnsi="宋体" w:eastAsia="宋体" w:cs="宋体"/>
                <w:color w:val="auto"/>
                <w:highlight w:val="none"/>
              </w:rPr>
            </w:pPr>
          </w:p>
        </w:tc>
        <w:tc>
          <w:tcPr>
            <w:tcW w:w="902" w:type="dxa"/>
            <w:tcBorders>
              <w:top w:val="single" w:color="auto" w:sz="4" w:space="0"/>
              <w:left w:val="single" w:color="auto" w:sz="4" w:space="0"/>
            </w:tcBorders>
            <w:shd w:val="clear" w:color="auto" w:fill="FFFFFF"/>
          </w:tcPr>
          <w:p w14:paraId="2C1A4D43">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7617DC44">
            <w:pPr>
              <w:rPr>
                <w:rFonts w:hint="eastAsia" w:ascii="宋体" w:hAnsi="宋体" w:eastAsia="宋体" w:cs="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7B8311BD">
            <w:pPr>
              <w:rPr>
                <w:rFonts w:hint="eastAsia" w:ascii="宋体" w:hAnsi="宋体" w:eastAsia="宋体" w:cs="宋体"/>
                <w:color w:val="auto"/>
                <w:highlight w:val="none"/>
              </w:rPr>
            </w:pPr>
          </w:p>
        </w:tc>
      </w:tr>
      <w:tr w14:paraId="0F07AE7B">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4C7927DE">
            <w:pPr>
              <w:rPr>
                <w:rFonts w:hint="eastAsia" w:ascii="宋体" w:hAnsi="宋体" w:eastAsia="宋体" w:cs="宋体"/>
                <w:color w:val="auto"/>
                <w:highlight w:val="none"/>
              </w:rPr>
            </w:pPr>
          </w:p>
        </w:tc>
        <w:tc>
          <w:tcPr>
            <w:tcW w:w="1416" w:type="dxa"/>
            <w:tcBorders>
              <w:top w:val="single" w:color="auto" w:sz="4" w:space="0"/>
              <w:left w:val="single" w:color="auto" w:sz="4" w:space="0"/>
            </w:tcBorders>
            <w:shd w:val="clear" w:color="auto" w:fill="FFFFFF"/>
          </w:tcPr>
          <w:p w14:paraId="3ACA4912">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6D2C5C89">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092E61C7">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3462EC31">
            <w:pPr>
              <w:rPr>
                <w:rFonts w:hint="eastAsia" w:ascii="宋体" w:hAnsi="宋体" w:eastAsia="宋体" w:cs="宋体"/>
                <w:color w:val="auto"/>
                <w:highlight w:val="none"/>
              </w:rPr>
            </w:pPr>
          </w:p>
        </w:tc>
        <w:tc>
          <w:tcPr>
            <w:tcW w:w="912" w:type="dxa"/>
            <w:tcBorders>
              <w:top w:val="single" w:color="auto" w:sz="4" w:space="0"/>
              <w:left w:val="single" w:color="auto" w:sz="4" w:space="0"/>
            </w:tcBorders>
            <w:shd w:val="clear" w:color="auto" w:fill="FFFFFF"/>
          </w:tcPr>
          <w:p w14:paraId="13CC00D4">
            <w:pPr>
              <w:rPr>
                <w:rFonts w:hint="eastAsia" w:ascii="宋体" w:hAnsi="宋体" w:eastAsia="宋体" w:cs="宋体"/>
                <w:color w:val="auto"/>
                <w:highlight w:val="none"/>
              </w:rPr>
            </w:pPr>
          </w:p>
        </w:tc>
        <w:tc>
          <w:tcPr>
            <w:tcW w:w="902" w:type="dxa"/>
            <w:tcBorders>
              <w:top w:val="single" w:color="auto" w:sz="4" w:space="0"/>
              <w:left w:val="single" w:color="auto" w:sz="4" w:space="0"/>
            </w:tcBorders>
            <w:shd w:val="clear" w:color="auto" w:fill="FFFFFF"/>
          </w:tcPr>
          <w:p w14:paraId="50A1B50D">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615D3284">
            <w:pPr>
              <w:rPr>
                <w:rFonts w:hint="eastAsia" w:ascii="宋体" w:hAnsi="宋体" w:eastAsia="宋体" w:cs="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6E22A31C">
            <w:pPr>
              <w:rPr>
                <w:rFonts w:hint="eastAsia" w:ascii="宋体" w:hAnsi="宋体" w:eastAsia="宋体" w:cs="宋体"/>
                <w:color w:val="auto"/>
                <w:highlight w:val="none"/>
              </w:rPr>
            </w:pPr>
          </w:p>
        </w:tc>
      </w:tr>
      <w:tr w14:paraId="2303BD7C">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3B05619A">
            <w:pPr>
              <w:rPr>
                <w:rFonts w:hint="eastAsia" w:ascii="宋体" w:hAnsi="宋体" w:eastAsia="宋体" w:cs="宋体"/>
                <w:color w:val="auto"/>
                <w:highlight w:val="none"/>
              </w:rPr>
            </w:pPr>
          </w:p>
        </w:tc>
        <w:tc>
          <w:tcPr>
            <w:tcW w:w="1416" w:type="dxa"/>
            <w:tcBorders>
              <w:top w:val="single" w:color="auto" w:sz="4" w:space="0"/>
              <w:left w:val="single" w:color="auto" w:sz="4" w:space="0"/>
            </w:tcBorders>
            <w:shd w:val="clear" w:color="auto" w:fill="FFFFFF"/>
          </w:tcPr>
          <w:p w14:paraId="2D398A66">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78D532C0">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77D4BB2D">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3B12F2C8">
            <w:pPr>
              <w:rPr>
                <w:rFonts w:hint="eastAsia" w:ascii="宋体" w:hAnsi="宋体" w:eastAsia="宋体" w:cs="宋体"/>
                <w:color w:val="auto"/>
                <w:highlight w:val="none"/>
              </w:rPr>
            </w:pPr>
          </w:p>
        </w:tc>
        <w:tc>
          <w:tcPr>
            <w:tcW w:w="912" w:type="dxa"/>
            <w:tcBorders>
              <w:top w:val="single" w:color="auto" w:sz="4" w:space="0"/>
              <w:left w:val="single" w:color="auto" w:sz="4" w:space="0"/>
            </w:tcBorders>
            <w:shd w:val="clear" w:color="auto" w:fill="FFFFFF"/>
          </w:tcPr>
          <w:p w14:paraId="099840C2">
            <w:pPr>
              <w:rPr>
                <w:rFonts w:hint="eastAsia" w:ascii="宋体" w:hAnsi="宋体" w:eastAsia="宋体" w:cs="宋体"/>
                <w:color w:val="auto"/>
                <w:highlight w:val="none"/>
              </w:rPr>
            </w:pPr>
          </w:p>
        </w:tc>
        <w:tc>
          <w:tcPr>
            <w:tcW w:w="902" w:type="dxa"/>
            <w:tcBorders>
              <w:top w:val="single" w:color="auto" w:sz="4" w:space="0"/>
              <w:left w:val="single" w:color="auto" w:sz="4" w:space="0"/>
            </w:tcBorders>
            <w:shd w:val="clear" w:color="auto" w:fill="FFFFFF"/>
          </w:tcPr>
          <w:p w14:paraId="207E5A92">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5537230D">
            <w:pPr>
              <w:rPr>
                <w:rFonts w:hint="eastAsia" w:ascii="宋体" w:hAnsi="宋体" w:eastAsia="宋体" w:cs="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22B602DD">
            <w:pPr>
              <w:rPr>
                <w:rFonts w:hint="eastAsia" w:ascii="宋体" w:hAnsi="宋体" w:eastAsia="宋体" w:cs="宋体"/>
                <w:color w:val="auto"/>
                <w:highlight w:val="none"/>
              </w:rPr>
            </w:pPr>
          </w:p>
        </w:tc>
      </w:tr>
      <w:tr w14:paraId="567E35AE">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7DB491E5">
            <w:pPr>
              <w:rPr>
                <w:rFonts w:hint="eastAsia" w:ascii="宋体" w:hAnsi="宋体" w:eastAsia="宋体" w:cs="宋体"/>
                <w:color w:val="auto"/>
                <w:highlight w:val="none"/>
              </w:rPr>
            </w:pPr>
          </w:p>
        </w:tc>
        <w:tc>
          <w:tcPr>
            <w:tcW w:w="1416" w:type="dxa"/>
            <w:tcBorders>
              <w:top w:val="single" w:color="auto" w:sz="4" w:space="0"/>
              <w:left w:val="single" w:color="auto" w:sz="4" w:space="0"/>
            </w:tcBorders>
            <w:shd w:val="clear" w:color="auto" w:fill="FFFFFF"/>
          </w:tcPr>
          <w:p w14:paraId="4BE509EE">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08C0F50A">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7373841E">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39D4DFF4">
            <w:pPr>
              <w:rPr>
                <w:rFonts w:hint="eastAsia" w:ascii="宋体" w:hAnsi="宋体" w:eastAsia="宋体" w:cs="宋体"/>
                <w:color w:val="auto"/>
                <w:highlight w:val="none"/>
              </w:rPr>
            </w:pPr>
          </w:p>
        </w:tc>
        <w:tc>
          <w:tcPr>
            <w:tcW w:w="912" w:type="dxa"/>
            <w:tcBorders>
              <w:top w:val="single" w:color="auto" w:sz="4" w:space="0"/>
              <w:left w:val="single" w:color="auto" w:sz="4" w:space="0"/>
            </w:tcBorders>
            <w:shd w:val="clear" w:color="auto" w:fill="FFFFFF"/>
          </w:tcPr>
          <w:p w14:paraId="0DBD225C">
            <w:pPr>
              <w:rPr>
                <w:rFonts w:hint="eastAsia" w:ascii="宋体" w:hAnsi="宋体" w:eastAsia="宋体" w:cs="宋体"/>
                <w:color w:val="auto"/>
                <w:highlight w:val="none"/>
              </w:rPr>
            </w:pPr>
          </w:p>
        </w:tc>
        <w:tc>
          <w:tcPr>
            <w:tcW w:w="902" w:type="dxa"/>
            <w:tcBorders>
              <w:top w:val="single" w:color="auto" w:sz="4" w:space="0"/>
              <w:left w:val="single" w:color="auto" w:sz="4" w:space="0"/>
            </w:tcBorders>
            <w:shd w:val="clear" w:color="auto" w:fill="FFFFFF"/>
          </w:tcPr>
          <w:p w14:paraId="499A7786">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50253A76">
            <w:pPr>
              <w:rPr>
                <w:rFonts w:hint="eastAsia" w:ascii="宋体" w:hAnsi="宋体" w:eastAsia="宋体" w:cs="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0A7235D6">
            <w:pPr>
              <w:rPr>
                <w:rFonts w:hint="eastAsia" w:ascii="宋体" w:hAnsi="宋体" w:eastAsia="宋体" w:cs="宋体"/>
                <w:color w:val="auto"/>
                <w:highlight w:val="none"/>
              </w:rPr>
            </w:pPr>
          </w:p>
        </w:tc>
      </w:tr>
      <w:tr w14:paraId="19B29CE9">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5B90BEC8">
            <w:pPr>
              <w:rPr>
                <w:rFonts w:hint="eastAsia" w:ascii="宋体" w:hAnsi="宋体" w:eastAsia="宋体" w:cs="宋体"/>
                <w:color w:val="auto"/>
                <w:highlight w:val="none"/>
              </w:rPr>
            </w:pPr>
          </w:p>
        </w:tc>
        <w:tc>
          <w:tcPr>
            <w:tcW w:w="1416" w:type="dxa"/>
            <w:tcBorders>
              <w:top w:val="single" w:color="auto" w:sz="4" w:space="0"/>
              <w:left w:val="single" w:color="auto" w:sz="4" w:space="0"/>
            </w:tcBorders>
            <w:shd w:val="clear" w:color="auto" w:fill="FFFFFF"/>
          </w:tcPr>
          <w:p w14:paraId="535174FF">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0EC011FF">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7A58FD08">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4D5C0FA4">
            <w:pPr>
              <w:rPr>
                <w:rFonts w:hint="eastAsia" w:ascii="宋体" w:hAnsi="宋体" w:eastAsia="宋体" w:cs="宋体"/>
                <w:color w:val="auto"/>
                <w:highlight w:val="none"/>
              </w:rPr>
            </w:pPr>
          </w:p>
        </w:tc>
        <w:tc>
          <w:tcPr>
            <w:tcW w:w="912" w:type="dxa"/>
            <w:tcBorders>
              <w:top w:val="single" w:color="auto" w:sz="4" w:space="0"/>
              <w:left w:val="single" w:color="auto" w:sz="4" w:space="0"/>
            </w:tcBorders>
            <w:shd w:val="clear" w:color="auto" w:fill="FFFFFF"/>
          </w:tcPr>
          <w:p w14:paraId="076E7632">
            <w:pPr>
              <w:rPr>
                <w:rFonts w:hint="eastAsia" w:ascii="宋体" w:hAnsi="宋体" w:eastAsia="宋体" w:cs="宋体"/>
                <w:color w:val="auto"/>
                <w:highlight w:val="none"/>
              </w:rPr>
            </w:pPr>
          </w:p>
        </w:tc>
        <w:tc>
          <w:tcPr>
            <w:tcW w:w="902" w:type="dxa"/>
            <w:tcBorders>
              <w:top w:val="single" w:color="auto" w:sz="4" w:space="0"/>
              <w:left w:val="single" w:color="auto" w:sz="4" w:space="0"/>
            </w:tcBorders>
            <w:shd w:val="clear" w:color="auto" w:fill="FFFFFF"/>
          </w:tcPr>
          <w:p w14:paraId="48619ED8">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518B1E52">
            <w:pPr>
              <w:rPr>
                <w:rFonts w:hint="eastAsia" w:ascii="宋体" w:hAnsi="宋体" w:eastAsia="宋体" w:cs="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4E943DD7">
            <w:pPr>
              <w:rPr>
                <w:rFonts w:hint="eastAsia" w:ascii="宋体" w:hAnsi="宋体" w:eastAsia="宋体" w:cs="宋体"/>
                <w:color w:val="auto"/>
                <w:highlight w:val="none"/>
              </w:rPr>
            </w:pPr>
          </w:p>
        </w:tc>
      </w:tr>
      <w:tr w14:paraId="57B6922F">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658E44B6">
            <w:pPr>
              <w:rPr>
                <w:rFonts w:hint="eastAsia" w:ascii="宋体" w:hAnsi="宋体" w:eastAsia="宋体" w:cs="宋体"/>
                <w:color w:val="auto"/>
                <w:highlight w:val="none"/>
              </w:rPr>
            </w:pPr>
          </w:p>
        </w:tc>
        <w:tc>
          <w:tcPr>
            <w:tcW w:w="1416" w:type="dxa"/>
            <w:tcBorders>
              <w:top w:val="single" w:color="auto" w:sz="4" w:space="0"/>
              <w:left w:val="single" w:color="auto" w:sz="4" w:space="0"/>
            </w:tcBorders>
            <w:shd w:val="clear" w:color="auto" w:fill="FFFFFF"/>
          </w:tcPr>
          <w:p w14:paraId="3929127F">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2EED940A">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7D70A9FC">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5F458C27">
            <w:pPr>
              <w:rPr>
                <w:rFonts w:hint="eastAsia" w:ascii="宋体" w:hAnsi="宋体" w:eastAsia="宋体" w:cs="宋体"/>
                <w:color w:val="auto"/>
                <w:highlight w:val="none"/>
              </w:rPr>
            </w:pPr>
          </w:p>
        </w:tc>
        <w:tc>
          <w:tcPr>
            <w:tcW w:w="912" w:type="dxa"/>
            <w:tcBorders>
              <w:top w:val="single" w:color="auto" w:sz="4" w:space="0"/>
              <w:left w:val="single" w:color="auto" w:sz="4" w:space="0"/>
            </w:tcBorders>
            <w:shd w:val="clear" w:color="auto" w:fill="FFFFFF"/>
          </w:tcPr>
          <w:p w14:paraId="2DBB8FF9">
            <w:pPr>
              <w:rPr>
                <w:rFonts w:hint="eastAsia" w:ascii="宋体" w:hAnsi="宋体" w:eastAsia="宋体" w:cs="宋体"/>
                <w:color w:val="auto"/>
                <w:highlight w:val="none"/>
              </w:rPr>
            </w:pPr>
          </w:p>
        </w:tc>
        <w:tc>
          <w:tcPr>
            <w:tcW w:w="902" w:type="dxa"/>
            <w:tcBorders>
              <w:top w:val="single" w:color="auto" w:sz="4" w:space="0"/>
              <w:left w:val="single" w:color="auto" w:sz="4" w:space="0"/>
            </w:tcBorders>
            <w:shd w:val="clear" w:color="auto" w:fill="FFFFFF"/>
          </w:tcPr>
          <w:p w14:paraId="36A407CE">
            <w:pP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tcPr>
          <w:p w14:paraId="7E1340C2">
            <w:pPr>
              <w:rPr>
                <w:rFonts w:hint="eastAsia" w:ascii="宋体" w:hAnsi="宋体" w:eastAsia="宋体" w:cs="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59C0C3DF">
            <w:pPr>
              <w:rPr>
                <w:rFonts w:hint="eastAsia" w:ascii="宋体" w:hAnsi="宋体" w:eastAsia="宋体" w:cs="宋体"/>
                <w:color w:val="auto"/>
                <w:highlight w:val="none"/>
              </w:rPr>
            </w:pPr>
          </w:p>
        </w:tc>
      </w:tr>
      <w:tr w14:paraId="3AE1BB97">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auto" w:fill="FFFFFF"/>
          </w:tcPr>
          <w:p w14:paraId="10B7BA97">
            <w:pPr>
              <w:rPr>
                <w:rFonts w:hint="eastAsia" w:ascii="宋体" w:hAnsi="宋体" w:eastAsia="宋体" w:cs="宋体"/>
                <w:color w:val="auto"/>
                <w:highlight w:val="none"/>
              </w:rPr>
            </w:pPr>
          </w:p>
        </w:tc>
        <w:tc>
          <w:tcPr>
            <w:tcW w:w="1416" w:type="dxa"/>
            <w:tcBorders>
              <w:top w:val="single" w:color="auto" w:sz="4" w:space="0"/>
              <w:left w:val="single" w:color="auto" w:sz="4" w:space="0"/>
              <w:bottom w:val="single" w:color="auto" w:sz="4" w:space="0"/>
            </w:tcBorders>
            <w:shd w:val="clear" w:color="auto" w:fill="FFFFFF"/>
          </w:tcPr>
          <w:p w14:paraId="00E0DDFE">
            <w:pPr>
              <w:rPr>
                <w:rFonts w:hint="eastAsia" w:ascii="宋体" w:hAnsi="宋体" w:eastAsia="宋体" w:cs="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14:paraId="51109677">
            <w:pPr>
              <w:rPr>
                <w:rFonts w:hint="eastAsia" w:ascii="宋体" w:hAnsi="宋体" w:eastAsia="宋体" w:cs="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14:paraId="64AA354B">
            <w:pPr>
              <w:rPr>
                <w:rFonts w:hint="eastAsia" w:ascii="宋体" w:hAnsi="宋体" w:eastAsia="宋体" w:cs="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14:paraId="3155A136">
            <w:pPr>
              <w:rPr>
                <w:rFonts w:hint="eastAsia" w:ascii="宋体" w:hAnsi="宋体" w:eastAsia="宋体" w:cs="宋体"/>
                <w:color w:val="auto"/>
                <w:highlight w:val="none"/>
              </w:rPr>
            </w:pPr>
          </w:p>
        </w:tc>
        <w:tc>
          <w:tcPr>
            <w:tcW w:w="912" w:type="dxa"/>
            <w:tcBorders>
              <w:top w:val="single" w:color="auto" w:sz="4" w:space="0"/>
              <w:left w:val="single" w:color="auto" w:sz="4" w:space="0"/>
              <w:bottom w:val="single" w:color="auto" w:sz="4" w:space="0"/>
            </w:tcBorders>
            <w:shd w:val="clear" w:color="auto" w:fill="FFFFFF"/>
          </w:tcPr>
          <w:p w14:paraId="044CB569">
            <w:pPr>
              <w:rPr>
                <w:rFonts w:hint="eastAsia" w:ascii="宋体" w:hAnsi="宋体" w:eastAsia="宋体" w:cs="宋体"/>
                <w:color w:val="auto"/>
                <w:highlight w:val="none"/>
              </w:rPr>
            </w:pPr>
          </w:p>
        </w:tc>
        <w:tc>
          <w:tcPr>
            <w:tcW w:w="902" w:type="dxa"/>
            <w:tcBorders>
              <w:top w:val="single" w:color="auto" w:sz="4" w:space="0"/>
              <w:left w:val="single" w:color="auto" w:sz="4" w:space="0"/>
              <w:bottom w:val="single" w:color="auto" w:sz="4" w:space="0"/>
            </w:tcBorders>
            <w:shd w:val="clear" w:color="auto" w:fill="FFFFFF"/>
          </w:tcPr>
          <w:p w14:paraId="5A0AEFC5">
            <w:pPr>
              <w:rPr>
                <w:rFonts w:hint="eastAsia" w:ascii="宋体" w:hAnsi="宋体" w:eastAsia="宋体" w:cs="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14:paraId="4B688AA4">
            <w:pPr>
              <w:rPr>
                <w:rFonts w:hint="eastAsia" w:ascii="宋体" w:hAnsi="宋体" w:eastAsia="宋体" w:cs="宋体"/>
                <w:color w:val="auto"/>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tcPr>
          <w:p w14:paraId="4A40596D">
            <w:pPr>
              <w:rPr>
                <w:rFonts w:hint="eastAsia" w:ascii="宋体" w:hAnsi="宋体" w:eastAsia="宋体" w:cs="宋体"/>
                <w:color w:val="auto"/>
                <w:highlight w:val="none"/>
              </w:rPr>
            </w:pPr>
          </w:p>
        </w:tc>
      </w:tr>
    </w:tbl>
    <w:p w14:paraId="304D95C8">
      <w:pPr>
        <w:spacing w:after="299" w:line="1" w:lineRule="exact"/>
        <w:rPr>
          <w:rFonts w:hint="eastAsia" w:ascii="宋体" w:hAnsi="宋体" w:eastAsia="宋体" w:cs="宋体"/>
          <w:color w:val="auto"/>
          <w:highlight w:val="none"/>
        </w:rPr>
      </w:pPr>
    </w:p>
    <w:p w14:paraId="0F39546A">
      <w:pPr>
        <w:tabs>
          <w:tab w:val="left" w:pos="0"/>
        </w:tabs>
        <w:spacing w:line="480" w:lineRule="auto"/>
        <w:ind w:right="420" w:rightChars="0"/>
        <w:jc w:val="right"/>
        <w:rPr>
          <w:rFonts w:hint="eastAsia" w:ascii="宋体" w:hAnsi="宋体" w:eastAsia="宋体" w:cs="宋体"/>
          <w:color w:val="auto"/>
          <w:kern w:val="2"/>
          <w:highlight w:val="none"/>
        </w:rPr>
      </w:pPr>
      <w:bookmarkStart w:id="1371" w:name="bookmark2238"/>
      <w:bookmarkStart w:id="1372" w:name="bookmark2239"/>
      <w:bookmarkStart w:id="1373" w:name="bookmark2237"/>
      <w:r>
        <w:rPr>
          <w:rFonts w:hint="eastAsia" w:ascii="宋体" w:hAnsi="宋体" w:eastAsia="宋体" w:cs="宋体"/>
          <w:color w:val="auto"/>
          <w:kern w:val="2"/>
          <w:highlight w:val="none"/>
        </w:rPr>
        <w:t>供应商：</w:t>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w:t>
      </w:r>
      <w:r>
        <w:rPr>
          <w:rFonts w:hint="eastAsia" w:ascii="宋体" w:hAnsi="宋体" w:eastAsia="宋体" w:cs="宋体"/>
          <w:color w:val="auto"/>
          <w:highlight w:val="none"/>
        </w:rPr>
        <w:t>电子公章）</w:t>
      </w:r>
    </w:p>
    <w:p w14:paraId="29C3BD17">
      <w:pPr>
        <w:tabs>
          <w:tab w:val="left" w:pos="0"/>
        </w:tabs>
        <w:spacing w:line="480" w:lineRule="auto"/>
        <w:ind w:right="420" w:rightChars="0"/>
        <w:jc w:val="right"/>
        <w:rPr>
          <w:rFonts w:hint="eastAsia" w:ascii="宋体" w:hAnsi="宋体" w:eastAsia="宋体" w:cs="宋体"/>
          <w:color w:val="auto"/>
          <w:kern w:val="2"/>
          <w:highlight w:val="none"/>
        </w:rPr>
      </w:pPr>
      <w:r>
        <w:rPr>
          <w:rFonts w:hint="eastAsia" w:ascii="宋体" w:hAnsi="宋体" w:eastAsia="宋体" w:cs="宋体"/>
          <w:color w:val="auto"/>
          <w:kern w:val="2"/>
          <w:highlight w:val="none"/>
        </w:rPr>
        <w:t>法定代表人（负责人）或授权委托代理人：</w:t>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rPr>
        <w:t>（签字</w:t>
      </w:r>
      <w:r>
        <w:rPr>
          <w:rFonts w:hint="eastAsia" w:ascii="宋体" w:hAnsi="宋体" w:eastAsia="宋体" w:cs="宋体"/>
          <w:color w:val="auto"/>
          <w:kern w:val="2"/>
          <w:highlight w:val="none"/>
          <w:lang w:val="en-US" w:eastAsia="zh-CN"/>
        </w:rPr>
        <w:t>或盖章</w:t>
      </w:r>
      <w:r>
        <w:rPr>
          <w:rFonts w:hint="eastAsia" w:ascii="宋体" w:hAnsi="宋体" w:eastAsia="宋体" w:cs="宋体"/>
          <w:color w:val="auto"/>
          <w:kern w:val="2"/>
          <w:highlight w:val="none"/>
        </w:rPr>
        <w:t>）</w:t>
      </w:r>
    </w:p>
    <w:p w14:paraId="1798B3D2">
      <w:pPr>
        <w:tabs>
          <w:tab w:val="left" w:pos="0"/>
        </w:tabs>
        <w:spacing w:line="480" w:lineRule="auto"/>
        <w:ind w:right="420" w:rightChars="0"/>
        <w:jc w:val="right"/>
        <w:rPr>
          <w:rFonts w:hint="eastAsia" w:ascii="宋体" w:hAnsi="宋体" w:eastAsia="宋体" w:cs="宋体"/>
          <w:color w:val="auto"/>
          <w:sz w:val="20"/>
          <w:szCs w:val="20"/>
          <w:highlight w:val="none"/>
          <w:lang w:val="zh-CN" w:bidi="zh-CN"/>
        </w:rPr>
      </w:pP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rPr>
        <w:t>年</w:t>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rPr>
        <w:t>月</w:t>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rPr>
        <w:t>日</w:t>
      </w:r>
      <w:r>
        <w:rPr>
          <w:rFonts w:hint="eastAsia" w:ascii="宋体" w:hAnsi="宋体" w:eastAsia="宋体" w:cs="宋体"/>
          <w:color w:val="auto"/>
          <w:highlight w:val="none"/>
        </w:rPr>
        <w:br w:type="page"/>
      </w:r>
    </w:p>
    <w:p w14:paraId="72C1A412">
      <w:pPr>
        <w:rPr>
          <w:rFonts w:hint="eastAsia" w:ascii="宋体" w:hAnsi="宋体" w:eastAsia="宋体" w:cs="宋体"/>
          <w:b/>
          <w:color w:val="auto"/>
          <w:highlight w:val="none"/>
        </w:rPr>
      </w:pPr>
      <w:r>
        <w:rPr>
          <w:rFonts w:hint="eastAsia" w:ascii="宋体" w:hAnsi="宋体" w:eastAsia="宋体" w:cs="宋体"/>
          <w:b/>
          <w:color w:val="auto"/>
          <w:highlight w:val="none"/>
        </w:rPr>
        <w:t>附件三：拟投入本合同工程的劳动力计划表</w:t>
      </w:r>
      <w:bookmarkEnd w:id="1371"/>
      <w:bookmarkEnd w:id="1372"/>
      <w:bookmarkEnd w:id="1373"/>
    </w:p>
    <w:p w14:paraId="4F820216">
      <w:pPr>
        <w:rPr>
          <w:rFonts w:hint="eastAsia" w:ascii="宋体" w:hAnsi="宋体" w:eastAsia="宋体" w:cs="宋体"/>
          <w:b/>
          <w:color w:val="auto"/>
          <w:sz w:val="20"/>
          <w:szCs w:val="20"/>
          <w:highlight w:val="none"/>
        </w:rPr>
      </w:pPr>
    </w:p>
    <w:p w14:paraId="711C2FC6">
      <w:pPr>
        <w:jc w:val="center"/>
        <w:rPr>
          <w:rFonts w:hint="eastAsia" w:ascii="宋体" w:hAnsi="宋体" w:eastAsia="宋体" w:cs="宋体"/>
          <w:b/>
          <w:color w:val="auto"/>
          <w:highlight w:val="none"/>
        </w:rPr>
      </w:pPr>
      <w:bookmarkStart w:id="1374" w:name="_Toc30824"/>
      <w:bookmarkStart w:id="1375" w:name="bookmark2240"/>
      <w:bookmarkStart w:id="1376" w:name="_Toc26872"/>
      <w:bookmarkStart w:id="1377" w:name="bookmark2242"/>
      <w:bookmarkStart w:id="1378" w:name="bookmark2241"/>
      <w:r>
        <w:rPr>
          <w:rFonts w:hint="eastAsia" w:ascii="宋体" w:hAnsi="宋体" w:eastAsia="宋体" w:cs="宋体"/>
          <w:b/>
          <w:color w:val="auto"/>
          <w:highlight w:val="none"/>
        </w:rPr>
        <w:t>拟投入本合同工程的劳动力计划表</w:t>
      </w:r>
      <w:bookmarkEnd w:id="1374"/>
      <w:bookmarkEnd w:id="1375"/>
      <w:bookmarkEnd w:id="1376"/>
      <w:bookmarkEnd w:id="1377"/>
      <w:bookmarkEnd w:id="1378"/>
    </w:p>
    <w:p w14:paraId="57781B3F">
      <w:pPr>
        <w:jc w:val="center"/>
        <w:rPr>
          <w:rFonts w:hint="eastAsia" w:ascii="宋体" w:hAnsi="宋体" w:eastAsia="宋体" w:cs="宋体"/>
          <w:b/>
          <w:color w:val="auto"/>
          <w:highlight w:val="none"/>
        </w:rPr>
      </w:pPr>
      <w:r>
        <w:rPr>
          <w:rFonts w:hint="eastAsia" w:ascii="宋体" w:hAnsi="宋体" w:eastAsia="宋体" w:cs="宋体"/>
          <w:color w:val="auto"/>
          <w:sz w:val="18"/>
          <w:szCs w:val="18"/>
          <w:highlight w:val="none"/>
        </w:rPr>
        <mc:AlternateContent>
          <mc:Choice Requires="wps">
            <w:drawing>
              <wp:anchor distT="0" distB="0" distL="114300" distR="114300" simplePos="0" relativeHeight="251659264" behindDoc="0" locked="0" layoutInCell="1" allowOverlap="1">
                <wp:simplePos x="0" y="0"/>
                <wp:positionH relativeFrom="column">
                  <wp:posOffset>380365</wp:posOffset>
                </wp:positionH>
                <wp:positionV relativeFrom="paragraph">
                  <wp:posOffset>173355</wp:posOffset>
                </wp:positionV>
                <wp:extent cx="1822450" cy="366395"/>
                <wp:effectExtent l="635" t="4445" r="5715" b="10160"/>
                <wp:wrapNone/>
                <wp:docPr id="6" name="直接箭头连接符 6"/>
                <wp:cNvGraphicFramePr/>
                <a:graphic xmlns:a="http://schemas.openxmlformats.org/drawingml/2006/main">
                  <a:graphicData uri="http://schemas.microsoft.com/office/word/2010/wordprocessingShape">
                    <wps:wsp>
                      <wps:cNvCnPr/>
                      <wps:spPr>
                        <a:xfrm>
                          <a:off x="0" y="0"/>
                          <a:ext cx="1822450" cy="36639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9.95pt;margin-top:13.65pt;height:28.85pt;width:143.5pt;z-index:251659264;mso-width-relative:page;mso-height-relative:page;" filled="f" stroked="t" coordsize="21600,21600" o:gfxdata="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&#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RxWm2AAAAAgBAAAPAAAAAAAAAAEAIAAAACIAAABk&#10;cnMvZG93bnJldi54bWxQSwECFAAUAAAACACHTuJAv8Ch6AYCAAD/AwAADgAAAAAAAAABACAAAAAn&#10;AQAAZHJzL2Uyb0RvYy54bWxQSwUGAAAAAAYABgBZAQAAnwUAAAAA&#10;">
                <v:fill on="f" focussize="0,0"/>
                <v:stroke color="#000000" joinstyle="round"/>
                <v:imagedata o:title=""/>
                <o:lock v:ext="edit" aspectratio="f"/>
              </v:shape>
            </w:pict>
          </mc:Fallback>
        </mc:AlternateContent>
      </w:r>
    </w:p>
    <w:tbl>
      <w:tblPr>
        <w:tblStyle w:val="13"/>
        <w:tblW w:w="8352" w:type="dxa"/>
        <w:jc w:val="center"/>
        <w:tblLayout w:type="fixed"/>
        <w:tblCellMar>
          <w:top w:w="0" w:type="dxa"/>
          <w:left w:w="10" w:type="dxa"/>
          <w:bottom w:w="0" w:type="dxa"/>
          <w:right w:w="10" w:type="dxa"/>
        </w:tblCellMar>
      </w:tblPr>
      <w:tblGrid>
        <w:gridCol w:w="1426"/>
        <w:gridCol w:w="1421"/>
        <w:gridCol w:w="643"/>
        <w:gridCol w:w="648"/>
        <w:gridCol w:w="643"/>
        <w:gridCol w:w="648"/>
        <w:gridCol w:w="648"/>
        <w:gridCol w:w="1133"/>
        <w:gridCol w:w="1142"/>
      </w:tblGrid>
      <w:tr w14:paraId="15FE1EF7">
        <w:tblPrEx>
          <w:tblCellMar>
            <w:top w:w="0" w:type="dxa"/>
            <w:left w:w="10" w:type="dxa"/>
            <w:bottom w:w="0" w:type="dxa"/>
            <w:right w:w="10" w:type="dxa"/>
          </w:tblCellMar>
        </w:tblPrEx>
        <w:trPr>
          <w:trHeight w:val="576" w:hRule="exact"/>
          <w:jc w:val="center"/>
        </w:trPr>
        <w:tc>
          <w:tcPr>
            <w:tcW w:w="2847" w:type="dxa"/>
            <w:gridSpan w:val="2"/>
            <w:vMerge w:val="restart"/>
            <w:tcBorders>
              <w:top w:val="single" w:color="auto" w:sz="4" w:space="0"/>
              <w:left w:val="single" w:color="auto" w:sz="4" w:space="0"/>
            </w:tcBorders>
            <w:shd w:val="clear" w:color="auto" w:fill="FFFFFF"/>
            <w:vAlign w:val="center"/>
          </w:tcPr>
          <w:p w14:paraId="2D894304">
            <w:pPr>
              <w:spacing w:line="266" w:lineRule="exact"/>
              <w:ind w:left="1060" w:firstLine="1220"/>
              <w:jc w:val="left"/>
              <w:rPr>
                <w:rFonts w:hint="eastAsia" w:ascii="宋体" w:hAnsi="宋体" w:eastAsia="宋体" w:cs="宋体"/>
                <w:color w:val="auto"/>
                <w:highlight w:val="none"/>
                <w:lang w:val="zh-CN" w:bidi="zh-CN"/>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-8255</wp:posOffset>
                      </wp:positionV>
                      <wp:extent cx="1139190" cy="728980"/>
                      <wp:effectExtent l="2540" t="3810" r="20320" b="10160"/>
                      <wp:wrapNone/>
                      <wp:docPr id="7" name="直接箭头连接符 7"/>
                      <wp:cNvGraphicFramePr/>
                      <a:graphic xmlns:a="http://schemas.openxmlformats.org/drawingml/2006/main">
                        <a:graphicData uri="http://schemas.microsoft.com/office/word/2010/wordprocessingShape">
                          <wps:wsp>
                            <wps:cNvCnPr/>
                            <wps:spPr>
                              <a:xfrm>
                                <a:off x="0" y="0"/>
                                <a:ext cx="1139190" cy="72898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1pt;margin-top:-0.65pt;height:57.4pt;width:89.7pt;z-index:251660288;mso-width-relative:page;mso-height-relative:page;" filled="f" stroked="t" coordsize="21600,21600" o:gfxdata="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Fr7VdcAAAAJAQAADwAAAAAAAAABACAAAAAiAAAA&#10;ZHJzL2Rvd25yZXYueG1sUEsBAhQAFAAAAAgAh07iQOkCIxcIAgAA/wMAAA4AAAAAAAAAAQAgAAAA&#10;JgEAAGRycy9lMm9Eb2MueG1sUEsFBgAAAAAGAAYAWQEAAKAFAAAAAA==&#10;">
                      <v:fill on="f" focussize="0,0"/>
                      <v:stroke color="#000000" joinstyle="round"/>
                      <v:imagedata o:title=""/>
                      <o:lock v:ext="edit" aspectratio="f"/>
                    </v:shape>
                  </w:pict>
                </mc:Fallback>
              </mc:AlternateContent>
            </w:r>
            <w:r>
              <w:rPr>
                <w:rFonts w:hint="eastAsia" w:ascii="宋体" w:hAnsi="宋体" w:eastAsia="宋体" w:cs="宋体"/>
                <w:color w:val="auto"/>
                <w:highlight w:val="none"/>
                <w:lang w:val="zh-CN" w:bidi="zh-CN"/>
              </w:rPr>
              <w:t>工种 人数</w:t>
            </w:r>
          </w:p>
          <w:p w14:paraId="49336A75">
            <w:pPr>
              <w:spacing w:line="266" w:lineRule="exact"/>
              <w:ind w:firstLine="180"/>
              <w:jc w:val="left"/>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时间</w:t>
            </w:r>
          </w:p>
        </w:tc>
        <w:tc>
          <w:tcPr>
            <w:tcW w:w="643" w:type="dxa"/>
            <w:vMerge w:val="restart"/>
            <w:tcBorders>
              <w:top w:val="single" w:color="auto" w:sz="4" w:space="0"/>
              <w:left w:val="single" w:color="auto" w:sz="4" w:space="0"/>
            </w:tcBorders>
            <w:shd w:val="clear" w:color="auto" w:fill="FFFFFF"/>
          </w:tcPr>
          <w:p w14:paraId="58467737">
            <w:pPr>
              <w:rPr>
                <w:rFonts w:hint="eastAsia" w:ascii="宋体" w:hAnsi="宋体" w:eastAsia="宋体" w:cs="宋体"/>
                <w:color w:val="auto"/>
                <w:highlight w:val="none"/>
              </w:rPr>
            </w:pPr>
          </w:p>
        </w:tc>
        <w:tc>
          <w:tcPr>
            <w:tcW w:w="648" w:type="dxa"/>
            <w:vMerge w:val="restart"/>
            <w:tcBorders>
              <w:top w:val="single" w:color="auto" w:sz="4" w:space="0"/>
              <w:left w:val="single" w:color="auto" w:sz="4" w:space="0"/>
            </w:tcBorders>
            <w:shd w:val="clear" w:color="auto" w:fill="FFFFFF"/>
          </w:tcPr>
          <w:p w14:paraId="42B36AF2">
            <w:pPr>
              <w:rPr>
                <w:rFonts w:hint="eastAsia" w:ascii="宋体" w:hAnsi="宋体" w:eastAsia="宋体" w:cs="宋体"/>
                <w:color w:val="auto"/>
                <w:highlight w:val="none"/>
              </w:rPr>
            </w:pPr>
          </w:p>
        </w:tc>
        <w:tc>
          <w:tcPr>
            <w:tcW w:w="643" w:type="dxa"/>
            <w:vMerge w:val="restart"/>
            <w:tcBorders>
              <w:top w:val="single" w:color="auto" w:sz="4" w:space="0"/>
              <w:left w:val="single" w:color="auto" w:sz="4" w:space="0"/>
            </w:tcBorders>
            <w:shd w:val="clear" w:color="auto" w:fill="FFFFFF"/>
          </w:tcPr>
          <w:p w14:paraId="73378D80">
            <w:pPr>
              <w:rPr>
                <w:rFonts w:hint="eastAsia" w:ascii="宋体" w:hAnsi="宋体" w:eastAsia="宋体" w:cs="宋体"/>
                <w:color w:val="auto"/>
                <w:highlight w:val="none"/>
              </w:rPr>
            </w:pPr>
          </w:p>
        </w:tc>
        <w:tc>
          <w:tcPr>
            <w:tcW w:w="648" w:type="dxa"/>
            <w:vMerge w:val="restart"/>
            <w:tcBorders>
              <w:top w:val="single" w:color="auto" w:sz="4" w:space="0"/>
              <w:left w:val="single" w:color="auto" w:sz="4" w:space="0"/>
            </w:tcBorders>
            <w:shd w:val="clear" w:color="auto" w:fill="FFFFFF"/>
          </w:tcPr>
          <w:p w14:paraId="2CDAB38B">
            <w:pPr>
              <w:rPr>
                <w:rFonts w:hint="eastAsia" w:ascii="宋体" w:hAnsi="宋体" w:eastAsia="宋体" w:cs="宋体"/>
                <w:color w:val="auto"/>
                <w:highlight w:val="none"/>
              </w:rPr>
            </w:pPr>
          </w:p>
        </w:tc>
        <w:tc>
          <w:tcPr>
            <w:tcW w:w="648" w:type="dxa"/>
            <w:vMerge w:val="restart"/>
            <w:tcBorders>
              <w:top w:val="single" w:color="auto" w:sz="4" w:space="0"/>
              <w:left w:val="single" w:color="auto" w:sz="4" w:space="0"/>
            </w:tcBorders>
            <w:shd w:val="clear" w:color="auto" w:fill="FFFFFF"/>
          </w:tcPr>
          <w:p w14:paraId="6B1E011B">
            <w:pPr>
              <w:rPr>
                <w:rFonts w:hint="eastAsia" w:ascii="宋体" w:hAnsi="宋体" w:eastAsia="宋体" w:cs="宋体"/>
                <w:color w:val="auto"/>
                <w:highlight w:val="none"/>
              </w:rPr>
            </w:pPr>
          </w:p>
        </w:tc>
        <w:tc>
          <w:tcPr>
            <w:tcW w:w="2275" w:type="dxa"/>
            <w:gridSpan w:val="2"/>
            <w:tcBorders>
              <w:top w:val="single" w:color="auto" w:sz="4" w:space="0"/>
              <w:left w:val="single" w:color="auto" w:sz="4" w:space="0"/>
              <w:right w:val="single" w:color="auto" w:sz="4" w:space="0"/>
            </w:tcBorders>
            <w:shd w:val="clear" w:color="auto" w:fill="FFFFFF"/>
            <w:vAlign w:val="center"/>
          </w:tcPr>
          <w:p w14:paraId="64EF9F2B">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合 计</w:t>
            </w:r>
          </w:p>
        </w:tc>
      </w:tr>
      <w:tr w14:paraId="5ED9F11D">
        <w:tblPrEx>
          <w:tblCellMar>
            <w:top w:w="0" w:type="dxa"/>
            <w:left w:w="10" w:type="dxa"/>
            <w:bottom w:w="0" w:type="dxa"/>
            <w:right w:w="10" w:type="dxa"/>
          </w:tblCellMar>
        </w:tblPrEx>
        <w:trPr>
          <w:trHeight w:val="566" w:hRule="exact"/>
          <w:jc w:val="center"/>
        </w:trPr>
        <w:tc>
          <w:tcPr>
            <w:tcW w:w="2847" w:type="dxa"/>
            <w:gridSpan w:val="2"/>
            <w:vMerge w:val="continue"/>
            <w:tcBorders>
              <w:left w:val="single" w:color="auto" w:sz="4" w:space="0"/>
            </w:tcBorders>
            <w:shd w:val="clear" w:color="auto" w:fill="FFFFFF"/>
            <w:vAlign w:val="center"/>
          </w:tcPr>
          <w:p w14:paraId="24DD5C97">
            <w:pPr>
              <w:rPr>
                <w:rFonts w:hint="eastAsia" w:ascii="宋体" w:hAnsi="宋体" w:eastAsia="宋体" w:cs="宋体"/>
                <w:color w:val="auto"/>
                <w:highlight w:val="none"/>
              </w:rPr>
            </w:pPr>
          </w:p>
        </w:tc>
        <w:tc>
          <w:tcPr>
            <w:tcW w:w="643" w:type="dxa"/>
            <w:vMerge w:val="continue"/>
            <w:tcBorders>
              <w:left w:val="single" w:color="auto" w:sz="4" w:space="0"/>
            </w:tcBorders>
            <w:shd w:val="clear" w:color="auto" w:fill="FFFFFF"/>
          </w:tcPr>
          <w:p w14:paraId="2DF26BE9">
            <w:pPr>
              <w:rPr>
                <w:rFonts w:hint="eastAsia" w:ascii="宋体" w:hAnsi="宋体" w:eastAsia="宋体" w:cs="宋体"/>
                <w:color w:val="auto"/>
                <w:highlight w:val="none"/>
              </w:rPr>
            </w:pPr>
          </w:p>
        </w:tc>
        <w:tc>
          <w:tcPr>
            <w:tcW w:w="648" w:type="dxa"/>
            <w:vMerge w:val="continue"/>
            <w:tcBorders>
              <w:left w:val="single" w:color="auto" w:sz="4" w:space="0"/>
            </w:tcBorders>
            <w:shd w:val="clear" w:color="auto" w:fill="FFFFFF"/>
          </w:tcPr>
          <w:p w14:paraId="5DF6DB7C">
            <w:pPr>
              <w:rPr>
                <w:rFonts w:hint="eastAsia" w:ascii="宋体" w:hAnsi="宋体" w:eastAsia="宋体" w:cs="宋体"/>
                <w:color w:val="auto"/>
                <w:highlight w:val="none"/>
              </w:rPr>
            </w:pPr>
          </w:p>
        </w:tc>
        <w:tc>
          <w:tcPr>
            <w:tcW w:w="643" w:type="dxa"/>
            <w:vMerge w:val="continue"/>
            <w:tcBorders>
              <w:left w:val="single" w:color="auto" w:sz="4" w:space="0"/>
            </w:tcBorders>
            <w:shd w:val="clear" w:color="auto" w:fill="FFFFFF"/>
          </w:tcPr>
          <w:p w14:paraId="2103D21D">
            <w:pPr>
              <w:rPr>
                <w:rFonts w:hint="eastAsia" w:ascii="宋体" w:hAnsi="宋体" w:eastAsia="宋体" w:cs="宋体"/>
                <w:color w:val="auto"/>
                <w:highlight w:val="none"/>
              </w:rPr>
            </w:pPr>
          </w:p>
        </w:tc>
        <w:tc>
          <w:tcPr>
            <w:tcW w:w="648" w:type="dxa"/>
            <w:vMerge w:val="continue"/>
            <w:tcBorders>
              <w:left w:val="single" w:color="auto" w:sz="4" w:space="0"/>
            </w:tcBorders>
            <w:shd w:val="clear" w:color="auto" w:fill="FFFFFF"/>
          </w:tcPr>
          <w:p w14:paraId="6D4830C7">
            <w:pPr>
              <w:rPr>
                <w:rFonts w:hint="eastAsia" w:ascii="宋体" w:hAnsi="宋体" w:eastAsia="宋体" w:cs="宋体"/>
                <w:color w:val="auto"/>
                <w:highlight w:val="none"/>
              </w:rPr>
            </w:pPr>
          </w:p>
        </w:tc>
        <w:tc>
          <w:tcPr>
            <w:tcW w:w="648" w:type="dxa"/>
            <w:vMerge w:val="continue"/>
            <w:tcBorders>
              <w:left w:val="single" w:color="auto" w:sz="4" w:space="0"/>
            </w:tcBorders>
            <w:shd w:val="clear" w:color="auto" w:fill="FFFFFF"/>
          </w:tcPr>
          <w:p w14:paraId="5C7C3F5C">
            <w:pPr>
              <w:rPr>
                <w:rFonts w:hint="eastAsia" w:ascii="宋体" w:hAnsi="宋体" w:eastAsia="宋体" w:cs="宋体"/>
                <w:color w:val="auto"/>
                <w:highlight w:val="none"/>
              </w:rPr>
            </w:pPr>
          </w:p>
        </w:tc>
        <w:tc>
          <w:tcPr>
            <w:tcW w:w="1133" w:type="dxa"/>
            <w:tcBorders>
              <w:top w:val="single" w:color="auto" w:sz="4" w:space="0"/>
              <w:left w:val="single" w:color="auto" w:sz="4" w:space="0"/>
            </w:tcBorders>
            <w:shd w:val="clear" w:color="auto" w:fill="FFFFFF"/>
            <w:vAlign w:val="center"/>
          </w:tcPr>
          <w:p w14:paraId="5E1C38E3">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人数</w:t>
            </w:r>
          </w:p>
        </w:tc>
        <w:tc>
          <w:tcPr>
            <w:tcW w:w="1142" w:type="dxa"/>
            <w:tcBorders>
              <w:top w:val="single" w:color="auto" w:sz="4" w:space="0"/>
              <w:left w:val="single" w:color="auto" w:sz="4" w:space="0"/>
              <w:right w:val="single" w:color="auto" w:sz="4" w:space="0"/>
            </w:tcBorders>
            <w:shd w:val="clear" w:color="auto" w:fill="FFFFFF"/>
            <w:vAlign w:val="center"/>
          </w:tcPr>
          <w:p w14:paraId="41125F5E">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人工工日数</w:t>
            </w:r>
          </w:p>
        </w:tc>
      </w:tr>
      <w:tr w14:paraId="54FDA1A4">
        <w:tblPrEx>
          <w:tblCellMar>
            <w:top w:w="0" w:type="dxa"/>
            <w:left w:w="10" w:type="dxa"/>
            <w:bottom w:w="0" w:type="dxa"/>
            <w:right w:w="10" w:type="dxa"/>
          </w:tblCellMar>
        </w:tblPrEx>
        <w:trPr>
          <w:trHeight w:val="566" w:hRule="exact"/>
          <w:jc w:val="center"/>
        </w:trPr>
        <w:tc>
          <w:tcPr>
            <w:tcW w:w="1426" w:type="dxa"/>
            <w:vMerge w:val="restart"/>
            <w:tcBorders>
              <w:top w:val="single" w:color="auto" w:sz="4" w:space="0"/>
              <w:left w:val="single" w:color="auto" w:sz="4" w:space="0"/>
            </w:tcBorders>
            <w:shd w:val="clear" w:color="auto" w:fill="FFFFFF"/>
            <w:vAlign w:val="center"/>
          </w:tcPr>
          <w:p w14:paraId="6B9EE1A1">
            <w:pPr>
              <w:ind w:left="1120"/>
              <w:jc w:val="left"/>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年</w:t>
            </w:r>
          </w:p>
        </w:tc>
        <w:tc>
          <w:tcPr>
            <w:tcW w:w="1421" w:type="dxa"/>
            <w:tcBorders>
              <w:top w:val="single" w:color="auto" w:sz="4" w:space="0"/>
              <w:left w:val="single" w:color="auto" w:sz="4" w:space="0"/>
            </w:tcBorders>
            <w:shd w:val="clear" w:color="auto" w:fill="FFFFFF"/>
            <w:vAlign w:val="center"/>
          </w:tcPr>
          <w:p w14:paraId="49B0E429">
            <w:pPr>
              <w:ind w:left="1120"/>
              <w:jc w:val="left"/>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月</w:t>
            </w:r>
          </w:p>
        </w:tc>
        <w:tc>
          <w:tcPr>
            <w:tcW w:w="643" w:type="dxa"/>
            <w:tcBorders>
              <w:top w:val="single" w:color="auto" w:sz="4" w:space="0"/>
              <w:left w:val="single" w:color="auto" w:sz="4" w:space="0"/>
            </w:tcBorders>
            <w:shd w:val="clear" w:color="auto" w:fill="FFFFFF"/>
          </w:tcPr>
          <w:p w14:paraId="52359452">
            <w:pPr>
              <w:rPr>
                <w:rFonts w:hint="eastAsia" w:ascii="宋体" w:hAnsi="宋体" w:eastAsia="宋体" w:cs="宋体"/>
                <w:color w:val="auto"/>
                <w:highlight w:val="none"/>
              </w:rPr>
            </w:pPr>
          </w:p>
        </w:tc>
        <w:tc>
          <w:tcPr>
            <w:tcW w:w="648" w:type="dxa"/>
            <w:tcBorders>
              <w:top w:val="single" w:color="auto" w:sz="4" w:space="0"/>
              <w:left w:val="single" w:color="auto" w:sz="4" w:space="0"/>
            </w:tcBorders>
            <w:shd w:val="clear" w:color="auto" w:fill="FFFFFF"/>
          </w:tcPr>
          <w:p w14:paraId="78575A37">
            <w:pPr>
              <w:rPr>
                <w:rFonts w:hint="eastAsia" w:ascii="宋体" w:hAnsi="宋体" w:eastAsia="宋体" w:cs="宋体"/>
                <w:color w:val="auto"/>
                <w:highlight w:val="none"/>
              </w:rPr>
            </w:pPr>
          </w:p>
        </w:tc>
        <w:tc>
          <w:tcPr>
            <w:tcW w:w="643" w:type="dxa"/>
            <w:tcBorders>
              <w:top w:val="single" w:color="auto" w:sz="4" w:space="0"/>
              <w:left w:val="single" w:color="auto" w:sz="4" w:space="0"/>
            </w:tcBorders>
            <w:shd w:val="clear" w:color="auto" w:fill="FFFFFF"/>
          </w:tcPr>
          <w:p w14:paraId="5D4E79EA">
            <w:pPr>
              <w:rPr>
                <w:rFonts w:hint="eastAsia" w:ascii="宋体" w:hAnsi="宋体" w:eastAsia="宋体" w:cs="宋体"/>
                <w:color w:val="auto"/>
                <w:highlight w:val="none"/>
              </w:rPr>
            </w:pPr>
          </w:p>
        </w:tc>
        <w:tc>
          <w:tcPr>
            <w:tcW w:w="648" w:type="dxa"/>
            <w:tcBorders>
              <w:top w:val="single" w:color="auto" w:sz="4" w:space="0"/>
              <w:left w:val="single" w:color="auto" w:sz="4" w:space="0"/>
            </w:tcBorders>
            <w:shd w:val="clear" w:color="auto" w:fill="FFFFFF"/>
          </w:tcPr>
          <w:p w14:paraId="5495DE6A">
            <w:pPr>
              <w:rPr>
                <w:rFonts w:hint="eastAsia" w:ascii="宋体" w:hAnsi="宋体" w:eastAsia="宋体" w:cs="宋体"/>
                <w:color w:val="auto"/>
                <w:highlight w:val="none"/>
              </w:rPr>
            </w:pPr>
          </w:p>
        </w:tc>
        <w:tc>
          <w:tcPr>
            <w:tcW w:w="648" w:type="dxa"/>
            <w:tcBorders>
              <w:top w:val="single" w:color="auto" w:sz="4" w:space="0"/>
              <w:left w:val="single" w:color="auto" w:sz="4" w:space="0"/>
            </w:tcBorders>
            <w:shd w:val="clear" w:color="auto" w:fill="FFFFFF"/>
          </w:tcPr>
          <w:p w14:paraId="0B6618BB">
            <w:pPr>
              <w:rPr>
                <w:rFonts w:hint="eastAsia" w:ascii="宋体" w:hAnsi="宋体" w:eastAsia="宋体" w:cs="宋体"/>
                <w:color w:val="auto"/>
                <w:highlight w:val="none"/>
              </w:rPr>
            </w:pPr>
          </w:p>
        </w:tc>
        <w:tc>
          <w:tcPr>
            <w:tcW w:w="1133" w:type="dxa"/>
            <w:tcBorders>
              <w:top w:val="single" w:color="auto" w:sz="4" w:space="0"/>
              <w:left w:val="single" w:color="auto" w:sz="4" w:space="0"/>
            </w:tcBorders>
            <w:shd w:val="clear" w:color="auto" w:fill="FFFFFF"/>
          </w:tcPr>
          <w:p w14:paraId="42C656E8">
            <w:pPr>
              <w:rPr>
                <w:rFonts w:hint="eastAsia" w:ascii="宋体" w:hAnsi="宋体" w:eastAsia="宋体" w:cs="宋体"/>
                <w:color w:val="auto"/>
                <w:highlight w:val="none"/>
              </w:rPr>
            </w:pPr>
          </w:p>
        </w:tc>
        <w:tc>
          <w:tcPr>
            <w:tcW w:w="1142" w:type="dxa"/>
            <w:tcBorders>
              <w:top w:val="single" w:color="auto" w:sz="4" w:space="0"/>
              <w:left w:val="single" w:color="auto" w:sz="4" w:space="0"/>
              <w:right w:val="single" w:color="auto" w:sz="4" w:space="0"/>
            </w:tcBorders>
            <w:shd w:val="clear" w:color="auto" w:fill="FFFFFF"/>
            <w:vAlign w:val="center"/>
          </w:tcPr>
          <w:p w14:paraId="49F06F41">
            <w:pPr>
              <w:jc w:val="center"/>
              <w:rPr>
                <w:rFonts w:hint="eastAsia" w:ascii="宋体" w:hAnsi="宋体" w:eastAsia="宋体" w:cs="宋体"/>
                <w:color w:val="auto"/>
                <w:highlight w:val="none"/>
              </w:rPr>
            </w:pPr>
          </w:p>
        </w:tc>
      </w:tr>
      <w:tr w14:paraId="63A9BC63">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1C83C1C3">
            <w:pPr>
              <w:rPr>
                <w:rFonts w:hint="eastAsia" w:ascii="宋体" w:hAnsi="宋体" w:eastAsia="宋体" w:cs="宋体"/>
                <w:color w:val="auto"/>
                <w:highlight w:val="none"/>
              </w:rPr>
            </w:pPr>
          </w:p>
        </w:tc>
        <w:tc>
          <w:tcPr>
            <w:tcW w:w="1421" w:type="dxa"/>
            <w:tcBorders>
              <w:top w:val="single" w:color="auto" w:sz="4" w:space="0"/>
              <w:left w:val="single" w:color="auto" w:sz="4" w:space="0"/>
            </w:tcBorders>
            <w:shd w:val="clear" w:color="auto" w:fill="FFFFFF"/>
            <w:vAlign w:val="center"/>
          </w:tcPr>
          <w:p w14:paraId="5BC727F3">
            <w:pPr>
              <w:ind w:left="1120"/>
              <w:jc w:val="left"/>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月</w:t>
            </w:r>
          </w:p>
        </w:tc>
        <w:tc>
          <w:tcPr>
            <w:tcW w:w="643" w:type="dxa"/>
            <w:tcBorders>
              <w:top w:val="single" w:color="auto" w:sz="4" w:space="0"/>
              <w:left w:val="single" w:color="auto" w:sz="4" w:space="0"/>
            </w:tcBorders>
            <w:shd w:val="clear" w:color="auto" w:fill="FFFFFF"/>
          </w:tcPr>
          <w:p w14:paraId="054709DC">
            <w:pPr>
              <w:rPr>
                <w:rFonts w:hint="eastAsia" w:ascii="宋体" w:hAnsi="宋体" w:eastAsia="宋体" w:cs="宋体"/>
                <w:color w:val="auto"/>
                <w:highlight w:val="none"/>
              </w:rPr>
            </w:pPr>
          </w:p>
        </w:tc>
        <w:tc>
          <w:tcPr>
            <w:tcW w:w="648" w:type="dxa"/>
            <w:tcBorders>
              <w:top w:val="single" w:color="auto" w:sz="4" w:space="0"/>
              <w:left w:val="single" w:color="auto" w:sz="4" w:space="0"/>
            </w:tcBorders>
            <w:shd w:val="clear" w:color="auto" w:fill="FFFFFF"/>
          </w:tcPr>
          <w:p w14:paraId="0BE1BB29">
            <w:pPr>
              <w:rPr>
                <w:rFonts w:hint="eastAsia" w:ascii="宋体" w:hAnsi="宋体" w:eastAsia="宋体" w:cs="宋体"/>
                <w:color w:val="auto"/>
                <w:highlight w:val="none"/>
              </w:rPr>
            </w:pPr>
          </w:p>
        </w:tc>
        <w:tc>
          <w:tcPr>
            <w:tcW w:w="643" w:type="dxa"/>
            <w:tcBorders>
              <w:top w:val="single" w:color="auto" w:sz="4" w:space="0"/>
              <w:left w:val="single" w:color="auto" w:sz="4" w:space="0"/>
            </w:tcBorders>
            <w:shd w:val="clear" w:color="auto" w:fill="FFFFFF"/>
          </w:tcPr>
          <w:p w14:paraId="659D8013">
            <w:pPr>
              <w:rPr>
                <w:rFonts w:hint="eastAsia" w:ascii="宋体" w:hAnsi="宋体" w:eastAsia="宋体" w:cs="宋体"/>
                <w:color w:val="auto"/>
                <w:highlight w:val="none"/>
              </w:rPr>
            </w:pPr>
          </w:p>
        </w:tc>
        <w:tc>
          <w:tcPr>
            <w:tcW w:w="648" w:type="dxa"/>
            <w:tcBorders>
              <w:top w:val="single" w:color="auto" w:sz="4" w:space="0"/>
              <w:left w:val="single" w:color="auto" w:sz="4" w:space="0"/>
            </w:tcBorders>
            <w:shd w:val="clear" w:color="auto" w:fill="FFFFFF"/>
          </w:tcPr>
          <w:p w14:paraId="4BB58F6B">
            <w:pPr>
              <w:rPr>
                <w:rFonts w:hint="eastAsia" w:ascii="宋体" w:hAnsi="宋体" w:eastAsia="宋体" w:cs="宋体"/>
                <w:color w:val="auto"/>
                <w:highlight w:val="none"/>
              </w:rPr>
            </w:pPr>
          </w:p>
        </w:tc>
        <w:tc>
          <w:tcPr>
            <w:tcW w:w="648" w:type="dxa"/>
            <w:tcBorders>
              <w:top w:val="single" w:color="auto" w:sz="4" w:space="0"/>
              <w:left w:val="single" w:color="auto" w:sz="4" w:space="0"/>
            </w:tcBorders>
            <w:shd w:val="clear" w:color="auto" w:fill="FFFFFF"/>
          </w:tcPr>
          <w:p w14:paraId="65911053">
            <w:pPr>
              <w:rPr>
                <w:rFonts w:hint="eastAsia" w:ascii="宋体" w:hAnsi="宋体" w:eastAsia="宋体" w:cs="宋体"/>
                <w:color w:val="auto"/>
                <w:highlight w:val="none"/>
              </w:rPr>
            </w:pPr>
          </w:p>
        </w:tc>
        <w:tc>
          <w:tcPr>
            <w:tcW w:w="1133" w:type="dxa"/>
            <w:tcBorders>
              <w:top w:val="single" w:color="auto" w:sz="4" w:space="0"/>
              <w:left w:val="single" w:color="auto" w:sz="4" w:space="0"/>
            </w:tcBorders>
            <w:shd w:val="clear" w:color="auto" w:fill="FFFFFF"/>
          </w:tcPr>
          <w:p w14:paraId="71D328E6">
            <w:pPr>
              <w:rPr>
                <w:rFonts w:hint="eastAsia" w:ascii="宋体" w:hAnsi="宋体" w:eastAsia="宋体" w:cs="宋体"/>
                <w:color w:val="auto"/>
                <w:highlight w:val="none"/>
              </w:rPr>
            </w:pPr>
          </w:p>
        </w:tc>
        <w:tc>
          <w:tcPr>
            <w:tcW w:w="1142" w:type="dxa"/>
            <w:tcBorders>
              <w:top w:val="single" w:color="auto" w:sz="4" w:space="0"/>
              <w:left w:val="single" w:color="auto" w:sz="4" w:space="0"/>
              <w:right w:val="single" w:color="auto" w:sz="4" w:space="0"/>
            </w:tcBorders>
            <w:shd w:val="clear" w:color="auto" w:fill="FFFFFF"/>
            <w:vAlign w:val="center"/>
          </w:tcPr>
          <w:p w14:paraId="045E24D9">
            <w:pPr>
              <w:jc w:val="center"/>
              <w:rPr>
                <w:rFonts w:hint="eastAsia" w:ascii="宋体" w:hAnsi="宋体" w:eastAsia="宋体" w:cs="宋体"/>
                <w:color w:val="auto"/>
                <w:highlight w:val="none"/>
              </w:rPr>
            </w:pPr>
          </w:p>
        </w:tc>
      </w:tr>
      <w:tr w14:paraId="2623402B">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03702133">
            <w:pPr>
              <w:rPr>
                <w:rFonts w:hint="eastAsia" w:ascii="宋体" w:hAnsi="宋体" w:eastAsia="宋体" w:cs="宋体"/>
                <w:color w:val="auto"/>
                <w:highlight w:val="none"/>
              </w:rPr>
            </w:pPr>
          </w:p>
        </w:tc>
        <w:tc>
          <w:tcPr>
            <w:tcW w:w="1421" w:type="dxa"/>
            <w:tcBorders>
              <w:top w:val="single" w:color="auto" w:sz="4" w:space="0"/>
              <w:left w:val="single" w:color="auto" w:sz="4" w:space="0"/>
            </w:tcBorders>
            <w:shd w:val="clear" w:color="auto" w:fill="FFFFFF"/>
            <w:vAlign w:val="center"/>
          </w:tcPr>
          <w:p w14:paraId="657EF978">
            <w:pPr>
              <w:ind w:left="1120"/>
              <w:jc w:val="left"/>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月</w:t>
            </w:r>
          </w:p>
        </w:tc>
        <w:tc>
          <w:tcPr>
            <w:tcW w:w="643" w:type="dxa"/>
            <w:tcBorders>
              <w:top w:val="single" w:color="auto" w:sz="4" w:space="0"/>
              <w:left w:val="single" w:color="auto" w:sz="4" w:space="0"/>
            </w:tcBorders>
            <w:shd w:val="clear" w:color="auto" w:fill="FFFFFF"/>
          </w:tcPr>
          <w:p w14:paraId="716D5C5C">
            <w:pPr>
              <w:rPr>
                <w:rFonts w:hint="eastAsia" w:ascii="宋体" w:hAnsi="宋体" w:eastAsia="宋体" w:cs="宋体"/>
                <w:color w:val="auto"/>
                <w:highlight w:val="none"/>
              </w:rPr>
            </w:pPr>
          </w:p>
        </w:tc>
        <w:tc>
          <w:tcPr>
            <w:tcW w:w="648" w:type="dxa"/>
            <w:tcBorders>
              <w:top w:val="single" w:color="auto" w:sz="4" w:space="0"/>
              <w:left w:val="single" w:color="auto" w:sz="4" w:space="0"/>
            </w:tcBorders>
            <w:shd w:val="clear" w:color="auto" w:fill="FFFFFF"/>
          </w:tcPr>
          <w:p w14:paraId="7A876D8D">
            <w:pPr>
              <w:rPr>
                <w:rFonts w:hint="eastAsia" w:ascii="宋体" w:hAnsi="宋体" w:eastAsia="宋体" w:cs="宋体"/>
                <w:color w:val="auto"/>
                <w:highlight w:val="none"/>
              </w:rPr>
            </w:pPr>
          </w:p>
        </w:tc>
        <w:tc>
          <w:tcPr>
            <w:tcW w:w="643" w:type="dxa"/>
            <w:tcBorders>
              <w:top w:val="single" w:color="auto" w:sz="4" w:space="0"/>
              <w:left w:val="single" w:color="auto" w:sz="4" w:space="0"/>
            </w:tcBorders>
            <w:shd w:val="clear" w:color="auto" w:fill="FFFFFF"/>
          </w:tcPr>
          <w:p w14:paraId="52D1CDB4">
            <w:pPr>
              <w:rPr>
                <w:rFonts w:hint="eastAsia" w:ascii="宋体" w:hAnsi="宋体" w:eastAsia="宋体" w:cs="宋体"/>
                <w:color w:val="auto"/>
                <w:highlight w:val="none"/>
              </w:rPr>
            </w:pPr>
          </w:p>
        </w:tc>
        <w:tc>
          <w:tcPr>
            <w:tcW w:w="648" w:type="dxa"/>
            <w:tcBorders>
              <w:top w:val="single" w:color="auto" w:sz="4" w:space="0"/>
              <w:left w:val="single" w:color="auto" w:sz="4" w:space="0"/>
            </w:tcBorders>
            <w:shd w:val="clear" w:color="auto" w:fill="FFFFFF"/>
          </w:tcPr>
          <w:p w14:paraId="0B1E7921">
            <w:pPr>
              <w:rPr>
                <w:rFonts w:hint="eastAsia" w:ascii="宋体" w:hAnsi="宋体" w:eastAsia="宋体" w:cs="宋体"/>
                <w:color w:val="auto"/>
                <w:highlight w:val="none"/>
              </w:rPr>
            </w:pPr>
          </w:p>
        </w:tc>
        <w:tc>
          <w:tcPr>
            <w:tcW w:w="648" w:type="dxa"/>
            <w:tcBorders>
              <w:top w:val="single" w:color="auto" w:sz="4" w:space="0"/>
              <w:left w:val="single" w:color="auto" w:sz="4" w:space="0"/>
            </w:tcBorders>
            <w:shd w:val="clear" w:color="auto" w:fill="FFFFFF"/>
          </w:tcPr>
          <w:p w14:paraId="130AE2D8">
            <w:pPr>
              <w:rPr>
                <w:rFonts w:hint="eastAsia" w:ascii="宋体" w:hAnsi="宋体" w:eastAsia="宋体" w:cs="宋体"/>
                <w:color w:val="auto"/>
                <w:highlight w:val="none"/>
              </w:rPr>
            </w:pPr>
          </w:p>
        </w:tc>
        <w:tc>
          <w:tcPr>
            <w:tcW w:w="1133" w:type="dxa"/>
            <w:tcBorders>
              <w:top w:val="single" w:color="auto" w:sz="4" w:space="0"/>
              <w:left w:val="single" w:color="auto" w:sz="4" w:space="0"/>
            </w:tcBorders>
            <w:shd w:val="clear" w:color="auto" w:fill="FFFFFF"/>
          </w:tcPr>
          <w:p w14:paraId="724944FF">
            <w:pPr>
              <w:rPr>
                <w:rFonts w:hint="eastAsia" w:ascii="宋体" w:hAnsi="宋体" w:eastAsia="宋体" w:cs="宋体"/>
                <w:color w:val="auto"/>
                <w:highlight w:val="none"/>
              </w:rPr>
            </w:pPr>
          </w:p>
        </w:tc>
        <w:tc>
          <w:tcPr>
            <w:tcW w:w="1142" w:type="dxa"/>
            <w:tcBorders>
              <w:top w:val="single" w:color="auto" w:sz="4" w:space="0"/>
              <w:left w:val="single" w:color="auto" w:sz="4" w:space="0"/>
              <w:right w:val="single" w:color="auto" w:sz="4" w:space="0"/>
            </w:tcBorders>
            <w:shd w:val="clear" w:color="auto" w:fill="FFFFFF"/>
          </w:tcPr>
          <w:p w14:paraId="3F98BD3F">
            <w:pPr>
              <w:rPr>
                <w:rFonts w:hint="eastAsia" w:ascii="宋体" w:hAnsi="宋体" w:eastAsia="宋体" w:cs="宋体"/>
                <w:color w:val="auto"/>
                <w:highlight w:val="none"/>
              </w:rPr>
            </w:pPr>
          </w:p>
        </w:tc>
      </w:tr>
      <w:tr w14:paraId="4AF4647E">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0D136CE0">
            <w:pPr>
              <w:rPr>
                <w:rFonts w:hint="eastAsia" w:ascii="宋体" w:hAnsi="宋体" w:eastAsia="宋体" w:cs="宋体"/>
                <w:color w:val="auto"/>
                <w:highlight w:val="none"/>
              </w:rPr>
            </w:pPr>
          </w:p>
        </w:tc>
        <w:tc>
          <w:tcPr>
            <w:tcW w:w="1421" w:type="dxa"/>
            <w:tcBorders>
              <w:top w:val="single" w:color="auto" w:sz="4" w:space="0"/>
              <w:left w:val="single" w:color="auto" w:sz="4" w:space="0"/>
            </w:tcBorders>
            <w:shd w:val="clear" w:color="auto" w:fill="FFFFFF"/>
            <w:vAlign w:val="center"/>
          </w:tcPr>
          <w:p w14:paraId="4B0FFA69">
            <w:pPr>
              <w:ind w:left="1120"/>
              <w:jc w:val="left"/>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月</w:t>
            </w:r>
          </w:p>
        </w:tc>
        <w:tc>
          <w:tcPr>
            <w:tcW w:w="643" w:type="dxa"/>
            <w:tcBorders>
              <w:top w:val="single" w:color="auto" w:sz="4" w:space="0"/>
              <w:left w:val="single" w:color="auto" w:sz="4" w:space="0"/>
            </w:tcBorders>
            <w:shd w:val="clear" w:color="auto" w:fill="FFFFFF"/>
          </w:tcPr>
          <w:p w14:paraId="49C12015">
            <w:pPr>
              <w:rPr>
                <w:rFonts w:hint="eastAsia" w:ascii="宋体" w:hAnsi="宋体" w:eastAsia="宋体" w:cs="宋体"/>
                <w:color w:val="auto"/>
                <w:highlight w:val="none"/>
              </w:rPr>
            </w:pPr>
          </w:p>
        </w:tc>
        <w:tc>
          <w:tcPr>
            <w:tcW w:w="648" w:type="dxa"/>
            <w:tcBorders>
              <w:top w:val="single" w:color="auto" w:sz="4" w:space="0"/>
              <w:left w:val="single" w:color="auto" w:sz="4" w:space="0"/>
            </w:tcBorders>
            <w:shd w:val="clear" w:color="auto" w:fill="FFFFFF"/>
          </w:tcPr>
          <w:p w14:paraId="03DF4139">
            <w:pPr>
              <w:rPr>
                <w:rFonts w:hint="eastAsia" w:ascii="宋体" w:hAnsi="宋体" w:eastAsia="宋体" w:cs="宋体"/>
                <w:color w:val="auto"/>
                <w:highlight w:val="none"/>
              </w:rPr>
            </w:pPr>
          </w:p>
        </w:tc>
        <w:tc>
          <w:tcPr>
            <w:tcW w:w="643" w:type="dxa"/>
            <w:tcBorders>
              <w:top w:val="single" w:color="auto" w:sz="4" w:space="0"/>
              <w:left w:val="single" w:color="auto" w:sz="4" w:space="0"/>
            </w:tcBorders>
            <w:shd w:val="clear" w:color="auto" w:fill="FFFFFF"/>
          </w:tcPr>
          <w:p w14:paraId="2B181C49">
            <w:pPr>
              <w:rPr>
                <w:rFonts w:hint="eastAsia" w:ascii="宋体" w:hAnsi="宋体" w:eastAsia="宋体" w:cs="宋体"/>
                <w:color w:val="auto"/>
                <w:highlight w:val="none"/>
              </w:rPr>
            </w:pPr>
          </w:p>
        </w:tc>
        <w:tc>
          <w:tcPr>
            <w:tcW w:w="648" w:type="dxa"/>
            <w:tcBorders>
              <w:top w:val="single" w:color="auto" w:sz="4" w:space="0"/>
              <w:left w:val="single" w:color="auto" w:sz="4" w:space="0"/>
            </w:tcBorders>
            <w:shd w:val="clear" w:color="auto" w:fill="FFFFFF"/>
          </w:tcPr>
          <w:p w14:paraId="0E061D02">
            <w:pPr>
              <w:rPr>
                <w:rFonts w:hint="eastAsia" w:ascii="宋体" w:hAnsi="宋体" w:eastAsia="宋体" w:cs="宋体"/>
                <w:color w:val="auto"/>
                <w:highlight w:val="none"/>
              </w:rPr>
            </w:pPr>
          </w:p>
        </w:tc>
        <w:tc>
          <w:tcPr>
            <w:tcW w:w="648" w:type="dxa"/>
            <w:tcBorders>
              <w:top w:val="single" w:color="auto" w:sz="4" w:space="0"/>
              <w:left w:val="single" w:color="auto" w:sz="4" w:space="0"/>
            </w:tcBorders>
            <w:shd w:val="clear" w:color="auto" w:fill="FFFFFF"/>
          </w:tcPr>
          <w:p w14:paraId="6CA3BA20">
            <w:pPr>
              <w:rPr>
                <w:rFonts w:hint="eastAsia" w:ascii="宋体" w:hAnsi="宋体" w:eastAsia="宋体" w:cs="宋体"/>
                <w:color w:val="auto"/>
                <w:highlight w:val="none"/>
              </w:rPr>
            </w:pPr>
          </w:p>
        </w:tc>
        <w:tc>
          <w:tcPr>
            <w:tcW w:w="1133" w:type="dxa"/>
            <w:tcBorders>
              <w:top w:val="single" w:color="auto" w:sz="4" w:space="0"/>
              <w:left w:val="single" w:color="auto" w:sz="4" w:space="0"/>
            </w:tcBorders>
            <w:shd w:val="clear" w:color="auto" w:fill="FFFFFF"/>
          </w:tcPr>
          <w:p w14:paraId="2C46C0B8">
            <w:pPr>
              <w:rPr>
                <w:rFonts w:hint="eastAsia" w:ascii="宋体" w:hAnsi="宋体" w:eastAsia="宋体" w:cs="宋体"/>
                <w:color w:val="auto"/>
                <w:highlight w:val="none"/>
              </w:rPr>
            </w:pPr>
          </w:p>
        </w:tc>
        <w:tc>
          <w:tcPr>
            <w:tcW w:w="1142" w:type="dxa"/>
            <w:tcBorders>
              <w:top w:val="single" w:color="auto" w:sz="4" w:space="0"/>
              <w:left w:val="single" w:color="auto" w:sz="4" w:space="0"/>
              <w:right w:val="single" w:color="auto" w:sz="4" w:space="0"/>
            </w:tcBorders>
            <w:shd w:val="clear" w:color="auto" w:fill="FFFFFF"/>
          </w:tcPr>
          <w:p w14:paraId="74DB3E28">
            <w:pPr>
              <w:rPr>
                <w:rFonts w:hint="eastAsia" w:ascii="宋体" w:hAnsi="宋体" w:eastAsia="宋体" w:cs="宋体"/>
                <w:color w:val="auto"/>
                <w:highlight w:val="none"/>
              </w:rPr>
            </w:pPr>
          </w:p>
        </w:tc>
      </w:tr>
      <w:tr w14:paraId="51FC321C">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5C291DFD">
            <w:pPr>
              <w:rPr>
                <w:rFonts w:hint="eastAsia" w:ascii="宋体" w:hAnsi="宋体" w:eastAsia="宋体" w:cs="宋体"/>
                <w:color w:val="auto"/>
                <w:highlight w:val="none"/>
              </w:rPr>
            </w:pPr>
          </w:p>
        </w:tc>
        <w:tc>
          <w:tcPr>
            <w:tcW w:w="1421" w:type="dxa"/>
            <w:tcBorders>
              <w:top w:val="single" w:color="auto" w:sz="4" w:space="0"/>
              <w:left w:val="single" w:color="auto" w:sz="4" w:space="0"/>
            </w:tcBorders>
            <w:shd w:val="clear" w:color="auto" w:fill="FFFFFF"/>
            <w:vAlign w:val="center"/>
          </w:tcPr>
          <w:p w14:paraId="003FB404">
            <w:pPr>
              <w:ind w:left="1120"/>
              <w:jc w:val="left"/>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月</w:t>
            </w:r>
          </w:p>
        </w:tc>
        <w:tc>
          <w:tcPr>
            <w:tcW w:w="643" w:type="dxa"/>
            <w:tcBorders>
              <w:top w:val="single" w:color="auto" w:sz="4" w:space="0"/>
              <w:left w:val="single" w:color="auto" w:sz="4" w:space="0"/>
            </w:tcBorders>
            <w:shd w:val="clear" w:color="auto" w:fill="FFFFFF"/>
          </w:tcPr>
          <w:p w14:paraId="39EF5126">
            <w:pPr>
              <w:rPr>
                <w:rFonts w:hint="eastAsia" w:ascii="宋体" w:hAnsi="宋体" w:eastAsia="宋体" w:cs="宋体"/>
                <w:color w:val="auto"/>
                <w:highlight w:val="none"/>
              </w:rPr>
            </w:pPr>
          </w:p>
        </w:tc>
        <w:tc>
          <w:tcPr>
            <w:tcW w:w="648" w:type="dxa"/>
            <w:tcBorders>
              <w:top w:val="single" w:color="auto" w:sz="4" w:space="0"/>
              <w:left w:val="single" w:color="auto" w:sz="4" w:space="0"/>
            </w:tcBorders>
            <w:shd w:val="clear" w:color="auto" w:fill="FFFFFF"/>
          </w:tcPr>
          <w:p w14:paraId="31882822">
            <w:pPr>
              <w:rPr>
                <w:rFonts w:hint="eastAsia" w:ascii="宋体" w:hAnsi="宋体" w:eastAsia="宋体" w:cs="宋体"/>
                <w:color w:val="auto"/>
                <w:highlight w:val="none"/>
              </w:rPr>
            </w:pPr>
          </w:p>
        </w:tc>
        <w:tc>
          <w:tcPr>
            <w:tcW w:w="643" w:type="dxa"/>
            <w:tcBorders>
              <w:top w:val="single" w:color="auto" w:sz="4" w:space="0"/>
              <w:left w:val="single" w:color="auto" w:sz="4" w:space="0"/>
            </w:tcBorders>
            <w:shd w:val="clear" w:color="auto" w:fill="FFFFFF"/>
          </w:tcPr>
          <w:p w14:paraId="2E6AA94C">
            <w:pPr>
              <w:rPr>
                <w:rFonts w:hint="eastAsia" w:ascii="宋体" w:hAnsi="宋体" w:eastAsia="宋体" w:cs="宋体"/>
                <w:color w:val="auto"/>
                <w:highlight w:val="none"/>
              </w:rPr>
            </w:pPr>
          </w:p>
        </w:tc>
        <w:tc>
          <w:tcPr>
            <w:tcW w:w="648" w:type="dxa"/>
            <w:tcBorders>
              <w:top w:val="single" w:color="auto" w:sz="4" w:space="0"/>
              <w:left w:val="single" w:color="auto" w:sz="4" w:space="0"/>
            </w:tcBorders>
            <w:shd w:val="clear" w:color="auto" w:fill="FFFFFF"/>
          </w:tcPr>
          <w:p w14:paraId="6427DB46">
            <w:pPr>
              <w:rPr>
                <w:rFonts w:hint="eastAsia" w:ascii="宋体" w:hAnsi="宋体" w:eastAsia="宋体" w:cs="宋体"/>
                <w:color w:val="auto"/>
                <w:highlight w:val="none"/>
              </w:rPr>
            </w:pPr>
          </w:p>
        </w:tc>
        <w:tc>
          <w:tcPr>
            <w:tcW w:w="648" w:type="dxa"/>
            <w:tcBorders>
              <w:top w:val="single" w:color="auto" w:sz="4" w:space="0"/>
              <w:left w:val="single" w:color="auto" w:sz="4" w:space="0"/>
            </w:tcBorders>
            <w:shd w:val="clear" w:color="auto" w:fill="FFFFFF"/>
          </w:tcPr>
          <w:p w14:paraId="54A88649">
            <w:pPr>
              <w:rPr>
                <w:rFonts w:hint="eastAsia" w:ascii="宋体" w:hAnsi="宋体" w:eastAsia="宋体" w:cs="宋体"/>
                <w:color w:val="auto"/>
                <w:highlight w:val="none"/>
              </w:rPr>
            </w:pPr>
          </w:p>
        </w:tc>
        <w:tc>
          <w:tcPr>
            <w:tcW w:w="1133" w:type="dxa"/>
            <w:tcBorders>
              <w:top w:val="single" w:color="auto" w:sz="4" w:space="0"/>
              <w:left w:val="single" w:color="auto" w:sz="4" w:space="0"/>
            </w:tcBorders>
            <w:shd w:val="clear" w:color="auto" w:fill="FFFFFF"/>
          </w:tcPr>
          <w:p w14:paraId="115274B7">
            <w:pPr>
              <w:rPr>
                <w:rFonts w:hint="eastAsia" w:ascii="宋体" w:hAnsi="宋体" w:eastAsia="宋体" w:cs="宋体"/>
                <w:color w:val="auto"/>
                <w:highlight w:val="none"/>
              </w:rPr>
            </w:pPr>
          </w:p>
        </w:tc>
        <w:tc>
          <w:tcPr>
            <w:tcW w:w="1142" w:type="dxa"/>
            <w:tcBorders>
              <w:top w:val="single" w:color="auto" w:sz="4" w:space="0"/>
              <w:left w:val="single" w:color="auto" w:sz="4" w:space="0"/>
              <w:right w:val="single" w:color="auto" w:sz="4" w:space="0"/>
            </w:tcBorders>
            <w:shd w:val="clear" w:color="auto" w:fill="FFFFFF"/>
          </w:tcPr>
          <w:p w14:paraId="5425AF28">
            <w:pPr>
              <w:rPr>
                <w:rFonts w:hint="eastAsia" w:ascii="宋体" w:hAnsi="宋体" w:eastAsia="宋体" w:cs="宋体"/>
                <w:color w:val="auto"/>
                <w:highlight w:val="none"/>
              </w:rPr>
            </w:pPr>
          </w:p>
        </w:tc>
      </w:tr>
      <w:tr w14:paraId="2561C24A">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74EFBAC5">
            <w:pPr>
              <w:rPr>
                <w:rFonts w:hint="eastAsia" w:ascii="宋体" w:hAnsi="宋体" w:eastAsia="宋体" w:cs="宋体"/>
                <w:color w:val="auto"/>
                <w:highlight w:val="none"/>
              </w:rPr>
            </w:pPr>
          </w:p>
        </w:tc>
        <w:tc>
          <w:tcPr>
            <w:tcW w:w="1421" w:type="dxa"/>
            <w:tcBorders>
              <w:top w:val="single" w:color="auto" w:sz="4" w:space="0"/>
              <w:left w:val="single" w:color="auto" w:sz="4" w:space="0"/>
            </w:tcBorders>
            <w:shd w:val="clear" w:color="auto" w:fill="FFFFFF"/>
            <w:vAlign w:val="center"/>
          </w:tcPr>
          <w:p w14:paraId="2EFAECAA">
            <w:pPr>
              <w:ind w:left="1120"/>
              <w:jc w:val="left"/>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月</w:t>
            </w:r>
          </w:p>
        </w:tc>
        <w:tc>
          <w:tcPr>
            <w:tcW w:w="643" w:type="dxa"/>
            <w:tcBorders>
              <w:top w:val="single" w:color="auto" w:sz="4" w:space="0"/>
              <w:left w:val="single" w:color="auto" w:sz="4" w:space="0"/>
            </w:tcBorders>
            <w:shd w:val="clear" w:color="auto" w:fill="FFFFFF"/>
          </w:tcPr>
          <w:p w14:paraId="65D87836">
            <w:pPr>
              <w:rPr>
                <w:rFonts w:hint="eastAsia" w:ascii="宋体" w:hAnsi="宋体" w:eastAsia="宋体" w:cs="宋体"/>
                <w:color w:val="auto"/>
                <w:highlight w:val="none"/>
              </w:rPr>
            </w:pPr>
          </w:p>
        </w:tc>
        <w:tc>
          <w:tcPr>
            <w:tcW w:w="648" w:type="dxa"/>
            <w:tcBorders>
              <w:top w:val="single" w:color="auto" w:sz="4" w:space="0"/>
              <w:left w:val="single" w:color="auto" w:sz="4" w:space="0"/>
            </w:tcBorders>
            <w:shd w:val="clear" w:color="auto" w:fill="FFFFFF"/>
          </w:tcPr>
          <w:p w14:paraId="751931F6">
            <w:pPr>
              <w:rPr>
                <w:rFonts w:hint="eastAsia" w:ascii="宋体" w:hAnsi="宋体" w:eastAsia="宋体" w:cs="宋体"/>
                <w:color w:val="auto"/>
                <w:highlight w:val="none"/>
              </w:rPr>
            </w:pPr>
          </w:p>
        </w:tc>
        <w:tc>
          <w:tcPr>
            <w:tcW w:w="643" w:type="dxa"/>
            <w:tcBorders>
              <w:top w:val="single" w:color="auto" w:sz="4" w:space="0"/>
              <w:left w:val="single" w:color="auto" w:sz="4" w:space="0"/>
            </w:tcBorders>
            <w:shd w:val="clear" w:color="auto" w:fill="FFFFFF"/>
          </w:tcPr>
          <w:p w14:paraId="7E51332F">
            <w:pPr>
              <w:rPr>
                <w:rFonts w:hint="eastAsia" w:ascii="宋体" w:hAnsi="宋体" w:eastAsia="宋体" w:cs="宋体"/>
                <w:color w:val="auto"/>
                <w:highlight w:val="none"/>
              </w:rPr>
            </w:pPr>
          </w:p>
        </w:tc>
        <w:tc>
          <w:tcPr>
            <w:tcW w:w="648" w:type="dxa"/>
            <w:tcBorders>
              <w:top w:val="single" w:color="auto" w:sz="4" w:space="0"/>
              <w:left w:val="single" w:color="auto" w:sz="4" w:space="0"/>
            </w:tcBorders>
            <w:shd w:val="clear" w:color="auto" w:fill="FFFFFF"/>
          </w:tcPr>
          <w:p w14:paraId="7C71DDDC">
            <w:pPr>
              <w:rPr>
                <w:rFonts w:hint="eastAsia" w:ascii="宋体" w:hAnsi="宋体" w:eastAsia="宋体" w:cs="宋体"/>
                <w:color w:val="auto"/>
                <w:highlight w:val="none"/>
              </w:rPr>
            </w:pPr>
          </w:p>
        </w:tc>
        <w:tc>
          <w:tcPr>
            <w:tcW w:w="648" w:type="dxa"/>
            <w:tcBorders>
              <w:top w:val="single" w:color="auto" w:sz="4" w:space="0"/>
              <w:left w:val="single" w:color="auto" w:sz="4" w:space="0"/>
            </w:tcBorders>
            <w:shd w:val="clear" w:color="auto" w:fill="FFFFFF"/>
          </w:tcPr>
          <w:p w14:paraId="2171B56C">
            <w:pPr>
              <w:rPr>
                <w:rFonts w:hint="eastAsia" w:ascii="宋体" w:hAnsi="宋体" w:eastAsia="宋体" w:cs="宋体"/>
                <w:color w:val="auto"/>
                <w:highlight w:val="none"/>
              </w:rPr>
            </w:pPr>
          </w:p>
        </w:tc>
        <w:tc>
          <w:tcPr>
            <w:tcW w:w="1133" w:type="dxa"/>
            <w:tcBorders>
              <w:top w:val="single" w:color="auto" w:sz="4" w:space="0"/>
              <w:left w:val="single" w:color="auto" w:sz="4" w:space="0"/>
            </w:tcBorders>
            <w:shd w:val="clear" w:color="auto" w:fill="FFFFFF"/>
          </w:tcPr>
          <w:p w14:paraId="6B568A2F">
            <w:pPr>
              <w:rPr>
                <w:rFonts w:hint="eastAsia" w:ascii="宋体" w:hAnsi="宋体" w:eastAsia="宋体" w:cs="宋体"/>
                <w:color w:val="auto"/>
                <w:highlight w:val="none"/>
              </w:rPr>
            </w:pPr>
          </w:p>
        </w:tc>
        <w:tc>
          <w:tcPr>
            <w:tcW w:w="1142" w:type="dxa"/>
            <w:tcBorders>
              <w:top w:val="single" w:color="auto" w:sz="4" w:space="0"/>
              <w:left w:val="single" w:color="auto" w:sz="4" w:space="0"/>
              <w:right w:val="single" w:color="auto" w:sz="4" w:space="0"/>
            </w:tcBorders>
            <w:shd w:val="clear" w:color="auto" w:fill="FFFFFF"/>
          </w:tcPr>
          <w:p w14:paraId="7D188682">
            <w:pPr>
              <w:rPr>
                <w:rFonts w:hint="eastAsia" w:ascii="宋体" w:hAnsi="宋体" w:eastAsia="宋体" w:cs="宋体"/>
                <w:color w:val="auto"/>
                <w:highlight w:val="none"/>
              </w:rPr>
            </w:pPr>
          </w:p>
        </w:tc>
      </w:tr>
      <w:tr w14:paraId="553F7BB2">
        <w:tblPrEx>
          <w:tblCellMar>
            <w:top w:w="0" w:type="dxa"/>
            <w:left w:w="10" w:type="dxa"/>
            <w:bottom w:w="0" w:type="dxa"/>
            <w:right w:w="10" w:type="dxa"/>
          </w:tblCellMar>
        </w:tblPrEx>
        <w:trPr>
          <w:trHeight w:val="571" w:hRule="exact"/>
          <w:jc w:val="center"/>
        </w:trPr>
        <w:tc>
          <w:tcPr>
            <w:tcW w:w="1426" w:type="dxa"/>
            <w:vMerge w:val="continue"/>
            <w:tcBorders>
              <w:left w:val="single" w:color="auto" w:sz="4" w:space="0"/>
            </w:tcBorders>
            <w:shd w:val="clear" w:color="auto" w:fill="FFFFFF"/>
            <w:vAlign w:val="center"/>
          </w:tcPr>
          <w:p w14:paraId="112CE20B">
            <w:pPr>
              <w:rPr>
                <w:rFonts w:hint="eastAsia" w:ascii="宋体" w:hAnsi="宋体" w:eastAsia="宋体" w:cs="宋体"/>
                <w:color w:val="auto"/>
                <w:highlight w:val="none"/>
              </w:rPr>
            </w:pPr>
          </w:p>
        </w:tc>
        <w:tc>
          <w:tcPr>
            <w:tcW w:w="1421" w:type="dxa"/>
            <w:tcBorders>
              <w:top w:val="single" w:color="auto" w:sz="4" w:space="0"/>
              <w:left w:val="single" w:color="auto" w:sz="4" w:space="0"/>
            </w:tcBorders>
            <w:shd w:val="clear" w:color="auto" w:fill="FFFFFF"/>
            <w:vAlign w:val="center"/>
          </w:tcPr>
          <w:p w14:paraId="63093556">
            <w:pPr>
              <w:tabs>
                <w:tab w:val="left" w:leader="dot" w:pos="326"/>
              </w:tabs>
              <w:jc w:val="right"/>
              <w:rPr>
                <w:rFonts w:hint="eastAsia" w:ascii="宋体" w:hAnsi="宋体" w:eastAsia="宋体" w:cs="宋体"/>
                <w:color w:val="auto"/>
                <w:highlight w:val="none"/>
                <w:lang w:val="zh-CN" w:bidi="zh-CN"/>
              </w:rPr>
            </w:pPr>
            <w:r>
              <w:rPr>
                <w:rFonts w:hint="eastAsia" w:ascii="宋体" w:hAnsi="宋体" w:eastAsia="宋体" w:cs="宋体"/>
                <w:color w:val="auto"/>
                <w:highlight w:val="none"/>
                <w:lang w:eastAsia="en-US" w:bidi="en-US"/>
              </w:rPr>
              <w:tab/>
            </w:r>
          </w:p>
        </w:tc>
        <w:tc>
          <w:tcPr>
            <w:tcW w:w="643" w:type="dxa"/>
            <w:tcBorders>
              <w:top w:val="single" w:color="auto" w:sz="4" w:space="0"/>
              <w:left w:val="single" w:color="auto" w:sz="4" w:space="0"/>
            </w:tcBorders>
            <w:shd w:val="clear" w:color="auto" w:fill="FFFFFF"/>
          </w:tcPr>
          <w:p w14:paraId="6D668ED0">
            <w:pPr>
              <w:rPr>
                <w:rFonts w:hint="eastAsia" w:ascii="宋体" w:hAnsi="宋体" w:eastAsia="宋体" w:cs="宋体"/>
                <w:color w:val="auto"/>
                <w:highlight w:val="none"/>
              </w:rPr>
            </w:pPr>
          </w:p>
        </w:tc>
        <w:tc>
          <w:tcPr>
            <w:tcW w:w="648" w:type="dxa"/>
            <w:tcBorders>
              <w:top w:val="single" w:color="auto" w:sz="4" w:space="0"/>
              <w:left w:val="single" w:color="auto" w:sz="4" w:space="0"/>
            </w:tcBorders>
            <w:shd w:val="clear" w:color="auto" w:fill="FFFFFF"/>
          </w:tcPr>
          <w:p w14:paraId="50CCEB98">
            <w:pPr>
              <w:rPr>
                <w:rFonts w:hint="eastAsia" w:ascii="宋体" w:hAnsi="宋体" w:eastAsia="宋体" w:cs="宋体"/>
                <w:color w:val="auto"/>
                <w:highlight w:val="none"/>
              </w:rPr>
            </w:pPr>
          </w:p>
        </w:tc>
        <w:tc>
          <w:tcPr>
            <w:tcW w:w="643" w:type="dxa"/>
            <w:tcBorders>
              <w:top w:val="single" w:color="auto" w:sz="4" w:space="0"/>
              <w:left w:val="single" w:color="auto" w:sz="4" w:space="0"/>
            </w:tcBorders>
            <w:shd w:val="clear" w:color="auto" w:fill="FFFFFF"/>
          </w:tcPr>
          <w:p w14:paraId="6F7EFD7A">
            <w:pPr>
              <w:rPr>
                <w:rFonts w:hint="eastAsia" w:ascii="宋体" w:hAnsi="宋体" w:eastAsia="宋体" w:cs="宋体"/>
                <w:color w:val="auto"/>
                <w:highlight w:val="none"/>
              </w:rPr>
            </w:pPr>
          </w:p>
        </w:tc>
        <w:tc>
          <w:tcPr>
            <w:tcW w:w="648" w:type="dxa"/>
            <w:tcBorders>
              <w:top w:val="single" w:color="auto" w:sz="4" w:space="0"/>
              <w:left w:val="single" w:color="auto" w:sz="4" w:space="0"/>
            </w:tcBorders>
            <w:shd w:val="clear" w:color="auto" w:fill="FFFFFF"/>
          </w:tcPr>
          <w:p w14:paraId="014E1151">
            <w:pPr>
              <w:rPr>
                <w:rFonts w:hint="eastAsia" w:ascii="宋体" w:hAnsi="宋体" w:eastAsia="宋体" w:cs="宋体"/>
                <w:color w:val="auto"/>
                <w:highlight w:val="none"/>
              </w:rPr>
            </w:pPr>
          </w:p>
        </w:tc>
        <w:tc>
          <w:tcPr>
            <w:tcW w:w="648" w:type="dxa"/>
            <w:tcBorders>
              <w:top w:val="single" w:color="auto" w:sz="4" w:space="0"/>
              <w:left w:val="single" w:color="auto" w:sz="4" w:space="0"/>
            </w:tcBorders>
            <w:shd w:val="clear" w:color="auto" w:fill="FFFFFF"/>
          </w:tcPr>
          <w:p w14:paraId="5133FB04">
            <w:pPr>
              <w:rPr>
                <w:rFonts w:hint="eastAsia" w:ascii="宋体" w:hAnsi="宋体" w:eastAsia="宋体" w:cs="宋体"/>
                <w:color w:val="auto"/>
                <w:highlight w:val="none"/>
              </w:rPr>
            </w:pPr>
          </w:p>
        </w:tc>
        <w:tc>
          <w:tcPr>
            <w:tcW w:w="1133" w:type="dxa"/>
            <w:tcBorders>
              <w:top w:val="single" w:color="auto" w:sz="4" w:space="0"/>
              <w:left w:val="single" w:color="auto" w:sz="4" w:space="0"/>
            </w:tcBorders>
            <w:shd w:val="clear" w:color="auto" w:fill="FFFFFF"/>
          </w:tcPr>
          <w:p w14:paraId="5870117D">
            <w:pPr>
              <w:rPr>
                <w:rFonts w:hint="eastAsia" w:ascii="宋体" w:hAnsi="宋体" w:eastAsia="宋体" w:cs="宋体"/>
                <w:color w:val="auto"/>
                <w:highlight w:val="none"/>
              </w:rPr>
            </w:pPr>
          </w:p>
        </w:tc>
        <w:tc>
          <w:tcPr>
            <w:tcW w:w="1142" w:type="dxa"/>
            <w:tcBorders>
              <w:top w:val="single" w:color="auto" w:sz="4" w:space="0"/>
              <w:left w:val="single" w:color="auto" w:sz="4" w:space="0"/>
              <w:right w:val="single" w:color="auto" w:sz="4" w:space="0"/>
            </w:tcBorders>
            <w:shd w:val="clear" w:color="auto" w:fill="FFFFFF"/>
          </w:tcPr>
          <w:p w14:paraId="0CD57B79">
            <w:pPr>
              <w:rPr>
                <w:rFonts w:hint="eastAsia" w:ascii="宋体" w:hAnsi="宋体" w:eastAsia="宋体" w:cs="宋体"/>
                <w:color w:val="auto"/>
                <w:highlight w:val="none"/>
              </w:rPr>
            </w:pPr>
          </w:p>
        </w:tc>
      </w:tr>
      <w:tr w14:paraId="73E126B0">
        <w:tblPrEx>
          <w:tblCellMar>
            <w:top w:w="0" w:type="dxa"/>
            <w:left w:w="10" w:type="dxa"/>
            <w:bottom w:w="0" w:type="dxa"/>
            <w:right w:w="10" w:type="dxa"/>
          </w:tblCellMar>
        </w:tblPrEx>
        <w:trPr>
          <w:trHeight w:val="576" w:hRule="exact"/>
          <w:jc w:val="center"/>
        </w:trPr>
        <w:tc>
          <w:tcPr>
            <w:tcW w:w="6077" w:type="dxa"/>
            <w:gridSpan w:val="7"/>
            <w:tcBorders>
              <w:top w:val="single" w:color="auto" w:sz="4" w:space="0"/>
              <w:left w:val="single" w:color="auto" w:sz="4" w:space="0"/>
              <w:bottom w:val="single" w:color="auto" w:sz="4" w:space="0"/>
            </w:tcBorders>
            <w:shd w:val="clear" w:color="auto" w:fill="FFFFFF"/>
            <w:vAlign w:val="center"/>
          </w:tcPr>
          <w:p w14:paraId="63090150">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总 计</w:t>
            </w:r>
          </w:p>
        </w:tc>
        <w:tc>
          <w:tcPr>
            <w:tcW w:w="1133" w:type="dxa"/>
            <w:tcBorders>
              <w:top w:val="single" w:color="auto" w:sz="4" w:space="0"/>
              <w:left w:val="single" w:color="auto" w:sz="4" w:space="0"/>
              <w:bottom w:val="single" w:color="auto" w:sz="4" w:space="0"/>
            </w:tcBorders>
            <w:shd w:val="clear" w:color="auto" w:fill="FFFFFF"/>
          </w:tcPr>
          <w:p w14:paraId="422D1854">
            <w:pPr>
              <w:rPr>
                <w:rFonts w:hint="eastAsia" w:ascii="宋体" w:hAnsi="宋体" w:eastAsia="宋体" w:cs="宋体"/>
                <w:color w:val="auto"/>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tcPr>
          <w:p w14:paraId="61701EB2">
            <w:pPr>
              <w:rPr>
                <w:rFonts w:hint="eastAsia" w:ascii="宋体" w:hAnsi="宋体" w:eastAsia="宋体" w:cs="宋体"/>
                <w:color w:val="auto"/>
                <w:highlight w:val="none"/>
              </w:rPr>
            </w:pPr>
          </w:p>
        </w:tc>
      </w:tr>
    </w:tbl>
    <w:p w14:paraId="63AAF5E2">
      <w:pPr>
        <w:spacing w:after="299" w:line="1" w:lineRule="exact"/>
        <w:rPr>
          <w:rFonts w:hint="eastAsia" w:ascii="宋体" w:hAnsi="宋体" w:eastAsia="宋体" w:cs="宋体"/>
          <w:color w:val="auto"/>
          <w:highlight w:val="none"/>
        </w:rPr>
      </w:pPr>
    </w:p>
    <w:p w14:paraId="35FAB11E">
      <w:pPr>
        <w:tabs>
          <w:tab w:val="left" w:pos="0"/>
        </w:tabs>
        <w:spacing w:line="360" w:lineRule="auto"/>
        <w:ind w:right="-210"/>
        <w:rPr>
          <w:rFonts w:hint="eastAsia" w:ascii="宋体" w:hAnsi="宋体" w:eastAsia="宋体" w:cs="宋体"/>
          <w:color w:val="auto"/>
          <w:kern w:val="2"/>
          <w:highlight w:val="none"/>
        </w:rPr>
      </w:pPr>
      <w:bookmarkStart w:id="1379" w:name="bookmark2245"/>
      <w:bookmarkStart w:id="1380" w:name="bookmark2244"/>
      <w:bookmarkStart w:id="1381" w:name="bookmark2243"/>
    </w:p>
    <w:p w14:paraId="7FB53DF8">
      <w:pPr>
        <w:tabs>
          <w:tab w:val="left" w:pos="0"/>
        </w:tabs>
        <w:spacing w:line="480" w:lineRule="auto"/>
        <w:ind w:right="-210"/>
        <w:jc w:val="right"/>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w:t>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w:t>
      </w:r>
      <w:r>
        <w:rPr>
          <w:rFonts w:hint="eastAsia" w:ascii="宋体" w:hAnsi="宋体" w:eastAsia="宋体" w:cs="宋体"/>
          <w:color w:val="auto"/>
          <w:highlight w:val="none"/>
        </w:rPr>
        <w:t>电子公章）</w:t>
      </w:r>
    </w:p>
    <w:p w14:paraId="7D15620D">
      <w:pPr>
        <w:tabs>
          <w:tab w:val="left" w:pos="0"/>
        </w:tabs>
        <w:spacing w:line="480" w:lineRule="auto"/>
        <w:ind w:right="-210"/>
        <w:jc w:val="right"/>
        <w:rPr>
          <w:rFonts w:hint="eastAsia" w:ascii="宋体" w:hAnsi="宋体" w:eastAsia="宋体" w:cs="宋体"/>
          <w:color w:val="auto"/>
          <w:kern w:val="2"/>
          <w:highlight w:val="none"/>
        </w:rPr>
      </w:pPr>
      <w:r>
        <w:rPr>
          <w:rFonts w:hint="eastAsia" w:ascii="宋体" w:hAnsi="宋体" w:eastAsia="宋体" w:cs="宋体"/>
          <w:color w:val="auto"/>
          <w:kern w:val="2"/>
          <w:highlight w:val="none"/>
        </w:rPr>
        <w:t>法定代表人（负责人）或授权委托代理人：</w:t>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rPr>
        <w:t>（签字</w:t>
      </w:r>
      <w:r>
        <w:rPr>
          <w:rFonts w:hint="eastAsia" w:ascii="宋体" w:hAnsi="宋体" w:eastAsia="宋体" w:cs="宋体"/>
          <w:color w:val="auto"/>
          <w:kern w:val="2"/>
          <w:highlight w:val="none"/>
          <w:lang w:val="en-US" w:eastAsia="zh-CN"/>
        </w:rPr>
        <w:t>或盖章</w:t>
      </w:r>
      <w:r>
        <w:rPr>
          <w:rFonts w:hint="eastAsia" w:ascii="宋体" w:hAnsi="宋体" w:eastAsia="宋体" w:cs="宋体"/>
          <w:color w:val="auto"/>
          <w:kern w:val="2"/>
          <w:highlight w:val="none"/>
        </w:rPr>
        <w:t>）</w:t>
      </w:r>
    </w:p>
    <w:p w14:paraId="57FBB93A">
      <w:pPr>
        <w:tabs>
          <w:tab w:val="left" w:pos="0"/>
        </w:tabs>
        <w:spacing w:line="480" w:lineRule="auto"/>
        <w:ind w:right="420" w:rightChars="0"/>
        <w:jc w:val="right"/>
        <w:rPr>
          <w:rFonts w:hint="eastAsia" w:ascii="宋体" w:hAnsi="宋体" w:eastAsia="宋体" w:cs="宋体"/>
          <w:color w:val="auto"/>
          <w:kern w:val="2"/>
          <w:highlight w:val="none"/>
        </w:rPr>
      </w:pP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rPr>
        <w:t>年</w:t>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rPr>
        <w:t>月</w:t>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rPr>
        <w:t>日</w:t>
      </w:r>
    </w:p>
    <w:p w14:paraId="114F6E80">
      <w:pPr>
        <w:widowControl/>
        <w:jc w:val="left"/>
        <w:rPr>
          <w:rFonts w:hint="eastAsia" w:ascii="宋体" w:hAnsi="宋体" w:eastAsia="宋体" w:cs="宋体"/>
          <w:color w:val="auto"/>
          <w:sz w:val="20"/>
          <w:szCs w:val="20"/>
          <w:highlight w:val="none"/>
          <w:lang w:val="zh-CN" w:bidi="zh-CN"/>
        </w:rPr>
      </w:pPr>
      <w:r>
        <w:rPr>
          <w:rFonts w:hint="eastAsia" w:ascii="宋体" w:hAnsi="宋体" w:eastAsia="宋体" w:cs="宋体"/>
          <w:color w:val="auto"/>
          <w:sz w:val="20"/>
          <w:szCs w:val="20"/>
          <w:highlight w:val="none"/>
          <w:lang w:val="zh-CN" w:bidi="zh-CN"/>
        </w:rPr>
        <w:br w:type="page"/>
      </w:r>
    </w:p>
    <w:p w14:paraId="099929B9">
      <w:pPr>
        <w:rPr>
          <w:rFonts w:hint="eastAsia" w:ascii="宋体" w:hAnsi="宋体" w:eastAsia="宋体" w:cs="宋体"/>
          <w:b/>
          <w:color w:val="auto"/>
          <w:highlight w:val="none"/>
        </w:rPr>
      </w:pPr>
      <w:r>
        <w:rPr>
          <w:rFonts w:hint="eastAsia" w:ascii="宋体" w:hAnsi="宋体" w:eastAsia="宋体" w:cs="宋体"/>
          <w:b/>
          <w:color w:val="auto"/>
          <w:highlight w:val="none"/>
        </w:rPr>
        <w:t>附件四：拟投入本合同工程的材料进场计划表</w:t>
      </w:r>
      <w:bookmarkEnd w:id="1379"/>
      <w:bookmarkEnd w:id="1380"/>
      <w:bookmarkEnd w:id="1381"/>
    </w:p>
    <w:p w14:paraId="7486468F">
      <w:pPr>
        <w:rPr>
          <w:rFonts w:hint="eastAsia" w:ascii="宋体" w:hAnsi="宋体" w:eastAsia="宋体" w:cs="宋体"/>
          <w:b/>
          <w:color w:val="auto"/>
          <w:sz w:val="20"/>
          <w:szCs w:val="20"/>
          <w:highlight w:val="none"/>
        </w:rPr>
      </w:pPr>
    </w:p>
    <w:p w14:paraId="74FB4EC5">
      <w:pPr>
        <w:rPr>
          <w:rFonts w:hint="eastAsia" w:ascii="宋体" w:hAnsi="宋体" w:eastAsia="宋体" w:cs="宋体"/>
          <w:b/>
          <w:color w:val="auto"/>
          <w:sz w:val="20"/>
          <w:szCs w:val="20"/>
          <w:highlight w:val="none"/>
        </w:rPr>
      </w:pPr>
    </w:p>
    <w:p w14:paraId="2565ADCD">
      <w:pPr>
        <w:jc w:val="center"/>
        <w:rPr>
          <w:rFonts w:hint="eastAsia" w:ascii="宋体" w:hAnsi="宋体" w:eastAsia="宋体" w:cs="宋体"/>
          <w:b/>
          <w:color w:val="auto"/>
          <w:highlight w:val="none"/>
        </w:rPr>
      </w:pPr>
      <w:bookmarkStart w:id="1382" w:name="bookmark2247"/>
      <w:bookmarkStart w:id="1383" w:name="bookmark2246"/>
      <w:bookmarkStart w:id="1384" w:name="_Toc16851"/>
      <w:bookmarkStart w:id="1385" w:name="_Toc16708"/>
      <w:bookmarkStart w:id="1386" w:name="bookmark2248"/>
      <w:r>
        <w:rPr>
          <w:rFonts w:hint="eastAsia" w:ascii="宋体" w:hAnsi="宋体" w:eastAsia="宋体" w:cs="宋体"/>
          <w:b/>
          <w:color w:val="auto"/>
          <w:highlight w:val="none"/>
        </w:rPr>
        <w:t>拟投入本合同工程的材料进场计划表</w:t>
      </w:r>
      <w:bookmarkEnd w:id="1382"/>
      <w:bookmarkEnd w:id="1383"/>
      <w:bookmarkEnd w:id="1384"/>
      <w:bookmarkEnd w:id="1385"/>
      <w:bookmarkEnd w:id="1386"/>
    </w:p>
    <w:p w14:paraId="5F99964F">
      <w:pPr>
        <w:jc w:val="center"/>
        <w:rPr>
          <w:rFonts w:hint="eastAsia" w:ascii="宋体" w:hAnsi="宋体" w:eastAsia="宋体" w:cs="宋体"/>
          <w:b/>
          <w:color w:val="auto"/>
          <w:highlight w:val="none"/>
        </w:rPr>
      </w:pPr>
    </w:p>
    <w:p w14:paraId="21F0DDB8">
      <w:pPr>
        <w:jc w:val="center"/>
        <w:rPr>
          <w:rFonts w:hint="eastAsia" w:ascii="宋体" w:hAnsi="宋体" w:eastAsia="宋体" w:cs="宋体"/>
          <w:b/>
          <w:color w:val="auto"/>
          <w:highlight w:val="none"/>
        </w:rPr>
      </w:pPr>
    </w:p>
    <w:tbl>
      <w:tblPr>
        <w:tblStyle w:val="13"/>
        <w:tblW w:w="8351" w:type="dxa"/>
        <w:jc w:val="center"/>
        <w:tblLayout w:type="fixed"/>
        <w:tblCellMar>
          <w:top w:w="0" w:type="dxa"/>
          <w:left w:w="10" w:type="dxa"/>
          <w:bottom w:w="0" w:type="dxa"/>
          <w:right w:w="10" w:type="dxa"/>
        </w:tblCellMar>
      </w:tblPr>
      <w:tblGrid>
        <w:gridCol w:w="1090"/>
        <w:gridCol w:w="902"/>
        <w:gridCol w:w="907"/>
        <w:gridCol w:w="907"/>
        <w:gridCol w:w="907"/>
        <w:gridCol w:w="912"/>
        <w:gridCol w:w="902"/>
        <w:gridCol w:w="907"/>
        <w:gridCol w:w="917"/>
      </w:tblGrid>
      <w:tr w14:paraId="129E7664">
        <w:tblPrEx>
          <w:tblCellMar>
            <w:top w:w="0" w:type="dxa"/>
            <w:left w:w="10" w:type="dxa"/>
            <w:bottom w:w="0" w:type="dxa"/>
            <w:right w:w="10" w:type="dxa"/>
          </w:tblCellMar>
        </w:tblPrEx>
        <w:trPr>
          <w:trHeight w:val="576" w:hRule="exact"/>
          <w:jc w:val="center"/>
        </w:trPr>
        <w:tc>
          <w:tcPr>
            <w:tcW w:w="1090" w:type="dxa"/>
            <w:vMerge w:val="restart"/>
            <w:tcBorders>
              <w:top w:val="single" w:color="auto" w:sz="4" w:space="0"/>
              <w:left w:val="single" w:color="auto" w:sz="4" w:space="0"/>
            </w:tcBorders>
            <w:shd w:val="clear" w:color="auto" w:fill="FFFFFF"/>
            <w:vAlign w:val="center"/>
          </w:tcPr>
          <w:p w14:paraId="69A3FE6A">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名称</w:t>
            </w:r>
          </w:p>
        </w:tc>
        <w:tc>
          <w:tcPr>
            <w:tcW w:w="902" w:type="dxa"/>
            <w:vMerge w:val="restart"/>
            <w:tcBorders>
              <w:top w:val="single" w:color="auto" w:sz="4" w:space="0"/>
              <w:left w:val="single" w:color="auto" w:sz="4" w:space="0"/>
            </w:tcBorders>
            <w:shd w:val="clear" w:color="auto" w:fill="FFFFFF"/>
            <w:vAlign w:val="center"/>
          </w:tcPr>
          <w:p w14:paraId="4CDAC850">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规格</w:t>
            </w:r>
          </w:p>
        </w:tc>
        <w:tc>
          <w:tcPr>
            <w:tcW w:w="907" w:type="dxa"/>
            <w:vMerge w:val="restart"/>
            <w:tcBorders>
              <w:top w:val="single" w:color="auto" w:sz="4" w:space="0"/>
              <w:left w:val="single" w:color="auto" w:sz="4" w:space="0"/>
            </w:tcBorders>
            <w:shd w:val="clear" w:color="auto" w:fill="FFFFFF"/>
            <w:vAlign w:val="center"/>
          </w:tcPr>
          <w:p w14:paraId="74977364">
            <w:pPr>
              <w:spacing w:line="269" w:lineRule="exact"/>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计量单位</w:t>
            </w:r>
          </w:p>
        </w:tc>
        <w:tc>
          <w:tcPr>
            <w:tcW w:w="4535" w:type="dxa"/>
            <w:gridSpan w:val="5"/>
            <w:tcBorders>
              <w:top w:val="single" w:color="auto" w:sz="4" w:space="0"/>
              <w:left w:val="single" w:color="auto" w:sz="4" w:space="0"/>
            </w:tcBorders>
            <w:shd w:val="clear" w:color="auto" w:fill="FFFFFF"/>
            <w:vAlign w:val="center"/>
          </w:tcPr>
          <w:p w14:paraId="31214A88">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数量</w:t>
            </w:r>
          </w:p>
        </w:tc>
        <w:tc>
          <w:tcPr>
            <w:tcW w:w="917" w:type="dxa"/>
            <w:vMerge w:val="restart"/>
            <w:tcBorders>
              <w:top w:val="single" w:color="auto" w:sz="4" w:space="0"/>
              <w:left w:val="single" w:color="auto" w:sz="4" w:space="0"/>
              <w:right w:val="single" w:color="auto" w:sz="4" w:space="0"/>
            </w:tcBorders>
            <w:shd w:val="clear" w:color="auto" w:fill="FFFFFF"/>
            <w:vAlign w:val="center"/>
          </w:tcPr>
          <w:p w14:paraId="4101AB54">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备注</w:t>
            </w:r>
          </w:p>
        </w:tc>
      </w:tr>
      <w:tr w14:paraId="071E1EF4">
        <w:tblPrEx>
          <w:tblCellMar>
            <w:top w:w="0" w:type="dxa"/>
            <w:left w:w="10" w:type="dxa"/>
            <w:bottom w:w="0" w:type="dxa"/>
            <w:right w:w="10" w:type="dxa"/>
          </w:tblCellMar>
        </w:tblPrEx>
        <w:trPr>
          <w:trHeight w:val="566" w:hRule="exact"/>
          <w:jc w:val="center"/>
        </w:trPr>
        <w:tc>
          <w:tcPr>
            <w:tcW w:w="1090" w:type="dxa"/>
            <w:vMerge w:val="continue"/>
            <w:tcBorders>
              <w:left w:val="single" w:color="auto" w:sz="4" w:space="0"/>
            </w:tcBorders>
            <w:shd w:val="clear" w:color="auto" w:fill="FFFFFF"/>
            <w:vAlign w:val="center"/>
          </w:tcPr>
          <w:p w14:paraId="63E7F8BA">
            <w:pPr>
              <w:jc w:val="center"/>
              <w:rPr>
                <w:rFonts w:hint="eastAsia" w:ascii="宋体" w:hAnsi="宋体" w:eastAsia="宋体" w:cs="宋体"/>
                <w:color w:val="auto"/>
                <w:highlight w:val="none"/>
              </w:rPr>
            </w:pPr>
          </w:p>
        </w:tc>
        <w:tc>
          <w:tcPr>
            <w:tcW w:w="902" w:type="dxa"/>
            <w:vMerge w:val="continue"/>
            <w:tcBorders>
              <w:left w:val="single" w:color="auto" w:sz="4" w:space="0"/>
            </w:tcBorders>
            <w:shd w:val="clear" w:color="auto" w:fill="FFFFFF"/>
            <w:vAlign w:val="center"/>
          </w:tcPr>
          <w:p w14:paraId="3D80BD2D">
            <w:pPr>
              <w:jc w:val="center"/>
              <w:rPr>
                <w:rFonts w:hint="eastAsia" w:ascii="宋体" w:hAnsi="宋体" w:eastAsia="宋体" w:cs="宋体"/>
                <w:color w:val="auto"/>
                <w:highlight w:val="none"/>
              </w:rPr>
            </w:pPr>
          </w:p>
        </w:tc>
        <w:tc>
          <w:tcPr>
            <w:tcW w:w="907" w:type="dxa"/>
            <w:vMerge w:val="continue"/>
            <w:tcBorders>
              <w:left w:val="single" w:color="auto" w:sz="4" w:space="0"/>
            </w:tcBorders>
            <w:shd w:val="clear" w:color="auto" w:fill="FFFFFF"/>
            <w:vAlign w:val="center"/>
          </w:tcPr>
          <w:p w14:paraId="5A16A6B3">
            <w:pPr>
              <w:jc w:val="cente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vAlign w:val="center"/>
          </w:tcPr>
          <w:p w14:paraId="5515DB86">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总量</w:t>
            </w:r>
          </w:p>
        </w:tc>
        <w:tc>
          <w:tcPr>
            <w:tcW w:w="907" w:type="dxa"/>
            <w:tcBorders>
              <w:top w:val="single" w:color="auto" w:sz="4" w:space="0"/>
              <w:left w:val="single" w:color="auto" w:sz="4" w:space="0"/>
            </w:tcBorders>
            <w:shd w:val="clear" w:color="auto" w:fill="FFFFFF"/>
            <w:vAlign w:val="center"/>
          </w:tcPr>
          <w:p w14:paraId="1B2BD912">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月</w:t>
            </w:r>
          </w:p>
        </w:tc>
        <w:tc>
          <w:tcPr>
            <w:tcW w:w="912" w:type="dxa"/>
            <w:tcBorders>
              <w:top w:val="single" w:color="auto" w:sz="4" w:space="0"/>
              <w:left w:val="single" w:color="auto" w:sz="4" w:space="0"/>
            </w:tcBorders>
            <w:shd w:val="clear" w:color="auto" w:fill="FFFFFF"/>
            <w:vAlign w:val="center"/>
          </w:tcPr>
          <w:p w14:paraId="3E03F8EA">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月</w:t>
            </w:r>
          </w:p>
        </w:tc>
        <w:tc>
          <w:tcPr>
            <w:tcW w:w="902" w:type="dxa"/>
            <w:tcBorders>
              <w:top w:val="single" w:color="auto" w:sz="4" w:space="0"/>
              <w:left w:val="single" w:color="auto" w:sz="4" w:space="0"/>
            </w:tcBorders>
            <w:shd w:val="clear" w:color="auto" w:fill="FFFFFF"/>
            <w:vAlign w:val="center"/>
          </w:tcPr>
          <w:p w14:paraId="36C3BE29">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月</w:t>
            </w:r>
          </w:p>
        </w:tc>
        <w:tc>
          <w:tcPr>
            <w:tcW w:w="907" w:type="dxa"/>
            <w:tcBorders>
              <w:top w:val="single" w:color="auto" w:sz="4" w:space="0"/>
              <w:left w:val="single" w:color="auto" w:sz="4" w:space="0"/>
            </w:tcBorders>
            <w:shd w:val="clear" w:color="auto" w:fill="FFFFFF"/>
            <w:vAlign w:val="center"/>
          </w:tcPr>
          <w:p w14:paraId="48732ACC">
            <w:pPr>
              <w:ind w:right="380"/>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月</w:t>
            </w:r>
          </w:p>
        </w:tc>
        <w:tc>
          <w:tcPr>
            <w:tcW w:w="917" w:type="dxa"/>
            <w:vMerge w:val="continue"/>
            <w:tcBorders>
              <w:left w:val="single" w:color="auto" w:sz="4" w:space="0"/>
              <w:right w:val="single" w:color="auto" w:sz="4" w:space="0"/>
            </w:tcBorders>
            <w:shd w:val="clear" w:color="auto" w:fill="FFFFFF"/>
            <w:vAlign w:val="center"/>
          </w:tcPr>
          <w:p w14:paraId="532820ED">
            <w:pPr>
              <w:jc w:val="center"/>
              <w:rPr>
                <w:rFonts w:hint="eastAsia" w:ascii="宋体" w:hAnsi="宋体" w:eastAsia="宋体" w:cs="宋体"/>
                <w:color w:val="auto"/>
                <w:highlight w:val="none"/>
              </w:rPr>
            </w:pPr>
          </w:p>
        </w:tc>
      </w:tr>
      <w:tr w14:paraId="2AFAA473">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2579D29C">
            <w:pPr>
              <w:jc w:val="center"/>
              <w:rPr>
                <w:rFonts w:hint="eastAsia" w:ascii="宋体" w:hAnsi="宋体" w:eastAsia="宋体" w:cs="宋体"/>
                <w:color w:val="auto"/>
                <w:highlight w:val="none"/>
              </w:rPr>
            </w:pPr>
          </w:p>
        </w:tc>
        <w:tc>
          <w:tcPr>
            <w:tcW w:w="902" w:type="dxa"/>
            <w:tcBorders>
              <w:top w:val="single" w:color="auto" w:sz="4" w:space="0"/>
              <w:left w:val="single" w:color="auto" w:sz="4" w:space="0"/>
            </w:tcBorders>
            <w:shd w:val="clear" w:color="auto" w:fill="FFFFFF"/>
            <w:vAlign w:val="center"/>
          </w:tcPr>
          <w:p w14:paraId="0892E43E">
            <w:pPr>
              <w:jc w:val="cente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vAlign w:val="center"/>
          </w:tcPr>
          <w:p w14:paraId="6ED30F62">
            <w:pPr>
              <w:jc w:val="cente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vAlign w:val="center"/>
          </w:tcPr>
          <w:p w14:paraId="24BF3C0B">
            <w:pPr>
              <w:jc w:val="cente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vAlign w:val="center"/>
          </w:tcPr>
          <w:p w14:paraId="1031C2BE">
            <w:pPr>
              <w:jc w:val="center"/>
              <w:rPr>
                <w:rFonts w:hint="eastAsia" w:ascii="宋体" w:hAnsi="宋体" w:eastAsia="宋体" w:cs="宋体"/>
                <w:color w:val="auto"/>
                <w:highlight w:val="none"/>
              </w:rPr>
            </w:pPr>
          </w:p>
        </w:tc>
        <w:tc>
          <w:tcPr>
            <w:tcW w:w="912" w:type="dxa"/>
            <w:tcBorders>
              <w:top w:val="single" w:color="auto" w:sz="4" w:space="0"/>
              <w:left w:val="single" w:color="auto" w:sz="4" w:space="0"/>
            </w:tcBorders>
            <w:shd w:val="clear" w:color="auto" w:fill="FFFFFF"/>
            <w:vAlign w:val="center"/>
          </w:tcPr>
          <w:p w14:paraId="01234E87">
            <w:pPr>
              <w:jc w:val="center"/>
              <w:rPr>
                <w:rFonts w:hint="eastAsia" w:ascii="宋体" w:hAnsi="宋体" w:eastAsia="宋体" w:cs="宋体"/>
                <w:color w:val="auto"/>
                <w:highlight w:val="none"/>
              </w:rPr>
            </w:pPr>
          </w:p>
        </w:tc>
        <w:tc>
          <w:tcPr>
            <w:tcW w:w="902" w:type="dxa"/>
            <w:tcBorders>
              <w:top w:val="single" w:color="auto" w:sz="4" w:space="0"/>
              <w:left w:val="single" w:color="auto" w:sz="4" w:space="0"/>
            </w:tcBorders>
            <w:shd w:val="clear" w:color="auto" w:fill="FFFFFF"/>
            <w:vAlign w:val="center"/>
          </w:tcPr>
          <w:p w14:paraId="37D978EA">
            <w:pPr>
              <w:jc w:val="cente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vAlign w:val="center"/>
          </w:tcPr>
          <w:p w14:paraId="5A620791">
            <w:pPr>
              <w:jc w:val="center"/>
              <w:rPr>
                <w:rFonts w:hint="eastAsia" w:ascii="宋体" w:hAnsi="宋体" w:eastAsia="宋体" w:cs="宋体"/>
                <w:color w:val="auto"/>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14:paraId="59B92E04">
            <w:pPr>
              <w:jc w:val="center"/>
              <w:rPr>
                <w:rFonts w:hint="eastAsia" w:ascii="宋体" w:hAnsi="宋体" w:eastAsia="宋体" w:cs="宋体"/>
                <w:color w:val="auto"/>
                <w:highlight w:val="none"/>
              </w:rPr>
            </w:pPr>
          </w:p>
        </w:tc>
      </w:tr>
      <w:tr w14:paraId="557B9E00">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4FBB307D">
            <w:pPr>
              <w:jc w:val="center"/>
              <w:rPr>
                <w:rFonts w:hint="eastAsia" w:ascii="宋体" w:hAnsi="宋体" w:eastAsia="宋体" w:cs="宋体"/>
                <w:color w:val="auto"/>
                <w:highlight w:val="none"/>
              </w:rPr>
            </w:pPr>
          </w:p>
        </w:tc>
        <w:tc>
          <w:tcPr>
            <w:tcW w:w="902" w:type="dxa"/>
            <w:tcBorders>
              <w:top w:val="single" w:color="auto" w:sz="4" w:space="0"/>
              <w:left w:val="single" w:color="auto" w:sz="4" w:space="0"/>
            </w:tcBorders>
            <w:shd w:val="clear" w:color="auto" w:fill="FFFFFF"/>
            <w:vAlign w:val="center"/>
          </w:tcPr>
          <w:p w14:paraId="50111453">
            <w:pPr>
              <w:jc w:val="cente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vAlign w:val="center"/>
          </w:tcPr>
          <w:p w14:paraId="3AAEC263">
            <w:pPr>
              <w:jc w:val="cente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vAlign w:val="center"/>
          </w:tcPr>
          <w:p w14:paraId="17686207">
            <w:pPr>
              <w:jc w:val="cente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vAlign w:val="center"/>
          </w:tcPr>
          <w:p w14:paraId="17C88646">
            <w:pPr>
              <w:jc w:val="center"/>
              <w:rPr>
                <w:rFonts w:hint="eastAsia" w:ascii="宋体" w:hAnsi="宋体" w:eastAsia="宋体" w:cs="宋体"/>
                <w:color w:val="auto"/>
                <w:highlight w:val="none"/>
              </w:rPr>
            </w:pPr>
          </w:p>
        </w:tc>
        <w:tc>
          <w:tcPr>
            <w:tcW w:w="912" w:type="dxa"/>
            <w:tcBorders>
              <w:top w:val="single" w:color="auto" w:sz="4" w:space="0"/>
              <w:left w:val="single" w:color="auto" w:sz="4" w:space="0"/>
            </w:tcBorders>
            <w:shd w:val="clear" w:color="auto" w:fill="FFFFFF"/>
            <w:vAlign w:val="center"/>
          </w:tcPr>
          <w:p w14:paraId="04520F38">
            <w:pPr>
              <w:jc w:val="center"/>
              <w:rPr>
                <w:rFonts w:hint="eastAsia" w:ascii="宋体" w:hAnsi="宋体" w:eastAsia="宋体" w:cs="宋体"/>
                <w:color w:val="auto"/>
                <w:highlight w:val="none"/>
              </w:rPr>
            </w:pPr>
          </w:p>
        </w:tc>
        <w:tc>
          <w:tcPr>
            <w:tcW w:w="902" w:type="dxa"/>
            <w:tcBorders>
              <w:top w:val="single" w:color="auto" w:sz="4" w:space="0"/>
              <w:left w:val="single" w:color="auto" w:sz="4" w:space="0"/>
            </w:tcBorders>
            <w:shd w:val="clear" w:color="auto" w:fill="FFFFFF"/>
            <w:vAlign w:val="center"/>
          </w:tcPr>
          <w:p w14:paraId="606F18C0">
            <w:pPr>
              <w:jc w:val="cente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vAlign w:val="center"/>
          </w:tcPr>
          <w:p w14:paraId="2BB55460">
            <w:pPr>
              <w:jc w:val="center"/>
              <w:rPr>
                <w:rFonts w:hint="eastAsia" w:ascii="宋体" w:hAnsi="宋体" w:eastAsia="宋体" w:cs="宋体"/>
                <w:color w:val="auto"/>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14:paraId="0509A857">
            <w:pPr>
              <w:jc w:val="center"/>
              <w:rPr>
                <w:rFonts w:hint="eastAsia" w:ascii="宋体" w:hAnsi="宋体" w:eastAsia="宋体" w:cs="宋体"/>
                <w:color w:val="auto"/>
                <w:highlight w:val="none"/>
              </w:rPr>
            </w:pPr>
          </w:p>
        </w:tc>
      </w:tr>
      <w:tr w14:paraId="2A722152">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7C16A1A4">
            <w:pPr>
              <w:jc w:val="center"/>
              <w:rPr>
                <w:rFonts w:hint="eastAsia" w:ascii="宋体" w:hAnsi="宋体" w:eastAsia="宋体" w:cs="宋体"/>
                <w:color w:val="auto"/>
                <w:highlight w:val="none"/>
              </w:rPr>
            </w:pPr>
          </w:p>
        </w:tc>
        <w:tc>
          <w:tcPr>
            <w:tcW w:w="902" w:type="dxa"/>
            <w:tcBorders>
              <w:top w:val="single" w:color="auto" w:sz="4" w:space="0"/>
              <w:left w:val="single" w:color="auto" w:sz="4" w:space="0"/>
            </w:tcBorders>
            <w:shd w:val="clear" w:color="auto" w:fill="FFFFFF"/>
            <w:vAlign w:val="center"/>
          </w:tcPr>
          <w:p w14:paraId="46D6AAF3">
            <w:pPr>
              <w:jc w:val="cente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vAlign w:val="center"/>
          </w:tcPr>
          <w:p w14:paraId="302E113C">
            <w:pPr>
              <w:jc w:val="cente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vAlign w:val="center"/>
          </w:tcPr>
          <w:p w14:paraId="72474659">
            <w:pPr>
              <w:jc w:val="cente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vAlign w:val="center"/>
          </w:tcPr>
          <w:p w14:paraId="48F7AE16">
            <w:pPr>
              <w:jc w:val="center"/>
              <w:rPr>
                <w:rFonts w:hint="eastAsia" w:ascii="宋体" w:hAnsi="宋体" w:eastAsia="宋体" w:cs="宋体"/>
                <w:color w:val="auto"/>
                <w:highlight w:val="none"/>
              </w:rPr>
            </w:pPr>
          </w:p>
        </w:tc>
        <w:tc>
          <w:tcPr>
            <w:tcW w:w="912" w:type="dxa"/>
            <w:tcBorders>
              <w:top w:val="single" w:color="auto" w:sz="4" w:space="0"/>
              <w:left w:val="single" w:color="auto" w:sz="4" w:space="0"/>
            </w:tcBorders>
            <w:shd w:val="clear" w:color="auto" w:fill="FFFFFF"/>
            <w:vAlign w:val="center"/>
          </w:tcPr>
          <w:p w14:paraId="35A1196E">
            <w:pPr>
              <w:jc w:val="center"/>
              <w:rPr>
                <w:rFonts w:hint="eastAsia" w:ascii="宋体" w:hAnsi="宋体" w:eastAsia="宋体" w:cs="宋体"/>
                <w:color w:val="auto"/>
                <w:highlight w:val="none"/>
              </w:rPr>
            </w:pPr>
          </w:p>
        </w:tc>
        <w:tc>
          <w:tcPr>
            <w:tcW w:w="902" w:type="dxa"/>
            <w:tcBorders>
              <w:top w:val="single" w:color="auto" w:sz="4" w:space="0"/>
              <w:left w:val="single" w:color="auto" w:sz="4" w:space="0"/>
            </w:tcBorders>
            <w:shd w:val="clear" w:color="auto" w:fill="FFFFFF"/>
            <w:vAlign w:val="center"/>
          </w:tcPr>
          <w:p w14:paraId="2FA180AF">
            <w:pPr>
              <w:jc w:val="cente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vAlign w:val="center"/>
          </w:tcPr>
          <w:p w14:paraId="5116394C">
            <w:pPr>
              <w:jc w:val="center"/>
              <w:rPr>
                <w:rFonts w:hint="eastAsia" w:ascii="宋体" w:hAnsi="宋体" w:eastAsia="宋体" w:cs="宋体"/>
                <w:color w:val="auto"/>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14:paraId="55CA25BB">
            <w:pPr>
              <w:jc w:val="center"/>
              <w:rPr>
                <w:rFonts w:hint="eastAsia" w:ascii="宋体" w:hAnsi="宋体" w:eastAsia="宋体" w:cs="宋体"/>
                <w:color w:val="auto"/>
                <w:highlight w:val="none"/>
              </w:rPr>
            </w:pPr>
          </w:p>
        </w:tc>
      </w:tr>
      <w:tr w14:paraId="3585C58C">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3401451D">
            <w:pPr>
              <w:jc w:val="center"/>
              <w:rPr>
                <w:rFonts w:hint="eastAsia" w:ascii="宋体" w:hAnsi="宋体" w:eastAsia="宋体" w:cs="宋体"/>
                <w:color w:val="auto"/>
                <w:highlight w:val="none"/>
              </w:rPr>
            </w:pPr>
          </w:p>
        </w:tc>
        <w:tc>
          <w:tcPr>
            <w:tcW w:w="902" w:type="dxa"/>
            <w:tcBorders>
              <w:top w:val="single" w:color="auto" w:sz="4" w:space="0"/>
              <w:left w:val="single" w:color="auto" w:sz="4" w:space="0"/>
            </w:tcBorders>
            <w:shd w:val="clear" w:color="auto" w:fill="FFFFFF"/>
            <w:vAlign w:val="center"/>
          </w:tcPr>
          <w:p w14:paraId="3D6D285D">
            <w:pPr>
              <w:jc w:val="cente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vAlign w:val="center"/>
          </w:tcPr>
          <w:p w14:paraId="4E84C761">
            <w:pPr>
              <w:jc w:val="cente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vAlign w:val="center"/>
          </w:tcPr>
          <w:p w14:paraId="318AF0E3">
            <w:pPr>
              <w:jc w:val="cente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vAlign w:val="center"/>
          </w:tcPr>
          <w:p w14:paraId="65F4E507">
            <w:pPr>
              <w:jc w:val="center"/>
              <w:rPr>
                <w:rFonts w:hint="eastAsia" w:ascii="宋体" w:hAnsi="宋体" w:eastAsia="宋体" w:cs="宋体"/>
                <w:color w:val="auto"/>
                <w:highlight w:val="none"/>
              </w:rPr>
            </w:pPr>
          </w:p>
        </w:tc>
        <w:tc>
          <w:tcPr>
            <w:tcW w:w="912" w:type="dxa"/>
            <w:tcBorders>
              <w:top w:val="single" w:color="auto" w:sz="4" w:space="0"/>
              <w:left w:val="single" w:color="auto" w:sz="4" w:space="0"/>
            </w:tcBorders>
            <w:shd w:val="clear" w:color="auto" w:fill="FFFFFF"/>
            <w:vAlign w:val="center"/>
          </w:tcPr>
          <w:p w14:paraId="1E9AA6EA">
            <w:pPr>
              <w:jc w:val="center"/>
              <w:rPr>
                <w:rFonts w:hint="eastAsia" w:ascii="宋体" w:hAnsi="宋体" w:eastAsia="宋体" w:cs="宋体"/>
                <w:color w:val="auto"/>
                <w:highlight w:val="none"/>
              </w:rPr>
            </w:pPr>
          </w:p>
        </w:tc>
        <w:tc>
          <w:tcPr>
            <w:tcW w:w="902" w:type="dxa"/>
            <w:tcBorders>
              <w:top w:val="single" w:color="auto" w:sz="4" w:space="0"/>
              <w:left w:val="single" w:color="auto" w:sz="4" w:space="0"/>
            </w:tcBorders>
            <w:shd w:val="clear" w:color="auto" w:fill="FFFFFF"/>
            <w:vAlign w:val="center"/>
          </w:tcPr>
          <w:p w14:paraId="1ABCAF93">
            <w:pPr>
              <w:jc w:val="cente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vAlign w:val="center"/>
          </w:tcPr>
          <w:p w14:paraId="4E898ECC">
            <w:pPr>
              <w:jc w:val="center"/>
              <w:rPr>
                <w:rFonts w:hint="eastAsia" w:ascii="宋体" w:hAnsi="宋体" w:eastAsia="宋体" w:cs="宋体"/>
                <w:color w:val="auto"/>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14:paraId="644B1109">
            <w:pPr>
              <w:jc w:val="center"/>
              <w:rPr>
                <w:rFonts w:hint="eastAsia" w:ascii="宋体" w:hAnsi="宋体" w:eastAsia="宋体" w:cs="宋体"/>
                <w:color w:val="auto"/>
                <w:highlight w:val="none"/>
              </w:rPr>
            </w:pPr>
          </w:p>
        </w:tc>
      </w:tr>
      <w:tr w14:paraId="700A97CF">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2C73551B">
            <w:pPr>
              <w:jc w:val="center"/>
              <w:rPr>
                <w:rFonts w:hint="eastAsia" w:ascii="宋体" w:hAnsi="宋体" w:eastAsia="宋体" w:cs="宋体"/>
                <w:color w:val="auto"/>
                <w:highlight w:val="none"/>
              </w:rPr>
            </w:pPr>
          </w:p>
        </w:tc>
        <w:tc>
          <w:tcPr>
            <w:tcW w:w="902" w:type="dxa"/>
            <w:tcBorders>
              <w:top w:val="single" w:color="auto" w:sz="4" w:space="0"/>
              <w:left w:val="single" w:color="auto" w:sz="4" w:space="0"/>
            </w:tcBorders>
            <w:shd w:val="clear" w:color="auto" w:fill="FFFFFF"/>
            <w:vAlign w:val="center"/>
          </w:tcPr>
          <w:p w14:paraId="111FB8A0">
            <w:pPr>
              <w:jc w:val="cente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vAlign w:val="center"/>
          </w:tcPr>
          <w:p w14:paraId="45143AFD">
            <w:pPr>
              <w:jc w:val="cente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vAlign w:val="center"/>
          </w:tcPr>
          <w:p w14:paraId="2F8832A0">
            <w:pPr>
              <w:jc w:val="cente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vAlign w:val="center"/>
          </w:tcPr>
          <w:p w14:paraId="4764EF62">
            <w:pPr>
              <w:jc w:val="center"/>
              <w:rPr>
                <w:rFonts w:hint="eastAsia" w:ascii="宋体" w:hAnsi="宋体" w:eastAsia="宋体" w:cs="宋体"/>
                <w:color w:val="auto"/>
                <w:highlight w:val="none"/>
              </w:rPr>
            </w:pPr>
          </w:p>
        </w:tc>
        <w:tc>
          <w:tcPr>
            <w:tcW w:w="912" w:type="dxa"/>
            <w:tcBorders>
              <w:top w:val="single" w:color="auto" w:sz="4" w:space="0"/>
              <w:left w:val="single" w:color="auto" w:sz="4" w:space="0"/>
            </w:tcBorders>
            <w:shd w:val="clear" w:color="auto" w:fill="FFFFFF"/>
            <w:vAlign w:val="center"/>
          </w:tcPr>
          <w:p w14:paraId="34B68081">
            <w:pPr>
              <w:jc w:val="center"/>
              <w:rPr>
                <w:rFonts w:hint="eastAsia" w:ascii="宋体" w:hAnsi="宋体" w:eastAsia="宋体" w:cs="宋体"/>
                <w:color w:val="auto"/>
                <w:highlight w:val="none"/>
              </w:rPr>
            </w:pPr>
          </w:p>
        </w:tc>
        <w:tc>
          <w:tcPr>
            <w:tcW w:w="902" w:type="dxa"/>
            <w:tcBorders>
              <w:top w:val="single" w:color="auto" w:sz="4" w:space="0"/>
              <w:left w:val="single" w:color="auto" w:sz="4" w:space="0"/>
            </w:tcBorders>
            <w:shd w:val="clear" w:color="auto" w:fill="FFFFFF"/>
            <w:vAlign w:val="center"/>
          </w:tcPr>
          <w:p w14:paraId="519B9781">
            <w:pPr>
              <w:jc w:val="center"/>
              <w:rPr>
                <w:rFonts w:hint="eastAsia" w:ascii="宋体" w:hAnsi="宋体" w:eastAsia="宋体" w:cs="宋体"/>
                <w:color w:val="auto"/>
                <w:highlight w:val="none"/>
              </w:rPr>
            </w:pPr>
          </w:p>
        </w:tc>
        <w:tc>
          <w:tcPr>
            <w:tcW w:w="907" w:type="dxa"/>
            <w:tcBorders>
              <w:top w:val="single" w:color="auto" w:sz="4" w:space="0"/>
              <w:left w:val="single" w:color="auto" w:sz="4" w:space="0"/>
            </w:tcBorders>
            <w:shd w:val="clear" w:color="auto" w:fill="FFFFFF"/>
            <w:vAlign w:val="center"/>
          </w:tcPr>
          <w:p w14:paraId="7D5441C7">
            <w:pPr>
              <w:jc w:val="center"/>
              <w:rPr>
                <w:rFonts w:hint="eastAsia" w:ascii="宋体" w:hAnsi="宋体" w:eastAsia="宋体" w:cs="宋体"/>
                <w:color w:val="auto"/>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14:paraId="68829BDD">
            <w:pPr>
              <w:jc w:val="center"/>
              <w:rPr>
                <w:rFonts w:hint="eastAsia" w:ascii="宋体" w:hAnsi="宋体" w:eastAsia="宋体" w:cs="宋体"/>
                <w:color w:val="auto"/>
                <w:highlight w:val="none"/>
              </w:rPr>
            </w:pPr>
          </w:p>
        </w:tc>
      </w:tr>
      <w:tr w14:paraId="776EEF10">
        <w:tblPrEx>
          <w:tblCellMar>
            <w:top w:w="0" w:type="dxa"/>
            <w:left w:w="10" w:type="dxa"/>
            <w:bottom w:w="0" w:type="dxa"/>
            <w:right w:w="10" w:type="dxa"/>
          </w:tblCellMar>
        </w:tblPrEx>
        <w:trPr>
          <w:trHeight w:val="581" w:hRule="exact"/>
          <w:jc w:val="center"/>
        </w:trPr>
        <w:tc>
          <w:tcPr>
            <w:tcW w:w="1090" w:type="dxa"/>
            <w:tcBorders>
              <w:top w:val="single" w:color="auto" w:sz="4" w:space="0"/>
              <w:left w:val="single" w:color="auto" w:sz="4" w:space="0"/>
              <w:bottom w:val="single" w:color="auto" w:sz="4" w:space="0"/>
            </w:tcBorders>
            <w:shd w:val="clear" w:color="auto" w:fill="FFFFFF"/>
            <w:vAlign w:val="center"/>
          </w:tcPr>
          <w:p w14:paraId="21EA2F83">
            <w:pPr>
              <w:jc w:val="center"/>
              <w:rPr>
                <w:rFonts w:hint="eastAsia" w:ascii="宋体" w:hAnsi="宋体" w:eastAsia="宋体" w:cs="宋体"/>
                <w:color w:val="auto"/>
                <w:highlight w:val="none"/>
              </w:rPr>
            </w:pPr>
          </w:p>
        </w:tc>
        <w:tc>
          <w:tcPr>
            <w:tcW w:w="902" w:type="dxa"/>
            <w:tcBorders>
              <w:top w:val="single" w:color="auto" w:sz="4" w:space="0"/>
              <w:left w:val="single" w:color="auto" w:sz="4" w:space="0"/>
              <w:bottom w:val="single" w:color="auto" w:sz="4" w:space="0"/>
            </w:tcBorders>
            <w:shd w:val="clear" w:color="auto" w:fill="FFFFFF"/>
            <w:vAlign w:val="center"/>
          </w:tcPr>
          <w:p w14:paraId="63D35411">
            <w:pPr>
              <w:jc w:val="center"/>
              <w:rPr>
                <w:rFonts w:hint="eastAsia" w:ascii="宋体" w:hAnsi="宋体" w:eastAsia="宋体" w:cs="宋体"/>
                <w:color w:val="auto"/>
                <w:highlight w:val="none"/>
              </w:rPr>
            </w:pPr>
          </w:p>
        </w:tc>
        <w:tc>
          <w:tcPr>
            <w:tcW w:w="907" w:type="dxa"/>
            <w:tcBorders>
              <w:top w:val="single" w:color="auto" w:sz="4" w:space="0"/>
              <w:left w:val="single" w:color="auto" w:sz="4" w:space="0"/>
              <w:bottom w:val="single" w:color="auto" w:sz="4" w:space="0"/>
            </w:tcBorders>
            <w:shd w:val="clear" w:color="auto" w:fill="FFFFFF"/>
            <w:vAlign w:val="center"/>
          </w:tcPr>
          <w:p w14:paraId="614F0D0A">
            <w:pPr>
              <w:jc w:val="center"/>
              <w:rPr>
                <w:rFonts w:hint="eastAsia" w:ascii="宋体" w:hAnsi="宋体" w:eastAsia="宋体" w:cs="宋体"/>
                <w:color w:val="auto"/>
                <w:highlight w:val="none"/>
              </w:rPr>
            </w:pPr>
          </w:p>
        </w:tc>
        <w:tc>
          <w:tcPr>
            <w:tcW w:w="907" w:type="dxa"/>
            <w:tcBorders>
              <w:top w:val="single" w:color="auto" w:sz="4" w:space="0"/>
              <w:left w:val="single" w:color="auto" w:sz="4" w:space="0"/>
              <w:bottom w:val="single" w:color="auto" w:sz="4" w:space="0"/>
            </w:tcBorders>
            <w:shd w:val="clear" w:color="auto" w:fill="FFFFFF"/>
            <w:vAlign w:val="center"/>
          </w:tcPr>
          <w:p w14:paraId="3ABAD0EC">
            <w:pPr>
              <w:jc w:val="center"/>
              <w:rPr>
                <w:rFonts w:hint="eastAsia" w:ascii="宋体" w:hAnsi="宋体" w:eastAsia="宋体" w:cs="宋体"/>
                <w:color w:val="auto"/>
                <w:highlight w:val="none"/>
              </w:rPr>
            </w:pPr>
          </w:p>
        </w:tc>
        <w:tc>
          <w:tcPr>
            <w:tcW w:w="907" w:type="dxa"/>
            <w:tcBorders>
              <w:top w:val="single" w:color="auto" w:sz="4" w:space="0"/>
              <w:left w:val="single" w:color="auto" w:sz="4" w:space="0"/>
              <w:bottom w:val="single" w:color="auto" w:sz="4" w:space="0"/>
            </w:tcBorders>
            <w:shd w:val="clear" w:color="auto" w:fill="FFFFFF"/>
            <w:vAlign w:val="center"/>
          </w:tcPr>
          <w:p w14:paraId="4E72C45D">
            <w:pPr>
              <w:jc w:val="center"/>
              <w:rPr>
                <w:rFonts w:hint="eastAsia" w:ascii="宋体" w:hAnsi="宋体" w:eastAsia="宋体" w:cs="宋体"/>
                <w:color w:val="auto"/>
                <w:highlight w:val="none"/>
              </w:rPr>
            </w:pPr>
          </w:p>
        </w:tc>
        <w:tc>
          <w:tcPr>
            <w:tcW w:w="912" w:type="dxa"/>
            <w:tcBorders>
              <w:top w:val="single" w:color="auto" w:sz="4" w:space="0"/>
              <w:left w:val="single" w:color="auto" w:sz="4" w:space="0"/>
              <w:bottom w:val="single" w:color="auto" w:sz="4" w:space="0"/>
            </w:tcBorders>
            <w:shd w:val="clear" w:color="auto" w:fill="FFFFFF"/>
            <w:vAlign w:val="center"/>
          </w:tcPr>
          <w:p w14:paraId="566E79FB">
            <w:pPr>
              <w:jc w:val="center"/>
              <w:rPr>
                <w:rFonts w:hint="eastAsia" w:ascii="宋体" w:hAnsi="宋体" w:eastAsia="宋体" w:cs="宋体"/>
                <w:color w:val="auto"/>
                <w:highlight w:val="none"/>
              </w:rPr>
            </w:pPr>
          </w:p>
        </w:tc>
        <w:tc>
          <w:tcPr>
            <w:tcW w:w="902" w:type="dxa"/>
            <w:tcBorders>
              <w:top w:val="single" w:color="auto" w:sz="4" w:space="0"/>
              <w:left w:val="single" w:color="auto" w:sz="4" w:space="0"/>
              <w:bottom w:val="single" w:color="auto" w:sz="4" w:space="0"/>
            </w:tcBorders>
            <w:shd w:val="clear" w:color="auto" w:fill="FFFFFF"/>
            <w:vAlign w:val="center"/>
          </w:tcPr>
          <w:p w14:paraId="3BEF3250">
            <w:pPr>
              <w:jc w:val="center"/>
              <w:rPr>
                <w:rFonts w:hint="eastAsia" w:ascii="宋体" w:hAnsi="宋体" w:eastAsia="宋体" w:cs="宋体"/>
                <w:color w:val="auto"/>
                <w:highlight w:val="none"/>
              </w:rPr>
            </w:pPr>
          </w:p>
        </w:tc>
        <w:tc>
          <w:tcPr>
            <w:tcW w:w="907" w:type="dxa"/>
            <w:tcBorders>
              <w:top w:val="single" w:color="auto" w:sz="4" w:space="0"/>
              <w:left w:val="single" w:color="auto" w:sz="4" w:space="0"/>
              <w:bottom w:val="single" w:color="auto" w:sz="4" w:space="0"/>
            </w:tcBorders>
            <w:shd w:val="clear" w:color="auto" w:fill="FFFFFF"/>
            <w:vAlign w:val="center"/>
          </w:tcPr>
          <w:p w14:paraId="4630A37D">
            <w:pPr>
              <w:jc w:val="center"/>
              <w:rPr>
                <w:rFonts w:hint="eastAsia" w:ascii="宋体" w:hAnsi="宋体" w:eastAsia="宋体" w:cs="宋体"/>
                <w:color w:val="auto"/>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vAlign w:val="center"/>
          </w:tcPr>
          <w:p w14:paraId="7AB3DF2F">
            <w:pPr>
              <w:jc w:val="center"/>
              <w:rPr>
                <w:rFonts w:hint="eastAsia" w:ascii="宋体" w:hAnsi="宋体" w:eastAsia="宋体" w:cs="宋体"/>
                <w:color w:val="auto"/>
                <w:highlight w:val="none"/>
              </w:rPr>
            </w:pPr>
          </w:p>
        </w:tc>
      </w:tr>
    </w:tbl>
    <w:p w14:paraId="304CCCC6">
      <w:pPr>
        <w:spacing w:after="299" w:line="1" w:lineRule="exact"/>
        <w:rPr>
          <w:rFonts w:hint="eastAsia" w:ascii="宋体" w:hAnsi="宋体" w:eastAsia="宋体" w:cs="宋体"/>
          <w:color w:val="auto"/>
          <w:highlight w:val="none"/>
        </w:rPr>
      </w:pPr>
    </w:p>
    <w:p w14:paraId="1DAECA94">
      <w:pPr>
        <w:tabs>
          <w:tab w:val="left" w:pos="0"/>
        </w:tabs>
        <w:spacing w:line="360" w:lineRule="auto"/>
        <w:ind w:right="-210"/>
        <w:rPr>
          <w:rFonts w:hint="eastAsia" w:ascii="宋体" w:hAnsi="宋体" w:eastAsia="宋体" w:cs="宋体"/>
          <w:color w:val="auto"/>
          <w:kern w:val="2"/>
          <w:highlight w:val="none"/>
        </w:rPr>
      </w:pPr>
      <w:bookmarkStart w:id="1387" w:name="bookmark2250"/>
      <w:bookmarkStart w:id="1388" w:name="bookmark2251"/>
      <w:bookmarkStart w:id="1389" w:name="bookmark2249"/>
    </w:p>
    <w:p w14:paraId="7905677D">
      <w:pPr>
        <w:tabs>
          <w:tab w:val="left" w:pos="0"/>
        </w:tabs>
        <w:spacing w:line="480" w:lineRule="auto"/>
        <w:ind w:right="420" w:rightChars="0"/>
        <w:jc w:val="right"/>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w:t>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w:t>
      </w:r>
      <w:r>
        <w:rPr>
          <w:rFonts w:hint="eastAsia" w:ascii="宋体" w:hAnsi="宋体" w:eastAsia="宋体" w:cs="宋体"/>
          <w:color w:val="auto"/>
          <w:highlight w:val="none"/>
        </w:rPr>
        <w:t>电子公章）</w:t>
      </w:r>
    </w:p>
    <w:p w14:paraId="78FBAB4E">
      <w:pPr>
        <w:tabs>
          <w:tab w:val="left" w:pos="0"/>
        </w:tabs>
        <w:spacing w:line="480" w:lineRule="auto"/>
        <w:ind w:right="420" w:rightChars="0"/>
        <w:jc w:val="right"/>
        <w:rPr>
          <w:rFonts w:hint="eastAsia" w:ascii="宋体" w:hAnsi="宋体" w:eastAsia="宋体" w:cs="宋体"/>
          <w:color w:val="auto"/>
          <w:kern w:val="2"/>
          <w:highlight w:val="none"/>
        </w:rPr>
      </w:pPr>
      <w:r>
        <w:rPr>
          <w:rFonts w:hint="eastAsia" w:ascii="宋体" w:hAnsi="宋体" w:eastAsia="宋体" w:cs="宋体"/>
          <w:color w:val="auto"/>
          <w:kern w:val="2"/>
          <w:highlight w:val="none"/>
        </w:rPr>
        <w:t>法定代表人（负责人）或授权委托代理人：</w:t>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rPr>
        <w:t>（签字</w:t>
      </w:r>
      <w:r>
        <w:rPr>
          <w:rFonts w:hint="eastAsia" w:ascii="宋体" w:hAnsi="宋体" w:eastAsia="宋体" w:cs="宋体"/>
          <w:color w:val="auto"/>
          <w:kern w:val="2"/>
          <w:highlight w:val="none"/>
          <w:lang w:val="en-US" w:eastAsia="zh-CN"/>
        </w:rPr>
        <w:t>或盖章</w:t>
      </w:r>
      <w:r>
        <w:rPr>
          <w:rFonts w:hint="eastAsia" w:ascii="宋体" w:hAnsi="宋体" w:eastAsia="宋体" w:cs="宋体"/>
          <w:color w:val="auto"/>
          <w:kern w:val="2"/>
          <w:highlight w:val="none"/>
        </w:rPr>
        <w:t>）</w:t>
      </w:r>
    </w:p>
    <w:p w14:paraId="20D17162">
      <w:pPr>
        <w:tabs>
          <w:tab w:val="left" w:pos="0"/>
        </w:tabs>
        <w:spacing w:line="480" w:lineRule="auto"/>
        <w:ind w:right="420" w:rightChars="0"/>
        <w:jc w:val="right"/>
        <w:rPr>
          <w:rFonts w:hint="eastAsia" w:ascii="宋体" w:hAnsi="宋体" w:eastAsia="宋体" w:cs="宋体"/>
          <w:color w:val="auto"/>
          <w:kern w:val="2"/>
          <w:highlight w:val="none"/>
        </w:rPr>
      </w:pP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rPr>
        <w:t>年</w:t>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rPr>
        <w:t>月</w:t>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u w:val="single"/>
        </w:rPr>
        <w:tab/>
      </w:r>
      <w:r>
        <w:rPr>
          <w:rFonts w:hint="eastAsia" w:ascii="宋体" w:hAnsi="宋体" w:eastAsia="宋体" w:cs="宋体"/>
          <w:color w:val="auto"/>
          <w:kern w:val="2"/>
          <w:highlight w:val="none"/>
        </w:rPr>
        <w:t>日</w:t>
      </w:r>
    </w:p>
    <w:p w14:paraId="1A78CD98">
      <w:pPr>
        <w:widowControl/>
        <w:jc w:val="left"/>
        <w:rPr>
          <w:rFonts w:hint="eastAsia" w:ascii="宋体" w:hAnsi="宋体" w:eastAsia="宋体" w:cs="宋体"/>
          <w:color w:val="auto"/>
          <w:sz w:val="20"/>
          <w:szCs w:val="20"/>
          <w:highlight w:val="none"/>
          <w:lang w:val="zh-CN" w:bidi="zh-CN"/>
        </w:rPr>
      </w:pPr>
      <w:r>
        <w:rPr>
          <w:rFonts w:hint="eastAsia" w:ascii="宋体" w:hAnsi="宋体" w:eastAsia="宋体" w:cs="宋体"/>
          <w:color w:val="auto"/>
          <w:sz w:val="20"/>
          <w:szCs w:val="20"/>
          <w:highlight w:val="none"/>
          <w:lang w:val="zh-CN" w:bidi="zh-CN"/>
        </w:rPr>
        <w:br w:type="page"/>
      </w:r>
    </w:p>
    <w:p w14:paraId="01967853">
      <w:pPr>
        <w:rPr>
          <w:rFonts w:hint="eastAsia" w:ascii="宋体" w:hAnsi="宋体" w:eastAsia="宋体" w:cs="宋体"/>
          <w:b/>
          <w:color w:val="auto"/>
          <w:highlight w:val="none"/>
        </w:rPr>
      </w:pPr>
      <w:r>
        <w:rPr>
          <w:rFonts w:hint="eastAsia" w:ascii="宋体" w:hAnsi="宋体" w:eastAsia="宋体" w:cs="宋体"/>
          <w:b/>
          <w:color w:val="auto"/>
          <w:highlight w:val="none"/>
        </w:rPr>
        <w:t>附件五：计划开工日期、完工日期和施工进度网络图（或横道图）</w:t>
      </w:r>
      <w:bookmarkEnd w:id="1387"/>
      <w:bookmarkEnd w:id="1388"/>
      <w:bookmarkEnd w:id="1389"/>
    </w:p>
    <w:p w14:paraId="2A3ED383">
      <w:pPr>
        <w:rPr>
          <w:rFonts w:hint="eastAsia" w:ascii="宋体" w:hAnsi="宋体" w:eastAsia="宋体" w:cs="宋体"/>
          <w:color w:val="auto"/>
          <w:sz w:val="20"/>
          <w:szCs w:val="20"/>
          <w:highlight w:val="none"/>
        </w:rPr>
      </w:pPr>
    </w:p>
    <w:p w14:paraId="6853CC6E">
      <w:pPr>
        <w:jc w:val="center"/>
        <w:rPr>
          <w:rFonts w:hint="eastAsia" w:ascii="宋体" w:hAnsi="宋体" w:eastAsia="宋体" w:cs="宋体"/>
          <w:b/>
          <w:color w:val="auto"/>
          <w:highlight w:val="none"/>
        </w:rPr>
      </w:pPr>
      <w:bookmarkStart w:id="1390" w:name="bookmark2252"/>
      <w:bookmarkStart w:id="1391" w:name="_Toc2597"/>
      <w:bookmarkStart w:id="1392" w:name="bookmark2254"/>
      <w:bookmarkStart w:id="1393" w:name="_Toc24573"/>
      <w:bookmarkStart w:id="1394" w:name="bookmark2253"/>
    </w:p>
    <w:p w14:paraId="045C1C84">
      <w:pPr>
        <w:jc w:val="center"/>
        <w:rPr>
          <w:rFonts w:hint="eastAsia" w:ascii="宋体" w:hAnsi="宋体" w:eastAsia="宋体" w:cs="宋体"/>
          <w:b/>
          <w:color w:val="auto"/>
          <w:highlight w:val="none"/>
        </w:rPr>
      </w:pPr>
      <w:r>
        <w:rPr>
          <w:rFonts w:hint="eastAsia" w:ascii="宋体" w:hAnsi="宋体" w:eastAsia="宋体" w:cs="宋体"/>
          <w:b/>
          <w:color w:val="auto"/>
          <w:highlight w:val="none"/>
        </w:rPr>
        <w:t>计划开工日期、完工日期和施工进度网络图（或横道图）</w:t>
      </w:r>
      <w:bookmarkEnd w:id="1390"/>
      <w:bookmarkEnd w:id="1391"/>
      <w:bookmarkEnd w:id="1392"/>
      <w:bookmarkEnd w:id="1393"/>
      <w:bookmarkEnd w:id="1394"/>
    </w:p>
    <w:p w14:paraId="22D8F8AA">
      <w:pPr>
        <w:jc w:val="center"/>
        <w:rPr>
          <w:rFonts w:hint="eastAsia" w:ascii="宋体" w:hAnsi="宋体" w:eastAsia="宋体" w:cs="宋体"/>
          <w:b/>
          <w:color w:val="auto"/>
          <w:highlight w:val="none"/>
        </w:rPr>
      </w:pPr>
    </w:p>
    <w:p w14:paraId="3EF3E2F1">
      <w:pPr>
        <w:numPr>
          <w:ilvl w:val="0"/>
          <w:numId w:val="4"/>
        </w:numPr>
        <w:tabs>
          <w:tab w:val="left" w:pos="747"/>
        </w:tabs>
        <w:spacing w:after="120" w:line="360" w:lineRule="auto"/>
        <w:rPr>
          <w:rFonts w:hint="eastAsia" w:ascii="宋体" w:hAnsi="宋体" w:eastAsia="宋体" w:cs="宋体"/>
          <w:color w:val="auto"/>
          <w:highlight w:val="none"/>
          <w:lang w:val="zh-CN" w:bidi="zh-CN"/>
        </w:rPr>
      </w:pPr>
      <w:bookmarkStart w:id="1395" w:name="bookmark2255"/>
      <w:bookmarkEnd w:id="1395"/>
      <w:r>
        <w:rPr>
          <w:rFonts w:hint="eastAsia" w:ascii="宋体" w:hAnsi="宋体" w:eastAsia="宋体" w:cs="宋体"/>
          <w:color w:val="auto"/>
          <w:highlight w:val="none"/>
          <w:lang w:val="zh-CN" w:bidi="zh-CN"/>
        </w:rPr>
        <w:t>投标人应递交施工进度网络图或施工进度表，说明按招标文件要求的计划工期进行施工的各个关键日期。</w:t>
      </w:r>
    </w:p>
    <w:p w14:paraId="2489277D">
      <w:pPr>
        <w:numPr>
          <w:ilvl w:val="0"/>
          <w:numId w:val="4"/>
        </w:numPr>
        <w:tabs>
          <w:tab w:val="left" w:pos="754"/>
        </w:tabs>
        <w:spacing w:after="500" w:line="360" w:lineRule="auto"/>
        <w:jc w:val="left"/>
        <w:rPr>
          <w:rFonts w:hint="eastAsia" w:ascii="宋体" w:hAnsi="宋体" w:eastAsia="宋体" w:cs="宋体"/>
          <w:color w:val="auto"/>
          <w:highlight w:val="none"/>
          <w:lang w:val="zh-CN" w:bidi="zh-CN"/>
        </w:rPr>
      </w:pPr>
      <w:bookmarkStart w:id="1396" w:name="bookmark2256"/>
      <w:bookmarkEnd w:id="1396"/>
      <w:r>
        <w:rPr>
          <w:rFonts w:hint="eastAsia" w:ascii="宋体" w:hAnsi="宋体" w:eastAsia="宋体" w:cs="宋体"/>
          <w:color w:val="auto"/>
          <w:highlight w:val="none"/>
          <w:lang w:val="zh-CN" w:bidi="zh-CN"/>
        </w:rPr>
        <w:t>施工进度表可采用网络图（或横道图）表示。</w:t>
      </w:r>
    </w:p>
    <w:p w14:paraId="3AF99C60">
      <w:pPr>
        <w:rPr>
          <w:rFonts w:hint="eastAsia" w:ascii="宋体" w:hAnsi="宋体" w:eastAsia="宋体" w:cs="宋体"/>
          <w:color w:val="auto"/>
          <w:highlight w:val="none"/>
          <w:lang w:val="zh-CN" w:bidi="zh-CN"/>
        </w:rPr>
      </w:pPr>
      <w:r>
        <w:rPr>
          <w:rFonts w:hint="eastAsia" w:ascii="宋体" w:hAnsi="宋体" w:eastAsia="宋体" w:cs="宋体"/>
          <w:color w:val="auto"/>
          <w:highlight w:val="none"/>
        </w:rPr>
        <w:br w:type="page"/>
      </w:r>
    </w:p>
    <w:p w14:paraId="70CC67A2">
      <w:pPr>
        <w:rPr>
          <w:rFonts w:hint="eastAsia" w:ascii="宋体" w:hAnsi="宋体" w:eastAsia="宋体" w:cs="宋体"/>
          <w:b/>
          <w:color w:val="auto"/>
          <w:highlight w:val="none"/>
        </w:rPr>
      </w:pPr>
      <w:bookmarkStart w:id="1397" w:name="bookmark2259"/>
      <w:bookmarkStart w:id="1398" w:name="bookmark2258"/>
      <w:bookmarkStart w:id="1399" w:name="bookmark2257"/>
      <w:r>
        <w:rPr>
          <w:rFonts w:hint="eastAsia" w:ascii="宋体" w:hAnsi="宋体" w:eastAsia="宋体" w:cs="宋体"/>
          <w:b/>
          <w:color w:val="auto"/>
          <w:highlight w:val="none"/>
        </w:rPr>
        <w:t>附件六：施工总平面图</w:t>
      </w:r>
      <w:bookmarkEnd w:id="1397"/>
      <w:bookmarkEnd w:id="1398"/>
      <w:bookmarkEnd w:id="1399"/>
    </w:p>
    <w:p w14:paraId="6C340BF0">
      <w:pPr>
        <w:jc w:val="center"/>
        <w:rPr>
          <w:rFonts w:hint="eastAsia" w:ascii="宋体" w:hAnsi="宋体" w:eastAsia="宋体" w:cs="宋体"/>
          <w:b/>
          <w:color w:val="auto"/>
          <w:highlight w:val="none"/>
        </w:rPr>
      </w:pPr>
      <w:bookmarkStart w:id="1400" w:name="bookmark2260"/>
      <w:bookmarkStart w:id="1401" w:name="bookmark2261"/>
      <w:bookmarkStart w:id="1402" w:name="_Toc30163"/>
      <w:bookmarkStart w:id="1403" w:name="_Toc768"/>
      <w:bookmarkStart w:id="1404" w:name="bookmark2262"/>
      <w:r>
        <w:rPr>
          <w:rFonts w:hint="eastAsia" w:ascii="宋体" w:hAnsi="宋体" w:eastAsia="宋体" w:cs="宋体"/>
          <w:b/>
          <w:color w:val="auto"/>
          <w:highlight w:val="none"/>
        </w:rPr>
        <w:t>施工总平面图</w:t>
      </w:r>
      <w:bookmarkEnd w:id="1400"/>
      <w:bookmarkEnd w:id="1401"/>
      <w:bookmarkEnd w:id="1402"/>
      <w:bookmarkEnd w:id="1403"/>
      <w:bookmarkEnd w:id="1404"/>
    </w:p>
    <w:p w14:paraId="60101B9E">
      <w:pPr>
        <w:jc w:val="center"/>
        <w:rPr>
          <w:rFonts w:hint="eastAsia" w:ascii="宋体" w:hAnsi="宋体" w:eastAsia="宋体" w:cs="宋体"/>
          <w:b/>
          <w:color w:val="auto"/>
          <w:highlight w:val="none"/>
        </w:rPr>
      </w:pPr>
    </w:p>
    <w:p w14:paraId="074A2576">
      <w:pPr>
        <w:spacing w:after="100" w:afterAutospacing="1" w:line="360" w:lineRule="auto"/>
        <w:ind w:right="420" w:rightChars="200" w:firstLine="420"/>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投标人应递交一份施工总平面图，绘出现场临时设施布置图及表并附文字说明，说明临时设施、加工车间、现场办公、设备及仓储、供电、供水、卫生、生活、道路、消防等设施的情况和布置。</w:t>
      </w:r>
      <w:r>
        <w:rPr>
          <w:rFonts w:hint="eastAsia" w:ascii="宋体" w:hAnsi="宋体" w:eastAsia="宋体" w:cs="宋体"/>
          <w:color w:val="auto"/>
          <w:highlight w:val="none"/>
          <w:lang w:val="zh-CN" w:bidi="zh-CN"/>
        </w:rPr>
        <w:br w:type="page"/>
      </w:r>
    </w:p>
    <w:p w14:paraId="2BF0739A">
      <w:pPr>
        <w:rPr>
          <w:rFonts w:hint="eastAsia" w:ascii="宋体" w:hAnsi="宋体" w:eastAsia="宋体" w:cs="宋体"/>
          <w:b/>
          <w:color w:val="auto"/>
          <w:highlight w:val="none"/>
        </w:rPr>
      </w:pPr>
      <w:bookmarkStart w:id="1405" w:name="bookmark2263"/>
      <w:bookmarkStart w:id="1406" w:name="bookmark2264"/>
      <w:bookmarkStart w:id="1407" w:name="bookmark2265"/>
      <w:r>
        <w:rPr>
          <w:rFonts w:hint="eastAsia" w:ascii="宋体" w:hAnsi="宋体" w:eastAsia="宋体" w:cs="宋体"/>
          <w:b/>
          <w:color w:val="auto"/>
          <w:highlight w:val="none"/>
        </w:rPr>
        <w:t>附件七：临时用地表</w:t>
      </w:r>
      <w:bookmarkEnd w:id="1405"/>
      <w:bookmarkEnd w:id="1406"/>
      <w:bookmarkEnd w:id="1407"/>
    </w:p>
    <w:p w14:paraId="78CADE44">
      <w:pPr>
        <w:jc w:val="center"/>
        <w:rPr>
          <w:rFonts w:hint="eastAsia" w:ascii="宋体" w:hAnsi="宋体" w:eastAsia="宋体" w:cs="宋体"/>
          <w:b/>
          <w:color w:val="auto"/>
          <w:highlight w:val="none"/>
        </w:rPr>
      </w:pPr>
      <w:bookmarkStart w:id="1408" w:name="_Toc3522"/>
      <w:bookmarkStart w:id="1409" w:name="bookmark2266"/>
      <w:bookmarkStart w:id="1410" w:name="bookmark2267"/>
      <w:bookmarkStart w:id="1411" w:name="bookmark2268"/>
      <w:bookmarkStart w:id="1412" w:name="_Toc31330"/>
      <w:r>
        <w:rPr>
          <w:rFonts w:hint="eastAsia" w:ascii="宋体" w:hAnsi="宋体" w:eastAsia="宋体" w:cs="宋体"/>
          <w:b/>
          <w:color w:val="auto"/>
          <w:highlight w:val="none"/>
        </w:rPr>
        <w:t>临时用地表</w:t>
      </w:r>
      <w:bookmarkEnd w:id="1408"/>
      <w:bookmarkEnd w:id="1409"/>
      <w:bookmarkEnd w:id="1410"/>
      <w:bookmarkEnd w:id="1411"/>
      <w:bookmarkEnd w:id="1412"/>
    </w:p>
    <w:p w14:paraId="741A1900">
      <w:pPr>
        <w:jc w:val="center"/>
        <w:rPr>
          <w:rFonts w:hint="eastAsia" w:ascii="宋体" w:hAnsi="宋体" w:eastAsia="宋体" w:cs="宋体"/>
          <w:b/>
          <w:color w:val="auto"/>
          <w:highlight w:val="none"/>
        </w:rPr>
      </w:pPr>
    </w:p>
    <w:p w14:paraId="6555FAEE">
      <w:pPr>
        <w:jc w:val="center"/>
        <w:rPr>
          <w:rFonts w:hint="eastAsia" w:ascii="宋体" w:hAnsi="宋体" w:eastAsia="宋体" w:cs="宋体"/>
          <w:b/>
          <w:color w:val="auto"/>
          <w:highlight w:val="none"/>
        </w:rPr>
      </w:pPr>
    </w:p>
    <w:tbl>
      <w:tblPr>
        <w:tblStyle w:val="13"/>
        <w:tblW w:w="8352" w:type="dxa"/>
        <w:jc w:val="center"/>
        <w:tblLayout w:type="fixed"/>
        <w:tblCellMar>
          <w:top w:w="0" w:type="dxa"/>
          <w:left w:w="10" w:type="dxa"/>
          <w:bottom w:w="0" w:type="dxa"/>
          <w:right w:w="10" w:type="dxa"/>
        </w:tblCellMar>
      </w:tblPr>
      <w:tblGrid>
        <w:gridCol w:w="2093"/>
        <w:gridCol w:w="2083"/>
        <w:gridCol w:w="2083"/>
        <w:gridCol w:w="2093"/>
      </w:tblGrid>
      <w:tr w14:paraId="0E8C88BE">
        <w:tblPrEx>
          <w:tblCellMar>
            <w:top w:w="0" w:type="dxa"/>
            <w:left w:w="10" w:type="dxa"/>
            <w:bottom w:w="0" w:type="dxa"/>
            <w:right w:w="10" w:type="dxa"/>
          </w:tblCellMar>
        </w:tblPrEx>
        <w:trPr>
          <w:trHeight w:val="576" w:hRule="exact"/>
          <w:jc w:val="center"/>
        </w:trPr>
        <w:tc>
          <w:tcPr>
            <w:tcW w:w="2093" w:type="dxa"/>
            <w:tcBorders>
              <w:top w:val="single" w:color="auto" w:sz="4" w:space="0"/>
              <w:left w:val="single" w:color="auto" w:sz="4" w:space="0"/>
            </w:tcBorders>
            <w:shd w:val="clear" w:color="auto" w:fill="FFFFFF"/>
            <w:vAlign w:val="center"/>
          </w:tcPr>
          <w:p w14:paraId="5ED398B9">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用途</w:t>
            </w:r>
          </w:p>
        </w:tc>
        <w:tc>
          <w:tcPr>
            <w:tcW w:w="2083" w:type="dxa"/>
            <w:tcBorders>
              <w:top w:val="single" w:color="auto" w:sz="4" w:space="0"/>
              <w:left w:val="single" w:color="auto" w:sz="4" w:space="0"/>
            </w:tcBorders>
            <w:shd w:val="clear" w:color="auto" w:fill="FFFFFF"/>
            <w:vAlign w:val="center"/>
          </w:tcPr>
          <w:p w14:paraId="154057E1">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面积（</w:t>
            </w:r>
            <w:r>
              <w:rPr>
                <w:rFonts w:hint="eastAsia" w:ascii="宋体" w:hAnsi="宋体" w:eastAsia="宋体" w:cs="宋体"/>
                <w:color w:val="auto"/>
                <w:highlight w:val="none"/>
                <w:lang w:val="zh-CN" w:bidi="en-US"/>
              </w:rPr>
              <w:t>m</w:t>
            </w:r>
            <w:r>
              <w:rPr>
                <w:rFonts w:hint="eastAsia" w:ascii="宋体" w:hAnsi="宋体" w:eastAsia="宋体" w:cs="宋体"/>
                <w:color w:val="auto"/>
                <w:highlight w:val="none"/>
                <w:vertAlign w:val="superscript"/>
                <w:lang w:val="zh-CN" w:bidi="en-US"/>
              </w:rPr>
              <w:t>2</w:t>
            </w:r>
            <w:r>
              <w:rPr>
                <w:rFonts w:hint="eastAsia" w:ascii="宋体" w:hAnsi="宋体" w:eastAsia="宋体" w:cs="宋体"/>
                <w:color w:val="auto"/>
                <w:highlight w:val="none"/>
                <w:lang w:val="zh-CN" w:bidi="zh-CN"/>
              </w:rPr>
              <w:t>）</w:t>
            </w:r>
          </w:p>
        </w:tc>
        <w:tc>
          <w:tcPr>
            <w:tcW w:w="2083" w:type="dxa"/>
            <w:tcBorders>
              <w:top w:val="single" w:color="auto" w:sz="4" w:space="0"/>
              <w:left w:val="single" w:color="auto" w:sz="4" w:space="0"/>
            </w:tcBorders>
            <w:shd w:val="clear" w:color="auto" w:fill="FFFFFF"/>
            <w:vAlign w:val="center"/>
          </w:tcPr>
          <w:p w14:paraId="26A5BCC3">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位置</w:t>
            </w:r>
          </w:p>
        </w:tc>
        <w:tc>
          <w:tcPr>
            <w:tcW w:w="2093" w:type="dxa"/>
            <w:tcBorders>
              <w:top w:val="single" w:color="auto" w:sz="4" w:space="0"/>
              <w:left w:val="single" w:color="auto" w:sz="4" w:space="0"/>
              <w:right w:val="single" w:color="auto" w:sz="4" w:space="0"/>
            </w:tcBorders>
            <w:shd w:val="clear" w:color="auto" w:fill="FFFFFF"/>
            <w:vAlign w:val="center"/>
          </w:tcPr>
          <w:p w14:paraId="698A3A27">
            <w:pPr>
              <w:jc w:val="cente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需用时间</w:t>
            </w:r>
          </w:p>
        </w:tc>
      </w:tr>
      <w:tr w14:paraId="42C32101">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177AB063">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1A0569EF">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3C1C6B79">
            <w:pPr>
              <w:rPr>
                <w:rFonts w:hint="eastAsia" w:ascii="宋体" w:hAnsi="宋体" w:eastAsia="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465E1634">
            <w:pPr>
              <w:rPr>
                <w:rFonts w:hint="eastAsia" w:ascii="宋体" w:hAnsi="宋体" w:eastAsia="宋体" w:cs="宋体"/>
                <w:color w:val="auto"/>
                <w:highlight w:val="none"/>
              </w:rPr>
            </w:pPr>
          </w:p>
        </w:tc>
      </w:tr>
      <w:tr w14:paraId="44585BA3">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37852158">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138A192E">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74CA6516">
            <w:pPr>
              <w:rPr>
                <w:rFonts w:hint="eastAsia" w:ascii="宋体" w:hAnsi="宋体" w:eastAsia="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5B7B51F4">
            <w:pPr>
              <w:rPr>
                <w:rFonts w:hint="eastAsia" w:ascii="宋体" w:hAnsi="宋体" w:eastAsia="宋体" w:cs="宋体"/>
                <w:color w:val="auto"/>
                <w:highlight w:val="none"/>
              </w:rPr>
            </w:pPr>
          </w:p>
        </w:tc>
      </w:tr>
      <w:tr w14:paraId="59580503">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0211EA17">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6FE52266">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05A26E2A">
            <w:pPr>
              <w:rPr>
                <w:rFonts w:hint="eastAsia" w:ascii="宋体" w:hAnsi="宋体" w:eastAsia="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2BBA3061">
            <w:pPr>
              <w:rPr>
                <w:rFonts w:hint="eastAsia" w:ascii="宋体" w:hAnsi="宋体" w:eastAsia="宋体" w:cs="宋体"/>
                <w:color w:val="auto"/>
                <w:highlight w:val="none"/>
              </w:rPr>
            </w:pPr>
          </w:p>
        </w:tc>
      </w:tr>
      <w:tr w14:paraId="18B75D65">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5A8B5E0D">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4599ABC5">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7B34F4D5">
            <w:pPr>
              <w:rPr>
                <w:rFonts w:hint="eastAsia" w:ascii="宋体" w:hAnsi="宋体" w:eastAsia="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7C3F78F3">
            <w:pPr>
              <w:rPr>
                <w:rFonts w:hint="eastAsia" w:ascii="宋体" w:hAnsi="宋体" w:eastAsia="宋体" w:cs="宋体"/>
                <w:color w:val="auto"/>
                <w:highlight w:val="none"/>
              </w:rPr>
            </w:pPr>
          </w:p>
        </w:tc>
      </w:tr>
      <w:tr w14:paraId="61ED6C82">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78E7D4FC">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79BF908B">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3A822D53">
            <w:pPr>
              <w:rPr>
                <w:rFonts w:hint="eastAsia" w:ascii="宋体" w:hAnsi="宋体" w:eastAsia="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4915FA57">
            <w:pPr>
              <w:rPr>
                <w:rFonts w:hint="eastAsia" w:ascii="宋体" w:hAnsi="宋体" w:eastAsia="宋体" w:cs="宋体"/>
                <w:color w:val="auto"/>
                <w:highlight w:val="none"/>
              </w:rPr>
            </w:pPr>
          </w:p>
        </w:tc>
      </w:tr>
      <w:tr w14:paraId="70334039">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2966EA9B">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001A4E46">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10BD110A">
            <w:pPr>
              <w:rPr>
                <w:rFonts w:hint="eastAsia" w:ascii="宋体" w:hAnsi="宋体" w:eastAsia="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06A47B99">
            <w:pPr>
              <w:rPr>
                <w:rFonts w:hint="eastAsia" w:ascii="宋体" w:hAnsi="宋体" w:eastAsia="宋体" w:cs="宋体"/>
                <w:color w:val="auto"/>
                <w:highlight w:val="none"/>
              </w:rPr>
            </w:pPr>
          </w:p>
        </w:tc>
      </w:tr>
      <w:tr w14:paraId="1D269080">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00E26C2F">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7BB82CA3">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1C3D33FD">
            <w:pPr>
              <w:rPr>
                <w:rFonts w:hint="eastAsia" w:ascii="宋体" w:hAnsi="宋体" w:eastAsia="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291626E5">
            <w:pPr>
              <w:rPr>
                <w:rFonts w:hint="eastAsia" w:ascii="宋体" w:hAnsi="宋体" w:eastAsia="宋体" w:cs="宋体"/>
                <w:color w:val="auto"/>
                <w:highlight w:val="none"/>
              </w:rPr>
            </w:pPr>
          </w:p>
        </w:tc>
      </w:tr>
      <w:tr w14:paraId="0ABCDBB9">
        <w:tblPrEx>
          <w:tblCellMar>
            <w:top w:w="0" w:type="dxa"/>
            <w:left w:w="10" w:type="dxa"/>
            <w:bottom w:w="0" w:type="dxa"/>
            <w:right w:w="10" w:type="dxa"/>
          </w:tblCellMar>
        </w:tblPrEx>
        <w:trPr>
          <w:trHeight w:val="571" w:hRule="exact"/>
          <w:jc w:val="center"/>
        </w:trPr>
        <w:tc>
          <w:tcPr>
            <w:tcW w:w="2093" w:type="dxa"/>
            <w:tcBorders>
              <w:top w:val="single" w:color="auto" w:sz="4" w:space="0"/>
              <w:left w:val="single" w:color="auto" w:sz="4" w:space="0"/>
            </w:tcBorders>
            <w:shd w:val="clear" w:color="auto" w:fill="FFFFFF"/>
          </w:tcPr>
          <w:p w14:paraId="0FF612D5">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6A74F20B">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38822CBD">
            <w:pPr>
              <w:rPr>
                <w:rFonts w:hint="eastAsia" w:ascii="宋体" w:hAnsi="宋体" w:eastAsia="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48A9B0B3">
            <w:pPr>
              <w:rPr>
                <w:rFonts w:hint="eastAsia" w:ascii="宋体" w:hAnsi="宋体" w:eastAsia="宋体" w:cs="宋体"/>
                <w:color w:val="auto"/>
                <w:highlight w:val="none"/>
              </w:rPr>
            </w:pPr>
          </w:p>
        </w:tc>
      </w:tr>
      <w:tr w14:paraId="2FC6F4F6">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2AC3B705">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1D19BC1C">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6CC640D0">
            <w:pPr>
              <w:rPr>
                <w:rFonts w:hint="eastAsia" w:ascii="宋体" w:hAnsi="宋体" w:eastAsia="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63519AFA">
            <w:pPr>
              <w:rPr>
                <w:rFonts w:hint="eastAsia" w:ascii="宋体" w:hAnsi="宋体" w:eastAsia="宋体" w:cs="宋体"/>
                <w:color w:val="auto"/>
                <w:highlight w:val="none"/>
              </w:rPr>
            </w:pPr>
          </w:p>
        </w:tc>
      </w:tr>
      <w:tr w14:paraId="34109DAB">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37E7F1D8">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3A54C38F">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6AB279E2">
            <w:pPr>
              <w:rPr>
                <w:rFonts w:hint="eastAsia" w:ascii="宋体" w:hAnsi="宋体" w:eastAsia="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3E0DA7B6">
            <w:pPr>
              <w:rPr>
                <w:rFonts w:hint="eastAsia" w:ascii="宋体" w:hAnsi="宋体" w:eastAsia="宋体" w:cs="宋体"/>
                <w:color w:val="auto"/>
                <w:highlight w:val="none"/>
              </w:rPr>
            </w:pPr>
          </w:p>
        </w:tc>
      </w:tr>
      <w:tr w14:paraId="0AD0587E">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5AC60392">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3B897E21">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2CDD170F">
            <w:pPr>
              <w:rPr>
                <w:rFonts w:hint="eastAsia" w:ascii="宋体" w:hAnsi="宋体" w:eastAsia="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664810B4">
            <w:pPr>
              <w:rPr>
                <w:rFonts w:hint="eastAsia" w:ascii="宋体" w:hAnsi="宋体" w:eastAsia="宋体" w:cs="宋体"/>
                <w:color w:val="auto"/>
                <w:highlight w:val="none"/>
              </w:rPr>
            </w:pPr>
          </w:p>
        </w:tc>
      </w:tr>
      <w:tr w14:paraId="46133DD9">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566D6164">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5DE33842">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07923806">
            <w:pPr>
              <w:rPr>
                <w:rFonts w:hint="eastAsia" w:ascii="宋体" w:hAnsi="宋体" w:eastAsia="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699F6433">
            <w:pPr>
              <w:rPr>
                <w:rFonts w:hint="eastAsia" w:ascii="宋体" w:hAnsi="宋体" w:eastAsia="宋体" w:cs="宋体"/>
                <w:color w:val="auto"/>
                <w:highlight w:val="none"/>
              </w:rPr>
            </w:pPr>
          </w:p>
        </w:tc>
      </w:tr>
      <w:tr w14:paraId="13B5DB51">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045CBD7B">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4130B73C">
            <w:pPr>
              <w:rPr>
                <w:rFonts w:hint="eastAsia" w:ascii="宋体" w:hAnsi="宋体" w:eastAsia="宋体" w:cs="宋体"/>
                <w:color w:val="auto"/>
                <w:highlight w:val="none"/>
              </w:rPr>
            </w:pPr>
          </w:p>
        </w:tc>
        <w:tc>
          <w:tcPr>
            <w:tcW w:w="2083" w:type="dxa"/>
            <w:tcBorders>
              <w:top w:val="single" w:color="auto" w:sz="4" w:space="0"/>
              <w:left w:val="single" w:color="auto" w:sz="4" w:space="0"/>
            </w:tcBorders>
            <w:shd w:val="clear" w:color="auto" w:fill="FFFFFF"/>
          </w:tcPr>
          <w:p w14:paraId="7D63553D">
            <w:pPr>
              <w:rPr>
                <w:rFonts w:hint="eastAsia" w:ascii="宋体" w:hAnsi="宋体" w:eastAsia="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5EBB4E8A">
            <w:pPr>
              <w:rPr>
                <w:rFonts w:hint="eastAsia" w:ascii="宋体" w:hAnsi="宋体" w:eastAsia="宋体" w:cs="宋体"/>
                <w:color w:val="auto"/>
                <w:highlight w:val="none"/>
              </w:rPr>
            </w:pPr>
          </w:p>
        </w:tc>
      </w:tr>
      <w:tr w14:paraId="4C054FA4">
        <w:tblPrEx>
          <w:tblCellMar>
            <w:top w:w="0" w:type="dxa"/>
            <w:left w:w="10" w:type="dxa"/>
            <w:bottom w:w="0" w:type="dxa"/>
            <w:right w:w="10" w:type="dxa"/>
          </w:tblCellMar>
        </w:tblPrEx>
        <w:trPr>
          <w:trHeight w:val="576" w:hRule="exact"/>
          <w:jc w:val="center"/>
        </w:trPr>
        <w:tc>
          <w:tcPr>
            <w:tcW w:w="2093" w:type="dxa"/>
            <w:tcBorders>
              <w:top w:val="single" w:color="auto" w:sz="4" w:space="0"/>
              <w:left w:val="single" w:color="auto" w:sz="4" w:space="0"/>
              <w:bottom w:val="single" w:color="auto" w:sz="4" w:space="0"/>
            </w:tcBorders>
            <w:shd w:val="clear" w:color="auto" w:fill="FFFFFF"/>
          </w:tcPr>
          <w:p w14:paraId="6F2902D5">
            <w:pPr>
              <w:rPr>
                <w:rFonts w:hint="eastAsia" w:ascii="宋体" w:hAnsi="宋体" w:eastAsia="宋体" w:cs="宋体"/>
                <w:color w:val="auto"/>
                <w:highlight w:val="none"/>
              </w:rPr>
            </w:pPr>
          </w:p>
        </w:tc>
        <w:tc>
          <w:tcPr>
            <w:tcW w:w="2083" w:type="dxa"/>
            <w:tcBorders>
              <w:top w:val="single" w:color="auto" w:sz="4" w:space="0"/>
              <w:left w:val="single" w:color="auto" w:sz="4" w:space="0"/>
              <w:bottom w:val="single" w:color="auto" w:sz="4" w:space="0"/>
            </w:tcBorders>
            <w:shd w:val="clear" w:color="auto" w:fill="FFFFFF"/>
          </w:tcPr>
          <w:p w14:paraId="7A193C23">
            <w:pPr>
              <w:rPr>
                <w:rFonts w:hint="eastAsia" w:ascii="宋体" w:hAnsi="宋体" w:eastAsia="宋体" w:cs="宋体"/>
                <w:color w:val="auto"/>
                <w:highlight w:val="none"/>
              </w:rPr>
            </w:pPr>
          </w:p>
        </w:tc>
        <w:tc>
          <w:tcPr>
            <w:tcW w:w="2083" w:type="dxa"/>
            <w:tcBorders>
              <w:top w:val="single" w:color="auto" w:sz="4" w:space="0"/>
              <w:left w:val="single" w:color="auto" w:sz="4" w:space="0"/>
              <w:bottom w:val="single" w:color="auto" w:sz="4" w:space="0"/>
            </w:tcBorders>
            <w:shd w:val="clear" w:color="auto" w:fill="FFFFFF"/>
          </w:tcPr>
          <w:p w14:paraId="4F09E1C7">
            <w:pPr>
              <w:rPr>
                <w:rFonts w:hint="eastAsia" w:ascii="宋体" w:hAnsi="宋体" w:eastAsia="宋体" w:cs="宋体"/>
                <w:color w:val="auto"/>
                <w:highlight w:val="none"/>
              </w:rPr>
            </w:pPr>
          </w:p>
        </w:tc>
        <w:tc>
          <w:tcPr>
            <w:tcW w:w="2093" w:type="dxa"/>
            <w:tcBorders>
              <w:top w:val="single" w:color="auto" w:sz="4" w:space="0"/>
              <w:left w:val="single" w:color="auto" w:sz="4" w:space="0"/>
              <w:bottom w:val="single" w:color="auto" w:sz="4" w:space="0"/>
              <w:right w:val="single" w:color="auto" w:sz="4" w:space="0"/>
            </w:tcBorders>
            <w:shd w:val="clear" w:color="auto" w:fill="FFFFFF"/>
          </w:tcPr>
          <w:p w14:paraId="675578C8">
            <w:pPr>
              <w:rPr>
                <w:rFonts w:hint="eastAsia" w:ascii="宋体" w:hAnsi="宋体" w:eastAsia="宋体" w:cs="宋体"/>
                <w:color w:val="auto"/>
                <w:highlight w:val="none"/>
              </w:rPr>
            </w:pPr>
          </w:p>
        </w:tc>
      </w:tr>
    </w:tbl>
    <w:p w14:paraId="0F9793DC">
      <w:pPr>
        <w:rPr>
          <w:rFonts w:hint="eastAsia" w:ascii="宋体" w:hAnsi="宋体" w:eastAsia="宋体" w:cs="宋体"/>
          <w:color w:val="auto"/>
          <w:highlight w:val="none"/>
        </w:rPr>
      </w:pPr>
    </w:p>
    <w:p w14:paraId="03AF6590">
      <w:pPr>
        <w:widowControl/>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br w:type="page"/>
      </w:r>
    </w:p>
    <w:p w14:paraId="6EFCE30A">
      <w:pPr>
        <w:pStyle w:val="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（二）项目管理机构</w:t>
      </w:r>
    </w:p>
    <w:p w14:paraId="01146685">
      <w:pPr>
        <w:tabs>
          <w:tab w:val="left" w:pos="0"/>
        </w:tabs>
        <w:spacing w:line="360" w:lineRule="auto"/>
        <w:ind w:right="420" w:rightChars="0" w:firstLine="42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1.供应商可以结合项目实际情况和企业自身情况安排拟投入本项目的现场管理人员并在本章“资格审查部分&gt;项目管理机构配备表”的基础上对该表进行扩展完善；</w:t>
      </w:r>
    </w:p>
    <w:p w14:paraId="14DC438B">
      <w:pPr>
        <w:tabs>
          <w:tab w:val="left" w:pos="0"/>
        </w:tabs>
        <w:spacing w:line="360" w:lineRule="auto"/>
        <w:ind w:right="420" w:rightChars="0" w:firstLine="42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2.附各岗位人员资格证件（如有）、职称证（如有）、二代居民身份证以及在现任职单位的社会保险缴纳证明材料（</w:t>
      </w:r>
      <w:r>
        <w:rPr>
          <w:rFonts w:hint="eastAsia" w:ascii="宋体" w:hAnsi="宋体" w:eastAsia="宋体" w:cs="宋体"/>
          <w:b/>
          <w:color w:val="auto"/>
          <w:kern w:val="2"/>
          <w:highlight w:val="none"/>
        </w:rPr>
        <w:t>提交首次响应文件截止时间前半年内连续三个月</w:t>
      </w:r>
      <w:r>
        <w:rPr>
          <w:rFonts w:hint="eastAsia" w:ascii="宋体" w:hAnsi="宋体" w:eastAsia="宋体" w:cs="宋体"/>
          <w:color w:val="auto"/>
          <w:kern w:val="2"/>
          <w:highlight w:val="none"/>
        </w:rPr>
        <w:t>）复印件（相关证明材料复印件应当加盖供应商单位公章，否则按无效材料处理）。</w:t>
      </w:r>
    </w:p>
    <w:p w14:paraId="7D9B67E2">
      <w:pPr>
        <w:widowControl/>
        <w:jc w:val="left"/>
        <w:rPr>
          <w:rFonts w:hint="eastAsia" w:ascii="宋体" w:hAnsi="宋体" w:eastAsia="宋体" w:cs="宋体"/>
          <w:b/>
          <w:bCs/>
          <w:color w:val="auto"/>
          <w:szCs w:val="32"/>
          <w:highlight w:val="none"/>
        </w:rPr>
      </w:pPr>
      <w:r>
        <w:rPr>
          <w:rFonts w:hint="eastAsia" w:ascii="宋体" w:hAnsi="宋体" w:eastAsia="宋体" w:cs="宋体"/>
          <w:color w:val="auto"/>
          <w:highlight w:val="none"/>
        </w:rPr>
        <w:br w:type="page"/>
      </w:r>
    </w:p>
    <w:p w14:paraId="25CDE074">
      <w:pPr>
        <w:pStyle w:val="4"/>
        <w:rPr>
          <w:rFonts w:hint="eastAsia" w:ascii="宋体" w:hAnsi="宋体" w:eastAsia="宋体" w:cs="宋体"/>
          <w:color w:val="auto"/>
          <w:highlight w:val="none"/>
        </w:rPr>
      </w:pPr>
      <w:r>
        <w:rPr>
          <w:rFonts w:hint="eastAsia" w:ascii="宋体" w:hAnsi="宋体" w:eastAsia="宋体" w:cs="宋体"/>
          <w:color w:val="auto"/>
          <w:sz w:val="28"/>
          <w:szCs w:val="28"/>
          <w:highlight w:val="none"/>
        </w:rPr>
        <w:t>四、信誉实力（如有）</w:t>
      </w:r>
    </w:p>
    <w:p w14:paraId="08B4EF2F">
      <w:pPr>
        <w:widowControl/>
        <w:spacing w:line="360" w:lineRule="auto"/>
        <w:jc w:val="left"/>
        <w:rPr>
          <w:rFonts w:hint="eastAsia" w:ascii="宋体" w:hAnsi="宋体" w:eastAsia="宋体" w:cs="宋体"/>
          <w:color w:val="auto"/>
          <w:highlight w:val="none"/>
        </w:rPr>
      </w:pPr>
    </w:p>
    <w:p w14:paraId="03D959C9">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本项目无要求</w:t>
      </w:r>
    </w:p>
    <w:p w14:paraId="0A469A22">
      <w:pPr>
        <w:widowControl/>
        <w:spacing w:line="360" w:lineRule="auto"/>
        <w:jc w:val="left"/>
        <w:rPr>
          <w:rFonts w:hint="eastAsia" w:ascii="宋体" w:hAnsi="宋体" w:eastAsia="宋体" w:cs="宋体"/>
          <w:b/>
          <w:bCs/>
          <w:color w:val="auto"/>
          <w:szCs w:val="32"/>
          <w:highlight w:val="none"/>
        </w:rPr>
      </w:pPr>
      <w:r>
        <w:rPr>
          <w:rFonts w:hint="eastAsia" w:ascii="宋体" w:hAnsi="宋体" w:eastAsia="宋体" w:cs="宋体"/>
          <w:color w:val="auto"/>
          <w:highlight w:val="none"/>
        </w:rPr>
        <w:br w:type="page"/>
      </w:r>
    </w:p>
    <w:p w14:paraId="1B24900A">
      <w:pPr>
        <w:pStyle w:val="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五、供应商认为需要提供的其他材料（如有）</w:t>
      </w:r>
    </w:p>
    <w:p w14:paraId="163B8C79">
      <w:pPr>
        <w:keepNext w:val="0"/>
        <w:keepLines w:val="0"/>
        <w:pageBreakBefore w:val="0"/>
        <w:widowControl w:val="0"/>
        <w:kinsoku/>
        <w:wordWrap/>
        <w:overflowPunct/>
        <w:topLinePunct w:val="0"/>
        <w:autoSpaceDE w:val="0"/>
        <w:autoSpaceDN w:val="0"/>
        <w:bidi w:val="0"/>
        <w:adjustRightInd w:val="0"/>
        <w:snapToGrid/>
        <w:spacing w:before="144" w:beforeLines="50"/>
        <w:jc w:val="center"/>
        <w:textAlignment w:val="auto"/>
        <w:rPr>
          <w:rFonts w:hint="eastAsia" w:ascii="宋体" w:hAnsi="宋体" w:eastAsia="宋体" w:cs="宋体"/>
          <w:b/>
          <w:bCs/>
          <w:color w:val="auto"/>
          <w:sz w:val="32"/>
          <w:szCs w:val="32"/>
          <w:highlight w:val="none"/>
        </w:rPr>
      </w:pPr>
    </w:p>
    <w:p w14:paraId="1BF8000B">
      <w:pPr>
        <w:keepNext w:val="0"/>
        <w:keepLines w:val="0"/>
        <w:pageBreakBefore w:val="0"/>
        <w:widowControl w:val="0"/>
        <w:kinsoku/>
        <w:wordWrap/>
        <w:overflowPunct/>
        <w:topLinePunct w:val="0"/>
        <w:autoSpaceDE w:val="0"/>
        <w:autoSpaceDN w:val="0"/>
        <w:bidi w:val="0"/>
        <w:adjustRightInd w:val="0"/>
        <w:snapToGrid/>
        <w:spacing w:before="144" w:beforeLines="50"/>
        <w:jc w:val="center"/>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t>中小企业声明函（工程）</w:t>
      </w:r>
    </w:p>
    <w:p w14:paraId="2B0A8145">
      <w:pPr>
        <w:autoSpaceDE w:val="0"/>
        <w:autoSpaceDN w:val="0"/>
        <w:adjustRightInd w:val="0"/>
        <w:spacing w:line="360" w:lineRule="auto"/>
        <w:ind w:right="296" w:rightChars="141" w:firstLine="420" w:firstLineChars="200"/>
        <w:jc w:val="left"/>
        <w:rPr>
          <w:rFonts w:hint="eastAsia" w:ascii="宋体" w:hAnsi="宋体" w:eastAsia="宋体" w:cs="宋体"/>
          <w:color w:val="auto"/>
          <w:highlight w:val="none"/>
        </w:rPr>
      </w:pPr>
    </w:p>
    <w:p w14:paraId="0CEE1615">
      <w:pPr>
        <w:autoSpaceDE w:val="0"/>
        <w:autoSpaceDN w:val="0"/>
        <w:adjustRightInd w:val="0"/>
        <w:spacing w:line="480" w:lineRule="auto"/>
        <w:ind w:right="420" w:rightChars="20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号）、《广西壮族自治区财政厅关于进一步发挥政府采购政策功能促进企业发展的通知》（财库〔2022〕30号）的规定，本公司（联合体）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5D42616">
      <w:pPr>
        <w:autoSpaceDE w:val="0"/>
        <w:autoSpaceDN w:val="0"/>
        <w:adjustRightInd w:val="0"/>
        <w:spacing w:line="480" w:lineRule="auto"/>
        <w:ind w:right="296" w:rightChars="141"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（标的名称）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w:t>
      </w:r>
      <w:r>
        <w:rPr>
          <w:rFonts w:hint="eastAsia" w:ascii="宋体" w:hAnsi="宋体" w:eastAsia="宋体" w:cs="宋体"/>
          <w:b/>
          <w:bCs/>
          <w:color w:val="auto"/>
          <w:highlight w:val="none"/>
          <w:u w:val="single"/>
          <w:lang w:eastAsia="zh-CN"/>
        </w:rPr>
        <w:t>建筑</w:t>
      </w:r>
      <w:r>
        <w:rPr>
          <w:rFonts w:hint="eastAsia" w:ascii="宋体" w:hAnsi="宋体" w:eastAsia="宋体" w:cs="宋体"/>
          <w:b/>
          <w:bCs/>
          <w:color w:val="auto"/>
          <w:highlight w:val="none"/>
          <w:u w:val="single"/>
        </w:rPr>
        <w:t>业</w:t>
      </w:r>
      <w:r>
        <w:rPr>
          <w:rFonts w:hint="eastAsia" w:ascii="宋体" w:hAnsi="宋体" w:eastAsia="宋体" w:cs="宋体"/>
          <w:color w:val="auto"/>
          <w:highlight w:val="none"/>
          <w:u w:val="single"/>
        </w:rPr>
        <w:t>）</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w:t>
      </w:r>
      <w:r>
        <w:rPr>
          <w:rFonts w:hint="eastAsia" w:ascii="宋体" w:hAnsi="宋体" w:eastAsia="宋体" w:cs="宋体"/>
          <w:color w:val="auto"/>
          <w:highlight w:val="none"/>
          <w:vertAlign w:val="superscript"/>
        </w:rPr>
        <w:t>1</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14:paraId="4965BD8D">
      <w:pPr>
        <w:autoSpaceDE w:val="0"/>
        <w:autoSpaceDN w:val="0"/>
        <w:adjustRightInd w:val="0"/>
        <w:spacing w:line="480" w:lineRule="auto"/>
        <w:ind w:right="296" w:rightChars="141"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1B75B321">
      <w:pPr>
        <w:autoSpaceDE w:val="0"/>
        <w:autoSpaceDN w:val="0"/>
        <w:adjustRightInd w:val="0"/>
        <w:spacing w:line="480" w:lineRule="auto"/>
        <w:ind w:right="296" w:rightChars="141"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049B80E5">
      <w:pPr>
        <w:autoSpaceDE w:val="0"/>
        <w:autoSpaceDN w:val="0"/>
        <w:adjustRightInd w:val="0"/>
        <w:spacing w:line="480" w:lineRule="auto"/>
        <w:ind w:right="296" w:rightChars="141" w:firstLine="6377" w:firstLineChars="3037"/>
        <w:jc w:val="left"/>
        <w:rPr>
          <w:rFonts w:hint="eastAsia" w:ascii="宋体" w:hAnsi="宋体" w:eastAsia="宋体" w:cs="宋体"/>
          <w:color w:val="auto"/>
          <w:highlight w:val="none"/>
        </w:rPr>
      </w:pPr>
    </w:p>
    <w:p w14:paraId="09F6CFB7">
      <w:pPr>
        <w:autoSpaceDE w:val="0"/>
        <w:autoSpaceDN w:val="0"/>
        <w:adjustRightInd w:val="0"/>
        <w:spacing w:line="480" w:lineRule="auto"/>
        <w:ind w:right="296" w:rightChars="141" w:firstLine="5334" w:firstLineChars="2540"/>
        <w:jc w:val="left"/>
        <w:rPr>
          <w:rFonts w:hint="eastAsia" w:ascii="宋体" w:hAnsi="宋体" w:eastAsia="宋体" w:cs="宋体"/>
          <w:color w:val="auto"/>
          <w:highlight w:val="none"/>
        </w:rPr>
      </w:pPr>
      <w:r>
        <w:rPr>
          <w:rFonts w:hint="eastAsia" w:ascii="宋体" w:hAnsi="宋体" w:eastAsia="宋体" w:cs="宋体"/>
          <w:color w:val="auto"/>
          <w:highlight w:val="none"/>
        </w:rPr>
        <w:t>企业名称</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w:t>
      </w:r>
      <w:r>
        <w:rPr>
          <w:rFonts w:hint="eastAsia" w:ascii="宋体" w:hAnsi="宋体" w:eastAsia="宋体" w:cs="宋体"/>
          <w:color w:val="auto"/>
          <w:highlight w:val="none"/>
        </w:rPr>
        <w:t>电子公章）</w:t>
      </w:r>
      <w:r>
        <w:rPr>
          <w:rFonts w:hint="eastAsia" w:ascii="宋体" w:hAnsi="宋体" w:eastAsia="宋体" w:cs="宋体"/>
          <w:color w:val="auto"/>
          <w:highlight w:val="none"/>
        </w:rPr>
        <w:t>：</w:t>
      </w:r>
    </w:p>
    <w:p w14:paraId="5CB478C5">
      <w:pPr>
        <w:autoSpaceDE w:val="0"/>
        <w:autoSpaceDN w:val="0"/>
        <w:adjustRightInd w:val="0"/>
        <w:spacing w:line="480" w:lineRule="auto"/>
        <w:ind w:right="296" w:rightChars="141" w:firstLine="5334" w:firstLineChars="2540"/>
        <w:jc w:val="left"/>
        <w:rPr>
          <w:rFonts w:hint="eastAsia" w:ascii="宋体" w:hAnsi="宋体" w:eastAsia="宋体" w:cs="宋体"/>
          <w:color w:val="auto"/>
          <w:highlight w:val="none"/>
        </w:rPr>
      </w:pPr>
      <w:r>
        <w:rPr>
          <w:rFonts w:hint="eastAsia" w:ascii="宋体" w:hAnsi="宋体" w:eastAsia="宋体" w:cs="宋体"/>
          <w:color w:val="auto"/>
          <w:highlight w:val="none"/>
        </w:rPr>
        <w:t>日期：</w:t>
      </w:r>
    </w:p>
    <w:p w14:paraId="6FE67D03">
      <w:pPr>
        <w:widowControl/>
        <w:jc w:val="left"/>
        <w:rPr>
          <w:rFonts w:hint="eastAsia" w:ascii="宋体" w:hAnsi="宋体" w:eastAsia="宋体" w:cs="宋体"/>
          <w:color w:val="auto"/>
          <w:highlight w:val="none"/>
        </w:rPr>
      </w:pPr>
    </w:p>
    <w:p w14:paraId="7565AAD6">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从业人员、营业收入、资产总额填报上一年度数据，无上一年度数据的新成立企业可不填报。</w:t>
      </w:r>
      <w:r>
        <w:rPr>
          <w:rFonts w:hint="eastAsia" w:ascii="宋体" w:hAnsi="宋体" w:eastAsia="宋体" w:cs="宋体"/>
          <w:color w:val="auto"/>
          <w:highlight w:val="none"/>
        </w:rPr>
        <w:br w:type="page"/>
      </w:r>
    </w:p>
    <w:p w14:paraId="1537A8D1">
      <w:pPr>
        <w:widowControl/>
        <w:spacing w:before="100" w:beforeAutospacing="1" w:after="100" w:afterAutospacing="1"/>
        <w:jc w:val="both"/>
        <w:textAlignment w:val="top"/>
        <w:rPr>
          <w:rFonts w:hint="eastAsia" w:ascii="宋体" w:hAnsi="宋体" w:eastAsia="宋体" w:cs="宋体"/>
          <w:color w:val="auto"/>
          <w:szCs w:val="24"/>
          <w:highlight w:val="none"/>
        </w:rPr>
      </w:pPr>
    </w:p>
    <w:p w14:paraId="487D037D">
      <w:pPr>
        <w:widowControl/>
        <w:spacing w:before="100" w:beforeAutospacing="1" w:after="100" w:afterAutospacing="1"/>
        <w:jc w:val="center"/>
        <w:textAlignment w:val="top"/>
        <w:outlineLvl w:val="0"/>
        <w:rPr>
          <w:rFonts w:hint="eastAsia" w:ascii="宋体" w:hAnsi="宋体" w:eastAsia="宋体" w:cs="宋体"/>
          <w:b/>
          <w:bCs/>
          <w:color w:val="auto"/>
          <w:sz w:val="30"/>
          <w:szCs w:val="24"/>
          <w:highlight w:val="none"/>
        </w:rPr>
      </w:pPr>
      <w:bookmarkStart w:id="1413" w:name="_Toc10054"/>
      <w:r>
        <w:rPr>
          <w:rFonts w:hint="eastAsia" w:ascii="宋体" w:hAnsi="宋体" w:eastAsia="宋体" w:cs="宋体"/>
          <w:b/>
          <w:bCs/>
          <w:color w:val="auto"/>
          <w:sz w:val="30"/>
          <w:szCs w:val="24"/>
          <w:highlight w:val="none"/>
        </w:rPr>
        <w:t>残疾人福利性单位声明函</w:t>
      </w:r>
      <w:r>
        <w:rPr>
          <w:rFonts w:hint="eastAsia" w:ascii="宋体" w:hAnsi="宋体" w:eastAsia="宋体" w:cs="宋体"/>
          <w:b/>
          <w:color w:val="auto"/>
          <w:sz w:val="32"/>
          <w:szCs w:val="24"/>
          <w:highlight w:val="none"/>
        </w:rPr>
        <w:t>（格式）</w:t>
      </w:r>
      <w:bookmarkEnd w:id="1413"/>
    </w:p>
    <w:p w14:paraId="3E84A9C0">
      <w:pPr>
        <w:spacing w:line="588" w:lineRule="exact"/>
        <w:rPr>
          <w:rFonts w:hint="eastAsia" w:ascii="宋体" w:hAnsi="宋体" w:eastAsia="宋体" w:cs="宋体"/>
          <w:b/>
          <w:color w:val="auto"/>
          <w:spacing w:val="6"/>
          <w:kern w:val="2"/>
          <w:sz w:val="30"/>
          <w:szCs w:val="30"/>
          <w:highlight w:val="none"/>
        </w:rPr>
      </w:pPr>
    </w:p>
    <w:p w14:paraId="3501397B">
      <w:pPr>
        <w:keepNext w:val="0"/>
        <w:keepLines w:val="0"/>
        <w:pageBreakBefore w:val="0"/>
        <w:widowControl w:val="0"/>
        <w:kinsoku/>
        <w:wordWrap/>
        <w:overflowPunct/>
        <w:topLinePunct w:val="0"/>
        <w:autoSpaceDE/>
        <w:autoSpaceDN/>
        <w:bidi w:val="0"/>
        <w:adjustRightInd/>
        <w:snapToGrid/>
        <w:spacing w:before="144" w:beforeLines="50" w:line="360" w:lineRule="auto"/>
        <w:ind w:right="420" w:rightChars="200" w:firstLine="444" w:firstLineChars="200"/>
        <w:textAlignment w:val="auto"/>
        <w:rPr>
          <w:rFonts w:hint="eastAsia" w:ascii="宋体" w:hAnsi="宋体" w:eastAsia="宋体" w:cs="宋体"/>
          <w:color w:val="auto"/>
          <w:spacing w:val="6"/>
          <w:kern w:val="2"/>
          <w:szCs w:val="24"/>
          <w:highlight w:val="none"/>
        </w:rPr>
      </w:pPr>
      <w:r>
        <w:rPr>
          <w:rFonts w:hint="eastAsia" w:ascii="宋体" w:hAnsi="宋体" w:eastAsia="宋体" w:cs="宋体"/>
          <w:color w:val="auto"/>
          <w:spacing w:val="6"/>
          <w:kern w:val="2"/>
          <w:szCs w:val="24"/>
          <w:highlight w:val="none"/>
        </w:rPr>
        <w:t>本单位郑重声明，根据《财政部 民政部 中国残疾人联合会关于促进残疾人就业政府采购政策的通知》（财库</w:t>
      </w:r>
      <w:r>
        <w:rPr>
          <w:rFonts w:hint="eastAsia" w:ascii="宋体" w:hAnsi="宋体" w:eastAsia="宋体" w:cs="宋体"/>
          <w:color w:val="auto"/>
          <w:kern w:val="2"/>
          <w:szCs w:val="24"/>
          <w:highlight w:val="none"/>
        </w:rPr>
        <w:t>〔2017〕 141</w:t>
      </w:r>
      <w:r>
        <w:rPr>
          <w:rFonts w:hint="eastAsia" w:ascii="宋体" w:hAnsi="宋体" w:eastAsia="宋体" w:cs="宋体"/>
          <w:color w:val="auto"/>
          <w:spacing w:val="6"/>
          <w:kern w:val="2"/>
          <w:szCs w:val="24"/>
          <w:highlight w:val="none"/>
        </w:rPr>
        <w:t>号）的规定，本单位为符合条件的残疾人福利性单位，且本单位参加</w:t>
      </w:r>
      <w:r>
        <w:rPr>
          <w:rFonts w:hint="eastAsia" w:ascii="宋体" w:hAnsi="宋体" w:eastAsia="宋体" w:cs="宋体"/>
          <w:color w:val="auto"/>
          <w:spacing w:val="6"/>
          <w:kern w:val="2"/>
          <w:szCs w:val="24"/>
          <w:highlight w:val="none"/>
          <w:u w:val="single"/>
        </w:rPr>
        <w:t xml:space="preserve">       </w:t>
      </w:r>
      <w:r>
        <w:rPr>
          <w:rFonts w:hint="eastAsia" w:ascii="宋体" w:hAnsi="宋体" w:eastAsia="宋体" w:cs="宋体"/>
          <w:color w:val="auto"/>
          <w:spacing w:val="6"/>
          <w:kern w:val="2"/>
          <w:szCs w:val="24"/>
          <w:highlight w:val="none"/>
        </w:rPr>
        <w:t>单位的</w:t>
      </w:r>
      <w:r>
        <w:rPr>
          <w:rFonts w:hint="eastAsia" w:ascii="宋体" w:hAnsi="宋体" w:eastAsia="宋体" w:cs="宋体"/>
          <w:color w:val="auto"/>
          <w:spacing w:val="6"/>
          <w:kern w:val="2"/>
          <w:szCs w:val="24"/>
          <w:highlight w:val="none"/>
          <w:u w:val="single"/>
        </w:rPr>
        <w:t xml:space="preserve">        </w:t>
      </w:r>
      <w:r>
        <w:rPr>
          <w:rFonts w:hint="eastAsia" w:ascii="宋体" w:hAnsi="宋体" w:eastAsia="宋体" w:cs="宋体"/>
          <w:color w:val="auto"/>
          <w:spacing w:val="6"/>
          <w:kern w:val="2"/>
          <w:szCs w:val="24"/>
          <w:highlight w:val="none"/>
        </w:rPr>
        <w:t>项目采购活动提供本单位制造的货物（由本单位承担工程/提供服务），或者提供其他残疾人福利性单位制造的货物（不包括使用非残疾人福利性单位注册商标的货物）。</w:t>
      </w:r>
    </w:p>
    <w:p w14:paraId="184205B3">
      <w:pPr>
        <w:keepNext w:val="0"/>
        <w:keepLines w:val="0"/>
        <w:pageBreakBefore w:val="0"/>
        <w:widowControl w:val="0"/>
        <w:kinsoku/>
        <w:wordWrap/>
        <w:overflowPunct/>
        <w:topLinePunct w:val="0"/>
        <w:autoSpaceDE/>
        <w:autoSpaceDN/>
        <w:bidi w:val="0"/>
        <w:adjustRightInd/>
        <w:snapToGrid/>
        <w:spacing w:before="144" w:beforeLines="50" w:line="360" w:lineRule="auto"/>
        <w:ind w:firstLine="444" w:firstLineChars="200"/>
        <w:textAlignment w:val="auto"/>
        <w:rPr>
          <w:rFonts w:hint="eastAsia" w:ascii="宋体" w:hAnsi="宋体" w:eastAsia="宋体" w:cs="宋体"/>
          <w:color w:val="auto"/>
          <w:spacing w:val="6"/>
          <w:kern w:val="2"/>
          <w:szCs w:val="24"/>
          <w:highlight w:val="none"/>
        </w:rPr>
      </w:pPr>
      <w:r>
        <w:rPr>
          <w:rFonts w:hint="eastAsia" w:ascii="宋体" w:hAnsi="宋体" w:eastAsia="宋体" w:cs="宋体"/>
          <w:color w:val="auto"/>
          <w:spacing w:val="6"/>
          <w:kern w:val="2"/>
          <w:szCs w:val="24"/>
          <w:highlight w:val="none"/>
        </w:rPr>
        <w:t>本单位对上述声明的真实性负责。如有虚假，将依法承担相应责任。</w:t>
      </w:r>
    </w:p>
    <w:p w14:paraId="5AE7368E">
      <w:pPr>
        <w:spacing w:line="360" w:lineRule="auto"/>
        <w:ind w:firstLine="444" w:firstLineChars="200"/>
        <w:rPr>
          <w:rFonts w:hint="eastAsia" w:ascii="宋体" w:hAnsi="宋体" w:eastAsia="宋体" w:cs="宋体"/>
          <w:color w:val="auto"/>
          <w:spacing w:val="6"/>
          <w:kern w:val="2"/>
          <w:szCs w:val="24"/>
          <w:highlight w:val="none"/>
        </w:rPr>
      </w:pPr>
    </w:p>
    <w:p w14:paraId="1B0F063E">
      <w:pPr>
        <w:spacing w:line="360" w:lineRule="auto"/>
        <w:ind w:firstLine="444" w:firstLineChars="200"/>
        <w:rPr>
          <w:rFonts w:hint="eastAsia" w:ascii="宋体" w:hAnsi="宋体" w:eastAsia="宋体" w:cs="宋体"/>
          <w:color w:val="auto"/>
          <w:spacing w:val="6"/>
          <w:kern w:val="2"/>
          <w:szCs w:val="24"/>
          <w:highlight w:val="none"/>
        </w:rPr>
      </w:pPr>
    </w:p>
    <w:p w14:paraId="05364F18">
      <w:pPr>
        <w:spacing w:line="360" w:lineRule="auto"/>
        <w:ind w:firstLine="444" w:firstLineChars="200"/>
        <w:rPr>
          <w:rFonts w:hint="eastAsia" w:ascii="宋体" w:hAnsi="宋体" w:eastAsia="宋体" w:cs="宋体"/>
          <w:color w:val="auto"/>
          <w:spacing w:val="6"/>
          <w:kern w:val="2"/>
          <w:szCs w:val="24"/>
          <w:highlight w:val="none"/>
        </w:rPr>
      </w:pPr>
    </w:p>
    <w:p w14:paraId="715A3732">
      <w:pPr>
        <w:tabs>
          <w:tab w:val="left" w:pos="4860"/>
        </w:tabs>
        <w:spacing w:line="360" w:lineRule="auto"/>
        <w:ind w:right="1560" w:firstLine="444" w:firstLineChars="200"/>
        <w:jc w:val="center"/>
        <w:rPr>
          <w:rFonts w:hint="eastAsia" w:ascii="宋体" w:hAnsi="宋体" w:eastAsia="宋体" w:cs="宋体"/>
          <w:color w:val="auto"/>
          <w:spacing w:val="6"/>
          <w:kern w:val="2"/>
          <w:szCs w:val="24"/>
          <w:highlight w:val="none"/>
        </w:rPr>
      </w:pPr>
      <w:r>
        <w:rPr>
          <w:rFonts w:hint="eastAsia" w:ascii="宋体" w:hAnsi="宋体" w:eastAsia="宋体" w:cs="宋体"/>
          <w:color w:val="auto"/>
          <w:spacing w:val="6"/>
          <w:kern w:val="2"/>
          <w:szCs w:val="24"/>
          <w:highlight w:val="none"/>
        </w:rPr>
        <w:t>单位名称</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w:t>
      </w:r>
      <w:r>
        <w:rPr>
          <w:rFonts w:hint="eastAsia" w:ascii="宋体" w:hAnsi="宋体" w:eastAsia="宋体" w:cs="宋体"/>
          <w:color w:val="auto"/>
          <w:highlight w:val="none"/>
        </w:rPr>
        <w:t>电子公章）</w:t>
      </w:r>
      <w:r>
        <w:rPr>
          <w:rFonts w:hint="eastAsia" w:ascii="宋体" w:hAnsi="宋体" w:eastAsia="宋体" w:cs="宋体"/>
          <w:color w:val="auto"/>
          <w:spacing w:val="6"/>
          <w:kern w:val="2"/>
          <w:szCs w:val="24"/>
          <w:highlight w:val="none"/>
        </w:rPr>
        <w:t>：</w:t>
      </w:r>
    </w:p>
    <w:p w14:paraId="2751CB00">
      <w:pPr>
        <w:tabs>
          <w:tab w:val="left" w:pos="4860"/>
        </w:tabs>
        <w:spacing w:line="360" w:lineRule="auto"/>
        <w:ind w:right="1560" w:firstLine="444" w:firstLineChars="200"/>
        <w:jc w:val="center"/>
        <w:rPr>
          <w:rFonts w:hint="eastAsia" w:ascii="宋体" w:hAnsi="宋体" w:eastAsia="宋体" w:cs="宋体"/>
          <w:color w:val="auto"/>
          <w:spacing w:val="6"/>
          <w:kern w:val="2"/>
          <w:szCs w:val="24"/>
          <w:highlight w:val="none"/>
        </w:rPr>
      </w:pPr>
      <w:r>
        <w:rPr>
          <w:rFonts w:hint="eastAsia" w:ascii="宋体" w:hAnsi="宋体" w:eastAsia="宋体" w:cs="宋体"/>
          <w:color w:val="auto"/>
          <w:spacing w:val="6"/>
          <w:kern w:val="2"/>
          <w:szCs w:val="24"/>
          <w:highlight w:val="none"/>
        </w:rPr>
        <w:t>日   期：</w:t>
      </w:r>
    </w:p>
    <w:p w14:paraId="01D15FEE">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44CD269">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“政采贷”政策告知函</w:t>
      </w:r>
    </w:p>
    <w:p w14:paraId="6B585FE5">
      <w:pPr>
        <w:keepNext w:val="0"/>
        <w:keepLines w:val="0"/>
        <w:pageBreakBefore w:val="0"/>
        <w:kinsoku/>
        <w:wordWrap/>
        <w:overflowPunct/>
        <w:topLinePunct w:val="0"/>
        <w:autoSpaceDE/>
        <w:autoSpaceDN/>
        <w:bidi w:val="0"/>
        <w:spacing w:line="460" w:lineRule="exact"/>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各供应商:</w:t>
      </w:r>
    </w:p>
    <w:p w14:paraId="505CA524">
      <w:pPr>
        <w:keepNext w:val="0"/>
        <w:keepLines w:val="0"/>
        <w:pageBreakBefore w:val="0"/>
        <w:kinsoku/>
        <w:wordWrap/>
        <w:overflowPunct/>
        <w:topLinePunct w:val="0"/>
        <w:autoSpaceDE/>
        <w:autoSpaceDN/>
        <w:bidi w:val="0"/>
        <w:spacing w:line="46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欢迎贵公司参与贺州市政府采购活动!</w:t>
      </w:r>
    </w:p>
    <w:p w14:paraId="4893AB3C">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宋体" w:hAnsi="宋体" w:eastAsia="宋体" w:cs="宋体"/>
          <w:color w:val="auto"/>
          <w:sz w:val="21"/>
          <w:szCs w:val="21"/>
          <w:highlight w:val="none"/>
          <w:lang w:eastAsia="zh-CN"/>
        </w:rPr>
        <w:t>等相关材料</w:t>
      </w:r>
      <w:r>
        <w:rPr>
          <w:rFonts w:hint="eastAsia" w:ascii="宋体" w:hAnsi="宋体" w:eastAsia="宋体" w:cs="宋体"/>
          <w:color w:val="auto"/>
          <w:sz w:val="21"/>
          <w:szCs w:val="21"/>
          <w:highlight w:val="none"/>
        </w:rPr>
        <w:t>向金融机构申请贷款，金融机构核实信息，按照双方自愿的原则提供便捷、优惠的贷款服务。</w:t>
      </w:r>
    </w:p>
    <w:p w14:paraId="69DFA2E6">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一、“政采贷”操作流程</w:t>
      </w:r>
    </w:p>
    <w:p w14:paraId="5DEA0149">
      <w:pPr>
        <w:keepNext w:val="0"/>
        <w:keepLines w:val="0"/>
        <w:pageBreakBefore w:val="0"/>
        <w:widowControl/>
        <w:kinsoku/>
        <w:wordWrap/>
        <w:overflowPunct/>
        <w:topLinePunct w:val="0"/>
        <w:autoSpaceDE/>
        <w:autoSpaceDN/>
        <w:bidi w:val="0"/>
        <w:adjustRightInd w:val="0"/>
        <w:snapToGrid w:val="0"/>
        <w:spacing w:after="0" w:line="460" w:lineRule="exact"/>
        <w:ind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进入“广西政府采购网”（</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"http://zfcg.gxzf.gov.cn/" </w:instrText>
      </w:r>
      <w:r>
        <w:rPr>
          <w:rFonts w:hint="eastAsia" w:ascii="宋体" w:hAnsi="宋体" w:eastAsia="宋体" w:cs="宋体"/>
          <w:color w:val="auto"/>
          <w:sz w:val="21"/>
          <w:szCs w:val="21"/>
          <w:highlight w:val="none"/>
          <w:lang w:eastAsia="zh-CN"/>
        </w:rPr>
        <w:fldChar w:fldCharType="separate"/>
      </w:r>
      <w:r>
        <w:rPr>
          <w:rStyle w:val="17"/>
          <w:rFonts w:hint="eastAsia" w:ascii="宋体" w:hAnsi="宋体" w:eastAsia="宋体" w:cs="宋体"/>
          <w:color w:val="auto"/>
          <w:sz w:val="21"/>
          <w:szCs w:val="21"/>
          <w:highlight w:val="none"/>
          <w:lang w:eastAsia="zh-CN"/>
        </w:rPr>
        <w:t>http://zfcg.gxzf.gov.cn/</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办事指南”专栏找到“金融融资”板块，进入“广西政府采购金融服务平台”登录，选择试点银行机构进行合同融资预申请。（详情请按照《贺州市财政局关于进一步推行“政采贷”工作的通知》（贺财采〔2024〕3号）文件执行）</w:t>
      </w:r>
    </w:p>
    <w:p w14:paraId="229A1A06">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 w:val="21"/>
          <w:szCs w:val="21"/>
          <w:highlight w:val="none"/>
          <w:lang w:val="en-US" w:eastAsia="zh-CN"/>
        </w:rPr>
        <w:t>承接银行联系方式</w:t>
      </w:r>
    </w:p>
    <w:p w14:paraId="490D92E2">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0" w:leftChars="0" w:right="0" w:rightChars="0" w:firstLine="482"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1.中国建设银行贺州分行</w:t>
      </w:r>
      <w:r>
        <w:rPr>
          <w:rFonts w:hint="eastAsia" w:ascii="宋体" w:hAnsi="宋体" w:eastAsia="宋体" w:cs="宋体"/>
          <w:color w:val="auto"/>
          <w:sz w:val="24"/>
          <w:szCs w:val="24"/>
          <w:highlight w:val="none"/>
          <w:lang w:val="en-US" w:eastAsia="zh-CN"/>
        </w:rPr>
        <w:tab/>
      </w:r>
    </w:p>
    <w:tbl>
      <w:tblPr>
        <w:tblStyle w:val="14"/>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35"/>
        <w:gridCol w:w="2313"/>
        <w:gridCol w:w="47"/>
        <w:gridCol w:w="947"/>
        <w:gridCol w:w="1133"/>
        <w:gridCol w:w="229"/>
        <w:gridCol w:w="223"/>
        <w:gridCol w:w="1078"/>
        <w:gridCol w:w="487"/>
        <w:gridCol w:w="128"/>
        <w:gridCol w:w="2446"/>
        <w:gridCol w:w="179"/>
      </w:tblGrid>
      <w:tr w14:paraId="64DE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13"/>
            <w:noWrap w:val="0"/>
            <w:vAlign w:val="center"/>
          </w:tcPr>
          <w:p w14:paraId="215671C5">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中国建设银行贺州分行 总协调人：杨宏毅  职务：公司业务部副总经理  手机号码：18077397188</w:t>
            </w:r>
          </w:p>
        </w:tc>
      </w:tr>
      <w:tr w14:paraId="39BC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gridSpan w:val="2"/>
            <w:noWrap w:val="0"/>
            <w:vAlign w:val="center"/>
          </w:tcPr>
          <w:p w14:paraId="0329DCE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2360" w:type="dxa"/>
            <w:gridSpan w:val="2"/>
            <w:noWrap w:val="0"/>
            <w:vAlign w:val="center"/>
          </w:tcPr>
          <w:p w14:paraId="7BB7D11E">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金融机构</w:t>
            </w:r>
          </w:p>
        </w:tc>
        <w:tc>
          <w:tcPr>
            <w:tcW w:w="947" w:type="dxa"/>
            <w:noWrap w:val="0"/>
            <w:vAlign w:val="center"/>
          </w:tcPr>
          <w:p w14:paraId="4127653F">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联系人</w:t>
            </w:r>
          </w:p>
        </w:tc>
        <w:tc>
          <w:tcPr>
            <w:tcW w:w="1362" w:type="dxa"/>
            <w:gridSpan w:val="2"/>
            <w:noWrap w:val="0"/>
            <w:vAlign w:val="center"/>
          </w:tcPr>
          <w:p w14:paraId="3943F784">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职务</w:t>
            </w:r>
          </w:p>
        </w:tc>
        <w:tc>
          <w:tcPr>
            <w:tcW w:w="1916" w:type="dxa"/>
            <w:gridSpan w:val="4"/>
            <w:noWrap w:val="0"/>
            <w:vAlign w:val="center"/>
          </w:tcPr>
          <w:p w14:paraId="4B358A78">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手机号码</w:t>
            </w:r>
          </w:p>
        </w:tc>
        <w:tc>
          <w:tcPr>
            <w:tcW w:w="2625" w:type="dxa"/>
            <w:gridSpan w:val="2"/>
            <w:noWrap w:val="0"/>
            <w:vAlign w:val="center"/>
          </w:tcPr>
          <w:p w14:paraId="7260BC2A">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银行地址</w:t>
            </w:r>
          </w:p>
        </w:tc>
      </w:tr>
      <w:tr w14:paraId="5618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90" w:type="dxa"/>
            <w:gridSpan w:val="2"/>
            <w:noWrap w:val="0"/>
            <w:vAlign w:val="center"/>
          </w:tcPr>
          <w:p w14:paraId="48314C4E">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1</w:t>
            </w:r>
          </w:p>
        </w:tc>
        <w:tc>
          <w:tcPr>
            <w:tcW w:w="2360" w:type="dxa"/>
            <w:gridSpan w:val="2"/>
            <w:noWrap w:val="0"/>
            <w:vAlign w:val="center"/>
          </w:tcPr>
          <w:p w14:paraId="60AE141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中国建设银行贺州分行营业部</w:t>
            </w:r>
          </w:p>
        </w:tc>
        <w:tc>
          <w:tcPr>
            <w:tcW w:w="947" w:type="dxa"/>
            <w:noWrap w:val="0"/>
            <w:vAlign w:val="center"/>
          </w:tcPr>
          <w:p w14:paraId="734802A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刘  雍</w:t>
            </w:r>
          </w:p>
        </w:tc>
        <w:tc>
          <w:tcPr>
            <w:tcW w:w="1362" w:type="dxa"/>
            <w:gridSpan w:val="2"/>
            <w:noWrap w:val="0"/>
            <w:vAlign w:val="center"/>
          </w:tcPr>
          <w:p w14:paraId="4A9729D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gridSpan w:val="4"/>
            <w:noWrap w:val="0"/>
            <w:vAlign w:val="center"/>
          </w:tcPr>
          <w:p w14:paraId="188A749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18778943521</w:t>
            </w:r>
          </w:p>
        </w:tc>
        <w:tc>
          <w:tcPr>
            <w:tcW w:w="2625" w:type="dxa"/>
            <w:gridSpan w:val="2"/>
            <w:noWrap w:val="0"/>
            <w:vAlign w:val="center"/>
          </w:tcPr>
          <w:p w14:paraId="3977B01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贺州市八步区建设中路1号</w:t>
            </w:r>
          </w:p>
        </w:tc>
      </w:tr>
      <w:tr w14:paraId="30F1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gridSpan w:val="2"/>
            <w:noWrap w:val="0"/>
            <w:vAlign w:val="center"/>
          </w:tcPr>
          <w:p w14:paraId="34B41E7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2360" w:type="dxa"/>
            <w:gridSpan w:val="2"/>
            <w:noWrap w:val="0"/>
            <w:vAlign w:val="center"/>
          </w:tcPr>
          <w:p w14:paraId="43754F59">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中国建设银行贺州城东支行</w:t>
            </w:r>
          </w:p>
        </w:tc>
        <w:tc>
          <w:tcPr>
            <w:tcW w:w="947" w:type="dxa"/>
            <w:noWrap w:val="0"/>
            <w:vAlign w:val="center"/>
          </w:tcPr>
          <w:p w14:paraId="683CE53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刘昭勇</w:t>
            </w:r>
          </w:p>
        </w:tc>
        <w:tc>
          <w:tcPr>
            <w:tcW w:w="1362" w:type="dxa"/>
            <w:gridSpan w:val="2"/>
            <w:noWrap w:val="0"/>
            <w:vAlign w:val="center"/>
          </w:tcPr>
          <w:p w14:paraId="3302B7D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gridSpan w:val="4"/>
            <w:noWrap w:val="0"/>
            <w:vAlign w:val="center"/>
          </w:tcPr>
          <w:p w14:paraId="595A9C2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18877499257</w:t>
            </w:r>
          </w:p>
        </w:tc>
        <w:tc>
          <w:tcPr>
            <w:tcW w:w="2625" w:type="dxa"/>
            <w:gridSpan w:val="2"/>
            <w:noWrap w:val="0"/>
            <w:vAlign w:val="center"/>
          </w:tcPr>
          <w:p w14:paraId="43296249">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贺州市八步区平安西路266号贺州广场购物中心1号楼一层东面</w:t>
            </w:r>
          </w:p>
        </w:tc>
      </w:tr>
      <w:tr w14:paraId="795D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gridSpan w:val="2"/>
            <w:noWrap w:val="0"/>
            <w:vAlign w:val="center"/>
          </w:tcPr>
          <w:p w14:paraId="4F23B2D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2360" w:type="dxa"/>
            <w:gridSpan w:val="2"/>
            <w:noWrap w:val="0"/>
            <w:vAlign w:val="center"/>
          </w:tcPr>
          <w:p w14:paraId="5F88106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中国建设银行贺州城西支行</w:t>
            </w:r>
          </w:p>
        </w:tc>
        <w:tc>
          <w:tcPr>
            <w:tcW w:w="947" w:type="dxa"/>
            <w:noWrap w:val="0"/>
            <w:vAlign w:val="center"/>
          </w:tcPr>
          <w:p w14:paraId="1E84153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于丛家</w:t>
            </w:r>
          </w:p>
        </w:tc>
        <w:tc>
          <w:tcPr>
            <w:tcW w:w="1362" w:type="dxa"/>
            <w:gridSpan w:val="2"/>
            <w:noWrap w:val="0"/>
            <w:vAlign w:val="center"/>
          </w:tcPr>
          <w:p w14:paraId="3BD60EEE">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gridSpan w:val="4"/>
            <w:noWrap w:val="0"/>
            <w:vAlign w:val="center"/>
          </w:tcPr>
          <w:p w14:paraId="65E5D8C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15177666737</w:t>
            </w:r>
          </w:p>
        </w:tc>
        <w:tc>
          <w:tcPr>
            <w:tcW w:w="2625" w:type="dxa"/>
            <w:gridSpan w:val="2"/>
            <w:noWrap w:val="0"/>
            <w:vAlign w:val="center"/>
          </w:tcPr>
          <w:p w14:paraId="760EEBB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贺州市八步区八达西路689号1栋11号商铺</w:t>
            </w:r>
          </w:p>
        </w:tc>
      </w:tr>
      <w:tr w14:paraId="6ED4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gridSpan w:val="2"/>
            <w:noWrap w:val="0"/>
            <w:vAlign w:val="center"/>
          </w:tcPr>
          <w:p w14:paraId="329E7DC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c>
          <w:tcPr>
            <w:tcW w:w="2360" w:type="dxa"/>
            <w:gridSpan w:val="2"/>
            <w:noWrap w:val="0"/>
            <w:vAlign w:val="center"/>
          </w:tcPr>
          <w:p w14:paraId="7C72D12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中国建设银行贺州平桂支行</w:t>
            </w:r>
          </w:p>
        </w:tc>
        <w:tc>
          <w:tcPr>
            <w:tcW w:w="947" w:type="dxa"/>
            <w:noWrap w:val="0"/>
            <w:vAlign w:val="center"/>
          </w:tcPr>
          <w:p w14:paraId="4000709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  伟</w:t>
            </w:r>
          </w:p>
        </w:tc>
        <w:tc>
          <w:tcPr>
            <w:tcW w:w="1362" w:type="dxa"/>
            <w:gridSpan w:val="2"/>
            <w:noWrap w:val="0"/>
            <w:vAlign w:val="center"/>
          </w:tcPr>
          <w:p w14:paraId="5A141FE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gridSpan w:val="4"/>
            <w:noWrap w:val="0"/>
            <w:vAlign w:val="center"/>
          </w:tcPr>
          <w:p w14:paraId="6BB916B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18007840720</w:t>
            </w:r>
          </w:p>
        </w:tc>
        <w:tc>
          <w:tcPr>
            <w:tcW w:w="2625" w:type="dxa"/>
            <w:gridSpan w:val="2"/>
            <w:noWrap w:val="0"/>
            <w:vAlign w:val="center"/>
          </w:tcPr>
          <w:p w14:paraId="761A287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贺州市平桂区平桂大道15号富旺小区1号楼105号商铺</w:t>
            </w:r>
          </w:p>
        </w:tc>
      </w:tr>
      <w:tr w14:paraId="0C48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gridSpan w:val="2"/>
            <w:noWrap w:val="0"/>
            <w:vAlign w:val="center"/>
          </w:tcPr>
          <w:p w14:paraId="34B1C43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2360" w:type="dxa"/>
            <w:gridSpan w:val="2"/>
            <w:noWrap w:val="0"/>
            <w:vAlign w:val="center"/>
          </w:tcPr>
          <w:p w14:paraId="31E2202E">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中国建设银行钟山支行</w:t>
            </w:r>
          </w:p>
        </w:tc>
        <w:tc>
          <w:tcPr>
            <w:tcW w:w="947" w:type="dxa"/>
            <w:noWrap w:val="0"/>
            <w:vAlign w:val="center"/>
          </w:tcPr>
          <w:p w14:paraId="43BF2E9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张文韬</w:t>
            </w:r>
          </w:p>
        </w:tc>
        <w:tc>
          <w:tcPr>
            <w:tcW w:w="1362" w:type="dxa"/>
            <w:gridSpan w:val="2"/>
            <w:noWrap w:val="0"/>
            <w:vAlign w:val="center"/>
          </w:tcPr>
          <w:p w14:paraId="4A38B27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gridSpan w:val="4"/>
            <w:noWrap w:val="0"/>
            <w:vAlign w:val="center"/>
          </w:tcPr>
          <w:p w14:paraId="60718D8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13047836009</w:t>
            </w:r>
          </w:p>
        </w:tc>
        <w:tc>
          <w:tcPr>
            <w:tcW w:w="2625" w:type="dxa"/>
            <w:gridSpan w:val="2"/>
            <w:noWrap w:val="0"/>
            <w:vAlign w:val="center"/>
          </w:tcPr>
          <w:p w14:paraId="3EE19DB9">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贺州市钟山县城书香西路南侧</w:t>
            </w:r>
          </w:p>
        </w:tc>
      </w:tr>
      <w:tr w14:paraId="051D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gridSpan w:val="2"/>
            <w:noWrap w:val="0"/>
            <w:vAlign w:val="center"/>
          </w:tcPr>
          <w:p w14:paraId="4CA0B74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w:t>
            </w:r>
          </w:p>
        </w:tc>
        <w:tc>
          <w:tcPr>
            <w:tcW w:w="2360" w:type="dxa"/>
            <w:gridSpan w:val="2"/>
            <w:noWrap w:val="0"/>
            <w:vAlign w:val="center"/>
          </w:tcPr>
          <w:p w14:paraId="7945845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中国建设银行富川支行</w:t>
            </w:r>
          </w:p>
        </w:tc>
        <w:tc>
          <w:tcPr>
            <w:tcW w:w="947" w:type="dxa"/>
            <w:noWrap w:val="0"/>
            <w:vAlign w:val="center"/>
          </w:tcPr>
          <w:p w14:paraId="685F779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邓李杰</w:t>
            </w:r>
          </w:p>
        </w:tc>
        <w:tc>
          <w:tcPr>
            <w:tcW w:w="1362" w:type="dxa"/>
            <w:gridSpan w:val="2"/>
            <w:noWrap w:val="0"/>
            <w:vAlign w:val="center"/>
          </w:tcPr>
          <w:p w14:paraId="2E6414B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营业室总经理</w:t>
            </w:r>
          </w:p>
        </w:tc>
        <w:tc>
          <w:tcPr>
            <w:tcW w:w="1916" w:type="dxa"/>
            <w:gridSpan w:val="4"/>
            <w:noWrap w:val="0"/>
            <w:vAlign w:val="center"/>
          </w:tcPr>
          <w:p w14:paraId="20F6AE9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18276498401</w:t>
            </w:r>
          </w:p>
        </w:tc>
        <w:tc>
          <w:tcPr>
            <w:tcW w:w="2625" w:type="dxa"/>
            <w:gridSpan w:val="2"/>
            <w:noWrap w:val="0"/>
            <w:vAlign w:val="center"/>
          </w:tcPr>
          <w:p w14:paraId="26E6AB6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贺州市富川瑶族自治县富阳镇凤凰路汇龙华府第13号楼</w:t>
            </w:r>
          </w:p>
        </w:tc>
      </w:tr>
      <w:tr w14:paraId="4256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90" w:type="dxa"/>
            <w:gridSpan w:val="2"/>
            <w:noWrap w:val="0"/>
            <w:vAlign w:val="center"/>
          </w:tcPr>
          <w:p w14:paraId="24DE380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w:t>
            </w:r>
          </w:p>
        </w:tc>
        <w:tc>
          <w:tcPr>
            <w:tcW w:w="2360" w:type="dxa"/>
            <w:gridSpan w:val="2"/>
            <w:noWrap w:val="0"/>
            <w:vAlign w:val="center"/>
          </w:tcPr>
          <w:p w14:paraId="0543C68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中国建设银行昭平支行</w:t>
            </w:r>
          </w:p>
        </w:tc>
        <w:tc>
          <w:tcPr>
            <w:tcW w:w="947" w:type="dxa"/>
            <w:noWrap w:val="0"/>
            <w:vAlign w:val="center"/>
          </w:tcPr>
          <w:p w14:paraId="02C759E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贝晟延</w:t>
            </w:r>
          </w:p>
        </w:tc>
        <w:tc>
          <w:tcPr>
            <w:tcW w:w="1362" w:type="dxa"/>
            <w:gridSpan w:val="2"/>
            <w:noWrap w:val="0"/>
            <w:vAlign w:val="center"/>
          </w:tcPr>
          <w:p w14:paraId="2028901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gridSpan w:val="4"/>
            <w:noWrap w:val="0"/>
            <w:vAlign w:val="center"/>
          </w:tcPr>
          <w:p w14:paraId="47DC0E5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15676427374</w:t>
            </w:r>
          </w:p>
        </w:tc>
        <w:tc>
          <w:tcPr>
            <w:tcW w:w="2625" w:type="dxa"/>
            <w:gridSpan w:val="2"/>
            <w:noWrap w:val="0"/>
            <w:vAlign w:val="center"/>
          </w:tcPr>
          <w:p w14:paraId="5FC62B4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贺州市昭平县昭平镇东宁中路19号</w:t>
            </w:r>
          </w:p>
        </w:tc>
      </w:tr>
      <w:tr w14:paraId="3D1F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634" w:hRule="atLeast"/>
        </w:trPr>
        <w:tc>
          <w:tcPr>
            <w:tcW w:w="9421" w:type="dxa"/>
            <w:gridSpan w:val="12"/>
            <w:tcBorders>
              <w:top w:val="nil"/>
              <w:left w:val="nil"/>
              <w:bottom w:val="single" w:color="auto" w:sz="4" w:space="0"/>
              <w:right w:val="nil"/>
            </w:tcBorders>
            <w:noWrap w:val="0"/>
            <w:vAlign w:val="center"/>
          </w:tcPr>
          <w:p w14:paraId="1CFCBFF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bCs/>
                <w:color w:val="auto"/>
                <w:sz w:val="24"/>
                <w:szCs w:val="24"/>
                <w:highlight w:val="none"/>
                <w:lang w:val="en-US" w:eastAsia="zh-CN"/>
              </w:rPr>
              <w:t>2.广西北部湾银行</w:t>
            </w:r>
          </w:p>
        </w:tc>
      </w:tr>
      <w:tr w14:paraId="0EEB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469" w:hRule="atLeast"/>
        </w:trPr>
        <w:tc>
          <w:tcPr>
            <w:tcW w:w="9421" w:type="dxa"/>
            <w:gridSpan w:val="12"/>
            <w:tcBorders>
              <w:top w:val="single" w:color="auto" w:sz="4" w:space="0"/>
            </w:tcBorders>
            <w:noWrap w:val="0"/>
            <w:vAlign w:val="center"/>
          </w:tcPr>
          <w:p w14:paraId="7B4E2E4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广西北部湾银行贺州分行   总协调人：杨政   职务：普惠金融部总经理   手机号码：18978413000</w:t>
            </w:r>
          </w:p>
        </w:tc>
      </w:tr>
      <w:tr w14:paraId="2BA6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Pr>
        <w:tc>
          <w:tcPr>
            <w:tcW w:w="355" w:type="dxa"/>
            <w:noWrap w:val="0"/>
            <w:vAlign w:val="center"/>
          </w:tcPr>
          <w:p w14:paraId="6E33991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2348" w:type="dxa"/>
            <w:gridSpan w:val="2"/>
            <w:noWrap w:val="0"/>
            <w:vAlign w:val="center"/>
          </w:tcPr>
          <w:p w14:paraId="7EC9284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金融机构</w:t>
            </w:r>
          </w:p>
        </w:tc>
        <w:tc>
          <w:tcPr>
            <w:tcW w:w="994" w:type="dxa"/>
            <w:gridSpan w:val="2"/>
            <w:noWrap w:val="0"/>
            <w:vAlign w:val="center"/>
          </w:tcPr>
          <w:p w14:paraId="2E2D108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联系人</w:t>
            </w:r>
          </w:p>
        </w:tc>
        <w:tc>
          <w:tcPr>
            <w:tcW w:w="1133" w:type="dxa"/>
            <w:noWrap w:val="0"/>
            <w:vAlign w:val="center"/>
          </w:tcPr>
          <w:p w14:paraId="19AF409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职务</w:t>
            </w:r>
          </w:p>
        </w:tc>
        <w:tc>
          <w:tcPr>
            <w:tcW w:w="1530" w:type="dxa"/>
            <w:gridSpan w:val="3"/>
            <w:noWrap w:val="0"/>
            <w:vAlign w:val="center"/>
          </w:tcPr>
          <w:p w14:paraId="6350C39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手机号码</w:t>
            </w:r>
          </w:p>
        </w:tc>
        <w:tc>
          <w:tcPr>
            <w:tcW w:w="3061" w:type="dxa"/>
            <w:gridSpan w:val="3"/>
            <w:noWrap w:val="0"/>
            <w:vAlign w:val="center"/>
          </w:tcPr>
          <w:p w14:paraId="1CAF209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银行地址</w:t>
            </w:r>
          </w:p>
        </w:tc>
      </w:tr>
      <w:tr w14:paraId="1132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683" w:hRule="atLeast"/>
        </w:trPr>
        <w:tc>
          <w:tcPr>
            <w:tcW w:w="355" w:type="dxa"/>
            <w:noWrap w:val="0"/>
            <w:vAlign w:val="center"/>
          </w:tcPr>
          <w:p w14:paraId="391BABD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348" w:type="dxa"/>
            <w:gridSpan w:val="2"/>
            <w:noWrap w:val="0"/>
            <w:vAlign w:val="center"/>
          </w:tcPr>
          <w:p w14:paraId="25956E0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广西北部湾银行贺州分行</w:t>
            </w:r>
          </w:p>
        </w:tc>
        <w:tc>
          <w:tcPr>
            <w:tcW w:w="994" w:type="dxa"/>
            <w:gridSpan w:val="2"/>
            <w:noWrap w:val="0"/>
            <w:vAlign w:val="center"/>
          </w:tcPr>
          <w:p w14:paraId="317CCC9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黄剑锐</w:t>
            </w:r>
          </w:p>
        </w:tc>
        <w:tc>
          <w:tcPr>
            <w:tcW w:w="1133" w:type="dxa"/>
            <w:noWrap w:val="0"/>
            <w:vAlign w:val="center"/>
          </w:tcPr>
          <w:p w14:paraId="7474AA2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个人金融部副经理</w:t>
            </w:r>
          </w:p>
        </w:tc>
        <w:tc>
          <w:tcPr>
            <w:tcW w:w="1530" w:type="dxa"/>
            <w:gridSpan w:val="3"/>
            <w:noWrap w:val="0"/>
            <w:vAlign w:val="center"/>
          </w:tcPr>
          <w:p w14:paraId="2A56249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15507848190</w:t>
            </w:r>
          </w:p>
        </w:tc>
        <w:tc>
          <w:tcPr>
            <w:tcW w:w="3061" w:type="dxa"/>
            <w:gridSpan w:val="3"/>
            <w:noWrap w:val="0"/>
            <w:vAlign w:val="center"/>
          </w:tcPr>
          <w:p w14:paraId="62E2606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贺州市八步区太白西路153号8号楼</w:t>
            </w:r>
          </w:p>
        </w:tc>
      </w:tr>
      <w:tr w14:paraId="46C7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758" w:hRule="atLeast"/>
        </w:trPr>
        <w:tc>
          <w:tcPr>
            <w:tcW w:w="355" w:type="dxa"/>
            <w:noWrap w:val="0"/>
            <w:vAlign w:val="center"/>
          </w:tcPr>
          <w:p w14:paraId="51ED024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348" w:type="dxa"/>
            <w:gridSpan w:val="2"/>
            <w:noWrap w:val="0"/>
            <w:vAlign w:val="center"/>
          </w:tcPr>
          <w:p w14:paraId="40E4DA7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广西北部湾银行贺州市平桂支行</w:t>
            </w:r>
          </w:p>
        </w:tc>
        <w:tc>
          <w:tcPr>
            <w:tcW w:w="994" w:type="dxa"/>
            <w:gridSpan w:val="2"/>
            <w:noWrap w:val="0"/>
            <w:vAlign w:val="center"/>
          </w:tcPr>
          <w:p w14:paraId="1D31690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  乐</w:t>
            </w:r>
          </w:p>
        </w:tc>
        <w:tc>
          <w:tcPr>
            <w:tcW w:w="1133" w:type="dxa"/>
            <w:noWrap w:val="0"/>
            <w:vAlign w:val="center"/>
          </w:tcPr>
          <w:p w14:paraId="6E41D64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1530" w:type="dxa"/>
            <w:gridSpan w:val="3"/>
            <w:noWrap w:val="0"/>
            <w:vAlign w:val="center"/>
          </w:tcPr>
          <w:p w14:paraId="2E7C760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13036871008</w:t>
            </w:r>
          </w:p>
        </w:tc>
        <w:tc>
          <w:tcPr>
            <w:tcW w:w="3061" w:type="dxa"/>
            <w:gridSpan w:val="3"/>
            <w:noWrap w:val="0"/>
            <w:vAlign w:val="center"/>
          </w:tcPr>
          <w:p w14:paraId="7BA2CA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贺州市平桂区平桂大道4号3号楼103号商铺</w:t>
            </w:r>
          </w:p>
        </w:tc>
      </w:tr>
      <w:tr w14:paraId="5EE6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803" w:hRule="atLeast"/>
        </w:trPr>
        <w:tc>
          <w:tcPr>
            <w:tcW w:w="355" w:type="dxa"/>
            <w:noWrap w:val="0"/>
            <w:vAlign w:val="center"/>
          </w:tcPr>
          <w:p w14:paraId="3D124C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348" w:type="dxa"/>
            <w:gridSpan w:val="2"/>
            <w:noWrap w:val="0"/>
            <w:vAlign w:val="center"/>
          </w:tcPr>
          <w:p w14:paraId="73DD66A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广西北部湾银行钟山支行</w:t>
            </w:r>
          </w:p>
        </w:tc>
        <w:tc>
          <w:tcPr>
            <w:tcW w:w="994" w:type="dxa"/>
            <w:gridSpan w:val="2"/>
            <w:noWrap w:val="0"/>
            <w:vAlign w:val="center"/>
          </w:tcPr>
          <w:p w14:paraId="49424CB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唐振豪</w:t>
            </w:r>
          </w:p>
        </w:tc>
        <w:tc>
          <w:tcPr>
            <w:tcW w:w="1133" w:type="dxa"/>
            <w:noWrap w:val="0"/>
            <w:vAlign w:val="center"/>
          </w:tcPr>
          <w:p w14:paraId="4CE0922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1530" w:type="dxa"/>
            <w:gridSpan w:val="3"/>
            <w:noWrap w:val="0"/>
            <w:vAlign w:val="center"/>
          </w:tcPr>
          <w:p w14:paraId="33594DF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18878480702</w:t>
            </w:r>
          </w:p>
        </w:tc>
        <w:tc>
          <w:tcPr>
            <w:tcW w:w="3061" w:type="dxa"/>
            <w:gridSpan w:val="3"/>
            <w:noWrap w:val="0"/>
            <w:vAlign w:val="center"/>
          </w:tcPr>
          <w:p w14:paraId="70FE7C9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贺州市钟山县广场西路南侧悦城壹号院B区1#楼B09-13号商铺</w:t>
            </w:r>
          </w:p>
        </w:tc>
      </w:tr>
      <w:tr w14:paraId="3E18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758" w:hRule="atLeast"/>
        </w:trPr>
        <w:tc>
          <w:tcPr>
            <w:tcW w:w="355" w:type="dxa"/>
            <w:noWrap w:val="0"/>
            <w:vAlign w:val="center"/>
          </w:tcPr>
          <w:p w14:paraId="1DEBFB4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348" w:type="dxa"/>
            <w:gridSpan w:val="2"/>
            <w:noWrap w:val="0"/>
            <w:vAlign w:val="center"/>
          </w:tcPr>
          <w:p w14:paraId="36A5BF7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广西北部湾银行富川支行</w:t>
            </w:r>
          </w:p>
        </w:tc>
        <w:tc>
          <w:tcPr>
            <w:tcW w:w="994" w:type="dxa"/>
            <w:gridSpan w:val="2"/>
            <w:noWrap w:val="0"/>
            <w:vAlign w:val="center"/>
          </w:tcPr>
          <w:p w14:paraId="6218D96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秦明龙</w:t>
            </w:r>
          </w:p>
        </w:tc>
        <w:tc>
          <w:tcPr>
            <w:tcW w:w="1133" w:type="dxa"/>
            <w:noWrap w:val="0"/>
            <w:vAlign w:val="center"/>
          </w:tcPr>
          <w:p w14:paraId="4D17290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业务发展部经理</w:t>
            </w:r>
          </w:p>
        </w:tc>
        <w:tc>
          <w:tcPr>
            <w:tcW w:w="1530" w:type="dxa"/>
            <w:gridSpan w:val="3"/>
            <w:noWrap w:val="0"/>
            <w:vAlign w:val="center"/>
          </w:tcPr>
          <w:p w14:paraId="52185F0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17776119667</w:t>
            </w:r>
          </w:p>
        </w:tc>
        <w:tc>
          <w:tcPr>
            <w:tcW w:w="3061" w:type="dxa"/>
            <w:gridSpan w:val="3"/>
            <w:noWrap w:val="0"/>
            <w:vAlign w:val="center"/>
          </w:tcPr>
          <w:p w14:paraId="045F0F7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贺州市富川瑶族自治县富阳镇凤凰路121号</w:t>
            </w:r>
          </w:p>
        </w:tc>
      </w:tr>
      <w:tr w14:paraId="7080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888" w:hRule="atLeast"/>
        </w:trPr>
        <w:tc>
          <w:tcPr>
            <w:tcW w:w="355" w:type="dxa"/>
            <w:noWrap w:val="0"/>
            <w:vAlign w:val="center"/>
          </w:tcPr>
          <w:p w14:paraId="0A64A6C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2348" w:type="dxa"/>
            <w:gridSpan w:val="2"/>
            <w:noWrap w:val="0"/>
            <w:vAlign w:val="center"/>
          </w:tcPr>
          <w:p w14:paraId="368183D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广西北部湾银行昭平支行</w:t>
            </w:r>
          </w:p>
        </w:tc>
        <w:tc>
          <w:tcPr>
            <w:tcW w:w="994" w:type="dxa"/>
            <w:gridSpan w:val="2"/>
            <w:noWrap w:val="0"/>
            <w:vAlign w:val="center"/>
          </w:tcPr>
          <w:p w14:paraId="2E2F6C6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邱俊豪</w:t>
            </w:r>
          </w:p>
        </w:tc>
        <w:tc>
          <w:tcPr>
            <w:tcW w:w="1133" w:type="dxa"/>
            <w:noWrap w:val="0"/>
            <w:vAlign w:val="center"/>
          </w:tcPr>
          <w:p w14:paraId="6613A49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综合客户经理</w:t>
            </w:r>
          </w:p>
        </w:tc>
        <w:tc>
          <w:tcPr>
            <w:tcW w:w="1530" w:type="dxa"/>
            <w:gridSpan w:val="3"/>
            <w:noWrap w:val="0"/>
            <w:vAlign w:val="center"/>
          </w:tcPr>
          <w:p w14:paraId="652A1F0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18107842696</w:t>
            </w:r>
          </w:p>
        </w:tc>
        <w:tc>
          <w:tcPr>
            <w:tcW w:w="3061" w:type="dxa"/>
            <w:gridSpan w:val="3"/>
            <w:noWrap w:val="0"/>
            <w:vAlign w:val="center"/>
          </w:tcPr>
          <w:p w14:paraId="1940523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贺州市昭平县昭平镇河西东路（江湾一号）101-103铺面</w:t>
            </w:r>
          </w:p>
        </w:tc>
      </w:tr>
      <w:tr w14:paraId="0C73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624" w:hRule="atLeast"/>
        </w:trPr>
        <w:tc>
          <w:tcPr>
            <w:tcW w:w="9421" w:type="dxa"/>
            <w:gridSpan w:val="12"/>
            <w:tcBorders>
              <w:top w:val="nil"/>
              <w:left w:val="nil"/>
              <w:bottom w:val="single" w:color="auto" w:sz="4" w:space="0"/>
              <w:right w:val="nil"/>
            </w:tcBorders>
            <w:noWrap w:val="0"/>
            <w:vAlign w:val="center"/>
          </w:tcPr>
          <w:p w14:paraId="42B9944F">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bCs/>
                <w:color w:val="auto"/>
                <w:sz w:val="24"/>
                <w:szCs w:val="24"/>
                <w:highlight w:val="none"/>
                <w:lang w:val="en-US" w:eastAsia="zh-CN"/>
              </w:rPr>
              <w:t>3.广西贺州桂东农村合作银行</w:t>
            </w:r>
          </w:p>
        </w:tc>
      </w:tr>
      <w:tr w14:paraId="6C1A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469" w:hRule="atLeast"/>
        </w:trPr>
        <w:tc>
          <w:tcPr>
            <w:tcW w:w="9421" w:type="dxa"/>
            <w:gridSpan w:val="12"/>
            <w:tcBorders>
              <w:top w:val="single" w:color="auto" w:sz="4" w:space="0"/>
            </w:tcBorders>
            <w:noWrap w:val="0"/>
            <w:vAlign w:val="center"/>
          </w:tcPr>
          <w:p w14:paraId="5C20444F">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广西贺州桂东农村合作银行 总协调人：卢士强  职务：授信审批部总经理  手机号码：18077409115</w:t>
            </w:r>
          </w:p>
        </w:tc>
      </w:tr>
      <w:tr w14:paraId="7C29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Pr>
        <w:tc>
          <w:tcPr>
            <w:tcW w:w="355" w:type="dxa"/>
            <w:noWrap w:val="0"/>
            <w:vAlign w:val="center"/>
          </w:tcPr>
          <w:p w14:paraId="0B65387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2348" w:type="dxa"/>
            <w:gridSpan w:val="2"/>
            <w:noWrap w:val="0"/>
            <w:vAlign w:val="center"/>
          </w:tcPr>
          <w:p w14:paraId="41034AE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金融机构</w:t>
            </w:r>
          </w:p>
        </w:tc>
        <w:tc>
          <w:tcPr>
            <w:tcW w:w="994" w:type="dxa"/>
            <w:gridSpan w:val="2"/>
            <w:noWrap w:val="0"/>
            <w:vAlign w:val="center"/>
          </w:tcPr>
          <w:p w14:paraId="1EB7B43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联系人</w:t>
            </w:r>
          </w:p>
        </w:tc>
        <w:tc>
          <w:tcPr>
            <w:tcW w:w="1585" w:type="dxa"/>
            <w:gridSpan w:val="3"/>
            <w:noWrap w:val="0"/>
            <w:vAlign w:val="center"/>
          </w:tcPr>
          <w:p w14:paraId="703CDF2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职务</w:t>
            </w:r>
          </w:p>
        </w:tc>
        <w:tc>
          <w:tcPr>
            <w:tcW w:w="1565" w:type="dxa"/>
            <w:gridSpan w:val="2"/>
            <w:noWrap w:val="0"/>
            <w:vAlign w:val="center"/>
          </w:tcPr>
          <w:p w14:paraId="3564383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手机号码</w:t>
            </w:r>
          </w:p>
        </w:tc>
        <w:tc>
          <w:tcPr>
            <w:tcW w:w="2574" w:type="dxa"/>
            <w:gridSpan w:val="2"/>
            <w:noWrap w:val="0"/>
            <w:vAlign w:val="center"/>
          </w:tcPr>
          <w:p w14:paraId="3CBE2FE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银行地址</w:t>
            </w:r>
          </w:p>
        </w:tc>
      </w:tr>
      <w:tr w14:paraId="1050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793" w:hRule="atLeast"/>
        </w:trPr>
        <w:tc>
          <w:tcPr>
            <w:tcW w:w="355" w:type="dxa"/>
            <w:noWrap w:val="0"/>
            <w:vAlign w:val="center"/>
          </w:tcPr>
          <w:p w14:paraId="1294419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348" w:type="dxa"/>
            <w:gridSpan w:val="2"/>
            <w:noWrap w:val="0"/>
            <w:vAlign w:val="center"/>
          </w:tcPr>
          <w:p w14:paraId="7794652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广西贺州桂东农村合作银行</w:t>
            </w:r>
          </w:p>
        </w:tc>
        <w:tc>
          <w:tcPr>
            <w:tcW w:w="994" w:type="dxa"/>
            <w:gridSpan w:val="2"/>
            <w:noWrap w:val="0"/>
            <w:vAlign w:val="center"/>
          </w:tcPr>
          <w:p w14:paraId="5AF76FF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  腾</w:t>
            </w:r>
          </w:p>
        </w:tc>
        <w:tc>
          <w:tcPr>
            <w:tcW w:w="1585" w:type="dxa"/>
            <w:gridSpan w:val="3"/>
            <w:noWrap w:val="0"/>
            <w:vAlign w:val="center"/>
          </w:tcPr>
          <w:p w14:paraId="1EE1E56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授信审批部审查员</w:t>
            </w:r>
          </w:p>
        </w:tc>
        <w:tc>
          <w:tcPr>
            <w:tcW w:w="1565" w:type="dxa"/>
            <w:gridSpan w:val="2"/>
            <w:noWrap w:val="0"/>
            <w:vAlign w:val="center"/>
          </w:tcPr>
          <w:p w14:paraId="535A7DD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15078333887</w:t>
            </w:r>
          </w:p>
        </w:tc>
        <w:tc>
          <w:tcPr>
            <w:tcW w:w="2574" w:type="dxa"/>
            <w:gridSpan w:val="2"/>
            <w:noWrap w:val="0"/>
            <w:vAlign w:val="center"/>
          </w:tcPr>
          <w:p w14:paraId="27A65CEC">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224A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888" w:hRule="atLeast"/>
        </w:trPr>
        <w:tc>
          <w:tcPr>
            <w:tcW w:w="355" w:type="dxa"/>
            <w:noWrap w:val="0"/>
            <w:vAlign w:val="center"/>
          </w:tcPr>
          <w:p w14:paraId="03C78C76">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348" w:type="dxa"/>
            <w:gridSpan w:val="2"/>
            <w:noWrap w:val="0"/>
            <w:vAlign w:val="center"/>
          </w:tcPr>
          <w:p w14:paraId="49FF70F7">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广西贺州桂东农村合作银行营业部</w:t>
            </w:r>
          </w:p>
        </w:tc>
        <w:tc>
          <w:tcPr>
            <w:tcW w:w="994" w:type="dxa"/>
            <w:gridSpan w:val="2"/>
            <w:noWrap w:val="0"/>
            <w:vAlign w:val="center"/>
          </w:tcPr>
          <w:p w14:paraId="7FD2410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  瑜</w:t>
            </w:r>
          </w:p>
        </w:tc>
        <w:tc>
          <w:tcPr>
            <w:tcW w:w="1585" w:type="dxa"/>
            <w:gridSpan w:val="3"/>
            <w:noWrap w:val="0"/>
            <w:vAlign w:val="center"/>
          </w:tcPr>
          <w:p w14:paraId="3CE8D081">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营业部副总经理</w:t>
            </w:r>
          </w:p>
        </w:tc>
        <w:tc>
          <w:tcPr>
            <w:tcW w:w="1565" w:type="dxa"/>
            <w:gridSpan w:val="2"/>
            <w:noWrap w:val="0"/>
            <w:vAlign w:val="center"/>
          </w:tcPr>
          <w:p w14:paraId="1A8368C9">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18007843000</w:t>
            </w:r>
          </w:p>
        </w:tc>
        <w:tc>
          <w:tcPr>
            <w:tcW w:w="2574" w:type="dxa"/>
            <w:gridSpan w:val="2"/>
            <w:noWrap w:val="0"/>
            <w:vAlign w:val="center"/>
          </w:tcPr>
          <w:p w14:paraId="28C05FAB">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1035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888" w:hRule="atLeast"/>
        </w:trPr>
        <w:tc>
          <w:tcPr>
            <w:tcW w:w="355" w:type="dxa"/>
            <w:noWrap w:val="0"/>
            <w:vAlign w:val="center"/>
          </w:tcPr>
          <w:p w14:paraId="0A86F16E">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348" w:type="dxa"/>
            <w:gridSpan w:val="2"/>
            <w:noWrap w:val="0"/>
            <w:vAlign w:val="center"/>
          </w:tcPr>
          <w:p w14:paraId="210BA059">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广西贺州桂东农村合作银行八步支行</w:t>
            </w:r>
          </w:p>
        </w:tc>
        <w:tc>
          <w:tcPr>
            <w:tcW w:w="994" w:type="dxa"/>
            <w:gridSpan w:val="2"/>
            <w:noWrap w:val="0"/>
            <w:vAlign w:val="center"/>
          </w:tcPr>
          <w:p w14:paraId="5F6DB98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谢地恩</w:t>
            </w:r>
          </w:p>
        </w:tc>
        <w:tc>
          <w:tcPr>
            <w:tcW w:w="1585" w:type="dxa"/>
            <w:gridSpan w:val="3"/>
            <w:noWrap w:val="0"/>
            <w:vAlign w:val="center"/>
          </w:tcPr>
          <w:p w14:paraId="5EC40D8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65" w:type="dxa"/>
            <w:gridSpan w:val="2"/>
            <w:noWrap w:val="0"/>
            <w:vAlign w:val="center"/>
          </w:tcPr>
          <w:p w14:paraId="27DA86B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18007840168</w:t>
            </w:r>
          </w:p>
        </w:tc>
        <w:tc>
          <w:tcPr>
            <w:tcW w:w="2574" w:type="dxa"/>
            <w:gridSpan w:val="2"/>
            <w:noWrap w:val="0"/>
            <w:vAlign w:val="center"/>
          </w:tcPr>
          <w:p w14:paraId="7C1895FB">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贺州市八步区八达西路652-1号</w:t>
            </w:r>
          </w:p>
        </w:tc>
      </w:tr>
      <w:tr w14:paraId="6AF7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783" w:hRule="atLeast"/>
        </w:trPr>
        <w:tc>
          <w:tcPr>
            <w:tcW w:w="355" w:type="dxa"/>
            <w:noWrap w:val="0"/>
            <w:vAlign w:val="center"/>
          </w:tcPr>
          <w:p w14:paraId="41165AF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348" w:type="dxa"/>
            <w:gridSpan w:val="2"/>
            <w:noWrap w:val="0"/>
            <w:vAlign w:val="center"/>
          </w:tcPr>
          <w:p w14:paraId="02396F52">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广西贺州桂东农村合作银行平桂支行</w:t>
            </w:r>
          </w:p>
        </w:tc>
        <w:tc>
          <w:tcPr>
            <w:tcW w:w="994" w:type="dxa"/>
            <w:gridSpan w:val="2"/>
            <w:noWrap w:val="0"/>
            <w:vAlign w:val="center"/>
          </w:tcPr>
          <w:p w14:paraId="25D824F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古  睿</w:t>
            </w:r>
          </w:p>
        </w:tc>
        <w:tc>
          <w:tcPr>
            <w:tcW w:w="1585" w:type="dxa"/>
            <w:gridSpan w:val="3"/>
            <w:noWrap w:val="0"/>
            <w:vAlign w:val="center"/>
          </w:tcPr>
          <w:p w14:paraId="111517F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65" w:type="dxa"/>
            <w:gridSpan w:val="2"/>
            <w:noWrap w:val="0"/>
            <w:vAlign w:val="center"/>
          </w:tcPr>
          <w:p w14:paraId="6126B14D">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18007840375</w:t>
            </w:r>
          </w:p>
        </w:tc>
        <w:tc>
          <w:tcPr>
            <w:tcW w:w="2574" w:type="dxa"/>
            <w:gridSpan w:val="2"/>
            <w:noWrap w:val="0"/>
            <w:vAlign w:val="center"/>
          </w:tcPr>
          <w:p w14:paraId="5A68A9C7">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贺州市平桂区平桂大道财政局一楼</w:t>
            </w:r>
          </w:p>
        </w:tc>
      </w:tr>
    </w:tbl>
    <w:p w14:paraId="47AD2CF8">
      <w:pPr>
        <w:snapToGrid w:val="0"/>
        <w:spacing w:line="360" w:lineRule="auto"/>
        <w:jc w:val="left"/>
        <w:rPr>
          <w:rFonts w:hint="eastAsia" w:ascii="宋体" w:hAnsi="宋体" w:eastAsia="宋体" w:cs="宋体"/>
          <w:color w:val="auto"/>
          <w:szCs w:val="21"/>
          <w:highlight w:val="none"/>
        </w:rPr>
      </w:pPr>
    </w:p>
    <w:p w14:paraId="4633B80C">
      <w:pPr>
        <w:widowControl/>
        <w:jc w:val="left"/>
        <w:rPr>
          <w:rFonts w:hint="eastAsia" w:ascii="宋体" w:hAnsi="宋体" w:eastAsia="宋体" w:cs="宋体"/>
          <w:color w:val="auto"/>
          <w:sz w:val="4"/>
          <w:szCs w:val="4"/>
          <w:highlight w:val="none"/>
        </w:rPr>
      </w:pPr>
    </w:p>
    <w:p w14:paraId="01525896">
      <w:pPr>
        <w:widowControl/>
        <w:spacing w:before="100" w:beforeAutospacing="1" w:after="100" w:afterAutospacing="1"/>
        <w:jc w:val="center"/>
        <w:textAlignment w:val="top"/>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32A6392">
      <w:pPr>
        <w:pStyle w:val="2"/>
        <w:ind w:firstLine="2570" w:firstLineChars="800"/>
        <w:jc w:val="both"/>
        <w:rPr>
          <w:rFonts w:hint="eastAsia" w:ascii="宋体" w:hAnsi="宋体" w:eastAsia="宋体" w:cs="宋体"/>
          <w:color w:val="auto"/>
          <w:kern w:val="0"/>
          <w:highlight w:val="none"/>
        </w:rPr>
      </w:pPr>
      <w:bookmarkStart w:id="1414" w:name="_Toc105753217"/>
      <w:bookmarkStart w:id="1415" w:name="_Toc8448"/>
      <w:r>
        <w:rPr>
          <w:rFonts w:hint="eastAsia" w:ascii="宋体" w:hAnsi="宋体" w:eastAsia="宋体" w:cs="宋体"/>
          <w:color w:val="auto"/>
          <w:kern w:val="0"/>
          <w:highlight w:val="none"/>
        </w:rPr>
        <w:t xml:space="preserve">第七章  </w:t>
      </w:r>
      <w:bookmarkEnd w:id="1348"/>
      <w:bookmarkEnd w:id="1349"/>
      <w:r>
        <w:rPr>
          <w:rFonts w:hint="eastAsia" w:ascii="宋体" w:hAnsi="宋体" w:eastAsia="宋体" w:cs="宋体"/>
          <w:color w:val="auto"/>
          <w:kern w:val="0"/>
          <w:highlight w:val="none"/>
        </w:rPr>
        <w:t>工程量清单（附后）</w:t>
      </w:r>
      <w:bookmarkEnd w:id="1414"/>
      <w:bookmarkEnd w:id="1415"/>
    </w:p>
    <w:p w14:paraId="6BA5B48D">
      <w:pPr>
        <w:keepNext/>
        <w:keepLines/>
        <w:pageBreakBefore w:val="0"/>
        <w:widowControl w:val="0"/>
        <w:kinsoku/>
        <w:wordWrap/>
        <w:overflowPunct/>
        <w:topLinePunct w:val="0"/>
        <w:autoSpaceDE/>
        <w:autoSpaceDN/>
        <w:bidi w:val="0"/>
        <w:adjustRightInd/>
        <w:snapToGrid/>
        <w:spacing w:before="144" w:beforeLines="50" w:line="360" w:lineRule="auto"/>
        <w:textAlignment w:val="auto"/>
        <w:outlineLvl w:val="2"/>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一、投标报价（已标价工程量清单）编制说明</w:t>
      </w:r>
    </w:p>
    <w:p w14:paraId="382885E7">
      <w:pPr>
        <w:keepNext w:val="0"/>
        <w:keepLines w:val="0"/>
        <w:pageBreakBefore w:val="0"/>
        <w:widowControl w:val="0"/>
        <w:kinsoku/>
        <w:wordWrap/>
        <w:overflowPunct/>
        <w:topLinePunct w:val="0"/>
        <w:autoSpaceDE/>
        <w:autoSpaceDN/>
        <w:bidi w:val="0"/>
        <w:adjustRightInd/>
        <w:snapToGrid/>
        <w:spacing w:line="39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投标人应依据招标文件、招标工程量清单以及《计价规范》、《计算规范》自主报价，自主报价不得违反计价规范强制性条文规定。投标人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4B19BDF0">
      <w:pPr>
        <w:keepNext w:val="0"/>
        <w:keepLines w:val="0"/>
        <w:pageBreakBefore w:val="0"/>
        <w:widowControl w:val="0"/>
        <w:kinsoku/>
        <w:wordWrap/>
        <w:overflowPunct/>
        <w:topLinePunct w:val="0"/>
        <w:autoSpaceDE/>
        <w:autoSpaceDN/>
        <w:bidi w:val="0"/>
        <w:adjustRightInd/>
        <w:snapToGrid/>
        <w:spacing w:line="39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1.2投标人应按招标工程量清单填报价格。项目编码、项目名称、项目特征、计量单位、工程量必须与招标工程量清单一致，投标人不得对招标工程量清单项目进行增减调整。</w:t>
      </w:r>
    </w:p>
    <w:p w14:paraId="041A3352">
      <w:pPr>
        <w:keepNext w:val="0"/>
        <w:keepLines w:val="0"/>
        <w:pageBreakBefore w:val="0"/>
        <w:widowControl w:val="0"/>
        <w:kinsoku/>
        <w:wordWrap/>
        <w:overflowPunct/>
        <w:topLinePunct w:val="0"/>
        <w:autoSpaceDE/>
        <w:autoSpaceDN/>
        <w:bidi w:val="0"/>
        <w:adjustRightInd/>
        <w:snapToGrid/>
        <w:spacing w:line="39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1.3综合单价中应包含招标文件中划分的应由投标人承担的风险范围及其费用。</w:t>
      </w:r>
    </w:p>
    <w:p w14:paraId="201AC43E">
      <w:pPr>
        <w:keepNext w:val="0"/>
        <w:keepLines w:val="0"/>
        <w:pageBreakBefore w:val="0"/>
        <w:widowControl w:val="0"/>
        <w:kinsoku/>
        <w:wordWrap/>
        <w:overflowPunct/>
        <w:topLinePunct w:val="0"/>
        <w:autoSpaceDE/>
        <w:autoSpaceDN/>
        <w:bidi w:val="0"/>
        <w:adjustRightInd/>
        <w:snapToGrid/>
        <w:spacing w:line="39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14:paraId="5FF23C54">
      <w:pPr>
        <w:keepNext w:val="0"/>
        <w:keepLines w:val="0"/>
        <w:pageBreakBefore w:val="0"/>
        <w:widowControl w:val="0"/>
        <w:kinsoku/>
        <w:wordWrap/>
        <w:overflowPunct/>
        <w:topLinePunct w:val="0"/>
        <w:autoSpaceDE/>
        <w:autoSpaceDN/>
        <w:bidi w:val="0"/>
        <w:adjustRightInd/>
        <w:snapToGrid/>
        <w:spacing w:line="39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1.5总价措施项目的金额应根据招标文件及投标时拟定的施工组织设计或施工方案，按计价规范的规定自主确定。但安全文明施工费按国家、省级或行业建设主管部门的有关规定执行，作为不竞争费用单列。</w:t>
      </w:r>
    </w:p>
    <w:p w14:paraId="46AD263B">
      <w:pPr>
        <w:keepNext w:val="0"/>
        <w:keepLines w:val="0"/>
        <w:pageBreakBefore w:val="0"/>
        <w:widowControl w:val="0"/>
        <w:kinsoku/>
        <w:wordWrap/>
        <w:overflowPunct/>
        <w:topLinePunct w:val="0"/>
        <w:autoSpaceDE/>
        <w:autoSpaceDN/>
        <w:bidi w:val="0"/>
        <w:adjustRightInd/>
        <w:snapToGrid/>
        <w:spacing w:line="39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1.6其他项目费应按下列规定报价：</w:t>
      </w:r>
    </w:p>
    <w:p w14:paraId="59036806">
      <w:pPr>
        <w:keepNext w:val="0"/>
        <w:keepLines w:val="0"/>
        <w:pageBreakBefore w:val="0"/>
        <w:widowControl w:val="0"/>
        <w:kinsoku/>
        <w:wordWrap/>
        <w:overflowPunct/>
        <w:topLinePunct w:val="0"/>
        <w:autoSpaceDE/>
        <w:autoSpaceDN/>
        <w:bidi w:val="0"/>
        <w:adjustRightInd/>
        <w:snapToGrid/>
        <w:spacing w:line="39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（1）暂列金额应按招标工程量清单中列出的金额填写；</w:t>
      </w:r>
    </w:p>
    <w:p w14:paraId="76CDAA77">
      <w:pPr>
        <w:keepNext w:val="0"/>
        <w:keepLines w:val="0"/>
        <w:pageBreakBefore w:val="0"/>
        <w:widowControl w:val="0"/>
        <w:kinsoku/>
        <w:wordWrap/>
        <w:overflowPunct/>
        <w:topLinePunct w:val="0"/>
        <w:autoSpaceDE/>
        <w:autoSpaceDN/>
        <w:bidi w:val="0"/>
        <w:adjustRightInd/>
        <w:snapToGrid/>
        <w:spacing w:line="39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（2）材料、工程设备暂估价应按招标工程量清单中列出的单价计入综合单价；</w:t>
      </w:r>
    </w:p>
    <w:p w14:paraId="45084E01">
      <w:pPr>
        <w:keepNext w:val="0"/>
        <w:keepLines w:val="0"/>
        <w:pageBreakBefore w:val="0"/>
        <w:widowControl w:val="0"/>
        <w:kinsoku/>
        <w:wordWrap/>
        <w:overflowPunct/>
        <w:topLinePunct w:val="0"/>
        <w:autoSpaceDE/>
        <w:autoSpaceDN/>
        <w:bidi w:val="0"/>
        <w:adjustRightInd/>
        <w:snapToGrid/>
        <w:spacing w:line="39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（3）专业工程暂估价应按招标工程量清单中列出的金额填写；</w:t>
      </w:r>
    </w:p>
    <w:p w14:paraId="2E2CCBF7">
      <w:pPr>
        <w:keepNext w:val="0"/>
        <w:keepLines w:val="0"/>
        <w:pageBreakBefore w:val="0"/>
        <w:widowControl w:val="0"/>
        <w:kinsoku/>
        <w:wordWrap/>
        <w:overflowPunct/>
        <w:topLinePunct w:val="0"/>
        <w:autoSpaceDE/>
        <w:autoSpaceDN/>
        <w:bidi w:val="0"/>
        <w:adjustRightInd/>
        <w:snapToGrid/>
        <w:spacing w:line="39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（4）计日工应按招标工程量清单中列出的项目和估算数量，自主确定综合单价并计算计日工总额；计日工单价均不含规费和税金；</w:t>
      </w:r>
    </w:p>
    <w:p w14:paraId="2F825488">
      <w:pPr>
        <w:keepNext w:val="0"/>
        <w:keepLines w:val="0"/>
        <w:pageBreakBefore w:val="0"/>
        <w:widowControl w:val="0"/>
        <w:kinsoku/>
        <w:wordWrap/>
        <w:overflowPunct/>
        <w:topLinePunct w:val="0"/>
        <w:autoSpaceDE/>
        <w:autoSpaceDN/>
        <w:bidi w:val="0"/>
        <w:adjustRightInd/>
        <w:snapToGrid/>
        <w:spacing w:line="39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（5）总承包服务费应根据招标工程量清单中列出的内容和供应材料、设备情况，按照招标人提出的协调、配合与服务要求和施工现场管理需要自主确定。</w:t>
      </w:r>
    </w:p>
    <w:p w14:paraId="6353F3E2">
      <w:pPr>
        <w:keepNext w:val="0"/>
        <w:keepLines w:val="0"/>
        <w:pageBreakBefore w:val="0"/>
        <w:widowControl w:val="0"/>
        <w:kinsoku/>
        <w:wordWrap/>
        <w:overflowPunct/>
        <w:topLinePunct w:val="0"/>
        <w:autoSpaceDE/>
        <w:autoSpaceDN/>
        <w:bidi w:val="0"/>
        <w:adjustRightInd/>
        <w:snapToGrid/>
        <w:spacing w:line="39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1.7规费和增值税应按规定确定，作为不可竞争费用。</w:t>
      </w:r>
    </w:p>
    <w:p w14:paraId="38DBDBB8">
      <w:pPr>
        <w:keepNext w:val="0"/>
        <w:keepLines w:val="0"/>
        <w:pageBreakBefore w:val="0"/>
        <w:widowControl w:val="0"/>
        <w:kinsoku/>
        <w:wordWrap/>
        <w:overflowPunct/>
        <w:topLinePunct w:val="0"/>
        <w:autoSpaceDE/>
        <w:autoSpaceDN/>
        <w:bidi w:val="0"/>
        <w:adjustRightInd/>
        <w:snapToGrid/>
        <w:spacing w:line="39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1.8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14:paraId="2E758548">
      <w:pPr>
        <w:keepNext w:val="0"/>
        <w:keepLines w:val="0"/>
        <w:pageBreakBefore w:val="0"/>
        <w:widowControl w:val="0"/>
        <w:kinsoku/>
        <w:wordWrap/>
        <w:overflowPunct/>
        <w:topLinePunct w:val="0"/>
        <w:autoSpaceDE/>
        <w:autoSpaceDN/>
        <w:bidi w:val="0"/>
        <w:adjustRightInd/>
        <w:snapToGrid/>
        <w:spacing w:line="39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1.9投标总价应当与分部分项工程费、措施项目费、其他项目费和规费、增值税的合计金额一致。</w:t>
      </w:r>
    </w:p>
    <w:p w14:paraId="3C229E40">
      <w:pPr>
        <w:keepNext w:val="0"/>
        <w:keepLines w:val="0"/>
        <w:pageBreakBefore w:val="0"/>
        <w:widowControl w:val="0"/>
        <w:kinsoku/>
        <w:wordWrap/>
        <w:overflowPunct/>
        <w:topLinePunct w:val="0"/>
        <w:autoSpaceDE/>
        <w:autoSpaceDN/>
        <w:bidi w:val="0"/>
        <w:adjustRightInd/>
        <w:snapToGrid/>
        <w:spacing w:line="39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1.10投标人应按《承包人提供的主要材料和设备一览表》的内容填报，不得擅自调整材料和设备名称型号规格、单位、风险系数、基准单价。</w:t>
      </w:r>
    </w:p>
    <w:p w14:paraId="2F5A4936">
      <w:pPr>
        <w:keepNext w:val="0"/>
        <w:keepLines w:val="0"/>
        <w:pageBreakBefore w:val="0"/>
        <w:widowControl w:val="0"/>
        <w:kinsoku/>
        <w:wordWrap/>
        <w:overflowPunct/>
        <w:topLinePunct w:val="0"/>
        <w:autoSpaceDE/>
        <w:autoSpaceDN/>
        <w:bidi w:val="0"/>
        <w:adjustRightInd/>
        <w:snapToGrid/>
        <w:spacing w:line="39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1.11投标报价表格按本工程工程量清单表格要求填写，并应按招标文件的要求，附上《工程量清单综合单价分析表》（表-09）和《主要清单项目工料机分析表》（表-10）。</w:t>
      </w:r>
    </w:p>
    <w:p w14:paraId="0C965AED">
      <w:pPr>
        <w:keepNext w:val="0"/>
        <w:keepLines w:val="0"/>
        <w:pageBreakBefore w:val="0"/>
        <w:widowControl w:val="0"/>
        <w:kinsoku/>
        <w:wordWrap/>
        <w:overflowPunct/>
        <w:topLinePunct w:val="0"/>
        <w:autoSpaceDE/>
        <w:autoSpaceDN/>
        <w:bidi w:val="0"/>
        <w:adjustRightInd/>
        <w:snapToGrid/>
        <w:spacing w:line="39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未尽事宜详见本工程招标工程量清单、招标控制价编制说明以及现行《计价规范》等有关规定执行。</w:t>
      </w:r>
    </w:p>
    <w:p w14:paraId="49C0665B">
      <w:pPr>
        <w:keepNext/>
        <w:keepLines/>
        <w:spacing w:line="360" w:lineRule="auto"/>
        <w:outlineLvl w:val="2"/>
        <w:rPr>
          <w:rFonts w:hint="eastAsia" w:ascii="宋体" w:hAnsi="宋体" w:eastAsia="宋体" w:cs="宋体"/>
          <w:b/>
          <w:bCs/>
          <w:color w:val="auto"/>
          <w:szCs w:val="32"/>
          <w:highlight w:val="none"/>
          <w:lang w:val="zh-CN"/>
        </w:rPr>
      </w:pPr>
      <w:r>
        <w:rPr>
          <w:rFonts w:hint="eastAsia" w:ascii="宋体" w:hAnsi="宋体" w:eastAsia="宋体" w:cs="宋体"/>
          <w:b/>
          <w:bCs/>
          <w:color w:val="auto"/>
          <w:szCs w:val="32"/>
          <w:highlight w:val="none"/>
          <w:lang w:val="zh-CN"/>
        </w:rPr>
        <w:t>二、附件包含以下内容</w:t>
      </w:r>
    </w:p>
    <w:p w14:paraId="76738BD5">
      <w:pPr>
        <w:spacing w:line="360" w:lineRule="auto"/>
        <w:ind w:firstLine="420" w:firstLineChars="200"/>
        <w:outlineLvl w:val="0"/>
        <w:rPr>
          <w:rFonts w:hint="eastAsia" w:ascii="宋体" w:hAnsi="宋体" w:eastAsia="宋体" w:cs="宋体"/>
          <w:color w:val="auto"/>
          <w:highlight w:val="none"/>
        </w:rPr>
      </w:pPr>
      <w:bookmarkStart w:id="1416" w:name="_Toc8174"/>
      <w:r>
        <w:rPr>
          <w:rFonts w:hint="eastAsia" w:ascii="宋体" w:hAnsi="宋体" w:eastAsia="宋体" w:cs="宋体"/>
          <w:color w:val="auto"/>
          <w:highlight w:val="none"/>
        </w:rPr>
        <w:t>工程量清单</w:t>
      </w:r>
      <w:bookmarkEnd w:id="1416"/>
    </w:p>
    <w:p w14:paraId="14745B78">
      <w:pPr>
        <w:spacing w:line="360" w:lineRule="auto"/>
        <w:ind w:firstLine="420" w:firstLineChars="200"/>
        <w:rPr>
          <w:rFonts w:hint="eastAsia" w:ascii="宋体" w:hAnsi="宋体" w:eastAsia="宋体" w:cs="宋体"/>
          <w:color w:val="auto"/>
          <w:highlight w:val="none"/>
        </w:rPr>
      </w:pPr>
    </w:p>
    <w:p w14:paraId="270741F6">
      <w:pPr>
        <w:rPr>
          <w:rFonts w:hint="eastAsia" w:ascii="宋体" w:hAnsi="宋体" w:eastAsia="宋体" w:cs="宋体"/>
          <w:color w:val="auto"/>
          <w:highlight w:val="none"/>
        </w:rPr>
      </w:pPr>
    </w:p>
    <w:sectPr>
      <w:footerReference r:id="rId6" w:type="first"/>
      <w:pgSz w:w="12240" w:h="15840"/>
      <w:pgMar w:top="1099" w:right="942" w:bottom="1440" w:left="1418" w:header="454" w:footer="397" w:gutter="0"/>
      <w:pgNumType w:fmt="decimal"/>
      <w:cols w:equalWidth="0" w:num="1">
        <w:col w:w="9518"/>
      </w:cols>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79FC5">
    <w:pPr>
      <w:pStyle w:val="9"/>
      <w:jc w:val="center"/>
    </w:pPr>
  </w:p>
  <w:p w14:paraId="3F136FF7">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051EE">
    <w:pPr>
      <w:pStyle w:val="9"/>
      <w:jc w:val="center"/>
    </w:pPr>
  </w:p>
  <w:p w14:paraId="04E604C3">
    <w:pPr>
      <w:pStyle w:val="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032B1">
    <w:pPr>
      <w:pStyle w:val="9"/>
      <w:jc w:val="center"/>
    </w:pPr>
  </w:p>
  <w:p w14:paraId="12D5CA55">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6E0D39">
                          <w:pPr>
                            <w:pStyle w:val="9"/>
                            <w:jc w:val="center"/>
                          </w:pPr>
                          <w:r>
                            <w:fldChar w:fldCharType="begin"/>
                          </w:r>
                          <w:r>
                            <w:rPr>
                              <w:rStyle w:val="16"/>
                            </w:rPr>
                            <w:instrText xml:space="preserve"> PAGE </w:instrText>
                          </w:r>
                          <w:r>
                            <w:fldChar w:fldCharType="separate"/>
                          </w:r>
                          <w:r>
                            <w:rPr>
                              <w:rStyle w:val="16"/>
                            </w:rP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76E0D39">
                    <w:pPr>
                      <w:pStyle w:val="9"/>
                      <w:jc w:val="center"/>
                    </w:pPr>
                    <w:r>
                      <w:fldChar w:fldCharType="begin"/>
                    </w:r>
                    <w:r>
                      <w:rPr>
                        <w:rStyle w:val="16"/>
                      </w:rPr>
                      <w:instrText xml:space="preserve"> PAGE </w:instrText>
                    </w:r>
                    <w:r>
                      <w:fldChar w:fldCharType="separate"/>
                    </w:r>
                    <w:r>
                      <w:rPr>
                        <w:rStyle w:val="16"/>
                      </w:rP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B293D">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A7933"/>
    <w:multiLevelType w:val="multilevel"/>
    <w:tmpl w:val="114A7933"/>
    <w:lvl w:ilvl="0" w:tentative="0">
      <w:start w:val="1"/>
      <w:numFmt w:val="decimal"/>
      <w:suff w:val="nothing"/>
      <w:lvlText w:val="（%1）"/>
      <w:lvlJc w:val="left"/>
      <w:pPr>
        <w:ind w:left="0" w:firstLine="0"/>
      </w:pPr>
      <w:rPr>
        <w:rFonts w:hint="eastAsia" w:ascii="宋体" w:eastAsia="宋体"/>
        <w:b w:val="0"/>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9945CE"/>
    <w:multiLevelType w:val="singleLevel"/>
    <w:tmpl w:val="269945CE"/>
    <w:lvl w:ilvl="0" w:tentative="0">
      <w:start w:val="1"/>
      <w:numFmt w:val="decimal"/>
      <w:suff w:val="space"/>
      <w:lvlText w:val="%1."/>
      <w:lvlJc w:val="left"/>
      <w:pPr>
        <w:ind w:left="0" w:firstLine="0"/>
      </w:pPr>
      <w:rPr>
        <w:rFonts w:hint="eastAsia" w:ascii="Times New Roman" w:hAnsi="Times New Roman" w:eastAsia="宋体"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2A5C4EE0"/>
    <w:multiLevelType w:val="multilevel"/>
    <w:tmpl w:val="2A5C4EE0"/>
    <w:lvl w:ilvl="0" w:tentative="0">
      <w:start w:val="1"/>
      <w:numFmt w:val="decimal"/>
      <w:suff w:val="nothing"/>
      <w:lvlText w:val="（%1）"/>
      <w:lvlJc w:val="left"/>
      <w:pPr>
        <w:ind w:left="0" w:firstLine="0"/>
      </w:pPr>
      <w:rPr>
        <w:rFonts w:hint="eastAsia" w:ascii="宋体" w:eastAsia="宋体"/>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499D7B3"/>
    <w:multiLevelType w:val="singleLevel"/>
    <w:tmpl w:val="7499D7B3"/>
    <w:lvl w:ilvl="0" w:tentative="0">
      <w:start w:val="1"/>
      <w:numFmt w:val="decimal"/>
      <w:suff w:val="space"/>
      <w:lvlText w:val="(%1)"/>
      <w:lvlJc w:val="left"/>
      <w:pPr>
        <w:ind w:left="0" w:firstLine="0"/>
      </w:pPr>
      <w:rPr>
        <w:rFonts w:hint="eastAsia" w:ascii="Times New Roman" w:hAnsi="Times New Roman" w:eastAsia="宋体"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OTlhNDM5ODE3MTYxYWNmYjNlYWMxMDQ3OTVjODkifQ=="/>
  </w:docVars>
  <w:rsids>
    <w:rsidRoot w:val="4CDE4C03"/>
    <w:rsid w:val="00793B1B"/>
    <w:rsid w:val="00BA7CA7"/>
    <w:rsid w:val="00C30909"/>
    <w:rsid w:val="00CB3C62"/>
    <w:rsid w:val="011450A2"/>
    <w:rsid w:val="01536131"/>
    <w:rsid w:val="017D6551"/>
    <w:rsid w:val="01F36FCC"/>
    <w:rsid w:val="022C2A3C"/>
    <w:rsid w:val="035B751F"/>
    <w:rsid w:val="05254775"/>
    <w:rsid w:val="0573503D"/>
    <w:rsid w:val="06305E5F"/>
    <w:rsid w:val="07A63F61"/>
    <w:rsid w:val="07CF1BE4"/>
    <w:rsid w:val="07DB29DD"/>
    <w:rsid w:val="07DC57C3"/>
    <w:rsid w:val="08275C22"/>
    <w:rsid w:val="08DD3794"/>
    <w:rsid w:val="0921401C"/>
    <w:rsid w:val="0A4B30DC"/>
    <w:rsid w:val="0AB67731"/>
    <w:rsid w:val="0B41524D"/>
    <w:rsid w:val="0B9335CE"/>
    <w:rsid w:val="0B9A670B"/>
    <w:rsid w:val="0C5411D0"/>
    <w:rsid w:val="0C814DFF"/>
    <w:rsid w:val="0CC31C91"/>
    <w:rsid w:val="0D540E65"/>
    <w:rsid w:val="0D6B4803"/>
    <w:rsid w:val="0E1275C5"/>
    <w:rsid w:val="0E575E8A"/>
    <w:rsid w:val="0EC03AFE"/>
    <w:rsid w:val="0EC51CF1"/>
    <w:rsid w:val="0EE06B2A"/>
    <w:rsid w:val="0F17701C"/>
    <w:rsid w:val="0F27135E"/>
    <w:rsid w:val="0FF11A46"/>
    <w:rsid w:val="0FFE195E"/>
    <w:rsid w:val="100B7BD7"/>
    <w:rsid w:val="104F21BA"/>
    <w:rsid w:val="12160D50"/>
    <w:rsid w:val="122431D2"/>
    <w:rsid w:val="127025BB"/>
    <w:rsid w:val="12DB5613"/>
    <w:rsid w:val="13912AE9"/>
    <w:rsid w:val="14534573"/>
    <w:rsid w:val="15720A11"/>
    <w:rsid w:val="15D867AD"/>
    <w:rsid w:val="16873F31"/>
    <w:rsid w:val="17B169FB"/>
    <w:rsid w:val="18363C5F"/>
    <w:rsid w:val="18465120"/>
    <w:rsid w:val="18A312F5"/>
    <w:rsid w:val="19C37774"/>
    <w:rsid w:val="19CC6629"/>
    <w:rsid w:val="1A4E5290"/>
    <w:rsid w:val="1A84037C"/>
    <w:rsid w:val="1B2E1711"/>
    <w:rsid w:val="1B40178D"/>
    <w:rsid w:val="1B7B5274"/>
    <w:rsid w:val="1BBC5A4A"/>
    <w:rsid w:val="1C391808"/>
    <w:rsid w:val="1C7937A5"/>
    <w:rsid w:val="1C8256C5"/>
    <w:rsid w:val="1D023F9A"/>
    <w:rsid w:val="1D340B8C"/>
    <w:rsid w:val="1D682F9C"/>
    <w:rsid w:val="1DEF352E"/>
    <w:rsid w:val="1E673D11"/>
    <w:rsid w:val="1E967C64"/>
    <w:rsid w:val="1EE12B77"/>
    <w:rsid w:val="1F2B5BA0"/>
    <w:rsid w:val="1F7A54A7"/>
    <w:rsid w:val="1FF638C8"/>
    <w:rsid w:val="1FFC4A20"/>
    <w:rsid w:val="20C22534"/>
    <w:rsid w:val="21815F4B"/>
    <w:rsid w:val="227400C9"/>
    <w:rsid w:val="23553E9E"/>
    <w:rsid w:val="2366364A"/>
    <w:rsid w:val="23BD0573"/>
    <w:rsid w:val="23D42CAA"/>
    <w:rsid w:val="2435126F"/>
    <w:rsid w:val="247041D3"/>
    <w:rsid w:val="25D24BC3"/>
    <w:rsid w:val="265235C8"/>
    <w:rsid w:val="26FB62F7"/>
    <w:rsid w:val="27B45634"/>
    <w:rsid w:val="27F63A8B"/>
    <w:rsid w:val="28335AC5"/>
    <w:rsid w:val="29852351"/>
    <w:rsid w:val="29FF65A7"/>
    <w:rsid w:val="2A1A6F3D"/>
    <w:rsid w:val="2BF1185C"/>
    <w:rsid w:val="2D3C541C"/>
    <w:rsid w:val="2D4349FC"/>
    <w:rsid w:val="2E563847"/>
    <w:rsid w:val="2EB9127B"/>
    <w:rsid w:val="2F652313"/>
    <w:rsid w:val="2F806B09"/>
    <w:rsid w:val="2FAF32F7"/>
    <w:rsid w:val="30354AD0"/>
    <w:rsid w:val="30402805"/>
    <w:rsid w:val="304602DF"/>
    <w:rsid w:val="30495932"/>
    <w:rsid w:val="309D08C8"/>
    <w:rsid w:val="31D73965"/>
    <w:rsid w:val="339E298D"/>
    <w:rsid w:val="342509B8"/>
    <w:rsid w:val="35125EA2"/>
    <w:rsid w:val="35D9267E"/>
    <w:rsid w:val="35EB3E83"/>
    <w:rsid w:val="3663483D"/>
    <w:rsid w:val="368045CB"/>
    <w:rsid w:val="36FF1994"/>
    <w:rsid w:val="38A345A1"/>
    <w:rsid w:val="397A6CF0"/>
    <w:rsid w:val="39AF5E34"/>
    <w:rsid w:val="3A2A31CC"/>
    <w:rsid w:val="3AC45C86"/>
    <w:rsid w:val="3AEA1B8E"/>
    <w:rsid w:val="3B44206B"/>
    <w:rsid w:val="3C12216A"/>
    <w:rsid w:val="3C4A340E"/>
    <w:rsid w:val="3CE05DC4"/>
    <w:rsid w:val="3D396637"/>
    <w:rsid w:val="3DA908AC"/>
    <w:rsid w:val="3E2717D1"/>
    <w:rsid w:val="3E4660FB"/>
    <w:rsid w:val="3F141D55"/>
    <w:rsid w:val="40036E1F"/>
    <w:rsid w:val="40D916B8"/>
    <w:rsid w:val="41067DC3"/>
    <w:rsid w:val="412727DB"/>
    <w:rsid w:val="42B51AA1"/>
    <w:rsid w:val="434B5F61"/>
    <w:rsid w:val="43E22422"/>
    <w:rsid w:val="44023CB1"/>
    <w:rsid w:val="45162941"/>
    <w:rsid w:val="45AC0F39"/>
    <w:rsid w:val="45C53DA9"/>
    <w:rsid w:val="45C67B21"/>
    <w:rsid w:val="45F428E0"/>
    <w:rsid w:val="460A3EB2"/>
    <w:rsid w:val="46753CEA"/>
    <w:rsid w:val="46B439B7"/>
    <w:rsid w:val="46C40504"/>
    <w:rsid w:val="46E97F6B"/>
    <w:rsid w:val="470859F9"/>
    <w:rsid w:val="477C493B"/>
    <w:rsid w:val="47A57393"/>
    <w:rsid w:val="47E377B0"/>
    <w:rsid w:val="482A083B"/>
    <w:rsid w:val="482A10C6"/>
    <w:rsid w:val="48DA400F"/>
    <w:rsid w:val="4966775F"/>
    <w:rsid w:val="49F122CB"/>
    <w:rsid w:val="4A4D25BF"/>
    <w:rsid w:val="4A6828D8"/>
    <w:rsid w:val="4B46598C"/>
    <w:rsid w:val="4C3B0D53"/>
    <w:rsid w:val="4C854292"/>
    <w:rsid w:val="4CDE4C03"/>
    <w:rsid w:val="4CE90CC5"/>
    <w:rsid w:val="4D5A74CD"/>
    <w:rsid w:val="4E54680B"/>
    <w:rsid w:val="4E636855"/>
    <w:rsid w:val="4F4B17C3"/>
    <w:rsid w:val="4F8D1046"/>
    <w:rsid w:val="4FEE1526"/>
    <w:rsid w:val="50947199"/>
    <w:rsid w:val="5285323E"/>
    <w:rsid w:val="529F00B6"/>
    <w:rsid w:val="534D53DE"/>
    <w:rsid w:val="538E6122"/>
    <w:rsid w:val="540A5A6E"/>
    <w:rsid w:val="54DC2EBD"/>
    <w:rsid w:val="556A493F"/>
    <w:rsid w:val="556F1F83"/>
    <w:rsid w:val="56821842"/>
    <w:rsid w:val="56A84811"/>
    <w:rsid w:val="56D51E4F"/>
    <w:rsid w:val="57271230"/>
    <w:rsid w:val="5737262D"/>
    <w:rsid w:val="57390153"/>
    <w:rsid w:val="574F5BC8"/>
    <w:rsid w:val="57D8796C"/>
    <w:rsid w:val="57F4051E"/>
    <w:rsid w:val="583A6878"/>
    <w:rsid w:val="586E207E"/>
    <w:rsid w:val="58743BA2"/>
    <w:rsid w:val="58AE4B70"/>
    <w:rsid w:val="594A131E"/>
    <w:rsid w:val="59815F89"/>
    <w:rsid w:val="598B6C60"/>
    <w:rsid w:val="5A264C74"/>
    <w:rsid w:val="5A7D6400"/>
    <w:rsid w:val="5AEE394A"/>
    <w:rsid w:val="5AFF2A99"/>
    <w:rsid w:val="5B4601F8"/>
    <w:rsid w:val="5B6D2AC1"/>
    <w:rsid w:val="5D4B5084"/>
    <w:rsid w:val="5EBF3633"/>
    <w:rsid w:val="5F5E0BDC"/>
    <w:rsid w:val="5F904FD0"/>
    <w:rsid w:val="5FC609F2"/>
    <w:rsid w:val="5FE05068"/>
    <w:rsid w:val="604255B0"/>
    <w:rsid w:val="61DD4EDA"/>
    <w:rsid w:val="634C1FA1"/>
    <w:rsid w:val="6457430E"/>
    <w:rsid w:val="65341962"/>
    <w:rsid w:val="65C9123C"/>
    <w:rsid w:val="65E240AB"/>
    <w:rsid w:val="663F505A"/>
    <w:rsid w:val="6675128B"/>
    <w:rsid w:val="67FD51CC"/>
    <w:rsid w:val="68D51CA5"/>
    <w:rsid w:val="6962178B"/>
    <w:rsid w:val="69A63574"/>
    <w:rsid w:val="6A740457"/>
    <w:rsid w:val="6A75729C"/>
    <w:rsid w:val="6BCA3618"/>
    <w:rsid w:val="6DA340EE"/>
    <w:rsid w:val="6E1E2DBD"/>
    <w:rsid w:val="6E386568"/>
    <w:rsid w:val="6F3C7244"/>
    <w:rsid w:val="70A46B2D"/>
    <w:rsid w:val="70DF36C1"/>
    <w:rsid w:val="713A4D9B"/>
    <w:rsid w:val="71CF5FA5"/>
    <w:rsid w:val="71DD525F"/>
    <w:rsid w:val="72327FA0"/>
    <w:rsid w:val="72BF19FC"/>
    <w:rsid w:val="741C0E52"/>
    <w:rsid w:val="74281823"/>
    <w:rsid w:val="75875628"/>
    <w:rsid w:val="75B43F80"/>
    <w:rsid w:val="76AA5BE7"/>
    <w:rsid w:val="770519A8"/>
    <w:rsid w:val="77B7218C"/>
    <w:rsid w:val="784D0E98"/>
    <w:rsid w:val="785902C5"/>
    <w:rsid w:val="78866B18"/>
    <w:rsid w:val="78874D6A"/>
    <w:rsid w:val="78B10039"/>
    <w:rsid w:val="78FA19E0"/>
    <w:rsid w:val="797D43BF"/>
    <w:rsid w:val="7AD92A11"/>
    <w:rsid w:val="7B256A5C"/>
    <w:rsid w:val="7B3D5BB4"/>
    <w:rsid w:val="7CBA535D"/>
    <w:rsid w:val="7ECD36F3"/>
    <w:rsid w:val="7F164347"/>
    <w:rsid w:val="7F5124B7"/>
    <w:rsid w:val="7FCB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Ansi="Times New Roman" w:cs="宋体" w:asciiTheme="minorEastAsia" w:eastAsiaTheme="minorEastAsia"/>
      <w:sz w:val="21"/>
      <w:szCs w:val="21"/>
      <w:lang w:val="en-US" w:eastAsia="zh-CN" w:bidi="ar-SA"/>
    </w:rPr>
  </w:style>
  <w:style w:type="paragraph" w:styleId="2">
    <w:name w:val="heading 1"/>
    <w:basedOn w:val="1"/>
    <w:next w:val="1"/>
    <w:qFormat/>
    <w:uiPriority w:val="0"/>
    <w:pPr>
      <w:keepNext/>
      <w:keepLines/>
      <w:spacing w:line="360" w:lineRule="auto"/>
      <w:outlineLvl w:val="0"/>
    </w:pPr>
    <w:rPr>
      <w:rFonts w:eastAsia="黑体"/>
      <w:b/>
      <w:bCs/>
      <w:kern w:val="44"/>
      <w:sz w:val="32"/>
      <w:szCs w:val="44"/>
    </w:rPr>
  </w:style>
  <w:style w:type="paragraph" w:styleId="3">
    <w:name w:val="heading 2"/>
    <w:basedOn w:val="1"/>
    <w:next w:val="1"/>
    <w:qFormat/>
    <w:uiPriority w:val="0"/>
    <w:pPr>
      <w:keepNext/>
      <w:keepLines/>
      <w:spacing w:line="360" w:lineRule="auto"/>
      <w:jc w:val="center"/>
      <w:outlineLvl w:val="1"/>
    </w:pPr>
    <w:rPr>
      <w:rFonts w:ascii="Arial" w:hAnsi="Arial" w:eastAsia="宋体"/>
      <w:b/>
      <w:bCs/>
      <w:sz w:val="24"/>
      <w:szCs w:val="32"/>
    </w:rPr>
  </w:style>
  <w:style w:type="paragraph" w:styleId="4">
    <w:name w:val="heading 3"/>
    <w:basedOn w:val="1"/>
    <w:next w:val="1"/>
    <w:qFormat/>
    <w:uiPriority w:val="0"/>
    <w:pPr>
      <w:keepNext/>
      <w:keepLines/>
      <w:spacing w:line="360" w:lineRule="auto"/>
      <w:outlineLvl w:val="2"/>
    </w:pPr>
    <w:rPr>
      <w:rFonts w:eastAsia="黑体"/>
      <w:b/>
      <w:bCs/>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sz w:val="20"/>
    </w:rPr>
  </w:style>
  <w:style w:type="paragraph" w:styleId="7">
    <w:name w:val="Body Text"/>
    <w:basedOn w:val="1"/>
    <w:next w:val="1"/>
    <w:qFormat/>
    <w:uiPriority w:val="0"/>
    <w:pPr>
      <w:adjustRightInd w:val="0"/>
      <w:spacing w:after="60" w:line="360" w:lineRule="atLeast"/>
      <w:ind w:left="72" w:leftChars="30" w:right="30" w:rightChars="30"/>
      <w:jc w:val="center"/>
      <w:textAlignment w:val="baseline"/>
    </w:pPr>
    <w:rPr>
      <w:szCs w:val="22"/>
    </w:rPr>
  </w:style>
  <w:style w:type="paragraph" w:styleId="8">
    <w:name w:val="Plain Text"/>
    <w:basedOn w:val="1"/>
    <w:qFormat/>
    <w:uiPriority w:val="0"/>
    <w:rPr>
      <w:rFonts w:ascii="宋体" w:hAnsi="Courier New"/>
    </w:rPr>
  </w:style>
  <w:style w:type="paragraph" w:styleId="9">
    <w:name w:val="footer"/>
    <w:basedOn w:val="1"/>
    <w:next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pPr>
      <w:spacing w:before="120" w:after="120"/>
      <w:jc w:val="left"/>
    </w:pPr>
    <w:rPr>
      <w:rFonts w:asciiTheme="minorHAnsi" w:hAnsiTheme="minorHAnsi"/>
      <w:b/>
      <w:bCs/>
      <w:caps/>
      <w:sz w:val="20"/>
      <w:szCs w:val="20"/>
    </w:rPr>
  </w:style>
  <w:style w:type="paragraph" w:styleId="12">
    <w:name w:val="Normal (Web)"/>
    <w:basedOn w:val="1"/>
    <w:qFormat/>
    <w:uiPriority w:val="0"/>
    <w:pPr>
      <w:widowControl/>
      <w:spacing w:before="100" w:beforeAutospacing="1" w:after="100" w:afterAutospacing="1"/>
      <w:jc w:val="left"/>
    </w:pPr>
    <w:rPr>
      <w:rFonts w:ascii="宋体" w:hAnsi="宋体"/>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99"/>
    <w:rPr>
      <w:color w:val="666666"/>
      <w:u w:val="none"/>
    </w:rPr>
  </w:style>
  <w:style w:type="paragraph" w:customStyle="1" w:styleId="18">
    <w:name w:val="WPSOffice手动目录 1"/>
    <w:autoRedefine/>
    <w:qFormat/>
    <w:uiPriority w:val="0"/>
    <w:pPr>
      <w:ind w:leftChars="0"/>
    </w:pPr>
    <w:rPr>
      <w:rFonts w:ascii="Times New Roman" w:hAnsi="Times New Roman" w:eastAsia="宋体" w:cs="Times New Roman"/>
      <w:sz w:val="20"/>
      <w:szCs w:val="20"/>
    </w:rPr>
  </w:style>
  <w:style w:type="paragraph" w:styleId="19">
    <w:name w:val="List Paragraph"/>
    <w:basedOn w:val="1"/>
    <w:autoRedefine/>
    <w:qFormat/>
    <w:uiPriority w:val="0"/>
    <w:pPr>
      <w:ind w:firstLine="420" w:firstLineChars="200"/>
    </w:pPr>
    <w:rPr>
      <w:rFonts w:ascii="Calibri" w:hAnsi="Calibri"/>
      <w:szCs w:val="22"/>
    </w:rPr>
  </w:style>
  <w:style w:type="character" w:customStyle="1" w:styleId="20">
    <w:name w:val="NormalCharacter"/>
    <w:autoRedefine/>
    <w:qFormat/>
    <w:uiPriority w:val="0"/>
  </w:style>
  <w:style w:type="paragraph" w:customStyle="1" w:styleId="21">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标题 2_2"/>
    <w:basedOn w:val="1"/>
    <w:next w:val="1"/>
    <w:autoRedefine/>
    <w:qFormat/>
    <w:uiPriority w:val="0"/>
    <w:pPr>
      <w:keepNext/>
      <w:keepLines/>
      <w:spacing w:before="60" w:after="60" w:line="413" w:lineRule="auto"/>
      <w:outlineLvl w:val="1"/>
    </w:pPr>
    <w:rPr>
      <w:rFonts w:ascii="Arial" w:hAnsi="Arial" w:eastAsia="黑体"/>
      <w:b/>
      <w:bCs/>
      <w:sz w:val="32"/>
      <w:szCs w:val="32"/>
    </w:rPr>
  </w:style>
  <w:style w:type="paragraph" w:customStyle="1" w:styleId="23">
    <w:name w:val="正文_0"/>
    <w:autoRedefine/>
    <w:qFormat/>
    <w:uiPriority w:val="0"/>
    <w:pPr>
      <w:widowControl w:val="0"/>
      <w:jc w:val="both"/>
    </w:pPr>
    <w:rPr>
      <w:rFonts w:hAnsi="Times New Roman" w:cs="宋体" w:asciiTheme="minorEastAsia" w:eastAsiaTheme="minorEastAsia"/>
      <w:kern w:val="2"/>
      <w:sz w:val="21"/>
      <w:szCs w:val="22"/>
      <w:lang w:val="en-US" w:eastAsia="zh-CN" w:bidi="ar-SA"/>
    </w:rPr>
  </w:style>
  <w:style w:type="paragraph" w:customStyle="1" w:styleId="2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样式 标题 2 + 宋体"/>
    <w:basedOn w:val="3"/>
    <w:autoRedefine/>
    <w:qFormat/>
    <w:uiPriority w:val="99"/>
    <w:rPr>
      <w:rFonts w:ascii="宋体" w:hAnsi="宋体"/>
      <w:sz w:val="30"/>
    </w:rPr>
  </w:style>
  <w:style w:type="paragraph" w:customStyle="1" w:styleId="26">
    <w:name w:val="首行缩进"/>
    <w:basedOn w:val="1"/>
    <w:autoRedefine/>
    <w:qFormat/>
    <w:uiPriority w:val="0"/>
    <w:pPr>
      <w:spacing w:line="400" w:lineRule="exact"/>
      <w:ind w:firstLine="480" w:firstLineChars="200"/>
      <w:jc w:val="left"/>
    </w:pPr>
    <w:rPr>
      <w:lang w:val="zh-CN"/>
    </w:rPr>
  </w:style>
  <w:style w:type="paragraph" w:customStyle="1" w:styleId="27">
    <w:name w:val="1"/>
    <w:basedOn w:val="1"/>
    <w:next w:val="8"/>
    <w:autoRedefine/>
    <w:qFormat/>
    <w:uiPriority w:val="0"/>
    <w:rPr>
      <w:rFonts w:ascii="宋体"/>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18202</Words>
  <Characters>19567</Characters>
  <Lines>0</Lines>
  <Paragraphs>0</Paragraphs>
  <TotalTime>1</TotalTime>
  <ScaleCrop>false</ScaleCrop>
  <LinksUpToDate>false</LinksUpToDate>
  <CharactersWithSpaces>19668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2024-06-07T09:40:00Z</dcterms:created>
  <dc:creator>子•熙</dc:creator>
  <cp:lastModifiedBy>Administrator</cp:lastModifiedBy>
  <cp:lastPrinted>2024-11-21T04:20:00Z</cp:lastPrinted>
  <dcterms:modified xsi:type="dcterms:W3CDTF">2025-01-24T11:57:05Z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6A3D17D557BE4096B8743E0E028072C4_13</vt:lpwstr>
  </property>
  <property fmtid="{D5CDD505-2E9C-101B-9397-08002B2CF9AE}" pid="4" name="KSOTemplateDocerSaveRecord">
    <vt:lpwstr>eyJoZGlkIjoiZTQ0MWZiMjU2OGRmZmFmNTk1ZjMxODQ3YTJiMTMxMTkiLCJ1c2VySWQiOiIzNDgyMjQzODgifQ==</vt:lpwstr>
  </property>
</Properties>
</file>