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7A8CB">
      <w:pPr>
        <w:pStyle w:val="17"/>
        <w:jc w:val="center"/>
        <w:rPr>
          <w:rFonts w:hint="eastAsia" w:ascii="黑体" w:hAnsi="黑体" w:eastAsia="黑体"/>
          <w:spacing w:val="30"/>
          <w:kern w:val="52"/>
          <w:sz w:val="64"/>
          <w:szCs w:val="64"/>
        </w:rPr>
      </w:pPr>
      <w:bookmarkStart w:id="154" w:name="_GoBack"/>
      <w:bookmarkEnd w:id="154"/>
    </w:p>
    <w:p w14:paraId="71334291">
      <w:pPr>
        <w:pStyle w:val="17"/>
        <w:jc w:val="center"/>
        <w:rPr>
          <w:rFonts w:hint="eastAsia" w:ascii="黑体" w:hAnsi="黑体" w:eastAsia="黑体"/>
          <w:spacing w:val="30"/>
          <w:kern w:val="52"/>
          <w:sz w:val="64"/>
          <w:szCs w:val="64"/>
        </w:rPr>
      </w:pPr>
      <w:r>
        <w:rPr>
          <w:rFonts w:ascii="黑体" w:hAnsi="黑体" w:eastAsia="黑体"/>
          <w:spacing w:val="30"/>
          <w:kern w:val="52"/>
          <w:sz w:val="64"/>
          <w:szCs w:val="64"/>
        </w:rPr>
        <w:t>广西誉采招标咨询有限公司</w:t>
      </w:r>
    </w:p>
    <w:p w14:paraId="568DB82D">
      <w:pPr>
        <w:pStyle w:val="17"/>
        <w:jc w:val="center"/>
        <w:rPr>
          <w:rFonts w:hint="eastAsia" w:ascii="黑体" w:hAnsi="黑体" w:eastAsia="黑体"/>
          <w:spacing w:val="28"/>
          <w:sz w:val="64"/>
          <w:szCs w:val="64"/>
        </w:rPr>
      </w:pPr>
      <w:r>
        <w:rPr>
          <w:rFonts w:hint="eastAsia" w:ascii="黑体" w:hAnsi="黑体" w:eastAsia="黑体"/>
          <w:b/>
          <w:spacing w:val="-18"/>
          <w:sz w:val="64"/>
          <w:szCs w:val="64"/>
        </w:rPr>
        <w:pict>
          <v:line id="_x0000_s2051" o:spid="_x0000_s2051" o:spt="20" style="position:absolute;left:0pt;margin-left:27pt;margin-top:7.8pt;height:0pt;width:432pt;z-index:251659264;mso-width-relative:page;mso-height-relative:page;" coordsize="21600,21600" o:gfxdata="UEsDBAoAAAAAAIdO4kAAAAAAAAAAAAAAAAAEAAAAZHJzL1BLAwQUAAAACACHTuJAqhQAKNYAAAAI&#10;AQAADwAAAGRycy9kb3ducmV2LnhtbE2PzU7DMBCE70i8g7VI3KiTipY0jdMDqKpAXNoicd0mSxyI&#10;12ns/vD2LOoBjvvNaHamWJxdp440hNazgXSUgCKufN1yY+Btu7zLQIWIXGPnmQx8U4BFeX1VYF77&#10;E6/puImNkhAOORqwMfa51qGy5DCMfE8s2ocfHEY5h0bXA54k3HV6nCRT7bBl+WCxp0dL1dfm4Azg&#10;02od37Pxy0P7bF8/t8v9ymZ7Y25v0mQOKtI5/pnht75Uh1I67fyB66A6A5N7mRKFT6agRJ+lmYDd&#10;Beiy0P8HlD9QSwMEFAAAAAgAh07iQCTwOHX1AQAA5QMAAA4AAABkcnMvZTJvRG9jLnhtbK1TzW4T&#10;MRC+I/EOlu9kk7SUapVNDw3lgqAS8AAT27tryX/yONnkJXgBJG5w4sidt6E8BmNvmkK55MAevGPP&#10;+Jv5vhkvrnbWsK2KqL1r+Gwy5Uw54aV2XcM/vL95dskZJnASjHeq4XuF/Gr59MliCLWa+94bqSIj&#10;EIf1EBrepxTqqkLRKws48UE5crY+Wki0jV0lIwyEbk01n04vqsFHGaIXCpFOV6OTHxDjKYC+bbVQ&#10;Ky82Vrk0okZlIBEl7HVAvizVtq0S6W3bokrMNJyYprJSErLXea2WC6i7CKHX4lACnFLCI04WtKOk&#10;R6gVJGCbqP+BslpEj75NE+FtNRIpihCL2fSRNu96CKpwIakxHEXH/wcr3mxvI9Oy4WecObDU8LtP&#10;339+/PLrx2da7759ZWdZpCFgTbHX7jYedhhuY2a8a6PNf+LCdkXY/VFYtUtM0OHz88uL8ylpLu59&#10;1cPFEDG9Ut6ybDTcaJc5Qw3b15goGYXeh+Rj49hAczt/UfCAJrClzhO0DcQCXVcuozda3mhj8hWM&#10;3fraRLaFPAXly5wI+K+wnGUF2I9xxTXOR69AvnSSpX0gfRw9C55rsEpyZhS9omwRINQJtDklklIb&#10;RxVkWUchs7X2ck/d2ISou56kmJUqs4e6X+o9TGoerz/3Benhd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oUACjWAAAACAEAAA8AAAAAAAAAAQAgAAAAIgAAAGRycy9kb3ducmV2LnhtbFBLAQIU&#10;ABQAAAAIAIdO4kAk8Dh19QEAAOUDAAAOAAAAAAAAAAEAIAAAACUBAABkcnMvZTJvRG9jLnhtbFBL&#10;BQYAAAAABgAGAFkBAACMBQAAAAA=&#10;">
            <v:path arrowok="t"/>
            <v:fill focussize="0,0"/>
            <v:stroke weight="1pt"/>
            <v:imagedata o:title=""/>
            <o:lock v:ext="edit"/>
          </v:line>
        </w:pict>
      </w:r>
    </w:p>
    <w:p w14:paraId="15DF67CC">
      <w:pPr>
        <w:snapToGrid w:val="0"/>
        <w:spacing w:before="156" w:beforeLines="50" w:line="360" w:lineRule="auto"/>
        <w:jc w:val="center"/>
        <w:rPr>
          <w:rFonts w:hint="eastAsia" w:ascii="黑体" w:hAnsi="黑体" w:eastAsia="黑体"/>
          <w:sz w:val="120"/>
          <w:szCs w:val="120"/>
        </w:rPr>
      </w:pPr>
      <w:r>
        <w:rPr>
          <w:rFonts w:hint="eastAsia" w:ascii="黑体" w:hAnsi="黑体" w:eastAsia="黑体"/>
          <w:sz w:val="120"/>
          <w:szCs w:val="120"/>
        </w:rPr>
        <w:t>招 标 文 件</w:t>
      </w:r>
    </w:p>
    <w:p w14:paraId="369DC198">
      <w:pPr>
        <w:pStyle w:val="17"/>
        <w:snapToGrid w:val="0"/>
        <w:spacing w:line="360" w:lineRule="auto"/>
        <w:ind w:firstLine="1977" w:firstLineChars="691"/>
        <w:rPr>
          <w:rFonts w:hint="eastAsia" w:ascii="仿宋_GB2312" w:hAnsi="宋体" w:eastAsia="仿宋_GB2312"/>
          <w:b/>
          <w:bCs/>
          <w:w w:val="95"/>
          <w:sz w:val="30"/>
          <w:szCs w:val="30"/>
        </w:rPr>
      </w:pPr>
    </w:p>
    <w:p w14:paraId="5D18BECE">
      <w:pPr>
        <w:pStyle w:val="17"/>
        <w:snapToGrid w:val="0"/>
        <w:spacing w:line="360" w:lineRule="auto"/>
        <w:ind w:firstLine="1977" w:firstLineChars="691"/>
        <w:rPr>
          <w:rFonts w:hint="eastAsia" w:ascii="仿宋_GB2312" w:hAnsi="宋体" w:eastAsia="仿宋_GB2312"/>
          <w:b/>
          <w:bCs/>
          <w:w w:val="95"/>
          <w:sz w:val="30"/>
          <w:szCs w:val="30"/>
        </w:rPr>
      </w:pPr>
    </w:p>
    <w:p w14:paraId="195CD5D5">
      <w:pPr>
        <w:pStyle w:val="17"/>
        <w:snapToGrid w:val="0"/>
        <w:spacing w:line="360" w:lineRule="auto"/>
        <w:ind w:firstLine="1431" w:firstLineChars="500"/>
        <w:rPr>
          <w:rFonts w:hint="eastAsia" w:ascii="仿宋_GB2312" w:hAnsi="宋体" w:eastAsia="仿宋_GB2312"/>
          <w:b/>
          <w:bCs/>
          <w:w w:val="95"/>
          <w:sz w:val="30"/>
          <w:szCs w:val="30"/>
        </w:rPr>
      </w:pPr>
      <w:r>
        <w:rPr>
          <w:rFonts w:hint="eastAsia" w:ascii="仿宋_GB2312" w:hAnsi="宋体" w:eastAsia="仿宋_GB2312"/>
          <w:b/>
          <w:bCs/>
          <w:w w:val="95"/>
          <w:sz w:val="30"/>
          <w:szCs w:val="30"/>
        </w:rPr>
        <w:t>项目名称：博白县第二人民医院智慧医院信息化建设二期项目</w:t>
      </w:r>
    </w:p>
    <w:p w14:paraId="1983FC8F">
      <w:pPr>
        <w:pStyle w:val="17"/>
        <w:snapToGrid w:val="0"/>
        <w:spacing w:line="360" w:lineRule="auto"/>
        <w:ind w:firstLine="1431" w:firstLineChars="500"/>
        <w:rPr>
          <w:rFonts w:hint="eastAsia" w:ascii="仿宋_GB2312" w:hAnsi="宋体" w:eastAsia="仿宋_GB2312"/>
          <w:b/>
          <w:bCs/>
          <w:w w:val="95"/>
          <w:sz w:val="30"/>
          <w:szCs w:val="30"/>
          <w:lang w:eastAsia="zh-CN"/>
        </w:rPr>
      </w:pPr>
      <w:r>
        <w:rPr>
          <w:rFonts w:hint="eastAsia" w:ascii="仿宋_GB2312" w:hAnsi="宋体" w:eastAsia="仿宋_GB2312"/>
          <w:b/>
          <w:bCs/>
          <w:w w:val="95"/>
          <w:sz w:val="30"/>
          <w:szCs w:val="30"/>
        </w:rPr>
        <w:t>项目编号：</w:t>
      </w:r>
      <w:r>
        <w:rPr>
          <w:rFonts w:hint="eastAsia" w:ascii="仿宋_GB2312" w:hAnsi="宋体" w:eastAsia="仿宋_GB2312"/>
          <w:b/>
          <w:bCs/>
          <w:w w:val="95"/>
          <w:sz w:val="30"/>
          <w:szCs w:val="30"/>
          <w:lang w:eastAsia="zh-CN"/>
        </w:rPr>
        <w:t>YLZC2025-G3-230032-YCZB</w:t>
      </w:r>
    </w:p>
    <w:p w14:paraId="777CCBEB">
      <w:pPr>
        <w:pStyle w:val="17"/>
        <w:snapToGrid w:val="0"/>
        <w:spacing w:line="360" w:lineRule="auto"/>
        <w:ind w:firstLine="1977" w:firstLineChars="691"/>
        <w:rPr>
          <w:rFonts w:hint="eastAsia" w:ascii="仿宋_GB2312" w:hAnsi="宋体" w:eastAsia="仿宋_GB2312"/>
          <w:b/>
          <w:bCs/>
          <w:w w:val="95"/>
          <w:sz w:val="30"/>
          <w:szCs w:val="30"/>
        </w:rPr>
      </w:pPr>
    </w:p>
    <w:p w14:paraId="09A7EBA3">
      <w:pPr>
        <w:pStyle w:val="17"/>
        <w:snapToGrid w:val="0"/>
        <w:spacing w:line="360" w:lineRule="auto"/>
        <w:ind w:firstLine="1977" w:firstLineChars="691"/>
        <w:rPr>
          <w:rFonts w:hint="eastAsia" w:ascii="仿宋_GB2312" w:hAnsi="宋体" w:eastAsia="仿宋_GB2312"/>
          <w:b/>
          <w:bCs/>
          <w:w w:val="95"/>
          <w:sz w:val="30"/>
          <w:szCs w:val="30"/>
        </w:rPr>
      </w:pPr>
    </w:p>
    <w:p w14:paraId="0A078A09">
      <w:pPr>
        <w:pStyle w:val="17"/>
        <w:snapToGrid w:val="0"/>
        <w:spacing w:line="360" w:lineRule="auto"/>
        <w:ind w:firstLine="1977" w:firstLineChars="691"/>
        <w:rPr>
          <w:rFonts w:hint="eastAsia" w:ascii="仿宋_GB2312" w:hAnsi="宋体" w:eastAsia="仿宋_GB2312"/>
          <w:b/>
          <w:bCs/>
          <w:w w:val="95"/>
          <w:sz w:val="30"/>
          <w:szCs w:val="30"/>
        </w:rPr>
      </w:pPr>
    </w:p>
    <w:p w14:paraId="5E472920">
      <w:pPr>
        <w:pStyle w:val="17"/>
        <w:snapToGrid w:val="0"/>
        <w:spacing w:line="360" w:lineRule="auto"/>
        <w:ind w:firstLine="1977" w:firstLineChars="691"/>
        <w:rPr>
          <w:rFonts w:hint="eastAsia" w:ascii="仿宋_GB2312" w:hAnsi="宋体" w:eastAsia="仿宋_GB2312"/>
          <w:b/>
          <w:bCs/>
          <w:w w:val="95"/>
          <w:sz w:val="30"/>
          <w:szCs w:val="30"/>
        </w:rPr>
      </w:pPr>
    </w:p>
    <w:p w14:paraId="6B0190C1">
      <w:pPr>
        <w:pStyle w:val="17"/>
        <w:snapToGrid w:val="0"/>
        <w:spacing w:line="360" w:lineRule="auto"/>
        <w:ind w:firstLine="1977" w:firstLineChars="691"/>
        <w:rPr>
          <w:rFonts w:hint="eastAsia" w:ascii="仿宋_GB2312" w:hAnsi="宋体" w:eastAsia="仿宋_GB2312"/>
          <w:b/>
          <w:bCs/>
          <w:w w:val="95"/>
          <w:sz w:val="30"/>
          <w:szCs w:val="30"/>
        </w:rPr>
      </w:pPr>
      <w:r>
        <w:rPr>
          <w:rFonts w:hint="eastAsia" w:ascii="仿宋_GB2312" w:hAnsi="宋体" w:eastAsia="仿宋_GB2312"/>
          <w:b/>
          <w:bCs/>
          <w:w w:val="95"/>
          <w:sz w:val="30"/>
          <w:szCs w:val="30"/>
        </w:rPr>
        <w:t>采 购 人：博白县第二人民医院</w:t>
      </w:r>
    </w:p>
    <w:p w14:paraId="361B3E0A">
      <w:pPr>
        <w:pStyle w:val="17"/>
        <w:snapToGrid w:val="0"/>
        <w:spacing w:line="360" w:lineRule="auto"/>
        <w:ind w:firstLine="1977" w:firstLineChars="691"/>
        <w:rPr>
          <w:rFonts w:hint="eastAsia" w:ascii="仿宋_GB2312" w:hAnsi="宋体" w:eastAsia="仿宋_GB2312"/>
          <w:b/>
          <w:bCs/>
          <w:w w:val="95"/>
          <w:sz w:val="30"/>
          <w:szCs w:val="30"/>
        </w:rPr>
      </w:pPr>
      <w:r>
        <w:rPr>
          <w:rFonts w:hint="eastAsia" w:ascii="仿宋_GB2312" w:hAnsi="宋体" w:eastAsia="仿宋_GB2312"/>
          <w:b/>
          <w:bCs/>
          <w:w w:val="95"/>
          <w:sz w:val="30"/>
          <w:szCs w:val="30"/>
        </w:rPr>
        <w:t>采购代理机构：广西誉采招标咨询有限公司</w:t>
      </w:r>
    </w:p>
    <w:p w14:paraId="4E27DE46">
      <w:pPr>
        <w:pStyle w:val="17"/>
        <w:snapToGrid w:val="0"/>
        <w:spacing w:line="360" w:lineRule="auto"/>
        <w:ind w:firstLine="1125" w:firstLineChars="393"/>
        <w:rPr>
          <w:rFonts w:hint="eastAsia" w:ascii="仿宋_GB2312" w:hAnsi="宋体" w:eastAsia="仿宋_GB2312"/>
          <w:b/>
          <w:bCs/>
          <w:w w:val="95"/>
          <w:sz w:val="30"/>
          <w:szCs w:val="30"/>
        </w:rPr>
      </w:pPr>
    </w:p>
    <w:p w14:paraId="6A86F8B2">
      <w:pPr>
        <w:pStyle w:val="17"/>
        <w:snapToGrid w:val="0"/>
        <w:spacing w:line="360" w:lineRule="auto"/>
        <w:jc w:val="center"/>
        <w:rPr>
          <w:rFonts w:hint="eastAsia" w:ascii="仿宋_GB2312" w:hAnsi="宋体" w:eastAsia="仿宋_GB2312"/>
          <w:b/>
          <w:bCs/>
          <w:w w:val="95"/>
          <w:sz w:val="30"/>
          <w:szCs w:val="30"/>
        </w:rPr>
      </w:pPr>
      <w:r>
        <w:rPr>
          <w:rFonts w:hint="eastAsia" w:ascii="仿宋_GB2312" w:hAnsi="宋体" w:eastAsia="仿宋_GB2312"/>
          <w:b/>
          <w:bCs/>
          <w:w w:val="95"/>
          <w:sz w:val="30"/>
          <w:szCs w:val="30"/>
        </w:rPr>
        <w:t>2025年</w:t>
      </w:r>
      <w:r>
        <w:rPr>
          <w:rFonts w:hint="eastAsia" w:ascii="仿宋_GB2312" w:hAnsi="宋体" w:eastAsia="仿宋_GB2312"/>
          <w:b/>
          <w:bCs/>
          <w:w w:val="95"/>
          <w:sz w:val="30"/>
          <w:szCs w:val="30"/>
          <w:lang w:val="en-US" w:eastAsia="zh-CN"/>
        </w:rPr>
        <w:t>3</w:t>
      </w:r>
      <w:r>
        <w:rPr>
          <w:rFonts w:hint="eastAsia" w:ascii="仿宋_GB2312" w:hAnsi="宋体" w:eastAsia="仿宋_GB2312"/>
          <w:b/>
          <w:bCs/>
          <w:w w:val="95"/>
          <w:sz w:val="30"/>
          <w:szCs w:val="30"/>
        </w:rPr>
        <w:t xml:space="preserve">月  </w:t>
      </w:r>
    </w:p>
    <w:p w14:paraId="56FFB9A0">
      <w:pPr>
        <w:pStyle w:val="17"/>
        <w:snapToGrid w:val="0"/>
        <w:spacing w:line="360" w:lineRule="auto"/>
        <w:jc w:val="center"/>
        <w:rPr>
          <w:rFonts w:hint="eastAsia" w:ascii="仿宋_GB2312" w:hAnsi="宋体" w:eastAsia="仿宋_GB2312"/>
          <w:b/>
          <w:bCs/>
          <w:w w:val="95"/>
          <w:sz w:val="30"/>
          <w:szCs w:val="30"/>
        </w:rPr>
      </w:pPr>
      <w:r>
        <w:rPr>
          <w:rFonts w:hint="eastAsia" w:ascii="仿宋_GB2312" w:hAnsi="宋体" w:eastAsia="仿宋_GB2312"/>
          <w:b/>
          <w:bCs/>
          <w:w w:val="95"/>
          <w:sz w:val="30"/>
          <w:szCs w:val="30"/>
        </w:rPr>
        <w:t xml:space="preserve"> </w:t>
      </w:r>
    </w:p>
    <w:p w14:paraId="2B811DB9">
      <w:pPr>
        <w:pStyle w:val="17"/>
        <w:spacing w:before="120" w:after="120" w:line="360" w:lineRule="auto"/>
        <w:rPr>
          <w:rFonts w:hint="eastAsia" w:hAnsi="宋体"/>
          <w:b/>
          <w:sz w:val="44"/>
          <w:szCs w:val="44"/>
        </w:rPr>
      </w:pPr>
    </w:p>
    <w:p w14:paraId="135DF995">
      <w:pPr>
        <w:pStyle w:val="18"/>
        <w:ind w:left="5250"/>
        <w:rPr>
          <w:rFonts w:hint="eastAsia" w:hAnsi="宋体"/>
          <w:b/>
          <w:sz w:val="44"/>
          <w:szCs w:val="44"/>
        </w:rPr>
      </w:pPr>
    </w:p>
    <w:p w14:paraId="173C8586">
      <w:pPr>
        <w:rPr>
          <w:rFonts w:hint="eastAsia" w:hAnsi="宋体"/>
          <w:b/>
          <w:sz w:val="44"/>
          <w:szCs w:val="44"/>
        </w:rPr>
      </w:pPr>
    </w:p>
    <w:p w14:paraId="07DB2898">
      <w:pPr>
        <w:rPr>
          <w:rFonts w:hint="eastAsia" w:hAnsi="宋体"/>
          <w:b/>
          <w:sz w:val="44"/>
          <w:szCs w:val="44"/>
        </w:rPr>
      </w:pPr>
    </w:p>
    <w:p w14:paraId="7DB10A8F">
      <w:pPr>
        <w:pStyle w:val="17"/>
        <w:spacing w:before="120" w:after="120" w:line="360" w:lineRule="auto"/>
        <w:jc w:val="center"/>
        <w:rPr>
          <w:rFonts w:hint="eastAsia" w:ascii="仿宋_GB2312" w:hAnsi="宋体" w:eastAsia="仿宋_GB2312"/>
        </w:rPr>
      </w:pPr>
      <w:r>
        <w:rPr>
          <w:rFonts w:hint="eastAsia" w:hAnsi="宋体"/>
          <w:b/>
          <w:sz w:val="44"/>
          <w:szCs w:val="44"/>
        </w:rPr>
        <w:t>目  录</w:t>
      </w:r>
    </w:p>
    <w:p w14:paraId="0BEF0AC3">
      <w:pPr>
        <w:pStyle w:val="22"/>
        <w:ind w:firstLine="720" w:firstLineChars="300"/>
        <w:jc w:val="center"/>
        <w:rPr>
          <w:rFonts w:ascii="Calibri" w:hAnsi="Calibri"/>
          <w:b w:val="0"/>
          <w:bCs w:val="0"/>
          <w:caps w:val="0"/>
          <w:sz w:val="21"/>
          <w:szCs w:val="22"/>
        </w:rPr>
      </w:pPr>
      <w:r>
        <w:rPr>
          <w:rFonts w:ascii="仿宋_GB2312" w:eastAsia="仿宋_GB2312"/>
          <w:b w:val="0"/>
        </w:rPr>
        <w:fldChar w:fldCharType="begin"/>
      </w:r>
      <w:r>
        <w:rPr>
          <w:rFonts w:ascii="仿宋_GB2312" w:eastAsia="仿宋_GB2312"/>
          <w:b w:val="0"/>
        </w:rPr>
        <w:instrText xml:space="preserve"> </w:instrText>
      </w:r>
      <w:r>
        <w:rPr>
          <w:rFonts w:hint="eastAsia" w:ascii="仿宋_GB2312" w:eastAsia="仿宋_GB2312"/>
          <w:b w:val="0"/>
        </w:rPr>
        <w:instrText xml:space="preserve">TOC \o "1-2" \h \z \u</w:instrText>
      </w:r>
      <w:r>
        <w:rPr>
          <w:rFonts w:ascii="仿宋_GB2312" w:eastAsia="仿宋_GB2312"/>
          <w:b w:val="0"/>
        </w:rPr>
        <w:instrText xml:space="preserve"> </w:instrText>
      </w:r>
      <w:r>
        <w:rPr>
          <w:rFonts w:ascii="仿宋_GB2312" w:eastAsia="仿宋_GB2312"/>
          <w:b w:val="0"/>
        </w:rPr>
        <w:fldChar w:fldCharType="separate"/>
      </w:r>
      <w:r>
        <w:fldChar w:fldCharType="begin"/>
      </w:r>
      <w:r>
        <w:instrText xml:space="preserve"> HYPERLINK \l "_Toc74320800" </w:instrText>
      </w:r>
      <w:r>
        <w:fldChar w:fldCharType="separate"/>
      </w:r>
      <w:r>
        <w:rPr>
          <w:rStyle w:val="30"/>
          <w:rFonts w:hint="eastAsia"/>
          <w:color w:val="auto"/>
        </w:rPr>
        <w:t>第一章</w:t>
      </w:r>
      <w:r>
        <w:rPr>
          <w:rStyle w:val="30"/>
          <w:color w:val="auto"/>
        </w:rPr>
        <w:t xml:space="preserve"> </w:t>
      </w:r>
      <w:r>
        <w:rPr>
          <w:rStyle w:val="30"/>
          <w:rFonts w:hint="eastAsia"/>
          <w:color w:val="auto"/>
        </w:rPr>
        <w:t xml:space="preserve"> 招标公告</w:t>
      </w:r>
      <w:r>
        <w:tab/>
      </w:r>
      <w:r>
        <w:rPr>
          <w:rFonts w:hint="eastAsia"/>
        </w:rPr>
        <w:t>3</w:t>
      </w:r>
      <w:r>
        <w:rPr>
          <w:rFonts w:hint="eastAsia"/>
        </w:rPr>
        <w:fldChar w:fldCharType="end"/>
      </w:r>
    </w:p>
    <w:p w14:paraId="6C7C8339">
      <w:pPr>
        <w:pStyle w:val="22"/>
        <w:ind w:firstLine="723" w:firstLineChars="300"/>
        <w:jc w:val="center"/>
        <w:rPr>
          <w:rFonts w:ascii="Calibri" w:hAnsi="Calibri"/>
          <w:b w:val="0"/>
          <w:bCs w:val="0"/>
          <w:caps w:val="0"/>
          <w:sz w:val="21"/>
          <w:szCs w:val="22"/>
        </w:rPr>
      </w:pPr>
      <w:r>
        <w:fldChar w:fldCharType="begin"/>
      </w:r>
      <w:r>
        <w:instrText xml:space="preserve"> HYPERLINK \l "_Toc74320801" </w:instrText>
      </w:r>
      <w:r>
        <w:fldChar w:fldCharType="separate"/>
      </w:r>
      <w:r>
        <w:rPr>
          <w:rStyle w:val="30"/>
          <w:rFonts w:hint="eastAsia"/>
          <w:color w:val="auto"/>
        </w:rPr>
        <w:t>第二章</w:t>
      </w:r>
      <w:r>
        <w:rPr>
          <w:rStyle w:val="30"/>
          <w:color w:val="auto"/>
        </w:rPr>
        <w:t xml:space="preserve">  </w:t>
      </w:r>
      <w:r>
        <w:rPr>
          <w:rStyle w:val="30"/>
          <w:rFonts w:hint="eastAsia"/>
          <w:color w:val="auto"/>
        </w:rPr>
        <w:t>采购需求</w:t>
      </w:r>
      <w:r>
        <w:tab/>
      </w:r>
      <w:r>
        <w:rPr>
          <w:rFonts w:hint="eastAsia"/>
        </w:rPr>
        <w:t>7</w:t>
      </w:r>
      <w:r>
        <w:rPr>
          <w:rFonts w:hint="eastAsia"/>
        </w:rPr>
        <w:fldChar w:fldCharType="end"/>
      </w:r>
    </w:p>
    <w:p w14:paraId="7FC31E3C">
      <w:pPr>
        <w:pStyle w:val="22"/>
        <w:ind w:firstLine="723" w:firstLineChars="300"/>
        <w:jc w:val="center"/>
        <w:rPr>
          <w:rFonts w:hint="eastAsia" w:ascii="Calibri" w:hAnsi="Calibri" w:eastAsia="宋体"/>
          <w:b w:val="0"/>
          <w:bCs w:val="0"/>
          <w:caps w:val="0"/>
          <w:sz w:val="21"/>
          <w:szCs w:val="22"/>
          <w:lang w:val="en-US" w:eastAsia="zh-CN"/>
        </w:rPr>
      </w:pPr>
      <w:r>
        <w:fldChar w:fldCharType="begin"/>
      </w:r>
      <w:r>
        <w:instrText xml:space="preserve"> HYPERLINK \l "_Toc74320802" </w:instrText>
      </w:r>
      <w:r>
        <w:fldChar w:fldCharType="separate"/>
      </w:r>
      <w:r>
        <w:rPr>
          <w:rStyle w:val="30"/>
          <w:rFonts w:hint="eastAsia"/>
          <w:color w:val="auto"/>
        </w:rPr>
        <w:t>第三章</w:t>
      </w:r>
      <w:r>
        <w:rPr>
          <w:rStyle w:val="30"/>
          <w:color w:val="auto"/>
        </w:rPr>
        <w:t xml:space="preserve">  </w:t>
      </w:r>
      <w:r>
        <w:rPr>
          <w:rStyle w:val="30"/>
          <w:rFonts w:hint="eastAsia"/>
          <w:color w:val="auto"/>
        </w:rPr>
        <w:t>投标人须</w:t>
      </w:r>
      <w:bookmarkStart w:id="0" w:name="_Hlt79572745"/>
      <w:bookmarkStart w:id="1" w:name="_Hlt79572744"/>
      <w:r>
        <w:rPr>
          <w:rStyle w:val="30"/>
          <w:rFonts w:hint="eastAsia"/>
          <w:color w:val="auto"/>
        </w:rPr>
        <w:t>知</w:t>
      </w:r>
      <w:bookmarkEnd w:id="0"/>
      <w:bookmarkEnd w:id="1"/>
      <w:r>
        <w:tab/>
      </w:r>
      <w:r>
        <w:rPr>
          <w:rFonts w:hint="eastAsia"/>
          <w:lang w:val="en-US" w:eastAsia="zh-CN"/>
        </w:rPr>
        <w:t>7</w:t>
      </w:r>
      <w:r>
        <w:fldChar w:fldCharType="end"/>
      </w:r>
      <w:r>
        <w:rPr>
          <w:rFonts w:hint="eastAsia"/>
          <w:lang w:val="en-US" w:eastAsia="zh-CN"/>
        </w:rPr>
        <w:t>8</w:t>
      </w:r>
    </w:p>
    <w:p w14:paraId="7B6BDFCD">
      <w:pPr>
        <w:pStyle w:val="22"/>
        <w:ind w:firstLine="723" w:firstLineChars="300"/>
        <w:jc w:val="center"/>
        <w:rPr>
          <w:rFonts w:hint="eastAsia" w:ascii="Calibri" w:hAnsi="Calibri" w:eastAsia="宋体"/>
          <w:b w:val="0"/>
          <w:bCs w:val="0"/>
          <w:caps w:val="0"/>
          <w:sz w:val="21"/>
          <w:szCs w:val="22"/>
          <w:lang w:val="en-US" w:eastAsia="zh-CN"/>
        </w:rPr>
      </w:pPr>
      <w:r>
        <w:fldChar w:fldCharType="begin"/>
      </w:r>
      <w:r>
        <w:instrText xml:space="preserve"> HYPERLINK \l "_Toc74320803" </w:instrText>
      </w:r>
      <w:r>
        <w:fldChar w:fldCharType="separate"/>
      </w:r>
      <w:r>
        <w:rPr>
          <w:rStyle w:val="30"/>
          <w:rFonts w:hint="eastAsia"/>
          <w:color w:val="auto"/>
        </w:rPr>
        <w:t>第四章</w:t>
      </w:r>
      <w:r>
        <w:rPr>
          <w:rStyle w:val="30"/>
          <w:color w:val="auto"/>
        </w:rPr>
        <w:t xml:space="preserve">  </w:t>
      </w:r>
      <w:r>
        <w:rPr>
          <w:rStyle w:val="30"/>
          <w:rFonts w:hint="eastAsia"/>
          <w:color w:val="auto"/>
        </w:rPr>
        <w:t>评标方</w:t>
      </w:r>
      <w:bookmarkStart w:id="2" w:name="_Hlt82186274"/>
      <w:bookmarkStart w:id="3" w:name="_Hlt82186273"/>
      <w:r>
        <w:rPr>
          <w:rStyle w:val="30"/>
          <w:rFonts w:hint="eastAsia"/>
          <w:color w:val="auto"/>
        </w:rPr>
        <w:t>法</w:t>
      </w:r>
      <w:bookmarkEnd w:id="2"/>
      <w:bookmarkEnd w:id="3"/>
      <w:r>
        <w:rPr>
          <w:rStyle w:val="30"/>
          <w:rFonts w:hint="eastAsia"/>
          <w:color w:val="auto"/>
        </w:rPr>
        <w:t>及评标标准</w:t>
      </w:r>
      <w:r>
        <w:tab/>
      </w:r>
      <w:r>
        <w:rPr>
          <w:rFonts w:hint="eastAsia"/>
          <w:lang w:val="en-US" w:eastAsia="zh-CN"/>
        </w:rPr>
        <w:t>9</w:t>
      </w:r>
      <w:r>
        <w:fldChar w:fldCharType="end"/>
      </w:r>
      <w:r>
        <w:rPr>
          <w:rFonts w:hint="eastAsia"/>
          <w:lang w:val="en-US" w:eastAsia="zh-CN"/>
        </w:rPr>
        <w:t>8</w:t>
      </w:r>
    </w:p>
    <w:p w14:paraId="7475ACFC">
      <w:pPr>
        <w:pStyle w:val="22"/>
        <w:ind w:firstLine="723" w:firstLineChars="300"/>
        <w:jc w:val="center"/>
        <w:rPr>
          <w:rFonts w:hint="default" w:ascii="Calibri" w:hAnsi="Calibri" w:eastAsia="宋体"/>
          <w:b w:val="0"/>
          <w:bCs w:val="0"/>
          <w:caps w:val="0"/>
          <w:sz w:val="21"/>
          <w:szCs w:val="22"/>
          <w:lang w:val="en-US" w:eastAsia="zh-CN"/>
        </w:rPr>
      </w:pPr>
      <w:r>
        <w:fldChar w:fldCharType="begin"/>
      </w:r>
      <w:r>
        <w:instrText xml:space="preserve"> HYPERLINK \l "_Toc74320804" </w:instrText>
      </w:r>
      <w:r>
        <w:fldChar w:fldCharType="separate"/>
      </w:r>
      <w:r>
        <w:rPr>
          <w:rStyle w:val="30"/>
          <w:rFonts w:hint="eastAsia"/>
          <w:color w:val="auto"/>
        </w:rPr>
        <w:t>第五章</w:t>
      </w:r>
      <w:r>
        <w:rPr>
          <w:rStyle w:val="30"/>
          <w:color w:val="auto"/>
        </w:rPr>
        <w:t xml:space="preserve">  </w:t>
      </w:r>
      <w:r>
        <w:rPr>
          <w:rStyle w:val="30"/>
          <w:rFonts w:hint="eastAsia"/>
          <w:color w:val="auto"/>
        </w:rPr>
        <w:t>拟签订的合同文本</w:t>
      </w:r>
      <w:r>
        <w:tab/>
      </w:r>
      <w:r>
        <w:fldChar w:fldCharType="end"/>
      </w:r>
      <w:r>
        <w:rPr>
          <w:rStyle w:val="30"/>
          <w:rFonts w:hint="eastAsia"/>
          <w:color w:val="auto"/>
          <w:lang w:val="en-US" w:eastAsia="zh-CN"/>
        </w:rPr>
        <w:t>106</w:t>
      </w:r>
    </w:p>
    <w:p w14:paraId="617A46F1">
      <w:pPr>
        <w:pStyle w:val="22"/>
        <w:ind w:firstLine="723" w:firstLineChars="300"/>
        <w:jc w:val="center"/>
        <w:rPr>
          <w:rFonts w:hint="default" w:ascii="Calibri" w:hAnsi="Calibri" w:eastAsia="宋体"/>
          <w:b w:val="0"/>
          <w:bCs w:val="0"/>
          <w:caps w:val="0"/>
          <w:sz w:val="21"/>
          <w:szCs w:val="22"/>
          <w:lang w:val="en-US" w:eastAsia="zh-CN"/>
        </w:rPr>
      </w:pPr>
      <w:r>
        <w:fldChar w:fldCharType="begin"/>
      </w:r>
      <w:r>
        <w:instrText xml:space="preserve"> HYPERLINK \l "_Toc74320805" </w:instrText>
      </w:r>
      <w:r>
        <w:fldChar w:fldCharType="separate"/>
      </w:r>
      <w:r>
        <w:rPr>
          <w:rStyle w:val="30"/>
          <w:rFonts w:hint="eastAsia"/>
          <w:color w:val="auto"/>
        </w:rPr>
        <w:t>第六章　投标文件格式</w:t>
      </w:r>
      <w:r>
        <w:tab/>
      </w:r>
      <w:r>
        <w:rPr>
          <w:rFonts w:hint="eastAsia"/>
          <w:lang w:val="en-US" w:eastAsia="zh-CN"/>
        </w:rPr>
        <w:t>1</w:t>
      </w:r>
      <w:r>
        <w:rPr>
          <w:rFonts w:hint="eastAsia"/>
        </w:rPr>
        <w:fldChar w:fldCharType="end"/>
      </w:r>
      <w:r>
        <w:rPr>
          <w:rFonts w:hint="eastAsia"/>
          <w:lang w:val="en-US" w:eastAsia="zh-CN"/>
        </w:rPr>
        <w:t>14</w:t>
      </w:r>
    </w:p>
    <w:p w14:paraId="2B006E15">
      <w:pPr>
        <w:spacing w:before="156" w:beforeLines="50" w:line="480" w:lineRule="exact"/>
        <w:jc w:val="center"/>
        <w:rPr>
          <w:rFonts w:hint="eastAsia" w:ascii="仿宋_GB2312" w:hAnsi="宋体" w:eastAsia="仿宋_GB2312"/>
          <w:sz w:val="24"/>
        </w:rPr>
      </w:pPr>
      <w:r>
        <w:rPr>
          <w:rFonts w:ascii="仿宋_GB2312" w:hAnsi="宋体" w:eastAsia="仿宋_GB2312"/>
          <w:b/>
          <w:sz w:val="24"/>
        </w:rPr>
        <w:fldChar w:fldCharType="end"/>
      </w:r>
    </w:p>
    <w:p w14:paraId="4A8BEFFF">
      <w:pPr>
        <w:spacing w:before="156" w:beforeLines="50" w:line="480" w:lineRule="exact"/>
        <w:rPr>
          <w:rFonts w:hint="eastAsia" w:ascii="仿宋_GB2312" w:hAnsi="宋体" w:eastAsia="仿宋_GB2312"/>
          <w:sz w:val="30"/>
        </w:rPr>
      </w:pPr>
    </w:p>
    <w:p w14:paraId="7582F7B4"/>
    <w:p w14:paraId="3C65AE13">
      <w:pPr>
        <w:spacing w:before="156" w:beforeLines="50" w:line="480" w:lineRule="exact"/>
        <w:rPr>
          <w:rFonts w:hint="eastAsia" w:ascii="仿宋_GB2312" w:hAnsi="宋体" w:eastAsia="仿宋_GB2312"/>
          <w:sz w:val="30"/>
        </w:rPr>
      </w:pPr>
    </w:p>
    <w:p w14:paraId="23D3E825">
      <w:pPr>
        <w:spacing w:before="156" w:beforeLines="50" w:line="480" w:lineRule="exact"/>
        <w:rPr>
          <w:rFonts w:hint="eastAsia" w:ascii="仿宋_GB2312" w:hAnsi="宋体" w:eastAsia="仿宋_GB2312"/>
          <w:sz w:val="30"/>
        </w:rPr>
      </w:pPr>
    </w:p>
    <w:p w14:paraId="137D93BC">
      <w:pPr>
        <w:pStyle w:val="12"/>
        <w:rPr>
          <w:rFonts w:hint="eastAsia" w:ascii="宋体" w:hAnsi="宋体" w:cs="宋体"/>
          <w:b/>
          <w:bCs/>
        </w:rPr>
      </w:pPr>
      <w:bookmarkStart w:id="4" w:name="_Toc254970630"/>
      <w:bookmarkStart w:id="5" w:name="_Toc254970489"/>
    </w:p>
    <w:p w14:paraId="539940ED">
      <w:pPr>
        <w:pStyle w:val="2"/>
        <w:keepNext w:val="0"/>
        <w:keepLines w:val="0"/>
        <w:tabs>
          <w:tab w:val="left" w:pos="0"/>
          <w:tab w:val="left" w:pos="3165"/>
          <w:tab w:val="center" w:pos="4153"/>
        </w:tabs>
        <w:autoSpaceDE w:val="0"/>
        <w:autoSpaceDN w:val="0"/>
        <w:adjustRightInd w:val="0"/>
        <w:spacing w:before="0" w:after="0" w:line="360" w:lineRule="auto"/>
        <w:jc w:val="center"/>
      </w:pPr>
      <w:r>
        <w:rPr>
          <w:rFonts w:ascii="宋体" w:hAnsi="宋体" w:cs="宋体"/>
          <w:b w:val="0"/>
          <w:bCs w:val="0"/>
        </w:rPr>
        <w:br w:type="page"/>
      </w:r>
      <w:bookmarkEnd w:id="4"/>
      <w:bookmarkEnd w:id="5"/>
      <w:bookmarkStart w:id="6" w:name="_Toc254970490"/>
      <w:bookmarkStart w:id="7" w:name="_Toc254970631"/>
      <w:r>
        <w:rPr>
          <w:rFonts w:hint="eastAsia"/>
        </w:rPr>
        <w:t>第一章</w:t>
      </w:r>
      <w:bookmarkStart w:id="8" w:name="_Toc35393789"/>
      <w:bookmarkStart w:id="9" w:name="_Toc28359001"/>
      <w:r>
        <w:rPr>
          <w:rFonts w:hint="eastAsia"/>
        </w:rPr>
        <w:t xml:space="preserve"> 招标公告</w:t>
      </w:r>
      <w:bookmarkEnd w:id="8"/>
      <w:bookmarkEnd w:id="9"/>
    </w:p>
    <w:p w14:paraId="395CB5B1">
      <w:pPr>
        <w:pStyle w:val="17"/>
        <w:spacing w:line="500" w:lineRule="exact"/>
        <w:jc w:val="center"/>
        <w:rPr>
          <w:b/>
          <w:sz w:val="30"/>
          <w:szCs w:val="30"/>
        </w:rPr>
      </w:pPr>
      <w:r>
        <w:rPr>
          <w:rFonts w:hint="eastAsia"/>
          <w:b/>
          <w:sz w:val="30"/>
          <w:szCs w:val="30"/>
        </w:rPr>
        <w:t>广西誉采招标咨询有限公司</w:t>
      </w:r>
    </w:p>
    <w:p w14:paraId="34B308DD">
      <w:pPr>
        <w:pStyle w:val="2"/>
        <w:tabs>
          <w:tab w:val="left" w:pos="0"/>
          <w:tab w:val="left" w:pos="3165"/>
          <w:tab w:val="center" w:pos="4153"/>
        </w:tabs>
        <w:autoSpaceDE w:val="0"/>
        <w:autoSpaceDN w:val="0"/>
        <w:adjustRightInd w:val="0"/>
        <w:spacing w:before="0" w:after="0" w:line="500" w:lineRule="exact"/>
        <w:jc w:val="center"/>
        <w:rPr>
          <w:rFonts w:ascii="宋体" w:hAnsi="Courier New"/>
          <w:bCs w:val="0"/>
          <w:kern w:val="2"/>
          <w:sz w:val="30"/>
          <w:szCs w:val="30"/>
        </w:rPr>
      </w:pPr>
      <w:r>
        <w:rPr>
          <w:rFonts w:hint="eastAsia" w:ascii="宋体" w:hAnsi="Courier New"/>
          <w:bCs w:val="0"/>
          <w:kern w:val="2"/>
          <w:sz w:val="30"/>
          <w:szCs w:val="30"/>
        </w:rPr>
        <w:t>博白县第二人民医院智慧医院信息化建设二期项目</w:t>
      </w:r>
    </w:p>
    <w:p w14:paraId="5367DDA7">
      <w:pPr>
        <w:pStyle w:val="2"/>
        <w:tabs>
          <w:tab w:val="left" w:pos="0"/>
          <w:tab w:val="left" w:pos="3165"/>
          <w:tab w:val="center" w:pos="4153"/>
        </w:tabs>
        <w:autoSpaceDE w:val="0"/>
        <w:autoSpaceDN w:val="0"/>
        <w:adjustRightInd w:val="0"/>
        <w:spacing w:before="0" w:after="0" w:line="500" w:lineRule="exact"/>
        <w:jc w:val="center"/>
        <w:rPr>
          <w:rFonts w:ascii="宋体" w:hAnsi="Courier New"/>
          <w:bCs w:val="0"/>
          <w:kern w:val="2"/>
          <w:sz w:val="30"/>
          <w:szCs w:val="30"/>
        </w:rPr>
      </w:pPr>
      <w:r>
        <w:rPr>
          <w:rFonts w:hint="eastAsia" w:ascii="宋体" w:hAnsi="Courier New"/>
          <w:bCs w:val="0"/>
          <w:kern w:val="2"/>
          <w:sz w:val="30"/>
          <w:szCs w:val="30"/>
        </w:rPr>
        <w:t>【</w:t>
      </w:r>
      <w:r>
        <w:rPr>
          <w:rFonts w:hint="eastAsia" w:ascii="宋体" w:hAnsi="Courier New"/>
          <w:bCs w:val="0"/>
          <w:kern w:val="2"/>
          <w:sz w:val="30"/>
          <w:szCs w:val="30"/>
          <w:lang w:eastAsia="zh-CN"/>
        </w:rPr>
        <w:t>YLZC2025-G3-230032-YCZB</w:t>
      </w:r>
      <w:r>
        <w:rPr>
          <w:rFonts w:hint="eastAsia" w:ascii="宋体" w:hAnsi="Courier New"/>
          <w:bCs w:val="0"/>
          <w:kern w:val="2"/>
          <w:sz w:val="30"/>
          <w:szCs w:val="30"/>
        </w:rPr>
        <w:t>】</w:t>
      </w:r>
    </w:p>
    <w:p w14:paraId="52AF2190">
      <w:pPr>
        <w:pStyle w:val="2"/>
        <w:tabs>
          <w:tab w:val="left" w:pos="0"/>
          <w:tab w:val="left" w:pos="3165"/>
          <w:tab w:val="center" w:pos="4153"/>
        </w:tabs>
        <w:autoSpaceDE w:val="0"/>
        <w:autoSpaceDN w:val="0"/>
        <w:adjustRightInd w:val="0"/>
        <w:spacing w:before="0" w:after="0" w:line="500" w:lineRule="exact"/>
        <w:jc w:val="center"/>
        <w:rPr>
          <w:rFonts w:hint="eastAsia" w:ascii="宋体" w:hAnsi="宋体"/>
          <w:szCs w:val="21"/>
        </w:rPr>
      </w:pPr>
      <w:r>
        <w:rPr>
          <w:rFonts w:hint="eastAsia" w:ascii="宋体" w:hAnsi="Courier New"/>
          <w:bCs w:val="0"/>
          <w:kern w:val="2"/>
          <w:sz w:val="30"/>
          <w:szCs w:val="30"/>
        </w:rPr>
        <w:t>招标公告</w:t>
      </w:r>
    </w:p>
    <w:p w14:paraId="23A77F9C">
      <w:pPr>
        <w:pBdr>
          <w:top w:val="single" w:color="auto" w:sz="4" w:space="1"/>
          <w:left w:val="single" w:color="auto" w:sz="4" w:space="4"/>
          <w:bottom w:val="single" w:color="auto" w:sz="4" w:space="1"/>
          <w:right w:val="single" w:color="auto" w:sz="4" w:space="4"/>
        </w:pBdr>
        <w:spacing w:line="360" w:lineRule="exact"/>
        <w:ind w:firstLine="420" w:firstLineChars="200"/>
        <w:rPr>
          <w:rFonts w:hint="eastAsia" w:ascii="宋体" w:hAnsi="宋体"/>
          <w:szCs w:val="21"/>
        </w:rPr>
      </w:pPr>
      <w:r>
        <w:rPr>
          <w:rFonts w:hint="eastAsia" w:ascii="宋体" w:hAnsi="宋体"/>
          <w:szCs w:val="21"/>
        </w:rPr>
        <w:t>项目概况</w:t>
      </w:r>
    </w:p>
    <w:p w14:paraId="6BD74588">
      <w:pPr>
        <w:pBdr>
          <w:top w:val="single" w:color="auto" w:sz="4" w:space="1"/>
          <w:left w:val="single" w:color="auto" w:sz="4" w:space="4"/>
          <w:bottom w:val="single" w:color="auto" w:sz="4" w:space="1"/>
          <w:right w:val="single" w:color="auto" w:sz="4" w:space="4"/>
        </w:pBdr>
        <w:spacing w:line="360" w:lineRule="exact"/>
        <w:ind w:firstLine="420" w:firstLineChars="200"/>
        <w:rPr>
          <w:rFonts w:hint="eastAsia" w:ascii="宋体" w:hAnsi="宋体"/>
          <w:szCs w:val="21"/>
        </w:rPr>
      </w:pPr>
      <w:r>
        <w:rPr>
          <w:rFonts w:hint="eastAsia" w:ascii="宋体" w:hAnsi="宋体" w:cs="Arial"/>
          <w:bCs/>
          <w:szCs w:val="21"/>
        </w:rPr>
        <w:t>博白县第二人民医院智慧医院信息化建设二期项目</w:t>
      </w:r>
      <w:r>
        <w:rPr>
          <w:rFonts w:hint="eastAsia" w:ascii="宋体" w:hAnsi="宋体"/>
          <w:szCs w:val="21"/>
        </w:rPr>
        <w:t>的潜在投标人应在“广西政府采购云平台”（（https://www.gcy.zfcg.gxzf.gov.cn/）获取（下载）招标文件，并于</w:t>
      </w:r>
      <w:r>
        <w:rPr>
          <w:rFonts w:hint="eastAsia" w:ascii="宋体" w:hAnsi="宋体" w:cs="Arial"/>
          <w:bCs/>
          <w:szCs w:val="21"/>
          <w:lang w:eastAsia="zh-CN"/>
        </w:rPr>
        <w:t>2025年4月3日9时00分</w:t>
      </w:r>
      <w:r>
        <w:rPr>
          <w:rFonts w:hint="eastAsia" w:ascii="宋体" w:hAnsi="宋体" w:cs="Arial"/>
          <w:bCs/>
          <w:szCs w:val="21"/>
        </w:rPr>
        <w:t>（北京时间）</w:t>
      </w:r>
      <w:r>
        <w:rPr>
          <w:rFonts w:hint="eastAsia" w:ascii="宋体" w:hAnsi="宋体"/>
          <w:bCs/>
          <w:szCs w:val="21"/>
        </w:rPr>
        <w:t>前递交投标</w:t>
      </w:r>
      <w:r>
        <w:rPr>
          <w:rFonts w:ascii="宋体" w:hAnsi="宋体"/>
          <w:bCs/>
          <w:szCs w:val="21"/>
        </w:rPr>
        <w:t>文件</w:t>
      </w:r>
      <w:r>
        <w:rPr>
          <w:rFonts w:hint="eastAsia" w:ascii="宋体" w:hAnsi="宋体"/>
          <w:szCs w:val="21"/>
        </w:rPr>
        <w:t>。</w:t>
      </w:r>
    </w:p>
    <w:p w14:paraId="3C9365A6">
      <w:pPr>
        <w:spacing w:line="360" w:lineRule="exact"/>
        <w:rPr>
          <w:rFonts w:hint="eastAsia" w:ascii="黑体" w:hAnsi="黑体" w:eastAsia="黑体"/>
          <w:b/>
          <w:bCs/>
          <w:sz w:val="24"/>
        </w:rPr>
      </w:pPr>
      <w:bookmarkStart w:id="10" w:name="_Toc28359002"/>
      <w:bookmarkStart w:id="11" w:name="_Toc35393621"/>
      <w:bookmarkStart w:id="12" w:name="_Toc35393790"/>
      <w:bookmarkStart w:id="13" w:name="_Toc28359079"/>
      <w:bookmarkStart w:id="14" w:name="_Hlk24379207"/>
      <w:r>
        <w:rPr>
          <w:rFonts w:hint="eastAsia" w:ascii="黑体" w:hAnsi="黑体" w:eastAsia="黑体"/>
          <w:b/>
          <w:bCs/>
          <w:sz w:val="24"/>
        </w:rPr>
        <w:t>一、项目基本情况</w:t>
      </w:r>
      <w:bookmarkEnd w:id="10"/>
      <w:bookmarkEnd w:id="11"/>
      <w:bookmarkEnd w:id="12"/>
      <w:bookmarkEnd w:id="13"/>
    </w:p>
    <w:p w14:paraId="7DAF52DD">
      <w:pPr>
        <w:spacing w:line="360" w:lineRule="exact"/>
        <w:ind w:firstLine="420" w:firstLineChars="200"/>
        <w:rPr>
          <w:rFonts w:hint="eastAsia" w:ascii="宋体" w:hAnsi="宋体" w:eastAsia="宋体"/>
          <w:szCs w:val="21"/>
          <w:lang w:eastAsia="zh-CN"/>
        </w:rPr>
      </w:pPr>
      <w:r>
        <w:rPr>
          <w:rFonts w:hint="eastAsia" w:ascii="宋体" w:hAnsi="宋体"/>
          <w:szCs w:val="21"/>
        </w:rPr>
        <w:t>项目编号：</w:t>
      </w:r>
      <w:r>
        <w:rPr>
          <w:rFonts w:hint="eastAsia" w:ascii="宋体" w:hAnsi="宋体"/>
          <w:szCs w:val="21"/>
          <w:lang w:eastAsia="zh-CN"/>
        </w:rPr>
        <w:t>YLZC2025-G3-230032-YCZB</w:t>
      </w:r>
    </w:p>
    <w:p w14:paraId="4A0AE604">
      <w:pPr>
        <w:spacing w:line="360" w:lineRule="exact"/>
        <w:ind w:firstLine="420" w:firstLineChars="200"/>
        <w:rPr>
          <w:rFonts w:hint="eastAsia" w:ascii="宋体" w:hAnsi="宋体"/>
          <w:szCs w:val="21"/>
        </w:rPr>
      </w:pPr>
      <w:r>
        <w:rPr>
          <w:rFonts w:hint="eastAsia" w:ascii="宋体" w:hAnsi="宋体"/>
          <w:szCs w:val="21"/>
        </w:rPr>
        <w:t>项目名称：</w:t>
      </w:r>
      <w:r>
        <w:rPr>
          <w:rFonts w:hint="eastAsia" w:ascii="宋体" w:hAnsi="宋体" w:cs="Arial"/>
          <w:bCs/>
          <w:szCs w:val="21"/>
        </w:rPr>
        <w:t>博白县第二人民医院智慧医院信息化建设二期项目</w:t>
      </w:r>
    </w:p>
    <w:bookmarkEnd w:id="14"/>
    <w:p w14:paraId="1F26F980">
      <w:pPr>
        <w:spacing w:line="360" w:lineRule="exact"/>
        <w:ind w:firstLine="420" w:firstLineChars="200"/>
        <w:rPr>
          <w:rFonts w:hint="eastAsia" w:ascii="宋体" w:hAnsi="宋体"/>
          <w:szCs w:val="21"/>
        </w:rPr>
      </w:pPr>
      <w:r>
        <w:rPr>
          <w:rFonts w:hint="eastAsia" w:ascii="宋体" w:hAnsi="宋体"/>
          <w:szCs w:val="21"/>
        </w:rPr>
        <w:t>预算金额：620万元</w:t>
      </w:r>
    </w:p>
    <w:p w14:paraId="353E795E">
      <w:pPr>
        <w:spacing w:line="360" w:lineRule="exact"/>
        <w:ind w:firstLine="420" w:firstLineChars="200"/>
        <w:rPr>
          <w:rFonts w:hint="eastAsia" w:ascii="宋体" w:hAnsi="宋体"/>
          <w:szCs w:val="21"/>
        </w:rPr>
      </w:pPr>
      <w:r>
        <w:rPr>
          <w:rFonts w:hint="eastAsia" w:ascii="宋体" w:hAnsi="宋体"/>
          <w:szCs w:val="21"/>
        </w:rPr>
        <w:t>最高限价：620万元</w:t>
      </w:r>
    </w:p>
    <w:p w14:paraId="38C2EB22">
      <w:pPr>
        <w:spacing w:line="360" w:lineRule="exact"/>
        <w:ind w:firstLine="420" w:firstLineChars="200"/>
        <w:rPr>
          <w:rFonts w:hint="eastAsia" w:ascii="宋体" w:hAnsi="宋体"/>
          <w:szCs w:val="21"/>
        </w:rPr>
      </w:pPr>
      <w:r>
        <w:rPr>
          <w:rFonts w:hint="eastAsia" w:ascii="宋体" w:hAnsi="宋体"/>
          <w:szCs w:val="21"/>
        </w:rPr>
        <w:t>采购需求：</w:t>
      </w:r>
    </w:p>
    <w:tbl>
      <w:tblPr>
        <w:tblStyle w:val="26"/>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052"/>
        <w:gridCol w:w="899"/>
        <w:gridCol w:w="2792"/>
      </w:tblGrid>
      <w:tr w14:paraId="1BAB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shd w:val="clear" w:color="auto" w:fill="auto"/>
            <w:vAlign w:val="center"/>
          </w:tcPr>
          <w:p w14:paraId="28C344FB">
            <w:pPr>
              <w:widowControl/>
              <w:jc w:val="center"/>
              <w:rPr>
                <w:rFonts w:hint="eastAsia" w:ascii="宋体" w:hAnsi="宋体" w:cs="宋体"/>
                <w:b/>
                <w:bCs/>
                <w:kern w:val="0"/>
                <w:sz w:val="21"/>
                <w:szCs w:val="21"/>
              </w:rPr>
            </w:pPr>
            <w:r>
              <w:rPr>
                <w:rFonts w:hint="eastAsia" w:ascii="宋体" w:hAnsi="宋体" w:cs="宋体"/>
                <w:b/>
                <w:bCs/>
                <w:kern w:val="0"/>
                <w:sz w:val="21"/>
                <w:szCs w:val="21"/>
              </w:rPr>
              <w:t>模块分类</w:t>
            </w:r>
          </w:p>
        </w:tc>
        <w:tc>
          <w:tcPr>
            <w:tcW w:w="4052" w:type="dxa"/>
            <w:shd w:val="clear" w:color="auto" w:fill="auto"/>
            <w:noWrap/>
            <w:vAlign w:val="center"/>
          </w:tcPr>
          <w:p w14:paraId="663A0B8D">
            <w:pPr>
              <w:widowControl/>
              <w:jc w:val="center"/>
              <w:rPr>
                <w:rFonts w:hint="eastAsia" w:ascii="宋体" w:hAnsi="宋体" w:cs="宋体"/>
                <w:b/>
                <w:bCs/>
                <w:kern w:val="0"/>
                <w:sz w:val="21"/>
                <w:szCs w:val="21"/>
              </w:rPr>
            </w:pPr>
            <w:r>
              <w:rPr>
                <w:rFonts w:hint="eastAsia" w:ascii="宋体" w:hAnsi="宋体" w:cs="宋体"/>
                <w:b/>
                <w:bCs/>
                <w:kern w:val="0"/>
                <w:sz w:val="21"/>
                <w:szCs w:val="21"/>
              </w:rPr>
              <w:t>模块名称</w:t>
            </w:r>
          </w:p>
        </w:tc>
        <w:tc>
          <w:tcPr>
            <w:tcW w:w="899" w:type="dxa"/>
            <w:shd w:val="clear" w:color="auto" w:fill="auto"/>
            <w:noWrap/>
            <w:vAlign w:val="center"/>
          </w:tcPr>
          <w:p w14:paraId="5BDA0D2B">
            <w:pPr>
              <w:widowControl/>
              <w:jc w:val="center"/>
              <w:rPr>
                <w:rFonts w:hint="eastAsia" w:ascii="宋体" w:hAnsi="宋体" w:cs="宋体"/>
                <w:b/>
                <w:bCs/>
                <w:kern w:val="0"/>
                <w:sz w:val="21"/>
                <w:szCs w:val="21"/>
              </w:rPr>
            </w:pPr>
            <w:r>
              <w:rPr>
                <w:rFonts w:hint="eastAsia" w:ascii="宋体" w:hAnsi="宋体" w:cs="宋体"/>
                <w:b/>
                <w:bCs/>
                <w:kern w:val="0"/>
                <w:sz w:val="21"/>
                <w:szCs w:val="21"/>
              </w:rPr>
              <w:t>数量</w:t>
            </w:r>
          </w:p>
        </w:tc>
        <w:tc>
          <w:tcPr>
            <w:tcW w:w="2792" w:type="dxa"/>
            <w:shd w:val="clear" w:color="auto" w:fill="auto"/>
            <w:vAlign w:val="center"/>
          </w:tcPr>
          <w:p w14:paraId="57380881">
            <w:pPr>
              <w:widowControl/>
              <w:jc w:val="center"/>
              <w:rPr>
                <w:rFonts w:hint="eastAsia" w:ascii="宋体" w:hAnsi="宋体" w:cs="宋体"/>
                <w:b/>
                <w:bCs/>
                <w:kern w:val="0"/>
                <w:sz w:val="21"/>
                <w:szCs w:val="21"/>
              </w:rPr>
            </w:pPr>
            <w:r>
              <w:rPr>
                <w:rFonts w:hint="eastAsia" w:ascii="宋体" w:hAnsi="宋体" w:cs="宋体"/>
                <w:b/>
                <w:bCs/>
                <w:kern w:val="0"/>
                <w:sz w:val="21"/>
                <w:szCs w:val="21"/>
              </w:rPr>
              <w:t>备注</w:t>
            </w:r>
          </w:p>
        </w:tc>
      </w:tr>
      <w:tr w14:paraId="351C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8" w:type="dxa"/>
            <w:gridSpan w:val="4"/>
            <w:shd w:val="clear" w:color="auto" w:fill="auto"/>
            <w:vAlign w:val="center"/>
          </w:tcPr>
          <w:p w14:paraId="10FF819F">
            <w:pPr>
              <w:widowControl/>
              <w:jc w:val="center"/>
              <w:rPr>
                <w:rFonts w:hint="eastAsia" w:ascii="宋体" w:hAnsi="宋体" w:cs="宋体"/>
                <w:b/>
                <w:bCs/>
                <w:kern w:val="0"/>
                <w:sz w:val="21"/>
                <w:szCs w:val="21"/>
              </w:rPr>
            </w:pPr>
            <w:r>
              <w:rPr>
                <w:rFonts w:hint="eastAsia" w:ascii="宋体" w:hAnsi="宋体" w:cs="宋体"/>
                <w:b/>
                <w:bCs/>
                <w:kern w:val="0"/>
                <w:sz w:val="21"/>
                <w:szCs w:val="21"/>
              </w:rPr>
              <w:t>应用软件</w:t>
            </w:r>
          </w:p>
        </w:tc>
      </w:tr>
      <w:tr w14:paraId="06A7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1E88DAF6">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门诊预约</w:t>
            </w:r>
          </w:p>
        </w:tc>
        <w:tc>
          <w:tcPr>
            <w:tcW w:w="4052" w:type="dxa"/>
            <w:shd w:val="clear" w:color="auto" w:fill="auto"/>
            <w:vAlign w:val="center"/>
          </w:tcPr>
          <w:p w14:paraId="0344DB33">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门诊预约管理</w:t>
            </w:r>
          </w:p>
        </w:tc>
        <w:tc>
          <w:tcPr>
            <w:tcW w:w="899" w:type="dxa"/>
            <w:shd w:val="clear" w:color="auto" w:fill="auto"/>
            <w:vAlign w:val="center"/>
          </w:tcPr>
          <w:p w14:paraId="0399E01D">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41376EF0">
            <w:pPr>
              <w:widowControl/>
              <w:jc w:val="left"/>
              <w:rPr>
                <w:rFonts w:hint="eastAsia" w:ascii="宋体" w:hAnsi="宋体" w:cs="宋体"/>
                <w:color w:val="auto"/>
                <w:kern w:val="0"/>
                <w:sz w:val="21"/>
                <w:szCs w:val="21"/>
              </w:rPr>
            </w:pPr>
          </w:p>
        </w:tc>
      </w:tr>
      <w:tr w14:paraId="5AD0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6A7FD03F">
            <w:pPr>
              <w:widowControl/>
              <w:jc w:val="left"/>
              <w:rPr>
                <w:rFonts w:hint="eastAsia" w:ascii="宋体" w:hAnsi="宋体" w:cs="宋体"/>
                <w:b/>
                <w:bCs/>
                <w:color w:val="auto"/>
                <w:kern w:val="0"/>
                <w:sz w:val="21"/>
                <w:szCs w:val="21"/>
              </w:rPr>
            </w:pPr>
          </w:p>
        </w:tc>
        <w:tc>
          <w:tcPr>
            <w:tcW w:w="4052" w:type="dxa"/>
            <w:shd w:val="clear" w:color="auto" w:fill="auto"/>
            <w:vAlign w:val="center"/>
          </w:tcPr>
          <w:p w14:paraId="446502D0">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门诊排班管理</w:t>
            </w:r>
          </w:p>
        </w:tc>
        <w:tc>
          <w:tcPr>
            <w:tcW w:w="899" w:type="dxa"/>
            <w:shd w:val="clear" w:color="auto" w:fill="auto"/>
            <w:vAlign w:val="center"/>
          </w:tcPr>
          <w:p w14:paraId="7229BE0D">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466CE66B">
            <w:pPr>
              <w:widowControl/>
              <w:jc w:val="left"/>
              <w:rPr>
                <w:rFonts w:hint="eastAsia" w:ascii="宋体" w:hAnsi="宋体" w:cs="宋体"/>
                <w:color w:val="auto"/>
                <w:kern w:val="0"/>
                <w:sz w:val="21"/>
                <w:szCs w:val="21"/>
              </w:rPr>
            </w:pPr>
          </w:p>
        </w:tc>
      </w:tr>
      <w:tr w14:paraId="04D3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090DCCF7">
            <w:pPr>
              <w:widowControl/>
              <w:jc w:val="left"/>
              <w:rPr>
                <w:rFonts w:hint="eastAsia" w:ascii="宋体" w:hAnsi="宋体" w:cs="宋体"/>
                <w:b/>
                <w:bCs/>
                <w:color w:val="auto"/>
                <w:kern w:val="0"/>
                <w:sz w:val="21"/>
                <w:szCs w:val="21"/>
              </w:rPr>
            </w:pPr>
          </w:p>
        </w:tc>
        <w:tc>
          <w:tcPr>
            <w:tcW w:w="4052" w:type="dxa"/>
            <w:shd w:val="clear" w:color="auto" w:fill="auto"/>
            <w:vAlign w:val="center"/>
          </w:tcPr>
          <w:p w14:paraId="717CDE25">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门诊分诊管理</w:t>
            </w:r>
          </w:p>
        </w:tc>
        <w:tc>
          <w:tcPr>
            <w:tcW w:w="899" w:type="dxa"/>
            <w:shd w:val="clear" w:color="auto" w:fill="auto"/>
            <w:vAlign w:val="center"/>
          </w:tcPr>
          <w:p w14:paraId="5E63170B">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1A77E687">
            <w:pPr>
              <w:widowControl/>
              <w:jc w:val="left"/>
              <w:rPr>
                <w:rFonts w:hint="eastAsia" w:ascii="宋体" w:hAnsi="宋体" w:cs="宋体"/>
                <w:color w:val="auto"/>
                <w:kern w:val="0"/>
                <w:sz w:val="21"/>
                <w:szCs w:val="21"/>
              </w:rPr>
            </w:pPr>
          </w:p>
        </w:tc>
      </w:tr>
      <w:tr w14:paraId="5D28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4111E3D7">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统一支付对账平台</w:t>
            </w:r>
          </w:p>
        </w:tc>
        <w:tc>
          <w:tcPr>
            <w:tcW w:w="4052" w:type="dxa"/>
            <w:shd w:val="clear" w:color="auto" w:fill="auto"/>
            <w:vAlign w:val="center"/>
          </w:tcPr>
          <w:p w14:paraId="665E9169">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统一对账平台</w:t>
            </w:r>
          </w:p>
        </w:tc>
        <w:tc>
          <w:tcPr>
            <w:tcW w:w="899" w:type="dxa"/>
            <w:shd w:val="clear" w:color="auto" w:fill="auto"/>
            <w:vAlign w:val="center"/>
          </w:tcPr>
          <w:p w14:paraId="54FD4EF9">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14CB7A88">
            <w:pPr>
              <w:widowControl/>
              <w:jc w:val="left"/>
              <w:rPr>
                <w:rFonts w:hint="eastAsia" w:ascii="宋体" w:hAnsi="宋体" w:cs="宋体"/>
                <w:color w:val="auto"/>
                <w:kern w:val="0"/>
                <w:sz w:val="21"/>
                <w:szCs w:val="21"/>
              </w:rPr>
            </w:pPr>
          </w:p>
        </w:tc>
      </w:tr>
      <w:tr w14:paraId="2C74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70DA8AF6">
            <w:pPr>
              <w:widowControl/>
              <w:jc w:val="left"/>
              <w:rPr>
                <w:rFonts w:hint="eastAsia" w:ascii="宋体" w:hAnsi="宋体" w:cs="宋体"/>
                <w:b/>
                <w:bCs/>
                <w:color w:val="auto"/>
                <w:kern w:val="0"/>
                <w:sz w:val="21"/>
                <w:szCs w:val="21"/>
              </w:rPr>
            </w:pPr>
          </w:p>
        </w:tc>
        <w:tc>
          <w:tcPr>
            <w:tcW w:w="4052" w:type="dxa"/>
            <w:shd w:val="clear" w:color="auto" w:fill="auto"/>
            <w:vAlign w:val="center"/>
          </w:tcPr>
          <w:p w14:paraId="0B11FD7A">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统一支付平台</w:t>
            </w:r>
          </w:p>
        </w:tc>
        <w:tc>
          <w:tcPr>
            <w:tcW w:w="899" w:type="dxa"/>
            <w:shd w:val="clear" w:color="auto" w:fill="auto"/>
            <w:vAlign w:val="center"/>
          </w:tcPr>
          <w:p w14:paraId="4C35D968">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48E24B70">
            <w:pPr>
              <w:widowControl/>
              <w:jc w:val="left"/>
              <w:rPr>
                <w:rFonts w:hint="eastAsia" w:ascii="宋体" w:hAnsi="宋体" w:cs="宋体"/>
                <w:color w:val="auto"/>
                <w:kern w:val="0"/>
                <w:sz w:val="21"/>
                <w:szCs w:val="21"/>
              </w:rPr>
            </w:pPr>
          </w:p>
        </w:tc>
      </w:tr>
      <w:tr w14:paraId="3CA8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1CCE74C4">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医技业务</w:t>
            </w:r>
          </w:p>
        </w:tc>
        <w:tc>
          <w:tcPr>
            <w:tcW w:w="4052" w:type="dxa"/>
            <w:shd w:val="clear" w:color="auto" w:fill="auto"/>
            <w:vAlign w:val="center"/>
          </w:tcPr>
          <w:p w14:paraId="37624D28">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手术麻醉临床信息系统</w:t>
            </w:r>
          </w:p>
        </w:tc>
        <w:tc>
          <w:tcPr>
            <w:tcW w:w="899" w:type="dxa"/>
            <w:shd w:val="clear" w:color="auto" w:fill="auto"/>
            <w:vAlign w:val="center"/>
          </w:tcPr>
          <w:p w14:paraId="5136DC16">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40A608B1">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包括5间手术室的设备接入</w:t>
            </w:r>
          </w:p>
        </w:tc>
      </w:tr>
      <w:tr w14:paraId="4250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1CBF5774">
            <w:pPr>
              <w:widowControl/>
              <w:jc w:val="left"/>
              <w:rPr>
                <w:rFonts w:hint="eastAsia" w:ascii="宋体" w:hAnsi="宋体" w:cs="宋体"/>
                <w:b/>
                <w:bCs/>
                <w:color w:val="auto"/>
                <w:kern w:val="0"/>
                <w:sz w:val="21"/>
                <w:szCs w:val="21"/>
              </w:rPr>
            </w:pPr>
          </w:p>
        </w:tc>
        <w:tc>
          <w:tcPr>
            <w:tcW w:w="4052" w:type="dxa"/>
            <w:shd w:val="clear" w:color="auto" w:fill="auto"/>
            <w:vAlign w:val="center"/>
          </w:tcPr>
          <w:p w14:paraId="738AC405">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病理管理系统</w:t>
            </w:r>
          </w:p>
        </w:tc>
        <w:tc>
          <w:tcPr>
            <w:tcW w:w="899" w:type="dxa"/>
            <w:shd w:val="clear" w:color="auto" w:fill="auto"/>
            <w:vAlign w:val="center"/>
          </w:tcPr>
          <w:p w14:paraId="2D8EED94">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5F3D00AF">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包括4台病理设备接入</w:t>
            </w:r>
          </w:p>
        </w:tc>
      </w:tr>
      <w:tr w14:paraId="4748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175E6027">
            <w:pPr>
              <w:widowControl/>
              <w:jc w:val="left"/>
              <w:rPr>
                <w:rFonts w:hint="eastAsia" w:ascii="宋体" w:hAnsi="宋体" w:cs="宋体"/>
                <w:b/>
                <w:bCs/>
                <w:color w:val="auto"/>
                <w:kern w:val="0"/>
                <w:sz w:val="21"/>
                <w:szCs w:val="21"/>
              </w:rPr>
            </w:pPr>
          </w:p>
        </w:tc>
        <w:tc>
          <w:tcPr>
            <w:tcW w:w="4052" w:type="dxa"/>
            <w:shd w:val="clear" w:color="auto" w:fill="auto"/>
            <w:vAlign w:val="center"/>
          </w:tcPr>
          <w:p w14:paraId="1A9B8040">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心电管理系统</w:t>
            </w:r>
          </w:p>
        </w:tc>
        <w:tc>
          <w:tcPr>
            <w:tcW w:w="899" w:type="dxa"/>
            <w:shd w:val="clear" w:color="auto" w:fill="auto"/>
            <w:vAlign w:val="center"/>
          </w:tcPr>
          <w:p w14:paraId="5A93E70C">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7713A25B">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包括10台心电设备接入</w:t>
            </w:r>
          </w:p>
        </w:tc>
      </w:tr>
      <w:tr w14:paraId="6668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3F6DEDF4">
            <w:pPr>
              <w:widowControl/>
              <w:jc w:val="left"/>
              <w:rPr>
                <w:rFonts w:hint="eastAsia" w:ascii="宋体" w:hAnsi="宋体" w:cs="宋体"/>
                <w:b/>
                <w:bCs/>
                <w:color w:val="auto"/>
                <w:kern w:val="0"/>
                <w:sz w:val="21"/>
                <w:szCs w:val="21"/>
              </w:rPr>
            </w:pPr>
          </w:p>
        </w:tc>
        <w:tc>
          <w:tcPr>
            <w:tcW w:w="4052" w:type="dxa"/>
            <w:shd w:val="clear" w:color="auto" w:fill="auto"/>
            <w:vAlign w:val="center"/>
          </w:tcPr>
          <w:p w14:paraId="774E87E6">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输血管理系统</w:t>
            </w:r>
          </w:p>
        </w:tc>
        <w:tc>
          <w:tcPr>
            <w:tcW w:w="899" w:type="dxa"/>
            <w:shd w:val="clear" w:color="auto" w:fill="auto"/>
            <w:vAlign w:val="center"/>
          </w:tcPr>
          <w:p w14:paraId="1AC06FBA">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638AFF12">
            <w:pPr>
              <w:widowControl/>
              <w:jc w:val="left"/>
              <w:rPr>
                <w:rFonts w:hint="eastAsia" w:ascii="宋体" w:hAnsi="宋体" w:cs="宋体"/>
                <w:color w:val="auto"/>
                <w:kern w:val="0"/>
                <w:sz w:val="21"/>
                <w:szCs w:val="21"/>
              </w:rPr>
            </w:pPr>
          </w:p>
        </w:tc>
      </w:tr>
      <w:tr w14:paraId="689B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488C2FC7">
            <w:pPr>
              <w:widowControl/>
              <w:jc w:val="left"/>
              <w:rPr>
                <w:rFonts w:hint="eastAsia" w:ascii="宋体" w:hAnsi="宋体" w:cs="宋体"/>
                <w:b/>
                <w:bCs/>
                <w:color w:val="auto"/>
                <w:kern w:val="0"/>
                <w:sz w:val="21"/>
                <w:szCs w:val="21"/>
              </w:rPr>
            </w:pPr>
          </w:p>
        </w:tc>
        <w:tc>
          <w:tcPr>
            <w:tcW w:w="4052" w:type="dxa"/>
            <w:shd w:val="clear" w:color="auto" w:fill="auto"/>
            <w:vAlign w:val="center"/>
          </w:tcPr>
          <w:p w14:paraId="4511BD8F">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 xml:space="preserve">治疗管理系统 </w:t>
            </w:r>
          </w:p>
        </w:tc>
        <w:tc>
          <w:tcPr>
            <w:tcW w:w="899" w:type="dxa"/>
            <w:shd w:val="clear" w:color="auto" w:fill="auto"/>
            <w:vAlign w:val="center"/>
          </w:tcPr>
          <w:p w14:paraId="54A1EFBD">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637708DD">
            <w:pPr>
              <w:widowControl/>
              <w:jc w:val="left"/>
              <w:rPr>
                <w:rFonts w:hint="eastAsia" w:ascii="宋体" w:hAnsi="宋体" w:cs="宋体"/>
                <w:color w:val="auto"/>
                <w:kern w:val="0"/>
                <w:sz w:val="21"/>
                <w:szCs w:val="21"/>
              </w:rPr>
            </w:pPr>
          </w:p>
        </w:tc>
      </w:tr>
      <w:tr w14:paraId="68AB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shd w:val="clear" w:color="auto" w:fill="auto"/>
            <w:vAlign w:val="center"/>
          </w:tcPr>
          <w:p w14:paraId="41C65CB5">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临床决策支持系统（CDSS）</w:t>
            </w:r>
          </w:p>
        </w:tc>
        <w:tc>
          <w:tcPr>
            <w:tcW w:w="4052" w:type="dxa"/>
            <w:shd w:val="clear" w:color="auto" w:fill="auto"/>
            <w:vAlign w:val="center"/>
          </w:tcPr>
          <w:p w14:paraId="71DF6271">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临床知识库</w:t>
            </w:r>
          </w:p>
        </w:tc>
        <w:tc>
          <w:tcPr>
            <w:tcW w:w="899" w:type="dxa"/>
            <w:shd w:val="clear" w:color="auto" w:fill="auto"/>
            <w:vAlign w:val="center"/>
          </w:tcPr>
          <w:p w14:paraId="21D08F53">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591729CF">
            <w:pPr>
              <w:widowControl/>
              <w:jc w:val="left"/>
              <w:rPr>
                <w:rFonts w:hint="eastAsia" w:ascii="宋体" w:hAnsi="宋体" w:cs="宋体"/>
                <w:color w:val="auto"/>
                <w:kern w:val="0"/>
                <w:sz w:val="21"/>
                <w:szCs w:val="21"/>
              </w:rPr>
            </w:pPr>
          </w:p>
        </w:tc>
      </w:tr>
      <w:tr w14:paraId="43DC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2233124C">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医疗管理</w:t>
            </w:r>
          </w:p>
        </w:tc>
        <w:tc>
          <w:tcPr>
            <w:tcW w:w="4052" w:type="dxa"/>
            <w:shd w:val="clear" w:color="auto" w:fill="auto"/>
            <w:vAlign w:val="center"/>
          </w:tcPr>
          <w:p w14:paraId="1C51A8A8">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手术分级管理系统</w:t>
            </w:r>
          </w:p>
        </w:tc>
        <w:tc>
          <w:tcPr>
            <w:tcW w:w="899" w:type="dxa"/>
            <w:shd w:val="clear" w:color="auto" w:fill="auto"/>
            <w:vAlign w:val="center"/>
          </w:tcPr>
          <w:p w14:paraId="03BFED9B">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750B0C1A">
            <w:pPr>
              <w:widowControl/>
              <w:jc w:val="left"/>
              <w:rPr>
                <w:rFonts w:hint="eastAsia" w:ascii="宋体" w:hAnsi="宋体" w:cs="宋体"/>
                <w:color w:val="auto"/>
                <w:kern w:val="0"/>
                <w:sz w:val="21"/>
                <w:szCs w:val="21"/>
              </w:rPr>
            </w:pPr>
          </w:p>
        </w:tc>
      </w:tr>
      <w:tr w14:paraId="6B39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71FDA400">
            <w:pPr>
              <w:widowControl/>
              <w:jc w:val="left"/>
              <w:rPr>
                <w:rFonts w:hint="eastAsia" w:ascii="宋体" w:hAnsi="宋体" w:cs="宋体"/>
                <w:b/>
                <w:bCs/>
                <w:color w:val="auto"/>
                <w:kern w:val="0"/>
                <w:sz w:val="21"/>
                <w:szCs w:val="21"/>
              </w:rPr>
            </w:pPr>
          </w:p>
        </w:tc>
        <w:tc>
          <w:tcPr>
            <w:tcW w:w="4052" w:type="dxa"/>
            <w:shd w:val="clear" w:color="auto" w:fill="auto"/>
            <w:vAlign w:val="center"/>
          </w:tcPr>
          <w:p w14:paraId="2A8983CB">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医疗安全（不良）事件管理系统</w:t>
            </w:r>
          </w:p>
        </w:tc>
        <w:tc>
          <w:tcPr>
            <w:tcW w:w="899" w:type="dxa"/>
            <w:shd w:val="clear" w:color="auto" w:fill="auto"/>
            <w:vAlign w:val="center"/>
          </w:tcPr>
          <w:p w14:paraId="7891DCE2">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vAlign w:val="center"/>
          </w:tcPr>
          <w:p w14:paraId="0ED3B7A6">
            <w:pPr>
              <w:widowControl/>
              <w:jc w:val="left"/>
              <w:rPr>
                <w:rFonts w:hint="eastAsia" w:ascii="宋体" w:hAnsi="宋体" w:cs="宋体"/>
                <w:color w:val="auto"/>
                <w:kern w:val="0"/>
                <w:sz w:val="21"/>
                <w:szCs w:val="21"/>
              </w:rPr>
            </w:pPr>
          </w:p>
        </w:tc>
      </w:tr>
      <w:tr w14:paraId="559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0A34BB16">
            <w:pPr>
              <w:widowControl/>
              <w:jc w:val="left"/>
              <w:rPr>
                <w:rFonts w:hint="eastAsia" w:ascii="宋体" w:hAnsi="宋体" w:cs="宋体"/>
                <w:b/>
                <w:bCs/>
                <w:color w:val="auto"/>
                <w:kern w:val="0"/>
                <w:sz w:val="21"/>
                <w:szCs w:val="21"/>
              </w:rPr>
            </w:pPr>
          </w:p>
        </w:tc>
        <w:tc>
          <w:tcPr>
            <w:tcW w:w="4052" w:type="dxa"/>
            <w:shd w:val="clear" w:color="auto" w:fill="auto"/>
            <w:vAlign w:val="center"/>
          </w:tcPr>
          <w:p w14:paraId="23F9F091">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危急值管理系统</w:t>
            </w:r>
          </w:p>
        </w:tc>
        <w:tc>
          <w:tcPr>
            <w:tcW w:w="899" w:type="dxa"/>
            <w:shd w:val="clear" w:color="auto" w:fill="auto"/>
            <w:vAlign w:val="center"/>
          </w:tcPr>
          <w:p w14:paraId="468EBFA5">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6D5AF607">
            <w:pPr>
              <w:widowControl/>
              <w:jc w:val="left"/>
              <w:rPr>
                <w:rFonts w:hint="eastAsia" w:ascii="宋体" w:hAnsi="宋体" w:cs="宋体"/>
                <w:color w:val="auto"/>
                <w:kern w:val="0"/>
                <w:sz w:val="21"/>
                <w:szCs w:val="21"/>
              </w:rPr>
            </w:pPr>
          </w:p>
        </w:tc>
      </w:tr>
      <w:tr w14:paraId="0950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12E9D500">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药品管理</w:t>
            </w:r>
          </w:p>
        </w:tc>
        <w:tc>
          <w:tcPr>
            <w:tcW w:w="4052" w:type="dxa"/>
            <w:shd w:val="clear" w:color="auto" w:fill="auto"/>
            <w:vAlign w:val="center"/>
          </w:tcPr>
          <w:p w14:paraId="2F9D2B7B">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抗生素分级管理系统</w:t>
            </w:r>
          </w:p>
        </w:tc>
        <w:tc>
          <w:tcPr>
            <w:tcW w:w="899" w:type="dxa"/>
            <w:shd w:val="clear" w:color="auto" w:fill="auto"/>
            <w:vAlign w:val="center"/>
          </w:tcPr>
          <w:p w14:paraId="3B99D64A">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17BEAF19">
            <w:pPr>
              <w:widowControl/>
              <w:jc w:val="left"/>
              <w:rPr>
                <w:rFonts w:hint="eastAsia" w:ascii="宋体" w:hAnsi="宋体" w:cs="宋体"/>
                <w:color w:val="auto"/>
                <w:kern w:val="0"/>
                <w:sz w:val="21"/>
                <w:szCs w:val="21"/>
              </w:rPr>
            </w:pPr>
          </w:p>
        </w:tc>
      </w:tr>
      <w:tr w14:paraId="04ED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61F16294">
            <w:pPr>
              <w:widowControl/>
              <w:jc w:val="left"/>
              <w:rPr>
                <w:rFonts w:hint="eastAsia" w:ascii="宋体" w:hAnsi="宋体" w:cs="宋体"/>
                <w:b/>
                <w:bCs/>
                <w:color w:val="auto"/>
                <w:kern w:val="0"/>
                <w:sz w:val="21"/>
                <w:szCs w:val="21"/>
              </w:rPr>
            </w:pPr>
            <w:r>
              <w:rPr>
                <w:rFonts w:hint="eastAsia" w:ascii="宋体" w:hAnsi="宋体" w:cs="宋体"/>
                <w:b/>
                <w:bCs/>
                <w:color w:val="auto"/>
                <w:kern w:val="0"/>
                <w:sz w:val="21"/>
                <w:szCs w:val="21"/>
              </w:rPr>
              <w:t xml:space="preserve">  </w:t>
            </w:r>
          </w:p>
        </w:tc>
        <w:tc>
          <w:tcPr>
            <w:tcW w:w="4052" w:type="dxa"/>
            <w:shd w:val="clear" w:color="auto" w:fill="auto"/>
            <w:vAlign w:val="center"/>
          </w:tcPr>
          <w:p w14:paraId="045FBE3B">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合理用药系统</w:t>
            </w:r>
          </w:p>
        </w:tc>
        <w:tc>
          <w:tcPr>
            <w:tcW w:w="899" w:type="dxa"/>
            <w:shd w:val="clear" w:color="auto" w:fill="auto"/>
            <w:vAlign w:val="center"/>
          </w:tcPr>
          <w:p w14:paraId="68119793">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05F0E0CF">
            <w:pPr>
              <w:widowControl/>
              <w:jc w:val="left"/>
              <w:rPr>
                <w:rFonts w:hint="eastAsia" w:ascii="宋体" w:hAnsi="宋体" w:cs="宋体"/>
                <w:color w:val="auto"/>
                <w:kern w:val="0"/>
                <w:sz w:val="21"/>
                <w:szCs w:val="21"/>
              </w:rPr>
            </w:pPr>
          </w:p>
        </w:tc>
      </w:tr>
      <w:tr w14:paraId="2D0C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194DFA33">
            <w:pPr>
              <w:widowControl/>
              <w:jc w:val="left"/>
              <w:rPr>
                <w:rFonts w:hint="eastAsia" w:ascii="宋体" w:hAnsi="宋体" w:cs="宋体"/>
                <w:b/>
                <w:bCs/>
                <w:color w:val="auto"/>
                <w:kern w:val="0"/>
                <w:sz w:val="21"/>
                <w:szCs w:val="21"/>
              </w:rPr>
            </w:pPr>
          </w:p>
        </w:tc>
        <w:tc>
          <w:tcPr>
            <w:tcW w:w="4052" w:type="dxa"/>
            <w:shd w:val="clear" w:color="auto" w:fill="auto"/>
            <w:vAlign w:val="center"/>
          </w:tcPr>
          <w:p w14:paraId="5F843BC2">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临床药学管理系统</w:t>
            </w:r>
          </w:p>
        </w:tc>
        <w:tc>
          <w:tcPr>
            <w:tcW w:w="899" w:type="dxa"/>
            <w:shd w:val="clear" w:color="auto" w:fill="auto"/>
            <w:vAlign w:val="center"/>
          </w:tcPr>
          <w:p w14:paraId="6EF57B62">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5A8B4CBF">
            <w:pPr>
              <w:widowControl/>
              <w:jc w:val="left"/>
              <w:rPr>
                <w:rFonts w:hint="eastAsia" w:ascii="宋体" w:hAnsi="宋体" w:cs="宋体"/>
                <w:color w:val="auto"/>
                <w:kern w:val="0"/>
                <w:sz w:val="21"/>
                <w:szCs w:val="21"/>
              </w:rPr>
            </w:pPr>
          </w:p>
        </w:tc>
      </w:tr>
      <w:tr w14:paraId="5BC0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shd w:val="clear" w:color="auto" w:fill="auto"/>
            <w:vAlign w:val="center"/>
          </w:tcPr>
          <w:p w14:paraId="43AE22B5">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院感管理</w:t>
            </w:r>
          </w:p>
        </w:tc>
        <w:tc>
          <w:tcPr>
            <w:tcW w:w="4052" w:type="dxa"/>
            <w:shd w:val="clear" w:color="auto" w:fill="auto"/>
            <w:vAlign w:val="center"/>
          </w:tcPr>
          <w:p w14:paraId="0A76588B">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医院感染实时监控管理系统</w:t>
            </w:r>
          </w:p>
        </w:tc>
        <w:tc>
          <w:tcPr>
            <w:tcW w:w="899" w:type="dxa"/>
            <w:shd w:val="clear" w:color="auto" w:fill="auto"/>
            <w:vAlign w:val="center"/>
          </w:tcPr>
          <w:p w14:paraId="792F775A">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2D02B401">
            <w:pPr>
              <w:widowControl/>
              <w:jc w:val="left"/>
              <w:rPr>
                <w:rFonts w:hint="eastAsia" w:ascii="宋体" w:hAnsi="宋体" w:cs="宋体"/>
                <w:color w:val="auto"/>
                <w:kern w:val="0"/>
                <w:sz w:val="21"/>
                <w:szCs w:val="21"/>
              </w:rPr>
            </w:pPr>
          </w:p>
        </w:tc>
      </w:tr>
      <w:tr w14:paraId="4F78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7B0B1C03">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数据中心</w:t>
            </w:r>
          </w:p>
        </w:tc>
        <w:tc>
          <w:tcPr>
            <w:tcW w:w="4052" w:type="dxa"/>
            <w:shd w:val="clear" w:color="auto" w:fill="auto"/>
            <w:vAlign w:val="center"/>
          </w:tcPr>
          <w:p w14:paraId="743EA270">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主数据管理系统</w:t>
            </w:r>
          </w:p>
        </w:tc>
        <w:tc>
          <w:tcPr>
            <w:tcW w:w="899" w:type="dxa"/>
            <w:shd w:val="clear" w:color="auto" w:fill="auto"/>
            <w:vAlign w:val="center"/>
          </w:tcPr>
          <w:p w14:paraId="21EA8C90">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3E1F3D1D">
            <w:pPr>
              <w:widowControl/>
              <w:jc w:val="left"/>
              <w:rPr>
                <w:rFonts w:hint="eastAsia" w:ascii="宋体" w:hAnsi="宋体" w:cs="宋体"/>
                <w:color w:val="auto"/>
                <w:kern w:val="0"/>
                <w:sz w:val="21"/>
                <w:szCs w:val="21"/>
              </w:rPr>
            </w:pPr>
          </w:p>
        </w:tc>
      </w:tr>
      <w:tr w14:paraId="1B49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58619785">
            <w:pPr>
              <w:widowControl/>
              <w:jc w:val="left"/>
              <w:rPr>
                <w:rFonts w:hint="eastAsia" w:ascii="宋体" w:hAnsi="宋体" w:cs="宋体"/>
                <w:b/>
                <w:bCs/>
                <w:color w:val="auto"/>
                <w:kern w:val="0"/>
                <w:sz w:val="21"/>
                <w:szCs w:val="21"/>
              </w:rPr>
            </w:pPr>
          </w:p>
        </w:tc>
        <w:tc>
          <w:tcPr>
            <w:tcW w:w="4052" w:type="dxa"/>
            <w:shd w:val="clear" w:color="auto" w:fill="auto"/>
            <w:vAlign w:val="center"/>
          </w:tcPr>
          <w:p w14:paraId="32FEA315">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术语管理</w:t>
            </w:r>
          </w:p>
        </w:tc>
        <w:tc>
          <w:tcPr>
            <w:tcW w:w="899" w:type="dxa"/>
            <w:shd w:val="clear" w:color="auto" w:fill="auto"/>
            <w:vAlign w:val="center"/>
          </w:tcPr>
          <w:p w14:paraId="6DC32754">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72C8C563">
            <w:pPr>
              <w:widowControl/>
              <w:jc w:val="left"/>
              <w:rPr>
                <w:rFonts w:hint="eastAsia" w:ascii="宋体" w:hAnsi="宋体" w:cs="宋体"/>
                <w:color w:val="auto"/>
                <w:kern w:val="0"/>
                <w:sz w:val="21"/>
                <w:szCs w:val="21"/>
              </w:rPr>
            </w:pPr>
          </w:p>
        </w:tc>
      </w:tr>
      <w:tr w14:paraId="5905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683BC30F">
            <w:pPr>
              <w:widowControl/>
              <w:jc w:val="left"/>
              <w:rPr>
                <w:rFonts w:hint="eastAsia" w:ascii="宋体" w:hAnsi="宋体" w:cs="宋体"/>
                <w:b/>
                <w:bCs/>
                <w:color w:val="auto"/>
                <w:kern w:val="0"/>
                <w:sz w:val="21"/>
                <w:szCs w:val="21"/>
              </w:rPr>
            </w:pPr>
          </w:p>
        </w:tc>
        <w:tc>
          <w:tcPr>
            <w:tcW w:w="4052" w:type="dxa"/>
            <w:shd w:val="clear" w:color="auto" w:fill="auto"/>
            <w:vAlign w:val="center"/>
          </w:tcPr>
          <w:p w14:paraId="57B6FE00">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数据治理</w:t>
            </w:r>
          </w:p>
        </w:tc>
        <w:tc>
          <w:tcPr>
            <w:tcW w:w="899" w:type="dxa"/>
            <w:shd w:val="clear" w:color="auto" w:fill="auto"/>
            <w:vAlign w:val="center"/>
          </w:tcPr>
          <w:p w14:paraId="223B20E4">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51698AF7">
            <w:pPr>
              <w:widowControl/>
              <w:jc w:val="left"/>
              <w:rPr>
                <w:rFonts w:hint="eastAsia" w:ascii="宋体" w:hAnsi="宋体" w:cs="宋体"/>
                <w:color w:val="auto"/>
                <w:kern w:val="0"/>
                <w:sz w:val="21"/>
                <w:szCs w:val="21"/>
              </w:rPr>
            </w:pPr>
          </w:p>
        </w:tc>
      </w:tr>
      <w:tr w14:paraId="5CF8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329635A4">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集成平台</w:t>
            </w:r>
          </w:p>
        </w:tc>
        <w:tc>
          <w:tcPr>
            <w:tcW w:w="4052" w:type="dxa"/>
            <w:shd w:val="clear" w:color="auto" w:fill="auto"/>
            <w:vAlign w:val="center"/>
          </w:tcPr>
          <w:p w14:paraId="47949564">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文档注册、查询服务</w:t>
            </w:r>
          </w:p>
        </w:tc>
        <w:tc>
          <w:tcPr>
            <w:tcW w:w="899" w:type="dxa"/>
            <w:shd w:val="clear" w:color="auto" w:fill="auto"/>
            <w:vAlign w:val="center"/>
          </w:tcPr>
          <w:p w14:paraId="2A33FBBD">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274D5668">
            <w:pPr>
              <w:widowControl/>
              <w:jc w:val="left"/>
              <w:rPr>
                <w:rFonts w:hint="eastAsia" w:ascii="宋体" w:hAnsi="宋体" w:cs="宋体"/>
                <w:color w:val="auto"/>
                <w:kern w:val="0"/>
                <w:sz w:val="21"/>
                <w:szCs w:val="21"/>
              </w:rPr>
            </w:pPr>
          </w:p>
        </w:tc>
      </w:tr>
      <w:tr w14:paraId="34B5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47EAC3CF">
            <w:pPr>
              <w:widowControl/>
              <w:jc w:val="left"/>
              <w:rPr>
                <w:rFonts w:hint="eastAsia" w:ascii="宋体" w:hAnsi="宋体" w:cs="宋体"/>
                <w:b/>
                <w:bCs/>
                <w:color w:val="auto"/>
                <w:kern w:val="0"/>
                <w:sz w:val="21"/>
                <w:szCs w:val="21"/>
              </w:rPr>
            </w:pPr>
          </w:p>
        </w:tc>
        <w:tc>
          <w:tcPr>
            <w:tcW w:w="4052" w:type="dxa"/>
            <w:shd w:val="clear" w:color="auto" w:fill="auto"/>
            <w:vAlign w:val="center"/>
          </w:tcPr>
          <w:p w14:paraId="1466B751">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个人信息注册、查询服务</w:t>
            </w:r>
          </w:p>
        </w:tc>
        <w:tc>
          <w:tcPr>
            <w:tcW w:w="899" w:type="dxa"/>
            <w:shd w:val="clear" w:color="auto" w:fill="auto"/>
            <w:vAlign w:val="center"/>
          </w:tcPr>
          <w:p w14:paraId="43934D1B">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0501E4DF">
            <w:pPr>
              <w:widowControl/>
              <w:jc w:val="left"/>
              <w:rPr>
                <w:rFonts w:hint="eastAsia" w:ascii="宋体" w:hAnsi="宋体" w:cs="宋体"/>
                <w:color w:val="auto"/>
                <w:kern w:val="0"/>
                <w:sz w:val="21"/>
                <w:szCs w:val="21"/>
              </w:rPr>
            </w:pPr>
          </w:p>
        </w:tc>
      </w:tr>
      <w:tr w14:paraId="09E0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425B4023">
            <w:pPr>
              <w:widowControl/>
              <w:jc w:val="left"/>
              <w:rPr>
                <w:rFonts w:hint="eastAsia" w:ascii="宋体" w:hAnsi="宋体" w:cs="宋体"/>
                <w:b/>
                <w:bCs/>
                <w:color w:val="auto"/>
                <w:kern w:val="0"/>
                <w:sz w:val="21"/>
                <w:szCs w:val="21"/>
              </w:rPr>
            </w:pPr>
          </w:p>
        </w:tc>
        <w:tc>
          <w:tcPr>
            <w:tcW w:w="4052" w:type="dxa"/>
            <w:shd w:val="clear" w:color="auto" w:fill="auto"/>
            <w:vAlign w:val="center"/>
          </w:tcPr>
          <w:p w14:paraId="41B845AC">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医疗卫生人员注册、查询服务</w:t>
            </w:r>
          </w:p>
        </w:tc>
        <w:tc>
          <w:tcPr>
            <w:tcW w:w="899" w:type="dxa"/>
            <w:shd w:val="clear" w:color="auto" w:fill="auto"/>
            <w:vAlign w:val="center"/>
          </w:tcPr>
          <w:p w14:paraId="5555B1D9">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5394ADEB">
            <w:pPr>
              <w:widowControl/>
              <w:jc w:val="left"/>
              <w:rPr>
                <w:rFonts w:hint="eastAsia" w:ascii="宋体" w:hAnsi="宋体" w:cs="宋体"/>
                <w:color w:val="auto"/>
                <w:kern w:val="0"/>
                <w:sz w:val="21"/>
                <w:szCs w:val="21"/>
              </w:rPr>
            </w:pPr>
          </w:p>
        </w:tc>
      </w:tr>
      <w:tr w14:paraId="4D9E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15E1BBA5">
            <w:pPr>
              <w:widowControl/>
              <w:jc w:val="left"/>
              <w:rPr>
                <w:rFonts w:hint="eastAsia" w:ascii="宋体" w:hAnsi="宋体" w:cs="宋体"/>
                <w:b/>
                <w:bCs/>
                <w:color w:val="auto"/>
                <w:kern w:val="0"/>
                <w:sz w:val="21"/>
                <w:szCs w:val="21"/>
              </w:rPr>
            </w:pPr>
          </w:p>
        </w:tc>
        <w:tc>
          <w:tcPr>
            <w:tcW w:w="4052" w:type="dxa"/>
            <w:shd w:val="clear" w:color="auto" w:fill="auto"/>
            <w:vAlign w:val="center"/>
          </w:tcPr>
          <w:p w14:paraId="0FE85C0C">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医疗卫生机构注册、查询服务</w:t>
            </w:r>
          </w:p>
        </w:tc>
        <w:tc>
          <w:tcPr>
            <w:tcW w:w="899" w:type="dxa"/>
            <w:shd w:val="clear" w:color="auto" w:fill="auto"/>
            <w:vAlign w:val="center"/>
          </w:tcPr>
          <w:p w14:paraId="601FE730">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42F50A6F">
            <w:pPr>
              <w:widowControl/>
              <w:jc w:val="left"/>
              <w:rPr>
                <w:rFonts w:hint="eastAsia" w:ascii="宋体" w:hAnsi="宋体" w:cs="宋体"/>
                <w:color w:val="auto"/>
                <w:kern w:val="0"/>
                <w:sz w:val="21"/>
                <w:szCs w:val="21"/>
              </w:rPr>
            </w:pPr>
          </w:p>
        </w:tc>
      </w:tr>
      <w:tr w14:paraId="1989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43F29A35">
            <w:pPr>
              <w:widowControl/>
              <w:jc w:val="left"/>
              <w:rPr>
                <w:rFonts w:hint="eastAsia" w:ascii="宋体" w:hAnsi="宋体" w:cs="宋体"/>
                <w:b/>
                <w:bCs/>
                <w:color w:val="auto"/>
                <w:kern w:val="0"/>
                <w:sz w:val="21"/>
                <w:szCs w:val="21"/>
              </w:rPr>
            </w:pPr>
          </w:p>
        </w:tc>
        <w:tc>
          <w:tcPr>
            <w:tcW w:w="4052" w:type="dxa"/>
            <w:shd w:val="clear" w:color="auto" w:fill="auto"/>
            <w:vAlign w:val="center"/>
          </w:tcPr>
          <w:p w14:paraId="4D12C988">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业务交换组件</w:t>
            </w:r>
          </w:p>
        </w:tc>
        <w:tc>
          <w:tcPr>
            <w:tcW w:w="899" w:type="dxa"/>
            <w:shd w:val="clear" w:color="auto" w:fill="auto"/>
            <w:vAlign w:val="center"/>
          </w:tcPr>
          <w:p w14:paraId="64CA3DEC">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vAlign w:val="center"/>
          </w:tcPr>
          <w:p w14:paraId="3DB66691">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包括手麻、病理、心电、输血、治疗、合理用药、院感系统、慢病管理系统、电子发票业务交换组件</w:t>
            </w:r>
          </w:p>
        </w:tc>
      </w:tr>
      <w:tr w14:paraId="27F4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5200FE8B">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数据上报管理</w:t>
            </w:r>
          </w:p>
        </w:tc>
        <w:tc>
          <w:tcPr>
            <w:tcW w:w="4052" w:type="dxa"/>
            <w:shd w:val="clear" w:color="auto" w:fill="auto"/>
            <w:vAlign w:val="center"/>
          </w:tcPr>
          <w:p w14:paraId="0B3206B2">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重大非传染性疾病及死亡信息上报</w:t>
            </w:r>
          </w:p>
        </w:tc>
        <w:tc>
          <w:tcPr>
            <w:tcW w:w="899" w:type="dxa"/>
            <w:shd w:val="clear" w:color="auto" w:fill="auto"/>
            <w:vAlign w:val="center"/>
          </w:tcPr>
          <w:p w14:paraId="1937993B">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04FE399D">
            <w:pPr>
              <w:widowControl/>
              <w:jc w:val="left"/>
              <w:rPr>
                <w:rFonts w:hint="eastAsia" w:ascii="宋体" w:hAnsi="宋体" w:cs="宋体"/>
                <w:color w:val="auto"/>
                <w:kern w:val="0"/>
                <w:sz w:val="21"/>
                <w:szCs w:val="21"/>
              </w:rPr>
            </w:pPr>
          </w:p>
        </w:tc>
      </w:tr>
      <w:tr w14:paraId="39B2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7B19804F">
            <w:pPr>
              <w:widowControl/>
              <w:jc w:val="left"/>
              <w:rPr>
                <w:rFonts w:hint="eastAsia" w:ascii="宋体" w:hAnsi="宋体" w:cs="宋体"/>
                <w:b/>
                <w:bCs/>
                <w:color w:val="auto"/>
                <w:kern w:val="0"/>
                <w:sz w:val="21"/>
                <w:szCs w:val="21"/>
              </w:rPr>
            </w:pPr>
          </w:p>
        </w:tc>
        <w:tc>
          <w:tcPr>
            <w:tcW w:w="4052" w:type="dxa"/>
            <w:shd w:val="clear" w:color="auto" w:fill="auto"/>
            <w:vAlign w:val="center"/>
          </w:tcPr>
          <w:p w14:paraId="1C5C58B4">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HQMS数据上报</w:t>
            </w:r>
          </w:p>
        </w:tc>
        <w:tc>
          <w:tcPr>
            <w:tcW w:w="899" w:type="dxa"/>
            <w:shd w:val="clear" w:color="auto" w:fill="auto"/>
            <w:vAlign w:val="center"/>
          </w:tcPr>
          <w:p w14:paraId="1DC3AA90">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7673207D">
            <w:pPr>
              <w:widowControl/>
              <w:jc w:val="left"/>
              <w:rPr>
                <w:rFonts w:hint="eastAsia" w:ascii="宋体" w:hAnsi="宋体" w:cs="宋体"/>
                <w:color w:val="auto"/>
                <w:kern w:val="0"/>
                <w:sz w:val="21"/>
                <w:szCs w:val="21"/>
              </w:rPr>
            </w:pPr>
          </w:p>
        </w:tc>
      </w:tr>
      <w:tr w14:paraId="7728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096EB36D">
            <w:pPr>
              <w:widowControl/>
              <w:jc w:val="left"/>
              <w:rPr>
                <w:rFonts w:hint="eastAsia" w:ascii="宋体" w:hAnsi="宋体" w:cs="宋体"/>
                <w:b/>
                <w:bCs/>
                <w:color w:val="auto"/>
                <w:kern w:val="0"/>
                <w:sz w:val="21"/>
                <w:szCs w:val="21"/>
              </w:rPr>
            </w:pPr>
          </w:p>
        </w:tc>
        <w:tc>
          <w:tcPr>
            <w:tcW w:w="4052" w:type="dxa"/>
            <w:shd w:val="clear" w:color="auto" w:fill="auto"/>
            <w:vAlign w:val="center"/>
          </w:tcPr>
          <w:p w14:paraId="76E609DA">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公立医院绩效考核上报</w:t>
            </w:r>
          </w:p>
        </w:tc>
        <w:tc>
          <w:tcPr>
            <w:tcW w:w="899" w:type="dxa"/>
            <w:shd w:val="clear" w:color="auto" w:fill="auto"/>
            <w:vAlign w:val="center"/>
          </w:tcPr>
          <w:p w14:paraId="7214E54E">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26ADDDF2">
            <w:pPr>
              <w:widowControl/>
              <w:jc w:val="left"/>
              <w:rPr>
                <w:rFonts w:hint="eastAsia" w:ascii="宋体" w:hAnsi="宋体" w:cs="宋体"/>
                <w:color w:val="auto"/>
                <w:kern w:val="0"/>
                <w:sz w:val="21"/>
                <w:szCs w:val="21"/>
              </w:rPr>
            </w:pPr>
          </w:p>
        </w:tc>
      </w:tr>
      <w:tr w14:paraId="19DB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5EA28958">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单病种质量监测系统</w:t>
            </w:r>
          </w:p>
        </w:tc>
        <w:tc>
          <w:tcPr>
            <w:tcW w:w="4052" w:type="dxa"/>
            <w:shd w:val="clear" w:color="auto" w:fill="auto"/>
            <w:vAlign w:val="center"/>
          </w:tcPr>
          <w:p w14:paraId="1C7BD39B">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单病种上报</w:t>
            </w:r>
          </w:p>
        </w:tc>
        <w:tc>
          <w:tcPr>
            <w:tcW w:w="899" w:type="dxa"/>
            <w:shd w:val="clear" w:color="auto" w:fill="auto"/>
            <w:vAlign w:val="center"/>
          </w:tcPr>
          <w:p w14:paraId="5571A498">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03C43968">
            <w:pPr>
              <w:widowControl/>
              <w:jc w:val="left"/>
              <w:rPr>
                <w:rFonts w:hint="eastAsia" w:ascii="宋体" w:hAnsi="宋体" w:cs="宋体"/>
                <w:color w:val="auto"/>
                <w:kern w:val="0"/>
                <w:sz w:val="21"/>
                <w:szCs w:val="21"/>
              </w:rPr>
            </w:pPr>
          </w:p>
        </w:tc>
      </w:tr>
      <w:tr w14:paraId="6009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03334650">
            <w:pPr>
              <w:widowControl/>
              <w:jc w:val="center"/>
              <w:rPr>
                <w:rFonts w:hint="eastAsia" w:ascii="宋体" w:hAnsi="宋体" w:cs="宋体"/>
                <w:b/>
                <w:bCs/>
                <w:color w:val="auto"/>
                <w:kern w:val="0"/>
                <w:sz w:val="21"/>
                <w:szCs w:val="21"/>
              </w:rPr>
            </w:pPr>
          </w:p>
        </w:tc>
        <w:tc>
          <w:tcPr>
            <w:tcW w:w="4052" w:type="dxa"/>
            <w:shd w:val="clear" w:color="auto" w:fill="auto"/>
          </w:tcPr>
          <w:p w14:paraId="611D28A7">
            <w:pPr>
              <w:widowControl/>
              <w:jc w:val="left"/>
              <w:rPr>
                <w:rFonts w:hint="eastAsia" w:ascii="宋体" w:hAnsi="宋体" w:cs="宋体"/>
                <w:color w:val="auto"/>
                <w:kern w:val="0"/>
                <w:sz w:val="21"/>
                <w:szCs w:val="21"/>
              </w:rPr>
            </w:pPr>
            <w:r>
              <w:rPr>
                <w:rFonts w:hint="eastAsia" w:ascii="宋体" w:hAnsi="宋体"/>
                <w:color w:val="auto"/>
                <w:sz w:val="21"/>
                <w:szCs w:val="21"/>
              </w:rPr>
              <w:t>数据治理与智能填充</w:t>
            </w:r>
          </w:p>
        </w:tc>
        <w:tc>
          <w:tcPr>
            <w:tcW w:w="899" w:type="dxa"/>
            <w:shd w:val="clear" w:color="auto" w:fill="auto"/>
            <w:vAlign w:val="center"/>
          </w:tcPr>
          <w:p w14:paraId="36AD7459">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37555778">
            <w:pPr>
              <w:widowControl/>
              <w:jc w:val="left"/>
              <w:rPr>
                <w:rFonts w:hint="eastAsia" w:ascii="宋体" w:hAnsi="宋体" w:cs="宋体"/>
                <w:color w:val="auto"/>
                <w:kern w:val="0"/>
                <w:sz w:val="21"/>
                <w:szCs w:val="21"/>
              </w:rPr>
            </w:pPr>
          </w:p>
        </w:tc>
      </w:tr>
      <w:tr w14:paraId="59F9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63E6529C">
            <w:pPr>
              <w:widowControl/>
              <w:jc w:val="center"/>
              <w:rPr>
                <w:rFonts w:hint="eastAsia" w:ascii="宋体" w:hAnsi="宋体" w:cs="宋体"/>
                <w:b/>
                <w:bCs/>
                <w:color w:val="auto"/>
                <w:kern w:val="0"/>
                <w:sz w:val="21"/>
                <w:szCs w:val="21"/>
              </w:rPr>
            </w:pPr>
          </w:p>
        </w:tc>
        <w:tc>
          <w:tcPr>
            <w:tcW w:w="4052" w:type="dxa"/>
            <w:shd w:val="clear" w:color="auto" w:fill="auto"/>
          </w:tcPr>
          <w:p w14:paraId="15FC0962">
            <w:pPr>
              <w:widowControl/>
              <w:jc w:val="left"/>
              <w:rPr>
                <w:rFonts w:hint="eastAsia" w:ascii="宋体" w:hAnsi="宋体" w:cs="宋体"/>
                <w:color w:val="auto"/>
                <w:kern w:val="0"/>
                <w:sz w:val="21"/>
                <w:szCs w:val="21"/>
              </w:rPr>
            </w:pPr>
            <w:r>
              <w:rPr>
                <w:rFonts w:hint="eastAsia" w:ascii="宋体" w:hAnsi="宋体"/>
                <w:color w:val="auto"/>
                <w:sz w:val="21"/>
                <w:szCs w:val="21"/>
              </w:rPr>
              <w:t>事中质控管理及提醒</w:t>
            </w:r>
          </w:p>
        </w:tc>
        <w:tc>
          <w:tcPr>
            <w:tcW w:w="899" w:type="dxa"/>
            <w:shd w:val="clear" w:color="auto" w:fill="auto"/>
            <w:vAlign w:val="center"/>
          </w:tcPr>
          <w:p w14:paraId="0100BEDC">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14A6B1A0">
            <w:pPr>
              <w:widowControl/>
              <w:jc w:val="left"/>
              <w:rPr>
                <w:rFonts w:hint="eastAsia" w:ascii="宋体" w:hAnsi="宋体" w:cs="宋体"/>
                <w:color w:val="auto"/>
                <w:kern w:val="0"/>
                <w:sz w:val="21"/>
                <w:szCs w:val="21"/>
              </w:rPr>
            </w:pPr>
          </w:p>
        </w:tc>
      </w:tr>
      <w:tr w14:paraId="3B44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vAlign w:val="center"/>
          </w:tcPr>
          <w:p w14:paraId="419B6D22">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电子病历评级辅助</w:t>
            </w:r>
          </w:p>
        </w:tc>
        <w:tc>
          <w:tcPr>
            <w:tcW w:w="4052" w:type="dxa"/>
            <w:shd w:val="clear" w:color="auto" w:fill="auto"/>
            <w:vAlign w:val="center"/>
          </w:tcPr>
          <w:p w14:paraId="02B68F51">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数据质量工具</w:t>
            </w:r>
          </w:p>
        </w:tc>
        <w:tc>
          <w:tcPr>
            <w:tcW w:w="899" w:type="dxa"/>
            <w:shd w:val="clear" w:color="auto" w:fill="auto"/>
            <w:vAlign w:val="center"/>
          </w:tcPr>
          <w:p w14:paraId="30A4C15C">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3B9AC356">
            <w:pPr>
              <w:widowControl/>
              <w:jc w:val="left"/>
              <w:rPr>
                <w:rFonts w:hint="eastAsia" w:ascii="宋体" w:hAnsi="宋体" w:cs="宋体"/>
                <w:color w:val="auto"/>
                <w:kern w:val="0"/>
                <w:sz w:val="21"/>
                <w:szCs w:val="21"/>
              </w:rPr>
            </w:pPr>
          </w:p>
        </w:tc>
      </w:tr>
      <w:tr w14:paraId="09EA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vAlign w:val="center"/>
          </w:tcPr>
          <w:p w14:paraId="4FFD664B">
            <w:pPr>
              <w:widowControl/>
              <w:jc w:val="left"/>
              <w:rPr>
                <w:rFonts w:hint="eastAsia" w:ascii="宋体" w:hAnsi="宋体" w:cs="宋体"/>
                <w:b/>
                <w:bCs/>
                <w:color w:val="auto"/>
                <w:kern w:val="0"/>
                <w:sz w:val="21"/>
                <w:szCs w:val="21"/>
              </w:rPr>
            </w:pPr>
          </w:p>
        </w:tc>
        <w:tc>
          <w:tcPr>
            <w:tcW w:w="4052" w:type="dxa"/>
            <w:shd w:val="clear" w:color="auto" w:fill="auto"/>
            <w:vAlign w:val="center"/>
          </w:tcPr>
          <w:p w14:paraId="474A29A8">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电子病历四级评级过程支持服务</w:t>
            </w:r>
          </w:p>
        </w:tc>
        <w:tc>
          <w:tcPr>
            <w:tcW w:w="899" w:type="dxa"/>
            <w:shd w:val="clear" w:color="auto" w:fill="auto"/>
            <w:vAlign w:val="center"/>
          </w:tcPr>
          <w:p w14:paraId="032CE6C7">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6C9E247A">
            <w:pPr>
              <w:widowControl/>
              <w:jc w:val="left"/>
              <w:rPr>
                <w:rFonts w:hint="eastAsia" w:ascii="宋体" w:hAnsi="宋体" w:cs="宋体"/>
                <w:color w:val="auto"/>
                <w:kern w:val="0"/>
                <w:sz w:val="21"/>
                <w:szCs w:val="21"/>
              </w:rPr>
            </w:pPr>
          </w:p>
        </w:tc>
      </w:tr>
      <w:tr w14:paraId="7F2E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shd w:val="clear" w:color="auto" w:fill="auto"/>
            <w:vAlign w:val="center"/>
          </w:tcPr>
          <w:p w14:paraId="7ADBD82B">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下属医疗机构推广实施</w:t>
            </w:r>
          </w:p>
        </w:tc>
        <w:tc>
          <w:tcPr>
            <w:tcW w:w="4052" w:type="dxa"/>
            <w:shd w:val="clear" w:color="auto" w:fill="auto"/>
            <w:vAlign w:val="center"/>
          </w:tcPr>
          <w:p w14:paraId="5F00DBF6">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龙潭镇卫生院信息系统推广实施</w:t>
            </w:r>
          </w:p>
        </w:tc>
        <w:tc>
          <w:tcPr>
            <w:tcW w:w="899" w:type="dxa"/>
            <w:shd w:val="clear" w:color="auto" w:fill="auto"/>
            <w:vAlign w:val="center"/>
          </w:tcPr>
          <w:p w14:paraId="3F034D66">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vAlign w:val="center"/>
          </w:tcPr>
          <w:p w14:paraId="7CBD2482">
            <w:pPr>
              <w:widowControl/>
              <w:jc w:val="left"/>
              <w:rPr>
                <w:rFonts w:hint="eastAsia" w:ascii="宋体" w:hAnsi="宋体" w:cs="宋体"/>
                <w:color w:val="auto"/>
                <w:kern w:val="0"/>
                <w:sz w:val="21"/>
                <w:szCs w:val="21"/>
              </w:rPr>
            </w:pPr>
          </w:p>
        </w:tc>
      </w:tr>
      <w:tr w14:paraId="4F2D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shd w:val="clear" w:color="auto" w:fill="auto"/>
            <w:noWrap/>
            <w:vAlign w:val="center"/>
          </w:tcPr>
          <w:p w14:paraId="3664162D">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慢病管理平台</w:t>
            </w:r>
          </w:p>
        </w:tc>
        <w:tc>
          <w:tcPr>
            <w:tcW w:w="4052" w:type="dxa"/>
            <w:shd w:val="clear" w:color="auto" w:fill="auto"/>
            <w:noWrap/>
            <w:vAlign w:val="center"/>
          </w:tcPr>
          <w:p w14:paraId="38B39656">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单科慢病管理</w:t>
            </w:r>
          </w:p>
        </w:tc>
        <w:tc>
          <w:tcPr>
            <w:tcW w:w="899" w:type="dxa"/>
            <w:shd w:val="clear" w:color="auto" w:fill="auto"/>
            <w:vAlign w:val="center"/>
          </w:tcPr>
          <w:p w14:paraId="5C9B40D9">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1套</w:t>
            </w:r>
          </w:p>
        </w:tc>
        <w:tc>
          <w:tcPr>
            <w:tcW w:w="2792" w:type="dxa"/>
            <w:shd w:val="clear" w:color="auto" w:fill="auto"/>
            <w:noWrap/>
            <w:vAlign w:val="center"/>
          </w:tcPr>
          <w:p w14:paraId="4B13BC58">
            <w:pPr>
              <w:widowControl/>
              <w:jc w:val="left"/>
              <w:rPr>
                <w:rFonts w:hint="eastAsia" w:ascii="宋体" w:hAnsi="宋体" w:cs="宋体"/>
                <w:b/>
                <w:bCs/>
                <w:color w:val="auto"/>
                <w:kern w:val="0"/>
                <w:sz w:val="21"/>
                <w:szCs w:val="21"/>
              </w:rPr>
            </w:pPr>
          </w:p>
        </w:tc>
      </w:tr>
      <w:tr w14:paraId="1355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38" w:type="dxa"/>
            <w:gridSpan w:val="4"/>
            <w:shd w:val="clear" w:color="auto" w:fill="auto"/>
            <w:noWrap/>
            <w:vAlign w:val="center"/>
          </w:tcPr>
          <w:p w14:paraId="17A0EAA0">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配套硬件设备及系统软件</w:t>
            </w:r>
          </w:p>
        </w:tc>
      </w:tr>
      <w:tr w14:paraId="60C2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restart"/>
            <w:shd w:val="clear" w:color="auto" w:fill="auto"/>
            <w:noWrap/>
            <w:vAlign w:val="center"/>
          </w:tcPr>
          <w:p w14:paraId="5C7D333E">
            <w:pPr>
              <w:widowControl/>
              <w:jc w:val="center"/>
              <w:rPr>
                <w:rFonts w:hint="eastAsia" w:ascii="宋体" w:hAnsi="宋体" w:cs="宋体"/>
                <w:b/>
                <w:bCs/>
                <w:color w:val="auto"/>
                <w:kern w:val="0"/>
                <w:sz w:val="21"/>
                <w:szCs w:val="21"/>
              </w:rPr>
            </w:pPr>
            <w:r>
              <w:rPr>
                <w:rFonts w:hint="eastAsia" w:ascii="宋体" w:hAnsi="宋体" w:cs="宋体"/>
                <w:b/>
                <w:bCs/>
                <w:color w:val="auto"/>
                <w:kern w:val="0"/>
                <w:sz w:val="21"/>
                <w:szCs w:val="21"/>
              </w:rPr>
              <w:t>配套硬件</w:t>
            </w:r>
          </w:p>
        </w:tc>
        <w:tc>
          <w:tcPr>
            <w:tcW w:w="4052" w:type="dxa"/>
            <w:shd w:val="clear" w:color="auto" w:fill="auto"/>
            <w:noWrap/>
            <w:vAlign w:val="center"/>
          </w:tcPr>
          <w:p w14:paraId="4A23A930">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超融合服务器节点</w:t>
            </w:r>
          </w:p>
        </w:tc>
        <w:tc>
          <w:tcPr>
            <w:tcW w:w="899" w:type="dxa"/>
            <w:shd w:val="clear" w:color="auto" w:fill="auto"/>
            <w:vAlign w:val="center"/>
          </w:tcPr>
          <w:p w14:paraId="551E8435">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8台</w:t>
            </w:r>
          </w:p>
        </w:tc>
        <w:tc>
          <w:tcPr>
            <w:tcW w:w="2792" w:type="dxa"/>
            <w:shd w:val="clear" w:color="auto" w:fill="auto"/>
            <w:noWrap/>
            <w:vAlign w:val="center"/>
          </w:tcPr>
          <w:p w14:paraId="0EC2C311">
            <w:pPr>
              <w:widowControl/>
              <w:jc w:val="left"/>
              <w:rPr>
                <w:rFonts w:hint="eastAsia" w:ascii="宋体" w:hAnsi="宋体" w:cs="宋体"/>
                <w:b/>
                <w:bCs/>
                <w:color w:val="auto"/>
                <w:kern w:val="0"/>
                <w:sz w:val="21"/>
                <w:szCs w:val="21"/>
              </w:rPr>
            </w:pPr>
          </w:p>
        </w:tc>
      </w:tr>
      <w:tr w14:paraId="3ADE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noWrap/>
            <w:vAlign w:val="center"/>
          </w:tcPr>
          <w:p w14:paraId="134D3AED">
            <w:pPr>
              <w:widowControl/>
              <w:jc w:val="center"/>
              <w:rPr>
                <w:rFonts w:hint="eastAsia" w:ascii="宋体" w:hAnsi="宋体" w:cs="宋体"/>
                <w:b/>
                <w:bCs/>
                <w:color w:val="auto"/>
                <w:kern w:val="0"/>
                <w:sz w:val="21"/>
                <w:szCs w:val="21"/>
              </w:rPr>
            </w:pPr>
          </w:p>
        </w:tc>
        <w:tc>
          <w:tcPr>
            <w:tcW w:w="4052" w:type="dxa"/>
            <w:shd w:val="clear" w:color="auto" w:fill="auto"/>
            <w:noWrap/>
            <w:vAlign w:val="center"/>
          </w:tcPr>
          <w:p w14:paraId="14DA51D2">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超融合软件</w:t>
            </w:r>
          </w:p>
        </w:tc>
        <w:tc>
          <w:tcPr>
            <w:tcW w:w="899" w:type="dxa"/>
            <w:shd w:val="clear" w:color="auto" w:fill="auto"/>
            <w:vAlign w:val="center"/>
          </w:tcPr>
          <w:p w14:paraId="16818FDA">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8套</w:t>
            </w:r>
          </w:p>
        </w:tc>
        <w:tc>
          <w:tcPr>
            <w:tcW w:w="2792" w:type="dxa"/>
            <w:shd w:val="clear" w:color="auto" w:fill="auto"/>
            <w:noWrap/>
            <w:vAlign w:val="center"/>
          </w:tcPr>
          <w:p w14:paraId="03785845">
            <w:pPr>
              <w:widowControl/>
              <w:jc w:val="left"/>
              <w:rPr>
                <w:rFonts w:hint="eastAsia" w:ascii="宋体" w:hAnsi="宋体" w:cs="宋体"/>
                <w:b/>
                <w:bCs/>
                <w:color w:val="auto"/>
                <w:kern w:val="0"/>
                <w:sz w:val="21"/>
                <w:szCs w:val="21"/>
              </w:rPr>
            </w:pPr>
          </w:p>
        </w:tc>
      </w:tr>
      <w:tr w14:paraId="126C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noWrap/>
            <w:vAlign w:val="center"/>
          </w:tcPr>
          <w:p w14:paraId="17210F4D">
            <w:pPr>
              <w:widowControl/>
              <w:jc w:val="center"/>
              <w:rPr>
                <w:rFonts w:hint="eastAsia" w:ascii="宋体" w:hAnsi="宋体" w:cs="宋体"/>
                <w:b/>
                <w:bCs/>
                <w:color w:val="auto"/>
                <w:kern w:val="0"/>
                <w:sz w:val="21"/>
                <w:szCs w:val="21"/>
              </w:rPr>
            </w:pPr>
          </w:p>
        </w:tc>
        <w:tc>
          <w:tcPr>
            <w:tcW w:w="4052" w:type="dxa"/>
            <w:shd w:val="clear" w:color="auto" w:fill="auto"/>
            <w:noWrap/>
            <w:vAlign w:val="center"/>
          </w:tcPr>
          <w:p w14:paraId="6A54C5CD">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通用服务器</w:t>
            </w:r>
          </w:p>
        </w:tc>
        <w:tc>
          <w:tcPr>
            <w:tcW w:w="899" w:type="dxa"/>
            <w:shd w:val="clear" w:color="auto" w:fill="auto"/>
            <w:vAlign w:val="center"/>
          </w:tcPr>
          <w:p w14:paraId="51353897">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1台</w:t>
            </w:r>
          </w:p>
        </w:tc>
        <w:tc>
          <w:tcPr>
            <w:tcW w:w="2792" w:type="dxa"/>
            <w:shd w:val="clear" w:color="auto" w:fill="auto"/>
            <w:noWrap/>
            <w:vAlign w:val="center"/>
          </w:tcPr>
          <w:p w14:paraId="01C8E103">
            <w:pPr>
              <w:widowControl/>
              <w:jc w:val="left"/>
              <w:rPr>
                <w:rFonts w:hint="eastAsia" w:ascii="宋体" w:hAnsi="宋体" w:cs="宋体"/>
                <w:b/>
                <w:bCs/>
                <w:color w:val="auto"/>
                <w:kern w:val="0"/>
                <w:sz w:val="21"/>
                <w:szCs w:val="21"/>
              </w:rPr>
            </w:pPr>
          </w:p>
        </w:tc>
      </w:tr>
      <w:tr w14:paraId="77A6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noWrap/>
            <w:vAlign w:val="center"/>
          </w:tcPr>
          <w:p w14:paraId="736665BF">
            <w:pPr>
              <w:widowControl/>
              <w:jc w:val="center"/>
              <w:rPr>
                <w:rFonts w:hint="eastAsia" w:ascii="宋体" w:hAnsi="宋体" w:cs="宋体"/>
                <w:b/>
                <w:bCs/>
                <w:color w:val="auto"/>
                <w:kern w:val="0"/>
                <w:sz w:val="21"/>
                <w:szCs w:val="21"/>
              </w:rPr>
            </w:pPr>
          </w:p>
        </w:tc>
        <w:tc>
          <w:tcPr>
            <w:tcW w:w="4052" w:type="dxa"/>
            <w:shd w:val="clear" w:color="auto" w:fill="auto"/>
            <w:noWrap/>
            <w:vAlign w:val="center"/>
          </w:tcPr>
          <w:p w14:paraId="3A5A56CF">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超融合万兆交换机</w:t>
            </w:r>
          </w:p>
        </w:tc>
        <w:tc>
          <w:tcPr>
            <w:tcW w:w="899" w:type="dxa"/>
            <w:shd w:val="clear" w:color="auto" w:fill="auto"/>
            <w:vAlign w:val="center"/>
          </w:tcPr>
          <w:p w14:paraId="36C117F2">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2台</w:t>
            </w:r>
          </w:p>
        </w:tc>
        <w:tc>
          <w:tcPr>
            <w:tcW w:w="2792" w:type="dxa"/>
            <w:shd w:val="clear" w:color="auto" w:fill="auto"/>
            <w:noWrap/>
            <w:vAlign w:val="center"/>
          </w:tcPr>
          <w:p w14:paraId="28C0631A">
            <w:pPr>
              <w:widowControl/>
              <w:jc w:val="left"/>
              <w:rPr>
                <w:rFonts w:hint="eastAsia" w:ascii="宋体" w:hAnsi="宋体" w:cs="宋体"/>
                <w:b/>
                <w:bCs/>
                <w:color w:val="auto"/>
                <w:kern w:val="0"/>
                <w:sz w:val="21"/>
                <w:szCs w:val="21"/>
              </w:rPr>
            </w:pPr>
          </w:p>
        </w:tc>
      </w:tr>
      <w:tr w14:paraId="1E93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noWrap/>
            <w:vAlign w:val="center"/>
          </w:tcPr>
          <w:p w14:paraId="4D9B4F02">
            <w:pPr>
              <w:widowControl/>
              <w:jc w:val="center"/>
              <w:rPr>
                <w:rFonts w:hint="eastAsia" w:ascii="宋体" w:hAnsi="宋体" w:cs="宋体"/>
                <w:b/>
                <w:bCs/>
                <w:color w:val="auto"/>
                <w:kern w:val="0"/>
                <w:sz w:val="21"/>
                <w:szCs w:val="21"/>
              </w:rPr>
            </w:pPr>
          </w:p>
        </w:tc>
        <w:tc>
          <w:tcPr>
            <w:tcW w:w="4052" w:type="dxa"/>
            <w:shd w:val="clear" w:color="auto" w:fill="auto"/>
            <w:noWrap/>
            <w:vAlign w:val="center"/>
          </w:tcPr>
          <w:p w14:paraId="5A32D4C5">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业务交换机</w:t>
            </w:r>
          </w:p>
        </w:tc>
        <w:tc>
          <w:tcPr>
            <w:tcW w:w="899" w:type="dxa"/>
            <w:shd w:val="clear" w:color="auto" w:fill="auto"/>
            <w:vAlign w:val="center"/>
          </w:tcPr>
          <w:p w14:paraId="6B19699F">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2台</w:t>
            </w:r>
          </w:p>
        </w:tc>
        <w:tc>
          <w:tcPr>
            <w:tcW w:w="2792" w:type="dxa"/>
            <w:shd w:val="clear" w:color="auto" w:fill="auto"/>
            <w:noWrap/>
            <w:vAlign w:val="center"/>
          </w:tcPr>
          <w:p w14:paraId="48F5F3B8">
            <w:pPr>
              <w:widowControl/>
              <w:jc w:val="left"/>
              <w:rPr>
                <w:rFonts w:hint="eastAsia" w:ascii="宋体" w:hAnsi="宋体" w:cs="宋体"/>
                <w:b/>
                <w:bCs/>
                <w:color w:val="auto"/>
                <w:kern w:val="0"/>
                <w:sz w:val="21"/>
                <w:szCs w:val="21"/>
              </w:rPr>
            </w:pPr>
          </w:p>
        </w:tc>
      </w:tr>
      <w:tr w14:paraId="732D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noWrap/>
            <w:vAlign w:val="center"/>
          </w:tcPr>
          <w:p w14:paraId="23CE4D55">
            <w:pPr>
              <w:widowControl/>
              <w:jc w:val="center"/>
              <w:rPr>
                <w:rFonts w:hint="eastAsia" w:ascii="宋体" w:hAnsi="宋体" w:cs="宋体"/>
                <w:b/>
                <w:bCs/>
                <w:color w:val="auto"/>
                <w:kern w:val="0"/>
                <w:sz w:val="21"/>
                <w:szCs w:val="21"/>
              </w:rPr>
            </w:pPr>
          </w:p>
        </w:tc>
        <w:tc>
          <w:tcPr>
            <w:tcW w:w="4052" w:type="dxa"/>
            <w:shd w:val="clear" w:color="auto" w:fill="auto"/>
            <w:noWrap/>
            <w:vAlign w:val="center"/>
          </w:tcPr>
          <w:p w14:paraId="3C798C1F">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安装调试和辅材</w:t>
            </w:r>
          </w:p>
        </w:tc>
        <w:tc>
          <w:tcPr>
            <w:tcW w:w="899" w:type="dxa"/>
            <w:shd w:val="clear" w:color="auto" w:fill="auto"/>
            <w:vAlign w:val="center"/>
          </w:tcPr>
          <w:p w14:paraId="1E015DBA">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1批</w:t>
            </w:r>
          </w:p>
        </w:tc>
        <w:tc>
          <w:tcPr>
            <w:tcW w:w="2792" w:type="dxa"/>
            <w:shd w:val="clear" w:color="auto" w:fill="auto"/>
            <w:noWrap/>
            <w:vAlign w:val="center"/>
          </w:tcPr>
          <w:p w14:paraId="35756197">
            <w:pPr>
              <w:widowControl/>
              <w:jc w:val="left"/>
              <w:rPr>
                <w:rFonts w:hint="eastAsia" w:ascii="宋体" w:hAnsi="宋体" w:cs="宋体"/>
                <w:b/>
                <w:bCs/>
                <w:color w:val="auto"/>
                <w:kern w:val="0"/>
                <w:sz w:val="21"/>
                <w:szCs w:val="21"/>
              </w:rPr>
            </w:pPr>
          </w:p>
        </w:tc>
      </w:tr>
      <w:tr w14:paraId="38A0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noWrap/>
            <w:vAlign w:val="center"/>
          </w:tcPr>
          <w:p w14:paraId="3D3D4A35">
            <w:pPr>
              <w:widowControl/>
              <w:jc w:val="center"/>
              <w:rPr>
                <w:rFonts w:hint="eastAsia" w:ascii="宋体" w:hAnsi="宋体" w:cs="宋体"/>
                <w:b/>
                <w:bCs/>
                <w:color w:val="auto"/>
                <w:kern w:val="0"/>
                <w:sz w:val="21"/>
                <w:szCs w:val="21"/>
              </w:rPr>
            </w:pPr>
          </w:p>
        </w:tc>
        <w:tc>
          <w:tcPr>
            <w:tcW w:w="4052" w:type="dxa"/>
            <w:shd w:val="clear" w:color="auto" w:fill="auto"/>
            <w:noWrap/>
            <w:vAlign w:val="center"/>
          </w:tcPr>
          <w:p w14:paraId="735496E9">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网络安全防火墙</w:t>
            </w:r>
          </w:p>
        </w:tc>
        <w:tc>
          <w:tcPr>
            <w:tcW w:w="899" w:type="dxa"/>
            <w:shd w:val="clear" w:color="auto" w:fill="auto"/>
            <w:vAlign w:val="center"/>
          </w:tcPr>
          <w:p w14:paraId="0F2E69AD">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1台</w:t>
            </w:r>
          </w:p>
        </w:tc>
        <w:tc>
          <w:tcPr>
            <w:tcW w:w="2792" w:type="dxa"/>
            <w:shd w:val="clear" w:color="auto" w:fill="auto"/>
            <w:noWrap/>
            <w:vAlign w:val="center"/>
          </w:tcPr>
          <w:p w14:paraId="0298BD3C">
            <w:pPr>
              <w:widowControl/>
              <w:jc w:val="left"/>
              <w:rPr>
                <w:rFonts w:hint="eastAsia" w:ascii="宋体" w:hAnsi="宋体" w:cs="宋体"/>
                <w:b/>
                <w:bCs/>
                <w:color w:val="auto"/>
                <w:kern w:val="0"/>
                <w:sz w:val="21"/>
                <w:szCs w:val="21"/>
              </w:rPr>
            </w:pPr>
          </w:p>
        </w:tc>
      </w:tr>
      <w:tr w14:paraId="2B3A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95" w:type="dxa"/>
            <w:vMerge w:val="continue"/>
            <w:shd w:val="clear" w:color="auto" w:fill="auto"/>
            <w:noWrap/>
            <w:vAlign w:val="center"/>
          </w:tcPr>
          <w:p w14:paraId="7BAE15D9">
            <w:pPr>
              <w:widowControl/>
              <w:jc w:val="center"/>
              <w:rPr>
                <w:rFonts w:hint="eastAsia" w:ascii="宋体" w:hAnsi="宋体" w:cs="宋体"/>
                <w:b/>
                <w:bCs/>
                <w:color w:val="auto"/>
                <w:kern w:val="0"/>
                <w:sz w:val="21"/>
                <w:szCs w:val="21"/>
              </w:rPr>
            </w:pPr>
          </w:p>
        </w:tc>
        <w:tc>
          <w:tcPr>
            <w:tcW w:w="4052" w:type="dxa"/>
            <w:shd w:val="clear" w:color="auto" w:fill="auto"/>
            <w:noWrap/>
            <w:vAlign w:val="center"/>
          </w:tcPr>
          <w:p w14:paraId="60892F53">
            <w:pPr>
              <w:widowControl/>
              <w:jc w:val="left"/>
              <w:rPr>
                <w:rFonts w:hint="eastAsia" w:ascii="宋体" w:hAnsi="宋体" w:cs="宋体"/>
                <w:color w:val="auto"/>
                <w:kern w:val="0"/>
                <w:sz w:val="21"/>
                <w:szCs w:val="21"/>
              </w:rPr>
            </w:pPr>
            <w:r>
              <w:rPr>
                <w:rFonts w:hint="eastAsia" w:ascii="宋体" w:hAnsi="宋体" w:cs="宋体"/>
                <w:color w:val="auto"/>
                <w:kern w:val="0"/>
                <w:sz w:val="21"/>
                <w:szCs w:val="21"/>
              </w:rPr>
              <w:t>数据集中备份一体机</w:t>
            </w:r>
          </w:p>
        </w:tc>
        <w:tc>
          <w:tcPr>
            <w:tcW w:w="899" w:type="dxa"/>
            <w:shd w:val="clear" w:color="auto" w:fill="auto"/>
            <w:vAlign w:val="center"/>
          </w:tcPr>
          <w:p w14:paraId="09E968FC">
            <w:pPr>
              <w:widowControl/>
              <w:jc w:val="center"/>
              <w:rPr>
                <w:rFonts w:hint="eastAsia" w:ascii="宋体" w:hAnsi="宋体" w:cs="宋体"/>
                <w:color w:val="auto"/>
                <w:kern w:val="0"/>
                <w:sz w:val="21"/>
                <w:szCs w:val="21"/>
              </w:rPr>
            </w:pPr>
            <w:r>
              <w:rPr>
                <w:rFonts w:hint="eastAsia" w:ascii="宋体" w:hAnsi="宋体" w:cs="宋体"/>
                <w:color w:val="auto"/>
                <w:kern w:val="0"/>
                <w:sz w:val="21"/>
                <w:szCs w:val="21"/>
              </w:rPr>
              <w:t>1台</w:t>
            </w:r>
          </w:p>
        </w:tc>
        <w:tc>
          <w:tcPr>
            <w:tcW w:w="2792" w:type="dxa"/>
            <w:shd w:val="clear" w:color="auto" w:fill="auto"/>
            <w:noWrap/>
            <w:vAlign w:val="center"/>
          </w:tcPr>
          <w:p w14:paraId="5A6D3940">
            <w:pPr>
              <w:widowControl/>
              <w:jc w:val="left"/>
              <w:rPr>
                <w:rFonts w:hint="eastAsia" w:ascii="宋体" w:hAnsi="宋体" w:cs="宋体"/>
                <w:b/>
                <w:bCs/>
                <w:color w:val="auto"/>
                <w:kern w:val="0"/>
                <w:sz w:val="21"/>
                <w:szCs w:val="21"/>
              </w:rPr>
            </w:pPr>
          </w:p>
        </w:tc>
      </w:tr>
    </w:tbl>
    <w:p w14:paraId="756E9D00">
      <w:pPr>
        <w:spacing w:line="360" w:lineRule="exact"/>
        <w:ind w:firstLine="422" w:firstLineChars="200"/>
        <w:rPr>
          <w:rFonts w:hint="eastAsia" w:ascii="宋体" w:hAnsi="宋体"/>
          <w:b/>
          <w:color w:val="auto"/>
          <w:szCs w:val="21"/>
        </w:rPr>
      </w:pPr>
    </w:p>
    <w:p w14:paraId="2F8A071B">
      <w:pPr>
        <w:spacing w:line="360" w:lineRule="exact"/>
        <w:ind w:firstLine="422" w:firstLineChars="200"/>
        <w:rPr>
          <w:rFonts w:hint="eastAsia" w:ascii="宋体" w:hAnsi="宋体"/>
          <w:b/>
          <w:szCs w:val="21"/>
        </w:rPr>
      </w:pPr>
      <w:r>
        <w:rPr>
          <w:rFonts w:hint="eastAsia" w:ascii="宋体" w:hAnsi="宋体"/>
          <w:b/>
          <w:color w:val="auto"/>
          <w:szCs w:val="21"/>
        </w:rPr>
        <w:t>本项目不接受联合体投标。</w:t>
      </w:r>
    </w:p>
    <w:p w14:paraId="5D3F6542">
      <w:pPr>
        <w:numPr>
          <w:ilvl w:val="0"/>
          <w:numId w:val="2"/>
        </w:numPr>
        <w:spacing w:line="360" w:lineRule="exact"/>
        <w:ind w:firstLine="482" w:firstLineChars="200"/>
        <w:rPr>
          <w:rFonts w:hint="eastAsia" w:ascii="宋体" w:hAnsi="宋体" w:cs="宋体"/>
          <w:b/>
          <w:bCs/>
          <w:szCs w:val="21"/>
        </w:rPr>
      </w:pPr>
      <w:bookmarkStart w:id="15" w:name="_Toc28359003"/>
      <w:bookmarkStart w:id="16" w:name="_Toc35393622"/>
      <w:bookmarkStart w:id="17" w:name="_Toc35393791"/>
      <w:bookmarkStart w:id="18" w:name="_Toc28359080"/>
      <w:r>
        <w:rPr>
          <w:rFonts w:hint="eastAsia" w:ascii="黑体" w:hAnsi="黑体" w:eastAsia="黑体"/>
          <w:b/>
          <w:bCs/>
          <w:sz w:val="24"/>
        </w:rPr>
        <w:t>申请人的资格要求：</w:t>
      </w:r>
      <w:bookmarkEnd w:id="15"/>
      <w:bookmarkEnd w:id="16"/>
      <w:bookmarkEnd w:id="17"/>
      <w:bookmarkEnd w:id="18"/>
      <w:bookmarkStart w:id="19" w:name="_Hlk51746371"/>
    </w:p>
    <w:p w14:paraId="641C75A2">
      <w:pPr>
        <w:spacing w:line="360" w:lineRule="exact"/>
        <w:ind w:firstLine="420" w:firstLineChars="200"/>
        <w:rPr>
          <w:rFonts w:hint="eastAsia" w:ascii="宋体" w:hAnsi="宋体"/>
          <w:szCs w:val="21"/>
        </w:rPr>
      </w:pPr>
      <w:r>
        <w:rPr>
          <w:rFonts w:hint="eastAsia" w:ascii="宋体" w:hAnsi="宋体"/>
          <w:szCs w:val="21"/>
        </w:rPr>
        <w:t>1、满足《中华人民共和国政府采购法》第二十二条规定；</w:t>
      </w:r>
    </w:p>
    <w:p w14:paraId="32D9ADD5">
      <w:pPr>
        <w:spacing w:line="440" w:lineRule="atLeast"/>
        <w:ind w:firstLine="420" w:firstLineChars="200"/>
        <w:rPr>
          <w:rFonts w:hint="eastAsia" w:ascii="宋体" w:hAnsi="宋体" w:cs="宋体"/>
          <w:szCs w:val="21"/>
        </w:rPr>
      </w:pPr>
      <w:bookmarkStart w:id="20" w:name="_Toc28359081"/>
      <w:bookmarkStart w:id="21" w:name="_Toc28359004"/>
      <w:r>
        <w:rPr>
          <w:rFonts w:ascii="宋体" w:hAnsi="宋体"/>
          <w:szCs w:val="21"/>
        </w:rPr>
        <w:t>2</w:t>
      </w:r>
      <w:r>
        <w:rPr>
          <w:rFonts w:hint="eastAsia" w:ascii="宋体" w:hAnsi="宋体"/>
          <w:szCs w:val="21"/>
        </w:rPr>
        <w:t>、落实政府采购政策需满足的资格要求：</w:t>
      </w:r>
      <w:r>
        <w:rPr>
          <w:rFonts w:hint="eastAsia" w:ascii="宋体" w:hAnsi="宋体" w:cs="宋体"/>
          <w:szCs w:val="21"/>
        </w:rPr>
        <w:t>本项目属于部分预留份额专门面向中小企业采购的项目，预留预算总金额的30%专门面向中小企业采购，预留份额部分货物制造商（或服务提供商）应为中小型企业或监狱企业或残疾人福利性单位。</w:t>
      </w:r>
    </w:p>
    <w:p w14:paraId="5CBF475E">
      <w:pPr>
        <w:spacing w:line="440" w:lineRule="atLeast"/>
        <w:ind w:firstLine="420" w:firstLineChars="200"/>
        <w:rPr>
          <w:rFonts w:hint="eastAsia" w:ascii="宋体" w:hAnsi="宋体" w:eastAsia="宋体" w:cs="宋体"/>
          <w:szCs w:val="21"/>
          <w:lang w:val="en-US" w:eastAsia="zh-CN"/>
        </w:rPr>
      </w:pPr>
      <w:r>
        <w:rPr>
          <w:rFonts w:hint="eastAsia" w:ascii="宋体" w:hAnsi="宋体" w:cs="宋体"/>
          <w:szCs w:val="21"/>
          <w:lang w:val="en-US" w:eastAsia="zh-CN"/>
        </w:rPr>
        <w:t>3、本项目的特定资格要求：无</w:t>
      </w:r>
    </w:p>
    <w:bookmarkEnd w:id="19"/>
    <w:p w14:paraId="63EE8005">
      <w:pPr>
        <w:spacing w:line="360" w:lineRule="exact"/>
        <w:rPr>
          <w:rFonts w:hint="eastAsia" w:ascii="黑体" w:hAnsi="黑体" w:eastAsia="黑体"/>
          <w:b/>
          <w:bCs/>
          <w:sz w:val="24"/>
        </w:rPr>
      </w:pPr>
      <w:bookmarkStart w:id="22" w:name="_Toc35393623"/>
      <w:bookmarkStart w:id="23" w:name="_Toc35393792"/>
      <w:r>
        <w:rPr>
          <w:rFonts w:hint="eastAsia" w:ascii="黑体" w:hAnsi="黑体" w:eastAsia="黑体"/>
          <w:b/>
          <w:bCs/>
          <w:sz w:val="24"/>
        </w:rPr>
        <w:t>三、获取招标文件</w:t>
      </w:r>
      <w:bookmarkEnd w:id="20"/>
      <w:bookmarkEnd w:id="21"/>
      <w:bookmarkEnd w:id="22"/>
      <w:bookmarkEnd w:id="23"/>
    </w:p>
    <w:p w14:paraId="4FB23022">
      <w:pPr>
        <w:spacing w:line="360" w:lineRule="exact"/>
        <w:ind w:firstLine="420" w:firstLineChars="200"/>
        <w:rPr>
          <w:rFonts w:hint="eastAsia" w:ascii="宋体" w:hAnsi="宋体" w:cs="宋体"/>
          <w:bCs/>
          <w:kern w:val="0"/>
          <w:szCs w:val="21"/>
        </w:rPr>
      </w:pPr>
      <w:r>
        <w:rPr>
          <w:rFonts w:hint="eastAsia" w:ascii="宋体" w:hAnsi="宋体" w:cs="宋体"/>
          <w:bCs/>
          <w:kern w:val="0"/>
          <w:szCs w:val="21"/>
        </w:rPr>
        <w:t>时间：</w:t>
      </w:r>
      <w:r>
        <w:rPr>
          <w:rFonts w:hint="eastAsia" w:ascii="宋体" w:hAnsi="宋体" w:cs="Arial"/>
        </w:rPr>
        <w:t>2025年</w:t>
      </w:r>
      <w:r>
        <w:rPr>
          <w:rFonts w:hint="eastAsia" w:ascii="宋体" w:hAnsi="宋体" w:cs="Arial"/>
          <w:lang w:val="en-US" w:eastAsia="zh-CN"/>
        </w:rPr>
        <w:t>3</w:t>
      </w:r>
      <w:r>
        <w:rPr>
          <w:rFonts w:hint="eastAsia" w:ascii="宋体" w:hAnsi="宋体" w:cs="Arial"/>
        </w:rPr>
        <w:t>月</w:t>
      </w:r>
      <w:r>
        <w:rPr>
          <w:rFonts w:hint="eastAsia" w:ascii="宋体" w:hAnsi="宋体" w:cs="Arial"/>
          <w:lang w:val="en-US" w:eastAsia="zh-CN"/>
        </w:rPr>
        <w:t>14</w:t>
      </w:r>
      <w:r>
        <w:rPr>
          <w:rFonts w:hint="eastAsia" w:ascii="宋体" w:hAnsi="宋体" w:cs="Arial"/>
        </w:rPr>
        <w:t>日</w:t>
      </w:r>
      <w:r>
        <w:rPr>
          <w:rFonts w:hint="eastAsia" w:ascii="宋体" w:hAnsi="宋体" w:cs="Arial"/>
          <w:szCs w:val="21"/>
        </w:rPr>
        <w:t>至</w:t>
      </w:r>
      <w:r>
        <w:rPr>
          <w:rFonts w:hint="eastAsia" w:ascii="宋体" w:hAnsi="宋体" w:cs="Arial"/>
        </w:rPr>
        <w:t>2025年</w:t>
      </w:r>
      <w:r>
        <w:rPr>
          <w:rFonts w:hint="eastAsia" w:ascii="宋体" w:hAnsi="宋体" w:cs="Arial"/>
          <w:lang w:val="en-US" w:eastAsia="zh-CN"/>
        </w:rPr>
        <w:t>3</w:t>
      </w:r>
      <w:r>
        <w:rPr>
          <w:rFonts w:hint="eastAsia" w:ascii="宋体" w:hAnsi="宋体" w:cs="Arial"/>
        </w:rPr>
        <w:t>月</w:t>
      </w:r>
      <w:r>
        <w:rPr>
          <w:rFonts w:hint="eastAsia" w:ascii="宋体" w:hAnsi="宋体" w:cs="Arial"/>
          <w:lang w:val="en-US" w:eastAsia="zh-CN"/>
        </w:rPr>
        <w:t>21</w:t>
      </w:r>
      <w:r>
        <w:rPr>
          <w:rFonts w:hint="eastAsia" w:ascii="宋体" w:hAnsi="宋体" w:cs="Arial"/>
        </w:rPr>
        <w:t>日</w:t>
      </w:r>
      <w:r>
        <w:rPr>
          <w:rFonts w:hint="eastAsia" w:ascii="宋体" w:hAnsi="宋体" w:cs="Arial"/>
          <w:szCs w:val="21"/>
        </w:rPr>
        <w:t>，每天上午08:00-12:00；下午1</w:t>
      </w:r>
      <w:r>
        <w:rPr>
          <w:rFonts w:hint="eastAsia" w:ascii="宋体" w:hAnsi="宋体" w:cs="Arial"/>
        </w:rPr>
        <w:t>5</w:t>
      </w:r>
      <w:r>
        <w:rPr>
          <w:rFonts w:hint="eastAsia" w:ascii="宋体" w:hAnsi="宋体" w:cs="Arial"/>
          <w:szCs w:val="21"/>
        </w:rPr>
        <w:t>:</w:t>
      </w:r>
      <w:r>
        <w:rPr>
          <w:rFonts w:hint="eastAsia" w:ascii="宋体" w:hAnsi="宋体" w:cs="Arial"/>
        </w:rPr>
        <w:t>00</w:t>
      </w:r>
      <w:r>
        <w:rPr>
          <w:rFonts w:hint="eastAsia" w:ascii="宋体" w:hAnsi="宋体" w:cs="Arial"/>
          <w:szCs w:val="21"/>
        </w:rPr>
        <w:t>-18:</w:t>
      </w:r>
      <w:r>
        <w:rPr>
          <w:rFonts w:hint="eastAsia" w:ascii="宋体" w:hAnsi="宋体" w:cs="Arial"/>
        </w:rPr>
        <w:t>00</w:t>
      </w:r>
      <w:r>
        <w:rPr>
          <w:rFonts w:hint="eastAsia" w:ascii="宋体" w:hAnsi="宋体" w:cs="Arial"/>
          <w:szCs w:val="21"/>
        </w:rPr>
        <w:t>（北京时间，</w:t>
      </w:r>
      <w:r>
        <w:rPr>
          <w:rFonts w:ascii="宋体" w:hAnsi="宋体" w:cs="Arial"/>
          <w:szCs w:val="21"/>
        </w:rPr>
        <w:t>法定节假日</w:t>
      </w:r>
      <w:r>
        <w:rPr>
          <w:rFonts w:hint="eastAsia" w:ascii="宋体" w:hAnsi="宋体" w:cs="Arial"/>
          <w:szCs w:val="21"/>
        </w:rPr>
        <w:t>除外）。</w:t>
      </w:r>
    </w:p>
    <w:p w14:paraId="01ED6CE9">
      <w:pPr>
        <w:spacing w:line="360" w:lineRule="exact"/>
        <w:ind w:firstLine="420" w:firstLineChars="200"/>
        <w:rPr>
          <w:rFonts w:hint="eastAsia" w:ascii="宋体" w:hAnsi="宋体" w:cs="宋体"/>
          <w:bCs/>
          <w:kern w:val="0"/>
          <w:szCs w:val="21"/>
        </w:rPr>
      </w:pPr>
      <w:r>
        <w:rPr>
          <w:rFonts w:hint="eastAsia" w:ascii="宋体" w:hAnsi="宋体" w:cs="宋体"/>
          <w:bCs/>
          <w:kern w:val="0"/>
          <w:szCs w:val="21"/>
        </w:rPr>
        <w:t>地点：</w:t>
      </w:r>
      <w:r>
        <w:rPr>
          <w:rFonts w:hint="eastAsia" w:ascii="宋体" w:hAnsi="宋体"/>
          <w:szCs w:val="21"/>
        </w:rPr>
        <w:t>“广西政府采购云平台”（（https://www.gcy.zfcg.gxzf.gov.cn/）</w:t>
      </w:r>
    </w:p>
    <w:p w14:paraId="0C77D0FC">
      <w:pPr>
        <w:spacing w:line="360" w:lineRule="exact"/>
        <w:ind w:firstLine="420" w:firstLineChars="200"/>
        <w:rPr>
          <w:rFonts w:hint="eastAsia" w:ascii="宋体" w:hAnsi="宋体" w:cs="宋体"/>
          <w:bCs/>
          <w:kern w:val="0"/>
          <w:szCs w:val="21"/>
        </w:rPr>
      </w:pPr>
      <w:r>
        <w:rPr>
          <w:rFonts w:hint="eastAsia" w:ascii="宋体" w:hAnsi="宋体" w:cs="宋体"/>
          <w:bCs/>
          <w:kern w:val="0"/>
          <w:szCs w:val="21"/>
        </w:rPr>
        <w:t>方式：网上下载。本项目不发放纸质文件，供应商应自行在</w:t>
      </w:r>
      <w:r>
        <w:fldChar w:fldCharType="begin"/>
      </w:r>
      <w:r>
        <w:instrText xml:space="preserve">HYPERLINK</w:instrText>
      </w:r>
      <w:r>
        <w:fldChar w:fldCharType="separate"/>
      </w:r>
      <w:r>
        <w:fldChar w:fldCharType="end"/>
      </w:r>
      <w:r>
        <w:rPr>
          <w:rFonts w:hint="eastAsia" w:ascii="宋体" w:hAnsi="宋体"/>
          <w:szCs w:val="21"/>
        </w:rPr>
        <w:t>“广西政府采购云平台”（（https://www.gcy.zfcg.gxzf.gov.cn/）</w:t>
      </w:r>
      <w:r>
        <w:rPr>
          <w:rFonts w:hint="eastAsia" w:ascii="宋体" w:hAnsi="宋体" w:cs="宋体"/>
          <w:bCs/>
          <w:kern w:val="0"/>
          <w:szCs w:val="21"/>
        </w:rPr>
        <w:t>下载招标文件（操作路径：登录”广西政府采购云平台”-项目采购-获取采购文件-找到本项目-点击“申请获取采购文件”），电子投标文件制作需要基于”广西政府采购云平台”获取的招标文件编制。</w:t>
      </w:r>
    </w:p>
    <w:p w14:paraId="6B98F8B6">
      <w:pPr>
        <w:spacing w:line="360" w:lineRule="exact"/>
        <w:ind w:firstLine="420" w:firstLineChars="200"/>
        <w:rPr>
          <w:rFonts w:hint="eastAsia" w:ascii="宋体" w:hAnsi="宋体" w:cs="宋体"/>
          <w:szCs w:val="21"/>
        </w:rPr>
      </w:pPr>
      <w:r>
        <w:rPr>
          <w:rFonts w:hint="eastAsia" w:ascii="宋体" w:hAnsi="宋体" w:cs="宋体"/>
          <w:bCs/>
          <w:kern w:val="0"/>
          <w:szCs w:val="21"/>
        </w:rPr>
        <w:t>售价：0元。</w:t>
      </w:r>
    </w:p>
    <w:p w14:paraId="668A528B">
      <w:pPr>
        <w:spacing w:line="360" w:lineRule="exact"/>
        <w:rPr>
          <w:rFonts w:hint="eastAsia" w:ascii="黑体" w:hAnsi="黑体" w:eastAsia="黑体"/>
          <w:b/>
          <w:bCs/>
          <w:sz w:val="24"/>
        </w:rPr>
      </w:pPr>
      <w:bookmarkStart w:id="24" w:name="_Toc28359005"/>
      <w:bookmarkStart w:id="25" w:name="_Toc28359082"/>
      <w:bookmarkStart w:id="26" w:name="_Toc35393793"/>
      <w:bookmarkStart w:id="27" w:name="_Toc35393624"/>
      <w:r>
        <w:rPr>
          <w:rFonts w:hint="eastAsia" w:ascii="黑体" w:hAnsi="黑体" w:eastAsia="黑体"/>
          <w:b/>
          <w:bCs/>
          <w:sz w:val="24"/>
        </w:rPr>
        <w:t>四、提交投标文件</w:t>
      </w:r>
      <w:bookmarkEnd w:id="24"/>
      <w:bookmarkEnd w:id="25"/>
      <w:r>
        <w:rPr>
          <w:rFonts w:hint="eastAsia" w:ascii="黑体" w:hAnsi="黑体" w:eastAsia="黑体"/>
          <w:b/>
          <w:bCs/>
          <w:sz w:val="24"/>
        </w:rPr>
        <w:t>截止时间、开标时间和地点</w:t>
      </w:r>
      <w:bookmarkEnd w:id="26"/>
      <w:bookmarkEnd w:id="27"/>
    </w:p>
    <w:p w14:paraId="638D99E7">
      <w:pPr>
        <w:spacing w:line="360" w:lineRule="exact"/>
        <w:ind w:firstLine="420" w:firstLineChars="200"/>
        <w:rPr>
          <w:rFonts w:hint="eastAsia" w:ascii="宋体" w:hAnsi="宋体"/>
          <w:szCs w:val="21"/>
        </w:rPr>
      </w:pPr>
      <w:bookmarkStart w:id="28" w:name="_Toc35393794"/>
      <w:bookmarkStart w:id="29" w:name="_Toc28359084"/>
      <w:bookmarkStart w:id="30" w:name="_Toc35393625"/>
      <w:bookmarkStart w:id="31" w:name="_Toc28359007"/>
      <w:r>
        <w:rPr>
          <w:rFonts w:hint="eastAsia" w:ascii="宋体" w:hAnsi="宋体"/>
          <w:szCs w:val="21"/>
        </w:rPr>
        <w:t>1、提交投标文件</w:t>
      </w:r>
      <w:r>
        <w:rPr>
          <w:rFonts w:hint="eastAsia" w:ascii="宋体" w:hAnsi="宋体" w:cs="宋体"/>
          <w:szCs w:val="21"/>
        </w:rPr>
        <w:t>截止时间</w:t>
      </w:r>
      <w:r>
        <w:rPr>
          <w:rFonts w:hint="eastAsia" w:ascii="宋体" w:hAnsi="宋体"/>
          <w:szCs w:val="21"/>
        </w:rPr>
        <w:t>：</w:t>
      </w:r>
      <w:r>
        <w:rPr>
          <w:rFonts w:hint="eastAsia" w:ascii="宋体" w:hAnsi="宋体"/>
          <w:szCs w:val="21"/>
          <w:lang w:eastAsia="zh-CN"/>
        </w:rPr>
        <w:t>2025年4月3日9时00分</w:t>
      </w:r>
      <w:r>
        <w:rPr>
          <w:rFonts w:hint="eastAsia" w:ascii="宋体" w:hAnsi="宋体"/>
          <w:szCs w:val="21"/>
        </w:rPr>
        <w:t>（北京时间）</w:t>
      </w:r>
    </w:p>
    <w:p w14:paraId="4A5612FA">
      <w:pPr>
        <w:spacing w:line="360" w:lineRule="exact"/>
        <w:ind w:firstLine="420" w:firstLineChars="200"/>
        <w:rPr>
          <w:rFonts w:hint="eastAsia" w:ascii="宋体" w:hAnsi="宋体" w:cs="宋体"/>
          <w:szCs w:val="21"/>
        </w:rPr>
      </w:pPr>
      <w:r>
        <w:rPr>
          <w:rFonts w:hint="eastAsia" w:ascii="宋体" w:hAnsi="宋体"/>
          <w:szCs w:val="21"/>
        </w:rPr>
        <w:t>2、投标地点（网址）：请登录广西政府采购云平台投标客户端投标</w:t>
      </w:r>
    </w:p>
    <w:p w14:paraId="6322D56A">
      <w:pPr>
        <w:spacing w:line="360" w:lineRule="exact"/>
        <w:ind w:firstLine="420" w:firstLineChars="200"/>
        <w:rPr>
          <w:rFonts w:hint="eastAsia" w:ascii="宋体" w:hAnsi="宋体"/>
          <w:szCs w:val="21"/>
        </w:rPr>
      </w:pPr>
      <w:r>
        <w:rPr>
          <w:rFonts w:hint="eastAsia" w:ascii="宋体" w:hAnsi="宋体"/>
          <w:szCs w:val="21"/>
        </w:rPr>
        <w:t>3、开标时间：</w:t>
      </w:r>
      <w:r>
        <w:rPr>
          <w:rFonts w:hint="eastAsia" w:ascii="宋体" w:hAnsi="宋体"/>
          <w:szCs w:val="21"/>
          <w:lang w:eastAsia="zh-CN"/>
        </w:rPr>
        <w:t>2025年4月3日9时00分</w:t>
      </w:r>
      <w:r>
        <w:rPr>
          <w:rFonts w:hint="eastAsia" w:ascii="宋体" w:hAnsi="宋体"/>
          <w:szCs w:val="21"/>
        </w:rPr>
        <w:t>（北京时间）</w:t>
      </w:r>
    </w:p>
    <w:p w14:paraId="4A62201E">
      <w:pPr>
        <w:spacing w:line="360" w:lineRule="exact"/>
        <w:ind w:firstLine="420" w:firstLineChars="200"/>
        <w:rPr>
          <w:rFonts w:hint="eastAsia" w:ascii="宋体" w:hAnsi="宋体"/>
          <w:szCs w:val="21"/>
        </w:rPr>
      </w:pPr>
      <w:r>
        <w:rPr>
          <w:rFonts w:hint="eastAsia" w:ascii="宋体" w:hAnsi="宋体"/>
          <w:szCs w:val="21"/>
        </w:rPr>
        <w:t>4、开标地点：本项目将在广西政府采购云平台电子开标大厅解密、开标</w:t>
      </w:r>
    </w:p>
    <w:p w14:paraId="31770C38">
      <w:pPr>
        <w:spacing w:line="360" w:lineRule="exact"/>
        <w:rPr>
          <w:rFonts w:hint="eastAsia" w:ascii="黑体" w:hAnsi="黑体" w:eastAsia="黑体"/>
          <w:b/>
          <w:bCs/>
          <w:sz w:val="24"/>
        </w:rPr>
      </w:pPr>
      <w:r>
        <w:rPr>
          <w:rFonts w:hint="eastAsia" w:ascii="黑体" w:hAnsi="黑体" w:eastAsia="黑体"/>
          <w:b/>
          <w:bCs/>
          <w:sz w:val="24"/>
        </w:rPr>
        <w:t>五、公告期限</w:t>
      </w:r>
      <w:bookmarkEnd w:id="28"/>
      <w:bookmarkEnd w:id="29"/>
      <w:bookmarkEnd w:id="30"/>
      <w:bookmarkEnd w:id="31"/>
    </w:p>
    <w:p w14:paraId="3F1C9AB5">
      <w:pPr>
        <w:spacing w:line="360" w:lineRule="exact"/>
        <w:ind w:firstLine="420" w:firstLineChars="200"/>
        <w:rPr>
          <w:rFonts w:hint="eastAsia" w:ascii="宋体" w:hAnsi="宋体" w:cs="宋体"/>
          <w:kern w:val="0"/>
          <w:szCs w:val="21"/>
        </w:rPr>
      </w:pPr>
      <w:r>
        <w:rPr>
          <w:rFonts w:hint="eastAsia" w:ascii="宋体" w:hAnsi="宋体" w:cs="宋体"/>
          <w:kern w:val="0"/>
          <w:szCs w:val="21"/>
        </w:rPr>
        <w:t>自本公告发布之日起5个工作日。</w:t>
      </w:r>
    </w:p>
    <w:p w14:paraId="4767EDD7">
      <w:pPr>
        <w:spacing w:line="360" w:lineRule="exact"/>
        <w:rPr>
          <w:rFonts w:hint="eastAsia" w:ascii="黑体" w:hAnsi="黑体" w:eastAsia="黑体"/>
          <w:b/>
          <w:bCs/>
          <w:sz w:val="24"/>
        </w:rPr>
      </w:pPr>
      <w:bookmarkStart w:id="32" w:name="_Toc35393626"/>
      <w:bookmarkStart w:id="33" w:name="_Toc35393795"/>
      <w:r>
        <w:rPr>
          <w:rFonts w:hint="eastAsia" w:ascii="黑体" w:hAnsi="黑体" w:eastAsia="黑体"/>
          <w:b/>
          <w:bCs/>
          <w:sz w:val="24"/>
        </w:rPr>
        <w:t>六、其他补充事宜</w:t>
      </w:r>
      <w:bookmarkEnd w:id="32"/>
      <w:bookmarkEnd w:id="33"/>
    </w:p>
    <w:p w14:paraId="791C3402">
      <w:pPr>
        <w:spacing w:line="360" w:lineRule="exact"/>
        <w:ind w:firstLine="420" w:firstLineChars="200"/>
        <w:rPr>
          <w:rFonts w:hint="eastAsia" w:ascii="宋体" w:hAnsi="宋体" w:cs="宋体"/>
          <w:color w:val="auto"/>
          <w:kern w:val="0"/>
          <w:szCs w:val="21"/>
        </w:rPr>
      </w:pPr>
      <w:bookmarkStart w:id="34" w:name="_Hlk37429674"/>
      <w:r>
        <w:rPr>
          <w:rFonts w:hint="eastAsia" w:ascii="宋体" w:hAnsi="宋体" w:cs="宋体"/>
          <w:color w:val="auto"/>
          <w:kern w:val="0"/>
          <w:szCs w:val="21"/>
        </w:rPr>
        <w:t>1、投标保证金（人民币）：62000.00元。</w:t>
      </w:r>
    </w:p>
    <w:p w14:paraId="4A0427F0">
      <w:pPr>
        <w:spacing w:line="360" w:lineRule="exact"/>
        <w:ind w:firstLine="420" w:firstLineChars="200"/>
        <w:rPr>
          <w:rFonts w:hint="eastAsia" w:ascii="宋体" w:hAnsi="宋体" w:cs="宋体"/>
          <w:kern w:val="0"/>
          <w:szCs w:val="21"/>
        </w:rPr>
      </w:pPr>
      <w:r>
        <w:rPr>
          <w:rFonts w:hint="eastAsia" w:ascii="宋体" w:hAnsi="宋体" w:cs="宋体"/>
          <w:kern w:val="0"/>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C7CFBBB">
      <w:pPr>
        <w:spacing w:line="360" w:lineRule="exact"/>
        <w:ind w:firstLine="420" w:firstLineChars="200"/>
        <w:rPr>
          <w:rFonts w:hint="eastAsia" w:ascii="宋体" w:hAnsi="宋体" w:cs="宋体"/>
          <w:kern w:val="0"/>
          <w:szCs w:val="21"/>
        </w:rPr>
      </w:pPr>
      <w:r>
        <w:rPr>
          <w:rFonts w:hint="eastAsia" w:ascii="宋体" w:hAnsi="宋体" w:cs="宋体"/>
          <w:kern w:val="0"/>
          <w:szCs w:val="21"/>
        </w:rPr>
        <w:t>3、根据财政部《关于在政府采购活动中查询及使用信用记录有关问题的通知》（财库〔2016〕125号）的规定，对在“信用中国”网站(www.creditchina.gov.cn)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1D1EABC">
      <w:pPr>
        <w:spacing w:line="360" w:lineRule="exact"/>
        <w:ind w:firstLine="420" w:firstLineChars="200"/>
        <w:rPr>
          <w:rFonts w:hint="eastAsia" w:ascii="宋体" w:hAnsi="宋体" w:cs="宋体"/>
          <w:kern w:val="0"/>
          <w:szCs w:val="21"/>
        </w:rPr>
      </w:pPr>
      <w:r>
        <w:rPr>
          <w:rFonts w:hint="eastAsia" w:ascii="宋体" w:hAnsi="宋体" w:cs="宋体"/>
          <w:kern w:val="0"/>
          <w:szCs w:val="21"/>
        </w:rPr>
        <w:t>4、网上查询地址：中国政府采购网（www.ccgp.gov.cn）、广西壮族自治区政府采购网（zfcg.gxzf.gov.cn）、</w:t>
      </w:r>
      <w:r>
        <w:rPr>
          <w:rFonts w:hint="eastAsia" w:ascii="宋体" w:hAnsi="宋体" w:cs="宋体"/>
          <w:szCs w:val="21"/>
        </w:rPr>
        <w:t>全国公共资源交易平台（广西•博白）（http://ggzy.yulin.gov.cn）</w:t>
      </w:r>
      <w:r>
        <w:rPr>
          <w:rFonts w:hint="eastAsia" w:ascii="宋体" w:hAnsi="宋体" w:cs="宋体"/>
          <w:kern w:val="0"/>
          <w:szCs w:val="21"/>
        </w:rPr>
        <w:t>。</w:t>
      </w:r>
    </w:p>
    <w:p w14:paraId="6D26F1CE">
      <w:pPr>
        <w:spacing w:line="360" w:lineRule="exact"/>
        <w:ind w:firstLine="420" w:firstLineChars="200"/>
        <w:rPr>
          <w:rFonts w:hint="eastAsia" w:ascii="宋体" w:hAnsi="宋体" w:cs="宋体"/>
          <w:kern w:val="0"/>
          <w:szCs w:val="21"/>
        </w:rPr>
      </w:pPr>
      <w:r>
        <w:rPr>
          <w:rFonts w:hint="eastAsia" w:ascii="宋体" w:hAnsi="宋体" w:cs="宋体"/>
          <w:kern w:val="0"/>
          <w:szCs w:val="21"/>
        </w:rPr>
        <w:t>5、本项目需要落实的政府采购政策：</w:t>
      </w:r>
    </w:p>
    <w:p w14:paraId="0A175EEF">
      <w:pPr>
        <w:spacing w:line="360" w:lineRule="exact"/>
        <w:ind w:firstLine="420" w:firstLineChars="200"/>
        <w:rPr>
          <w:rFonts w:hint="eastAsia" w:ascii="宋体" w:hAnsi="宋体" w:cs="宋体"/>
          <w:kern w:val="0"/>
          <w:szCs w:val="21"/>
        </w:rPr>
      </w:pPr>
      <w:r>
        <w:rPr>
          <w:rFonts w:hint="eastAsia" w:ascii="宋体" w:hAnsi="宋体" w:cs="宋体"/>
          <w:kern w:val="0"/>
          <w:szCs w:val="21"/>
        </w:rPr>
        <w:t>（1）政府采购促进中小企业发展。</w:t>
      </w:r>
    </w:p>
    <w:p w14:paraId="3DA19B04">
      <w:pPr>
        <w:spacing w:line="360" w:lineRule="exact"/>
        <w:ind w:firstLine="420" w:firstLineChars="200"/>
        <w:rPr>
          <w:rFonts w:hint="eastAsia" w:ascii="宋体" w:hAnsi="宋体" w:cs="宋体"/>
          <w:kern w:val="0"/>
          <w:szCs w:val="21"/>
        </w:rPr>
      </w:pPr>
      <w:r>
        <w:rPr>
          <w:rFonts w:hint="eastAsia" w:ascii="宋体" w:hAnsi="宋体" w:cs="宋体"/>
          <w:kern w:val="0"/>
          <w:szCs w:val="21"/>
        </w:rPr>
        <w:t>（2）政府采购支持采用本国产品的政策。</w:t>
      </w:r>
    </w:p>
    <w:p w14:paraId="7BC4B806">
      <w:pPr>
        <w:spacing w:line="360" w:lineRule="exact"/>
        <w:ind w:firstLine="420" w:firstLineChars="200"/>
        <w:rPr>
          <w:rFonts w:hint="eastAsia" w:ascii="宋体" w:hAnsi="宋体" w:cs="宋体"/>
          <w:kern w:val="0"/>
          <w:szCs w:val="21"/>
        </w:rPr>
      </w:pPr>
      <w:r>
        <w:rPr>
          <w:rFonts w:hint="eastAsia" w:ascii="宋体" w:hAnsi="宋体" w:cs="宋体"/>
          <w:kern w:val="0"/>
          <w:szCs w:val="21"/>
        </w:rPr>
        <w:t>（3）强制采购节能产品；优先采购节能产品、环境标志产品。</w:t>
      </w:r>
    </w:p>
    <w:p w14:paraId="44D4BAA3">
      <w:pPr>
        <w:spacing w:line="360" w:lineRule="exact"/>
        <w:ind w:firstLine="420" w:firstLineChars="200"/>
        <w:rPr>
          <w:rFonts w:hint="eastAsia" w:ascii="宋体" w:hAnsi="宋体" w:cs="宋体"/>
          <w:kern w:val="0"/>
          <w:szCs w:val="21"/>
        </w:rPr>
      </w:pPr>
      <w:r>
        <w:rPr>
          <w:rFonts w:hint="eastAsia" w:ascii="宋体" w:hAnsi="宋体" w:cs="宋体"/>
          <w:kern w:val="0"/>
          <w:szCs w:val="21"/>
        </w:rPr>
        <w:t>（4）政府采购促进残疾人就业政策。</w:t>
      </w:r>
    </w:p>
    <w:p w14:paraId="3008CDD1">
      <w:pPr>
        <w:spacing w:line="360" w:lineRule="exact"/>
        <w:ind w:firstLine="420" w:firstLineChars="200"/>
        <w:rPr>
          <w:rFonts w:hint="eastAsia" w:ascii="宋体" w:hAnsi="宋体" w:cs="宋体"/>
          <w:kern w:val="0"/>
          <w:szCs w:val="21"/>
        </w:rPr>
      </w:pPr>
      <w:r>
        <w:rPr>
          <w:rFonts w:hint="eastAsia" w:ascii="宋体" w:hAnsi="宋体" w:cs="宋体"/>
          <w:kern w:val="0"/>
          <w:szCs w:val="21"/>
        </w:rPr>
        <w:t>（5）政府采购支持监狱企业发展。</w:t>
      </w:r>
    </w:p>
    <w:p w14:paraId="5CCC9328">
      <w:pPr>
        <w:widowControl/>
        <w:spacing w:line="360" w:lineRule="exact"/>
        <w:ind w:firstLine="420" w:firstLineChars="200"/>
        <w:rPr>
          <w:rFonts w:hint="eastAsia" w:ascii="宋体" w:hAnsi="宋体" w:cs="宋体"/>
          <w:szCs w:val="21"/>
        </w:rPr>
      </w:pPr>
      <w:r>
        <w:rPr>
          <w:rFonts w:hint="eastAsia" w:ascii="宋体" w:hAnsi="宋体" w:cs="宋体"/>
          <w:szCs w:val="21"/>
        </w:rPr>
        <w:t>6、投标注意事项：</w:t>
      </w:r>
    </w:p>
    <w:p w14:paraId="2F364345">
      <w:pPr>
        <w:widowControl/>
        <w:spacing w:line="360" w:lineRule="exact"/>
        <w:ind w:firstLine="420" w:firstLineChars="200"/>
        <w:rPr>
          <w:rFonts w:hint="eastAsia" w:ascii="宋体" w:hAnsi="宋体" w:cs="宋体"/>
          <w:bCs/>
          <w:szCs w:val="21"/>
        </w:rPr>
      </w:pPr>
      <w:r>
        <w:rPr>
          <w:rFonts w:hint="eastAsia" w:ascii="宋体" w:hAnsi="宋体" w:cs="宋体"/>
          <w:szCs w:val="21"/>
        </w:rPr>
        <w:t>（1）投标文件提交方式：本项目为全流程电子化政府采购项目，通过”广西政府采购云平台”（（https://www.gcy.zfcg.gxzf.gov.cn/）实行在线电子投标，供应商应先安装“政采云电子交易客户端”（请自行前往”广西政府采购云平台”进行下载），并按照本项目招标文件和”广西政府采购云平台”的要求编制、加密后在投标截止时间前通过网络上传至”广西政府采购云平台”，</w:t>
      </w:r>
      <w:r>
        <w:rPr>
          <w:rFonts w:hint="eastAsia" w:ascii="宋体" w:hAnsi="宋体" w:cs="宋体"/>
          <w:b/>
          <w:szCs w:val="21"/>
        </w:rPr>
        <w:t>供应商在”广西政府采购云平台”提交电子版投标文件时，请填写参加远程开标活动经办人联系方式。</w:t>
      </w:r>
    </w:p>
    <w:p w14:paraId="4FBF6A75">
      <w:pPr>
        <w:widowControl/>
        <w:spacing w:line="360" w:lineRule="exact"/>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供应商应及时熟悉掌握电子标系统操作指南（见政采云电子卖场首页右上角—服务中心—帮助文档—项目采购）：</w:t>
      </w:r>
      <w:r>
        <w:fldChar w:fldCharType="begin"/>
      </w:r>
      <w:r>
        <w:instrText xml:space="preserve"> HYPERLINK "https://service.zcygov.cn/" \l "/knowledges/tree?tag=AG1DtGwBFdiHxlNdhY0r" </w:instrText>
      </w:r>
      <w:r>
        <w:fldChar w:fldCharType="separate"/>
      </w:r>
      <w:r>
        <w:rPr>
          <w:rFonts w:ascii="宋体" w:hAnsi="宋体" w:cs="宋体"/>
          <w:szCs w:val="21"/>
        </w:rPr>
        <w:t>https://service.zcygov.cn/#/knowledges/tree?tag=AG1DtGwBFdiHxlNdhY0r</w:t>
      </w:r>
      <w:r>
        <w:rPr>
          <w:rFonts w:ascii="宋体" w:hAnsi="宋体" w:cs="宋体"/>
          <w:szCs w:val="21"/>
        </w:rPr>
        <w:fldChar w:fldCharType="end"/>
      </w:r>
      <w:r>
        <w:rPr>
          <w:rFonts w:hint="eastAsia" w:ascii="宋体" w:hAnsi="宋体" w:cs="宋体"/>
          <w:szCs w:val="21"/>
        </w:rPr>
        <w:t>；</w:t>
      </w:r>
      <w:r>
        <w:rPr>
          <w:rFonts w:ascii="宋体" w:hAnsi="宋体" w:cs="宋体"/>
          <w:szCs w:val="21"/>
        </w:rPr>
        <w:t>及时完成CA申领和绑定（见广西壮族自治区政府采购网—办事服务—下载专区-政采云CA证书办理操作指南）。</w:t>
      </w:r>
    </w:p>
    <w:p w14:paraId="7D63F3C6">
      <w:pPr>
        <w:widowControl/>
        <w:spacing w:line="360" w:lineRule="exact"/>
        <w:ind w:firstLine="420" w:firstLineChars="200"/>
        <w:rPr>
          <w:rFonts w:hint="eastAsia" w:ascii="宋体" w:hAnsi="宋体" w:cs="宋体"/>
          <w:szCs w:val="21"/>
        </w:rPr>
      </w:pPr>
      <w:r>
        <w:rPr>
          <w:rFonts w:hint="eastAsia" w:ascii="宋体" w:hAnsi="宋体" w:cs="宋体"/>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7E8BFAFF">
      <w:pPr>
        <w:widowControl/>
        <w:spacing w:line="360" w:lineRule="exact"/>
        <w:ind w:firstLine="420" w:firstLineChars="200"/>
        <w:rPr>
          <w:rFonts w:hint="eastAsia" w:ascii="宋体" w:hAnsi="宋体" w:cs="宋体"/>
          <w:szCs w:val="21"/>
        </w:rPr>
      </w:pPr>
      <w:r>
        <w:rPr>
          <w:rFonts w:hint="eastAsia" w:ascii="宋体" w:hAnsi="宋体" w:cs="宋体"/>
          <w:szCs w:val="21"/>
        </w:rPr>
        <w:t>（4）为确保网上操作合法、有效和安全，请投标人确保在电子投标过程中能够对相关数据电文进行加密和使用电子签章，妥善保管CA数字证书并使用有效的CA数字证书参与整个采购活动。</w:t>
      </w:r>
    </w:p>
    <w:p w14:paraId="5B290371">
      <w:pPr>
        <w:spacing w:line="360" w:lineRule="exact"/>
        <w:ind w:firstLine="422" w:firstLineChars="200"/>
        <w:rPr>
          <w:rFonts w:hint="eastAsia" w:ascii="宋体" w:hAnsi="宋体" w:cs="宋体"/>
          <w:b/>
          <w:bCs/>
          <w:szCs w:val="21"/>
        </w:rPr>
      </w:pPr>
      <w:r>
        <w:rPr>
          <w:rFonts w:hint="eastAsia" w:ascii="宋体" w:hAnsi="宋体" w:cs="宋体"/>
          <w:b/>
          <w:bCs/>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4F75FB2A">
      <w:pPr>
        <w:snapToGrid w:val="0"/>
        <w:spacing w:line="360" w:lineRule="exact"/>
        <w:ind w:firstLine="420" w:firstLineChars="200"/>
        <w:rPr>
          <w:rFonts w:hint="eastAsia" w:ascii="宋体" w:hAnsi="宋体" w:cs="宋体"/>
          <w:kern w:val="0"/>
          <w:szCs w:val="21"/>
        </w:rPr>
      </w:pPr>
      <w:r>
        <w:rPr>
          <w:rFonts w:hint="eastAsia" w:ascii="宋体" w:hAnsi="宋体" w:cs="宋体"/>
          <w:kern w:val="0"/>
          <w:szCs w:val="21"/>
        </w:rPr>
        <w:t>7、CA证书在线解密：供应商投标时，需携带制作投标文件时用来加密的有效数字证书（CA认证）登录”广西政府采购云平台”电子开标大厅现场按规定时间对加密的投标文件进行解密，否则后果自负。</w:t>
      </w:r>
    </w:p>
    <w:p w14:paraId="7C31506C">
      <w:pPr>
        <w:snapToGrid w:val="0"/>
        <w:spacing w:line="360" w:lineRule="exact"/>
        <w:ind w:firstLine="420" w:firstLineChars="200"/>
        <w:rPr>
          <w:rFonts w:hint="eastAsia" w:ascii="宋体" w:hAnsi="宋体" w:cs="宋体"/>
          <w:kern w:val="0"/>
          <w:szCs w:val="21"/>
        </w:rPr>
      </w:pPr>
      <w:r>
        <w:rPr>
          <w:rFonts w:hint="eastAsia" w:ascii="宋体" w:hAnsi="宋体" w:cs="宋体"/>
          <w:kern w:val="0"/>
          <w:szCs w:val="21"/>
        </w:rPr>
        <w:t>8、若对项目采购电子交易系统操作有疑问，可登录”广西政府采购云平台”（（https://www.gcy.zfcg.gxzf.gov.cn/），点击右侧咨询小采，获取采小蜜智能服务管家帮助，或拨打政采云服务热线400-881-7190获取热线服务帮助。</w:t>
      </w:r>
    </w:p>
    <w:p w14:paraId="0AE73B18">
      <w:pPr>
        <w:snapToGrid w:val="0"/>
        <w:spacing w:line="360" w:lineRule="exact"/>
        <w:ind w:firstLine="420" w:firstLineChars="200"/>
        <w:rPr>
          <w:rFonts w:hint="eastAsia" w:ascii="宋体" w:hAnsi="宋体" w:cs="宋体"/>
          <w:kern w:val="0"/>
          <w:szCs w:val="21"/>
        </w:rPr>
      </w:pPr>
      <w:r>
        <w:rPr>
          <w:rFonts w:hint="eastAsia" w:ascii="宋体" w:hAnsi="宋体" w:cs="宋体"/>
          <w:kern w:val="0"/>
          <w:szCs w:val="21"/>
        </w:rPr>
        <w:t>9、评审方式：本项目采用远程异地评审。</w:t>
      </w:r>
    </w:p>
    <w:bookmarkEnd w:id="34"/>
    <w:p w14:paraId="63D2C4EF">
      <w:pPr>
        <w:spacing w:line="360" w:lineRule="exact"/>
        <w:ind w:firstLine="420" w:firstLineChars="200"/>
        <w:rPr>
          <w:rFonts w:hint="eastAsia" w:ascii="宋体" w:hAnsi="宋体" w:cs="宋体"/>
          <w:color w:val="000000"/>
          <w:szCs w:val="21"/>
        </w:rPr>
      </w:pPr>
      <w:bookmarkStart w:id="35" w:name="_Toc35393627"/>
      <w:bookmarkStart w:id="36" w:name="_Toc28359085"/>
      <w:bookmarkStart w:id="37" w:name="_Toc35393796"/>
      <w:bookmarkStart w:id="38" w:name="_Toc28359008"/>
      <w:r>
        <w:rPr>
          <w:rFonts w:hint="eastAsia" w:ascii="宋体" w:hAnsi="宋体" w:cs="宋体"/>
          <w:color w:val="000000"/>
          <w:szCs w:val="21"/>
        </w:rPr>
        <w:t>10、监督部门：博白县政府采购监督管理办公室  0775-8331612</w:t>
      </w:r>
    </w:p>
    <w:p w14:paraId="27D9EE06">
      <w:pPr>
        <w:spacing w:line="360" w:lineRule="exact"/>
        <w:rPr>
          <w:rFonts w:hint="eastAsia" w:ascii="黑体" w:hAnsi="黑体" w:eastAsia="黑体"/>
          <w:b/>
          <w:bCs/>
          <w:sz w:val="24"/>
        </w:rPr>
      </w:pPr>
      <w:r>
        <w:rPr>
          <w:rFonts w:hint="eastAsia" w:ascii="黑体" w:hAnsi="黑体" w:eastAsia="黑体"/>
          <w:b/>
          <w:bCs/>
          <w:sz w:val="24"/>
        </w:rPr>
        <w:t>七、对本次招标提出询问，请按</w:t>
      </w:r>
      <w:r>
        <w:rPr>
          <w:rFonts w:ascii="黑体" w:hAnsi="黑体" w:eastAsia="黑体"/>
          <w:b/>
          <w:bCs/>
          <w:sz w:val="24"/>
        </w:rPr>
        <w:t>以下方式</w:t>
      </w:r>
      <w:r>
        <w:rPr>
          <w:rFonts w:hint="eastAsia" w:ascii="黑体" w:hAnsi="黑体" w:eastAsia="黑体"/>
          <w:b/>
          <w:bCs/>
          <w:sz w:val="24"/>
        </w:rPr>
        <w:t>联系。</w:t>
      </w:r>
      <w:bookmarkEnd w:id="35"/>
      <w:bookmarkEnd w:id="36"/>
      <w:bookmarkEnd w:id="37"/>
      <w:bookmarkEnd w:id="38"/>
    </w:p>
    <w:p w14:paraId="6E8D36EA">
      <w:pPr>
        <w:spacing w:line="360" w:lineRule="exact"/>
        <w:ind w:firstLine="567" w:firstLineChars="270"/>
        <w:jc w:val="left"/>
        <w:rPr>
          <w:rFonts w:hint="eastAsia" w:ascii="宋体" w:hAnsi="宋体" w:cs="宋体"/>
          <w:szCs w:val="21"/>
        </w:rPr>
      </w:pPr>
      <w:r>
        <w:rPr>
          <w:rFonts w:hint="eastAsia" w:ascii="宋体" w:hAnsi="宋体" w:cs="宋体"/>
          <w:szCs w:val="21"/>
        </w:rPr>
        <w:t xml:space="preserve">1.采购人信息                            </w:t>
      </w:r>
      <w:r>
        <w:rPr>
          <w:rFonts w:hint="eastAsia" w:ascii="宋体" w:hAnsi="宋体" w:cs="Arial"/>
        </w:rPr>
        <w:t xml:space="preserve"> </w:t>
      </w:r>
    </w:p>
    <w:p w14:paraId="3A80ADF0">
      <w:pPr>
        <w:spacing w:line="360" w:lineRule="exact"/>
        <w:ind w:firstLine="567" w:firstLineChars="270"/>
        <w:rPr>
          <w:rFonts w:hint="eastAsia" w:ascii="宋体" w:hAnsi="宋体"/>
          <w:szCs w:val="21"/>
        </w:rPr>
      </w:pPr>
      <w:r>
        <w:rPr>
          <w:rFonts w:hint="eastAsia" w:ascii="宋体" w:hAnsi="宋体"/>
          <w:szCs w:val="21"/>
        </w:rPr>
        <w:t>名 称：</w:t>
      </w:r>
      <w:r>
        <w:rPr>
          <w:rFonts w:hint="eastAsia" w:ascii="宋体" w:hAnsi="宋体" w:cs="Arial"/>
        </w:rPr>
        <w:t xml:space="preserve">博白县第二人民医院                </w:t>
      </w:r>
    </w:p>
    <w:p w14:paraId="759D9EA2">
      <w:pPr>
        <w:spacing w:line="360" w:lineRule="exact"/>
        <w:ind w:firstLine="567" w:firstLineChars="270"/>
        <w:rPr>
          <w:rFonts w:hint="eastAsia" w:ascii="宋体" w:hAnsi="宋体" w:cs="宋体"/>
          <w:szCs w:val="21"/>
        </w:rPr>
      </w:pPr>
      <w:r>
        <w:rPr>
          <w:rFonts w:hint="eastAsia" w:ascii="宋体" w:hAnsi="宋体" w:cs="Arial"/>
        </w:rPr>
        <w:t>地址：</w:t>
      </w:r>
      <w:r>
        <w:rPr>
          <w:rFonts w:hint="eastAsia" w:ascii="宋体" w:hAnsi="宋体" w:cs="宋体"/>
          <w:szCs w:val="21"/>
        </w:rPr>
        <w:t xml:space="preserve">龙港新区玉林龙潭产业园区白树大道南侧（博白县龙潭镇）  </w:t>
      </w:r>
    </w:p>
    <w:p w14:paraId="3ADBB3DF">
      <w:pPr>
        <w:spacing w:line="360" w:lineRule="exact"/>
        <w:ind w:firstLine="567" w:firstLineChars="270"/>
        <w:rPr>
          <w:rFonts w:hint="eastAsia" w:ascii="宋体" w:hAnsi="宋体" w:cs="Arial"/>
        </w:rPr>
      </w:pPr>
      <w:r>
        <w:rPr>
          <w:rFonts w:hint="eastAsia" w:ascii="宋体" w:hAnsi="宋体" w:cs="宋体"/>
          <w:color w:val="FF0000"/>
          <w:szCs w:val="21"/>
        </w:rPr>
        <w:t xml:space="preserve"> </w:t>
      </w:r>
      <w:r>
        <w:rPr>
          <w:rFonts w:hint="eastAsia" w:ascii="宋体" w:hAnsi="宋体" w:cs="Arial"/>
        </w:rPr>
        <w:t>联系人：黄日华</w:t>
      </w:r>
    </w:p>
    <w:p w14:paraId="19905824">
      <w:pPr>
        <w:spacing w:line="360" w:lineRule="exact"/>
        <w:ind w:firstLine="567" w:firstLineChars="270"/>
        <w:rPr>
          <w:rFonts w:hint="eastAsia" w:ascii="宋体" w:hAnsi="宋体" w:cs="Arial"/>
        </w:rPr>
      </w:pPr>
      <w:r>
        <w:rPr>
          <w:rFonts w:hint="eastAsia" w:ascii="宋体" w:hAnsi="宋体" w:cs="Arial"/>
        </w:rPr>
        <w:t>联系方式：</w:t>
      </w:r>
      <w:r>
        <w:rPr>
          <w:rFonts w:hint="eastAsia" w:ascii="宋体" w:hAnsi="宋体" w:cs="宋体"/>
          <w:szCs w:val="21"/>
        </w:rPr>
        <w:t xml:space="preserve">0775-8529376                     </w:t>
      </w:r>
    </w:p>
    <w:p w14:paraId="519226A8">
      <w:pPr>
        <w:spacing w:line="360" w:lineRule="exact"/>
        <w:ind w:firstLine="567" w:firstLineChars="270"/>
        <w:rPr>
          <w:rFonts w:hint="eastAsia" w:ascii="宋体" w:hAnsi="宋体" w:cs="Arial"/>
        </w:rPr>
      </w:pPr>
      <w:r>
        <w:rPr>
          <w:rFonts w:hint="eastAsia" w:ascii="宋体" w:hAnsi="宋体"/>
          <w:szCs w:val="21"/>
        </w:rPr>
        <w:t>2.采购代理机构信息</w:t>
      </w:r>
      <w:r>
        <w:rPr>
          <w:rFonts w:hint="eastAsia" w:ascii="宋体" w:hAnsi="宋体" w:cs="Arial"/>
        </w:rPr>
        <w:t xml:space="preserve"> </w:t>
      </w:r>
    </w:p>
    <w:p w14:paraId="6EE1E31B">
      <w:pPr>
        <w:spacing w:line="360" w:lineRule="exact"/>
        <w:ind w:firstLine="567" w:firstLineChars="270"/>
        <w:rPr>
          <w:rFonts w:hint="eastAsia" w:ascii="宋体" w:hAnsi="宋体" w:cs="宋体"/>
          <w:color w:val="FF0000"/>
          <w:szCs w:val="21"/>
        </w:rPr>
      </w:pPr>
      <w:r>
        <w:rPr>
          <w:rFonts w:hint="eastAsia" w:ascii="宋体" w:hAnsi="宋体"/>
          <w:szCs w:val="21"/>
        </w:rPr>
        <w:t>名 称：</w:t>
      </w:r>
      <w:r>
        <w:rPr>
          <w:rFonts w:hint="eastAsia" w:ascii="宋体" w:hAnsi="宋体" w:cs="Arial"/>
          <w:szCs w:val="21"/>
        </w:rPr>
        <w:t>广西誉采招标咨询有限公司</w:t>
      </w:r>
      <w:r>
        <w:rPr>
          <w:rFonts w:hint="eastAsia" w:ascii="宋体" w:hAnsi="宋体" w:cs="Arial"/>
        </w:rPr>
        <w:t xml:space="preserve">                                     </w:t>
      </w:r>
      <w:r>
        <w:rPr>
          <w:rFonts w:hint="eastAsia" w:ascii="宋体" w:hAnsi="宋体" w:cs="宋体"/>
          <w:color w:val="FF0000"/>
          <w:szCs w:val="21"/>
        </w:rPr>
        <w:t xml:space="preserve">             </w:t>
      </w:r>
    </w:p>
    <w:p w14:paraId="6AD2681C">
      <w:pPr>
        <w:spacing w:line="360" w:lineRule="exact"/>
        <w:ind w:firstLine="567" w:firstLineChars="270"/>
        <w:rPr>
          <w:rFonts w:hint="eastAsia" w:ascii="宋体" w:hAnsi="宋体" w:cs="Arial"/>
        </w:rPr>
      </w:pPr>
      <w:r>
        <w:rPr>
          <w:rFonts w:hint="eastAsia" w:ascii="宋体" w:hAnsi="宋体"/>
          <w:szCs w:val="21"/>
        </w:rPr>
        <w:t>地　址：</w:t>
      </w:r>
      <w:r>
        <w:rPr>
          <w:rFonts w:hint="eastAsia" w:ascii="宋体" w:hAnsi="宋体" w:cs="宋体"/>
          <w:szCs w:val="21"/>
        </w:rPr>
        <w:t>广西玉林市民主北路东侧7栋3号</w:t>
      </w:r>
    </w:p>
    <w:p w14:paraId="24F0EA31">
      <w:pPr>
        <w:spacing w:line="360" w:lineRule="exact"/>
        <w:ind w:firstLine="567" w:firstLineChars="270"/>
        <w:rPr>
          <w:rFonts w:hint="eastAsia" w:ascii="宋体" w:hAnsi="宋体" w:eastAsia="宋体" w:cs="Arial"/>
          <w:lang w:eastAsia="zh-CN"/>
        </w:rPr>
      </w:pPr>
      <w:r>
        <w:rPr>
          <w:rFonts w:hint="eastAsia" w:hAnsi="宋体"/>
        </w:rPr>
        <w:t>联系人：</w:t>
      </w:r>
      <w:r>
        <w:rPr>
          <w:rFonts w:hint="eastAsia" w:hAnsi="宋体"/>
          <w:lang w:eastAsia="zh-CN"/>
        </w:rPr>
        <w:t>林霞</w:t>
      </w:r>
    </w:p>
    <w:p w14:paraId="4955228E">
      <w:pPr>
        <w:spacing w:line="360" w:lineRule="exact"/>
        <w:ind w:firstLine="567" w:firstLineChars="270"/>
        <w:jc w:val="left"/>
        <w:rPr>
          <w:rFonts w:hint="eastAsia" w:hAnsi="宋体"/>
        </w:rPr>
      </w:pPr>
      <w:r>
        <w:rPr>
          <w:rFonts w:hint="eastAsia" w:ascii="宋体" w:hAnsi="宋体" w:cs="Arial"/>
        </w:rPr>
        <w:t>联系方式：</w:t>
      </w:r>
      <w:bookmarkStart w:id="39" w:name="_Toc28359009"/>
      <w:bookmarkStart w:id="40" w:name="_Toc28359086"/>
      <w:r>
        <w:rPr>
          <w:rFonts w:hint="eastAsia" w:ascii="宋体" w:hAnsi="宋体" w:cs="Arial"/>
        </w:rPr>
        <w:t>0775-</w:t>
      </w:r>
      <w:bookmarkEnd w:id="39"/>
      <w:bookmarkEnd w:id="40"/>
      <w:r>
        <w:rPr>
          <w:rFonts w:ascii="宋体" w:hAnsi="宋体" w:cs="Arial"/>
        </w:rPr>
        <w:t>2832750</w:t>
      </w:r>
      <w:r>
        <w:rPr>
          <w:rFonts w:hint="eastAsia" w:ascii="宋体" w:hAnsi="宋体" w:cs="Arial"/>
        </w:rPr>
        <w:t xml:space="preserve">                   </w:t>
      </w:r>
    </w:p>
    <w:p w14:paraId="621B89BC">
      <w:pPr>
        <w:spacing w:line="440" w:lineRule="atLeast"/>
        <w:ind w:firstLine="6195" w:firstLineChars="2950"/>
        <w:rPr>
          <w:rFonts w:hint="eastAsia" w:ascii="宋体" w:hAnsi="宋体" w:cs="Arial"/>
          <w:szCs w:val="21"/>
        </w:rPr>
      </w:pPr>
    </w:p>
    <w:p w14:paraId="557FDD91">
      <w:pPr>
        <w:spacing w:line="400" w:lineRule="atLeast"/>
        <w:ind w:firstLine="6405" w:firstLineChars="3050"/>
        <w:rPr>
          <w:rFonts w:hint="eastAsia" w:ascii="宋体" w:hAnsi="宋体" w:cs="Arial"/>
          <w:szCs w:val="21"/>
        </w:rPr>
      </w:pPr>
    </w:p>
    <w:p w14:paraId="2563EF93">
      <w:pPr>
        <w:spacing w:line="400" w:lineRule="atLeast"/>
        <w:ind w:firstLine="6405" w:firstLineChars="3050"/>
        <w:rPr>
          <w:rFonts w:hint="eastAsia" w:ascii="宋体" w:hAnsi="宋体" w:cs="Arial"/>
          <w:szCs w:val="21"/>
        </w:rPr>
      </w:pPr>
    </w:p>
    <w:p w14:paraId="05EAA376">
      <w:pPr>
        <w:spacing w:line="400" w:lineRule="atLeast"/>
        <w:ind w:firstLine="6405" w:firstLineChars="3050"/>
        <w:rPr>
          <w:rFonts w:hint="eastAsia" w:ascii="宋体" w:hAnsi="宋体" w:cs="Arial"/>
          <w:szCs w:val="21"/>
        </w:rPr>
      </w:pPr>
    </w:p>
    <w:p w14:paraId="158D9D2B">
      <w:pPr>
        <w:spacing w:line="400" w:lineRule="atLeast"/>
        <w:ind w:firstLine="6405" w:firstLineChars="3050"/>
        <w:rPr>
          <w:rFonts w:hint="eastAsia" w:ascii="宋体" w:hAnsi="宋体"/>
          <w:szCs w:val="21"/>
        </w:rPr>
      </w:pPr>
      <w:r>
        <w:rPr>
          <w:rFonts w:hint="eastAsia" w:ascii="宋体" w:hAnsi="宋体" w:cs="Arial"/>
          <w:szCs w:val="21"/>
        </w:rPr>
        <w:t>广西誉采招标咨询有限公司</w:t>
      </w:r>
    </w:p>
    <w:p w14:paraId="74D3300B">
      <w:pPr>
        <w:snapToGrid w:val="0"/>
        <w:spacing w:line="400" w:lineRule="atLeast"/>
        <w:ind w:left="238"/>
        <w:rPr>
          <w:rFonts w:hint="eastAsia" w:ascii="宋体" w:hAnsi="宋体"/>
        </w:rPr>
      </w:pPr>
      <w:r>
        <w:rPr>
          <w:rFonts w:hint="eastAsia"/>
        </w:rPr>
        <w:t xml:space="preserve">                                                           </w:t>
      </w:r>
      <w:r>
        <w:rPr>
          <w:rFonts w:hint="eastAsia" w:ascii="宋体" w:hAnsi="宋体"/>
        </w:rPr>
        <w:t xml:space="preserve">   2025年</w:t>
      </w:r>
      <w:r>
        <w:rPr>
          <w:rFonts w:hint="eastAsia" w:ascii="宋体" w:hAnsi="宋体"/>
          <w:lang w:val="en-US" w:eastAsia="zh-CN"/>
        </w:rPr>
        <w:t>3</w:t>
      </w:r>
      <w:r>
        <w:rPr>
          <w:rFonts w:hint="eastAsia" w:ascii="宋体" w:hAnsi="宋体"/>
        </w:rPr>
        <w:t>月</w:t>
      </w:r>
      <w:r>
        <w:rPr>
          <w:rFonts w:hint="eastAsia" w:ascii="宋体" w:hAnsi="宋体"/>
          <w:lang w:val="en-US" w:eastAsia="zh-CN"/>
        </w:rPr>
        <w:t>13</w:t>
      </w:r>
      <w:r>
        <w:rPr>
          <w:rFonts w:hint="eastAsia" w:ascii="宋体" w:hAnsi="宋体"/>
        </w:rPr>
        <w:t>日</w:t>
      </w:r>
    </w:p>
    <w:p w14:paraId="64E70364">
      <w:pPr>
        <w:pStyle w:val="2"/>
        <w:numPr>
          <w:ilvl w:val="0"/>
          <w:numId w:val="3"/>
        </w:numPr>
        <w:spacing w:line="240" w:lineRule="auto"/>
        <w:jc w:val="center"/>
        <w:rPr>
          <w:sz w:val="32"/>
          <w:szCs w:val="32"/>
        </w:rPr>
      </w:pPr>
      <w:bookmarkStart w:id="41" w:name="_Toc74320801"/>
      <w:r>
        <w:rPr>
          <w:rFonts w:hint="eastAsia"/>
          <w:sz w:val="32"/>
          <w:szCs w:val="32"/>
        </w:rPr>
        <w:t xml:space="preserve"> 采购需求</w:t>
      </w:r>
      <w:bookmarkEnd w:id="41"/>
    </w:p>
    <w:bookmarkEnd w:id="6"/>
    <w:bookmarkEnd w:id="7"/>
    <w:p w14:paraId="0D79F4AA">
      <w:pPr>
        <w:pStyle w:val="2"/>
        <w:numPr>
          <w:ilvl w:val="0"/>
          <w:numId w:val="4"/>
        </w:numPr>
        <w:spacing w:before="120" w:after="120" w:line="400" w:lineRule="exact"/>
        <w:rPr>
          <w:rFonts w:hint="eastAsia" w:ascii="宋体" w:hAnsi="宋体"/>
          <w:sz w:val="28"/>
          <w:szCs w:val="28"/>
        </w:rPr>
      </w:pPr>
      <w:bookmarkStart w:id="42" w:name="_Toc5555"/>
      <w:bookmarkStart w:id="43" w:name="_Toc74320802"/>
      <w:r>
        <w:rPr>
          <w:rFonts w:hint="eastAsia" w:ascii="宋体" w:hAnsi="宋体"/>
          <w:sz w:val="28"/>
          <w:szCs w:val="28"/>
        </w:rPr>
        <w:t>采购清单</w:t>
      </w:r>
    </w:p>
    <w:tbl>
      <w:tblPr>
        <w:tblStyle w:val="26"/>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4157"/>
        <w:gridCol w:w="746"/>
        <w:gridCol w:w="2794"/>
      </w:tblGrid>
      <w:tr w14:paraId="479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shd w:val="clear" w:color="auto" w:fill="auto"/>
            <w:vAlign w:val="center"/>
          </w:tcPr>
          <w:p w14:paraId="1AABCF5D">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模块分类</w:t>
            </w:r>
          </w:p>
        </w:tc>
        <w:tc>
          <w:tcPr>
            <w:tcW w:w="4157" w:type="dxa"/>
            <w:shd w:val="clear" w:color="auto" w:fill="auto"/>
            <w:noWrap/>
            <w:vAlign w:val="center"/>
          </w:tcPr>
          <w:p w14:paraId="4C3EDFB4">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模块名称</w:t>
            </w:r>
          </w:p>
        </w:tc>
        <w:tc>
          <w:tcPr>
            <w:tcW w:w="746" w:type="dxa"/>
            <w:shd w:val="clear" w:color="auto" w:fill="auto"/>
            <w:noWrap/>
            <w:vAlign w:val="center"/>
          </w:tcPr>
          <w:p w14:paraId="2318C9B8">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数量</w:t>
            </w:r>
          </w:p>
        </w:tc>
        <w:tc>
          <w:tcPr>
            <w:tcW w:w="2794" w:type="dxa"/>
            <w:shd w:val="clear" w:color="auto" w:fill="auto"/>
            <w:vAlign w:val="center"/>
          </w:tcPr>
          <w:p w14:paraId="08FF5CB5">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备注</w:t>
            </w:r>
          </w:p>
        </w:tc>
      </w:tr>
      <w:tr w14:paraId="5FC0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538" w:type="dxa"/>
            <w:gridSpan w:val="4"/>
            <w:shd w:val="clear" w:color="auto" w:fill="auto"/>
            <w:vAlign w:val="center"/>
          </w:tcPr>
          <w:p w14:paraId="1CE030E5">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应用软件</w:t>
            </w:r>
          </w:p>
        </w:tc>
      </w:tr>
      <w:tr w14:paraId="0C65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7511F83F">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门诊预约</w:t>
            </w:r>
          </w:p>
        </w:tc>
        <w:tc>
          <w:tcPr>
            <w:tcW w:w="4157" w:type="dxa"/>
            <w:shd w:val="clear" w:color="auto" w:fill="auto"/>
            <w:vAlign w:val="center"/>
          </w:tcPr>
          <w:p w14:paraId="4D6D8A36">
            <w:pPr>
              <w:widowControl/>
              <w:spacing w:line="400" w:lineRule="exact"/>
              <w:jc w:val="left"/>
              <w:rPr>
                <w:rFonts w:hint="eastAsia" w:ascii="宋体" w:hAnsi="宋体" w:cs="宋体"/>
                <w:kern w:val="0"/>
                <w:szCs w:val="21"/>
              </w:rPr>
            </w:pPr>
            <w:r>
              <w:rPr>
                <w:rFonts w:hint="eastAsia" w:ascii="宋体" w:hAnsi="宋体" w:cs="宋体"/>
                <w:kern w:val="0"/>
                <w:szCs w:val="21"/>
              </w:rPr>
              <w:t>门诊预约管理</w:t>
            </w:r>
          </w:p>
        </w:tc>
        <w:tc>
          <w:tcPr>
            <w:tcW w:w="746" w:type="dxa"/>
            <w:shd w:val="clear" w:color="auto" w:fill="auto"/>
            <w:vAlign w:val="center"/>
          </w:tcPr>
          <w:p w14:paraId="7E5C273C">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305A1F09">
            <w:pPr>
              <w:widowControl/>
              <w:spacing w:line="400" w:lineRule="exact"/>
              <w:jc w:val="left"/>
              <w:rPr>
                <w:rFonts w:hint="eastAsia" w:ascii="宋体" w:hAnsi="宋体" w:cs="宋体"/>
                <w:kern w:val="0"/>
                <w:szCs w:val="21"/>
              </w:rPr>
            </w:pPr>
          </w:p>
        </w:tc>
      </w:tr>
      <w:tr w14:paraId="11F5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29547A29">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28DF316A">
            <w:pPr>
              <w:widowControl/>
              <w:spacing w:line="400" w:lineRule="exact"/>
              <w:jc w:val="left"/>
              <w:rPr>
                <w:rFonts w:hint="eastAsia" w:ascii="宋体" w:hAnsi="宋体" w:cs="宋体"/>
                <w:kern w:val="0"/>
                <w:szCs w:val="21"/>
              </w:rPr>
            </w:pPr>
            <w:r>
              <w:rPr>
                <w:rFonts w:hint="eastAsia" w:ascii="宋体" w:hAnsi="宋体" w:cs="宋体"/>
                <w:kern w:val="0"/>
                <w:szCs w:val="21"/>
              </w:rPr>
              <w:t>门诊排班管理</w:t>
            </w:r>
          </w:p>
        </w:tc>
        <w:tc>
          <w:tcPr>
            <w:tcW w:w="746" w:type="dxa"/>
            <w:shd w:val="clear" w:color="auto" w:fill="auto"/>
            <w:vAlign w:val="center"/>
          </w:tcPr>
          <w:p w14:paraId="15778408">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2510D630">
            <w:pPr>
              <w:widowControl/>
              <w:spacing w:line="400" w:lineRule="exact"/>
              <w:jc w:val="left"/>
              <w:rPr>
                <w:rFonts w:hint="eastAsia" w:ascii="宋体" w:hAnsi="宋体" w:cs="宋体"/>
                <w:kern w:val="0"/>
                <w:szCs w:val="21"/>
              </w:rPr>
            </w:pPr>
          </w:p>
        </w:tc>
      </w:tr>
      <w:tr w14:paraId="1C47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1B0133F2">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18328429">
            <w:pPr>
              <w:widowControl/>
              <w:spacing w:line="400" w:lineRule="exact"/>
              <w:jc w:val="left"/>
              <w:rPr>
                <w:rFonts w:hint="eastAsia" w:ascii="宋体" w:hAnsi="宋体" w:cs="宋体"/>
                <w:kern w:val="0"/>
                <w:szCs w:val="21"/>
              </w:rPr>
            </w:pPr>
            <w:r>
              <w:rPr>
                <w:rFonts w:hint="eastAsia" w:ascii="宋体" w:hAnsi="宋体" w:cs="宋体"/>
                <w:kern w:val="0"/>
                <w:szCs w:val="21"/>
              </w:rPr>
              <w:t>门诊分诊管理</w:t>
            </w:r>
          </w:p>
        </w:tc>
        <w:tc>
          <w:tcPr>
            <w:tcW w:w="746" w:type="dxa"/>
            <w:shd w:val="clear" w:color="auto" w:fill="auto"/>
            <w:vAlign w:val="center"/>
          </w:tcPr>
          <w:p w14:paraId="6504EA0A">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089376F9">
            <w:pPr>
              <w:widowControl/>
              <w:spacing w:line="400" w:lineRule="exact"/>
              <w:jc w:val="left"/>
              <w:rPr>
                <w:rFonts w:hint="eastAsia" w:ascii="宋体" w:hAnsi="宋体" w:cs="宋体"/>
                <w:kern w:val="0"/>
                <w:szCs w:val="21"/>
              </w:rPr>
            </w:pPr>
          </w:p>
        </w:tc>
      </w:tr>
      <w:tr w14:paraId="212B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0F4881C1">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统一支付对账平台</w:t>
            </w:r>
          </w:p>
        </w:tc>
        <w:tc>
          <w:tcPr>
            <w:tcW w:w="4157" w:type="dxa"/>
            <w:shd w:val="clear" w:color="auto" w:fill="auto"/>
            <w:vAlign w:val="center"/>
          </w:tcPr>
          <w:p w14:paraId="6BA68760">
            <w:pPr>
              <w:widowControl/>
              <w:spacing w:line="400" w:lineRule="exact"/>
              <w:jc w:val="left"/>
              <w:rPr>
                <w:rFonts w:hint="eastAsia" w:ascii="宋体" w:hAnsi="宋体" w:cs="宋体"/>
                <w:kern w:val="0"/>
                <w:szCs w:val="21"/>
              </w:rPr>
            </w:pPr>
            <w:r>
              <w:rPr>
                <w:rFonts w:hint="eastAsia" w:ascii="宋体" w:hAnsi="宋体" w:cs="宋体"/>
                <w:kern w:val="0"/>
                <w:szCs w:val="21"/>
              </w:rPr>
              <w:t>统一对账平台</w:t>
            </w:r>
          </w:p>
        </w:tc>
        <w:tc>
          <w:tcPr>
            <w:tcW w:w="746" w:type="dxa"/>
            <w:shd w:val="clear" w:color="auto" w:fill="auto"/>
            <w:vAlign w:val="center"/>
          </w:tcPr>
          <w:p w14:paraId="6EA46BE7">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34CC6AD7">
            <w:pPr>
              <w:widowControl/>
              <w:spacing w:line="400" w:lineRule="exact"/>
              <w:jc w:val="left"/>
              <w:rPr>
                <w:rFonts w:hint="eastAsia" w:ascii="宋体" w:hAnsi="宋体" w:cs="宋体"/>
                <w:kern w:val="0"/>
                <w:szCs w:val="21"/>
              </w:rPr>
            </w:pPr>
          </w:p>
        </w:tc>
      </w:tr>
      <w:tr w14:paraId="272E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1CC99FC4">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7E02DD9E">
            <w:pPr>
              <w:widowControl/>
              <w:spacing w:line="400" w:lineRule="exact"/>
              <w:jc w:val="left"/>
              <w:rPr>
                <w:rFonts w:hint="eastAsia" w:ascii="宋体" w:hAnsi="宋体" w:cs="宋体"/>
                <w:kern w:val="0"/>
                <w:szCs w:val="21"/>
              </w:rPr>
            </w:pPr>
            <w:r>
              <w:rPr>
                <w:rFonts w:hint="eastAsia" w:ascii="宋体" w:hAnsi="宋体" w:cs="宋体"/>
                <w:kern w:val="0"/>
                <w:szCs w:val="21"/>
              </w:rPr>
              <w:t>统一支付平台</w:t>
            </w:r>
          </w:p>
        </w:tc>
        <w:tc>
          <w:tcPr>
            <w:tcW w:w="746" w:type="dxa"/>
            <w:shd w:val="clear" w:color="auto" w:fill="auto"/>
            <w:vAlign w:val="center"/>
          </w:tcPr>
          <w:p w14:paraId="4EFCF82C">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59C9A0E6">
            <w:pPr>
              <w:widowControl/>
              <w:spacing w:line="400" w:lineRule="exact"/>
              <w:jc w:val="left"/>
              <w:rPr>
                <w:rFonts w:hint="eastAsia" w:ascii="宋体" w:hAnsi="宋体" w:cs="宋体"/>
                <w:kern w:val="0"/>
                <w:szCs w:val="21"/>
              </w:rPr>
            </w:pPr>
          </w:p>
        </w:tc>
      </w:tr>
      <w:tr w14:paraId="0415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1" w:type="dxa"/>
            <w:vMerge w:val="restart"/>
            <w:shd w:val="clear" w:color="auto" w:fill="auto"/>
            <w:vAlign w:val="center"/>
          </w:tcPr>
          <w:p w14:paraId="3FF6F0DE">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医技业务</w:t>
            </w:r>
          </w:p>
        </w:tc>
        <w:tc>
          <w:tcPr>
            <w:tcW w:w="4157" w:type="dxa"/>
            <w:shd w:val="clear" w:color="auto" w:fill="auto"/>
            <w:vAlign w:val="center"/>
          </w:tcPr>
          <w:p w14:paraId="7F83432B">
            <w:pPr>
              <w:widowControl/>
              <w:spacing w:line="400" w:lineRule="exact"/>
              <w:jc w:val="left"/>
              <w:rPr>
                <w:rFonts w:hint="eastAsia" w:ascii="宋体" w:hAnsi="宋体" w:cs="宋体"/>
                <w:kern w:val="0"/>
                <w:szCs w:val="21"/>
              </w:rPr>
            </w:pPr>
            <w:r>
              <w:rPr>
                <w:rFonts w:hint="eastAsia" w:ascii="宋体" w:hAnsi="宋体" w:cs="宋体"/>
                <w:kern w:val="0"/>
                <w:szCs w:val="21"/>
              </w:rPr>
              <w:t>手术麻醉临床信息系统</w:t>
            </w:r>
          </w:p>
        </w:tc>
        <w:tc>
          <w:tcPr>
            <w:tcW w:w="746" w:type="dxa"/>
            <w:shd w:val="clear" w:color="auto" w:fill="auto"/>
            <w:vAlign w:val="center"/>
          </w:tcPr>
          <w:p w14:paraId="69B4D69C">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599A009A">
            <w:pPr>
              <w:widowControl/>
              <w:spacing w:line="400" w:lineRule="exact"/>
              <w:jc w:val="left"/>
              <w:rPr>
                <w:rFonts w:hint="eastAsia" w:ascii="宋体" w:hAnsi="宋体" w:cs="宋体"/>
                <w:kern w:val="0"/>
                <w:szCs w:val="21"/>
              </w:rPr>
            </w:pPr>
            <w:r>
              <w:rPr>
                <w:rFonts w:hint="eastAsia" w:ascii="宋体" w:hAnsi="宋体" w:cs="宋体"/>
                <w:kern w:val="0"/>
                <w:szCs w:val="21"/>
              </w:rPr>
              <w:t>包括5间手术室的设备接入</w:t>
            </w:r>
          </w:p>
        </w:tc>
      </w:tr>
      <w:tr w14:paraId="7296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841" w:type="dxa"/>
            <w:vMerge w:val="continue"/>
            <w:shd w:val="clear" w:color="auto" w:fill="auto"/>
            <w:vAlign w:val="center"/>
          </w:tcPr>
          <w:p w14:paraId="5AA30EEB">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3C80440F">
            <w:pPr>
              <w:widowControl/>
              <w:spacing w:line="400" w:lineRule="exact"/>
              <w:jc w:val="left"/>
              <w:rPr>
                <w:rFonts w:hint="eastAsia" w:ascii="宋体" w:hAnsi="宋体" w:cs="宋体"/>
                <w:kern w:val="0"/>
                <w:szCs w:val="21"/>
              </w:rPr>
            </w:pPr>
            <w:r>
              <w:rPr>
                <w:rFonts w:hint="eastAsia" w:ascii="宋体" w:hAnsi="宋体" w:cs="宋体"/>
                <w:kern w:val="0"/>
                <w:szCs w:val="21"/>
              </w:rPr>
              <w:t>病理管理系统</w:t>
            </w:r>
          </w:p>
        </w:tc>
        <w:tc>
          <w:tcPr>
            <w:tcW w:w="746" w:type="dxa"/>
            <w:shd w:val="clear" w:color="auto" w:fill="auto"/>
            <w:vAlign w:val="center"/>
          </w:tcPr>
          <w:p w14:paraId="1FBFC280">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1A95742E">
            <w:pPr>
              <w:widowControl/>
              <w:spacing w:line="400" w:lineRule="exact"/>
              <w:jc w:val="left"/>
              <w:rPr>
                <w:rFonts w:hint="eastAsia" w:ascii="宋体" w:hAnsi="宋体" w:cs="宋体"/>
                <w:kern w:val="0"/>
                <w:szCs w:val="21"/>
              </w:rPr>
            </w:pPr>
            <w:r>
              <w:rPr>
                <w:rFonts w:hint="eastAsia" w:ascii="宋体" w:hAnsi="宋体" w:cs="宋体"/>
                <w:kern w:val="0"/>
                <w:szCs w:val="21"/>
              </w:rPr>
              <w:t>包括4台病理设备接入</w:t>
            </w:r>
          </w:p>
        </w:tc>
      </w:tr>
      <w:tr w14:paraId="6B34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841" w:type="dxa"/>
            <w:vMerge w:val="continue"/>
            <w:shd w:val="clear" w:color="auto" w:fill="auto"/>
            <w:vAlign w:val="center"/>
          </w:tcPr>
          <w:p w14:paraId="1E5EF0D9">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3B4A88FA">
            <w:pPr>
              <w:widowControl/>
              <w:spacing w:line="400" w:lineRule="exact"/>
              <w:jc w:val="left"/>
              <w:rPr>
                <w:rFonts w:hint="eastAsia" w:ascii="宋体" w:hAnsi="宋体" w:cs="宋体"/>
                <w:kern w:val="0"/>
                <w:szCs w:val="21"/>
              </w:rPr>
            </w:pPr>
            <w:r>
              <w:rPr>
                <w:rFonts w:hint="eastAsia" w:ascii="宋体" w:hAnsi="宋体" w:cs="宋体"/>
                <w:kern w:val="0"/>
                <w:szCs w:val="21"/>
              </w:rPr>
              <w:t>心电管理系统</w:t>
            </w:r>
          </w:p>
        </w:tc>
        <w:tc>
          <w:tcPr>
            <w:tcW w:w="746" w:type="dxa"/>
            <w:shd w:val="clear" w:color="auto" w:fill="auto"/>
            <w:vAlign w:val="center"/>
          </w:tcPr>
          <w:p w14:paraId="3575B7FC">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00201E3C">
            <w:pPr>
              <w:widowControl/>
              <w:spacing w:line="400" w:lineRule="exact"/>
              <w:jc w:val="left"/>
              <w:rPr>
                <w:rFonts w:hint="eastAsia" w:ascii="宋体" w:hAnsi="宋体" w:cs="宋体"/>
                <w:kern w:val="0"/>
                <w:szCs w:val="21"/>
              </w:rPr>
            </w:pPr>
            <w:r>
              <w:rPr>
                <w:rFonts w:hint="eastAsia" w:ascii="宋体" w:hAnsi="宋体" w:cs="宋体"/>
                <w:kern w:val="0"/>
                <w:szCs w:val="21"/>
              </w:rPr>
              <w:t>包括10台心电设备接入</w:t>
            </w:r>
          </w:p>
        </w:tc>
      </w:tr>
      <w:tr w14:paraId="4F0F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5B5A0D13">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28B48BD0">
            <w:pPr>
              <w:widowControl/>
              <w:spacing w:line="400" w:lineRule="exact"/>
              <w:jc w:val="left"/>
              <w:rPr>
                <w:rFonts w:hint="eastAsia" w:ascii="宋体" w:hAnsi="宋体" w:cs="宋体"/>
                <w:kern w:val="0"/>
                <w:szCs w:val="21"/>
              </w:rPr>
            </w:pPr>
            <w:r>
              <w:rPr>
                <w:rFonts w:hint="eastAsia" w:ascii="宋体" w:hAnsi="宋体" w:cs="宋体"/>
                <w:kern w:val="0"/>
                <w:szCs w:val="21"/>
              </w:rPr>
              <w:t>输血管理系统</w:t>
            </w:r>
          </w:p>
        </w:tc>
        <w:tc>
          <w:tcPr>
            <w:tcW w:w="746" w:type="dxa"/>
            <w:shd w:val="clear" w:color="auto" w:fill="auto"/>
            <w:vAlign w:val="center"/>
          </w:tcPr>
          <w:p w14:paraId="31647258">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75837441">
            <w:pPr>
              <w:widowControl/>
              <w:spacing w:line="400" w:lineRule="exact"/>
              <w:jc w:val="left"/>
              <w:rPr>
                <w:rFonts w:hint="eastAsia" w:ascii="宋体" w:hAnsi="宋体" w:cs="宋体"/>
                <w:kern w:val="0"/>
                <w:szCs w:val="21"/>
              </w:rPr>
            </w:pPr>
          </w:p>
        </w:tc>
      </w:tr>
      <w:tr w14:paraId="74C9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2EA1C8BF">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0F9F17DD">
            <w:pPr>
              <w:widowControl/>
              <w:spacing w:line="400" w:lineRule="exact"/>
              <w:jc w:val="left"/>
              <w:rPr>
                <w:rFonts w:hint="eastAsia" w:ascii="宋体" w:hAnsi="宋体" w:cs="宋体"/>
                <w:kern w:val="0"/>
                <w:szCs w:val="21"/>
              </w:rPr>
            </w:pPr>
            <w:r>
              <w:rPr>
                <w:rFonts w:hint="eastAsia" w:ascii="宋体" w:hAnsi="宋体" w:cs="宋体"/>
                <w:kern w:val="0"/>
                <w:szCs w:val="21"/>
              </w:rPr>
              <w:t xml:space="preserve">治疗管理系统 </w:t>
            </w:r>
          </w:p>
        </w:tc>
        <w:tc>
          <w:tcPr>
            <w:tcW w:w="746" w:type="dxa"/>
            <w:shd w:val="clear" w:color="auto" w:fill="auto"/>
            <w:vAlign w:val="center"/>
          </w:tcPr>
          <w:p w14:paraId="65632FE8">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2931C115">
            <w:pPr>
              <w:widowControl/>
              <w:spacing w:line="400" w:lineRule="exact"/>
              <w:jc w:val="left"/>
              <w:rPr>
                <w:rFonts w:hint="eastAsia" w:ascii="宋体" w:hAnsi="宋体" w:cs="宋体"/>
                <w:kern w:val="0"/>
                <w:szCs w:val="21"/>
              </w:rPr>
            </w:pPr>
          </w:p>
        </w:tc>
      </w:tr>
      <w:tr w14:paraId="398E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841" w:type="dxa"/>
            <w:shd w:val="clear" w:color="auto" w:fill="auto"/>
            <w:vAlign w:val="center"/>
          </w:tcPr>
          <w:p w14:paraId="5F539BEC">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临床决策支持系统（CDSS）</w:t>
            </w:r>
          </w:p>
        </w:tc>
        <w:tc>
          <w:tcPr>
            <w:tcW w:w="4157" w:type="dxa"/>
            <w:shd w:val="clear" w:color="auto" w:fill="auto"/>
            <w:vAlign w:val="center"/>
          </w:tcPr>
          <w:p w14:paraId="2591A48C">
            <w:pPr>
              <w:widowControl/>
              <w:spacing w:line="400" w:lineRule="exact"/>
              <w:jc w:val="left"/>
              <w:rPr>
                <w:rFonts w:hint="eastAsia" w:ascii="宋体" w:hAnsi="宋体" w:cs="宋体"/>
                <w:kern w:val="0"/>
                <w:szCs w:val="21"/>
              </w:rPr>
            </w:pPr>
            <w:r>
              <w:rPr>
                <w:rFonts w:hint="eastAsia" w:ascii="宋体" w:hAnsi="宋体" w:cs="宋体"/>
                <w:kern w:val="0"/>
                <w:szCs w:val="21"/>
              </w:rPr>
              <w:t>临床知识库</w:t>
            </w:r>
          </w:p>
        </w:tc>
        <w:tc>
          <w:tcPr>
            <w:tcW w:w="746" w:type="dxa"/>
            <w:shd w:val="clear" w:color="auto" w:fill="auto"/>
            <w:vAlign w:val="center"/>
          </w:tcPr>
          <w:p w14:paraId="5F625358">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5A24318E">
            <w:pPr>
              <w:widowControl/>
              <w:spacing w:line="400" w:lineRule="exact"/>
              <w:jc w:val="left"/>
              <w:rPr>
                <w:rFonts w:hint="eastAsia" w:ascii="宋体" w:hAnsi="宋体" w:cs="宋体"/>
                <w:kern w:val="0"/>
                <w:szCs w:val="21"/>
              </w:rPr>
            </w:pPr>
          </w:p>
        </w:tc>
      </w:tr>
      <w:tr w14:paraId="7F61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1878D54F">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医疗管理</w:t>
            </w:r>
          </w:p>
        </w:tc>
        <w:tc>
          <w:tcPr>
            <w:tcW w:w="4157" w:type="dxa"/>
            <w:shd w:val="clear" w:color="auto" w:fill="auto"/>
            <w:vAlign w:val="center"/>
          </w:tcPr>
          <w:p w14:paraId="6E9C09AB">
            <w:pPr>
              <w:widowControl/>
              <w:spacing w:line="400" w:lineRule="exact"/>
              <w:jc w:val="left"/>
              <w:rPr>
                <w:rFonts w:hint="eastAsia" w:ascii="宋体" w:hAnsi="宋体" w:cs="宋体"/>
                <w:kern w:val="0"/>
                <w:szCs w:val="21"/>
              </w:rPr>
            </w:pPr>
            <w:r>
              <w:rPr>
                <w:rFonts w:hint="eastAsia" w:ascii="宋体" w:hAnsi="宋体" w:cs="宋体"/>
                <w:kern w:val="0"/>
                <w:szCs w:val="21"/>
              </w:rPr>
              <w:t>手术分级管理系统</w:t>
            </w:r>
          </w:p>
        </w:tc>
        <w:tc>
          <w:tcPr>
            <w:tcW w:w="746" w:type="dxa"/>
            <w:shd w:val="clear" w:color="auto" w:fill="auto"/>
            <w:vAlign w:val="center"/>
          </w:tcPr>
          <w:p w14:paraId="732BDA62">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7465C5C7">
            <w:pPr>
              <w:widowControl/>
              <w:spacing w:line="400" w:lineRule="exact"/>
              <w:jc w:val="left"/>
              <w:rPr>
                <w:rFonts w:hint="eastAsia" w:ascii="宋体" w:hAnsi="宋体" w:cs="宋体"/>
                <w:kern w:val="0"/>
                <w:szCs w:val="21"/>
              </w:rPr>
            </w:pPr>
          </w:p>
        </w:tc>
      </w:tr>
      <w:tr w14:paraId="4B462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555E1A74">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1629B2A1">
            <w:pPr>
              <w:widowControl/>
              <w:spacing w:line="400" w:lineRule="exact"/>
              <w:jc w:val="left"/>
              <w:rPr>
                <w:rFonts w:hint="eastAsia" w:ascii="宋体" w:hAnsi="宋体" w:cs="宋体"/>
                <w:kern w:val="0"/>
                <w:szCs w:val="21"/>
              </w:rPr>
            </w:pPr>
            <w:r>
              <w:rPr>
                <w:rFonts w:hint="eastAsia" w:ascii="宋体" w:hAnsi="宋体" w:cs="宋体"/>
                <w:kern w:val="0"/>
                <w:szCs w:val="21"/>
              </w:rPr>
              <w:t>医疗安全（不良）事件管理系统</w:t>
            </w:r>
          </w:p>
        </w:tc>
        <w:tc>
          <w:tcPr>
            <w:tcW w:w="746" w:type="dxa"/>
            <w:shd w:val="clear" w:color="auto" w:fill="auto"/>
            <w:vAlign w:val="center"/>
          </w:tcPr>
          <w:p w14:paraId="58B67FD6">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vAlign w:val="center"/>
          </w:tcPr>
          <w:p w14:paraId="6C531B2B">
            <w:pPr>
              <w:widowControl/>
              <w:spacing w:line="400" w:lineRule="exact"/>
              <w:jc w:val="left"/>
              <w:rPr>
                <w:rFonts w:hint="eastAsia" w:ascii="宋体" w:hAnsi="宋体" w:cs="宋体"/>
                <w:kern w:val="0"/>
                <w:szCs w:val="21"/>
              </w:rPr>
            </w:pPr>
          </w:p>
        </w:tc>
      </w:tr>
      <w:tr w14:paraId="5E11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5D2F7EA4">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021A4E52">
            <w:pPr>
              <w:widowControl/>
              <w:spacing w:line="400" w:lineRule="exact"/>
              <w:jc w:val="left"/>
              <w:rPr>
                <w:rFonts w:hint="eastAsia" w:ascii="宋体" w:hAnsi="宋体" w:cs="宋体"/>
                <w:kern w:val="0"/>
                <w:szCs w:val="21"/>
              </w:rPr>
            </w:pPr>
            <w:r>
              <w:rPr>
                <w:rFonts w:hint="eastAsia" w:ascii="宋体" w:hAnsi="宋体" w:cs="宋体"/>
                <w:kern w:val="0"/>
                <w:szCs w:val="21"/>
              </w:rPr>
              <w:t>危急值管理系统</w:t>
            </w:r>
          </w:p>
        </w:tc>
        <w:tc>
          <w:tcPr>
            <w:tcW w:w="746" w:type="dxa"/>
            <w:shd w:val="clear" w:color="auto" w:fill="auto"/>
            <w:vAlign w:val="center"/>
          </w:tcPr>
          <w:p w14:paraId="463B531D">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6CF069A2">
            <w:pPr>
              <w:widowControl/>
              <w:spacing w:line="400" w:lineRule="exact"/>
              <w:jc w:val="left"/>
              <w:rPr>
                <w:rFonts w:hint="eastAsia" w:ascii="宋体" w:hAnsi="宋体" w:cs="宋体"/>
                <w:kern w:val="0"/>
                <w:szCs w:val="21"/>
              </w:rPr>
            </w:pPr>
          </w:p>
        </w:tc>
      </w:tr>
      <w:tr w14:paraId="3B47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5C48D3F8">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药品管理</w:t>
            </w:r>
          </w:p>
        </w:tc>
        <w:tc>
          <w:tcPr>
            <w:tcW w:w="4157" w:type="dxa"/>
            <w:shd w:val="clear" w:color="auto" w:fill="auto"/>
            <w:vAlign w:val="center"/>
          </w:tcPr>
          <w:p w14:paraId="70F8B2A6">
            <w:pPr>
              <w:widowControl/>
              <w:spacing w:line="400" w:lineRule="exact"/>
              <w:jc w:val="left"/>
              <w:rPr>
                <w:rFonts w:hint="eastAsia" w:ascii="宋体" w:hAnsi="宋体" w:cs="宋体"/>
                <w:kern w:val="0"/>
                <w:szCs w:val="21"/>
              </w:rPr>
            </w:pPr>
            <w:r>
              <w:rPr>
                <w:rFonts w:hint="eastAsia" w:ascii="宋体" w:hAnsi="宋体" w:cs="宋体"/>
                <w:kern w:val="0"/>
                <w:szCs w:val="21"/>
              </w:rPr>
              <w:t>抗生素分级管理系统</w:t>
            </w:r>
          </w:p>
        </w:tc>
        <w:tc>
          <w:tcPr>
            <w:tcW w:w="746" w:type="dxa"/>
            <w:shd w:val="clear" w:color="auto" w:fill="auto"/>
            <w:vAlign w:val="center"/>
          </w:tcPr>
          <w:p w14:paraId="0FEA772E">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30EAD057">
            <w:pPr>
              <w:widowControl/>
              <w:spacing w:line="400" w:lineRule="exact"/>
              <w:jc w:val="left"/>
              <w:rPr>
                <w:rFonts w:hint="eastAsia" w:ascii="宋体" w:hAnsi="宋体" w:cs="宋体"/>
                <w:kern w:val="0"/>
                <w:szCs w:val="21"/>
              </w:rPr>
            </w:pPr>
          </w:p>
        </w:tc>
      </w:tr>
      <w:tr w14:paraId="7134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3E7B15B7">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12FCF3D6">
            <w:pPr>
              <w:widowControl/>
              <w:spacing w:line="400" w:lineRule="exact"/>
              <w:jc w:val="left"/>
              <w:rPr>
                <w:rFonts w:hint="eastAsia" w:ascii="宋体" w:hAnsi="宋体" w:cs="宋体"/>
                <w:kern w:val="0"/>
                <w:szCs w:val="21"/>
              </w:rPr>
            </w:pPr>
            <w:r>
              <w:rPr>
                <w:rFonts w:hint="eastAsia" w:ascii="宋体" w:hAnsi="宋体" w:cs="宋体"/>
                <w:kern w:val="0"/>
                <w:szCs w:val="21"/>
              </w:rPr>
              <w:t>合理用药系统</w:t>
            </w:r>
          </w:p>
        </w:tc>
        <w:tc>
          <w:tcPr>
            <w:tcW w:w="746" w:type="dxa"/>
            <w:shd w:val="clear" w:color="auto" w:fill="auto"/>
            <w:vAlign w:val="center"/>
          </w:tcPr>
          <w:p w14:paraId="0D2310DE">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154ACA00">
            <w:pPr>
              <w:widowControl/>
              <w:spacing w:line="400" w:lineRule="exact"/>
              <w:jc w:val="left"/>
              <w:rPr>
                <w:rFonts w:hint="eastAsia" w:ascii="宋体" w:hAnsi="宋体" w:cs="宋体"/>
                <w:kern w:val="0"/>
                <w:szCs w:val="21"/>
              </w:rPr>
            </w:pPr>
          </w:p>
        </w:tc>
      </w:tr>
      <w:tr w14:paraId="7543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780BA543">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71CFF971">
            <w:pPr>
              <w:widowControl/>
              <w:spacing w:line="400" w:lineRule="exact"/>
              <w:jc w:val="left"/>
              <w:rPr>
                <w:rFonts w:hint="eastAsia" w:ascii="宋体" w:hAnsi="宋体" w:cs="宋体"/>
                <w:kern w:val="0"/>
                <w:szCs w:val="21"/>
              </w:rPr>
            </w:pPr>
            <w:r>
              <w:rPr>
                <w:rFonts w:hint="eastAsia" w:ascii="宋体" w:hAnsi="宋体" w:cs="宋体"/>
                <w:kern w:val="0"/>
                <w:szCs w:val="21"/>
              </w:rPr>
              <w:t>临床药学管理系统</w:t>
            </w:r>
          </w:p>
        </w:tc>
        <w:tc>
          <w:tcPr>
            <w:tcW w:w="746" w:type="dxa"/>
            <w:shd w:val="clear" w:color="auto" w:fill="auto"/>
            <w:vAlign w:val="center"/>
          </w:tcPr>
          <w:p w14:paraId="52A158DD">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12DAF705">
            <w:pPr>
              <w:widowControl/>
              <w:spacing w:line="400" w:lineRule="exact"/>
              <w:jc w:val="left"/>
              <w:rPr>
                <w:rFonts w:hint="eastAsia" w:ascii="宋体" w:hAnsi="宋体" w:cs="宋体"/>
                <w:kern w:val="0"/>
                <w:szCs w:val="21"/>
              </w:rPr>
            </w:pPr>
          </w:p>
        </w:tc>
      </w:tr>
      <w:tr w14:paraId="65AF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shd w:val="clear" w:color="auto" w:fill="auto"/>
            <w:vAlign w:val="center"/>
          </w:tcPr>
          <w:p w14:paraId="3030C3F1">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院感管理</w:t>
            </w:r>
          </w:p>
        </w:tc>
        <w:tc>
          <w:tcPr>
            <w:tcW w:w="4157" w:type="dxa"/>
            <w:shd w:val="clear" w:color="auto" w:fill="auto"/>
            <w:vAlign w:val="center"/>
          </w:tcPr>
          <w:p w14:paraId="59D9BEF4">
            <w:pPr>
              <w:widowControl/>
              <w:spacing w:line="400" w:lineRule="exact"/>
              <w:jc w:val="left"/>
              <w:rPr>
                <w:rFonts w:hint="eastAsia" w:ascii="宋体" w:hAnsi="宋体" w:cs="宋体"/>
                <w:kern w:val="0"/>
                <w:szCs w:val="21"/>
              </w:rPr>
            </w:pPr>
            <w:r>
              <w:rPr>
                <w:rFonts w:hint="eastAsia" w:ascii="宋体" w:hAnsi="宋体" w:cs="宋体"/>
                <w:kern w:val="0"/>
                <w:szCs w:val="21"/>
              </w:rPr>
              <w:t>医院感染实时监控管理系统</w:t>
            </w:r>
          </w:p>
        </w:tc>
        <w:tc>
          <w:tcPr>
            <w:tcW w:w="746" w:type="dxa"/>
            <w:shd w:val="clear" w:color="auto" w:fill="auto"/>
            <w:vAlign w:val="center"/>
          </w:tcPr>
          <w:p w14:paraId="117F7EA5">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632A37E9">
            <w:pPr>
              <w:widowControl/>
              <w:spacing w:line="400" w:lineRule="exact"/>
              <w:jc w:val="left"/>
              <w:rPr>
                <w:rFonts w:hint="eastAsia" w:ascii="宋体" w:hAnsi="宋体" w:cs="宋体"/>
                <w:kern w:val="0"/>
                <w:szCs w:val="21"/>
              </w:rPr>
            </w:pPr>
          </w:p>
        </w:tc>
      </w:tr>
      <w:tr w14:paraId="782D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2642BC54">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数据中心</w:t>
            </w:r>
          </w:p>
        </w:tc>
        <w:tc>
          <w:tcPr>
            <w:tcW w:w="4157" w:type="dxa"/>
            <w:shd w:val="clear" w:color="auto" w:fill="auto"/>
            <w:vAlign w:val="center"/>
          </w:tcPr>
          <w:p w14:paraId="693FA0DB">
            <w:pPr>
              <w:widowControl/>
              <w:spacing w:line="400" w:lineRule="exact"/>
              <w:jc w:val="left"/>
              <w:rPr>
                <w:rFonts w:hint="eastAsia" w:ascii="宋体" w:hAnsi="宋体" w:cs="宋体"/>
                <w:kern w:val="0"/>
                <w:szCs w:val="21"/>
              </w:rPr>
            </w:pPr>
            <w:r>
              <w:rPr>
                <w:rFonts w:hint="eastAsia" w:ascii="宋体" w:hAnsi="宋体" w:cs="宋体"/>
                <w:kern w:val="0"/>
                <w:szCs w:val="21"/>
              </w:rPr>
              <w:t>主数据管理系统</w:t>
            </w:r>
          </w:p>
        </w:tc>
        <w:tc>
          <w:tcPr>
            <w:tcW w:w="746" w:type="dxa"/>
            <w:shd w:val="clear" w:color="auto" w:fill="auto"/>
            <w:vAlign w:val="center"/>
          </w:tcPr>
          <w:p w14:paraId="490AD031">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3EE1D173">
            <w:pPr>
              <w:widowControl/>
              <w:spacing w:line="400" w:lineRule="exact"/>
              <w:jc w:val="left"/>
              <w:rPr>
                <w:rFonts w:hint="eastAsia" w:ascii="宋体" w:hAnsi="宋体" w:cs="宋体"/>
                <w:kern w:val="0"/>
                <w:szCs w:val="21"/>
              </w:rPr>
            </w:pPr>
          </w:p>
        </w:tc>
      </w:tr>
      <w:tr w14:paraId="67CB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7270F191">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71F03E96">
            <w:pPr>
              <w:widowControl/>
              <w:spacing w:line="400" w:lineRule="exact"/>
              <w:jc w:val="left"/>
              <w:rPr>
                <w:rFonts w:hint="eastAsia" w:ascii="宋体" w:hAnsi="宋体" w:cs="宋体"/>
                <w:kern w:val="0"/>
                <w:szCs w:val="21"/>
              </w:rPr>
            </w:pPr>
            <w:r>
              <w:rPr>
                <w:rFonts w:hint="eastAsia" w:ascii="宋体" w:hAnsi="宋体" w:cs="宋体"/>
                <w:kern w:val="0"/>
                <w:szCs w:val="21"/>
              </w:rPr>
              <w:t>术语管理</w:t>
            </w:r>
          </w:p>
        </w:tc>
        <w:tc>
          <w:tcPr>
            <w:tcW w:w="746" w:type="dxa"/>
            <w:shd w:val="clear" w:color="auto" w:fill="auto"/>
            <w:vAlign w:val="center"/>
          </w:tcPr>
          <w:p w14:paraId="289DE486">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4C54AF09">
            <w:pPr>
              <w:widowControl/>
              <w:spacing w:line="400" w:lineRule="exact"/>
              <w:jc w:val="left"/>
              <w:rPr>
                <w:rFonts w:hint="eastAsia" w:ascii="宋体" w:hAnsi="宋体" w:cs="宋体"/>
                <w:kern w:val="0"/>
                <w:szCs w:val="21"/>
              </w:rPr>
            </w:pPr>
          </w:p>
        </w:tc>
      </w:tr>
      <w:tr w14:paraId="082B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12B4ECBB">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41EA7B7B">
            <w:pPr>
              <w:widowControl/>
              <w:spacing w:line="400" w:lineRule="exact"/>
              <w:jc w:val="left"/>
              <w:rPr>
                <w:rFonts w:hint="eastAsia" w:ascii="宋体" w:hAnsi="宋体" w:cs="宋体"/>
                <w:kern w:val="0"/>
                <w:szCs w:val="21"/>
              </w:rPr>
            </w:pPr>
            <w:r>
              <w:rPr>
                <w:rFonts w:hint="eastAsia" w:ascii="宋体" w:hAnsi="宋体" w:cs="宋体"/>
                <w:kern w:val="0"/>
                <w:szCs w:val="21"/>
              </w:rPr>
              <w:t>数据治理</w:t>
            </w:r>
          </w:p>
        </w:tc>
        <w:tc>
          <w:tcPr>
            <w:tcW w:w="746" w:type="dxa"/>
            <w:shd w:val="clear" w:color="auto" w:fill="auto"/>
            <w:vAlign w:val="center"/>
          </w:tcPr>
          <w:p w14:paraId="5B8FE457">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3A37C276">
            <w:pPr>
              <w:widowControl/>
              <w:spacing w:line="400" w:lineRule="exact"/>
              <w:jc w:val="left"/>
              <w:rPr>
                <w:rFonts w:hint="eastAsia" w:ascii="宋体" w:hAnsi="宋体" w:cs="宋体"/>
                <w:kern w:val="0"/>
                <w:szCs w:val="21"/>
              </w:rPr>
            </w:pPr>
          </w:p>
        </w:tc>
      </w:tr>
      <w:tr w14:paraId="737A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187F8D50">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集成平台</w:t>
            </w:r>
          </w:p>
        </w:tc>
        <w:tc>
          <w:tcPr>
            <w:tcW w:w="4157" w:type="dxa"/>
            <w:shd w:val="clear" w:color="auto" w:fill="auto"/>
            <w:vAlign w:val="center"/>
          </w:tcPr>
          <w:p w14:paraId="705CEEA1">
            <w:pPr>
              <w:widowControl/>
              <w:spacing w:line="400" w:lineRule="exact"/>
              <w:jc w:val="left"/>
              <w:rPr>
                <w:rFonts w:hint="eastAsia" w:ascii="宋体" w:hAnsi="宋体" w:cs="宋体"/>
                <w:kern w:val="0"/>
                <w:szCs w:val="21"/>
              </w:rPr>
            </w:pPr>
            <w:r>
              <w:rPr>
                <w:rFonts w:hint="eastAsia" w:ascii="宋体" w:hAnsi="宋体" w:cs="宋体"/>
                <w:kern w:val="0"/>
                <w:szCs w:val="21"/>
              </w:rPr>
              <w:t>文档注册、查询服务</w:t>
            </w:r>
          </w:p>
        </w:tc>
        <w:tc>
          <w:tcPr>
            <w:tcW w:w="746" w:type="dxa"/>
            <w:shd w:val="clear" w:color="auto" w:fill="auto"/>
            <w:vAlign w:val="center"/>
          </w:tcPr>
          <w:p w14:paraId="383B9C03">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61DCECF0">
            <w:pPr>
              <w:widowControl/>
              <w:spacing w:line="400" w:lineRule="exact"/>
              <w:jc w:val="left"/>
              <w:rPr>
                <w:rFonts w:hint="eastAsia" w:ascii="宋体" w:hAnsi="宋体" w:cs="宋体"/>
                <w:kern w:val="0"/>
                <w:szCs w:val="21"/>
              </w:rPr>
            </w:pPr>
          </w:p>
        </w:tc>
      </w:tr>
      <w:tr w14:paraId="56A2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43AB873C">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266FE7E2">
            <w:pPr>
              <w:widowControl/>
              <w:spacing w:line="400" w:lineRule="exact"/>
              <w:jc w:val="left"/>
              <w:rPr>
                <w:rFonts w:hint="eastAsia" w:ascii="宋体" w:hAnsi="宋体" w:cs="宋体"/>
                <w:kern w:val="0"/>
                <w:szCs w:val="21"/>
              </w:rPr>
            </w:pPr>
            <w:r>
              <w:rPr>
                <w:rFonts w:hint="eastAsia" w:ascii="宋体" w:hAnsi="宋体" w:cs="宋体"/>
                <w:kern w:val="0"/>
                <w:szCs w:val="21"/>
              </w:rPr>
              <w:t>个人信息注册、查询服务</w:t>
            </w:r>
          </w:p>
        </w:tc>
        <w:tc>
          <w:tcPr>
            <w:tcW w:w="746" w:type="dxa"/>
            <w:shd w:val="clear" w:color="auto" w:fill="auto"/>
            <w:vAlign w:val="center"/>
          </w:tcPr>
          <w:p w14:paraId="2E1F8FD6">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0BDDCA34">
            <w:pPr>
              <w:widowControl/>
              <w:spacing w:line="400" w:lineRule="exact"/>
              <w:jc w:val="left"/>
              <w:rPr>
                <w:rFonts w:hint="eastAsia" w:ascii="宋体" w:hAnsi="宋体" w:cs="宋体"/>
                <w:kern w:val="0"/>
                <w:szCs w:val="21"/>
              </w:rPr>
            </w:pPr>
          </w:p>
        </w:tc>
      </w:tr>
      <w:tr w14:paraId="32B3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43B6CE9A">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5720C55B">
            <w:pPr>
              <w:widowControl/>
              <w:spacing w:line="400" w:lineRule="exact"/>
              <w:jc w:val="left"/>
              <w:rPr>
                <w:rFonts w:hint="eastAsia" w:ascii="宋体" w:hAnsi="宋体" w:cs="宋体"/>
                <w:kern w:val="0"/>
                <w:szCs w:val="21"/>
              </w:rPr>
            </w:pPr>
            <w:r>
              <w:rPr>
                <w:rFonts w:hint="eastAsia" w:ascii="宋体" w:hAnsi="宋体" w:cs="宋体"/>
                <w:kern w:val="0"/>
                <w:szCs w:val="21"/>
              </w:rPr>
              <w:t>医疗卫生人员注册、查询服务</w:t>
            </w:r>
          </w:p>
        </w:tc>
        <w:tc>
          <w:tcPr>
            <w:tcW w:w="746" w:type="dxa"/>
            <w:shd w:val="clear" w:color="auto" w:fill="auto"/>
            <w:vAlign w:val="center"/>
          </w:tcPr>
          <w:p w14:paraId="1F4024FA">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7AD75A64">
            <w:pPr>
              <w:widowControl/>
              <w:spacing w:line="400" w:lineRule="exact"/>
              <w:jc w:val="left"/>
              <w:rPr>
                <w:rFonts w:hint="eastAsia" w:ascii="宋体" w:hAnsi="宋体" w:cs="宋体"/>
                <w:kern w:val="0"/>
                <w:szCs w:val="21"/>
              </w:rPr>
            </w:pPr>
          </w:p>
        </w:tc>
      </w:tr>
      <w:tr w14:paraId="4CF8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31ABAF9F">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227D2EFF">
            <w:pPr>
              <w:widowControl/>
              <w:spacing w:line="400" w:lineRule="exact"/>
              <w:jc w:val="left"/>
              <w:rPr>
                <w:rFonts w:hint="eastAsia" w:ascii="宋体" w:hAnsi="宋体" w:cs="宋体"/>
                <w:kern w:val="0"/>
                <w:szCs w:val="21"/>
              </w:rPr>
            </w:pPr>
            <w:r>
              <w:rPr>
                <w:rFonts w:hint="eastAsia" w:ascii="宋体" w:hAnsi="宋体" w:cs="宋体"/>
                <w:kern w:val="0"/>
                <w:szCs w:val="21"/>
              </w:rPr>
              <w:t>医疗卫生机构注册、查询服务</w:t>
            </w:r>
          </w:p>
        </w:tc>
        <w:tc>
          <w:tcPr>
            <w:tcW w:w="746" w:type="dxa"/>
            <w:shd w:val="clear" w:color="auto" w:fill="auto"/>
            <w:vAlign w:val="center"/>
          </w:tcPr>
          <w:p w14:paraId="3780A402">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5D20C37B">
            <w:pPr>
              <w:widowControl/>
              <w:spacing w:line="400" w:lineRule="exact"/>
              <w:jc w:val="left"/>
              <w:rPr>
                <w:rFonts w:hint="eastAsia" w:ascii="宋体" w:hAnsi="宋体" w:cs="宋体"/>
                <w:kern w:val="0"/>
                <w:szCs w:val="21"/>
              </w:rPr>
            </w:pPr>
          </w:p>
        </w:tc>
      </w:tr>
      <w:tr w14:paraId="0B95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841" w:type="dxa"/>
            <w:vMerge w:val="continue"/>
            <w:shd w:val="clear" w:color="auto" w:fill="auto"/>
            <w:vAlign w:val="center"/>
          </w:tcPr>
          <w:p w14:paraId="682E4EB5">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538E708F">
            <w:pPr>
              <w:widowControl/>
              <w:spacing w:line="400" w:lineRule="exact"/>
              <w:jc w:val="left"/>
              <w:rPr>
                <w:rFonts w:hint="eastAsia" w:ascii="宋体" w:hAnsi="宋体" w:cs="宋体"/>
                <w:kern w:val="0"/>
                <w:szCs w:val="21"/>
              </w:rPr>
            </w:pPr>
            <w:r>
              <w:rPr>
                <w:rFonts w:hint="eastAsia" w:ascii="宋体" w:hAnsi="宋体" w:cs="宋体"/>
                <w:kern w:val="0"/>
                <w:szCs w:val="21"/>
              </w:rPr>
              <w:t>业务交换组件</w:t>
            </w:r>
          </w:p>
        </w:tc>
        <w:tc>
          <w:tcPr>
            <w:tcW w:w="746" w:type="dxa"/>
            <w:shd w:val="clear" w:color="auto" w:fill="auto"/>
            <w:vAlign w:val="center"/>
          </w:tcPr>
          <w:p w14:paraId="1A8112FD">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vAlign w:val="center"/>
          </w:tcPr>
          <w:p w14:paraId="64C2431C">
            <w:pPr>
              <w:widowControl/>
              <w:spacing w:line="400" w:lineRule="exact"/>
              <w:jc w:val="left"/>
              <w:rPr>
                <w:rFonts w:hint="eastAsia" w:ascii="宋体" w:hAnsi="宋体" w:cs="宋体"/>
                <w:kern w:val="0"/>
                <w:szCs w:val="21"/>
              </w:rPr>
            </w:pPr>
            <w:r>
              <w:rPr>
                <w:rFonts w:hint="eastAsia" w:ascii="宋体" w:hAnsi="宋体" w:cs="宋体"/>
                <w:kern w:val="0"/>
                <w:szCs w:val="21"/>
              </w:rPr>
              <w:t>包括手麻、病理、心电、输血、治疗、合理用药、院感系统、慢病管理系统、电子发票业务交换组件</w:t>
            </w:r>
          </w:p>
        </w:tc>
      </w:tr>
      <w:tr w14:paraId="5DC2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7CFB9C25">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数据上报管理</w:t>
            </w:r>
          </w:p>
        </w:tc>
        <w:tc>
          <w:tcPr>
            <w:tcW w:w="4157" w:type="dxa"/>
            <w:shd w:val="clear" w:color="auto" w:fill="auto"/>
            <w:vAlign w:val="center"/>
          </w:tcPr>
          <w:p w14:paraId="5BA2438E">
            <w:pPr>
              <w:widowControl/>
              <w:spacing w:line="400" w:lineRule="exact"/>
              <w:jc w:val="left"/>
              <w:rPr>
                <w:rFonts w:hint="eastAsia" w:ascii="宋体" w:hAnsi="宋体" w:cs="宋体"/>
                <w:kern w:val="0"/>
                <w:szCs w:val="21"/>
              </w:rPr>
            </w:pPr>
            <w:r>
              <w:rPr>
                <w:rFonts w:hint="eastAsia" w:ascii="宋体" w:hAnsi="宋体" w:cs="宋体"/>
                <w:kern w:val="0"/>
                <w:szCs w:val="21"/>
              </w:rPr>
              <w:t>重大非传染性疾病及死亡信息上报</w:t>
            </w:r>
          </w:p>
        </w:tc>
        <w:tc>
          <w:tcPr>
            <w:tcW w:w="746" w:type="dxa"/>
            <w:shd w:val="clear" w:color="auto" w:fill="auto"/>
            <w:vAlign w:val="center"/>
          </w:tcPr>
          <w:p w14:paraId="7B069232">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462392C8">
            <w:pPr>
              <w:widowControl/>
              <w:spacing w:line="400" w:lineRule="exact"/>
              <w:jc w:val="left"/>
              <w:rPr>
                <w:rFonts w:hint="eastAsia" w:ascii="宋体" w:hAnsi="宋体" w:cs="宋体"/>
                <w:kern w:val="0"/>
                <w:szCs w:val="21"/>
              </w:rPr>
            </w:pPr>
          </w:p>
        </w:tc>
      </w:tr>
      <w:tr w14:paraId="09FE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17CB433A">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6BDEB566">
            <w:pPr>
              <w:widowControl/>
              <w:spacing w:line="400" w:lineRule="exact"/>
              <w:jc w:val="left"/>
              <w:rPr>
                <w:rFonts w:hint="eastAsia" w:ascii="宋体" w:hAnsi="宋体" w:cs="宋体"/>
                <w:kern w:val="0"/>
                <w:szCs w:val="21"/>
              </w:rPr>
            </w:pPr>
            <w:r>
              <w:rPr>
                <w:rFonts w:hint="eastAsia" w:ascii="宋体" w:hAnsi="宋体" w:cs="宋体"/>
                <w:kern w:val="0"/>
                <w:szCs w:val="21"/>
              </w:rPr>
              <w:t>HQMS数据上报</w:t>
            </w:r>
          </w:p>
        </w:tc>
        <w:tc>
          <w:tcPr>
            <w:tcW w:w="746" w:type="dxa"/>
            <w:shd w:val="clear" w:color="auto" w:fill="auto"/>
            <w:vAlign w:val="center"/>
          </w:tcPr>
          <w:p w14:paraId="59E20622">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4F123EC3">
            <w:pPr>
              <w:widowControl/>
              <w:spacing w:line="400" w:lineRule="exact"/>
              <w:jc w:val="left"/>
              <w:rPr>
                <w:rFonts w:hint="eastAsia" w:ascii="宋体" w:hAnsi="宋体" w:cs="宋体"/>
                <w:kern w:val="0"/>
                <w:szCs w:val="21"/>
              </w:rPr>
            </w:pPr>
          </w:p>
        </w:tc>
      </w:tr>
      <w:tr w14:paraId="0D47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069BC3BE">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20B0F74A">
            <w:pPr>
              <w:widowControl/>
              <w:spacing w:line="400" w:lineRule="exact"/>
              <w:jc w:val="left"/>
              <w:rPr>
                <w:rFonts w:hint="eastAsia" w:ascii="宋体" w:hAnsi="宋体" w:cs="宋体"/>
                <w:kern w:val="0"/>
                <w:szCs w:val="21"/>
              </w:rPr>
            </w:pPr>
            <w:r>
              <w:rPr>
                <w:rFonts w:hint="eastAsia" w:ascii="宋体" w:hAnsi="宋体" w:cs="宋体"/>
                <w:kern w:val="0"/>
                <w:szCs w:val="21"/>
              </w:rPr>
              <w:t>公立医院绩效考核上报</w:t>
            </w:r>
          </w:p>
        </w:tc>
        <w:tc>
          <w:tcPr>
            <w:tcW w:w="746" w:type="dxa"/>
            <w:shd w:val="clear" w:color="auto" w:fill="auto"/>
            <w:vAlign w:val="center"/>
          </w:tcPr>
          <w:p w14:paraId="400B8C41">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16106033">
            <w:pPr>
              <w:widowControl/>
              <w:spacing w:line="400" w:lineRule="exact"/>
              <w:jc w:val="left"/>
              <w:rPr>
                <w:rFonts w:hint="eastAsia" w:ascii="宋体" w:hAnsi="宋体" w:cs="宋体"/>
                <w:kern w:val="0"/>
                <w:szCs w:val="21"/>
              </w:rPr>
            </w:pPr>
          </w:p>
        </w:tc>
      </w:tr>
      <w:tr w14:paraId="0E63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00D7890E">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单病种质量监测系统</w:t>
            </w:r>
          </w:p>
        </w:tc>
        <w:tc>
          <w:tcPr>
            <w:tcW w:w="4157" w:type="dxa"/>
            <w:shd w:val="clear" w:color="auto" w:fill="auto"/>
            <w:vAlign w:val="center"/>
          </w:tcPr>
          <w:p w14:paraId="67B198C1">
            <w:pPr>
              <w:widowControl/>
              <w:spacing w:line="400" w:lineRule="exact"/>
              <w:jc w:val="left"/>
              <w:rPr>
                <w:rFonts w:hint="eastAsia" w:ascii="宋体" w:hAnsi="宋体" w:cs="宋体"/>
                <w:kern w:val="0"/>
                <w:szCs w:val="21"/>
              </w:rPr>
            </w:pPr>
            <w:r>
              <w:rPr>
                <w:rFonts w:hint="eastAsia" w:ascii="宋体" w:hAnsi="宋体" w:cs="宋体"/>
                <w:kern w:val="0"/>
                <w:szCs w:val="21"/>
              </w:rPr>
              <w:t>单病种上报</w:t>
            </w:r>
          </w:p>
        </w:tc>
        <w:tc>
          <w:tcPr>
            <w:tcW w:w="746" w:type="dxa"/>
            <w:shd w:val="clear" w:color="auto" w:fill="auto"/>
            <w:vAlign w:val="center"/>
          </w:tcPr>
          <w:p w14:paraId="233E0693">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1D8EE7E8">
            <w:pPr>
              <w:widowControl/>
              <w:spacing w:line="400" w:lineRule="exact"/>
              <w:jc w:val="left"/>
              <w:rPr>
                <w:rFonts w:hint="eastAsia" w:ascii="宋体" w:hAnsi="宋体" w:cs="宋体"/>
                <w:kern w:val="0"/>
                <w:szCs w:val="21"/>
              </w:rPr>
            </w:pPr>
          </w:p>
        </w:tc>
      </w:tr>
      <w:tr w14:paraId="34D5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184321F5">
            <w:pPr>
              <w:widowControl/>
              <w:spacing w:line="400" w:lineRule="exact"/>
              <w:jc w:val="center"/>
              <w:rPr>
                <w:rFonts w:hint="eastAsia" w:ascii="宋体" w:hAnsi="宋体" w:cs="宋体"/>
                <w:b/>
                <w:bCs/>
                <w:kern w:val="0"/>
                <w:szCs w:val="21"/>
              </w:rPr>
            </w:pPr>
          </w:p>
        </w:tc>
        <w:tc>
          <w:tcPr>
            <w:tcW w:w="4157" w:type="dxa"/>
            <w:shd w:val="clear" w:color="auto" w:fill="auto"/>
          </w:tcPr>
          <w:p w14:paraId="627A7D5B">
            <w:pPr>
              <w:widowControl/>
              <w:spacing w:line="400" w:lineRule="exact"/>
              <w:jc w:val="left"/>
              <w:rPr>
                <w:rFonts w:hint="eastAsia" w:ascii="宋体" w:hAnsi="宋体" w:cs="宋体"/>
                <w:kern w:val="0"/>
                <w:szCs w:val="21"/>
              </w:rPr>
            </w:pPr>
            <w:r>
              <w:rPr>
                <w:rFonts w:hint="eastAsia" w:ascii="宋体" w:hAnsi="宋体"/>
                <w:szCs w:val="21"/>
              </w:rPr>
              <w:t>数据治理与智能填充</w:t>
            </w:r>
          </w:p>
        </w:tc>
        <w:tc>
          <w:tcPr>
            <w:tcW w:w="746" w:type="dxa"/>
            <w:shd w:val="clear" w:color="auto" w:fill="auto"/>
            <w:vAlign w:val="center"/>
          </w:tcPr>
          <w:p w14:paraId="10280598">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6A6B6385">
            <w:pPr>
              <w:widowControl/>
              <w:spacing w:line="400" w:lineRule="exact"/>
              <w:jc w:val="left"/>
              <w:rPr>
                <w:rFonts w:hint="eastAsia" w:ascii="宋体" w:hAnsi="宋体" w:cs="宋体"/>
                <w:kern w:val="0"/>
                <w:szCs w:val="21"/>
              </w:rPr>
            </w:pPr>
          </w:p>
        </w:tc>
      </w:tr>
      <w:tr w14:paraId="4D0E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0A3AEEDE">
            <w:pPr>
              <w:widowControl/>
              <w:spacing w:line="400" w:lineRule="exact"/>
              <w:jc w:val="center"/>
              <w:rPr>
                <w:rFonts w:hint="eastAsia" w:ascii="宋体" w:hAnsi="宋体" w:cs="宋体"/>
                <w:b/>
                <w:bCs/>
                <w:kern w:val="0"/>
                <w:szCs w:val="21"/>
              </w:rPr>
            </w:pPr>
          </w:p>
        </w:tc>
        <w:tc>
          <w:tcPr>
            <w:tcW w:w="4157" w:type="dxa"/>
            <w:shd w:val="clear" w:color="auto" w:fill="auto"/>
          </w:tcPr>
          <w:p w14:paraId="11EA668F">
            <w:pPr>
              <w:widowControl/>
              <w:spacing w:line="400" w:lineRule="exact"/>
              <w:jc w:val="left"/>
              <w:rPr>
                <w:rFonts w:hint="eastAsia" w:ascii="宋体" w:hAnsi="宋体" w:cs="宋体"/>
                <w:kern w:val="0"/>
                <w:szCs w:val="21"/>
              </w:rPr>
            </w:pPr>
            <w:r>
              <w:rPr>
                <w:rFonts w:hint="eastAsia" w:ascii="宋体" w:hAnsi="宋体"/>
                <w:szCs w:val="21"/>
              </w:rPr>
              <w:t>事中质控管理及提醒</w:t>
            </w:r>
          </w:p>
        </w:tc>
        <w:tc>
          <w:tcPr>
            <w:tcW w:w="746" w:type="dxa"/>
            <w:shd w:val="clear" w:color="auto" w:fill="auto"/>
            <w:vAlign w:val="center"/>
          </w:tcPr>
          <w:p w14:paraId="686D405B">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424ADD0B">
            <w:pPr>
              <w:widowControl/>
              <w:spacing w:line="400" w:lineRule="exact"/>
              <w:jc w:val="left"/>
              <w:rPr>
                <w:rFonts w:hint="eastAsia" w:ascii="宋体" w:hAnsi="宋体" w:cs="宋体"/>
                <w:kern w:val="0"/>
                <w:szCs w:val="21"/>
              </w:rPr>
            </w:pPr>
          </w:p>
        </w:tc>
      </w:tr>
      <w:tr w14:paraId="0BDE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vAlign w:val="center"/>
          </w:tcPr>
          <w:p w14:paraId="49921E8E">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电子病历评级辅助</w:t>
            </w:r>
          </w:p>
        </w:tc>
        <w:tc>
          <w:tcPr>
            <w:tcW w:w="4157" w:type="dxa"/>
            <w:shd w:val="clear" w:color="auto" w:fill="auto"/>
            <w:vAlign w:val="center"/>
          </w:tcPr>
          <w:p w14:paraId="05AB0315">
            <w:pPr>
              <w:widowControl/>
              <w:spacing w:line="400" w:lineRule="exact"/>
              <w:jc w:val="left"/>
              <w:rPr>
                <w:rFonts w:hint="eastAsia" w:ascii="宋体" w:hAnsi="宋体" w:cs="宋体"/>
                <w:kern w:val="0"/>
                <w:szCs w:val="21"/>
              </w:rPr>
            </w:pPr>
            <w:r>
              <w:rPr>
                <w:rFonts w:hint="eastAsia" w:ascii="宋体" w:hAnsi="宋体" w:cs="宋体"/>
                <w:kern w:val="0"/>
                <w:szCs w:val="21"/>
              </w:rPr>
              <w:t>数据质量工具</w:t>
            </w:r>
          </w:p>
        </w:tc>
        <w:tc>
          <w:tcPr>
            <w:tcW w:w="746" w:type="dxa"/>
            <w:shd w:val="clear" w:color="auto" w:fill="auto"/>
            <w:vAlign w:val="center"/>
          </w:tcPr>
          <w:p w14:paraId="0CA1F9C6">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3CF7DCCC">
            <w:pPr>
              <w:widowControl/>
              <w:spacing w:line="400" w:lineRule="exact"/>
              <w:jc w:val="left"/>
              <w:rPr>
                <w:rFonts w:hint="eastAsia" w:ascii="宋体" w:hAnsi="宋体" w:cs="宋体"/>
                <w:kern w:val="0"/>
                <w:szCs w:val="21"/>
              </w:rPr>
            </w:pPr>
          </w:p>
        </w:tc>
      </w:tr>
      <w:tr w14:paraId="0FB7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vAlign w:val="center"/>
          </w:tcPr>
          <w:p w14:paraId="6CA16E48">
            <w:pPr>
              <w:widowControl/>
              <w:spacing w:line="400" w:lineRule="exact"/>
              <w:jc w:val="left"/>
              <w:rPr>
                <w:rFonts w:hint="eastAsia" w:ascii="宋体" w:hAnsi="宋体" w:cs="宋体"/>
                <w:b/>
                <w:bCs/>
                <w:kern w:val="0"/>
                <w:szCs w:val="21"/>
              </w:rPr>
            </w:pPr>
          </w:p>
        </w:tc>
        <w:tc>
          <w:tcPr>
            <w:tcW w:w="4157" w:type="dxa"/>
            <w:shd w:val="clear" w:color="auto" w:fill="auto"/>
            <w:vAlign w:val="center"/>
          </w:tcPr>
          <w:p w14:paraId="0810B858">
            <w:pPr>
              <w:widowControl/>
              <w:spacing w:line="400" w:lineRule="exact"/>
              <w:jc w:val="left"/>
              <w:rPr>
                <w:rFonts w:hint="eastAsia" w:ascii="宋体" w:hAnsi="宋体" w:cs="宋体"/>
                <w:kern w:val="0"/>
                <w:szCs w:val="21"/>
              </w:rPr>
            </w:pPr>
            <w:r>
              <w:rPr>
                <w:rFonts w:hint="eastAsia" w:ascii="宋体" w:hAnsi="宋体" w:cs="宋体"/>
                <w:kern w:val="0"/>
                <w:szCs w:val="21"/>
              </w:rPr>
              <w:t>电子病历四级评级过程支持服务</w:t>
            </w:r>
          </w:p>
        </w:tc>
        <w:tc>
          <w:tcPr>
            <w:tcW w:w="746" w:type="dxa"/>
            <w:shd w:val="clear" w:color="auto" w:fill="auto"/>
            <w:vAlign w:val="center"/>
          </w:tcPr>
          <w:p w14:paraId="047CC8EF">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42353ECF">
            <w:pPr>
              <w:widowControl/>
              <w:spacing w:line="400" w:lineRule="exact"/>
              <w:jc w:val="left"/>
              <w:rPr>
                <w:rFonts w:hint="eastAsia" w:ascii="宋体" w:hAnsi="宋体" w:cs="宋体"/>
                <w:kern w:val="0"/>
                <w:szCs w:val="21"/>
              </w:rPr>
            </w:pPr>
          </w:p>
        </w:tc>
      </w:tr>
      <w:tr w14:paraId="780F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841" w:type="dxa"/>
            <w:shd w:val="clear" w:color="auto" w:fill="auto"/>
            <w:vAlign w:val="center"/>
          </w:tcPr>
          <w:p w14:paraId="07AC5954">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下属医疗机构推广实施</w:t>
            </w:r>
          </w:p>
        </w:tc>
        <w:tc>
          <w:tcPr>
            <w:tcW w:w="4157" w:type="dxa"/>
            <w:shd w:val="clear" w:color="auto" w:fill="auto"/>
            <w:vAlign w:val="center"/>
          </w:tcPr>
          <w:p w14:paraId="79EBA32F">
            <w:pPr>
              <w:widowControl/>
              <w:spacing w:line="400" w:lineRule="exact"/>
              <w:jc w:val="left"/>
              <w:rPr>
                <w:rFonts w:hint="eastAsia" w:ascii="宋体" w:hAnsi="宋体" w:cs="宋体"/>
                <w:kern w:val="0"/>
                <w:szCs w:val="21"/>
              </w:rPr>
            </w:pPr>
            <w:r>
              <w:rPr>
                <w:rFonts w:hint="eastAsia" w:ascii="宋体" w:hAnsi="宋体" w:cs="宋体"/>
                <w:kern w:val="0"/>
                <w:szCs w:val="21"/>
              </w:rPr>
              <w:t>龙潭镇卫生院信息系统推广实施</w:t>
            </w:r>
          </w:p>
        </w:tc>
        <w:tc>
          <w:tcPr>
            <w:tcW w:w="746" w:type="dxa"/>
            <w:shd w:val="clear" w:color="auto" w:fill="auto"/>
            <w:vAlign w:val="center"/>
          </w:tcPr>
          <w:p w14:paraId="5FE040B4">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vAlign w:val="center"/>
          </w:tcPr>
          <w:p w14:paraId="391F1255">
            <w:pPr>
              <w:widowControl/>
              <w:spacing w:line="400" w:lineRule="exact"/>
              <w:jc w:val="left"/>
              <w:rPr>
                <w:rFonts w:hint="eastAsia" w:ascii="宋体" w:hAnsi="宋体" w:cs="宋体"/>
                <w:kern w:val="0"/>
                <w:szCs w:val="21"/>
              </w:rPr>
            </w:pPr>
          </w:p>
        </w:tc>
      </w:tr>
      <w:tr w14:paraId="2DBC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shd w:val="clear" w:color="auto" w:fill="auto"/>
            <w:noWrap/>
            <w:vAlign w:val="center"/>
          </w:tcPr>
          <w:p w14:paraId="75253E82">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慢病管理平台</w:t>
            </w:r>
          </w:p>
        </w:tc>
        <w:tc>
          <w:tcPr>
            <w:tcW w:w="4157" w:type="dxa"/>
            <w:shd w:val="clear" w:color="auto" w:fill="auto"/>
            <w:noWrap/>
            <w:vAlign w:val="center"/>
          </w:tcPr>
          <w:p w14:paraId="30DBF165">
            <w:pPr>
              <w:widowControl/>
              <w:spacing w:line="400" w:lineRule="exact"/>
              <w:jc w:val="left"/>
              <w:rPr>
                <w:rFonts w:hint="eastAsia" w:ascii="宋体" w:hAnsi="宋体" w:cs="宋体"/>
                <w:kern w:val="0"/>
                <w:szCs w:val="21"/>
              </w:rPr>
            </w:pPr>
            <w:r>
              <w:rPr>
                <w:rFonts w:hint="eastAsia" w:ascii="宋体" w:hAnsi="宋体" w:cs="宋体"/>
                <w:kern w:val="0"/>
                <w:szCs w:val="21"/>
              </w:rPr>
              <w:t>单科慢病管理</w:t>
            </w:r>
          </w:p>
        </w:tc>
        <w:tc>
          <w:tcPr>
            <w:tcW w:w="746" w:type="dxa"/>
            <w:shd w:val="clear" w:color="auto" w:fill="auto"/>
            <w:vAlign w:val="center"/>
          </w:tcPr>
          <w:p w14:paraId="00C88663">
            <w:pPr>
              <w:widowControl/>
              <w:spacing w:line="400" w:lineRule="exact"/>
              <w:jc w:val="center"/>
              <w:rPr>
                <w:rFonts w:hint="eastAsia" w:ascii="宋体" w:hAnsi="宋体" w:cs="宋体"/>
                <w:kern w:val="0"/>
                <w:szCs w:val="21"/>
              </w:rPr>
            </w:pPr>
            <w:r>
              <w:rPr>
                <w:rFonts w:hint="eastAsia" w:ascii="宋体" w:hAnsi="宋体" w:cs="宋体"/>
                <w:kern w:val="0"/>
                <w:szCs w:val="21"/>
              </w:rPr>
              <w:t>1套</w:t>
            </w:r>
          </w:p>
        </w:tc>
        <w:tc>
          <w:tcPr>
            <w:tcW w:w="2794" w:type="dxa"/>
            <w:shd w:val="clear" w:color="auto" w:fill="auto"/>
            <w:noWrap/>
            <w:vAlign w:val="center"/>
          </w:tcPr>
          <w:p w14:paraId="27D83D83">
            <w:pPr>
              <w:widowControl/>
              <w:spacing w:line="400" w:lineRule="exact"/>
              <w:jc w:val="left"/>
              <w:rPr>
                <w:rFonts w:hint="eastAsia" w:ascii="宋体" w:hAnsi="宋体" w:cs="宋体"/>
                <w:b/>
                <w:bCs/>
                <w:kern w:val="0"/>
                <w:szCs w:val="21"/>
              </w:rPr>
            </w:pPr>
          </w:p>
        </w:tc>
      </w:tr>
      <w:tr w14:paraId="13B8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538" w:type="dxa"/>
            <w:gridSpan w:val="4"/>
            <w:shd w:val="clear" w:color="auto" w:fill="auto"/>
            <w:noWrap/>
            <w:vAlign w:val="center"/>
          </w:tcPr>
          <w:p w14:paraId="361D0E3E">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配套硬件设备及系统软件</w:t>
            </w:r>
          </w:p>
        </w:tc>
      </w:tr>
      <w:tr w14:paraId="66BC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restart"/>
            <w:shd w:val="clear" w:color="auto" w:fill="auto"/>
            <w:noWrap/>
            <w:vAlign w:val="center"/>
          </w:tcPr>
          <w:p w14:paraId="1CE4AC19">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配套硬件</w:t>
            </w:r>
          </w:p>
        </w:tc>
        <w:tc>
          <w:tcPr>
            <w:tcW w:w="4157" w:type="dxa"/>
            <w:shd w:val="clear" w:color="auto" w:fill="auto"/>
            <w:noWrap/>
            <w:vAlign w:val="center"/>
          </w:tcPr>
          <w:p w14:paraId="0BAAF71A">
            <w:pPr>
              <w:widowControl/>
              <w:spacing w:line="400" w:lineRule="exact"/>
              <w:jc w:val="left"/>
              <w:rPr>
                <w:rFonts w:hint="eastAsia" w:ascii="宋体" w:hAnsi="宋体" w:cs="宋体"/>
                <w:kern w:val="0"/>
                <w:szCs w:val="21"/>
              </w:rPr>
            </w:pPr>
            <w:r>
              <w:rPr>
                <w:rFonts w:hint="eastAsia" w:ascii="宋体" w:hAnsi="宋体" w:cs="宋体"/>
                <w:kern w:val="0"/>
                <w:szCs w:val="21"/>
              </w:rPr>
              <w:t>超融合服务器节点</w:t>
            </w:r>
          </w:p>
        </w:tc>
        <w:tc>
          <w:tcPr>
            <w:tcW w:w="746" w:type="dxa"/>
            <w:shd w:val="clear" w:color="auto" w:fill="auto"/>
            <w:vAlign w:val="center"/>
          </w:tcPr>
          <w:p w14:paraId="38D666E1">
            <w:pPr>
              <w:widowControl/>
              <w:spacing w:line="400" w:lineRule="exact"/>
              <w:jc w:val="center"/>
              <w:rPr>
                <w:rFonts w:hint="eastAsia" w:ascii="宋体" w:hAnsi="宋体" w:cs="宋体"/>
                <w:kern w:val="0"/>
                <w:szCs w:val="21"/>
              </w:rPr>
            </w:pPr>
            <w:r>
              <w:rPr>
                <w:rFonts w:hint="eastAsia" w:ascii="宋体" w:hAnsi="宋体" w:cs="宋体"/>
                <w:kern w:val="0"/>
                <w:szCs w:val="21"/>
              </w:rPr>
              <w:t>8台</w:t>
            </w:r>
          </w:p>
        </w:tc>
        <w:tc>
          <w:tcPr>
            <w:tcW w:w="2794" w:type="dxa"/>
            <w:shd w:val="clear" w:color="auto" w:fill="auto"/>
            <w:noWrap/>
            <w:vAlign w:val="center"/>
          </w:tcPr>
          <w:p w14:paraId="143595B1">
            <w:pPr>
              <w:widowControl/>
              <w:spacing w:line="400" w:lineRule="exact"/>
              <w:jc w:val="left"/>
              <w:rPr>
                <w:rFonts w:hint="eastAsia" w:ascii="宋体" w:hAnsi="宋体" w:cs="宋体"/>
                <w:b/>
                <w:bCs/>
                <w:kern w:val="0"/>
                <w:szCs w:val="21"/>
              </w:rPr>
            </w:pPr>
          </w:p>
        </w:tc>
      </w:tr>
      <w:tr w14:paraId="17E8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noWrap/>
            <w:vAlign w:val="center"/>
          </w:tcPr>
          <w:p w14:paraId="61DC8282">
            <w:pPr>
              <w:widowControl/>
              <w:spacing w:line="400" w:lineRule="exact"/>
              <w:jc w:val="center"/>
              <w:rPr>
                <w:rFonts w:hint="eastAsia" w:ascii="宋体" w:hAnsi="宋体" w:cs="宋体"/>
                <w:b/>
                <w:bCs/>
                <w:kern w:val="0"/>
                <w:szCs w:val="21"/>
              </w:rPr>
            </w:pPr>
          </w:p>
        </w:tc>
        <w:tc>
          <w:tcPr>
            <w:tcW w:w="4157" w:type="dxa"/>
            <w:shd w:val="clear" w:color="auto" w:fill="auto"/>
            <w:noWrap/>
            <w:vAlign w:val="center"/>
          </w:tcPr>
          <w:p w14:paraId="63879EB9">
            <w:pPr>
              <w:widowControl/>
              <w:spacing w:line="400" w:lineRule="exact"/>
              <w:jc w:val="left"/>
              <w:rPr>
                <w:rFonts w:hint="eastAsia" w:ascii="宋体" w:hAnsi="宋体" w:cs="宋体"/>
                <w:kern w:val="0"/>
                <w:szCs w:val="21"/>
              </w:rPr>
            </w:pPr>
            <w:r>
              <w:rPr>
                <w:rFonts w:hint="eastAsia" w:ascii="宋体" w:hAnsi="宋体" w:cs="宋体"/>
                <w:kern w:val="0"/>
                <w:szCs w:val="21"/>
              </w:rPr>
              <w:t>超融合软件</w:t>
            </w:r>
          </w:p>
        </w:tc>
        <w:tc>
          <w:tcPr>
            <w:tcW w:w="746" w:type="dxa"/>
            <w:shd w:val="clear" w:color="auto" w:fill="auto"/>
            <w:vAlign w:val="center"/>
          </w:tcPr>
          <w:p w14:paraId="64E115D1">
            <w:pPr>
              <w:widowControl/>
              <w:spacing w:line="400" w:lineRule="exact"/>
              <w:jc w:val="center"/>
              <w:rPr>
                <w:rFonts w:hint="eastAsia" w:ascii="宋体" w:hAnsi="宋体" w:cs="宋体"/>
                <w:kern w:val="0"/>
                <w:szCs w:val="21"/>
              </w:rPr>
            </w:pPr>
            <w:r>
              <w:rPr>
                <w:rFonts w:hint="eastAsia" w:ascii="宋体" w:hAnsi="宋体" w:cs="宋体"/>
                <w:kern w:val="0"/>
                <w:szCs w:val="21"/>
              </w:rPr>
              <w:t>8套</w:t>
            </w:r>
          </w:p>
        </w:tc>
        <w:tc>
          <w:tcPr>
            <w:tcW w:w="2794" w:type="dxa"/>
            <w:shd w:val="clear" w:color="auto" w:fill="auto"/>
            <w:noWrap/>
            <w:vAlign w:val="center"/>
          </w:tcPr>
          <w:p w14:paraId="2A0EE15F">
            <w:pPr>
              <w:widowControl/>
              <w:spacing w:line="400" w:lineRule="exact"/>
              <w:jc w:val="left"/>
              <w:rPr>
                <w:rFonts w:hint="eastAsia" w:ascii="宋体" w:hAnsi="宋体" w:cs="宋体"/>
                <w:b/>
                <w:bCs/>
                <w:kern w:val="0"/>
                <w:szCs w:val="21"/>
              </w:rPr>
            </w:pPr>
          </w:p>
        </w:tc>
      </w:tr>
      <w:tr w14:paraId="16C2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noWrap/>
            <w:vAlign w:val="center"/>
          </w:tcPr>
          <w:p w14:paraId="587FC6B2">
            <w:pPr>
              <w:widowControl/>
              <w:spacing w:line="400" w:lineRule="exact"/>
              <w:jc w:val="center"/>
              <w:rPr>
                <w:rFonts w:hint="eastAsia" w:ascii="宋体" w:hAnsi="宋体" w:cs="宋体"/>
                <w:b/>
                <w:bCs/>
                <w:kern w:val="0"/>
                <w:szCs w:val="21"/>
              </w:rPr>
            </w:pPr>
          </w:p>
        </w:tc>
        <w:tc>
          <w:tcPr>
            <w:tcW w:w="4157" w:type="dxa"/>
            <w:shd w:val="clear" w:color="auto" w:fill="auto"/>
            <w:noWrap/>
            <w:vAlign w:val="center"/>
          </w:tcPr>
          <w:p w14:paraId="38F68331">
            <w:pPr>
              <w:widowControl/>
              <w:spacing w:line="400" w:lineRule="exact"/>
              <w:jc w:val="left"/>
              <w:rPr>
                <w:rFonts w:hint="eastAsia" w:ascii="宋体" w:hAnsi="宋体" w:cs="宋体"/>
                <w:kern w:val="0"/>
                <w:szCs w:val="21"/>
              </w:rPr>
            </w:pPr>
            <w:r>
              <w:rPr>
                <w:rFonts w:hint="eastAsia" w:ascii="宋体" w:hAnsi="宋体" w:cs="宋体"/>
                <w:kern w:val="0"/>
                <w:szCs w:val="21"/>
              </w:rPr>
              <w:t>通用服务器</w:t>
            </w:r>
          </w:p>
        </w:tc>
        <w:tc>
          <w:tcPr>
            <w:tcW w:w="746" w:type="dxa"/>
            <w:shd w:val="clear" w:color="auto" w:fill="auto"/>
            <w:vAlign w:val="center"/>
          </w:tcPr>
          <w:p w14:paraId="6413B12F">
            <w:pPr>
              <w:widowControl/>
              <w:spacing w:line="400" w:lineRule="exact"/>
              <w:jc w:val="center"/>
              <w:rPr>
                <w:rFonts w:hint="eastAsia" w:ascii="宋体" w:hAnsi="宋体" w:cs="宋体"/>
                <w:kern w:val="0"/>
                <w:szCs w:val="21"/>
              </w:rPr>
            </w:pPr>
            <w:r>
              <w:rPr>
                <w:rFonts w:hint="eastAsia" w:ascii="宋体" w:hAnsi="宋体" w:cs="宋体"/>
                <w:kern w:val="0"/>
                <w:szCs w:val="21"/>
              </w:rPr>
              <w:t>1台</w:t>
            </w:r>
          </w:p>
        </w:tc>
        <w:tc>
          <w:tcPr>
            <w:tcW w:w="2794" w:type="dxa"/>
            <w:shd w:val="clear" w:color="auto" w:fill="auto"/>
            <w:noWrap/>
            <w:vAlign w:val="center"/>
          </w:tcPr>
          <w:p w14:paraId="628155BA">
            <w:pPr>
              <w:widowControl/>
              <w:spacing w:line="400" w:lineRule="exact"/>
              <w:jc w:val="left"/>
              <w:rPr>
                <w:rFonts w:hint="eastAsia" w:ascii="宋体" w:hAnsi="宋体" w:cs="宋体"/>
                <w:b/>
                <w:bCs/>
                <w:kern w:val="0"/>
                <w:szCs w:val="21"/>
              </w:rPr>
            </w:pPr>
          </w:p>
        </w:tc>
      </w:tr>
      <w:tr w14:paraId="7A52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noWrap/>
            <w:vAlign w:val="center"/>
          </w:tcPr>
          <w:p w14:paraId="462E3756">
            <w:pPr>
              <w:widowControl/>
              <w:spacing w:line="400" w:lineRule="exact"/>
              <w:jc w:val="center"/>
              <w:rPr>
                <w:rFonts w:hint="eastAsia" w:ascii="宋体" w:hAnsi="宋体" w:cs="宋体"/>
                <w:b/>
                <w:bCs/>
                <w:kern w:val="0"/>
                <w:szCs w:val="21"/>
              </w:rPr>
            </w:pPr>
          </w:p>
        </w:tc>
        <w:tc>
          <w:tcPr>
            <w:tcW w:w="4157" w:type="dxa"/>
            <w:shd w:val="clear" w:color="auto" w:fill="auto"/>
            <w:noWrap/>
            <w:vAlign w:val="center"/>
          </w:tcPr>
          <w:p w14:paraId="760DC617">
            <w:pPr>
              <w:widowControl/>
              <w:spacing w:line="400" w:lineRule="exact"/>
              <w:jc w:val="left"/>
              <w:rPr>
                <w:rFonts w:hint="eastAsia" w:ascii="宋体" w:hAnsi="宋体" w:cs="宋体"/>
                <w:kern w:val="0"/>
                <w:szCs w:val="21"/>
              </w:rPr>
            </w:pPr>
            <w:r>
              <w:rPr>
                <w:rFonts w:hint="eastAsia" w:ascii="宋体" w:hAnsi="宋体" w:cs="宋体"/>
                <w:kern w:val="0"/>
                <w:szCs w:val="21"/>
              </w:rPr>
              <w:t>超融合万兆交换机</w:t>
            </w:r>
          </w:p>
        </w:tc>
        <w:tc>
          <w:tcPr>
            <w:tcW w:w="746" w:type="dxa"/>
            <w:shd w:val="clear" w:color="auto" w:fill="auto"/>
            <w:vAlign w:val="center"/>
          </w:tcPr>
          <w:p w14:paraId="0975571F">
            <w:pPr>
              <w:widowControl/>
              <w:spacing w:line="400" w:lineRule="exact"/>
              <w:jc w:val="center"/>
              <w:rPr>
                <w:rFonts w:hint="eastAsia" w:ascii="宋体" w:hAnsi="宋体" w:cs="宋体"/>
                <w:kern w:val="0"/>
                <w:szCs w:val="21"/>
              </w:rPr>
            </w:pPr>
            <w:r>
              <w:rPr>
                <w:rFonts w:hint="eastAsia" w:ascii="宋体" w:hAnsi="宋体" w:cs="宋体"/>
                <w:kern w:val="0"/>
                <w:szCs w:val="21"/>
              </w:rPr>
              <w:t>2台</w:t>
            </w:r>
          </w:p>
        </w:tc>
        <w:tc>
          <w:tcPr>
            <w:tcW w:w="2794" w:type="dxa"/>
            <w:shd w:val="clear" w:color="auto" w:fill="auto"/>
            <w:noWrap/>
            <w:vAlign w:val="center"/>
          </w:tcPr>
          <w:p w14:paraId="759BEFFD">
            <w:pPr>
              <w:widowControl/>
              <w:spacing w:line="400" w:lineRule="exact"/>
              <w:jc w:val="left"/>
              <w:rPr>
                <w:rFonts w:hint="eastAsia" w:ascii="宋体" w:hAnsi="宋体" w:cs="宋体"/>
                <w:b/>
                <w:bCs/>
                <w:kern w:val="0"/>
                <w:szCs w:val="21"/>
              </w:rPr>
            </w:pPr>
          </w:p>
        </w:tc>
      </w:tr>
      <w:tr w14:paraId="1487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noWrap/>
            <w:vAlign w:val="center"/>
          </w:tcPr>
          <w:p w14:paraId="517BC6BC">
            <w:pPr>
              <w:widowControl/>
              <w:spacing w:line="400" w:lineRule="exact"/>
              <w:jc w:val="center"/>
              <w:rPr>
                <w:rFonts w:hint="eastAsia" w:ascii="宋体" w:hAnsi="宋体" w:cs="宋体"/>
                <w:b/>
                <w:bCs/>
                <w:kern w:val="0"/>
                <w:szCs w:val="21"/>
              </w:rPr>
            </w:pPr>
          </w:p>
        </w:tc>
        <w:tc>
          <w:tcPr>
            <w:tcW w:w="4157" w:type="dxa"/>
            <w:shd w:val="clear" w:color="auto" w:fill="auto"/>
            <w:noWrap/>
            <w:vAlign w:val="center"/>
          </w:tcPr>
          <w:p w14:paraId="1483FC3B">
            <w:pPr>
              <w:widowControl/>
              <w:spacing w:line="400" w:lineRule="exact"/>
              <w:jc w:val="left"/>
              <w:rPr>
                <w:rFonts w:hint="eastAsia" w:ascii="宋体" w:hAnsi="宋体" w:cs="宋体"/>
                <w:kern w:val="0"/>
                <w:szCs w:val="21"/>
              </w:rPr>
            </w:pPr>
            <w:r>
              <w:rPr>
                <w:rFonts w:hint="eastAsia" w:ascii="宋体" w:hAnsi="宋体" w:cs="宋体"/>
                <w:kern w:val="0"/>
                <w:szCs w:val="21"/>
              </w:rPr>
              <w:t>业务交换机</w:t>
            </w:r>
          </w:p>
        </w:tc>
        <w:tc>
          <w:tcPr>
            <w:tcW w:w="746" w:type="dxa"/>
            <w:shd w:val="clear" w:color="auto" w:fill="auto"/>
            <w:vAlign w:val="center"/>
          </w:tcPr>
          <w:p w14:paraId="2670266C">
            <w:pPr>
              <w:widowControl/>
              <w:spacing w:line="400" w:lineRule="exact"/>
              <w:jc w:val="center"/>
              <w:rPr>
                <w:rFonts w:hint="eastAsia" w:ascii="宋体" w:hAnsi="宋体" w:cs="宋体"/>
                <w:kern w:val="0"/>
                <w:szCs w:val="21"/>
              </w:rPr>
            </w:pPr>
            <w:r>
              <w:rPr>
                <w:rFonts w:hint="eastAsia" w:ascii="宋体" w:hAnsi="宋体" w:cs="宋体"/>
                <w:kern w:val="0"/>
                <w:szCs w:val="21"/>
              </w:rPr>
              <w:t>2台</w:t>
            </w:r>
          </w:p>
        </w:tc>
        <w:tc>
          <w:tcPr>
            <w:tcW w:w="2794" w:type="dxa"/>
            <w:shd w:val="clear" w:color="auto" w:fill="auto"/>
            <w:noWrap/>
            <w:vAlign w:val="center"/>
          </w:tcPr>
          <w:p w14:paraId="377EBF8C">
            <w:pPr>
              <w:widowControl/>
              <w:spacing w:line="400" w:lineRule="exact"/>
              <w:jc w:val="left"/>
              <w:rPr>
                <w:rFonts w:hint="eastAsia" w:ascii="宋体" w:hAnsi="宋体" w:cs="宋体"/>
                <w:b/>
                <w:bCs/>
                <w:kern w:val="0"/>
                <w:szCs w:val="21"/>
              </w:rPr>
            </w:pPr>
          </w:p>
        </w:tc>
      </w:tr>
      <w:tr w14:paraId="0F60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noWrap/>
            <w:vAlign w:val="center"/>
          </w:tcPr>
          <w:p w14:paraId="21039020">
            <w:pPr>
              <w:widowControl/>
              <w:spacing w:line="400" w:lineRule="exact"/>
              <w:jc w:val="center"/>
              <w:rPr>
                <w:rFonts w:hint="eastAsia" w:ascii="宋体" w:hAnsi="宋体" w:cs="宋体"/>
                <w:b/>
                <w:bCs/>
                <w:kern w:val="0"/>
                <w:szCs w:val="21"/>
              </w:rPr>
            </w:pPr>
          </w:p>
        </w:tc>
        <w:tc>
          <w:tcPr>
            <w:tcW w:w="4157" w:type="dxa"/>
            <w:shd w:val="clear" w:color="auto" w:fill="auto"/>
            <w:noWrap/>
            <w:vAlign w:val="center"/>
          </w:tcPr>
          <w:p w14:paraId="20BCE74E">
            <w:pPr>
              <w:widowControl/>
              <w:spacing w:line="400" w:lineRule="exact"/>
              <w:jc w:val="left"/>
              <w:rPr>
                <w:rFonts w:hint="eastAsia" w:ascii="宋体" w:hAnsi="宋体" w:cs="宋体"/>
                <w:kern w:val="0"/>
                <w:szCs w:val="21"/>
              </w:rPr>
            </w:pPr>
            <w:r>
              <w:rPr>
                <w:rFonts w:hint="eastAsia" w:ascii="宋体" w:hAnsi="宋体" w:cs="宋体"/>
                <w:kern w:val="0"/>
                <w:szCs w:val="21"/>
              </w:rPr>
              <w:t>安装调试和辅材</w:t>
            </w:r>
          </w:p>
        </w:tc>
        <w:tc>
          <w:tcPr>
            <w:tcW w:w="746" w:type="dxa"/>
            <w:shd w:val="clear" w:color="auto" w:fill="auto"/>
            <w:vAlign w:val="center"/>
          </w:tcPr>
          <w:p w14:paraId="0A026059">
            <w:pPr>
              <w:widowControl/>
              <w:spacing w:line="400" w:lineRule="exact"/>
              <w:jc w:val="center"/>
              <w:rPr>
                <w:rFonts w:hint="eastAsia" w:ascii="宋体" w:hAnsi="宋体" w:cs="宋体"/>
                <w:kern w:val="0"/>
                <w:szCs w:val="21"/>
              </w:rPr>
            </w:pPr>
            <w:r>
              <w:rPr>
                <w:rFonts w:hint="eastAsia" w:ascii="宋体" w:hAnsi="宋体" w:cs="宋体"/>
                <w:kern w:val="0"/>
                <w:szCs w:val="21"/>
              </w:rPr>
              <w:t>1批</w:t>
            </w:r>
          </w:p>
        </w:tc>
        <w:tc>
          <w:tcPr>
            <w:tcW w:w="2794" w:type="dxa"/>
            <w:shd w:val="clear" w:color="auto" w:fill="auto"/>
            <w:noWrap/>
            <w:vAlign w:val="center"/>
          </w:tcPr>
          <w:p w14:paraId="1836F4FA">
            <w:pPr>
              <w:widowControl/>
              <w:spacing w:line="400" w:lineRule="exact"/>
              <w:jc w:val="left"/>
              <w:rPr>
                <w:rFonts w:hint="eastAsia" w:ascii="宋体" w:hAnsi="宋体" w:cs="宋体"/>
                <w:b/>
                <w:bCs/>
                <w:kern w:val="0"/>
                <w:szCs w:val="21"/>
              </w:rPr>
            </w:pPr>
          </w:p>
        </w:tc>
      </w:tr>
      <w:tr w14:paraId="36C6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41" w:type="dxa"/>
            <w:vMerge w:val="continue"/>
            <w:shd w:val="clear" w:color="auto" w:fill="auto"/>
            <w:noWrap/>
            <w:vAlign w:val="center"/>
          </w:tcPr>
          <w:p w14:paraId="0EFC951D">
            <w:pPr>
              <w:widowControl/>
              <w:spacing w:line="400" w:lineRule="exact"/>
              <w:jc w:val="center"/>
              <w:rPr>
                <w:rFonts w:hint="eastAsia" w:ascii="宋体" w:hAnsi="宋体" w:cs="宋体"/>
                <w:b/>
                <w:bCs/>
                <w:kern w:val="0"/>
                <w:szCs w:val="21"/>
              </w:rPr>
            </w:pPr>
          </w:p>
        </w:tc>
        <w:tc>
          <w:tcPr>
            <w:tcW w:w="4157" w:type="dxa"/>
            <w:shd w:val="clear" w:color="auto" w:fill="auto"/>
            <w:noWrap/>
            <w:vAlign w:val="center"/>
          </w:tcPr>
          <w:p w14:paraId="0AF132DC">
            <w:pPr>
              <w:widowControl/>
              <w:spacing w:line="400" w:lineRule="exact"/>
              <w:jc w:val="left"/>
              <w:rPr>
                <w:rFonts w:hint="eastAsia" w:ascii="宋体" w:hAnsi="宋体" w:cs="宋体"/>
                <w:kern w:val="0"/>
                <w:szCs w:val="21"/>
              </w:rPr>
            </w:pPr>
            <w:r>
              <w:rPr>
                <w:rFonts w:hint="eastAsia" w:ascii="宋体" w:hAnsi="宋体" w:cs="宋体"/>
                <w:kern w:val="0"/>
                <w:szCs w:val="21"/>
              </w:rPr>
              <w:t>网络安全防火墙</w:t>
            </w:r>
          </w:p>
        </w:tc>
        <w:tc>
          <w:tcPr>
            <w:tcW w:w="746" w:type="dxa"/>
            <w:shd w:val="clear" w:color="auto" w:fill="auto"/>
            <w:vAlign w:val="center"/>
          </w:tcPr>
          <w:p w14:paraId="6238D3AC">
            <w:pPr>
              <w:widowControl/>
              <w:spacing w:line="400" w:lineRule="exact"/>
              <w:jc w:val="center"/>
              <w:rPr>
                <w:rFonts w:hint="eastAsia" w:ascii="宋体" w:hAnsi="宋体" w:cs="宋体"/>
                <w:kern w:val="0"/>
                <w:szCs w:val="21"/>
              </w:rPr>
            </w:pPr>
            <w:r>
              <w:rPr>
                <w:rFonts w:hint="eastAsia" w:ascii="宋体" w:hAnsi="宋体" w:cs="宋体"/>
                <w:kern w:val="0"/>
                <w:szCs w:val="21"/>
              </w:rPr>
              <w:t>1台</w:t>
            </w:r>
          </w:p>
        </w:tc>
        <w:tc>
          <w:tcPr>
            <w:tcW w:w="2794" w:type="dxa"/>
            <w:shd w:val="clear" w:color="auto" w:fill="auto"/>
            <w:noWrap/>
            <w:vAlign w:val="center"/>
          </w:tcPr>
          <w:p w14:paraId="391D5EB4">
            <w:pPr>
              <w:widowControl/>
              <w:spacing w:line="400" w:lineRule="exact"/>
              <w:jc w:val="left"/>
              <w:rPr>
                <w:rFonts w:hint="eastAsia" w:ascii="宋体" w:hAnsi="宋体" w:cs="宋体"/>
                <w:b/>
                <w:bCs/>
                <w:kern w:val="0"/>
                <w:szCs w:val="21"/>
              </w:rPr>
            </w:pPr>
          </w:p>
        </w:tc>
      </w:tr>
      <w:tr w14:paraId="3D0B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841" w:type="dxa"/>
            <w:vMerge w:val="continue"/>
            <w:shd w:val="clear" w:color="auto" w:fill="auto"/>
            <w:noWrap/>
            <w:vAlign w:val="center"/>
          </w:tcPr>
          <w:p w14:paraId="0737E1EF">
            <w:pPr>
              <w:widowControl/>
              <w:spacing w:line="400" w:lineRule="exact"/>
              <w:jc w:val="center"/>
              <w:rPr>
                <w:rFonts w:hint="eastAsia" w:ascii="宋体" w:hAnsi="宋体" w:cs="宋体"/>
                <w:b/>
                <w:bCs/>
                <w:kern w:val="0"/>
                <w:szCs w:val="21"/>
              </w:rPr>
            </w:pPr>
          </w:p>
        </w:tc>
        <w:tc>
          <w:tcPr>
            <w:tcW w:w="4157" w:type="dxa"/>
            <w:shd w:val="clear" w:color="auto" w:fill="auto"/>
            <w:noWrap/>
            <w:vAlign w:val="center"/>
          </w:tcPr>
          <w:p w14:paraId="05E3377D">
            <w:pPr>
              <w:widowControl/>
              <w:spacing w:line="400" w:lineRule="exact"/>
              <w:jc w:val="left"/>
              <w:rPr>
                <w:rFonts w:hint="eastAsia" w:ascii="宋体" w:hAnsi="宋体" w:cs="宋体"/>
                <w:kern w:val="0"/>
                <w:szCs w:val="21"/>
              </w:rPr>
            </w:pPr>
            <w:r>
              <w:rPr>
                <w:rFonts w:hint="eastAsia" w:ascii="宋体" w:hAnsi="宋体" w:cs="宋体"/>
                <w:kern w:val="0"/>
                <w:szCs w:val="21"/>
              </w:rPr>
              <w:t>数据集中备份一体机</w:t>
            </w:r>
          </w:p>
        </w:tc>
        <w:tc>
          <w:tcPr>
            <w:tcW w:w="746" w:type="dxa"/>
            <w:shd w:val="clear" w:color="auto" w:fill="auto"/>
            <w:vAlign w:val="center"/>
          </w:tcPr>
          <w:p w14:paraId="78D46995">
            <w:pPr>
              <w:widowControl/>
              <w:spacing w:line="400" w:lineRule="exact"/>
              <w:jc w:val="center"/>
              <w:rPr>
                <w:rFonts w:hint="eastAsia" w:ascii="宋体" w:hAnsi="宋体" w:cs="宋体"/>
                <w:kern w:val="0"/>
                <w:szCs w:val="21"/>
              </w:rPr>
            </w:pPr>
            <w:r>
              <w:rPr>
                <w:rFonts w:hint="eastAsia" w:ascii="宋体" w:hAnsi="宋体" w:cs="宋体"/>
                <w:kern w:val="0"/>
                <w:szCs w:val="21"/>
              </w:rPr>
              <w:t>1台</w:t>
            </w:r>
          </w:p>
        </w:tc>
        <w:tc>
          <w:tcPr>
            <w:tcW w:w="2794" w:type="dxa"/>
            <w:shd w:val="clear" w:color="auto" w:fill="auto"/>
            <w:noWrap/>
            <w:vAlign w:val="center"/>
          </w:tcPr>
          <w:p w14:paraId="07E37BA8">
            <w:pPr>
              <w:widowControl/>
              <w:spacing w:line="400" w:lineRule="exact"/>
              <w:jc w:val="left"/>
              <w:rPr>
                <w:rFonts w:hint="eastAsia" w:ascii="宋体" w:hAnsi="宋体" w:cs="宋体"/>
                <w:b/>
                <w:bCs/>
                <w:kern w:val="0"/>
                <w:szCs w:val="21"/>
              </w:rPr>
            </w:pPr>
          </w:p>
        </w:tc>
      </w:tr>
    </w:tbl>
    <w:p w14:paraId="01FA23F8">
      <w:pPr>
        <w:spacing w:line="400" w:lineRule="exact"/>
        <w:rPr>
          <w:rFonts w:hint="eastAsia" w:ascii="宋体" w:hAnsi="宋体"/>
          <w:szCs w:val="21"/>
        </w:rPr>
      </w:pPr>
    </w:p>
    <w:p w14:paraId="74428C53">
      <w:pPr>
        <w:pStyle w:val="2"/>
        <w:numPr>
          <w:ilvl w:val="0"/>
          <w:numId w:val="4"/>
        </w:numPr>
        <w:spacing w:before="120" w:after="120" w:line="400" w:lineRule="exact"/>
        <w:rPr>
          <w:rFonts w:hint="eastAsia" w:ascii="宋体" w:hAnsi="宋体"/>
          <w:sz w:val="21"/>
          <w:szCs w:val="21"/>
        </w:rPr>
      </w:pPr>
      <w:r>
        <w:rPr>
          <w:rFonts w:hint="eastAsia" w:ascii="宋体" w:hAnsi="宋体"/>
          <w:sz w:val="21"/>
          <w:szCs w:val="21"/>
        </w:rPr>
        <w:t>总体要求</w:t>
      </w:r>
    </w:p>
    <w:p w14:paraId="380E44F1">
      <w:pPr>
        <w:spacing w:line="400" w:lineRule="exact"/>
        <w:ind w:firstLine="420" w:firstLineChars="200"/>
        <w:rPr>
          <w:rFonts w:hint="eastAsia" w:ascii="宋体" w:hAnsi="宋体"/>
          <w:szCs w:val="21"/>
        </w:rPr>
      </w:pPr>
      <w:r>
        <w:rPr>
          <w:rFonts w:hint="eastAsia" w:ascii="宋体" w:hAnsi="宋体" w:eastAsia="宋体"/>
          <w:color w:val="auto"/>
          <w:sz w:val="21"/>
          <w:szCs w:val="21"/>
        </w:rPr>
        <w:t>▲</w:t>
      </w:r>
      <w:r>
        <w:rPr>
          <w:rFonts w:hint="eastAsia" w:ascii="宋体" w:hAnsi="宋体"/>
          <w:color w:val="auto"/>
          <w:szCs w:val="21"/>
        </w:rPr>
        <w:t>要求</w:t>
      </w:r>
      <w:r>
        <w:rPr>
          <w:rFonts w:hint="eastAsia" w:ascii="宋体" w:hAnsi="宋体"/>
          <w:szCs w:val="21"/>
        </w:rPr>
        <w:t>投标人承诺涉及现有HIS、EMR、集成平台与本项目建设而产生的系统改造、对接等费用均已包含在本项目总报价中，由中标方与相关供应商协商，采购人不再为此支付任何费用。须提供书面承诺，否则投标无效。</w:t>
      </w:r>
    </w:p>
    <w:p w14:paraId="1677949D">
      <w:pPr>
        <w:pStyle w:val="2"/>
        <w:numPr>
          <w:ilvl w:val="0"/>
          <w:numId w:val="4"/>
        </w:numPr>
        <w:spacing w:before="120" w:after="120" w:line="400" w:lineRule="exact"/>
        <w:rPr>
          <w:rFonts w:hint="eastAsia" w:ascii="宋体" w:hAnsi="宋体"/>
          <w:sz w:val="21"/>
          <w:szCs w:val="21"/>
        </w:rPr>
      </w:pPr>
      <w:r>
        <w:rPr>
          <w:rFonts w:hint="eastAsia" w:ascii="宋体" w:hAnsi="宋体"/>
          <w:sz w:val="21"/>
          <w:szCs w:val="21"/>
        </w:rPr>
        <w:t>应用软件技术参数要求</w:t>
      </w:r>
    </w:p>
    <w:p w14:paraId="048D1452">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门诊预约</w:t>
      </w:r>
    </w:p>
    <w:p w14:paraId="335133A1">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门诊预约管理</w:t>
      </w:r>
    </w:p>
    <w:p w14:paraId="4D3676E9">
      <w:pPr>
        <w:spacing w:line="400" w:lineRule="exact"/>
        <w:ind w:firstLine="420" w:firstLineChars="200"/>
        <w:rPr>
          <w:rFonts w:hint="eastAsia" w:ascii="宋体" w:hAnsi="宋体"/>
          <w:szCs w:val="21"/>
        </w:rPr>
      </w:pPr>
      <w:r>
        <w:rPr>
          <w:rFonts w:hint="eastAsia" w:ascii="宋体" w:hAnsi="宋体"/>
          <w:szCs w:val="21"/>
        </w:rPr>
        <w:t>要求支持根据排班所生成的号源将在统一号源池进行集中管理，对外为患者提供多渠道预约服务，预约时根据预约规则进行限制，例如：年龄，性别，同班次号源重复预约等，实现号源不浪费节约医疗资源。主要功能要求包括：预约规则、多渠道预约、通知管理。</w:t>
      </w:r>
    </w:p>
    <w:p w14:paraId="3D7CB72A">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门诊排班管理</w:t>
      </w:r>
    </w:p>
    <w:p w14:paraId="748B9D06">
      <w:pPr>
        <w:spacing w:line="400" w:lineRule="exact"/>
        <w:ind w:firstLine="420" w:firstLineChars="200"/>
        <w:rPr>
          <w:rFonts w:hint="eastAsia" w:ascii="宋体" w:hAnsi="宋体"/>
          <w:szCs w:val="21"/>
        </w:rPr>
      </w:pPr>
      <w:r>
        <w:rPr>
          <w:rFonts w:hint="eastAsia" w:ascii="宋体" w:hAnsi="宋体"/>
          <w:szCs w:val="21"/>
        </w:rPr>
        <w:t>要求系统通过完善的排班管理功能对科室医生进行排班操作。计划排班与临时排班并行满足医院日常排班需求，排班设置完成后根据排班生成号源，同时通过节假日管理和时令管理确保号源只在医院工作日内的上下班时间生成。为了满足不同科室的需求，要求系统支持不同科室个性化配置可预约渠道，并支持为不同渠道设置不同的可预约号源数，同时搭配便捷快速的停诊和替诊操作，使排班更加合理化和智能化。主要功能要求包括：计划排班管理、临时排班管理、多渠道号源限制、节假日管理、替诊管理、停诊管理、号源管理、时令管理。</w:t>
      </w:r>
    </w:p>
    <w:p w14:paraId="2B13D60F">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门诊分诊管理</w:t>
      </w:r>
    </w:p>
    <w:p w14:paraId="3307C010">
      <w:pPr>
        <w:spacing w:line="400" w:lineRule="exact"/>
        <w:ind w:firstLine="420" w:firstLineChars="200"/>
        <w:rPr>
          <w:rFonts w:hint="eastAsia" w:ascii="宋体" w:hAnsi="宋体"/>
          <w:szCs w:val="21"/>
        </w:rPr>
      </w:pPr>
      <w:r>
        <w:rPr>
          <w:rFonts w:hint="eastAsia" w:ascii="宋体" w:hAnsi="宋体"/>
          <w:szCs w:val="21"/>
        </w:rPr>
        <w:t>门诊分诊管理帮助分诊人员根据患者病情及预约情况，确定患者看诊优先次序，要求通过签到、回诊上屏、优先叫号等分诊规则实现分诊队列调整，解决患者在看病中所遇到的各种排队、拥挤和混乱等现象，避免患者反复进出诊室、打乱诊疗秩序。主要功能要求包括：查看候诊情况、签到管理、迟到管理、过号管理、回诊管理、优先管理、动态加号、锁号管理、轸诊管理、诊室变更。</w:t>
      </w:r>
    </w:p>
    <w:p w14:paraId="4B5FEBA5">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统一支付对账平台</w:t>
      </w:r>
    </w:p>
    <w:p w14:paraId="39DFFDDF">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统一对账平台</w:t>
      </w:r>
    </w:p>
    <w:p w14:paraId="611B2130">
      <w:pPr>
        <w:spacing w:line="400" w:lineRule="exact"/>
        <w:ind w:firstLine="420" w:firstLineChars="200"/>
        <w:rPr>
          <w:rFonts w:hint="eastAsia" w:ascii="宋体" w:hAnsi="宋体"/>
          <w:szCs w:val="21"/>
        </w:rPr>
      </w:pPr>
      <w:r>
        <w:rPr>
          <w:rFonts w:hint="eastAsia" w:ascii="宋体" w:hAnsi="宋体"/>
          <w:szCs w:val="21"/>
        </w:rPr>
        <w:t>统一对账平台结合线上、线下、银行三方对账数据，实现三账合一，为财务提供全渠道、全支付方式的对账服务，支持差账自动下钻，显示异常明细。实现按总账对账、按明细账对账，系统自动生成日报、月报，减轻财务对账压力。</w:t>
      </w:r>
    </w:p>
    <w:p w14:paraId="68D50BB9">
      <w:pPr>
        <w:spacing w:line="400" w:lineRule="exact"/>
        <w:ind w:firstLine="420" w:firstLineChars="200"/>
        <w:rPr>
          <w:rFonts w:hint="eastAsia" w:ascii="宋体" w:hAnsi="宋体"/>
          <w:szCs w:val="21"/>
        </w:rPr>
      </w:pPr>
      <w:r>
        <w:rPr>
          <w:rFonts w:hint="eastAsia" w:ascii="宋体" w:hAnsi="宋体"/>
          <w:szCs w:val="21"/>
        </w:rPr>
        <w:t>1、运营概况分析</w:t>
      </w:r>
    </w:p>
    <w:p w14:paraId="502F9784">
      <w:pPr>
        <w:spacing w:line="400" w:lineRule="exact"/>
        <w:ind w:firstLine="420" w:firstLineChars="200"/>
        <w:rPr>
          <w:rFonts w:hint="eastAsia" w:ascii="宋体" w:hAnsi="宋体"/>
          <w:szCs w:val="21"/>
        </w:rPr>
      </w:pPr>
      <w:r>
        <w:rPr>
          <w:rFonts w:hint="eastAsia" w:ascii="宋体" w:hAnsi="宋体"/>
          <w:szCs w:val="21"/>
        </w:rPr>
        <w:t>运营概况首页展示全院收益总览情况、各种渠道交易统计和交易分布占比、以及各支付方式收益占比分布。为财务人员提供收益全局总览，帮助财务人员快速了解院内交易情况。</w:t>
      </w:r>
    </w:p>
    <w:p w14:paraId="4CD47E97">
      <w:pPr>
        <w:spacing w:line="400" w:lineRule="exact"/>
        <w:ind w:firstLine="420" w:firstLineChars="200"/>
        <w:rPr>
          <w:rFonts w:hint="eastAsia" w:ascii="宋体" w:hAnsi="宋体"/>
          <w:szCs w:val="21"/>
        </w:rPr>
      </w:pPr>
      <w:r>
        <w:rPr>
          <w:rFonts w:hint="eastAsia" w:ascii="宋体" w:hAnsi="宋体"/>
          <w:szCs w:val="21"/>
        </w:rPr>
        <w:t>2、财务对账管理</w:t>
      </w:r>
    </w:p>
    <w:p w14:paraId="0F094651">
      <w:pPr>
        <w:spacing w:line="400" w:lineRule="exact"/>
        <w:ind w:firstLine="420" w:firstLineChars="200"/>
        <w:rPr>
          <w:rFonts w:hint="eastAsia" w:ascii="宋体" w:hAnsi="宋体"/>
          <w:szCs w:val="21"/>
        </w:rPr>
      </w:pPr>
      <w:r>
        <w:rPr>
          <w:rFonts w:hint="eastAsia" w:ascii="宋体" w:hAnsi="宋体"/>
          <w:szCs w:val="21"/>
        </w:rPr>
        <w:t>通过下载或导入的方式获取第三方交易明细数据，与院内HIS预交金数据进行比对，分析出差额的产生原因（如单边账、跨天账等），方便财务人员在处理预交金收入与银行回执金额差异时快速平账。财务对账支持按就诊类型、服务渠道、支付方式对对账数据进行筛选区分。主要功能要求包括：现金对账、POS对账、微信对账、支付宝对账、总账对账、差账明细、结账明细。</w:t>
      </w:r>
    </w:p>
    <w:p w14:paraId="71DB54A2">
      <w:pPr>
        <w:spacing w:line="400" w:lineRule="exact"/>
        <w:ind w:firstLine="420" w:firstLineChars="200"/>
        <w:rPr>
          <w:rFonts w:hint="eastAsia" w:ascii="宋体" w:hAnsi="宋体"/>
          <w:szCs w:val="21"/>
        </w:rPr>
      </w:pPr>
      <w:r>
        <w:rPr>
          <w:rFonts w:hint="eastAsia" w:ascii="宋体" w:hAnsi="宋体"/>
          <w:szCs w:val="21"/>
        </w:rPr>
        <w:t>3、跨账分析</w:t>
      </w:r>
    </w:p>
    <w:p w14:paraId="064AC86F">
      <w:pPr>
        <w:spacing w:line="400" w:lineRule="exact"/>
        <w:ind w:firstLine="420" w:firstLineChars="200"/>
        <w:rPr>
          <w:rFonts w:hint="eastAsia" w:ascii="宋体" w:hAnsi="宋体"/>
          <w:szCs w:val="21"/>
        </w:rPr>
      </w:pPr>
      <w:r>
        <w:rPr>
          <w:rFonts w:hint="eastAsia" w:ascii="宋体" w:hAnsi="宋体"/>
          <w:szCs w:val="21"/>
        </w:rPr>
        <w:t>主要功能要求包括：跨天结账明细、跨天交易明细、跨月结账明细、跨月交易明细。</w:t>
      </w:r>
    </w:p>
    <w:p w14:paraId="7DF80E48">
      <w:pPr>
        <w:spacing w:line="400" w:lineRule="exact"/>
        <w:ind w:firstLine="420" w:firstLineChars="200"/>
        <w:rPr>
          <w:rFonts w:hint="eastAsia" w:ascii="宋体" w:hAnsi="宋体"/>
          <w:szCs w:val="21"/>
        </w:rPr>
      </w:pPr>
      <w:r>
        <w:rPr>
          <w:rFonts w:hint="eastAsia" w:ascii="宋体" w:hAnsi="宋体"/>
          <w:szCs w:val="21"/>
        </w:rPr>
        <w:t>4、异常账智能提醒</w:t>
      </w:r>
    </w:p>
    <w:p w14:paraId="3048D6B2">
      <w:pPr>
        <w:spacing w:line="400" w:lineRule="exact"/>
        <w:ind w:firstLine="420" w:firstLineChars="200"/>
        <w:rPr>
          <w:rFonts w:hint="eastAsia" w:ascii="宋体" w:hAnsi="宋体"/>
          <w:szCs w:val="21"/>
        </w:rPr>
      </w:pPr>
      <w:r>
        <w:rPr>
          <w:rFonts w:hint="eastAsia" w:ascii="宋体" w:hAnsi="宋体"/>
          <w:szCs w:val="21"/>
        </w:rPr>
        <w:t>通过HIS交易记录与支付平台/第三方交易流水进行比对，分析出差异账的产生原因，实现异常账目自动发现，包括平台单边账及第三方单边账等。平台提供异常账提醒功能，支持对未处理的账目进行滚存查询，比对分析异常账退款数据，统计当前异常账余额，方便财务人员在处理预交金收入与银行回执金额差异时快速平账。</w:t>
      </w:r>
    </w:p>
    <w:p w14:paraId="75612BEC">
      <w:pPr>
        <w:spacing w:line="400" w:lineRule="exact"/>
        <w:ind w:firstLine="420" w:firstLineChars="200"/>
        <w:rPr>
          <w:rFonts w:hint="eastAsia" w:ascii="宋体" w:hAnsi="宋体"/>
          <w:szCs w:val="21"/>
        </w:rPr>
      </w:pPr>
      <w:r>
        <w:rPr>
          <w:rFonts w:hint="eastAsia" w:ascii="宋体" w:hAnsi="宋体"/>
          <w:szCs w:val="21"/>
        </w:rPr>
        <w:t>5、交易明细查询</w:t>
      </w:r>
    </w:p>
    <w:p w14:paraId="2BDF04F5">
      <w:pPr>
        <w:spacing w:line="400" w:lineRule="exact"/>
        <w:ind w:firstLine="420" w:firstLineChars="200"/>
        <w:rPr>
          <w:rFonts w:hint="eastAsia" w:ascii="宋体" w:hAnsi="宋体"/>
          <w:szCs w:val="21"/>
        </w:rPr>
      </w:pPr>
      <w:r>
        <w:rPr>
          <w:rFonts w:hint="eastAsia" w:ascii="宋体" w:hAnsi="宋体"/>
          <w:szCs w:val="21"/>
        </w:rPr>
        <w:t>提供支付平台、第三方、HIS系统的交易明细查询服务，如果订单存在部分退款则显示退款记录，能够显示原路退回的账户，方便患者反馈退款未到账时收费处进行查询。要求包括支付平台交易明细、第三方交易明细、医院交易明细。</w:t>
      </w:r>
    </w:p>
    <w:p w14:paraId="25CDE72C">
      <w:pPr>
        <w:spacing w:line="400" w:lineRule="exact"/>
        <w:ind w:firstLine="420" w:firstLineChars="200"/>
        <w:rPr>
          <w:rFonts w:hint="eastAsia" w:ascii="宋体" w:hAnsi="宋体"/>
          <w:szCs w:val="21"/>
        </w:rPr>
      </w:pPr>
      <w:r>
        <w:rPr>
          <w:rFonts w:hint="eastAsia" w:ascii="宋体" w:hAnsi="宋体"/>
          <w:szCs w:val="21"/>
        </w:rPr>
        <w:t>6、财务权限管理</w:t>
      </w:r>
    </w:p>
    <w:p w14:paraId="672A575A">
      <w:pPr>
        <w:spacing w:line="400" w:lineRule="exact"/>
        <w:ind w:firstLine="420" w:firstLineChars="200"/>
        <w:rPr>
          <w:rFonts w:hint="eastAsia" w:ascii="宋体" w:hAnsi="宋体"/>
          <w:szCs w:val="21"/>
        </w:rPr>
      </w:pPr>
      <w:r>
        <w:rPr>
          <w:rFonts w:hint="eastAsia" w:ascii="宋体" w:hAnsi="宋体"/>
          <w:szCs w:val="21"/>
        </w:rPr>
        <w:t>支持对处理权限进行划分，通过收费处权限管理功能，可以为收费处负责人员分配所管辖的收费员及自助机的权限，每个收费处负责人登录后只能看到本收费处管辖范围内的异常账目，并授权进行处理。</w:t>
      </w:r>
    </w:p>
    <w:p w14:paraId="5E6605C3">
      <w:pPr>
        <w:spacing w:line="400" w:lineRule="exact"/>
        <w:ind w:firstLine="420" w:firstLineChars="200"/>
        <w:rPr>
          <w:rFonts w:hint="eastAsia" w:ascii="宋体" w:hAnsi="宋体"/>
          <w:szCs w:val="21"/>
        </w:rPr>
      </w:pPr>
      <w:r>
        <w:rPr>
          <w:rFonts w:hint="eastAsia" w:ascii="宋体" w:hAnsi="宋体"/>
          <w:szCs w:val="21"/>
        </w:rPr>
        <w:t>7、 财务报表导出打印</w:t>
      </w:r>
    </w:p>
    <w:p w14:paraId="0AF80387">
      <w:pPr>
        <w:spacing w:line="400" w:lineRule="exact"/>
        <w:ind w:firstLine="420" w:firstLineChars="200"/>
        <w:rPr>
          <w:rFonts w:hint="eastAsia" w:ascii="宋体" w:hAnsi="宋体"/>
          <w:szCs w:val="21"/>
        </w:rPr>
      </w:pPr>
      <w:r>
        <w:rPr>
          <w:rFonts w:hint="eastAsia" w:ascii="宋体" w:hAnsi="宋体"/>
          <w:szCs w:val="21"/>
        </w:rPr>
        <w:t>支持财务对账报表、交易明细表、异常账目明细表等统计报表一键导出或打印，方便财务留存及统计。</w:t>
      </w:r>
    </w:p>
    <w:p w14:paraId="67AC04EB">
      <w:pPr>
        <w:spacing w:line="400" w:lineRule="exact"/>
        <w:ind w:firstLine="420" w:firstLineChars="200"/>
        <w:rPr>
          <w:rFonts w:hint="eastAsia" w:ascii="宋体" w:hAnsi="宋体"/>
          <w:szCs w:val="21"/>
        </w:rPr>
      </w:pPr>
      <w:r>
        <w:rPr>
          <w:rFonts w:hint="eastAsia" w:ascii="宋体" w:hAnsi="宋体"/>
          <w:szCs w:val="21"/>
        </w:rPr>
        <w:t>8、 数据下载对账服务</w:t>
      </w:r>
    </w:p>
    <w:p w14:paraId="4D459206">
      <w:pPr>
        <w:spacing w:line="400" w:lineRule="exact"/>
        <w:ind w:firstLine="420" w:firstLineChars="200"/>
        <w:rPr>
          <w:rFonts w:hint="eastAsia" w:ascii="宋体" w:hAnsi="宋体"/>
          <w:szCs w:val="21"/>
        </w:rPr>
      </w:pPr>
      <w:r>
        <w:rPr>
          <w:rFonts w:hint="eastAsia" w:ascii="宋体" w:hAnsi="宋体"/>
          <w:szCs w:val="21"/>
        </w:rPr>
        <w:t>主要功能要求包括：交易数据下载服务、财务对账服务、任务执行日志。</w:t>
      </w:r>
    </w:p>
    <w:p w14:paraId="00FFC42E">
      <w:pPr>
        <w:spacing w:line="400" w:lineRule="exact"/>
        <w:ind w:firstLine="420" w:firstLineChars="200"/>
        <w:rPr>
          <w:rFonts w:hint="eastAsia" w:ascii="宋体" w:hAnsi="宋体"/>
          <w:szCs w:val="21"/>
        </w:rPr>
      </w:pPr>
      <w:r>
        <w:rPr>
          <w:rFonts w:hint="eastAsia" w:ascii="宋体" w:hAnsi="宋体"/>
          <w:szCs w:val="21"/>
        </w:rPr>
        <w:t>9、综合运营管理</w:t>
      </w:r>
    </w:p>
    <w:p w14:paraId="6F15BD93">
      <w:pPr>
        <w:spacing w:line="400" w:lineRule="exact"/>
        <w:ind w:firstLine="420" w:firstLineChars="200"/>
        <w:rPr>
          <w:rFonts w:hint="eastAsia" w:ascii="宋体" w:hAnsi="宋体"/>
          <w:szCs w:val="21"/>
        </w:rPr>
      </w:pPr>
      <w:r>
        <w:rPr>
          <w:rFonts w:hint="eastAsia" w:ascii="宋体" w:hAnsi="宋体"/>
          <w:szCs w:val="21"/>
        </w:rPr>
        <w:t>主要功能要求包括：服务渠道分析、支付方式分析。</w:t>
      </w:r>
    </w:p>
    <w:p w14:paraId="30169855">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统一支付平台</w:t>
      </w:r>
    </w:p>
    <w:p w14:paraId="6DDEB17E">
      <w:pPr>
        <w:spacing w:line="400" w:lineRule="exact"/>
        <w:ind w:firstLine="420" w:firstLineChars="200"/>
        <w:rPr>
          <w:rFonts w:hint="eastAsia" w:ascii="宋体" w:hAnsi="宋体"/>
          <w:szCs w:val="21"/>
        </w:rPr>
      </w:pPr>
      <w:r>
        <w:rPr>
          <w:rFonts w:hint="eastAsia" w:ascii="宋体" w:hAnsi="宋体"/>
          <w:szCs w:val="21"/>
        </w:rPr>
        <w:t>整合院内线上线下所有的支付渠道进行统一对接管理，提供标准规范、安全可靠、移动便捷的支付通道，通过聚合支付（微信、支付宝等）实现患者移动支付，去窗口化。平台具备完整的交易记录管理，能够保存真实、完整的网络支付交易记录，针对单边账、异常账提醒具备主动的发现机制，对于交易过程中的退费建立了规范的返回机制，对于交易取消（撤销）、交易不成功等原因需要退回资金的，相应款项支持由原渠道进行返还。</w:t>
      </w:r>
    </w:p>
    <w:p w14:paraId="134C2CF5">
      <w:pPr>
        <w:spacing w:line="400" w:lineRule="exact"/>
        <w:ind w:firstLine="420" w:firstLineChars="200"/>
        <w:rPr>
          <w:rFonts w:hint="eastAsia" w:ascii="宋体" w:hAnsi="宋体"/>
          <w:szCs w:val="21"/>
        </w:rPr>
      </w:pPr>
      <w:r>
        <w:rPr>
          <w:rFonts w:hint="eastAsia" w:ascii="宋体" w:hAnsi="宋体"/>
          <w:szCs w:val="21"/>
        </w:rPr>
        <w:t>1、多种支付方式对接</w:t>
      </w:r>
    </w:p>
    <w:p w14:paraId="6C6561FB">
      <w:pPr>
        <w:spacing w:line="400" w:lineRule="exact"/>
        <w:ind w:firstLine="420" w:firstLineChars="200"/>
        <w:rPr>
          <w:rFonts w:hint="eastAsia" w:ascii="宋体" w:hAnsi="宋体"/>
          <w:szCs w:val="21"/>
        </w:rPr>
      </w:pPr>
      <w:r>
        <w:rPr>
          <w:rFonts w:hint="eastAsia" w:ascii="宋体" w:hAnsi="宋体"/>
          <w:szCs w:val="21"/>
        </w:rPr>
        <w:t>根据医院实际需求，对微信、支付宝、银联POS等支付方式进行统一的对接管理，实现充值、退款、交易查询等，同时在支付交易时对接入的第三方业务系统，支付平台进行统一的授权认证、服务监控。主要功能要求包括：与微信支付平台对接、与支付宝支付平台对接、与银联POS对接。</w:t>
      </w:r>
    </w:p>
    <w:p w14:paraId="086CD61E">
      <w:pPr>
        <w:spacing w:line="400" w:lineRule="exact"/>
        <w:ind w:firstLine="420" w:firstLineChars="200"/>
        <w:rPr>
          <w:rFonts w:hint="eastAsia" w:ascii="宋体" w:hAnsi="宋体"/>
          <w:szCs w:val="21"/>
        </w:rPr>
      </w:pPr>
      <w:r>
        <w:rPr>
          <w:rFonts w:hint="eastAsia" w:ascii="宋体" w:hAnsi="宋体"/>
          <w:szCs w:val="21"/>
        </w:rPr>
        <w:t>2、多种服务渠道接入</w:t>
      </w:r>
    </w:p>
    <w:p w14:paraId="525F0128">
      <w:pPr>
        <w:spacing w:line="400" w:lineRule="exact"/>
        <w:ind w:firstLine="420" w:firstLineChars="200"/>
        <w:rPr>
          <w:rFonts w:hint="eastAsia" w:ascii="宋体" w:hAnsi="宋体"/>
          <w:szCs w:val="21"/>
        </w:rPr>
      </w:pPr>
      <w:r>
        <w:rPr>
          <w:rFonts w:hint="eastAsia" w:ascii="宋体" w:hAnsi="宋体"/>
          <w:szCs w:val="21"/>
        </w:rPr>
        <w:t>统一支付平台提供线上线下多种服务渠道接入，支持微信公众号、支付宝生活号等，线下包括：收费窗口、医生诊间等服务渠道接入。</w:t>
      </w:r>
    </w:p>
    <w:p w14:paraId="21BC4794">
      <w:pPr>
        <w:spacing w:line="400" w:lineRule="exact"/>
        <w:ind w:firstLine="420" w:firstLineChars="200"/>
        <w:rPr>
          <w:rFonts w:hint="eastAsia" w:ascii="宋体" w:hAnsi="宋体"/>
          <w:szCs w:val="21"/>
        </w:rPr>
      </w:pPr>
      <w:r>
        <w:rPr>
          <w:rFonts w:hint="eastAsia" w:ascii="宋体" w:hAnsi="宋体"/>
          <w:szCs w:val="21"/>
        </w:rPr>
        <w:t>3、支付管理</w:t>
      </w:r>
    </w:p>
    <w:p w14:paraId="4F12CFC2">
      <w:pPr>
        <w:spacing w:line="400" w:lineRule="exact"/>
        <w:ind w:firstLine="420" w:firstLineChars="200"/>
        <w:rPr>
          <w:rFonts w:hint="eastAsia" w:ascii="宋体" w:hAnsi="宋体"/>
          <w:szCs w:val="21"/>
        </w:rPr>
      </w:pPr>
      <w:r>
        <w:rPr>
          <w:rFonts w:hint="eastAsia" w:ascii="宋体" w:hAnsi="宋体"/>
          <w:szCs w:val="21"/>
        </w:rPr>
        <w:t>主要功能要求包括：支付请求服务、聚合支付服务、支付信息识别、订单号生成服务、订单信息管理、支付信息确认、支付交易服务、支付查询服务以及交易信息确认等。</w:t>
      </w:r>
    </w:p>
    <w:p w14:paraId="1FB91AE6">
      <w:pPr>
        <w:spacing w:line="400" w:lineRule="exact"/>
        <w:ind w:firstLine="420" w:firstLineChars="200"/>
        <w:rPr>
          <w:rFonts w:hint="eastAsia" w:ascii="宋体" w:hAnsi="宋体"/>
          <w:szCs w:val="21"/>
        </w:rPr>
      </w:pPr>
      <w:r>
        <w:rPr>
          <w:rFonts w:hint="eastAsia" w:ascii="宋体" w:hAnsi="宋体"/>
          <w:szCs w:val="21"/>
        </w:rPr>
        <w:t>4、退款管理</w:t>
      </w:r>
    </w:p>
    <w:p w14:paraId="1B499FBB">
      <w:pPr>
        <w:spacing w:line="400" w:lineRule="exact"/>
        <w:ind w:firstLine="420" w:firstLineChars="200"/>
        <w:rPr>
          <w:rFonts w:hint="eastAsia" w:ascii="宋体" w:hAnsi="宋体"/>
          <w:szCs w:val="21"/>
        </w:rPr>
      </w:pPr>
      <w:r>
        <w:rPr>
          <w:rFonts w:hint="eastAsia" w:ascii="宋体" w:hAnsi="宋体"/>
          <w:szCs w:val="21"/>
        </w:rPr>
        <w:t>主要功能要求包括：线下窗口退款、退款交易服务、退款状态查询、退款路径管理、自动退款服务、自动退款池。</w:t>
      </w:r>
    </w:p>
    <w:p w14:paraId="728188EB">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医技业务</w:t>
      </w:r>
    </w:p>
    <w:p w14:paraId="6E6EA437">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手术麻醉临床信息系统</w:t>
      </w:r>
    </w:p>
    <w:p w14:paraId="259ED422">
      <w:pPr>
        <w:spacing w:line="400" w:lineRule="exact"/>
        <w:ind w:firstLine="420" w:firstLineChars="200"/>
        <w:rPr>
          <w:rFonts w:hint="eastAsia" w:ascii="宋体" w:hAnsi="宋体"/>
          <w:szCs w:val="21"/>
        </w:rPr>
      </w:pPr>
      <w:r>
        <w:rPr>
          <w:rFonts w:hint="eastAsia" w:ascii="宋体" w:hAnsi="宋体"/>
          <w:szCs w:val="21"/>
        </w:rPr>
        <w:t>1、基础功能</w:t>
      </w:r>
    </w:p>
    <w:p w14:paraId="593CE375">
      <w:pPr>
        <w:spacing w:line="400" w:lineRule="exact"/>
        <w:ind w:firstLine="420" w:firstLineChars="200"/>
        <w:rPr>
          <w:rFonts w:hint="eastAsia" w:ascii="宋体" w:hAnsi="宋体"/>
          <w:szCs w:val="21"/>
        </w:rPr>
      </w:pPr>
      <w:r>
        <w:rPr>
          <w:rFonts w:hint="eastAsia" w:ascii="宋体" w:hAnsi="宋体"/>
          <w:szCs w:val="21"/>
        </w:rPr>
        <w:t>基础功能是指在麻醉安排、术前、术中、术后完整围术期过程中均具有的功能。这些功能并非独立存在，而是被紧密嵌入到了整个系统的各个模块之中。</w:t>
      </w:r>
    </w:p>
    <w:p w14:paraId="0FEEE7CF">
      <w:pPr>
        <w:spacing w:line="400" w:lineRule="exact"/>
        <w:ind w:firstLine="420" w:firstLineChars="200"/>
        <w:rPr>
          <w:rFonts w:hint="eastAsia" w:ascii="宋体" w:hAnsi="宋体"/>
          <w:szCs w:val="21"/>
        </w:rPr>
      </w:pPr>
      <w:r>
        <w:rPr>
          <w:rFonts w:hint="eastAsia" w:ascii="宋体" w:hAnsi="宋体"/>
          <w:szCs w:val="21"/>
        </w:rPr>
        <w:t>1.1数据集成</w:t>
      </w:r>
    </w:p>
    <w:p w14:paraId="5B3F9DAE">
      <w:pPr>
        <w:spacing w:line="400" w:lineRule="exact"/>
        <w:ind w:firstLine="420" w:firstLineChars="200"/>
        <w:rPr>
          <w:rFonts w:hint="eastAsia" w:ascii="宋体" w:hAnsi="宋体"/>
          <w:szCs w:val="21"/>
        </w:rPr>
      </w:pPr>
      <w:r>
        <w:rPr>
          <w:rFonts w:hint="eastAsia" w:ascii="宋体" w:hAnsi="宋体"/>
          <w:szCs w:val="21"/>
        </w:rPr>
        <w:t>现使用的信息化软件系统中，已分散保存了大量的医疗数据。这些分散的、不规范的原始的数据，是构建数据集成平台的基础。系统提拱了数据抽取、转换与装载（ETL）平台，可以将HIS系统中的病历、医嘱，LIS中的检验报告、PACS系统中的影像数据，以及ECG系统中的心电波形数据集成到手麻系统中。软件方面支持的数据通道有数据库、文件、FTP、Web Service等常见方式。</w:t>
      </w:r>
    </w:p>
    <w:p w14:paraId="3290FFDE">
      <w:pPr>
        <w:spacing w:line="400" w:lineRule="exact"/>
        <w:ind w:firstLine="420" w:firstLineChars="200"/>
        <w:rPr>
          <w:rFonts w:hint="eastAsia" w:ascii="宋体" w:hAnsi="宋体"/>
          <w:szCs w:val="21"/>
        </w:rPr>
      </w:pPr>
      <w:r>
        <w:rPr>
          <w:rFonts w:hint="eastAsia" w:ascii="宋体" w:hAnsi="宋体"/>
          <w:szCs w:val="21"/>
        </w:rPr>
        <w:t>对于床边监护设备和麻醉机等硬件设备，手麻系统提供了采集端程序进行数据集成。硬件方面支持的数据通道有Socket、串口（RS232、RS485）以及USB等多种方式。</w:t>
      </w:r>
    </w:p>
    <w:p w14:paraId="7FB4B173">
      <w:pPr>
        <w:spacing w:line="400" w:lineRule="exact"/>
        <w:ind w:firstLine="420" w:firstLineChars="200"/>
        <w:rPr>
          <w:rFonts w:hint="eastAsia" w:ascii="宋体" w:hAnsi="宋体"/>
          <w:szCs w:val="21"/>
        </w:rPr>
      </w:pPr>
      <w:r>
        <w:rPr>
          <w:rFonts w:hint="eastAsia" w:ascii="宋体" w:hAnsi="宋体"/>
          <w:szCs w:val="21"/>
        </w:rPr>
        <w:t>1.2病案查看</w:t>
      </w:r>
    </w:p>
    <w:p w14:paraId="520885C2">
      <w:pPr>
        <w:spacing w:line="400" w:lineRule="exact"/>
        <w:ind w:firstLine="420" w:firstLineChars="200"/>
        <w:rPr>
          <w:rFonts w:hint="eastAsia" w:ascii="宋体" w:hAnsi="宋体"/>
          <w:szCs w:val="21"/>
        </w:rPr>
      </w:pPr>
      <w:r>
        <w:rPr>
          <w:rFonts w:hint="eastAsia" w:ascii="宋体" w:hAnsi="宋体"/>
          <w:szCs w:val="21"/>
        </w:rPr>
        <w:t>手术麻醉业务的进行需要查阅患者的病历、医嘱、检验、影像、心电等数据，这些数据分散在第三方软件系统之中，并且每个医院的病案展现方式均有所不同。如果不提供一个统一的病案查看功能，麻醉医师将需要不HIS、.12LIS、PACS、ECG等系统中进行跳转和查询，严重影响工作效率。</w:t>
      </w:r>
    </w:p>
    <w:p w14:paraId="2C003C6B">
      <w:pPr>
        <w:spacing w:line="400" w:lineRule="exact"/>
        <w:ind w:firstLine="420" w:firstLineChars="200"/>
        <w:rPr>
          <w:rFonts w:hint="eastAsia" w:ascii="宋体" w:hAnsi="宋体"/>
          <w:szCs w:val="21"/>
        </w:rPr>
      </w:pPr>
      <w:r>
        <w:rPr>
          <w:rFonts w:hint="eastAsia" w:ascii="宋体" w:hAnsi="宋体"/>
          <w:szCs w:val="21"/>
        </w:rPr>
        <w:t>为了解决该问题，系统预置了一套标准的病案信息的标准展示模板，基本能够满足大多数医院的需要，同时，这些模板也可以依据各医院的特点进行定制。</w:t>
      </w:r>
    </w:p>
    <w:p w14:paraId="201A9FA7">
      <w:pPr>
        <w:spacing w:line="400" w:lineRule="exact"/>
        <w:ind w:firstLine="420" w:firstLineChars="200"/>
        <w:rPr>
          <w:rFonts w:hint="eastAsia" w:ascii="宋体" w:hAnsi="宋体"/>
          <w:szCs w:val="21"/>
        </w:rPr>
      </w:pPr>
      <w:r>
        <w:rPr>
          <w:rFonts w:hint="eastAsia" w:ascii="宋体" w:hAnsi="宋体"/>
          <w:szCs w:val="21"/>
        </w:rPr>
        <w:t>1.3查询功能</w:t>
      </w:r>
    </w:p>
    <w:p w14:paraId="386B87C9">
      <w:pPr>
        <w:spacing w:line="400" w:lineRule="exact"/>
        <w:ind w:firstLine="420" w:firstLineChars="200"/>
        <w:rPr>
          <w:rFonts w:hint="eastAsia" w:ascii="宋体" w:hAnsi="宋体"/>
          <w:szCs w:val="21"/>
        </w:rPr>
      </w:pPr>
      <w:r>
        <w:rPr>
          <w:rFonts w:hint="eastAsia" w:ascii="宋体" w:hAnsi="宋体"/>
          <w:szCs w:val="21"/>
        </w:rPr>
        <w:t>可根据需要对患者信息、药品信息、麻醉事件、手术信息、科室工作量、麻醉医生工作量、护士工作量等相关信息提供各种方式、各式报表查询。</w:t>
      </w:r>
    </w:p>
    <w:p w14:paraId="1044F3C1">
      <w:pPr>
        <w:spacing w:line="400" w:lineRule="exact"/>
        <w:ind w:firstLine="420" w:firstLineChars="200"/>
        <w:rPr>
          <w:rFonts w:hint="eastAsia" w:ascii="宋体" w:hAnsi="宋体"/>
          <w:szCs w:val="21"/>
        </w:rPr>
      </w:pPr>
      <w:r>
        <w:rPr>
          <w:rFonts w:hint="eastAsia" w:ascii="宋体" w:hAnsi="宋体"/>
          <w:szCs w:val="21"/>
        </w:rPr>
        <w:t>2、麻醉安排</w:t>
      </w:r>
    </w:p>
    <w:p w14:paraId="4047DC66">
      <w:pPr>
        <w:spacing w:line="400" w:lineRule="exact"/>
        <w:ind w:firstLine="420" w:firstLineChars="200"/>
        <w:rPr>
          <w:rFonts w:hint="eastAsia" w:ascii="宋体" w:hAnsi="宋体"/>
          <w:szCs w:val="21"/>
        </w:rPr>
      </w:pPr>
      <w:r>
        <w:rPr>
          <w:rFonts w:hint="eastAsia" w:ascii="宋体" w:hAnsi="宋体"/>
          <w:szCs w:val="21"/>
        </w:rPr>
        <w:t>麻醉安排模块的使用者是负责安排手术麻醉医师的麻醉科主任，以及负责安排手术室的护士长。默认情况下，对于麻醉科主任和护士长这两种系统角色才拥有麻醉安排的权限，当然，用户也可以依据实际分工，自行对角色权限进行定义。</w:t>
      </w:r>
    </w:p>
    <w:p w14:paraId="1FDF121E">
      <w:pPr>
        <w:spacing w:line="400" w:lineRule="exact"/>
        <w:ind w:firstLine="420" w:firstLineChars="200"/>
        <w:rPr>
          <w:rFonts w:hint="eastAsia" w:ascii="宋体" w:hAnsi="宋体"/>
          <w:szCs w:val="21"/>
        </w:rPr>
      </w:pPr>
      <w:r>
        <w:rPr>
          <w:rFonts w:hint="eastAsia" w:ascii="宋体" w:hAnsi="宋体"/>
          <w:szCs w:val="21"/>
        </w:rPr>
        <w:t>2.1同步申请</w:t>
      </w:r>
    </w:p>
    <w:p w14:paraId="4BC6D34D">
      <w:pPr>
        <w:spacing w:line="400" w:lineRule="exact"/>
        <w:ind w:firstLine="420" w:firstLineChars="200"/>
        <w:rPr>
          <w:rFonts w:hint="eastAsia" w:ascii="宋体" w:hAnsi="宋体"/>
          <w:szCs w:val="21"/>
        </w:rPr>
      </w:pPr>
      <w:r>
        <w:rPr>
          <w:rFonts w:hint="eastAsia" w:ascii="宋体" w:hAnsi="宋体"/>
          <w:szCs w:val="21"/>
        </w:rPr>
        <w:t>同步申请功能可以将住院HIS系统中的手术申请单和患者病历、医嘱信息复制到手麻系统中。系统实现了增量同步功能，通过数据比对，每次同步仅将手麻系统和住院HIS系统中的差异部分数据复制过来，提高了数据同步效率。</w:t>
      </w:r>
    </w:p>
    <w:p w14:paraId="25A518FA">
      <w:pPr>
        <w:spacing w:line="400" w:lineRule="exact"/>
        <w:ind w:firstLine="420" w:firstLineChars="200"/>
        <w:rPr>
          <w:rFonts w:hint="eastAsia" w:ascii="宋体" w:hAnsi="宋体"/>
          <w:szCs w:val="21"/>
        </w:rPr>
      </w:pPr>
      <w:r>
        <w:rPr>
          <w:rFonts w:hint="eastAsia" w:ascii="宋体" w:hAnsi="宋体"/>
          <w:szCs w:val="21"/>
        </w:rPr>
        <w:t>实现该功能需要HIS系统提供数据接口，手麻系统自动接收临床科室的手术申请及手术患者的基本信息，传送到麻醉系统的应用数据库中。</w:t>
      </w:r>
    </w:p>
    <w:p w14:paraId="49BBE6CB">
      <w:pPr>
        <w:spacing w:line="400" w:lineRule="exact"/>
        <w:ind w:firstLine="420" w:firstLineChars="200"/>
        <w:rPr>
          <w:rFonts w:hint="eastAsia" w:ascii="宋体" w:hAnsi="宋体"/>
          <w:szCs w:val="21"/>
        </w:rPr>
      </w:pPr>
      <w:r>
        <w:rPr>
          <w:rFonts w:hint="eastAsia" w:ascii="宋体" w:hAnsi="宋体"/>
          <w:szCs w:val="21"/>
        </w:rPr>
        <w:t>2.2急诊申请</w:t>
      </w:r>
    </w:p>
    <w:p w14:paraId="4891C785">
      <w:pPr>
        <w:spacing w:line="400" w:lineRule="exact"/>
        <w:ind w:firstLine="420" w:firstLineChars="200"/>
        <w:rPr>
          <w:rFonts w:hint="eastAsia" w:ascii="宋体" w:hAnsi="宋体"/>
          <w:szCs w:val="21"/>
        </w:rPr>
      </w:pPr>
      <w:r>
        <w:rPr>
          <w:rFonts w:hint="eastAsia" w:ascii="宋体" w:hAnsi="宋体"/>
          <w:szCs w:val="21"/>
        </w:rPr>
        <w:t>对于急诊手术申请，或未与HIS系统连接的应用场景下，手麻系统也提供了申请单手工录入功能，在录入界面中可以输入手术时间、申请科室、病人基本情况，以及手术内容等信息手动生成申请单。</w:t>
      </w:r>
    </w:p>
    <w:p w14:paraId="1BA027FD">
      <w:pPr>
        <w:spacing w:line="400" w:lineRule="exact"/>
        <w:ind w:firstLine="420" w:firstLineChars="200"/>
        <w:rPr>
          <w:rFonts w:hint="eastAsia" w:ascii="宋体" w:hAnsi="宋体"/>
          <w:szCs w:val="21"/>
        </w:rPr>
      </w:pPr>
      <w:r>
        <w:rPr>
          <w:rFonts w:hint="eastAsia" w:ascii="宋体" w:hAnsi="宋体"/>
          <w:szCs w:val="21"/>
        </w:rPr>
        <w:t>系统内预置了一套ICD-10标准的手术名称与级别数据库，通过输入手术名称拼音首字母的方式可以快速检索定位到要进行的手术。</w:t>
      </w:r>
    </w:p>
    <w:p w14:paraId="6A2AD340">
      <w:pPr>
        <w:spacing w:line="400" w:lineRule="exact"/>
        <w:ind w:firstLine="420" w:firstLineChars="200"/>
        <w:rPr>
          <w:rFonts w:hint="eastAsia" w:ascii="宋体" w:hAnsi="宋体"/>
          <w:szCs w:val="21"/>
        </w:rPr>
      </w:pPr>
      <w:r>
        <w:rPr>
          <w:rFonts w:hint="eastAsia" w:ascii="宋体" w:hAnsi="宋体"/>
          <w:szCs w:val="21"/>
        </w:rPr>
        <w:t>2.3取消申请</w:t>
      </w:r>
    </w:p>
    <w:p w14:paraId="07F71CE3">
      <w:pPr>
        <w:spacing w:line="400" w:lineRule="exact"/>
        <w:ind w:firstLine="420" w:firstLineChars="200"/>
        <w:rPr>
          <w:rFonts w:hint="eastAsia" w:ascii="宋体" w:hAnsi="宋体"/>
          <w:szCs w:val="21"/>
        </w:rPr>
      </w:pPr>
      <w:r>
        <w:rPr>
          <w:rFonts w:hint="eastAsia" w:ascii="宋体" w:hAnsi="宋体"/>
          <w:szCs w:val="21"/>
        </w:rPr>
        <w:t>对于确认不再进行的手术，可以通过取消申请功能进行取消。对于取消的手术将不在申请列表中进行显示。</w:t>
      </w:r>
    </w:p>
    <w:p w14:paraId="2E1BF3C0">
      <w:pPr>
        <w:spacing w:line="400" w:lineRule="exact"/>
        <w:ind w:firstLine="420" w:firstLineChars="200"/>
        <w:rPr>
          <w:rFonts w:hint="eastAsia" w:ascii="宋体" w:hAnsi="宋体"/>
          <w:szCs w:val="21"/>
        </w:rPr>
      </w:pPr>
      <w:r>
        <w:rPr>
          <w:rFonts w:hint="eastAsia" w:ascii="宋体" w:hAnsi="宋体"/>
          <w:szCs w:val="21"/>
        </w:rPr>
        <w:t>对于在HIS系统中取消的手术申请，通过同步申请功能也可以自动实现取消申请功能。</w:t>
      </w:r>
    </w:p>
    <w:p w14:paraId="0162EAF0">
      <w:pPr>
        <w:spacing w:line="400" w:lineRule="exact"/>
        <w:ind w:firstLine="420" w:firstLineChars="200"/>
        <w:rPr>
          <w:rFonts w:hint="eastAsia" w:ascii="宋体" w:hAnsi="宋体"/>
          <w:szCs w:val="21"/>
        </w:rPr>
      </w:pPr>
      <w:r>
        <w:rPr>
          <w:rFonts w:hint="eastAsia" w:ascii="宋体" w:hAnsi="宋体"/>
          <w:szCs w:val="21"/>
        </w:rPr>
        <w:t>2.4手术排班</w:t>
      </w:r>
    </w:p>
    <w:p w14:paraId="4ADBB907">
      <w:pPr>
        <w:spacing w:line="400" w:lineRule="exact"/>
        <w:ind w:firstLine="420" w:firstLineChars="200"/>
        <w:rPr>
          <w:rFonts w:hint="eastAsia" w:ascii="宋体" w:hAnsi="宋体"/>
          <w:szCs w:val="21"/>
        </w:rPr>
      </w:pPr>
      <w:r>
        <w:rPr>
          <w:rFonts w:hint="eastAsia" w:ascii="宋体" w:hAnsi="宋体"/>
          <w:szCs w:val="21"/>
        </w:rPr>
        <w:t>手术排班工作需要由两类角色共同完成，即护士长和麻醉科主任。首先，护士长登陆系统后，在麻醉安排界面中可以看到需要安排手术室和手术台次的申请单，安排后该申请单将在右上角显示问号图标的方式对麻醉科主任进行提醒。之后，麻醉科主任看到未完成的申请单再进行麻醉医师安排，安排后申请单自动进入到“已安排但未开始”列表中。</w:t>
      </w:r>
    </w:p>
    <w:p w14:paraId="6A561217">
      <w:pPr>
        <w:spacing w:line="400" w:lineRule="exact"/>
        <w:ind w:firstLine="420" w:firstLineChars="200"/>
        <w:rPr>
          <w:rFonts w:hint="eastAsia" w:ascii="宋体" w:hAnsi="宋体"/>
          <w:szCs w:val="21"/>
        </w:rPr>
      </w:pPr>
      <w:r>
        <w:rPr>
          <w:rFonts w:hint="eastAsia" w:ascii="宋体" w:hAnsi="宋体"/>
          <w:szCs w:val="21"/>
        </w:rPr>
        <w:t>医院可以根据自身实际情况选择是在HIS系统中进行排班还是在手麻系统进行排班，如果是在HIS系统中进行，那么在数据同步时将自动把排班数据复制到手麻系统，无需再次安排。如果是在手麻系统中排班，并且HIS系统提供了相关接口，则可以将手麻系统中的排班信息回传到HIS系统。</w:t>
      </w:r>
    </w:p>
    <w:p w14:paraId="0300EBC7">
      <w:pPr>
        <w:spacing w:line="400" w:lineRule="exact"/>
        <w:ind w:firstLine="420" w:firstLineChars="200"/>
        <w:rPr>
          <w:rFonts w:hint="eastAsia" w:ascii="宋体" w:hAnsi="宋体"/>
          <w:szCs w:val="21"/>
        </w:rPr>
      </w:pPr>
      <w:r>
        <w:rPr>
          <w:rFonts w:hint="eastAsia" w:ascii="宋体" w:hAnsi="宋体"/>
          <w:szCs w:val="21"/>
        </w:rPr>
        <w:t>如果医院已经购买了运营商的手机短信网关服务，并且在系统中匹设置了麻醉医师和手术护士的手机号码，手麻系统也可以自动将手术安排以短信形式发送给麻醉医师。</w:t>
      </w:r>
    </w:p>
    <w:p w14:paraId="5561E897">
      <w:pPr>
        <w:spacing w:line="400" w:lineRule="exact"/>
        <w:ind w:firstLine="420" w:firstLineChars="200"/>
        <w:rPr>
          <w:rFonts w:hint="eastAsia" w:ascii="宋体" w:hAnsi="宋体"/>
          <w:szCs w:val="21"/>
        </w:rPr>
      </w:pPr>
      <w:r>
        <w:rPr>
          <w:rFonts w:hint="eastAsia" w:ascii="宋体" w:hAnsi="宋体"/>
          <w:szCs w:val="21"/>
        </w:rPr>
        <w:t>2.5手术智能排班</w:t>
      </w:r>
    </w:p>
    <w:p w14:paraId="2824C4A6">
      <w:pPr>
        <w:spacing w:line="400" w:lineRule="exact"/>
        <w:ind w:firstLine="420" w:firstLineChars="200"/>
        <w:rPr>
          <w:rFonts w:hint="eastAsia" w:ascii="宋体" w:hAnsi="宋体"/>
          <w:szCs w:val="21"/>
        </w:rPr>
      </w:pPr>
      <w:r>
        <w:rPr>
          <w:rFonts w:hint="eastAsia" w:ascii="宋体" w:hAnsi="宋体"/>
          <w:szCs w:val="21"/>
        </w:rPr>
        <w:t>可以实现批量自动排班功能，首先选择多个要进行排班的手术申请单，再选择可用手术室和可用人员（依据科室事务管理中设置的排班表），系统将根据当月人员的负载情况（月内手术次数的多少），并根据每个手术间的占用情况，确定每台手术的手术时间、手术间、台次，上台麻醉医生、手术护士，实现自动安排。另外，智能排班功能还可对已排班手术进行互换，并撤销。</w:t>
      </w:r>
    </w:p>
    <w:p w14:paraId="2598CBFA">
      <w:pPr>
        <w:spacing w:line="400" w:lineRule="exact"/>
        <w:ind w:firstLine="420" w:firstLineChars="200"/>
        <w:rPr>
          <w:rFonts w:hint="eastAsia" w:ascii="宋体" w:hAnsi="宋体"/>
          <w:szCs w:val="21"/>
        </w:rPr>
      </w:pPr>
      <w:r>
        <w:rPr>
          <w:rFonts w:hint="eastAsia" w:ascii="宋体" w:hAnsi="宋体"/>
          <w:szCs w:val="21"/>
        </w:rPr>
        <w:t>2.6取消安排</w:t>
      </w:r>
    </w:p>
    <w:p w14:paraId="71D60E15">
      <w:pPr>
        <w:spacing w:line="400" w:lineRule="exact"/>
        <w:ind w:firstLine="420" w:firstLineChars="200"/>
        <w:rPr>
          <w:rFonts w:hint="eastAsia" w:ascii="宋体" w:hAnsi="宋体"/>
          <w:szCs w:val="21"/>
        </w:rPr>
      </w:pPr>
      <w:r>
        <w:rPr>
          <w:rFonts w:hint="eastAsia" w:ascii="宋体" w:hAnsi="宋体"/>
          <w:szCs w:val="21"/>
        </w:rPr>
        <w:t>如果手术尚未开始，麻醉科主任也可以选择取消安排，再将该手术安排给其他麻醉医师。同样，如果医院有短信网关，也可以给相关麻醉医师发送信息通知手术取消。</w:t>
      </w:r>
    </w:p>
    <w:p w14:paraId="3BE73AC8">
      <w:pPr>
        <w:spacing w:line="400" w:lineRule="exact"/>
        <w:ind w:firstLine="420" w:firstLineChars="200"/>
        <w:rPr>
          <w:rFonts w:hint="eastAsia" w:ascii="宋体" w:hAnsi="宋体"/>
          <w:szCs w:val="21"/>
        </w:rPr>
      </w:pPr>
      <w:r>
        <w:rPr>
          <w:rFonts w:hint="eastAsia" w:ascii="宋体" w:hAnsi="宋体"/>
          <w:szCs w:val="21"/>
        </w:rPr>
        <w:t>2.7手术通知</w:t>
      </w:r>
    </w:p>
    <w:p w14:paraId="30C6EDF0">
      <w:pPr>
        <w:spacing w:line="400" w:lineRule="exact"/>
        <w:ind w:firstLine="420" w:firstLineChars="200"/>
        <w:rPr>
          <w:rFonts w:hint="eastAsia" w:ascii="宋体" w:hAnsi="宋体"/>
          <w:szCs w:val="21"/>
        </w:rPr>
      </w:pPr>
      <w:r>
        <w:rPr>
          <w:rFonts w:hint="eastAsia" w:ascii="宋体" w:hAnsi="宋体"/>
          <w:szCs w:val="21"/>
        </w:rPr>
        <w:t>根据已安排的手术申请单，自动生成手术通知单。手术通知单可按照手术科室、是否污染和是否急诊手术进行分类排列，手术通知单上醒目警示确诊或可疑的传染病。</w:t>
      </w:r>
    </w:p>
    <w:p w14:paraId="5AA2DD83">
      <w:pPr>
        <w:spacing w:line="400" w:lineRule="exact"/>
        <w:ind w:firstLine="420" w:firstLineChars="200"/>
        <w:rPr>
          <w:rFonts w:hint="eastAsia" w:ascii="宋体" w:hAnsi="宋体"/>
          <w:szCs w:val="21"/>
        </w:rPr>
      </w:pPr>
      <w:r>
        <w:rPr>
          <w:rFonts w:hint="eastAsia" w:ascii="宋体" w:hAnsi="宋体"/>
          <w:szCs w:val="21"/>
        </w:rPr>
        <w:t>2.8手术日历</w:t>
      </w:r>
    </w:p>
    <w:p w14:paraId="3518D5D0">
      <w:pPr>
        <w:spacing w:line="400" w:lineRule="exact"/>
        <w:ind w:firstLine="420" w:firstLineChars="200"/>
        <w:rPr>
          <w:rFonts w:hint="eastAsia" w:ascii="宋体" w:hAnsi="宋体"/>
          <w:szCs w:val="21"/>
        </w:rPr>
      </w:pPr>
      <w:r>
        <w:rPr>
          <w:rFonts w:hint="eastAsia" w:ascii="宋体" w:hAnsi="宋体"/>
          <w:szCs w:val="21"/>
        </w:rPr>
        <w:t>为了使麻醉科主任和护士长对未安排、已安排、进行中、已完成等各种状态的手术记录做以通盘了解，系统提供了手术日历功能，通过月历、周历、日历三种方式进行直观展示。日历不仅仅具有查看功能，还可以在日历上进行麻醉安排和查看麻醉文书的操作。</w:t>
      </w:r>
    </w:p>
    <w:p w14:paraId="14CF63A2">
      <w:pPr>
        <w:spacing w:line="400" w:lineRule="exact"/>
        <w:ind w:firstLine="420" w:firstLineChars="200"/>
        <w:rPr>
          <w:rFonts w:hint="eastAsia" w:ascii="宋体" w:hAnsi="宋体"/>
          <w:szCs w:val="21"/>
        </w:rPr>
      </w:pPr>
      <w:r>
        <w:rPr>
          <w:rFonts w:hint="eastAsia" w:ascii="宋体" w:hAnsi="宋体"/>
          <w:szCs w:val="21"/>
        </w:rPr>
        <w:t>3、术前管理</w:t>
      </w:r>
    </w:p>
    <w:p w14:paraId="732DF3DF">
      <w:pPr>
        <w:spacing w:line="400" w:lineRule="exact"/>
        <w:ind w:firstLine="420" w:firstLineChars="200"/>
        <w:rPr>
          <w:rFonts w:hint="eastAsia" w:ascii="宋体" w:hAnsi="宋体"/>
          <w:szCs w:val="21"/>
        </w:rPr>
      </w:pPr>
      <w:r>
        <w:rPr>
          <w:rFonts w:hint="eastAsia" w:ascii="宋体" w:hAnsi="宋体"/>
          <w:szCs w:val="21"/>
        </w:rPr>
        <w:t>术前管理的使用者是麻醉医师和手术护士，在该功能中，可以查看到安排自己的手术的详细信息，以及患者的病案信息。还可以通过图标提示功能直观显示出麻醉文书和临床路径的执行进度。</w:t>
      </w:r>
    </w:p>
    <w:p w14:paraId="44F1B0CA">
      <w:pPr>
        <w:spacing w:line="400" w:lineRule="exact"/>
        <w:ind w:firstLine="420" w:firstLineChars="200"/>
        <w:rPr>
          <w:rFonts w:hint="eastAsia" w:ascii="宋体" w:hAnsi="宋体"/>
          <w:szCs w:val="21"/>
        </w:rPr>
      </w:pPr>
      <w:r>
        <w:rPr>
          <w:rFonts w:hint="eastAsia" w:ascii="宋体" w:hAnsi="宋体"/>
          <w:szCs w:val="21"/>
        </w:rPr>
        <w:t>3.1术前访视</w:t>
      </w:r>
    </w:p>
    <w:p w14:paraId="07181C1D">
      <w:pPr>
        <w:spacing w:line="400" w:lineRule="exact"/>
        <w:ind w:firstLine="420" w:firstLineChars="200"/>
        <w:rPr>
          <w:rFonts w:hint="eastAsia" w:ascii="宋体" w:hAnsi="宋体"/>
          <w:szCs w:val="21"/>
        </w:rPr>
      </w:pPr>
      <w:r>
        <w:rPr>
          <w:rFonts w:hint="eastAsia" w:ascii="宋体" w:hAnsi="宋体"/>
          <w:szCs w:val="21"/>
        </w:rPr>
        <w:t>麻醉医师需要在术前查房时完成术前访视单的记录工作，系统为了减轻麻醉医师工作量，对术前访视单中在HIS病历和医嘱中已有的信息和LIS系统中的检验信息实现了自动导入功能，可以查询到患者的既往手术史，可以看到患者的历次手术与治疗的情况，提供患者现病史、既往病史、麻醉史、过敏史信息，提供患者过去史纪录，提供以往治疗用药史、检验单以及医学影像资料。</w:t>
      </w:r>
    </w:p>
    <w:p w14:paraId="42FB3923">
      <w:pPr>
        <w:spacing w:line="400" w:lineRule="exact"/>
        <w:ind w:firstLine="420" w:firstLineChars="200"/>
        <w:rPr>
          <w:rFonts w:hint="eastAsia" w:ascii="宋体" w:hAnsi="宋体"/>
          <w:szCs w:val="21"/>
        </w:rPr>
      </w:pPr>
      <w:r>
        <w:rPr>
          <w:rFonts w:hint="eastAsia" w:ascii="宋体" w:hAnsi="宋体"/>
          <w:szCs w:val="21"/>
        </w:rPr>
        <w:t>麻醉医师在访视过程中需要填写既往手术麻醉史、意识、当前生命体征、气道评估、脊柱情况、双下肢感觉等情况进行记录。同时，还需要填写ASA分级、手术麻醉风险评估、麻醉适应症、监测方法和麻醉中需注意的问题、危重、特殊手术麻醉应对方案进行填写。</w:t>
      </w:r>
    </w:p>
    <w:p w14:paraId="3ACBBAD3">
      <w:pPr>
        <w:spacing w:line="400" w:lineRule="exact"/>
        <w:ind w:firstLine="420" w:firstLineChars="200"/>
        <w:rPr>
          <w:rFonts w:hint="eastAsia" w:ascii="宋体" w:hAnsi="宋体"/>
          <w:szCs w:val="21"/>
        </w:rPr>
      </w:pPr>
      <w:r>
        <w:rPr>
          <w:rFonts w:hint="eastAsia" w:ascii="宋体" w:hAnsi="宋体"/>
          <w:szCs w:val="21"/>
        </w:rPr>
        <w:t>访视完成后可以对方式单进行打印和签字。术前访视记录单按照院方要求进行定制。</w:t>
      </w:r>
    </w:p>
    <w:p w14:paraId="34CAF297">
      <w:pPr>
        <w:spacing w:line="400" w:lineRule="exact"/>
        <w:ind w:firstLine="420" w:firstLineChars="200"/>
        <w:rPr>
          <w:rFonts w:hint="eastAsia" w:ascii="宋体" w:hAnsi="宋体"/>
          <w:szCs w:val="21"/>
        </w:rPr>
      </w:pPr>
      <w:r>
        <w:rPr>
          <w:rFonts w:hint="eastAsia" w:ascii="宋体" w:hAnsi="宋体"/>
          <w:szCs w:val="21"/>
        </w:rPr>
        <w:t>3.2知情同意</w:t>
      </w:r>
    </w:p>
    <w:p w14:paraId="68C95EB3">
      <w:pPr>
        <w:spacing w:line="400" w:lineRule="exact"/>
        <w:ind w:firstLine="420" w:firstLineChars="200"/>
        <w:rPr>
          <w:rFonts w:hint="eastAsia" w:ascii="宋体" w:hAnsi="宋体"/>
          <w:szCs w:val="21"/>
        </w:rPr>
      </w:pPr>
      <w:r>
        <w:rPr>
          <w:rFonts w:hint="eastAsia" w:ascii="宋体" w:hAnsi="宋体"/>
          <w:szCs w:val="21"/>
        </w:rPr>
        <w:t>在知情同意书中可以自动生成患者基本信息。提供对术前并发症及异常情况、麻醉方式的详细列举功能。提供对术中可能发生的并发症及异常情况逐项详细列举功能。提供对术中可能发生的并发症及异常情况逐项详细列举功能。提供对术中可能发生的并发症及异常情况逐项详细列举功能。提供病人家属意见及签名功能。</w:t>
      </w:r>
    </w:p>
    <w:p w14:paraId="1042DCAF">
      <w:pPr>
        <w:spacing w:line="400" w:lineRule="exact"/>
        <w:ind w:firstLine="420" w:firstLineChars="200"/>
        <w:rPr>
          <w:rFonts w:hint="eastAsia" w:ascii="宋体" w:hAnsi="宋体"/>
          <w:szCs w:val="21"/>
        </w:rPr>
      </w:pPr>
      <w:r>
        <w:rPr>
          <w:rFonts w:hint="eastAsia" w:ascii="宋体" w:hAnsi="宋体"/>
          <w:szCs w:val="21"/>
        </w:rPr>
        <w:t>3.3麻醉计划</w:t>
      </w:r>
    </w:p>
    <w:p w14:paraId="7018EF60">
      <w:pPr>
        <w:spacing w:line="400" w:lineRule="exact"/>
        <w:ind w:firstLine="420" w:firstLineChars="200"/>
        <w:rPr>
          <w:rFonts w:hint="eastAsia" w:ascii="宋体" w:hAnsi="宋体"/>
          <w:szCs w:val="21"/>
        </w:rPr>
      </w:pPr>
      <w:r>
        <w:rPr>
          <w:rFonts w:hint="eastAsia" w:ascii="宋体" w:hAnsi="宋体"/>
          <w:szCs w:val="21"/>
        </w:rPr>
        <w:t>麻醉医师在术前可以通过麻醉计划功能纪录拟行麻醉方式、辅助措施、拟备注药物、拟用材料、拟监测项目、拟输液输血注意事项，以及术后患者拟转入单元等信息。</w:t>
      </w:r>
    </w:p>
    <w:p w14:paraId="07A432DC">
      <w:pPr>
        <w:spacing w:line="400" w:lineRule="exact"/>
        <w:ind w:firstLine="420" w:firstLineChars="200"/>
        <w:rPr>
          <w:rFonts w:hint="eastAsia" w:ascii="宋体" w:hAnsi="宋体"/>
          <w:szCs w:val="21"/>
        </w:rPr>
      </w:pPr>
      <w:r>
        <w:rPr>
          <w:rFonts w:hint="eastAsia" w:ascii="宋体" w:hAnsi="宋体"/>
          <w:szCs w:val="21"/>
        </w:rPr>
        <w:t>麻醉计划制定之后，这些纪录内容将自动转入到术中麻醉小结单，提高了工作效率，降低了术中时有限时间内的工作量。</w:t>
      </w:r>
    </w:p>
    <w:p w14:paraId="413FD480">
      <w:pPr>
        <w:spacing w:line="400" w:lineRule="exact"/>
        <w:ind w:firstLine="420" w:firstLineChars="200"/>
        <w:rPr>
          <w:rFonts w:hint="eastAsia" w:ascii="宋体" w:hAnsi="宋体"/>
          <w:szCs w:val="21"/>
        </w:rPr>
      </w:pPr>
      <w:r>
        <w:rPr>
          <w:rFonts w:hint="eastAsia" w:ascii="宋体" w:hAnsi="宋体"/>
          <w:szCs w:val="21"/>
        </w:rPr>
        <w:t>4、术中管理</w:t>
      </w:r>
    </w:p>
    <w:p w14:paraId="48C7FD47">
      <w:pPr>
        <w:spacing w:line="400" w:lineRule="exact"/>
        <w:ind w:firstLine="420" w:firstLineChars="200"/>
        <w:rPr>
          <w:rFonts w:hint="eastAsia" w:ascii="宋体" w:hAnsi="宋体"/>
          <w:szCs w:val="21"/>
        </w:rPr>
      </w:pPr>
      <w:r>
        <w:rPr>
          <w:rFonts w:hint="eastAsia" w:ascii="宋体" w:hAnsi="宋体"/>
          <w:szCs w:val="21"/>
        </w:rPr>
        <w:t>术中管理是手麻系统中最为重要的功能，使用者主要是麻醉医师、麻醉科主任、以及手术护士三种角色。</w:t>
      </w:r>
    </w:p>
    <w:p w14:paraId="3B4C7146">
      <w:pPr>
        <w:spacing w:line="400" w:lineRule="exact"/>
        <w:ind w:firstLine="420" w:firstLineChars="200"/>
        <w:rPr>
          <w:rFonts w:hint="eastAsia" w:ascii="宋体" w:hAnsi="宋体"/>
          <w:szCs w:val="21"/>
        </w:rPr>
      </w:pPr>
      <w:r>
        <w:rPr>
          <w:rFonts w:hint="eastAsia" w:ascii="宋体" w:hAnsi="宋体"/>
          <w:szCs w:val="21"/>
        </w:rPr>
        <w:t>4.1麻醉记录</w:t>
      </w:r>
    </w:p>
    <w:p w14:paraId="7EA25428">
      <w:pPr>
        <w:spacing w:line="400" w:lineRule="exact"/>
        <w:ind w:firstLine="420" w:firstLineChars="200"/>
        <w:rPr>
          <w:rFonts w:hint="eastAsia" w:ascii="宋体" w:hAnsi="宋体"/>
          <w:szCs w:val="21"/>
        </w:rPr>
      </w:pPr>
      <w:r>
        <w:rPr>
          <w:rFonts w:hint="eastAsia" w:ascii="宋体" w:hAnsi="宋体"/>
          <w:szCs w:val="21"/>
        </w:rPr>
        <w:t>麻醉记录单是术中管理的核心功能，实现了对手术过程全程跟踪，自动生成生命体征监护数据，记录用药方式（单次或多次），用药量，补液量，补液时间等手术中全部麻醉用药及麻醉事件等相关信息，同时提供术中意外情况处理功能。</w:t>
      </w:r>
    </w:p>
    <w:p w14:paraId="3483788B">
      <w:pPr>
        <w:spacing w:line="400" w:lineRule="exact"/>
        <w:ind w:firstLine="420" w:firstLineChars="200"/>
        <w:rPr>
          <w:rFonts w:hint="eastAsia" w:ascii="宋体" w:hAnsi="宋体"/>
          <w:szCs w:val="21"/>
        </w:rPr>
      </w:pPr>
      <w:r>
        <w:rPr>
          <w:rFonts w:hint="eastAsia" w:ascii="宋体" w:hAnsi="宋体"/>
          <w:szCs w:val="21"/>
        </w:rPr>
        <w:t>手术麻醉临床信息管理系统的麻醉记录功能具有如下特点：</w:t>
      </w:r>
    </w:p>
    <w:p w14:paraId="32B449A2">
      <w:pPr>
        <w:spacing w:line="400" w:lineRule="exact"/>
        <w:ind w:firstLine="420" w:firstLineChars="200"/>
        <w:rPr>
          <w:rFonts w:hint="eastAsia" w:ascii="宋体" w:hAnsi="宋体"/>
          <w:szCs w:val="21"/>
        </w:rPr>
      </w:pPr>
      <w:r>
        <w:rPr>
          <w:rFonts w:hint="eastAsia" w:ascii="宋体" w:hAnsi="宋体"/>
          <w:szCs w:val="21"/>
        </w:rPr>
        <w:t>符合标准：麻醉记录单和麻醉小结功能完全符合卫生部行业标准（WS 329-2011）的要求。</w:t>
      </w:r>
    </w:p>
    <w:p w14:paraId="49799D39">
      <w:pPr>
        <w:spacing w:line="400" w:lineRule="exact"/>
        <w:ind w:firstLine="420" w:firstLineChars="200"/>
        <w:rPr>
          <w:rFonts w:hint="eastAsia" w:ascii="宋体" w:hAnsi="宋体"/>
          <w:szCs w:val="21"/>
        </w:rPr>
      </w:pPr>
      <w:r>
        <w:rPr>
          <w:rFonts w:hint="eastAsia" w:ascii="宋体" w:hAnsi="宋体"/>
          <w:szCs w:val="21"/>
        </w:rPr>
        <w:t>图形化操作：手术过程中的用药、输液、出入量、生命体征监测、手术事件的录入和修改操作完全实现了图形化拖拽操作方式。</w:t>
      </w:r>
    </w:p>
    <w:p w14:paraId="59917796">
      <w:pPr>
        <w:spacing w:line="400" w:lineRule="exact"/>
        <w:ind w:firstLine="420" w:firstLineChars="200"/>
        <w:rPr>
          <w:rFonts w:hint="eastAsia" w:ascii="宋体" w:hAnsi="宋体"/>
          <w:szCs w:val="21"/>
        </w:rPr>
      </w:pPr>
      <w:r>
        <w:rPr>
          <w:rFonts w:hint="eastAsia" w:ascii="宋体" w:hAnsi="宋体"/>
          <w:szCs w:val="21"/>
        </w:rPr>
        <w:t>多模式支持：系统支持常规手术模式（5分钟一次记录）和抢救模式（1分钟一次记录）。</w:t>
      </w:r>
    </w:p>
    <w:p w14:paraId="3CA59434">
      <w:pPr>
        <w:spacing w:line="400" w:lineRule="exact"/>
        <w:ind w:firstLine="420" w:firstLineChars="200"/>
        <w:rPr>
          <w:rFonts w:hint="eastAsia" w:ascii="宋体" w:hAnsi="宋体"/>
          <w:szCs w:val="21"/>
        </w:rPr>
      </w:pPr>
      <w:r>
        <w:rPr>
          <w:rFonts w:hint="eastAsia" w:ascii="宋体" w:hAnsi="宋体"/>
          <w:szCs w:val="21"/>
        </w:rPr>
        <w:t>输液加药支持：输液过程中可以选择液体中添加药品。</w:t>
      </w:r>
    </w:p>
    <w:p w14:paraId="37335925">
      <w:pPr>
        <w:spacing w:line="400" w:lineRule="exact"/>
        <w:ind w:firstLine="420" w:firstLineChars="200"/>
        <w:rPr>
          <w:rFonts w:hint="eastAsia" w:ascii="宋体" w:hAnsi="宋体"/>
          <w:szCs w:val="21"/>
        </w:rPr>
      </w:pPr>
      <w:r>
        <w:rPr>
          <w:rFonts w:hint="eastAsia" w:ascii="宋体" w:hAnsi="宋体"/>
          <w:szCs w:val="21"/>
        </w:rPr>
        <w:t>特殊用药途径支持：针对颈丛用药途径，自动生成C2、C3、C4多个位置剂量的用药记录。针对臂丛用药途径，可选择：肌间沟、锁骨、腋路等位置。</w:t>
      </w:r>
    </w:p>
    <w:p w14:paraId="47EFBA81">
      <w:pPr>
        <w:spacing w:line="400" w:lineRule="exact"/>
        <w:ind w:firstLine="420" w:firstLineChars="200"/>
        <w:rPr>
          <w:rFonts w:hint="eastAsia" w:ascii="宋体" w:hAnsi="宋体"/>
          <w:szCs w:val="21"/>
        </w:rPr>
      </w:pPr>
      <w:r>
        <w:rPr>
          <w:rFonts w:hint="eastAsia" w:ascii="宋体" w:hAnsi="宋体"/>
          <w:szCs w:val="21"/>
        </w:rPr>
        <w:t>术中监测多场景支持：同时兼顾了手工和自动两种模式。既保持了原始手工绘制麻醉记录单时的灵活性，也提供了与床边监护设备紧密集成所带来的便捷性。</w:t>
      </w:r>
    </w:p>
    <w:p w14:paraId="52D2CD70">
      <w:pPr>
        <w:spacing w:line="400" w:lineRule="exact"/>
        <w:ind w:firstLine="420" w:firstLineChars="200"/>
        <w:rPr>
          <w:rFonts w:hint="eastAsia" w:ascii="宋体" w:hAnsi="宋体"/>
          <w:szCs w:val="21"/>
        </w:rPr>
      </w:pPr>
      <w:r>
        <w:rPr>
          <w:rFonts w:hint="eastAsia" w:ascii="宋体" w:hAnsi="宋体"/>
          <w:szCs w:val="21"/>
        </w:rPr>
        <w:t>事件自定义：手术事件、麻醉事件、特殊给药、特殊检查等多类事件提供了完整模板，也支持用户自定义功能。</w:t>
      </w:r>
    </w:p>
    <w:p w14:paraId="7C203513">
      <w:pPr>
        <w:spacing w:line="400" w:lineRule="exact"/>
        <w:ind w:firstLine="420" w:firstLineChars="200"/>
        <w:rPr>
          <w:rFonts w:hint="eastAsia" w:ascii="宋体" w:hAnsi="宋体"/>
          <w:szCs w:val="21"/>
        </w:rPr>
      </w:pPr>
      <w:r>
        <w:rPr>
          <w:rFonts w:hint="eastAsia" w:ascii="宋体" w:hAnsi="宋体"/>
          <w:szCs w:val="21"/>
        </w:rPr>
        <w:t>事件与监测项目集成：选择气管插管等事件后，能够自动切换到机械通气设置功能，完成自主呼吸与机械通气之间的衔接。</w:t>
      </w:r>
    </w:p>
    <w:p w14:paraId="7AA10F9D">
      <w:pPr>
        <w:spacing w:line="400" w:lineRule="exact"/>
        <w:ind w:firstLine="420" w:firstLineChars="200"/>
        <w:rPr>
          <w:rFonts w:hint="eastAsia" w:ascii="宋体" w:hAnsi="宋体"/>
          <w:szCs w:val="21"/>
        </w:rPr>
      </w:pPr>
      <w:r>
        <w:rPr>
          <w:rFonts w:hint="eastAsia" w:ascii="宋体" w:hAnsi="宋体"/>
          <w:szCs w:val="21"/>
        </w:rPr>
        <w:t>手工绘制标记：麻醉记录单上可以通过鼠标绘制的方式添加矩形、箭头、文字等信息，并可支持这些标记的拖动、缩放与旋转操作。</w:t>
      </w:r>
    </w:p>
    <w:p w14:paraId="0FE0E1AA">
      <w:pPr>
        <w:spacing w:line="400" w:lineRule="exact"/>
        <w:ind w:firstLine="420" w:firstLineChars="200"/>
        <w:rPr>
          <w:rFonts w:hint="eastAsia" w:ascii="宋体" w:hAnsi="宋体"/>
          <w:szCs w:val="21"/>
        </w:rPr>
      </w:pPr>
      <w:r>
        <w:rPr>
          <w:rFonts w:hint="eastAsia" w:ascii="宋体" w:hAnsi="宋体"/>
          <w:szCs w:val="21"/>
        </w:rPr>
        <w:t>连接设备状态显示：可通过图形化的方式显示出所连接的硬件设备的运行情况。一旦数据采集失败可快速切换到手工模式。</w:t>
      </w:r>
    </w:p>
    <w:p w14:paraId="413DF253">
      <w:pPr>
        <w:spacing w:line="400" w:lineRule="exact"/>
        <w:ind w:firstLine="420" w:firstLineChars="200"/>
        <w:rPr>
          <w:rFonts w:hint="eastAsia" w:ascii="宋体" w:hAnsi="宋体"/>
          <w:szCs w:val="21"/>
        </w:rPr>
      </w:pPr>
      <w:r>
        <w:rPr>
          <w:rFonts w:hint="eastAsia" w:ascii="宋体" w:hAnsi="宋体"/>
          <w:szCs w:val="21"/>
        </w:rPr>
        <w:t>监测值修改审计：对于自动采集的监测值，如果手工进行了修改，系统可以在后台自动记录原始值与手工修改后的值。</w:t>
      </w:r>
    </w:p>
    <w:p w14:paraId="00864381">
      <w:pPr>
        <w:spacing w:line="400" w:lineRule="exact"/>
        <w:ind w:firstLine="420" w:firstLineChars="200"/>
        <w:rPr>
          <w:rFonts w:hint="eastAsia" w:ascii="宋体" w:hAnsi="宋体"/>
          <w:szCs w:val="21"/>
        </w:rPr>
      </w:pPr>
      <w:r>
        <w:rPr>
          <w:rFonts w:hint="eastAsia" w:ascii="宋体" w:hAnsi="宋体"/>
          <w:szCs w:val="21"/>
        </w:rPr>
        <w:t>报警信息支持：针对手术过程中由于高频设备干扰等原因出现的数据失真，和监护设备传感器导联脱落等异常情况可以自动进行报警，并应用修正值。</w:t>
      </w:r>
    </w:p>
    <w:p w14:paraId="39D86E2D">
      <w:pPr>
        <w:spacing w:line="400" w:lineRule="exact"/>
        <w:ind w:firstLine="420" w:firstLineChars="200"/>
        <w:rPr>
          <w:rFonts w:hint="eastAsia" w:ascii="宋体" w:hAnsi="宋体"/>
          <w:szCs w:val="21"/>
        </w:rPr>
      </w:pPr>
      <w:r>
        <w:rPr>
          <w:rFonts w:hint="eastAsia" w:ascii="宋体" w:hAnsi="宋体"/>
          <w:szCs w:val="21"/>
        </w:rPr>
        <w:t>临床路径：对术前、术中等同时启动临床路径，便于对手术进行质控管理。</w:t>
      </w:r>
    </w:p>
    <w:p w14:paraId="3F0784AC">
      <w:pPr>
        <w:spacing w:line="400" w:lineRule="exact"/>
        <w:ind w:firstLine="420" w:firstLineChars="200"/>
        <w:rPr>
          <w:rFonts w:hint="eastAsia" w:ascii="宋体" w:hAnsi="宋体"/>
          <w:szCs w:val="21"/>
        </w:rPr>
      </w:pPr>
      <w:r>
        <w:rPr>
          <w:rFonts w:hint="eastAsia" w:ascii="宋体" w:hAnsi="宋体"/>
          <w:szCs w:val="21"/>
        </w:rPr>
        <w:t>出、入量合计：可根据术中记录信息，自动合计出量、入量的合计，便于麻醉医生的工作。</w:t>
      </w:r>
    </w:p>
    <w:p w14:paraId="1E799500">
      <w:pPr>
        <w:spacing w:line="400" w:lineRule="exact"/>
        <w:ind w:firstLine="420" w:firstLineChars="200"/>
        <w:rPr>
          <w:rFonts w:hint="eastAsia" w:ascii="宋体" w:hAnsi="宋体"/>
          <w:szCs w:val="21"/>
        </w:rPr>
      </w:pPr>
      <w:r>
        <w:rPr>
          <w:rFonts w:hint="eastAsia" w:ascii="宋体" w:hAnsi="宋体"/>
          <w:szCs w:val="21"/>
        </w:rPr>
        <w:t>血气分析记录：可在麻醉记录单上记录血气分析的结果，便于术中麻醉参考。</w:t>
      </w:r>
    </w:p>
    <w:p w14:paraId="3955E4A9">
      <w:pPr>
        <w:spacing w:line="400" w:lineRule="exact"/>
        <w:ind w:firstLine="420" w:firstLineChars="200"/>
        <w:rPr>
          <w:rFonts w:hint="eastAsia" w:ascii="宋体" w:hAnsi="宋体"/>
          <w:szCs w:val="21"/>
        </w:rPr>
      </w:pPr>
      <w:r>
        <w:rPr>
          <w:rFonts w:hint="eastAsia" w:ascii="宋体" w:hAnsi="宋体"/>
          <w:szCs w:val="21"/>
        </w:rPr>
        <w:t>4.2麻醉小结</w:t>
      </w:r>
    </w:p>
    <w:p w14:paraId="2F32020F">
      <w:pPr>
        <w:spacing w:line="400" w:lineRule="exact"/>
        <w:ind w:firstLine="420" w:firstLineChars="200"/>
        <w:rPr>
          <w:rFonts w:hint="eastAsia" w:ascii="宋体" w:hAnsi="宋体"/>
          <w:szCs w:val="21"/>
        </w:rPr>
      </w:pPr>
      <w:r>
        <w:rPr>
          <w:rFonts w:hint="eastAsia" w:ascii="宋体" w:hAnsi="宋体"/>
          <w:szCs w:val="21"/>
        </w:rPr>
        <w:t>系统提供符合卫生部标准的麻醉小结功能，依据不同麻醉方法，录入不同的小结项。比如全麻的诱导方法：快诱导、慢诱导、气管插管位置：气管内、支气管内，插管型号、深度、囊套等情况。其中所有录入项都可以通过鼠标选择的方式来完成，降低了录入时的工作量。</w:t>
      </w:r>
    </w:p>
    <w:p w14:paraId="2C85CB0C">
      <w:pPr>
        <w:spacing w:line="400" w:lineRule="exact"/>
        <w:ind w:firstLine="420" w:firstLineChars="200"/>
        <w:rPr>
          <w:rFonts w:hint="eastAsia" w:ascii="宋体" w:hAnsi="宋体"/>
          <w:szCs w:val="21"/>
        </w:rPr>
      </w:pPr>
      <w:r>
        <w:rPr>
          <w:rFonts w:hint="eastAsia" w:ascii="宋体" w:hAnsi="宋体"/>
          <w:szCs w:val="21"/>
        </w:rPr>
        <w:t>麻醉小结中的“去向”设置可以和PACU。</w:t>
      </w:r>
    </w:p>
    <w:p w14:paraId="23CB5DC8">
      <w:pPr>
        <w:spacing w:line="400" w:lineRule="exact"/>
        <w:ind w:firstLine="420" w:firstLineChars="200"/>
        <w:rPr>
          <w:rFonts w:hint="eastAsia" w:ascii="宋体" w:hAnsi="宋体"/>
          <w:szCs w:val="21"/>
        </w:rPr>
      </w:pPr>
      <w:r>
        <w:rPr>
          <w:rFonts w:hint="eastAsia" w:ascii="宋体" w:hAnsi="宋体"/>
          <w:szCs w:val="21"/>
        </w:rPr>
        <w:t>如果术前做了麻醉计划，那么麻醉小结中的数据可以自动从麻醉计划中获取到，无需再次录入。</w:t>
      </w:r>
    </w:p>
    <w:p w14:paraId="4BD99401">
      <w:pPr>
        <w:spacing w:line="400" w:lineRule="exact"/>
        <w:ind w:firstLine="420" w:firstLineChars="200"/>
        <w:rPr>
          <w:rFonts w:hint="eastAsia" w:ascii="宋体" w:hAnsi="宋体"/>
          <w:szCs w:val="21"/>
        </w:rPr>
      </w:pPr>
      <w:r>
        <w:rPr>
          <w:rFonts w:hint="eastAsia" w:ascii="宋体" w:hAnsi="宋体"/>
          <w:szCs w:val="21"/>
        </w:rPr>
        <w:t>4.3安全核查</w:t>
      </w:r>
    </w:p>
    <w:p w14:paraId="750FB5BD">
      <w:pPr>
        <w:spacing w:line="400" w:lineRule="exact"/>
        <w:ind w:firstLine="420" w:firstLineChars="200"/>
        <w:rPr>
          <w:rFonts w:hint="eastAsia" w:ascii="宋体" w:hAnsi="宋体"/>
          <w:szCs w:val="21"/>
        </w:rPr>
      </w:pPr>
      <w:r>
        <w:rPr>
          <w:rFonts w:hint="eastAsia" w:ascii="宋体" w:hAnsi="宋体"/>
          <w:szCs w:val="21"/>
        </w:rPr>
        <w:t>系统提供了麻醉实施前、手术开始前、患者离开手术室前三个事件的安全核查支持。安全核查时，需要外科医师、麻醉医师和手术护士三方对手术方式、麻醉方式、术野皮肤情况、静脉通道等信息进行再次确认，系统提供了语音播报的功能，通过语音和键盘回车简单操作即可完成手术核查工作。</w:t>
      </w:r>
    </w:p>
    <w:p w14:paraId="76BC0985">
      <w:pPr>
        <w:spacing w:line="400" w:lineRule="exact"/>
        <w:ind w:firstLine="420" w:firstLineChars="200"/>
        <w:rPr>
          <w:rFonts w:hint="eastAsia" w:ascii="宋体" w:hAnsi="宋体"/>
          <w:szCs w:val="21"/>
        </w:rPr>
      </w:pPr>
      <w:r>
        <w:rPr>
          <w:rFonts w:hint="eastAsia" w:ascii="宋体" w:hAnsi="宋体"/>
          <w:szCs w:val="21"/>
        </w:rPr>
        <w:t>4.4常用药模板预置：</w:t>
      </w:r>
    </w:p>
    <w:p w14:paraId="26C628E1">
      <w:pPr>
        <w:spacing w:line="400" w:lineRule="exact"/>
        <w:ind w:firstLine="420" w:firstLineChars="200"/>
        <w:rPr>
          <w:rFonts w:hint="eastAsia" w:ascii="宋体" w:hAnsi="宋体"/>
          <w:szCs w:val="21"/>
        </w:rPr>
      </w:pPr>
      <w:r>
        <w:rPr>
          <w:rFonts w:hint="eastAsia" w:ascii="宋体" w:hAnsi="宋体"/>
          <w:szCs w:val="21"/>
        </w:rPr>
        <w:t>对于常用药物，系统提供了用药途径、方式、剂量的默认数据，无需每次选择。</w:t>
      </w:r>
    </w:p>
    <w:p w14:paraId="1B1B196E">
      <w:pPr>
        <w:spacing w:line="400" w:lineRule="exact"/>
        <w:ind w:firstLine="420" w:firstLineChars="200"/>
        <w:rPr>
          <w:rFonts w:hint="eastAsia" w:ascii="宋体" w:hAnsi="宋体"/>
          <w:szCs w:val="21"/>
        </w:rPr>
      </w:pPr>
      <w:r>
        <w:rPr>
          <w:rFonts w:hint="eastAsia" w:ascii="宋体" w:hAnsi="宋体"/>
          <w:szCs w:val="21"/>
        </w:rPr>
        <w:t>4.5术中用药</w:t>
      </w:r>
    </w:p>
    <w:p w14:paraId="79AB54B1">
      <w:pPr>
        <w:spacing w:line="400" w:lineRule="exact"/>
        <w:ind w:firstLine="420" w:firstLineChars="200"/>
        <w:rPr>
          <w:rFonts w:hint="eastAsia" w:ascii="宋体" w:hAnsi="宋体"/>
          <w:szCs w:val="21"/>
        </w:rPr>
      </w:pPr>
      <w:r>
        <w:rPr>
          <w:rFonts w:hint="eastAsia" w:ascii="宋体" w:hAnsi="宋体"/>
          <w:szCs w:val="21"/>
        </w:rPr>
        <w:t>系统会根据麻醉记录单上的内容，将术用药、术中所使用物品自动统计，生成收费明细报表。医生可以选择直接打印，也可以选择回传到HIS系统完成自动收费。</w:t>
      </w:r>
    </w:p>
    <w:p w14:paraId="3CDD124C">
      <w:pPr>
        <w:spacing w:line="400" w:lineRule="exact"/>
        <w:ind w:firstLine="420" w:firstLineChars="200"/>
        <w:rPr>
          <w:rFonts w:hint="eastAsia" w:ascii="宋体" w:hAnsi="宋体"/>
          <w:szCs w:val="21"/>
        </w:rPr>
      </w:pPr>
      <w:r>
        <w:rPr>
          <w:rFonts w:hint="eastAsia" w:ascii="宋体" w:hAnsi="宋体"/>
          <w:szCs w:val="21"/>
        </w:rPr>
        <w:t>4.6术中材料收费</w:t>
      </w:r>
    </w:p>
    <w:p w14:paraId="0813BB2A">
      <w:pPr>
        <w:spacing w:line="400" w:lineRule="exact"/>
        <w:ind w:firstLine="420" w:firstLineChars="200"/>
        <w:rPr>
          <w:rFonts w:hint="eastAsia" w:ascii="宋体" w:hAnsi="宋体"/>
          <w:szCs w:val="21"/>
        </w:rPr>
      </w:pPr>
      <w:r>
        <w:rPr>
          <w:rFonts w:hint="eastAsia" w:ascii="宋体" w:hAnsi="宋体"/>
          <w:szCs w:val="21"/>
        </w:rPr>
        <w:t>系统会根据麻醉记录单上的内容，将使用的手术材料自动统计，生成收费明细报表。医生可以选择直接打印，也可以选择回传到HIS系统完成自动收费。</w:t>
      </w:r>
    </w:p>
    <w:p w14:paraId="77FFEDA8">
      <w:pPr>
        <w:spacing w:line="400" w:lineRule="exact"/>
        <w:ind w:firstLine="420" w:firstLineChars="200"/>
        <w:rPr>
          <w:rFonts w:hint="eastAsia" w:ascii="宋体" w:hAnsi="宋体"/>
          <w:szCs w:val="21"/>
        </w:rPr>
      </w:pPr>
      <w:r>
        <w:rPr>
          <w:rFonts w:hint="eastAsia" w:ascii="宋体" w:hAnsi="宋体"/>
          <w:szCs w:val="21"/>
        </w:rPr>
        <w:t>4.7器械清点</w:t>
      </w:r>
    </w:p>
    <w:p w14:paraId="304D3719">
      <w:pPr>
        <w:spacing w:line="400" w:lineRule="exact"/>
        <w:ind w:firstLine="420" w:firstLineChars="200"/>
        <w:rPr>
          <w:rFonts w:hint="eastAsia" w:ascii="宋体" w:hAnsi="宋体"/>
          <w:szCs w:val="21"/>
        </w:rPr>
      </w:pPr>
      <w:r>
        <w:rPr>
          <w:rFonts w:hint="eastAsia" w:ascii="宋体" w:hAnsi="宋体"/>
          <w:szCs w:val="21"/>
        </w:rPr>
        <w:t>系统可生成术中手术护理记录单，对患者所手术所使用的器械进行记录，其中患者信息全部自动生成，护士仅需要将所使用的器械进行登记即可。</w:t>
      </w:r>
    </w:p>
    <w:p w14:paraId="1D4797AB">
      <w:pPr>
        <w:spacing w:line="400" w:lineRule="exact"/>
        <w:ind w:firstLine="420" w:firstLineChars="200"/>
        <w:rPr>
          <w:rFonts w:hint="eastAsia" w:ascii="宋体" w:hAnsi="宋体"/>
          <w:szCs w:val="21"/>
        </w:rPr>
      </w:pPr>
      <w:r>
        <w:rPr>
          <w:rFonts w:hint="eastAsia" w:ascii="宋体" w:hAnsi="宋体"/>
          <w:szCs w:val="21"/>
        </w:rPr>
        <w:t>4.8麻醉评分</w:t>
      </w:r>
    </w:p>
    <w:p w14:paraId="5E924FF0">
      <w:pPr>
        <w:spacing w:line="400" w:lineRule="exact"/>
        <w:ind w:firstLine="420" w:firstLineChars="200"/>
        <w:rPr>
          <w:rFonts w:hint="eastAsia" w:ascii="宋体" w:hAnsi="宋体"/>
          <w:szCs w:val="21"/>
        </w:rPr>
      </w:pPr>
      <w:r>
        <w:rPr>
          <w:rFonts w:hint="eastAsia" w:ascii="宋体" w:hAnsi="宋体"/>
          <w:szCs w:val="21"/>
        </w:rPr>
        <w:t>填写相关的麻醉评分表。</w:t>
      </w:r>
    </w:p>
    <w:p w14:paraId="2E119BB5">
      <w:pPr>
        <w:spacing w:line="400" w:lineRule="exact"/>
        <w:ind w:firstLine="420" w:firstLineChars="200"/>
        <w:rPr>
          <w:rFonts w:hint="eastAsia" w:ascii="宋体" w:hAnsi="宋体"/>
          <w:szCs w:val="21"/>
        </w:rPr>
      </w:pPr>
      <w:r>
        <w:rPr>
          <w:rFonts w:hint="eastAsia" w:ascii="宋体" w:hAnsi="宋体"/>
          <w:szCs w:val="21"/>
        </w:rPr>
        <w:t>4.9主任监控</w:t>
      </w:r>
    </w:p>
    <w:p w14:paraId="748F2958">
      <w:pPr>
        <w:spacing w:line="400" w:lineRule="exact"/>
        <w:ind w:firstLine="420" w:firstLineChars="200"/>
        <w:rPr>
          <w:rFonts w:hint="eastAsia" w:ascii="宋体" w:hAnsi="宋体"/>
          <w:szCs w:val="21"/>
        </w:rPr>
      </w:pPr>
      <w:r>
        <w:rPr>
          <w:rFonts w:hint="eastAsia" w:ascii="宋体" w:hAnsi="宋体"/>
          <w:szCs w:val="21"/>
        </w:rPr>
        <w:t>对于麻醉科主任，需要时刻关注当前正在进行中的所有手术室患者的生命体征情况，麻醉科主任在办公室电脑中通过使用该功能就可以获取所需信息，如果发现问题，可以对某间手术室的病人进行重点监控。</w:t>
      </w:r>
    </w:p>
    <w:p w14:paraId="333216D2">
      <w:pPr>
        <w:spacing w:line="400" w:lineRule="exact"/>
        <w:ind w:firstLine="420" w:firstLineChars="200"/>
        <w:rPr>
          <w:rFonts w:hint="eastAsia" w:ascii="宋体" w:hAnsi="宋体"/>
          <w:szCs w:val="21"/>
        </w:rPr>
      </w:pPr>
      <w:r>
        <w:rPr>
          <w:rFonts w:hint="eastAsia" w:ascii="宋体" w:hAnsi="宋体"/>
          <w:szCs w:val="21"/>
        </w:rPr>
        <w:t>5、复苏管理</w:t>
      </w:r>
    </w:p>
    <w:p w14:paraId="23A247E3">
      <w:pPr>
        <w:spacing w:line="400" w:lineRule="exact"/>
        <w:ind w:firstLine="420" w:firstLineChars="200"/>
        <w:rPr>
          <w:rFonts w:hint="eastAsia" w:ascii="宋体" w:hAnsi="宋体"/>
          <w:szCs w:val="21"/>
        </w:rPr>
      </w:pPr>
      <w:r>
        <w:rPr>
          <w:rFonts w:hint="eastAsia" w:ascii="宋体" w:hAnsi="宋体"/>
          <w:szCs w:val="21"/>
        </w:rPr>
        <w:t>5.1 PACU记录单</w:t>
      </w:r>
    </w:p>
    <w:p w14:paraId="23ACA1E3">
      <w:pPr>
        <w:spacing w:line="400" w:lineRule="exact"/>
        <w:ind w:firstLine="420" w:firstLineChars="200"/>
        <w:rPr>
          <w:rFonts w:hint="eastAsia" w:ascii="宋体" w:hAnsi="宋体"/>
          <w:szCs w:val="21"/>
        </w:rPr>
      </w:pPr>
      <w:r>
        <w:rPr>
          <w:rFonts w:hint="eastAsia" w:ascii="宋体" w:hAnsi="宋体"/>
          <w:szCs w:val="21"/>
        </w:rPr>
        <w:t>记录用药方式（单次或多次），用药量，补液量，补液时间等麻醉术后复苏期间全部麻醉用药及麻醉事件等相关信息。对术后复苏过程全程跟踪，自动生成麻醉术后复苏记录单。</w:t>
      </w:r>
    </w:p>
    <w:p w14:paraId="30CB53D0">
      <w:pPr>
        <w:spacing w:line="400" w:lineRule="exact"/>
        <w:ind w:firstLine="420" w:firstLineChars="200"/>
        <w:rPr>
          <w:rFonts w:hint="eastAsia" w:ascii="宋体" w:hAnsi="宋体"/>
          <w:szCs w:val="21"/>
        </w:rPr>
      </w:pPr>
      <w:r>
        <w:rPr>
          <w:rFonts w:hint="eastAsia" w:ascii="宋体" w:hAnsi="宋体"/>
          <w:szCs w:val="21"/>
        </w:rPr>
        <w:t>提供麻醉复苏事件的记录功能，能够自动填写记录时间，也可手工修改记录时间。提供持续用药、单次用药、输血补液的记录功能，能够自动填写记录时间，也可手工修改记录时间。</w:t>
      </w:r>
    </w:p>
    <w:p w14:paraId="035B1DF2">
      <w:pPr>
        <w:spacing w:line="400" w:lineRule="exact"/>
        <w:ind w:firstLine="420" w:firstLineChars="200"/>
        <w:rPr>
          <w:rFonts w:hint="eastAsia" w:ascii="宋体" w:hAnsi="宋体"/>
          <w:szCs w:val="21"/>
        </w:rPr>
      </w:pPr>
      <w:r>
        <w:rPr>
          <w:rFonts w:hint="eastAsia" w:ascii="宋体" w:hAnsi="宋体"/>
          <w:szCs w:val="21"/>
        </w:rPr>
        <w:t>提供病人术后复苏期间出量和入量自动合计功能。提供复苏事件、持续用药、单次用药、输血补液的详细显示功能。</w:t>
      </w:r>
    </w:p>
    <w:p w14:paraId="5998760C">
      <w:pPr>
        <w:spacing w:line="400" w:lineRule="exact"/>
        <w:ind w:firstLine="420" w:firstLineChars="200"/>
        <w:rPr>
          <w:rFonts w:hint="eastAsia" w:ascii="宋体" w:hAnsi="宋体"/>
          <w:szCs w:val="21"/>
        </w:rPr>
      </w:pPr>
      <w:r>
        <w:rPr>
          <w:rFonts w:hint="eastAsia" w:ascii="宋体" w:hAnsi="宋体"/>
          <w:szCs w:val="21"/>
        </w:rPr>
        <w:t>6、术后管理</w:t>
      </w:r>
    </w:p>
    <w:p w14:paraId="48F59FD9">
      <w:pPr>
        <w:spacing w:line="400" w:lineRule="exact"/>
        <w:ind w:firstLine="420" w:firstLineChars="200"/>
        <w:rPr>
          <w:rFonts w:hint="eastAsia" w:ascii="宋体" w:hAnsi="宋体"/>
          <w:szCs w:val="21"/>
        </w:rPr>
      </w:pPr>
      <w:r>
        <w:rPr>
          <w:rFonts w:hint="eastAsia" w:ascii="宋体" w:hAnsi="宋体"/>
          <w:szCs w:val="21"/>
        </w:rPr>
        <w:t>6.1术后随访</w:t>
      </w:r>
    </w:p>
    <w:p w14:paraId="12021A7B">
      <w:pPr>
        <w:spacing w:line="400" w:lineRule="exact"/>
        <w:ind w:firstLine="420" w:firstLineChars="200"/>
        <w:rPr>
          <w:rFonts w:hint="eastAsia" w:ascii="宋体" w:hAnsi="宋体"/>
          <w:szCs w:val="21"/>
        </w:rPr>
      </w:pPr>
      <w:r>
        <w:rPr>
          <w:rFonts w:hint="eastAsia" w:ascii="宋体" w:hAnsi="宋体"/>
          <w:szCs w:val="21"/>
        </w:rPr>
        <w:t>麻醉医师通过该功能完成术后医嘱、随访时生命体征和意识、术后并发症、并发症处理措施等信息，并可以进行打印。</w:t>
      </w:r>
    </w:p>
    <w:p w14:paraId="75BEA192">
      <w:pPr>
        <w:spacing w:line="400" w:lineRule="exact"/>
        <w:ind w:firstLine="420" w:firstLineChars="200"/>
        <w:rPr>
          <w:rFonts w:hint="eastAsia" w:ascii="宋体" w:hAnsi="宋体"/>
          <w:szCs w:val="21"/>
        </w:rPr>
      </w:pPr>
      <w:r>
        <w:rPr>
          <w:rFonts w:hint="eastAsia" w:ascii="宋体" w:hAnsi="宋体"/>
          <w:szCs w:val="21"/>
        </w:rPr>
        <w:t>6.2器械清点</w:t>
      </w:r>
    </w:p>
    <w:p w14:paraId="2D49436B">
      <w:pPr>
        <w:spacing w:line="400" w:lineRule="exact"/>
        <w:ind w:firstLine="420" w:firstLineChars="200"/>
        <w:rPr>
          <w:rFonts w:hint="eastAsia" w:ascii="宋体" w:hAnsi="宋体"/>
          <w:szCs w:val="21"/>
        </w:rPr>
      </w:pPr>
      <w:r>
        <w:rPr>
          <w:rFonts w:hint="eastAsia" w:ascii="宋体" w:hAnsi="宋体"/>
          <w:szCs w:val="21"/>
        </w:rPr>
        <w:t>手术护士通过该功能完成术前清点数量、术中加数、关体腔前、关体腔后的各项手术器械的清点功能，并对其进行打印和签字。</w:t>
      </w:r>
    </w:p>
    <w:p w14:paraId="6EAC3091">
      <w:pPr>
        <w:spacing w:line="400" w:lineRule="exact"/>
        <w:ind w:firstLine="420" w:firstLineChars="200"/>
        <w:rPr>
          <w:rFonts w:hint="eastAsia" w:ascii="宋体" w:hAnsi="宋体"/>
          <w:szCs w:val="21"/>
        </w:rPr>
      </w:pPr>
      <w:r>
        <w:rPr>
          <w:rFonts w:hint="eastAsia" w:ascii="宋体" w:hAnsi="宋体"/>
          <w:szCs w:val="21"/>
        </w:rPr>
        <w:t>6.3镇痛管理</w:t>
      </w:r>
    </w:p>
    <w:p w14:paraId="5ED01C91">
      <w:pPr>
        <w:spacing w:line="400" w:lineRule="exact"/>
        <w:ind w:firstLine="420" w:firstLineChars="200"/>
        <w:rPr>
          <w:rFonts w:hint="eastAsia" w:ascii="宋体" w:hAnsi="宋体"/>
          <w:szCs w:val="21"/>
        </w:rPr>
      </w:pPr>
      <w:r>
        <w:rPr>
          <w:rFonts w:hint="eastAsia" w:ascii="宋体" w:hAnsi="宋体"/>
          <w:szCs w:val="21"/>
        </w:rPr>
        <w:t>提供镇痛管理，记录全部镇痛用药及事件和疼痛估计，并可进行打印。</w:t>
      </w:r>
    </w:p>
    <w:p w14:paraId="70E4C41C">
      <w:pPr>
        <w:spacing w:line="400" w:lineRule="exact"/>
        <w:ind w:firstLine="420" w:firstLineChars="200"/>
        <w:rPr>
          <w:rFonts w:hint="eastAsia" w:ascii="宋体" w:hAnsi="宋体"/>
          <w:szCs w:val="21"/>
        </w:rPr>
      </w:pPr>
      <w:r>
        <w:rPr>
          <w:rFonts w:hint="eastAsia" w:ascii="宋体" w:hAnsi="宋体"/>
          <w:szCs w:val="21"/>
        </w:rPr>
        <w:t>7、科室事务</w:t>
      </w:r>
    </w:p>
    <w:p w14:paraId="1344536C">
      <w:pPr>
        <w:spacing w:line="400" w:lineRule="exact"/>
        <w:ind w:firstLine="420" w:firstLineChars="200"/>
        <w:rPr>
          <w:rFonts w:hint="eastAsia" w:ascii="宋体" w:hAnsi="宋体"/>
          <w:szCs w:val="21"/>
        </w:rPr>
      </w:pPr>
      <w:r>
        <w:rPr>
          <w:rFonts w:hint="eastAsia" w:ascii="宋体" w:hAnsi="宋体"/>
          <w:szCs w:val="21"/>
        </w:rPr>
        <w:t>科室事务管理的主要使用者为麻醉科主任和护士长，在其中可以进行排班管理和查看手术室状态。</w:t>
      </w:r>
    </w:p>
    <w:p w14:paraId="3F41036B">
      <w:pPr>
        <w:spacing w:line="400" w:lineRule="exact"/>
        <w:ind w:firstLine="420" w:firstLineChars="200"/>
        <w:rPr>
          <w:rFonts w:hint="eastAsia" w:ascii="宋体" w:hAnsi="宋体"/>
          <w:szCs w:val="21"/>
        </w:rPr>
      </w:pPr>
      <w:r>
        <w:rPr>
          <w:rFonts w:hint="eastAsia" w:ascii="宋体" w:hAnsi="宋体"/>
          <w:szCs w:val="21"/>
        </w:rPr>
        <w:t>7.1排班管理</w:t>
      </w:r>
    </w:p>
    <w:p w14:paraId="3C2CE7A7">
      <w:pPr>
        <w:spacing w:line="400" w:lineRule="exact"/>
        <w:ind w:firstLine="420" w:firstLineChars="200"/>
        <w:rPr>
          <w:rFonts w:hint="eastAsia" w:ascii="宋体" w:hAnsi="宋体"/>
          <w:szCs w:val="21"/>
        </w:rPr>
      </w:pPr>
      <w:r>
        <w:rPr>
          <w:rFonts w:hint="eastAsia" w:ascii="宋体" w:hAnsi="宋体"/>
          <w:szCs w:val="21"/>
        </w:rPr>
        <w:t>提供对麻醉科医生及手术室护士上班时间进行排班功能。能够复制、查阅和打印当前排班时间表及前后各周的排班时间表。</w:t>
      </w:r>
    </w:p>
    <w:p w14:paraId="21BFCBF5">
      <w:pPr>
        <w:spacing w:line="400" w:lineRule="exact"/>
        <w:ind w:firstLine="420" w:firstLineChars="200"/>
        <w:rPr>
          <w:rFonts w:hint="eastAsia" w:ascii="宋体" w:hAnsi="宋体"/>
          <w:szCs w:val="21"/>
        </w:rPr>
      </w:pPr>
      <w:r>
        <w:rPr>
          <w:rFonts w:hint="eastAsia" w:ascii="宋体" w:hAnsi="宋体"/>
          <w:szCs w:val="21"/>
        </w:rPr>
        <w:t>7.2手术室状态</w:t>
      </w:r>
    </w:p>
    <w:p w14:paraId="56004B1F">
      <w:pPr>
        <w:spacing w:line="400" w:lineRule="exact"/>
        <w:ind w:firstLine="420" w:firstLineChars="200"/>
        <w:rPr>
          <w:rFonts w:hint="eastAsia" w:ascii="宋体" w:hAnsi="宋体"/>
          <w:szCs w:val="21"/>
        </w:rPr>
      </w:pPr>
      <w:r>
        <w:rPr>
          <w:rFonts w:hint="eastAsia" w:ascii="宋体" w:hAnsi="宋体"/>
          <w:szCs w:val="21"/>
        </w:rPr>
        <w:t>麻醉科主任、护士长及相关需要人员能够随时查阅各手术室的使用情况。能够随时监控各手术室当前手术的手术、麻醉情况，查阅各手术室当前麻醉记录，患者资料、麻醉手术小结等。包括术中体征参数趋势图、术中参数列表、术中事件、用药情况、输血补液情况。但只能查阅，不能录入和修改。</w:t>
      </w:r>
    </w:p>
    <w:p w14:paraId="644ECB49">
      <w:pPr>
        <w:spacing w:line="400" w:lineRule="exact"/>
        <w:ind w:firstLine="420" w:firstLineChars="200"/>
        <w:rPr>
          <w:rFonts w:hint="eastAsia" w:ascii="宋体" w:hAnsi="宋体"/>
          <w:szCs w:val="21"/>
        </w:rPr>
      </w:pPr>
      <w:r>
        <w:rPr>
          <w:rFonts w:hint="eastAsia" w:ascii="宋体" w:hAnsi="宋体"/>
          <w:szCs w:val="21"/>
        </w:rPr>
        <w:t>8、统计分析</w:t>
      </w:r>
    </w:p>
    <w:p w14:paraId="3DD9A65B">
      <w:pPr>
        <w:spacing w:line="400" w:lineRule="exact"/>
        <w:ind w:firstLine="420" w:firstLineChars="200"/>
        <w:rPr>
          <w:rFonts w:hint="eastAsia" w:ascii="宋体" w:hAnsi="宋体"/>
          <w:szCs w:val="21"/>
        </w:rPr>
      </w:pPr>
      <w:r>
        <w:rPr>
          <w:rFonts w:hint="eastAsia" w:ascii="宋体" w:hAnsi="宋体"/>
          <w:szCs w:val="21"/>
        </w:rPr>
        <w:t>根据采集病人床边设备海量临床信息，建立病情趋势分析数据仓库。</w:t>
      </w:r>
    </w:p>
    <w:p w14:paraId="61CFCE0B">
      <w:pPr>
        <w:spacing w:line="400" w:lineRule="exact"/>
        <w:ind w:firstLine="420" w:firstLineChars="200"/>
        <w:rPr>
          <w:rFonts w:hint="eastAsia" w:ascii="宋体" w:hAnsi="宋体"/>
          <w:szCs w:val="21"/>
        </w:rPr>
      </w:pPr>
      <w:r>
        <w:rPr>
          <w:rFonts w:hint="eastAsia" w:ascii="宋体" w:hAnsi="宋体"/>
          <w:szCs w:val="21"/>
        </w:rPr>
        <w:t>系统支持模糊查询。支持用户自定义查询方法。支持数据输出为EXCEL、CSV等格式供第三方软件分析。能进行各种分类分项统计，以支持前瞻、后顾研究。提供各种统计报表样张。</w:t>
      </w:r>
    </w:p>
    <w:p w14:paraId="7C2065CB">
      <w:pPr>
        <w:spacing w:line="400" w:lineRule="exact"/>
        <w:ind w:firstLine="420" w:firstLineChars="200"/>
        <w:rPr>
          <w:rFonts w:hint="eastAsia" w:ascii="宋体" w:hAnsi="宋体"/>
          <w:szCs w:val="21"/>
        </w:rPr>
      </w:pPr>
      <w:r>
        <w:rPr>
          <w:rFonts w:hint="eastAsia" w:ascii="宋体" w:hAnsi="宋体"/>
          <w:szCs w:val="21"/>
        </w:rPr>
        <w:t>系统提供多种统计报表：手术例数统计、科室工作量统计报表、手术用药统计报表、手术日报、手术月报、全院麻醉方式统计等，可按多种统计条件进行各种报表的统计。各种统计报表的格式可随时根据医院的具体情况进行调整。</w:t>
      </w:r>
    </w:p>
    <w:p w14:paraId="01EE08DF">
      <w:pPr>
        <w:spacing w:line="400" w:lineRule="exact"/>
        <w:ind w:firstLine="420" w:firstLineChars="200"/>
        <w:rPr>
          <w:rFonts w:hint="eastAsia" w:ascii="宋体" w:hAnsi="宋体"/>
          <w:szCs w:val="21"/>
        </w:rPr>
      </w:pPr>
      <w:r>
        <w:rPr>
          <w:rFonts w:hint="eastAsia" w:ascii="宋体" w:hAnsi="宋体"/>
          <w:szCs w:val="21"/>
        </w:rPr>
        <w:t>8.1手术申请单查询</w:t>
      </w:r>
    </w:p>
    <w:p w14:paraId="23D70AAF">
      <w:pPr>
        <w:spacing w:line="400" w:lineRule="exact"/>
        <w:ind w:firstLine="420" w:firstLineChars="200"/>
        <w:rPr>
          <w:rFonts w:hint="eastAsia" w:ascii="宋体" w:hAnsi="宋体"/>
          <w:szCs w:val="21"/>
        </w:rPr>
      </w:pPr>
      <w:r>
        <w:rPr>
          <w:rFonts w:hint="eastAsia" w:ascii="宋体" w:hAnsi="宋体"/>
          <w:szCs w:val="21"/>
        </w:rPr>
        <w:t>可通过申请日期、患者科室、病区、患者姓名、住院号、手术名称、手术级别等条件查询出历史手术申请单中的所有信息。</w:t>
      </w:r>
    </w:p>
    <w:p w14:paraId="0BC1B3D8">
      <w:pPr>
        <w:spacing w:line="400" w:lineRule="exact"/>
        <w:ind w:firstLine="420" w:firstLineChars="200"/>
        <w:rPr>
          <w:rFonts w:hint="eastAsia" w:ascii="宋体" w:hAnsi="宋体"/>
          <w:szCs w:val="21"/>
        </w:rPr>
      </w:pPr>
      <w:r>
        <w:rPr>
          <w:rFonts w:hint="eastAsia" w:ascii="宋体" w:hAnsi="宋体"/>
          <w:szCs w:val="21"/>
        </w:rPr>
        <w:t>8.2手术通知单查询</w:t>
      </w:r>
    </w:p>
    <w:p w14:paraId="211D2EE7">
      <w:pPr>
        <w:spacing w:line="400" w:lineRule="exact"/>
        <w:ind w:firstLine="420" w:firstLineChars="200"/>
        <w:rPr>
          <w:rFonts w:hint="eastAsia" w:ascii="宋体" w:hAnsi="宋体"/>
          <w:szCs w:val="21"/>
        </w:rPr>
      </w:pPr>
      <w:r>
        <w:rPr>
          <w:rFonts w:hint="eastAsia" w:ascii="宋体" w:hAnsi="宋体"/>
          <w:szCs w:val="21"/>
        </w:rPr>
        <w:t>可通过手术时间、手术名称、麻醉方法、急缓度、患者姓名、住院号、患者科室、病区、床号等条件查询出历史手术通知单。</w:t>
      </w:r>
    </w:p>
    <w:p w14:paraId="779D07B1">
      <w:pPr>
        <w:spacing w:line="400" w:lineRule="exact"/>
        <w:ind w:firstLine="420" w:firstLineChars="200"/>
        <w:rPr>
          <w:rFonts w:hint="eastAsia" w:ascii="宋体" w:hAnsi="宋体"/>
          <w:szCs w:val="21"/>
        </w:rPr>
      </w:pPr>
      <w:r>
        <w:rPr>
          <w:rFonts w:hint="eastAsia" w:ascii="宋体" w:hAnsi="宋体"/>
          <w:szCs w:val="21"/>
        </w:rPr>
        <w:t>8.3手术记录查询</w:t>
      </w:r>
    </w:p>
    <w:p w14:paraId="5E3CFED8">
      <w:pPr>
        <w:spacing w:line="400" w:lineRule="exact"/>
        <w:ind w:firstLine="420" w:firstLineChars="200"/>
        <w:rPr>
          <w:rFonts w:hint="eastAsia" w:ascii="宋体" w:hAnsi="宋体"/>
          <w:szCs w:val="21"/>
        </w:rPr>
      </w:pPr>
      <w:r>
        <w:rPr>
          <w:rFonts w:hint="eastAsia" w:ascii="宋体" w:hAnsi="宋体"/>
          <w:szCs w:val="21"/>
        </w:rPr>
        <w:t>可通过手术日期、手术科室、手术间、手术状态、手术名称、手术级别、麻醉方法、手术医师、麻醉医师、患者姓名、住院号、所在科室、病区、床号等条件查询出历史手术记录。</w:t>
      </w:r>
    </w:p>
    <w:p w14:paraId="650993E3">
      <w:pPr>
        <w:spacing w:line="400" w:lineRule="exact"/>
        <w:ind w:firstLine="420" w:firstLineChars="200"/>
        <w:rPr>
          <w:rFonts w:hint="eastAsia" w:ascii="宋体" w:hAnsi="宋体"/>
          <w:szCs w:val="21"/>
        </w:rPr>
      </w:pPr>
      <w:r>
        <w:rPr>
          <w:rFonts w:hint="eastAsia" w:ascii="宋体" w:hAnsi="宋体"/>
          <w:szCs w:val="21"/>
        </w:rPr>
        <w:t>8.4手术日报</w:t>
      </w:r>
    </w:p>
    <w:p w14:paraId="3B7B4920">
      <w:pPr>
        <w:spacing w:line="400" w:lineRule="exact"/>
        <w:ind w:firstLine="420" w:firstLineChars="200"/>
        <w:rPr>
          <w:rFonts w:hint="eastAsia" w:ascii="宋体" w:hAnsi="宋体"/>
          <w:szCs w:val="21"/>
        </w:rPr>
      </w:pPr>
      <w:r>
        <w:rPr>
          <w:rFonts w:hint="eastAsia" w:ascii="宋体" w:hAnsi="宋体"/>
          <w:szCs w:val="21"/>
        </w:rPr>
        <w:t>可通过手术日期查询出日手术例数、常规手术例数、急诊例数、全麻例数、椎管内麻醉例数、神经阻滞例数和分科室手术例数，以及主要、特殊手术名称及情况。</w:t>
      </w:r>
    </w:p>
    <w:p w14:paraId="03B12C6B">
      <w:pPr>
        <w:spacing w:line="400" w:lineRule="exact"/>
        <w:ind w:firstLine="420" w:firstLineChars="200"/>
        <w:rPr>
          <w:rFonts w:hint="eastAsia" w:ascii="宋体" w:hAnsi="宋体"/>
          <w:szCs w:val="21"/>
        </w:rPr>
      </w:pPr>
      <w:r>
        <w:rPr>
          <w:rFonts w:hint="eastAsia" w:ascii="宋体" w:hAnsi="宋体"/>
          <w:szCs w:val="21"/>
        </w:rPr>
        <w:t>8.5手术月报</w:t>
      </w:r>
    </w:p>
    <w:p w14:paraId="3F01A58A">
      <w:pPr>
        <w:spacing w:line="400" w:lineRule="exact"/>
        <w:ind w:firstLine="420" w:firstLineChars="200"/>
        <w:rPr>
          <w:rFonts w:hint="eastAsia" w:ascii="宋体" w:hAnsi="宋体"/>
          <w:szCs w:val="21"/>
        </w:rPr>
      </w:pPr>
      <w:r>
        <w:rPr>
          <w:rFonts w:hint="eastAsia" w:ascii="宋体" w:hAnsi="宋体"/>
          <w:szCs w:val="21"/>
        </w:rPr>
        <w:t>可通过手术月份查询出月手术例数、常规手术例数、急诊例数、全麻例数、椎管内麻醉例数、神经阻滞例数和分科室手术例数，以及主要、特殊手术名称及情况。</w:t>
      </w:r>
    </w:p>
    <w:p w14:paraId="3D388077">
      <w:pPr>
        <w:spacing w:line="400" w:lineRule="exact"/>
        <w:ind w:firstLine="420" w:firstLineChars="200"/>
        <w:rPr>
          <w:rFonts w:hint="eastAsia" w:ascii="宋体" w:hAnsi="宋体"/>
          <w:szCs w:val="21"/>
        </w:rPr>
      </w:pPr>
      <w:r>
        <w:rPr>
          <w:rFonts w:hint="eastAsia" w:ascii="宋体" w:hAnsi="宋体"/>
          <w:szCs w:val="21"/>
        </w:rPr>
        <w:t>8.6科室工作量统计</w:t>
      </w:r>
    </w:p>
    <w:p w14:paraId="3BA52D32">
      <w:pPr>
        <w:spacing w:line="400" w:lineRule="exact"/>
        <w:ind w:firstLine="420" w:firstLineChars="200"/>
        <w:rPr>
          <w:rFonts w:hint="eastAsia" w:ascii="宋体" w:hAnsi="宋体"/>
          <w:szCs w:val="21"/>
        </w:rPr>
      </w:pPr>
      <w:r>
        <w:rPr>
          <w:rFonts w:hint="eastAsia" w:ascii="宋体" w:hAnsi="宋体"/>
          <w:szCs w:val="21"/>
        </w:rPr>
        <w:t>可通过手术日期、患者科室、麻醉方法、手术名称等查询条件，按照手术级别和急缓度在各科室的手术例数和手术时间。并能生成相关图表。</w:t>
      </w:r>
    </w:p>
    <w:p w14:paraId="4AC3BA72">
      <w:pPr>
        <w:spacing w:line="400" w:lineRule="exact"/>
        <w:ind w:firstLine="420" w:firstLineChars="200"/>
        <w:rPr>
          <w:rFonts w:hint="eastAsia" w:ascii="宋体" w:hAnsi="宋体"/>
          <w:szCs w:val="21"/>
        </w:rPr>
      </w:pPr>
      <w:r>
        <w:rPr>
          <w:rFonts w:hint="eastAsia" w:ascii="宋体" w:hAnsi="宋体"/>
          <w:szCs w:val="21"/>
        </w:rPr>
        <w:t>8.7医师工作量统计</w:t>
      </w:r>
    </w:p>
    <w:p w14:paraId="51D474BD">
      <w:pPr>
        <w:spacing w:line="400" w:lineRule="exact"/>
        <w:ind w:firstLine="420" w:firstLineChars="200"/>
        <w:rPr>
          <w:rFonts w:hint="eastAsia" w:ascii="宋体" w:hAnsi="宋体"/>
          <w:szCs w:val="21"/>
        </w:rPr>
      </w:pPr>
      <w:r>
        <w:rPr>
          <w:rFonts w:hint="eastAsia" w:ascii="宋体" w:hAnsi="宋体"/>
          <w:szCs w:val="21"/>
        </w:rPr>
        <w:t>可通过手术日期、医师科室、医师姓名、麻醉方法、手术名称等查询条件，按照医师所处角色（主刀、灌注、输血，医助）分别统计出各手术医师的手术例数和手术时间。并能生成相关图表。</w:t>
      </w:r>
    </w:p>
    <w:p w14:paraId="5E8F61E2">
      <w:pPr>
        <w:spacing w:line="400" w:lineRule="exact"/>
        <w:ind w:firstLine="420" w:firstLineChars="200"/>
        <w:rPr>
          <w:rFonts w:hint="eastAsia" w:ascii="宋体" w:hAnsi="宋体"/>
          <w:szCs w:val="21"/>
        </w:rPr>
      </w:pPr>
      <w:r>
        <w:rPr>
          <w:rFonts w:hint="eastAsia" w:ascii="宋体" w:hAnsi="宋体"/>
          <w:szCs w:val="21"/>
        </w:rPr>
        <w:t>8.8护士工作量统计</w:t>
      </w:r>
    </w:p>
    <w:p w14:paraId="3DAAF22B">
      <w:pPr>
        <w:spacing w:line="400" w:lineRule="exact"/>
        <w:ind w:firstLine="420" w:firstLineChars="200"/>
        <w:rPr>
          <w:rFonts w:hint="eastAsia" w:ascii="宋体" w:hAnsi="宋体"/>
          <w:szCs w:val="21"/>
        </w:rPr>
      </w:pPr>
      <w:r>
        <w:rPr>
          <w:rFonts w:hint="eastAsia" w:ascii="宋体" w:hAnsi="宋体"/>
          <w:szCs w:val="21"/>
        </w:rPr>
        <w:t>可通过手术日期、护士科室、护士姓名、麻醉方法、手术名称等查询条件，按照手术级别和护士角色（器械护士、巡回护士）分别统计出各护士的手术例数和时间。并能生成相关图表。</w:t>
      </w:r>
    </w:p>
    <w:p w14:paraId="62193802">
      <w:pPr>
        <w:spacing w:line="400" w:lineRule="exact"/>
        <w:ind w:firstLine="420" w:firstLineChars="200"/>
        <w:rPr>
          <w:rFonts w:hint="eastAsia" w:ascii="宋体" w:hAnsi="宋体"/>
          <w:szCs w:val="21"/>
        </w:rPr>
      </w:pPr>
      <w:r>
        <w:rPr>
          <w:rFonts w:hint="eastAsia" w:ascii="宋体" w:hAnsi="宋体"/>
          <w:szCs w:val="21"/>
        </w:rPr>
        <w:t>8.9麻醉工作量统计</w:t>
      </w:r>
    </w:p>
    <w:p w14:paraId="7C867D23">
      <w:pPr>
        <w:spacing w:line="400" w:lineRule="exact"/>
        <w:ind w:firstLine="420" w:firstLineChars="200"/>
        <w:rPr>
          <w:rFonts w:hint="eastAsia" w:ascii="宋体" w:hAnsi="宋体"/>
          <w:szCs w:val="21"/>
        </w:rPr>
      </w:pPr>
      <w:r>
        <w:rPr>
          <w:rFonts w:hint="eastAsia" w:ascii="宋体" w:hAnsi="宋体"/>
          <w:szCs w:val="21"/>
        </w:rPr>
        <w:t>可通过手术日期、医师科室、医师姓名、麻醉方法、手术名称等查询条件，按照手术级别和麻醉方法（全身麻醉、椎管内麻醉、神经阻滞、其他）分别统计出各麻醉医师的手术例数和时间。</w:t>
      </w:r>
    </w:p>
    <w:p w14:paraId="4E7BB4CE">
      <w:pPr>
        <w:spacing w:line="400" w:lineRule="exact"/>
        <w:ind w:firstLine="420" w:firstLineChars="200"/>
        <w:rPr>
          <w:rFonts w:hint="eastAsia" w:ascii="宋体" w:hAnsi="宋体"/>
          <w:szCs w:val="21"/>
        </w:rPr>
      </w:pPr>
      <w:r>
        <w:rPr>
          <w:rFonts w:hint="eastAsia" w:ascii="宋体" w:hAnsi="宋体"/>
          <w:szCs w:val="21"/>
        </w:rPr>
        <w:t>8.10麻醉工作量统计（ASA）</w:t>
      </w:r>
    </w:p>
    <w:p w14:paraId="7AD41DDF">
      <w:pPr>
        <w:spacing w:line="400" w:lineRule="exact"/>
        <w:ind w:firstLine="420" w:firstLineChars="200"/>
        <w:rPr>
          <w:rFonts w:hint="eastAsia" w:ascii="宋体" w:hAnsi="宋体"/>
          <w:szCs w:val="21"/>
        </w:rPr>
      </w:pPr>
      <w:r>
        <w:rPr>
          <w:rFonts w:hint="eastAsia" w:ascii="宋体" w:hAnsi="宋体"/>
          <w:szCs w:val="21"/>
        </w:rPr>
        <w:t>可通过手术日期、医师科室、医师姓名、麻醉方法、手术名称等查询条件，按照ASA级别和麻醉方法（全身麻醉、椎管内麻醉、神经阻滞、其他）分别统计出各麻醉医师的手术例数和时间。</w:t>
      </w:r>
    </w:p>
    <w:p w14:paraId="368AE874">
      <w:pPr>
        <w:spacing w:line="400" w:lineRule="exact"/>
        <w:ind w:firstLine="420" w:firstLineChars="200"/>
        <w:rPr>
          <w:rFonts w:hint="eastAsia" w:ascii="宋体" w:hAnsi="宋体"/>
          <w:szCs w:val="21"/>
        </w:rPr>
      </w:pPr>
      <w:r>
        <w:rPr>
          <w:rFonts w:hint="eastAsia" w:ascii="宋体" w:hAnsi="宋体"/>
          <w:szCs w:val="21"/>
        </w:rPr>
        <w:t>8.11全院麻醉方式统计</w:t>
      </w:r>
    </w:p>
    <w:p w14:paraId="0A04681C">
      <w:pPr>
        <w:spacing w:line="400" w:lineRule="exact"/>
        <w:ind w:firstLine="420" w:firstLineChars="200"/>
        <w:rPr>
          <w:rFonts w:hint="eastAsia" w:ascii="宋体" w:hAnsi="宋体"/>
          <w:szCs w:val="21"/>
        </w:rPr>
      </w:pPr>
      <w:r>
        <w:rPr>
          <w:rFonts w:hint="eastAsia" w:ascii="宋体" w:hAnsi="宋体"/>
          <w:szCs w:val="21"/>
        </w:rPr>
        <w:t>可以通过手术日期统计出各麻醉方式的例数和时间。并能够生成相关图表。</w:t>
      </w:r>
    </w:p>
    <w:p w14:paraId="661AB5F6">
      <w:pPr>
        <w:spacing w:line="400" w:lineRule="exact"/>
        <w:ind w:firstLine="420" w:firstLineChars="200"/>
        <w:rPr>
          <w:rFonts w:hint="eastAsia" w:ascii="宋体" w:hAnsi="宋体"/>
          <w:szCs w:val="21"/>
        </w:rPr>
      </w:pPr>
      <w:r>
        <w:rPr>
          <w:rFonts w:hint="eastAsia" w:ascii="宋体" w:hAnsi="宋体"/>
          <w:szCs w:val="21"/>
        </w:rPr>
        <w:t>8.12麻醉质控指标统计</w:t>
      </w:r>
    </w:p>
    <w:p w14:paraId="29C39C9F">
      <w:pPr>
        <w:spacing w:line="400" w:lineRule="exact"/>
        <w:ind w:firstLine="420" w:firstLineChars="200"/>
        <w:rPr>
          <w:rFonts w:hint="eastAsia" w:ascii="宋体" w:hAnsi="宋体"/>
          <w:szCs w:val="21"/>
        </w:rPr>
      </w:pPr>
      <w:r>
        <w:rPr>
          <w:rFonts w:hint="eastAsia" w:ascii="宋体" w:hAnsi="宋体"/>
          <w:szCs w:val="21"/>
        </w:rPr>
        <w:t>系统可根据《三级医院评审标准（2020年版）》三甲评审标准，能够自动获取的麻醉质控指标数据。</w:t>
      </w:r>
    </w:p>
    <w:p w14:paraId="505C5C13">
      <w:pPr>
        <w:spacing w:line="400" w:lineRule="exact"/>
        <w:ind w:firstLine="420" w:firstLineChars="200"/>
        <w:rPr>
          <w:rFonts w:hint="eastAsia" w:ascii="宋体" w:hAnsi="宋体"/>
          <w:szCs w:val="21"/>
        </w:rPr>
      </w:pPr>
      <w:r>
        <w:rPr>
          <w:rFonts w:hint="eastAsia" w:ascii="宋体" w:hAnsi="宋体"/>
          <w:szCs w:val="21"/>
        </w:rPr>
        <w:t>9、系统管理</w:t>
      </w:r>
    </w:p>
    <w:p w14:paraId="0245165A">
      <w:pPr>
        <w:spacing w:line="400" w:lineRule="exact"/>
        <w:ind w:firstLine="420" w:firstLineChars="200"/>
        <w:rPr>
          <w:rFonts w:hint="eastAsia" w:ascii="宋体" w:hAnsi="宋体"/>
          <w:szCs w:val="21"/>
        </w:rPr>
      </w:pPr>
      <w:r>
        <w:rPr>
          <w:rFonts w:hint="eastAsia" w:ascii="宋体" w:hAnsi="宋体"/>
          <w:szCs w:val="21"/>
        </w:rPr>
        <w:t>系统管理的使用者是系统管理员，以及软件实施人员，系统设置完毕后，如果没有特殊情况，基本不需要再次进行调整。</w:t>
      </w:r>
    </w:p>
    <w:p w14:paraId="2F773F2E">
      <w:pPr>
        <w:spacing w:line="400" w:lineRule="exact"/>
        <w:ind w:firstLine="420" w:firstLineChars="200"/>
        <w:rPr>
          <w:rFonts w:hint="eastAsia" w:ascii="宋体" w:hAnsi="宋体"/>
          <w:szCs w:val="21"/>
        </w:rPr>
      </w:pPr>
      <w:r>
        <w:rPr>
          <w:rFonts w:hint="eastAsia" w:ascii="宋体" w:hAnsi="宋体"/>
          <w:szCs w:val="21"/>
        </w:rPr>
        <w:t>9.1科室维护</w:t>
      </w:r>
    </w:p>
    <w:p w14:paraId="0CBFA24E">
      <w:pPr>
        <w:spacing w:line="400" w:lineRule="exact"/>
        <w:ind w:firstLine="420" w:firstLineChars="200"/>
        <w:rPr>
          <w:rFonts w:hint="eastAsia" w:ascii="宋体" w:hAnsi="宋体"/>
          <w:szCs w:val="21"/>
        </w:rPr>
      </w:pPr>
      <w:r>
        <w:rPr>
          <w:rFonts w:hint="eastAsia" w:ascii="宋体" w:hAnsi="宋体"/>
          <w:szCs w:val="21"/>
        </w:rPr>
        <w:t>按照医院的实际科室设置，依据归属关系，通过树形方式进行设置科室、病区、手术室和PACU。系统也可以从HIS系统中导入科室信息。</w:t>
      </w:r>
    </w:p>
    <w:p w14:paraId="2EC2459B">
      <w:pPr>
        <w:spacing w:line="400" w:lineRule="exact"/>
        <w:ind w:firstLine="420" w:firstLineChars="200"/>
        <w:rPr>
          <w:rFonts w:hint="eastAsia" w:ascii="宋体" w:hAnsi="宋体"/>
          <w:szCs w:val="21"/>
        </w:rPr>
      </w:pPr>
      <w:r>
        <w:rPr>
          <w:rFonts w:hint="eastAsia" w:ascii="宋体" w:hAnsi="宋体"/>
          <w:szCs w:val="21"/>
        </w:rPr>
        <w:t>9.2人员维护</w:t>
      </w:r>
    </w:p>
    <w:p w14:paraId="6DF518C8">
      <w:pPr>
        <w:spacing w:line="400" w:lineRule="exact"/>
        <w:ind w:firstLine="420" w:firstLineChars="200"/>
        <w:rPr>
          <w:rFonts w:hint="eastAsia" w:ascii="宋体" w:hAnsi="宋体"/>
          <w:szCs w:val="21"/>
        </w:rPr>
      </w:pPr>
      <w:r>
        <w:rPr>
          <w:rFonts w:hint="eastAsia" w:ascii="宋体" w:hAnsi="宋体"/>
          <w:szCs w:val="21"/>
        </w:rPr>
        <w:t>按照院内人员的实际情况进行维护，需要录入人员姓名、手机号码、执业医师资格（住院医师、主治医师、副主任医师、主任医师）和年资（高、低）。这些设置将影响到麻醉安排时能否安排某个医师做某个级别的手术。</w:t>
      </w:r>
    </w:p>
    <w:p w14:paraId="6EC4A9D0">
      <w:pPr>
        <w:spacing w:line="400" w:lineRule="exact"/>
        <w:ind w:firstLine="420" w:firstLineChars="200"/>
        <w:rPr>
          <w:rFonts w:hint="eastAsia" w:ascii="宋体" w:hAnsi="宋体"/>
          <w:szCs w:val="21"/>
        </w:rPr>
      </w:pPr>
      <w:r>
        <w:rPr>
          <w:rFonts w:hint="eastAsia" w:ascii="宋体" w:hAnsi="宋体"/>
          <w:szCs w:val="21"/>
        </w:rPr>
        <w:t>资历与可做手术的关系：</w:t>
      </w:r>
    </w:p>
    <w:p w14:paraId="09B385D4">
      <w:pPr>
        <w:spacing w:line="400" w:lineRule="exact"/>
        <w:ind w:firstLine="420" w:firstLineChars="200"/>
        <w:rPr>
          <w:rFonts w:hint="eastAsia" w:ascii="宋体" w:hAnsi="宋体"/>
          <w:szCs w:val="21"/>
        </w:rPr>
      </w:pPr>
      <w:r>
        <w:rPr>
          <w:rFonts w:hint="eastAsia" w:ascii="宋体" w:hAnsi="宋体"/>
          <w:szCs w:val="21"/>
        </w:rPr>
        <w:t>1、低年资住院医师：ASA分级1~2级。</w:t>
      </w:r>
    </w:p>
    <w:p w14:paraId="4721D3D5">
      <w:pPr>
        <w:spacing w:line="400" w:lineRule="exact"/>
        <w:ind w:firstLine="420" w:firstLineChars="200"/>
        <w:rPr>
          <w:rFonts w:hint="eastAsia" w:ascii="宋体" w:hAnsi="宋体"/>
          <w:szCs w:val="21"/>
        </w:rPr>
      </w:pPr>
      <w:r>
        <w:rPr>
          <w:rFonts w:hint="eastAsia" w:ascii="宋体" w:hAnsi="宋体"/>
          <w:szCs w:val="21"/>
        </w:rPr>
        <w:t>2、高年资住院医师：ASA分级2~3级，以及ⅡⅢ级手术。</w:t>
      </w:r>
    </w:p>
    <w:p w14:paraId="77C86698">
      <w:pPr>
        <w:spacing w:line="400" w:lineRule="exact"/>
        <w:ind w:firstLine="420" w:firstLineChars="200"/>
        <w:rPr>
          <w:rFonts w:hint="eastAsia" w:ascii="宋体" w:hAnsi="宋体"/>
          <w:szCs w:val="21"/>
        </w:rPr>
      </w:pPr>
      <w:r>
        <w:rPr>
          <w:rFonts w:hint="eastAsia" w:ascii="宋体" w:hAnsi="宋体"/>
          <w:szCs w:val="21"/>
        </w:rPr>
        <w:t>3、低年资主治医师：ASA分级2~3级，以及ⅡⅢ级手术。</w:t>
      </w:r>
    </w:p>
    <w:p w14:paraId="5E14DBB7">
      <w:pPr>
        <w:spacing w:line="400" w:lineRule="exact"/>
        <w:ind w:firstLine="420" w:firstLineChars="200"/>
        <w:rPr>
          <w:rFonts w:hint="eastAsia" w:ascii="宋体" w:hAnsi="宋体"/>
          <w:szCs w:val="21"/>
        </w:rPr>
      </w:pPr>
      <w:r>
        <w:rPr>
          <w:rFonts w:hint="eastAsia" w:ascii="宋体" w:hAnsi="宋体"/>
          <w:szCs w:val="21"/>
        </w:rPr>
        <w:t>4、高年资主治医师：ASA分级3~4级，以及ⅢⅣ级手术。</w:t>
      </w:r>
    </w:p>
    <w:p w14:paraId="613DD71E">
      <w:pPr>
        <w:spacing w:line="400" w:lineRule="exact"/>
        <w:ind w:firstLine="420" w:firstLineChars="200"/>
        <w:rPr>
          <w:rFonts w:hint="eastAsia" w:ascii="宋体" w:hAnsi="宋体"/>
          <w:szCs w:val="21"/>
        </w:rPr>
      </w:pPr>
      <w:r>
        <w:rPr>
          <w:rFonts w:hint="eastAsia" w:ascii="宋体" w:hAnsi="宋体"/>
          <w:szCs w:val="21"/>
        </w:rPr>
        <w:t>5、低年资副主任医师：ASA分级4~5级，以及Ⅳ级手术。</w:t>
      </w:r>
    </w:p>
    <w:p w14:paraId="1C72795C">
      <w:pPr>
        <w:spacing w:line="400" w:lineRule="exact"/>
        <w:ind w:firstLine="420" w:firstLineChars="200"/>
        <w:rPr>
          <w:rFonts w:hint="eastAsia" w:ascii="宋体" w:hAnsi="宋体"/>
          <w:szCs w:val="21"/>
        </w:rPr>
      </w:pPr>
      <w:r>
        <w:rPr>
          <w:rFonts w:hint="eastAsia" w:ascii="宋体" w:hAnsi="宋体"/>
          <w:szCs w:val="21"/>
        </w:rPr>
        <w:t>6、高年资副主任医师：所有。</w:t>
      </w:r>
    </w:p>
    <w:p w14:paraId="6EA681A1">
      <w:pPr>
        <w:spacing w:line="400" w:lineRule="exact"/>
        <w:ind w:firstLine="420" w:firstLineChars="200"/>
        <w:rPr>
          <w:rFonts w:hint="eastAsia" w:ascii="宋体" w:hAnsi="宋体"/>
          <w:szCs w:val="21"/>
        </w:rPr>
      </w:pPr>
      <w:r>
        <w:rPr>
          <w:rFonts w:hint="eastAsia" w:ascii="宋体" w:hAnsi="宋体"/>
          <w:szCs w:val="21"/>
        </w:rPr>
        <w:t>7、主任医师：所有</w:t>
      </w:r>
    </w:p>
    <w:p w14:paraId="04C7FB12">
      <w:pPr>
        <w:spacing w:line="400" w:lineRule="exact"/>
        <w:ind w:firstLine="420" w:firstLineChars="200"/>
        <w:rPr>
          <w:rFonts w:hint="eastAsia" w:ascii="宋体" w:hAnsi="宋体"/>
          <w:szCs w:val="21"/>
        </w:rPr>
      </w:pPr>
      <w:r>
        <w:rPr>
          <w:rFonts w:hint="eastAsia" w:ascii="宋体" w:hAnsi="宋体"/>
          <w:szCs w:val="21"/>
        </w:rPr>
        <w:t>9.3角色维护</w:t>
      </w:r>
    </w:p>
    <w:p w14:paraId="06F7A581">
      <w:pPr>
        <w:spacing w:line="400" w:lineRule="exact"/>
        <w:ind w:firstLine="420" w:firstLineChars="200"/>
        <w:rPr>
          <w:rFonts w:hint="eastAsia" w:ascii="宋体" w:hAnsi="宋体"/>
          <w:szCs w:val="21"/>
        </w:rPr>
      </w:pPr>
      <w:r>
        <w:rPr>
          <w:rFonts w:hint="eastAsia" w:ascii="宋体" w:hAnsi="宋体"/>
          <w:szCs w:val="21"/>
        </w:rPr>
        <w:t>系统预置了七个角色：系统管理员、麻醉科主任、麻醉医师、复苏室值班医师、护士长、手术室护士。</w:t>
      </w:r>
    </w:p>
    <w:p w14:paraId="6594EFAC">
      <w:pPr>
        <w:spacing w:line="400" w:lineRule="exact"/>
        <w:ind w:firstLine="420" w:firstLineChars="200"/>
        <w:rPr>
          <w:rFonts w:hint="eastAsia" w:ascii="宋体" w:hAnsi="宋体"/>
          <w:szCs w:val="21"/>
        </w:rPr>
      </w:pPr>
      <w:r>
        <w:rPr>
          <w:rFonts w:hint="eastAsia" w:ascii="宋体" w:hAnsi="宋体"/>
          <w:szCs w:val="21"/>
        </w:rPr>
        <w:t>系统将依据角色进行权限设置。</w:t>
      </w:r>
    </w:p>
    <w:p w14:paraId="1DBB80F6">
      <w:pPr>
        <w:spacing w:line="400" w:lineRule="exact"/>
        <w:ind w:firstLine="420" w:firstLineChars="200"/>
        <w:rPr>
          <w:rFonts w:hint="eastAsia" w:ascii="宋体" w:hAnsi="宋体"/>
          <w:szCs w:val="21"/>
        </w:rPr>
      </w:pPr>
      <w:r>
        <w:rPr>
          <w:rFonts w:hint="eastAsia" w:ascii="宋体" w:hAnsi="宋体"/>
          <w:szCs w:val="21"/>
        </w:rPr>
        <w:t>9.4权限维护</w:t>
      </w:r>
    </w:p>
    <w:p w14:paraId="3D4F314A">
      <w:pPr>
        <w:spacing w:line="400" w:lineRule="exact"/>
        <w:ind w:firstLine="420" w:firstLineChars="200"/>
        <w:rPr>
          <w:rFonts w:hint="eastAsia" w:ascii="宋体" w:hAnsi="宋体"/>
          <w:szCs w:val="21"/>
        </w:rPr>
      </w:pPr>
      <w:r>
        <w:rPr>
          <w:rFonts w:hint="eastAsia" w:ascii="宋体" w:hAnsi="宋体"/>
          <w:szCs w:val="21"/>
        </w:rPr>
        <w:t>设置某个角色所拥有的具体权限，权限在系统初始化时已经预置好，如有特殊需求时，可以手工调整权限。</w:t>
      </w:r>
    </w:p>
    <w:p w14:paraId="2222A825">
      <w:pPr>
        <w:spacing w:line="400" w:lineRule="exact"/>
        <w:ind w:firstLine="420" w:firstLineChars="200"/>
        <w:rPr>
          <w:rFonts w:hint="eastAsia" w:ascii="宋体" w:hAnsi="宋体"/>
          <w:szCs w:val="21"/>
        </w:rPr>
      </w:pPr>
      <w:r>
        <w:rPr>
          <w:rFonts w:hint="eastAsia" w:ascii="宋体" w:hAnsi="宋体"/>
          <w:szCs w:val="21"/>
        </w:rPr>
        <w:t>9.5字典管理</w:t>
      </w:r>
    </w:p>
    <w:p w14:paraId="26995920">
      <w:pPr>
        <w:spacing w:line="400" w:lineRule="exact"/>
        <w:ind w:firstLine="420" w:firstLineChars="200"/>
        <w:rPr>
          <w:rFonts w:hint="eastAsia" w:ascii="宋体" w:hAnsi="宋体"/>
          <w:szCs w:val="21"/>
        </w:rPr>
      </w:pPr>
      <w:r>
        <w:rPr>
          <w:rFonts w:hint="eastAsia" w:ascii="宋体" w:hAnsi="宋体"/>
          <w:szCs w:val="21"/>
        </w:rPr>
        <w:t>对于药品和手术内容已经依据ICD的标准进行设置，这部分内容会在系统初始化时与HIS系统进行同步，如果有新的药品和手术时，可以通过该功能进行维护。</w:t>
      </w:r>
    </w:p>
    <w:p w14:paraId="63FCF79D">
      <w:pPr>
        <w:spacing w:line="400" w:lineRule="exact"/>
        <w:ind w:firstLine="420" w:firstLineChars="200"/>
        <w:rPr>
          <w:rFonts w:hint="eastAsia" w:ascii="宋体" w:hAnsi="宋体"/>
          <w:szCs w:val="21"/>
        </w:rPr>
      </w:pPr>
      <w:r>
        <w:rPr>
          <w:rFonts w:hint="eastAsia" w:ascii="宋体" w:hAnsi="宋体"/>
          <w:szCs w:val="21"/>
        </w:rPr>
        <w:t>药品的默认给药途径和方式也在此处进行设置。</w:t>
      </w:r>
    </w:p>
    <w:p w14:paraId="7AB43DD0">
      <w:pPr>
        <w:spacing w:line="400" w:lineRule="exact"/>
        <w:ind w:firstLine="420" w:firstLineChars="200"/>
        <w:rPr>
          <w:rFonts w:hint="eastAsia" w:ascii="宋体" w:hAnsi="宋体"/>
          <w:szCs w:val="21"/>
        </w:rPr>
      </w:pPr>
      <w:r>
        <w:rPr>
          <w:rFonts w:hint="eastAsia" w:ascii="宋体" w:hAnsi="宋体"/>
          <w:szCs w:val="21"/>
        </w:rPr>
        <w:t>10、其他要求</w:t>
      </w:r>
    </w:p>
    <w:p w14:paraId="6FB45776">
      <w:pPr>
        <w:spacing w:line="400" w:lineRule="exact"/>
        <w:ind w:firstLine="420" w:firstLineChars="200"/>
        <w:rPr>
          <w:rFonts w:hint="eastAsia" w:ascii="宋体" w:hAnsi="宋体"/>
          <w:szCs w:val="21"/>
        </w:rPr>
      </w:pPr>
      <w:r>
        <w:rPr>
          <w:rFonts w:hint="eastAsia" w:ascii="宋体" w:hAnsi="宋体"/>
          <w:szCs w:val="21"/>
        </w:rPr>
        <w:t>10.1满足《三级医院评审标准（2022年版）》</w:t>
      </w:r>
    </w:p>
    <w:p w14:paraId="748C304B">
      <w:pPr>
        <w:spacing w:line="400" w:lineRule="exact"/>
        <w:ind w:firstLine="420" w:firstLineChars="200"/>
        <w:rPr>
          <w:rFonts w:hint="eastAsia" w:ascii="宋体" w:hAnsi="宋体"/>
          <w:szCs w:val="21"/>
        </w:rPr>
      </w:pPr>
      <w:r>
        <w:rPr>
          <w:rFonts w:hint="eastAsia" w:ascii="宋体" w:hAnsi="宋体"/>
          <w:szCs w:val="21"/>
        </w:rPr>
        <w:t>提供《三级医院评审标准（2022年版）》对麻醉科医疗质量指标统计。</w:t>
      </w:r>
    </w:p>
    <w:p w14:paraId="412592C6">
      <w:pPr>
        <w:spacing w:line="400" w:lineRule="exact"/>
        <w:ind w:firstLine="420" w:firstLineChars="200"/>
        <w:rPr>
          <w:rFonts w:hint="eastAsia" w:ascii="宋体" w:hAnsi="宋体"/>
          <w:szCs w:val="21"/>
        </w:rPr>
      </w:pPr>
      <w:r>
        <w:rPr>
          <w:rFonts w:hint="eastAsia" w:ascii="宋体" w:hAnsi="宋体"/>
          <w:szCs w:val="21"/>
        </w:rPr>
        <w:t>10.2满足科室工作量绩效考核要求</w:t>
      </w:r>
    </w:p>
    <w:p w14:paraId="597C9490">
      <w:pPr>
        <w:spacing w:line="400" w:lineRule="exact"/>
        <w:ind w:firstLine="420" w:firstLineChars="200"/>
        <w:rPr>
          <w:rFonts w:hint="eastAsia" w:ascii="宋体" w:hAnsi="宋体"/>
          <w:szCs w:val="21"/>
        </w:rPr>
      </w:pPr>
      <w:r>
        <w:rPr>
          <w:rFonts w:hint="eastAsia" w:ascii="宋体" w:hAnsi="宋体"/>
          <w:szCs w:val="21"/>
        </w:rPr>
        <w:t>提供科室需要的各类工作量绩效统计。</w:t>
      </w:r>
    </w:p>
    <w:p w14:paraId="1B5C41F7">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病理管理系统</w:t>
      </w:r>
    </w:p>
    <w:p w14:paraId="3D5B588D">
      <w:pPr>
        <w:spacing w:line="400" w:lineRule="exact"/>
        <w:ind w:firstLine="420" w:firstLineChars="200"/>
        <w:rPr>
          <w:rFonts w:hint="eastAsia" w:ascii="宋体" w:hAnsi="宋体"/>
          <w:szCs w:val="21"/>
        </w:rPr>
      </w:pPr>
      <w:r>
        <w:rPr>
          <w:rFonts w:hint="eastAsia" w:ascii="宋体" w:hAnsi="宋体"/>
          <w:szCs w:val="21"/>
        </w:rPr>
        <w:t>需要具备以下功能：</w:t>
      </w:r>
    </w:p>
    <w:p w14:paraId="7460FF6C">
      <w:pPr>
        <w:spacing w:line="400" w:lineRule="exact"/>
        <w:ind w:firstLine="420" w:firstLineChars="200"/>
        <w:rPr>
          <w:rFonts w:hint="eastAsia" w:ascii="宋体" w:hAnsi="宋体"/>
          <w:szCs w:val="21"/>
        </w:rPr>
      </w:pPr>
      <w:r>
        <w:rPr>
          <w:rFonts w:hint="eastAsia" w:ascii="宋体" w:hAnsi="宋体"/>
          <w:szCs w:val="21"/>
        </w:rPr>
        <w:t>1.支持条形码、磁卡、IC卡等读入方式，支持条码打印；</w:t>
      </w:r>
    </w:p>
    <w:p w14:paraId="4833C925">
      <w:pPr>
        <w:spacing w:line="400" w:lineRule="exact"/>
        <w:ind w:firstLine="420" w:firstLineChars="200"/>
        <w:rPr>
          <w:rFonts w:hint="eastAsia" w:ascii="宋体" w:hAnsi="宋体"/>
          <w:szCs w:val="21"/>
        </w:rPr>
      </w:pPr>
      <w:r>
        <w:rPr>
          <w:rFonts w:hint="eastAsia" w:ascii="宋体" w:hAnsi="宋体"/>
          <w:szCs w:val="21"/>
        </w:rPr>
        <w:t>2.支持手工申请单、HIS系统集成接口的电子申请单或WEB预约等方式取得患者基本信息和检查要求；</w:t>
      </w:r>
    </w:p>
    <w:p w14:paraId="05B87479">
      <w:pPr>
        <w:spacing w:line="400" w:lineRule="exact"/>
        <w:ind w:firstLine="420" w:firstLineChars="200"/>
        <w:rPr>
          <w:rFonts w:hint="eastAsia" w:ascii="宋体" w:hAnsi="宋体"/>
          <w:szCs w:val="21"/>
        </w:rPr>
      </w:pPr>
      <w:r>
        <w:rPr>
          <w:rFonts w:hint="eastAsia" w:ascii="宋体" w:hAnsi="宋体"/>
          <w:szCs w:val="21"/>
        </w:rPr>
        <w:t>3.登记确认病人检查信息时按科室规则自动产生检查号，检查号规则可由科室按不同检查类型自主定义，包括前缀、后缀、长度、格式等；</w:t>
      </w:r>
    </w:p>
    <w:p w14:paraId="10590C3E">
      <w:pPr>
        <w:spacing w:line="400" w:lineRule="exact"/>
        <w:ind w:firstLine="420" w:firstLineChars="200"/>
        <w:rPr>
          <w:rFonts w:hint="eastAsia" w:ascii="宋体" w:hAnsi="宋体"/>
          <w:szCs w:val="21"/>
        </w:rPr>
      </w:pPr>
      <w:r>
        <w:rPr>
          <w:rFonts w:hint="eastAsia" w:ascii="宋体" w:hAnsi="宋体"/>
          <w:szCs w:val="21"/>
        </w:rPr>
        <w:t>4.支持手写申请单扫描与归档，每天登记的检查信息能够打印或另存为EXCEL电子表格作为备份，能够清理已退费的检查信息；</w:t>
      </w:r>
    </w:p>
    <w:p w14:paraId="43376889">
      <w:pPr>
        <w:spacing w:line="400" w:lineRule="exact"/>
        <w:ind w:firstLine="420" w:firstLineChars="200"/>
        <w:rPr>
          <w:rFonts w:hint="eastAsia" w:ascii="宋体" w:hAnsi="宋体"/>
          <w:szCs w:val="21"/>
        </w:rPr>
      </w:pPr>
      <w:r>
        <w:rPr>
          <w:rFonts w:hint="eastAsia" w:ascii="宋体" w:hAnsi="宋体"/>
          <w:szCs w:val="21"/>
        </w:rPr>
        <w:t>5.支持静态和动态采集，转换为DICOM格式统一存储；</w:t>
      </w:r>
    </w:p>
    <w:p w14:paraId="3FB22A95">
      <w:pPr>
        <w:spacing w:line="400" w:lineRule="exact"/>
        <w:ind w:firstLine="420" w:firstLineChars="200"/>
        <w:rPr>
          <w:rFonts w:hint="eastAsia" w:ascii="宋体" w:hAnsi="宋体"/>
          <w:szCs w:val="21"/>
        </w:rPr>
      </w:pPr>
      <w:r>
        <w:rPr>
          <w:rFonts w:hint="eastAsia" w:ascii="宋体" w:hAnsi="宋体"/>
          <w:szCs w:val="21"/>
        </w:rPr>
        <w:t>6.支持VHS、RGB和S端子等视频接口；</w:t>
      </w:r>
    </w:p>
    <w:p w14:paraId="311875AA">
      <w:pPr>
        <w:spacing w:line="400" w:lineRule="exact"/>
        <w:ind w:firstLine="420" w:firstLineChars="200"/>
        <w:rPr>
          <w:rFonts w:hint="eastAsia" w:ascii="宋体" w:hAnsi="宋体"/>
          <w:szCs w:val="21"/>
        </w:rPr>
      </w:pPr>
      <w:r>
        <w:rPr>
          <w:rFonts w:hint="eastAsia" w:ascii="宋体" w:hAnsi="宋体"/>
          <w:szCs w:val="21"/>
        </w:rPr>
        <w:t>7.支持最高1K×1K视频和图像采集；</w:t>
      </w:r>
    </w:p>
    <w:p w14:paraId="1266C4F1">
      <w:pPr>
        <w:spacing w:line="400" w:lineRule="exact"/>
        <w:ind w:firstLine="420" w:firstLineChars="200"/>
        <w:rPr>
          <w:rFonts w:hint="eastAsia" w:ascii="宋体" w:hAnsi="宋体"/>
          <w:szCs w:val="21"/>
        </w:rPr>
      </w:pPr>
      <w:r>
        <w:rPr>
          <w:rFonts w:hint="eastAsia" w:ascii="宋体" w:hAnsi="宋体"/>
          <w:szCs w:val="21"/>
        </w:rPr>
        <w:t>8.支持黑白和彩色图像采集；</w:t>
      </w:r>
    </w:p>
    <w:p w14:paraId="0B9DFE49">
      <w:pPr>
        <w:spacing w:line="400" w:lineRule="exact"/>
        <w:ind w:firstLine="420" w:firstLineChars="200"/>
        <w:rPr>
          <w:rFonts w:hint="eastAsia" w:ascii="宋体" w:hAnsi="宋体"/>
          <w:szCs w:val="21"/>
        </w:rPr>
      </w:pPr>
      <w:r>
        <w:rPr>
          <w:rFonts w:hint="eastAsia" w:ascii="宋体" w:hAnsi="宋体"/>
          <w:szCs w:val="21"/>
        </w:rPr>
        <w:t>9.支持可定制图文报告；</w:t>
      </w:r>
    </w:p>
    <w:p w14:paraId="4730FADB">
      <w:pPr>
        <w:spacing w:line="400" w:lineRule="exact"/>
        <w:ind w:firstLine="420" w:firstLineChars="200"/>
        <w:rPr>
          <w:rFonts w:hint="eastAsia" w:ascii="宋体" w:hAnsi="宋体"/>
          <w:szCs w:val="21"/>
        </w:rPr>
      </w:pPr>
      <w:r>
        <w:rPr>
          <w:rFonts w:hint="eastAsia" w:ascii="宋体" w:hAnsi="宋体"/>
          <w:szCs w:val="21"/>
        </w:rPr>
        <w:t>10.支持脚踏开关、USB手控开关；</w:t>
      </w:r>
    </w:p>
    <w:p w14:paraId="3D147036">
      <w:pPr>
        <w:spacing w:line="400" w:lineRule="exact"/>
        <w:ind w:firstLine="420" w:firstLineChars="200"/>
        <w:rPr>
          <w:rFonts w:hint="eastAsia" w:ascii="宋体" w:hAnsi="宋体"/>
          <w:szCs w:val="21"/>
        </w:rPr>
      </w:pPr>
      <w:r>
        <w:rPr>
          <w:rFonts w:hint="eastAsia" w:ascii="宋体" w:hAnsi="宋体"/>
          <w:szCs w:val="21"/>
        </w:rPr>
        <w:t>11.加入容错设计，提供采集时错误检测和错误报告；</w:t>
      </w:r>
    </w:p>
    <w:p w14:paraId="54219A7D">
      <w:pPr>
        <w:spacing w:line="400" w:lineRule="exact"/>
        <w:ind w:firstLine="420" w:firstLineChars="200"/>
        <w:rPr>
          <w:rFonts w:hint="eastAsia" w:ascii="宋体" w:hAnsi="宋体"/>
          <w:szCs w:val="21"/>
        </w:rPr>
      </w:pPr>
      <w:r>
        <w:rPr>
          <w:rFonts w:hint="eastAsia" w:ascii="宋体" w:hAnsi="宋体"/>
          <w:szCs w:val="21"/>
        </w:rPr>
        <w:t>12.用户可按角色分配权限，做到对用户权限的灵活精确控制；</w:t>
      </w:r>
    </w:p>
    <w:p w14:paraId="28308334">
      <w:pPr>
        <w:spacing w:line="400" w:lineRule="exact"/>
        <w:ind w:firstLine="420" w:firstLineChars="200"/>
        <w:rPr>
          <w:rFonts w:hint="eastAsia" w:ascii="宋体" w:hAnsi="宋体"/>
          <w:szCs w:val="21"/>
        </w:rPr>
      </w:pPr>
      <w:r>
        <w:rPr>
          <w:rFonts w:hint="eastAsia" w:ascii="宋体" w:hAnsi="宋体"/>
          <w:szCs w:val="21"/>
        </w:rPr>
        <w:t>13.检查号规则设定，可根据不同要求、不同检查设备、不同检查类别进行设定；</w:t>
      </w:r>
    </w:p>
    <w:p w14:paraId="68263AE7">
      <w:pPr>
        <w:spacing w:line="400" w:lineRule="exact"/>
        <w:ind w:firstLine="420" w:firstLineChars="200"/>
        <w:rPr>
          <w:rFonts w:hint="eastAsia" w:ascii="宋体" w:hAnsi="宋体"/>
          <w:szCs w:val="21"/>
        </w:rPr>
      </w:pPr>
      <w:r>
        <w:rPr>
          <w:rFonts w:hint="eastAsia" w:ascii="宋体" w:hAnsi="宋体"/>
          <w:szCs w:val="21"/>
        </w:rPr>
        <w:t>14.任务提醒规则设定：包括提醒内容、提醒时间能够自定义具体规则；</w:t>
      </w:r>
    </w:p>
    <w:p w14:paraId="1DAEA808">
      <w:pPr>
        <w:spacing w:line="400" w:lineRule="exact"/>
        <w:ind w:firstLine="420" w:firstLineChars="200"/>
        <w:rPr>
          <w:rFonts w:hint="eastAsia" w:ascii="宋体" w:hAnsi="宋体"/>
          <w:szCs w:val="21"/>
        </w:rPr>
      </w:pPr>
      <w:r>
        <w:rPr>
          <w:rFonts w:hint="eastAsia" w:ascii="宋体" w:hAnsi="宋体"/>
          <w:szCs w:val="21"/>
        </w:rPr>
        <w:t>15.报告诊断模板维护和自定义；</w:t>
      </w:r>
    </w:p>
    <w:p w14:paraId="5070F4E6">
      <w:pPr>
        <w:spacing w:line="400" w:lineRule="exact"/>
        <w:ind w:firstLine="420" w:firstLineChars="200"/>
        <w:rPr>
          <w:rFonts w:hint="eastAsia" w:ascii="宋体" w:hAnsi="宋体"/>
          <w:szCs w:val="21"/>
        </w:rPr>
      </w:pPr>
      <w:r>
        <w:rPr>
          <w:rFonts w:hint="eastAsia" w:ascii="宋体" w:hAnsi="宋体"/>
          <w:szCs w:val="21"/>
        </w:rPr>
        <w:t>16.包括各种工作量的查询统计等功能。</w:t>
      </w:r>
    </w:p>
    <w:p w14:paraId="18700C06">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心电管理系统</w:t>
      </w:r>
    </w:p>
    <w:p w14:paraId="1D8A0E4F">
      <w:pPr>
        <w:spacing w:line="400" w:lineRule="exact"/>
        <w:ind w:firstLine="420" w:firstLineChars="200"/>
        <w:rPr>
          <w:rFonts w:hint="eastAsia" w:ascii="宋体" w:hAnsi="宋体"/>
          <w:szCs w:val="21"/>
        </w:rPr>
      </w:pPr>
      <w:r>
        <w:rPr>
          <w:rFonts w:hint="eastAsia" w:ascii="宋体" w:hAnsi="宋体"/>
          <w:szCs w:val="21"/>
        </w:rPr>
        <w:t>一、整体要求</w:t>
      </w:r>
    </w:p>
    <w:p w14:paraId="5453B527">
      <w:pPr>
        <w:spacing w:line="400" w:lineRule="exact"/>
        <w:ind w:firstLine="420" w:firstLineChars="200"/>
        <w:rPr>
          <w:rFonts w:hint="eastAsia" w:ascii="宋体" w:hAnsi="宋体"/>
          <w:szCs w:val="21"/>
        </w:rPr>
      </w:pPr>
      <w:r>
        <w:rPr>
          <w:rFonts w:hint="eastAsia" w:ascii="宋体" w:hAnsi="宋体"/>
          <w:szCs w:val="21"/>
        </w:rPr>
        <w:t>1.系统采用分布式微服务技术架构，各服务之间高度自治，支持独立部署或集中部署，满足医院业务高并发的需求。</w:t>
      </w:r>
    </w:p>
    <w:p w14:paraId="2A598BCF">
      <w:pPr>
        <w:spacing w:line="400" w:lineRule="exact"/>
        <w:ind w:firstLine="420" w:firstLineChars="200"/>
        <w:rPr>
          <w:rFonts w:hint="eastAsia" w:ascii="宋体" w:hAnsi="宋体"/>
          <w:szCs w:val="21"/>
        </w:rPr>
      </w:pPr>
      <w:r>
        <w:rPr>
          <w:rFonts w:hint="eastAsia" w:ascii="宋体" w:hAnsi="宋体"/>
          <w:szCs w:val="21"/>
        </w:rPr>
        <w:t>2.数据库支持SQL Server、Mysql等数据库，采用读写分离模式。</w:t>
      </w:r>
    </w:p>
    <w:p w14:paraId="48555A97">
      <w:pPr>
        <w:spacing w:line="400" w:lineRule="exact"/>
        <w:ind w:firstLine="420" w:firstLineChars="200"/>
        <w:rPr>
          <w:rFonts w:hint="eastAsia" w:ascii="宋体" w:hAnsi="宋体"/>
          <w:szCs w:val="21"/>
        </w:rPr>
      </w:pPr>
      <w:r>
        <w:rPr>
          <w:rFonts w:hint="eastAsia" w:ascii="宋体" w:hAnsi="宋体"/>
          <w:szCs w:val="21"/>
        </w:rPr>
        <w:t>3.采用热部署方式，无需停止服务器即可实现系统程序升级发布、配置文件更新等功能。</w:t>
      </w:r>
    </w:p>
    <w:p w14:paraId="0D813D42">
      <w:pPr>
        <w:spacing w:line="400" w:lineRule="exact"/>
        <w:ind w:firstLine="420" w:firstLineChars="200"/>
        <w:rPr>
          <w:rFonts w:hint="eastAsia" w:ascii="宋体" w:hAnsi="宋体"/>
          <w:szCs w:val="21"/>
        </w:rPr>
      </w:pPr>
      <w:r>
        <w:rPr>
          <w:rFonts w:hint="eastAsia" w:ascii="宋体" w:hAnsi="宋体"/>
          <w:szCs w:val="21"/>
        </w:rPr>
        <w:t>4.系统支持C/S和B/S混合模式。</w:t>
      </w:r>
    </w:p>
    <w:p w14:paraId="3217BDC2">
      <w:pPr>
        <w:spacing w:line="400" w:lineRule="exact"/>
        <w:ind w:firstLine="420" w:firstLineChars="200"/>
        <w:rPr>
          <w:rFonts w:hint="eastAsia" w:ascii="宋体" w:hAnsi="宋体"/>
          <w:szCs w:val="21"/>
        </w:rPr>
      </w:pPr>
      <w:r>
        <w:rPr>
          <w:rFonts w:hint="eastAsia" w:ascii="宋体" w:hAnsi="宋体"/>
          <w:szCs w:val="21"/>
        </w:rPr>
        <w:t>5.系统采用业务和管理分离的方式。在业务处理上，提供独立的医生工作站，供临床处理心电的检查、诊断、数据分析等业务；在管理上，提供独立的管理后台，实现对人员、设备等基础数据的统一管理，支持创建、修改、删除、查询各通行证功能。通过业务口和管理口从物理上分离,使业务数据和管理数据相互间不会产生干扰，提升系统稳定性和可靠性。</w:t>
      </w:r>
    </w:p>
    <w:p w14:paraId="53D77878">
      <w:pPr>
        <w:spacing w:line="400" w:lineRule="exact"/>
        <w:ind w:firstLine="420" w:firstLineChars="200"/>
        <w:rPr>
          <w:rFonts w:hint="eastAsia" w:ascii="宋体" w:hAnsi="宋体"/>
          <w:szCs w:val="21"/>
        </w:rPr>
      </w:pPr>
      <w:r>
        <w:rPr>
          <w:rFonts w:hint="eastAsia" w:ascii="宋体" w:hAnsi="宋体"/>
          <w:szCs w:val="21"/>
        </w:rPr>
        <w:t>6.支持心电数据的采集、传输、诊断和数据归档的全流程跟踪管理，通过分布式日志系统、消息队列、调用链跟踪等方式跟踪记录每一份心电报告的生成过程，为功能调试、问题排查、问题定位等提供技术支撑和可靠保障。</w:t>
      </w:r>
    </w:p>
    <w:p w14:paraId="0C3567E4">
      <w:pPr>
        <w:spacing w:line="400" w:lineRule="exact"/>
        <w:ind w:firstLine="420" w:firstLineChars="200"/>
        <w:rPr>
          <w:rFonts w:hint="eastAsia" w:ascii="宋体" w:hAnsi="宋体"/>
          <w:szCs w:val="21"/>
        </w:rPr>
      </w:pPr>
      <w:r>
        <w:rPr>
          <w:rFonts w:hint="eastAsia" w:ascii="宋体" w:hAnsi="宋体"/>
          <w:szCs w:val="21"/>
        </w:rPr>
        <w:t>7.系统提供接口服务，支持对接第三方信息平台，支持采用视图、存储过程、Webservice、DICOM、HL7等方式实现接口功能。</w:t>
      </w:r>
    </w:p>
    <w:p w14:paraId="77DF5690">
      <w:pPr>
        <w:spacing w:line="400" w:lineRule="exact"/>
        <w:ind w:firstLine="420" w:firstLineChars="200"/>
        <w:rPr>
          <w:rFonts w:hint="eastAsia" w:ascii="宋体" w:hAnsi="宋体"/>
          <w:szCs w:val="21"/>
        </w:rPr>
      </w:pPr>
      <w:r>
        <w:rPr>
          <w:rFonts w:hint="eastAsia" w:ascii="宋体" w:hAnsi="宋体"/>
          <w:szCs w:val="21"/>
        </w:rPr>
        <w:t>8.系统通过IHE数字心电诊断系统集成模式和功能角色的专项测试，集成模式至少包含REWF、ECG、DRPT等3类，功能角色至少包含EC、ID、INTEGRATED-ECG-MANAGER、INFO_SRC、Integrated Report Manager/Repository等5种。</w:t>
      </w:r>
    </w:p>
    <w:p w14:paraId="4E08D01E">
      <w:pPr>
        <w:spacing w:line="400" w:lineRule="exact"/>
        <w:ind w:firstLine="420" w:firstLineChars="200"/>
        <w:rPr>
          <w:rFonts w:hint="eastAsia" w:ascii="宋体" w:hAnsi="宋体"/>
          <w:szCs w:val="21"/>
        </w:rPr>
      </w:pPr>
      <w:r>
        <w:rPr>
          <w:rFonts w:hint="eastAsia" w:ascii="宋体" w:hAnsi="宋体"/>
          <w:szCs w:val="21"/>
        </w:rPr>
        <w:t>二、预约叫号</w:t>
      </w:r>
    </w:p>
    <w:p w14:paraId="4324E7D7">
      <w:pPr>
        <w:spacing w:line="400" w:lineRule="exact"/>
        <w:ind w:firstLine="420" w:firstLineChars="200"/>
        <w:rPr>
          <w:rFonts w:hint="eastAsia" w:ascii="宋体" w:hAnsi="宋体"/>
          <w:szCs w:val="21"/>
        </w:rPr>
      </w:pPr>
      <w:r>
        <w:rPr>
          <w:rFonts w:hint="eastAsia" w:ascii="宋体" w:hAnsi="宋体"/>
          <w:szCs w:val="21"/>
        </w:rPr>
        <w:t>1.支持检查诊室管理功能，包括新建、修改、删除。</w:t>
      </w:r>
    </w:p>
    <w:p w14:paraId="79DEEDE1">
      <w:pPr>
        <w:spacing w:line="400" w:lineRule="exact"/>
        <w:ind w:firstLine="420" w:firstLineChars="200"/>
        <w:rPr>
          <w:rFonts w:hint="eastAsia" w:ascii="宋体" w:hAnsi="宋体"/>
          <w:szCs w:val="21"/>
        </w:rPr>
      </w:pPr>
      <w:r>
        <w:rPr>
          <w:rFonts w:hint="eastAsia" w:ascii="宋体" w:hAnsi="宋体"/>
          <w:szCs w:val="21"/>
        </w:rPr>
        <w:t>2.支持设置预约时段、关联诊室，每个预约时段可限制人数；支持一个诊室对应多个检查项目，支持一个检查项目多个诊室检查。</w:t>
      </w:r>
    </w:p>
    <w:p w14:paraId="7858DB94">
      <w:pPr>
        <w:spacing w:line="400" w:lineRule="exact"/>
        <w:ind w:firstLine="420" w:firstLineChars="200"/>
        <w:rPr>
          <w:rFonts w:hint="eastAsia" w:ascii="宋体" w:hAnsi="宋体"/>
          <w:szCs w:val="21"/>
        </w:rPr>
      </w:pPr>
      <w:r>
        <w:rPr>
          <w:rFonts w:hint="eastAsia" w:ascii="宋体" w:hAnsi="宋体"/>
          <w:szCs w:val="21"/>
        </w:rPr>
        <w:t>3.支持静息心电、动态心电、动态血压、电生理等多种业务类型统一预约。</w:t>
      </w:r>
    </w:p>
    <w:p w14:paraId="03ECACF0">
      <w:pPr>
        <w:spacing w:line="400" w:lineRule="exact"/>
        <w:ind w:firstLine="420" w:firstLineChars="200"/>
        <w:rPr>
          <w:rFonts w:hint="eastAsia" w:ascii="宋体" w:hAnsi="宋体"/>
          <w:szCs w:val="21"/>
        </w:rPr>
      </w:pPr>
      <w:r>
        <w:rPr>
          <w:rFonts w:hint="eastAsia" w:ascii="宋体" w:hAnsi="宋体"/>
          <w:szCs w:val="21"/>
        </w:rPr>
        <w:t>4.检查医生通过HIS接口获得申请单进行登记和预约，并生成排队号的条形码，患者按照排队号在检查室等待检查。</w:t>
      </w:r>
    </w:p>
    <w:p w14:paraId="29B32385">
      <w:pPr>
        <w:spacing w:line="400" w:lineRule="exact"/>
        <w:ind w:firstLine="420" w:firstLineChars="200"/>
        <w:rPr>
          <w:rFonts w:hint="eastAsia" w:ascii="宋体" w:hAnsi="宋体"/>
          <w:szCs w:val="21"/>
        </w:rPr>
      </w:pPr>
      <w:r>
        <w:rPr>
          <w:rFonts w:hint="eastAsia" w:ascii="宋体" w:hAnsi="宋体"/>
          <w:szCs w:val="21"/>
        </w:rPr>
        <w:t>5.可手动创建、扫码、读卡、输入卡号、下载预约记录获取检查患者。</w:t>
      </w:r>
    </w:p>
    <w:p w14:paraId="58665EDC">
      <w:pPr>
        <w:spacing w:line="400" w:lineRule="exact"/>
        <w:ind w:firstLine="420" w:firstLineChars="200"/>
        <w:rPr>
          <w:rFonts w:hint="eastAsia" w:ascii="宋体" w:hAnsi="宋体"/>
          <w:szCs w:val="21"/>
        </w:rPr>
      </w:pPr>
      <w:r>
        <w:rPr>
          <w:rFonts w:hint="eastAsia" w:ascii="宋体" w:hAnsi="宋体"/>
          <w:szCs w:val="21"/>
        </w:rPr>
        <w:t>三、检查管理</w:t>
      </w:r>
    </w:p>
    <w:p w14:paraId="6A520AF1">
      <w:pPr>
        <w:spacing w:line="400" w:lineRule="exact"/>
        <w:ind w:firstLine="420" w:firstLineChars="200"/>
        <w:rPr>
          <w:rFonts w:hint="eastAsia" w:ascii="宋体" w:hAnsi="宋体"/>
          <w:szCs w:val="21"/>
        </w:rPr>
      </w:pPr>
      <w:r>
        <w:rPr>
          <w:rFonts w:hint="eastAsia" w:ascii="宋体" w:hAnsi="宋体"/>
          <w:szCs w:val="21"/>
        </w:rPr>
        <w:t>1.系统支持连接第三方心电图机完成受检者的心电检查。支持解析hl7、mfer、scp、fda-xml、dicom、anb、dat、ecg、eco、ekg等第三方心电图机数据格式并以统一的格式进行存储。</w:t>
      </w:r>
    </w:p>
    <w:p w14:paraId="687AA467">
      <w:pPr>
        <w:spacing w:line="400" w:lineRule="exact"/>
        <w:ind w:firstLine="420" w:firstLineChars="200"/>
        <w:rPr>
          <w:rFonts w:hint="eastAsia" w:ascii="宋体" w:hAnsi="宋体"/>
          <w:szCs w:val="21"/>
        </w:rPr>
      </w:pPr>
      <w:r>
        <w:rPr>
          <w:rFonts w:hint="eastAsia" w:ascii="宋体" w:hAnsi="宋体"/>
          <w:szCs w:val="21"/>
        </w:rPr>
        <w:t>2.支持采集质量检测，在心电检查过程中实时提醒采集质量是否合格，伪差、导联脱落、左右手接反等实时提醒。</w:t>
      </w:r>
    </w:p>
    <w:p w14:paraId="4401EFFD">
      <w:pPr>
        <w:spacing w:line="400" w:lineRule="exact"/>
        <w:ind w:firstLine="420" w:firstLineChars="200"/>
        <w:rPr>
          <w:rFonts w:hint="eastAsia" w:ascii="宋体" w:hAnsi="宋体"/>
          <w:szCs w:val="21"/>
        </w:rPr>
      </w:pPr>
      <w:r>
        <w:rPr>
          <w:rFonts w:hint="eastAsia" w:ascii="宋体" w:hAnsi="宋体"/>
          <w:szCs w:val="21"/>
        </w:rPr>
        <w:t>3.采集完成后支持自动分析危急值，分析结果包括以下几种类型：危急、阳性、正常、采集不良、未分析。</w:t>
      </w:r>
    </w:p>
    <w:p w14:paraId="19609E52">
      <w:pPr>
        <w:spacing w:line="400" w:lineRule="exact"/>
        <w:ind w:firstLine="420" w:firstLineChars="200"/>
        <w:rPr>
          <w:rFonts w:hint="eastAsia" w:ascii="宋体" w:hAnsi="宋体"/>
          <w:szCs w:val="21"/>
        </w:rPr>
      </w:pPr>
      <w:r>
        <w:rPr>
          <w:rFonts w:hint="eastAsia" w:ascii="宋体" w:hAnsi="宋体"/>
          <w:szCs w:val="21"/>
        </w:rPr>
        <w:t>4.支持为严重病人申请加急诊断，加急的报告列表有加急的状态标记。</w:t>
      </w:r>
    </w:p>
    <w:p w14:paraId="2AA6685D">
      <w:pPr>
        <w:spacing w:line="400" w:lineRule="exact"/>
        <w:ind w:firstLine="420" w:firstLineChars="200"/>
        <w:rPr>
          <w:rFonts w:hint="eastAsia" w:ascii="宋体" w:hAnsi="宋体"/>
          <w:szCs w:val="21"/>
        </w:rPr>
      </w:pPr>
      <w:r>
        <w:rPr>
          <w:rFonts w:hint="eastAsia" w:ascii="宋体" w:hAnsi="宋体"/>
          <w:szCs w:val="21"/>
        </w:rPr>
        <w:t>四、医生工作站</w:t>
      </w:r>
    </w:p>
    <w:p w14:paraId="4CFE7095">
      <w:pPr>
        <w:spacing w:line="400" w:lineRule="exact"/>
        <w:ind w:firstLine="420" w:firstLineChars="200"/>
        <w:rPr>
          <w:rFonts w:hint="eastAsia" w:ascii="宋体" w:hAnsi="宋体"/>
          <w:szCs w:val="21"/>
        </w:rPr>
      </w:pPr>
      <w:r>
        <w:rPr>
          <w:rFonts w:hint="eastAsia" w:ascii="宋体" w:hAnsi="宋体"/>
          <w:szCs w:val="21"/>
        </w:rPr>
        <w:t>1.为满足医院业务发展需要，医生工作站须提供静息心电、动态心电、动态血压综合分析功能：一套软件即可以进行静息心电、动态心电、动态血压三种检查的分析会诊工作，支持具有对应检查特点的专业分析工具。</w:t>
      </w:r>
    </w:p>
    <w:p w14:paraId="5831D1D4">
      <w:pPr>
        <w:spacing w:line="400" w:lineRule="exact"/>
        <w:ind w:firstLine="420" w:firstLineChars="200"/>
        <w:rPr>
          <w:rFonts w:hint="eastAsia" w:ascii="宋体" w:hAnsi="宋体"/>
          <w:szCs w:val="21"/>
        </w:rPr>
      </w:pPr>
      <w:r>
        <w:rPr>
          <w:rFonts w:hint="eastAsia" w:ascii="宋体" w:hAnsi="宋体"/>
          <w:szCs w:val="21"/>
        </w:rPr>
        <w:t>2.静息心电分析，提供典型病例收藏功能，支持医生自定义收藏分类，支持梯形图生成技术。</w:t>
      </w:r>
    </w:p>
    <w:p w14:paraId="0A4B99B8">
      <w:pPr>
        <w:spacing w:line="400" w:lineRule="exact"/>
        <w:ind w:firstLine="420" w:firstLineChars="200"/>
        <w:rPr>
          <w:rFonts w:hint="eastAsia" w:ascii="宋体" w:hAnsi="宋体"/>
          <w:szCs w:val="21"/>
        </w:rPr>
      </w:pPr>
      <w:r>
        <w:rPr>
          <w:rFonts w:hint="eastAsia" w:ascii="宋体" w:hAnsi="宋体"/>
          <w:szCs w:val="21"/>
        </w:rPr>
        <w:t>3.支持频谱心电、高频心电、QT离散度、心电向量、心室晚电位、心率变异等分析功能。</w:t>
      </w:r>
    </w:p>
    <w:p w14:paraId="1154EA4F">
      <w:pPr>
        <w:spacing w:line="400" w:lineRule="exact"/>
        <w:ind w:firstLine="420" w:firstLineChars="200"/>
        <w:rPr>
          <w:rFonts w:hint="eastAsia" w:ascii="宋体" w:hAnsi="宋体"/>
          <w:szCs w:val="21"/>
        </w:rPr>
      </w:pPr>
      <w:r>
        <w:rPr>
          <w:rFonts w:hint="eastAsia" w:ascii="宋体" w:hAnsi="宋体"/>
          <w:szCs w:val="21"/>
        </w:rPr>
        <w:t>4.支持梯形图生成技术。</w:t>
      </w:r>
    </w:p>
    <w:p w14:paraId="01AD909A">
      <w:pPr>
        <w:spacing w:line="400" w:lineRule="exact"/>
        <w:ind w:firstLine="420" w:firstLineChars="200"/>
        <w:rPr>
          <w:rFonts w:hint="eastAsia" w:ascii="宋体" w:hAnsi="宋体"/>
          <w:szCs w:val="21"/>
        </w:rPr>
      </w:pPr>
      <w:r>
        <w:rPr>
          <w:rFonts w:hint="eastAsia" w:ascii="宋体" w:hAnsi="宋体"/>
          <w:szCs w:val="21"/>
        </w:rPr>
        <w:t>5.支持阿托品等药物试验功能，可显示药物试验条件下的数据、绘制心率变化曲线以及导联波形。</w:t>
      </w:r>
    </w:p>
    <w:p w14:paraId="7A910463">
      <w:pPr>
        <w:spacing w:line="400" w:lineRule="exact"/>
        <w:ind w:firstLine="420" w:firstLineChars="200"/>
        <w:rPr>
          <w:rFonts w:hint="eastAsia" w:ascii="宋体" w:hAnsi="宋体"/>
          <w:szCs w:val="21"/>
        </w:rPr>
      </w:pPr>
      <w:r>
        <w:rPr>
          <w:rFonts w:hint="eastAsia" w:ascii="宋体" w:hAnsi="宋体"/>
          <w:szCs w:val="21"/>
        </w:rPr>
        <w:t>6.支持在诊断界面将心电图原始数据生成二维码，并通过手机端微信小程序进行扫码查看、诊断和分享，通过手机扫码方式实现内网到外网的数据传输，物理隔离保障网络安全。</w:t>
      </w:r>
    </w:p>
    <w:p w14:paraId="28623CC2">
      <w:pPr>
        <w:spacing w:line="400" w:lineRule="exact"/>
        <w:ind w:firstLine="420" w:firstLineChars="200"/>
        <w:rPr>
          <w:rFonts w:hint="eastAsia" w:ascii="宋体" w:hAnsi="宋体"/>
          <w:szCs w:val="21"/>
        </w:rPr>
      </w:pPr>
      <w:r>
        <w:rPr>
          <w:rFonts w:hint="eastAsia" w:ascii="宋体" w:hAnsi="宋体"/>
          <w:szCs w:val="21"/>
        </w:rPr>
        <w:t>7.动态心电分析，提供多种动态分析工具：K线图、直方图、散点图、栅栏图、诊断图、波形全览图等功能。</w:t>
      </w:r>
    </w:p>
    <w:p w14:paraId="5BC1B385">
      <w:pPr>
        <w:spacing w:line="400" w:lineRule="exact"/>
        <w:ind w:firstLine="420" w:firstLineChars="200"/>
        <w:rPr>
          <w:rFonts w:hint="eastAsia" w:ascii="宋体" w:hAnsi="宋体"/>
          <w:szCs w:val="21"/>
        </w:rPr>
      </w:pPr>
      <w:r>
        <w:rPr>
          <w:rFonts w:hint="eastAsia" w:ascii="宋体" w:hAnsi="宋体"/>
          <w:szCs w:val="21"/>
        </w:rPr>
        <w:t>8.动态心电具备自动分析功能，自动分析功能自动识别心搏类型包括正常（N）、房早（S）、室早（V）、房颤（Af）、起搏（P）和伪差（X）；用户可以手动标记和修改心搏。</w:t>
      </w:r>
    </w:p>
    <w:p w14:paraId="3110D560">
      <w:pPr>
        <w:spacing w:line="400" w:lineRule="exact"/>
        <w:ind w:firstLine="420" w:firstLineChars="200"/>
        <w:rPr>
          <w:rFonts w:hint="eastAsia" w:ascii="宋体" w:hAnsi="宋体"/>
          <w:szCs w:val="21"/>
        </w:rPr>
      </w:pPr>
      <w:r>
        <w:rPr>
          <w:rFonts w:hint="eastAsia" w:ascii="宋体" w:hAnsi="宋体"/>
          <w:szCs w:val="21"/>
        </w:rPr>
        <w:t xml:space="preserve">9.动态心电分析，支持P波反混淆快速区分P波形态差异心搏。组合散点图，通过每个心搏的特征选择相应的心搏参数（心搏可选提前量、R波和S波幅度、间期、代偿间期、QRS面积、宽度等方式作为X、Y轴坐标），形成不同的吸引子，快速区分形态不一样的心搏； </w:t>
      </w:r>
    </w:p>
    <w:p w14:paraId="6DD69877">
      <w:pPr>
        <w:spacing w:line="400" w:lineRule="exact"/>
        <w:ind w:firstLine="420" w:firstLineChars="200"/>
        <w:rPr>
          <w:rFonts w:hint="eastAsia" w:ascii="宋体" w:hAnsi="宋体"/>
          <w:szCs w:val="21"/>
        </w:rPr>
      </w:pPr>
      <w:r>
        <w:rPr>
          <w:rFonts w:hint="eastAsia" w:ascii="宋体" w:hAnsi="宋体"/>
          <w:szCs w:val="21"/>
        </w:rPr>
        <w:t>10.动态心电分析软件，支持房颤默认自动分析、全导联起搏检测功能；</w:t>
      </w:r>
    </w:p>
    <w:p w14:paraId="5CA41034">
      <w:pPr>
        <w:spacing w:line="400" w:lineRule="exact"/>
        <w:ind w:firstLine="420" w:firstLineChars="200"/>
        <w:rPr>
          <w:rFonts w:hint="eastAsia" w:ascii="宋体" w:hAnsi="宋体"/>
          <w:szCs w:val="21"/>
        </w:rPr>
      </w:pPr>
      <w:r>
        <w:rPr>
          <w:rFonts w:hint="eastAsia" w:ascii="宋体" w:hAnsi="宋体"/>
          <w:szCs w:val="21"/>
        </w:rPr>
        <w:t>11.动态血压分析，数据管理功能，可进行动态血压数据的查询、诊断、备份、还原、删除功能；</w:t>
      </w:r>
    </w:p>
    <w:p w14:paraId="1D0E8837">
      <w:pPr>
        <w:spacing w:line="400" w:lineRule="exact"/>
        <w:ind w:firstLine="420" w:firstLineChars="200"/>
        <w:rPr>
          <w:rFonts w:hint="eastAsia" w:ascii="宋体" w:hAnsi="宋体"/>
          <w:szCs w:val="21"/>
        </w:rPr>
      </w:pPr>
      <w:r>
        <w:rPr>
          <w:rFonts w:hint="eastAsia" w:ascii="宋体" w:hAnsi="宋体"/>
          <w:szCs w:val="21"/>
        </w:rPr>
        <w:t>12.病人信息管理功能，可对病人信息查看、编辑、保存；</w:t>
      </w:r>
    </w:p>
    <w:p w14:paraId="518C59FB">
      <w:pPr>
        <w:spacing w:line="400" w:lineRule="exact"/>
        <w:ind w:firstLine="420" w:firstLineChars="200"/>
        <w:rPr>
          <w:rFonts w:hint="eastAsia" w:ascii="宋体" w:hAnsi="宋体"/>
          <w:szCs w:val="21"/>
        </w:rPr>
      </w:pPr>
      <w:r>
        <w:rPr>
          <w:rFonts w:hint="eastAsia" w:ascii="宋体" w:hAnsi="宋体"/>
          <w:szCs w:val="21"/>
        </w:rPr>
        <w:t>五、移动会诊</w:t>
      </w:r>
    </w:p>
    <w:p w14:paraId="1064CE46">
      <w:pPr>
        <w:spacing w:line="400" w:lineRule="exact"/>
        <w:ind w:firstLine="420" w:firstLineChars="200"/>
        <w:rPr>
          <w:rFonts w:hint="eastAsia" w:ascii="宋体" w:hAnsi="宋体"/>
          <w:szCs w:val="21"/>
        </w:rPr>
      </w:pPr>
      <w:r>
        <w:rPr>
          <w:rFonts w:hint="eastAsia" w:ascii="宋体" w:hAnsi="宋体"/>
          <w:szCs w:val="21"/>
        </w:rPr>
        <w:t>1.移动会诊支持手机端H5、微信小程序等多种方式实现原始心电图数据的查看，支持Android和iOS系统等各种品牌终端，满足出差、居家等不同场景下的远程会诊需求。</w:t>
      </w:r>
    </w:p>
    <w:p w14:paraId="064A0FFA">
      <w:pPr>
        <w:spacing w:line="400" w:lineRule="exact"/>
        <w:ind w:firstLine="420" w:firstLineChars="200"/>
        <w:rPr>
          <w:rFonts w:hint="eastAsia" w:ascii="宋体" w:hAnsi="宋体"/>
          <w:szCs w:val="21"/>
        </w:rPr>
      </w:pPr>
      <w:r>
        <w:rPr>
          <w:rFonts w:hint="eastAsia" w:ascii="宋体" w:hAnsi="宋体"/>
          <w:szCs w:val="21"/>
        </w:rPr>
        <w:t>2.支持平板端诊断，方便医生值班时使用。支持报告列表功能、支持多份心电图切换功能、支持报告编辑功能；支持通过扫描二维码的方式连接服务器地址，免去繁杂的网址输入过程，防止服务器地址外泄，提高系统安全性。</w:t>
      </w:r>
    </w:p>
    <w:p w14:paraId="6253944E">
      <w:pPr>
        <w:spacing w:line="400" w:lineRule="exact"/>
        <w:ind w:firstLine="420" w:firstLineChars="200"/>
        <w:rPr>
          <w:rFonts w:hint="eastAsia" w:ascii="宋体" w:hAnsi="宋体"/>
          <w:szCs w:val="21"/>
        </w:rPr>
      </w:pPr>
      <w:r>
        <w:rPr>
          <w:rFonts w:hint="eastAsia" w:ascii="宋体" w:hAnsi="宋体"/>
          <w:szCs w:val="21"/>
        </w:rPr>
        <w:t>六、临床web端调阅</w:t>
      </w:r>
    </w:p>
    <w:p w14:paraId="3B6D4DCD">
      <w:pPr>
        <w:spacing w:line="400" w:lineRule="exact"/>
        <w:ind w:firstLine="420" w:firstLineChars="200"/>
        <w:rPr>
          <w:rFonts w:hint="eastAsia" w:ascii="宋体" w:hAnsi="宋体"/>
          <w:szCs w:val="21"/>
        </w:rPr>
      </w:pPr>
      <w:r>
        <w:rPr>
          <w:rFonts w:hint="eastAsia" w:ascii="宋体" w:hAnsi="宋体"/>
          <w:szCs w:val="21"/>
        </w:rPr>
        <w:t>1.支持在Web端查看、诊断、发布、审核心电图报告，满足不同场景的业务需求。</w:t>
      </w:r>
    </w:p>
    <w:p w14:paraId="6B4E86AA">
      <w:pPr>
        <w:spacing w:line="400" w:lineRule="exact"/>
        <w:ind w:firstLine="420" w:firstLineChars="200"/>
        <w:rPr>
          <w:rFonts w:hint="eastAsia" w:ascii="宋体" w:hAnsi="宋体"/>
          <w:szCs w:val="21"/>
        </w:rPr>
      </w:pPr>
      <w:r>
        <w:rPr>
          <w:rFonts w:hint="eastAsia" w:ascii="宋体" w:hAnsi="宋体"/>
          <w:szCs w:val="21"/>
        </w:rPr>
        <w:t>2.支持产生新报告到达即时提醒功能。当检查端采集的病历发送过来时，web端自动弹出提示窗口并语音提醒，提示医生有新报告到达。</w:t>
      </w:r>
    </w:p>
    <w:p w14:paraId="3E9115C1">
      <w:pPr>
        <w:spacing w:line="400" w:lineRule="exact"/>
        <w:ind w:firstLine="420" w:firstLineChars="200"/>
        <w:rPr>
          <w:rFonts w:hint="eastAsia" w:ascii="宋体" w:hAnsi="宋体"/>
          <w:szCs w:val="21"/>
        </w:rPr>
      </w:pPr>
      <w:r>
        <w:rPr>
          <w:rFonts w:hint="eastAsia" w:ascii="宋体" w:hAnsi="宋体"/>
          <w:szCs w:val="21"/>
        </w:rPr>
        <w:t>3.Web终端可查看原始数据，支持调整导联布局、增益、走速及；支持心电波形的滤波，包括肌电滤波、工频滤波、高频滤波；提供标准的心电图诊断词条选择或者手动输入；支持修改受检者部分信息；支持全院数据共享。</w:t>
      </w:r>
    </w:p>
    <w:p w14:paraId="5EFC5977">
      <w:pPr>
        <w:spacing w:line="400" w:lineRule="exact"/>
        <w:ind w:firstLine="420" w:firstLineChars="200"/>
        <w:rPr>
          <w:rFonts w:hint="eastAsia" w:ascii="宋体" w:hAnsi="宋体"/>
          <w:szCs w:val="21"/>
        </w:rPr>
      </w:pPr>
      <w:r>
        <w:rPr>
          <w:rFonts w:hint="eastAsia" w:ascii="宋体" w:hAnsi="宋体"/>
          <w:szCs w:val="21"/>
        </w:rPr>
        <w:t>七、数据统计与质控管理</w:t>
      </w:r>
    </w:p>
    <w:p w14:paraId="12010798">
      <w:pPr>
        <w:spacing w:line="400" w:lineRule="exact"/>
        <w:ind w:firstLine="420" w:firstLineChars="200"/>
        <w:rPr>
          <w:rFonts w:hint="eastAsia" w:ascii="宋体" w:hAnsi="宋体"/>
          <w:szCs w:val="21"/>
        </w:rPr>
      </w:pPr>
      <w:r>
        <w:rPr>
          <w:rFonts w:hint="eastAsia" w:ascii="宋体" w:hAnsi="宋体"/>
          <w:szCs w:val="21"/>
        </w:rPr>
        <w:t>1.利用大数据可视化系统，通过对医院心电检查、诊断、资源分布等数据的分析挖掘，为院内的业务开展和资源分配提供数据支撑。</w:t>
      </w:r>
    </w:p>
    <w:p w14:paraId="4C8D1222">
      <w:pPr>
        <w:spacing w:line="400" w:lineRule="exact"/>
        <w:ind w:firstLine="420" w:firstLineChars="200"/>
        <w:rPr>
          <w:rFonts w:hint="eastAsia" w:ascii="宋体" w:hAnsi="宋体"/>
          <w:szCs w:val="21"/>
        </w:rPr>
      </w:pPr>
      <w:r>
        <w:rPr>
          <w:rFonts w:hint="eastAsia" w:ascii="宋体" w:hAnsi="宋体"/>
          <w:szCs w:val="21"/>
        </w:rPr>
        <w:t>2.统计分析：实现管理部门对病种、医生、检查报告的统计分析。</w:t>
      </w:r>
    </w:p>
    <w:p w14:paraId="5AFD79DE">
      <w:pPr>
        <w:spacing w:line="400" w:lineRule="exact"/>
        <w:ind w:firstLine="420" w:firstLineChars="200"/>
        <w:rPr>
          <w:rFonts w:hint="eastAsia" w:ascii="宋体" w:hAnsi="宋体"/>
          <w:szCs w:val="21"/>
        </w:rPr>
      </w:pPr>
      <w:r>
        <w:rPr>
          <w:rFonts w:hint="eastAsia" w:ascii="宋体" w:hAnsi="宋体"/>
          <w:szCs w:val="21"/>
        </w:rPr>
        <w:t>3.支持危急值统计分析，支持列表和柱状图展示。</w:t>
      </w:r>
    </w:p>
    <w:p w14:paraId="4939197B">
      <w:pPr>
        <w:spacing w:line="400" w:lineRule="exact"/>
        <w:ind w:firstLine="420" w:firstLineChars="200"/>
        <w:rPr>
          <w:rFonts w:hint="eastAsia" w:ascii="宋体" w:hAnsi="宋体"/>
          <w:szCs w:val="21"/>
        </w:rPr>
      </w:pPr>
      <w:r>
        <w:rPr>
          <w:rFonts w:hint="eastAsia" w:ascii="宋体" w:hAnsi="宋体"/>
          <w:szCs w:val="21"/>
        </w:rPr>
        <w:t>4.支持通过心电人工智能进行质控分析，评估诊断医生和诊断组的诊断质量，进一步明确后续的培训方向和提高培训效果。</w:t>
      </w:r>
    </w:p>
    <w:p w14:paraId="2E9369BD">
      <w:pPr>
        <w:spacing w:line="400" w:lineRule="exact"/>
        <w:ind w:firstLine="420" w:firstLineChars="200"/>
        <w:rPr>
          <w:rFonts w:hint="eastAsia" w:ascii="宋体" w:hAnsi="宋体"/>
          <w:szCs w:val="21"/>
        </w:rPr>
      </w:pPr>
      <w:r>
        <w:rPr>
          <w:rFonts w:hint="eastAsia" w:ascii="宋体" w:hAnsi="宋体"/>
          <w:szCs w:val="21"/>
        </w:rPr>
        <w:t>八、基础数据管理</w:t>
      </w:r>
    </w:p>
    <w:p w14:paraId="684C3A45">
      <w:pPr>
        <w:spacing w:line="400" w:lineRule="exact"/>
        <w:ind w:firstLine="420" w:firstLineChars="200"/>
        <w:rPr>
          <w:rFonts w:hint="eastAsia" w:ascii="宋体" w:hAnsi="宋体"/>
          <w:szCs w:val="21"/>
        </w:rPr>
      </w:pPr>
      <w:r>
        <w:rPr>
          <w:rFonts w:hint="eastAsia" w:ascii="宋体" w:hAnsi="宋体"/>
          <w:szCs w:val="21"/>
        </w:rPr>
        <w:t>1.要求系统具有完整的分级权限管理系统，可针对不同人员授予不同的权限，使用者只能做已授权的操作。支持对科室部门进行统一管理，并提供了添加科室部门、修改科室部门、删除科室部门、查询科室部门的功能。</w:t>
      </w:r>
    </w:p>
    <w:p w14:paraId="4F645543">
      <w:pPr>
        <w:spacing w:line="400" w:lineRule="exact"/>
        <w:ind w:firstLine="420" w:firstLineChars="200"/>
        <w:rPr>
          <w:rFonts w:hint="eastAsia" w:ascii="宋体" w:hAnsi="宋体"/>
          <w:szCs w:val="21"/>
        </w:rPr>
      </w:pPr>
      <w:r>
        <w:rPr>
          <w:rFonts w:hint="eastAsia" w:ascii="宋体" w:hAnsi="宋体"/>
          <w:szCs w:val="21"/>
        </w:rPr>
        <w:t>2.支持诊断分组功能，包括新增、修改、删除；支持诊断分组关联医护。</w:t>
      </w:r>
    </w:p>
    <w:p w14:paraId="5727D044">
      <w:pPr>
        <w:spacing w:line="400" w:lineRule="exact"/>
        <w:ind w:firstLine="420" w:firstLineChars="200"/>
        <w:rPr>
          <w:rFonts w:hint="eastAsia" w:ascii="宋体" w:hAnsi="宋体"/>
          <w:szCs w:val="21"/>
        </w:rPr>
      </w:pPr>
      <w:r>
        <w:rPr>
          <w:rFonts w:hint="eastAsia" w:ascii="宋体" w:hAnsi="宋体"/>
          <w:szCs w:val="21"/>
        </w:rPr>
        <w:t>九、心电电生理设备接入：</w:t>
      </w:r>
    </w:p>
    <w:p w14:paraId="2D6DB43E">
      <w:pPr>
        <w:spacing w:line="400" w:lineRule="exact"/>
        <w:ind w:firstLine="420" w:firstLineChars="200"/>
        <w:rPr>
          <w:rFonts w:hint="eastAsia" w:ascii="宋体" w:hAnsi="宋体"/>
          <w:szCs w:val="21"/>
        </w:rPr>
      </w:pPr>
      <w:r>
        <w:rPr>
          <w:rFonts w:hint="eastAsia" w:ascii="宋体" w:hAnsi="宋体"/>
          <w:szCs w:val="21"/>
        </w:rPr>
        <w:t>1.为充分利用现有设备，系统连接医院现有不同品牌与型号的心电图设备，支持采集原始数据，不能以截屏、拷贝、拍照等方式获取数据，并以标准的数据格式存储，实现心电数据分析，支持接入心电图设备的数据归档和管理。</w:t>
      </w:r>
    </w:p>
    <w:p w14:paraId="64A88BCF">
      <w:pPr>
        <w:spacing w:line="400" w:lineRule="exact"/>
        <w:ind w:firstLine="420" w:firstLineChars="200"/>
        <w:rPr>
          <w:rFonts w:hint="eastAsia" w:ascii="宋体" w:hAnsi="宋体"/>
          <w:szCs w:val="21"/>
        </w:rPr>
      </w:pPr>
      <w:r>
        <w:rPr>
          <w:rFonts w:hint="eastAsia" w:ascii="宋体" w:hAnsi="宋体"/>
          <w:szCs w:val="21"/>
        </w:rPr>
        <w:t>2.支持电生理设备包括Holter、运动平板、动态血压、脑电图、肌电图、TCD、听力检查、眼科检查、神经电生理检查等。可根据临床实际需要，支持重新定义报告格式，并且可对电生理参数进行相应的统计分析。</w:t>
      </w:r>
    </w:p>
    <w:p w14:paraId="31086382">
      <w:pPr>
        <w:spacing w:line="400" w:lineRule="exact"/>
        <w:ind w:firstLine="420" w:firstLineChars="200"/>
        <w:rPr>
          <w:rFonts w:hint="eastAsia" w:ascii="宋体" w:hAnsi="宋体"/>
          <w:szCs w:val="21"/>
        </w:rPr>
      </w:pPr>
      <w:r>
        <w:rPr>
          <w:rFonts w:hint="eastAsia" w:ascii="宋体" w:hAnsi="宋体"/>
          <w:szCs w:val="21"/>
        </w:rPr>
        <w:t>3.支持电生理数据归档和管理，数据经过归档后，在科室内实现数字化管理和院内数据共享。</w:t>
      </w:r>
    </w:p>
    <w:p w14:paraId="29DE4DDE">
      <w:pPr>
        <w:spacing w:line="400" w:lineRule="exact"/>
        <w:ind w:firstLine="420" w:firstLineChars="200"/>
        <w:rPr>
          <w:rFonts w:hint="eastAsia" w:ascii="宋体" w:hAnsi="宋体"/>
          <w:szCs w:val="21"/>
        </w:rPr>
      </w:pPr>
      <w:r>
        <w:rPr>
          <w:rFonts w:hint="eastAsia" w:ascii="宋体" w:hAnsi="宋体"/>
          <w:szCs w:val="21"/>
        </w:rPr>
        <w:t>十、系统集成</w:t>
      </w:r>
    </w:p>
    <w:p w14:paraId="505DF6BE">
      <w:pPr>
        <w:spacing w:line="400" w:lineRule="exact"/>
        <w:ind w:firstLine="420" w:firstLineChars="200"/>
        <w:rPr>
          <w:rFonts w:hint="eastAsia" w:ascii="宋体" w:hAnsi="宋体"/>
          <w:szCs w:val="21"/>
        </w:rPr>
      </w:pPr>
      <w:r>
        <w:rPr>
          <w:rFonts w:hint="eastAsia" w:ascii="宋体" w:hAnsi="宋体"/>
          <w:szCs w:val="21"/>
        </w:rPr>
        <w:t>1.系统与医院HIS、电子病历信息交互(检查申请单、检查状态回写、报告状态回写、结论回写)</w:t>
      </w:r>
    </w:p>
    <w:p w14:paraId="3FCFC099">
      <w:pPr>
        <w:spacing w:line="400" w:lineRule="exact"/>
        <w:ind w:firstLine="420" w:firstLineChars="200"/>
        <w:rPr>
          <w:rFonts w:hint="eastAsia" w:ascii="宋体" w:hAnsi="宋体"/>
          <w:szCs w:val="21"/>
        </w:rPr>
      </w:pPr>
      <w:r>
        <w:rPr>
          <w:rFonts w:hint="eastAsia" w:ascii="宋体" w:hAnsi="宋体"/>
          <w:szCs w:val="21"/>
        </w:rPr>
        <w:t>2.支持第三方系统调阅心电图报告，可浏览并打印心电图报告及电子签名。</w:t>
      </w:r>
    </w:p>
    <w:p w14:paraId="201C84CD">
      <w:pPr>
        <w:spacing w:line="400" w:lineRule="exact"/>
        <w:ind w:firstLine="420" w:firstLineChars="200"/>
        <w:rPr>
          <w:rFonts w:hint="eastAsia" w:ascii="宋体" w:hAnsi="宋体"/>
          <w:szCs w:val="21"/>
        </w:rPr>
      </w:pPr>
      <w:r>
        <w:rPr>
          <w:rFonts w:hint="eastAsia" w:ascii="宋体" w:hAnsi="宋体"/>
          <w:szCs w:val="21"/>
        </w:rPr>
        <w:t>十一、网络安全</w:t>
      </w:r>
    </w:p>
    <w:p w14:paraId="011F7070">
      <w:pPr>
        <w:spacing w:line="400" w:lineRule="exact"/>
        <w:ind w:firstLine="420" w:firstLineChars="200"/>
        <w:rPr>
          <w:rFonts w:hint="eastAsia" w:ascii="宋体" w:hAnsi="宋体"/>
          <w:szCs w:val="21"/>
        </w:rPr>
      </w:pPr>
      <w:r>
        <w:rPr>
          <w:rFonts w:hint="eastAsia" w:ascii="宋体" w:hAnsi="宋体"/>
          <w:szCs w:val="21"/>
        </w:rPr>
        <w:t>1.系统具备应对登录的用户进行身份标识和鉴别，身份标识具有唯一性，身份鉴别信息具有复杂度要求并支持定期更换；提供密码强度提示及强度设置要求校验，提供密码定期更换周期设置。</w:t>
      </w:r>
    </w:p>
    <w:p w14:paraId="2E292280">
      <w:pPr>
        <w:spacing w:line="400" w:lineRule="exact"/>
        <w:ind w:firstLine="420" w:firstLineChars="200"/>
        <w:rPr>
          <w:rFonts w:hint="eastAsia" w:ascii="宋体" w:hAnsi="宋体"/>
          <w:szCs w:val="21"/>
        </w:rPr>
      </w:pPr>
      <w:r>
        <w:rPr>
          <w:rFonts w:hint="eastAsia" w:ascii="宋体" w:hAnsi="宋体"/>
          <w:szCs w:val="21"/>
        </w:rPr>
        <w:t>2.具有首次登录更换密码设置，支持强制要求首次登录更换密码设置。具有登录失败处理功能，配置并启用结束会话、限制非法登录次数和当登录连接超时自动退出等相关措施；</w:t>
      </w:r>
    </w:p>
    <w:p w14:paraId="7B1D499C">
      <w:pPr>
        <w:spacing w:line="400" w:lineRule="exact"/>
        <w:ind w:firstLine="420" w:firstLineChars="200"/>
        <w:rPr>
          <w:rFonts w:hint="eastAsia" w:ascii="宋体" w:hAnsi="宋体"/>
          <w:szCs w:val="21"/>
        </w:rPr>
      </w:pPr>
      <w:r>
        <w:rPr>
          <w:rFonts w:hint="eastAsia" w:ascii="宋体" w:hAnsi="宋体"/>
          <w:szCs w:val="21"/>
        </w:rPr>
        <w:t>3.系统具备三级等保。</w:t>
      </w:r>
    </w:p>
    <w:p w14:paraId="2D9DEB75">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输血管理系统</w:t>
      </w:r>
    </w:p>
    <w:p w14:paraId="1E5EBA74">
      <w:pPr>
        <w:spacing w:line="400" w:lineRule="exact"/>
        <w:ind w:firstLine="420" w:firstLineChars="200"/>
        <w:rPr>
          <w:rFonts w:hint="eastAsia" w:ascii="宋体" w:hAnsi="宋体"/>
          <w:szCs w:val="21"/>
        </w:rPr>
      </w:pPr>
      <w:r>
        <w:rPr>
          <w:rFonts w:hint="eastAsia" w:ascii="宋体" w:hAnsi="宋体"/>
          <w:szCs w:val="21"/>
        </w:rPr>
        <w:t>1、输血前评估管理</w:t>
      </w:r>
    </w:p>
    <w:p w14:paraId="3323AA8A">
      <w:pPr>
        <w:spacing w:line="400" w:lineRule="exact"/>
        <w:ind w:firstLine="420" w:firstLineChars="200"/>
        <w:rPr>
          <w:rFonts w:hint="eastAsia" w:ascii="宋体" w:hAnsi="宋体"/>
          <w:szCs w:val="21"/>
        </w:rPr>
      </w:pPr>
      <w:r>
        <w:rPr>
          <w:rFonts w:hint="eastAsia" w:ascii="宋体" w:hAnsi="宋体"/>
          <w:szCs w:val="21"/>
        </w:rPr>
        <w:t>根据输血前相关实验室检查结果、临床诊断、现病史、体征表现、用药情况等项目对患者输血前指征进行评估，对合理指征和不合理指征自动判断给出提示。</w:t>
      </w:r>
    </w:p>
    <w:p w14:paraId="7A524506">
      <w:pPr>
        <w:spacing w:line="400" w:lineRule="exact"/>
        <w:ind w:firstLine="420" w:firstLineChars="200"/>
        <w:rPr>
          <w:rFonts w:hint="eastAsia" w:ascii="宋体" w:hAnsi="宋体"/>
          <w:szCs w:val="21"/>
        </w:rPr>
      </w:pPr>
      <w:r>
        <w:rPr>
          <w:rFonts w:hint="eastAsia" w:ascii="宋体" w:hAnsi="宋体"/>
          <w:szCs w:val="21"/>
        </w:rPr>
        <w:t>2、同意书管理</w:t>
      </w:r>
    </w:p>
    <w:p w14:paraId="412EEFAA">
      <w:pPr>
        <w:spacing w:line="400" w:lineRule="exact"/>
        <w:ind w:firstLine="420" w:firstLineChars="200"/>
        <w:rPr>
          <w:rFonts w:hint="eastAsia" w:ascii="宋体" w:hAnsi="宋体"/>
          <w:szCs w:val="21"/>
        </w:rPr>
      </w:pPr>
      <w:r>
        <w:rPr>
          <w:rFonts w:hint="eastAsia" w:ascii="宋体" w:hAnsi="宋体"/>
          <w:szCs w:val="21"/>
        </w:rPr>
        <w:t>支持自定义不同业务输血治疗知情同意书、如自体知情同意书、异体知情同意书、紧急抢救知情同意书；</w:t>
      </w:r>
    </w:p>
    <w:p w14:paraId="40AD2998">
      <w:pPr>
        <w:spacing w:line="400" w:lineRule="exact"/>
        <w:ind w:firstLine="420" w:firstLineChars="200"/>
        <w:rPr>
          <w:rFonts w:hint="eastAsia" w:ascii="宋体" w:hAnsi="宋体"/>
          <w:szCs w:val="21"/>
        </w:rPr>
      </w:pPr>
      <w:r>
        <w:rPr>
          <w:rFonts w:hint="eastAsia" w:ascii="宋体" w:hAnsi="宋体"/>
          <w:szCs w:val="21"/>
        </w:rPr>
        <w:t>支持输血治疗类同意书如富血小板血浆、血液置换术、胰腺炎治疗等同意书；</w:t>
      </w:r>
    </w:p>
    <w:p w14:paraId="4E218815">
      <w:pPr>
        <w:spacing w:line="400" w:lineRule="exact"/>
        <w:ind w:firstLine="420" w:firstLineChars="200"/>
        <w:rPr>
          <w:rFonts w:hint="eastAsia" w:ascii="宋体" w:hAnsi="宋体"/>
          <w:szCs w:val="21"/>
        </w:rPr>
      </w:pPr>
      <w:r>
        <w:rPr>
          <w:rFonts w:hint="eastAsia" w:ascii="宋体" w:hAnsi="宋体"/>
          <w:szCs w:val="21"/>
        </w:rPr>
        <w:t>申请单会与同意书关联，不填写同意书无法提出申请，保证了同意书百分之百签署。</w:t>
      </w:r>
    </w:p>
    <w:p w14:paraId="776E5BA0">
      <w:pPr>
        <w:spacing w:line="400" w:lineRule="exact"/>
        <w:ind w:firstLine="420" w:firstLineChars="200"/>
        <w:rPr>
          <w:rFonts w:hint="eastAsia" w:ascii="宋体" w:hAnsi="宋体"/>
          <w:szCs w:val="21"/>
        </w:rPr>
      </w:pPr>
      <w:r>
        <w:rPr>
          <w:rFonts w:hint="eastAsia" w:ascii="宋体" w:hAnsi="宋体"/>
          <w:szCs w:val="21"/>
        </w:rPr>
        <w:t>3、输血申请单管理</w:t>
      </w:r>
    </w:p>
    <w:p w14:paraId="5FBE0CB3">
      <w:pPr>
        <w:spacing w:line="400" w:lineRule="exact"/>
        <w:ind w:firstLine="420" w:firstLineChars="200"/>
        <w:rPr>
          <w:rFonts w:hint="eastAsia" w:ascii="宋体" w:hAnsi="宋体"/>
          <w:szCs w:val="21"/>
        </w:rPr>
      </w:pPr>
      <w:r>
        <w:rPr>
          <w:rFonts w:hint="eastAsia" w:ascii="宋体" w:hAnsi="宋体"/>
          <w:szCs w:val="21"/>
        </w:rPr>
        <w:t>根据《医疗机构临床用血管理办法(85号令)》由中级以上医生提出申请，报上级医生审批后，方可备血（急救用血除外）；</w:t>
      </w:r>
    </w:p>
    <w:p w14:paraId="18FA075F">
      <w:pPr>
        <w:spacing w:line="400" w:lineRule="exact"/>
        <w:ind w:firstLine="420" w:firstLineChars="200"/>
        <w:rPr>
          <w:rFonts w:hint="eastAsia" w:ascii="宋体" w:hAnsi="宋体"/>
          <w:szCs w:val="21"/>
        </w:rPr>
      </w:pPr>
      <w:r>
        <w:rPr>
          <w:rFonts w:hint="eastAsia" w:ascii="宋体" w:hAnsi="宋体"/>
          <w:szCs w:val="21"/>
        </w:rPr>
        <w:t>支持预约用血、急诊用血、手术备血、特殊用血、紧急抢救用血、自体输血、输血治疗类用血等；</w:t>
      </w:r>
    </w:p>
    <w:p w14:paraId="4AF980E8">
      <w:pPr>
        <w:spacing w:line="400" w:lineRule="exact"/>
        <w:ind w:firstLine="420" w:firstLineChars="200"/>
        <w:rPr>
          <w:rFonts w:hint="eastAsia" w:ascii="宋体" w:hAnsi="宋体"/>
          <w:szCs w:val="21"/>
        </w:rPr>
      </w:pPr>
      <w:r>
        <w:rPr>
          <w:rFonts w:hint="eastAsia" w:ascii="宋体" w:hAnsi="宋体"/>
          <w:szCs w:val="21"/>
        </w:rPr>
        <w:t>不同类型输血申请单支持设置不同样式；</w:t>
      </w:r>
    </w:p>
    <w:p w14:paraId="60D3235D">
      <w:pPr>
        <w:spacing w:line="400" w:lineRule="exact"/>
        <w:ind w:firstLine="420" w:firstLineChars="200"/>
        <w:rPr>
          <w:rFonts w:hint="eastAsia" w:ascii="宋体" w:hAnsi="宋体"/>
          <w:szCs w:val="21"/>
        </w:rPr>
      </w:pPr>
      <w:r>
        <w:rPr>
          <w:rFonts w:hint="eastAsia" w:ascii="宋体" w:hAnsi="宋体"/>
          <w:szCs w:val="21"/>
        </w:rPr>
        <w:t>支持医生查看输血科共享的库存信息；</w:t>
      </w:r>
    </w:p>
    <w:p w14:paraId="1F0093E2">
      <w:pPr>
        <w:spacing w:line="400" w:lineRule="exact"/>
        <w:ind w:firstLine="420" w:firstLineChars="200"/>
        <w:rPr>
          <w:rFonts w:hint="eastAsia" w:ascii="宋体" w:hAnsi="宋体"/>
          <w:szCs w:val="21"/>
        </w:rPr>
      </w:pPr>
      <w:r>
        <w:rPr>
          <w:rFonts w:hint="eastAsia" w:ascii="宋体" w:hAnsi="宋体"/>
          <w:szCs w:val="21"/>
        </w:rPr>
        <w:t>自动获取此次住院最近一次检验结果，如必检项目未做提示医生；</w:t>
      </w:r>
    </w:p>
    <w:p w14:paraId="74360A8F">
      <w:pPr>
        <w:spacing w:line="400" w:lineRule="exact"/>
        <w:ind w:firstLine="420" w:firstLineChars="200"/>
        <w:rPr>
          <w:rFonts w:hint="eastAsia" w:ascii="宋体" w:hAnsi="宋体"/>
          <w:szCs w:val="21"/>
        </w:rPr>
      </w:pPr>
      <w:r>
        <w:rPr>
          <w:rFonts w:hint="eastAsia" w:ascii="宋体" w:hAnsi="宋体"/>
          <w:szCs w:val="21"/>
        </w:rPr>
        <w:t>支持最大申请量设置限制；</w:t>
      </w:r>
    </w:p>
    <w:p w14:paraId="583FF866">
      <w:pPr>
        <w:spacing w:line="400" w:lineRule="exact"/>
        <w:ind w:firstLine="420" w:firstLineChars="200"/>
        <w:rPr>
          <w:rFonts w:hint="eastAsia" w:ascii="宋体" w:hAnsi="宋体"/>
          <w:szCs w:val="21"/>
        </w:rPr>
      </w:pPr>
      <w:r>
        <w:rPr>
          <w:rFonts w:hint="eastAsia" w:ascii="宋体" w:hAnsi="宋体"/>
          <w:szCs w:val="21"/>
        </w:rPr>
        <w:t>支持医生保存申请单时根据规则自动生成交叉配血等医嘱；</w:t>
      </w:r>
    </w:p>
    <w:p w14:paraId="292942FD">
      <w:pPr>
        <w:spacing w:line="400" w:lineRule="exact"/>
        <w:ind w:firstLine="420" w:firstLineChars="200"/>
        <w:rPr>
          <w:rFonts w:hint="eastAsia" w:ascii="宋体" w:hAnsi="宋体"/>
          <w:szCs w:val="21"/>
        </w:rPr>
      </w:pPr>
      <w:r>
        <w:rPr>
          <w:rFonts w:hint="eastAsia" w:ascii="宋体" w:hAnsi="宋体"/>
          <w:szCs w:val="21"/>
        </w:rPr>
        <w:t>支持根据设置输血指针自动判断合理性，如不合理用血申请支持录入其他相应的输血理由，支持模板录入；</w:t>
      </w:r>
    </w:p>
    <w:p w14:paraId="2EFBA6E6">
      <w:pPr>
        <w:spacing w:line="400" w:lineRule="exact"/>
        <w:ind w:firstLine="420" w:firstLineChars="200"/>
        <w:rPr>
          <w:rFonts w:hint="eastAsia" w:ascii="宋体" w:hAnsi="宋体"/>
          <w:szCs w:val="21"/>
        </w:rPr>
      </w:pPr>
      <w:r>
        <w:rPr>
          <w:rFonts w:hint="eastAsia" w:ascii="宋体" w:hAnsi="宋体"/>
          <w:szCs w:val="21"/>
        </w:rPr>
        <w:t>支持大量用血标准自定义设置判断的成份和血量；</w:t>
      </w:r>
    </w:p>
    <w:p w14:paraId="073E87DF">
      <w:pPr>
        <w:spacing w:line="400" w:lineRule="exact"/>
        <w:ind w:firstLine="420" w:firstLineChars="200"/>
        <w:rPr>
          <w:rFonts w:hint="eastAsia" w:ascii="宋体" w:hAnsi="宋体"/>
          <w:szCs w:val="21"/>
        </w:rPr>
      </w:pPr>
      <w:r>
        <w:rPr>
          <w:rFonts w:hint="eastAsia" w:ascii="宋体" w:hAnsi="宋体"/>
          <w:szCs w:val="21"/>
        </w:rPr>
        <w:t>支持申请医嘱回写HIS系统；</w:t>
      </w:r>
    </w:p>
    <w:p w14:paraId="04EF1FFA">
      <w:pPr>
        <w:spacing w:line="400" w:lineRule="exact"/>
        <w:ind w:firstLine="420" w:firstLineChars="200"/>
        <w:rPr>
          <w:rFonts w:hint="eastAsia" w:ascii="宋体" w:hAnsi="宋体"/>
          <w:szCs w:val="21"/>
        </w:rPr>
      </w:pPr>
      <w:r>
        <w:rPr>
          <w:rFonts w:hint="eastAsia" w:ascii="宋体" w:hAnsi="宋体"/>
          <w:szCs w:val="21"/>
        </w:rPr>
        <w:t>支持医生统计患者用血量；</w:t>
      </w:r>
    </w:p>
    <w:p w14:paraId="64AA6281">
      <w:pPr>
        <w:spacing w:line="400" w:lineRule="exact"/>
        <w:ind w:firstLine="420" w:firstLineChars="200"/>
        <w:rPr>
          <w:rFonts w:hint="eastAsia" w:ascii="宋体" w:hAnsi="宋体"/>
          <w:szCs w:val="21"/>
        </w:rPr>
      </w:pPr>
      <w:r>
        <w:rPr>
          <w:rFonts w:hint="eastAsia" w:ascii="宋体" w:hAnsi="宋体"/>
          <w:szCs w:val="21"/>
        </w:rPr>
        <w:t>支持控制输血不良反应和用血疗效评价未完成不允许开单，医生可点击我的所有患者查看哪些未完成；</w:t>
      </w:r>
    </w:p>
    <w:p w14:paraId="7791E0E7">
      <w:pPr>
        <w:spacing w:line="400" w:lineRule="exact"/>
        <w:ind w:firstLine="420" w:firstLineChars="200"/>
        <w:rPr>
          <w:rFonts w:hint="eastAsia" w:ascii="宋体" w:hAnsi="宋体"/>
          <w:szCs w:val="21"/>
        </w:rPr>
      </w:pPr>
      <w:r>
        <w:rPr>
          <w:rFonts w:hint="eastAsia" w:ascii="宋体" w:hAnsi="宋体"/>
          <w:szCs w:val="21"/>
        </w:rPr>
        <w:t>支持输血科申请单接收时审核，如不合格申请，输血科退回临床，支持消息提醒临床；</w:t>
      </w:r>
    </w:p>
    <w:p w14:paraId="326DE94B">
      <w:pPr>
        <w:spacing w:line="400" w:lineRule="exact"/>
        <w:ind w:firstLine="420" w:firstLineChars="200"/>
        <w:rPr>
          <w:rFonts w:hint="eastAsia" w:ascii="宋体" w:hAnsi="宋体"/>
          <w:szCs w:val="21"/>
        </w:rPr>
      </w:pPr>
      <w:r>
        <w:rPr>
          <w:rFonts w:hint="eastAsia" w:ascii="宋体" w:hAnsi="宋体"/>
          <w:szCs w:val="21"/>
        </w:rPr>
        <w:t>支持输血科申请规范登记；</w:t>
      </w:r>
    </w:p>
    <w:p w14:paraId="3D9BA0F6">
      <w:pPr>
        <w:spacing w:line="400" w:lineRule="exact"/>
        <w:ind w:firstLine="420" w:firstLineChars="200"/>
        <w:rPr>
          <w:rFonts w:hint="eastAsia" w:ascii="宋体" w:hAnsi="宋体"/>
          <w:szCs w:val="21"/>
        </w:rPr>
      </w:pPr>
      <w:r>
        <w:rPr>
          <w:rFonts w:hint="eastAsia" w:ascii="宋体" w:hAnsi="宋体"/>
          <w:szCs w:val="21"/>
        </w:rPr>
        <w:t>4、分级审核管理</w:t>
      </w:r>
    </w:p>
    <w:p w14:paraId="167AD87C">
      <w:pPr>
        <w:spacing w:line="400" w:lineRule="exact"/>
        <w:ind w:firstLine="420" w:firstLineChars="200"/>
        <w:rPr>
          <w:rFonts w:hint="eastAsia" w:ascii="宋体" w:hAnsi="宋体"/>
          <w:szCs w:val="21"/>
        </w:rPr>
      </w:pPr>
      <w:r>
        <w:rPr>
          <w:rFonts w:hint="eastAsia" w:ascii="宋体" w:hAnsi="宋体"/>
          <w:szCs w:val="21"/>
        </w:rPr>
        <w:t>按照《医疗机构临床用血管理办法(85号令)》系统可进行分级授权管理，针对不同的职称可以设置不同的用血审批量，用血申请保存时自动换算用血量并给出需要哪些角色审核提示，实现上级医师、科主任、职能部门等角色对申请单的有效分级审核；</w:t>
      </w:r>
    </w:p>
    <w:p w14:paraId="01CFBBBB">
      <w:pPr>
        <w:spacing w:line="400" w:lineRule="exact"/>
        <w:ind w:firstLine="420" w:firstLineChars="200"/>
        <w:rPr>
          <w:rFonts w:hint="eastAsia" w:ascii="宋体" w:hAnsi="宋体"/>
          <w:szCs w:val="21"/>
        </w:rPr>
      </w:pPr>
      <w:r>
        <w:rPr>
          <w:rFonts w:hint="eastAsia" w:ascii="宋体" w:hAnsi="宋体"/>
          <w:szCs w:val="21"/>
        </w:rPr>
        <w:t>支持根据不同申请类型制定不同审批流程（紧急用血跳过的审批等流程后续可以补录）；支持打印大量用血审批单；</w:t>
      </w:r>
    </w:p>
    <w:p w14:paraId="1961AEA2">
      <w:pPr>
        <w:spacing w:line="400" w:lineRule="exact"/>
        <w:ind w:firstLine="420" w:firstLineChars="200"/>
        <w:rPr>
          <w:rFonts w:hint="eastAsia" w:ascii="宋体" w:hAnsi="宋体"/>
          <w:szCs w:val="21"/>
        </w:rPr>
      </w:pPr>
      <w:r>
        <w:rPr>
          <w:rFonts w:hint="eastAsia" w:ascii="宋体" w:hAnsi="宋体"/>
          <w:szCs w:val="21"/>
        </w:rPr>
        <w:t>支持医务科、输血科线上审批；</w:t>
      </w:r>
    </w:p>
    <w:p w14:paraId="53752B15">
      <w:pPr>
        <w:spacing w:line="400" w:lineRule="exact"/>
        <w:ind w:firstLine="420" w:firstLineChars="200"/>
        <w:rPr>
          <w:rFonts w:hint="eastAsia" w:ascii="宋体" w:hAnsi="宋体"/>
          <w:szCs w:val="21"/>
        </w:rPr>
      </w:pPr>
      <w:r>
        <w:rPr>
          <w:rFonts w:hint="eastAsia" w:ascii="宋体" w:hAnsi="宋体"/>
          <w:szCs w:val="21"/>
        </w:rPr>
        <w:t>5、血液管理</w:t>
      </w:r>
    </w:p>
    <w:p w14:paraId="5102B83E">
      <w:pPr>
        <w:spacing w:line="400" w:lineRule="exact"/>
        <w:ind w:firstLine="420" w:firstLineChars="200"/>
        <w:rPr>
          <w:rFonts w:hint="eastAsia" w:ascii="宋体" w:hAnsi="宋体"/>
          <w:szCs w:val="21"/>
        </w:rPr>
      </w:pPr>
      <w:r>
        <w:rPr>
          <w:rFonts w:hint="eastAsia" w:ascii="宋体" w:hAnsi="宋体"/>
          <w:szCs w:val="21"/>
        </w:rPr>
        <w:t>血液入库支持手工录入、条码扫描、文件导入、血站对接订单入库;</w:t>
      </w:r>
    </w:p>
    <w:p w14:paraId="706306C6">
      <w:pPr>
        <w:spacing w:line="400" w:lineRule="exact"/>
        <w:ind w:firstLine="420" w:firstLineChars="200"/>
        <w:rPr>
          <w:rFonts w:hint="eastAsia" w:ascii="宋体" w:hAnsi="宋体"/>
          <w:szCs w:val="21"/>
        </w:rPr>
      </w:pPr>
      <w:r>
        <w:rPr>
          <w:rFonts w:hint="eastAsia" w:ascii="宋体" w:hAnsi="宋体"/>
          <w:szCs w:val="21"/>
        </w:rPr>
        <w:t>支持血液退回血站：如血袋破损、抗筛阳性等各种原因退回血液中心；</w:t>
      </w:r>
    </w:p>
    <w:p w14:paraId="2207DB7C">
      <w:pPr>
        <w:spacing w:line="400" w:lineRule="exact"/>
        <w:ind w:firstLine="420" w:firstLineChars="200"/>
        <w:rPr>
          <w:rFonts w:hint="eastAsia" w:ascii="宋体" w:hAnsi="宋体"/>
          <w:szCs w:val="21"/>
        </w:rPr>
      </w:pPr>
      <w:r>
        <w:rPr>
          <w:rFonts w:hint="eastAsia" w:ascii="宋体" w:hAnsi="宋体"/>
          <w:szCs w:val="21"/>
        </w:rPr>
        <w:t>血液报废管理：当库存中的血液出现过期或破损时，可以通过扫描血袋号，填写报废原因，由科主任核实审批后完成血液报废出库；</w:t>
      </w:r>
    </w:p>
    <w:p w14:paraId="227BD9C6">
      <w:pPr>
        <w:spacing w:line="400" w:lineRule="exact"/>
        <w:ind w:firstLine="420" w:firstLineChars="200"/>
        <w:rPr>
          <w:rFonts w:hint="eastAsia" w:ascii="宋体" w:hAnsi="宋体"/>
          <w:szCs w:val="21"/>
        </w:rPr>
      </w:pPr>
      <w:r>
        <w:rPr>
          <w:rFonts w:hint="eastAsia" w:ascii="宋体" w:hAnsi="宋体"/>
          <w:szCs w:val="21"/>
        </w:rPr>
        <w:t>血液库存管理：临近过期的血液可以根据时间段设置不同颜色显示；</w:t>
      </w:r>
    </w:p>
    <w:p w14:paraId="045E3D7A">
      <w:pPr>
        <w:spacing w:line="400" w:lineRule="exact"/>
        <w:ind w:firstLine="420" w:firstLineChars="200"/>
        <w:rPr>
          <w:rFonts w:hint="eastAsia" w:ascii="宋体" w:hAnsi="宋体"/>
          <w:szCs w:val="21"/>
        </w:rPr>
      </w:pPr>
      <w:r>
        <w:rPr>
          <w:rFonts w:hint="eastAsia" w:ascii="宋体" w:hAnsi="宋体"/>
          <w:szCs w:val="21"/>
        </w:rPr>
        <w:t>支持在库存中查看该血配血情况；</w:t>
      </w:r>
    </w:p>
    <w:p w14:paraId="2E691BCE">
      <w:pPr>
        <w:spacing w:line="400" w:lineRule="exact"/>
        <w:ind w:firstLine="420" w:firstLineChars="200"/>
        <w:rPr>
          <w:rFonts w:hint="eastAsia" w:ascii="宋体" w:hAnsi="宋体"/>
          <w:szCs w:val="21"/>
        </w:rPr>
      </w:pPr>
      <w:r>
        <w:rPr>
          <w:rFonts w:hint="eastAsia" w:ascii="宋体" w:hAnsi="宋体"/>
          <w:szCs w:val="21"/>
        </w:rPr>
        <w:t>支持临床预约血液；</w:t>
      </w:r>
    </w:p>
    <w:p w14:paraId="115C874E">
      <w:pPr>
        <w:spacing w:line="400" w:lineRule="exact"/>
        <w:ind w:firstLine="420" w:firstLineChars="200"/>
        <w:rPr>
          <w:rFonts w:hint="eastAsia" w:ascii="宋体" w:hAnsi="宋体"/>
          <w:szCs w:val="21"/>
        </w:rPr>
      </w:pPr>
      <w:r>
        <w:rPr>
          <w:rFonts w:hint="eastAsia" w:ascii="宋体" w:hAnsi="宋体"/>
          <w:szCs w:val="21"/>
        </w:rPr>
        <w:t>支持血液库存定位功能，与血袋关联显示具体位置；</w:t>
      </w:r>
    </w:p>
    <w:p w14:paraId="25BF6A2B">
      <w:pPr>
        <w:spacing w:line="400" w:lineRule="exact"/>
        <w:ind w:firstLine="420" w:firstLineChars="200"/>
        <w:rPr>
          <w:rFonts w:hint="eastAsia" w:ascii="宋体" w:hAnsi="宋体"/>
          <w:szCs w:val="21"/>
        </w:rPr>
      </w:pPr>
      <w:r>
        <w:rPr>
          <w:rFonts w:hint="eastAsia" w:ascii="宋体" w:hAnsi="宋体"/>
          <w:szCs w:val="21"/>
        </w:rPr>
        <w:t>支持血液库存量预警，可自定义设置各类血型量库存预警；</w:t>
      </w:r>
    </w:p>
    <w:p w14:paraId="3B58BB41">
      <w:pPr>
        <w:spacing w:line="400" w:lineRule="exact"/>
        <w:ind w:firstLine="420" w:firstLineChars="200"/>
        <w:rPr>
          <w:rFonts w:hint="eastAsia" w:ascii="宋体" w:hAnsi="宋体"/>
          <w:szCs w:val="21"/>
        </w:rPr>
      </w:pPr>
      <w:r>
        <w:rPr>
          <w:rFonts w:hint="eastAsia" w:ascii="宋体" w:hAnsi="宋体"/>
          <w:szCs w:val="21"/>
        </w:rPr>
        <w:t>支持血液有效期预警，可自定义设置各类血型效期库存预警；</w:t>
      </w:r>
    </w:p>
    <w:p w14:paraId="561478F7">
      <w:pPr>
        <w:spacing w:line="400" w:lineRule="exact"/>
        <w:ind w:firstLine="420" w:firstLineChars="200"/>
        <w:rPr>
          <w:rFonts w:hint="eastAsia" w:ascii="宋体" w:hAnsi="宋体"/>
          <w:szCs w:val="21"/>
        </w:rPr>
      </w:pPr>
      <w:r>
        <w:rPr>
          <w:rFonts w:hint="eastAsia" w:ascii="宋体" w:hAnsi="宋体"/>
          <w:szCs w:val="21"/>
        </w:rPr>
        <w:t>支持血袋溯源；</w:t>
      </w:r>
    </w:p>
    <w:p w14:paraId="6A717917">
      <w:pPr>
        <w:spacing w:line="400" w:lineRule="exact"/>
        <w:ind w:firstLine="420" w:firstLineChars="200"/>
        <w:rPr>
          <w:rFonts w:hint="eastAsia" w:ascii="宋体" w:hAnsi="宋体"/>
          <w:szCs w:val="21"/>
        </w:rPr>
      </w:pPr>
      <w:r>
        <w:rPr>
          <w:rFonts w:hint="eastAsia" w:ascii="宋体" w:hAnsi="宋体"/>
          <w:szCs w:val="21"/>
        </w:rPr>
        <w:t>支持ABO/Rh(D)血型复查功能；</w:t>
      </w:r>
    </w:p>
    <w:p w14:paraId="1E3F4DA3">
      <w:pPr>
        <w:spacing w:line="400" w:lineRule="exact"/>
        <w:ind w:firstLine="420" w:firstLineChars="200"/>
        <w:rPr>
          <w:rFonts w:hint="eastAsia" w:ascii="宋体" w:hAnsi="宋体"/>
          <w:szCs w:val="21"/>
        </w:rPr>
      </w:pPr>
      <w:r>
        <w:rPr>
          <w:rFonts w:hint="eastAsia" w:ascii="宋体" w:hAnsi="宋体"/>
          <w:szCs w:val="21"/>
        </w:rPr>
        <w:t>支持Rh分型检测功能。</w:t>
      </w:r>
    </w:p>
    <w:p w14:paraId="7D92175D">
      <w:pPr>
        <w:spacing w:line="400" w:lineRule="exact"/>
        <w:ind w:firstLine="420" w:firstLineChars="200"/>
        <w:rPr>
          <w:rFonts w:hint="eastAsia" w:ascii="宋体" w:hAnsi="宋体"/>
          <w:szCs w:val="21"/>
        </w:rPr>
      </w:pPr>
      <w:r>
        <w:rPr>
          <w:rFonts w:hint="eastAsia" w:ascii="宋体" w:hAnsi="宋体"/>
          <w:szCs w:val="21"/>
        </w:rPr>
        <w:t>6、配血管理</w:t>
      </w:r>
    </w:p>
    <w:p w14:paraId="689750FB">
      <w:pPr>
        <w:spacing w:line="400" w:lineRule="exact"/>
        <w:ind w:firstLine="420" w:firstLineChars="200"/>
        <w:rPr>
          <w:rFonts w:hint="eastAsia" w:ascii="宋体" w:hAnsi="宋体"/>
          <w:szCs w:val="21"/>
        </w:rPr>
      </w:pPr>
      <w:r>
        <w:rPr>
          <w:rFonts w:hint="eastAsia" w:ascii="宋体" w:hAnsi="宋体"/>
          <w:szCs w:val="21"/>
        </w:rPr>
        <w:t>全流程条码化管理，支持通过患者标本条码或申请单条码扫描时在血液库存中按照血型找到适合的血液，配血时，系统自动将接近有效期血液优先显示配血；</w:t>
      </w:r>
    </w:p>
    <w:p w14:paraId="100A9350">
      <w:pPr>
        <w:spacing w:line="400" w:lineRule="exact"/>
        <w:ind w:firstLine="420" w:firstLineChars="200"/>
        <w:rPr>
          <w:rFonts w:hint="eastAsia" w:ascii="宋体" w:hAnsi="宋体"/>
          <w:szCs w:val="21"/>
        </w:rPr>
      </w:pPr>
      <w:r>
        <w:rPr>
          <w:rFonts w:hint="eastAsia" w:ascii="宋体" w:hAnsi="宋体"/>
          <w:szCs w:val="21"/>
        </w:rPr>
        <w:t>支持供血者与受血者标本在指定仪器进行交叉配血试验；</w:t>
      </w:r>
    </w:p>
    <w:p w14:paraId="00C22DA5">
      <w:pPr>
        <w:spacing w:line="400" w:lineRule="exact"/>
        <w:ind w:firstLine="420" w:firstLineChars="200"/>
        <w:rPr>
          <w:rFonts w:hint="eastAsia" w:ascii="宋体" w:hAnsi="宋体"/>
          <w:szCs w:val="21"/>
        </w:rPr>
      </w:pPr>
      <w:r>
        <w:rPr>
          <w:rFonts w:hint="eastAsia" w:ascii="宋体" w:hAnsi="宋体"/>
          <w:szCs w:val="21"/>
        </w:rPr>
        <w:t>支持仪器接口自动采集检测仪器传输的配血结果并保存到对应血袋上，并在配血界面上显示采集到配血结果；</w:t>
      </w:r>
    </w:p>
    <w:p w14:paraId="345DD4A8">
      <w:pPr>
        <w:spacing w:line="400" w:lineRule="exact"/>
        <w:ind w:firstLine="420" w:firstLineChars="200"/>
        <w:rPr>
          <w:rFonts w:hint="eastAsia" w:ascii="宋体" w:hAnsi="宋体"/>
          <w:szCs w:val="21"/>
        </w:rPr>
      </w:pPr>
      <w:r>
        <w:rPr>
          <w:rFonts w:hint="eastAsia" w:ascii="宋体" w:hAnsi="宋体"/>
          <w:szCs w:val="21"/>
        </w:rPr>
        <w:t>支持仪器能传输配血卡图片在界面上显示；</w:t>
      </w:r>
    </w:p>
    <w:p w14:paraId="0EB3EFFA">
      <w:pPr>
        <w:spacing w:line="400" w:lineRule="exact"/>
        <w:ind w:firstLine="420" w:firstLineChars="200"/>
        <w:rPr>
          <w:rFonts w:hint="eastAsia" w:ascii="宋体" w:hAnsi="宋体"/>
          <w:szCs w:val="21"/>
        </w:rPr>
      </w:pPr>
      <w:r>
        <w:rPr>
          <w:rFonts w:hint="eastAsia" w:ascii="宋体" w:hAnsi="宋体"/>
          <w:szCs w:val="21"/>
        </w:rPr>
        <w:t>配血报告审核时支持异常配血结果提示工作人员核对；</w:t>
      </w:r>
    </w:p>
    <w:p w14:paraId="2809F89D">
      <w:pPr>
        <w:spacing w:line="400" w:lineRule="exact"/>
        <w:ind w:firstLine="420" w:firstLineChars="200"/>
        <w:rPr>
          <w:rFonts w:hint="eastAsia" w:ascii="宋体" w:hAnsi="宋体"/>
          <w:szCs w:val="21"/>
        </w:rPr>
      </w:pPr>
      <w:r>
        <w:rPr>
          <w:rFonts w:hint="eastAsia" w:ascii="宋体" w:hAnsi="宋体"/>
          <w:szCs w:val="21"/>
        </w:rPr>
        <w:t>支持根据不同配血方法实现对应收费项目自动计费；</w:t>
      </w:r>
    </w:p>
    <w:p w14:paraId="2193765E">
      <w:pPr>
        <w:spacing w:line="400" w:lineRule="exact"/>
        <w:ind w:firstLine="420" w:firstLineChars="200"/>
        <w:rPr>
          <w:rFonts w:hint="eastAsia" w:ascii="宋体" w:hAnsi="宋体"/>
          <w:szCs w:val="21"/>
        </w:rPr>
      </w:pPr>
      <w:r>
        <w:rPr>
          <w:rFonts w:hint="eastAsia" w:ascii="宋体" w:hAnsi="宋体"/>
          <w:szCs w:val="21"/>
        </w:rPr>
        <w:t>支持疑难配血：把不符合常规配血规则的血液配血结果录入到系统，并在疑难配血中登记，配血信息上标记为疑难配血状态；</w:t>
      </w:r>
    </w:p>
    <w:p w14:paraId="3130AF61">
      <w:pPr>
        <w:spacing w:line="400" w:lineRule="exact"/>
        <w:ind w:firstLine="420" w:firstLineChars="200"/>
        <w:rPr>
          <w:rFonts w:hint="eastAsia" w:ascii="宋体" w:hAnsi="宋体"/>
          <w:szCs w:val="21"/>
        </w:rPr>
      </w:pPr>
      <w:r>
        <w:rPr>
          <w:rFonts w:hint="eastAsia" w:ascii="宋体" w:hAnsi="宋体"/>
          <w:szCs w:val="21"/>
        </w:rPr>
        <w:t>支持通知取血功能，完成配血的血袋，通过发送取血消息将取血消息发送给临床；</w:t>
      </w:r>
    </w:p>
    <w:p w14:paraId="33C4F96A">
      <w:pPr>
        <w:spacing w:line="400" w:lineRule="exact"/>
        <w:ind w:firstLine="420" w:firstLineChars="200"/>
        <w:rPr>
          <w:rFonts w:hint="eastAsia" w:ascii="宋体" w:hAnsi="宋体"/>
          <w:szCs w:val="21"/>
        </w:rPr>
      </w:pPr>
      <w:r>
        <w:rPr>
          <w:rFonts w:hint="eastAsia" w:ascii="宋体" w:hAnsi="宋体"/>
          <w:szCs w:val="21"/>
        </w:rPr>
        <w:t>支持配血时能任意调阅患者输血电子病历；</w:t>
      </w:r>
    </w:p>
    <w:p w14:paraId="26A1192F">
      <w:pPr>
        <w:spacing w:line="400" w:lineRule="exact"/>
        <w:ind w:firstLine="420" w:firstLineChars="200"/>
        <w:rPr>
          <w:rFonts w:hint="eastAsia" w:ascii="宋体" w:hAnsi="宋体"/>
          <w:szCs w:val="21"/>
        </w:rPr>
      </w:pPr>
      <w:r>
        <w:rPr>
          <w:rFonts w:hint="eastAsia" w:ascii="宋体" w:hAnsi="宋体"/>
          <w:szCs w:val="21"/>
        </w:rPr>
        <w:t>支持查看患者历史配血记录；</w:t>
      </w:r>
    </w:p>
    <w:p w14:paraId="0D4FEEB7">
      <w:pPr>
        <w:spacing w:line="400" w:lineRule="exact"/>
        <w:ind w:firstLine="420" w:firstLineChars="200"/>
        <w:rPr>
          <w:rFonts w:hint="eastAsia" w:ascii="宋体" w:hAnsi="宋体"/>
          <w:szCs w:val="21"/>
        </w:rPr>
      </w:pPr>
      <w:r>
        <w:rPr>
          <w:rFonts w:hint="eastAsia" w:ascii="宋体" w:hAnsi="宋体"/>
          <w:szCs w:val="21"/>
        </w:rPr>
        <w:t>支持查看患者相关实验室结果；</w:t>
      </w:r>
    </w:p>
    <w:p w14:paraId="4E859B03">
      <w:pPr>
        <w:spacing w:line="400" w:lineRule="exact"/>
        <w:ind w:firstLine="420" w:firstLineChars="200"/>
        <w:rPr>
          <w:rFonts w:hint="eastAsia" w:ascii="宋体" w:hAnsi="宋体"/>
          <w:szCs w:val="21"/>
        </w:rPr>
      </w:pPr>
      <w:r>
        <w:rPr>
          <w:rFonts w:hint="eastAsia" w:ascii="宋体" w:hAnsi="宋体"/>
          <w:szCs w:val="21"/>
        </w:rPr>
        <w:t>支持查看患者献血情况；</w:t>
      </w:r>
    </w:p>
    <w:p w14:paraId="7698B0F1">
      <w:pPr>
        <w:spacing w:line="400" w:lineRule="exact"/>
        <w:ind w:firstLine="420" w:firstLineChars="200"/>
        <w:rPr>
          <w:rFonts w:hint="eastAsia" w:ascii="宋体" w:hAnsi="宋体"/>
          <w:szCs w:val="21"/>
        </w:rPr>
      </w:pPr>
      <w:r>
        <w:rPr>
          <w:rFonts w:hint="eastAsia" w:ascii="宋体" w:hAnsi="宋体"/>
          <w:szCs w:val="21"/>
        </w:rPr>
        <w:t>支持查看申请血液制品剂量；</w:t>
      </w:r>
    </w:p>
    <w:p w14:paraId="5AC916D1">
      <w:pPr>
        <w:spacing w:line="400" w:lineRule="exact"/>
        <w:ind w:firstLine="420" w:firstLineChars="200"/>
        <w:rPr>
          <w:rFonts w:hint="eastAsia" w:ascii="宋体" w:hAnsi="宋体"/>
          <w:szCs w:val="21"/>
        </w:rPr>
      </w:pPr>
      <w:r>
        <w:rPr>
          <w:rFonts w:hint="eastAsia" w:ascii="宋体" w:hAnsi="宋体"/>
          <w:szCs w:val="21"/>
        </w:rPr>
        <w:t>支持Rh分型电子配血自动筛血功能；</w:t>
      </w:r>
    </w:p>
    <w:p w14:paraId="6F7D4722">
      <w:pPr>
        <w:spacing w:line="400" w:lineRule="exact"/>
        <w:ind w:firstLine="420" w:firstLineChars="200"/>
        <w:rPr>
          <w:rFonts w:hint="eastAsia" w:ascii="宋体" w:hAnsi="宋体"/>
          <w:szCs w:val="21"/>
        </w:rPr>
      </w:pPr>
      <w:r>
        <w:rPr>
          <w:rFonts w:hint="eastAsia" w:ascii="宋体" w:hAnsi="宋体"/>
          <w:szCs w:val="21"/>
        </w:rPr>
        <w:t>支持打印配血条码；</w:t>
      </w:r>
    </w:p>
    <w:p w14:paraId="341EE32E">
      <w:pPr>
        <w:spacing w:line="400" w:lineRule="exact"/>
        <w:ind w:firstLine="420" w:firstLineChars="200"/>
        <w:rPr>
          <w:rFonts w:hint="eastAsia" w:ascii="宋体" w:hAnsi="宋体"/>
          <w:szCs w:val="21"/>
        </w:rPr>
      </w:pPr>
      <w:r>
        <w:rPr>
          <w:rFonts w:hint="eastAsia" w:ascii="宋体" w:hAnsi="宋体"/>
          <w:szCs w:val="21"/>
        </w:rPr>
        <w:t>支持配血记录查询；</w:t>
      </w:r>
    </w:p>
    <w:p w14:paraId="1FFE310E">
      <w:pPr>
        <w:spacing w:line="400" w:lineRule="exact"/>
        <w:ind w:firstLine="420" w:firstLineChars="200"/>
        <w:rPr>
          <w:rFonts w:hint="eastAsia" w:ascii="宋体" w:hAnsi="宋体"/>
          <w:szCs w:val="21"/>
        </w:rPr>
      </w:pPr>
      <w:r>
        <w:rPr>
          <w:rFonts w:hint="eastAsia" w:ascii="宋体" w:hAnsi="宋体"/>
          <w:szCs w:val="21"/>
        </w:rPr>
        <w:t>7、发血管理</w:t>
      </w:r>
    </w:p>
    <w:p w14:paraId="75ACBBA7">
      <w:pPr>
        <w:spacing w:line="400" w:lineRule="exact"/>
        <w:ind w:firstLine="420" w:firstLineChars="200"/>
        <w:rPr>
          <w:rFonts w:hint="eastAsia" w:ascii="宋体" w:hAnsi="宋体"/>
          <w:szCs w:val="21"/>
        </w:rPr>
      </w:pPr>
      <w:r>
        <w:rPr>
          <w:rFonts w:hint="eastAsia" w:ascii="宋体" w:hAnsi="宋体"/>
          <w:szCs w:val="21"/>
        </w:rPr>
        <w:t>全流程条码化管理，支持通过申请单条码扫描获取获取待发血患者信息，智能匹配每一袋血和患者的关系，是否违反发血规则；</w:t>
      </w:r>
    </w:p>
    <w:p w14:paraId="7EA7E023">
      <w:pPr>
        <w:spacing w:line="400" w:lineRule="exact"/>
        <w:ind w:firstLine="420" w:firstLineChars="200"/>
        <w:rPr>
          <w:rFonts w:hint="eastAsia" w:ascii="宋体" w:hAnsi="宋体"/>
          <w:szCs w:val="21"/>
        </w:rPr>
      </w:pPr>
      <w:r>
        <w:rPr>
          <w:rFonts w:hint="eastAsia" w:ascii="宋体" w:hAnsi="宋体"/>
          <w:szCs w:val="21"/>
        </w:rPr>
        <w:t>支持血液血型跟患者不一致智能提醒；</w:t>
      </w:r>
    </w:p>
    <w:p w14:paraId="094EA344">
      <w:pPr>
        <w:spacing w:line="400" w:lineRule="exact"/>
        <w:ind w:firstLine="420" w:firstLineChars="200"/>
        <w:rPr>
          <w:rFonts w:hint="eastAsia" w:ascii="宋体" w:hAnsi="宋体"/>
          <w:szCs w:val="21"/>
        </w:rPr>
      </w:pPr>
      <w:r>
        <w:rPr>
          <w:rFonts w:hint="eastAsia" w:ascii="宋体" w:hAnsi="宋体"/>
          <w:szCs w:val="21"/>
        </w:rPr>
        <w:t>支持根据血液种类和规格实现血液自动收费；</w:t>
      </w:r>
    </w:p>
    <w:p w14:paraId="28DA279E">
      <w:pPr>
        <w:spacing w:line="400" w:lineRule="exact"/>
        <w:ind w:firstLine="420" w:firstLineChars="200"/>
        <w:rPr>
          <w:rFonts w:hint="eastAsia" w:ascii="宋体" w:hAnsi="宋体"/>
          <w:szCs w:val="21"/>
        </w:rPr>
      </w:pPr>
      <w:r>
        <w:rPr>
          <w:rFonts w:hint="eastAsia" w:ascii="宋体" w:hAnsi="宋体"/>
          <w:szCs w:val="21"/>
        </w:rPr>
        <w:t>支持发血时回写输注医嘱到HIS医生工作站；</w:t>
      </w:r>
    </w:p>
    <w:p w14:paraId="542EAFEA">
      <w:pPr>
        <w:spacing w:line="400" w:lineRule="exact"/>
        <w:ind w:firstLine="420" w:firstLineChars="200"/>
        <w:rPr>
          <w:rFonts w:hint="eastAsia" w:ascii="宋体" w:hAnsi="宋体"/>
          <w:szCs w:val="21"/>
        </w:rPr>
      </w:pPr>
      <w:r>
        <w:rPr>
          <w:rFonts w:hint="eastAsia" w:ascii="宋体" w:hAnsi="宋体"/>
          <w:szCs w:val="21"/>
        </w:rPr>
        <w:t>支持紧急情况无申请单发血或直接发O型血；</w:t>
      </w:r>
    </w:p>
    <w:p w14:paraId="1E1F83D8">
      <w:pPr>
        <w:spacing w:line="400" w:lineRule="exact"/>
        <w:ind w:firstLine="420" w:firstLineChars="200"/>
        <w:rPr>
          <w:rFonts w:hint="eastAsia" w:ascii="宋体" w:hAnsi="宋体"/>
          <w:szCs w:val="21"/>
        </w:rPr>
      </w:pPr>
      <w:r>
        <w:rPr>
          <w:rFonts w:hint="eastAsia" w:ascii="宋体" w:hAnsi="宋体"/>
          <w:szCs w:val="21"/>
        </w:rPr>
        <w:t>支持通过权限判断取消发血操作，血袋返回库存；</w:t>
      </w:r>
    </w:p>
    <w:p w14:paraId="3A11B529">
      <w:pPr>
        <w:spacing w:line="400" w:lineRule="exact"/>
        <w:ind w:firstLine="420" w:firstLineChars="200"/>
        <w:rPr>
          <w:rFonts w:hint="eastAsia" w:ascii="宋体" w:hAnsi="宋体"/>
          <w:szCs w:val="21"/>
        </w:rPr>
      </w:pPr>
      <w:r>
        <w:rPr>
          <w:rFonts w:hint="eastAsia" w:ascii="宋体" w:hAnsi="宋体"/>
          <w:szCs w:val="21"/>
        </w:rPr>
        <w:t>支持打印患者及血液标签，方便临床核对；</w:t>
      </w:r>
    </w:p>
    <w:p w14:paraId="545FA881">
      <w:pPr>
        <w:spacing w:line="400" w:lineRule="exact"/>
        <w:ind w:firstLine="420" w:firstLineChars="200"/>
        <w:rPr>
          <w:rFonts w:hint="eastAsia" w:ascii="宋体" w:hAnsi="宋体"/>
          <w:szCs w:val="21"/>
        </w:rPr>
      </w:pPr>
      <w:r>
        <w:rPr>
          <w:rFonts w:hint="eastAsia" w:ascii="宋体" w:hAnsi="宋体"/>
          <w:szCs w:val="21"/>
        </w:rPr>
        <w:t>支持打印输血记录单；</w:t>
      </w:r>
    </w:p>
    <w:p w14:paraId="74D0490F">
      <w:pPr>
        <w:spacing w:line="400" w:lineRule="exact"/>
        <w:ind w:firstLine="420" w:firstLineChars="200"/>
        <w:rPr>
          <w:rFonts w:hint="eastAsia" w:ascii="宋体" w:hAnsi="宋体"/>
          <w:szCs w:val="21"/>
        </w:rPr>
      </w:pPr>
      <w:r>
        <w:rPr>
          <w:rFonts w:hint="eastAsia" w:ascii="宋体" w:hAnsi="宋体"/>
          <w:szCs w:val="21"/>
        </w:rPr>
        <w:t>支持血液暂存功能；</w:t>
      </w:r>
    </w:p>
    <w:p w14:paraId="758FA960">
      <w:pPr>
        <w:spacing w:line="400" w:lineRule="exact"/>
        <w:ind w:firstLine="420" w:firstLineChars="200"/>
        <w:rPr>
          <w:rFonts w:hint="eastAsia" w:ascii="宋体" w:hAnsi="宋体"/>
          <w:szCs w:val="21"/>
        </w:rPr>
      </w:pPr>
      <w:r>
        <w:rPr>
          <w:rFonts w:hint="eastAsia" w:ascii="宋体" w:hAnsi="宋体"/>
          <w:szCs w:val="21"/>
        </w:rPr>
        <w:t>支持通知取血功能，通过发送取血消息提示把取血消息发送给临床；</w:t>
      </w:r>
    </w:p>
    <w:p w14:paraId="2361BB7E">
      <w:pPr>
        <w:spacing w:line="400" w:lineRule="exact"/>
        <w:ind w:firstLine="420" w:firstLineChars="200"/>
        <w:rPr>
          <w:rFonts w:hint="eastAsia" w:ascii="宋体" w:hAnsi="宋体"/>
          <w:szCs w:val="21"/>
        </w:rPr>
      </w:pPr>
      <w:r>
        <w:rPr>
          <w:rFonts w:hint="eastAsia" w:ascii="宋体" w:hAnsi="宋体"/>
          <w:szCs w:val="21"/>
        </w:rPr>
        <w:t>支持调阅患者输血电子病历；</w:t>
      </w:r>
    </w:p>
    <w:p w14:paraId="77628EBC">
      <w:pPr>
        <w:spacing w:line="400" w:lineRule="exact"/>
        <w:ind w:firstLine="420" w:firstLineChars="200"/>
        <w:rPr>
          <w:rFonts w:hint="eastAsia" w:ascii="宋体" w:hAnsi="宋体"/>
          <w:szCs w:val="21"/>
        </w:rPr>
      </w:pPr>
      <w:r>
        <w:rPr>
          <w:rFonts w:hint="eastAsia" w:ascii="宋体" w:hAnsi="宋体"/>
          <w:szCs w:val="21"/>
        </w:rPr>
        <w:t>支持查看患者历史发血记录和累积用血量；</w:t>
      </w:r>
    </w:p>
    <w:p w14:paraId="1B0ACAD2">
      <w:pPr>
        <w:spacing w:line="400" w:lineRule="exact"/>
        <w:ind w:firstLine="420" w:firstLineChars="200"/>
        <w:rPr>
          <w:rFonts w:hint="eastAsia" w:ascii="宋体" w:hAnsi="宋体"/>
          <w:szCs w:val="21"/>
        </w:rPr>
      </w:pPr>
      <w:r>
        <w:rPr>
          <w:rFonts w:hint="eastAsia" w:ascii="宋体" w:hAnsi="宋体"/>
          <w:szCs w:val="21"/>
        </w:rPr>
        <w:t>支持查看患者相关实验室结果；</w:t>
      </w:r>
    </w:p>
    <w:p w14:paraId="08138BF8">
      <w:pPr>
        <w:spacing w:line="400" w:lineRule="exact"/>
        <w:ind w:firstLine="420" w:firstLineChars="200"/>
        <w:rPr>
          <w:rFonts w:hint="eastAsia" w:ascii="宋体" w:hAnsi="宋体"/>
          <w:szCs w:val="21"/>
        </w:rPr>
      </w:pPr>
      <w:r>
        <w:rPr>
          <w:rFonts w:hint="eastAsia" w:ascii="宋体" w:hAnsi="宋体"/>
          <w:szCs w:val="21"/>
        </w:rPr>
        <w:t>支持查看患者献血情况；</w:t>
      </w:r>
    </w:p>
    <w:p w14:paraId="70ED6CFA">
      <w:pPr>
        <w:spacing w:line="400" w:lineRule="exact"/>
        <w:ind w:firstLine="420" w:firstLineChars="200"/>
        <w:rPr>
          <w:rFonts w:hint="eastAsia" w:ascii="宋体" w:hAnsi="宋体"/>
          <w:szCs w:val="21"/>
        </w:rPr>
      </w:pPr>
      <w:r>
        <w:rPr>
          <w:rFonts w:hint="eastAsia" w:ascii="宋体" w:hAnsi="宋体"/>
          <w:szCs w:val="21"/>
        </w:rPr>
        <w:t>支持查看申请血液制品剂量；</w:t>
      </w:r>
    </w:p>
    <w:p w14:paraId="5F7AA263">
      <w:pPr>
        <w:spacing w:line="400" w:lineRule="exact"/>
        <w:ind w:firstLine="420" w:firstLineChars="200"/>
        <w:rPr>
          <w:rFonts w:hint="eastAsia" w:ascii="宋体" w:hAnsi="宋体"/>
          <w:szCs w:val="21"/>
        </w:rPr>
      </w:pPr>
      <w:r>
        <w:rPr>
          <w:rFonts w:hint="eastAsia" w:ascii="宋体" w:hAnsi="宋体"/>
          <w:szCs w:val="21"/>
        </w:rPr>
        <w:t>支持已发血清单查看；</w:t>
      </w:r>
    </w:p>
    <w:p w14:paraId="7EB49BA2">
      <w:pPr>
        <w:spacing w:line="400" w:lineRule="exact"/>
        <w:ind w:firstLine="420" w:firstLineChars="200"/>
        <w:rPr>
          <w:rFonts w:hint="eastAsia" w:ascii="宋体" w:hAnsi="宋体"/>
          <w:szCs w:val="21"/>
        </w:rPr>
      </w:pPr>
      <w:r>
        <w:rPr>
          <w:rFonts w:hint="eastAsia" w:ascii="宋体" w:hAnsi="宋体"/>
          <w:szCs w:val="21"/>
        </w:rPr>
        <w:t>支持取血核对自动匹配血液信息核对。</w:t>
      </w:r>
    </w:p>
    <w:p w14:paraId="71C396BA">
      <w:pPr>
        <w:spacing w:line="400" w:lineRule="exact"/>
        <w:ind w:firstLine="420" w:firstLineChars="200"/>
        <w:rPr>
          <w:rFonts w:hint="eastAsia" w:ascii="宋体" w:hAnsi="宋体"/>
          <w:szCs w:val="21"/>
        </w:rPr>
      </w:pPr>
      <w:r>
        <w:rPr>
          <w:rFonts w:hint="eastAsia" w:ascii="宋体" w:hAnsi="宋体"/>
          <w:szCs w:val="21"/>
        </w:rPr>
        <w:t>8、血液输注管理</w:t>
      </w:r>
    </w:p>
    <w:p w14:paraId="777A4797">
      <w:pPr>
        <w:spacing w:line="400" w:lineRule="exact"/>
        <w:ind w:firstLine="420" w:firstLineChars="200"/>
        <w:rPr>
          <w:rFonts w:hint="eastAsia" w:ascii="宋体" w:hAnsi="宋体"/>
          <w:szCs w:val="21"/>
        </w:rPr>
      </w:pPr>
      <w:r>
        <w:rPr>
          <w:rFonts w:hint="eastAsia" w:ascii="宋体" w:hAnsi="宋体"/>
          <w:szCs w:val="21"/>
        </w:rPr>
        <w:t>根据《临床输血技术规范》输血由两名医护人员带病历共同到患者床旁核对患者姓名、性别、年龄、病案号、门急诊/病室、床号、血型同时检查血袋有无破损、漏血、血液中是否明显凝块、血浆是否呈乳糜状或暗灰色，有无明显气泡、絮状物或粗大颗粒、红细胞层是否呈紫红色和过期或其他情况等；</w:t>
      </w:r>
    </w:p>
    <w:p w14:paraId="29196CF5">
      <w:pPr>
        <w:spacing w:line="400" w:lineRule="exact"/>
        <w:ind w:firstLine="420" w:firstLineChars="200"/>
        <w:rPr>
          <w:rFonts w:hint="eastAsia" w:ascii="宋体" w:hAnsi="宋体"/>
          <w:szCs w:val="21"/>
        </w:rPr>
      </w:pPr>
      <w:r>
        <w:rPr>
          <w:rFonts w:hint="eastAsia" w:ascii="宋体" w:hAnsi="宋体"/>
          <w:szCs w:val="21"/>
        </w:rPr>
        <w:t>确认与配血报告相符，用符合标准的输血器进行输血。</w:t>
      </w:r>
    </w:p>
    <w:p w14:paraId="4F75CBA5">
      <w:pPr>
        <w:spacing w:line="400" w:lineRule="exact"/>
        <w:ind w:firstLine="420" w:firstLineChars="200"/>
        <w:rPr>
          <w:rFonts w:hint="eastAsia" w:ascii="宋体" w:hAnsi="宋体"/>
          <w:szCs w:val="21"/>
        </w:rPr>
      </w:pPr>
      <w:r>
        <w:rPr>
          <w:rFonts w:hint="eastAsia" w:ascii="宋体" w:hAnsi="宋体"/>
          <w:szCs w:val="21"/>
        </w:rPr>
        <w:t>取血通知：</w:t>
      </w:r>
    </w:p>
    <w:p w14:paraId="75124E35">
      <w:pPr>
        <w:spacing w:line="400" w:lineRule="exact"/>
        <w:ind w:firstLine="420" w:firstLineChars="200"/>
        <w:rPr>
          <w:rFonts w:hint="eastAsia" w:ascii="宋体" w:hAnsi="宋体"/>
          <w:szCs w:val="21"/>
        </w:rPr>
      </w:pPr>
      <w:r>
        <w:rPr>
          <w:rFonts w:hint="eastAsia" w:ascii="宋体" w:hAnsi="宋体"/>
          <w:szCs w:val="21"/>
        </w:rPr>
        <w:t>支持输血科完成配血或发血，系统发送取血通知到相关的病区或科室，消息中心自动弹窗提醒临床取血；</w:t>
      </w:r>
    </w:p>
    <w:p w14:paraId="5A4F3C37">
      <w:pPr>
        <w:spacing w:line="400" w:lineRule="exact"/>
        <w:ind w:firstLine="420" w:firstLineChars="200"/>
        <w:rPr>
          <w:rFonts w:hint="eastAsia" w:ascii="宋体" w:hAnsi="宋体"/>
          <w:szCs w:val="21"/>
        </w:rPr>
      </w:pPr>
      <w:r>
        <w:rPr>
          <w:rFonts w:hint="eastAsia" w:ascii="宋体" w:hAnsi="宋体"/>
          <w:szCs w:val="21"/>
        </w:rPr>
        <w:t>取血护士打印取血通知单，凭取血凭证到输血科取血。</w:t>
      </w:r>
    </w:p>
    <w:p w14:paraId="2CC5F8A7">
      <w:pPr>
        <w:spacing w:line="400" w:lineRule="exact"/>
        <w:ind w:firstLine="420" w:firstLineChars="200"/>
        <w:rPr>
          <w:rFonts w:hint="eastAsia" w:ascii="宋体" w:hAnsi="宋体"/>
          <w:szCs w:val="21"/>
        </w:rPr>
      </w:pPr>
      <w:r>
        <w:rPr>
          <w:rFonts w:hint="eastAsia" w:ascii="宋体" w:hAnsi="宋体"/>
          <w:szCs w:val="21"/>
        </w:rPr>
        <w:t>血袋核收:</w:t>
      </w:r>
    </w:p>
    <w:p w14:paraId="41E0DD02">
      <w:pPr>
        <w:spacing w:line="400" w:lineRule="exact"/>
        <w:ind w:firstLine="420" w:firstLineChars="200"/>
        <w:rPr>
          <w:rFonts w:hint="eastAsia" w:ascii="宋体" w:hAnsi="宋体"/>
          <w:szCs w:val="21"/>
        </w:rPr>
      </w:pPr>
      <w:r>
        <w:rPr>
          <w:rFonts w:hint="eastAsia" w:ascii="宋体" w:hAnsi="宋体"/>
          <w:szCs w:val="21"/>
        </w:rPr>
        <w:t>取血护士取回血袋后，在临床系统中扫描血袋条码获取血液信息和患者信息逐一核对后，双查双签核对管理功能，确保所取回血袋正确无误；</w:t>
      </w:r>
    </w:p>
    <w:p w14:paraId="6A8B745C">
      <w:pPr>
        <w:spacing w:line="400" w:lineRule="exact"/>
        <w:ind w:firstLine="420" w:firstLineChars="200"/>
        <w:rPr>
          <w:rFonts w:hint="eastAsia" w:ascii="宋体" w:hAnsi="宋体"/>
          <w:szCs w:val="21"/>
        </w:rPr>
      </w:pPr>
      <w:r>
        <w:rPr>
          <w:rFonts w:hint="eastAsia" w:ascii="宋体" w:hAnsi="宋体"/>
          <w:szCs w:val="21"/>
        </w:rPr>
        <w:t>支持 PDA 系统对接;</w:t>
      </w:r>
    </w:p>
    <w:p w14:paraId="02FBD713">
      <w:pPr>
        <w:spacing w:line="400" w:lineRule="exact"/>
        <w:ind w:firstLine="420" w:firstLineChars="200"/>
        <w:rPr>
          <w:rFonts w:hint="eastAsia" w:ascii="宋体" w:hAnsi="宋体"/>
          <w:szCs w:val="21"/>
        </w:rPr>
      </w:pPr>
      <w:r>
        <w:rPr>
          <w:rFonts w:hint="eastAsia" w:ascii="宋体" w:hAnsi="宋体"/>
          <w:szCs w:val="21"/>
        </w:rPr>
        <w:t>支持临床因各类原因将血液暂存输血科;</w:t>
      </w:r>
    </w:p>
    <w:p w14:paraId="1276ABBA">
      <w:pPr>
        <w:spacing w:line="400" w:lineRule="exact"/>
        <w:ind w:firstLine="420" w:firstLineChars="200"/>
        <w:rPr>
          <w:rFonts w:hint="eastAsia" w:ascii="宋体" w:hAnsi="宋体"/>
          <w:szCs w:val="21"/>
        </w:rPr>
      </w:pPr>
      <w:r>
        <w:rPr>
          <w:rFonts w:hint="eastAsia" w:ascii="宋体" w:hAnsi="宋体"/>
          <w:szCs w:val="21"/>
        </w:rPr>
        <w:t>支持血袋超时未核收自动提醒功能。</w:t>
      </w:r>
    </w:p>
    <w:p w14:paraId="6DA6BE69">
      <w:pPr>
        <w:spacing w:line="400" w:lineRule="exact"/>
        <w:ind w:firstLine="420" w:firstLineChars="200"/>
        <w:rPr>
          <w:rFonts w:hint="eastAsia" w:ascii="宋体" w:hAnsi="宋体"/>
          <w:szCs w:val="21"/>
        </w:rPr>
      </w:pPr>
      <w:r>
        <w:rPr>
          <w:rFonts w:hint="eastAsia" w:ascii="宋体" w:hAnsi="宋体"/>
          <w:szCs w:val="21"/>
        </w:rPr>
        <w:t>输血前核对:</w:t>
      </w:r>
    </w:p>
    <w:p w14:paraId="30E3A9B2">
      <w:pPr>
        <w:spacing w:line="400" w:lineRule="exact"/>
        <w:ind w:firstLine="420" w:firstLineChars="200"/>
        <w:rPr>
          <w:rFonts w:hint="eastAsia" w:ascii="宋体" w:hAnsi="宋体"/>
          <w:szCs w:val="21"/>
        </w:rPr>
      </w:pPr>
      <w:r>
        <w:rPr>
          <w:rFonts w:hint="eastAsia" w:ascii="宋体" w:hAnsi="宋体"/>
          <w:szCs w:val="21"/>
        </w:rPr>
        <w:t>临床护士在输血管理系统中扫描腕带和血袋条码获取血液信息和患者信息逐一核对后，双查双签核对管理功能，并观察患者生命体征 ，确保血液信息和患者情况无误后开始输血；</w:t>
      </w:r>
    </w:p>
    <w:p w14:paraId="28F1ECB4">
      <w:pPr>
        <w:spacing w:line="400" w:lineRule="exact"/>
        <w:ind w:firstLine="420" w:firstLineChars="200"/>
        <w:rPr>
          <w:rFonts w:hint="eastAsia" w:ascii="宋体" w:hAnsi="宋体"/>
          <w:szCs w:val="21"/>
        </w:rPr>
      </w:pPr>
      <w:r>
        <w:rPr>
          <w:rFonts w:hint="eastAsia" w:ascii="宋体" w:hAnsi="宋体"/>
          <w:szCs w:val="21"/>
        </w:rPr>
        <w:t>支持血液转科交接；</w:t>
      </w:r>
    </w:p>
    <w:p w14:paraId="64128377">
      <w:pPr>
        <w:spacing w:line="400" w:lineRule="exact"/>
        <w:ind w:firstLine="420" w:firstLineChars="200"/>
        <w:rPr>
          <w:rFonts w:hint="eastAsia" w:ascii="宋体" w:hAnsi="宋体"/>
          <w:szCs w:val="21"/>
        </w:rPr>
      </w:pPr>
      <w:r>
        <w:rPr>
          <w:rFonts w:hint="eastAsia" w:ascii="宋体" w:hAnsi="宋体"/>
          <w:szCs w:val="21"/>
        </w:rPr>
        <w:t>支持 PDA 系统对接。</w:t>
      </w:r>
    </w:p>
    <w:p w14:paraId="354A5069">
      <w:pPr>
        <w:spacing w:line="400" w:lineRule="exact"/>
        <w:ind w:firstLine="420" w:firstLineChars="200"/>
        <w:rPr>
          <w:rFonts w:hint="eastAsia" w:ascii="宋体" w:hAnsi="宋体"/>
          <w:szCs w:val="21"/>
        </w:rPr>
      </w:pPr>
      <w:r>
        <w:rPr>
          <w:rFonts w:hint="eastAsia" w:ascii="宋体" w:hAnsi="宋体"/>
          <w:szCs w:val="21"/>
        </w:rPr>
        <w:t>开始输血：</w:t>
      </w:r>
    </w:p>
    <w:p w14:paraId="7EFBA05C">
      <w:pPr>
        <w:spacing w:line="400" w:lineRule="exact"/>
        <w:ind w:firstLine="420" w:firstLineChars="200"/>
        <w:rPr>
          <w:rFonts w:hint="eastAsia" w:ascii="宋体" w:hAnsi="宋体"/>
          <w:szCs w:val="21"/>
        </w:rPr>
      </w:pPr>
      <w:r>
        <w:rPr>
          <w:rFonts w:hint="eastAsia" w:ascii="宋体" w:hAnsi="宋体"/>
          <w:szCs w:val="21"/>
        </w:rPr>
        <w:t>临床护士在输血管理系统中扫描腕带和血袋条码获取血液信息和患者信息逐一核对后，确定无误后，记录开始时间和开始输血人员；</w:t>
      </w:r>
    </w:p>
    <w:p w14:paraId="1643EFEC">
      <w:pPr>
        <w:spacing w:line="400" w:lineRule="exact"/>
        <w:ind w:firstLine="420" w:firstLineChars="200"/>
        <w:rPr>
          <w:rFonts w:hint="eastAsia" w:ascii="宋体" w:hAnsi="宋体"/>
          <w:szCs w:val="21"/>
        </w:rPr>
      </w:pPr>
      <w:r>
        <w:rPr>
          <w:rFonts w:hint="eastAsia" w:ascii="宋体" w:hAnsi="宋体"/>
          <w:szCs w:val="21"/>
        </w:rPr>
        <w:t>支持血液转科交接；</w:t>
      </w:r>
    </w:p>
    <w:p w14:paraId="4757E602">
      <w:pPr>
        <w:spacing w:line="400" w:lineRule="exact"/>
        <w:ind w:firstLine="420" w:firstLineChars="200"/>
        <w:rPr>
          <w:rFonts w:hint="eastAsia" w:ascii="宋体" w:hAnsi="宋体"/>
          <w:szCs w:val="21"/>
        </w:rPr>
      </w:pPr>
      <w:r>
        <w:rPr>
          <w:rFonts w:hint="eastAsia" w:ascii="宋体" w:hAnsi="宋体"/>
          <w:szCs w:val="21"/>
        </w:rPr>
        <w:t>支持 PDA 系统对接；</w:t>
      </w:r>
    </w:p>
    <w:p w14:paraId="121FBA30">
      <w:pPr>
        <w:spacing w:line="400" w:lineRule="exact"/>
        <w:ind w:firstLine="420" w:firstLineChars="200"/>
        <w:rPr>
          <w:rFonts w:hint="eastAsia" w:ascii="宋体" w:hAnsi="宋体"/>
          <w:szCs w:val="21"/>
        </w:rPr>
      </w:pPr>
      <w:r>
        <w:rPr>
          <w:rFonts w:hint="eastAsia" w:ascii="宋体" w:hAnsi="宋体"/>
          <w:szCs w:val="21"/>
        </w:rPr>
        <w:t>支持血液申请报废；</w:t>
      </w:r>
    </w:p>
    <w:p w14:paraId="663686A5">
      <w:pPr>
        <w:spacing w:line="400" w:lineRule="exact"/>
        <w:ind w:firstLine="420" w:firstLineChars="200"/>
        <w:rPr>
          <w:rFonts w:hint="eastAsia" w:ascii="宋体" w:hAnsi="宋体"/>
          <w:szCs w:val="21"/>
        </w:rPr>
      </w:pPr>
      <w:r>
        <w:rPr>
          <w:rFonts w:hint="eastAsia" w:ascii="宋体" w:hAnsi="宋体"/>
          <w:szCs w:val="21"/>
        </w:rPr>
        <w:t>支持血液超时未开始自动提醒功能。</w:t>
      </w:r>
    </w:p>
    <w:p w14:paraId="54D86585">
      <w:pPr>
        <w:spacing w:line="400" w:lineRule="exact"/>
        <w:ind w:firstLine="420" w:firstLineChars="200"/>
        <w:rPr>
          <w:rFonts w:hint="eastAsia" w:ascii="宋体" w:hAnsi="宋体"/>
          <w:szCs w:val="21"/>
        </w:rPr>
      </w:pPr>
      <w:r>
        <w:rPr>
          <w:rFonts w:hint="eastAsia" w:ascii="宋体" w:hAnsi="宋体"/>
          <w:szCs w:val="21"/>
        </w:rPr>
        <w:t>巡视记录：</w:t>
      </w:r>
    </w:p>
    <w:p w14:paraId="0CBB89A5">
      <w:pPr>
        <w:spacing w:line="400" w:lineRule="exact"/>
        <w:ind w:firstLine="420" w:firstLineChars="200"/>
        <w:rPr>
          <w:rFonts w:hint="eastAsia" w:ascii="宋体" w:hAnsi="宋体"/>
          <w:szCs w:val="21"/>
        </w:rPr>
      </w:pPr>
      <w:r>
        <w:rPr>
          <w:rFonts w:hint="eastAsia" w:ascii="宋体" w:hAnsi="宋体"/>
          <w:szCs w:val="21"/>
        </w:rPr>
        <w:t>护理人员在病人输血过程中，进行巡视，观察患者的输血情况、生命体征等情况，并记录；</w:t>
      </w:r>
    </w:p>
    <w:p w14:paraId="119C28C1">
      <w:pPr>
        <w:spacing w:line="400" w:lineRule="exact"/>
        <w:ind w:firstLine="420" w:firstLineChars="200"/>
        <w:rPr>
          <w:rFonts w:hint="eastAsia" w:ascii="宋体" w:hAnsi="宋体"/>
          <w:szCs w:val="21"/>
        </w:rPr>
      </w:pPr>
      <w:r>
        <w:rPr>
          <w:rFonts w:hint="eastAsia" w:ascii="宋体" w:hAnsi="宋体"/>
          <w:szCs w:val="21"/>
        </w:rPr>
        <w:t>巡视时间（如 15 分钟、30 分钟等）可根据护理部要求在系统中自定义设置巡视时间点；</w:t>
      </w:r>
    </w:p>
    <w:p w14:paraId="2ED4353A">
      <w:pPr>
        <w:spacing w:line="400" w:lineRule="exact"/>
        <w:ind w:firstLine="420" w:firstLineChars="200"/>
        <w:rPr>
          <w:rFonts w:hint="eastAsia" w:ascii="宋体" w:hAnsi="宋体"/>
          <w:szCs w:val="21"/>
        </w:rPr>
      </w:pPr>
      <w:r>
        <w:rPr>
          <w:rFonts w:hint="eastAsia" w:ascii="宋体" w:hAnsi="宋体"/>
          <w:szCs w:val="21"/>
        </w:rPr>
        <w:t>巡视内容包括患者一般情况、滴数、体温、脉搏、血压、呼吸频率、心律等；</w:t>
      </w:r>
    </w:p>
    <w:p w14:paraId="1E0AC5FE">
      <w:pPr>
        <w:spacing w:line="400" w:lineRule="exact"/>
        <w:ind w:firstLine="420" w:firstLineChars="200"/>
        <w:rPr>
          <w:rFonts w:hint="eastAsia" w:ascii="宋体" w:hAnsi="宋体"/>
          <w:szCs w:val="21"/>
        </w:rPr>
      </w:pPr>
      <w:r>
        <w:rPr>
          <w:rFonts w:hint="eastAsia" w:ascii="宋体" w:hAnsi="宋体"/>
          <w:szCs w:val="21"/>
        </w:rPr>
        <w:t>在巡视途中发生不良反应可以进行不良反应登记、处置、上报内容等信息填写;</w:t>
      </w:r>
    </w:p>
    <w:p w14:paraId="1E5A6589">
      <w:pPr>
        <w:spacing w:line="400" w:lineRule="exact"/>
        <w:ind w:firstLine="420" w:firstLineChars="200"/>
        <w:rPr>
          <w:rFonts w:hint="eastAsia" w:ascii="宋体" w:hAnsi="宋体"/>
          <w:szCs w:val="21"/>
        </w:rPr>
      </w:pPr>
      <w:r>
        <w:rPr>
          <w:rFonts w:hint="eastAsia" w:ascii="宋体" w:hAnsi="宋体"/>
          <w:szCs w:val="21"/>
        </w:rPr>
        <w:t>支持 PDA 系统对接。</w:t>
      </w:r>
    </w:p>
    <w:p w14:paraId="0CF5FE75">
      <w:pPr>
        <w:spacing w:line="400" w:lineRule="exact"/>
        <w:ind w:firstLine="420" w:firstLineChars="200"/>
        <w:rPr>
          <w:rFonts w:hint="eastAsia" w:ascii="宋体" w:hAnsi="宋体"/>
          <w:szCs w:val="21"/>
        </w:rPr>
      </w:pPr>
      <w:r>
        <w:rPr>
          <w:rFonts w:hint="eastAsia" w:ascii="宋体" w:hAnsi="宋体"/>
          <w:szCs w:val="21"/>
        </w:rPr>
        <w:t>结束输血：</w:t>
      </w:r>
    </w:p>
    <w:p w14:paraId="542F7F22">
      <w:pPr>
        <w:spacing w:line="400" w:lineRule="exact"/>
        <w:ind w:firstLine="420" w:firstLineChars="200"/>
        <w:rPr>
          <w:rFonts w:hint="eastAsia" w:ascii="宋体" w:hAnsi="宋体"/>
          <w:szCs w:val="21"/>
        </w:rPr>
      </w:pPr>
      <w:r>
        <w:rPr>
          <w:rFonts w:hint="eastAsia" w:ascii="宋体" w:hAnsi="宋体"/>
          <w:szCs w:val="21"/>
        </w:rPr>
        <w:t>临床护士准备完成输血，在输血管理系统中扫描腕带和血袋条码获取血液信息和患者信息逐一核对后确定无误后，记录结束时间；</w:t>
      </w:r>
    </w:p>
    <w:p w14:paraId="3D2D10C5">
      <w:pPr>
        <w:spacing w:line="400" w:lineRule="exact"/>
        <w:ind w:firstLine="420" w:firstLineChars="200"/>
        <w:rPr>
          <w:rFonts w:hint="eastAsia" w:ascii="宋体" w:hAnsi="宋体"/>
          <w:szCs w:val="21"/>
        </w:rPr>
      </w:pPr>
      <w:r>
        <w:rPr>
          <w:rFonts w:hint="eastAsia" w:ascii="宋体" w:hAnsi="宋体"/>
          <w:szCs w:val="21"/>
        </w:rPr>
        <w:t>支持输注后 4 小时未结束自动提醒功能；</w:t>
      </w:r>
    </w:p>
    <w:p w14:paraId="04E9321B">
      <w:pPr>
        <w:spacing w:line="400" w:lineRule="exact"/>
        <w:ind w:firstLine="420" w:firstLineChars="200"/>
        <w:rPr>
          <w:rFonts w:hint="eastAsia" w:ascii="宋体" w:hAnsi="宋体"/>
          <w:szCs w:val="21"/>
        </w:rPr>
      </w:pPr>
      <w:r>
        <w:rPr>
          <w:rFonts w:hint="eastAsia" w:ascii="宋体" w:hAnsi="宋体"/>
          <w:szCs w:val="21"/>
        </w:rPr>
        <w:t>支持 PDA 系统对接。</w:t>
      </w:r>
    </w:p>
    <w:p w14:paraId="0133F5CD">
      <w:pPr>
        <w:spacing w:line="400" w:lineRule="exact"/>
        <w:ind w:firstLine="420" w:firstLineChars="200"/>
        <w:rPr>
          <w:rFonts w:hint="eastAsia" w:ascii="宋体" w:hAnsi="宋体"/>
          <w:szCs w:val="21"/>
        </w:rPr>
      </w:pPr>
      <w:r>
        <w:rPr>
          <w:rFonts w:hint="eastAsia" w:ascii="宋体" w:hAnsi="宋体"/>
          <w:szCs w:val="21"/>
        </w:rPr>
        <w:t>血袋回收登记：</w:t>
      </w:r>
    </w:p>
    <w:p w14:paraId="41697198">
      <w:pPr>
        <w:spacing w:line="400" w:lineRule="exact"/>
        <w:ind w:firstLine="420" w:firstLineChars="200"/>
        <w:rPr>
          <w:rFonts w:hint="eastAsia" w:ascii="宋体" w:hAnsi="宋体"/>
          <w:szCs w:val="21"/>
        </w:rPr>
      </w:pPr>
      <w:r>
        <w:rPr>
          <w:rFonts w:hint="eastAsia" w:ascii="宋体" w:hAnsi="宋体"/>
          <w:szCs w:val="21"/>
        </w:rPr>
        <w:t>输血结束后临床护士需要将血袋拿回到护士站保存，护士在输血管理系统中通过扫描血袋条码获取血液信息逐一核对后，记录回收登记人和回收登记时间。</w:t>
      </w:r>
    </w:p>
    <w:p w14:paraId="0537AFF0">
      <w:pPr>
        <w:spacing w:line="400" w:lineRule="exact"/>
        <w:ind w:firstLine="420" w:firstLineChars="200"/>
        <w:rPr>
          <w:rFonts w:hint="eastAsia" w:ascii="宋体" w:hAnsi="宋体"/>
          <w:szCs w:val="21"/>
        </w:rPr>
      </w:pPr>
      <w:r>
        <w:rPr>
          <w:rFonts w:hint="eastAsia" w:ascii="宋体" w:hAnsi="宋体"/>
          <w:szCs w:val="21"/>
        </w:rPr>
        <w:t>血袋销毁：</w:t>
      </w:r>
    </w:p>
    <w:p w14:paraId="44652F5A">
      <w:pPr>
        <w:spacing w:line="400" w:lineRule="exact"/>
        <w:ind w:firstLine="420" w:firstLineChars="200"/>
        <w:rPr>
          <w:rFonts w:hint="eastAsia" w:ascii="宋体" w:hAnsi="宋体"/>
          <w:szCs w:val="21"/>
        </w:rPr>
      </w:pPr>
      <w:r>
        <w:rPr>
          <w:rFonts w:hint="eastAsia" w:ascii="宋体" w:hAnsi="宋体"/>
          <w:szCs w:val="21"/>
        </w:rPr>
        <w:t>血袋回收后，将血袋保存一定时间后，患者未发生不良反应，护士在输血管理系统中扫描血袋条码获取血液信息逐一核对后，记录销毁人和销毁时间；</w:t>
      </w:r>
    </w:p>
    <w:p w14:paraId="78D66D21">
      <w:pPr>
        <w:spacing w:line="400" w:lineRule="exact"/>
        <w:ind w:firstLine="420" w:firstLineChars="200"/>
        <w:rPr>
          <w:rFonts w:hint="eastAsia" w:ascii="宋体" w:hAnsi="宋体"/>
          <w:szCs w:val="21"/>
        </w:rPr>
      </w:pPr>
      <w:r>
        <w:rPr>
          <w:rFonts w:hint="eastAsia" w:ascii="宋体" w:hAnsi="宋体"/>
          <w:szCs w:val="21"/>
        </w:rPr>
        <w:t>支持打印销毁清单。</w:t>
      </w:r>
    </w:p>
    <w:p w14:paraId="5525783C">
      <w:pPr>
        <w:spacing w:line="400" w:lineRule="exact"/>
        <w:ind w:firstLine="420" w:firstLineChars="200"/>
        <w:rPr>
          <w:rFonts w:hint="eastAsia" w:ascii="宋体" w:hAnsi="宋体"/>
          <w:szCs w:val="21"/>
        </w:rPr>
      </w:pPr>
      <w:r>
        <w:rPr>
          <w:rFonts w:hint="eastAsia" w:ascii="宋体" w:hAnsi="宋体"/>
          <w:szCs w:val="21"/>
        </w:rPr>
        <w:t>打印输血过程护理记录单:</w:t>
      </w:r>
    </w:p>
    <w:p w14:paraId="19826958">
      <w:pPr>
        <w:spacing w:line="400" w:lineRule="exact"/>
        <w:ind w:firstLine="420" w:firstLineChars="200"/>
        <w:rPr>
          <w:rFonts w:hint="eastAsia" w:ascii="宋体" w:hAnsi="宋体"/>
          <w:szCs w:val="21"/>
        </w:rPr>
      </w:pPr>
      <w:r>
        <w:rPr>
          <w:rFonts w:hint="eastAsia" w:ascii="宋体" w:hAnsi="宋体"/>
          <w:szCs w:val="21"/>
        </w:rPr>
        <w:t>支持血液溯源；</w:t>
      </w:r>
    </w:p>
    <w:p w14:paraId="3B101CC0">
      <w:pPr>
        <w:spacing w:line="400" w:lineRule="exact"/>
        <w:ind w:firstLine="420" w:firstLineChars="200"/>
        <w:rPr>
          <w:rFonts w:hint="eastAsia" w:ascii="宋体" w:hAnsi="宋体"/>
          <w:szCs w:val="21"/>
        </w:rPr>
      </w:pPr>
      <w:r>
        <w:rPr>
          <w:rFonts w:hint="eastAsia" w:ascii="宋体" w:hAnsi="宋体"/>
          <w:szCs w:val="21"/>
        </w:rPr>
        <w:t>支持临床自主打印发血报告；</w:t>
      </w:r>
    </w:p>
    <w:p w14:paraId="742BCC09">
      <w:pPr>
        <w:spacing w:line="400" w:lineRule="exact"/>
        <w:ind w:firstLine="420" w:firstLineChars="200"/>
        <w:rPr>
          <w:rFonts w:hint="eastAsia" w:ascii="宋体" w:hAnsi="宋体"/>
          <w:szCs w:val="21"/>
        </w:rPr>
      </w:pPr>
      <w:r>
        <w:rPr>
          <w:rFonts w:hint="eastAsia" w:ascii="宋体" w:hAnsi="宋体"/>
          <w:szCs w:val="21"/>
        </w:rPr>
        <w:t>支持临床查看配血相关情况；</w:t>
      </w:r>
    </w:p>
    <w:p w14:paraId="4F3F70C0">
      <w:pPr>
        <w:spacing w:line="400" w:lineRule="exact"/>
        <w:ind w:firstLine="420" w:firstLineChars="200"/>
        <w:rPr>
          <w:rFonts w:hint="eastAsia" w:ascii="宋体" w:hAnsi="宋体"/>
          <w:szCs w:val="21"/>
        </w:rPr>
      </w:pPr>
      <w:r>
        <w:rPr>
          <w:rFonts w:hint="eastAsia" w:ascii="宋体" w:hAnsi="宋体"/>
          <w:szCs w:val="21"/>
        </w:rPr>
        <w:t>支持临床统计本科用血量。</w:t>
      </w:r>
    </w:p>
    <w:p w14:paraId="4FD55CC7">
      <w:pPr>
        <w:spacing w:line="400" w:lineRule="exact"/>
        <w:ind w:firstLine="420" w:firstLineChars="200"/>
        <w:rPr>
          <w:rFonts w:hint="eastAsia" w:ascii="宋体" w:hAnsi="宋体"/>
          <w:szCs w:val="21"/>
        </w:rPr>
      </w:pPr>
      <w:r>
        <w:rPr>
          <w:rFonts w:hint="eastAsia" w:ascii="宋体" w:hAnsi="宋体"/>
          <w:szCs w:val="21"/>
        </w:rPr>
        <w:t>9、不良反应管理</w:t>
      </w:r>
    </w:p>
    <w:p w14:paraId="47550EC4">
      <w:pPr>
        <w:spacing w:line="400" w:lineRule="exact"/>
        <w:ind w:firstLine="420" w:firstLineChars="200"/>
        <w:rPr>
          <w:rFonts w:hint="eastAsia" w:ascii="宋体" w:hAnsi="宋体"/>
          <w:szCs w:val="21"/>
        </w:rPr>
      </w:pPr>
      <w:r>
        <w:rPr>
          <w:rFonts w:hint="eastAsia" w:ascii="宋体" w:hAnsi="宋体"/>
          <w:szCs w:val="21"/>
        </w:rPr>
        <w:t>在输血完成后护士需要在输血管理填写输血反馈，记录患者在输血过程中不良反应与输血结束后的不良反应情况，如发生不良反应，上报医生；</w:t>
      </w:r>
    </w:p>
    <w:p w14:paraId="25245231">
      <w:pPr>
        <w:spacing w:line="400" w:lineRule="exact"/>
        <w:ind w:firstLine="420" w:firstLineChars="200"/>
        <w:rPr>
          <w:rFonts w:hint="eastAsia" w:ascii="宋体" w:hAnsi="宋体"/>
          <w:szCs w:val="21"/>
        </w:rPr>
      </w:pPr>
      <w:r>
        <w:rPr>
          <w:rFonts w:hint="eastAsia" w:ascii="宋体" w:hAnsi="宋体"/>
          <w:szCs w:val="21"/>
        </w:rPr>
        <w:t>支持医生在输血管理系统中勾选不良反应类型，系统会自动匹配出临床症状供医生选择，同时支持医生填写处置过程及患者改善情况，填写完成后打印输血不良反应单和血袋送回输血科；</w:t>
      </w:r>
    </w:p>
    <w:p w14:paraId="7D71E53C">
      <w:pPr>
        <w:spacing w:line="400" w:lineRule="exact"/>
        <w:ind w:firstLine="420" w:firstLineChars="200"/>
        <w:rPr>
          <w:rFonts w:hint="eastAsia" w:ascii="宋体" w:hAnsi="宋体"/>
          <w:szCs w:val="21"/>
        </w:rPr>
      </w:pPr>
      <w:r>
        <w:rPr>
          <w:rFonts w:hint="eastAsia" w:ascii="宋体" w:hAnsi="宋体"/>
          <w:szCs w:val="21"/>
        </w:rPr>
        <w:t>临床上报不良反应后，输血科电脑自动弹出不良反应发生情况及血液信息、临床处理过程等，输血科需要对不良反应进行确认及排除不良反应原因后给临床反馈。</w:t>
      </w:r>
    </w:p>
    <w:p w14:paraId="15741AEC">
      <w:pPr>
        <w:spacing w:line="400" w:lineRule="exact"/>
        <w:ind w:firstLine="420" w:firstLineChars="200"/>
        <w:rPr>
          <w:rFonts w:hint="eastAsia" w:ascii="宋体" w:hAnsi="宋体"/>
          <w:szCs w:val="21"/>
        </w:rPr>
      </w:pPr>
      <w:r>
        <w:rPr>
          <w:rFonts w:hint="eastAsia" w:ascii="宋体" w:hAnsi="宋体"/>
          <w:szCs w:val="21"/>
        </w:rPr>
        <w:t>10、血液制品全过程监控管理系统</w:t>
      </w:r>
    </w:p>
    <w:p w14:paraId="22398769">
      <w:pPr>
        <w:spacing w:line="400" w:lineRule="exact"/>
        <w:ind w:firstLine="420" w:firstLineChars="200"/>
        <w:rPr>
          <w:rFonts w:hint="eastAsia" w:ascii="宋体" w:hAnsi="宋体"/>
          <w:szCs w:val="21"/>
        </w:rPr>
      </w:pPr>
      <w:r>
        <w:rPr>
          <w:rFonts w:hint="eastAsia" w:ascii="宋体" w:hAnsi="宋体"/>
          <w:szCs w:val="21"/>
        </w:rPr>
        <w:t>全院：输血科监控大屏 可实时监控临床申请单情况和今日工作量，同时可以监控输血必检项目情况、不良反应情况、血袋回收情况、输血后疗效评价等。实时监控哪些患者正在输血情况，还具备输血科库存实时监控、血液出入库、科室用血占比等。</w:t>
      </w:r>
    </w:p>
    <w:p w14:paraId="140C790D">
      <w:pPr>
        <w:spacing w:line="400" w:lineRule="exact"/>
        <w:ind w:firstLine="420" w:firstLineChars="200"/>
        <w:rPr>
          <w:rFonts w:hint="eastAsia" w:ascii="宋体" w:hAnsi="宋体"/>
          <w:szCs w:val="21"/>
        </w:rPr>
      </w:pPr>
      <w:r>
        <w:rPr>
          <w:rFonts w:hint="eastAsia" w:ascii="宋体" w:hAnsi="宋体"/>
          <w:szCs w:val="21"/>
        </w:rPr>
        <w:t>11 、血袋管理系统</w:t>
      </w:r>
    </w:p>
    <w:p w14:paraId="3D8C9A26">
      <w:pPr>
        <w:spacing w:line="400" w:lineRule="exact"/>
        <w:ind w:firstLine="420" w:firstLineChars="200"/>
        <w:rPr>
          <w:rFonts w:hint="eastAsia" w:ascii="宋体" w:hAnsi="宋体"/>
          <w:szCs w:val="21"/>
        </w:rPr>
      </w:pPr>
      <w:r>
        <w:rPr>
          <w:rFonts w:hint="eastAsia" w:ascii="宋体" w:hAnsi="宋体"/>
          <w:szCs w:val="21"/>
        </w:rPr>
        <w:t>血液输注完成后按要求立即送回输血科回收，输血科人员在输血管理系统中扫描条码确认血袋回收；</w:t>
      </w:r>
    </w:p>
    <w:p w14:paraId="56028702">
      <w:pPr>
        <w:spacing w:line="400" w:lineRule="exact"/>
        <w:ind w:firstLine="420" w:firstLineChars="200"/>
        <w:rPr>
          <w:rFonts w:hint="eastAsia" w:ascii="宋体" w:hAnsi="宋体"/>
          <w:szCs w:val="21"/>
        </w:rPr>
      </w:pPr>
      <w:r>
        <w:rPr>
          <w:rFonts w:hint="eastAsia" w:ascii="宋体" w:hAnsi="宋体"/>
          <w:szCs w:val="21"/>
        </w:rPr>
        <w:t>支持打印回收清单;</w:t>
      </w:r>
    </w:p>
    <w:p w14:paraId="3A024473">
      <w:pPr>
        <w:spacing w:line="400" w:lineRule="exact"/>
        <w:ind w:firstLine="420" w:firstLineChars="200"/>
        <w:rPr>
          <w:rFonts w:hint="eastAsia" w:ascii="宋体" w:hAnsi="宋体"/>
          <w:szCs w:val="21"/>
        </w:rPr>
      </w:pPr>
      <w:r>
        <w:rPr>
          <w:rFonts w:hint="eastAsia" w:ascii="宋体" w:hAnsi="宋体"/>
          <w:szCs w:val="21"/>
        </w:rPr>
        <w:t>支持临床血袋打包，扫描打包条码进行批量回收；</w:t>
      </w:r>
    </w:p>
    <w:p w14:paraId="0408B8C3">
      <w:pPr>
        <w:spacing w:line="400" w:lineRule="exact"/>
        <w:ind w:firstLine="420" w:firstLineChars="200"/>
        <w:rPr>
          <w:rFonts w:hint="eastAsia" w:ascii="宋体" w:hAnsi="宋体"/>
          <w:szCs w:val="21"/>
        </w:rPr>
      </w:pPr>
      <w:r>
        <w:rPr>
          <w:rFonts w:hint="eastAsia" w:ascii="宋体" w:hAnsi="宋体"/>
          <w:szCs w:val="21"/>
        </w:rPr>
        <w:t>支持记录送回人和保存冰箱；</w:t>
      </w:r>
    </w:p>
    <w:p w14:paraId="5DA4C12B">
      <w:pPr>
        <w:spacing w:line="400" w:lineRule="exact"/>
        <w:ind w:firstLine="420" w:firstLineChars="200"/>
        <w:rPr>
          <w:rFonts w:hint="eastAsia" w:ascii="宋体" w:hAnsi="宋体"/>
          <w:szCs w:val="21"/>
        </w:rPr>
      </w:pPr>
      <w:r>
        <w:rPr>
          <w:rFonts w:hint="eastAsia" w:ascii="宋体" w:hAnsi="宋体"/>
          <w:szCs w:val="21"/>
        </w:rPr>
        <w:t>支持血袋回收后销毁，记录销毁人和销毁时间；</w:t>
      </w:r>
    </w:p>
    <w:p w14:paraId="14936E88">
      <w:pPr>
        <w:spacing w:line="400" w:lineRule="exact"/>
        <w:ind w:firstLine="420" w:firstLineChars="200"/>
        <w:rPr>
          <w:rFonts w:hint="eastAsia" w:ascii="宋体" w:hAnsi="宋体"/>
          <w:szCs w:val="21"/>
        </w:rPr>
      </w:pPr>
      <w:r>
        <w:rPr>
          <w:rFonts w:hint="eastAsia" w:ascii="宋体" w:hAnsi="宋体"/>
          <w:szCs w:val="21"/>
        </w:rPr>
        <w:t>支持打印销毁清单。</w:t>
      </w:r>
    </w:p>
    <w:p w14:paraId="77041E10">
      <w:pPr>
        <w:spacing w:line="400" w:lineRule="exact"/>
        <w:ind w:firstLine="420" w:firstLineChars="200"/>
        <w:rPr>
          <w:rFonts w:hint="eastAsia" w:ascii="宋体" w:hAnsi="宋体"/>
          <w:szCs w:val="21"/>
        </w:rPr>
      </w:pPr>
      <w:r>
        <w:rPr>
          <w:rFonts w:hint="eastAsia" w:ascii="宋体" w:hAnsi="宋体"/>
          <w:szCs w:val="21"/>
        </w:rPr>
        <w:t>12 、用血评价及输血疗效评估系统</w:t>
      </w:r>
    </w:p>
    <w:p w14:paraId="740230AA">
      <w:pPr>
        <w:spacing w:line="400" w:lineRule="exact"/>
        <w:ind w:firstLine="420" w:firstLineChars="200"/>
        <w:rPr>
          <w:rFonts w:hint="eastAsia" w:ascii="宋体" w:hAnsi="宋体"/>
          <w:szCs w:val="21"/>
        </w:rPr>
      </w:pPr>
      <w:r>
        <w:rPr>
          <w:rFonts w:hint="eastAsia" w:ascii="宋体" w:hAnsi="宋体"/>
          <w:szCs w:val="21"/>
        </w:rPr>
        <w:t>支持根据病人输血前与输血后体征、检验检查结果、临床症状来评价输血的合理性与疗效性；</w:t>
      </w:r>
    </w:p>
    <w:p w14:paraId="1311D67B">
      <w:pPr>
        <w:spacing w:line="400" w:lineRule="exact"/>
        <w:ind w:firstLine="420" w:firstLineChars="200"/>
        <w:rPr>
          <w:rFonts w:hint="eastAsia" w:ascii="宋体" w:hAnsi="宋体"/>
          <w:szCs w:val="21"/>
        </w:rPr>
      </w:pPr>
      <w:r>
        <w:rPr>
          <w:rFonts w:hint="eastAsia" w:ascii="宋体" w:hAnsi="宋体"/>
          <w:szCs w:val="21"/>
        </w:rPr>
        <w:t>支持血红蛋白恢复率、血小板输注效果等并根据患者体征和相应实验室指标换算输血后疗疗效。</w:t>
      </w:r>
    </w:p>
    <w:p w14:paraId="2E5DF5BD">
      <w:pPr>
        <w:spacing w:line="400" w:lineRule="exact"/>
        <w:ind w:firstLine="420" w:firstLineChars="200"/>
        <w:rPr>
          <w:rFonts w:hint="eastAsia" w:ascii="宋体" w:hAnsi="宋体"/>
          <w:szCs w:val="21"/>
        </w:rPr>
      </w:pPr>
      <w:r>
        <w:rPr>
          <w:rFonts w:hint="eastAsia" w:ascii="宋体" w:hAnsi="宋体"/>
          <w:szCs w:val="21"/>
        </w:rPr>
        <w:t>13、输血治疗管理</w:t>
      </w:r>
    </w:p>
    <w:p w14:paraId="65A93152">
      <w:pPr>
        <w:spacing w:line="400" w:lineRule="exact"/>
        <w:ind w:firstLine="420" w:firstLineChars="200"/>
        <w:rPr>
          <w:rFonts w:hint="eastAsia" w:ascii="宋体" w:hAnsi="宋体"/>
          <w:szCs w:val="21"/>
        </w:rPr>
      </w:pPr>
      <w:r>
        <w:rPr>
          <w:rFonts w:hint="eastAsia" w:ascii="宋体" w:hAnsi="宋体"/>
          <w:szCs w:val="21"/>
        </w:rPr>
        <w:t>支持富血小板血浆、血液置换术、血液成分去除术、胰腺炎治疗、人工肝、三氧自体血治疗等治疗的评估、同意书、申请单、治疗记录等。</w:t>
      </w:r>
    </w:p>
    <w:p w14:paraId="26D5F294">
      <w:pPr>
        <w:spacing w:line="400" w:lineRule="exact"/>
        <w:ind w:firstLine="420" w:firstLineChars="200"/>
        <w:rPr>
          <w:rFonts w:hint="eastAsia" w:ascii="宋体" w:hAnsi="宋体"/>
          <w:szCs w:val="21"/>
        </w:rPr>
      </w:pPr>
      <w:r>
        <w:rPr>
          <w:rFonts w:hint="eastAsia" w:ascii="宋体" w:hAnsi="宋体"/>
          <w:szCs w:val="21"/>
        </w:rPr>
        <w:t>14、自体输血管理</w:t>
      </w:r>
    </w:p>
    <w:p w14:paraId="78C7DECB">
      <w:pPr>
        <w:spacing w:line="400" w:lineRule="exact"/>
        <w:ind w:firstLine="420" w:firstLineChars="200"/>
        <w:rPr>
          <w:rFonts w:hint="eastAsia" w:ascii="宋体" w:hAnsi="宋体"/>
          <w:szCs w:val="21"/>
        </w:rPr>
      </w:pPr>
      <w:r>
        <w:rPr>
          <w:rFonts w:hint="eastAsia" w:ascii="宋体" w:hAnsi="宋体"/>
          <w:szCs w:val="21"/>
        </w:rPr>
        <w:t>自体输血具有和临床异体输血同样管理功能，含输血前评估、知情同意书、自体用血申请、血液输注、疗效评价等流程管理；</w:t>
      </w:r>
    </w:p>
    <w:p w14:paraId="26BB1971">
      <w:pPr>
        <w:spacing w:line="400" w:lineRule="exact"/>
        <w:ind w:firstLine="420" w:firstLineChars="200"/>
        <w:rPr>
          <w:rFonts w:hint="eastAsia" w:ascii="宋体" w:hAnsi="宋体"/>
          <w:szCs w:val="21"/>
        </w:rPr>
      </w:pPr>
      <w:r>
        <w:rPr>
          <w:rFonts w:hint="eastAsia" w:ascii="宋体" w:hAnsi="宋体"/>
          <w:szCs w:val="21"/>
        </w:rPr>
        <w:t>支持自体血入库打印标签；</w:t>
      </w:r>
    </w:p>
    <w:p w14:paraId="72CBDC17">
      <w:pPr>
        <w:spacing w:line="400" w:lineRule="exact"/>
        <w:ind w:firstLine="420" w:firstLineChars="200"/>
        <w:rPr>
          <w:rFonts w:hint="eastAsia" w:ascii="宋体" w:hAnsi="宋体"/>
          <w:szCs w:val="21"/>
        </w:rPr>
      </w:pPr>
      <w:r>
        <w:rPr>
          <w:rFonts w:hint="eastAsia" w:ascii="宋体" w:hAnsi="宋体"/>
          <w:szCs w:val="21"/>
        </w:rPr>
        <w:t>支持自体血计费；</w:t>
      </w:r>
    </w:p>
    <w:p w14:paraId="11C7489B">
      <w:pPr>
        <w:spacing w:line="400" w:lineRule="exact"/>
        <w:ind w:firstLine="420" w:firstLineChars="200"/>
        <w:rPr>
          <w:rFonts w:hint="eastAsia" w:ascii="宋体" w:hAnsi="宋体"/>
          <w:szCs w:val="21"/>
        </w:rPr>
      </w:pPr>
      <w:r>
        <w:rPr>
          <w:rFonts w:hint="eastAsia" w:ascii="宋体" w:hAnsi="宋体"/>
          <w:szCs w:val="21"/>
        </w:rPr>
        <w:t>支持血液发放管理。</w:t>
      </w:r>
    </w:p>
    <w:p w14:paraId="25392BAA">
      <w:pPr>
        <w:spacing w:line="400" w:lineRule="exact"/>
        <w:ind w:firstLine="420" w:firstLineChars="200"/>
        <w:rPr>
          <w:rFonts w:hint="eastAsia" w:ascii="宋体" w:hAnsi="宋体"/>
          <w:szCs w:val="21"/>
        </w:rPr>
      </w:pPr>
      <w:r>
        <w:rPr>
          <w:rFonts w:hint="eastAsia" w:ascii="宋体" w:hAnsi="宋体"/>
          <w:szCs w:val="21"/>
        </w:rPr>
        <w:t>15、费用管理</w:t>
      </w:r>
    </w:p>
    <w:p w14:paraId="1D4CEBEE">
      <w:pPr>
        <w:spacing w:line="400" w:lineRule="exact"/>
        <w:ind w:firstLine="420" w:firstLineChars="200"/>
        <w:rPr>
          <w:rFonts w:hint="eastAsia" w:ascii="宋体" w:hAnsi="宋体"/>
          <w:szCs w:val="21"/>
        </w:rPr>
      </w:pPr>
      <w:r>
        <w:rPr>
          <w:rFonts w:hint="eastAsia" w:ascii="宋体" w:hAnsi="宋体"/>
          <w:szCs w:val="21"/>
        </w:rPr>
        <w:t>支持根据血液成分、血型、规格、配血方法等设置不同的计价规则；</w:t>
      </w:r>
    </w:p>
    <w:p w14:paraId="2B03D4C4">
      <w:pPr>
        <w:spacing w:line="400" w:lineRule="exact"/>
        <w:ind w:firstLine="420" w:firstLineChars="200"/>
        <w:rPr>
          <w:rFonts w:hint="eastAsia" w:ascii="宋体" w:hAnsi="宋体"/>
          <w:szCs w:val="21"/>
        </w:rPr>
      </w:pPr>
      <w:r>
        <w:rPr>
          <w:rFonts w:hint="eastAsia" w:ascii="宋体" w:hAnsi="宋体"/>
          <w:szCs w:val="21"/>
        </w:rPr>
        <w:t>支持配血审核时自动计配血费、血型复查费等；</w:t>
      </w:r>
    </w:p>
    <w:p w14:paraId="4D062BBC">
      <w:pPr>
        <w:spacing w:line="400" w:lineRule="exact"/>
        <w:ind w:firstLine="420" w:firstLineChars="200"/>
        <w:rPr>
          <w:rFonts w:hint="eastAsia" w:ascii="宋体" w:hAnsi="宋体"/>
          <w:szCs w:val="21"/>
        </w:rPr>
      </w:pPr>
      <w:r>
        <w:rPr>
          <w:rFonts w:hint="eastAsia" w:ascii="宋体" w:hAnsi="宋体"/>
          <w:szCs w:val="21"/>
        </w:rPr>
        <w:t>支持发血时按照血液量自动计血费；</w:t>
      </w:r>
    </w:p>
    <w:p w14:paraId="00C89E8C">
      <w:pPr>
        <w:spacing w:line="400" w:lineRule="exact"/>
        <w:ind w:firstLine="420" w:firstLineChars="200"/>
        <w:rPr>
          <w:rFonts w:hint="eastAsia" w:ascii="宋体" w:hAnsi="宋体"/>
          <w:szCs w:val="21"/>
        </w:rPr>
      </w:pPr>
      <w:r>
        <w:rPr>
          <w:rFonts w:hint="eastAsia" w:ascii="宋体" w:hAnsi="宋体"/>
          <w:szCs w:val="21"/>
        </w:rPr>
        <w:t>费用计价前支持弹框显示费用明细信息；</w:t>
      </w:r>
    </w:p>
    <w:p w14:paraId="2B770CC5">
      <w:pPr>
        <w:spacing w:line="400" w:lineRule="exact"/>
        <w:ind w:firstLine="420" w:firstLineChars="200"/>
        <w:rPr>
          <w:rFonts w:hint="eastAsia" w:ascii="宋体" w:hAnsi="宋体"/>
          <w:szCs w:val="21"/>
        </w:rPr>
      </w:pPr>
      <w:r>
        <w:rPr>
          <w:rFonts w:hint="eastAsia" w:ascii="宋体" w:hAnsi="宋体"/>
          <w:szCs w:val="21"/>
        </w:rPr>
        <w:t>支持人工修改费用数量，同时支持追加计费项目；</w:t>
      </w:r>
    </w:p>
    <w:p w14:paraId="1131A5FB">
      <w:pPr>
        <w:spacing w:line="400" w:lineRule="exact"/>
        <w:ind w:firstLine="420" w:firstLineChars="200"/>
        <w:rPr>
          <w:rFonts w:hint="eastAsia" w:ascii="宋体" w:hAnsi="宋体"/>
          <w:szCs w:val="21"/>
        </w:rPr>
      </w:pPr>
      <w:r>
        <w:rPr>
          <w:rFonts w:hint="eastAsia" w:ascii="宋体" w:hAnsi="宋体"/>
          <w:szCs w:val="21"/>
        </w:rPr>
        <w:t>支持退费，根据权限定义退费权限。</w:t>
      </w:r>
    </w:p>
    <w:p w14:paraId="38B946F1">
      <w:pPr>
        <w:spacing w:line="400" w:lineRule="exact"/>
        <w:ind w:firstLine="420" w:firstLineChars="200"/>
        <w:rPr>
          <w:rFonts w:hint="eastAsia" w:ascii="宋体" w:hAnsi="宋体"/>
          <w:szCs w:val="21"/>
        </w:rPr>
      </w:pPr>
      <w:r>
        <w:rPr>
          <w:rFonts w:hint="eastAsia" w:ascii="宋体" w:hAnsi="宋体"/>
          <w:szCs w:val="21"/>
        </w:rPr>
        <w:t>16、输血智能预警系统</w:t>
      </w:r>
    </w:p>
    <w:p w14:paraId="36E368F3">
      <w:pPr>
        <w:spacing w:line="400" w:lineRule="exact"/>
        <w:ind w:firstLine="420" w:firstLineChars="200"/>
        <w:rPr>
          <w:rFonts w:hint="eastAsia" w:ascii="宋体" w:hAnsi="宋体"/>
          <w:szCs w:val="21"/>
        </w:rPr>
      </w:pPr>
      <w:r>
        <w:rPr>
          <w:rFonts w:hint="eastAsia" w:ascii="宋体" w:hAnsi="宋体"/>
          <w:szCs w:val="21"/>
        </w:rPr>
        <w:t>紧急输血申请单提醒、不良反应超时未填写提醒、输血后疗效评价超时未填写提醒、申请单不合格退回提醒、备血消息提醒、取血消息提醒、血液超时未核收提醒、血液超时未开始提醒、血液超时未结束提醒、大量用血审批智能提醒等。</w:t>
      </w:r>
    </w:p>
    <w:p w14:paraId="4D3E08E5">
      <w:pPr>
        <w:spacing w:line="400" w:lineRule="exact"/>
        <w:ind w:firstLine="420" w:firstLineChars="200"/>
        <w:rPr>
          <w:rFonts w:hint="eastAsia" w:ascii="宋体" w:hAnsi="宋体"/>
          <w:szCs w:val="21"/>
        </w:rPr>
      </w:pPr>
      <w:r>
        <w:rPr>
          <w:rFonts w:hint="eastAsia" w:ascii="宋体" w:hAnsi="宋体"/>
          <w:szCs w:val="21"/>
        </w:rPr>
        <w:t>17、输血科合理性评估系统</w:t>
      </w:r>
    </w:p>
    <w:p w14:paraId="5FE81221">
      <w:pPr>
        <w:spacing w:line="400" w:lineRule="exact"/>
        <w:ind w:firstLine="420" w:firstLineChars="200"/>
        <w:rPr>
          <w:rFonts w:hint="eastAsia" w:ascii="宋体" w:hAnsi="宋体"/>
          <w:szCs w:val="21"/>
        </w:rPr>
      </w:pPr>
      <w:r>
        <w:rPr>
          <w:rFonts w:hint="eastAsia" w:ascii="宋体" w:hAnsi="宋体"/>
          <w:szCs w:val="21"/>
        </w:rPr>
        <w:t>输血科可以通过对该患者此次输血全过程进行把控，如输血前评估合理性、同意书签署情况、输血前必检项目的检查率、输血申请单的规范性、输血护理及时性、不良反应填写上报情况、输血后疗效分析、输血病程记录规范性等进行打分管理；</w:t>
      </w:r>
    </w:p>
    <w:p w14:paraId="650C6D21">
      <w:pPr>
        <w:spacing w:line="400" w:lineRule="exact"/>
        <w:ind w:firstLine="420" w:firstLineChars="200"/>
        <w:rPr>
          <w:rFonts w:hint="eastAsia" w:ascii="宋体" w:hAnsi="宋体"/>
          <w:szCs w:val="21"/>
        </w:rPr>
      </w:pPr>
      <w:r>
        <w:rPr>
          <w:rFonts w:hint="eastAsia" w:ascii="宋体" w:hAnsi="宋体"/>
          <w:szCs w:val="21"/>
        </w:rPr>
        <w:t>同时支持根据科室生成月度用血质量小结，对各科提出整改意见等。</w:t>
      </w:r>
    </w:p>
    <w:p w14:paraId="28C36F78">
      <w:pPr>
        <w:spacing w:line="400" w:lineRule="exact"/>
        <w:ind w:firstLine="420" w:firstLineChars="200"/>
        <w:rPr>
          <w:rFonts w:hint="eastAsia" w:ascii="宋体" w:hAnsi="宋体"/>
          <w:szCs w:val="21"/>
        </w:rPr>
      </w:pPr>
      <w:r>
        <w:rPr>
          <w:rFonts w:hint="eastAsia" w:ascii="宋体" w:hAnsi="宋体"/>
          <w:szCs w:val="21"/>
        </w:rPr>
        <w:t>18、输血质量指标管理</w:t>
      </w:r>
    </w:p>
    <w:p w14:paraId="6C981852">
      <w:pPr>
        <w:spacing w:line="400" w:lineRule="exact"/>
        <w:ind w:firstLine="420" w:firstLineChars="200"/>
        <w:rPr>
          <w:rFonts w:hint="eastAsia" w:ascii="宋体" w:hAnsi="宋体"/>
          <w:szCs w:val="21"/>
        </w:rPr>
      </w:pPr>
      <w:r>
        <w:rPr>
          <w:rFonts w:hint="eastAsia" w:ascii="宋体" w:hAnsi="宋体"/>
          <w:szCs w:val="21"/>
        </w:rPr>
        <w:t>根据《临床用血质量控制指标(2019年版)》要求系统可对 每千单位用血输血专业技术人员数、临床输血申请单合格率、受血者标本血型复查率、输血相容性检测项目室内质控率、输血相容性检测室间质评项目参加率、千输血人次输血不良反应上报例数、一二级手术台均用血量、三四级手术台均用血量、手术患者自体输血率、出院患者人均用血量等指标进行统计</w:t>
      </w:r>
    </w:p>
    <w:p w14:paraId="21E9F7CE">
      <w:pPr>
        <w:spacing w:line="400" w:lineRule="exact"/>
        <w:ind w:firstLine="420" w:firstLineChars="200"/>
        <w:rPr>
          <w:rFonts w:hint="eastAsia" w:ascii="宋体" w:hAnsi="宋体"/>
          <w:szCs w:val="21"/>
        </w:rPr>
      </w:pPr>
      <w:r>
        <w:rPr>
          <w:rFonts w:hint="eastAsia" w:ascii="宋体" w:hAnsi="宋体"/>
          <w:szCs w:val="21"/>
        </w:rPr>
        <w:t>19、标本存储管理</w:t>
      </w:r>
    </w:p>
    <w:p w14:paraId="27D4509C">
      <w:pPr>
        <w:spacing w:line="400" w:lineRule="exact"/>
        <w:ind w:firstLine="420" w:firstLineChars="200"/>
        <w:rPr>
          <w:rFonts w:hint="eastAsia" w:ascii="宋体" w:hAnsi="宋体"/>
          <w:szCs w:val="21"/>
        </w:rPr>
      </w:pPr>
      <w:r>
        <w:rPr>
          <w:rFonts w:hint="eastAsia" w:ascii="宋体" w:hAnsi="宋体"/>
          <w:szCs w:val="21"/>
        </w:rPr>
        <w:t>已经完成检验的标本（或：需要复查的标本、暂存待处理的标本），采用条形码全过程管理，进行统一存放，系统记录标本存放的具体位置，能快速查找到所需的标本；包括：标本入库、标本出库、标本归还、标本销毁。</w:t>
      </w:r>
    </w:p>
    <w:p w14:paraId="1725420C">
      <w:pPr>
        <w:spacing w:line="400" w:lineRule="exact"/>
        <w:ind w:firstLine="420" w:firstLineChars="200"/>
        <w:rPr>
          <w:rFonts w:hint="eastAsia" w:ascii="宋体" w:hAnsi="宋体"/>
          <w:szCs w:val="21"/>
        </w:rPr>
      </w:pPr>
      <w:r>
        <w:rPr>
          <w:rFonts w:hint="eastAsia" w:ascii="宋体" w:hAnsi="宋体"/>
          <w:szCs w:val="21"/>
        </w:rPr>
        <w:t>20、数字化自动温控系统</w:t>
      </w:r>
    </w:p>
    <w:p w14:paraId="0B6383E1">
      <w:pPr>
        <w:spacing w:line="400" w:lineRule="exact"/>
        <w:ind w:firstLine="420" w:firstLineChars="200"/>
        <w:rPr>
          <w:rFonts w:hint="eastAsia" w:ascii="宋体" w:hAnsi="宋体"/>
          <w:szCs w:val="21"/>
        </w:rPr>
      </w:pPr>
      <w:r>
        <w:rPr>
          <w:rFonts w:hint="eastAsia" w:ascii="宋体" w:hAnsi="宋体"/>
          <w:szCs w:val="21"/>
        </w:rPr>
        <w:t>输血科：BIS自身模块，非第三方系统，可实现各种血液贮存设备的温度监控和记录的管理支持血液冷链自动温控功能，能够提供即时浏览、报警处理记录、数据保存、数据导出、打印等功能，确保实现血液保存温度24小时自动监控。</w:t>
      </w:r>
    </w:p>
    <w:p w14:paraId="03C70717">
      <w:pPr>
        <w:spacing w:line="400" w:lineRule="exact"/>
        <w:ind w:firstLine="420" w:firstLineChars="200"/>
        <w:rPr>
          <w:rFonts w:hint="eastAsia" w:ascii="宋体" w:hAnsi="宋体"/>
          <w:szCs w:val="21"/>
        </w:rPr>
      </w:pPr>
      <w:r>
        <w:rPr>
          <w:rFonts w:hint="eastAsia" w:ascii="宋体" w:hAnsi="宋体"/>
          <w:szCs w:val="21"/>
        </w:rPr>
        <w:t>21、查询统计分析系统</w:t>
      </w:r>
    </w:p>
    <w:p w14:paraId="0567A140">
      <w:pPr>
        <w:spacing w:line="400" w:lineRule="exact"/>
        <w:ind w:firstLine="420" w:firstLineChars="200"/>
        <w:rPr>
          <w:rFonts w:hint="eastAsia" w:ascii="宋体" w:hAnsi="宋体"/>
          <w:szCs w:val="21"/>
        </w:rPr>
      </w:pPr>
      <w:r>
        <w:rPr>
          <w:rFonts w:hint="eastAsia" w:ascii="宋体" w:hAnsi="宋体"/>
          <w:szCs w:val="21"/>
        </w:rPr>
        <w:t>分为用血统计、申请单统计、输血质控等各种类型的统计分析报表；</w:t>
      </w:r>
    </w:p>
    <w:p w14:paraId="73A1C7F3">
      <w:pPr>
        <w:spacing w:line="400" w:lineRule="exact"/>
        <w:ind w:firstLine="420" w:firstLineChars="200"/>
        <w:rPr>
          <w:rFonts w:hint="eastAsia" w:ascii="宋体" w:hAnsi="宋体"/>
          <w:szCs w:val="21"/>
        </w:rPr>
      </w:pPr>
      <w:r>
        <w:rPr>
          <w:rFonts w:hint="eastAsia" w:ascii="宋体" w:hAnsi="宋体"/>
          <w:szCs w:val="21"/>
        </w:rPr>
        <w:t>用血统计：支持科室用血量统计、科室用血明细统计、医生大类用血量统计、医生小类用血量统计、科室人均用血量、医生人均用血量、输血人数统计、科室用血同比增长率、医生用血同比增长率、科室大类用血排名、科室用血小类排名、血液入库大类统计、血液入库小类统计、血液出库大类统计、血液出库小类统计、血液出入余统计、发血工作量统计、配血工作量统计、费用统计、输血类型统计、输血目的个数统计、血型用血量统计、季度用血情况、年度用血情况、住院患者血型分布、输血患者血型分布、手术与非手术患者血型分布、血液使用情况分析、报废清单统计、血袋退回血站统计、年度用血计划、年度科室用血计划、单病种统计等；</w:t>
      </w:r>
    </w:p>
    <w:p w14:paraId="20809BDB">
      <w:pPr>
        <w:spacing w:line="400" w:lineRule="exact"/>
        <w:ind w:firstLine="420" w:firstLineChars="200"/>
        <w:rPr>
          <w:rFonts w:hint="eastAsia" w:ascii="宋体" w:hAnsi="宋体"/>
          <w:szCs w:val="21"/>
        </w:rPr>
      </w:pPr>
      <w:r>
        <w:rPr>
          <w:rFonts w:hint="eastAsia" w:ascii="宋体" w:hAnsi="宋体"/>
          <w:szCs w:val="21"/>
        </w:rPr>
        <w:t>输血质控：支持科室输血时效分析、护士输血时效分析、输血不合格清单、科室核收时效分析、护士核收时效分析、核收不合格清单、发血时效分析、发血时效清单、血袋回收合格率、回收不合格清单、输血必检率统计、未检项目明细、输血不良反应、输血全过程清单等；</w:t>
      </w:r>
    </w:p>
    <w:p w14:paraId="00E7EDAA">
      <w:pPr>
        <w:spacing w:line="400" w:lineRule="exact"/>
        <w:ind w:firstLine="420" w:firstLineChars="200"/>
        <w:rPr>
          <w:rFonts w:hint="eastAsia" w:ascii="宋体" w:hAnsi="宋体"/>
          <w:szCs w:val="21"/>
        </w:rPr>
      </w:pPr>
      <w:r>
        <w:rPr>
          <w:rFonts w:hint="eastAsia" w:ascii="宋体" w:hAnsi="宋体"/>
          <w:szCs w:val="21"/>
        </w:rPr>
        <w:t>申请单统计：输血申请单统计、申请单类型统计、退回申请单统计、退回申请清单等。</w:t>
      </w:r>
    </w:p>
    <w:p w14:paraId="5C9542B6">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治疗管理系统</w:t>
      </w:r>
    </w:p>
    <w:p w14:paraId="652D238C">
      <w:pPr>
        <w:spacing w:line="400" w:lineRule="exact"/>
        <w:ind w:firstLine="420" w:firstLineChars="200"/>
        <w:rPr>
          <w:rFonts w:hint="eastAsia" w:ascii="宋体" w:hAnsi="宋体"/>
          <w:szCs w:val="21"/>
        </w:rPr>
      </w:pPr>
      <w:r>
        <w:rPr>
          <w:rFonts w:hint="eastAsia" w:ascii="宋体" w:hAnsi="宋体"/>
          <w:szCs w:val="21"/>
        </w:rPr>
        <w:t>系统用于高压氧、康复等治疗科室。治疗科室可以进行治疗患者管理，制定治疗计划，进行治疗评估以及治疗记录书写、治疗费用管理等治疗过程管理。</w:t>
      </w:r>
    </w:p>
    <w:p w14:paraId="0FB99897">
      <w:pPr>
        <w:spacing w:line="400" w:lineRule="exact"/>
        <w:ind w:firstLine="420" w:firstLineChars="200"/>
        <w:rPr>
          <w:rFonts w:hint="eastAsia" w:ascii="宋体" w:hAnsi="宋体"/>
          <w:szCs w:val="21"/>
        </w:rPr>
      </w:pPr>
      <w:r>
        <w:rPr>
          <w:rFonts w:hint="eastAsia" w:ascii="宋体" w:hAnsi="宋体"/>
          <w:szCs w:val="21"/>
        </w:rPr>
        <w:t>1、治疗患者管理</w:t>
      </w:r>
    </w:p>
    <w:p w14:paraId="5E1F8D74">
      <w:pPr>
        <w:spacing w:line="400" w:lineRule="exact"/>
        <w:ind w:firstLine="420" w:firstLineChars="200"/>
        <w:rPr>
          <w:rFonts w:hint="eastAsia" w:ascii="宋体" w:hAnsi="宋体"/>
          <w:szCs w:val="21"/>
        </w:rPr>
      </w:pPr>
      <w:r>
        <w:rPr>
          <w:rFonts w:hint="eastAsia" w:ascii="宋体" w:hAnsi="宋体"/>
          <w:szCs w:val="21"/>
        </w:rPr>
        <w:t>根据选择的治疗科室（例如高压氧室、康复科）自动获取需要做对应治疗的患者列表，包含门诊与住院病人。系统提供病人查询工具，能够将查询到的病人手工的添加到对应治疗患者列表，也支持将在治疗患者列表的患者移除。</w:t>
      </w:r>
    </w:p>
    <w:p w14:paraId="7B82889C">
      <w:pPr>
        <w:spacing w:line="400" w:lineRule="exact"/>
        <w:ind w:firstLine="420" w:firstLineChars="200"/>
        <w:rPr>
          <w:rFonts w:hint="eastAsia" w:ascii="宋体" w:hAnsi="宋体"/>
          <w:szCs w:val="21"/>
        </w:rPr>
      </w:pPr>
      <w:r>
        <w:rPr>
          <w:rFonts w:hint="eastAsia" w:ascii="宋体" w:hAnsi="宋体"/>
          <w:szCs w:val="21"/>
        </w:rPr>
        <w:t xml:space="preserve"> 2、治疗计划</w:t>
      </w:r>
    </w:p>
    <w:p w14:paraId="59BFB0F9">
      <w:pPr>
        <w:spacing w:line="400" w:lineRule="exact"/>
        <w:ind w:firstLine="420" w:firstLineChars="200"/>
        <w:rPr>
          <w:rFonts w:hint="eastAsia" w:ascii="宋体" w:hAnsi="宋体"/>
          <w:szCs w:val="21"/>
        </w:rPr>
      </w:pPr>
      <w:r>
        <w:rPr>
          <w:rFonts w:hint="eastAsia" w:ascii="宋体" w:hAnsi="宋体"/>
          <w:szCs w:val="21"/>
        </w:rPr>
        <w:t>支持门诊医生和住院医生在HIS系统开具治疗医嘱能够同步到治疗系统，治疗系统根据医嘱开具的项目与频次自动生成患者的治疗计划。治疗计划可查看治疗项目与次数、治疗日程、治疗执行人、治疗记录单等信息。治疗师在治疗系统可直接进行治疗开单，开单包含需要做的治疗项目以及执行人、执行科室等信息，开单后自动同步到治疗计划进行更新。</w:t>
      </w:r>
    </w:p>
    <w:p w14:paraId="29F5144E">
      <w:pPr>
        <w:spacing w:line="400" w:lineRule="exact"/>
        <w:ind w:firstLine="420" w:firstLineChars="200"/>
        <w:rPr>
          <w:rFonts w:hint="eastAsia" w:ascii="宋体" w:hAnsi="宋体"/>
          <w:szCs w:val="21"/>
        </w:rPr>
      </w:pPr>
      <w:r>
        <w:rPr>
          <w:rFonts w:hint="eastAsia" w:ascii="宋体" w:hAnsi="宋体"/>
          <w:szCs w:val="21"/>
        </w:rPr>
        <w:t>3、治疗评估</w:t>
      </w:r>
    </w:p>
    <w:p w14:paraId="3A18B1A1">
      <w:pPr>
        <w:spacing w:line="400" w:lineRule="exact"/>
        <w:ind w:firstLine="420" w:firstLineChars="200"/>
        <w:rPr>
          <w:rFonts w:hint="eastAsia" w:ascii="宋体" w:hAnsi="宋体"/>
          <w:szCs w:val="21"/>
        </w:rPr>
      </w:pPr>
      <w:r>
        <w:rPr>
          <w:rFonts w:hint="eastAsia" w:ascii="宋体" w:hAnsi="宋体"/>
          <w:szCs w:val="21"/>
        </w:rPr>
        <w:t>提供治疗评估模板制作工具，可根据医院提供的治疗评估模板进行制作，包含评估模板的样式、评估表单、评估计分方式、录入内容校验。在对患者进行治疗评估过程中可以根据治疗师选择的项目实时自动计算总分、平均分等分数信息。支持一份模板上进行多次评估，可根据多次评估结果生成趋势图。</w:t>
      </w:r>
    </w:p>
    <w:p w14:paraId="6063374A">
      <w:pPr>
        <w:spacing w:line="400" w:lineRule="exact"/>
        <w:ind w:firstLine="420" w:firstLineChars="200"/>
        <w:rPr>
          <w:rFonts w:hint="eastAsia" w:ascii="宋体" w:hAnsi="宋体"/>
          <w:szCs w:val="21"/>
        </w:rPr>
      </w:pPr>
      <w:r>
        <w:rPr>
          <w:rFonts w:hint="eastAsia" w:ascii="宋体" w:hAnsi="宋体"/>
          <w:szCs w:val="21"/>
        </w:rPr>
        <w:t xml:space="preserve"> 4、治疗执行</w:t>
      </w:r>
    </w:p>
    <w:p w14:paraId="594D0EDD">
      <w:pPr>
        <w:spacing w:line="400" w:lineRule="exact"/>
        <w:ind w:firstLine="420" w:firstLineChars="200"/>
        <w:rPr>
          <w:rFonts w:hint="eastAsia" w:ascii="宋体" w:hAnsi="宋体"/>
          <w:szCs w:val="21"/>
        </w:rPr>
      </w:pPr>
      <w:r>
        <w:rPr>
          <w:rFonts w:hint="eastAsia" w:ascii="宋体" w:hAnsi="宋体"/>
          <w:szCs w:val="21"/>
        </w:rPr>
        <w:t>支持将患者做的治疗项目总数生成治疗单据，治疗师可查看本科室（例如高压氧室、康复科）做治疗患者的治疗单据详情，包含患者信息、单据状态、治疗项目、治疗执行剩余次数等。治疗师可以根据实际执行次数进行单据执行，执行时从总数扣除当前执行次数，如还有剩余次数，下次可以在同一单据上继续执行，执行完成时可对已执行的单据进行扣费。治疗过程中需要做其他项目或者有使用耗材时，治疗师可以新增对应项目的单据以及耗材登记。治疗师可以在治疗系统将需要退费的项目进行退费开单，执行科室审核通过后进行退费。</w:t>
      </w:r>
    </w:p>
    <w:p w14:paraId="7C400D39">
      <w:pPr>
        <w:spacing w:line="400" w:lineRule="exact"/>
        <w:ind w:firstLine="420" w:firstLineChars="200"/>
        <w:rPr>
          <w:rFonts w:hint="eastAsia" w:ascii="宋体" w:hAnsi="宋体"/>
          <w:szCs w:val="21"/>
        </w:rPr>
      </w:pPr>
      <w:r>
        <w:rPr>
          <w:rFonts w:hint="eastAsia" w:ascii="宋体" w:hAnsi="宋体"/>
          <w:szCs w:val="21"/>
        </w:rPr>
        <w:t xml:space="preserve"> 5、治疗记录</w:t>
      </w:r>
    </w:p>
    <w:p w14:paraId="404834D9">
      <w:pPr>
        <w:spacing w:line="400" w:lineRule="exact"/>
        <w:ind w:firstLine="420" w:firstLineChars="200"/>
        <w:rPr>
          <w:rFonts w:hint="eastAsia" w:ascii="宋体" w:hAnsi="宋体"/>
          <w:szCs w:val="21"/>
        </w:rPr>
      </w:pPr>
      <w:r>
        <w:rPr>
          <w:rFonts w:hint="eastAsia" w:ascii="宋体" w:hAnsi="宋体"/>
          <w:szCs w:val="21"/>
        </w:rPr>
        <w:t>提供治疗记录模板制作工具，可根据医院提供模板进行制作，包含治疗记录样式、治疗记录表单、数据获取来源、内容校验等。治疗师可根据患者治疗项目选择对应治疗记录模板，录入时能够自动获取患者执行的治疗项目信息进行填充。针对住院病人的治疗记录，治疗师完成后可并入患者住院病案可以提交归档，住院医生可在HIS系统查看患者的治疗记录内容。</w:t>
      </w:r>
    </w:p>
    <w:p w14:paraId="2D204D76">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临床决策支持系统（CDSS）</w:t>
      </w:r>
    </w:p>
    <w:p w14:paraId="4B487F88">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临床知识库</w:t>
      </w:r>
    </w:p>
    <w:p w14:paraId="3751722D">
      <w:pPr>
        <w:spacing w:line="400" w:lineRule="exact"/>
        <w:ind w:firstLine="420" w:firstLineChars="200"/>
        <w:rPr>
          <w:rFonts w:hint="eastAsia" w:ascii="宋体" w:hAnsi="宋体"/>
          <w:szCs w:val="21"/>
        </w:rPr>
      </w:pPr>
      <w:r>
        <w:rPr>
          <w:rFonts w:hint="eastAsia" w:ascii="宋体" w:hAnsi="宋体"/>
          <w:szCs w:val="21"/>
        </w:rPr>
        <w:t>1、知识检索</w:t>
      </w:r>
    </w:p>
    <w:p w14:paraId="4A960628">
      <w:pPr>
        <w:spacing w:line="400" w:lineRule="exact"/>
        <w:ind w:firstLine="420" w:firstLineChars="200"/>
        <w:rPr>
          <w:rFonts w:hint="eastAsia" w:ascii="宋体" w:hAnsi="宋体"/>
          <w:szCs w:val="21"/>
        </w:rPr>
      </w:pPr>
      <w:r>
        <w:rPr>
          <w:rFonts w:hint="eastAsia" w:ascii="宋体" w:hAnsi="宋体"/>
          <w:szCs w:val="21"/>
        </w:rPr>
        <w:t>支持按目录选择或关键字检索，方便医护人员能够快速检索相关信息。</w:t>
      </w:r>
    </w:p>
    <w:p w14:paraId="78771640">
      <w:pPr>
        <w:spacing w:line="400" w:lineRule="exact"/>
        <w:ind w:firstLine="420" w:firstLineChars="200"/>
        <w:rPr>
          <w:rFonts w:hint="eastAsia" w:ascii="宋体" w:hAnsi="宋体"/>
          <w:szCs w:val="21"/>
        </w:rPr>
      </w:pPr>
      <w:r>
        <w:rPr>
          <w:rFonts w:hint="eastAsia" w:ascii="宋体" w:hAnsi="宋体"/>
          <w:szCs w:val="21"/>
        </w:rPr>
        <w:t>2、疾病知识库</w:t>
      </w:r>
    </w:p>
    <w:p w14:paraId="0B9DA0C5">
      <w:pPr>
        <w:spacing w:line="400" w:lineRule="exact"/>
        <w:ind w:firstLine="420" w:firstLineChars="200"/>
        <w:rPr>
          <w:rFonts w:hint="eastAsia" w:ascii="宋体" w:hAnsi="宋体"/>
          <w:szCs w:val="21"/>
        </w:rPr>
      </w:pPr>
      <w:r>
        <w:rPr>
          <w:rFonts w:hint="eastAsia" w:ascii="宋体" w:hAnsi="宋体"/>
          <w:szCs w:val="21"/>
        </w:rPr>
        <w:t>疾病知识库提供9000余种各类专科系统详细的疾病信息，包括：疾病别名、概述、临床分类、常见病因、常见症状、流行病学、并发症、是否遗传、发病机制、临床表现、实验室检查、其他辅助检查、诊断依据、鉴别诊断、治疗原则及方案、预后、饮食指导、健康教育、护理常规、参考文献等与疾病相关的知识，为医生的继续学习提供丰富的素材。</w:t>
      </w:r>
    </w:p>
    <w:p w14:paraId="392D616F">
      <w:pPr>
        <w:spacing w:line="400" w:lineRule="exact"/>
        <w:ind w:firstLine="420" w:firstLineChars="200"/>
        <w:rPr>
          <w:rFonts w:hint="eastAsia" w:ascii="宋体" w:hAnsi="宋体"/>
          <w:szCs w:val="21"/>
        </w:rPr>
      </w:pPr>
      <w:r>
        <w:rPr>
          <w:rFonts w:hint="eastAsia" w:ascii="宋体" w:hAnsi="宋体"/>
          <w:szCs w:val="21"/>
        </w:rPr>
        <w:t>3、症状知识库</w:t>
      </w:r>
    </w:p>
    <w:p w14:paraId="1CFFBE30">
      <w:pPr>
        <w:spacing w:line="400" w:lineRule="exact"/>
        <w:ind w:firstLine="420" w:firstLineChars="200"/>
        <w:rPr>
          <w:rFonts w:hint="eastAsia" w:ascii="宋体" w:hAnsi="宋体"/>
          <w:szCs w:val="21"/>
        </w:rPr>
      </w:pPr>
      <w:r>
        <w:rPr>
          <w:rFonts w:hint="eastAsia" w:ascii="宋体" w:hAnsi="宋体"/>
          <w:szCs w:val="21"/>
        </w:rPr>
        <w:t>症状知识库提供3500余种各类专科系统疾病相关症状知识，包含症状代码、名称、别名、检查鉴别、诊断鉴别、预防治疗、伴随症状以及对症药品等知识。</w:t>
      </w:r>
    </w:p>
    <w:p w14:paraId="1A2FE944">
      <w:pPr>
        <w:spacing w:line="400" w:lineRule="exact"/>
        <w:ind w:firstLine="420" w:firstLineChars="200"/>
        <w:rPr>
          <w:rFonts w:hint="eastAsia" w:ascii="宋体" w:hAnsi="宋体"/>
          <w:szCs w:val="21"/>
        </w:rPr>
      </w:pPr>
      <w:r>
        <w:rPr>
          <w:rFonts w:hint="eastAsia" w:ascii="宋体" w:hAnsi="宋体"/>
          <w:szCs w:val="21"/>
        </w:rPr>
        <w:t>4、检验检查知识库</w:t>
      </w:r>
    </w:p>
    <w:p w14:paraId="3B14A787">
      <w:pPr>
        <w:spacing w:line="400" w:lineRule="exact"/>
        <w:ind w:firstLine="420" w:firstLineChars="200"/>
        <w:rPr>
          <w:rFonts w:hint="eastAsia" w:ascii="宋体" w:hAnsi="宋体"/>
          <w:szCs w:val="21"/>
        </w:rPr>
      </w:pPr>
      <w:r>
        <w:rPr>
          <w:rFonts w:hint="eastAsia" w:ascii="宋体" w:hAnsi="宋体"/>
          <w:szCs w:val="21"/>
        </w:rPr>
        <w:t>检验检查知识库提供4500余种各类检验检查项目说明，包含概述、适应症、禁忌、注意事项、相关疾病、参考范围、标本采集、临床意义、检查过程、相关症状等知识。</w:t>
      </w:r>
    </w:p>
    <w:p w14:paraId="226BA702">
      <w:pPr>
        <w:spacing w:line="400" w:lineRule="exact"/>
        <w:ind w:firstLine="420" w:firstLineChars="200"/>
        <w:rPr>
          <w:rFonts w:hint="eastAsia" w:ascii="宋体" w:hAnsi="宋体"/>
          <w:szCs w:val="21"/>
        </w:rPr>
      </w:pPr>
      <w:r>
        <w:rPr>
          <w:rFonts w:hint="eastAsia" w:ascii="宋体" w:hAnsi="宋体"/>
          <w:szCs w:val="21"/>
        </w:rPr>
        <w:t>5、药品知识库</w:t>
      </w:r>
    </w:p>
    <w:p w14:paraId="16F2BDB6">
      <w:pPr>
        <w:spacing w:line="400" w:lineRule="exact"/>
        <w:ind w:firstLine="420" w:firstLineChars="200"/>
        <w:rPr>
          <w:rFonts w:hint="eastAsia" w:ascii="宋体" w:hAnsi="宋体"/>
          <w:szCs w:val="21"/>
        </w:rPr>
      </w:pPr>
      <w:r>
        <w:rPr>
          <w:rFonts w:hint="eastAsia" w:ascii="宋体" w:hAnsi="宋体"/>
          <w:szCs w:val="21"/>
        </w:rPr>
        <w:t>药品知识库提供14000种药品知识，包括药名、别名、成分、性状、适应症、规格、用法用量、不良反应、禁忌症、注意事项、药物相互作用、药理作用、药代动力学、贮藏方法。</w:t>
      </w:r>
    </w:p>
    <w:p w14:paraId="7964BB9E">
      <w:pPr>
        <w:spacing w:line="400" w:lineRule="exact"/>
        <w:ind w:firstLine="420" w:firstLineChars="200"/>
        <w:rPr>
          <w:rFonts w:hint="eastAsia" w:ascii="宋体" w:hAnsi="宋体"/>
          <w:szCs w:val="21"/>
        </w:rPr>
      </w:pPr>
      <w:r>
        <w:rPr>
          <w:rFonts w:hint="eastAsia" w:ascii="宋体" w:hAnsi="宋体"/>
          <w:szCs w:val="21"/>
        </w:rPr>
        <w:t>6、治疗知识库</w:t>
      </w:r>
    </w:p>
    <w:p w14:paraId="287E87B3">
      <w:pPr>
        <w:spacing w:line="400" w:lineRule="exact"/>
        <w:ind w:firstLine="420" w:firstLineChars="200"/>
        <w:rPr>
          <w:rFonts w:hint="eastAsia" w:ascii="宋体" w:hAnsi="宋体"/>
          <w:szCs w:val="21"/>
        </w:rPr>
      </w:pPr>
      <w:r>
        <w:rPr>
          <w:rFonts w:hint="eastAsia" w:ascii="宋体" w:hAnsi="宋体"/>
          <w:szCs w:val="21"/>
        </w:rPr>
        <w:t>治疗知识库提供450余种各类专科疾病的治疗知识，提供疾病对应的处置建议，如涉及治疗项目以及描述信息。</w:t>
      </w:r>
    </w:p>
    <w:p w14:paraId="192895B4">
      <w:pPr>
        <w:spacing w:line="400" w:lineRule="exact"/>
        <w:ind w:firstLine="420" w:firstLineChars="200"/>
        <w:rPr>
          <w:rFonts w:hint="eastAsia" w:ascii="宋体" w:hAnsi="宋体"/>
          <w:szCs w:val="21"/>
        </w:rPr>
      </w:pPr>
      <w:r>
        <w:rPr>
          <w:rFonts w:hint="eastAsia" w:ascii="宋体" w:hAnsi="宋体"/>
          <w:szCs w:val="21"/>
        </w:rPr>
        <w:t>7、手术知识库</w:t>
      </w:r>
    </w:p>
    <w:p w14:paraId="4503CC4B">
      <w:pPr>
        <w:spacing w:line="400" w:lineRule="exact"/>
        <w:ind w:firstLine="420" w:firstLineChars="200"/>
        <w:rPr>
          <w:rFonts w:hint="eastAsia" w:ascii="宋体" w:hAnsi="宋体"/>
          <w:szCs w:val="21"/>
        </w:rPr>
      </w:pPr>
      <w:r>
        <w:rPr>
          <w:rFonts w:hint="eastAsia" w:ascii="宋体" w:hAnsi="宋体"/>
          <w:szCs w:val="21"/>
        </w:rPr>
        <w:t>手术知识库提供1300余种手术知识，包含手术名称、适应症、病因、鉴别诊断、检查、治疗原则、术前准备以及术后护理等信息。</w:t>
      </w:r>
    </w:p>
    <w:p w14:paraId="3DC13209">
      <w:pPr>
        <w:spacing w:line="400" w:lineRule="exact"/>
        <w:ind w:firstLine="420" w:firstLineChars="200"/>
        <w:rPr>
          <w:rFonts w:hint="eastAsia" w:ascii="宋体" w:hAnsi="宋体"/>
          <w:szCs w:val="21"/>
        </w:rPr>
      </w:pPr>
      <w:r>
        <w:rPr>
          <w:rFonts w:hint="eastAsia" w:ascii="宋体" w:hAnsi="宋体"/>
          <w:szCs w:val="21"/>
        </w:rPr>
        <w:t>8、临床路径知识库</w:t>
      </w:r>
    </w:p>
    <w:p w14:paraId="37A9667A">
      <w:pPr>
        <w:spacing w:line="400" w:lineRule="exact"/>
        <w:ind w:firstLine="420" w:firstLineChars="200"/>
        <w:rPr>
          <w:rFonts w:hint="eastAsia" w:ascii="宋体" w:hAnsi="宋体"/>
          <w:szCs w:val="21"/>
        </w:rPr>
      </w:pPr>
      <w:r>
        <w:rPr>
          <w:rFonts w:hint="eastAsia" w:ascii="宋体" w:hAnsi="宋体"/>
          <w:szCs w:val="21"/>
        </w:rPr>
        <w:t>临床路径知识库能提供国内外1600余种最新的各个专科、疾病的临床路径，有效帮助医护人员获取并学习国家权威的疾病临床路径政策信息。知识库能融合到相应系统中，方便医护人员实时调阅及检索。</w:t>
      </w:r>
    </w:p>
    <w:p w14:paraId="78CD1CAD">
      <w:pPr>
        <w:spacing w:line="400" w:lineRule="exact"/>
        <w:ind w:firstLine="420" w:firstLineChars="200"/>
        <w:rPr>
          <w:rFonts w:hint="eastAsia" w:ascii="宋体" w:hAnsi="宋体"/>
          <w:szCs w:val="21"/>
        </w:rPr>
      </w:pPr>
      <w:r>
        <w:rPr>
          <w:rFonts w:hint="eastAsia" w:ascii="宋体" w:hAnsi="宋体"/>
          <w:szCs w:val="21"/>
        </w:rPr>
        <w:t>9、临床指南知识库</w:t>
      </w:r>
    </w:p>
    <w:p w14:paraId="6FD20830">
      <w:pPr>
        <w:spacing w:line="400" w:lineRule="exact"/>
        <w:ind w:firstLine="420" w:firstLineChars="200"/>
        <w:rPr>
          <w:rFonts w:hint="eastAsia" w:ascii="宋体" w:hAnsi="宋体"/>
          <w:szCs w:val="21"/>
        </w:rPr>
      </w:pPr>
      <w:r>
        <w:rPr>
          <w:rFonts w:hint="eastAsia" w:ascii="宋体" w:hAnsi="宋体"/>
          <w:szCs w:val="21"/>
        </w:rPr>
        <w:t>临床指南知识库能提供国内外1800余种最新的各个专科、疾病的代表性权威诊疗指南、专家共识或推荐意见，有效帮助医护人员获取并学习相关权威的专业医学信息。知识库能融合到相应系统中，方便医护人员实时调阅及检索。</w:t>
      </w:r>
    </w:p>
    <w:p w14:paraId="679116A4">
      <w:pPr>
        <w:spacing w:line="400" w:lineRule="exact"/>
        <w:ind w:firstLine="420" w:firstLineChars="200"/>
        <w:rPr>
          <w:rFonts w:hint="eastAsia" w:ascii="宋体" w:hAnsi="宋体"/>
          <w:szCs w:val="21"/>
        </w:rPr>
      </w:pPr>
      <w:r>
        <w:rPr>
          <w:rFonts w:hint="eastAsia" w:ascii="宋体" w:hAnsi="宋体"/>
          <w:szCs w:val="21"/>
        </w:rPr>
        <w:t>10、护理知识库</w:t>
      </w:r>
    </w:p>
    <w:p w14:paraId="441E7F7F">
      <w:pPr>
        <w:spacing w:line="400" w:lineRule="exact"/>
        <w:ind w:firstLine="420" w:firstLineChars="200"/>
        <w:rPr>
          <w:rFonts w:hint="eastAsia" w:ascii="宋体" w:hAnsi="宋体"/>
          <w:szCs w:val="21"/>
        </w:rPr>
      </w:pPr>
      <w:r>
        <w:rPr>
          <w:rFonts w:hint="eastAsia" w:ascii="宋体" w:hAnsi="宋体"/>
          <w:szCs w:val="21"/>
        </w:rPr>
        <w:t>护理知识库能提供1200余种最新的关于各类疾病的护理常规、护理理论、护理操作、中医护理及高危药品用药护理、护理质控方面的相关知识及指引，有效帮助医护人员获取并学习相关权威的护理知识。知识库能融合到相应系统中，方便医护人员实时调阅及检索。</w:t>
      </w:r>
    </w:p>
    <w:p w14:paraId="610E16E2">
      <w:pPr>
        <w:spacing w:line="400" w:lineRule="exact"/>
        <w:ind w:firstLine="420" w:firstLineChars="200"/>
        <w:rPr>
          <w:rFonts w:hint="eastAsia" w:ascii="宋体" w:hAnsi="宋体"/>
          <w:szCs w:val="21"/>
        </w:rPr>
      </w:pPr>
      <w:r>
        <w:rPr>
          <w:rFonts w:hint="eastAsia" w:ascii="宋体" w:hAnsi="宋体"/>
          <w:szCs w:val="21"/>
        </w:rPr>
        <w:t>11、核心制度知识库</w:t>
      </w:r>
    </w:p>
    <w:p w14:paraId="7490BD95">
      <w:pPr>
        <w:spacing w:line="400" w:lineRule="exact"/>
        <w:ind w:firstLine="420" w:firstLineChars="200"/>
        <w:rPr>
          <w:rFonts w:hint="eastAsia" w:ascii="宋体" w:hAnsi="宋体"/>
          <w:szCs w:val="21"/>
        </w:rPr>
      </w:pPr>
      <w:r>
        <w:rPr>
          <w:rFonts w:hint="eastAsia" w:ascii="宋体" w:hAnsi="宋体"/>
          <w:szCs w:val="21"/>
        </w:rPr>
        <w:t>核心制度知识库能提供国内最新的医院核心管理制度相关知识及指引，如病历书写基本规范与管理制度、分级护理制度、会诊制度、临床用血审核制度等等，有效帮助医护人员获取并学习相关核心制度知识。知识库能融合到相应系统中，方便医护人员实时调阅及检索。</w:t>
      </w:r>
    </w:p>
    <w:p w14:paraId="6FC5E307">
      <w:pPr>
        <w:spacing w:line="400" w:lineRule="exact"/>
        <w:ind w:firstLine="420" w:firstLineChars="200"/>
        <w:rPr>
          <w:rFonts w:hint="eastAsia" w:ascii="宋体" w:hAnsi="宋体"/>
          <w:szCs w:val="21"/>
        </w:rPr>
      </w:pPr>
      <w:r>
        <w:rPr>
          <w:rFonts w:hint="eastAsia" w:ascii="宋体" w:hAnsi="宋体"/>
          <w:szCs w:val="21"/>
        </w:rPr>
        <w:t>12、中医知识库</w:t>
      </w:r>
    </w:p>
    <w:p w14:paraId="15A384F2">
      <w:pPr>
        <w:spacing w:line="400" w:lineRule="exact"/>
        <w:ind w:firstLine="420" w:firstLineChars="200"/>
        <w:rPr>
          <w:rFonts w:hint="eastAsia" w:ascii="宋体" w:hAnsi="宋体"/>
          <w:szCs w:val="21"/>
        </w:rPr>
      </w:pPr>
      <w:r>
        <w:rPr>
          <w:rFonts w:hint="eastAsia" w:ascii="宋体" w:hAnsi="宋体"/>
          <w:szCs w:val="21"/>
        </w:rPr>
        <w:t>中医知识库能提供28000余种中医类相关知识及指引，包含中药材、方剂、针灸穴位、药膳食疗、中医症状、中医术语等相关知识，有效帮助医护人员获取并学习中医类知识。知识库能融合到相应系统中，方便医护人员实时调阅及检索。</w:t>
      </w:r>
    </w:p>
    <w:p w14:paraId="3D300611">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医疗管理</w:t>
      </w:r>
    </w:p>
    <w:p w14:paraId="76657EF5">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手术分级管理系统</w:t>
      </w:r>
    </w:p>
    <w:p w14:paraId="2EC47378">
      <w:pPr>
        <w:spacing w:line="400" w:lineRule="exact"/>
        <w:ind w:firstLine="420" w:firstLineChars="200"/>
        <w:rPr>
          <w:rFonts w:hint="eastAsia" w:ascii="宋体" w:hAnsi="宋体"/>
          <w:szCs w:val="21"/>
        </w:rPr>
      </w:pPr>
      <w:r>
        <w:rPr>
          <w:rFonts w:hint="eastAsia" w:ascii="宋体" w:hAnsi="宋体"/>
          <w:szCs w:val="21"/>
        </w:rPr>
        <w:t>以手术分级目录为基础，为具有不同专业技术职务任职资格的手术医生授予相应的手术权限，在手术申请流程中实现分级审批，保障手术安全进行。主要功能要求包括：手术等级设置、手术分级授权、手术级别管理、分级审批管理。</w:t>
      </w:r>
    </w:p>
    <w:p w14:paraId="418E7CD0">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医疗安全（不良）事件管理系统</w:t>
      </w:r>
    </w:p>
    <w:p w14:paraId="12571693">
      <w:pPr>
        <w:spacing w:line="400" w:lineRule="exact"/>
        <w:ind w:firstLine="420" w:firstLineChars="200"/>
        <w:rPr>
          <w:rFonts w:hint="eastAsia" w:ascii="宋体" w:hAnsi="宋体"/>
          <w:szCs w:val="21"/>
        </w:rPr>
      </w:pPr>
      <w:r>
        <w:rPr>
          <w:rFonts w:hint="eastAsia" w:ascii="宋体" w:hAnsi="宋体"/>
          <w:szCs w:val="21"/>
        </w:rPr>
        <w:t>1、上报主题</w:t>
      </w:r>
    </w:p>
    <w:p w14:paraId="3209C52B">
      <w:pPr>
        <w:spacing w:line="400" w:lineRule="exact"/>
        <w:ind w:firstLine="420" w:firstLineChars="200"/>
        <w:rPr>
          <w:rFonts w:hint="eastAsia" w:ascii="宋体" w:hAnsi="宋体"/>
          <w:szCs w:val="21"/>
        </w:rPr>
      </w:pPr>
      <w:r>
        <w:rPr>
          <w:rFonts w:hint="eastAsia" w:ascii="宋体" w:hAnsi="宋体"/>
          <w:szCs w:val="21"/>
        </w:rPr>
        <w:t>基础类不良事件上报主题包含医疗类不良事件、护理类不良事件和院感类不良事件三大类。</w:t>
      </w:r>
    </w:p>
    <w:p w14:paraId="3BDDCC34">
      <w:pPr>
        <w:spacing w:line="400" w:lineRule="exact"/>
        <w:ind w:firstLine="420" w:firstLineChars="200"/>
        <w:rPr>
          <w:rFonts w:hint="eastAsia" w:ascii="宋体" w:hAnsi="宋体"/>
          <w:szCs w:val="21"/>
        </w:rPr>
      </w:pPr>
      <w:r>
        <w:rPr>
          <w:rFonts w:hint="eastAsia" w:ascii="宋体" w:hAnsi="宋体"/>
          <w:szCs w:val="21"/>
        </w:rPr>
        <w:t>（1）医疗类不良事件</w:t>
      </w:r>
    </w:p>
    <w:p w14:paraId="46EFA89A">
      <w:pPr>
        <w:spacing w:line="400" w:lineRule="exact"/>
        <w:ind w:firstLine="420" w:firstLineChars="200"/>
        <w:rPr>
          <w:rFonts w:hint="eastAsia" w:ascii="宋体" w:hAnsi="宋体"/>
          <w:szCs w:val="21"/>
        </w:rPr>
      </w:pPr>
      <w:r>
        <w:rPr>
          <w:rFonts w:hint="eastAsia" w:ascii="宋体" w:hAnsi="宋体"/>
          <w:szCs w:val="21"/>
        </w:rPr>
        <w:t>医疗类不良事件是因医疗诊断或治疗失误导致患者出现严重并发症、非正常死亡、严重功能障碍、住院时间延长或住院费用增加及其他非预期的事件，包括：医疗信息传递错误事件、治疗错误事件、方法／技术错误事件、药物医嘱/使用错误（医生）、检查导致事件、麻醉事件、诊疗记录事件、知情同意事件、非预期事件、手术事件、医疗投诉事件、产伤事件、呼吸机事件、择期手术后并发症事件、医源性气胸事件、医源性意外穿刺或撕裂伤事件、其他医疗不良事件。</w:t>
      </w:r>
    </w:p>
    <w:p w14:paraId="7324013F">
      <w:pPr>
        <w:spacing w:line="400" w:lineRule="exact"/>
        <w:ind w:firstLine="420" w:firstLineChars="200"/>
        <w:rPr>
          <w:rFonts w:hint="eastAsia" w:ascii="宋体" w:hAnsi="宋体"/>
          <w:szCs w:val="21"/>
        </w:rPr>
      </w:pPr>
      <w:r>
        <w:rPr>
          <w:rFonts w:hint="eastAsia" w:ascii="宋体" w:hAnsi="宋体"/>
          <w:szCs w:val="21"/>
        </w:rPr>
        <w:t>（2）护理类不良事件</w:t>
      </w:r>
    </w:p>
    <w:p w14:paraId="4750BDE8">
      <w:pPr>
        <w:spacing w:line="400" w:lineRule="exact"/>
        <w:ind w:firstLine="420" w:firstLineChars="200"/>
        <w:rPr>
          <w:rFonts w:hint="eastAsia" w:ascii="宋体" w:hAnsi="宋体"/>
          <w:szCs w:val="21"/>
        </w:rPr>
      </w:pPr>
      <w:r>
        <w:rPr>
          <w:rFonts w:hint="eastAsia" w:ascii="宋体" w:hAnsi="宋体"/>
          <w:szCs w:val="21"/>
        </w:rPr>
        <w:t>护理类不良事件是病人在住院期间发生的护理意外事件，包括导管事件、跌倒／坠床事件、烧烫伤事件、给药错误（护士）、未按医嘱执行禁食禁水事件、误吸／误咽事件、营养与饮食事件、压疮事件、窒息事件、约束事件、静脉炎事件、输液药物渗漏事件、患者自杀自伤事件、患者冲动伤人/损物事件、患者走失事件、其他护理不良事件。</w:t>
      </w:r>
    </w:p>
    <w:p w14:paraId="7F923608">
      <w:pPr>
        <w:spacing w:line="400" w:lineRule="exact"/>
        <w:ind w:firstLine="420" w:firstLineChars="200"/>
        <w:rPr>
          <w:rFonts w:hint="eastAsia" w:ascii="宋体" w:hAnsi="宋体"/>
          <w:szCs w:val="21"/>
        </w:rPr>
      </w:pPr>
      <w:r>
        <w:rPr>
          <w:rFonts w:hint="eastAsia" w:ascii="宋体" w:hAnsi="宋体"/>
          <w:szCs w:val="21"/>
        </w:rPr>
        <w:t>护理类不良事件上报后，由护理部组织多科室、多专业护理人员每月对上报的事件进行分析讨论，主要采用趋势分析和个案分析。趋势分析包括科室内部的纵向比较、与其他科室的横向比较。通过讨论，制定整改措施，并组织全院护理人员认真研究、严格实施，消除护理隐患及缺陷。</w:t>
      </w:r>
    </w:p>
    <w:p w14:paraId="272FDF6C">
      <w:pPr>
        <w:spacing w:line="400" w:lineRule="exact"/>
        <w:ind w:firstLine="420" w:firstLineChars="200"/>
        <w:rPr>
          <w:rFonts w:hint="eastAsia" w:ascii="宋体" w:hAnsi="宋体"/>
          <w:szCs w:val="21"/>
        </w:rPr>
      </w:pPr>
      <w:r>
        <w:rPr>
          <w:rFonts w:hint="eastAsia" w:ascii="宋体" w:hAnsi="宋体"/>
          <w:szCs w:val="21"/>
        </w:rPr>
        <w:t>（3）院感类不良事件</w:t>
      </w:r>
    </w:p>
    <w:p w14:paraId="729AF84A">
      <w:pPr>
        <w:spacing w:line="400" w:lineRule="exact"/>
        <w:ind w:firstLine="420" w:firstLineChars="200"/>
        <w:rPr>
          <w:rFonts w:hint="eastAsia" w:ascii="宋体" w:hAnsi="宋体"/>
          <w:szCs w:val="21"/>
        </w:rPr>
      </w:pPr>
      <w:r>
        <w:rPr>
          <w:rFonts w:hint="eastAsia" w:ascii="宋体" w:hAnsi="宋体"/>
          <w:szCs w:val="21"/>
        </w:rPr>
        <w:t>院感类不良事件是在院内发生的感染等事件，包括：疑似院感暴发预警事件、血液滤过/血液置换感染事件、环境卫生学监测事件、院内感染个案、医疗废物事件、其他院感不良事件。</w:t>
      </w:r>
    </w:p>
    <w:p w14:paraId="3E3428B7">
      <w:pPr>
        <w:spacing w:line="400" w:lineRule="exact"/>
        <w:ind w:firstLine="420" w:firstLineChars="200"/>
        <w:rPr>
          <w:rFonts w:hint="eastAsia" w:ascii="宋体" w:hAnsi="宋体"/>
          <w:szCs w:val="21"/>
        </w:rPr>
      </w:pPr>
      <w:r>
        <w:rPr>
          <w:rFonts w:hint="eastAsia" w:ascii="宋体" w:hAnsi="宋体"/>
          <w:szCs w:val="21"/>
        </w:rPr>
        <w:t>（4）输血类不良事件上报</w:t>
      </w:r>
    </w:p>
    <w:p w14:paraId="720ADBCE">
      <w:pPr>
        <w:spacing w:line="400" w:lineRule="exact"/>
        <w:ind w:firstLine="420" w:firstLineChars="200"/>
        <w:rPr>
          <w:rFonts w:hint="eastAsia" w:ascii="宋体" w:hAnsi="宋体"/>
          <w:szCs w:val="21"/>
        </w:rPr>
      </w:pPr>
      <w:r>
        <w:rPr>
          <w:rFonts w:hint="eastAsia" w:ascii="宋体" w:hAnsi="宋体"/>
          <w:szCs w:val="21"/>
        </w:rPr>
        <w:t>要求包括在输血过程中因操作或记录引起的不良事件、输血过程中出现的输血不良反应事件、其他输血不良事件。</w:t>
      </w:r>
    </w:p>
    <w:p w14:paraId="259F5A2F">
      <w:pPr>
        <w:spacing w:line="400" w:lineRule="exact"/>
        <w:ind w:firstLine="420" w:firstLineChars="200"/>
        <w:rPr>
          <w:rFonts w:hint="eastAsia" w:ascii="宋体" w:hAnsi="宋体"/>
          <w:szCs w:val="21"/>
        </w:rPr>
      </w:pPr>
      <w:r>
        <w:rPr>
          <w:rFonts w:hint="eastAsia" w:ascii="宋体" w:hAnsi="宋体"/>
          <w:szCs w:val="21"/>
        </w:rPr>
        <w:t>（5）药品类不良事件上报</w:t>
      </w:r>
    </w:p>
    <w:p w14:paraId="6D5389B9">
      <w:pPr>
        <w:spacing w:line="400" w:lineRule="exact"/>
        <w:ind w:firstLine="420" w:firstLineChars="200"/>
        <w:rPr>
          <w:rFonts w:hint="eastAsia" w:ascii="宋体" w:hAnsi="宋体"/>
          <w:szCs w:val="21"/>
        </w:rPr>
      </w:pPr>
      <w:r>
        <w:rPr>
          <w:rFonts w:hint="eastAsia" w:ascii="宋体" w:hAnsi="宋体"/>
          <w:szCs w:val="21"/>
        </w:rPr>
        <w:t>药品类不良事件是在管理及调剂药品时出现的不良事件及严重药物不良反应等事件。要求包括：药物调剂错误（药剂师）、给药阶段错误（护士）、传送过程错误（运送）、信息流转错误（电脑）、药品召回事件、贵重药品丢失及损毁事件、药品监测事件、药物不良反应事件、输液不良反应事件、其他药品不良事件。</w:t>
      </w:r>
    </w:p>
    <w:p w14:paraId="38D77771">
      <w:pPr>
        <w:spacing w:line="400" w:lineRule="exact"/>
        <w:ind w:firstLine="420" w:firstLineChars="200"/>
        <w:rPr>
          <w:rFonts w:hint="eastAsia" w:ascii="宋体" w:hAnsi="宋体"/>
          <w:szCs w:val="21"/>
        </w:rPr>
      </w:pPr>
      <w:r>
        <w:rPr>
          <w:rFonts w:hint="eastAsia" w:ascii="宋体" w:hAnsi="宋体"/>
          <w:szCs w:val="21"/>
        </w:rPr>
        <w:t>（6）医疗器械/设备类不良事件上报</w:t>
      </w:r>
    </w:p>
    <w:p w14:paraId="3D0DFFFE">
      <w:pPr>
        <w:spacing w:line="400" w:lineRule="exact"/>
        <w:ind w:firstLine="420" w:firstLineChars="200"/>
        <w:rPr>
          <w:rFonts w:hint="eastAsia" w:ascii="宋体" w:hAnsi="宋体"/>
          <w:szCs w:val="21"/>
        </w:rPr>
      </w:pPr>
      <w:r>
        <w:rPr>
          <w:rFonts w:hint="eastAsia" w:ascii="宋体" w:hAnsi="宋体"/>
          <w:szCs w:val="21"/>
        </w:rPr>
        <w:t>医疗器械/设备类不良事件是因医疗器械或医疗设备的原因给患者或医务人员带来损害等事件。要求包括：医疗器械不良反应、医疗仪器设备的召回、其他医疗器械/设备类不良事件。</w:t>
      </w:r>
    </w:p>
    <w:p w14:paraId="5D229A39">
      <w:pPr>
        <w:spacing w:line="400" w:lineRule="exact"/>
        <w:ind w:firstLine="420" w:firstLineChars="200"/>
        <w:rPr>
          <w:rFonts w:hint="eastAsia" w:ascii="宋体" w:hAnsi="宋体"/>
          <w:szCs w:val="21"/>
        </w:rPr>
      </w:pPr>
      <w:r>
        <w:rPr>
          <w:rFonts w:hint="eastAsia" w:ascii="宋体" w:hAnsi="宋体"/>
          <w:szCs w:val="21"/>
        </w:rPr>
        <w:t>2、事件上报</w:t>
      </w:r>
    </w:p>
    <w:p w14:paraId="13836C94">
      <w:pPr>
        <w:spacing w:line="400" w:lineRule="exact"/>
        <w:ind w:firstLine="420" w:firstLineChars="200"/>
        <w:rPr>
          <w:rFonts w:hint="eastAsia" w:ascii="宋体" w:hAnsi="宋体"/>
          <w:szCs w:val="21"/>
        </w:rPr>
      </w:pPr>
      <w:r>
        <w:rPr>
          <w:rFonts w:hint="eastAsia" w:ascii="宋体" w:hAnsi="宋体"/>
          <w:szCs w:val="21"/>
        </w:rPr>
        <w:t>事件上报模块，提供按基础类不良事件上报表单模板对事件内容统一规范、快速便捷地填写上报。系统支持普通上报、快速上报和匿名上报；支持自动调取患者相关基本信息及查看患者全息视图查阅患者详细信息；支持事件原因鱼骨图分析以及事件草稿箱。包括事件上报、匿名上报、事件草稿箱和原因分析功能。</w:t>
      </w:r>
    </w:p>
    <w:p w14:paraId="33E92483">
      <w:pPr>
        <w:spacing w:line="400" w:lineRule="exact"/>
        <w:ind w:firstLine="420" w:firstLineChars="200"/>
        <w:rPr>
          <w:rFonts w:hint="eastAsia" w:ascii="宋体" w:hAnsi="宋体"/>
          <w:szCs w:val="21"/>
        </w:rPr>
      </w:pPr>
      <w:r>
        <w:rPr>
          <w:rFonts w:hint="eastAsia" w:ascii="宋体" w:hAnsi="宋体"/>
          <w:szCs w:val="21"/>
        </w:rPr>
        <w:t>3、事件管理</w:t>
      </w:r>
    </w:p>
    <w:p w14:paraId="122A78A7">
      <w:pPr>
        <w:spacing w:line="400" w:lineRule="exact"/>
        <w:ind w:firstLine="420" w:firstLineChars="200"/>
        <w:rPr>
          <w:rFonts w:hint="eastAsia" w:ascii="宋体" w:hAnsi="宋体"/>
          <w:szCs w:val="21"/>
        </w:rPr>
      </w:pPr>
      <w:r>
        <w:rPr>
          <w:rFonts w:hint="eastAsia" w:ascii="宋体" w:hAnsi="宋体"/>
          <w:szCs w:val="21"/>
        </w:rPr>
        <w:t>事件管理模块是对已上报的基础类不良事件进行综合管理和审批处理。系统提供对基础类事件综合筛选复合检索、支持重复上报事件标识、重点关注事件星标标记、事件改派、事件抄送、事件多科室协同处理、事件处理流程实时追踪、事件结案归档、经典事件案例分享，全面及时处理已上报事件。包括审批处理、重复上报、事件协同、改派抄送、事件归档、事件分享和事件追踪功能。</w:t>
      </w:r>
    </w:p>
    <w:p w14:paraId="026367F4">
      <w:pPr>
        <w:spacing w:line="400" w:lineRule="exact"/>
        <w:ind w:firstLine="420" w:firstLineChars="200"/>
        <w:rPr>
          <w:rFonts w:hint="eastAsia" w:ascii="宋体" w:hAnsi="宋体"/>
          <w:szCs w:val="21"/>
        </w:rPr>
      </w:pPr>
      <w:r>
        <w:rPr>
          <w:rFonts w:hint="eastAsia" w:ascii="宋体" w:hAnsi="宋体"/>
          <w:szCs w:val="21"/>
        </w:rPr>
        <w:t>4、事件分析</w:t>
      </w:r>
    </w:p>
    <w:p w14:paraId="3A97A17B">
      <w:pPr>
        <w:spacing w:line="400" w:lineRule="exact"/>
        <w:ind w:firstLine="420" w:firstLineChars="200"/>
        <w:rPr>
          <w:rFonts w:hint="eastAsia" w:ascii="宋体" w:hAnsi="宋体"/>
          <w:szCs w:val="21"/>
        </w:rPr>
      </w:pPr>
      <w:r>
        <w:rPr>
          <w:rFonts w:hint="eastAsia" w:ascii="宋体" w:hAnsi="宋体"/>
          <w:szCs w:val="21"/>
        </w:rPr>
        <w:t>事件统计分析模块是为医院提供信息化不良事件上报例数的报表统计分析，根据各种条件查询统计不良事件分析数据，包含对事件类型、事件等级、发生科室、上报科室、发生时间、上报时间、处理及时率等多维度的统计汇总，通过表格、条形图、柱状图、趋势图、饼状图等多种形式展示。支持将汇总结果导出excel文件。</w:t>
      </w:r>
    </w:p>
    <w:p w14:paraId="661ABB1C">
      <w:pPr>
        <w:spacing w:line="400" w:lineRule="exact"/>
        <w:ind w:firstLine="420" w:firstLineChars="200"/>
        <w:rPr>
          <w:rFonts w:hint="eastAsia" w:ascii="宋体" w:hAnsi="宋体"/>
          <w:szCs w:val="21"/>
        </w:rPr>
      </w:pPr>
      <w:r>
        <w:rPr>
          <w:rFonts w:hint="eastAsia" w:ascii="宋体" w:hAnsi="宋体"/>
          <w:szCs w:val="21"/>
        </w:rPr>
        <w:t>5、系统管理</w:t>
      </w:r>
    </w:p>
    <w:p w14:paraId="2A890055">
      <w:pPr>
        <w:spacing w:line="400" w:lineRule="exact"/>
        <w:ind w:firstLine="420" w:firstLineChars="200"/>
        <w:rPr>
          <w:rFonts w:hint="eastAsia" w:ascii="宋体" w:hAnsi="宋体"/>
          <w:szCs w:val="21"/>
        </w:rPr>
      </w:pPr>
      <w:r>
        <w:rPr>
          <w:rFonts w:hint="eastAsia" w:ascii="宋体" w:hAnsi="宋体"/>
          <w:szCs w:val="21"/>
        </w:rPr>
        <w:t>包括首页门户、事件类型管理、表单模板维护、审批流程维护、期限节假日维护、意见模板管理、组织管理、用户管理、角色管理、权限管理和日志管理功能。</w:t>
      </w:r>
    </w:p>
    <w:p w14:paraId="64DE8A94">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危急值管理系统</w:t>
      </w:r>
    </w:p>
    <w:p w14:paraId="48773777">
      <w:pPr>
        <w:spacing w:line="400" w:lineRule="exact"/>
        <w:ind w:firstLine="420" w:firstLineChars="200"/>
        <w:rPr>
          <w:rFonts w:hint="eastAsia" w:ascii="宋体" w:hAnsi="宋体"/>
          <w:szCs w:val="21"/>
        </w:rPr>
      </w:pPr>
      <w:r>
        <w:rPr>
          <w:rFonts w:hint="eastAsia" w:ascii="宋体" w:hAnsi="宋体"/>
          <w:szCs w:val="21"/>
        </w:rPr>
        <w:t>在患者的检查、检验结果出现表明患者可能正处于有生命危险的边缘状态时，支持对危急值数据进行智能提醒并及时将检验、检查信息通知于临床科室医生，提示临床医生迅速给予患者进行有效的干预措施或治疗，并对危急值传报过程实现全流程追溯。主要功能要求包括：危急值提示、临床干预反馈、危急值追溯。</w:t>
      </w:r>
    </w:p>
    <w:p w14:paraId="2097B90F">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药品管理</w:t>
      </w:r>
    </w:p>
    <w:p w14:paraId="77A32C58">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抗生素分级管理系统</w:t>
      </w:r>
    </w:p>
    <w:p w14:paraId="49E91924">
      <w:pPr>
        <w:spacing w:line="400" w:lineRule="exact"/>
        <w:ind w:firstLine="420" w:firstLineChars="200"/>
        <w:rPr>
          <w:rFonts w:hint="eastAsia" w:ascii="宋体" w:hAnsi="宋体"/>
          <w:szCs w:val="21"/>
        </w:rPr>
      </w:pPr>
      <w:r>
        <w:rPr>
          <w:rFonts w:hint="eastAsia" w:ascii="宋体" w:hAnsi="宋体"/>
          <w:szCs w:val="21"/>
        </w:rPr>
        <w:t>对抗菌药物实现分级管控权限设置，监控抗菌药物在临床的使用情况，进行抗菌药物使用的全程干预、警示、评估和点评。主要功能要求包括：抗菌药物管理、抗菌药物分级授权、抗菌药申请及审批。</w:t>
      </w:r>
    </w:p>
    <w:p w14:paraId="0E764695">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合理用药系统</w:t>
      </w:r>
    </w:p>
    <w:p w14:paraId="6A7E8710">
      <w:pPr>
        <w:spacing w:line="400" w:lineRule="exact"/>
        <w:ind w:firstLine="420" w:firstLineChars="200"/>
        <w:rPr>
          <w:rFonts w:hint="eastAsia" w:ascii="宋体" w:hAnsi="宋体"/>
          <w:szCs w:val="21"/>
        </w:rPr>
      </w:pPr>
      <w:r>
        <w:rPr>
          <w:rFonts w:hint="eastAsia" w:ascii="宋体" w:hAnsi="宋体"/>
          <w:szCs w:val="21"/>
        </w:rPr>
        <w:t>1、处方（医嘱）用药审查功能</w:t>
      </w:r>
    </w:p>
    <w:p w14:paraId="13104EDA">
      <w:pPr>
        <w:spacing w:line="400" w:lineRule="exact"/>
        <w:ind w:firstLine="420" w:firstLineChars="200"/>
        <w:rPr>
          <w:rFonts w:hint="eastAsia" w:ascii="宋体" w:hAnsi="宋体"/>
          <w:szCs w:val="21"/>
        </w:rPr>
      </w:pPr>
      <w:r>
        <w:rPr>
          <w:rFonts w:hint="eastAsia" w:ascii="宋体" w:hAnsi="宋体"/>
          <w:szCs w:val="21"/>
        </w:rPr>
        <w:t>系统应能对处方（医嘱）用药进行剂量审查、累积剂量审查、超多日用量审查、给药途径审查、相互作用审查、体外注射剂配伍审查、配伍浓度审查、钾离子监测、TPN处方审查、门诊输液审查、禁忌症审查、不良反应审查、特殊人群（儿童、成人、老人、妊娠、哺乳、性别）用药审查、重复用药（重复成分、重复治疗）审查、药物过敏审查、药物检验值审查、规范性审查、医保审查、监测指标审查，并提示医生。</w:t>
      </w:r>
    </w:p>
    <w:p w14:paraId="73ADB318">
      <w:pPr>
        <w:spacing w:line="400" w:lineRule="exact"/>
        <w:ind w:firstLine="420" w:firstLineChars="200"/>
        <w:rPr>
          <w:rFonts w:hint="eastAsia" w:ascii="宋体" w:hAnsi="宋体"/>
          <w:szCs w:val="21"/>
        </w:rPr>
      </w:pPr>
      <w:r>
        <w:rPr>
          <w:rFonts w:hint="eastAsia" w:ascii="宋体" w:hAnsi="宋体"/>
          <w:szCs w:val="21"/>
        </w:rPr>
        <w:t>1.1住院医嘱支持用药天数预警。</w:t>
      </w:r>
    </w:p>
    <w:p w14:paraId="69BC9EDF">
      <w:pPr>
        <w:spacing w:line="400" w:lineRule="exact"/>
        <w:ind w:firstLine="420" w:firstLineChars="200"/>
        <w:rPr>
          <w:rFonts w:hint="eastAsia" w:ascii="宋体" w:hAnsi="宋体"/>
          <w:szCs w:val="21"/>
        </w:rPr>
      </w:pPr>
      <w:r>
        <w:rPr>
          <w:rFonts w:hint="eastAsia" w:ascii="宋体" w:hAnsi="宋体"/>
          <w:szCs w:val="21"/>
        </w:rPr>
        <w:t>1.2超多日用量审查可管控提前取药患者药量累计持有天数。</w:t>
      </w:r>
    </w:p>
    <w:p w14:paraId="0427B44C">
      <w:pPr>
        <w:spacing w:line="400" w:lineRule="exact"/>
        <w:ind w:firstLine="420" w:firstLineChars="200"/>
        <w:rPr>
          <w:rFonts w:hint="eastAsia" w:ascii="宋体" w:hAnsi="宋体"/>
          <w:szCs w:val="21"/>
        </w:rPr>
      </w:pPr>
      <w:r>
        <w:rPr>
          <w:rFonts w:hint="eastAsia" w:ascii="宋体" w:hAnsi="宋体"/>
          <w:szCs w:val="21"/>
        </w:rPr>
        <w:t>1.3可为医生提供TPN处方的营养均衡性计算功能。</w:t>
      </w:r>
    </w:p>
    <w:p w14:paraId="023C6E94">
      <w:pPr>
        <w:spacing w:line="400" w:lineRule="exact"/>
        <w:ind w:firstLine="420" w:firstLineChars="200"/>
        <w:rPr>
          <w:rFonts w:hint="eastAsia" w:ascii="宋体" w:hAnsi="宋体"/>
          <w:szCs w:val="21"/>
        </w:rPr>
      </w:pPr>
      <w:r>
        <w:rPr>
          <w:rFonts w:hint="eastAsia" w:ascii="宋体" w:hAnsi="宋体"/>
          <w:szCs w:val="21"/>
        </w:rPr>
        <w:t>2、药品信息提示功能</w:t>
      </w:r>
    </w:p>
    <w:p w14:paraId="636AC242">
      <w:pPr>
        <w:spacing w:line="400" w:lineRule="exact"/>
        <w:ind w:firstLine="420" w:firstLineChars="200"/>
        <w:rPr>
          <w:rFonts w:hint="eastAsia" w:ascii="宋体" w:hAnsi="宋体"/>
          <w:szCs w:val="21"/>
        </w:rPr>
      </w:pPr>
      <w:r>
        <w:rPr>
          <w:rFonts w:hint="eastAsia" w:ascii="宋体" w:hAnsi="宋体"/>
          <w:szCs w:val="21"/>
        </w:rPr>
        <w:t>可快捷查看药品相关重要信息；药品厂家说明书，并可查看药监局发布的说明书修订勘误，修改和新增药品说明书内容；查询相应药品的中药材专论信息。</w:t>
      </w:r>
    </w:p>
    <w:p w14:paraId="11AB5B69">
      <w:pPr>
        <w:spacing w:line="400" w:lineRule="exact"/>
        <w:ind w:firstLine="420" w:firstLineChars="200"/>
        <w:rPr>
          <w:rFonts w:hint="eastAsia" w:ascii="宋体" w:hAnsi="宋体"/>
          <w:szCs w:val="21"/>
        </w:rPr>
      </w:pPr>
      <w:r>
        <w:rPr>
          <w:rFonts w:hint="eastAsia" w:ascii="宋体" w:hAnsi="宋体"/>
          <w:szCs w:val="21"/>
        </w:rPr>
        <w:t>3、质子泵抑制药专项管控</w:t>
      </w:r>
    </w:p>
    <w:p w14:paraId="75DE982B">
      <w:pPr>
        <w:spacing w:line="400" w:lineRule="exact"/>
        <w:ind w:firstLine="420" w:firstLineChars="200"/>
        <w:rPr>
          <w:rFonts w:hint="eastAsia" w:ascii="宋体" w:hAnsi="宋体"/>
          <w:szCs w:val="21"/>
        </w:rPr>
      </w:pPr>
      <w:r>
        <w:rPr>
          <w:rFonts w:hint="eastAsia" w:ascii="宋体" w:hAnsi="宋体"/>
          <w:szCs w:val="21"/>
        </w:rPr>
        <w:t>3.1医生开具质子泵抑制剂药品时，需填写用药评估单。提供评估单专项统计分析。</w:t>
      </w:r>
    </w:p>
    <w:p w14:paraId="77809F55">
      <w:pPr>
        <w:spacing w:line="400" w:lineRule="exact"/>
        <w:ind w:firstLine="420" w:firstLineChars="200"/>
        <w:rPr>
          <w:rFonts w:hint="eastAsia" w:ascii="宋体" w:hAnsi="宋体"/>
          <w:szCs w:val="21"/>
        </w:rPr>
      </w:pPr>
      <w:r>
        <w:rPr>
          <w:rFonts w:hint="eastAsia" w:ascii="宋体" w:hAnsi="宋体"/>
          <w:szCs w:val="21"/>
        </w:rPr>
        <w:t>3.2系统可评估患者病生状态，若存在应激性溃疡风险，提供质子泵抑制剂用药建议。</w:t>
      </w:r>
    </w:p>
    <w:p w14:paraId="1C6D6782">
      <w:pPr>
        <w:spacing w:line="400" w:lineRule="exact"/>
        <w:ind w:firstLine="420" w:firstLineChars="200"/>
        <w:rPr>
          <w:rFonts w:hint="eastAsia" w:ascii="宋体" w:hAnsi="宋体"/>
          <w:szCs w:val="21"/>
        </w:rPr>
      </w:pPr>
      <w:r>
        <w:rPr>
          <w:rFonts w:hint="eastAsia" w:ascii="宋体" w:hAnsi="宋体"/>
          <w:szCs w:val="21"/>
        </w:rPr>
        <w:t>3.3围术期不合理使用质子泵抑制剂时，系统可警示医生。</w:t>
      </w:r>
    </w:p>
    <w:p w14:paraId="2C28A1CC">
      <w:pPr>
        <w:spacing w:line="400" w:lineRule="exact"/>
        <w:ind w:firstLine="420" w:firstLineChars="200"/>
        <w:rPr>
          <w:rFonts w:hint="eastAsia" w:ascii="宋体" w:hAnsi="宋体"/>
          <w:szCs w:val="21"/>
        </w:rPr>
      </w:pPr>
      <w:r>
        <w:rPr>
          <w:rFonts w:hint="eastAsia" w:ascii="宋体" w:hAnsi="宋体"/>
          <w:szCs w:val="21"/>
        </w:rPr>
        <w:t>4、协定方专项管控</w:t>
      </w:r>
    </w:p>
    <w:p w14:paraId="2DD3D219">
      <w:pPr>
        <w:spacing w:line="400" w:lineRule="exact"/>
        <w:ind w:firstLine="420" w:firstLineChars="200"/>
        <w:rPr>
          <w:rFonts w:hint="eastAsia" w:ascii="宋体" w:hAnsi="宋体"/>
          <w:szCs w:val="21"/>
        </w:rPr>
      </w:pPr>
      <w:r>
        <w:rPr>
          <w:rFonts w:hint="eastAsia" w:ascii="宋体" w:hAnsi="宋体"/>
          <w:szCs w:val="21"/>
        </w:rPr>
        <w:t>系统提供医院中药协定方证型适宜性审查。</w:t>
      </w:r>
    </w:p>
    <w:p w14:paraId="322FCB65">
      <w:pPr>
        <w:spacing w:line="400" w:lineRule="exact"/>
        <w:ind w:firstLine="420" w:firstLineChars="200"/>
        <w:rPr>
          <w:rFonts w:hint="eastAsia" w:ascii="宋体" w:hAnsi="宋体"/>
          <w:szCs w:val="21"/>
        </w:rPr>
      </w:pPr>
      <w:r>
        <w:rPr>
          <w:rFonts w:hint="eastAsia" w:ascii="宋体" w:hAnsi="宋体"/>
          <w:szCs w:val="21"/>
        </w:rPr>
        <w:t>5、经验性用药专项管控</w:t>
      </w:r>
    </w:p>
    <w:p w14:paraId="6E9AB203">
      <w:pPr>
        <w:spacing w:line="400" w:lineRule="exact"/>
        <w:ind w:firstLine="420" w:firstLineChars="200"/>
        <w:rPr>
          <w:rFonts w:hint="eastAsia" w:ascii="宋体" w:hAnsi="宋体"/>
          <w:szCs w:val="21"/>
        </w:rPr>
      </w:pPr>
      <w:r>
        <w:rPr>
          <w:rFonts w:hint="eastAsia" w:ascii="宋体" w:hAnsi="宋体"/>
          <w:szCs w:val="21"/>
        </w:rPr>
        <w:t>系统提供抗肿瘤药物过敏反应预处理用药合理性审查。</w:t>
      </w:r>
    </w:p>
    <w:p w14:paraId="3FAC1281">
      <w:pPr>
        <w:spacing w:line="400" w:lineRule="exact"/>
        <w:ind w:firstLine="420" w:firstLineChars="200"/>
        <w:rPr>
          <w:rFonts w:hint="eastAsia" w:ascii="宋体" w:hAnsi="宋体"/>
          <w:szCs w:val="21"/>
        </w:rPr>
      </w:pPr>
      <w:r>
        <w:rPr>
          <w:rFonts w:hint="eastAsia" w:ascii="宋体" w:hAnsi="宋体"/>
          <w:szCs w:val="21"/>
        </w:rPr>
        <w:t>6、抗菌药物专项管控</w:t>
      </w:r>
    </w:p>
    <w:p w14:paraId="474EAA9E">
      <w:pPr>
        <w:spacing w:line="400" w:lineRule="exact"/>
        <w:ind w:firstLine="420" w:firstLineChars="200"/>
        <w:rPr>
          <w:rFonts w:hint="eastAsia" w:ascii="宋体" w:hAnsi="宋体"/>
          <w:szCs w:val="21"/>
        </w:rPr>
      </w:pPr>
      <w:r>
        <w:rPr>
          <w:rFonts w:hint="eastAsia" w:ascii="宋体" w:hAnsi="宋体"/>
          <w:szCs w:val="21"/>
        </w:rPr>
        <w:t>6.1医生开具预防用抗菌药物时，需填写用药评估单，评估单区分非手术预防用药和手术预防用药。</w:t>
      </w:r>
    </w:p>
    <w:p w14:paraId="2FF43B61">
      <w:pPr>
        <w:spacing w:line="400" w:lineRule="exact"/>
        <w:ind w:firstLine="420" w:firstLineChars="200"/>
        <w:rPr>
          <w:rFonts w:hint="eastAsia" w:ascii="宋体" w:hAnsi="宋体"/>
          <w:color w:val="auto"/>
          <w:szCs w:val="21"/>
        </w:rPr>
      </w:pPr>
      <w:r>
        <w:rPr>
          <w:rFonts w:hint="eastAsia" w:ascii="宋体" w:hAnsi="宋体"/>
          <w:szCs w:val="21"/>
        </w:rPr>
        <w:t>6.2系统提供抗菌药物用药指征审查。医生开具抗菌药物必须有用药指征，否则系统将予以警示。</w:t>
      </w:r>
      <w:r>
        <w:rPr>
          <w:rFonts w:hint="eastAsia" w:ascii="宋体" w:hAnsi="宋体"/>
          <w:color w:val="auto"/>
          <w:szCs w:val="21"/>
        </w:rPr>
        <w:t>抗菌药物用药前行病原学送检提醒。</w:t>
      </w:r>
    </w:p>
    <w:p w14:paraId="4796B2C2">
      <w:pPr>
        <w:spacing w:line="400" w:lineRule="exact"/>
        <w:ind w:firstLine="420" w:firstLineChars="200"/>
        <w:rPr>
          <w:rFonts w:hint="eastAsia" w:ascii="宋体" w:hAnsi="宋体"/>
          <w:szCs w:val="21"/>
        </w:rPr>
      </w:pPr>
      <w:r>
        <w:rPr>
          <w:rFonts w:hint="eastAsia" w:ascii="宋体" w:hAnsi="宋体"/>
          <w:szCs w:val="21"/>
        </w:rPr>
        <w:t>7、审查提示屏蔽功能</w:t>
      </w:r>
    </w:p>
    <w:p w14:paraId="7B5490FE">
      <w:pPr>
        <w:spacing w:line="400" w:lineRule="exact"/>
        <w:ind w:firstLine="420" w:firstLineChars="200"/>
        <w:rPr>
          <w:rFonts w:hint="eastAsia" w:ascii="宋体" w:hAnsi="宋体"/>
          <w:szCs w:val="21"/>
        </w:rPr>
      </w:pPr>
      <w:r>
        <w:rPr>
          <w:rFonts w:hint="eastAsia" w:ascii="宋体" w:hAnsi="宋体"/>
          <w:szCs w:val="21"/>
        </w:rPr>
        <w:t>系统应能对剂量、给药途径、药物相互作用、体外注射剂配伍、配伍浓度、禁忌症、不良反应、儿童用药、老人用药、成人用药、性别用药、妊娠期用药、哺乳期用药、药物过敏、重复用药等审查项目进行审查提示屏蔽，支持分门诊、住院、急诊屏蔽，屏蔽后不再对相同问题进行提示。</w:t>
      </w:r>
    </w:p>
    <w:p w14:paraId="764B5C47">
      <w:pPr>
        <w:spacing w:line="400" w:lineRule="exact"/>
        <w:ind w:firstLine="420" w:firstLineChars="200"/>
        <w:rPr>
          <w:rFonts w:hint="eastAsia" w:ascii="宋体" w:hAnsi="宋体"/>
          <w:szCs w:val="21"/>
        </w:rPr>
      </w:pPr>
      <w:r>
        <w:rPr>
          <w:rFonts w:hint="eastAsia" w:ascii="宋体" w:hAnsi="宋体"/>
          <w:szCs w:val="21"/>
        </w:rPr>
        <w:t>8、审查规则自定义功能（医院专家知识库）</w:t>
      </w:r>
    </w:p>
    <w:p w14:paraId="4420014F">
      <w:pPr>
        <w:spacing w:line="400" w:lineRule="exact"/>
        <w:ind w:firstLine="420" w:firstLineChars="200"/>
        <w:rPr>
          <w:rFonts w:hint="eastAsia" w:ascii="宋体" w:hAnsi="宋体"/>
          <w:szCs w:val="21"/>
        </w:rPr>
      </w:pPr>
      <w:r>
        <w:rPr>
          <w:rFonts w:hint="eastAsia" w:ascii="宋体" w:hAnsi="宋体"/>
          <w:szCs w:val="21"/>
        </w:rPr>
        <w:t>8.1系统可以提供多种自定义方式：</w:t>
      </w:r>
    </w:p>
    <w:p w14:paraId="1ADF14BC">
      <w:pPr>
        <w:spacing w:line="400" w:lineRule="exact"/>
        <w:ind w:firstLine="420" w:firstLineChars="200"/>
        <w:rPr>
          <w:rFonts w:hint="eastAsia" w:ascii="宋体" w:hAnsi="宋体"/>
          <w:szCs w:val="21"/>
        </w:rPr>
      </w:pPr>
      <w:r>
        <w:rPr>
          <w:rFonts w:hint="eastAsia" w:ascii="宋体" w:hAnsi="宋体"/>
          <w:szCs w:val="21"/>
        </w:rPr>
        <w:t>（1）基于系统审查数据自定义方式，节省药师工作量；</w:t>
      </w:r>
    </w:p>
    <w:p w14:paraId="7B2B2C63">
      <w:pPr>
        <w:spacing w:line="400" w:lineRule="exact"/>
        <w:ind w:firstLine="420" w:firstLineChars="200"/>
        <w:rPr>
          <w:rFonts w:hint="eastAsia" w:ascii="宋体" w:hAnsi="宋体"/>
          <w:szCs w:val="21"/>
        </w:rPr>
      </w:pPr>
      <w:r>
        <w:rPr>
          <w:rFonts w:hint="eastAsia" w:ascii="宋体" w:hAnsi="宋体"/>
          <w:szCs w:val="21"/>
        </w:rPr>
        <w:t>（2）可完全由用户新建审查规则包括审查要素和审查逻辑。</w:t>
      </w:r>
    </w:p>
    <w:p w14:paraId="4252C5BB">
      <w:pPr>
        <w:spacing w:line="400" w:lineRule="exact"/>
        <w:ind w:firstLine="420" w:firstLineChars="200"/>
        <w:rPr>
          <w:rFonts w:hint="eastAsia" w:ascii="宋体" w:hAnsi="宋体"/>
          <w:szCs w:val="21"/>
        </w:rPr>
      </w:pPr>
      <w:r>
        <w:rPr>
          <w:rFonts w:hint="eastAsia" w:ascii="宋体" w:hAnsi="宋体"/>
          <w:szCs w:val="21"/>
        </w:rPr>
        <w:t>8.2用户可自定义药品警示、拦截规则，被拦截的问题处方必须返回修改，否则不可进行下一步操作。用户可设置已执行的长期医嘱是否拦截。</w:t>
      </w:r>
    </w:p>
    <w:p w14:paraId="7C7862D5">
      <w:pPr>
        <w:spacing w:line="400" w:lineRule="exact"/>
        <w:ind w:firstLine="420" w:firstLineChars="200"/>
        <w:rPr>
          <w:rFonts w:hint="eastAsia" w:ascii="宋体" w:hAnsi="宋体"/>
          <w:szCs w:val="21"/>
        </w:rPr>
      </w:pPr>
      <w:r>
        <w:rPr>
          <w:rFonts w:hint="eastAsia" w:ascii="宋体" w:hAnsi="宋体"/>
          <w:szCs w:val="21"/>
        </w:rPr>
        <w:t>8.3其中部分审查项目可支持以下功能：</w:t>
      </w:r>
    </w:p>
    <w:p w14:paraId="317485A8">
      <w:pPr>
        <w:spacing w:line="400" w:lineRule="exact"/>
        <w:ind w:firstLine="420" w:firstLineChars="200"/>
        <w:rPr>
          <w:rFonts w:hint="eastAsia" w:ascii="宋体" w:hAnsi="宋体"/>
          <w:szCs w:val="21"/>
        </w:rPr>
      </w:pPr>
      <w:r>
        <w:rPr>
          <w:rFonts w:hint="eastAsia" w:ascii="宋体" w:hAnsi="宋体"/>
          <w:szCs w:val="21"/>
        </w:rPr>
        <w:t>（1）剂量：可显示某个药品在本院近一个月医嘱用量统计，查看不同科室的剂量使用情况。用户只需维护药品一种给药单位的剂量审查规则，系统可自动将规则匹配到该药品其余给药单位。</w:t>
      </w:r>
    </w:p>
    <w:p w14:paraId="5E3856AB">
      <w:pPr>
        <w:spacing w:line="400" w:lineRule="exact"/>
        <w:ind w:firstLine="420" w:firstLineChars="200"/>
        <w:rPr>
          <w:rFonts w:hint="eastAsia" w:ascii="宋体" w:hAnsi="宋体"/>
          <w:szCs w:val="21"/>
        </w:rPr>
      </w:pPr>
      <w:r>
        <w:rPr>
          <w:rFonts w:hint="eastAsia" w:ascii="宋体" w:hAnsi="宋体"/>
          <w:szCs w:val="21"/>
        </w:rPr>
        <w:t>（2）超多日用量：可对门、急诊处方药品、麻醉药品和精一药品超多日用量天数进行设置，可针对慢病（区分医保、自费）、非慢病处方、特殊患者分别设置用药天数，并可根据超出天数设置不同的警示级别。用户可维护参与联合审查的历史处方时间范围。针对特定药品可设置是否拆零参与审查。</w:t>
      </w:r>
    </w:p>
    <w:p w14:paraId="3261D9C1">
      <w:pPr>
        <w:spacing w:line="400" w:lineRule="exact"/>
        <w:ind w:firstLine="420" w:firstLineChars="200"/>
        <w:rPr>
          <w:rFonts w:hint="eastAsia" w:ascii="宋体" w:hAnsi="宋体"/>
          <w:szCs w:val="21"/>
        </w:rPr>
      </w:pPr>
      <w:r>
        <w:rPr>
          <w:rFonts w:hint="eastAsia" w:ascii="宋体" w:hAnsi="宋体"/>
          <w:szCs w:val="21"/>
        </w:rPr>
        <w:t>（3）体外注射剂配伍：可设置小剂量胰岛素不参与体外配伍审查，具体剂量标准可由用户自行设置。</w:t>
      </w:r>
    </w:p>
    <w:p w14:paraId="6EEB8FB6">
      <w:pPr>
        <w:spacing w:line="400" w:lineRule="exact"/>
        <w:ind w:firstLine="420" w:firstLineChars="200"/>
        <w:rPr>
          <w:rFonts w:hint="eastAsia" w:ascii="宋体" w:hAnsi="宋体"/>
          <w:szCs w:val="21"/>
        </w:rPr>
      </w:pPr>
      <w:r>
        <w:rPr>
          <w:rFonts w:hint="eastAsia" w:ascii="宋体" w:hAnsi="宋体"/>
          <w:szCs w:val="21"/>
        </w:rPr>
        <w:t>（4）可设置应激性溃疡风险的预警规则；设置可预防使用质子泵抑制剂的手术、质子泵抑制剂药品及术后质子泵抑制剂用药疗程；</w:t>
      </w:r>
    </w:p>
    <w:p w14:paraId="5DF527B6">
      <w:pPr>
        <w:spacing w:line="400" w:lineRule="exact"/>
        <w:ind w:firstLine="420" w:firstLineChars="200"/>
        <w:rPr>
          <w:rFonts w:hint="eastAsia" w:ascii="宋体" w:hAnsi="宋体"/>
          <w:szCs w:val="21"/>
        </w:rPr>
      </w:pPr>
      <w:r>
        <w:rPr>
          <w:rFonts w:hint="eastAsia" w:ascii="宋体" w:hAnsi="宋体"/>
          <w:szCs w:val="21"/>
        </w:rPr>
        <w:t>（5）用户可维护医院协定方及对应证型；</w:t>
      </w:r>
    </w:p>
    <w:p w14:paraId="21014EDB">
      <w:pPr>
        <w:spacing w:line="400" w:lineRule="exact"/>
        <w:ind w:firstLine="420" w:firstLineChars="200"/>
        <w:rPr>
          <w:rFonts w:hint="eastAsia" w:ascii="宋体" w:hAnsi="宋体"/>
          <w:szCs w:val="21"/>
        </w:rPr>
      </w:pPr>
      <w:r>
        <w:rPr>
          <w:rFonts w:hint="eastAsia" w:ascii="宋体" w:hAnsi="宋体"/>
          <w:szCs w:val="21"/>
        </w:rPr>
        <w:t>（6）用户可设置抗肿瘤药物过敏反应预防药品品种。</w:t>
      </w:r>
    </w:p>
    <w:p w14:paraId="4A3AE3F3">
      <w:pPr>
        <w:spacing w:line="400" w:lineRule="exact"/>
        <w:ind w:firstLine="420" w:firstLineChars="200"/>
        <w:rPr>
          <w:rFonts w:hint="eastAsia" w:ascii="宋体" w:hAnsi="宋体"/>
          <w:szCs w:val="21"/>
        </w:rPr>
      </w:pPr>
      <w:r>
        <w:rPr>
          <w:rFonts w:hint="eastAsia" w:ascii="宋体" w:hAnsi="宋体"/>
          <w:szCs w:val="21"/>
        </w:rPr>
        <w:t>（7）用户可设置质子泵抑制药、抗菌药物用药评估单模板。</w:t>
      </w:r>
    </w:p>
    <w:p w14:paraId="5047CA8D">
      <w:pPr>
        <w:spacing w:line="400" w:lineRule="exact"/>
        <w:ind w:firstLine="420" w:firstLineChars="200"/>
        <w:rPr>
          <w:rFonts w:hint="eastAsia" w:ascii="宋体" w:hAnsi="宋体"/>
          <w:szCs w:val="21"/>
        </w:rPr>
      </w:pPr>
      <w:r>
        <w:rPr>
          <w:rFonts w:hint="eastAsia" w:ascii="宋体" w:hAnsi="宋体"/>
          <w:szCs w:val="21"/>
        </w:rPr>
        <w:t>8.4规则复制功能：系统支持将其它药品已有的自定义规则分模块复制到被选择的药品上。</w:t>
      </w:r>
    </w:p>
    <w:p w14:paraId="6D3264ED">
      <w:pPr>
        <w:spacing w:line="400" w:lineRule="exact"/>
        <w:ind w:firstLine="420" w:firstLineChars="200"/>
        <w:rPr>
          <w:rFonts w:hint="eastAsia" w:ascii="宋体" w:hAnsi="宋体"/>
          <w:szCs w:val="21"/>
        </w:rPr>
      </w:pPr>
      <w:r>
        <w:rPr>
          <w:rFonts w:hint="eastAsia" w:ascii="宋体" w:hAnsi="宋体"/>
          <w:szCs w:val="21"/>
        </w:rPr>
        <w:t>8.5豁免对象：可根据药品、医生、科室等条件设置特定对象不参与某些模块审查，并可按照模块查看对各种豁免情况的统计。</w:t>
      </w:r>
    </w:p>
    <w:p w14:paraId="4156D2E8">
      <w:pPr>
        <w:spacing w:line="400" w:lineRule="exact"/>
        <w:ind w:firstLine="420" w:firstLineChars="200"/>
        <w:rPr>
          <w:rFonts w:hint="eastAsia" w:ascii="宋体" w:hAnsi="宋体"/>
          <w:szCs w:val="21"/>
        </w:rPr>
      </w:pPr>
      <w:r>
        <w:rPr>
          <w:rFonts w:hint="eastAsia" w:ascii="宋体" w:hAnsi="宋体"/>
          <w:szCs w:val="21"/>
        </w:rPr>
        <w:t>8.6自定义规则查询：可查询药品、科室以及各模块的自定义规则。</w:t>
      </w:r>
    </w:p>
    <w:p w14:paraId="3AE5DD08">
      <w:pPr>
        <w:spacing w:line="400" w:lineRule="exact"/>
        <w:ind w:firstLine="420" w:firstLineChars="200"/>
        <w:rPr>
          <w:rFonts w:hint="eastAsia" w:ascii="宋体" w:hAnsi="宋体"/>
          <w:szCs w:val="21"/>
        </w:rPr>
      </w:pPr>
      <w:r>
        <w:rPr>
          <w:rFonts w:hint="eastAsia" w:ascii="宋体" w:hAnsi="宋体"/>
          <w:szCs w:val="21"/>
        </w:rPr>
        <w:t>9、统计分析功能</w:t>
      </w:r>
    </w:p>
    <w:p w14:paraId="1F5D5213">
      <w:pPr>
        <w:spacing w:line="400" w:lineRule="exact"/>
        <w:ind w:firstLine="420" w:firstLineChars="200"/>
        <w:rPr>
          <w:rFonts w:hint="eastAsia" w:ascii="宋体" w:hAnsi="宋体"/>
          <w:szCs w:val="21"/>
        </w:rPr>
      </w:pPr>
      <w:r>
        <w:rPr>
          <w:rFonts w:hint="eastAsia" w:ascii="宋体" w:hAnsi="宋体"/>
          <w:szCs w:val="21"/>
        </w:rPr>
        <w:t>9.1问题处方（医嘱）保存、查询，以及不合理问题统计分析。</w:t>
      </w:r>
    </w:p>
    <w:p w14:paraId="5A227865">
      <w:pPr>
        <w:spacing w:line="400" w:lineRule="exact"/>
        <w:ind w:firstLine="420" w:firstLineChars="200"/>
        <w:rPr>
          <w:rFonts w:hint="eastAsia" w:ascii="宋体" w:hAnsi="宋体"/>
          <w:szCs w:val="21"/>
        </w:rPr>
      </w:pPr>
      <w:r>
        <w:rPr>
          <w:rFonts w:hint="eastAsia" w:ascii="宋体" w:hAnsi="宋体"/>
          <w:szCs w:val="21"/>
        </w:rPr>
        <w:t>9.2提供不合理问题评估功能，便于药师在做回顾性分析时对已评估的问题做记录。</w:t>
      </w:r>
    </w:p>
    <w:p w14:paraId="77719E31">
      <w:pPr>
        <w:spacing w:line="400" w:lineRule="exact"/>
        <w:ind w:firstLine="420" w:firstLineChars="200"/>
        <w:rPr>
          <w:rFonts w:hint="eastAsia" w:ascii="宋体" w:hAnsi="宋体"/>
          <w:szCs w:val="21"/>
        </w:rPr>
      </w:pPr>
      <w:r>
        <w:rPr>
          <w:rFonts w:hint="eastAsia" w:ascii="宋体" w:hAnsi="宋体"/>
          <w:szCs w:val="21"/>
        </w:rPr>
        <w:t>9.3用药理由统计</w:t>
      </w:r>
    </w:p>
    <w:p w14:paraId="5CCEC665">
      <w:pPr>
        <w:spacing w:line="400" w:lineRule="exact"/>
        <w:ind w:firstLine="420" w:firstLineChars="200"/>
        <w:rPr>
          <w:rFonts w:hint="eastAsia" w:ascii="宋体" w:hAnsi="宋体"/>
          <w:szCs w:val="21"/>
        </w:rPr>
      </w:pPr>
      <w:r>
        <w:rPr>
          <w:rFonts w:hint="eastAsia" w:ascii="宋体" w:hAnsi="宋体"/>
          <w:szCs w:val="21"/>
        </w:rPr>
        <w:t>10、通讯功能</w:t>
      </w:r>
    </w:p>
    <w:p w14:paraId="039DEFA1">
      <w:pPr>
        <w:spacing w:line="400" w:lineRule="exact"/>
        <w:ind w:firstLine="420" w:firstLineChars="200"/>
        <w:rPr>
          <w:rFonts w:hint="eastAsia" w:ascii="宋体" w:hAnsi="宋体"/>
          <w:szCs w:val="21"/>
        </w:rPr>
      </w:pPr>
      <w:r>
        <w:rPr>
          <w:rFonts w:hint="eastAsia" w:ascii="宋体" w:hAnsi="宋体"/>
          <w:szCs w:val="21"/>
        </w:rPr>
        <w:t>系统应提供药师和医生的在线沟通平台，提供截图、发送图片、文件传输、消息撤回、消息已读提示功能。</w:t>
      </w:r>
    </w:p>
    <w:p w14:paraId="5CFEAC48">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临床药学管理系统</w:t>
      </w:r>
    </w:p>
    <w:p w14:paraId="31243A39">
      <w:pPr>
        <w:spacing w:line="400" w:lineRule="exact"/>
        <w:ind w:firstLine="420" w:firstLineChars="200"/>
        <w:rPr>
          <w:rFonts w:hint="eastAsia" w:ascii="宋体" w:hAnsi="宋体"/>
          <w:szCs w:val="21"/>
        </w:rPr>
      </w:pPr>
      <w:r>
        <w:rPr>
          <w:rFonts w:hint="eastAsia" w:ascii="宋体" w:hAnsi="宋体"/>
          <w:szCs w:val="21"/>
        </w:rPr>
        <w:t>1、智慧中心</w:t>
      </w:r>
    </w:p>
    <w:p w14:paraId="55DA5E0B">
      <w:pPr>
        <w:spacing w:line="400" w:lineRule="exact"/>
        <w:ind w:firstLine="420" w:firstLineChars="200"/>
        <w:rPr>
          <w:rFonts w:hint="eastAsia" w:ascii="宋体" w:hAnsi="宋体"/>
          <w:szCs w:val="21"/>
        </w:rPr>
      </w:pPr>
      <w:r>
        <w:rPr>
          <w:rFonts w:hint="eastAsia" w:ascii="宋体" w:hAnsi="宋体"/>
          <w:szCs w:val="21"/>
        </w:rPr>
        <w:t>系统主页应能显示门诊/住院点评率、合理率、住院抗菌药物使用强度、门诊基本药物占比、住院静脉输液使用率等指标。</w:t>
      </w:r>
    </w:p>
    <w:p w14:paraId="3556B4D2">
      <w:pPr>
        <w:spacing w:line="400" w:lineRule="exact"/>
        <w:ind w:firstLine="420" w:firstLineChars="200"/>
        <w:rPr>
          <w:rFonts w:hint="eastAsia" w:ascii="宋体" w:hAnsi="宋体"/>
          <w:szCs w:val="21"/>
        </w:rPr>
      </w:pPr>
      <w:r>
        <w:rPr>
          <w:rFonts w:hint="eastAsia" w:ascii="宋体" w:hAnsi="宋体"/>
          <w:szCs w:val="21"/>
        </w:rPr>
        <w:t>2、读取和查看病人信息</w:t>
      </w:r>
    </w:p>
    <w:p w14:paraId="5A63BA8C">
      <w:pPr>
        <w:spacing w:line="400" w:lineRule="exact"/>
        <w:ind w:firstLine="420" w:firstLineChars="200"/>
        <w:rPr>
          <w:rFonts w:hint="eastAsia" w:ascii="宋体" w:hAnsi="宋体"/>
          <w:szCs w:val="21"/>
        </w:rPr>
      </w:pPr>
      <w:r>
        <w:rPr>
          <w:rFonts w:hint="eastAsia" w:ascii="宋体" w:hAnsi="宋体"/>
          <w:szCs w:val="21"/>
        </w:rPr>
        <w:t>系统应能筛选患者并查看患者基本信息、医嘱、检查、检验、手术、费用、会诊、病程等信息，同时能提供EMR、PACS、LIS超链接功能，帮助药师快速切换。</w:t>
      </w:r>
    </w:p>
    <w:p w14:paraId="3EF87A08">
      <w:pPr>
        <w:spacing w:line="400" w:lineRule="exact"/>
        <w:ind w:firstLine="420" w:firstLineChars="200"/>
        <w:rPr>
          <w:rFonts w:hint="eastAsia" w:ascii="宋体" w:hAnsi="宋体"/>
          <w:szCs w:val="21"/>
        </w:rPr>
      </w:pPr>
      <w:r>
        <w:rPr>
          <w:rFonts w:hint="eastAsia" w:ascii="宋体" w:hAnsi="宋体"/>
          <w:szCs w:val="21"/>
        </w:rPr>
        <w:t>3、处方点评</w:t>
      </w:r>
    </w:p>
    <w:p w14:paraId="5D6E5155">
      <w:pPr>
        <w:spacing w:line="400" w:lineRule="exact"/>
        <w:ind w:firstLine="420" w:firstLineChars="200"/>
        <w:rPr>
          <w:rFonts w:hint="eastAsia" w:ascii="宋体" w:hAnsi="宋体"/>
          <w:szCs w:val="21"/>
        </w:rPr>
      </w:pPr>
      <w:r>
        <w:rPr>
          <w:rFonts w:hint="eastAsia" w:ascii="宋体" w:hAnsi="宋体"/>
          <w:szCs w:val="21"/>
        </w:rPr>
        <w:t>3.1系统应结合国家处方点评相关政策要求，实现对处方（医嘱）电子化评价功能。应能对处方（医嘱）用药进行剂量审查、给药途径审查、相互作用审查、体外注射剂配伍审查、配伍浓度审查、钾离子监测、TPN处方审查、门诊输液审查、禁忌症审查、不良反应审查、特殊人群用药审查、重复用药审查、适应症审查、药物过敏审查、药物检验值审查、规范性审查、医保审查、越权用药审查、围术期用药审查，并提供审查规则自定义功能，使得点评结果更加符合医院实际用药情况。</w:t>
      </w:r>
    </w:p>
    <w:p w14:paraId="6C330E35">
      <w:pPr>
        <w:spacing w:line="400" w:lineRule="exact"/>
        <w:ind w:firstLine="420" w:firstLineChars="200"/>
        <w:rPr>
          <w:rFonts w:hint="eastAsia" w:ascii="宋体" w:hAnsi="宋体"/>
          <w:szCs w:val="21"/>
        </w:rPr>
      </w:pPr>
      <w:r>
        <w:rPr>
          <w:rFonts w:hint="eastAsia" w:ascii="宋体" w:hAnsi="宋体"/>
          <w:szCs w:val="21"/>
        </w:rPr>
        <w:t>3.2系统应能实现点评任务分配、点评求助、点评复核、反馈医生、医生申述的闭环管理，并在医生、药师交互环节进行消息提示。点评结果反馈医生或科主任后，医生（工作站）可直接填写申述理由或确认，无需登录系统查看点评结果。</w:t>
      </w:r>
    </w:p>
    <w:p w14:paraId="7DB4E968">
      <w:pPr>
        <w:spacing w:line="400" w:lineRule="exact"/>
        <w:ind w:firstLine="420" w:firstLineChars="200"/>
        <w:rPr>
          <w:rFonts w:hint="eastAsia" w:ascii="宋体" w:hAnsi="宋体"/>
          <w:szCs w:val="21"/>
        </w:rPr>
      </w:pPr>
      <w:r>
        <w:rPr>
          <w:rFonts w:hint="eastAsia" w:ascii="宋体" w:hAnsi="宋体"/>
          <w:szCs w:val="21"/>
        </w:rPr>
        <w:t>3.3系统应提供双盲点评设置、医生处理点评结果逾期设置、增补处方或病人、高亮显示被点评药品功能，方便药师点评。</w:t>
      </w:r>
    </w:p>
    <w:p w14:paraId="206B3930">
      <w:pPr>
        <w:spacing w:line="400" w:lineRule="exact"/>
        <w:ind w:firstLine="420" w:firstLineChars="200"/>
        <w:rPr>
          <w:rFonts w:hint="eastAsia" w:ascii="宋体" w:hAnsi="宋体"/>
          <w:szCs w:val="21"/>
        </w:rPr>
      </w:pPr>
      <w:r>
        <w:rPr>
          <w:rFonts w:hint="eastAsia" w:ascii="宋体" w:hAnsi="宋体"/>
          <w:szCs w:val="21"/>
        </w:rPr>
        <w:t>3.4系统应能自定义点评模板及点评点，实现个性化点评需求。</w:t>
      </w:r>
    </w:p>
    <w:p w14:paraId="4C7DAA66">
      <w:pPr>
        <w:spacing w:line="400" w:lineRule="exact"/>
        <w:ind w:firstLine="420" w:firstLineChars="200"/>
        <w:rPr>
          <w:rFonts w:hint="eastAsia" w:ascii="宋体" w:hAnsi="宋体"/>
          <w:szCs w:val="21"/>
        </w:rPr>
      </w:pPr>
      <w:r>
        <w:rPr>
          <w:rFonts w:hint="eastAsia" w:ascii="宋体" w:hAnsi="宋体"/>
          <w:szCs w:val="21"/>
        </w:rPr>
        <w:t>3.5系统应能自动生成住院患者用药联用图、时序图，并支持自定义。住院患者时序图包含患者体征、用药、手术和检验信息等内容。</w:t>
      </w:r>
    </w:p>
    <w:p w14:paraId="0BFEDB3B">
      <w:pPr>
        <w:spacing w:line="400" w:lineRule="exact"/>
        <w:ind w:firstLine="420" w:firstLineChars="200"/>
        <w:rPr>
          <w:rFonts w:hint="eastAsia" w:ascii="宋体" w:hAnsi="宋体"/>
          <w:szCs w:val="21"/>
        </w:rPr>
      </w:pPr>
      <w:r>
        <w:rPr>
          <w:rFonts w:hint="eastAsia" w:ascii="宋体" w:hAnsi="宋体"/>
          <w:szCs w:val="21"/>
        </w:rPr>
        <w:t>3.6系统应能自动生成点评相关报表及任务完成情况等管理报表。</w:t>
      </w:r>
    </w:p>
    <w:p w14:paraId="4B2D278C">
      <w:pPr>
        <w:spacing w:line="400" w:lineRule="exact"/>
        <w:ind w:firstLine="420" w:firstLineChars="200"/>
        <w:rPr>
          <w:rFonts w:hint="eastAsia" w:ascii="宋体" w:hAnsi="宋体"/>
          <w:szCs w:val="21"/>
        </w:rPr>
      </w:pPr>
      <w:r>
        <w:rPr>
          <w:rFonts w:hint="eastAsia" w:ascii="宋体" w:hAnsi="宋体"/>
          <w:szCs w:val="21"/>
        </w:rPr>
        <w:t>3.7系统应包含全处方点评、全医嘱点评、门急诊/住院抗菌药物专项点评、围手术期抗菌药物专项点评、门急诊/住院专项药品点评、门急诊/住院抗肿瘤药物专项点评、住院病人特殊级抗菌药物专项点评、住院病人碳青霉烯类及替加环素专项点评、住院病人人血白蛋白专项点评、门（急）诊/住院中药饮片专项点评、门（急）诊中成药处方专项点评、用药排名医嘱点评、住院用药医嘱点评、出院带药医嘱点评、门（急）诊基本药物专项点评、住院病人肠外营养专项点评、住院病人自备药专项点评、门（急）诊外延处方点评。</w:t>
      </w:r>
    </w:p>
    <w:p w14:paraId="1E52F9C8">
      <w:pPr>
        <w:spacing w:line="400" w:lineRule="exact"/>
        <w:ind w:firstLine="420" w:firstLineChars="200"/>
        <w:rPr>
          <w:rFonts w:hint="eastAsia" w:ascii="宋体" w:hAnsi="宋体"/>
          <w:szCs w:val="21"/>
        </w:rPr>
      </w:pPr>
      <w:r>
        <w:rPr>
          <w:rFonts w:hint="eastAsia" w:ascii="宋体" w:hAnsi="宋体"/>
          <w:szCs w:val="21"/>
        </w:rPr>
        <w:t>4、抗菌药物临床应用监测</w:t>
      </w:r>
    </w:p>
    <w:p w14:paraId="704531EA">
      <w:pPr>
        <w:spacing w:line="400" w:lineRule="exact"/>
        <w:ind w:firstLine="420" w:firstLineChars="200"/>
        <w:rPr>
          <w:rFonts w:hint="eastAsia" w:ascii="宋体" w:hAnsi="宋体"/>
          <w:szCs w:val="21"/>
        </w:rPr>
      </w:pPr>
      <w:r>
        <w:rPr>
          <w:rFonts w:hint="eastAsia" w:ascii="宋体" w:hAnsi="宋体"/>
          <w:szCs w:val="21"/>
        </w:rPr>
        <w:t>系统应根据卫生部《抗菌药物临床应用监测方案》中的相关规定，完成抗菌药物临床应用监测网要求的抗菌药物使用情况统计及上报工作。系统应提供手术/非手术抗菌药物使用情况调查表、门诊/急诊/住院患者抗菌药物使用情况统计报表的离线上报功能，可直接上传文档至监测网完成填报工作，避免二次填写。</w:t>
      </w:r>
    </w:p>
    <w:p w14:paraId="2998CA0E">
      <w:pPr>
        <w:spacing w:line="400" w:lineRule="exact"/>
        <w:ind w:firstLine="420" w:firstLineChars="200"/>
        <w:rPr>
          <w:rFonts w:hint="eastAsia" w:ascii="宋体" w:hAnsi="宋体"/>
          <w:szCs w:val="21"/>
        </w:rPr>
      </w:pPr>
      <w:r>
        <w:rPr>
          <w:rFonts w:hint="eastAsia" w:ascii="宋体" w:hAnsi="宋体"/>
          <w:szCs w:val="21"/>
        </w:rPr>
        <w:t>5、电子药历</w:t>
      </w:r>
    </w:p>
    <w:p w14:paraId="658C523A">
      <w:pPr>
        <w:spacing w:line="400" w:lineRule="exact"/>
        <w:ind w:firstLine="420" w:firstLineChars="200"/>
        <w:rPr>
          <w:rFonts w:hint="eastAsia" w:ascii="宋体" w:hAnsi="宋体"/>
          <w:szCs w:val="21"/>
        </w:rPr>
      </w:pPr>
      <w:r>
        <w:rPr>
          <w:rFonts w:hint="eastAsia" w:ascii="宋体" w:hAnsi="宋体"/>
          <w:szCs w:val="21"/>
        </w:rPr>
        <w:t>系统应提供工作药历、教学药历填写模块，并提供自定义药历内容、药历审阅和工作量统计。</w:t>
      </w:r>
    </w:p>
    <w:p w14:paraId="533B5E6D">
      <w:pPr>
        <w:spacing w:line="400" w:lineRule="exact"/>
        <w:ind w:firstLine="420" w:firstLineChars="200"/>
        <w:rPr>
          <w:rFonts w:hint="eastAsia" w:ascii="宋体" w:hAnsi="宋体"/>
          <w:szCs w:val="21"/>
        </w:rPr>
      </w:pPr>
      <w:r>
        <w:rPr>
          <w:rFonts w:hint="eastAsia" w:ascii="宋体" w:hAnsi="宋体"/>
          <w:szCs w:val="21"/>
        </w:rPr>
        <w:t>6、统计分析</w:t>
      </w:r>
    </w:p>
    <w:p w14:paraId="27A24FE5">
      <w:pPr>
        <w:spacing w:line="400" w:lineRule="exact"/>
        <w:ind w:firstLine="420" w:firstLineChars="200"/>
        <w:rPr>
          <w:rFonts w:hint="eastAsia" w:ascii="宋体" w:hAnsi="宋体"/>
          <w:szCs w:val="21"/>
        </w:rPr>
      </w:pPr>
      <w:r>
        <w:rPr>
          <w:rFonts w:hint="eastAsia" w:ascii="宋体" w:hAnsi="宋体"/>
          <w:szCs w:val="21"/>
        </w:rPr>
        <w:t>系统应提供对医院合理用药指标及药品使用情况的统计分析，并能自定义显示和导出。同时提供关键字检索功能，便于快速查询指标。</w:t>
      </w:r>
    </w:p>
    <w:p w14:paraId="18DFC4EF">
      <w:pPr>
        <w:spacing w:line="400" w:lineRule="exact"/>
        <w:ind w:firstLine="420" w:firstLineChars="200"/>
        <w:rPr>
          <w:rFonts w:hint="eastAsia" w:ascii="宋体" w:hAnsi="宋体"/>
          <w:szCs w:val="21"/>
        </w:rPr>
      </w:pPr>
      <w:r>
        <w:rPr>
          <w:rFonts w:hint="eastAsia" w:ascii="宋体" w:hAnsi="宋体"/>
          <w:szCs w:val="21"/>
        </w:rPr>
        <w:t>6.1合理用药指标及趋势分析，包括：抗菌药物使用率、平均用药品种数、注射剂使用率、抗菌药物患者使用前病原送检率、X类切口手术预防用抗菌药物百分率、X类切口手术术前0.5-1.0小时预防给药百分率等。应能按全院、大科室、科室、医疗组、医生分别提供合理用药相关指标的统计，并能将合理用药指标重新组合并生成新的报表。应能实现抗菌药物使用强度、抗菌药物使用率、抗菌药物使用量、I类切口手术预防用抗菌药物百分率、国家基本药物药占比同比、环比分析。</w:t>
      </w:r>
    </w:p>
    <w:p w14:paraId="5B92B5E7">
      <w:pPr>
        <w:spacing w:line="400" w:lineRule="exact"/>
        <w:ind w:firstLine="420" w:firstLineChars="200"/>
        <w:rPr>
          <w:rFonts w:hint="eastAsia" w:ascii="宋体" w:hAnsi="宋体"/>
          <w:szCs w:val="21"/>
        </w:rPr>
      </w:pPr>
      <w:r>
        <w:rPr>
          <w:rFonts w:hint="eastAsia" w:ascii="宋体" w:hAnsi="宋体"/>
          <w:color w:val="auto"/>
          <w:szCs w:val="21"/>
        </w:rPr>
        <w:t>具备特殊管理药品使用情况统计，并可导出。</w:t>
      </w:r>
    </w:p>
    <w:p w14:paraId="265937C9">
      <w:pPr>
        <w:spacing w:line="400" w:lineRule="exact"/>
        <w:ind w:firstLine="420" w:firstLineChars="200"/>
        <w:rPr>
          <w:rFonts w:hint="eastAsia" w:ascii="宋体" w:hAnsi="宋体"/>
          <w:szCs w:val="21"/>
        </w:rPr>
      </w:pPr>
      <w:r>
        <w:rPr>
          <w:rFonts w:hint="eastAsia" w:ascii="宋体" w:hAnsi="宋体"/>
          <w:szCs w:val="21"/>
        </w:rPr>
        <w:t>6.2自定义合理用药指标</w:t>
      </w:r>
    </w:p>
    <w:p w14:paraId="47BDDDD4">
      <w:pPr>
        <w:spacing w:line="400" w:lineRule="exact"/>
        <w:ind w:firstLine="420" w:firstLineChars="200"/>
        <w:rPr>
          <w:rFonts w:hint="eastAsia" w:ascii="宋体" w:hAnsi="宋体"/>
          <w:szCs w:val="21"/>
        </w:rPr>
      </w:pPr>
      <w:r>
        <w:rPr>
          <w:rFonts w:hint="eastAsia" w:ascii="宋体" w:hAnsi="宋体"/>
          <w:szCs w:val="21"/>
        </w:rPr>
        <w:t>系统应提供自定义合理用药指标功能，可自行设置指标分子、分母进行统计。自定义要素包含药品、治疗金额、药品金额、处方数、病人数、药品品种数、使用量DDDs、人天数、用药医嘱条目数。</w:t>
      </w:r>
    </w:p>
    <w:p w14:paraId="59F3F69D">
      <w:pPr>
        <w:spacing w:line="400" w:lineRule="exact"/>
        <w:ind w:firstLine="420" w:firstLineChars="200"/>
        <w:rPr>
          <w:rFonts w:hint="eastAsia" w:ascii="宋体" w:hAnsi="宋体"/>
          <w:szCs w:val="21"/>
        </w:rPr>
      </w:pPr>
      <w:r>
        <w:rPr>
          <w:rFonts w:hint="eastAsia" w:ascii="宋体" w:hAnsi="宋体"/>
          <w:szCs w:val="21"/>
        </w:rPr>
        <w:t>6.3药品使用强度统计</w:t>
      </w:r>
    </w:p>
    <w:p w14:paraId="7F48D4C0">
      <w:pPr>
        <w:spacing w:line="400" w:lineRule="exact"/>
        <w:ind w:firstLine="420" w:firstLineChars="200"/>
        <w:rPr>
          <w:rFonts w:hint="eastAsia" w:ascii="宋体" w:hAnsi="宋体"/>
          <w:szCs w:val="21"/>
        </w:rPr>
      </w:pPr>
      <w:r>
        <w:rPr>
          <w:rFonts w:hint="eastAsia" w:ascii="宋体" w:hAnsi="宋体"/>
          <w:szCs w:val="21"/>
        </w:rPr>
        <w:t>6.4药品金额、数量、DDDs统计</w:t>
      </w:r>
    </w:p>
    <w:p w14:paraId="2816C349">
      <w:pPr>
        <w:spacing w:line="400" w:lineRule="exact"/>
        <w:ind w:firstLine="420" w:firstLineChars="200"/>
        <w:rPr>
          <w:rFonts w:hint="eastAsia" w:ascii="宋体" w:hAnsi="宋体"/>
          <w:szCs w:val="21"/>
        </w:rPr>
      </w:pPr>
      <w:r>
        <w:rPr>
          <w:rFonts w:hint="eastAsia" w:ascii="宋体" w:hAnsi="宋体"/>
          <w:szCs w:val="21"/>
        </w:rPr>
        <w:t>6.5药品使用人次统计</w:t>
      </w:r>
    </w:p>
    <w:p w14:paraId="0C4E92FA">
      <w:pPr>
        <w:spacing w:line="400" w:lineRule="exact"/>
        <w:ind w:firstLine="420" w:firstLineChars="200"/>
        <w:rPr>
          <w:rFonts w:hint="eastAsia" w:ascii="宋体" w:hAnsi="宋体"/>
          <w:szCs w:val="21"/>
        </w:rPr>
      </w:pPr>
      <w:r>
        <w:rPr>
          <w:rFonts w:hint="eastAsia" w:ascii="宋体" w:hAnsi="宋体"/>
          <w:szCs w:val="21"/>
        </w:rPr>
        <w:t>6.6注射剂/大容量注射液统计</w:t>
      </w:r>
    </w:p>
    <w:p w14:paraId="3D6930ED">
      <w:pPr>
        <w:spacing w:line="400" w:lineRule="exact"/>
        <w:ind w:firstLine="420" w:firstLineChars="200"/>
        <w:rPr>
          <w:rFonts w:hint="eastAsia" w:ascii="宋体" w:hAnsi="宋体"/>
          <w:szCs w:val="21"/>
        </w:rPr>
      </w:pPr>
      <w:r>
        <w:rPr>
          <w:rFonts w:hint="eastAsia" w:ascii="宋体" w:hAnsi="宋体"/>
          <w:szCs w:val="21"/>
        </w:rPr>
        <w:t>6.7药品品种/费用构成统计</w:t>
      </w:r>
    </w:p>
    <w:p w14:paraId="0786BF1B">
      <w:pPr>
        <w:spacing w:line="400" w:lineRule="exact"/>
        <w:ind w:firstLine="420" w:firstLineChars="200"/>
        <w:rPr>
          <w:rFonts w:hint="eastAsia" w:ascii="宋体" w:hAnsi="宋体"/>
          <w:szCs w:val="21"/>
        </w:rPr>
      </w:pPr>
      <w:r>
        <w:rPr>
          <w:rFonts w:hint="eastAsia" w:ascii="宋体" w:hAnsi="宋体"/>
          <w:szCs w:val="21"/>
        </w:rPr>
        <w:t>6.8门（急）诊大处方分析</w:t>
      </w:r>
    </w:p>
    <w:p w14:paraId="575E1B77">
      <w:pPr>
        <w:spacing w:line="400" w:lineRule="exact"/>
        <w:ind w:firstLine="420" w:firstLineChars="200"/>
        <w:rPr>
          <w:rFonts w:hint="eastAsia" w:ascii="宋体" w:hAnsi="宋体"/>
          <w:szCs w:val="21"/>
        </w:rPr>
      </w:pPr>
      <w:r>
        <w:rPr>
          <w:rFonts w:hint="eastAsia" w:ascii="宋体" w:hAnsi="宋体"/>
          <w:szCs w:val="21"/>
        </w:rPr>
        <w:t>6.9抗菌药物使用清单及统计</w:t>
      </w:r>
    </w:p>
    <w:p w14:paraId="505087F6">
      <w:pPr>
        <w:spacing w:line="400" w:lineRule="exact"/>
        <w:ind w:firstLine="420" w:firstLineChars="200"/>
        <w:rPr>
          <w:rFonts w:hint="eastAsia" w:ascii="宋体" w:hAnsi="宋体"/>
          <w:szCs w:val="21"/>
        </w:rPr>
      </w:pPr>
      <w:r>
        <w:rPr>
          <w:rFonts w:hint="eastAsia" w:ascii="宋体" w:hAnsi="宋体"/>
          <w:szCs w:val="21"/>
        </w:rPr>
        <w:t>6.10基本药物使用清单及统计</w:t>
      </w:r>
    </w:p>
    <w:p w14:paraId="3C7CB924">
      <w:pPr>
        <w:spacing w:line="400" w:lineRule="exact"/>
        <w:ind w:firstLine="420" w:firstLineChars="200"/>
        <w:rPr>
          <w:rFonts w:hint="eastAsia" w:ascii="宋体" w:hAnsi="宋体"/>
          <w:szCs w:val="21"/>
        </w:rPr>
      </w:pPr>
      <w:r>
        <w:rPr>
          <w:rFonts w:hint="eastAsia" w:ascii="宋体" w:hAnsi="宋体"/>
          <w:szCs w:val="21"/>
        </w:rPr>
        <w:t>6.11麻精药品管理处方登记表</w:t>
      </w:r>
    </w:p>
    <w:p w14:paraId="17D76C94">
      <w:pPr>
        <w:spacing w:line="400" w:lineRule="exact"/>
        <w:ind w:firstLine="420" w:firstLineChars="200"/>
        <w:rPr>
          <w:rFonts w:hint="eastAsia" w:ascii="宋体" w:hAnsi="宋体"/>
          <w:szCs w:val="21"/>
        </w:rPr>
      </w:pPr>
      <w:r>
        <w:rPr>
          <w:rFonts w:hint="eastAsia" w:ascii="宋体" w:hAnsi="宋体"/>
          <w:szCs w:val="21"/>
        </w:rPr>
        <w:t>6.12国家三级公立医院绩效考核</w:t>
      </w:r>
    </w:p>
    <w:p w14:paraId="3E6D1CB8">
      <w:pPr>
        <w:spacing w:line="400" w:lineRule="exact"/>
        <w:ind w:firstLine="420" w:firstLineChars="200"/>
        <w:rPr>
          <w:rFonts w:hint="eastAsia" w:ascii="宋体" w:hAnsi="宋体"/>
          <w:szCs w:val="21"/>
        </w:rPr>
      </w:pPr>
      <w:r>
        <w:rPr>
          <w:rFonts w:hint="eastAsia" w:ascii="宋体" w:hAnsi="宋体"/>
          <w:szCs w:val="21"/>
        </w:rPr>
        <w:t>6.13全国抗菌药物临床应用管理</w:t>
      </w:r>
    </w:p>
    <w:p w14:paraId="7AF38619">
      <w:pPr>
        <w:spacing w:line="400" w:lineRule="exact"/>
        <w:ind w:firstLine="420" w:firstLineChars="200"/>
        <w:rPr>
          <w:rFonts w:hint="eastAsia" w:ascii="宋体" w:hAnsi="宋体"/>
          <w:szCs w:val="21"/>
        </w:rPr>
      </w:pPr>
      <w:r>
        <w:rPr>
          <w:rFonts w:hint="eastAsia" w:ascii="宋体" w:hAnsi="宋体"/>
          <w:szCs w:val="21"/>
        </w:rPr>
        <w:t>6.14国家卫生计生委抗菌药物临床应用管理数据上报</w:t>
      </w:r>
    </w:p>
    <w:p w14:paraId="6B6C6351">
      <w:pPr>
        <w:spacing w:line="400" w:lineRule="exact"/>
        <w:ind w:firstLine="420" w:firstLineChars="200"/>
        <w:rPr>
          <w:rFonts w:hint="eastAsia" w:ascii="宋体" w:hAnsi="宋体"/>
          <w:szCs w:val="21"/>
        </w:rPr>
      </w:pPr>
      <w:r>
        <w:rPr>
          <w:rFonts w:hint="eastAsia" w:ascii="宋体" w:hAnsi="宋体"/>
          <w:szCs w:val="21"/>
        </w:rPr>
        <w:t>6.15全国合理用药监测系统</w:t>
      </w:r>
    </w:p>
    <w:p w14:paraId="382B0C8B">
      <w:pPr>
        <w:spacing w:line="400" w:lineRule="exact"/>
        <w:ind w:firstLine="420" w:firstLineChars="200"/>
        <w:rPr>
          <w:rFonts w:hint="eastAsia" w:ascii="宋体" w:hAnsi="宋体"/>
          <w:szCs w:val="21"/>
        </w:rPr>
      </w:pPr>
      <w:r>
        <w:rPr>
          <w:rFonts w:hint="eastAsia" w:ascii="宋体" w:hAnsi="宋体"/>
          <w:szCs w:val="21"/>
        </w:rPr>
        <w:t>6.16抗肿瘤药物临床应用情况调查表</w:t>
      </w:r>
    </w:p>
    <w:p w14:paraId="668CFC8C">
      <w:pPr>
        <w:spacing w:line="400" w:lineRule="exact"/>
        <w:ind w:firstLine="420" w:firstLineChars="200"/>
        <w:rPr>
          <w:rFonts w:hint="eastAsia" w:ascii="宋体" w:hAnsi="宋体"/>
          <w:szCs w:val="21"/>
        </w:rPr>
      </w:pPr>
      <w:r>
        <w:rPr>
          <w:rFonts w:hint="eastAsia" w:ascii="宋体" w:hAnsi="宋体"/>
          <w:szCs w:val="21"/>
        </w:rPr>
        <w:t>6.17住院患者静脉输液使用情况抽样</w:t>
      </w:r>
    </w:p>
    <w:p w14:paraId="49C16EB6">
      <w:pPr>
        <w:spacing w:line="400" w:lineRule="exact"/>
        <w:ind w:firstLine="420" w:firstLineChars="200"/>
        <w:rPr>
          <w:rFonts w:hint="eastAsia" w:ascii="宋体" w:hAnsi="宋体"/>
          <w:szCs w:val="21"/>
        </w:rPr>
      </w:pPr>
      <w:r>
        <w:rPr>
          <w:rFonts w:hint="eastAsia" w:ascii="宋体" w:hAnsi="宋体"/>
          <w:szCs w:val="21"/>
        </w:rPr>
        <w:t>6.18省、市报表中心</w:t>
      </w:r>
    </w:p>
    <w:p w14:paraId="1CC10C85">
      <w:pPr>
        <w:spacing w:line="400" w:lineRule="exact"/>
        <w:ind w:firstLine="420" w:firstLineChars="200"/>
        <w:rPr>
          <w:rFonts w:hint="eastAsia" w:ascii="宋体" w:hAnsi="宋体"/>
          <w:szCs w:val="21"/>
        </w:rPr>
      </w:pPr>
      <w:r>
        <w:rPr>
          <w:rFonts w:hint="eastAsia" w:ascii="宋体" w:hAnsi="宋体"/>
          <w:szCs w:val="21"/>
        </w:rPr>
        <w:t>7、其它</w:t>
      </w:r>
    </w:p>
    <w:p w14:paraId="3509F9F9">
      <w:pPr>
        <w:spacing w:line="400" w:lineRule="exact"/>
        <w:ind w:firstLine="420" w:firstLineChars="200"/>
        <w:rPr>
          <w:rFonts w:hint="eastAsia" w:ascii="宋体" w:hAnsi="宋体"/>
          <w:szCs w:val="21"/>
        </w:rPr>
      </w:pPr>
      <w:r>
        <w:rPr>
          <w:rFonts w:hint="eastAsia" w:ascii="宋体" w:hAnsi="宋体"/>
          <w:szCs w:val="21"/>
        </w:rPr>
        <w:t>7.1自维护功能</w:t>
      </w:r>
    </w:p>
    <w:p w14:paraId="5AC78D03">
      <w:pPr>
        <w:spacing w:line="400" w:lineRule="exact"/>
        <w:ind w:firstLine="420" w:firstLineChars="200"/>
        <w:rPr>
          <w:rFonts w:hint="eastAsia" w:ascii="宋体" w:hAnsi="宋体"/>
          <w:szCs w:val="21"/>
        </w:rPr>
      </w:pPr>
      <w:r>
        <w:rPr>
          <w:rFonts w:hint="eastAsia" w:ascii="宋体" w:hAnsi="宋体"/>
          <w:szCs w:val="21"/>
        </w:rPr>
        <w:t>系统应对医院药品属性、给药途径、给药频次、感染疾病类型、检验申请/结果/收费项目类型、手术分类、科室类型、医生抗菌药物权限、围术期用药等基础数据进行程序自动维护。</w:t>
      </w:r>
    </w:p>
    <w:p w14:paraId="347997D6">
      <w:pPr>
        <w:spacing w:line="400" w:lineRule="exact"/>
        <w:ind w:firstLine="420" w:firstLineChars="200"/>
        <w:rPr>
          <w:rFonts w:hint="eastAsia" w:ascii="宋体" w:hAnsi="宋体"/>
          <w:szCs w:val="21"/>
        </w:rPr>
      </w:pPr>
      <w:r>
        <w:rPr>
          <w:rFonts w:hint="eastAsia" w:ascii="宋体" w:hAnsi="宋体"/>
          <w:szCs w:val="21"/>
        </w:rPr>
        <w:t>7.2权限管理</w:t>
      </w:r>
    </w:p>
    <w:p w14:paraId="37C2CE3A">
      <w:pPr>
        <w:spacing w:line="400" w:lineRule="exact"/>
        <w:ind w:firstLine="420" w:firstLineChars="200"/>
        <w:rPr>
          <w:rFonts w:hint="eastAsia" w:ascii="宋体" w:hAnsi="宋体"/>
          <w:szCs w:val="21"/>
        </w:rPr>
      </w:pPr>
      <w:r>
        <w:rPr>
          <w:rFonts w:hint="eastAsia" w:ascii="宋体" w:hAnsi="宋体"/>
          <w:szCs w:val="21"/>
        </w:rPr>
        <w:t>(1)系统应对各项功能设置严格的权限管理，包括处方点评权限、报表的统计权限、打印/导出权限等。</w:t>
      </w:r>
    </w:p>
    <w:p w14:paraId="476E469C">
      <w:pPr>
        <w:spacing w:line="400" w:lineRule="exact"/>
        <w:ind w:firstLine="420" w:firstLineChars="200"/>
        <w:rPr>
          <w:rFonts w:hint="eastAsia" w:ascii="宋体" w:hAnsi="宋体"/>
          <w:szCs w:val="21"/>
        </w:rPr>
      </w:pPr>
      <w:r>
        <w:rPr>
          <w:rFonts w:hint="eastAsia" w:ascii="宋体" w:hAnsi="宋体"/>
          <w:szCs w:val="21"/>
        </w:rPr>
        <w:t>(2)系统应提供用户操作日志、版本更新内容查询功能。</w:t>
      </w:r>
    </w:p>
    <w:p w14:paraId="6C97A9B5">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院感管理</w:t>
      </w:r>
    </w:p>
    <w:p w14:paraId="11567932">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医院感染实时监控管理系统</w:t>
      </w:r>
    </w:p>
    <w:p w14:paraId="3D743121">
      <w:pPr>
        <w:spacing w:line="400" w:lineRule="exact"/>
        <w:ind w:firstLine="420" w:firstLineChars="200"/>
        <w:rPr>
          <w:rFonts w:hint="eastAsia" w:ascii="宋体" w:hAnsi="宋体"/>
          <w:szCs w:val="21"/>
        </w:rPr>
      </w:pPr>
      <w:r>
        <w:rPr>
          <w:rFonts w:hint="eastAsia" w:ascii="宋体" w:hAnsi="宋体"/>
          <w:szCs w:val="21"/>
        </w:rPr>
        <w:t>1、个人工作台</w:t>
      </w:r>
    </w:p>
    <w:p w14:paraId="2D8DA125">
      <w:pPr>
        <w:spacing w:line="400" w:lineRule="exact"/>
        <w:ind w:firstLine="420" w:firstLineChars="200"/>
        <w:rPr>
          <w:rFonts w:hint="eastAsia" w:ascii="宋体" w:hAnsi="宋体"/>
          <w:szCs w:val="21"/>
        </w:rPr>
      </w:pPr>
      <w:r>
        <w:rPr>
          <w:rFonts w:hint="eastAsia" w:ascii="宋体" w:hAnsi="宋体"/>
          <w:szCs w:val="21"/>
        </w:rPr>
        <w:t>1)展示每日待办事项数量的汇总值，主要包括病例预警、感染审核、暴发预警、暴发审核、多重耐药菌预警、多重耐药菌审核、ICU核查、NICU核查等类别，并通过点击汇总值按钮后跳转至待办任务事项详细列表。</w:t>
      </w:r>
    </w:p>
    <w:p w14:paraId="2D6BE055">
      <w:pPr>
        <w:spacing w:line="400" w:lineRule="exact"/>
        <w:ind w:firstLine="420" w:firstLineChars="200"/>
        <w:rPr>
          <w:rFonts w:hint="eastAsia" w:ascii="宋体" w:hAnsi="宋体"/>
          <w:szCs w:val="21"/>
        </w:rPr>
      </w:pPr>
      <w:r>
        <w:rPr>
          <w:rFonts w:hint="eastAsia" w:ascii="宋体" w:hAnsi="宋体"/>
          <w:szCs w:val="21"/>
        </w:rPr>
        <w:t>2)展示各类通知数据量的汇总值，并通过点击汇总值按钮后跳转至待办任务事项详细列表。</w:t>
      </w:r>
    </w:p>
    <w:p w14:paraId="1E89F931">
      <w:pPr>
        <w:spacing w:line="400" w:lineRule="exact"/>
        <w:ind w:firstLine="420" w:firstLineChars="200"/>
        <w:rPr>
          <w:rFonts w:hint="eastAsia" w:ascii="宋体" w:hAnsi="宋体"/>
          <w:szCs w:val="21"/>
        </w:rPr>
      </w:pPr>
      <w:r>
        <w:rPr>
          <w:rFonts w:hint="eastAsia" w:ascii="宋体" w:hAnsi="宋体"/>
          <w:szCs w:val="21"/>
        </w:rPr>
        <w:t>3)个性化自定义版面：用户可在首页上自行选择、布局自己最常用的、以图表形式展现的统计分析指标。</w:t>
      </w:r>
    </w:p>
    <w:p w14:paraId="2E299E40">
      <w:pPr>
        <w:spacing w:line="400" w:lineRule="exact"/>
        <w:ind w:firstLine="420" w:firstLineChars="200"/>
        <w:rPr>
          <w:rFonts w:hint="eastAsia" w:ascii="宋体" w:hAnsi="宋体"/>
          <w:szCs w:val="21"/>
        </w:rPr>
      </w:pPr>
      <w:r>
        <w:rPr>
          <w:rFonts w:hint="eastAsia" w:ascii="宋体" w:hAnsi="宋体"/>
          <w:szCs w:val="21"/>
        </w:rPr>
        <w:t>2、病例预警</w:t>
      </w:r>
    </w:p>
    <w:p w14:paraId="0DA8C1BD">
      <w:pPr>
        <w:spacing w:line="400" w:lineRule="exact"/>
        <w:ind w:firstLine="420" w:firstLineChars="200"/>
        <w:rPr>
          <w:rFonts w:hint="eastAsia" w:ascii="宋体" w:hAnsi="宋体"/>
          <w:szCs w:val="21"/>
        </w:rPr>
      </w:pPr>
      <w:r>
        <w:rPr>
          <w:rFonts w:hint="eastAsia" w:ascii="宋体" w:hAnsi="宋体"/>
          <w:szCs w:val="21"/>
        </w:rPr>
        <w:t>(一) 住院感染个案预警</w:t>
      </w:r>
    </w:p>
    <w:p w14:paraId="1E1D23E3">
      <w:pPr>
        <w:spacing w:line="400" w:lineRule="exact"/>
        <w:ind w:firstLine="420" w:firstLineChars="200"/>
        <w:rPr>
          <w:rFonts w:hint="eastAsia" w:ascii="宋体" w:hAnsi="宋体"/>
          <w:szCs w:val="21"/>
        </w:rPr>
      </w:pPr>
      <w:r>
        <w:rPr>
          <w:rFonts w:hint="eastAsia" w:ascii="宋体" w:hAnsi="宋体"/>
          <w:szCs w:val="21"/>
        </w:rPr>
        <w:t>1)基于人工智能技术自动计算预警疑似院内感染、社区感染的病例次，精确到具体感染部位、感染诊断、疑似百分比。</w:t>
      </w:r>
    </w:p>
    <w:p w14:paraId="5EF68618">
      <w:pPr>
        <w:spacing w:line="400" w:lineRule="exact"/>
        <w:ind w:firstLine="420" w:firstLineChars="200"/>
        <w:rPr>
          <w:rFonts w:hint="eastAsia" w:ascii="宋体" w:hAnsi="宋体"/>
          <w:szCs w:val="21"/>
        </w:rPr>
      </w:pPr>
      <w:r>
        <w:rPr>
          <w:rFonts w:hint="eastAsia" w:ascii="宋体" w:hAnsi="宋体"/>
          <w:szCs w:val="21"/>
        </w:rPr>
        <w:t>2)遵循卫生部《院内感染诊断标准》，系统自动预警到标准感染诊断例次及感染时间，报卡自动填充，自动排除重复感染例次。</w:t>
      </w:r>
    </w:p>
    <w:p w14:paraId="32831D43">
      <w:pPr>
        <w:spacing w:line="400" w:lineRule="exact"/>
        <w:ind w:firstLine="420" w:firstLineChars="200"/>
        <w:rPr>
          <w:rFonts w:hint="eastAsia" w:ascii="宋体" w:hAnsi="宋体"/>
          <w:szCs w:val="21"/>
        </w:rPr>
      </w:pPr>
      <w:r>
        <w:rPr>
          <w:rFonts w:hint="eastAsia" w:ascii="宋体" w:hAnsi="宋体"/>
          <w:szCs w:val="21"/>
        </w:rPr>
        <w:t>3)按照科室汇总疑似医院感染例次数、疑似社区感染例次数、已确认医院感染例次数、已确认社区感染例次数、已排除感染例次数、待查感染例次数、病例总数等。同时，按照在院和出院两种口径进行统计。</w:t>
      </w:r>
    </w:p>
    <w:p w14:paraId="6B06654F">
      <w:pPr>
        <w:spacing w:line="400" w:lineRule="exact"/>
        <w:ind w:firstLine="420" w:firstLineChars="200"/>
        <w:rPr>
          <w:rFonts w:hint="eastAsia" w:ascii="宋体" w:hAnsi="宋体"/>
          <w:szCs w:val="21"/>
        </w:rPr>
      </w:pPr>
      <w:r>
        <w:rPr>
          <w:rFonts w:hint="eastAsia" w:ascii="宋体" w:hAnsi="宋体"/>
          <w:szCs w:val="21"/>
        </w:rPr>
        <w:t>4)展示病例感染预警因素的索引及详细信息，包括体征、血液检查、尿液检查、微生物检查、影像报告等，并标红高亮显示与感染相关的异常值，图形展示异常值变化趋势。</w:t>
      </w:r>
    </w:p>
    <w:p w14:paraId="6F697CF6">
      <w:pPr>
        <w:spacing w:line="400" w:lineRule="exact"/>
        <w:ind w:firstLine="420" w:firstLineChars="200"/>
        <w:rPr>
          <w:rFonts w:hint="eastAsia" w:ascii="宋体" w:hAnsi="宋体"/>
          <w:szCs w:val="21"/>
        </w:rPr>
      </w:pPr>
      <w:r>
        <w:rPr>
          <w:rFonts w:hint="eastAsia" w:ascii="宋体" w:hAnsi="宋体"/>
          <w:szCs w:val="21"/>
        </w:rPr>
        <w:t>5)全程跟踪感染病例，从确认感染开始，直至转归（好转、痊愈、恶化、死亡）结束，形成病例的完整闭环。</w:t>
      </w:r>
    </w:p>
    <w:p w14:paraId="3CEBCD8C">
      <w:pPr>
        <w:spacing w:line="400" w:lineRule="exact"/>
        <w:ind w:firstLine="420" w:firstLineChars="200"/>
        <w:rPr>
          <w:rFonts w:hint="eastAsia" w:ascii="宋体" w:hAnsi="宋体"/>
          <w:szCs w:val="21"/>
        </w:rPr>
      </w:pPr>
      <w:r>
        <w:rPr>
          <w:rFonts w:hint="eastAsia" w:ascii="宋体" w:hAnsi="宋体"/>
          <w:szCs w:val="21"/>
        </w:rPr>
        <w:t>6)展示预警感染病例以及正常病例的病区分布图、床位分布图。对院内感染、多耐、疑似进行三色区分。</w:t>
      </w:r>
    </w:p>
    <w:p w14:paraId="3D394827">
      <w:pPr>
        <w:spacing w:line="400" w:lineRule="exact"/>
        <w:ind w:firstLine="420" w:firstLineChars="200"/>
        <w:rPr>
          <w:rFonts w:hint="eastAsia" w:ascii="宋体" w:hAnsi="宋体"/>
          <w:szCs w:val="21"/>
        </w:rPr>
      </w:pPr>
      <w:r>
        <w:rPr>
          <w:rFonts w:hint="eastAsia" w:ascii="宋体" w:hAnsi="宋体"/>
          <w:szCs w:val="21"/>
        </w:rPr>
        <w:t>7)展示每位患者的历次住院信息360度视图，包括诊断信息、手术信息、抗菌药物使用、微生物培养、转科记录、病程记录等，并标红高亮显示与感染相关的异常值。对病人多次入院详情按入院次数进行360度视图展示。对检验异常按院感指标异常、普通指标异常、正常指标进行多色区分。对电子病历等文本进行语义分析，对否、非等判定词进行判读，按院感相关信息按症状、检验、抗菌药物、病原微生物、感染诊断进行多色标注。</w:t>
      </w:r>
    </w:p>
    <w:p w14:paraId="5991E745">
      <w:pPr>
        <w:spacing w:line="400" w:lineRule="exact"/>
        <w:ind w:firstLine="420" w:firstLineChars="200"/>
        <w:rPr>
          <w:rFonts w:hint="eastAsia" w:ascii="宋体" w:hAnsi="宋体"/>
          <w:szCs w:val="21"/>
        </w:rPr>
      </w:pPr>
      <w:r>
        <w:rPr>
          <w:rFonts w:hint="eastAsia" w:ascii="宋体" w:hAnsi="宋体"/>
          <w:szCs w:val="21"/>
        </w:rPr>
        <w:t>8)系统自动预警感染病例，对医生进行提示。</w:t>
      </w:r>
    </w:p>
    <w:p w14:paraId="4D621982">
      <w:pPr>
        <w:spacing w:line="400" w:lineRule="exact"/>
        <w:ind w:firstLine="420" w:firstLineChars="200"/>
        <w:rPr>
          <w:rFonts w:hint="eastAsia" w:ascii="宋体" w:hAnsi="宋体"/>
          <w:szCs w:val="21"/>
        </w:rPr>
      </w:pPr>
      <w:r>
        <w:rPr>
          <w:rFonts w:hint="eastAsia" w:ascii="宋体" w:hAnsi="宋体"/>
          <w:szCs w:val="21"/>
        </w:rPr>
        <w:t>9)支持直接对病例发起干预对话，形成病例预警PDCA闭环。</w:t>
      </w:r>
    </w:p>
    <w:p w14:paraId="47796917">
      <w:pPr>
        <w:spacing w:line="400" w:lineRule="exact"/>
        <w:ind w:firstLine="420" w:firstLineChars="200"/>
        <w:rPr>
          <w:rFonts w:hint="eastAsia" w:ascii="宋体" w:hAnsi="宋体"/>
          <w:szCs w:val="21"/>
        </w:rPr>
      </w:pPr>
      <w:r>
        <w:rPr>
          <w:rFonts w:hint="eastAsia" w:ascii="宋体" w:hAnsi="宋体"/>
          <w:szCs w:val="21"/>
        </w:rPr>
        <w:t>10)预警病例支持备注功能，辅助记录病人的数据相关重点或病程记录阅读书签功能。</w:t>
      </w:r>
    </w:p>
    <w:p w14:paraId="17C18188">
      <w:pPr>
        <w:spacing w:line="400" w:lineRule="exact"/>
        <w:ind w:firstLine="420" w:firstLineChars="200"/>
        <w:rPr>
          <w:rFonts w:hint="eastAsia" w:ascii="宋体" w:hAnsi="宋体"/>
          <w:szCs w:val="21"/>
        </w:rPr>
      </w:pPr>
      <w:r>
        <w:rPr>
          <w:rFonts w:hint="eastAsia" w:ascii="宋体" w:hAnsi="宋体"/>
          <w:szCs w:val="21"/>
        </w:rPr>
        <w:t>11)汇总展示所有上报过的感染病例，并显示上报状态，可导出详情。</w:t>
      </w:r>
    </w:p>
    <w:p w14:paraId="759300A4">
      <w:pPr>
        <w:spacing w:line="400" w:lineRule="exact"/>
        <w:ind w:firstLine="420" w:firstLineChars="200"/>
        <w:rPr>
          <w:rFonts w:hint="eastAsia" w:ascii="宋体" w:hAnsi="宋体"/>
          <w:szCs w:val="21"/>
        </w:rPr>
      </w:pPr>
      <w:r>
        <w:rPr>
          <w:rFonts w:hint="eastAsia" w:ascii="宋体" w:hAnsi="宋体"/>
          <w:szCs w:val="21"/>
        </w:rPr>
        <w:t>12)系统自动对预警病例处理情况质控评分，支持配置扣分累进规则和单次扣分</w:t>
      </w:r>
    </w:p>
    <w:p w14:paraId="238C834C">
      <w:pPr>
        <w:spacing w:line="400" w:lineRule="exact"/>
        <w:ind w:firstLine="420" w:firstLineChars="200"/>
        <w:rPr>
          <w:rFonts w:hint="eastAsia" w:ascii="宋体" w:hAnsi="宋体"/>
          <w:szCs w:val="21"/>
        </w:rPr>
      </w:pPr>
      <w:r>
        <w:rPr>
          <w:rFonts w:hint="eastAsia" w:ascii="宋体" w:hAnsi="宋体"/>
          <w:szCs w:val="21"/>
        </w:rPr>
        <w:t>(二) 住院感染个案上报</w:t>
      </w:r>
    </w:p>
    <w:p w14:paraId="6095CDDA">
      <w:pPr>
        <w:spacing w:line="400" w:lineRule="exact"/>
        <w:ind w:firstLine="420" w:firstLineChars="200"/>
        <w:rPr>
          <w:rFonts w:hint="eastAsia" w:ascii="宋体" w:hAnsi="宋体"/>
          <w:szCs w:val="21"/>
        </w:rPr>
      </w:pPr>
      <w:r>
        <w:rPr>
          <w:rFonts w:hint="eastAsia" w:ascii="宋体" w:hAnsi="宋体"/>
          <w:szCs w:val="21"/>
        </w:rPr>
        <w:t>1)提供预警病例的被动上报、手动主动上报两种快速上报功能。</w:t>
      </w:r>
    </w:p>
    <w:p w14:paraId="6E071CD4">
      <w:pPr>
        <w:spacing w:line="400" w:lineRule="exact"/>
        <w:ind w:firstLine="420" w:firstLineChars="200"/>
        <w:rPr>
          <w:rFonts w:hint="eastAsia" w:ascii="宋体" w:hAnsi="宋体"/>
          <w:szCs w:val="21"/>
        </w:rPr>
      </w:pPr>
      <w:r>
        <w:rPr>
          <w:rFonts w:hint="eastAsia" w:ascii="宋体" w:hAnsi="宋体"/>
          <w:szCs w:val="21"/>
        </w:rPr>
        <w:t>2)对于手术部位感染，报卡可自动带出手术信息，报卡人员只需要选择患者手术记录，不需要手动录入。</w:t>
      </w:r>
    </w:p>
    <w:p w14:paraId="21E9DBCA">
      <w:pPr>
        <w:spacing w:line="400" w:lineRule="exact"/>
        <w:ind w:firstLine="420" w:firstLineChars="200"/>
        <w:rPr>
          <w:rFonts w:hint="eastAsia" w:ascii="宋体" w:hAnsi="宋体"/>
          <w:szCs w:val="21"/>
        </w:rPr>
      </w:pPr>
      <w:r>
        <w:rPr>
          <w:rFonts w:hint="eastAsia" w:ascii="宋体" w:hAnsi="宋体"/>
          <w:szCs w:val="21"/>
        </w:rPr>
        <w:t>3)报卡自动带出患者抗菌药物医嘱记录</w:t>
      </w:r>
    </w:p>
    <w:p w14:paraId="23A1A814">
      <w:pPr>
        <w:spacing w:line="400" w:lineRule="exact"/>
        <w:ind w:firstLine="420" w:firstLineChars="200"/>
        <w:rPr>
          <w:rFonts w:hint="eastAsia" w:ascii="宋体" w:hAnsi="宋体"/>
          <w:szCs w:val="21"/>
        </w:rPr>
      </w:pPr>
      <w:r>
        <w:rPr>
          <w:rFonts w:hint="eastAsia" w:ascii="宋体" w:hAnsi="宋体"/>
          <w:szCs w:val="21"/>
        </w:rPr>
        <w:t>4)如果患者有病原体送检信息，感染报卡自动带出病原体信息，报卡人员选择确认感染病原体</w:t>
      </w:r>
    </w:p>
    <w:p w14:paraId="0BB9DCFD">
      <w:pPr>
        <w:spacing w:line="400" w:lineRule="exact"/>
        <w:ind w:firstLine="420" w:firstLineChars="200"/>
        <w:rPr>
          <w:rFonts w:hint="eastAsia" w:ascii="宋体" w:hAnsi="宋体"/>
          <w:szCs w:val="21"/>
        </w:rPr>
      </w:pPr>
      <w:r>
        <w:rPr>
          <w:rFonts w:hint="eastAsia" w:ascii="宋体" w:hAnsi="宋体"/>
          <w:szCs w:val="21"/>
        </w:rPr>
        <w:t>5)报卡可根据医生确认的感染诊断结论，联动显示国家感染诊断标准中的诊断依据选项，报卡人员可选择诊断依据，也可以手动录入非标准诊断依据。</w:t>
      </w:r>
    </w:p>
    <w:p w14:paraId="745F8197">
      <w:pPr>
        <w:spacing w:line="400" w:lineRule="exact"/>
        <w:ind w:firstLine="420" w:firstLineChars="200"/>
        <w:rPr>
          <w:rFonts w:hint="eastAsia" w:ascii="宋体" w:hAnsi="宋体"/>
          <w:szCs w:val="21"/>
        </w:rPr>
      </w:pPr>
      <w:r>
        <w:rPr>
          <w:rFonts w:hint="eastAsia" w:ascii="宋体" w:hAnsi="宋体"/>
          <w:szCs w:val="21"/>
        </w:rPr>
        <w:t>6)感染病例上报自动判断重复上报并提示医生。</w:t>
      </w:r>
    </w:p>
    <w:p w14:paraId="0EFB7A17">
      <w:pPr>
        <w:spacing w:line="400" w:lineRule="exact"/>
        <w:ind w:firstLine="420" w:firstLineChars="200"/>
        <w:rPr>
          <w:rFonts w:hint="eastAsia" w:ascii="宋体" w:hAnsi="宋体"/>
          <w:szCs w:val="21"/>
        </w:rPr>
      </w:pPr>
      <w:r>
        <w:rPr>
          <w:rFonts w:hint="eastAsia" w:ascii="宋体" w:hAnsi="宋体"/>
          <w:szCs w:val="21"/>
        </w:rPr>
        <w:t>13)提供报卡评论统计功能，可以通过对科室、上报日期、评论人等信息查询对应的数据的评论详情。</w:t>
      </w:r>
    </w:p>
    <w:p w14:paraId="60877E20">
      <w:pPr>
        <w:spacing w:line="400" w:lineRule="exact"/>
        <w:ind w:firstLine="420" w:firstLineChars="200"/>
        <w:rPr>
          <w:rFonts w:hint="eastAsia" w:ascii="宋体" w:hAnsi="宋体"/>
          <w:szCs w:val="21"/>
        </w:rPr>
      </w:pPr>
      <w:r>
        <w:rPr>
          <w:rFonts w:hint="eastAsia" w:ascii="宋体" w:hAnsi="宋体"/>
          <w:szCs w:val="21"/>
        </w:rPr>
        <w:t>7)提供临床感染报卡，职能科室管理人员审核报卡工作流程</w:t>
      </w:r>
    </w:p>
    <w:p w14:paraId="48FE6D30">
      <w:pPr>
        <w:spacing w:line="400" w:lineRule="exact"/>
        <w:ind w:firstLine="420" w:firstLineChars="200"/>
        <w:rPr>
          <w:rFonts w:hint="eastAsia" w:ascii="宋体" w:hAnsi="宋体"/>
          <w:szCs w:val="21"/>
        </w:rPr>
      </w:pPr>
      <w:r>
        <w:rPr>
          <w:rFonts w:hint="eastAsia" w:ascii="宋体" w:hAnsi="宋体"/>
          <w:szCs w:val="21"/>
        </w:rPr>
        <w:t>3、暴发预警</w:t>
      </w:r>
    </w:p>
    <w:p w14:paraId="63AFA2ED">
      <w:pPr>
        <w:spacing w:line="400" w:lineRule="exact"/>
        <w:ind w:firstLine="420" w:firstLineChars="200"/>
        <w:rPr>
          <w:rFonts w:hint="eastAsia" w:ascii="宋体" w:hAnsi="宋体"/>
          <w:szCs w:val="21"/>
        </w:rPr>
      </w:pPr>
      <w:r>
        <w:rPr>
          <w:rFonts w:hint="eastAsia" w:ascii="宋体" w:hAnsi="宋体"/>
          <w:szCs w:val="21"/>
        </w:rPr>
        <w:t>预警潜在的感染暴发事件，汇总展示并跟踪所有聚集性事件。</w:t>
      </w:r>
    </w:p>
    <w:p w14:paraId="640A4BCA">
      <w:pPr>
        <w:spacing w:line="400" w:lineRule="exact"/>
        <w:ind w:firstLine="420" w:firstLineChars="200"/>
        <w:rPr>
          <w:rFonts w:hint="eastAsia" w:ascii="宋体" w:hAnsi="宋体"/>
          <w:szCs w:val="21"/>
        </w:rPr>
      </w:pPr>
      <w:r>
        <w:rPr>
          <w:rFonts w:hint="eastAsia" w:ascii="宋体" w:hAnsi="宋体"/>
          <w:szCs w:val="21"/>
        </w:rPr>
        <w:t>1)自动预警同一科室在一段时间内发生多次相同病原体感染等疑似暴发事件，并展示疑似事件中涉及到的感染病例、病原体等信息。</w:t>
      </w:r>
    </w:p>
    <w:p w14:paraId="7A0A8196">
      <w:pPr>
        <w:spacing w:line="400" w:lineRule="exact"/>
        <w:ind w:firstLine="420" w:firstLineChars="200"/>
        <w:rPr>
          <w:rFonts w:hint="eastAsia" w:ascii="宋体" w:hAnsi="宋体"/>
          <w:szCs w:val="21"/>
        </w:rPr>
      </w:pPr>
      <w:r>
        <w:rPr>
          <w:rFonts w:hint="eastAsia" w:ascii="宋体" w:hAnsi="宋体"/>
          <w:szCs w:val="21"/>
        </w:rPr>
        <w:t>2)可追踪疑似暴发时间中的所有感染患者、病原体明细信息。</w:t>
      </w:r>
    </w:p>
    <w:p w14:paraId="001A4557">
      <w:pPr>
        <w:spacing w:line="400" w:lineRule="exact"/>
        <w:ind w:firstLine="420" w:firstLineChars="200"/>
        <w:rPr>
          <w:rFonts w:hint="eastAsia" w:ascii="宋体" w:hAnsi="宋体"/>
          <w:szCs w:val="21"/>
        </w:rPr>
      </w:pPr>
      <w:r>
        <w:rPr>
          <w:rFonts w:hint="eastAsia" w:ascii="宋体" w:hAnsi="宋体"/>
          <w:szCs w:val="21"/>
        </w:rPr>
        <w:t>3)提供被动上报、主动上报两种聚集性事件的报卡方式。</w:t>
      </w:r>
    </w:p>
    <w:p w14:paraId="0AE2D92D">
      <w:pPr>
        <w:spacing w:line="400" w:lineRule="exact"/>
        <w:ind w:firstLine="420" w:firstLineChars="200"/>
        <w:rPr>
          <w:rFonts w:hint="eastAsia" w:ascii="宋体" w:hAnsi="宋体"/>
          <w:szCs w:val="21"/>
        </w:rPr>
      </w:pPr>
      <w:r>
        <w:rPr>
          <w:rFonts w:hint="eastAsia" w:ascii="宋体" w:hAnsi="宋体"/>
          <w:szCs w:val="21"/>
        </w:rPr>
        <w:t>4)可以对聚集性事件进行查询、跟踪</w:t>
      </w:r>
    </w:p>
    <w:p w14:paraId="3BB23A2A">
      <w:pPr>
        <w:spacing w:line="400" w:lineRule="exact"/>
        <w:ind w:firstLine="420" w:firstLineChars="200"/>
        <w:rPr>
          <w:rFonts w:hint="eastAsia" w:ascii="宋体" w:hAnsi="宋体"/>
          <w:szCs w:val="21"/>
        </w:rPr>
      </w:pPr>
      <w:r>
        <w:rPr>
          <w:rFonts w:hint="eastAsia" w:ascii="宋体" w:hAnsi="宋体"/>
          <w:szCs w:val="21"/>
        </w:rPr>
        <w:t>5)通过点击患者姓名可以查阅患者360视图，展示患者基本信息、医嘱、手术情况、微生物送检情况、检验情况、体温单情况、病程记录等信息</w:t>
      </w:r>
    </w:p>
    <w:p w14:paraId="3F6E228F">
      <w:pPr>
        <w:spacing w:line="400" w:lineRule="exact"/>
        <w:ind w:firstLine="420" w:firstLineChars="200"/>
        <w:rPr>
          <w:rFonts w:hint="eastAsia" w:ascii="宋体" w:hAnsi="宋体"/>
          <w:szCs w:val="21"/>
        </w:rPr>
      </w:pPr>
      <w:r>
        <w:rPr>
          <w:rFonts w:hint="eastAsia" w:ascii="宋体" w:hAnsi="宋体"/>
          <w:szCs w:val="21"/>
        </w:rPr>
        <w:t>6)可以针对微生物送检、C反应蛋白、呼吸机等感染高危因素，按照科室，设置时间段、患者人数阈值，并据此检索条件查询潜在的暴发事件</w:t>
      </w:r>
    </w:p>
    <w:p w14:paraId="7F30932C">
      <w:pPr>
        <w:spacing w:line="400" w:lineRule="exact"/>
        <w:ind w:firstLine="420" w:firstLineChars="200"/>
        <w:rPr>
          <w:rFonts w:hint="eastAsia" w:ascii="宋体" w:hAnsi="宋体"/>
          <w:szCs w:val="21"/>
        </w:rPr>
      </w:pPr>
      <w:r>
        <w:rPr>
          <w:rFonts w:hint="eastAsia" w:ascii="宋体" w:hAnsi="宋体"/>
          <w:szCs w:val="21"/>
        </w:rPr>
        <w:t>7)提供暴发事件详情的查询、导出、打印等功能。</w:t>
      </w:r>
    </w:p>
    <w:p w14:paraId="058B0D47">
      <w:pPr>
        <w:spacing w:line="400" w:lineRule="exact"/>
        <w:ind w:firstLine="420" w:firstLineChars="200"/>
        <w:rPr>
          <w:rFonts w:hint="eastAsia" w:ascii="宋体" w:hAnsi="宋体"/>
          <w:szCs w:val="21"/>
        </w:rPr>
      </w:pPr>
      <w:r>
        <w:rPr>
          <w:rFonts w:hint="eastAsia" w:ascii="宋体" w:hAnsi="宋体"/>
          <w:szCs w:val="21"/>
        </w:rPr>
        <w:t>8)汇总展示所有上报过的暴发事件，上报状态等信息。</w:t>
      </w:r>
    </w:p>
    <w:p w14:paraId="42890DDF">
      <w:pPr>
        <w:spacing w:line="400" w:lineRule="exact"/>
        <w:ind w:firstLine="420" w:firstLineChars="200"/>
        <w:rPr>
          <w:rFonts w:hint="eastAsia" w:ascii="宋体" w:hAnsi="宋体"/>
          <w:szCs w:val="21"/>
        </w:rPr>
      </w:pPr>
      <w:r>
        <w:rPr>
          <w:rFonts w:hint="eastAsia" w:ascii="宋体" w:hAnsi="宋体"/>
          <w:szCs w:val="21"/>
        </w:rPr>
        <w:t>4、目标性监测</w:t>
      </w:r>
    </w:p>
    <w:p w14:paraId="1EE5FCE1">
      <w:pPr>
        <w:spacing w:line="400" w:lineRule="exact"/>
        <w:ind w:firstLine="420" w:firstLineChars="200"/>
        <w:rPr>
          <w:rFonts w:hint="eastAsia" w:ascii="宋体" w:hAnsi="宋体"/>
          <w:szCs w:val="21"/>
        </w:rPr>
      </w:pPr>
      <w:r>
        <w:rPr>
          <w:rFonts w:hint="eastAsia" w:ascii="宋体" w:hAnsi="宋体"/>
          <w:szCs w:val="21"/>
        </w:rPr>
        <w:t>1)ICU病例监测</w:t>
      </w:r>
    </w:p>
    <w:p w14:paraId="7823078C">
      <w:pPr>
        <w:spacing w:line="400" w:lineRule="exact"/>
        <w:ind w:firstLine="420" w:firstLineChars="200"/>
        <w:rPr>
          <w:rFonts w:hint="eastAsia" w:ascii="宋体" w:hAnsi="宋体"/>
          <w:szCs w:val="21"/>
        </w:rPr>
      </w:pPr>
      <w:r>
        <w:rPr>
          <w:rFonts w:hint="eastAsia" w:ascii="宋体" w:hAnsi="宋体"/>
          <w:szCs w:val="21"/>
        </w:rPr>
        <w:t>自动生成ICU患者日志</w:t>
      </w:r>
    </w:p>
    <w:p w14:paraId="72E56E75">
      <w:pPr>
        <w:spacing w:line="400" w:lineRule="exact"/>
        <w:ind w:firstLine="420" w:firstLineChars="200"/>
        <w:rPr>
          <w:rFonts w:hint="eastAsia" w:ascii="宋体" w:hAnsi="宋体"/>
          <w:szCs w:val="21"/>
        </w:rPr>
      </w:pPr>
      <w:r>
        <w:rPr>
          <w:rFonts w:hint="eastAsia" w:ascii="宋体" w:hAnsi="宋体"/>
          <w:szCs w:val="21"/>
        </w:rPr>
        <w:t>统计分析功能：</w:t>
      </w:r>
    </w:p>
    <w:p w14:paraId="66CB6E38">
      <w:pPr>
        <w:spacing w:line="400" w:lineRule="exact"/>
        <w:ind w:firstLine="420" w:firstLineChars="200"/>
        <w:rPr>
          <w:rFonts w:hint="eastAsia" w:ascii="宋体" w:hAnsi="宋体"/>
          <w:szCs w:val="21"/>
        </w:rPr>
      </w:pPr>
      <w:r>
        <w:rPr>
          <w:rFonts w:hint="eastAsia" w:ascii="宋体" w:hAnsi="宋体"/>
          <w:szCs w:val="21"/>
        </w:rPr>
        <w:t>自动统计任意时段各ICU病区的医院感染（例次）发病率、千日医院感染（例次）发病率</w:t>
      </w:r>
    </w:p>
    <w:p w14:paraId="255053F4">
      <w:pPr>
        <w:spacing w:line="400" w:lineRule="exact"/>
        <w:ind w:firstLine="420" w:firstLineChars="200"/>
        <w:rPr>
          <w:rFonts w:hint="eastAsia" w:ascii="宋体" w:hAnsi="宋体"/>
          <w:szCs w:val="21"/>
        </w:rPr>
      </w:pPr>
      <w:r>
        <w:rPr>
          <w:rFonts w:hint="eastAsia" w:ascii="宋体" w:hAnsi="宋体"/>
          <w:szCs w:val="21"/>
        </w:rPr>
        <w:t>自动统计任意时段各ICU病区的尿道插管千日使用率、中央血管导管千日使用率、呼吸机千日使用率</w:t>
      </w:r>
    </w:p>
    <w:p w14:paraId="15B189EA">
      <w:pPr>
        <w:spacing w:line="400" w:lineRule="exact"/>
        <w:ind w:firstLine="420" w:firstLineChars="200"/>
        <w:rPr>
          <w:rFonts w:hint="eastAsia" w:ascii="宋体" w:hAnsi="宋体"/>
          <w:szCs w:val="21"/>
        </w:rPr>
      </w:pPr>
      <w:r>
        <w:rPr>
          <w:rFonts w:hint="eastAsia" w:ascii="宋体" w:hAnsi="宋体"/>
          <w:szCs w:val="21"/>
        </w:rPr>
        <w:t>自动统计任意时段各ICU病区的尿道插管相关泌尿道感染发病率、中央血管导管相关血流感染发病率、呼吸机相关肺炎发病率</w:t>
      </w:r>
    </w:p>
    <w:p w14:paraId="57049A6B">
      <w:pPr>
        <w:spacing w:line="400" w:lineRule="exact"/>
        <w:ind w:firstLine="420" w:firstLineChars="200"/>
        <w:rPr>
          <w:rFonts w:hint="eastAsia" w:ascii="宋体" w:hAnsi="宋体"/>
          <w:szCs w:val="21"/>
        </w:rPr>
      </w:pPr>
      <w:r>
        <w:rPr>
          <w:rFonts w:hint="eastAsia" w:ascii="宋体" w:hAnsi="宋体"/>
          <w:szCs w:val="21"/>
        </w:rPr>
        <w:t>ICU评分</w:t>
      </w:r>
    </w:p>
    <w:p w14:paraId="66A4CE7D">
      <w:pPr>
        <w:spacing w:line="400" w:lineRule="exact"/>
        <w:ind w:firstLine="420" w:firstLineChars="200"/>
        <w:rPr>
          <w:rFonts w:hint="eastAsia" w:ascii="宋体" w:hAnsi="宋体"/>
          <w:szCs w:val="21"/>
        </w:rPr>
      </w:pPr>
      <w:r>
        <w:rPr>
          <w:rFonts w:hint="eastAsia" w:ascii="宋体" w:hAnsi="宋体"/>
          <w:szCs w:val="21"/>
        </w:rPr>
        <w:t>ICU调查</w:t>
      </w:r>
    </w:p>
    <w:p w14:paraId="5B928686">
      <w:pPr>
        <w:spacing w:line="400" w:lineRule="exact"/>
        <w:ind w:firstLine="420" w:firstLineChars="200"/>
        <w:rPr>
          <w:rFonts w:hint="eastAsia" w:ascii="宋体" w:hAnsi="宋体"/>
          <w:szCs w:val="21"/>
        </w:rPr>
      </w:pPr>
      <w:r>
        <w:rPr>
          <w:rFonts w:hint="eastAsia" w:ascii="宋体" w:hAnsi="宋体"/>
          <w:szCs w:val="21"/>
        </w:rPr>
        <w:t>2)新生儿病例监测</w:t>
      </w:r>
    </w:p>
    <w:p w14:paraId="1F3F98D9">
      <w:pPr>
        <w:spacing w:line="400" w:lineRule="exact"/>
        <w:ind w:firstLine="420" w:firstLineChars="200"/>
        <w:rPr>
          <w:rFonts w:hint="eastAsia" w:ascii="宋体" w:hAnsi="宋体"/>
          <w:szCs w:val="21"/>
        </w:rPr>
      </w:pPr>
      <w:r>
        <w:rPr>
          <w:rFonts w:hint="eastAsia" w:ascii="宋体" w:hAnsi="宋体"/>
          <w:szCs w:val="21"/>
        </w:rPr>
        <w:t>采集新生儿出生体重、Apgra评分信息</w:t>
      </w:r>
    </w:p>
    <w:p w14:paraId="65D79253">
      <w:pPr>
        <w:spacing w:line="400" w:lineRule="exact"/>
        <w:ind w:firstLine="420" w:firstLineChars="200"/>
        <w:rPr>
          <w:rFonts w:hint="eastAsia" w:ascii="宋体" w:hAnsi="宋体"/>
          <w:szCs w:val="21"/>
        </w:rPr>
      </w:pPr>
      <w:r>
        <w:rPr>
          <w:rFonts w:hint="eastAsia" w:ascii="宋体" w:hAnsi="宋体"/>
          <w:szCs w:val="21"/>
        </w:rPr>
        <w:t>自动生成新生儿病区日志</w:t>
      </w:r>
    </w:p>
    <w:p w14:paraId="1A155DA9">
      <w:pPr>
        <w:spacing w:line="400" w:lineRule="exact"/>
        <w:ind w:firstLine="420" w:firstLineChars="200"/>
        <w:rPr>
          <w:rFonts w:hint="eastAsia" w:ascii="宋体" w:hAnsi="宋体"/>
          <w:szCs w:val="21"/>
        </w:rPr>
      </w:pPr>
      <w:r>
        <w:rPr>
          <w:rFonts w:hint="eastAsia" w:ascii="宋体" w:hAnsi="宋体"/>
          <w:szCs w:val="21"/>
        </w:rPr>
        <w:t>统计分析功能：</w:t>
      </w:r>
    </w:p>
    <w:p w14:paraId="40B6D843">
      <w:pPr>
        <w:spacing w:line="400" w:lineRule="exact"/>
        <w:ind w:firstLine="420" w:firstLineChars="200"/>
        <w:rPr>
          <w:rFonts w:hint="eastAsia" w:ascii="宋体" w:hAnsi="宋体"/>
          <w:szCs w:val="21"/>
        </w:rPr>
      </w:pPr>
      <w:r>
        <w:rPr>
          <w:rFonts w:hint="eastAsia" w:ascii="宋体" w:hAnsi="宋体"/>
          <w:szCs w:val="21"/>
        </w:rPr>
        <w:t>自动统计任意时段各新生儿病区的新生儿患者医院感染发生率、不同出生体重分组新生儿千日感染发病率。</w:t>
      </w:r>
    </w:p>
    <w:p w14:paraId="41936133">
      <w:pPr>
        <w:spacing w:line="400" w:lineRule="exact"/>
        <w:ind w:firstLine="420" w:firstLineChars="200"/>
        <w:rPr>
          <w:rFonts w:hint="eastAsia" w:ascii="宋体" w:hAnsi="宋体"/>
          <w:szCs w:val="21"/>
        </w:rPr>
      </w:pPr>
      <w:r>
        <w:rPr>
          <w:rFonts w:hint="eastAsia" w:ascii="宋体" w:hAnsi="宋体"/>
          <w:szCs w:val="21"/>
        </w:rPr>
        <w:t xml:space="preserve">自动统计任意时段各新生儿病区的不同出生体重分组新生儿脐或中央血管导管使用率、不同出生体重分组新生儿呼吸机使用率。 </w:t>
      </w:r>
    </w:p>
    <w:p w14:paraId="4E04B9B8">
      <w:pPr>
        <w:spacing w:line="400" w:lineRule="exact"/>
        <w:ind w:firstLine="420" w:firstLineChars="200"/>
        <w:rPr>
          <w:rFonts w:hint="eastAsia" w:ascii="宋体" w:hAnsi="宋体"/>
          <w:szCs w:val="21"/>
        </w:rPr>
      </w:pPr>
      <w:r>
        <w:rPr>
          <w:rFonts w:hint="eastAsia" w:ascii="宋体" w:hAnsi="宋体"/>
          <w:szCs w:val="21"/>
        </w:rPr>
        <w:t>自动统计任意时段各新生儿病区的不同出生体重分组新生儿脐或中央血管导管相关血流感染发病率、不同出生体重分组新生儿呼吸机相关肺炎发病率。</w:t>
      </w:r>
    </w:p>
    <w:p w14:paraId="265599AB">
      <w:pPr>
        <w:spacing w:line="400" w:lineRule="exact"/>
        <w:ind w:firstLine="420" w:firstLineChars="200"/>
        <w:rPr>
          <w:rFonts w:hint="eastAsia" w:ascii="宋体" w:hAnsi="宋体"/>
          <w:szCs w:val="21"/>
        </w:rPr>
      </w:pPr>
      <w:r>
        <w:rPr>
          <w:rFonts w:hint="eastAsia" w:ascii="宋体" w:hAnsi="宋体"/>
          <w:szCs w:val="21"/>
        </w:rPr>
        <w:t>3)器械相关感染监测</w:t>
      </w:r>
    </w:p>
    <w:p w14:paraId="3CF4F616">
      <w:pPr>
        <w:spacing w:line="400" w:lineRule="exact"/>
        <w:ind w:firstLine="420" w:firstLineChars="200"/>
        <w:rPr>
          <w:rFonts w:hint="eastAsia" w:ascii="宋体" w:hAnsi="宋体"/>
          <w:szCs w:val="21"/>
        </w:rPr>
      </w:pPr>
      <w:r>
        <w:rPr>
          <w:rFonts w:hint="eastAsia" w:ascii="宋体" w:hAnsi="宋体"/>
          <w:szCs w:val="21"/>
        </w:rPr>
        <w:t>采集器械相关治疗开始日期时间、器械相关治疗结束日期时间</w:t>
      </w:r>
    </w:p>
    <w:p w14:paraId="1C916FFA">
      <w:pPr>
        <w:spacing w:line="400" w:lineRule="exact"/>
        <w:ind w:firstLine="420" w:firstLineChars="200"/>
        <w:rPr>
          <w:rFonts w:hint="eastAsia" w:ascii="宋体" w:hAnsi="宋体"/>
          <w:szCs w:val="21"/>
        </w:rPr>
      </w:pPr>
      <w:r>
        <w:rPr>
          <w:rFonts w:hint="eastAsia" w:ascii="宋体" w:hAnsi="宋体"/>
          <w:szCs w:val="21"/>
        </w:rPr>
        <w:t>自动统计任意时段全院及各病区的尿道插管千日使用率、中央血管导管千日使用率、呼吸机千日使用率、尿道插管相关泌尿道感染发病率、中央血管导管相关血流感染发病率、呼吸机相关肺炎发病率，具备各指标全院及各病区按年变化趋势的展示功能</w:t>
      </w:r>
    </w:p>
    <w:p w14:paraId="12819653">
      <w:pPr>
        <w:spacing w:line="400" w:lineRule="exact"/>
        <w:ind w:firstLine="420" w:firstLineChars="200"/>
        <w:rPr>
          <w:rFonts w:hint="eastAsia" w:ascii="宋体" w:hAnsi="宋体"/>
          <w:szCs w:val="21"/>
        </w:rPr>
      </w:pPr>
      <w:r>
        <w:rPr>
          <w:rFonts w:hint="eastAsia" w:ascii="宋体" w:hAnsi="宋体"/>
          <w:szCs w:val="21"/>
        </w:rPr>
        <w:t>5、手术监测</w:t>
      </w:r>
    </w:p>
    <w:p w14:paraId="1070B317">
      <w:pPr>
        <w:spacing w:line="400" w:lineRule="exact"/>
        <w:ind w:firstLine="420" w:firstLineChars="200"/>
        <w:rPr>
          <w:rFonts w:hint="eastAsia" w:ascii="宋体" w:hAnsi="宋体"/>
          <w:szCs w:val="21"/>
        </w:rPr>
      </w:pPr>
      <w:r>
        <w:rPr>
          <w:rFonts w:hint="eastAsia" w:ascii="宋体" w:hAnsi="宋体"/>
          <w:szCs w:val="21"/>
        </w:rPr>
        <w:t>1)可自动采集手麻系统中的手术监测病例的手术名称、手术ICD编码、手术开始日期时间、手术结束日期时间、手术切口类别代码、手术切口愈合等级代码、美国麻醉师协会（ASA）评分、急诊手术、手术患者进入手术室后使用抗菌药物通用名称、手术患者进入手术室后抗菌药物给药日期时间、手术医师（代码）、植入物使用、失血量、输血量、手术备皮方式及时间。</w:t>
      </w:r>
    </w:p>
    <w:p w14:paraId="4E933107">
      <w:pPr>
        <w:spacing w:line="400" w:lineRule="exact"/>
        <w:ind w:firstLine="420" w:firstLineChars="200"/>
        <w:rPr>
          <w:rFonts w:hint="eastAsia" w:ascii="宋体" w:hAnsi="宋体"/>
          <w:szCs w:val="21"/>
        </w:rPr>
      </w:pPr>
      <w:r>
        <w:rPr>
          <w:rFonts w:hint="eastAsia" w:ascii="宋体" w:hAnsi="宋体"/>
          <w:szCs w:val="21"/>
        </w:rPr>
        <w:t>2)提供手工录入维护手术详情的功能</w:t>
      </w:r>
    </w:p>
    <w:p w14:paraId="7FCCB1CE">
      <w:pPr>
        <w:spacing w:line="400" w:lineRule="exact"/>
        <w:ind w:firstLine="420" w:firstLineChars="200"/>
        <w:rPr>
          <w:rFonts w:hint="eastAsia" w:ascii="宋体" w:hAnsi="宋体"/>
          <w:szCs w:val="21"/>
        </w:rPr>
      </w:pPr>
      <w:r>
        <w:rPr>
          <w:rFonts w:hint="eastAsia" w:ascii="宋体" w:hAnsi="宋体"/>
          <w:szCs w:val="21"/>
        </w:rPr>
        <w:t>3)提供手术感染报卡功能</w:t>
      </w:r>
    </w:p>
    <w:p w14:paraId="6ACE2AFD">
      <w:pPr>
        <w:spacing w:line="400" w:lineRule="exact"/>
        <w:ind w:firstLine="420" w:firstLineChars="200"/>
        <w:rPr>
          <w:rFonts w:hint="eastAsia" w:ascii="宋体" w:hAnsi="宋体"/>
          <w:szCs w:val="21"/>
        </w:rPr>
      </w:pPr>
      <w:r>
        <w:rPr>
          <w:rFonts w:hint="eastAsia" w:ascii="宋体" w:hAnsi="宋体"/>
          <w:szCs w:val="21"/>
        </w:rPr>
        <w:t>4)手术部位感染核心防控措施：自动生成手术患者清单，可查看手术详情，进行手术部位感染核心防控措施的登记与编辑，支持防控措施核查，支持查询与导出功能。</w:t>
      </w:r>
    </w:p>
    <w:p w14:paraId="02540F32">
      <w:pPr>
        <w:spacing w:line="400" w:lineRule="exact"/>
        <w:ind w:firstLine="420" w:firstLineChars="200"/>
        <w:rPr>
          <w:rFonts w:hint="eastAsia" w:ascii="宋体" w:hAnsi="宋体"/>
          <w:szCs w:val="21"/>
        </w:rPr>
      </w:pPr>
      <w:r>
        <w:rPr>
          <w:rFonts w:hint="eastAsia" w:ascii="宋体" w:hAnsi="宋体"/>
          <w:szCs w:val="21"/>
        </w:rPr>
        <w:t>5)围术期用药监测</w:t>
      </w:r>
    </w:p>
    <w:p w14:paraId="6DD79833">
      <w:pPr>
        <w:spacing w:line="400" w:lineRule="exact"/>
        <w:ind w:firstLine="420" w:firstLineChars="200"/>
        <w:rPr>
          <w:rFonts w:hint="eastAsia" w:ascii="宋体" w:hAnsi="宋体"/>
          <w:szCs w:val="21"/>
        </w:rPr>
      </w:pPr>
      <w:r>
        <w:rPr>
          <w:rFonts w:hint="eastAsia" w:ascii="宋体" w:hAnsi="宋体"/>
          <w:szCs w:val="21"/>
        </w:rPr>
        <w:t>展示围术期术前预防用药、带入手术室用药、术后用药。</w:t>
      </w:r>
    </w:p>
    <w:p w14:paraId="02F6CEB9">
      <w:pPr>
        <w:spacing w:line="400" w:lineRule="exact"/>
        <w:ind w:firstLine="420" w:firstLineChars="200"/>
        <w:rPr>
          <w:rFonts w:hint="eastAsia" w:ascii="宋体" w:hAnsi="宋体"/>
          <w:szCs w:val="21"/>
        </w:rPr>
      </w:pPr>
      <w:r>
        <w:rPr>
          <w:rFonts w:hint="eastAsia" w:ascii="宋体" w:hAnsi="宋体"/>
          <w:szCs w:val="21"/>
        </w:rPr>
        <w:t>6)统计分析功能：</w:t>
      </w:r>
    </w:p>
    <w:p w14:paraId="516552DE">
      <w:pPr>
        <w:spacing w:line="400" w:lineRule="exact"/>
        <w:ind w:firstLine="420" w:firstLineChars="200"/>
        <w:rPr>
          <w:rFonts w:hint="eastAsia" w:ascii="宋体" w:hAnsi="宋体"/>
          <w:szCs w:val="21"/>
        </w:rPr>
      </w:pPr>
      <w:r>
        <w:rPr>
          <w:rFonts w:hint="eastAsia" w:ascii="宋体" w:hAnsi="宋体"/>
          <w:szCs w:val="21"/>
        </w:rPr>
        <w:t>自动统计任意时段全院及各病区的手术患者手术部位感染发病率、手术患者术后肺部感染发病率、择期手术患者医院感染发生率、清洁手术甲级愈合率、清洁手术手术部位感染率、清洁手术抗菌药物预防使用百分率、清洁手术抗菌药物预防使用人均用药天数、手术时间大于3h的手术术中抗菌药物追加执行率、按危险指数统计各类危险指数手术部位感染发病率、按手术医师（代码）统计医师感染发病率、按手术医师（代码）统计医师按不同危险指数感染发病专率、医师调整感染发病专率。</w:t>
      </w:r>
    </w:p>
    <w:p w14:paraId="3728E951">
      <w:pPr>
        <w:spacing w:line="400" w:lineRule="exact"/>
        <w:ind w:firstLine="420" w:firstLineChars="200"/>
        <w:rPr>
          <w:rFonts w:hint="eastAsia" w:ascii="宋体" w:hAnsi="宋体"/>
          <w:szCs w:val="21"/>
        </w:rPr>
      </w:pPr>
      <w:r>
        <w:rPr>
          <w:rFonts w:hint="eastAsia" w:ascii="宋体" w:hAnsi="宋体"/>
          <w:szCs w:val="21"/>
        </w:rPr>
        <w:t>6、微生物监测</w:t>
      </w:r>
    </w:p>
    <w:p w14:paraId="378B8AAA">
      <w:pPr>
        <w:spacing w:line="400" w:lineRule="exact"/>
        <w:ind w:firstLine="420" w:firstLineChars="200"/>
        <w:rPr>
          <w:rFonts w:hint="eastAsia" w:ascii="宋体" w:hAnsi="宋体"/>
          <w:szCs w:val="21"/>
        </w:rPr>
      </w:pPr>
      <w:r>
        <w:rPr>
          <w:rFonts w:hint="eastAsia" w:ascii="宋体" w:hAnsi="宋体"/>
          <w:szCs w:val="21"/>
        </w:rPr>
        <w:t>(一) 多重耐药菌监测</w:t>
      </w:r>
    </w:p>
    <w:p w14:paraId="7F53651C">
      <w:pPr>
        <w:spacing w:line="400" w:lineRule="exact"/>
        <w:ind w:firstLine="420" w:firstLineChars="200"/>
        <w:rPr>
          <w:rFonts w:hint="eastAsia" w:ascii="宋体" w:hAnsi="宋体"/>
          <w:szCs w:val="21"/>
        </w:rPr>
      </w:pPr>
      <w:r>
        <w:rPr>
          <w:rFonts w:hint="eastAsia" w:ascii="宋体" w:hAnsi="宋体"/>
          <w:szCs w:val="21"/>
        </w:rPr>
        <w:t>1)根据药敏结果自动判定多重耐药菌，并及时预警</w:t>
      </w:r>
    </w:p>
    <w:p w14:paraId="3D5ADCB5">
      <w:pPr>
        <w:spacing w:line="400" w:lineRule="exact"/>
        <w:ind w:firstLine="420" w:firstLineChars="200"/>
        <w:rPr>
          <w:rFonts w:hint="eastAsia" w:ascii="宋体" w:hAnsi="宋体"/>
          <w:szCs w:val="21"/>
        </w:rPr>
      </w:pPr>
      <w:r>
        <w:rPr>
          <w:rFonts w:hint="eastAsia" w:ascii="宋体" w:hAnsi="宋体"/>
          <w:szCs w:val="21"/>
        </w:rPr>
        <w:t>2)每个检出的多重耐药菌都在监测列表中对应一条记录，可以通过住院病案号、多重耐药名称、是否重复、是否隔离等条件进行筛选</w:t>
      </w:r>
    </w:p>
    <w:p w14:paraId="61D1D734">
      <w:pPr>
        <w:spacing w:line="400" w:lineRule="exact"/>
        <w:ind w:firstLine="420" w:firstLineChars="200"/>
        <w:rPr>
          <w:rFonts w:hint="eastAsia" w:ascii="宋体" w:hAnsi="宋体"/>
          <w:szCs w:val="21"/>
        </w:rPr>
      </w:pPr>
      <w:r>
        <w:rPr>
          <w:rFonts w:hint="eastAsia" w:ascii="宋体" w:hAnsi="宋体"/>
          <w:szCs w:val="21"/>
        </w:rPr>
        <w:t>3)监测列表可显示患者微生物检验结果、药敏试验结果、隔离医嘱数据</w:t>
      </w:r>
    </w:p>
    <w:p w14:paraId="4A39E2B9">
      <w:pPr>
        <w:spacing w:line="400" w:lineRule="exact"/>
        <w:ind w:firstLine="420" w:firstLineChars="200"/>
        <w:rPr>
          <w:rFonts w:hint="eastAsia" w:ascii="宋体" w:hAnsi="宋体"/>
          <w:szCs w:val="21"/>
        </w:rPr>
      </w:pPr>
      <w:r>
        <w:rPr>
          <w:rFonts w:hint="eastAsia" w:ascii="宋体" w:hAnsi="宋体"/>
          <w:szCs w:val="21"/>
        </w:rPr>
        <w:t>4)多耐待隔离预警，自动计算多耐菌患者未开具隔离医嘱，发送预警提醒医生</w:t>
      </w:r>
    </w:p>
    <w:p w14:paraId="29BB9E36">
      <w:pPr>
        <w:spacing w:line="400" w:lineRule="exact"/>
        <w:ind w:firstLine="420" w:firstLineChars="200"/>
        <w:rPr>
          <w:rFonts w:hint="eastAsia" w:ascii="宋体" w:hAnsi="宋体"/>
          <w:szCs w:val="21"/>
        </w:rPr>
      </w:pPr>
      <w:r>
        <w:rPr>
          <w:rFonts w:hint="eastAsia" w:ascii="宋体" w:hAnsi="宋体"/>
          <w:szCs w:val="21"/>
        </w:rPr>
        <w:t>(二) 多耐防控措施</w:t>
      </w:r>
    </w:p>
    <w:p w14:paraId="1DB150A4">
      <w:pPr>
        <w:spacing w:line="400" w:lineRule="exact"/>
        <w:ind w:firstLine="420" w:firstLineChars="200"/>
        <w:rPr>
          <w:rFonts w:hint="eastAsia" w:ascii="宋体" w:hAnsi="宋体"/>
          <w:szCs w:val="21"/>
        </w:rPr>
      </w:pPr>
      <w:r>
        <w:rPr>
          <w:rFonts w:hint="eastAsia" w:ascii="宋体" w:hAnsi="宋体"/>
          <w:szCs w:val="21"/>
        </w:rPr>
        <w:t>1)多耐防控全流程管理</w:t>
      </w:r>
    </w:p>
    <w:p w14:paraId="366F60F2">
      <w:pPr>
        <w:spacing w:line="400" w:lineRule="exact"/>
        <w:ind w:firstLine="420" w:firstLineChars="200"/>
        <w:rPr>
          <w:rFonts w:hint="eastAsia" w:ascii="宋体" w:hAnsi="宋体"/>
          <w:szCs w:val="21"/>
        </w:rPr>
      </w:pPr>
      <w:r>
        <w:rPr>
          <w:rFonts w:hint="eastAsia" w:ascii="宋体" w:hAnsi="宋体"/>
          <w:szCs w:val="21"/>
        </w:rPr>
        <w:t>支持多耐预警、隔离提醒、多耐防控措施登记、督导、科室终评、院感终评、审核全流程闭环管理。</w:t>
      </w:r>
    </w:p>
    <w:p w14:paraId="69E6F4AF">
      <w:pPr>
        <w:spacing w:line="400" w:lineRule="exact"/>
        <w:ind w:firstLine="420" w:firstLineChars="200"/>
        <w:rPr>
          <w:rFonts w:hint="eastAsia" w:ascii="宋体" w:hAnsi="宋体"/>
          <w:szCs w:val="21"/>
        </w:rPr>
      </w:pPr>
      <w:r>
        <w:rPr>
          <w:rFonts w:hint="eastAsia" w:ascii="宋体" w:hAnsi="宋体"/>
          <w:szCs w:val="21"/>
        </w:rPr>
        <w:t>2)自动填报多耐防控措施基本信息</w:t>
      </w:r>
    </w:p>
    <w:p w14:paraId="5C45D66F">
      <w:pPr>
        <w:spacing w:line="400" w:lineRule="exact"/>
        <w:ind w:firstLine="420" w:firstLineChars="200"/>
        <w:rPr>
          <w:rFonts w:hint="eastAsia" w:ascii="宋体" w:hAnsi="宋体"/>
          <w:szCs w:val="21"/>
        </w:rPr>
      </w:pPr>
      <w:r>
        <w:rPr>
          <w:rFonts w:hint="eastAsia" w:ascii="宋体" w:hAnsi="宋体"/>
          <w:szCs w:val="21"/>
        </w:rPr>
        <w:t>支持医生或护士登记多耐防控表，自动抓取病人基本信息，自动抓取隔离时间</w:t>
      </w:r>
    </w:p>
    <w:p w14:paraId="7E4039A3">
      <w:pPr>
        <w:spacing w:line="400" w:lineRule="exact"/>
        <w:ind w:firstLine="420" w:firstLineChars="200"/>
        <w:rPr>
          <w:rFonts w:hint="eastAsia" w:ascii="宋体" w:hAnsi="宋体"/>
          <w:szCs w:val="21"/>
        </w:rPr>
      </w:pPr>
      <w:r>
        <w:rPr>
          <w:rFonts w:hint="eastAsia" w:ascii="宋体" w:hAnsi="宋体"/>
          <w:szCs w:val="21"/>
        </w:rPr>
        <w:t>3)支持防控登记内容的选择配置，防控内容支持单选、多选及文本输入。</w:t>
      </w:r>
    </w:p>
    <w:p w14:paraId="00F00FD7">
      <w:pPr>
        <w:spacing w:line="400" w:lineRule="exact"/>
        <w:ind w:firstLine="420" w:firstLineChars="200"/>
        <w:rPr>
          <w:rFonts w:hint="eastAsia" w:ascii="宋体" w:hAnsi="宋体"/>
          <w:szCs w:val="21"/>
        </w:rPr>
      </w:pPr>
      <w:r>
        <w:rPr>
          <w:rFonts w:hint="eastAsia" w:ascii="宋体" w:hAnsi="宋体"/>
          <w:szCs w:val="21"/>
        </w:rPr>
        <w:t>4)督查评价</w:t>
      </w:r>
    </w:p>
    <w:p w14:paraId="149C54B2">
      <w:pPr>
        <w:spacing w:line="400" w:lineRule="exact"/>
        <w:ind w:firstLine="420" w:firstLineChars="200"/>
        <w:rPr>
          <w:rFonts w:hint="eastAsia" w:ascii="宋体" w:hAnsi="宋体"/>
          <w:szCs w:val="21"/>
        </w:rPr>
      </w:pPr>
      <w:r>
        <w:rPr>
          <w:rFonts w:hint="eastAsia" w:ascii="宋体" w:hAnsi="宋体"/>
          <w:szCs w:val="21"/>
        </w:rPr>
        <w:t>支持对多耐患者的防控措施多次科室抽查、院感抽查、多部门联合督查的内容填写，支持督查内容的选择配置，督查内容支持单选、多选及文本输入。</w:t>
      </w:r>
    </w:p>
    <w:p w14:paraId="4C69DCDF">
      <w:pPr>
        <w:spacing w:line="400" w:lineRule="exact"/>
        <w:ind w:firstLine="420" w:firstLineChars="200"/>
        <w:rPr>
          <w:rFonts w:hint="eastAsia" w:ascii="宋体" w:hAnsi="宋体"/>
          <w:szCs w:val="21"/>
        </w:rPr>
      </w:pPr>
      <w:r>
        <w:rPr>
          <w:rFonts w:hint="eastAsia" w:ascii="宋体" w:hAnsi="宋体"/>
          <w:szCs w:val="21"/>
        </w:rPr>
        <w:t>5)解除隔离</w:t>
      </w:r>
    </w:p>
    <w:p w14:paraId="144B42CD">
      <w:pPr>
        <w:spacing w:line="400" w:lineRule="exact"/>
        <w:ind w:firstLine="420" w:firstLineChars="200"/>
        <w:rPr>
          <w:rFonts w:hint="eastAsia" w:ascii="宋体" w:hAnsi="宋体"/>
          <w:szCs w:val="21"/>
        </w:rPr>
      </w:pPr>
      <w:r>
        <w:rPr>
          <w:rFonts w:hint="eastAsia" w:ascii="宋体" w:hAnsi="宋体"/>
          <w:szCs w:val="21"/>
        </w:rPr>
        <w:t>根据患者的微生物送检结果，由医生或护士填写解除隔离时间，解除依据；</w:t>
      </w:r>
    </w:p>
    <w:p w14:paraId="264E5DEF">
      <w:pPr>
        <w:spacing w:line="400" w:lineRule="exact"/>
        <w:ind w:firstLine="420" w:firstLineChars="200"/>
        <w:rPr>
          <w:rFonts w:hint="eastAsia" w:ascii="宋体" w:hAnsi="宋体"/>
          <w:szCs w:val="21"/>
        </w:rPr>
      </w:pPr>
      <w:r>
        <w:rPr>
          <w:rFonts w:hint="eastAsia" w:ascii="宋体" w:hAnsi="宋体"/>
          <w:szCs w:val="21"/>
        </w:rPr>
        <w:t>6)多耐终末消毒</w:t>
      </w:r>
    </w:p>
    <w:p w14:paraId="27765ACA">
      <w:pPr>
        <w:spacing w:line="400" w:lineRule="exact"/>
        <w:ind w:firstLine="420" w:firstLineChars="200"/>
        <w:rPr>
          <w:rFonts w:hint="eastAsia" w:ascii="宋体" w:hAnsi="宋体"/>
          <w:szCs w:val="21"/>
        </w:rPr>
      </w:pPr>
      <w:r>
        <w:rPr>
          <w:rFonts w:hint="eastAsia" w:ascii="宋体" w:hAnsi="宋体"/>
          <w:szCs w:val="21"/>
        </w:rPr>
        <w:t>根据患者的微生物送检结果，由医生或护士填写终末消毒措施</w:t>
      </w:r>
    </w:p>
    <w:p w14:paraId="0285BD5F">
      <w:pPr>
        <w:spacing w:line="400" w:lineRule="exact"/>
        <w:ind w:firstLine="420" w:firstLineChars="200"/>
        <w:rPr>
          <w:rFonts w:hint="eastAsia" w:ascii="宋体" w:hAnsi="宋体"/>
          <w:szCs w:val="21"/>
        </w:rPr>
      </w:pPr>
      <w:r>
        <w:rPr>
          <w:rFonts w:hint="eastAsia" w:ascii="宋体" w:hAnsi="宋体"/>
          <w:szCs w:val="21"/>
        </w:rPr>
        <w:t>7)终末科室自评</w:t>
      </w:r>
    </w:p>
    <w:p w14:paraId="5FBE8BA6">
      <w:pPr>
        <w:spacing w:line="400" w:lineRule="exact"/>
        <w:ind w:firstLine="420" w:firstLineChars="200"/>
        <w:rPr>
          <w:rFonts w:hint="eastAsia" w:ascii="宋体" w:hAnsi="宋体"/>
          <w:szCs w:val="21"/>
        </w:rPr>
      </w:pPr>
      <w:r>
        <w:rPr>
          <w:rFonts w:hint="eastAsia" w:ascii="宋体" w:hAnsi="宋体"/>
          <w:szCs w:val="21"/>
        </w:rPr>
        <w:t>支持对科室该多耐患者的最终评价，包括转归、同病房病人是否分离出同种药敏病原体、效果评价、备注、自评时间等内容。</w:t>
      </w:r>
    </w:p>
    <w:p w14:paraId="2C004A9B">
      <w:pPr>
        <w:spacing w:line="400" w:lineRule="exact"/>
        <w:ind w:firstLine="420" w:firstLineChars="200"/>
        <w:rPr>
          <w:rFonts w:hint="eastAsia" w:ascii="宋体" w:hAnsi="宋体"/>
          <w:szCs w:val="21"/>
        </w:rPr>
      </w:pPr>
      <w:r>
        <w:rPr>
          <w:rFonts w:hint="eastAsia" w:ascii="宋体" w:hAnsi="宋体"/>
          <w:szCs w:val="21"/>
        </w:rPr>
        <w:t>8)终末院感科评价</w:t>
      </w:r>
    </w:p>
    <w:p w14:paraId="223AEAFC">
      <w:pPr>
        <w:spacing w:line="400" w:lineRule="exact"/>
        <w:ind w:firstLine="420" w:firstLineChars="200"/>
        <w:rPr>
          <w:rFonts w:hint="eastAsia" w:ascii="宋体" w:hAnsi="宋体"/>
          <w:szCs w:val="21"/>
        </w:rPr>
      </w:pPr>
      <w:r>
        <w:rPr>
          <w:rFonts w:hint="eastAsia" w:ascii="宋体" w:hAnsi="宋体"/>
          <w:szCs w:val="21"/>
        </w:rPr>
        <w:t>支持对院感科该多耐患者的最终总结性评价，包括评价、反馈与整改、督查时间等内容。</w:t>
      </w:r>
    </w:p>
    <w:p w14:paraId="495594BF">
      <w:pPr>
        <w:spacing w:line="400" w:lineRule="exact"/>
        <w:ind w:firstLine="420" w:firstLineChars="200"/>
        <w:rPr>
          <w:rFonts w:hint="eastAsia" w:ascii="宋体" w:hAnsi="宋体"/>
          <w:szCs w:val="21"/>
        </w:rPr>
      </w:pPr>
      <w:r>
        <w:rPr>
          <w:rFonts w:hint="eastAsia" w:ascii="宋体" w:hAnsi="宋体"/>
          <w:szCs w:val="21"/>
        </w:rPr>
        <w:t>9)院感科防控审核</w:t>
      </w:r>
    </w:p>
    <w:p w14:paraId="73383D00">
      <w:pPr>
        <w:spacing w:line="400" w:lineRule="exact"/>
        <w:ind w:firstLine="420" w:firstLineChars="200"/>
        <w:rPr>
          <w:rFonts w:hint="eastAsia" w:ascii="宋体" w:hAnsi="宋体"/>
          <w:szCs w:val="21"/>
        </w:rPr>
      </w:pPr>
      <w:r>
        <w:rPr>
          <w:rFonts w:hint="eastAsia" w:ascii="宋体" w:hAnsi="宋体"/>
          <w:szCs w:val="21"/>
        </w:rPr>
        <w:t>支持院感科对防控整体数据审核，审核后数据锁定，不可修改。</w:t>
      </w:r>
    </w:p>
    <w:p w14:paraId="4F890C21">
      <w:pPr>
        <w:spacing w:line="400" w:lineRule="exact"/>
        <w:ind w:firstLine="420" w:firstLineChars="200"/>
        <w:rPr>
          <w:rFonts w:hint="eastAsia" w:ascii="宋体" w:hAnsi="宋体"/>
          <w:szCs w:val="21"/>
        </w:rPr>
      </w:pPr>
      <w:r>
        <w:rPr>
          <w:rFonts w:hint="eastAsia" w:ascii="宋体" w:hAnsi="宋体"/>
          <w:szCs w:val="21"/>
        </w:rPr>
        <w:t>(三) 统计分析</w:t>
      </w:r>
    </w:p>
    <w:p w14:paraId="57A333D1">
      <w:pPr>
        <w:spacing w:line="400" w:lineRule="exact"/>
        <w:ind w:firstLine="420" w:firstLineChars="200"/>
        <w:rPr>
          <w:rFonts w:hint="eastAsia" w:ascii="宋体" w:hAnsi="宋体"/>
          <w:szCs w:val="21"/>
        </w:rPr>
      </w:pPr>
      <w:r>
        <w:rPr>
          <w:rFonts w:hint="eastAsia" w:ascii="宋体" w:hAnsi="宋体"/>
          <w:szCs w:val="21"/>
        </w:rPr>
        <w:t xml:space="preserve">1)自动统计任意时段全院及各病区的多重耐药菌检出率、多重耐药医院感染致病菌分离绝对数、多重耐药医院感染致病菌对抗菌药物耐药率、多重耐药菌感染（例次）发生率、多重耐药菌感染例次千日发生率、多重耐药菌定植例次千日发生率、不同医院感染病原体构成比、医院感染致病菌对抗菌药物的耐药率，可展示以上各指标全院及各病区按年变化趋势。 </w:t>
      </w:r>
    </w:p>
    <w:p w14:paraId="2B07ACFF">
      <w:pPr>
        <w:spacing w:line="400" w:lineRule="exact"/>
        <w:ind w:firstLine="420" w:firstLineChars="200"/>
        <w:rPr>
          <w:rFonts w:hint="eastAsia" w:ascii="宋体" w:hAnsi="宋体"/>
          <w:szCs w:val="21"/>
        </w:rPr>
      </w:pPr>
      <w:r>
        <w:rPr>
          <w:rFonts w:hint="eastAsia" w:ascii="宋体" w:hAnsi="宋体"/>
          <w:szCs w:val="21"/>
        </w:rPr>
        <w:t xml:space="preserve">2)自动统计任意时段全院及各病区的各标本各病原体分离绝对数及构成比、医院感染致病菌的绝对数及构成比，可展示以上各指标全院及各病区按年变化趋势。 </w:t>
      </w:r>
    </w:p>
    <w:p w14:paraId="608484D5">
      <w:pPr>
        <w:spacing w:line="400" w:lineRule="exact"/>
        <w:ind w:firstLine="420" w:firstLineChars="200"/>
        <w:rPr>
          <w:rFonts w:hint="eastAsia" w:ascii="宋体" w:hAnsi="宋体"/>
          <w:szCs w:val="21"/>
        </w:rPr>
      </w:pPr>
      <w:r>
        <w:rPr>
          <w:rFonts w:hint="eastAsia" w:ascii="宋体" w:hAnsi="宋体"/>
          <w:szCs w:val="21"/>
        </w:rPr>
        <w:t>3)自动统计任意时段全院及各病区的医院感染致病菌抗菌药物敏感性试验中不同药物药敏试验的总株数、敏感数、中介数、耐药数、敏感率、中介率、耐药率。</w:t>
      </w:r>
    </w:p>
    <w:p w14:paraId="56E8C32F">
      <w:pPr>
        <w:spacing w:line="400" w:lineRule="exact"/>
        <w:ind w:firstLine="420" w:firstLineChars="200"/>
        <w:rPr>
          <w:rFonts w:hint="eastAsia" w:ascii="宋体" w:hAnsi="宋体"/>
          <w:szCs w:val="21"/>
        </w:rPr>
      </w:pPr>
      <w:r>
        <w:rPr>
          <w:rFonts w:hint="eastAsia" w:ascii="宋体" w:hAnsi="宋体"/>
          <w:szCs w:val="21"/>
        </w:rPr>
        <w:t>4)根据医生或护士的登记情况，防控措施的合格情况自动生成防控措施执行率，统计细化到每个具体的防控措施项，数据可根据科室查询与导出。</w:t>
      </w:r>
    </w:p>
    <w:p w14:paraId="3A94B9D1">
      <w:pPr>
        <w:spacing w:line="400" w:lineRule="exact"/>
        <w:ind w:firstLine="420" w:firstLineChars="200"/>
        <w:rPr>
          <w:rFonts w:hint="eastAsia" w:ascii="宋体" w:hAnsi="宋体"/>
          <w:szCs w:val="21"/>
        </w:rPr>
      </w:pPr>
      <w:r>
        <w:rPr>
          <w:rFonts w:hint="eastAsia" w:ascii="宋体" w:hAnsi="宋体"/>
          <w:szCs w:val="21"/>
        </w:rPr>
        <w:t>5)根据评价主体自动生成防控登记、科室自评、职能科室的防控措施落实率，数据可根据科室查询与导出。</w:t>
      </w:r>
    </w:p>
    <w:p w14:paraId="76A9554C">
      <w:pPr>
        <w:spacing w:line="400" w:lineRule="exact"/>
        <w:ind w:firstLine="420" w:firstLineChars="200"/>
        <w:rPr>
          <w:rFonts w:hint="eastAsia" w:ascii="宋体" w:hAnsi="宋体"/>
          <w:szCs w:val="21"/>
        </w:rPr>
      </w:pPr>
      <w:r>
        <w:rPr>
          <w:rFonts w:hint="eastAsia" w:ascii="宋体" w:hAnsi="宋体"/>
          <w:szCs w:val="21"/>
        </w:rPr>
        <w:t>7、抗菌药物监测</w:t>
      </w:r>
    </w:p>
    <w:p w14:paraId="593A44A9">
      <w:pPr>
        <w:spacing w:line="400" w:lineRule="exact"/>
        <w:ind w:firstLine="420" w:firstLineChars="200"/>
        <w:rPr>
          <w:rFonts w:hint="eastAsia" w:ascii="宋体" w:hAnsi="宋体"/>
          <w:szCs w:val="21"/>
        </w:rPr>
      </w:pPr>
      <w:r>
        <w:rPr>
          <w:rFonts w:hint="eastAsia" w:ascii="宋体" w:hAnsi="宋体"/>
          <w:szCs w:val="21"/>
        </w:rPr>
        <w:t>1)采集住院患者使用抗菌药物的通用名称、使用开始日期时间、使用结束日期时间、等级、用药目的、给药方式、处方医师姓名、职称、手术患者进入手术室后使用抗菌药物通用名称、手术患者进入手术室后抗菌药物给药日期时间。</w:t>
      </w:r>
    </w:p>
    <w:p w14:paraId="2B68F192">
      <w:pPr>
        <w:spacing w:line="400" w:lineRule="exact"/>
        <w:ind w:firstLine="420" w:firstLineChars="200"/>
        <w:rPr>
          <w:rFonts w:hint="eastAsia" w:ascii="宋体" w:hAnsi="宋体"/>
          <w:szCs w:val="21"/>
        </w:rPr>
      </w:pPr>
      <w:r>
        <w:rPr>
          <w:rFonts w:hint="eastAsia" w:ascii="宋体" w:hAnsi="宋体"/>
          <w:szCs w:val="21"/>
        </w:rPr>
        <w:t>2)展示围术期术前预防用药、带入手术室用药、术后用药。</w:t>
      </w:r>
    </w:p>
    <w:p w14:paraId="74083046">
      <w:pPr>
        <w:spacing w:line="400" w:lineRule="exact"/>
        <w:ind w:firstLine="420" w:firstLineChars="200"/>
        <w:rPr>
          <w:rFonts w:hint="eastAsia" w:ascii="宋体" w:hAnsi="宋体"/>
          <w:szCs w:val="21"/>
        </w:rPr>
      </w:pPr>
      <w:r>
        <w:rPr>
          <w:rFonts w:hint="eastAsia" w:ascii="宋体" w:hAnsi="宋体"/>
          <w:szCs w:val="21"/>
        </w:rPr>
        <w:t>3)统计分析功能：</w:t>
      </w:r>
    </w:p>
    <w:p w14:paraId="7930DD25">
      <w:pPr>
        <w:spacing w:line="400" w:lineRule="exact"/>
        <w:ind w:firstLine="420" w:firstLineChars="200"/>
        <w:rPr>
          <w:rFonts w:hint="eastAsia" w:ascii="宋体" w:hAnsi="宋体"/>
          <w:szCs w:val="21"/>
        </w:rPr>
      </w:pPr>
      <w:r>
        <w:rPr>
          <w:rFonts w:hint="eastAsia" w:ascii="宋体" w:hAnsi="宋体"/>
          <w:szCs w:val="21"/>
        </w:rPr>
        <w:t xml:space="preserve">自动统计任意时段全院及各病区的出院患者抗菌药物使用率、住院患者抗菌药物使用率、预防使用抗菌药物构成比、治疗使用抗菌药物构成比、出院患者人均使用抗菌药物品种数、住院患者人均使用抗菌药物天数、出院患者使用抗菌药物病原学送检率、出院患者治疗性使用抗菌药物病原学送检率、住院患者抗菌药物治疗前病原学送检率、住院患者限制类抗菌药物治疗性使用前病原学送检率、住院患者特殊类抗菌药物治疗性使用前病原学送检率、清洁手术抗菌药物预防使用百分率、清洁手术抗菌药物预防使用人均用药天数、手术术前0.5h～2h给药百分率、手术时间大于3h的手术中抗菌药物追加执行率等。 </w:t>
      </w:r>
    </w:p>
    <w:p w14:paraId="62A0CE0C">
      <w:pPr>
        <w:spacing w:line="400" w:lineRule="exact"/>
        <w:ind w:firstLine="420" w:firstLineChars="200"/>
        <w:rPr>
          <w:rFonts w:hint="eastAsia" w:ascii="宋体" w:hAnsi="宋体"/>
          <w:szCs w:val="21"/>
        </w:rPr>
      </w:pPr>
      <w:r>
        <w:rPr>
          <w:rFonts w:hint="eastAsia" w:ascii="宋体" w:hAnsi="宋体"/>
          <w:szCs w:val="21"/>
        </w:rPr>
        <w:t>8、血透监测</w:t>
      </w:r>
    </w:p>
    <w:p w14:paraId="4E0D9B11">
      <w:pPr>
        <w:spacing w:line="400" w:lineRule="exact"/>
        <w:ind w:firstLine="420" w:firstLineChars="200"/>
        <w:rPr>
          <w:rFonts w:hint="eastAsia" w:ascii="宋体" w:hAnsi="宋体"/>
          <w:szCs w:val="21"/>
        </w:rPr>
      </w:pPr>
      <w:r>
        <w:rPr>
          <w:rFonts w:hint="eastAsia" w:ascii="宋体" w:hAnsi="宋体"/>
          <w:szCs w:val="21"/>
        </w:rPr>
        <w:t>满足《医院感染监测标准WST312-2023》中门诊血液透析感染监测需求：</w:t>
      </w:r>
    </w:p>
    <w:p w14:paraId="7B02CCEA">
      <w:pPr>
        <w:spacing w:line="400" w:lineRule="exact"/>
        <w:ind w:firstLine="420" w:firstLineChars="200"/>
        <w:rPr>
          <w:rFonts w:hint="eastAsia" w:ascii="宋体" w:hAnsi="宋体"/>
          <w:szCs w:val="21"/>
        </w:rPr>
      </w:pPr>
      <w:r>
        <w:rPr>
          <w:rFonts w:hint="eastAsia" w:ascii="宋体" w:hAnsi="宋体"/>
          <w:szCs w:val="21"/>
        </w:rPr>
        <w:t>1、门诊血透感染事件监测</w:t>
      </w:r>
    </w:p>
    <w:p w14:paraId="357C22DF">
      <w:pPr>
        <w:spacing w:line="400" w:lineRule="exact"/>
        <w:ind w:firstLine="420" w:firstLineChars="200"/>
        <w:rPr>
          <w:rFonts w:hint="eastAsia" w:ascii="宋体" w:hAnsi="宋体"/>
          <w:szCs w:val="21"/>
        </w:rPr>
      </w:pPr>
      <w:r>
        <w:rPr>
          <w:rFonts w:hint="eastAsia" w:ascii="宋体" w:hAnsi="宋体"/>
          <w:szCs w:val="21"/>
        </w:rPr>
        <w:t>1)门诊透析患者月报表</w:t>
      </w:r>
    </w:p>
    <w:p w14:paraId="76529435">
      <w:pPr>
        <w:spacing w:line="400" w:lineRule="exact"/>
        <w:ind w:firstLine="420" w:firstLineChars="200"/>
        <w:rPr>
          <w:rFonts w:hint="eastAsia" w:ascii="宋体" w:hAnsi="宋体"/>
          <w:szCs w:val="21"/>
        </w:rPr>
      </w:pPr>
      <w:r>
        <w:rPr>
          <w:rFonts w:hint="eastAsia" w:ascii="宋体" w:hAnsi="宋体"/>
          <w:szCs w:val="21"/>
        </w:rPr>
        <w:t>2)门诊血透析感染事件监测表</w:t>
      </w:r>
    </w:p>
    <w:p w14:paraId="590CB53B">
      <w:pPr>
        <w:spacing w:line="400" w:lineRule="exact"/>
        <w:ind w:firstLine="420" w:firstLineChars="200"/>
        <w:rPr>
          <w:rFonts w:hint="eastAsia" w:ascii="宋体" w:hAnsi="宋体"/>
          <w:szCs w:val="21"/>
        </w:rPr>
      </w:pPr>
      <w:r>
        <w:rPr>
          <w:rFonts w:hint="eastAsia" w:ascii="宋体" w:hAnsi="宋体"/>
          <w:szCs w:val="21"/>
        </w:rPr>
        <w:t>3)血液透析感染事件发生率</w:t>
      </w:r>
    </w:p>
    <w:p w14:paraId="57917B90">
      <w:pPr>
        <w:spacing w:line="400" w:lineRule="exact"/>
        <w:ind w:firstLine="420" w:firstLineChars="200"/>
        <w:rPr>
          <w:rFonts w:hint="eastAsia" w:ascii="宋体" w:hAnsi="宋体"/>
          <w:szCs w:val="21"/>
        </w:rPr>
      </w:pPr>
      <w:r>
        <w:rPr>
          <w:rFonts w:hint="eastAsia" w:ascii="宋体" w:hAnsi="宋体"/>
          <w:szCs w:val="21"/>
        </w:rPr>
        <w:t>4)血管通路感染发生率</w:t>
      </w:r>
    </w:p>
    <w:p w14:paraId="033E2912">
      <w:pPr>
        <w:spacing w:line="400" w:lineRule="exact"/>
        <w:ind w:firstLine="420" w:firstLineChars="200"/>
        <w:rPr>
          <w:rFonts w:hint="eastAsia" w:ascii="宋体" w:hAnsi="宋体"/>
          <w:szCs w:val="21"/>
        </w:rPr>
      </w:pPr>
      <w:r>
        <w:rPr>
          <w:rFonts w:hint="eastAsia" w:ascii="宋体" w:hAnsi="宋体"/>
          <w:szCs w:val="21"/>
        </w:rPr>
        <w:t>5)血管通路相关性血流感染发生率</w:t>
      </w:r>
    </w:p>
    <w:p w14:paraId="02BA3E48">
      <w:pPr>
        <w:spacing w:line="400" w:lineRule="exact"/>
        <w:ind w:firstLine="420" w:firstLineChars="200"/>
        <w:rPr>
          <w:rFonts w:hint="eastAsia" w:ascii="宋体" w:hAnsi="宋体"/>
          <w:szCs w:val="21"/>
        </w:rPr>
      </w:pPr>
      <w:r>
        <w:rPr>
          <w:rFonts w:hint="eastAsia" w:ascii="宋体" w:hAnsi="宋体"/>
          <w:szCs w:val="21"/>
        </w:rPr>
        <w:t>6)血管穿刺部位感染发生率</w:t>
      </w:r>
    </w:p>
    <w:p w14:paraId="3DF4001D">
      <w:pPr>
        <w:spacing w:line="400" w:lineRule="exact"/>
        <w:ind w:firstLine="420" w:firstLineChars="200"/>
        <w:rPr>
          <w:rFonts w:hint="eastAsia" w:ascii="宋体" w:hAnsi="宋体"/>
          <w:szCs w:val="21"/>
        </w:rPr>
      </w:pPr>
      <w:r>
        <w:rPr>
          <w:rFonts w:hint="eastAsia" w:ascii="宋体" w:hAnsi="宋体"/>
          <w:szCs w:val="21"/>
        </w:rPr>
        <w:t>2、门诊血透血源性病原体监测</w:t>
      </w:r>
    </w:p>
    <w:p w14:paraId="54B52C99">
      <w:pPr>
        <w:spacing w:line="400" w:lineRule="exact"/>
        <w:ind w:firstLine="420" w:firstLineChars="200"/>
        <w:rPr>
          <w:rFonts w:hint="eastAsia" w:ascii="宋体" w:hAnsi="宋体"/>
          <w:szCs w:val="21"/>
        </w:rPr>
      </w:pPr>
      <w:r>
        <w:rPr>
          <w:rFonts w:hint="eastAsia" w:ascii="宋体" w:hAnsi="宋体"/>
          <w:szCs w:val="21"/>
        </w:rPr>
        <w:t>1)门诊血液透析患者血源性病原体监测表</w:t>
      </w:r>
    </w:p>
    <w:p w14:paraId="457CDA80">
      <w:pPr>
        <w:spacing w:line="400" w:lineRule="exact"/>
        <w:ind w:firstLine="420" w:firstLineChars="200"/>
        <w:rPr>
          <w:rFonts w:hint="eastAsia" w:ascii="宋体" w:hAnsi="宋体"/>
          <w:szCs w:val="21"/>
        </w:rPr>
      </w:pPr>
      <w:r>
        <w:rPr>
          <w:rFonts w:hint="eastAsia" w:ascii="宋体" w:hAnsi="宋体"/>
          <w:szCs w:val="21"/>
        </w:rPr>
        <w:t>2)新入患者传染病标志物检验完成率</w:t>
      </w:r>
    </w:p>
    <w:p w14:paraId="61D73012">
      <w:pPr>
        <w:spacing w:line="400" w:lineRule="exact"/>
        <w:ind w:firstLine="420" w:firstLineChars="200"/>
        <w:rPr>
          <w:rFonts w:hint="eastAsia" w:ascii="宋体" w:hAnsi="宋体"/>
          <w:szCs w:val="21"/>
        </w:rPr>
      </w:pPr>
      <w:r>
        <w:rPr>
          <w:rFonts w:hint="eastAsia" w:ascii="宋体" w:hAnsi="宋体"/>
          <w:szCs w:val="21"/>
        </w:rPr>
        <w:t>3)长期血液透析患者传染病标志物定时检验完成率</w:t>
      </w:r>
    </w:p>
    <w:p w14:paraId="175C1EFF">
      <w:pPr>
        <w:spacing w:line="400" w:lineRule="exact"/>
        <w:ind w:firstLine="420" w:firstLineChars="200"/>
        <w:rPr>
          <w:rFonts w:hint="eastAsia" w:ascii="宋体" w:hAnsi="宋体"/>
          <w:szCs w:val="21"/>
        </w:rPr>
      </w:pPr>
      <w:r>
        <w:rPr>
          <w:rFonts w:hint="eastAsia" w:ascii="宋体" w:hAnsi="宋体"/>
          <w:szCs w:val="21"/>
        </w:rPr>
        <w:t>4)HBV 阳转率</w:t>
      </w:r>
    </w:p>
    <w:p w14:paraId="441DEB29">
      <w:pPr>
        <w:spacing w:line="400" w:lineRule="exact"/>
        <w:ind w:firstLine="420" w:firstLineChars="200"/>
        <w:rPr>
          <w:rFonts w:hint="eastAsia" w:ascii="宋体" w:hAnsi="宋体"/>
          <w:szCs w:val="21"/>
        </w:rPr>
      </w:pPr>
      <w:r>
        <w:rPr>
          <w:rFonts w:hint="eastAsia" w:ascii="宋体" w:hAnsi="宋体"/>
          <w:szCs w:val="21"/>
        </w:rPr>
        <w:t>5)HCV 阳转率</w:t>
      </w:r>
    </w:p>
    <w:p w14:paraId="4AD36B85">
      <w:pPr>
        <w:spacing w:line="400" w:lineRule="exact"/>
        <w:ind w:firstLine="420" w:firstLineChars="200"/>
        <w:rPr>
          <w:rFonts w:hint="eastAsia" w:ascii="宋体" w:hAnsi="宋体"/>
          <w:szCs w:val="21"/>
        </w:rPr>
      </w:pPr>
      <w:r>
        <w:rPr>
          <w:rFonts w:hint="eastAsia" w:ascii="宋体" w:hAnsi="宋体"/>
          <w:szCs w:val="21"/>
        </w:rPr>
        <w:t>6)HIV 阳转率</w:t>
      </w:r>
    </w:p>
    <w:p w14:paraId="2BD0AF2D">
      <w:pPr>
        <w:spacing w:line="400" w:lineRule="exact"/>
        <w:ind w:firstLine="420" w:firstLineChars="200"/>
        <w:rPr>
          <w:rFonts w:hint="eastAsia" w:ascii="宋体" w:hAnsi="宋体"/>
          <w:szCs w:val="21"/>
        </w:rPr>
      </w:pPr>
      <w:r>
        <w:rPr>
          <w:rFonts w:hint="eastAsia" w:ascii="宋体" w:hAnsi="宋体"/>
          <w:szCs w:val="21"/>
        </w:rPr>
        <w:t>7)梅毒阳转率</w:t>
      </w:r>
    </w:p>
    <w:p w14:paraId="7FDD0D5D">
      <w:pPr>
        <w:spacing w:line="400" w:lineRule="exact"/>
        <w:ind w:firstLine="420" w:firstLineChars="200"/>
        <w:rPr>
          <w:rFonts w:hint="eastAsia" w:ascii="宋体" w:hAnsi="宋体"/>
          <w:szCs w:val="21"/>
        </w:rPr>
      </w:pPr>
      <w:r>
        <w:rPr>
          <w:rFonts w:hint="eastAsia" w:ascii="宋体" w:hAnsi="宋体"/>
          <w:szCs w:val="21"/>
        </w:rPr>
        <w:t>9、现患率调查</w:t>
      </w:r>
    </w:p>
    <w:p w14:paraId="5E569594">
      <w:pPr>
        <w:spacing w:line="400" w:lineRule="exact"/>
        <w:ind w:firstLine="420" w:firstLineChars="200"/>
        <w:rPr>
          <w:rFonts w:hint="eastAsia" w:ascii="宋体" w:hAnsi="宋体"/>
          <w:szCs w:val="21"/>
        </w:rPr>
      </w:pPr>
      <w:r>
        <w:rPr>
          <w:rFonts w:hint="eastAsia" w:ascii="宋体" w:hAnsi="宋体"/>
          <w:szCs w:val="21"/>
        </w:rPr>
        <w:t>(一) 现患率在线调查</w:t>
      </w:r>
    </w:p>
    <w:p w14:paraId="3AB54514">
      <w:pPr>
        <w:spacing w:line="400" w:lineRule="exact"/>
        <w:ind w:firstLine="420" w:firstLineChars="200"/>
        <w:rPr>
          <w:rFonts w:hint="eastAsia" w:ascii="宋体" w:hAnsi="宋体"/>
          <w:szCs w:val="21"/>
        </w:rPr>
      </w:pPr>
      <w:r>
        <w:rPr>
          <w:rFonts w:hint="eastAsia" w:ascii="宋体" w:hAnsi="宋体"/>
          <w:szCs w:val="21"/>
        </w:rPr>
        <w:t>1)一键生成现患率调查表，供临床科室、院感科调查、审核。</w:t>
      </w:r>
    </w:p>
    <w:p w14:paraId="5727E2D6">
      <w:pPr>
        <w:spacing w:line="400" w:lineRule="exact"/>
        <w:ind w:firstLine="420" w:firstLineChars="200"/>
        <w:rPr>
          <w:rFonts w:hint="eastAsia" w:ascii="宋体" w:hAnsi="宋体"/>
          <w:szCs w:val="21"/>
        </w:rPr>
      </w:pPr>
      <w:r>
        <w:rPr>
          <w:rFonts w:hint="eastAsia" w:ascii="宋体" w:hAnsi="宋体"/>
          <w:szCs w:val="21"/>
        </w:rPr>
        <w:t>2)支持两种形式现患率调查，①可根据报卡自动生成当前日期现患率数据；②自动生成调查日期的现患率个案登记表，汇总所有需调查的患者列表。</w:t>
      </w:r>
    </w:p>
    <w:p w14:paraId="30360C07">
      <w:pPr>
        <w:spacing w:line="400" w:lineRule="exact"/>
        <w:ind w:firstLine="420" w:firstLineChars="200"/>
        <w:rPr>
          <w:rFonts w:hint="eastAsia" w:ascii="宋体" w:hAnsi="宋体"/>
          <w:szCs w:val="21"/>
        </w:rPr>
      </w:pPr>
      <w:r>
        <w:rPr>
          <w:rFonts w:hint="eastAsia" w:ascii="宋体" w:hAnsi="宋体"/>
          <w:szCs w:val="21"/>
        </w:rPr>
        <w:t>3)能够一键导出现患率调查、统计结果</w:t>
      </w:r>
    </w:p>
    <w:p w14:paraId="24782BAE">
      <w:pPr>
        <w:spacing w:line="400" w:lineRule="exact"/>
        <w:ind w:firstLine="420" w:firstLineChars="200"/>
        <w:rPr>
          <w:rFonts w:hint="eastAsia" w:ascii="宋体" w:hAnsi="宋体"/>
          <w:szCs w:val="21"/>
        </w:rPr>
      </w:pPr>
      <w:r>
        <w:rPr>
          <w:rFonts w:hint="eastAsia" w:ascii="宋体" w:hAnsi="宋体"/>
          <w:szCs w:val="21"/>
        </w:rPr>
        <w:t>4)现患率个案调查可自动读取病人信息</w:t>
      </w:r>
    </w:p>
    <w:p w14:paraId="31308276">
      <w:pPr>
        <w:spacing w:line="400" w:lineRule="exact"/>
        <w:ind w:firstLine="420" w:firstLineChars="200"/>
        <w:rPr>
          <w:rFonts w:hint="eastAsia" w:ascii="宋体" w:hAnsi="宋体"/>
          <w:szCs w:val="21"/>
        </w:rPr>
      </w:pPr>
      <w:r>
        <w:rPr>
          <w:rFonts w:hint="eastAsia" w:ascii="宋体" w:hAnsi="宋体"/>
          <w:szCs w:val="21"/>
        </w:rPr>
        <w:t>5)自动计算院内感染、社区感染的感染（例次）率</w:t>
      </w:r>
    </w:p>
    <w:p w14:paraId="2D09B0F3">
      <w:pPr>
        <w:spacing w:line="400" w:lineRule="exact"/>
        <w:ind w:firstLine="420" w:firstLineChars="200"/>
        <w:rPr>
          <w:rFonts w:hint="eastAsia" w:ascii="宋体" w:hAnsi="宋体"/>
          <w:szCs w:val="21"/>
        </w:rPr>
      </w:pPr>
      <w:r>
        <w:rPr>
          <w:rFonts w:hint="eastAsia" w:ascii="宋体" w:hAnsi="宋体"/>
          <w:szCs w:val="21"/>
        </w:rPr>
        <w:t>6)自动计算实查率；</w:t>
      </w:r>
    </w:p>
    <w:p w14:paraId="67D62A13">
      <w:pPr>
        <w:spacing w:line="400" w:lineRule="exact"/>
        <w:ind w:firstLine="420" w:firstLineChars="200"/>
        <w:rPr>
          <w:rFonts w:hint="eastAsia" w:ascii="宋体" w:hAnsi="宋体"/>
          <w:szCs w:val="21"/>
        </w:rPr>
      </w:pPr>
      <w:r>
        <w:rPr>
          <w:rFonts w:hint="eastAsia" w:ascii="宋体" w:hAnsi="宋体"/>
          <w:szCs w:val="21"/>
        </w:rPr>
        <w:t>7)自动按科室计算现患率；也可以单独统计某个科室的现患率</w:t>
      </w:r>
    </w:p>
    <w:p w14:paraId="1E1905E7">
      <w:pPr>
        <w:spacing w:line="400" w:lineRule="exact"/>
        <w:ind w:firstLine="420" w:firstLineChars="200"/>
        <w:rPr>
          <w:rFonts w:hint="eastAsia" w:ascii="宋体" w:hAnsi="宋体"/>
          <w:szCs w:val="21"/>
        </w:rPr>
      </w:pPr>
      <w:r>
        <w:rPr>
          <w:rFonts w:hint="eastAsia" w:ascii="宋体" w:hAnsi="宋体"/>
          <w:szCs w:val="21"/>
        </w:rPr>
        <w:t>a)自动统计抗菌药物使用情况；</w:t>
      </w:r>
    </w:p>
    <w:p w14:paraId="41043114">
      <w:pPr>
        <w:spacing w:line="400" w:lineRule="exact"/>
        <w:ind w:firstLine="420" w:firstLineChars="200"/>
        <w:rPr>
          <w:rFonts w:hint="eastAsia" w:ascii="宋体" w:hAnsi="宋体"/>
          <w:szCs w:val="21"/>
        </w:rPr>
      </w:pPr>
      <w:r>
        <w:rPr>
          <w:rFonts w:hint="eastAsia" w:ascii="宋体" w:hAnsi="宋体"/>
          <w:szCs w:val="21"/>
        </w:rPr>
        <w:t>b)自动统计联合用药情况</w:t>
      </w:r>
    </w:p>
    <w:p w14:paraId="58DBB504">
      <w:pPr>
        <w:spacing w:line="400" w:lineRule="exact"/>
        <w:ind w:firstLine="420" w:firstLineChars="200"/>
        <w:rPr>
          <w:rFonts w:hint="eastAsia" w:ascii="宋体" w:hAnsi="宋体"/>
          <w:szCs w:val="21"/>
        </w:rPr>
      </w:pPr>
      <w:r>
        <w:rPr>
          <w:rFonts w:hint="eastAsia" w:ascii="宋体" w:hAnsi="宋体"/>
          <w:szCs w:val="21"/>
        </w:rPr>
        <w:t>c)可导出现患率调查结果详情。</w:t>
      </w:r>
    </w:p>
    <w:p w14:paraId="7FBC31BE">
      <w:pPr>
        <w:spacing w:line="400" w:lineRule="exact"/>
        <w:ind w:firstLine="420" w:firstLineChars="200"/>
        <w:rPr>
          <w:rFonts w:hint="eastAsia" w:ascii="宋体" w:hAnsi="宋体"/>
          <w:szCs w:val="21"/>
        </w:rPr>
      </w:pPr>
      <w:r>
        <w:rPr>
          <w:rFonts w:hint="eastAsia" w:ascii="宋体" w:hAnsi="宋体"/>
          <w:szCs w:val="21"/>
        </w:rPr>
        <w:t>(二) 现患率网络直报</w:t>
      </w:r>
    </w:p>
    <w:p w14:paraId="71CD3750">
      <w:pPr>
        <w:spacing w:line="400" w:lineRule="exact"/>
        <w:ind w:firstLine="420" w:firstLineChars="200"/>
        <w:rPr>
          <w:rFonts w:hint="eastAsia" w:ascii="宋体" w:hAnsi="宋体"/>
          <w:szCs w:val="21"/>
        </w:rPr>
      </w:pPr>
      <w:r>
        <w:rPr>
          <w:rFonts w:hint="eastAsia" w:ascii="宋体" w:hAnsi="宋体"/>
          <w:szCs w:val="21"/>
        </w:rPr>
        <w:t>数据可以通过互联网自动上报省级或全国医院现患率调查数据中心，不需要手工逐笔录入</w:t>
      </w:r>
    </w:p>
    <w:p w14:paraId="68CFEA7A">
      <w:pPr>
        <w:spacing w:line="400" w:lineRule="exact"/>
        <w:ind w:firstLine="420" w:firstLineChars="200"/>
        <w:rPr>
          <w:rFonts w:hint="eastAsia" w:ascii="宋体" w:hAnsi="宋体"/>
          <w:szCs w:val="21"/>
        </w:rPr>
      </w:pPr>
      <w:r>
        <w:rPr>
          <w:rFonts w:hint="eastAsia" w:ascii="宋体" w:hAnsi="宋体"/>
          <w:szCs w:val="21"/>
        </w:rPr>
        <w:t>10、患者360</w:t>
      </w:r>
    </w:p>
    <w:p w14:paraId="0B633240">
      <w:pPr>
        <w:spacing w:line="400" w:lineRule="exact"/>
        <w:ind w:firstLine="420" w:firstLineChars="200"/>
        <w:rPr>
          <w:rFonts w:hint="eastAsia" w:ascii="宋体" w:hAnsi="宋体"/>
          <w:szCs w:val="21"/>
        </w:rPr>
      </w:pPr>
      <w:r>
        <w:rPr>
          <w:rFonts w:hint="eastAsia" w:ascii="宋体" w:hAnsi="宋体"/>
          <w:szCs w:val="21"/>
        </w:rPr>
        <w:t>(一) 病例检索功能</w:t>
      </w:r>
    </w:p>
    <w:p w14:paraId="778B7240">
      <w:pPr>
        <w:spacing w:line="400" w:lineRule="exact"/>
        <w:ind w:firstLine="420" w:firstLineChars="200"/>
        <w:rPr>
          <w:rFonts w:hint="eastAsia" w:ascii="宋体" w:hAnsi="宋体"/>
          <w:szCs w:val="21"/>
        </w:rPr>
      </w:pPr>
      <w:r>
        <w:rPr>
          <w:rFonts w:hint="eastAsia" w:ascii="宋体" w:hAnsi="宋体"/>
          <w:szCs w:val="21"/>
        </w:rPr>
        <w:t>支持科室名称、患者姓名、住院病案号、三管使用情况、手术、抗菌药物使用、发热情况等多种检索条件，并提供“和”与“或”多种检索逻辑及组合。通过检索到的病例访问患者360视图，可以展示患者的诊断信息、医嘱信息、手术信息、常规检验、微生物检验、体温单、病程记录、转科记录、影像报告、病理报告、患者时序图（包括体征、常规检验、微生物检验、三管使用、手术等与感染密切相关的因素）、住院记录、预警记录、历史报卡等信息。</w:t>
      </w:r>
    </w:p>
    <w:p w14:paraId="3BAAF983">
      <w:pPr>
        <w:spacing w:line="400" w:lineRule="exact"/>
        <w:ind w:firstLine="420" w:firstLineChars="200"/>
        <w:rPr>
          <w:rFonts w:hint="eastAsia" w:ascii="宋体" w:hAnsi="宋体"/>
          <w:szCs w:val="21"/>
        </w:rPr>
      </w:pPr>
      <w:r>
        <w:rPr>
          <w:rFonts w:hint="eastAsia" w:ascii="宋体" w:hAnsi="宋体"/>
          <w:szCs w:val="21"/>
        </w:rPr>
        <w:t>(二) 患者住院360信息</w:t>
      </w:r>
    </w:p>
    <w:p w14:paraId="2932DE99">
      <w:pPr>
        <w:spacing w:line="400" w:lineRule="exact"/>
        <w:ind w:firstLine="420" w:firstLineChars="200"/>
        <w:rPr>
          <w:rFonts w:hint="eastAsia" w:ascii="宋体" w:hAnsi="宋体"/>
          <w:szCs w:val="21"/>
        </w:rPr>
      </w:pPr>
      <w:r>
        <w:rPr>
          <w:rFonts w:hint="eastAsia" w:ascii="宋体" w:hAnsi="宋体"/>
          <w:szCs w:val="21"/>
        </w:rPr>
        <w:t>1)诊断信息：展示患者当次住院的入院诊断、院中诊断、出院诊断等所有诊断信息</w:t>
      </w:r>
    </w:p>
    <w:p w14:paraId="1F925C6A">
      <w:pPr>
        <w:spacing w:line="400" w:lineRule="exact"/>
        <w:ind w:firstLine="420" w:firstLineChars="200"/>
        <w:rPr>
          <w:rFonts w:hint="eastAsia" w:ascii="宋体" w:hAnsi="宋体"/>
          <w:szCs w:val="21"/>
        </w:rPr>
      </w:pPr>
      <w:r>
        <w:rPr>
          <w:rFonts w:hint="eastAsia" w:ascii="宋体" w:hAnsi="宋体"/>
          <w:szCs w:val="21"/>
        </w:rPr>
        <w:t>2)医嘱信息：展示患者当次住院的所有医嘱信息，包括用药医嘱、三管治疗医嘱、检验医嘱等</w:t>
      </w:r>
    </w:p>
    <w:p w14:paraId="4CF01743">
      <w:pPr>
        <w:spacing w:line="400" w:lineRule="exact"/>
        <w:ind w:firstLine="420" w:firstLineChars="200"/>
        <w:rPr>
          <w:rFonts w:hint="eastAsia" w:ascii="宋体" w:hAnsi="宋体"/>
          <w:szCs w:val="21"/>
        </w:rPr>
      </w:pPr>
      <w:r>
        <w:rPr>
          <w:rFonts w:hint="eastAsia" w:ascii="宋体" w:hAnsi="宋体"/>
          <w:szCs w:val="21"/>
        </w:rPr>
        <w:t>3)手术信息：展示患者当次住院所有手术记录，包括手术时间、手术名称、切口类型、愈合等级、麻醉方法等</w:t>
      </w:r>
    </w:p>
    <w:p w14:paraId="31B94D7E">
      <w:pPr>
        <w:spacing w:line="400" w:lineRule="exact"/>
        <w:ind w:firstLine="420" w:firstLineChars="200"/>
        <w:rPr>
          <w:rFonts w:hint="eastAsia" w:ascii="宋体" w:hAnsi="宋体"/>
          <w:szCs w:val="21"/>
        </w:rPr>
      </w:pPr>
      <w:r>
        <w:rPr>
          <w:rFonts w:hint="eastAsia" w:ascii="宋体" w:hAnsi="宋体"/>
          <w:szCs w:val="21"/>
        </w:rPr>
        <w:t>4)常规检验：展示患者当次住院的血常规、尿常规等所有常规检验结果，并标红高亮显示感染相关检查异常值、黄色高亮显示病人检验异常值</w:t>
      </w:r>
    </w:p>
    <w:p w14:paraId="2CDEA0AF">
      <w:pPr>
        <w:spacing w:line="400" w:lineRule="exact"/>
        <w:ind w:firstLine="420" w:firstLineChars="200"/>
        <w:rPr>
          <w:rFonts w:hint="eastAsia" w:ascii="宋体" w:hAnsi="宋体"/>
          <w:szCs w:val="21"/>
        </w:rPr>
      </w:pPr>
      <w:r>
        <w:rPr>
          <w:rFonts w:hint="eastAsia" w:ascii="宋体" w:hAnsi="宋体"/>
          <w:szCs w:val="21"/>
        </w:rPr>
        <w:t>5)微生物检验：展示患者当次住院的微生物送检结果，包括标本、检出病原体、药敏试验结果等</w:t>
      </w:r>
    </w:p>
    <w:p w14:paraId="73C71F1B">
      <w:pPr>
        <w:spacing w:line="400" w:lineRule="exact"/>
        <w:ind w:firstLine="420" w:firstLineChars="200"/>
        <w:rPr>
          <w:rFonts w:hint="eastAsia" w:ascii="宋体" w:hAnsi="宋体"/>
          <w:szCs w:val="21"/>
        </w:rPr>
      </w:pPr>
      <w:r>
        <w:rPr>
          <w:rFonts w:hint="eastAsia" w:ascii="宋体" w:hAnsi="宋体"/>
          <w:szCs w:val="21"/>
        </w:rPr>
        <w:t>6)体温单：展示患者当次住院的所有体温测量计录</w:t>
      </w:r>
    </w:p>
    <w:p w14:paraId="39013E3A">
      <w:pPr>
        <w:spacing w:line="400" w:lineRule="exact"/>
        <w:ind w:firstLine="420" w:firstLineChars="200"/>
        <w:rPr>
          <w:rFonts w:hint="eastAsia" w:ascii="宋体" w:hAnsi="宋体"/>
          <w:szCs w:val="21"/>
        </w:rPr>
      </w:pPr>
      <w:r>
        <w:rPr>
          <w:rFonts w:hint="eastAsia" w:ascii="宋体" w:hAnsi="宋体"/>
          <w:szCs w:val="21"/>
        </w:rPr>
        <w:t>7)病程记录：展示患者当次住院的所有病程记录信息，并标红高亮显示体征、症状、检验、微生物名称、抗菌药物名称、诊断等与感染相关的关键字</w:t>
      </w:r>
    </w:p>
    <w:p w14:paraId="7FBD14CD">
      <w:pPr>
        <w:spacing w:line="400" w:lineRule="exact"/>
        <w:ind w:firstLine="420" w:firstLineChars="200"/>
        <w:rPr>
          <w:rFonts w:hint="eastAsia" w:ascii="宋体" w:hAnsi="宋体"/>
          <w:szCs w:val="21"/>
        </w:rPr>
      </w:pPr>
      <w:r>
        <w:rPr>
          <w:rFonts w:hint="eastAsia" w:ascii="宋体" w:hAnsi="宋体"/>
          <w:szCs w:val="21"/>
        </w:rPr>
        <w:t>11、职业暴露</w:t>
      </w:r>
    </w:p>
    <w:p w14:paraId="13D40598">
      <w:pPr>
        <w:spacing w:line="400" w:lineRule="exact"/>
        <w:ind w:firstLine="420" w:firstLineChars="200"/>
        <w:rPr>
          <w:rFonts w:hint="eastAsia" w:ascii="宋体" w:hAnsi="宋体"/>
          <w:szCs w:val="21"/>
        </w:rPr>
      </w:pPr>
      <w:r>
        <w:rPr>
          <w:rFonts w:hint="eastAsia" w:ascii="宋体" w:hAnsi="宋体"/>
          <w:szCs w:val="21"/>
        </w:rPr>
        <w:t>对医务人员职业暴露事件进行监测：</w:t>
      </w:r>
    </w:p>
    <w:p w14:paraId="47E75B48">
      <w:pPr>
        <w:spacing w:line="400" w:lineRule="exact"/>
        <w:ind w:firstLine="420" w:firstLineChars="200"/>
        <w:rPr>
          <w:rFonts w:hint="eastAsia" w:ascii="宋体" w:hAnsi="宋体"/>
          <w:szCs w:val="21"/>
        </w:rPr>
      </w:pPr>
      <w:r>
        <w:rPr>
          <w:rFonts w:hint="eastAsia" w:ascii="宋体" w:hAnsi="宋体"/>
          <w:szCs w:val="21"/>
        </w:rPr>
        <w:t>1)登记信息包括：暴露者基本情况、本次暴露方式、发生经过描述、暴露后紧急处理、血源患者评估、暴露者免疫水平评估、暴露后的预防性措施、暴露后追踪检测、是否感染血源性病原体的结论</w:t>
      </w:r>
    </w:p>
    <w:p w14:paraId="11A5A270">
      <w:pPr>
        <w:spacing w:line="400" w:lineRule="exact"/>
        <w:ind w:firstLine="420" w:firstLineChars="200"/>
        <w:rPr>
          <w:rFonts w:hint="eastAsia" w:ascii="宋体" w:hAnsi="宋体"/>
          <w:szCs w:val="21"/>
        </w:rPr>
      </w:pPr>
      <w:r>
        <w:rPr>
          <w:rFonts w:hint="eastAsia" w:ascii="宋体" w:hAnsi="宋体"/>
          <w:szCs w:val="21"/>
        </w:rPr>
        <w:t>2)提供暴露后跟踪计划管理、传染病项目复检提醒功能</w:t>
      </w:r>
    </w:p>
    <w:p w14:paraId="1A556EE4">
      <w:pPr>
        <w:spacing w:line="400" w:lineRule="exact"/>
        <w:ind w:firstLine="420" w:firstLineChars="200"/>
        <w:rPr>
          <w:rFonts w:hint="eastAsia" w:ascii="宋体" w:hAnsi="宋体"/>
          <w:szCs w:val="21"/>
        </w:rPr>
      </w:pPr>
      <w:r>
        <w:rPr>
          <w:rFonts w:hint="eastAsia" w:ascii="宋体" w:hAnsi="宋体"/>
          <w:szCs w:val="21"/>
        </w:rPr>
        <w:t>3)提供职业暴露事件导出功能</w:t>
      </w:r>
    </w:p>
    <w:p w14:paraId="5A8BF040">
      <w:pPr>
        <w:spacing w:line="400" w:lineRule="exact"/>
        <w:ind w:firstLine="420" w:firstLineChars="200"/>
        <w:rPr>
          <w:rFonts w:hint="eastAsia" w:ascii="宋体" w:hAnsi="宋体"/>
          <w:szCs w:val="21"/>
        </w:rPr>
      </w:pPr>
      <w:r>
        <w:rPr>
          <w:rFonts w:hint="eastAsia" w:ascii="宋体" w:hAnsi="宋体"/>
          <w:szCs w:val="21"/>
        </w:rPr>
        <w:t>4)提供职业暴露统计分析</w:t>
      </w:r>
    </w:p>
    <w:p w14:paraId="458CB5C5">
      <w:pPr>
        <w:spacing w:line="400" w:lineRule="exact"/>
        <w:ind w:firstLine="420" w:firstLineChars="200"/>
        <w:rPr>
          <w:rFonts w:hint="eastAsia" w:ascii="宋体" w:hAnsi="宋体"/>
          <w:szCs w:val="21"/>
        </w:rPr>
      </w:pPr>
      <w:r>
        <w:rPr>
          <w:rFonts w:hint="eastAsia" w:ascii="宋体" w:hAnsi="宋体"/>
          <w:szCs w:val="21"/>
        </w:rPr>
        <w:t>12、环境卫生</w:t>
      </w:r>
    </w:p>
    <w:p w14:paraId="42261D55">
      <w:pPr>
        <w:spacing w:line="400" w:lineRule="exact"/>
        <w:ind w:firstLine="420" w:firstLineChars="200"/>
        <w:rPr>
          <w:rFonts w:hint="eastAsia" w:ascii="宋体" w:hAnsi="宋体"/>
          <w:szCs w:val="21"/>
        </w:rPr>
      </w:pPr>
      <w:r>
        <w:rPr>
          <w:rFonts w:hint="eastAsia" w:ascii="宋体" w:hAnsi="宋体"/>
          <w:szCs w:val="21"/>
        </w:rPr>
        <w:t>1)支持空气消毒效果监测、物体表面消毒效果监测、手消毒效果监测、洁净医疗用房主要性能监测、医疗器械消毒灭菌效果监测、消毒剂监测、紫外线灯辐照强度监测、透析用水质量监测、食品卫生监测</w:t>
      </w:r>
    </w:p>
    <w:p w14:paraId="4B402CC1">
      <w:pPr>
        <w:spacing w:line="400" w:lineRule="exact"/>
        <w:ind w:firstLine="420" w:firstLineChars="200"/>
        <w:rPr>
          <w:rFonts w:hint="eastAsia" w:ascii="宋体" w:hAnsi="宋体"/>
          <w:szCs w:val="21"/>
        </w:rPr>
      </w:pPr>
      <w:r>
        <w:rPr>
          <w:rFonts w:hint="eastAsia" w:ascii="宋体" w:hAnsi="宋体"/>
          <w:szCs w:val="21"/>
        </w:rPr>
        <w:t>2)自动判断监测结果是否合格</w:t>
      </w:r>
    </w:p>
    <w:p w14:paraId="7801D103">
      <w:pPr>
        <w:spacing w:line="400" w:lineRule="exact"/>
        <w:ind w:firstLine="420" w:firstLineChars="200"/>
        <w:rPr>
          <w:rFonts w:hint="eastAsia" w:ascii="宋体" w:hAnsi="宋体"/>
          <w:szCs w:val="21"/>
        </w:rPr>
      </w:pPr>
      <w:r>
        <w:rPr>
          <w:rFonts w:hint="eastAsia" w:ascii="宋体" w:hAnsi="宋体"/>
          <w:szCs w:val="21"/>
        </w:rPr>
        <w:t>3)提供标准监测报告的导出与打印功能</w:t>
      </w:r>
    </w:p>
    <w:p w14:paraId="78BC4551">
      <w:pPr>
        <w:spacing w:line="400" w:lineRule="exact"/>
        <w:ind w:firstLine="420" w:firstLineChars="200"/>
        <w:rPr>
          <w:rFonts w:hint="eastAsia" w:ascii="宋体" w:hAnsi="宋体"/>
          <w:szCs w:val="21"/>
        </w:rPr>
      </w:pPr>
      <w:r>
        <w:rPr>
          <w:rFonts w:hint="eastAsia" w:ascii="宋体" w:hAnsi="宋体"/>
          <w:szCs w:val="21"/>
        </w:rPr>
        <w:t>13、手卫生</w:t>
      </w:r>
    </w:p>
    <w:p w14:paraId="69BC1D8C">
      <w:pPr>
        <w:spacing w:line="400" w:lineRule="exact"/>
        <w:ind w:firstLine="420" w:firstLineChars="200"/>
        <w:rPr>
          <w:rFonts w:hint="eastAsia" w:ascii="宋体" w:hAnsi="宋体"/>
          <w:szCs w:val="21"/>
        </w:rPr>
      </w:pPr>
      <w:r>
        <w:rPr>
          <w:rFonts w:hint="eastAsia" w:ascii="宋体" w:hAnsi="宋体"/>
          <w:szCs w:val="21"/>
        </w:rPr>
        <w:t>1)支持手卫生依从性、正确性调查结果在线登记</w:t>
      </w:r>
    </w:p>
    <w:p w14:paraId="70C67E11">
      <w:pPr>
        <w:spacing w:line="400" w:lineRule="exact"/>
        <w:ind w:firstLine="420" w:firstLineChars="200"/>
        <w:rPr>
          <w:rFonts w:hint="eastAsia" w:ascii="宋体" w:hAnsi="宋体"/>
          <w:szCs w:val="21"/>
        </w:rPr>
      </w:pPr>
      <w:r>
        <w:rPr>
          <w:rFonts w:hint="eastAsia" w:ascii="宋体" w:hAnsi="宋体"/>
          <w:szCs w:val="21"/>
        </w:rPr>
        <w:t>支持调查对象的职业分类</w:t>
      </w:r>
    </w:p>
    <w:p w14:paraId="09DF35D6">
      <w:pPr>
        <w:spacing w:line="400" w:lineRule="exact"/>
        <w:ind w:firstLine="420" w:firstLineChars="200"/>
        <w:rPr>
          <w:rFonts w:hint="eastAsia" w:ascii="宋体" w:hAnsi="宋体"/>
          <w:szCs w:val="21"/>
        </w:rPr>
      </w:pPr>
      <w:r>
        <w:rPr>
          <w:rFonts w:hint="eastAsia" w:ascii="宋体" w:hAnsi="宋体"/>
          <w:szCs w:val="21"/>
        </w:rPr>
        <w:t>根据手卫生措施包含的详细步骤，自动判断是否正确</w:t>
      </w:r>
    </w:p>
    <w:p w14:paraId="5320F655">
      <w:pPr>
        <w:spacing w:line="400" w:lineRule="exact"/>
        <w:ind w:firstLine="420" w:firstLineChars="200"/>
        <w:rPr>
          <w:rFonts w:hint="eastAsia" w:ascii="宋体" w:hAnsi="宋体"/>
          <w:szCs w:val="21"/>
        </w:rPr>
      </w:pPr>
      <w:r>
        <w:rPr>
          <w:rFonts w:hint="eastAsia" w:ascii="宋体" w:hAnsi="宋体"/>
          <w:szCs w:val="21"/>
        </w:rPr>
        <w:t>支持手卫生知识抽查、考核结果的录入</w:t>
      </w:r>
    </w:p>
    <w:p w14:paraId="3296FF6F">
      <w:pPr>
        <w:spacing w:line="400" w:lineRule="exact"/>
        <w:ind w:firstLine="420" w:firstLineChars="200"/>
        <w:rPr>
          <w:rFonts w:hint="eastAsia" w:ascii="宋体" w:hAnsi="宋体"/>
          <w:szCs w:val="21"/>
        </w:rPr>
      </w:pPr>
      <w:r>
        <w:rPr>
          <w:rFonts w:hint="eastAsia" w:ascii="宋体" w:hAnsi="宋体"/>
          <w:szCs w:val="21"/>
        </w:rPr>
        <w:t>2)统计分析</w:t>
      </w:r>
    </w:p>
    <w:p w14:paraId="65D21605">
      <w:pPr>
        <w:spacing w:line="400" w:lineRule="exact"/>
        <w:ind w:firstLine="420" w:firstLineChars="200"/>
        <w:rPr>
          <w:rFonts w:hint="eastAsia" w:ascii="宋体" w:hAnsi="宋体"/>
          <w:szCs w:val="21"/>
        </w:rPr>
      </w:pPr>
      <w:r>
        <w:rPr>
          <w:rFonts w:hint="eastAsia" w:ascii="宋体" w:hAnsi="宋体"/>
          <w:szCs w:val="21"/>
        </w:rPr>
        <w:t>提供手卫生依从率统计分析</w:t>
      </w:r>
    </w:p>
    <w:p w14:paraId="47A3AFB5">
      <w:pPr>
        <w:spacing w:line="400" w:lineRule="exact"/>
        <w:ind w:firstLine="420" w:firstLineChars="200"/>
        <w:rPr>
          <w:rFonts w:hint="eastAsia" w:ascii="宋体" w:hAnsi="宋体"/>
          <w:szCs w:val="21"/>
        </w:rPr>
      </w:pPr>
      <w:r>
        <w:rPr>
          <w:rFonts w:hint="eastAsia" w:ascii="宋体" w:hAnsi="宋体"/>
          <w:szCs w:val="21"/>
        </w:rPr>
        <w:t>提供手卫生正确率统计分析</w:t>
      </w:r>
    </w:p>
    <w:p w14:paraId="6D989030">
      <w:pPr>
        <w:spacing w:line="400" w:lineRule="exact"/>
        <w:ind w:firstLine="420" w:firstLineChars="200"/>
        <w:rPr>
          <w:rFonts w:hint="eastAsia" w:ascii="宋体" w:hAnsi="宋体"/>
          <w:szCs w:val="21"/>
        </w:rPr>
      </w:pPr>
      <w:r>
        <w:rPr>
          <w:rFonts w:hint="eastAsia" w:ascii="宋体" w:hAnsi="宋体"/>
          <w:szCs w:val="21"/>
        </w:rPr>
        <w:t>提供手卫生时机率统计分析，可以从科室、调查对象职业等多个维度分析各个时机的依从率</w:t>
      </w:r>
    </w:p>
    <w:p w14:paraId="10E06EB0">
      <w:pPr>
        <w:spacing w:line="400" w:lineRule="exact"/>
        <w:ind w:firstLine="420" w:firstLineChars="200"/>
        <w:rPr>
          <w:rFonts w:hint="eastAsia" w:ascii="宋体" w:hAnsi="宋体"/>
          <w:szCs w:val="21"/>
        </w:rPr>
      </w:pPr>
      <w:r>
        <w:rPr>
          <w:rFonts w:hint="eastAsia" w:ascii="宋体" w:hAnsi="宋体"/>
          <w:szCs w:val="21"/>
        </w:rPr>
        <w:t>14、PDCA</w:t>
      </w:r>
    </w:p>
    <w:p w14:paraId="0D03031F">
      <w:pPr>
        <w:spacing w:line="400" w:lineRule="exact"/>
        <w:ind w:firstLine="420" w:firstLineChars="200"/>
        <w:rPr>
          <w:rFonts w:hint="eastAsia" w:ascii="宋体" w:hAnsi="宋体"/>
          <w:szCs w:val="21"/>
        </w:rPr>
      </w:pPr>
      <w:r>
        <w:rPr>
          <w:rFonts w:hint="eastAsia" w:ascii="宋体" w:hAnsi="宋体"/>
          <w:szCs w:val="21"/>
        </w:rPr>
        <w:t>1)通用督导全流程管理：系统支持院感科针对检查中发现的问题，发起线上督导流程，下发督导卡给发现问题的科室，科室依据督导意见分时间登记整改措施、整改计划，最后自评结论后提交院感科。院感科可对科室整改进行退货或评价直至合格。完成该流程后院感科可过段时间再次督查，合格给予最终评价。不合格发起新的督导流程。支持预览、打印督导评价卡；支持按科室、日期查询已发起的督导评价；支持各流程用户的权限配置；支持工作流内容配置。</w:t>
      </w:r>
    </w:p>
    <w:p w14:paraId="479B840B">
      <w:pPr>
        <w:spacing w:line="400" w:lineRule="exact"/>
        <w:ind w:firstLine="420" w:firstLineChars="200"/>
        <w:rPr>
          <w:rFonts w:hint="eastAsia" w:ascii="宋体" w:hAnsi="宋体"/>
          <w:szCs w:val="21"/>
        </w:rPr>
      </w:pPr>
      <w:r>
        <w:rPr>
          <w:rFonts w:hint="eastAsia" w:ascii="宋体" w:hAnsi="宋体"/>
          <w:szCs w:val="21"/>
        </w:rPr>
        <w:t>2)质控检查表：系统支持多种科室评价模型：临床科室、手术室、内镜中心、供应室、静配中心、ICU、检验科、研究室、病理科、功能检查科、放射科、介入室、药房、门诊、急诊、口腔科、医疗废物暂存间等科室。评价模型包含多类评价内容：组织管理、质控培训、感染病例监测、标准预防职业防护、手卫生、无菌操作、重点环节感染防控、其他导管防控、手术重点环节防控、感染性手术管理、多重耐药菌管理、消毒无菌物品、清洁消毒、病区环境管理、卫生学监测、医疗废物、污物间、洗涤间等多种类评价标准。自动对评价内容计算评分；支持按科室、日期以查询、导出绩效督导表。</w:t>
      </w:r>
    </w:p>
    <w:p w14:paraId="34257449">
      <w:pPr>
        <w:spacing w:line="400" w:lineRule="exact"/>
        <w:ind w:firstLine="420" w:firstLineChars="200"/>
        <w:rPr>
          <w:rFonts w:hint="eastAsia" w:ascii="宋体" w:hAnsi="宋体"/>
          <w:szCs w:val="21"/>
        </w:rPr>
      </w:pPr>
      <w:r>
        <w:rPr>
          <w:rFonts w:hint="eastAsia" w:ascii="宋体" w:hAnsi="宋体"/>
          <w:szCs w:val="21"/>
        </w:rPr>
        <w:t>15、消息中心</w:t>
      </w:r>
    </w:p>
    <w:p w14:paraId="1BEAE9A4">
      <w:pPr>
        <w:spacing w:line="400" w:lineRule="exact"/>
        <w:ind w:firstLine="420" w:firstLineChars="200"/>
        <w:rPr>
          <w:rFonts w:hint="eastAsia" w:ascii="宋体" w:hAnsi="宋体"/>
          <w:szCs w:val="21"/>
        </w:rPr>
      </w:pPr>
      <w:r>
        <w:rPr>
          <w:rFonts w:hint="eastAsia" w:ascii="宋体" w:hAnsi="宋体"/>
          <w:szCs w:val="21"/>
        </w:rPr>
        <w:t>院感科和临床医生通过消息中心进行交流互动，有效支持预警病例的干预操作。</w:t>
      </w:r>
    </w:p>
    <w:p w14:paraId="1E11F93E">
      <w:pPr>
        <w:spacing w:line="400" w:lineRule="exact"/>
        <w:ind w:firstLine="420" w:firstLineChars="200"/>
        <w:rPr>
          <w:rFonts w:hint="eastAsia" w:ascii="宋体" w:hAnsi="宋体"/>
          <w:szCs w:val="21"/>
        </w:rPr>
      </w:pPr>
      <w:r>
        <w:rPr>
          <w:rFonts w:hint="eastAsia" w:ascii="宋体" w:hAnsi="宋体"/>
          <w:szCs w:val="21"/>
        </w:rPr>
        <w:t>1)通过浏览器登录系统后，院感科与临床医生可以通过互相发送消息进行交流，并且可以查阅对方是否已经阅读自己发送的消息。在编辑消息时，系统会提供感染病例等可选信息，有效帮助双方的精准干预。</w:t>
      </w:r>
    </w:p>
    <w:p w14:paraId="32938FFF">
      <w:pPr>
        <w:spacing w:line="400" w:lineRule="exact"/>
        <w:ind w:firstLine="420" w:firstLineChars="200"/>
        <w:rPr>
          <w:rFonts w:hint="eastAsia" w:ascii="宋体" w:hAnsi="宋体"/>
          <w:szCs w:val="21"/>
        </w:rPr>
      </w:pPr>
      <w:r>
        <w:rPr>
          <w:rFonts w:hint="eastAsia" w:ascii="宋体" w:hAnsi="宋体"/>
          <w:szCs w:val="21"/>
        </w:rPr>
        <w:t>2)安装电脑客户端（类似QQ客户端），用户可以设置开机自动登录功能。系统会在电脑右下角以弹出窗口的形式，展示每个用户需要查阅的预警或通知信息。</w:t>
      </w:r>
    </w:p>
    <w:p w14:paraId="6208069F">
      <w:pPr>
        <w:spacing w:line="400" w:lineRule="exact"/>
        <w:ind w:firstLine="420" w:firstLineChars="200"/>
        <w:rPr>
          <w:rFonts w:hint="eastAsia" w:ascii="宋体" w:hAnsi="宋体"/>
          <w:szCs w:val="21"/>
        </w:rPr>
      </w:pPr>
      <w:r>
        <w:rPr>
          <w:rFonts w:hint="eastAsia" w:ascii="宋体" w:hAnsi="宋体"/>
          <w:szCs w:val="21"/>
        </w:rPr>
        <w:t>3)院感科通过短信平台，向每位临床医生或相关用户以手机短信的方式发送感染预警信息</w:t>
      </w:r>
    </w:p>
    <w:p w14:paraId="68F2EB8F">
      <w:pPr>
        <w:spacing w:line="400" w:lineRule="exact"/>
        <w:ind w:firstLine="420" w:firstLineChars="200"/>
        <w:rPr>
          <w:rFonts w:hint="eastAsia" w:ascii="宋体" w:hAnsi="宋体"/>
          <w:szCs w:val="21"/>
        </w:rPr>
      </w:pPr>
      <w:r>
        <w:rPr>
          <w:rFonts w:hint="eastAsia" w:ascii="宋体" w:hAnsi="宋体"/>
          <w:szCs w:val="21"/>
        </w:rPr>
        <w:t>16、知识库</w:t>
      </w:r>
    </w:p>
    <w:p w14:paraId="4A43B912">
      <w:pPr>
        <w:spacing w:line="400" w:lineRule="exact"/>
        <w:ind w:firstLine="420" w:firstLineChars="200"/>
        <w:rPr>
          <w:rFonts w:hint="eastAsia" w:ascii="宋体" w:hAnsi="宋体"/>
          <w:szCs w:val="21"/>
        </w:rPr>
      </w:pPr>
      <w:r>
        <w:rPr>
          <w:rFonts w:hint="eastAsia" w:ascii="宋体" w:hAnsi="宋体"/>
          <w:szCs w:val="21"/>
        </w:rPr>
        <w:t>1)院感科或相关医生可以将院感政策文件、培训文档、教学视频等资料上传至知识库</w:t>
      </w:r>
    </w:p>
    <w:p w14:paraId="231FC580">
      <w:pPr>
        <w:spacing w:line="400" w:lineRule="exact"/>
        <w:ind w:firstLine="420" w:firstLineChars="200"/>
        <w:rPr>
          <w:rFonts w:hint="eastAsia" w:ascii="宋体" w:hAnsi="宋体"/>
          <w:szCs w:val="21"/>
        </w:rPr>
      </w:pPr>
      <w:r>
        <w:rPr>
          <w:rFonts w:hint="eastAsia" w:ascii="宋体" w:hAnsi="宋体"/>
          <w:szCs w:val="21"/>
        </w:rPr>
        <w:t>2)临床医生等可以从知识库中下载院感政策文件、培训文档、教学视频等资料</w:t>
      </w:r>
    </w:p>
    <w:p w14:paraId="14E890CD">
      <w:pPr>
        <w:spacing w:line="400" w:lineRule="exact"/>
        <w:ind w:firstLine="420" w:firstLineChars="200"/>
        <w:rPr>
          <w:rFonts w:hint="eastAsia" w:ascii="宋体" w:hAnsi="宋体"/>
          <w:szCs w:val="21"/>
        </w:rPr>
      </w:pPr>
      <w:r>
        <w:rPr>
          <w:rFonts w:hint="eastAsia" w:ascii="宋体" w:hAnsi="宋体"/>
          <w:szCs w:val="21"/>
        </w:rPr>
        <w:t>17、统计分析</w:t>
      </w:r>
    </w:p>
    <w:p w14:paraId="3907BF05">
      <w:pPr>
        <w:spacing w:line="400" w:lineRule="exact"/>
        <w:ind w:firstLine="420" w:firstLineChars="200"/>
        <w:rPr>
          <w:rFonts w:hint="eastAsia" w:ascii="宋体" w:hAnsi="宋体"/>
          <w:szCs w:val="21"/>
        </w:rPr>
      </w:pPr>
      <w:r>
        <w:rPr>
          <w:rFonts w:hint="eastAsia" w:ascii="宋体" w:hAnsi="宋体"/>
          <w:szCs w:val="21"/>
        </w:rPr>
        <w:t>1)提供《医院感染管理医疗质量控制指标（2024年版）》12项指标的统计分析功能。</w:t>
      </w:r>
    </w:p>
    <w:p w14:paraId="793805A5">
      <w:pPr>
        <w:spacing w:line="400" w:lineRule="exact"/>
        <w:ind w:firstLine="420" w:firstLineChars="200"/>
        <w:rPr>
          <w:rFonts w:hint="eastAsia" w:ascii="宋体" w:hAnsi="宋体"/>
          <w:szCs w:val="21"/>
        </w:rPr>
      </w:pPr>
      <w:r>
        <w:rPr>
          <w:rFonts w:hint="eastAsia" w:ascii="宋体" w:hAnsi="宋体"/>
          <w:szCs w:val="21"/>
        </w:rPr>
        <w:t>2)提供《医院感染监测标准WST312-2023》所要求的指标统计分析功能</w:t>
      </w:r>
    </w:p>
    <w:p w14:paraId="753D7B2E">
      <w:pPr>
        <w:spacing w:line="400" w:lineRule="exact"/>
        <w:ind w:firstLine="420" w:firstLineChars="200"/>
        <w:rPr>
          <w:rFonts w:hint="eastAsia" w:ascii="宋体" w:hAnsi="宋体"/>
          <w:szCs w:val="21"/>
        </w:rPr>
      </w:pPr>
      <w:r>
        <w:rPr>
          <w:rFonts w:hint="eastAsia" w:ascii="宋体" w:hAnsi="宋体"/>
          <w:szCs w:val="21"/>
        </w:rPr>
        <w:t>3)提供《医院感染监测基本数据集及质量控制指标集实施指南（2021版）》中64项指标的统计分析功能，包括但不限于医院感染发病率、医院感染现患率、医院感染部位分布、预防/治疗使用抗菌药物构成比、三管相关感染发病率、I类切口手术抗菌药物预防使用率等</w:t>
      </w:r>
    </w:p>
    <w:p w14:paraId="52AB97CF">
      <w:pPr>
        <w:spacing w:line="400" w:lineRule="exact"/>
        <w:ind w:firstLine="420" w:firstLineChars="200"/>
        <w:rPr>
          <w:rFonts w:hint="eastAsia" w:ascii="宋体" w:hAnsi="宋体"/>
          <w:szCs w:val="21"/>
        </w:rPr>
      </w:pPr>
      <w:r>
        <w:rPr>
          <w:rFonts w:hint="eastAsia" w:ascii="宋体" w:hAnsi="宋体"/>
          <w:szCs w:val="21"/>
        </w:rPr>
        <w:t>18、系统管理</w:t>
      </w:r>
    </w:p>
    <w:p w14:paraId="1BEBC308">
      <w:pPr>
        <w:spacing w:line="400" w:lineRule="exact"/>
        <w:ind w:firstLine="420" w:firstLineChars="200"/>
        <w:rPr>
          <w:rFonts w:hint="eastAsia" w:ascii="宋体" w:hAnsi="宋体"/>
          <w:szCs w:val="21"/>
        </w:rPr>
      </w:pPr>
      <w:r>
        <w:rPr>
          <w:rFonts w:hint="eastAsia" w:ascii="宋体" w:hAnsi="宋体"/>
          <w:szCs w:val="21"/>
        </w:rPr>
        <w:t>1)科室管理</w:t>
      </w:r>
    </w:p>
    <w:p w14:paraId="3EA5D3C9">
      <w:pPr>
        <w:spacing w:line="400" w:lineRule="exact"/>
        <w:ind w:firstLine="420" w:firstLineChars="200"/>
        <w:rPr>
          <w:rFonts w:hint="eastAsia" w:ascii="宋体" w:hAnsi="宋体"/>
          <w:szCs w:val="21"/>
        </w:rPr>
      </w:pPr>
      <w:r>
        <w:rPr>
          <w:rFonts w:hint="eastAsia" w:ascii="宋体" w:hAnsi="宋体"/>
          <w:szCs w:val="21"/>
        </w:rPr>
        <w:t>2)用户管理：提供用户名、用户登录ID、登录密码等管理功能</w:t>
      </w:r>
    </w:p>
    <w:p w14:paraId="7ABAA39A">
      <w:pPr>
        <w:spacing w:line="400" w:lineRule="exact"/>
        <w:ind w:firstLine="420" w:firstLineChars="200"/>
        <w:rPr>
          <w:rFonts w:hint="eastAsia" w:ascii="宋体" w:hAnsi="宋体"/>
          <w:szCs w:val="21"/>
        </w:rPr>
      </w:pPr>
      <w:r>
        <w:rPr>
          <w:rFonts w:hint="eastAsia" w:ascii="宋体" w:hAnsi="宋体"/>
          <w:szCs w:val="21"/>
        </w:rPr>
        <w:t>3)角色管理：设置角色为权限的集合</w:t>
      </w:r>
    </w:p>
    <w:p w14:paraId="65234620">
      <w:pPr>
        <w:spacing w:line="400" w:lineRule="exact"/>
        <w:ind w:firstLine="420" w:firstLineChars="200"/>
        <w:rPr>
          <w:rFonts w:hint="eastAsia" w:ascii="宋体" w:hAnsi="宋体"/>
          <w:szCs w:val="21"/>
        </w:rPr>
      </w:pPr>
      <w:r>
        <w:rPr>
          <w:rFonts w:hint="eastAsia" w:ascii="宋体" w:hAnsi="宋体"/>
          <w:szCs w:val="21"/>
        </w:rPr>
        <w:t>4)权限管理：设置功能、数据的访问权限</w:t>
      </w:r>
    </w:p>
    <w:p w14:paraId="15462B25">
      <w:pPr>
        <w:spacing w:line="400" w:lineRule="exact"/>
        <w:ind w:firstLine="420" w:firstLineChars="200"/>
        <w:rPr>
          <w:rFonts w:hint="eastAsia" w:ascii="宋体" w:hAnsi="宋体"/>
          <w:szCs w:val="21"/>
        </w:rPr>
      </w:pPr>
      <w:r>
        <w:rPr>
          <w:rFonts w:hint="eastAsia" w:ascii="宋体" w:hAnsi="宋体"/>
          <w:szCs w:val="21"/>
        </w:rPr>
        <w:t>19、数据上报功能</w:t>
      </w:r>
    </w:p>
    <w:p w14:paraId="3FF1E509">
      <w:pPr>
        <w:spacing w:line="400" w:lineRule="exact"/>
        <w:ind w:firstLine="420" w:firstLineChars="200"/>
        <w:rPr>
          <w:rFonts w:hint="eastAsia" w:ascii="宋体" w:hAnsi="宋体"/>
          <w:szCs w:val="21"/>
        </w:rPr>
      </w:pPr>
      <w:r>
        <w:rPr>
          <w:rFonts w:hint="eastAsia" w:ascii="宋体" w:hAnsi="宋体"/>
          <w:szCs w:val="21"/>
        </w:rPr>
        <w:t>1)支持省级院感质控中心的数据上报</w:t>
      </w:r>
    </w:p>
    <w:p w14:paraId="3DEC65C2">
      <w:pPr>
        <w:spacing w:line="400" w:lineRule="exact"/>
        <w:ind w:firstLine="420" w:firstLineChars="200"/>
        <w:rPr>
          <w:rFonts w:hint="eastAsia" w:ascii="宋体" w:hAnsi="宋体"/>
          <w:szCs w:val="21"/>
        </w:rPr>
      </w:pPr>
      <w:r>
        <w:rPr>
          <w:rFonts w:hint="eastAsia" w:ascii="宋体" w:hAnsi="宋体"/>
          <w:szCs w:val="21"/>
        </w:rPr>
        <w:t>2)支持国家病原学送检率数据上报</w:t>
      </w:r>
    </w:p>
    <w:p w14:paraId="31089500">
      <w:pPr>
        <w:spacing w:line="400" w:lineRule="exact"/>
        <w:ind w:firstLine="420" w:firstLineChars="200"/>
        <w:rPr>
          <w:rFonts w:hint="eastAsia" w:ascii="宋体" w:hAnsi="宋体"/>
          <w:szCs w:val="21"/>
        </w:rPr>
      </w:pPr>
      <w:r>
        <w:rPr>
          <w:rFonts w:hint="eastAsia" w:ascii="宋体" w:hAnsi="宋体"/>
          <w:szCs w:val="21"/>
        </w:rPr>
        <w:t>3)支持全国医疗机构感染监测网数据上报</w:t>
      </w:r>
    </w:p>
    <w:p w14:paraId="3148EC74">
      <w:pPr>
        <w:spacing w:line="400" w:lineRule="exact"/>
        <w:ind w:firstLine="420" w:firstLineChars="200"/>
        <w:rPr>
          <w:rFonts w:hint="eastAsia" w:ascii="宋体" w:hAnsi="宋体"/>
          <w:szCs w:val="21"/>
        </w:rPr>
      </w:pPr>
      <w:r>
        <w:rPr>
          <w:rFonts w:hint="eastAsia" w:ascii="宋体" w:hAnsi="宋体"/>
          <w:szCs w:val="21"/>
        </w:rPr>
        <w:t>20、数据采集功能</w:t>
      </w:r>
    </w:p>
    <w:p w14:paraId="55A3F49B">
      <w:pPr>
        <w:spacing w:line="400" w:lineRule="exact"/>
        <w:ind w:firstLine="420" w:firstLineChars="200"/>
        <w:rPr>
          <w:rFonts w:hint="eastAsia" w:ascii="宋体" w:hAnsi="宋体"/>
          <w:szCs w:val="21"/>
        </w:rPr>
      </w:pPr>
      <w:r>
        <w:rPr>
          <w:rFonts w:hint="eastAsia" w:ascii="宋体" w:hAnsi="宋体"/>
          <w:szCs w:val="21"/>
        </w:rPr>
        <w:t>系统自动采集医院的HIS、LIS、EMR、PACS、手麻、物资、病案等系统中的数据，具体采集范围、采集频率以满足前述业务功能为准。</w:t>
      </w:r>
    </w:p>
    <w:p w14:paraId="0DEBCFAE">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数据中心</w:t>
      </w:r>
    </w:p>
    <w:p w14:paraId="2A8AF2DF">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主数据管理系统</w:t>
      </w:r>
    </w:p>
    <w:p w14:paraId="2F941261">
      <w:pPr>
        <w:spacing w:line="400" w:lineRule="exact"/>
        <w:ind w:firstLine="420" w:firstLineChars="200"/>
        <w:rPr>
          <w:rFonts w:hint="eastAsia" w:ascii="宋体" w:hAnsi="宋体"/>
          <w:szCs w:val="21"/>
        </w:rPr>
      </w:pPr>
      <w:r>
        <w:rPr>
          <w:rFonts w:hint="eastAsia" w:ascii="宋体" w:hAnsi="宋体"/>
          <w:szCs w:val="21"/>
        </w:rPr>
        <w:t>要求通过主数据管理定义数据的值域和制定标准，建立院内标准体系为实现互操作提供必要的语义保证，同时要求支持对患者、医护人员、科室、医嘱等基础数据及相关主索引实行统一管理。主要功能要求包括：基础字典管理、业务字典管理、字典映射管理、主数据服务管理。</w:t>
      </w:r>
    </w:p>
    <w:p w14:paraId="5E91E402">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术语管理</w:t>
      </w:r>
    </w:p>
    <w:p w14:paraId="1DE51997">
      <w:pPr>
        <w:spacing w:line="400" w:lineRule="exact"/>
        <w:ind w:firstLine="420" w:firstLineChars="200"/>
        <w:rPr>
          <w:rFonts w:hint="eastAsia" w:ascii="宋体" w:hAnsi="宋体"/>
          <w:szCs w:val="21"/>
        </w:rPr>
      </w:pPr>
      <w:r>
        <w:rPr>
          <w:rFonts w:hint="eastAsia" w:ascii="宋体" w:hAnsi="宋体"/>
          <w:szCs w:val="21"/>
        </w:rPr>
        <w:t>术语的范围包括医疗卫生领域所涉及到的各类专业词汇，是对医疗行业特定术语的名词解释，需要由专业权威人员进行术语的管理。要求除了能进行术语的日常新增、修改、审核发布外，仍需要进行针对使用者的错误反馈机制，保证术语准确性的不断完善。主要功能要求包括：术语规范管理、术语维护管理、术语审核发布管理、术语反馈管理、术语权限管理、术语服务管理。</w:t>
      </w:r>
    </w:p>
    <w:p w14:paraId="791368CE">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数据治理</w:t>
      </w:r>
    </w:p>
    <w:p w14:paraId="78A89474">
      <w:pPr>
        <w:spacing w:line="400" w:lineRule="exact"/>
        <w:ind w:firstLine="420" w:firstLineChars="200"/>
        <w:rPr>
          <w:rFonts w:hint="eastAsia" w:ascii="宋体" w:hAnsi="宋体"/>
          <w:szCs w:val="21"/>
        </w:rPr>
      </w:pPr>
      <w:r>
        <w:rPr>
          <w:rFonts w:hint="eastAsia" w:ascii="宋体" w:hAnsi="宋体"/>
          <w:szCs w:val="21"/>
        </w:rPr>
        <w:t>要求支持对数据中心的数据进行质量检查，包括数据的完整性、数据的一致性、数据的准确性以及数据的及时性等，并提供相应的数据检查结果数据，帮助信息管理人员管理数据中心的数据。主要功能要求包括：数据质量概览、数据源管理、数据标准管理、质量规则管理、质量模型管理、质量方案管理、质量任务管理、质量报告管理。</w:t>
      </w:r>
    </w:p>
    <w:p w14:paraId="76541C73">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集成平台</w:t>
      </w:r>
    </w:p>
    <w:p w14:paraId="13D460CA">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文档注册、查询服务</w:t>
      </w:r>
    </w:p>
    <w:p w14:paraId="5591E658">
      <w:pPr>
        <w:spacing w:line="400" w:lineRule="exact"/>
        <w:ind w:firstLine="420" w:firstLineChars="200"/>
        <w:rPr>
          <w:rFonts w:hint="eastAsia" w:ascii="宋体" w:hAnsi="宋体"/>
          <w:szCs w:val="21"/>
        </w:rPr>
      </w:pPr>
      <w:r>
        <w:rPr>
          <w:rFonts w:hint="eastAsia" w:ascii="宋体" w:hAnsi="宋体"/>
          <w:szCs w:val="21"/>
        </w:rPr>
        <w:t>需要具备以下功能：</w:t>
      </w:r>
    </w:p>
    <w:p w14:paraId="593EAA50">
      <w:pPr>
        <w:spacing w:line="400" w:lineRule="exact"/>
        <w:ind w:firstLine="420" w:firstLineChars="200"/>
        <w:rPr>
          <w:rFonts w:hint="eastAsia" w:ascii="宋体" w:hAnsi="宋体"/>
          <w:szCs w:val="21"/>
        </w:rPr>
      </w:pPr>
      <w:r>
        <w:rPr>
          <w:rFonts w:hint="eastAsia" w:ascii="宋体" w:hAnsi="宋体"/>
          <w:szCs w:val="21"/>
        </w:rPr>
        <w:t>（1）电子病历文档注册服务</w:t>
      </w:r>
    </w:p>
    <w:p w14:paraId="5418B1ED">
      <w:pPr>
        <w:spacing w:line="400" w:lineRule="exact"/>
        <w:ind w:firstLine="420" w:firstLineChars="200"/>
        <w:rPr>
          <w:rFonts w:hint="eastAsia" w:ascii="宋体" w:hAnsi="宋体"/>
          <w:szCs w:val="21"/>
        </w:rPr>
      </w:pPr>
      <w:r>
        <w:rPr>
          <w:rFonts w:hint="eastAsia" w:ascii="宋体" w:hAnsi="宋体"/>
          <w:szCs w:val="21"/>
        </w:rPr>
        <w:t>提供电子病历文档注册服务组件，实现电子病历文档源向集成平台注册病历文档，支持通过文档服务组件对电子病历的数据有效性进行校验，并对文档进行存储。</w:t>
      </w:r>
    </w:p>
    <w:p w14:paraId="526EBC65">
      <w:pPr>
        <w:spacing w:line="400" w:lineRule="exact"/>
        <w:ind w:firstLine="420" w:firstLineChars="200"/>
        <w:rPr>
          <w:rFonts w:hint="eastAsia" w:ascii="宋体" w:hAnsi="宋体"/>
          <w:szCs w:val="21"/>
        </w:rPr>
      </w:pPr>
      <w:r>
        <w:rPr>
          <w:rFonts w:hint="eastAsia" w:ascii="宋体" w:hAnsi="宋体"/>
          <w:szCs w:val="21"/>
        </w:rPr>
        <w:t>（2）电子病历文档检索服务</w:t>
      </w:r>
    </w:p>
    <w:p w14:paraId="7D3E4CB9">
      <w:pPr>
        <w:spacing w:line="400" w:lineRule="exact"/>
        <w:ind w:firstLine="420" w:firstLineChars="200"/>
        <w:rPr>
          <w:rFonts w:hint="eastAsia" w:ascii="宋体" w:hAnsi="宋体"/>
          <w:szCs w:val="21"/>
        </w:rPr>
      </w:pPr>
      <w:r>
        <w:rPr>
          <w:rFonts w:hint="eastAsia" w:ascii="宋体" w:hAnsi="宋体"/>
          <w:szCs w:val="21"/>
        </w:rPr>
        <w:t>提供电子病历文档检索服务组件，实现病历文档的检索功能。用于接收电子病历文档使用者的检索请求，并执行相应检索操作，将查询结果返回给电子病历文档使用者。</w:t>
      </w:r>
    </w:p>
    <w:p w14:paraId="5A1253D6">
      <w:pPr>
        <w:spacing w:line="400" w:lineRule="exact"/>
        <w:ind w:firstLine="420" w:firstLineChars="200"/>
        <w:rPr>
          <w:rFonts w:hint="eastAsia" w:ascii="宋体" w:hAnsi="宋体"/>
          <w:szCs w:val="21"/>
        </w:rPr>
      </w:pPr>
      <w:r>
        <w:rPr>
          <w:rFonts w:hint="eastAsia" w:ascii="宋体" w:hAnsi="宋体"/>
          <w:szCs w:val="21"/>
        </w:rPr>
        <w:t>（3）电子病历文档调阅服务</w:t>
      </w:r>
    </w:p>
    <w:p w14:paraId="0C2711B0">
      <w:pPr>
        <w:spacing w:line="400" w:lineRule="exact"/>
        <w:ind w:firstLine="420" w:firstLineChars="200"/>
        <w:rPr>
          <w:rFonts w:hint="eastAsia" w:ascii="宋体" w:hAnsi="宋体"/>
          <w:szCs w:val="21"/>
        </w:rPr>
      </w:pPr>
      <w:r>
        <w:rPr>
          <w:rFonts w:hint="eastAsia" w:ascii="宋体" w:hAnsi="宋体"/>
          <w:szCs w:val="21"/>
        </w:rPr>
        <w:t>提供电子病历文档调阅服务组件，实现病历文档的调阅功能。调阅流程为：电子病历文档使用者通过电子病历文档检索服务组件，获取电子病历的索引信息，再提交索引信息给电子病历调阅服务组件，调阅服务组件将索引对应的文档内容返回给电子病历文档使用者。</w:t>
      </w:r>
    </w:p>
    <w:p w14:paraId="51DE315A">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个人信息注册、查询服务</w:t>
      </w:r>
    </w:p>
    <w:p w14:paraId="54182E2C">
      <w:pPr>
        <w:spacing w:line="400" w:lineRule="exact"/>
        <w:ind w:firstLine="420" w:firstLineChars="200"/>
        <w:rPr>
          <w:rFonts w:hint="eastAsia" w:ascii="宋体" w:hAnsi="宋体"/>
          <w:szCs w:val="21"/>
        </w:rPr>
      </w:pPr>
      <w:r>
        <w:rPr>
          <w:rFonts w:hint="eastAsia" w:ascii="宋体" w:hAnsi="宋体"/>
          <w:szCs w:val="21"/>
        </w:rPr>
        <w:t>个人身份注册的目的用于对前来医院就诊患者的基本信息进行管理，通过对患者基本信息的统一管理，可以实现对患者信息最完整的保存，可以解决患者信息在各个系统中的不一致问题，以避免重复录入患者基本信息的情况。个人注册服务在医院集成平台上，形成一个患者注册库，安全地保存和维护患者的诊疗标识号、基本信息，并可为医疗就诊及公共卫生相关的业务系统提供人员身份识别功能。需要具备以下功能：</w:t>
      </w:r>
    </w:p>
    <w:p w14:paraId="3EB03E14">
      <w:pPr>
        <w:spacing w:line="400" w:lineRule="exact"/>
        <w:ind w:firstLine="420" w:firstLineChars="200"/>
        <w:rPr>
          <w:rFonts w:hint="eastAsia" w:ascii="宋体" w:hAnsi="宋体"/>
          <w:szCs w:val="21"/>
        </w:rPr>
      </w:pPr>
      <w:r>
        <w:rPr>
          <w:rFonts w:hint="eastAsia" w:ascii="宋体" w:hAnsi="宋体"/>
          <w:szCs w:val="21"/>
        </w:rPr>
        <w:t>（1）患者注册服务具备新增个人注册功能</w:t>
      </w:r>
    </w:p>
    <w:p w14:paraId="0A4A54EB">
      <w:pPr>
        <w:spacing w:line="400" w:lineRule="exact"/>
        <w:ind w:firstLine="420" w:firstLineChars="200"/>
        <w:rPr>
          <w:rFonts w:hint="eastAsia" w:ascii="宋体" w:hAnsi="宋体"/>
          <w:szCs w:val="21"/>
        </w:rPr>
      </w:pPr>
      <w:r>
        <w:rPr>
          <w:rFonts w:hint="eastAsia" w:ascii="宋体" w:hAnsi="宋体"/>
          <w:szCs w:val="21"/>
        </w:rPr>
        <w:t>业务系统进行新病人信息注册时，向集成平台发送新增注册病人信息。集成平台将信息进行原始保存，然后根据传入的病人信息进行索引匹配。再根据匹配规则结果，按照新增主索引或更新主索引两种情况分别处理。</w:t>
      </w:r>
    </w:p>
    <w:p w14:paraId="60A87211">
      <w:pPr>
        <w:spacing w:line="400" w:lineRule="exact"/>
        <w:ind w:firstLine="420" w:firstLineChars="200"/>
        <w:rPr>
          <w:rFonts w:hint="eastAsia" w:ascii="宋体" w:hAnsi="宋体"/>
          <w:szCs w:val="21"/>
        </w:rPr>
      </w:pPr>
      <w:r>
        <w:rPr>
          <w:rFonts w:hint="eastAsia" w:ascii="宋体" w:hAnsi="宋体"/>
          <w:szCs w:val="21"/>
        </w:rPr>
        <w:t>（2）患者注册服务具备个人信息更新功能</w:t>
      </w:r>
    </w:p>
    <w:p w14:paraId="392CE6F2">
      <w:pPr>
        <w:spacing w:line="400" w:lineRule="exact"/>
        <w:ind w:firstLine="420" w:firstLineChars="200"/>
        <w:rPr>
          <w:rFonts w:hint="eastAsia" w:ascii="宋体" w:hAnsi="宋体"/>
          <w:szCs w:val="21"/>
        </w:rPr>
      </w:pPr>
      <w:r>
        <w:rPr>
          <w:rFonts w:hint="eastAsia" w:ascii="宋体" w:hAnsi="宋体"/>
          <w:szCs w:val="21"/>
        </w:rPr>
        <w:t>业务系统病人信息有变动时需要向集成平台发送更新消息，集成平台更新病人的交叉索引信息后，同时根据权重设置考虑是否需要对主索引进行更新。向集成平台提供患者信息注册的业务系统可能拥有不同的信息影响度，因此其提供的信息对主索引的影响有所不同。更新操作需要对新信息对主索引信息中每个字段进行评价，确定该字段的最佳值。同时，如果主索引信息有变更时，要向其它业务系统推送相应的变更信息。</w:t>
      </w:r>
    </w:p>
    <w:p w14:paraId="0AA4938E">
      <w:pPr>
        <w:spacing w:line="400" w:lineRule="exact"/>
        <w:ind w:firstLine="420" w:firstLineChars="200"/>
        <w:rPr>
          <w:rFonts w:hint="eastAsia" w:ascii="宋体" w:hAnsi="宋体"/>
          <w:szCs w:val="21"/>
        </w:rPr>
      </w:pPr>
      <w:r>
        <w:rPr>
          <w:rFonts w:hint="eastAsia" w:ascii="宋体" w:hAnsi="宋体"/>
          <w:szCs w:val="21"/>
        </w:rPr>
        <w:t>（3）患者注册服务具备个人身份失效功能</w:t>
      </w:r>
    </w:p>
    <w:p w14:paraId="66BD668E">
      <w:pPr>
        <w:spacing w:line="400" w:lineRule="exact"/>
        <w:ind w:firstLine="420" w:firstLineChars="200"/>
        <w:rPr>
          <w:rFonts w:hint="eastAsia" w:ascii="宋体" w:hAnsi="宋体"/>
          <w:szCs w:val="21"/>
        </w:rPr>
      </w:pPr>
      <w:r>
        <w:rPr>
          <w:rFonts w:hint="eastAsia" w:ascii="宋体" w:hAnsi="宋体"/>
          <w:szCs w:val="21"/>
        </w:rPr>
        <w:t>在集成平台新增一个病人的索引信息后，业务系统因为某种原因确定该病人信息必须作废，同时向集成平台发送作废请求，集成平台接受请求后作废该病人的交叉索引信息，至于主索引信息根据其他业务系统的情况再做决定是否一起作废。同时，如果主索引信息被作废时，要想其它业务系统推送相应的作废消息。</w:t>
      </w:r>
    </w:p>
    <w:p w14:paraId="0B1449BA">
      <w:pPr>
        <w:spacing w:line="400" w:lineRule="exact"/>
        <w:ind w:firstLine="420" w:firstLineChars="200"/>
        <w:rPr>
          <w:rFonts w:hint="eastAsia" w:ascii="宋体" w:hAnsi="宋体"/>
          <w:szCs w:val="21"/>
        </w:rPr>
      </w:pPr>
      <w:r>
        <w:rPr>
          <w:rFonts w:hint="eastAsia" w:ascii="宋体" w:hAnsi="宋体"/>
          <w:szCs w:val="21"/>
        </w:rPr>
        <w:t xml:space="preserve">（4）患者注册服务具备个人身份合并功能 </w:t>
      </w:r>
    </w:p>
    <w:p w14:paraId="245D2CE1">
      <w:pPr>
        <w:spacing w:line="400" w:lineRule="exact"/>
        <w:ind w:firstLine="420" w:firstLineChars="200"/>
        <w:rPr>
          <w:rFonts w:hint="eastAsia" w:ascii="宋体" w:hAnsi="宋体"/>
          <w:szCs w:val="21"/>
        </w:rPr>
      </w:pPr>
      <w:r>
        <w:rPr>
          <w:rFonts w:hint="eastAsia" w:ascii="宋体" w:hAnsi="宋体"/>
          <w:szCs w:val="21"/>
        </w:rPr>
        <w:t>提供个人身份合并功能，当业务系统向集成平台注册病人信息时，集成平台按照预置的合并规则，对病人信息进行匹配，满足条件则进行合并。</w:t>
      </w:r>
    </w:p>
    <w:p w14:paraId="258F7215">
      <w:pPr>
        <w:spacing w:line="400" w:lineRule="exact"/>
        <w:ind w:firstLine="420" w:firstLineChars="200"/>
        <w:rPr>
          <w:rFonts w:hint="eastAsia" w:ascii="宋体" w:hAnsi="宋体"/>
          <w:szCs w:val="21"/>
        </w:rPr>
      </w:pPr>
      <w:r>
        <w:rPr>
          <w:rFonts w:hint="eastAsia" w:ascii="宋体" w:hAnsi="宋体"/>
          <w:szCs w:val="21"/>
        </w:rPr>
        <w:t>（5）患者注册服务具备个人信息查询功能</w:t>
      </w:r>
    </w:p>
    <w:p w14:paraId="0B1847E7">
      <w:pPr>
        <w:spacing w:line="400" w:lineRule="exact"/>
        <w:ind w:firstLine="420" w:firstLineChars="200"/>
        <w:rPr>
          <w:rFonts w:hint="eastAsia" w:ascii="宋体" w:hAnsi="宋体"/>
          <w:szCs w:val="21"/>
        </w:rPr>
      </w:pPr>
      <w:r>
        <w:rPr>
          <w:rFonts w:hint="eastAsia" w:ascii="宋体" w:hAnsi="宋体"/>
          <w:szCs w:val="21"/>
        </w:rPr>
        <w:t>提供个人信息的多种方式查询，返回符合条件的病人个人信息。主要是以下几种情况：根据卡号、卡类型进行病人信息查询，集成平台返回卡号关联的病人主索引信息，主要是提供给业务系统的病人注册功能模块使用。根据业务系统代码和业务系统本地标识进行精确查询，集成平台返回指定的病人信息，可以根据附加条件决定返回主索引信息或者交叉索引信息。根据姓名、证件号、证件类型、性别等部分信息进行模糊查询，集成平台返回符合条件的病人信息列表，可以根据附加条件决定返回主索引信息或者交叉索引信息。</w:t>
      </w:r>
    </w:p>
    <w:p w14:paraId="3D8B2C34">
      <w:pPr>
        <w:spacing w:line="400" w:lineRule="exact"/>
        <w:ind w:firstLine="420" w:firstLineChars="200"/>
        <w:rPr>
          <w:rFonts w:hint="eastAsia" w:ascii="宋体" w:hAnsi="宋体"/>
          <w:szCs w:val="21"/>
        </w:rPr>
      </w:pPr>
      <w:r>
        <w:rPr>
          <w:rFonts w:hint="eastAsia" w:ascii="宋体" w:hAnsi="宋体"/>
          <w:szCs w:val="21"/>
        </w:rPr>
        <w:t>（6）日志审计功能</w:t>
      </w:r>
    </w:p>
    <w:p w14:paraId="1F2BA514">
      <w:pPr>
        <w:spacing w:line="400" w:lineRule="exact"/>
        <w:ind w:firstLine="420" w:firstLineChars="200"/>
        <w:rPr>
          <w:rFonts w:hint="eastAsia" w:ascii="宋体" w:hAnsi="宋体"/>
          <w:szCs w:val="21"/>
        </w:rPr>
      </w:pPr>
      <w:r>
        <w:rPr>
          <w:rFonts w:hint="eastAsia" w:ascii="宋体" w:hAnsi="宋体"/>
          <w:szCs w:val="21"/>
        </w:rPr>
        <w:t>病人主索引信息表的所有更改都进行日志记录，同时需要向感兴趣的业务系统发送更改消息，需要对消息的发送进行记录。日志分类浏览，需分类的日志类型：索引注册、索引更新、手工拆分、手工合并。对日志显示设定限定条件，包括：日志时间、患者ID。日志导出，导出为XML 文件，并可以在日志浏览器中打开显示内容。</w:t>
      </w:r>
    </w:p>
    <w:p w14:paraId="6868B01A">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医疗卫生人员注册、查询服务</w:t>
      </w:r>
    </w:p>
    <w:p w14:paraId="1338CC5C">
      <w:pPr>
        <w:spacing w:line="400" w:lineRule="exact"/>
        <w:ind w:firstLine="420" w:firstLineChars="200"/>
        <w:rPr>
          <w:rFonts w:hint="eastAsia" w:ascii="宋体" w:hAnsi="宋体"/>
          <w:szCs w:val="21"/>
        </w:rPr>
      </w:pPr>
      <w:r>
        <w:rPr>
          <w:rFonts w:hint="eastAsia" w:ascii="宋体" w:hAnsi="宋体"/>
          <w:szCs w:val="21"/>
        </w:rPr>
        <w:t>医疗卫生人员注册的目的用于对医疗单位内部所有医疗卫生服务人员的基本信息进行注册和管理。医疗卫生服务人员包括医生、护士、医技人员、药事人员等全部提供医疗卫生服务的医务人员，通过对医疗卫生服务人员基本信息、专业信息的记录，可以实现对医疗卫生服务人力资源的全面掌控、统一管理、合理配置。需要具备以下功能：</w:t>
      </w:r>
    </w:p>
    <w:p w14:paraId="0504A304">
      <w:pPr>
        <w:spacing w:line="400" w:lineRule="exact"/>
        <w:ind w:firstLine="420" w:firstLineChars="200"/>
        <w:rPr>
          <w:rFonts w:hint="eastAsia" w:ascii="宋体" w:hAnsi="宋体"/>
          <w:szCs w:val="21"/>
        </w:rPr>
      </w:pPr>
      <w:r>
        <w:rPr>
          <w:rFonts w:hint="eastAsia" w:ascii="宋体" w:hAnsi="宋体"/>
          <w:szCs w:val="21"/>
        </w:rPr>
        <w:t>（1）新增医护人员注册服务</w:t>
      </w:r>
    </w:p>
    <w:p w14:paraId="1DEE8FC5">
      <w:pPr>
        <w:spacing w:line="400" w:lineRule="exact"/>
        <w:ind w:firstLine="420" w:firstLineChars="200"/>
        <w:rPr>
          <w:rFonts w:hint="eastAsia" w:ascii="宋体" w:hAnsi="宋体"/>
          <w:szCs w:val="21"/>
        </w:rPr>
      </w:pPr>
      <w:r>
        <w:rPr>
          <w:rFonts w:hint="eastAsia" w:ascii="宋体" w:hAnsi="宋体"/>
          <w:szCs w:val="21"/>
        </w:rPr>
        <w:t>提供新增医护人员注册服务，用于在业务系统中进行新员工登记注册时，将新员工的信息注册到集成平台中。注册前，会先按预置规则进行匹配，如果有匹配成功的记录，则更新原来的记录；如果没有匹配记录，则作为新的员工进行添加。</w:t>
      </w:r>
    </w:p>
    <w:p w14:paraId="640E3EB3">
      <w:pPr>
        <w:spacing w:line="400" w:lineRule="exact"/>
        <w:ind w:firstLine="420" w:firstLineChars="200"/>
        <w:rPr>
          <w:rFonts w:hint="eastAsia" w:ascii="宋体" w:hAnsi="宋体"/>
          <w:szCs w:val="21"/>
        </w:rPr>
      </w:pPr>
      <w:r>
        <w:rPr>
          <w:rFonts w:hint="eastAsia" w:ascii="宋体" w:hAnsi="宋体"/>
          <w:szCs w:val="21"/>
        </w:rPr>
        <w:t>（2）医护人员信息更新服务</w:t>
      </w:r>
    </w:p>
    <w:p w14:paraId="11883378">
      <w:pPr>
        <w:spacing w:line="400" w:lineRule="exact"/>
        <w:ind w:firstLine="420" w:firstLineChars="200"/>
        <w:rPr>
          <w:rFonts w:hint="eastAsia" w:ascii="宋体" w:hAnsi="宋体"/>
          <w:szCs w:val="21"/>
        </w:rPr>
      </w:pPr>
      <w:r>
        <w:rPr>
          <w:rFonts w:hint="eastAsia" w:ascii="宋体" w:hAnsi="宋体"/>
          <w:szCs w:val="21"/>
        </w:rPr>
        <w:t>业务系统进行员工的信息修改时，通过医护人员信息更新服务及时通知集成平台，保证集成平台员工信息的准确性和一致性。</w:t>
      </w:r>
    </w:p>
    <w:p w14:paraId="312B3F49">
      <w:pPr>
        <w:spacing w:line="400" w:lineRule="exact"/>
        <w:ind w:firstLine="420" w:firstLineChars="200"/>
        <w:rPr>
          <w:rFonts w:hint="eastAsia" w:ascii="宋体" w:hAnsi="宋体"/>
          <w:szCs w:val="21"/>
        </w:rPr>
      </w:pPr>
      <w:r>
        <w:rPr>
          <w:rFonts w:hint="eastAsia" w:ascii="宋体" w:hAnsi="宋体"/>
          <w:szCs w:val="21"/>
        </w:rPr>
        <w:t>（3）医护人员信息查询服务</w:t>
      </w:r>
    </w:p>
    <w:p w14:paraId="6327B24D">
      <w:pPr>
        <w:spacing w:line="400" w:lineRule="exact"/>
        <w:ind w:firstLine="420" w:firstLineChars="200"/>
        <w:rPr>
          <w:rFonts w:hint="eastAsia" w:ascii="宋体" w:hAnsi="宋体"/>
          <w:szCs w:val="21"/>
        </w:rPr>
      </w:pPr>
      <w:r>
        <w:rPr>
          <w:rFonts w:hint="eastAsia" w:ascii="宋体" w:hAnsi="宋体"/>
          <w:szCs w:val="21"/>
        </w:rPr>
        <w:t>提供医护人员信息查询服务，用于业务系统根据医护人员的全部信息或者部分信息从集成平台查找符合要求的医护人员信息。</w:t>
      </w:r>
    </w:p>
    <w:p w14:paraId="04F02B90">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医疗卫生机构注册、查询服务</w:t>
      </w:r>
    </w:p>
    <w:p w14:paraId="0CC3E2E5">
      <w:pPr>
        <w:spacing w:line="400" w:lineRule="exact"/>
        <w:ind w:firstLine="420" w:firstLineChars="200"/>
        <w:rPr>
          <w:rFonts w:hint="eastAsia" w:ascii="宋体" w:hAnsi="宋体"/>
          <w:szCs w:val="21"/>
        </w:rPr>
      </w:pPr>
      <w:r>
        <w:rPr>
          <w:rFonts w:hint="eastAsia" w:ascii="宋体" w:hAnsi="宋体"/>
          <w:szCs w:val="21"/>
        </w:rPr>
        <w:t>医疗卫生机构（科室）注册的目的用于对医疗卫生机构（科室）的基本信息进行管理，通过对医疗卫生机构（科室）基本信息的统一管理，可以向基于医疗信息平台建设的各应用系统、患者提供完整、统一的医疗卫生机构（科室）信息。需要具备以下功能：</w:t>
      </w:r>
    </w:p>
    <w:p w14:paraId="51E42BC7">
      <w:pPr>
        <w:spacing w:line="400" w:lineRule="exact"/>
        <w:ind w:firstLine="420" w:firstLineChars="200"/>
        <w:rPr>
          <w:rFonts w:hint="eastAsia" w:ascii="宋体" w:hAnsi="宋体"/>
          <w:szCs w:val="21"/>
        </w:rPr>
      </w:pPr>
      <w:r>
        <w:rPr>
          <w:rFonts w:hint="eastAsia" w:ascii="宋体" w:hAnsi="宋体"/>
          <w:szCs w:val="21"/>
        </w:rPr>
        <w:t>（1）新增医疗卫生机构(科室)注册服务</w:t>
      </w:r>
    </w:p>
    <w:p w14:paraId="39706129">
      <w:pPr>
        <w:spacing w:line="400" w:lineRule="exact"/>
        <w:ind w:firstLine="420" w:firstLineChars="200"/>
        <w:rPr>
          <w:rFonts w:hint="eastAsia" w:ascii="宋体" w:hAnsi="宋体"/>
          <w:szCs w:val="21"/>
        </w:rPr>
      </w:pPr>
      <w:r>
        <w:rPr>
          <w:rFonts w:hint="eastAsia" w:ascii="宋体" w:hAnsi="宋体"/>
          <w:szCs w:val="21"/>
        </w:rPr>
        <w:t>业务系统中新注册科室时用到，主要是将新科室的信息传入到集成平台中。注册前，会先进行模糊匹配，如果有匹配成功的记录，则更新原来的记录；如果没有匹配记录，则作为新的科室进行添加</w:t>
      </w:r>
    </w:p>
    <w:p w14:paraId="274C4301">
      <w:pPr>
        <w:spacing w:line="400" w:lineRule="exact"/>
        <w:ind w:firstLine="420" w:firstLineChars="200"/>
        <w:rPr>
          <w:rFonts w:hint="eastAsia" w:ascii="宋体" w:hAnsi="宋体"/>
          <w:szCs w:val="21"/>
        </w:rPr>
      </w:pPr>
      <w:r>
        <w:rPr>
          <w:rFonts w:hint="eastAsia" w:ascii="宋体" w:hAnsi="宋体"/>
          <w:szCs w:val="21"/>
        </w:rPr>
        <w:t>（2）医疗卫生机构(科室)信息更新服务</w:t>
      </w:r>
    </w:p>
    <w:p w14:paraId="33B3406D">
      <w:pPr>
        <w:spacing w:line="400" w:lineRule="exact"/>
        <w:ind w:firstLine="420" w:firstLineChars="200"/>
        <w:rPr>
          <w:rFonts w:hint="eastAsia" w:ascii="宋体" w:hAnsi="宋体"/>
          <w:szCs w:val="21"/>
        </w:rPr>
      </w:pPr>
      <w:r>
        <w:rPr>
          <w:rFonts w:hint="eastAsia" w:ascii="宋体" w:hAnsi="宋体"/>
          <w:szCs w:val="21"/>
        </w:rPr>
        <w:t>业务系统中，如果科室的信息有修改时应该及时通知集成平台，保证集成平台科室信息的准确性和一致性</w:t>
      </w:r>
    </w:p>
    <w:p w14:paraId="7EBB5EE0">
      <w:pPr>
        <w:spacing w:line="400" w:lineRule="exact"/>
        <w:ind w:firstLine="420" w:firstLineChars="200"/>
        <w:rPr>
          <w:rFonts w:hint="eastAsia" w:ascii="宋体" w:hAnsi="宋体"/>
          <w:szCs w:val="21"/>
        </w:rPr>
      </w:pPr>
      <w:r>
        <w:rPr>
          <w:rFonts w:hint="eastAsia" w:ascii="宋体" w:hAnsi="宋体"/>
          <w:szCs w:val="21"/>
        </w:rPr>
        <w:t>（3）医疗卫生机构(科室)信息查询服务</w:t>
      </w:r>
    </w:p>
    <w:p w14:paraId="7533A9F0">
      <w:pPr>
        <w:spacing w:line="400" w:lineRule="exact"/>
        <w:ind w:firstLine="420" w:firstLineChars="200"/>
        <w:rPr>
          <w:rFonts w:hint="eastAsia" w:ascii="宋体" w:hAnsi="宋体"/>
          <w:szCs w:val="21"/>
        </w:rPr>
      </w:pPr>
      <w:r>
        <w:rPr>
          <w:rFonts w:hint="eastAsia" w:ascii="宋体" w:hAnsi="宋体"/>
          <w:szCs w:val="21"/>
        </w:rPr>
        <w:t>业务系统根据科室的全部信息或者部分信息从集成平台查找符合要求的科室信息。</w:t>
      </w:r>
    </w:p>
    <w:p w14:paraId="5A0B520C">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业务交换组件</w:t>
      </w:r>
    </w:p>
    <w:p w14:paraId="7F578BEB">
      <w:pPr>
        <w:spacing w:line="400" w:lineRule="exact"/>
        <w:ind w:firstLine="420" w:firstLineChars="200"/>
        <w:rPr>
          <w:rFonts w:hint="eastAsia" w:ascii="宋体" w:hAnsi="宋体"/>
          <w:szCs w:val="21"/>
        </w:rPr>
      </w:pPr>
      <w:r>
        <w:rPr>
          <w:rFonts w:hint="eastAsia" w:ascii="宋体" w:hAnsi="宋体"/>
          <w:szCs w:val="21"/>
        </w:rPr>
        <w:t>业务交换组件实现对业务系统与医院集成平台之间的基本服务和各种应用程序进行统一的管理与监控，通过开放平台提供的标准化接口，帮助业务系统厂商通过运用和组装平台接口及业务系统接口产生新的应用，允许业务系统厂商实现扩展应用功能，同时提供统一、便捷的接入方式保证新应用基于平台环境的统一管理和运行。要求包括手麻、病理、心电、输血、治疗、合理用药、院感业务系统、慢病管理系统、电子发票业务交换组件。</w:t>
      </w:r>
    </w:p>
    <w:p w14:paraId="5C9FB659">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数据上报管理</w:t>
      </w:r>
    </w:p>
    <w:p w14:paraId="76235776">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重大非传染性疾病及死亡信息上报</w:t>
      </w:r>
    </w:p>
    <w:p w14:paraId="44DF2F9F">
      <w:pPr>
        <w:spacing w:line="400" w:lineRule="exact"/>
        <w:ind w:firstLine="420" w:firstLineChars="200"/>
        <w:rPr>
          <w:rFonts w:hint="eastAsia" w:ascii="宋体" w:hAnsi="宋体"/>
          <w:szCs w:val="21"/>
        </w:rPr>
      </w:pPr>
      <w:r>
        <w:rPr>
          <w:rFonts w:hint="eastAsia" w:ascii="宋体" w:hAnsi="宋体"/>
          <w:szCs w:val="21"/>
        </w:rPr>
        <w:t>随着工业化、城镇化、人口老龄化进程加快和生态环境、生活方式变化，慢性非传染性疾病已经成为我国居民的主要死亡原因和疾病负担。心脑血管疾病、癌症、慢性呼吸系统疾病、糖尿病等慢性非传染性疾病导致的死亡人数占总死亡人数的比例逐渐升高。通过上报平台及时将医院重大非传染性疾病及死亡信息上报至区、市、省平台。</w:t>
      </w:r>
    </w:p>
    <w:p w14:paraId="4132B403">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HQMS数据上报</w:t>
      </w:r>
    </w:p>
    <w:p w14:paraId="5130BB58">
      <w:pPr>
        <w:spacing w:line="400" w:lineRule="exact"/>
        <w:ind w:firstLine="420" w:firstLineChars="200"/>
        <w:rPr>
          <w:rFonts w:hint="eastAsia" w:ascii="宋体" w:hAnsi="宋体"/>
          <w:szCs w:val="21"/>
        </w:rPr>
      </w:pPr>
      <w:r>
        <w:rPr>
          <w:rFonts w:hint="eastAsia" w:ascii="宋体" w:hAnsi="宋体"/>
          <w:szCs w:val="21"/>
        </w:rPr>
        <w:t>HQMS是卫健委医管司开展的医院质量监管信息网络直报工作。HQMS医院质量监测上报系统,是配合卫健委医管司实现对医院监测数据的采集、转换及上报，实现数据上传的实时性、准确性，提高数据上传质量。</w:t>
      </w:r>
    </w:p>
    <w:p w14:paraId="558FFA28">
      <w:pPr>
        <w:spacing w:line="400" w:lineRule="exact"/>
        <w:ind w:firstLine="420" w:firstLineChars="200"/>
        <w:rPr>
          <w:rFonts w:hint="eastAsia" w:ascii="宋体" w:hAnsi="宋体"/>
          <w:szCs w:val="21"/>
        </w:rPr>
      </w:pPr>
      <w:r>
        <w:rPr>
          <w:rFonts w:hint="eastAsia" w:ascii="宋体" w:hAnsi="宋体"/>
          <w:szCs w:val="21"/>
        </w:rPr>
        <w:t>数据上报平台提供字典映射功能。按照《住院病案首页数据采集接口标准》，进行病案首页原始数据与HQMS数据标准的映射；提供结构化病案首页数据抽取功能。从电子病历结构化病案首页中自动抽取出医管司所需要病案首页原始数据；提供数据转换功能。根据字典映射结果，将抽取的病案首页原始数据按照字典映射进行转换，转换后再将数据进行上报。</w:t>
      </w:r>
    </w:p>
    <w:p w14:paraId="0F7CAC8C">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公立医院绩效考核上报</w:t>
      </w:r>
    </w:p>
    <w:p w14:paraId="3CF42C6F">
      <w:pPr>
        <w:spacing w:line="400" w:lineRule="exact"/>
        <w:ind w:firstLine="420" w:firstLineChars="200"/>
        <w:rPr>
          <w:rFonts w:hint="eastAsia" w:ascii="宋体" w:hAnsi="宋体"/>
          <w:szCs w:val="21"/>
        </w:rPr>
      </w:pPr>
      <w:r>
        <w:rPr>
          <w:rFonts w:hint="eastAsia" w:ascii="宋体" w:hAnsi="宋体"/>
          <w:szCs w:val="21"/>
        </w:rPr>
        <w:t>随着公立医院绩效考核上报工作的不断开展，为解决考核内容众多、工作量极大、涉及数据来源复杂，缺少有效管理工具等数据上报难题，支持通过上报平台进行智能数据上报，助力提质增效，确保数据真实可靠，提升数据质量，实现精细管理。运用信息化手段提升医院数据管理方面的能力，运用有效的数据统计结果支撑临床业务不断优化，助力医院科学决策。</w:t>
      </w:r>
    </w:p>
    <w:p w14:paraId="7E59734A">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单病种质量监测系统</w:t>
      </w:r>
    </w:p>
    <w:p w14:paraId="48A8DD56">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单病种上报</w:t>
      </w:r>
    </w:p>
    <w:p w14:paraId="11400509">
      <w:pPr>
        <w:spacing w:line="400" w:lineRule="exact"/>
        <w:ind w:firstLine="420" w:firstLineChars="200"/>
        <w:rPr>
          <w:rFonts w:hint="eastAsia" w:ascii="宋体" w:hAnsi="宋体"/>
          <w:szCs w:val="21"/>
        </w:rPr>
      </w:pPr>
      <w:r>
        <w:rPr>
          <w:rFonts w:hint="eastAsia" w:ascii="宋体" w:hAnsi="宋体"/>
          <w:szCs w:val="21"/>
        </w:rPr>
        <w:t>1、病种模板</w:t>
      </w:r>
    </w:p>
    <w:p w14:paraId="600DE71C">
      <w:pPr>
        <w:spacing w:line="400" w:lineRule="exact"/>
        <w:ind w:firstLine="420" w:firstLineChars="200"/>
        <w:rPr>
          <w:rFonts w:hint="eastAsia" w:ascii="宋体" w:hAnsi="宋体"/>
          <w:szCs w:val="21"/>
        </w:rPr>
      </w:pPr>
      <w:r>
        <w:rPr>
          <w:rFonts w:hint="eastAsia" w:ascii="宋体" w:hAnsi="宋体"/>
          <w:szCs w:val="21"/>
        </w:rPr>
        <w:t>病种要求覆盖目前国家发布的单病种及手术（55个病种/手术）标准，单病种模板包括基本信息、在院相关信息、入院相关信息、其他相关信息四个类别。</w:t>
      </w:r>
    </w:p>
    <w:p w14:paraId="106809E5">
      <w:pPr>
        <w:spacing w:line="400" w:lineRule="exact"/>
        <w:ind w:firstLine="420" w:firstLineChars="200"/>
        <w:rPr>
          <w:rFonts w:hint="eastAsia" w:ascii="宋体" w:hAnsi="宋体"/>
          <w:szCs w:val="21"/>
        </w:rPr>
      </w:pPr>
      <w:r>
        <w:rPr>
          <w:rFonts w:hint="eastAsia" w:ascii="宋体" w:hAnsi="宋体"/>
          <w:szCs w:val="21"/>
        </w:rPr>
        <w:t>支持按照国家单病种平台的要求及时调整病种指标、模板相关内容，以适配国家平台。</w:t>
      </w:r>
    </w:p>
    <w:p w14:paraId="02505F2D">
      <w:pPr>
        <w:spacing w:line="400" w:lineRule="exact"/>
        <w:ind w:firstLine="420" w:firstLineChars="200"/>
        <w:rPr>
          <w:rFonts w:hint="eastAsia" w:ascii="宋体" w:hAnsi="宋体"/>
          <w:szCs w:val="21"/>
        </w:rPr>
      </w:pPr>
      <w:r>
        <w:rPr>
          <w:rFonts w:hint="eastAsia" w:ascii="宋体" w:hAnsi="宋体"/>
          <w:szCs w:val="21"/>
        </w:rPr>
        <w:t>支持对病种配置过滤规则，自动筛查出符合数据进行后续的填报。</w:t>
      </w:r>
    </w:p>
    <w:p w14:paraId="605FF1AD">
      <w:pPr>
        <w:spacing w:line="400" w:lineRule="exact"/>
        <w:ind w:firstLine="420" w:firstLineChars="200"/>
        <w:rPr>
          <w:rFonts w:hint="eastAsia" w:ascii="宋体" w:hAnsi="宋体"/>
          <w:szCs w:val="21"/>
        </w:rPr>
      </w:pPr>
      <w:r>
        <w:rPr>
          <w:rFonts w:hint="eastAsia" w:ascii="宋体" w:hAnsi="宋体"/>
          <w:szCs w:val="21"/>
        </w:rPr>
        <w:t>支持按照标准接口的要求进行对接，获取上级平台审核结果。</w:t>
      </w:r>
    </w:p>
    <w:p w14:paraId="5BC759C2">
      <w:pPr>
        <w:spacing w:line="400" w:lineRule="exact"/>
        <w:ind w:firstLine="420" w:firstLineChars="200"/>
        <w:rPr>
          <w:rFonts w:hint="eastAsia" w:ascii="宋体" w:hAnsi="宋体"/>
          <w:szCs w:val="21"/>
        </w:rPr>
      </w:pPr>
      <w:r>
        <w:rPr>
          <w:rFonts w:hint="eastAsia" w:ascii="宋体" w:hAnsi="宋体"/>
          <w:szCs w:val="21"/>
        </w:rPr>
        <w:t>支持设置不同的病种逾期提醒、自动提醒、提醒数量等信息，方便管理人员对病种填报情况的跟踪。</w:t>
      </w:r>
    </w:p>
    <w:p w14:paraId="09CB4524">
      <w:pPr>
        <w:spacing w:line="400" w:lineRule="exact"/>
        <w:ind w:firstLine="420" w:firstLineChars="200"/>
        <w:rPr>
          <w:rFonts w:hint="eastAsia" w:ascii="宋体" w:hAnsi="宋体"/>
          <w:szCs w:val="21"/>
        </w:rPr>
      </w:pPr>
      <w:r>
        <w:rPr>
          <w:rFonts w:hint="eastAsia" w:ascii="宋体" w:hAnsi="宋体"/>
          <w:szCs w:val="21"/>
        </w:rPr>
        <w:t>支持更新病种模板，当国家新增单病种模板或者对已有的单病种模板进行调整时，可以同步更新病种模板，以此保证病种模板内容和国家保持一致。</w:t>
      </w:r>
    </w:p>
    <w:p w14:paraId="56282B80">
      <w:pPr>
        <w:spacing w:line="400" w:lineRule="exact"/>
        <w:ind w:firstLine="420" w:firstLineChars="200"/>
        <w:rPr>
          <w:rFonts w:hint="eastAsia" w:ascii="宋体" w:hAnsi="宋体"/>
          <w:szCs w:val="21"/>
        </w:rPr>
      </w:pPr>
      <w:r>
        <w:rPr>
          <w:rFonts w:hint="eastAsia" w:ascii="宋体" w:hAnsi="宋体"/>
          <w:szCs w:val="21"/>
        </w:rPr>
        <w:t>支持查阅病种模板包含的内容以及内容属性，如内容的类型（文本、下拉框、单选框、复选框等），是否必填，内容对应值选项等。</w:t>
      </w:r>
    </w:p>
    <w:p w14:paraId="5E19BAE5">
      <w:pPr>
        <w:spacing w:line="400" w:lineRule="exact"/>
        <w:ind w:firstLine="420" w:firstLineChars="200"/>
        <w:rPr>
          <w:rFonts w:hint="eastAsia" w:ascii="宋体" w:hAnsi="宋体"/>
          <w:szCs w:val="21"/>
        </w:rPr>
      </w:pPr>
      <w:r>
        <w:rPr>
          <w:rFonts w:hint="eastAsia" w:ascii="宋体" w:hAnsi="宋体"/>
          <w:szCs w:val="21"/>
        </w:rPr>
        <w:t>2、数据映射</w:t>
      </w:r>
    </w:p>
    <w:p w14:paraId="1C23C487">
      <w:pPr>
        <w:spacing w:line="400" w:lineRule="exact"/>
        <w:ind w:firstLine="420" w:firstLineChars="200"/>
        <w:rPr>
          <w:rFonts w:hint="eastAsia" w:ascii="宋体" w:hAnsi="宋体"/>
          <w:szCs w:val="21"/>
        </w:rPr>
      </w:pPr>
      <w:r>
        <w:rPr>
          <w:rFonts w:hint="eastAsia" w:ascii="宋体" w:hAnsi="宋体"/>
          <w:szCs w:val="21"/>
        </w:rPr>
        <w:t>（1）数据标准管理</w:t>
      </w:r>
    </w:p>
    <w:p w14:paraId="233720A6">
      <w:pPr>
        <w:spacing w:line="400" w:lineRule="exact"/>
        <w:ind w:firstLine="420" w:firstLineChars="200"/>
        <w:rPr>
          <w:rFonts w:hint="eastAsia" w:ascii="宋体" w:hAnsi="宋体"/>
          <w:szCs w:val="21"/>
        </w:rPr>
      </w:pPr>
      <w:r>
        <w:rPr>
          <w:rFonts w:hint="eastAsia" w:ascii="宋体" w:hAnsi="宋体"/>
          <w:szCs w:val="21"/>
        </w:rPr>
        <w:t>支持将国家表单通过导入的方式获取单病种数据标准及相关的基础字典、诊断字典、手术字典等源数据标准，生成系统指标信息。支持手动新增字典值域信息，包括值域代码、值域名称、值等。支持字典批量导出功能，可选择按全部数据导出、选择数据导出、按字典导出。</w:t>
      </w:r>
    </w:p>
    <w:p w14:paraId="14EC3D39">
      <w:pPr>
        <w:spacing w:line="400" w:lineRule="exact"/>
        <w:ind w:firstLine="420" w:firstLineChars="200"/>
        <w:rPr>
          <w:rFonts w:hint="eastAsia" w:ascii="宋体" w:hAnsi="宋体"/>
          <w:szCs w:val="21"/>
        </w:rPr>
      </w:pPr>
      <w:r>
        <w:rPr>
          <w:rFonts w:hint="eastAsia" w:ascii="宋体" w:hAnsi="宋体"/>
          <w:szCs w:val="21"/>
        </w:rPr>
        <w:t xml:space="preserve"> （2）数据映射管理</w:t>
      </w:r>
    </w:p>
    <w:p w14:paraId="45F58108">
      <w:pPr>
        <w:spacing w:line="400" w:lineRule="exact"/>
        <w:ind w:firstLine="420" w:firstLineChars="200"/>
        <w:rPr>
          <w:rFonts w:hint="eastAsia" w:ascii="宋体" w:hAnsi="宋体"/>
          <w:szCs w:val="21"/>
        </w:rPr>
      </w:pPr>
      <w:r>
        <w:rPr>
          <w:rFonts w:hint="eastAsia" w:ascii="宋体" w:hAnsi="宋体"/>
          <w:szCs w:val="21"/>
        </w:rPr>
        <w:t>数据映射管理是将院内系统各单病种数据指标与国家数据标准指标进行映射对照，支持通过智能匹配、手工匹配等方式，快捷实现字典的映射管理。</w:t>
      </w:r>
    </w:p>
    <w:p w14:paraId="7663FB20">
      <w:pPr>
        <w:spacing w:line="400" w:lineRule="exact"/>
        <w:ind w:firstLine="420" w:firstLineChars="200"/>
        <w:rPr>
          <w:rFonts w:hint="eastAsia" w:ascii="宋体" w:hAnsi="宋体"/>
          <w:szCs w:val="21"/>
        </w:rPr>
      </w:pPr>
      <w:r>
        <w:rPr>
          <w:rFonts w:hint="eastAsia" w:ascii="宋体" w:hAnsi="宋体"/>
          <w:szCs w:val="21"/>
        </w:rPr>
        <w:t>支持智能匹配，对相似信息进行关联对照，提高对照效率。</w:t>
      </w:r>
    </w:p>
    <w:p w14:paraId="74A5F80D">
      <w:pPr>
        <w:spacing w:line="400" w:lineRule="exact"/>
        <w:ind w:firstLine="420" w:firstLineChars="200"/>
        <w:rPr>
          <w:rFonts w:hint="eastAsia" w:ascii="宋体" w:hAnsi="宋体"/>
          <w:szCs w:val="21"/>
        </w:rPr>
      </w:pPr>
      <w:r>
        <w:rPr>
          <w:rFonts w:hint="eastAsia" w:ascii="宋体" w:hAnsi="宋体"/>
          <w:szCs w:val="21"/>
        </w:rPr>
        <w:t>支持自动映射，对疑似信息的匹配项进行自动匹配。</w:t>
      </w:r>
    </w:p>
    <w:p w14:paraId="1E2A0DA0">
      <w:pPr>
        <w:spacing w:line="400" w:lineRule="exact"/>
        <w:ind w:firstLine="420" w:firstLineChars="200"/>
        <w:rPr>
          <w:rFonts w:hint="eastAsia" w:ascii="宋体" w:hAnsi="宋体"/>
          <w:szCs w:val="21"/>
        </w:rPr>
      </w:pPr>
      <w:r>
        <w:rPr>
          <w:rFonts w:hint="eastAsia" w:ascii="宋体" w:hAnsi="宋体"/>
          <w:szCs w:val="21"/>
        </w:rPr>
        <w:t>支持手动维护，存在智能匹配与自动映射结果有误时，可以手动调整对照信息。</w:t>
      </w:r>
    </w:p>
    <w:p w14:paraId="4E597330">
      <w:pPr>
        <w:spacing w:line="400" w:lineRule="exact"/>
        <w:ind w:firstLine="420" w:firstLineChars="200"/>
        <w:rPr>
          <w:rFonts w:hint="eastAsia" w:ascii="宋体" w:hAnsi="宋体"/>
          <w:szCs w:val="21"/>
        </w:rPr>
      </w:pPr>
      <w:r>
        <w:rPr>
          <w:rFonts w:hint="eastAsia" w:ascii="宋体" w:hAnsi="宋体"/>
          <w:szCs w:val="21"/>
        </w:rPr>
        <w:t xml:space="preserve"> 3、病种填报</w:t>
      </w:r>
    </w:p>
    <w:p w14:paraId="58A4DDE4">
      <w:pPr>
        <w:spacing w:line="400" w:lineRule="exact"/>
        <w:ind w:firstLine="420" w:firstLineChars="200"/>
        <w:rPr>
          <w:rFonts w:hint="eastAsia" w:ascii="宋体" w:hAnsi="宋体"/>
          <w:szCs w:val="21"/>
        </w:rPr>
      </w:pPr>
      <w:r>
        <w:rPr>
          <w:rFonts w:hint="eastAsia" w:ascii="宋体" w:hAnsi="宋体"/>
          <w:szCs w:val="21"/>
        </w:rPr>
        <w:t>病种填报是按照机构需要上报的病种进行数据上报，要求包括填报任务管理、填报病例筛选、表单填报、填报触发管理、指标漏报管理。</w:t>
      </w:r>
    </w:p>
    <w:p w14:paraId="47E14B6B">
      <w:pPr>
        <w:spacing w:line="400" w:lineRule="exact"/>
        <w:ind w:firstLine="420" w:firstLineChars="200"/>
        <w:rPr>
          <w:rFonts w:hint="eastAsia" w:ascii="宋体" w:hAnsi="宋体"/>
          <w:szCs w:val="21"/>
        </w:rPr>
      </w:pPr>
      <w:r>
        <w:rPr>
          <w:rFonts w:hint="eastAsia" w:ascii="宋体" w:hAnsi="宋体"/>
          <w:szCs w:val="21"/>
        </w:rPr>
        <w:t>4、上报审核</w:t>
      </w:r>
    </w:p>
    <w:p w14:paraId="29172EAD">
      <w:pPr>
        <w:spacing w:line="400" w:lineRule="exact"/>
        <w:ind w:firstLine="420" w:firstLineChars="200"/>
        <w:rPr>
          <w:rFonts w:hint="eastAsia" w:ascii="宋体" w:hAnsi="宋体"/>
          <w:szCs w:val="21"/>
        </w:rPr>
      </w:pPr>
      <w:r>
        <w:rPr>
          <w:rFonts w:hint="eastAsia" w:ascii="宋体" w:hAnsi="宋体"/>
          <w:szCs w:val="21"/>
        </w:rPr>
        <w:t>要求包括病种审核、病例管理、上报管理、全量查询。</w:t>
      </w:r>
    </w:p>
    <w:p w14:paraId="79665E6A">
      <w:pPr>
        <w:spacing w:line="400" w:lineRule="exact"/>
        <w:ind w:firstLine="420" w:firstLineChars="200"/>
        <w:rPr>
          <w:rFonts w:hint="eastAsia" w:ascii="宋体" w:hAnsi="宋体"/>
          <w:szCs w:val="21"/>
        </w:rPr>
      </w:pPr>
      <w:r>
        <w:rPr>
          <w:rFonts w:hint="eastAsia" w:ascii="宋体" w:hAnsi="宋体"/>
          <w:szCs w:val="21"/>
        </w:rPr>
        <w:t>5、数据对接</w:t>
      </w:r>
    </w:p>
    <w:p w14:paraId="6740F1DB">
      <w:pPr>
        <w:spacing w:line="400" w:lineRule="exact"/>
        <w:ind w:firstLine="420" w:firstLineChars="200"/>
        <w:rPr>
          <w:rFonts w:hint="eastAsia" w:ascii="宋体" w:hAnsi="宋体"/>
          <w:szCs w:val="21"/>
        </w:rPr>
      </w:pPr>
      <w:r>
        <w:rPr>
          <w:rFonts w:hint="eastAsia" w:ascii="宋体" w:hAnsi="宋体"/>
          <w:szCs w:val="21"/>
        </w:rPr>
        <w:t>支持按照国家平台对每个病种的填报要求智能识别提取需要上报的病例。提取的病例数据包含患者住院基本信息、检验信息、检查信息、手术信息、费用信息、健康宣教、患者评价等。</w:t>
      </w:r>
    </w:p>
    <w:p w14:paraId="418B4762">
      <w:pPr>
        <w:spacing w:line="400" w:lineRule="exact"/>
        <w:ind w:firstLine="420" w:firstLineChars="200"/>
        <w:rPr>
          <w:rFonts w:hint="eastAsia" w:ascii="宋体" w:hAnsi="宋体"/>
          <w:szCs w:val="21"/>
        </w:rPr>
      </w:pPr>
      <w:r>
        <w:rPr>
          <w:rFonts w:hint="eastAsia" w:ascii="宋体" w:hAnsi="宋体"/>
          <w:szCs w:val="21"/>
        </w:rPr>
        <w:t>支持手动提取每个病种需要上报的病例。</w:t>
      </w:r>
    </w:p>
    <w:p w14:paraId="173E58DD">
      <w:pPr>
        <w:spacing w:line="400" w:lineRule="exact"/>
        <w:ind w:firstLine="420" w:firstLineChars="200"/>
        <w:rPr>
          <w:rFonts w:hint="eastAsia" w:ascii="宋体" w:hAnsi="宋体"/>
          <w:szCs w:val="21"/>
        </w:rPr>
      </w:pPr>
      <w:r>
        <w:rPr>
          <w:rFonts w:hint="eastAsia" w:ascii="宋体" w:hAnsi="宋体"/>
          <w:szCs w:val="21"/>
        </w:rPr>
        <w:t>支持和国家平台提供的前置机程序对接，按照国家平台数据上报要求和流程，把已经填报审核通过的病例上报到国家平台前置机。国家平台前置机会定时自动把数据上传到国家平台。</w:t>
      </w:r>
    </w:p>
    <w:p w14:paraId="4DE3DD18">
      <w:pPr>
        <w:spacing w:line="400" w:lineRule="exact"/>
        <w:ind w:firstLine="420" w:firstLineChars="200"/>
        <w:rPr>
          <w:rFonts w:hint="eastAsia" w:ascii="宋体" w:hAnsi="宋体"/>
          <w:szCs w:val="21"/>
        </w:rPr>
      </w:pPr>
      <w:r>
        <w:rPr>
          <w:rFonts w:hint="eastAsia" w:ascii="宋体" w:hAnsi="宋体"/>
          <w:szCs w:val="21"/>
        </w:rPr>
        <w:t>6、上报统计</w:t>
      </w:r>
    </w:p>
    <w:p w14:paraId="39A5AE25">
      <w:pPr>
        <w:spacing w:line="400" w:lineRule="exact"/>
        <w:ind w:firstLine="420" w:firstLineChars="200"/>
        <w:rPr>
          <w:rFonts w:hint="eastAsia" w:ascii="宋体" w:hAnsi="宋体"/>
          <w:szCs w:val="21"/>
        </w:rPr>
      </w:pPr>
      <w:r>
        <w:rPr>
          <w:rFonts w:hint="eastAsia" w:ascii="宋体" w:hAnsi="宋体"/>
          <w:szCs w:val="21"/>
        </w:rPr>
        <w:t>要求包括上报统计、统计分析、图表分析。</w:t>
      </w:r>
    </w:p>
    <w:p w14:paraId="2416A5C6">
      <w:pPr>
        <w:spacing w:line="400" w:lineRule="exact"/>
        <w:ind w:firstLine="420" w:firstLineChars="200"/>
        <w:rPr>
          <w:rFonts w:hint="eastAsia" w:ascii="宋体" w:hAnsi="宋体"/>
          <w:szCs w:val="21"/>
        </w:rPr>
      </w:pPr>
      <w:r>
        <w:rPr>
          <w:rFonts w:hint="eastAsia" w:ascii="宋体" w:hAnsi="宋体"/>
          <w:szCs w:val="21"/>
        </w:rPr>
        <w:t>7、上报角色</w:t>
      </w:r>
    </w:p>
    <w:p w14:paraId="13E258BA">
      <w:pPr>
        <w:spacing w:line="400" w:lineRule="exact"/>
        <w:ind w:firstLine="420" w:firstLineChars="200"/>
        <w:rPr>
          <w:rFonts w:hint="eastAsia" w:ascii="宋体" w:hAnsi="宋体"/>
          <w:szCs w:val="21"/>
        </w:rPr>
      </w:pPr>
      <w:r>
        <w:rPr>
          <w:rFonts w:hint="eastAsia" w:ascii="宋体" w:hAnsi="宋体"/>
          <w:szCs w:val="21"/>
        </w:rPr>
        <w:t>按照填报、审核、管理需要划分为三类角色：填报员、审核员、管理员，不同角色拥有不同的菜单权限。</w:t>
      </w:r>
    </w:p>
    <w:p w14:paraId="6D728918">
      <w:pPr>
        <w:spacing w:line="400" w:lineRule="exact"/>
        <w:ind w:firstLine="420" w:firstLineChars="200"/>
        <w:rPr>
          <w:rFonts w:hint="eastAsia" w:ascii="宋体" w:hAnsi="宋体"/>
          <w:szCs w:val="21"/>
        </w:rPr>
      </w:pPr>
      <w:r>
        <w:rPr>
          <w:rFonts w:hint="eastAsia" w:ascii="宋体" w:hAnsi="宋体"/>
          <w:szCs w:val="21"/>
        </w:rPr>
        <w:t>8、系统管理</w:t>
      </w:r>
    </w:p>
    <w:p w14:paraId="5E026064">
      <w:pPr>
        <w:spacing w:line="400" w:lineRule="exact"/>
        <w:ind w:firstLine="420" w:firstLineChars="200"/>
        <w:rPr>
          <w:rFonts w:hint="eastAsia" w:ascii="宋体" w:hAnsi="宋体"/>
          <w:szCs w:val="21"/>
        </w:rPr>
      </w:pPr>
      <w:r>
        <w:rPr>
          <w:rFonts w:hint="eastAsia" w:ascii="宋体" w:hAnsi="宋体"/>
          <w:szCs w:val="21"/>
        </w:rPr>
        <w:t>要求包括用户管理、科室管理、填报模式、病种类别、参数配置。</w:t>
      </w:r>
    </w:p>
    <w:p w14:paraId="1C38D424">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数据治理与智能填充</w:t>
      </w:r>
    </w:p>
    <w:p w14:paraId="4B2F2D90">
      <w:pPr>
        <w:spacing w:line="400" w:lineRule="exact"/>
        <w:ind w:firstLine="420" w:firstLineChars="200"/>
        <w:rPr>
          <w:rFonts w:hint="eastAsia" w:ascii="宋体" w:hAnsi="宋体"/>
          <w:szCs w:val="21"/>
        </w:rPr>
      </w:pPr>
      <w:r>
        <w:rPr>
          <w:rFonts w:hint="eastAsia" w:ascii="宋体" w:hAnsi="宋体"/>
          <w:szCs w:val="21"/>
        </w:rPr>
        <w:t>1、数据集成引擎</w:t>
      </w:r>
    </w:p>
    <w:p w14:paraId="6BF3C7E6">
      <w:pPr>
        <w:spacing w:line="400" w:lineRule="exact"/>
        <w:ind w:firstLine="420" w:firstLineChars="200"/>
        <w:rPr>
          <w:rFonts w:hint="eastAsia" w:ascii="宋体" w:hAnsi="宋体"/>
          <w:szCs w:val="21"/>
        </w:rPr>
      </w:pPr>
      <w:r>
        <w:rPr>
          <w:rFonts w:hint="eastAsia" w:ascii="宋体" w:hAnsi="宋体"/>
          <w:szCs w:val="21"/>
        </w:rPr>
        <w:t>提供数据汇聚集成引擎功能，支持串联各信息系统孤岛，将集成平台、HIS、LIS、电子病历等各个系统医疗数据汇聚到一起。配置好需要汇聚的医疗数据来源表和数据来源字段后，通过数据汇聚配置将需要汇聚的表、字典等数据，支持定时从业务数据库或第三方系统中采集汇聚到单病种数据中心，通过数据抽取、数据转换、数据加载，生成高质量的单病种数据中心库。</w:t>
      </w:r>
    </w:p>
    <w:p w14:paraId="0248B38D">
      <w:pPr>
        <w:spacing w:line="400" w:lineRule="exact"/>
        <w:ind w:firstLine="420" w:firstLineChars="200"/>
        <w:rPr>
          <w:rFonts w:hint="eastAsia" w:ascii="宋体" w:hAnsi="宋体"/>
          <w:szCs w:val="21"/>
        </w:rPr>
      </w:pPr>
      <w:r>
        <w:rPr>
          <w:rFonts w:hint="eastAsia" w:ascii="宋体" w:hAnsi="宋体"/>
          <w:szCs w:val="21"/>
        </w:rPr>
        <w:t>2、病种模型管理</w:t>
      </w:r>
    </w:p>
    <w:p w14:paraId="3A1CD867">
      <w:pPr>
        <w:spacing w:line="400" w:lineRule="exact"/>
        <w:ind w:firstLine="420" w:firstLineChars="200"/>
        <w:rPr>
          <w:rFonts w:hint="eastAsia" w:ascii="宋体" w:hAnsi="宋体"/>
          <w:szCs w:val="21"/>
        </w:rPr>
      </w:pPr>
      <w:r>
        <w:rPr>
          <w:rFonts w:hint="eastAsia" w:ascii="宋体" w:hAnsi="宋体"/>
          <w:szCs w:val="21"/>
        </w:rPr>
        <w:t>根据病种质控管理要求及数据上报的要求，对各个病种进行业务建模及数据物理建模，满足质控管理要求，亦要满足智能自动填充的要求。</w:t>
      </w:r>
    </w:p>
    <w:p w14:paraId="7FA6B963">
      <w:pPr>
        <w:spacing w:line="400" w:lineRule="exact"/>
        <w:ind w:firstLine="420" w:firstLineChars="200"/>
        <w:rPr>
          <w:rFonts w:hint="eastAsia" w:ascii="宋体" w:hAnsi="宋体"/>
          <w:szCs w:val="21"/>
        </w:rPr>
      </w:pPr>
      <w:r>
        <w:rPr>
          <w:rFonts w:hint="eastAsia" w:ascii="宋体" w:hAnsi="宋体"/>
          <w:szCs w:val="21"/>
        </w:rPr>
        <w:t>病种模型定义各种数据元的结构以及数据元之间的关系，支持通过数据元的自由组合，组成相应的病种模型，来适应不断变更的业务需求。</w:t>
      </w:r>
    </w:p>
    <w:p w14:paraId="3A23173B">
      <w:pPr>
        <w:spacing w:line="400" w:lineRule="exact"/>
        <w:ind w:firstLine="420" w:firstLineChars="200"/>
        <w:rPr>
          <w:rFonts w:hint="eastAsia" w:ascii="宋体" w:hAnsi="宋体"/>
          <w:szCs w:val="21"/>
        </w:rPr>
      </w:pPr>
      <w:r>
        <w:rPr>
          <w:rFonts w:hint="eastAsia" w:ascii="宋体" w:hAnsi="宋体"/>
          <w:szCs w:val="21"/>
        </w:rPr>
        <w:t>通过数据模型管理，提供模型的可视化操作页面，满足模型中的数据元名称支持自定义修改，设置是否显示、排序号等。</w:t>
      </w:r>
    </w:p>
    <w:p w14:paraId="6F3F0D78">
      <w:pPr>
        <w:spacing w:line="400" w:lineRule="exact"/>
        <w:ind w:firstLine="420" w:firstLineChars="200"/>
        <w:rPr>
          <w:rFonts w:hint="eastAsia" w:ascii="宋体" w:hAnsi="宋体"/>
          <w:szCs w:val="21"/>
        </w:rPr>
      </w:pPr>
      <w:r>
        <w:rPr>
          <w:rFonts w:hint="eastAsia" w:ascii="宋体" w:hAnsi="宋体"/>
          <w:szCs w:val="21"/>
        </w:rPr>
        <w:t>支持对病种模型进行及时更新调整。当国家发布新的上报病种或者对已有病种进行更新调整时，可以同步新增病种模型或者调整已有病种模型，确保病种模型和病种数据上报要求保持一致。</w:t>
      </w:r>
    </w:p>
    <w:p w14:paraId="60F4A908">
      <w:pPr>
        <w:spacing w:line="400" w:lineRule="exact"/>
        <w:ind w:firstLine="420" w:firstLineChars="200"/>
        <w:rPr>
          <w:rFonts w:hint="eastAsia" w:ascii="宋体" w:hAnsi="宋体"/>
          <w:szCs w:val="21"/>
        </w:rPr>
      </w:pPr>
      <w:r>
        <w:rPr>
          <w:rFonts w:hint="eastAsia" w:ascii="宋体" w:hAnsi="宋体"/>
          <w:szCs w:val="21"/>
        </w:rPr>
        <w:t>当病种模型发生调整时，指标模型配置会同步进行调整更新，以此保障智能自动填充的要求。</w:t>
      </w:r>
    </w:p>
    <w:p w14:paraId="25057C3D">
      <w:pPr>
        <w:spacing w:line="400" w:lineRule="exact"/>
        <w:ind w:firstLine="420" w:firstLineChars="200"/>
        <w:rPr>
          <w:rFonts w:hint="eastAsia" w:ascii="宋体" w:hAnsi="宋体"/>
          <w:szCs w:val="21"/>
        </w:rPr>
      </w:pPr>
      <w:r>
        <w:rPr>
          <w:rFonts w:hint="eastAsia" w:ascii="宋体" w:hAnsi="宋体"/>
          <w:szCs w:val="21"/>
        </w:rPr>
        <w:t>3、指标解析引擎</w:t>
      </w:r>
    </w:p>
    <w:p w14:paraId="5E7BEBF4">
      <w:pPr>
        <w:spacing w:line="400" w:lineRule="exact"/>
        <w:ind w:firstLine="420" w:firstLineChars="200"/>
        <w:rPr>
          <w:rFonts w:hint="eastAsia" w:ascii="宋体" w:hAnsi="宋体"/>
          <w:szCs w:val="21"/>
        </w:rPr>
      </w:pPr>
      <w:r>
        <w:rPr>
          <w:rFonts w:hint="eastAsia" w:ascii="宋体" w:hAnsi="宋体"/>
          <w:szCs w:val="21"/>
        </w:rPr>
        <w:t>依托自然语言处理处理技术，通过医学知识逻辑判断核心处理引擎，能将单病种数据中心的数据二次处理与归纳，形成真实有效且可填充临床数据，辅助临床诊疗及临床管理需求。</w:t>
      </w:r>
    </w:p>
    <w:p w14:paraId="5317C788">
      <w:pPr>
        <w:spacing w:line="400" w:lineRule="exact"/>
        <w:ind w:firstLine="420" w:firstLineChars="200"/>
        <w:rPr>
          <w:rFonts w:hint="eastAsia" w:ascii="宋体" w:hAnsi="宋体"/>
          <w:szCs w:val="21"/>
        </w:rPr>
      </w:pPr>
      <w:r>
        <w:rPr>
          <w:rFonts w:hint="eastAsia" w:ascii="宋体" w:hAnsi="宋体"/>
          <w:szCs w:val="21"/>
        </w:rPr>
        <w:t>按需定制灵活的机器学习规则，利用中文分词、词性标注、实体识别技术、根据不同医院的实际情况，为用户定制个性化的机器学习规则，快速批量生成指标解析结构化数据库，制定用户最佳体验的数据模型和学习规则，使数据抽取和文本分析更加精确。</w:t>
      </w:r>
    </w:p>
    <w:p w14:paraId="524E88B8">
      <w:pPr>
        <w:spacing w:line="400" w:lineRule="exact"/>
        <w:ind w:firstLine="420" w:firstLineChars="200"/>
        <w:rPr>
          <w:rFonts w:hint="eastAsia" w:ascii="宋体" w:hAnsi="宋体"/>
          <w:szCs w:val="21"/>
        </w:rPr>
      </w:pPr>
      <w:r>
        <w:rPr>
          <w:rFonts w:hint="eastAsia" w:ascii="宋体" w:hAnsi="宋体"/>
          <w:szCs w:val="21"/>
        </w:rPr>
        <w:t>4、指标模型配置</w:t>
      </w:r>
    </w:p>
    <w:p w14:paraId="29DFCC4B">
      <w:pPr>
        <w:spacing w:line="400" w:lineRule="exact"/>
        <w:ind w:firstLine="420" w:firstLineChars="200"/>
        <w:rPr>
          <w:rFonts w:hint="eastAsia" w:ascii="宋体" w:hAnsi="宋体"/>
          <w:szCs w:val="21"/>
        </w:rPr>
      </w:pPr>
      <w:r>
        <w:rPr>
          <w:rFonts w:hint="eastAsia" w:ascii="宋体" w:hAnsi="宋体"/>
          <w:szCs w:val="21"/>
        </w:rPr>
        <w:t>实现对55个病种每个指标的术语对照、归一，涉及病历文书、检验检查报告等各系统术语集管理及处理基础，形成55个病种表单数据自动填充的核心知识配置库。</w:t>
      </w:r>
    </w:p>
    <w:p w14:paraId="09AD1DBC">
      <w:pPr>
        <w:spacing w:line="400" w:lineRule="exact"/>
        <w:ind w:firstLine="420" w:firstLineChars="200"/>
        <w:rPr>
          <w:rFonts w:hint="eastAsia" w:ascii="宋体" w:hAnsi="宋体"/>
          <w:szCs w:val="21"/>
        </w:rPr>
      </w:pPr>
      <w:r>
        <w:rPr>
          <w:rFonts w:hint="eastAsia" w:ascii="宋体" w:hAnsi="宋体"/>
          <w:szCs w:val="21"/>
        </w:rPr>
        <w:t>基于指标解析引擎，指标模型配置细化到指标的下拉选项、单选项、复选项，支持指标之间的复杂逻辑关系，提高自动填充的准确度。通过对数据集成引擎汇聚而来的完整病人就诊数据进行深度挖掘和数据分析，实现病历文本的智能语义分析和指标数据的智能抽取，帮助用户收集更准确、更可靠的单病种指标数据，简化指标数据的填报流程和工作量，提高数据质量和工作效率。</w:t>
      </w:r>
    </w:p>
    <w:p w14:paraId="515A6985">
      <w:pPr>
        <w:spacing w:line="400" w:lineRule="exact"/>
        <w:ind w:firstLine="420" w:firstLineChars="200"/>
        <w:rPr>
          <w:rFonts w:hint="eastAsia" w:ascii="宋体" w:hAnsi="宋体"/>
          <w:szCs w:val="21"/>
        </w:rPr>
      </w:pPr>
      <w:r>
        <w:rPr>
          <w:rFonts w:hint="eastAsia" w:ascii="宋体" w:hAnsi="宋体"/>
          <w:szCs w:val="21"/>
        </w:rPr>
        <w:t>支持配置上报表单的基本信息数据；</w:t>
      </w:r>
    </w:p>
    <w:p w14:paraId="148F0450">
      <w:pPr>
        <w:spacing w:line="400" w:lineRule="exact"/>
        <w:ind w:firstLine="420" w:firstLineChars="200"/>
        <w:rPr>
          <w:rFonts w:hint="eastAsia" w:ascii="宋体" w:hAnsi="宋体"/>
          <w:szCs w:val="21"/>
        </w:rPr>
      </w:pPr>
      <w:r>
        <w:rPr>
          <w:rFonts w:hint="eastAsia" w:ascii="宋体" w:hAnsi="宋体"/>
          <w:szCs w:val="21"/>
        </w:rPr>
        <w:t>支持配置上报表单的诊疗相关数据，包括诊断、病情评估、用药、手术、预后等；</w:t>
      </w:r>
    </w:p>
    <w:p w14:paraId="4DA5213E">
      <w:pPr>
        <w:spacing w:line="400" w:lineRule="exact"/>
        <w:ind w:firstLine="420" w:firstLineChars="200"/>
        <w:rPr>
          <w:rFonts w:hint="eastAsia" w:ascii="宋体" w:hAnsi="宋体"/>
          <w:szCs w:val="21"/>
        </w:rPr>
      </w:pPr>
      <w:r>
        <w:rPr>
          <w:rFonts w:hint="eastAsia" w:ascii="宋体" w:hAnsi="宋体"/>
          <w:szCs w:val="21"/>
        </w:rPr>
        <w:t>支持不同数据来源的数据提取配置，包括数据库格式、文本文件格式、XML格式等，支持结构化数据、半结构化或非结构化数据。</w:t>
      </w:r>
    </w:p>
    <w:p w14:paraId="52F9197F">
      <w:pPr>
        <w:spacing w:line="400" w:lineRule="exact"/>
        <w:ind w:firstLine="420" w:firstLineChars="200"/>
        <w:rPr>
          <w:rFonts w:hint="eastAsia" w:ascii="宋体" w:hAnsi="宋体"/>
          <w:szCs w:val="21"/>
        </w:rPr>
      </w:pPr>
      <w:r>
        <w:rPr>
          <w:rFonts w:hint="eastAsia" w:ascii="宋体" w:hAnsi="宋体"/>
          <w:szCs w:val="21"/>
        </w:rPr>
        <w:t>5、填报批注功能</w:t>
      </w:r>
    </w:p>
    <w:p w14:paraId="3953EC09">
      <w:pPr>
        <w:spacing w:line="400" w:lineRule="exact"/>
        <w:ind w:firstLine="420" w:firstLineChars="200"/>
        <w:rPr>
          <w:rFonts w:hint="eastAsia" w:ascii="宋体" w:hAnsi="宋体"/>
          <w:szCs w:val="21"/>
        </w:rPr>
      </w:pPr>
      <w:r>
        <w:rPr>
          <w:rFonts w:hint="eastAsia" w:ascii="宋体" w:hAnsi="宋体"/>
          <w:szCs w:val="21"/>
        </w:rPr>
        <w:t xml:space="preserve">支持表单填报时针对整份表单或表单中的具体指标项目添加批注，记录批注人、批注时间、批注内容，支持回复与解答批注，并删除无效批注。 </w:t>
      </w:r>
    </w:p>
    <w:p w14:paraId="6392F95F">
      <w:pPr>
        <w:spacing w:line="400" w:lineRule="exact"/>
        <w:ind w:firstLine="420" w:firstLineChars="200"/>
        <w:rPr>
          <w:rFonts w:hint="eastAsia" w:ascii="宋体" w:hAnsi="宋体"/>
          <w:szCs w:val="21"/>
        </w:rPr>
      </w:pPr>
      <w:r>
        <w:rPr>
          <w:rFonts w:hint="eastAsia" w:ascii="宋体" w:hAnsi="宋体"/>
          <w:szCs w:val="21"/>
        </w:rPr>
        <w:t>6、填报数据溯源</w:t>
      </w:r>
    </w:p>
    <w:p w14:paraId="1875A521">
      <w:pPr>
        <w:spacing w:line="400" w:lineRule="exact"/>
        <w:ind w:firstLine="420" w:firstLineChars="200"/>
        <w:rPr>
          <w:rFonts w:hint="eastAsia" w:ascii="宋体" w:hAnsi="宋体"/>
          <w:szCs w:val="21"/>
        </w:rPr>
      </w:pPr>
      <w:r>
        <w:rPr>
          <w:rFonts w:hint="eastAsia" w:ascii="宋体" w:hAnsi="宋体"/>
          <w:szCs w:val="21"/>
        </w:rPr>
        <w:t>基于指标模型配置功能，配置表单指标项自动填充数据来源，如病历、医嘱、检验、检查等。表单填报时，针对自动填充的指标项，支持弹窗显示该指标项填充数据所在位置原文，医生可以根据原始数据，校验或调整该指标项填报内容。</w:t>
      </w:r>
    </w:p>
    <w:p w14:paraId="744CA0E0">
      <w:pPr>
        <w:spacing w:line="400" w:lineRule="exact"/>
        <w:ind w:firstLine="420" w:firstLineChars="200"/>
        <w:rPr>
          <w:rFonts w:hint="eastAsia" w:ascii="宋体" w:hAnsi="宋体"/>
          <w:szCs w:val="21"/>
        </w:rPr>
      </w:pPr>
      <w:r>
        <w:rPr>
          <w:rFonts w:hint="eastAsia" w:ascii="宋体" w:hAnsi="宋体"/>
          <w:szCs w:val="21"/>
        </w:rPr>
        <w:t>7、数据质量管理</w:t>
      </w:r>
    </w:p>
    <w:p w14:paraId="3AC4B2ED">
      <w:pPr>
        <w:spacing w:line="400" w:lineRule="exact"/>
        <w:ind w:firstLine="420" w:firstLineChars="200"/>
        <w:rPr>
          <w:rFonts w:hint="eastAsia" w:ascii="宋体" w:hAnsi="宋体"/>
          <w:szCs w:val="21"/>
        </w:rPr>
      </w:pPr>
      <w:r>
        <w:rPr>
          <w:rFonts w:hint="eastAsia" w:ascii="宋体" w:hAnsi="宋体"/>
          <w:szCs w:val="21"/>
        </w:rPr>
        <w:t>（1）三级医院考核指标</w:t>
      </w:r>
    </w:p>
    <w:p w14:paraId="27110A30">
      <w:pPr>
        <w:spacing w:line="400" w:lineRule="exact"/>
        <w:ind w:firstLine="420" w:firstLineChars="200"/>
        <w:rPr>
          <w:rFonts w:hint="eastAsia" w:ascii="宋体" w:hAnsi="宋体"/>
          <w:szCs w:val="21"/>
        </w:rPr>
      </w:pPr>
      <w:r>
        <w:rPr>
          <w:rFonts w:hint="eastAsia" w:ascii="宋体" w:hAnsi="宋体"/>
          <w:szCs w:val="21"/>
        </w:rPr>
        <w:t>支持按出院时间统计单病种的三级医院考核指标，具体包括：上报病例数，平均住院天数、平均住院费用、病死率等指标，并支持以箱线图、散点图、矩阵图展示。</w:t>
      </w:r>
    </w:p>
    <w:p w14:paraId="53C08FFB">
      <w:pPr>
        <w:spacing w:line="400" w:lineRule="exact"/>
        <w:ind w:firstLine="420" w:firstLineChars="200"/>
        <w:rPr>
          <w:rFonts w:hint="eastAsia" w:ascii="宋体" w:hAnsi="宋体"/>
          <w:szCs w:val="21"/>
        </w:rPr>
      </w:pPr>
      <w:r>
        <w:rPr>
          <w:rFonts w:hint="eastAsia" w:ascii="宋体" w:hAnsi="宋体"/>
          <w:szCs w:val="21"/>
        </w:rPr>
        <w:t>（2）临床质量安全质控</w:t>
      </w:r>
    </w:p>
    <w:p w14:paraId="1D606109">
      <w:pPr>
        <w:spacing w:line="400" w:lineRule="exact"/>
        <w:ind w:firstLine="420" w:firstLineChars="200"/>
        <w:rPr>
          <w:rFonts w:hint="eastAsia" w:ascii="宋体" w:hAnsi="宋体"/>
          <w:szCs w:val="21"/>
        </w:rPr>
      </w:pPr>
      <w:r>
        <w:rPr>
          <w:rFonts w:hint="eastAsia" w:ascii="宋体" w:hAnsi="宋体"/>
          <w:szCs w:val="21"/>
        </w:rPr>
        <w:t>支持根据《国家卫生健康委办公厅关于进一步加强单病种质量管理与控制工作的通知》中的质量控制要求，包括时间要求、用药要求、检验检查要求、治疗要求类指标、风险评估和预防类指标、诊断类指标、治疗类指标、结局相关指标以及成本效率等相关指标的统计和展示，并支持导出功能。</w:t>
      </w:r>
    </w:p>
    <w:p w14:paraId="15774960">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事中质控管理及提醒</w:t>
      </w:r>
    </w:p>
    <w:p w14:paraId="1C4696B5">
      <w:pPr>
        <w:spacing w:line="400" w:lineRule="exact"/>
        <w:ind w:firstLine="420" w:firstLineChars="200"/>
        <w:rPr>
          <w:rFonts w:hint="eastAsia" w:ascii="宋体" w:hAnsi="宋体"/>
          <w:szCs w:val="21"/>
        </w:rPr>
      </w:pPr>
      <w:r>
        <w:rPr>
          <w:rFonts w:hint="eastAsia" w:ascii="宋体" w:hAnsi="宋体"/>
          <w:szCs w:val="21"/>
        </w:rPr>
        <w:t>1、规则引擎及配置</w:t>
      </w:r>
    </w:p>
    <w:p w14:paraId="5B106562">
      <w:pPr>
        <w:spacing w:line="400" w:lineRule="exact"/>
        <w:ind w:firstLine="420" w:firstLineChars="200"/>
        <w:rPr>
          <w:rFonts w:hint="eastAsia" w:ascii="宋体" w:hAnsi="宋体"/>
          <w:szCs w:val="21"/>
        </w:rPr>
      </w:pPr>
      <w:r>
        <w:rPr>
          <w:rFonts w:hint="eastAsia" w:ascii="宋体" w:hAnsi="宋体"/>
          <w:szCs w:val="21"/>
        </w:rPr>
        <w:t>规则引擎是一种推理引擎，它是根据已有的事实，从规则知识库中匹配规则，并处理存在冲突的规则，执行最后筛选通过的规则。其核心思想是用分离的匹配项构造匹配网络，同时缓存中间结果，以空间换时间。可以被分为两个部分：规则编译和运行时执行。</w:t>
      </w:r>
    </w:p>
    <w:p w14:paraId="1F0E5352">
      <w:pPr>
        <w:spacing w:line="400" w:lineRule="exact"/>
        <w:ind w:firstLine="420" w:firstLineChars="200"/>
        <w:rPr>
          <w:rFonts w:hint="eastAsia" w:ascii="宋体" w:hAnsi="宋体"/>
          <w:szCs w:val="21"/>
        </w:rPr>
      </w:pPr>
      <w:r>
        <w:rPr>
          <w:rFonts w:hint="eastAsia" w:ascii="宋体" w:hAnsi="宋体"/>
          <w:szCs w:val="21"/>
        </w:rPr>
        <w:t>规则引擎的推理流程主要是先将接收的输入数据和患者临床数据存储到工作缓存中；然后使用模式匹配器将规则库中的规则与初始数据对比。如果同时激活多个规则，则执行规则存在冲突，将冲突的规则缓存至冲突集合中。解决冲突，按照顺序将激活的规则存在议程中。最后执行议程中的规则，直至到将议程中的所有规则执行完毕返回结果。</w:t>
      </w:r>
    </w:p>
    <w:p w14:paraId="039F27CA">
      <w:pPr>
        <w:spacing w:line="400" w:lineRule="exact"/>
        <w:ind w:firstLine="420" w:firstLineChars="200"/>
        <w:rPr>
          <w:rFonts w:hint="eastAsia" w:ascii="宋体" w:hAnsi="宋体"/>
          <w:szCs w:val="21"/>
        </w:rPr>
      </w:pPr>
      <w:r>
        <w:rPr>
          <w:rFonts w:hint="eastAsia" w:ascii="宋体" w:hAnsi="宋体"/>
          <w:szCs w:val="21"/>
        </w:rPr>
        <w:t>满足国家对单病种临床诊疗规范要求，是单病种事中质控的核心。规则引擎及配置功能，支持将单病种临床管理的事中质控内容转化成规则控制，从而使其具有满足病种管理诊疗规范的功能，实现为医生提供合理性提醒与临床辅助决策服务。</w:t>
      </w:r>
    </w:p>
    <w:p w14:paraId="0BC6304D">
      <w:pPr>
        <w:spacing w:line="400" w:lineRule="exact"/>
        <w:ind w:firstLine="420" w:firstLineChars="200"/>
        <w:rPr>
          <w:rFonts w:hint="eastAsia" w:ascii="宋体" w:hAnsi="宋体"/>
          <w:szCs w:val="21"/>
        </w:rPr>
      </w:pPr>
      <w:r>
        <w:rPr>
          <w:rFonts w:hint="eastAsia" w:ascii="宋体" w:hAnsi="宋体"/>
          <w:szCs w:val="21"/>
        </w:rPr>
        <w:t>规则引擎支持将病种的过程质控规则按病种分组拆分成多个指标，并以可视化形式进行维护，形成单病种过程质控诊疗规则库。如：ST,HF,STK,THR,KNEE等病种。</w:t>
      </w:r>
    </w:p>
    <w:p w14:paraId="4D37AB20">
      <w:pPr>
        <w:spacing w:line="400" w:lineRule="exact"/>
        <w:ind w:firstLine="420" w:firstLineChars="200"/>
        <w:rPr>
          <w:rFonts w:hint="eastAsia" w:ascii="宋体" w:hAnsi="宋体"/>
          <w:szCs w:val="21"/>
        </w:rPr>
      </w:pPr>
      <w:r>
        <w:rPr>
          <w:rFonts w:hint="eastAsia" w:ascii="宋体" w:hAnsi="宋体"/>
          <w:szCs w:val="21"/>
        </w:rPr>
        <w:t>2、智能助手</w:t>
      </w:r>
    </w:p>
    <w:p w14:paraId="6BACCA75">
      <w:pPr>
        <w:spacing w:line="400" w:lineRule="exact"/>
        <w:ind w:firstLine="420" w:firstLineChars="200"/>
        <w:rPr>
          <w:rFonts w:hint="eastAsia" w:ascii="宋体" w:hAnsi="宋体"/>
          <w:szCs w:val="21"/>
        </w:rPr>
      </w:pPr>
      <w:r>
        <w:rPr>
          <w:rFonts w:hint="eastAsia" w:ascii="宋体" w:hAnsi="宋体"/>
          <w:szCs w:val="21"/>
        </w:rPr>
        <w:t>智能助手支持根据病人病历内容、医嘱信息、检查检验结果等数据，以及在院流程数据，动态实时提醒医生规范诊疗。</w:t>
      </w:r>
    </w:p>
    <w:p w14:paraId="5EDFD08E">
      <w:pPr>
        <w:spacing w:line="400" w:lineRule="exact"/>
        <w:ind w:firstLine="420" w:firstLineChars="200"/>
        <w:rPr>
          <w:rFonts w:hint="eastAsia" w:ascii="宋体" w:hAnsi="宋体"/>
          <w:szCs w:val="21"/>
        </w:rPr>
      </w:pPr>
      <w:r>
        <w:rPr>
          <w:rFonts w:hint="eastAsia" w:ascii="宋体" w:hAnsi="宋体"/>
          <w:szCs w:val="21"/>
        </w:rPr>
        <w:t>支持通过API接口与医院信息系统无缝集成或嵌入，支持C/S与B/S架构，在临床业务系统上以悬浮窗模式展示，与业务系统业务上相辅相成，但不影响医生与护士正常临床工作。</w:t>
      </w:r>
    </w:p>
    <w:p w14:paraId="4B50C0B6">
      <w:pPr>
        <w:spacing w:line="400" w:lineRule="exact"/>
        <w:ind w:firstLine="420" w:firstLineChars="200"/>
        <w:rPr>
          <w:rFonts w:hint="eastAsia" w:ascii="宋体" w:hAnsi="宋体"/>
          <w:szCs w:val="21"/>
        </w:rPr>
      </w:pPr>
      <w:r>
        <w:rPr>
          <w:rFonts w:hint="eastAsia" w:ascii="宋体" w:hAnsi="宋体"/>
          <w:szCs w:val="21"/>
        </w:rPr>
        <w:t>支持与HIS/EMR系统集成对接，根据患者手术或者诊断内容判断是否符合单病种质控要求，智能实现病例入组。</w:t>
      </w:r>
    </w:p>
    <w:p w14:paraId="73FDD9E2">
      <w:pPr>
        <w:spacing w:line="400" w:lineRule="exact"/>
        <w:ind w:firstLine="420" w:firstLineChars="200"/>
        <w:rPr>
          <w:rFonts w:hint="eastAsia" w:ascii="宋体" w:hAnsi="宋体"/>
          <w:szCs w:val="21"/>
        </w:rPr>
      </w:pPr>
      <w:r>
        <w:rPr>
          <w:rFonts w:hint="eastAsia" w:ascii="宋体" w:hAnsi="宋体"/>
          <w:szCs w:val="21"/>
        </w:rPr>
        <w:t>支持根据患者病历内容变化、检查检验结果等，在医生下达医嘱时判断医生行为是否符合诊疗规范要求。如果存在不合理的地方，依据质控规则提醒医生进行调整。</w:t>
      </w:r>
    </w:p>
    <w:p w14:paraId="6C9CB626">
      <w:pPr>
        <w:spacing w:line="400" w:lineRule="exact"/>
        <w:ind w:firstLine="420" w:firstLineChars="200"/>
        <w:rPr>
          <w:rFonts w:hint="eastAsia" w:ascii="宋体" w:hAnsi="宋体"/>
          <w:szCs w:val="21"/>
        </w:rPr>
      </w:pPr>
      <w:r>
        <w:rPr>
          <w:rFonts w:hint="eastAsia" w:ascii="宋体" w:hAnsi="宋体"/>
          <w:szCs w:val="21"/>
        </w:rPr>
        <w:t>支持推荐相应的诊疗操作，辅助医生规范单病种临床诊疗行为。可以实时判断，精确到分钟，提高病种上报数据质量。若存在项目超时未做，会提示已超时字样，同时支持医生填写项目超时未做原因。</w:t>
      </w:r>
    </w:p>
    <w:p w14:paraId="5304C42B">
      <w:pPr>
        <w:spacing w:line="400" w:lineRule="exact"/>
        <w:ind w:firstLine="420" w:firstLineChars="200"/>
        <w:rPr>
          <w:rFonts w:hint="eastAsia" w:ascii="宋体" w:hAnsi="宋体"/>
          <w:szCs w:val="21"/>
        </w:rPr>
      </w:pPr>
      <w:r>
        <w:rPr>
          <w:rFonts w:hint="eastAsia" w:ascii="宋体" w:hAnsi="宋体"/>
          <w:szCs w:val="21"/>
        </w:rPr>
        <w:t>智能助手提供查看入组病例事中质控项任务清单，并用不同标识标识已做项目、未做项目。</w:t>
      </w:r>
    </w:p>
    <w:p w14:paraId="78E682E7">
      <w:pPr>
        <w:spacing w:line="400" w:lineRule="exact"/>
        <w:ind w:firstLine="420" w:firstLineChars="200"/>
        <w:rPr>
          <w:rFonts w:hint="eastAsia" w:ascii="宋体" w:hAnsi="宋体"/>
          <w:szCs w:val="21"/>
        </w:rPr>
      </w:pPr>
      <w:r>
        <w:rPr>
          <w:rFonts w:hint="eastAsia" w:ascii="宋体" w:hAnsi="宋体"/>
          <w:szCs w:val="21"/>
        </w:rPr>
        <w:t>3、质控病种</w:t>
      </w:r>
    </w:p>
    <w:p w14:paraId="3E38DD97">
      <w:pPr>
        <w:spacing w:line="400" w:lineRule="exact"/>
        <w:ind w:firstLine="420" w:firstLineChars="200"/>
        <w:rPr>
          <w:rFonts w:hint="eastAsia" w:ascii="宋体" w:hAnsi="宋体"/>
          <w:szCs w:val="21"/>
        </w:rPr>
      </w:pPr>
      <w:r>
        <w:rPr>
          <w:rFonts w:hint="eastAsia" w:ascii="宋体" w:hAnsi="宋体"/>
          <w:szCs w:val="21"/>
        </w:rPr>
        <w:t>质控病种要求包括：</w:t>
      </w:r>
    </w:p>
    <w:p w14:paraId="2699C57F">
      <w:pPr>
        <w:pStyle w:val="33"/>
        <w:numPr>
          <w:ilvl w:val="0"/>
          <w:numId w:val="5"/>
        </w:numPr>
        <w:spacing w:line="400" w:lineRule="exact"/>
        <w:ind w:firstLineChars="0"/>
        <w:rPr>
          <w:rFonts w:hint="eastAsia" w:ascii="宋体" w:hAnsi="宋体"/>
          <w:szCs w:val="21"/>
        </w:rPr>
      </w:pPr>
      <w:r>
        <w:rPr>
          <w:rFonts w:hint="eastAsia" w:ascii="宋体" w:hAnsi="宋体"/>
          <w:szCs w:val="21"/>
        </w:rPr>
        <w:t>急性心肌梗死（ST 段抬高型，首次住院）（STEMI）</w:t>
      </w:r>
    </w:p>
    <w:p w14:paraId="743A523B">
      <w:pPr>
        <w:pStyle w:val="33"/>
        <w:numPr>
          <w:ilvl w:val="0"/>
          <w:numId w:val="5"/>
        </w:numPr>
        <w:spacing w:line="400" w:lineRule="exact"/>
        <w:ind w:firstLineChars="0"/>
        <w:rPr>
          <w:rFonts w:hint="eastAsia" w:ascii="宋体" w:hAnsi="宋体"/>
          <w:szCs w:val="21"/>
        </w:rPr>
      </w:pPr>
      <w:r>
        <w:rPr>
          <w:rFonts w:hint="eastAsia" w:ascii="宋体" w:hAnsi="宋体"/>
          <w:szCs w:val="21"/>
        </w:rPr>
        <w:t>心力衰竭（HF）</w:t>
      </w:r>
    </w:p>
    <w:p w14:paraId="7C718B01">
      <w:pPr>
        <w:pStyle w:val="33"/>
        <w:numPr>
          <w:ilvl w:val="0"/>
          <w:numId w:val="5"/>
        </w:numPr>
        <w:spacing w:line="400" w:lineRule="exact"/>
        <w:ind w:firstLineChars="0"/>
        <w:rPr>
          <w:rFonts w:hint="eastAsia" w:ascii="宋体" w:hAnsi="宋体"/>
          <w:szCs w:val="21"/>
        </w:rPr>
      </w:pPr>
      <w:r>
        <w:rPr>
          <w:rFonts w:hint="eastAsia" w:ascii="宋体" w:hAnsi="宋体"/>
          <w:szCs w:val="21"/>
        </w:rPr>
        <w:t>社区获得性肺炎（成人，首次住院）（CAP）</w:t>
      </w:r>
    </w:p>
    <w:p w14:paraId="2AEEA305">
      <w:pPr>
        <w:pStyle w:val="33"/>
        <w:numPr>
          <w:ilvl w:val="0"/>
          <w:numId w:val="5"/>
        </w:numPr>
        <w:spacing w:line="400" w:lineRule="exact"/>
        <w:ind w:firstLineChars="0"/>
        <w:rPr>
          <w:rFonts w:hint="eastAsia" w:ascii="宋体" w:hAnsi="宋体"/>
          <w:szCs w:val="21"/>
        </w:rPr>
      </w:pPr>
      <w:r>
        <w:rPr>
          <w:rFonts w:hint="eastAsia" w:ascii="宋体" w:hAnsi="宋体"/>
          <w:szCs w:val="21"/>
        </w:rPr>
        <w:t>脑梗死（首次住院）（STK）</w:t>
      </w:r>
    </w:p>
    <w:p w14:paraId="1FF0C1D2">
      <w:pPr>
        <w:pStyle w:val="33"/>
        <w:numPr>
          <w:ilvl w:val="0"/>
          <w:numId w:val="5"/>
        </w:numPr>
        <w:spacing w:line="400" w:lineRule="exact"/>
        <w:ind w:firstLineChars="0"/>
        <w:rPr>
          <w:rFonts w:hint="eastAsia" w:ascii="宋体" w:hAnsi="宋体"/>
          <w:szCs w:val="21"/>
        </w:rPr>
      </w:pPr>
      <w:r>
        <w:rPr>
          <w:rFonts w:hint="eastAsia" w:ascii="宋体" w:hAnsi="宋体"/>
          <w:szCs w:val="21"/>
        </w:rPr>
        <w:t>髋关节置换术（THR）</w:t>
      </w:r>
    </w:p>
    <w:p w14:paraId="7248684F">
      <w:pPr>
        <w:pStyle w:val="33"/>
        <w:numPr>
          <w:ilvl w:val="0"/>
          <w:numId w:val="5"/>
        </w:numPr>
        <w:spacing w:line="400" w:lineRule="exact"/>
        <w:ind w:firstLineChars="0"/>
        <w:rPr>
          <w:rFonts w:hint="eastAsia" w:ascii="宋体" w:hAnsi="宋体"/>
          <w:szCs w:val="21"/>
        </w:rPr>
      </w:pPr>
      <w:r>
        <w:rPr>
          <w:rFonts w:hint="eastAsia" w:ascii="宋体" w:hAnsi="宋体"/>
          <w:szCs w:val="21"/>
        </w:rPr>
        <w:t>膝关节置换术（KNEE）</w:t>
      </w:r>
    </w:p>
    <w:p w14:paraId="5ED6826D">
      <w:pPr>
        <w:pStyle w:val="33"/>
        <w:numPr>
          <w:ilvl w:val="0"/>
          <w:numId w:val="5"/>
        </w:numPr>
        <w:spacing w:line="400" w:lineRule="exact"/>
        <w:ind w:firstLineChars="0"/>
        <w:rPr>
          <w:rFonts w:hint="eastAsia" w:ascii="宋体" w:hAnsi="宋体"/>
          <w:szCs w:val="21"/>
        </w:rPr>
      </w:pPr>
      <w:r>
        <w:rPr>
          <w:rFonts w:hint="eastAsia" w:ascii="宋体" w:hAnsi="宋体"/>
          <w:szCs w:val="21"/>
        </w:rPr>
        <w:t>剖宫产（CS）</w:t>
      </w:r>
    </w:p>
    <w:p w14:paraId="665686CE">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电子病历评级辅助</w:t>
      </w:r>
    </w:p>
    <w:p w14:paraId="207E8CAA">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数据质量工具</w:t>
      </w:r>
    </w:p>
    <w:p w14:paraId="31E72AF4">
      <w:pPr>
        <w:spacing w:line="400" w:lineRule="exact"/>
        <w:ind w:firstLine="420" w:firstLineChars="200"/>
        <w:rPr>
          <w:rFonts w:hint="eastAsia" w:ascii="宋体" w:hAnsi="宋体"/>
          <w:szCs w:val="21"/>
        </w:rPr>
      </w:pPr>
      <w:r>
        <w:rPr>
          <w:rFonts w:hint="eastAsia" w:ascii="宋体" w:hAnsi="宋体"/>
          <w:szCs w:val="21"/>
        </w:rPr>
        <w:t>1、评级首页</w:t>
      </w:r>
    </w:p>
    <w:p w14:paraId="0C679A47">
      <w:pPr>
        <w:spacing w:line="400" w:lineRule="exact"/>
        <w:ind w:firstLine="420" w:firstLineChars="200"/>
        <w:rPr>
          <w:rFonts w:hint="eastAsia" w:ascii="宋体" w:hAnsi="宋体"/>
          <w:szCs w:val="21"/>
        </w:rPr>
      </w:pPr>
      <w:r>
        <w:rPr>
          <w:rFonts w:hint="eastAsia" w:ascii="宋体" w:hAnsi="宋体"/>
          <w:szCs w:val="21"/>
        </w:rPr>
        <w:t>评级首页要求支持针对不同角色分配不同的菜单权限、功能权限以及数据调阅权限。首页展示内容要求包括评级模块数量、评级项目数量、考察项目类型数量、评级等级数量，以及数据改善趋势图和规则配置情况。</w:t>
      </w:r>
    </w:p>
    <w:p w14:paraId="7D963BC7">
      <w:pPr>
        <w:spacing w:line="400" w:lineRule="exact"/>
        <w:ind w:firstLine="420" w:firstLineChars="200"/>
        <w:rPr>
          <w:rFonts w:hint="eastAsia" w:ascii="宋体" w:hAnsi="宋体"/>
          <w:szCs w:val="21"/>
        </w:rPr>
      </w:pPr>
      <w:r>
        <w:rPr>
          <w:rFonts w:hint="eastAsia" w:ascii="宋体" w:hAnsi="宋体"/>
          <w:szCs w:val="21"/>
        </w:rPr>
        <w:t>2、评级标准管理</w:t>
      </w:r>
    </w:p>
    <w:p w14:paraId="07804505">
      <w:pPr>
        <w:spacing w:line="400" w:lineRule="exact"/>
        <w:ind w:firstLine="420" w:firstLineChars="200"/>
        <w:rPr>
          <w:rFonts w:hint="eastAsia" w:ascii="宋体" w:hAnsi="宋体"/>
          <w:szCs w:val="21"/>
        </w:rPr>
      </w:pPr>
      <w:r>
        <w:rPr>
          <w:rFonts w:hint="eastAsia" w:ascii="宋体" w:hAnsi="宋体"/>
          <w:szCs w:val="21"/>
        </w:rPr>
        <w:t>电子病历评级内容标准化管理的目的在于保证与提高医院电子病历数据质量，实现电子病历评级数据质量目标，要求通过数据质量评分体系对医院电子病历数据质量进行规则校验，提升医院电子病历管理使用水平。建设内容要求包括：工作角色管理、评价项目管理、考察项目管理、考察类别管理。</w:t>
      </w:r>
    </w:p>
    <w:p w14:paraId="5EE490E1">
      <w:pPr>
        <w:spacing w:line="400" w:lineRule="exact"/>
        <w:ind w:firstLine="420" w:firstLineChars="200"/>
        <w:rPr>
          <w:rFonts w:hint="eastAsia" w:ascii="宋体" w:hAnsi="宋体"/>
          <w:szCs w:val="21"/>
        </w:rPr>
      </w:pPr>
      <w:r>
        <w:rPr>
          <w:rFonts w:hint="eastAsia" w:ascii="宋体" w:hAnsi="宋体"/>
          <w:szCs w:val="21"/>
        </w:rPr>
        <w:t>3、质控规则配置</w:t>
      </w:r>
    </w:p>
    <w:p w14:paraId="0196ED32">
      <w:pPr>
        <w:spacing w:line="400" w:lineRule="exact"/>
        <w:ind w:firstLine="420" w:firstLineChars="200"/>
        <w:rPr>
          <w:rFonts w:hint="eastAsia" w:ascii="宋体" w:hAnsi="宋体"/>
          <w:szCs w:val="21"/>
        </w:rPr>
      </w:pPr>
      <w:r>
        <w:rPr>
          <w:rFonts w:hint="eastAsia" w:ascii="宋体" w:hAnsi="宋体"/>
          <w:szCs w:val="21"/>
        </w:rPr>
        <w:t>在电子病历评级工作中，需要针对考察项目进行规则配置的场景，系统要求支持基于一致性、完整性、整合性、及时性以上四个数据校验规则进行配置，规则配置详情信息包括规则名称、要求项目名称、医院项目名称、数据库表与字段名、数据库字典表与字段名、数据记录值查询语法。</w:t>
      </w:r>
    </w:p>
    <w:p w14:paraId="16164865">
      <w:pPr>
        <w:spacing w:line="400" w:lineRule="exact"/>
        <w:ind w:firstLine="420" w:firstLineChars="200"/>
        <w:rPr>
          <w:rFonts w:hint="eastAsia" w:ascii="宋体" w:hAnsi="宋体"/>
          <w:szCs w:val="21"/>
        </w:rPr>
      </w:pPr>
      <w:r>
        <w:rPr>
          <w:rFonts w:hint="eastAsia" w:ascii="宋体" w:hAnsi="宋体"/>
          <w:szCs w:val="21"/>
        </w:rPr>
        <w:t>4、数据源管理</w:t>
      </w:r>
    </w:p>
    <w:p w14:paraId="6FE40B21">
      <w:pPr>
        <w:spacing w:line="400" w:lineRule="exact"/>
        <w:ind w:firstLine="420" w:firstLineChars="200"/>
        <w:rPr>
          <w:rFonts w:hint="eastAsia" w:ascii="宋体" w:hAnsi="宋体"/>
          <w:szCs w:val="21"/>
        </w:rPr>
      </w:pPr>
      <w:r>
        <w:rPr>
          <w:rFonts w:hint="eastAsia" w:ascii="宋体" w:hAnsi="宋体"/>
          <w:szCs w:val="21"/>
        </w:rPr>
        <w:t>要求支持各数据源信息独立进行管理维护，在需要时可以及时更新，灵活组合不同源的数据，实现快速接入电子病历数据，为电子病历数据质量评估工作提供数据源支撑。系统要求支持多种主流数据库的数据源管理，如Oracle、Mysql、sqlServer以上三个主流数据库，也支持测试数据库是否成功连接功能。</w:t>
      </w:r>
    </w:p>
    <w:p w14:paraId="1A8BDE6C">
      <w:pPr>
        <w:spacing w:line="400" w:lineRule="exact"/>
        <w:ind w:firstLine="420" w:firstLineChars="200"/>
        <w:rPr>
          <w:rFonts w:hint="eastAsia" w:ascii="宋体" w:hAnsi="宋体"/>
          <w:szCs w:val="21"/>
        </w:rPr>
      </w:pPr>
      <w:r>
        <w:rPr>
          <w:rFonts w:hint="eastAsia" w:ascii="宋体" w:hAnsi="宋体"/>
          <w:szCs w:val="21"/>
        </w:rPr>
        <w:t>5、模拟上报</w:t>
      </w:r>
    </w:p>
    <w:p w14:paraId="02E0A6FC">
      <w:pPr>
        <w:spacing w:line="400" w:lineRule="exact"/>
        <w:ind w:firstLine="420" w:firstLineChars="200"/>
        <w:rPr>
          <w:rFonts w:hint="eastAsia" w:ascii="宋体" w:hAnsi="宋体"/>
          <w:szCs w:val="21"/>
        </w:rPr>
      </w:pPr>
      <w:r>
        <w:rPr>
          <w:rFonts w:hint="eastAsia" w:ascii="宋体" w:hAnsi="宋体"/>
          <w:szCs w:val="21"/>
        </w:rPr>
        <w:t>模拟上报功能要求支持动态配置表单项，模拟生成上报网页。要求提供手写值、配置SQL、关联基础数据等三种值写入方式，支持基础校验和提示功能，实现简易的模拟上报服务，模拟上报完成后可得出结论值和细项信息。通过结论值和细项信息筛选出不符合上报要求的记录，并及时通知业务系统负责人整改数据，直至数据符合上报要求。</w:t>
      </w:r>
    </w:p>
    <w:p w14:paraId="7F72CB8A">
      <w:pPr>
        <w:spacing w:line="400" w:lineRule="exact"/>
        <w:ind w:firstLine="420" w:firstLineChars="200"/>
        <w:rPr>
          <w:rFonts w:hint="eastAsia" w:ascii="宋体" w:hAnsi="宋体"/>
          <w:szCs w:val="21"/>
        </w:rPr>
      </w:pPr>
      <w:r>
        <w:rPr>
          <w:rFonts w:hint="eastAsia" w:ascii="宋体" w:hAnsi="宋体"/>
          <w:szCs w:val="21"/>
        </w:rPr>
        <w:t>6、评估报表</w:t>
      </w:r>
    </w:p>
    <w:p w14:paraId="71F75D9A">
      <w:pPr>
        <w:spacing w:line="400" w:lineRule="exact"/>
        <w:ind w:firstLine="420" w:firstLineChars="200"/>
        <w:rPr>
          <w:rFonts w:hint="eastAsia" w:ascii="宋体" w:hAnsi="宋体"/>
          <w:szCs w:val="21"/>
        </w:rPr>
      </w:pPr>
      <w:r>
        <w:rPr>
          <w:rFonts w:hint="eastAsia" w:ascii="宋体" w:hAnsi="宋体"/>
          <w:szCs w:val="21"/>
        </w:rPr>
        <w:t>评估报表通过对数据进行统计汇总，根据统计的数据辅助电子病历评级工作，当评估结果系数不为1时，要求支持添加编辑评估结果系数不为1的原因内容和整改措施的具体内容。同时要求支持将枯燥的数据转化为可以更加直观的分析图表图形，如饼状体、柱状图、进度图等，支持对图表进行直观的对比，快速查找到能作为参考依据的数据项。</w:t>
      </w:r>
    </w:p>
    <w:p w14:paraId="39CEC013">
      <w:pPr>
        <w:spacing w:line="400" w:lineRule="exact"/>
        <w:ind w:firstLine="420" w:firstLineChars="200"/>
        <w:rPr>
          <w:rFonts w:hint="eastAsia" w:ascii="宋体" w:hAnsi="宋体"/>
          <w:szCs w:val="21"/>
        </w:rPr>
      </w:pPr>
      <w:r>
        <w:rPr>
          <w:rFonts w:hint="eastAsia" w:ascii="宋体" w:hAnsi="宋体"/>
          <w:szCs w:val="21"/>
        </w:rPr>
        <w:t>评估报表内容要求包括考察项目与要求项目、数据库表与字段名、数据字典表与字段名、数据质量计算公式等、支持下载word格式数据质量评级报表,通过数据质量报表，用户可直观的查看该报表涉及的数据质量考察项目信息，要求包括考察项目名称、总记录数、符合评级要求的记录数，结果比例系数，从而进一步分析电子病历数据质量情况。</w:t>
      </w:r>
    </w:p>
    <w:p w14:paraId="4BAB7EBB">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电子病历四级评级过程支持服务</w:t>
      </w:r>
    </w:p>
    <w:p w14:paraId="0D29A002">
      <w:pPr>
        <w:spacing w:line="400" w:lineRule="exact"/>
        <w:ind w:firstLine="420" w:firstLineChars="200"/>
        <w:rPr>
          <w:rFonts w:hint="eastAsia" w:ascii="宋体" w:hAnsi="宋体"/>
          <w:szCs w:val="21"/>
        </w:rPr>
      </w:pPr>
      <w:r>
        <w:rPr>
          <w:rFonts w:hint="eastAsia" w:ascii="宋体" w:hAnsi="宋体"/>
          <w:szCs w:val="21"/>
        </w:rPr>
        <w:t>以《电子病历系统功能应用水平分级评价方法及标准（2018版）》四级的相应测评等级要求，作为评审目标进行项目自评，然后根据自评结果与电子病历四级的差异项进行项目建设完善工作，再进行项目文审实证材料准备和报审的相关工作，在此期间医院各部门及各系统承建商应积极配合相关工作。要求包括项目差距调研分析评估服务、申报材料整理的指导和准备、网上申报支持、文审答辩支持。</w:t>
      </w:r>
    </w:p>
    <w:p w14:paraId="10EC1890">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下属医疗机构推广实施</w:t>
      </w:r>
    </w:p>
    <w:p w14:paraId="4C7709C1">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龙潭镇卫生院信息系统推广实施</w:t>
      </w:r>
    </w:p>
    <w:p w14:paraId="0DBE08DC">
      <w:pPr>
        <w:spacing w:line="400" w:lineRule="exact"/>
        <w:ind w:firstLine="420" w:firstLineChars="200"/>
        <w:rPr>
          <w:rFonts w:hint="eastAsia" w:ascii="宋体" w:hAnsi="宋体"/>
          <w:szCs w:val="21"/>
        </w:rPr>
      </w:pPr>
      <w:r>
        <w:rPr>
          <w:rFonts w:hint="eastAsia" w:ascii="宋体" w:hAnsi="宋体"/>
          <w:szCs w:val="21"/>
        </w:rPr>
        <w:t>要求下属医疗机构（龙潭镇卫生院）使用统一部署在总院的一体化医院信息系统，实现总院与下属医疗机构的统一管理。要求下属医疗机构具有独立系统、独立机构、医疗项目价格分级管理，系统模块功能参数与总院一期和二期系统模块参数一致，详细模块清单如下：</w:t>
      </w:r>
    </w:p>
    <w:tbl>
      <w:tblPr>
        <w:tblStyle w:val="26"/>
        <w:tblW w:w="9039" w:type="dxa"/>
        <w:jc w:val="center"/>
        <w:tblLayout w:type="autofit"/>
        <w:tblCellMar>
          <w:top w:w="0" w:type="dxa"/>
          <w:left w:w="108" w:type="dxa"/>
          <w:bottom w:w="0" w:type="dxa"/>
          <w:right w:w="108" w:type="dxa"/>
        </w:tblCellMar>
      </w:tblPr>
      <w:tblGrid>
        <w:gridCol w:w="1474"/>
        <w:gridCol w:w="2631"/>
        <w:gridCol w:w="4934"/>
      </w:tblGrid>
      <w:tr w14:paraId="4DCBDD92">
        <w:tblPrEx>
          <w:tblCellMar>
            <w:top w:w="0" w:type="dxa"/>
            <w:left w:w="108" w:type="dxa"/>
            <w:bottom w:w="0" w:type="dxa"/>
            <w:right w:w="108" w:type="dxa"/>
          </w:tblCellMar>
        </w:tblPrEx>
        <w:trPr>
          <w:trHeight w:val="280" w:hRule="atLeast"/>
          <w:jc w:val="center"/>
        </w:trPr>
        <w:tc>
          <w:tcPr>
            <w:tcW w:w="14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6687EF">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系统名称</w:t>
            </w:r>
          </w:p>
        </w:tc>
        <w:tc>
          <w:tcPr>
            <w:tcW w:w="2631" w:type="dxa"/>
            <w:tcBorders>
              <w:top w:val="single" w:color="auto" w:sz="4" w:space="0"/>
              <w:left w:val="nil"/>
              <w:bottom w:val="single" w:color="auto" w:sz="4" w:space="0"/>
              <w:right w:val="single" w:color="auto" w:sz="4" w:space="0"/>
            </w:tcBorders>
            <w:shd w:val="clear" w:color="auto" w:fill="auto"/>
            <w:noWrap/>
            <w:vAlign w:val="center"/>
          </w:tcPr>
          <w:p w14:paraId="4E79B583">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模块类别</w:t>
            </w:r>
          </w:p>
        </w:tc>
        <w:tc>
          <w:tcPr>
            <w:tcW w:w="4934" w:type="dxa"/>
            <w:tcBorders>
              <w:top w:val="single" w:color="auto" w:sz="4" w:space="0"/>
              <w:left w:val="nil"/>
              <w:bottom w:val="single" w:color="auto" w:sz="4" w:space="0"/>
              <w:right w:val="single" w:color="auto" w:sz="4" w:space="0"/>
            </w:tcBorders>
            <w:shd w:val="clear" w:color="auto" w:fill="auto"/>
            <w:noWrap/>
            <w:vAlign w:val="center"/>
          </w:tcPr>
          <w:p w14:paraId="2E354CB1">
            <w:pPr>
              <w:widowControl/>
              <w:spacing w:line="400" w:lineRule="exact"/>
              <w:jc w:val="center"/>
              <w:rPr>
                <w:rFonts w:hint="eastAsia" w:ascii="宋体" w:hAnsi="宋体" w:cs="宋体"/>
                <w:b/>
                <w:bCs/>
                <w:kern w:val="0"/>
                <w:szCs w:val="21"/>
              </w:rPr>
            </w:pPr>
            <w:r>
              <w:rPr>
                <w:rFonts w:hint="eastAsia" w:ascii="宋体" w:hAnsi="宋体" w:cs="宋体"/>
                <w:b/>
                <w:bCs/>
                <w:kern w:val="0"/>
                <w:szCs w:val="21"/>
              </w:rPr>
              <w:t>模块名称</w:t>
            </w:r>
          </w:p>
        </w:tc>
      </w:tr>
      <w:tr w14:paraId="1C78658A">
        <w:tblPrEx>
          <w:tblCellMar>
            <w:top w:w="0" w:type="dxa"/>
            <w:left w:w="108" w:type="dxa"/>
            <w:bottom w:w="0" w:type="dxa"/>
            <w:right w:w="108" w:type="dxa"/>
          </w:tblCellMar>
        </w:tblPrEx>
        <w:trPr>
          <w:trHeight w:val="280" w:hRule="atLeast"/>
          <w:jc w:val="center"/>
        </w:trPr>
        <w:tc>
          <w:tcPr>
            <w:tcW w:w="1474" w:type="dxa"/>
            <w:vMerge w:val="restart"/>
            <w:tcBorders>
              <w:top w:val="nil"/>
              <w:left w:val="single" w:color="auto" w:sz="4" w:space="0"/>
              <w:bottom w:val="single" w:color="auto" w:sz="4" w:space="0"/>
              <w:right w:val="single" w:color="auto" w:sz="4" w:space="0"/>
            </w:tcBorders>
            <w:shd w:val="clear" w:color="auto" w:fill="auto"/>
            <w:noWrap/>
            <w:vAlign w:val="center"/>
          </w:tcPr>
          <w:p w14:paraId="20FFF784">
            <w:pPr>
              <w:widowControl/>
              <w:spacing w:line="400" w:lineRule="exact"/>
              <w:jc w:val="center"/>
              <w:rPr>
                <w:rFonts w:hint="eastAsia" w:ascii="宋体" w:hAnsi="宋体" w:cs="宋体"/>
                <w:kern w:val="0"/>
                <w:szCs w:val="21"/>
              </w:rPr>
            </w:pPr>
            <w:r>
              <w:rPr>
                <w:rFonts w:hint="eastAsia" w:ascii="宋体" w:hAnsi="宋体" w:cs="宋体"/>
                <w:kern w:val="0"/>
                <w:szCs w:val="21"/>
              </w:rPr>
              <w:t>HIS</w:t>
            </w: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16C755C0">
            <w:pPr>
              <w:widowControl/>
              <w:spacing w:line="400" w:lineRule="exact"/>
              <w:jc w:val="center"/>
              <w:rPr>
                <w:rFonts w:hint="eastAsia" w:ascii="宋体" w:hAnsi="宋体" w:cs="宋体"/>
                <w:kern w:val="0"/>
                <w:szCs w:val="21"/>
              </w:rPr>
            </w:pPr>
            <w:r>
              <w:rPr>
                <w:rFonts w:hint="eastAsia" w:ascii="宋体" w:hAnsi="宋体" w:cs="宋体"/>
                <w:kern w:val="0"/>
                <w:szCs w:val="21"/>
              </w:rPr>
              <w:t>门诊管理</w:t>
            </w:r>
          </w:p>
        </w:tc>
        <w:tc>
          <w:tcPr>
            <w:tcW w:w="4934" w:type="dxa"/>
            <w:tcBorders>
              <w:top w:val="nil"/>
              <w:left w:val="nil"/>
              <w:bottom w:val="single" w:color="auto" w:sz="4" w:space="0"/>
              <w:right w:val="single" w:color="auto" w:sz="4" w:space="0"/>
            </w:tcBorders>
            <w:shd w:val="clear" w:color="auto" w:fill="auto"/>
            <w:noWrap/>
            <w:vAlign w:val="center"/>
          </w:tcPr>
          <w:p w14:paraId="78317592">
            <w:pPr>
              <w:widowControl/>
              <w:spacing w:line="400" w:lineRule="exact"/>
              <w:jc w:val="left"/>
              <w:rPr>
                <w:rFonts w:hint="eastAsia" w:ascii="宋体" w:hAnsi="宋体" w:cs="宋体"/>
                <w:kern w:val="0"/>
                <w:szCs w:val="21"/>
              </w:rPr>
            </w:pPr>
            <w:r>
              <w:rPr>
                <w:rFonts w:hint="eastAsia" w:ascii="宋体" w:hAnsi="宋体" w:cs="宋体"/>
                <w:kern w:val="0"/>
                <w:szCs w:val="21"/>
              </w:rPr>
              <w:t>门急诊挂号收费系统</w:t>
            </w:r>
          </w:p>
        </w:tc>
      </w:tr>
      <w:tr w14:paraId="2BD4C9C1">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51DC3094">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0740889E">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51C5C99F">
            <w:pPr>
              <w:widowControl/>
              <w:spacing w:line="400" w:lineRule="exact"/>
              <w:jc w:val="left"/>
              <w:rPr>
                <w:rFonts w:hint="eastAsia" w:ascii="宋体" w:hAnsi="宋体" w:cs="宋体"/>
                <w:kern w:val="0"/>
                <w:szCs w:val="21"/>
              </w:rPr>
            </w:pPr>
            <w:r>
              <w:rPr>
                <w:rFonts w:hint="eastAsia" w:ascii="宋体" w:hAnsi="宋体" w:cs="宋体"/>
                <w:kern w:val="0"/>
                <w:szCs w:val="21"/>
              </w:rPr>
              <w:t>门诊医生工作站</w:t>
            </w:r>
          </w:p>
        </w:tc>
      </w:tr>
      <w:tr w14:paraId="0D3A0973">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1D4CC7A8">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5944A01">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44E7D743">
            <w:pPr>
              <w:widowControl/>
              <w:spacing w:line="400" w:lineRule="exact"/>
              <w:jc w:val="left"/>
              <w:rPr>
                <w:rFonts w:hint="eastAsia" w:ascii="宋体" w:hAnsi="宋体" w:cs="宋体"/>
                <w:kern w:val="0"/>
                <w:szCs w:val="21"/>
              </w:rPr>
            </w:pPr>
            <w:r>
              <w:rPr>
                <w:rFonts w:hint="eastAsia" w:ascii="宋体" w:hAnsi="宋体" w:cs="宋体"/>
                <w:kern w:val="0"/>
                <w:szCs w:val="21"/>
              </w:rPr>
              <w:t>门诊护士工作站</w:t>
            </w:r>
          </w:p>
        </w:tc>
      </w:tr>
      <w:tr w14:paraId="1B2C66CF">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68927AB">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56C38903">
            <w:pPr>
              <w:widowControl/>
              <w:spacing w:line="400" w:lineRule="exact"/>
              <w:jc w:val="center"/>
              <w:rPr>
                <w:rFonts w:hint="eastAsia" w:ascii="宋体" w:hAnsi="宋体" w:cs="宋体"/>
                <w:kern w:val="0"/>
                <w:szCs w:val="21"/>
              </w:rPr>
            </w:pPr>
            <w:r>
              <w:rPr>
                <w:rFonts w:hint="eastAsia" w:ascii="宋体" w:hAnsi="宋体" w:cs="宋体"/>
                <w:kern w:val="0"/>
                <w:szCs w:val="21"/>
              </w:rPr>
              <w:t>门诊预约</w:t>
            </w:r>
          </w:p>
        </w:tc>
        <w:tc>
          <w:tcPr>
            <w:tcW w:w="4934" w:type="dxa"/>
            <w:tcBorders>
              <w:top w:val="nil"/>
              <w:left w:val="nil"/>
              <w:bottom w:val="single" w:color="auto" w:sz="4" w:space="0"/>
              <w:right w:val="single" w:color="auto" w:sz="4" w:space="0"/>
            </w:tcBorders>
            <w:shd w:val="clear" w:color="auto" w:fill="auto"/>
            <w:noWrap/>
            <w:vAlign w:val="center"/>
          </w:tcPr>
          <w:p w14:paraId="266C1348">
            <w:pPr>
              <w:widowControl/>
              <w:spacing w:line="400" w:lineRule="exact"/>
              <w:jc w:val="left"/>
              <w:rPr>
                <w:rFonts w:hint="eastAsia" w:ascii="宋体" w:hAnsi="宋体" w:cs="宋体"/>
                <w:kern w:val="0"/>
                <w:szCs w:val="21"/>
              </w:rPr>
            </w:pPr>
            <w:r>
              <w:rPr>
                <w:rFonts w:hint="eastAsia" w:ascii="宋体" w:hAnsi="宋体" w:cs="宋体"/>
                <w:kern w:val="0"/>
                <w:szCs w:val="21"/>
              </w:rPr>
              <w:t>门诊预约管理</w:t>
            </w:r>
          </w:p>
        </w:tc>
      </w:tr>
      <w:tr w14:paraId="01880AA9">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1170C8C7">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ED328E6">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75D4D8A4">
            <w:pPr>
              <w:widowControl/>
              <w:spacing w:line="400" w:lineRule="exact"/>
              <w:jc w:val="left"/>
              <w:rPr>
                <w:rFonts w:hint="eastAsia" w:ascii="宋体" w:hAnsi="宋体" w:cs="宋体"/>
                <w:kern w:val="0"/>
                <w:szCs w:val="21"/>
              </w:rPr>
            </w:pPr>
            <w:r>
              <w:rPr>
                <w:rFonts w:hint="eastAsia" w:ascii="宋体" w:hAnsi="宋体" w:cs="宋体"/>
                <w:kern w:val="0"/>
                <w:szCs w:val="21"/>
              </w:rPr>
              <w:t>门诊排班管理</w:t>
            </w:r>
          </w:p>
        </w:tc>
      </w:tr>
      <w:tr w14:paraId="586E92A8">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5B0DAB44">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3670408C">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0B690EEF">
            <w:pPr>
              <w:widowControl/>
              <w:spacing w:line="400" w:lineRule="exact"/>
              <w:jc w:val="left"/>
              <w:rPr>
                <w:rFonts w:hint="eastAsia" w:ascii="宋体" w:hAnsi="宋体" w:cs="宋体"/>
                <w:kern w:val="0"/>
                <w:szCs w:val="21"/>
              </w:rPr>
            </w:pPr>
            <w:r>
              <w:rPr>
                <w:rFonts w:hint="eastAsia" w:ascii="宋体" w:hAnsi="宋体" w:cs="宋体"/>
                <w:kern w:val="0"/>
                <w:szCs w:val="21"/>
              </w:rPr>
              <w:t>门诊分诊管理</w:t>
            </w:r>
          </w:p>
        </w:tc>
      </w:tr>
      <w:tr w14:paraId="56BF72EC">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24FD1AD6">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1CFB5B7C">
            <w:pPr>
              <w:widowControl/>
              <w:spacing w:line="400" w:lineRule="exact"/>
              <w:jc w:val="center"/>
              <w:rPr>
                <w:rFonts w:hint="eastAsia" w:ascii="宋体" w:hAnsi="宋体" w:cs="宋体"/>
                <w:kern w:val="0"/>
                <w:szCs w:val="21"/>
              </w:rPr>
            </w:pPr>
            <w:r>
              <w:rPr>
                <w:rFonts w:hint="eastAsia" w:ascii="宋体" w:hAnsi="宋体" w:cs="宋体"/>
                <w:kern w:val="0"/>
                <w:szCs w:val="21"/>
              </w:rPr>
              <w:t>住院管理</w:t>
            </w:r>
          </w:p>
        </w:tc>
        <w:tc>
          <w:tcPr>
            <w:tcW w:w="4934" w:type="dxa"/>
            <w:tcBorders>
              <w:top w:val="nil"/>
              <w:left w:val="nil"/>
              <w:bottom w:val="single" w:color="auto" w:sz="4" w:space="0"/>
              <w:right w:val="single" w:color="auto" w:sz="4" w:space="0"/>
            </w:tcBorders>
            <w:shd w:val="clear" w:color="auto" w:fill="auto"/>
            <w:noWrap/>
            <w:vAlign w:val="center"/>
          </w:tcPr>
          <w:p w14:paraId="71F1726B">
            <w:pPr>
              <w:widowControl/>
              <w:spacing w:line="400" w:lineRule="exact"/>
              <w:jc w:val="left"/>
              <w:rPr>
                <w:rFonts w:hint="eastAsia" w:ascii="宋体" w:hAnsi="宋体" w:cs="宋体"/>
                <w:kern w:val="0"/>
                <w:szCs w:val="21"/>
              </w:rPr>
            </w:pPr>
            <w:r>
              <w:rPr>
                <w:rFonts w:hint="eastAsia" w:ascii="宋体" w:hAnsi="宋体" w:cs="宋体"/>
                <w:kern w:val="0"/>
                <w:szCs w:val="21"/>
              </w:rPr>
              <w:t>住院收费系统</w:t>
            </w:r>
          </w:p>
        </w:tc>
      </w:tr>
      <w:tr w14:paraId="23D887AD">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9A8B1E9">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7BDF9E2">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E281C75">
            <w:pPr>
              <w:widowControl/>
              <w:spacing w:line="400" w:lineRule="exact"/>
              <w:jc w:val="left"/>
              <w:rPr>
                <w:rFonts w:hint="eastAsia" w:ascii="宋体" w:hAnsi="宋体" w:cs="宋体"/>
                <w:kern w:val="0"/>
                <w:szCs w:val="21"/>
              </w:rPr>
            </w:pPr>
            <w:r>
              <w:rPr>
                <w:rFonts w:hint="eastAsia" w:ascii="宋体" w:hAnsi="宋体" w:cs="宋体"/>
                <w:kern w:val="0"/>
                <w:szCs w:val="21"/>
              </w:rPr>
              <w:t>住院入出转管理</w:t>
            </w:r>
          </w:p>
        </w:tc>
      </w:tr>
      <w:tr w14:paraId="6E7B0CC6">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44D9C327">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712077B2">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059CE147">
            <w:pPr>
              <w:widowControl/>
              <w:spacing w:line="400" w:lineRule="exact"/>
              <w:jc w:val="left"/>
              <w:rPr>
                <w:rFonts w:hint="eastAsia" w:ascii="宋体" w:hAnsi="宋体" w:cs="宋体"/>
                <w:kern w:val="0"/>
                <w:szCs w:val="21"/>
              </w:rPr>
            </w:pPr>
            <w:r>
              <w:rPr>
                <w:rFonts w:hint="eastAsia" w:ascii="宋体" w:hAnsi="宋体" w:cs="宋体"/>
                <w:kern w:val="0"/>
                <w:szCs w:val="21"/>
              </w:rPr>
              <w:t>住院医生工作站</w:t>
            </w:r>
          </w:p>
        </w:tc>
      </w:tr>
      <w:tr w14:paraId="40D05C60">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1A5F9AD">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57680B22">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4D7FF46A">
            <w:pPr>
              <w:widowControl/>
              <w:spacing w:line="400" w:lineRule="exact"/>
              <w:jc w:val="left"/>
              <w:rPr>
                <w:rFonts w:hint="eastAsia" w:ascii="宋体" w:hAnsi="宋体" w:cs="宋体"/>
                <w:kern w:val="0"/>
                <w:szCs w:val="21"/>
              </w:rPr>
            </w:pPr>
            <w:r>
              <w:rPr>
                <w:rFonts w:hint="eastAsia" w:ascii="宋体" w:hAnsi="宋体" w:cs="宋体"/>
                <w:kern w:val="0"/>
                <w:szCs w:val="21"/>
              </w:rPr>
              <w:t>住院护士工作站</w:t>
            </w:r>
          </w:p>
        </w:tc>
      </w:tr>
      <w:tr w14:paraId="118A2FCE">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1474AEDC">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5B64FB8C">
            <w:pPr>
              <w:widowControl/>
              <w:spacing w:line="400" w:lineRule="exact"/>
              <w:jc w:val="center"/>
              <w:rPr>
                <w:rFonts w:hint="eastAsia" w:ascii="宋体" w:hAnsi="宋体" w:cs="宋体"/>
                <w:kern w:val="0"/>
                <w:szCs w:val="21"/>
              </w:rPr>
            </w:pPr>
            <w:r>
              <w:rPr>
                <w:rFonts w:hint="eastAsia" w:ascii="宋体" w:hAnsi="宋体" w:cs="宋体"/>
                <w:kern w:val="0"/>
                <w:szCs w:val="21"/>
              </w:rPr>
              <w:t>医技管理</w:t>
            </w:r>
          </w:p>
        </w:tc>
        <w:tc>
          <w:tcPr>
            <w:tcW w:w="4934" w:type="dxa"/>
            <w:tcBorders>
              <w:top w:val="nil"/>
              <w:left w:val="nil"/>
              <w:bottom w:val="single" w:color="auto" w:sz="4" w:space="0"/>
              <w:right w:val="single" w:color="auto" w:sz="4" w:space="0"/>
            </w:tcBorders>
            <w:shd w:val="clear" w:color="auto" w:fill="auto"/>
            <w:noWrap/>
            <w:vAlign w:val="center"/>
          </w:tcPr>
          <w:p w14:paraId="4C130A97">
            <w:pPr>
              <w:widowControl/>
              <w:spacing w:line="400" w:lineRule="exact"/>
              <w:jc w:val="left"/>
              <w:rPr>
                <w:rFonts w:hint="eastAsia" w:ascii="宋体" w:hAnsi="宋体" w:cs="宋体"/>
                <w:kern w:val="0"/>
                <w:szCs w:val="21"/>
              </w:rPr>
            </w:pPr>
            <w:r>
              <w:rPr>
                <w:rFonts w:hint="eastAsia" w:ascii="宋体" w:hAnsi="宋体" w:cs="宋体"/>
                <w:kern w:val="0"/>
                <w:szCs w:val="21"/>
              </w:rPr>
              <w:t>医技计费管理系统</w:t>
            </w:r>
          </w:p>
        </w:tc>
      </w:tr>
      <w:tr w14:paraId="3D17E11D">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D58A95B">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4D65F8C0">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5C04BEC8">
            <w:pPr>
              <w:widowControl/>
              <w:spacing w:line="400" w:lineRule="exact"/>
              <w:jc w:val="left"/>
              <w:rPr>
                <w:rFonts w:hint="eastAsia" w:ascii="宋体" w:hAnsi="宋体" w:cs="宋体"/>
                <w:kern w:val="0"/>
                <w:szCs w:val="21"/>
              </w:rPr>
            </w:pPr>
            <w:r>
              <w:rPr>
                <w:rFonts w:hint="eastAsia" w:ascii="宋体" w:hAnsi="宋体" w:cs="宋体"/>
                <w:kern w:val="0"/>
                <w:szCs w:val="21"/>
              </w:rPr>
              <w:t>医技电子申请单系统</w:t>
            </w:r>
          </w:p>
        </w:tc>
      </w:tr>
      <w:tr w14:paraId="4A87E6E4">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5823E2EF">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73C5DD03">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08BCB567">
            <w:pPr>
              <w:widowControl/>
              <w:spacing w:line="400" w:lineRule="exact"/>
              <w:jc w:val="left"/>
              <w:rPr>
                <w:rFonts w:hint="eastAsia" w:ascii="宋体" w:hAnsi="宋体" w:cs="宋体"/>
                <w:kern w:val="0"/>
                <w:szCs w:val="21"/>
              </w:rPr>
            </w:pPr>
            <w:r>
              <w:rPr>
                <w:rFonts w:hint="eastAsia" w:ascii="宋体" w:hAnsi="宋体" w:cs="宋体"/>
                <w:kern w:val="0"/>
                <w:szCs w:val="21"/>
              </w:rPr>
              <w:t>手术计费管理系统</w:t>
            </w:r>
          </w:p>
        </w:tc>
      </w:tr>
      <w:tr w14:paraId="1638266B">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5AB194B0">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69A2184D">
            <w:pPr>
              <w:widowControl/>
              <w:spacing w:line="400" w:lineRule="exact"/>
              <w:jc w:val="center"/>
              <w:rPr>
                <w:rFonts w:hint="eastAsia" w:ascii="宋体" w:hAnsi="宋体" w:cs="宋体"/>
                <w:kern w:val="0"/>
                <w:szCs w:val="21"/>
              </w:rPr>
            </w:pPr>
            <w:r>
              <w:rPr>
                <w:rFonts w:hint="eastAsia" w:ascii="宋体" w:hAnsi="宋体" w:cs="宋体"/>
                <w:kern w:val="0"/>
                <w:szCs w:val="21"/>
              </w:rPr>
              <w:t>药品管理</w:t>
            </w:r>
          </w:p>
        </w:tc>
        <w:tc>
          <w:tcPr>
            <w:tcW w:w="4934" w:type="dxa"/>
            <w:tcBorders>
              <w:top w:val="nil"/>
              <w:left w:val="nil"/>
              <w:bottom w:val="single" w:color="auto" w:sz="4" w:space="0"/>
              <w:right w:val="single" w:color="auto" w:sz="4" w:space="0"/>
            </w:tcBorders>
            <w:shd w:val="clear" w:color="auto" w:fill="auto"/>
            <w:noWrap/>
            <w:vAlign w:val="center"/>
          </w:tcPr>
          <w:p w14:paraId="0A8B1F30">
            <w:pPr>
              <w:widowControl/>
              <w:spacing w:line="400" w:lineRule="exact"/>
              <w:jc w:val="left"/>
              <w:rPr>
                <w:rFonts w:hint="eastAsia" w:ascii="宋体" w:hAnsi="宋体" w:cs="宋体"/>
                <w:kern w:val="0"/>
                <w:szCs w:val="21"/>
              </w:rPr>
            </w:pPr>
            <w:r>
              <w:rPr>
                <w:rFonts w:hint="eastAsia" w:ascii="宋体" w:hAnsi="宋体" w:cs="宋体"/>
                <w:kern w:val="0"/>
                <w:szCs w:val="21"/>
              </w:rPr>
              <w:t>门诊发药管理系统</w:t>
            </w:r>
          </w:p>
        </w:tc>
      </w:tr>
      <w:tr w14:paraId="39EB4E70">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3269045">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79795FC9">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405C8F1E">
            <w:pPr>
              <w:widowControl/>
              <w:spacing w:line="400" w:lineRule="exact"/>
              <w:jc w:val="left"/>
              <w:rPr>
                <w:rFonts w:hint="eastAsia" w:ascii="宋体" w:hAnsi="宋体" w:cs="宋体"/>
                <w:kern w:val="0"/>
                <w:szCs w:val="21"/>
              </w:rPr>
            </w:pPr>
            <w:r>
              <w:rPr>
                <w:rFonts w:hint="eastAsia" w:ascii="宋体" w:hAnsi="宋体" w:cs="宋体"/>
                <w:kern w:val="0"/>
                <w:szCs w:val="21"/>
              </w:rPr>
              <w:t>住院配药管理系统</w:t>
            </w:r>
          </w:p>
        </w:tc>
      </w:tr>
      <w:tr w14:paraId="11A47849">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132CDEAE">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3B677155">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0A73A598">
            <w:pPr>
              <w:widowControl/>
              <w:spacing w:line="400" w:lineRule="exact"/>
              <w:jc w:val="left"/>
              <w:rPr>
                <w:rFonts w:hint="eastAsia" w:ascii="宋体" w:hAnsi="宋体" w:cs="宋体"/>
                <w:kern w:val="0"/>
                <w:szCs w:val="21"/>
              </w:rPr>
            </w:pPr>
            <w:r>
              <w:rPr>
                <w:rFonts w:hint="eastAsia" w:ascii="宋体" w:hAnsi="宋体" w:cs="宋体"/>
                <w:kern w:val="0"/>
                <w:szCs w:val="21"/>
              </w:rPr>
              <w:t>药库管理系统</w:t>
            </w:r>
          </w:p>
        </w:tc>
      </w:tr>
      <w:tr w14:paraId="07B50EE2">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6DA7479B">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45730343">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68510837">
            <w:pPr>
              <w:widowControl/>
              <w:spacing w:line="400" w:lineRule="exact"/>
              <w:jc w:val="left"/>
              <w:rPr>
                <w:rFonts w:hint="eastAsia" w:ascii="宋体" w:hAnsi="宋体" w:cs="宋体"/>
                <w:kern w:val="0"/>
                <w:szCs w:val="21"/>
              </w:rPr>
            </w:pPr>
            <w:r>
              <w:rPr>
                <w:rFonts w:hint="eastAsia" w:ascii="宋体" w:hAnsi="宋体" w:cs="宋体"/>
                <w:kern w:val="0"/>
                <w:szCs w:val="21"/>
              </w:rPr>
              <w:t>药房管理系统</w:t>
            </w:r>
          </w:p>
        </w:tc>
      </w:tr>
      <w:tr w14:paraId="058FC051">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4808B2F7">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10C696C8">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2D934376">
            <w:pPr>
              <w:widowControl/>
              <w:spacing w:line="400" w:lineRule="exact"/>
              <w:jc w:val="left"/>
              <w:rPr>
                <w:rFonts w:hint="eastAsia" w:ascii="宋体" w:hAnsi="宋体" w:cs="宋体"/>
                <w:kern w:val="0"/>
                <w:szCs w:val="21"/>
              </w:rPr>
            </w:pPr>
            <w:r>
              <w:rPr>
                <w:rFonts w:hint="eastAsia" w:ascii="宋体" w:hAnsi="宋体" w:cs="宋体"/>
                <w:kern w:val="0"/>
                <w:szCs w:val="21"/>
              </w:rPr>
              <w:t>抗生素分级管理系统</w:t>
            </w:r>
          </w:p>
        </w:tc>
      </w:tr>
      <w:tr w14:paraId="7DB10499">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6D18A9C">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5FBF82CC">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5109BD53">
            <w:pPr>
              <w:widowControl/>
              <w:spacing w:line="400" w:lineRule="exact"/>
              <w:jc w:val="left"/>
              <w:rPr>
                <w:rFonts w:hint="eastAsia" w:ascii="宋体" w:hAnsi="宋体" w:cs="宋体"/>
                <w:kern w:val="0"/>
                <w:szCs w:val="21"/>
              </w:rPr>
            </w:pPr>
            <w:r>
              <w:rPr>
                <w:rFonts w:hint="eastAsia" w:ascii="宋体" w:hAnsi="宋体" w:cs="宋体"/>
                <w:kern w:val="0"/>
                <w:szCs w:val="21"/>
              </w:rPr>
              <w:t>合理用药系统</w:t>
            </w:r>
          </w:p>
        </w:tc>
      </w:tr>
      <w:tr w14:paraId="223AFFAC">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B0A4D8F">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54E10B0">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EE2EA15">
            <w:pPr>
              <w:widowControl/>
              <w:spacing w:line="400" w:lineRule="exact"/>
              <w:jc w:val="left"/>
              <w:rPr>
                <w:rFonts w:hint="eastAsia" w:ascii="宋体" w:hAnsi="宋体" w:cs="宋体"/>
                <w:kern w:val="0"/>
                <w:szCs w:val="21"/>
              </w:rPr>
            </w:pPr>
            <w:r>
              <w:rPr>
                <w:rFonts w:hint="eastAsia" w:ascii="宋体" w:hAnsi="宋体" w:cs="宋体"/>
                <w:kern w:val="0"/>
                <w:szCs w:val="21"/>
              </w:rPr>
              <w:t>临床药学管理系统</w:t>
            </w:r>
          </w:p>
        </w:tc>
      </w:tr>
      <w:tr w14:paraId="5C0398CF">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4C6F2D5E">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602C5EB7">
            <w:pPr>
              <w:widowControl/>
              <w:spacing w:line="400" w:lineRule="exact"/>
              <w:jc w:val="center"/>
              <w:rPr>
                <w:rFonts w:hint="eastAsia" w:ascii="宋体" w:hAnsi="宋体" w:cs="宋体"/>
                <w:kern w:val="0"/>
                <w:szCs w:val="21"/>
              </w:rPr>
            </w:pPr>
            <w:r>
              <w:rPr>
                <w:rFonts w:hint="eastAsia" w:ascii="宋体" w:hAnsi="宋体" w:cs="宋体"/>
                <w:kern w:val="0"/>
                <w:szCs w:val="21"/>
              </w:rPr>
              <w:t>医疗管理</w:t>
            </w:r>
          </w:p>
        </w:tc>
        <w:tc>
          <w:tcPr>
            <w:tcW w:w="4934" w:type="dxa"/>
            <w:tcBorders>
              <w:top w:val="nil"/>
              <w:left w:val="nil"/>
              <w:bottom w:val="single" w:color="auto" w:sz="4" w:space="0"/>
              <w:right w:val="single" w:color="auto" w:sz="4" w:space="0"/>
            </w:tcBorders>
            <w:shd w:val="clear" w:color="auto" w:fill="auto"/>
            <w:noWrap/>
            <w:vAlign w:val="center"/>
          </w:tcPr>
          <w:p w14:paraId="213A7E14">
            <w:pPr>
              <w:widowControl/>
              <w:spacing w:line="400" w:lineRule="exact"/>
              <w:jc w:val="left"/>
              <w:rPr>
                <w:rFonts w:hint="eastAsia" w:ascii="宋体" w:hAnsi="宋体" w:cs="宋体"/>
                <w:kern w:val="0"/>
                <w:szCs w:val="21"/>
              </w:rPr>
            </w:pPr>
            <w:r>
              <w:rPr>
                <w:rFonts w:hint="eastAsia" w:ascii="宋体" w:hAnsi="宋体" w:cs="宋体"/>
                <w:kern w:val="0"/>
                <w:szCs w:val="21"/>
              </w:rPr>
              <w:t>医保对账管理系统</w:t>
            </w:r>
          </w:p>
        </w:tc>
      </w:tr>
      <w:tr w14:paraId="006665C0">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110A2B59">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4E2DA942">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48C31E18">
            <w:pPr>
              <w:widowControl/>
              <w:spacing w:line="400" w:lineRule="exact"/>
              <w:jc w:val="left"/>
              <w:rPr>
                <w:rFonts w:hint="eastAsia" w:ascii="宋体" w:hAnsi="宋体" w:cs="宋体"/>
                <w:kern w:val="0"/>
                <w:szCs w:val="21"/>
              </w:rPr>
            </w:pPr>
            <w:r>
              <w:rPr>
                <w:rFonts w:hint="eastAsia" w:ascii="宋体" w:hAnsi="宋体" w:cs="宋体"/>
                <w:kern w:val="0"/>
                <w:szCs w:val="21"/>
              </w:rPr>
              <w:t>手术分级管理系统</w:t>
            </w:r>
          </w:p>
        </w:tc>
      </w:tr>
      <w:tr w14:paraId="73A2FC6D">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35A20DB">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63AB74E8">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43B0E08B">
            <w:pPr>
              <w:widowControl/>
              <w:spacing w:line="400" w:lineRule="exact"/>
              <w:jc w:val="left"/>
              <w:rPr>
                <w:rFonts w:hint="eastAsia" w:ascii="宋体" w:hAnsi="宋体" w:cs="宋体"/>
                <w:kern w:val="0"/>
                <w:szCs w:val="21"/>
              </w:rPr>
            </w:pPr>
            <w:r>
              <w:rPr>
                <w:rFonts w:hint="eastAsia" w:ascii="宋体" w:hAnsi="宋体" w:cs="宋体"/>
                <w:kern w:val="0"/>
                <w:szCs w:val="21"/>
              </w:rPr>
              <w:t>医疗安全（不良）事件管理系统</w:t>
            </w:r>
          </w:p>
        </w:tc>
      </w:tr>
      <w:tr w14:paraId="6714F5C2">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4EBAC9D3">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6EDD709A">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4035B2B1">
            <w:pPr>
              <w:widowControl/>
              <w:spacing w:line="400" w:lineRule="exact"/>
              <w:jc w:val="left"/>
              <w:rPr>
                <w:rFonts w:hint="eastAsia" w:ascii="宋体" w:hAnsi="宋体" w:cs="宋体"/>
                <w:kern w:val="0"/>
                <w:szCs w:val="21"/>
              </w:rPr>
            </w:pPr>
            <w:r>
              <w:rPr>
                <w:rFonts w:hint="eastAsia" w:ascii="宋体" w:hAnsi="宋体" w:cs="宋体"/>
                <w:kern w:val="0"/>
                <w:szCs w:val="21"/>
              </w:rPr>
              <w:t>危急值管理系统</w:t>
            </w:r>
          </w:p>
        </w:tc>
      </w:tr>
      <w:tr w14:paraId="6B313DB8">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2A24FBEE">
            <w:pPr>
              <w:widowControl/>
              <w:spacing w:line="400" w:lineRule="exact"/>
              <w:jc w:val="left"/>
              <w:rPr>
                <w:rFonts w:hint="eastAsia" w:ascii="宋体" w:hAnsi="宋体" w:cs="宋体"/>
                <w:kern w:val="0"/>
                <w:szCs w:val="21"/>
              </w:rPr>
            </w:pPr>
          </w:p>
        </w:tc>
        <w:tc>
          <w:tcPr>
            <w:tcW w:w="2631" w:type="dxa"/>
            <w:tcBorders>
              <w:top w:val="nil"/>
              <w:left w:val="nil"/>
              <w:bottom w:val="single" w:color="auto" w:sz="4" w:space="0"/>
              <w:right w:val="single" w:color="auto" w:sz="4" w:space="0"/>
            </w:tcBorders>
            <w:shd w:val="clear" w:color="auto" w:fill="auto"/>
            <w:noWrap/>
            <w:vAlign w:val="center"/>
          </w:tcPr>
          <w:p w14:paraId="67E194E1">
            <w:pPr>
              <w:widowControl/>
              <w:spacing w:line="400" w:lineRule="exact"/>
              <w:jc w:val="center"/>
              <w:rPr>
                <w:rFonts w:hint="eastAsia" w:ascii="宋体" w:hAnsi="宋体" w:cs="宋体"/>
                <w:kern w:val="0"/>
                <w:szCs w:val="21"/>
              </w:rPr>
            </w:pPr>
            <w:r>
              <w:rPr>
                <w:rFonts w:hint="eastAsia" w:ascii="宋体" w:hAnsi="宋体" w:cs="宋体"/>
                <w:kern w:val="0"/>
                <w:szCs w:val="21"/>
              </w:rPr>
              <w:t>数据上报</w:t>
            </w:r>
          </w:p>
        </w:tc>
        <w:tc>
          <w:tcPr>
            <w:tcW w:w="4934" w:type="dxa"/>
            <w:tcBorders>
              <w:top w:val="nil"/>
              <w:left w:val="nil"/>
              <w:bottom w:val="single" w:color="auto" w:sz="4" w:space="0"/>
              <w:right w:val="single" w:color="auto" w:sz="4" w:space="0"/>
            </w:tcBorders>
            <w:shd w:val="clear" w:color="auto" w:fill="auto"/>
            <w:noWrap/>
            <w:vAlign w:val="center"/>
          </w:tcPr>
          <w:p w14:paraId="54195726">
            <w:pPr>
              <w:widowControl/>
              <w:spacing w:line="400" w:lineRule="exact"/>
              <w:jc w:val="left"/>
              <w:rPr>
                <w:rFonts w:hint="eastAsia" w:ascii="宋体" w:hAnsi="宋体" w:cs="宋体"/>
                <w:kern w:val="0"/>
                <w:szCs w:val="21"/>
              </w:rPr>
            </w:pPr>
            <w:r>
              <w:rPr>
                <w:rFonts w:hint="eastAsia" w:ascii="宋体" w:hAnsi="宋体" w:cs="宋体"/>
                <w:kern w:val="0"/>
                <w:szCs w:val="21"/>
              </w:rPr>
              <w:t>传染病信息上报</w:t>
            </w:r>
          </w:p>
        </w:tc>
      </w:tr>
      <w:tr w14:paraId="5F312FD6">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5B19B1C8">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03C61BE7">
            <w:pPr>
              <w:widowControl/>
              <w:spacing w:line="400" w:lineRule="exact"/>
              <w:jc w:val="center"/>
              <w:rPr>
                <w:rFonts w:hint="eastAsia" w:ascii="宋体" w:hAnsi="宋体" w:cs="宋体"/>
                <w:kern w:val="0"/>
                <w:szCs w:val="21"/>
              </w:rPr>
            </w:pPr>
            <w:r>
              <w:rPr>
                <w:rFonts w:hint="eastAsia" w:ascii="宋体" w:hAnsi="宋体" w:cs="宋体"/>
                <w:kern w:val="0"/>
                <w:szCs w:val="21"/>
              </w:rPr>
              <w:t>实施配置</w:t>
            </w:r>
          </w:p>
        </w:tc>
        <w:tc>
          <w:tcPr>
            <w:tcW w:w="4934" w:type="dxa"/>
            <w:tcBorders>
              <w:top w:val="nil"/>
              <w:left w:val="nil"/>
              <w:bottom w:val="single" w:color="auto" w:sz="4" w:space="0"/>
              <w:right w:val="single" w:color="auto" w:sz="4" w:space="0"/>
            </w:tcBorders>
            <w:shd w:val="clear" w:color="auto" w:fill="auto"/>
            <w:noWrap/>
            <w:vAlign w:val="center"/>
          </w:tcPr>
          <w:p w14:paraId="62292304">
            <w:pPr>
              <w:widowControl/>
              <w:spacing w:line="400" w:lineRule="exact"/>
              <w:jc w:val="left"/>
              <w:rPr>
                <w:rFonts w:hint="eastAsia" w:ascii="宋体" w:hAnsi="宋体" w:cs="宋体"/>
                <w:kern w:val="0"/>
                <w:szCs w:val="21"/>
              </w:rPr>
            </w:pPr>
            <w:r>
              <w:rPr>
                <w:rFonts w:hint="eastAsia" w:ascii="宋体" w:hAnsi="宋体" w:cs="宋体"/>
                <w:kern w:val="0"/>
                <w:szCs w:val="21"/>
              </w:rPr>
              <w:t>物价管理系统</w:t>
            </w:r>
          </w:p>
        </w:tc>
      </w:tr>
      <w:tr w14:paraId="00DD241C">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D050758">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44F7BCAB">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6F0DD624">
            <w:pPr>
              <w:widowControl/>
              <w:spacing w:line="400" w:lineRule="exact"/>
              <w:jc w:val="left"/>
              <w:rPr>
                <w:rFonts w:hint="eastAsia" w:ascii="宋体" w:hAnsi="宋体" w:cs="宋体"/>
                <w:kern w:val="0"/>
                <w:szCs w:val="21"/>
              </w:rPr>
            </w:pPr>
            <w:r>
              <w:rPr>
                <w:rFonts w:hint="eastAsia" w:ascii="宋体" w:hAnsi="宋体" w:cs="宋体"/>
                <w:kern w:val="0"/>
                <w:szCs w:val="21"/>
              </w:rPr>
              <w:t>配置管理系统</w:t>
            </w:r>
          </w:p>
        </w:tc>
      </w:tr>
      <w:tr w14:paraId="6C49C228">
        <w:tblPrEx>
          <w:tblCellMar>
            <w:top w:w="0" w:type="dxa"/>
            <w:left w:w="108" w:type="dxa"/>
            <w:bottom w:w="0" w:type="dxa"/>
            <w:right w:w="108" w:type="dxa"/>
          </w:tblCellMar>
        </w:tblPrEx>
        <w:trPr>
          <w:trHeight w:val="280" w:hRule="atLeast"/>
          <w:jc w:val="center"/>
        </w:trPr>
        <w:tc>
          <w:tcPr>
            <w:tcW w:w="1474" w:type="dxa"/>
            <w:vMerge w:val="restart"/>
            <w:tcBorders>
              <w:top w:val="nil"/>
              <w:left w:val="single" w:color="auto" w:sz="4" w:space="0"/>
              <w:bottom w:val="single" w:color="auto" w:sz="4" w:space="0"/>
              <w:right w:val="single" w:color="auto" w:sz="4" w:space="0"/>
            </w:tcBorders>
            <w:shd w:val="clear" w:color="auto" w:fill="auto"/>
            <w:noWrap/>
            <w:vAlign w:val="center"/>
          </w:tcPr>
          <w:p w14:paraId="3EBEF18E">
            <w:pPr>
              <w:widowControl/>
              <w:spacing w:line="400" w:lineRule="exact"/>
              <w:jc w:val="center"/>
              <w:rPr>
                <w:rFonts w:hint="eastAsia" w:ascii="宋体" w:hAnsi="宋体" w:cs="宋体"/>
                <w:kern w:val="0"/>
                <w:szCs w:val="21"/>
              </w:rPr>
            </w:pPr>
            <w:r>
              <w:rPr>
                <w:rFonts w:hint="eastAsia" w:ascii="宋体" w:hAnsi="宋体" w:cs="宋体"/>
                <w:kern w:val="0"/>
                <w:szCs w:val="21"/>
              </w:rPr>
              <w:t>EMR</w:t>
            </w:r>
          </w:p>
        </w:tc>
        <w:tc>
          <w:tcPr>
            <w:tcW w:w="2631" w:type="dxa"/>
            <w:tcBorders>
              <w:top w:val="nil"/>
              <w:left w:val="nil"/>
              <w:bottom w:val="single" w:color="auto" w:sz="4" w:space="0"/>
              <w:right w:val="single" w:color="auto" w:sz="4" w:space="0"/>
            </w:tcBorders>
            <w:shd w:val="clear" w:color="auto" w:fill="auto"/>
            <w:vAlign w:val="center"/>
          </w:tcPr>
          <w:p w14:paraId="3E45B4F2">
            <w:pPr>
              <w:widowControl/>
              <w:spacing w:line="400" w:lineRule="exact"/>
              <w:jc w:val="center"/>
              <w:rPr>
                <w:rFonts w:hint="eastAsia" w:ascii="宋体" w:hAnsi="宋体" w:cs="宋体"/>
                <w:kern w:val="0"/>
                <w:szCs w:val="21"/>
              </w:rPr>
            </w:pPr>
            <w:r>
              <w:rPr>
                <w:rFonts w:hint="eastAsia" w:ascii="宋体" w:hAnsi="宋体" w:cs="宋体"/>
                <w:kern w:val="0"/>
                <w:szCs w:val="21"/>
              </w:rPr>
              <w:t>CDSS</w:t>
            </w:r>
          </w:p>
        </w:tc>
        <w:tc>
          <w:tcPr>
            <w:tcW w:w="4934" w:type="dxa"/>
            <w:tcBorders>
              <w:top w:val="nil"/>
              <w:left w:val="nil"/>
              <w:bottom w:val="single" w:color="auto" w:sz="4" w:space="0"/>
              <w:right w:val="single" w:color="auto" w:sz="4" w:space="0"/>
            </w:tcBorders>
            <w:shd w:val="clear" w:color="auto" w:fill="auto"/>
            <w:noWrap/>
            <w:vAlign w:val="center"/>
          </w:tcPr>
          <w:p w14:paraId="133B7D7C">
            <w:pPr>
              <w:widowControl/>
              <w:spacing w:line="400" w:lineRule="exact"/>
              <w:jc w:val="left"/>
              <w:rPr>
                <w:rFonts w:hint="eastAsia" w:ascii="宋体" w:hAnsi="宋体" w:cs="宋体"/>
                <w:kern w:val="0"/>
                <w:szCs w:val="21"/>
              </w:rPr>
            </w:pPr>
            <w:r>
              <w:rPr>
                <w:rFonts w:hint="eastAsia" w:ascii="宋体" w:hAnsi="宋体" w:cs="宋体"/>
                <w:kern w:val="0"/>
                <w:szCs w:val="21"/>
              </w:rPr>
              <w:t>临床知识库</w:t>
            </w:r>
          </w:p>
        </w:tc>
      </w:tr>
      <w:tr w14:paraId="7225EB29">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64AA56A4">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75CAB0CF">
            <w:pPr>
              <w:widowControl/>
              <w:spacing w:line="400" w:lineRule="exact"/>
              <w:jc w:val="center"/>
              <w:rPr>
                <w:rFonts w:hint="eastAsia" w:ascii="宋体" w:hAnsi="宋体" w:cs="宋体"/>
                <w:kern w:val="0"/>
                <w:szCs w:val="21"/>
              </w:rPr>
            </w:pPr>
            <w:r>
              <w:rPr>
                <w:rFonts w:hint="eastAsia" w:ascii="宋体" w:hAnsi="宋体" w:cs="宋体"/>
                <w:kern w:val="0"/>
                <w:szCs w:val="21"/>
              </w:rPr>
              <w:t>电子病历</w:t>
            </w:r>
          </w:p>
        </w:tc>
        <w:tc>
          <w:tcPr>
            <w:tcW w:w="4934" w:type="dxa"/>
            <w:tcBorders>
              <w:top w:val="nil"/>
              <w:left w:val="nil"/>
              <w:bottom w:val="single" w:color="auto" w:sz="4" w:space="0"/>
              <w:right w:val="single" w:color="auto" w:sz="4" w:space="0"/>
            </w:tcBorders>
            <w:shd w:val="clear" w:color="auto" w:fill="auto"/>
            <w:noWrap/>
            <w:vAlign w:val="center"/>
          </w:tcPr>
          <w:p w14:paraId="7BEDF03A">
            <w:pPr>
              <w:widowControl/>
              <w:spacing w:line="400" w:lineRule="exact"/>
              <w:jc w:val="left"/>
              <w:rPr>
                <w:rFonts w:hint="eastAsia" w:ascii="宋体" w:hAnsi="宋体" w:cs="宋体"/>
                <w:kern w:val="0"/>
                <w:szCs w:val="21"/>
              </w:rPr>
            </w:pPr>
            <w:r>
              <w:rPr>
                <w:rFonts w:hint="eastAsia" w:ascii="宋体" w:hAnsi="宋体" w:cs="宋体"/>
                <w:kern w:val="0"/>
                <w:szCs w:val="21"/>
              </w:rPr>
              <w:t>门诊电子病历系统</w:t>
            </w:r>
          </w:p>
        </w:tc>
      </w:tr>
      <w:tr w14:paraId="472629A6">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33BB7B1B">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3A6E9459">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F3DF67F">
            <w:pPr>
              <w:widowControl/>
              <w:spacing w:line="400" w:lineRule="exact"/>
              <w:jc w:val="left"/>
              <w:rPr>
                <w:rFonts w:hint="eastAsia" w:ascii="宋体" w:hAnsi="宋体" w:cs="宋体"/>
                <w:kern w:val="0"/>
                <w:szCs w:val="21"/>
              </w:rPr>
            </w:pPr>
            <w:r>
              <w:rPr>
                <w:rFonts w:hint="eastAsia" w:ascii="宋体" w:hAnsi="宋体" w:cs="宋体"/>
                <w:kern w:val="0"/>
                <w:szCs w:val="21"/>
              </w:rPr>
              <w:t>住院电子病历系统</w:t>
            </w:r>
          </w:p>
        </w:tc>
      </w:tr>
      <w:tr w14:paraId="4F516BD7">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1E189209">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FA716BF">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8206F0F">
            <w:pPr>
              <w:widowControl/>
              <w:spacing w:line="400" w:lineRule="exact"/>
              <w:jc w:val="left"/>
              <w:rPr>
                <w:rFonts w:hint="eastAsia" w:ascii="宋体" w:hAnsi="宋体" w:cs="宋体"/>
                <w:kern w:val="0"/>
                <w:szCs w:val="21"/>
              </w:rPr>
            </w:pPr>
            <w:r>
              <w:rPr>
                <w:rFonts w:hint="eastAsia" w:ascii="宋体" w:hAnsi="宋体" w:cs="宋体"/>
                <w:kern w:val="0"/>
                <w:szCs w:val="21"/>
              </w:rPr>
              <w:t>护理电子病历系统</w:t>
            </w:r>
          </w:p>
        </w:tc>
      </w:tr>
      <w:tr w14:paraId="1ADA7C5D">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1A2E556">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6144B9A1">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249247D5">
            <w:pPr>
              <w:widowControl/>
              <w:spacing w:line="400" w:lineRule="exact"/>
              <w:jc w:val="left"/>
              <w:rPr>
                <w:rFonts w:hint="eastAsia" w:ascii="宋体" w:hAnsi="宋体" w:cs="宋体"/>
                <w:kern w:val="0"/>
                <w:szCs w:val="21"/>
              </w:rPr>
            </w:pPr>
            <w:r>
              <w:rPr>
                <w:rFonts w:hint="eastAsia" w:ascii="宋体" w:hAnsi="宋体" w:cs="宋体"/>
                <w:kern w:val="0"/>
                <w:szCs w:val="21"/>
              </w:rPr>
              <w:t>电子病历质量管理系统</w:t>
            </w:r>
          </w:p>
        </w:tc>
      </w:tr>
      <w:tr w14:paraId="034BA3A3">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4AE1C849">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52CD83D1">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146C6F6">
            <w:pPr>
              <w:widowControl/>
              <w:spacing w:line="400" w:lineRule="exact"/>
              <w:jc w:val="left"/>
              <w:rPr>
                <w:rFonts w:hint="eastAsia" w:ascii="宋体" w:hAnsi="宋体" w:cs="宋体"/>
                <w:kern w:val="0"/>
                <w:szCs w:val="21"/>
              </w:rPr>
            </w:pPr>
            <w:r>
              <w:rPr>
                <w:rFonts w:hint="eastAsia" w:ascii="宋体" w:hAnsi="宋体" w:cs="宋体"/>
                <w:kern w:val="0"/>
                <w:szCs w:val="21"/>
              </w:rPr>
              <w:t>病案管理与统计系统</w:t>
            </w:r>
          </w:p>
        </w:tc>
      </w:tr>
      <w:tr w14:paraId="71EEF387">
        <w:tblPrEx>
          <w:tblCellMar>
            <w:top w:w="0" w:type="dxa"/>
            <w:left w:w="108" w:type="dxa"/>
            <w:bottom w:w="0" w:type="dxa"/>
            <w:right w:w="108" w:type="dxa"/>
          </w:tblCellMar>
        </w:tblPrEx>
        <w:trPr>
          <w:trHeight w:val="280" w:hRule="atLeast"/>
          <w:jc w:val="center"/>
        </w:trPr>
        <w:tc>
          <w:tcPr>
            <w:tcW w:w="1474" w:type="dxa"/>
            <w:vMerge w:val="restart"/>
            <w:tcBorders>
              <w:top w:val="nil"/>
              <w:left w:val="single" w:color="auto" w:sz="4" w:space="0"/>
              <w:bottom w:val="single" w:color="auto" w:sz="4" w:space="0"/>
              <w:right w:val="single" w:color="auto" w:sz="4" w:space="0"/>
            </w:tcBorders>
            <w:shd w:val="clear" w:color="auto" w:fill="auto"/>
            <w:noWrap/>
            <w:vAlign w:val="center"/>
          </w:tcPr>
          <w:p w14:paraId="07D156A5">
            <w:pPr>
              <w:widowControl/>
              <w:spacing w:line="400" w:lineRule="exact"/>
              <w:jc w:val="center"/>
              <w:rPr>
                <w:rFonts w:hint="eastAsia" w:ascii="宋体" w:hAnsi="宋体" w:cs="宋体"/>
                <w:kern w:val="0"/>
                <w:szCs w:val="21"/>
              </w:rPr>
            </w:pPr>
            <w:r>
              <w:rPr>
                <w:rFonts w:hint="eastAsia" w:ascii="宋体" w:hAnsi="宋体" w:cs="宋体"/>
                <w:kern w:val="0"/>
                <w:szCs w:val="21"/>
              </w:rPr>
              <w:t>集成平台</w:t>
            </w: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04F5B4CA">
            <w:pPr>
              <w:widowControl/>
              <w:spacing w:line="400" w:lineRule="exact"/>
              <w:jc w:val="center"/>
              <w:rPr>
                <w:rFonts w:hint="eastAsia" w:ascii="宋体" w:hAnsi="宋体" w:cs="宋体"/>
                <w:kern w:val="0"/>
                <w:szCs w:val="21"/>
              </w:rPr>
            </w:pPr>
            <w:r>
              <w:rPr>
                <w:rFonts w:hint="eastAsia" w:ascii="宋体" w:hAnsi="宋体" w:cs="宋体"/>
                <w:kern w:val="0"/>
                <w:szCs w:val="21"/>
              </w:rPr>
              <w:t>基础平台</w:t>
            </w:r>
          </w:p>
        </w:tc>
        <w:tc>
          <w:tcPr>
            <w:tcW w:w="4934" w:type="dxa"/>
            <w:tcBorders>
              <w:top w:val="nil"/>
              <w:left w:val="nil"/>
              <w:bottom w:val="single" w:color="auto" w:sz="4" w:space="0"/>
              <w:right w:val="single" w:color="auto" w:sz="4" w:space="0"/>
            </w:tcBorders>
            <w:shd w:val="clear" w:color="auto" w:fill="auto"/>
            <w:noWrap/>
            <w:vAlign w:val="center"/>
          </w:tcPr>
          <w:p w14:paraId="6125605E">
            <w:pPr>
              <w:widowControl/>
              <w:spacing w:line="400" w:lineRule="exact"/>
              <w:jc w:val="left"/>
              <w:rPr>
                <w:rFonts w:hint="eastAsia" w:ascii="宋体" w:hAnsi="宋体" w:cs="宋体"/>
                <w:kern w:val="0"/>
                <w:szCs w:val="21"/>
              </w:rPr>
            </w:pPr>
            <w:r>
              <w:rPr>
                <w:rFonts w:hint="eastAsia" w:ascii="宋体" w:hAnsi="宋体" w:cs="宋体"/>
                <w:kern w:val="0"/>
                <w:szCs w:val="21"/>
              </w:rPr>
              <w:t>基础服务平台</w:t>
            </w:r>
          </w:p>
        </w:tc>
      </w:tr>
      <w:tr w14:paraId="1718D0B5">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701853D">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10617777">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0630BEEA">
            <w:pPr>
              <w:widowControl/>
              <w:spacing w:line="400" w:lineRule="exact"/>
              <w:jc w:val="left"/>
              <w:rPr>
                <w:rFonts w:hint="eastAsia" w:ascii="宋体" w:hAnsi="宋体" w:cs="宋体"/>
                <w:kern w:val="0"/>
                <w:szCs w:val="21"/>
              </w:rPr>
            </w:pPr>
            <w:r>
              <w:rPr>
                <w:rFonts w:hint="eastAsia" w:ascii="宋体" w:hAnsi="宋体" w:cs="宋体"/>
                <w:kern w:val="0"/>
                <w:szCs w:val="21"/>
              </w:rPr>
              <w:t>业务交换组件</w:t>
            </w:r>
          </w:p>
        </w:tc>
      </w:tr>
      <w:tr w14:paraId="48AF558F">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2E0B5DFC">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0521692A">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6DCC10D9">
            <w:pPr>
              <w:widowControl/>
              <w:spacing w:line="400" w:lineRule="exact"/>
              <w:jc w:val="left"/>
              <w:rPr>
                <w:rFonts w:hint="eastAsia" w:ascii="宋体" w:hAnsi="宋体" w:cs="宋体"/>
                <w:kern w:val="0"/>
                <w:szCs w:val="21"/>
              </w:rPr>
            </w:pPr>
            <w:r>
              <w:rPr>
                <w:rFonts w:hint="eastAsia" w:ascii="宋体" w:hAnsi="宋体" w:cs="宋体"/>
                <w:kern w:val="0"/>
                <w:szCs w:val="21"/>
              </w:rPr>
              <w:t>消息中间件</w:t>
            </w:r>
          </w:p>
        </w:tc>
      </w:tr>
      <w:tr w14:paraId="354DDE1C">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9722B31">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7BEF9AEA">
            <w:pPr>
              <w:widowControl/>
              <w:spacing w:line="400" w:lineRule="exact"/>
              <w:jc w:val="center"/>
              <w:rPr>
                <w:rFonts w:hint="eastAsia" w:ascii="宋体" w:hAnsi="宋体" w:cs="宋体"/>
                <w:kern w:val="0"/>
                <w:szCs w:val="21"/>
              </w:rPr>
            </w:pPr>
            <w:r>
              <w:rPr>
                <w:rFonts w:hint="eastAsia" w:ascii="宋体" w:hAnsi="宋体" w:cs="宋体"/>
                <w:kern w:val="0"/>
                <w:szCs w:val="21"/>
              </w:rPr>
              <w:t>数据中心</w:t>
            </w:r>
          </w:p>
        </w:tc>
        <w:tc>
          <w:tcPr>
            <w:tcW w:w="4934" w:type="dxa"/>
            <w:tcBorders>
              <w:top w:val="nil"/>
              <w:left w:val="nil"/>
              <w:bottom w:val="single" w:color="auto" w:sz="4" w:space="0"/>
              <w:right w:val="single" w:color="auto" w:sz="4" w:space="0"/>
            </w:tcBorders>
            <w:shd w:val="clear" w:color="auto" w:fill="auto"/>
            <w:noWrap/>
            <w:vAlign w:val="center"/>
          </w:tcPr>
          <w:p w14:paraId="3216F1FA">
            <w:pPr>
              <w:widowControl/>
              <w:spacing w:line="400" w:lineRule="exact"/>
              <w:jc w:val="left"/>
              <w:rPr>
                <w:rFonts w:hint="eastAsia" w:ascii="宋体" w:hAnsi="宋体" w:cs="宋体"/>
                <w:kern w:val="0"/>
                <w:szCs w:val="21"/>
              </w:rPr>
            </w:pPr>
            <w:r>
              <w:rPr>
                <w:rFonts w:hint="eastAsia" w:ascii="宋体" w:hAnsi="宋体" w:cs="宋体"/>
                <w:kern w:val="0"/>
                <w:szCs w:val="21"/>
              </w:rPr>
              <w:t>数据ETL管理</w:t>
            </w:r>
          </w:p>
        </w:tc>
      </w:tr>
      <w:tr w14:paraId="027A510A">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074EAD4B">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705AD6E8">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67F3791E">
            <w:pPr>
              <w:widowControl/>
              <w:spacing w:line="400" w:lineRule="exact"/>
              <w:jc w:val="left"/>
              <w:rPr>
                <w:rFonts w:hint="eastAsia" w:ascii="宋体" w:hAnsi="宋体" w:cs="宋体"/>
                <w:kern w:val="0"/>
                <w:szCs w:val="21"/>
              </w:rPr>
            </w:pPr>
            <w:r>
              <w:rPr>
                <w:rFonts w:hint="eastAsia" w:ascii="宋体" w:hAnsi="宋体" w:cs="宋体"/>
                <w:kern w:val="0"/>
                <w:szCs w:val="21"/>
              </w:rPr>
              <w:t>患者主索引管理</w:t>
            </w:r>
          </w:p>
        </w:tc>
      </w:tr>
      <w:tr w14:paraId="50AC4D88">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298397A5">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385D5276">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6F314837">
            <w:pPr>
              <w:widowControl/>
              <w:spacing w:line="400" w:lineRule="exact"/>
              <w:jc w:val="left"/>
              <w:rPr>
                <w:rFonts w:hint="eastAsia" w:ascii="宋体" w:hAnsi="宋体" w:cs="宋体"/>
                <w:kern w:val="0"/>
                <w:szCs w:val="21"/>
              </w:rPr>
            </w:pPr>
            <w:r>
              <w:rPr>
                <w:rFonts w:hint="eastAsia" w:ascii="宋体" w:hAnsi="宋体" w:cs="宋体"/>
                <w:kern w:val="0"/>
                <w:szCs w:val="21"/>
              </w:rPr>
              <w:t>临床信息数据库CDR</w:t>
            </w:r>
          </w:p>
        </w:tc>
      </w:tr>
      <w:tr w14:paraId="217A3BD2">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D273571">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643A247D">
            <w:pPr>
              <w:widowControl/>
              <w:spacing w:line="400" w:lineRule="exact"/>
              <w:jc w:val="center"/>
              <w:rPr>
                <w:rFonts w:hint="eastAsia" w:ascii="宋体" w:hAnsi="宋体" w:cs="宋体"/>
                <w:kern w:val="0"/>
                <w:szCs w:val="21"/>
              </w:rPr>
            </w:pPr>
            <w:r>
              <w:rPr>
                <w:rFonts w:hint="eastAsia" w:ascii="宋体" w:hAnsi="宋体" w:cs="宋体"/>
                <w:kern w:val="0"/>
                <w:szCs w:val="21"/>
              </w:rPr>
              <w:t>业务应用</w:t>
            </w:r>
          </w:p>
        </w:tc>
        <w:tc>
          <w:tcPr>
            <w:tcW w:w="4934" w:type="dxa"/>
            <w:tcBorders>
              <w:top w:val="nil"/>
              <w:left w:val="nil"/>
              <w:bottom w:val="single" w:color="auto" w:sz="4" w:space="0"/>
              <w:right w:val="single" w:color="auto" w:sz="4" w:space="0"/>
            </w:tcBorders>
            <w:shd w:val="clear" w:color="auto" w:fill="auto"/>
            <w:noWrap/>
            <w:vAlign w:val="center"/>
          </w:tcPr>
          <w:p w14:paraId="2596B3BE">
            <w:pPr>
              <w:widowControl/>
              <w:spacing w:line="400" w:lineRule="exact"/>
              <w:jc w:val="left"/>
              <w:rPr>
                <w:rFonts w:hint="eastAsia" w:ascii="宋体" w:hAnsi="宋体" w:cs="宋体"/>
                <w:kern w:val="0"/>
                <w:szCs w:val="21"/>
              </w:rPr>
            </w:pPr>
            <w:r>
              <w:rPr>
                <w:rFonts w:hint="eastAsia" w:ascii="宋体" w:hAnsi="宋体" w:cs="宋体"/>
                <w:kern w:val="0"/>
                <w:szCs w:val="21"/>
              </w:rPr>
              <w:t>医院综合查询报表系统</w:t>
            </w:r>
          </w:p>
        </w:tc>
      </w:tr>
      <w:tr w14:paraId="2F8E3C28">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695598D1">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13D4663E">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5663039B">
            <w:pPr>
              <w:widowControl/>
              <w:spacing w:line="400" w:lineRule="exact"/>
              <w:jc w:val="left"/>
              <w:rPr>
                <w:rFonts w:hint="eastAsia" w:ascii="宋体" w:hAnsi="宋体" w:cs="宋体"/>
                <w:kern w:val="0"/>
                <w:szCs w:val="21"/>
              </w:rPr>
            </w:pPr>
            <w:r>
              <w:rPr>
                <w:rFonts w:hint="eastAsia" w:ascii="宋体" w:hAnsi="宋体" w:cs="宋体"/>
                <w:kern w:val="0"/>
                <w:szCs w:val="21"/>
              </w:rPr>
              <w:t>患者全息视图系统</w:t>
            </w:r>
          </w:p>
        </w:tc>
      </w:tr>
      <w:tr w14:paraId="0F20CB7D">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EA6A51E">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5A1960E4">
            <w:pPr>
              <w:widowControl/>
              <w:spacing w:line="400" w:lineRule="exact"/>
              <w:jc w:val="center"/>
              <w:rPr>
                <w:rFonts w:hint="eastAsia" w:ascii="宋体" w:hAnsi="宋体" w:cs="宋体"/>
                <w:kern w:val="0"/>
                <w:szCs w:val="21"/>
              </w:rPr>
            </w:pPr>
            <w:r>
              <w:rPr>
                <w:rFonts w:hint="eastAsia" w:ascii="宋体" w:hAnsi="宋体" w:cs="宋体"/>
                <w:kern w:val="0"/>
                <w:szCs w:val="21"/>
              </w:rPr>
              <w:t>统一门户</w:t>
            </w:r>
          </w:p>
        </w:tc>
        <w:tc>
          <w:tcPr>
            <w:tcW w:w="4934" w:type="dxa"/>
            <w:tcBorders>
              <w:top w:val="nil"/>
              <w:left w:val="nil"/>
              <w:bottom w:val="single" w:color="auto" w:sz="4" w:space="0"/>
              <w:right w:val="single" w:color="auto" w:sz="4" w:space="0"/>
            </w:tcBorders>
            <w:shd w:val="clear" w:color="auto" w:fill="auto"/>
            <w:noWrap/>
            <w:vAlign w:val="center"/>
          </w:tcPr>
          <w:p w14:paraId="1AA6E15F">
            <w:pPr>
              <w:widowControl/>
              <w:spacing w:line="400" w:lineRule="exact"/>
              <w:jc w:val="left"/>
              <w:rPr>
                <w:rFonts w:hint="eastAsia" w:ascii="宋体" w:hAnsi="宋体" w:cs="宋体"/>
                <w:kern w:val="0"/>
                <w:szCs w:val="21"/>
              </w:rPr>
            </w:pPr>
            <w:r>
              <w:rPr>
                <w:rFonts w:hint="eastAsia" w:ascii="宋体" w:hAnsi="宋体" w:cs="宋体"/>
                <w:kern w:val="0"/>
                <w:szCs w:val="21"/>
              </w:rPr>
              <w:t>个性化门户</w:t>
            </w:r>
          </w:p>
        </w:tc>
      </w:tr>
      <w:tr w14:paraId="7F71BB6D">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82B22F1">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9E88205">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57D0C711">
            <w:pPr>
              <w:widowControl/>
              <w:spacing w:line="400" w:lineRule="exact"/>
              <w:jc w:val="left"/>
              <w:rPr>
                <w:rFonts w:hint="eastAsia" w:ascii="宋体" w:hAnsi="宋体" w:cs="宋体"/>
                <w:kern w:val="0"/>
                <w:szCs w:val="21"/>
              </w:rPr>
            </w:pPr>
            <w:r>
              <w:rPr>
                <w:rFonts w:hint="eastAsia" w:ascii="宋体" w:hAnsi="宋体" w:cs="宋体"/>
                <w:kern w:val="0"/>
                <w:szCs w:val="21"/>
              </w:rPr>
              <w:t>统一身份认证及单点登录</w:t>
            </w:r>
          </w:p>
        </w:tc>
      </w:tr>
      <w:tr w14:paraId="7479C924">
        <w:tblPrEx>
          <w:tblCellMar>
            <w:top w:w="0" w:type="dxa"/>
            <w:left w:w="108" w:type="dxa"/>
            <w:bottom w:w="0" w:type="dxa"/>
            <w:right w:w="108" w:type="dxa"/>
          </w:tblCellMar>
        </w:tblPrEx>
        <w:trPr>
          <w:trHeight w:val="280" w:hRule="atLeast"/>
          <w:jc w:val="center"/>
        </w:trPr>
        <w:tc>
          <w:tcPr>
            <w:tcW w:w="1474" w:type="dxa"/>
            <w:vMerge w:val="restart"/>
            <w:tcBorders>
              <w:top w:val="nil"/>
              <w:left w:val="single" w:color="auto" w:sz="4" w:space="0"/>
              <w:bottom w:val="single" w:color="auto" w:sz="4" w:space="0"/>
              <w:right w:val="single" w:color="auto" w:sz="4" w:space="0"/>
            </w:tcBorders>
            <w:shd w:val="clear" w:color="auto" w:fill="auto"/>
            <w:noWrap/>
            <w:vAlign w:val="center"/>
          </w:tcPr>
          <w:p w14:paraId="49304626">
            <w:pPr>
              <w:widowControl/>
              <w:spacing w:line="400" w:lineRule="exact"/>
              <w:jc w:val="center"/>
              <w:rPr>
                <w:rFonts w:hint="eastAsia" w:ascii="宋体" w:hAnsi="宋体" w:cs="宋体"/>
                <w:kern w:val="0"/>
                <w:szCs w:val="21"/>
              </w:rPr>
            </w:pPr>
            <w:r>
              <w:rPr>
                <w:rFonts w:hint="eastAsia" w:ascii="宋体" w:hAnsi="宋体" w:cs="宋体"/>
                <w:kern w:val="0"/>
                <w:szCs w:val="21"/>
              </w:rPr>
              <w:t>其它系统</w:t>
            </w: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5BFFFBE4">
            <w:pPr>
              <w:widowControl/>
              <w:spacing w:line="400" w:lineRule="exact"/>
              <w:jc w:val="center"/>
              <w:rPr>
                <w:rFonts w:hint="eastAsia" w:ascii="宋体" w:hAnsi="宋体" w:cs="宋体"/>
                <w:kern w:val="0"/>
                <w:szCs w:val="21"/>
              </w:rPr>
            </w:pPr>
            <w:r>
              <w:rPr>
                <w:rFonts w:hint="eastAsia" w:ascii="宋体" w:hAnsi="宋体" w:cs="宋体"/>
                <w:kern w:val="0"/>
                <w:szCs w:val="21"/>
              </w:rPr>
              <w:t>移动公众服务</w:t>
            </w:r>
          </w:p>
        </w:tc>
        <w:tc>
          <w:tcPr>
            <w:tcW w:w="4934" w:type="dxa"/>
            <w:tcBorders>
              <w:top w:val="nil"/>
              <w:left w:val="nil"/>
              <w:bottom w:val="single" w:color="auto" w:sz="4" w:space="0"/>
              <w:right w:val="single" w:color="auto" w:sz="4" w:space="0"/>
            </w:tcBorders>
            <w:shd w:val="clear" w:color="auto" w:fill="auto"/>
            <w:noWrap/>
            <w:vAlign w:val="center"/>
          </w:tcPr>
          <w:p w14:paraId="066F3CBD">
            <w:pPr>
              <w:widowControl/>
              <w:spacing w:line="400" w:lineRule="exact"/>
              <w:jc w:val="left"/>
              <w:rPr>
                <w:rFonts w:hint="eastAsia" w:ascii="宋体" w:hAnsi="宋体" w:cs="宋体"/>
                <w:kern w:val="0"/>
                <w:szCs w:val="21"/>
              </w:rPr>
            </w:pPr>
            <w:r>
              <w:rPr>
                <w:rFonts w:hint="eastAsia" w:ascii="宋体" w:hAnsi="宋体" w:cs="宋体"/>
                <w:kern w:val="0"/>
                <w:szCs w:val="21"/>
              </w:rPr>
              <w:t>医疗服务</w:t>
            </w:r>
          </w:p>
        </w:tc>
      </w:tr>
      <w:tr w14:paraId="1A5FB1B9">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F2669E7">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7FB9BE9F">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13D2D5C5">
            <w:pPr>
              <w:widowControl/>
              <w:spacing w:line="400" w:lineRule="exact"/>
              <w:jc w:val="left"/>
              <w:rPr>
                <w:rFonts w:hint="eastAsia" w:ascii="宋体" w:hAnsi="宋体" w:cs="宋体"/>
                <w:kern w:val="0"/>
                <w:szCs w:val="21"/>
              </w:rPr>
            </w:pPr>
            <w:r>
              <w:rPr>
                <w:rFonts w:hint="eastAsia" w:ascii="宋体" w:hAnsi="宋体" w:cs="宋体"/>
                <w:kern w:val="0"/>
                <w:szCs w:val="21"/>
              </w:rPr>
              <w:t>综合服务</w:t>
            </w:r>
          </w:p>
        </w:tc>
      </w:tr>
      <w:tr w14:paraId="1CC55749">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6431C0CD">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63BE53F5">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17A7D5E4">
            <w:pPr>
              <w:widowControl/>
              <w:spacing w:line="400" w:lineRule="exact"/>
              <w:jc w:val="left"/>
              <w:rPr>
                <w:rFonts w:hint="eastAsia" w:ascii="宋体" w:hAnsi="宋体" w:cs="宋体"/>
                <w:kern w:val="0"/>
                <w:szCs w:val="21"/>
              </w:rPr>
            </w:pPr>
            <w:r>
              <w:rPr>
                <w:rFonts w:hint="eastAsia" w:ascii="宋体" w:hAnsi="宋体" w:cs="宋体"/>
                <w:kern w:val="0"/>
                <w:szCs w:val="21"/>
              </w:rPr>
              <w:t>个人中心</w:t>
            </w:r>
          </w:p>
        </w:tc>
      </w:tr>
      <w:tr w14:paraId="23A29575">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59B23B9F">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25A63421">
            <w:pPr>
              <w:widowControl/>
              <w:spacing w:line="400" w:lineRule="exact"/>
              <w:jc w:val="center"/>
              <w:rPr>
                <w:rFonts w:hint="eastAsia" w:ascii="宋体" w:hAnsi="宋体" w:cs="宋体"/>
                <w:kern w:val="0"/>
                <w:szCs w:val="21"/>
              </w:rPr>
            </w:pPr>
            <w:r>
              <w:rPr>
                <w:rFonts w:hint="eastAsia" w:ascii="宋体" w:hAnsi="宋体" w:cs="宋体"/>
                <w:kern w:val="0"/>
                <w:szCs w:val="21"/>
              </w:rPr>
              <w:t>统一支付对账平台</w:t>
            </w:r>
          </w:p>
        </w:tc>
        <w:tc>
          <w:tcPr>
            <w:tcW w:w="4934" w:type="dxa"/>
            <w:tcBorders>
              <w:top w:val="nil"/>
              <w:left w:val="nil"/>
              <w:bottom w:val="single" w:color="auto" w:sz="4" w:space="0"/>
              <w:right w:val="single" w:color="auto" w:sz="4" w:space="0"/>
            </w:tcBorders>
            <w:shd w:val="clear" w:color="auto" w:fill="auto"/>
            <w:noWrap/>
            <w:vAlign w:val="center"/>
          </w:tcPr>
          <w:p w14:paraId="742AA902">
            <w:pPr>
              <w:widowControl/>
              <w:spacing w:line="400" w:lineRule="exact"/>
              <w:jc w:val="left"/>
              <w:rPr>
                <w:rFonts w:hint="eastAsia" w:ascii="宋体" w:hAnsi="宋体" w:cs="宋体"/>
                <w:kern w:val="0"/>
                <w:szCs w:val="21"/>
              </w:rPr>
            </w:pPr>
            <w:r>
              <w:rPr>
                <w:rFonts w:hint="eastAsia" w:ascii="宋体" w:hAnsi="宋体" w:cs="宋体"/>
                <w:kern w:val="0"/>
                <w:szCs w:val="21"/>
              </w:rPr>
              <w:t>统一对账平台</w:t>
            </w:r>
          </w:p>
        </w:tc>
      </w:tr>
      <w:tr w14:paraId="5F0AF3FC">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2F4C7A5A">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3FEA829">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7B860216">
            <w:pPr>
              <w:widowControl/>
              <w:spacing w:line="400" w:lineRule="exact"/>
              <w:jc w:val="left"/>
              <w:rPr>
                <w:rFonts w:hint="eastAsia" w:ascii="宋体" w:hAnsi="宋体" w:cs="宋体"/>
                <w:kern w:val="0"/>
                <w:szCs w:val="21"/>
              </w:rPr>
            </w:pPr>
            <w:r>
              <w:rPr>
                <w:rFonts w:hint="eastAsia" w:ascii="宋体" w:hAnsi="宋体" w:cs="宋体"/>
                <w:kern w:val="0"/>
                <w:szCs w:val="21"/>
              </w:rPr>
              <w:t>统一支付平台</w:t>
            </w:r>
          </w:p>
        </w:tc>
      </w:tr>
      <w:tr w14:paraId="6C660CDA">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423EFD43">
            <w:pPr>
              <w:widowControl/>
              <w:spacing w:line="400" w:lineRule="exact"/>
              <w:jc w:val="left"/>
              <w:rPr>
                <w:rFonts w:hint="eastAsia" w:ascii="宋体" w:hAnsi="宋体" w:cs="宋体"/>
                <w:kern w:val="0"/>
                <w:szCs w:val="21"/>
              </w:rPr>
            </w:pPr>
          </w:p>
        </w:tc>
        <w:tc>
          <w:tcPr>
            <w:tcW w:w="2631" w:type="dxa"/>
            <w:tcBorders>
              <w:top w:val="nil"/>
              <w:left w:val="nil"/>
              <w:bottom w:val="single" w:color="auto" w:sz="4" w:space="0"/>
              <w:right w:val="single" w:color="auto" w:sz="4" w:space="0"/>
            </w:tcBorders>
            <w:shd w:val="clear" w:color="auto" w:fill="auto"/>
            <w:noWrap/>
            <w:vAlign w:val="center"/>
          </w:tcPr>
          <w:p w14:paraId="0586D0B4">
            <w:pPr>
              <w:widowControl/>
              <w:spacing w:line="400" w:lineRule="exact"/>
              <w:jc w:val="center"/>
              <w:rPr>
                <w:rFonts w:hint="eastAsia" w:ascii="宋体" w:hAnsi="宋体" w:cs="宋体"/>
                <w:kern w:val="0"/>
                <w:szCs w:val="21"/>
              </w:rPr>
            </w:pPr>
            <w:r>
              <w:rPr>
                <w:rFonts w:hint="eastAsia" w:ascii="宋体" w:hAnsi="宋体" w:cs="宋体"/>
                <w:kern w:val="0"/>
                <w:szCs w:val="21"/>
              </w:rPr>
              <w:t>院感管理</w:t>
            </w:r>
          </w:p>
        </w:tc>
        <w:tc>
          <w:tcPr>
            <w:tcW w:w="4934" w:type="dxa"/>
            <w:tcBorders>
              <w:top w:val="nil"/>
              <w:left w:val="nil"/>
              <w:bottom w:val="single" w:color="auto" w:sz="4" w:space="0"/>
              <w:right w:val="single" w:color="auto" w:sz="4" w:space="0"/>
            </w:tcBorders>
            <w:shd w:val="clear" w:color="auto" w:fill="auto"/>
            <w:noWrap/>
            <w:vAlign w:val="center"/>
          </w:tcPr>
          <w:p w14:paraId="2001494F">
            <w:pPr>
              <w:widowControl/>
              <w:spacing w:line="400" w:lineRule="exact"/>
              <w:jc w:val="left"/>
              <w:rPr>
                <w:rFonts w:hint="eastAsia" w:ascii="宋体" w:hAnsi="宋体" w:cs="宋体"/>
                <w:kern w:val="0"/>
                <w:szCs w:val="21"/>
              </w:rPr>
            </w:pPr>
            <w:r>
              <w:rPr>
                <w:rFonts w:hint="eastAsia" w:ascii="宋体" w:hAnsi="宋体" w:cs="宋体"/>
                <w:kern w:val="0"/>
                <w:szCs w:val="21"/>
              </w:rPr>
              <w:t>医院感染实时监控管理系统</w:t>
            </w:r>
          </w:p>
        </w:tc>
      </w:tr>
      <w:tr w14:paraId="04AE22E4">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2207E708">
            <w:pPr>
              <w:widowControl/>
              <w:spacing w:line="400" w:lineRule="exact"/>
              <w:jc w:val="left"/>
              <w:rPr>
                <w:rFonts w:hint="eastAsia" w:ascii="宋体" w:hAnsi="宋体" w:cs="宋体"/>
                <w:kern w:val="0"/>
                <w:szCs w:val="21"/>
              </w:rPr>
            </w:pPr>
          </w:p>
        </w:tc>
        <w:tc>
          <w:tcPr>
            <w:tcW w:w="2631" w:type="dxa"/>
            <w:vMerge w:val="restart"/>
            <w:tcBorders>
              <w:top w:val="nil"/>
              <w:left w:val="single" w:color="auto" w:sz="4" w:space="0"/>
              <w:bottom w:val="single" w:color="auto" w:sz="4" w:space="0"/>
              <w:right w:val="single" w:color="auto" w:sz="4" w:space="0"/>
            </w:tcBorders>
            <w:shd w:val="clear" w:color="auto" w:fill="auto"/>
            <w:noWrap/>
            <w:vAlign w:val="center"/>
          </w:tcPr>
          <w:p w14:paraId="2436DDAC">
            <w:pPr>
              <w:widowControl/>
              <w:spacing w:line="400" w:lineRule="exact"/>
              <w:jc w:val="center"/>
              <w:rPr>
                <w:rFonts w:hint="eastAsia" w:ascii="宋体" w:hAnsi="宋体" w:cs="宋体"/>
                <w:kern w:val="0"/>
                <w:szCs w:val="21"/>
              </w:rPr>
            </w:pPr>
            <w:r>
              <w:rPr>
                <w:rFonts w:hint="eastAsia" w:ascii="宋体" w:hAnsi="宋体" w:cs="宋体"/>
                <w:kern w:val="0"/>
                <w:szCs w:val="21"/>
              </w:rPr>
              <w:t>医技业务</w:t>
            </w:r>
          </w:p>
        </w:tc>
        <w:tc>
          <w:tcPr>
            <w:tcW w:w="4934" w:type="dxa"/>
            <w:tcBorders>
              <w:top w:val="nil"/>
              <w:left w:val="nil"/>
              <w:bottom w:val="single" w:color="auto" w:sz="4" w:space="0"/>
              <w:right w:val="single" w:color="auto" w:sz="4" w:space="0"/>
            </w:tcBorders>
            <w:shd w:val="clear" w:color="auto" w:fill="auto"/>
            <w:noWrap/>
            <w:vAlign w:val="center"/>
          </w:tcPr>
          <w:p w14:paraId="67E2D910">
            <w:pPr>
              <w:widowControl/>
              <w:spacing w:line="400" w:lineRule="exact"/>
              <w:jc w:val="left"/>
              <w:rPr>
                <w:rFonts w:hint="eastAsia" w:ascii="宋体" w:hAnsi="宋体" w:cs="宋体"/>
                <w:kern w:val="0"/>
                <w:szCs w:val="21"/>
              </w:rPr>
            </w:pPr>
            <w:r>
              <w:rPr>
                <w:rFonts w:hint="eastAsia" w:ascii="宋体" w:hAnsi="宋体" w:cs="宋体"/>
                <w:kern w:val="0"/>
                <w:szCs w:val="21"/>
              </w:rPr>
              <w:t>心电管理系统</w:t>
            </w:r>
          </w:p>
        </w:tc>
      </w:tr>
      <w:tr w14:paraId="78823425">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277D43C5">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0B9DA639">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9FEA163">
            <w:pPr>
              <w:widowControl/>
              <w:spacing w:line="400" w:lineRule="exact"/>
              <w:jc w:val="left"/>
              <w:rPr>
                <w:rFonts w:hint="eastAsia" w:ascii="宋体" w:hAnsi="宋体" w:cs="宋体"/>
                <w:kern w:val="0"/>
                <w:szCs w:val="21"/>
              </w:rPr>
            </w:pPr>
            <w:r>
              <w:rPr>
                <w:rFonts w:hint="eastAsia" w:ascii="宋体" w:hAnsi="宋体" w:cs="宋体"/>
                <w:kern w:val="0"/>
                <w:szCs w:val="21"/>
              </w:rPr>
              <w:t xml:space="preserve">治疗信息系统 </w:t>
            </w:r>
          </w:p>
        </w:tc>
      </w:tr>
      <w:tr w14:paraId="3CF4370A">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36175FD6">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39C459E7">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CB9BF7F">
            <w:pPr>
              <w:widowControl/>
              <w:spacing w:line="400" w:lineRule="exact"/>
              <w:jc w:val="left"/>
              <w:rPr>
                <w:rFonts w:hint="eastAsia" w:ascii="宋体" w:hAnsi="宋体" w:cs="宋体"/>
                <w:kern w:val="0"/>
                <w:szCs w:val="21"/>
              </w:rPr>
            </w:pPr>
            <w:r>
              <w:rPr>
                <w:rFonts w:hint="eastAsia" w:ascii="宋体" w:hAnsi="宋体" w:cs="宋体"/>
                <w:kern w:val="0"/>
                <w:szCs w:val="21"/>
              </w:rPr>
              <w:t>临床检验信息管理系统</w:t>
            </w:r>
          </w:p>
        </w:tc>
      </w:tr>
      <w:tr w14:paraId="66E79A09">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7FF0548B">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41E85780">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09719ED9">
            <w:pPr>
              <w:widowControl/>
              <w:spacing w:line="400" w:lineRule="exact"/>
              <w:jc w:val="left"/>
              <w:rPr>
                <w:rFonts w:hint="eastAsia" w:ascii="宋体" w:hAnsi="宋体" w:cs="宋体"/>
                <w:kern w:val="0"/>
                <w:szCs w:val="21"/>
              </w:rPr>
            </w:pPr>
            <w:r>
              <w:rPr>
                <w:rFonts w:hint="eastAsia" w:ascii="宋体" w:hAnsi="宋体" w:cs="宋体"/>
                <w:kern w:val="0"/>
                <w:szCs w:val="21"/>
              </w:rPr>
              <w:t>医学影像系统</w:t>
            </w:r>
          </w:p>
        </w:tc>
      </w:tr>
      <w:tr w14:paraId="33AE622A">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5E0D35BE">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3BD39822">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3F802F96">
            <w:pPr>
              <w:widowControl/>
              <w:spacing w:line="400" w:lineRule="exact"/>
              <w:jc w:val="left"/>
              <w:rPr>
                <w:rFonts w:hint="eastAsia" w:ascii="宋体" w:hAnsi="宋体" w:cs="宋体"/>
                <w:kern w:val="0"/>
                <w:szCs w:val="21"/>
              </w:rPr>
            </w:pPr>
            <w:r>
              <w:rPr>
                <w:rFonts w:hint="eastAsia" w:ascii="宋体" w:hAnsi="宋体" w:cs="宋体"/>
                <w:kern w:val="0"/>
                <w:szCs w:val="21"/>
              </w:rPr>
              <w:t>放射管理系统</w:t>
            </w:r>
          </w:p>
        </w:tc>
      </w:tr>
      <w:tr w14:paraId="410FD1A2">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43F8A279">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347DE528">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5CCD0A45">
            <w:pPr>
              <w:widowControl/>
              <w:spacing w:line="400" w:lineRule="exact"/>
              <w:jc w:val="left"/>
              <w:rPr>
                <w:rFonts w:hint="eastAsia" w:ascii="宋体" w:hAnsi="宋体" w:cs="宋体"/>
                <w:kern w:val="0"/>
                <w:szCs w:val="21"/>
              </w:rPr>
            </w:pPr>
            <w:r>
              <w:rPr>
                <w:rFonts w:hint="eastAsia" w:ascii="宋体" w:hAnsi="宋体" w:cs="宋体"/>
                <w:kern w:val="0"/>
                <w:szCs w:val="21"/>
              </w:rPr>
              <w:t>超声管理系统</w:t>
            </w:r>
          </w:p>
        </w:tc>
      </w:tr>
      <w:tr w14:paraId="3C6C88D5">
        <w:tblPrEx>
          <w:tblCellMar>
            <w:top w:w="0" w:type="dxa"/>
            <w:left w:w="108" w:type="dxa"/>
            <w:bottom w:w="0" w:type="dxa"/>
            <w:right w:w="108" w:type="dxa"/>
          </w:tblCellMar>
        </w:tblPrEx>
        <w:trPr>
          <w:trHeight w:val="280" w:hRule="atLeast"/>
          <w:jc w:val="center"/>
        </w:trPr>
        <w:tc>
          <w:tcPr>
            <w:tcW w:w="1474" w:type="dxa"/>
            <w:vMerge w:val="continue"/>
            <w:tcBorders>
              <w:top w:val="nil"/>
              <w:left w:val="single" w:color="auto" w:sz="4" w:space="0"/>
              <w:bottom w:val="single" w:color="auto" w:sz="4" w:space="0"/>
              <w:right w:val="single" w:color="auto" w:sz="4" w:space="0"/>
            </w:tcBorders>
            <w:vAlign w:val="center"/>
          </w:tcPr>
          <w:p w14:paraId="16EA0228">
            <w:pPr>
              <w:widowControl/>
              <w:spacing w:line="400" w:lineRule="exact"/>
              <w:jc w:val="left"/>
              <w:rPr>
                <w:rFonts w:hint="eastAsia" w:ascii="宋体" w:hAnsi="宋体" w:cs="宋体"/>
                <w:kern w:val="0"/>
                <w:szCs w:val="21"/>
              </w:rPr>
            </w:pPr>
          </w:p>
        </w:tc>
        <w:tc>
          <w:tcPr>
            <w:tcW w:w="2631" w:type="dxa"/>
            <w:vMerge w:val="continue"/>
            <w:tcBorders>
              <w:top w:val="nil"/>
              <w:left w:val="single" w:color="auto" w:sz="4" w:space="0"/>
              <w:bottom w:val="single" w:color="auto" w:sz="4" w:space="0"/>
              <w:right w:val="single" w:color="auto" w:sz="4" w:space="0"/>
            </w:tcBorders>
            <w:vAlign w:val="center"/>
          </w:tcPr>
          <w:p w14:paraId="2A6164E4">
            <w:pPr>
              <w:widowControl/>
              <w:spacing w:line="400" w:lineRule="exact"/>
              <w:jc w:val="left"/>
              <w:rPr>
                <w:rFonts w:hint="eastAsia" w:ascii="宋体" w:hAnsi="宋体" w:cs="宋体"/>
                <w:kern w:val="0"/>
                <w:szCs w:val="21"/>
              </w:rPr>
            </w:pPr>
          </w:p>
        </w:tc>
        <w:tc>
          <w:tcPr>
            <w:tcW w:w="4934" w:type="dxa"/>
            <w:tcBorders>
              <w:top w:val="nil"/>
              <w:left w:val="nil"/>
              <w:bottom w:val="single" w:color="auto" w:sz="4" w:space="0"/>
              <w:right w:val="single" w:color="auto" w:sz="4" w:space="0"/>
            </w:tcBorders>
            <w:shd w:val="clear" w:color="auto" w:fill="auto"/>
            <w:noWrap/>
            <w:vAlign w:val="center"/>
          </w:tcPr>
          <w:p w14:paraId="756846AE">
            <w:pPr>
              <w:widowControl/>
              <w:spacing w:line="400" w:lineRule="exact"/>
              <w:jc w:val="left"/>
              <w:rPr>
                <w:rFonts w:hint="eastAsia" w:ascii="宋体" w:hAnsi="宋体" w:cs="宋体"/>
                <w:kern w:val="0"/>
                <w:szCs w:val="21"/>
              </w:rPr>
            </w:pPr>
            <w:r>
              <w:rPr>
                <w:rFonts w:hint="eastAsia" w:ascii="宋体" w:hAnsi="宋体" w:cs="宋体"/>
                <w:kern w:val="0"/>
                <w:szCs w:val="21"/>
              </w:rPr>
              <w:t>内镜管理系统</w:t>
            </w:r>
          </w:p>
        </w:tc>
      </w:tr>
    </w:tbl>
    <w:p w14:paraId="2ACA2487">
      <w:pPr>
        <w:spacing w:line="400" w:lineRule="exact"/>
        <w:rPr>
          <w:rFonts w:hint="eastAsia" w:ascii="宋体" w:hAnsi="宋体"/>
          <w:szCs w:val="21"/>
        </w:rPr>
      </w:pPr>
    </w:p>
    <w:p w14:paraId="27E81E05">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慢病管理平台</w:t>
      </w:r>
    </w:p>
    <w:p w14:paraId="0ED46A87">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单科慢病管理</w:t>
      </w:r>
    </w:p>
    <w:tbl>
      <w:tblPr>
        <w:tblStyle w:val="27"/>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635"/>
        <w:gridCol w:w="7118"/>
      </w:tblGrid>
      <w:tr w14:paraId="1976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47" w:type="pct"/>
            <w:gridSpan w:val="2"/>
          </w:tcPr>
          <w:p w14:paraId="0607862D">
            <w:pPr>
              <w:spacing w:line="400" w:lineRule="exact"/>
              <w:jc w:val="center"/>
              <w:rPr>
                <w:rFonts w:hint="eastAsia" w:ascii="宋体" w:hAnsi="宋体" w:cs="仿宋_GB2312"/>
                <w:kern w:val="0"/>
                <w:szCs w:val="21"/>
              </w:rPr>
            </w:pPr>
            <w:r>
              <w:rPr>
                <w:rFonts w:hint="eastAsia" w:ascii="宋体" w:hAnsi="宋体" w:cs="仿宋_GB2312"/>
                <w:kern w:val="0"/>
                <w:szCs w:val="21"/>
              </w:rPr>
              <w:t>功能模块</w:t>
            </w:r>
          </w:p>
        </w:tc>
        <w:tc>
          <w:tcPr>
            <w:tcW w:w="3552" w:type="pct"/>
          </w:tcPr>
          <w:p w14:paraId="69B32A9C">
            <w:pPr>
              <w:spacing w:line="400" w:lineRule="exact"/>
              <w:jc w:val="center"/>
              <w:rPr>
                <w:rFonts w:hint="eastAsia" w:ascii="宋体" w:hAnsi="宋体" w:cs="仿宋_GB2312"/>
                <w:kern w:val="0"/>
                <w:szCs w:val="21"/>
              </w:rPr>
            </w:pPr>
            <w:r>
              <w:rPr>
                <w:rFonts w:hint="eastAsia" w:ascii="宋体" w:hAnsi="宋体" w:cs="仿宋_GB2312"/>
                <w:kern w:val="0"/>
                <w:szCs w:val="21"/>
              </w:rPr>
              <w:t>功能要求</w:t>
            </w:r>
          </w:p>
        </w:tc>
      </w:tr>
      <w:tr w14:paraId="317F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restart"/>
            <w:vAlign w:val="center"/>
          </w:tcPr>
          <w:p w14:paraId="76FFE0CB">
            <w:pPr>
              <w:widowControl/>
              <w:spacing w:line="400" w:lineRule="exact"/>
              <w:jc w:val="center"/>
              <w:rPr>
                <w:rFonts w:hint="eastAsia" w:ascii="宋体" w:hAnsi="宋体" w:cs="仿宋_GB2312"/>
                <w:kern w:val="0"/>
                <w:szCs w:val="21"/>
              </w:rPr>
            </w:pPr>
            <w:r>
              <w:rPr>
                <w:rFonts w:hint="eastAsia" w:ascii="宋体" w:hAnsi="宋体" w:cs="仿宋_GB2312"/>
                <w:kern w:val="0"/>
                <w:szCs w:val="21"/>
              </w:rPr>
              <w:t>信息采集</w:t>
            </w:r>
          </w:p>
        </w:tc>
        <w:tc>
          <w:tcPr>
            <w:tcW w:w="816" w:type="pct"/>
            <w:vAlign w:val="center"/>
          </w:tcPr>
          <w:p w14:paraId="515FCFEB">
            <w:pPr>
              <w:widowControl/>
              <w:spacing w:line="400" w:lineRule="exact"/>
              <w:jc w:val="center"/>
              <w:rPr>
                <w:rFonts w:hint="eastAsia" w:ascii="宋体" w:hAnsi="宋体" w:cs="仿宋_GB2312"/>
                <w:kern w:val="0"/>
                <w:szCs w:val="21"/>
              </w:rPr>
            </w:pPr>
            <w:r>
              <w:rPr>
                <w:rFonts w:hint="eastAsia" w:ascii="宋体" w:hAnsi="宋体" w:cs="仿宋_GB2312"/>
                <w:kern w:val="0"/>
                <w:szCs w:val="21"/>
              </w:rPr>
              <w:t>日常数据</w:t>
            </w:r>
          </w:p>
        </w:tc>
        <w:tc>
          <w:tcPr>
            <w:tcW w:w="3552" w:type="pct"/>
            <w:vAlign w:val="center"/>
          </w:tcPr>
          <w:p w14:paraId="63B85418">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生活方式问卷、心理、中医体质辨析问卷录入，支持软件系统内的手工录入</w:t>
            </w:r>
            <w:r>
              <w:rPr>
                <w:rFonts w:hint="eastAsia" w:ascii="宋体" w:hAnsi="宋体" w:cs="仿宋_GB2312"/>
                <w:kern w:val="0"/>
                <w:szCs w:val="21"/>
                <w:lang w:eastAsia="zh-Hans"/>
              </w:rPr>
              <w:t>，支持手机端</w:t>
            </w:r>
            <w:r>
              <w:rPr>
                <w:rFonts w:hint="eastAsia" w:ascii="宋体" w:hAnsi="宋体" w:cs="仿宋_GB2312"/>
                <w:kern w:val="0"/>
                <w:szCs w:val="21"/>
              </w:rPr>
              <w:t>、机构触屏端</w:t>
            </w:r>
            <w:r>
              <w:rPr>
                <w:rFonts w:hint="eastAsia" w:ascii="宋体" w:hAnsi="宋体" w:cs="仿宋_GB2312"/>
                <w:kern w:val="0"/>
                <w:szCs w:val="21"/>
                <w:lang w:eastAsia="zh-Hans"/>
              </w:rPr>
              <w:t>录入</w:t>
            </w:r>
          </w:p>
        </w:tc>
      </w:tr>
      <w:tr w14:paraId="086E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7077AA17">
            <w:pPr>
              <w:widowControl/>
              <w:spacing w:line="400" w:lineRule="exact"/>
              <w:jc w:val="center"/>
              <w:rPr>
                <w:rFonts w:hint="eastAsia" w:ascii="宋体" w:hAnsi="宋体" w:cs="仿宋_GB2312"/>
                <w:kern w:val="0"/>
                <w:szCs w:val="21"/>
              </w:rPr>
            </w:pPr>
          </w:p>
        </w:tc>
        <w:tc>
          <w:tcPr>
            <w:tcW w:w="816" w:type="pct"/>
            <w:vAlign w:val="center"/>
          </w:tcPr>
          <w:p w14:paraId="39C52BA4">
            <w:pPr>
              <w:widowControl/>
              <w:spacing w:line="400" w:lineRule="exact"/>
              <w:jc w:val="center"/>
              <w:rPr>
                <w:rFonts w:hint="eastAsia" w:ascii="宋体" w:hAnsi="宋体" w:cs="仿宋_GB2312"/>
                <w:kern w:val="0"/>
                <w:szCs w:val="21"/>
              </w:rPr>
            </w:pPr>
            <w:r>
              <w:rPr>
                <w:rFonts w:hint="eastAsia" w:ascii="宋体" w:hAnsi="宋体" w:cs="仿宋_GB2312"/>
                <w:kern w:val="0"/>
                <w:szCs w:val="21"/>
              </w:rPr>
              <w:t>体检数据</w:t>
            </w:r>
          </w:p>
        </w:tc>
        <w:tc>
          <w:tcPr>
            <w:tcW w:w="3552" w:type="pct"/>
            <w:vAlign w:val="center"/>
          </w:tcPr>
          <w:p w14:paraId="5C281302">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对于非本中心体检人员，可采用体检数据录入功能，自动导入采集该人员体检信息</w:t>
            </w:r>
          </w:p>
        </w:tc>
      </w:tr>
      <w:tr w14:paraId="166F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057AB245">
            <w:pPr>
              <w:widowControl/>
              <w:spacing w:line="400" w:lineRule="exact"/>
              <w:jc w:val="center"/>
              <w:rPr>
                <w:rFonts w:hint="eastAsia" w:ascii="宋体" w:hAnsi="宋体" w:cs="仿宋_GB2312"/>
                <w:kern w:val="0"/>
                <w:szCs w:val="21"/>
              </w:rPr>
            </w:pPr>
          </w:p>
        </w:tc>
        <w:tc>
          <w:tcPr>
            <w:tcW w:w="816" w:type="pct"/>
            <w:vAlign w:val="center"/>
          </w:tcPr>
          <w:p w14:paraId="4F15A388">
            <w:pPr>
              <w:widowControl/>
              <w:spacing w:line="400" w:lineRule="exact"/>
              <w:jc w:val="center"/>
              <w:rPr>
                <w:rFonts w:hint="eastAsia" w:ascii="宋体" w:hAnsi="宋体" w:cs="仿宋_GB2312"/>
                <w:kern w:val="0"/>
                <w:szCs w:val="21"/>
              </w:rPr>
            </w:pPr>
            <w:r>
              <w:rPr>
                <w:rFonts w:hint="eastAsia" w:ascii="宋体" w:hAnsi="宋体" w:cs="仿宋_GB2312"/>
                <w:kern w:val="0"/>
                <w:szCs w:val="21"/>
                <w:lang w:eastAsia="zh-Hans"/>
              </w:rPr>
              <w:t>体检接口数据导入</w:t>
            </w:r>
          </w:p>
        </w:tc>
        <w:tc>
          <w:tcPr>
            <w:tcW w:w="3552" w:type="pct"/>
            <w:vAlign w:val="center"/>
          </w:tcPr>
          <w:p w14:paraId="0C2F8787">
            <w:pPr>
              <w:snapToGrid w:val="0"/>
              <w:spacing w:line="400" w:lineRule="exact"/>
              <w:jc w:val="left"/>
              <w:rPr>
                <w:rFonts w:hint="eastAsia" w:ascii="宋体" w:hAnsi="宋体" w:cs="仿宋_GB2312"/>
                <w:kern w:val="0"/>
                <w:szCs w:val="21"/>
              </w:rPr>
            </w:pPr>
            <w:r>
              <w:rPr>
                <w:rFonts w:hint="eastAsia" w:ascii="宋体" w:hAnsi="宋体" w:cs="仿宋_GB2312"/>
                <w:kern w:val="0"/>
                <w:szCs w:val="21"/>
                <w:lang w:eastAsia="zh-Hans"/>
              </w:rPr>
              <w:t>实现体检系统与健康管理系统的接口导入功能</w:t>
            </w:r>
          </w:p>
        </w:tc>
      </w:tr>
      <w:tr w14:paraId="7473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3C8C3C4A">
            <w:pPr>
              <w:widowControl/>
              <w:spacing w:line="400" w:lineRule="exact"/>
              <w:jc w:val="center"/>
              <w:rPr>
                <w:rFonts w:hint="eastAsia" w:ascii="宋体" w:hAnsi="宋体" w:cs="仿宋_GB2312"/>
                <w:kern w:val="0"/>
                <w:szCs w:val="21"/>
              </w:rPr>
            </w:pPr>
          </w:p>
        </w:tc>
        <w:tc>
          <w:tcPr>
            <w:tcW w:w="816" w:type="pct"/>
            <w:vAlign w:val="center"/>
          </w:tcPr>
          <w:p w14:paraId="6AF1A86A">
            <w:pPr>
              <w:widowControl/>
              <w:spacing w:line="400" w:lineRule="exact"/>
              <w:jc w:val="center"/>
              <w:rPr>
                <w:rFonts w:hint="eastAsia" w:ascii="宋体" w:hAnsi="宋体" w:cs="仿宋_GB2312"/>
                <w:kern w:val="0"/>
                <w:szCs w:val="21"/>
              </w:rPr>
            </w:pPr>
            <w:r>
              <w:rPr>
                <w:rFonts w:hint="eastAsia" w:ascii="宋体" w:hAnsi="宋体" w:cs="仿宋_GB2312"/>
                <w:kern w:val="0"/>
                <w:szCs w:val="21"/>
              </w:rPr>
              <w:t>数据导出</w:t>
            </w:r>
          </w:p>
        </w:tc>
        <w:tc>
          <w:tcPr>
            <w:tcW w:w="3552" w:type="pct"/>
            <w:vAlign w:val="center"/>
          </w:tcPr>
          <w:p w14:paraId="53D6D9ED">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采集信息可以进行导出操作，</w:t>
            </w:r>
          </w:p>
        </w:tc>
      </w:tr>
      <w:tr w14:paraId="1718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restart"/>
            <w:vAlign w:val="center"/>
          </w:tcPr>
          <w:p w14:paraId="030B6C23">
            <w:pPr>
              <w:widowControl/>
              <w:spacing w:line="400" w:lineRule="exact"/>
              <w:jc w:val="center"/>
              <w:rPr>
                <w:rFonts w:hint="eastAsia" w:ascii="宋体" w:hAnsi="宋体" w:cs="仿宋_GB2312"/>
                <w:kern w:val="0"/>
                <w:szCs w:val="21"/>
              </w:rPr>
            </w:pPr>
            <w:r>
              <w:rPr>
                <w:rFonts w:hint="eastAsia" w:ascii="宋体" w:hAnsi="宋体" w:cs="仿宋_GB2312"/>
                <w:kern w:val="0"/>
                <w:szCs w:val="21"/>
              </w:rPr>
              <w:t>数据接口</w:t>
            </w:r>
          </w:p>
        </w:tc>
        <w:tc>
          <w:tcPr>
            <w:tcW w:w="816" w:type="pct"/>
            <w:vAlign w:val="center"/>
          </w:tcPr>
          <w:p w14:paraId="68403DC6">
            <w:pPr>
              <w:widowControl/>
              <w:spacing w:line="400" w:lineRule="exact"/>
              <w:jc w:val="center"/>
              <w:rPr>
                <w:rFonts w:hint="eastAsia" w:ascii="宋体" w:hAnsi="宋体" w:cs="仿宋_GB2312"/>
                <w:kern w:val="0"/>
                <w:szCs w:val="21"/>
              </w:rPr>
            </w:pPr>
            <w:r>
              <w:rPr>
                <w:rFonts w:hint="eastAsia" w:ascii="宋体" w:hAnsi="宋体" w:cs="仿宋_GB2312"/>
                <w:kern w:val="0"/>
                <w:szCs w:val="21"/>
              </w:rPr>
              <w:t>设备接口</w:t>
            </w:r>
          </w:p>
        </w:tc>
        <w:tc>
          <w:tcPr>
            <w:tcW w:w="3552" w:type="pct"/>
            <w:vAlign w:val="center"/>
          </w:tcPr>
          <w:p w14:paraId="038EC494">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支持血压、血糖、血氧、体脂、心电等智能检测设备检测自动上传到平台，也可以录入</w:t>
            </w:r>
          </w:p>
        </w:tc>
      </w:tr>
      <w:tr w14:paraId="08C7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31" w:type="pct"/>
            <w:vMerge w:val="continue"/>
            <w:vAlign w:val="center"/>
          </w:tcPr>
          <w:p w14:paraId="135B0D08">
            <w:pPr>
              <w:widowControl/>
              <w:spacing w:line="400" w:lineRule="exact"/>
              <w:jc w:val="center"/>
              <w:rPr>
                <w:rFonts w:hint="eastAsia" w:ascii="宋体" w:hAnsi="宋体" w:cs="仿宋_GB2312"/>
                <w:kern w:val="0"/>
                <w:szCs w:val="21"/>
              </w:rPr>
            </w:pPr>
          </w:p>
        </w:tc>
        <w:tc>
          <w:tcPr>
            <w:tcW w:w="816" w:type="pct"/>
            <w:vAlign w:val="center"/>
          </w:tcPr>
          <w:p w14:paraId="270FB4E3">
            <w:pPr>
              <w:widowControl/>
              <w:spacing w:line="400" w:lineRule="exact"/>
              <w:jc w:val="center"/>
              <w:rPr>
                <w:rFonts w:hint="eastAsia" w:ascii="宋体" w:hAnsi="宋体" w:cs="仿宋_GB2312"/>
                <w:kern w:val="0"/>
                <w:szCs w:val="21"/>
              </w:rPr>
            </w:pPr>
            <w:r>
              <w:rPr>
                <w:rFonts w:hint="eastAsia" w:ascii="宋体" w:hAnsi="宋体" w:cs="仿宋_GB2312"/>
                <w:kern w:val="0"/>
                <w:szCs w:val="21"/>
              </w:rPr>
              <w:t>数据接口</w:t>
            </w:r>
          </w:p>
        </w:tc>
        <w:tc>
          <w:tcPr>
            <w:tcW w:w="3552" w:type="pct"/>
            <w:vAlign w:val="center"/>
          </w:tcPr>
          <w:p w14:paraId="209B3F29">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1、支持数据导入：可自行设定数据接口及数据项的定义</w:t>
            </w:r>
          </w:p>
          <w:p w14:paraId="7ED2C170">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2、文件导入：支持EXCEL数据文件导入，便于多种类型软件的统一数据采集</w:t>
            </w:r>
          </w:p>
          <w:p w14:paraId="7653D2B5">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3、具有扫描方式与自助触屏方式，辅助问卷采集设备接口；可提供自助触屏问卷程序</w:t>
            </w:r>
          </w:p>
        </w:tc>
      </w:tr>
      <w:tr w14:paraId="0AD7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restart"/>
            <w:vAlign w:val="center"/>
          </w:tcPr>
          <w:p w14:paraId="61225CD3">
            <w:pPr>
              <w:spacing w:line="400" w:lineRule="exact"/>
              <w:jc w:val="center"/>
              <w:rPr>
                <w:rFonts w:hint="eastAsia" w:ascii="宋体" w:hAnsi="宋体" w:cs="仿宋_GB2312"/>
                <w:kern w:val="0"/>
                <w:szCs w:val="21"/>
              </w:rPr>
            </w:pPr>
            <w:r>
              <w:rPr>
                <w:rFonts w:hint="eastAsia" w:ascii="宋体" w:hAnsi="宋体" w:cs="仿宋_GB2312"/>
                <w:kern w:val="0"/>
                <w:szCs w:val="21"/>
              </w:rPr>
              <w:t>系统资料</w:t>
            </w:r>
          </w:p>
        </w:tc>
        <w:tc>
          <w:tcPr>
            <w:tcW w:w="816" w:type="pct"/>
            <w:vAlign w:val="center"/>
          </w:tcPr>
          <w:p w14:paraId="7E4FEEE7">
            <w:pPr>
              <w:widowControl/>
              <w:spacing w:line="400" w:lineRule="exact"/>
              <w:jc w:val="center"/>
              <w:rPr>
                <w:rFonts w:hint="eastAsia" w:ascii="宋体" w:hAnsi="宋体" w:cs="仿宋_GB2312"/>
                <w:kern w:val="0"/>
                <w:szCs w:val="21"/>
              </w:rPr>
            </w:pPr>
            <w:r>
              <w:rPr>
                <w:rFonts w:hint="eastAsia" w:ascii="宋体" w:hAnsi="宋体" w:cs="仿宋_GB2312"/>
                <w:kern w:val="0"/>
                <w:szCs w:val="21"/>
              </w:rPr>
              <w:t>用户权限</w:t>
            </w:r>
          </w:p>
        </w:tc>
        <w:tc>
          <w:tcPr>
            <w:tcW w:w="3552" w:type="pct"/>
            <w:vAlign w:val="center"/>
          </w:tcPr>
          <w:p w14:paraId="5B8D1578">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1、可建立新的用户或更改现有用户的角色；</w:t>
            </w:r>
          </w:p>
          <w:p w14:paraId="4E7D78AE">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2、可改变不同角色所拥有的权限；</w:t>
            </w:r>
          </w:p>
          <w:p w14:paraId="3E8B8E1E">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3、可管理不同模块所拥有的功能。</w:t>
            </w:r>
          </w:p>
        </w:tc>
      </w:tr>
      <w:tr w14:paraId="2E67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1795A9DB">
            <w:pPr>
              <w:spacing w:line="400" w:lineRule="exact"/>
              <w:jc w:val="center"/>
              <w:rPr>
                <w:rFonts w:hint="eastAsia" w:ascii="宋体" w:hAnsi="宋体" w:cs="仿宋_GB2312"/>
                <w:kern w:val="0"/>
                <w:szCs w:val="21"/>
              </w:rPr>
            </w:pPr>
          </w:p>
        </w:tc>
        <w:tc>
          <w:tcPr>
            <w:tcW w:w="816" w:type="pct"/>
            <w:vAlign w:val="center"/>
          </w:tcPr>
          <w:p w14:paraId="63A1E563">
            <w:pPr>
              <w:widowControl/>
              <w:spacing w:line="400" w:lineRule="exact"/>
              <w:jc w:val="center"/>
              <w:rPr>
                <w:rFonts w:hint="eastAsia" w:ascii="宋体" w:hAnsi="宋体" w:cs="仿宋_GB2312"/>
                <w:kern w:val="0"/>
                <w:szCs w:val="21"/>
              </w:rPr>
            </w:pPr>
            <w:r>
              <w:rPr>
                <w:rFonts w:hint="eastAsia" w:ascii="宋体" w:hAnsi="宋体" w:cs="仿宋_GB2312"/>
                <w:kern w:val="0"/>
                <w:szCs w:val="21"/>
              </w:rPr>
              <w:t>知识库</w:t>
            </w:r>
          </w:p>
        </w:tc>
        <w:tc>
          <w:tcPr>
            <w:tcW w:w="3552" w:type="pct"/>
            <w:vAlign w:val="center"/>
          </w:tcPr>
          <w:p w14:paraId="54E9F4F5">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具有病症诊断、指标预警、干预内容、干预计划、中医体质辨析建议、国际标准病症分类等多个健康管理行业数据库。医生可直接应用。也可根据实际工作进行调整。</w:t>
            </w:r>
          </w:p>
        </w:tc>
      </w:tr>
      <w:tr w14:paraId="6870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restart"/>
            <w:vAlign w:val="center"/>
          </w:tcPr>
          <w:p w14:paraId="4C1D6934">
            <w:pPr>
              <w:spacing w:line="400" w:lineRule="exact"/>
              <w:jc w:val="center"/>
              <w:rPr>
                <w:rFonts w:hint="eastAsia" w:ascii="宋体" w:hAnsi="宋体" w:cs="仿宋_GB2312"/>
                <w:kern w:val="0"/>
                <w:szCs w:val="21"/>
              </w:rPr>
            </w:pPr>
            <w:r>
              <w:rPr>
                <w:rFonts w:hint="eastAsia" w:ascii="宋体" w:hAnsi="宋体" w:cs="仿宋_GB2312"/>
                <w:kern w:val="0"/>
                <w:szCs w:val="21"/>
              </w:rPr>
              <w:t>健康管理工作台</w:t>
            </w:r>
          </w:p>
        </w:tc>
        <w:tc>
          <w:tcPr>
            <w:tcW w:w="816" w:type="pct"/>
            <w:vAlign w:val="center"/>
          </w:tcPr>
          <w:p w14:paraId="1F59D62C">
            <w:pPr>
              <w:spacing w:line="400" w:lineRule="exact"/>
              <w:jc w:val="center"/>
              <w:rPr>
                <w:rFonts w:hint="eastAsia" w:ascii="宋体" w:hAnsi="宋体" w:cs="仿宋_GB2312"/>
                <w:kern w:val="0"/>
                <w:szCs w:val="21"/>
              </w:rPr>
            </w:pPr>
            <w:r>
              <w:rPr>
                <w:rFonts w:hint="eastAsia" w:ascii="宋体" w:hAnsi="宋体" w:cs="仿宋_GB2312"/>
                <w:kern w:val="0"/>
                <w:szCs w:val="21"/>
              </w:rPr>
              <w:t>客户信息</w:t>
            </w:r>
          </w:p>
        </w:tc>
        <w:tc>
          <w:tcPr>
            <w:tcW w:w="3552" w:type="pct"/>
          </w:tcPr>
          <w:p w14:paraId="547A0723">
            <w:pPr>
              <w:spacing w:line="400" w:lineRule="exact"/>
              <w:rPr>
                <w:rFonts w:hint="eastAsia" w:ascii="宋体" w:hAnsi="宋体" w:cs="仿宋_GB2312"/>
                <w:kern w:val="0"/>
                <w:szCs w:val="21"/>
              </w:rPr>
            </w:pPr>
            <w:r>
              <w:rPr>
                <w:rFonts w:hint="eastAsia" w:ascii="宋体" w:hAnsi="宋体" w:cs="仿宋_GB2312"/>
                <w:kern w:val="0"/>
                <w:szCs w:val="21"/>
              </w:rPr>
              <w:t>对于系统中的客户进行集中管理，能够单个或者群体维护客户信息，群体维护包含家庭管理、成员审核、团队信息维护等。</w:t>
            </w:r>
          </w:p>
        </w:tc>
      </w:tr>
      <w:tr w14:paraId="511B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452545E9">
            <w:pPr>
              <w:spacing w:line="400" w:lineRule="exact"/>
              <w:jc w:val="center"/>
              <w:rPr>
                <w:rFonts w:hint="eastAsia" w:ascii="宋体" w:hAnsi="宋体" w:cs="仿宋_GB2312"/>
                <w:kern w:val="0"/>
                <w:szCs w:val="21"/>
              </w:rPr>
            </w:pPr>
          </w:p>
        </w:tc>
        <w:tc>
          <w:tcPr>
            <w:tcW w:w="816" w:type="pct"/>
            <w:vAlign w:val="center"/>
          </w:tcPr>
          <w:p w14:paraId="41F7E49F">
            <w:pPr>
              <w:spacing w:line="400" w:lineRule="exact"/>
              <w:jc w:val="center"/>
              <w:rPr>
                <w:rFonts w:hint="eastAsia" w:ascii="宋体" w:hAnsi="宋体" w:cs="仿宋_GB2312"/>
                <w:kern w:val="0"/>
                <w:szCs w:val="21"/>
              </w:rPr>
            </w:pPr>
            <w:r>
              <w:rPr>
                <w:rFonts w:hint="eastAsia" w:ascii="宋体" w:hAnsi="宋体" w:cs="仿宋_GB2312"/>
                <w:kern w:val="0"/>
                <w:szCs w:val="21"/>
              </w:rPr>
              <w:t>健康360视图</w:t>
            </w:r>
          </w:p>
        </w:tc>
        <w:tc>
          <w:tcPr>
            <w:tcW w:w="3552" w:type="pct"/>
          </w:tcPr>
          <w:p w14:paraId="5E0A6D98">
            <w:pPr>
              <w:spacing w:line="400" w:lineRule="exact"/>
              <w:rPr>
                <w:rFonts w:hint="eastAsia" w:ascii="宋体" w:hAnsi="宋体" w:cs="仿宋_GB2312"/>
                <w:kern w:val="0"/>
                <w:szCs w:val="21"/>
              </w:rPr>
            </w:pPr>
            <w:r>
              <w:rPr>
                <w:rFonts w:hint="eastAsia" w:ascii="宋体" w:hAnsi="宋体" w:cs="仿宋_GB2312"/>
                <w:kern w:val="0"/>
                <w:szCs w:val="21"/>
              </w:rPr>
              <w:t>能够集中显示用户的健康画像、健康档案、健康预警、健康干预等所有的健康数据和趋势变化等内容。管理师可以根据管理权限进行健康数据的管理和维护。</w:t>
            </w:r>
          </w:p>
        </w:tc>
      </w:tr>
      <w:tr w14:paraId="5247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1E388FFC">
            <w:pPr>
              <w:spacing w:line="400" w:lineRule="exact"/>
              <w:jc w:val="center"/>
              <w:rPr>
                <w:rFonts w:hint="eastAsia" w:ascii="宋体" w:hAnsi="宋体" w:cs="仿宋_GB2312"/>
                <w:kern w:val="0"/>
                <w:szCs w:val="21"/>
              </w:rPr>
            </w:pPr>
          </w:p>
        </w:tc>
        <w:tc>
          <w:tcPr>
            <w:tcW w:w="816" w:type="pct"/>
            <w:vAlign w:val="center"/>
          </w:tcPr>
          <w:p w14:paraId="7AF86D77">
            <w:pPr>
              <w:spacing w:line="400" w:lineRule="exact"/>
              <w:jc w:val="center"/>
              <w:rPr>
                <w:rFonts w:hint="eastAsia" w:ascii="宋体" w:hAnsi="宋体" w:cs="仿宋_GB2312"/>
                <w:kern w:val="0"/>
                <w:szCs w:val="21"/>
              </w:rPr>
            </w:pPr>
            <w:r>
              <w:rPr>
                <w:rFonts w:hint="eastAsia" w:ascii="宋体" w:hAnsi="宋体" w:cs="仿宋_GB2312"/>
                <w:kern w:val="0"/>
                <w:szCs w:val="21"/>
              </w:rPr>
              <w:t>健康画像</w:t>
            </w:r>
          </w:p>
        </w:tc>
        <w:tc>
          <w:tcPr>
            <w:tcW w:w="3552" w:type="pct"/>
          </w:tcPr>
          <w:p w14:paraId="278C73E8">
            <w:pPr>
              <w:spacing w:line="400" w:lineRule="exact"/>
              <w:rPr>
                <w:rFonts w:hint="eastAsia" w:ascii="宋体" w:hAnsi="宋体" w:cs="仿宋_GB2312"/>
                <w:kern w:val="0"/>
                <w:szCs w:val="21"/>
              </w:rPr>
            </w:pPr>
            <w:r>
              <w:rPr>
                <w:rFonts w:hint="eastAsia" w:ascii="宋体" w:hAnsi="宋体" w:cs="仿宋_GB2312"/>
                <w:kern w:val="0"/>
                <w:szCs w:val="21"/>
              </w:rPr>
              <w:t>对于进入系统中的体检数据、慢病问卷、风险评估结果数据实现自动分析，根据规则智能生成健康画像。</w:t>
            </w:r>
          </w:p>
        </w:tc>
      </w:tr>
      <w:tr w14:paraId="7F12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1284670C">
            <w:pPr>
              <w:spacing w:line="400" w:lineRule="exact"/>
              <w:jc w:val="center"/>
              <w:rPr>
                <w:rFonts w:hint="eastAsia" w:ascii="宋体" w:hAnsi="宋体" w:cs="仿宋_GB2312"/>
                <w:kern w:val="0"/>
                <w:szCs w:val="21"/>
              </w:rPr>
            </w:pPr>
          </w:p>
        </w:tc>
        <w:tc>
          <w:tcPr>
            <w:tcW w:w="816" w:type="pct"/>
            <w:vAlign w:val="center"/>
          </w:tcPr>
          <w:p w14:paraId="7C71FA91">
            <w:pPr>
              <w:spacing w:line="400" w:lineRule="exact"/>
              <w:jc w:val="center"/>
              <w:rPr>
                <w:rFonts w:hint="eastAsia" w:ascii="宋体" w:hAnsi="宋体" w:cs="仿宋_GB2312"/>
                <w:kern w:val="0"/>
                <w:szCs w:val="21"/>
              </w:rPr>
            </w:pPr>
            <w:r>
              <w:rPr>
                <w:rFonts w:hint="eastAsia" w:ascii="宋体" w:hAnsi="宋体" w:cs="仿宋_GB2312"/>
                <w:kern w:val="0"/>
                <w:szCs w:val="21"/>
              </w:rPr>
              <w:t>健康宣教</w:t>
            </w:r>
          </w:p>
        </w:tc>
        <w:tc>
          <w:tcPr>
            <w:tcW w:w="3552" w:type="pct"/>
          </w:tcPr>
          <w:p w14:paraId="3BA68A42">
            <w:pPr>
              <w:spacing w:line="400" w:lineRule="exact"/>
              <w:rPr>
                <w:rFonts w:hint="eastAsia" w:ascii="宋体" w:hAnsi="宋体" w:cs="仿宋_GB2312"/>
                <w:kern w:val="0"/>
                <w:szCs w:val="21"/>
              </w:rPr>
            </w:pPr>
            <w:r>
              <w:rPr>
                <w:rFonts w:hint="eastAsia" w:ascii="宋体" w:hAnsi="宋体" w:cs="仿宋_GB2312"/>
                <w:kern w:val="0"/>
                <w:szCs w:val="21"/>
              </w:rPr>
              <w:t>可设置机构自有健康宣教知识库，知识库内的文章可设置发布人群，支持信息、文章、视频等形式宣教。</w:t>
            </w:r>
          </w:p>
        </w:tc>
      </w:tr>
      <w:tr w14:paraId="3E81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0ED9CC5D">
            <w:pPr>
              <w:spacing w:line="400" w:lineRule="exact"/>
              <w:jc w:val="center"/>
              <w:rPr>
                <w:rFonts w:hint="eastAsia" w:ascii="宋体" w:hAnsi="宋体" w:cs="仿宋_GB2312"/>
                <w:kern w:val="0"/>
                <w:szCs w:val="21"/>
              </w:rPr>
            </w:pPr>
          </w:p>
        </w:tc>
        <w:tc>
          <w:tcPr>
            <w:tcW w:w="816" w:type="pct"/>
            <w:vAlign w:val="center"/>
          </w:tcPr>
          <w:p w14:paraId="5481CD0C">
            <w:pPr>
              <w:spacing w:line="400" w:lineRule="exact"/>
              <w:jc w:val="center"/>
              <w:rPr>
                <w:rFonts w:hint="eastAsia" w:ascii="宋体" w:hAnsi="宋体" w:cs="仿宋_GB2312"/>
                <w:kern w:val="0"/>
                <w:szCs w:val="21"/>
              </w:rPr>
            </w:pPr>
            <w:r>
              <w:rPr>
                <w:rFonts w:hint="eastAsia" w:ascii="宋体" w:hAnsi="宋体" w:cs="仿宋_GB2312"/>
                <w:kern w:val="0"/>
                <w:szCs w:val="21"/>
              </w:rPr>
              <w:t>消息提醒</w:t>
            </w:r>
          </w:p>
        </w:tc>
        <w:tc>
          <w:tcPr>
            <w:tcW w:w="3552" w:type="pct"/>
          </w:tcPr>
          <w:p w14:paraId="12A42738">
            <w:pPr>
              <w:spacing w:line="400" w:lineRule="exact"/>
              <w:rPr>
                <w:rFonts w:hint="eastAsia" w:ascii="宋体" w:hAnsi="宋体" w:cs="仿宋_GB2312"/>
                <w:kern w:val="0"/>
                <w:szCs w:val="21"/>
              </w:rPr>
            </w:pPr>
            <w:r>
              <w:rPr>
                <w:rFonts w:hint="eastAsia" w:ascii="宋体" w:hAnsi="宋体" w:cs="仿宋_GB2312"/>
                <w:kern w:val="0"/>
                <w:szCs w:val="21"/>
              </w:rPr>
              <w:t>对于用户提交的数据如家庭组建申请、上传健康监测数据、执行健康任务、提交健康反馈等，管理师能够在应用中实时收到消息提醒并进行处理，支持一键拨打电话和消息发送。</w:t>
            </w:r>
          </w:p>
        </w:tc>
      </w:tr>
      <w:tr w14:paraId="109E4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0134F539">
            <w:pPr>
              <w:spacing w:line="400" w:lineRule="exact"/>
              <w:jc w:val="center"/>
              <w:rPr>
                <w:rFonts w:hint="eastAsia" w:ascii="宋体" w:hAnsi="宋体" w:cs="仿宋_GB2312"/>
                <w:kern w:val="0"/>
                <w:szCs w:val="21"/>
              </w:rPr>
            </w:pPr>
          </w:p>
        </w:tc>
        <w:tc>
          <w:tcPr>
            <w:tcW w:w="816" w:type="pct"/>
            <w:vAlign w:val="center"/>
          </w:tcPr>
          <w:p w14:paraId="67B0354A">
            <w:pPr>
              <w:spacing w:line="400" w:lineRule="exact"/>
              <w:jc w:val="center"/>
              <w:rPr>
                <w:rFonts w:hint="eastAsia" w:ascii="宋体" w:hAnsi="宋体" w:cs="仿宋_GB2312"/>
                <w:kern w:val="0"/>
                <w:szCs w:val="21"/>
              </w:rPr>
            </w:pPr>
            <w:r>
              <w:rPr>
                <w:rFonts w:hint="eastAsia" w:ascii="宋体" w:hAnsi="宋体" w:cs="仿宋_GB2312"/>
                <w:kern w:val="0"/>
                <w:szCs w:val="21"/>
              </w:rPr>
              <w:t>在线互动</w:t>
            </w:r>
          </w:p>
        </w:tc>
        <w:tc>
          <w:tcPr>
            <w:tcW w:w="3552" w:type="pct"/>
          </w:tcPr>
          <w:p w14:paraId="6DF950D1">
            <w:pPr>
              <w:spacing w:line="400" w:lineRule="exact"/>
              <w:rPr>
                <w:rFonts w:hint="eastAsia" w:ascii="宋体" w:hAnsi="宋体" w:cs="仿宋_GB2312"/>
                <w:kern w:val="0"/>
                <w:szCs w:val="21"/>
              </w:rPr>
            </w:pPr>
            <w:r>
              <w:rPr>
                <w:rFonts w:hint="eastAsia" w:ascii="宋体" w:hAnsi="宋体" w:cs="仿宋_GB2312"/>
                <w:kern w:val="0"/>
                <w:szCs w:val="21"/>
              </w:rPr>
              <w:t>能够选择管理范围内的用户进行1对1在线咨询、一键拨打电话、发送消息等操作。</w:t>
            </w:r>
          </w:p>
        </w:tc>
      </w:tr>
      <w:tr w14:paraId="4CD0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2416A11E">
            <w:pPr>
              <w:spacing w:line="400" w:lineRule="exact"/>
              <w:jc w:val="center"/>
              <w:rPr>
                <w:rFonts w:hint="eastAsia" w:ascii="宋体" w:hAnsi="宋体" w:cs="仿宋_GB2312"/>
                <w:kern w:val="0"/>
                <w:szCs w:val="21"/>
              </w:rPr>
            </w:pPr>
          </w:p>
        </w:tc>
        <w:tc>
          <w:tcPr>
            <w:tcW w:w="816" w:type="pct"/>
            <w:vAlign w:val="center"/>
          </w:tcPr>
          <w:p w14:paraId="132FC961">
            <w:pPr>
              <w:spacing w:line="400" w:lineRule="exact"/>
              <w:jc w:val="center"/>
              <w:rPr>
                <w:rFonts w:hint="eastAsia" w:ascii="宋体" w:hAnsi="宋体" w:cs="仿宋_GB2312"/>
                <w:kern w:val="0"/>
                <w:szCs w:val="21"/>
              </w:rPr>
            </w:pPr>
            <w:r>
              <w:rPr>
                <w:rFonts w:hint="eastAsia" w:ascii="宋体" w:hAnsi="宋体" w:cs="仿宋_GB2312"/>
                <w:kern w:val="0"/>
                <w:szCs w:val="21"/>
              </w:rPr>
              <w:t>消息推送</w:t>
            </w:r>
          </w:p>
        </w:tc>
        <w:tc>
          <w:tcPr>
            <w:tcW w:w="3552" w:type="pct"/>
          </w:tcPr>
          <w:p w14:paraId="2B4D3AAC">
            <w:pPr>
              <w:spacing w:line="400" w:lineRule="exact"/>
              <w:rPr>
                <w:rFonts w:hint="eastAsia" w:ascii="宋体" w:hAnsi="宋体" w:cs="仿宋_GB2312"/>
                <w:kern w:val="0"/>
                <w:szCs w:val="21"/>
              </w:rPr>
            </w:pPr>
            <w:r>
              <w:rPr>
                <w:rFonts w:hint="eastAsia" w:ascii="宋体" w:hAnsi="宋体" w:cs="仿宋_GB2312"/>
                <w:kern w:val="0"/>
                <w:szCs w:val="21"/>
              </w:rPr>
              <w:t>管理师在开展健康管理过程中需要推送给客户的服务提醒、报告提醒、健康任务提醒、咨询回复提醒等，系统能够自动进行推送并实时提醒客户，支持推送配置。</w:t>
            </w:r>
          </w:p>
        </w:tc>
      </w:tr>
      <w:tr w14:paraId="3BFF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7BAF5ED5">
            <w:pPr>
              <w:spacing w:line="400" w:lineRule="exact"/>
              <w:jc w:val="center"/>
              <w:rPr>
                <w:rFonts w:hint="eastAsia" w:ascii="宋体" w:hAnsi="宋体" w:cs="仿宋_GB2312"/>
                <w:kern w:val="0"/>
                <w:szCs w:val="21"/>
              </w:rPr>
            </w:pPr>
          </w:p>
        </w:tc>
        <w:tc>
          <w:tcPr>
            <w:tcW w:w="816" w:type="pct"/>
            <w:vAlign w:val="center"/>
          </w:tcPr>
          <w:p w14:paraId="11D6091E">
            <w:pPr>
              <w:spacing w:line="400" w:lineRule="exact"/>
              <w:jc w:val="center"/>
              <w:rPr>
                <w:rFonts w:hint="eastAsia" w:ascii="宋体" w:hAnsi="宋体" w:cs="仿宋_GB2312"/>
                <w:kern w:val="0"/>
                <w:szCs w:val="21"/>
              </w:rPr>
            </w:pPr>
            <w:r>
              <w:rPr>
                <w:rFonts w:hint="eastAsia" w:ascii="宋体" w:hAnsi="宋体" w:cs="仿宋_GB2312"/>
                <w:kern w:val="0"/>
                <w:szCs w:val="21"/>
              </w:rPr>
              <w:t>在线互动平台</w:t>
            </w:r>
          </w:p>
        </w:tc>
        <w:tc>
          <w:tcPr>
            <w:tcW w:w="3552" w:type="pct"/>
          </w:tcPr>
          <w:p w14:paraId="5B288190">
            <w:pPr>
              <w:spacing w:line="400" w:lineRule="exact"/>
              <w:rPr>
                <w:rFonts w:hint="eastAsia" w:ascii="宋体" w:hAnsi="宋体" w:cs="仿宋_GB2312"/>
                <w:kern w:val="0"/>
                <w:szCs w:val="21"/>
              </w:rPr>
            </w:pPr>
            <w:r>
              <w:rPr>
                <w:rFonts w:hint="eastAsia" w:ascii="宋体" w:hAnsi="宋体" w:cs="仿宋_GB2312"/>
                <w:kern w:val="0"/>
                <w:szCs w:val="21"/>
              </w:rPr>
              <w:t>客户和管理师能够实现实时的在线图文沟通并具备互动消息的双向实时提醒。</w:t>
            </w:r>
          </w:p>
        </w:tc>
      </w:tr>
      <w:tr w14:paraId="7310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4EC46861">
            <w:pPr>
              <w:spacing w:line="400" w:lineRule="exact"/>
              <w:jc w:val="center"/>
              <w:rPr>
                <w:rFonts w:hint="eastAsia" w:ascii="宋体" w:hAnsi="宋体" w:cs="仿宋_GB2312"/>
                <w:kern w:val="0"/>
                <w:szCs w:val="21"/>
              </w:rPr>
            </w:pPr>
          </w:p>
        </w:tc>
        <w:tc>
          <w:tcPr>
            <w:tcW w:w="816" w:type="pct"/>
            <w:vAlign w:val="center"/>
          </w:tcPr>
          <w:p w14:paraId="5FE52C0D">
            <w:pPr>
              <w:spacing w:line="400" w:lineRule="exact"/>
              <w:jc w:val="center"/>
              <w:rPr>
                <w:rFonts w:hint="eastAsia" w:ascii="宋体" w:hAnsi="宋体" w:cs="仿宋_GB2312"/>
                <w:kern w:val="0"/>
                <w:szCs w:val="21"/>
              </w:rPr>
            </w:pPr>
            <w:r>
              <w:rPr>
                <w:rFonts w:hint="eastAsia" w:ascii="宋体" w:hAnsi="宋体" w:cs="仿宋_GB2312"/>
                <w:kern w:val="0"/>
                <w:szCs w:val="21"/>
              </w:rPr>
              <w:t>系统日志</w:t>
            </w:r>
          </w:p>
        </w:tc>
        <w:tc>
          <w:tcPr>
            <w:tcW w:w="3552" w:type="pct"/>
          </w:tcPr>
          <w:p w14:paraId="75D7CE41">
            <w:pPr>
              <w:spacing w:line="400" w:lineRule="exact"/>
              <w:rPr>
                <w:rFonts w:hint="eastAsia" w:ascii="宋体" w:hAnsi="宋体" w:cs="仿宋_GB2312"/>
                <w:kern w:val="0"/>
                <w:szCs w:val="21"/>
              </w:rPr>
            </w:pPr>
            <w:r>
              <w:rPr>
                <w:rFonts w:hint="eastAsia" w:ascii="宋体" w:hAnsi="宋体" w:cs="仿宋_GB2312"/>
                <w:kern w:val="0"/>
                <w:szCs w:val="21"/>
              </w:rPr>
              <w:t>对于系统管理师的所有操作、客户移动端应用的所有操作、在线互动记录、消息推送记录均具备完善的日志体系，可以随时进行数据追溯。</w:t>
            </w:r>
          </w:p>
        </w:tc>
      </w:tr>
      <w:tr w14:paraId="4285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5BAAC5C6">
            <w:pPr>
              <w:spacing w:line="400" w:lineRule="exact"/>
              <w:jc w:val="center"/>
              <w:rPr>
                <w:rFonts w:hint="eastAsia" w:ascii="宋体" w:hAnsi="宋体" w:cs="仿宋_GB2312"/>
                <w:kern w:val="0"/>
                <w:szCs w:val="21"/>
              </w:rPr>
            </w:pPr>
          </w:p>
        </w:tc>
        <w:tc>
          <w:tcPr>
            <w:tcW w:w="816" w:type="pct"/>
            <w:vAlign w:val="center"/>
          </w:tcPr>
          <w:p w14:paraId="417235A4">
            <w:pPr>
              <w:spacing w:line="400" w:lineRule="exact"/>
              <w:jc w:val="center"/>
              <w:rPr>
                <w:rFonts w:hint="eastAsia" w:ascii="宋体" w:hAnsi="宋体" w:cs="仿宋_GB2312"/>
                <w:kern w:val="0"/>
                <w:szCs w:val="21"/>
              </w:rPr>
            </w:pPr>
            <w:r>
              <w:rPr>
                <w:rFonts w:hint="eastAsia" w:ascii="宋体" w:hAnsi="宋体" w:cs="仿宋_GB2312"/>
                <w:kern w:val="0"/>
                <w:szCs w:val="21"/>
              </w:rPr>
              <w:t>短信平台</w:t>
            </w:r>
          </w:p>
        </w:tc>
        <w:tc>
          <w:tcPr>
            <w:tcW w:w="3552" w:type="pct"/>
          </w:tcPr>
          <w:p w14:paraId="55809FF4">
            <w:pPr>
              <w:spacing w:line="400" w:lineRule="exact"/>
              <w:rPr>
                <w:rFonts w:hint="eastAsia" w:ascii="宋体" w:hAnsi="宋体" w:cs="仿宋_GB2312"/>
                <w:kern w:val="0"/>
                <w:szCs w:val="21"/>
              </w:rPr>
            </w:pPr>
            <w:r>
              <w:rPr>
                <w:rFonts w:hint="eastAsia" w:ascii="宋体" w:hAnsi="宋体" w:cs="仿宋_GB2312"/>
                <w:kern w:val="0"/>
                <w:szCs w:val="21"/>
              </w:rPr>
              <w:t>系统内置短信发送平台、消息内容知识库，能够批量创建短信发送任务，可手动/自动发送，支持对接机构自有的平台。</w:t>
            </w:r>
          </w:p>
        </w:tc>
      </w:tr>
      <w:tr w14:paraId="2835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0E61A8FE">
            <w:pPr>
              <w:spacing w:line="400" w:lineRule="exact"/>
              <w:jc w:val="center"/>
              <w:rPr>
                <w:rFonts w:hint="eastAsia" w:ascii="宋体" w:hAnsi="宋体" w:cs="仿宋_GB2312"/>
                <w:kern w:val="0"/>
                <w:szCs w:val="21"/>
              </w:rPr>
            </w:pPr>
          </w:p>
        </w:tc>
        <w:tc>
          <w:tcPr>
            <w:tcW w:w="816" w:type="pct"/>
            <w:vAlign w:val="center"/>
          </w:tcPr>
          <w:p w14:paraId="539CC48E">
            <w:pPr>
              <w:spacing w:line="400" w:lineRule="exact"/>
              <w:jc w:val="center"/>
              <w:rPr>
                <w:rFonts w:hint="eastAsia" w:ascii="宋体" w:hAnsi="宋体" w:cs="仿宋_GB2312"/>
                <w:kern w:val="0"/>
                <w:szCs w:val="21"/>
              </w:rPr>
            </w:pPr>
            <w:r>
              <w:rPr>
                <w:rFonts w:hint="eastAsia" w:ascii="宋体" w:hAnsi="宋体" w:cs="仿宋_GB2312"/>
                <w:kern w:val="0"/>
                <w:szCs w:val="21"/>
              </w:rPr>
              <w:t>健康反馈</w:t>
            </w:r>
          </w:p>
        </w:tc>
        <w:tc>
          <w:tcPr>
            <w:tcW w:w="3552" w:type="pct"/>
          </w:tcPr>
          <w:p w14:paraId="402D62D6">
            <w:pPr>
              <w:spacing w:line="400" w:lineRule="exact"/>
              <w:rPr>
                <w:rFonts w:hint="eastAsia" w:ascii="宋体" w:hAnsi="宋体" w:cs="仿宋_GB2312"/>
                <w:kern w:val="0"/>
                <w:szCs w:val="21"/>
              </w:rPr>
            </w:pPr>
            <w:r>
              <w:rPr>
                <w:rFonts w:hint="eastAsia" w:ascii="宋体" w:hAnsi="宋体" w:cs="仿宋_GB2312"/>
                <w:kern w:val="0"/>
                <w:szCs w:val="21"/>
              </w:rPr>
              <w:t>对于客户在客户移动端应用提交的健康反馈能够进行在线反馈处理并将处理结果自动推送至客户移动端应用中。</w:t>
            </w:r>
          </w:p>
        </w:tc>
      </w:tr>
      <w:tr w14:paraId="6EA6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2A0D22E3">
            <w:pPr>
              <w:spacing w:line="400" w:lineRule="exact"/>
              <w:jc w:val="center"/>
              <w:rPr>
                <w:rFonts w:hint="eastAsia" w:ascii="宋体" w:hAnsi="宋体" w:cs="仿宋_GB2312"/>
                <w:kern w:val="0"/>
                <w:szCs w:val="21"/>
              </w:rPr>
            </w:pPr>
          </w:p>
        </w:tc>
        <w:tc>
          <w:tcPr>
            <w:tcW w:w="816" w:type="pct"/>
            <w:vAlign w:val="center"/>
          </w:tcPr>
          <w:p w14:paraId="55002306">
            <w:pPr>
              <w:spacing w:line="400" w:lineRule="exact"/>
              <w:jc w:val="center"/>
              <w:rPr>
                <w:rFonts w:hint="eastAsia" w:ascii="宋体" w:hAnsi="宋体" w:cs="仿宋_GB2312"/>
                <w:kern w:val="0"/>
                <w:szCs w:val="21"/>
              </w:rPr>
            </w:pPr>
            <w:r>
              <w:rPr>
                <w:rFonts w:hint="eastAsia" w:ascii="宋体" w:hAnsi="宋体" w:cs="仿宋_GB2312"/>
                <w:kern w:val="0"/>
                <w:szCs w:val="21"/>
              </w:rPr>
              <w:t>权限管理</w:t>
            </w:r>
          </w:p>
        </w:tc>
        <w:tc>
          <w:tcPr>
            <w:tcW w:w="3552" w:type="pct"/>
          </w:tcPr>
          <w:p w14:paraId="014C7EBE">
            <w:pPr>
              <w:spacing w:line="400" w:lineRule="exact"/>
              <w:rPr>
                <w:rFonts w:hint="eastAsia" w:ascii="宋体" w:hAnsi="宋体" w:cs="仿宋_GB2312"/>
                <w:kern w:val="0"/>
                <w:szCs w:val="21"/>
              </w:rPr>
            </w:pPr>
            <w:r>
              <w:rPr>
                <w:rFonts w:hint="eastAsia" w:ascii="宋体" w:hAnsi="宋体" w:cs="仿宋_GB2312"/>
                <w:kern w:val="0"/>
                <w:szCs w:val="21"/>
              </w:rPr>
              <w:t>能够对系统的所有管理员进行信息和权限维护，包括所有菜单和按钮的操作权限、所管理的客户范围、是否展示为客户移动端应用的管理师列表、是否为健康管家、账号密码等。</w:t>
            </w:r>
          </w:p>
        </w:tc>
      </w:tr>
      <w:tr w14:paraId="5A74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12CC4B8B">
            <w:pPr>
              <w:spacing w:line="400" w:lineRule="exact"/>
              <w:jc w:val="center"/>
              <w:rPr>
                <w:rFonts w:hint="eastAsia" w:ascii="宋体" w:hAnsi="宋体" w:cs="仿宋_GB2312"/>
                <w:kern w:val="0"/>
                <w:szCs w:val="21"/>
              </w:rPr>
            </w:pPr>
          </w:p>
        </w:tc>
        <w:tc>
          <w:tcPr>
            <w:tcW w:w="816" w:type="pct"/>
            <w:vAlign w:val="center"/>
          </w:tcPr>
          <w:p w14:paraId="427AC71F">
            <w:pPr>
              <w:spacing w:line="400" w:lineRule="exact"/>
              <w:jc w:val="center"/>
              <w:rPr>
                <w:rFonts w:hint="eastAsia" w:ascii="宋体" w:hAnsi="宋体" w:cs="仿宋_GB2312"/>
                <w:kern w:val="0"/>
                <w:szCs w:val="21"/>
              </w:rPr>
            </w:pPr>
            <w:r>
              <w:rPr>
                <w:rFonts w:hint="eastAsia" w:ascii="宋体" w:hAnsi="宋体" w:cs="仿宋_GB2312"/>
                <w:kern w:val="0"/>
                <w:szCs w:val="21"/>
              </w:rPr>
              <w:t>规则设置</w:t>
            </w:r>
          </w:p>
        </w:tc>
        <w:tc>
          <w:tcPr>
            <w:tcW w:w="3552" w:type="pct"/>
          </w:tcPr>
          <w:p w14:paraId="7B35CFDE">
            <w:pPr>
              <w:spacing w:line="400" w:lineRule="exact"/>
              <w:rPr>
                <w:rFonts w:hint="eastAsia" w:ascii="宋体" w:hAnsi="宋体" w:cs="仿宋_GB2312"/>
                <w:kern w:val="0"/>
                <w:szCs w:val="21"/>
              </w:rPr>
            </w:pPr>
            <w:r>
              <w:rPr>
                <w:rFonts w:hint="eastAsia" w:ascii="宋体" w:hAnsi="宋体" w:cs="仿宋_GB2312"/>
                <w:kern w:val="0"/>
                <w:szCs w:val="21"/>
              </w:rPr>
              <w:t>系统支持规则维护，所维护的规则可以自定义配置为是否用于阳性预警、健康画像、健康干预，健康规则可以从体检指标、异常结论、慢病问卷、风险评估结果等多维度进行设定。</w:t>
            </w:r>
          </w:p>
        </w:tc>
      </w:tr>
      <w:tr w14:paraId="304D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3FD946F2">
            <w:pPr>
              <w:spacing w:line="400" w:lineRule="exact"/>
              <w:jc w:val="center"/>
              <w:rPr>
                <w:rFonts w:hint="eastAsia" w:ascii="宋体" w:hAnsi="宋体" w:cs="仿宋_GB2312"/>
                <w:kern w:val="0"/>
                <w:szCs w:val="21"/>
              </w:rPr>
            </w:pPr>
          </w:p>
        </w:tc>
        <w:tc>
          <w:tcPr>
            <w:tcW w:w="816" w:type="pct"/>
            <w:vAlign w:val="center"/>
          </w:tcPr>
          <w:p w14:paraId="0D837D98">
            <w:pPr>
              <w:spacing w:line="400" w:lineRule="exact"/>
              <w:jc w:val="center"/>
              <w:rPr>
                <w:rFonts w:hint="eastAsia" w:ascii="宋体" w:hAnsi="宋体" w:cs="仿宋_GB2312"/>
                <w:kern w:val="0"/>
                <w:szCs w:val="21"/>
              </w:rPr>
            </w:pPr>
            <w:r>
              <w:rPr>
                <w:rFonts w:hint="eastAsia" w:ascii="宋体" w:hAnsi="宋体" w:cs="仿宋_GB2312"/>
                <w:kern w:val="0"/>
                <w:szCs w:val="21"/>
              </w:rPr>
              <w:t>模板维护</w:t>
            </w:r>
          </w:p>
        </w:tc>
        <w:tc>
          <w:tcPr>
            <w:tcW w:w="3552" w:type="pct"/>
          </w:tcPr>
          <w:p w14:paraId="0875F53B">
            <w:pPr>
              <w:spacing w:line="400" w:lineRule="exact"/>
              <w:rPr>
                <w:rFonts w:hint="eastAsia" w:ascii="宋体" w:hAnsi="宋体" w:cs="仿宋_GB2312"/>
                <w:kern w:val="0"/>
                <w:szCs w:val="21"/>
              </w:rPr>
            </w:pPr>
            <w:r>
              <w:rPr>
                <w:rFonts w:hint="eastAsia" w:ascii="宋体" w:hAnsi="宋体" w:cs="仿宋_GB2312"/>
                <w:kern w:val="0"/>
                <w:szCs w:val="21"/>
              </w:rPr>
              <w:t>系统内置消息模板、计划模板、运动方案及相关模板、膳食方案及相关模板等，可以对所有模板进行维护。</w:t>
            </w:r>
          </w:p>
        </w:tc>
      </w:tr>
      <w:tr w14:paraId="682B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2BA9880C">
            <w:pPr>
              <w:spacing w:line="400" w:lineRule="exact"/>
              <w:jc w:val="center"/>
              <w:rPr>
                <w:rFonts w:hint="eastAsia" w:ascii="宋体" w:hAnsi="宋体" w:cs="仿宋_GB2312"/>
                <w:kern w:val="0"/>
                <w:szCs w:val="21"/>
              </w:rPr>
            </w:pPr>
          </w:p>
        </w:tc>
        <w:tc>
          <w:tcPr>
            <w:tcW w:w="816" w:type="pct"/>
            <w:vAlign w:val="center"/>
          </w:tcPr>
          <w:p w14:paraId="21D50D87">
            <w:pPr>
              <w:spacing w:line="400" w:lineRule="exact"/>
              <w:jc w:val="center"/>
              <w:rPr>
                <w:rFonts w:hint="eastAsia" w:ascii="宋体" w:hAnsi="宋体" w:cs="仿宋_GB2312"/>
                <w:kern w:val="0"/>
                <w:szCs w:val="21"/>
              </w:rPr>
            </w:pPr>
            <w:r>
              <w:rPr>
                <w:rFonts w:hint="eastAsia" w:ascii="宋体" w:hAnsi="宋体" w:cs="仿宋_GB2312"/>
                <w:kern w:val="0"/>
                <w:szCs w:val="21"/>
              </w:rPr>
              <w:t>字典维护</w:t>
            </w:r>
          </w:p>
        </w:tc>
        <w:tc>
          <w:tcPr>
            <w:tcW w:w="3552" w:type="pct"/>
          </w:tcPr>
          <w:p w14:paraId="0574AD5E">
            <w:pPr>
              <w:spacing w:line="400" w:lineRule="exact"/>
              <w:rPr>
                <w:rFonts w:hint="eastAsia" w:ascii="宋体" w:hAnsi="宋体" w:cs="仿宋_GB2312"/>
                <w:kern w:val="0"/>
                <w:szCs w:val="21"/>
              </w:rPr>
            </w:pPr>
            <w:r>
              <w:rPr>
                <w:rFonts w:hint="eastAsia" w:ascii="宋体" w:hAnsi="宋体" w:cs="仿宋_GB2312"/>
                <w:kern w:val="0"/>
                <w:szCs w:val="21"/>
              </w:rPr>
              <w:t>系统内置项目库、异常库、组合异常库、问卷库、风险因素库、科室和医生、标签管理等，可以对所有字典进行维护。</w:t>
            </w:r>
          </w:p>
        </w:tc>
      </w:tr>
      <w:tr w14:paraId="45F4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6CC888C5">
            <w:pPr>
              <w:spacing w:line="400" w:lineRule="exact"/>
              <w:jc w:val="center"/>
              <w:rPr>
                <w:rFonts w:hint="eastAsia" w:ascii="宋体" w:hAnsi="宋体" w:cs="仿宋_GB2312"/>
                <w:kern w:val="0"/>
                <w:szCs w:val="21"/>
              </w:rPr>
            </w:pPr>
          </w:p>
        </w:tc>
        <w:tc>
          <w:tcPr>
            <w:tcW w:w="816" w:type="pct"/>
            <w:vAlign w:val="center"/>
          </w:tcPr>
          <w:p w14:paraId="6433D903">
            <w:pPr>
              <w:spacing w:line="400" w:lineRule="exact"/>
              <w:jc w:val="center"/>
              <w:rPr>
                <w:rFonts w:hint="eastAsia" w:ascii="宋体" w:hAnsi="宋体" w:cs="仿宋_GB2312"/>
                <w:kern w:val="0"/>
                <w:szCs w:val="21"/>
              </w:rPr>
            </w:pPr>
            <w:r>
              <w:rPr>
                <w:rFonts w:hint="eastAsia" w:ascii="宋体" w:hAnsi="宋体" w:cs="仿宋_GB2312"/>
                <w:kern w:val="0"/>
                <w:szCs w:val="21"/>
              </w:rPr>
              <w:t>健康监测</w:t>
            </w:r>
          </w:p>
        </w:tc>
        <w:tc>
          <w:tcPr>
            <w:tcW w:w="3552" w:type="pct"/>
          </w:tcPr>
          <w:p w14:paraId="34193436">
            <w:pPr>
              <w:spacing w:line="400" w:lineRule="exact"/>
              <w:rPr>
                <w:rFonts w:hint="eastAsia" w:ascii="宋体" w:hAnsi="宋体" w:cs="仿宋_GB2312"/>
                <w:kern w:val="0"/>
                <w:szCs w:val="21"/>
              </w:rPr>
            </w:pPr>
            <w:r>
              <w:rPr>
                <w:rFonts w:hint="eastAsia" w:ascii="宋体" w:hAnsi="宋体" w:cs="仿宋_GB2312"/>
                <w:kern w:val="0"/>
                <w:szCs w:val="21"/>
              </w:rPr>
              <w:t>对于客户的健康监测数据（包含体重、腰围、臀围、血压、血糖、血脂、尿酸等数据）进行集中管理，能够与居家智能监测设备、健康一体机实现数据无缝对接，对于异常监测数据能够自动提醒。</w:t>
            </w:r>
          </w:p>
        </w:tc>
      </w:tr>
      <w:tr w14:paraId="0CC6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5D4BD410">
            <w:pPr>
              <w:spacing w:line="400" w:lineRule="exact"/>
              <w:jc w:val="center"/>
              <w:rPr>
                <w:rFonts w:hint="eastAsia" w:ascii="宋体" w:hAnsi="宋体" w:cs="仿宋_GB2312"/>
                <w:kern w:val="0"/>
                <w:szCs w:val="21"/>
              </w:rPr>
            </w:pPr>
          </w:p>
        </w:tc>
        <w:tc>
          <w:tcPr>
            <w:tcW w:w="816" w:type="pct"/>
            <w:vAlign w:val="center"/>
          </w:tcPr>
          <w:p w14:paraId="411346B9">
            <w:pPr>
              <w:spacing w:line="400" w:lineRule="exact"/>
              <w:jc w:val="center"/>
              <w:rPr>
                <w:rFonts w:hint="eastAsia" w:ascii="宋体" w:hAnsi="宋体" w:cs="仿宋_GB2312"/>
                <w:kern w:val="0"/>
                <w:szCs w:val="21"/>
              </w:rPr>
            </w:pPr>
            <w:r>
              <w:rPr>
                <w:rFonts w:hint="eastAsia" w:ascii="宋体" w:hAnsi="宋体" w:cs="仿宋_GB2312"/>
                <w:kern w:val="0"/>
                <w:szCs w:val="21"/>
              </w:rPr>
              <w:t>设备管理</w:t>
            </w:r>
          </w:p>
        </w:tc>
        <w:tc>
          <w:tcPr>
            <w:tcW w:w="3552" w:type="pct"/>
          </w:tcPr>
          <w:p w14:paraId="1B8D0A0A">
            <w:pPr>
              <w:spacing w:line="400" w:lineRule="exact"/>
              <w:rPr>
                <w:rFonts w:hint="eastAsia" w:ascii="宋体" w:hAnsi="宋体" w:cs="仿宋_GB2312"/>
                <w:kern w:val="0"/>
                <w:szCs w:val="21"/>
              </w:rPr>
            </w:pPr>
            <w:r>
              <w:rPr>
                <w:rFonts w:hint="eastAsia" w:ascii="宋体" w:hAnsi="宋体" w:cs="仿宋_GB2312"/>
                <w:kern w:val="0"/>
                <w:szCs w:val="21"/>
              </w:rPr>
              <w:t>对于具备智能监测设备的客户，可以进行设备与客户的绑定、解绑操作。</w:t>
            </w:r>
          </w:p>
        </w:tc>
      </w:tr>
      <w:tr w14:paraId="1DC2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4645DE2D">
            <w:pPr>
              <w:spacing w:line="400" w:lineRule="exact"/>
              <w:jc w:val="center"/>
              <w:rPr>
                <w:rFonts w:hint="eastAsia" w:ascii="宋体" w:hAnsi="宋体" w:cs="仿宋_GB2312"/>
                <w:kern w:val="0"/>
                <w:szCs w:val="21"/>
              </w:rPr>
            </w:pPr>
          </w:p>
        </w:tc>
        <w:tc>
          <w:tcPr>
            <w:tcW w:w="816" w:type="pct"/>
            <w:vAlign w:val="center"/>
          </w:tcPr>
          <w:p w14:paraId="0169392C">
            <w:pPr>
              <w:spacing w:line="400" w:lineRule="exact"/>
              <w:jc w:val="center"/>
              <w:rPr>
                <w:rFonts w:hint="eastAsia" w:ascii="宋体" w:hAnsi="宋体" w:cs="仿宋_GB2312"/>
                <w:kern w:val="0"/>
                <w:szCs w:val="21"/>
              </w:rPr>
            </w:pPr>
            <w:r>
              <w:rPr>
                <w:rFonts w:hint="eastAsia" w:ascii="宋体" w:hAnsi="宋体" w:cs="仿宋_GB2312"/>
                <w:kern w:val="0"/>
                <w:szCs w:val="21"/>
              </w:rPr>
              <w:t>系统配置</w:t>
            </w:r>
          </w:p>
        </w:tc>
        <w:tc>
          <w:tcPr>
            <w:tcW w:w="3552" w:type="pct"/>
          </w:tcPr>
          <w:p w14:paraId="3CC2F1C6">
            <w:pPr>
              <w:spacing w:line="400" w:lineRule="exact"/>
              <w:rPr>
                <w:rFonts w:hint="eastAsia" w:ascii="宋体" w:hAnsi="宋体" w:cs="仿宋_GB2312"/>
                <w:kern w:val="0"/>
                <w:szCs w:val="21"/>
              </w:rPr>
            </w:pPr>
            <w:r>
              <w:rPr>
                <w:rFonts w:hint="eastAsia" w:ascii="宋体" w:hAnsi="宋体" w:cs="仿宋_GB2312"/>
                <w:kern w:val="0"/>
                <w:szCs w:val="21"/>
              </w:rPr>
              <w:t>可设置登陆管理师信息、登陆密码等。</w:t>
            </w:r>
          </w:p>
        </w:tc>
      </w:tr>
      <w:tr w14:paraId="22BE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restart"/>
            <w:vAlign w:val="center"/>
          </w:tcPr>
          <w:p w14:paraId="3A68006B">
            <w:pPr>
              <w:spacing w:line="400" w:lineRule="exact"/>
              <w:jc w:val="center"/>
              <w:rPr>
                <w:rFonts w:hint="eastAsia" w:ascii="宋体" w:hAnsi="宋体" w:cs="仿宋_GB2312"/>
                <w:kern w:val="0"/>
                <w:szCs w:val="21"/>
              </w:rPr>
            </w:pPr>
            <w:r>
              <w:rPr>
                <w:rFonts w:hint="eastAsia" w:ascii="宋体" w:hAnsi="宋体" w:cs="仿宋_GB2312"/>
                <w:kern w:val="0"/>
                <w:szCs w:val="21"/>
              </w:rPr>
              <w:t>检后健康管理集成模块</w:t>
            </w:r>
          </w:p>
        </w:tc>
        <w:tc>
          <w:tcPr>
            <w:tcW w:w="816" w:type="pct"/>
            <w:vAlign w:val="center"/>
          </w:tcPr>
          <w:p w14:paraId="42E4D260">
            <w:pPr>
              <w:spacing w:line="400" w:lineRule="exact"/>
              <w:jc w:val="center"/>
              <w:rPr>
                <w:rFonts w:hint="eastAsia" w:ascii="宋体" w:hAnsi="宋体" w:cs="仿宋_GB2312"/>
                <w:kern w:val="0"/>
                <w:szCs w:val="21"/>
              </w:rPr>
            </w:pPr>
            <w:r>
              <w:rPr>
                <w:rFonts w:hint="eastAsia" w:ascii="宋体" w:hAnsi="宋体" w:cs="仿宋_GB2312"/>
                <w:kern w:val="0"/>
                <w:szCs w:val="21"/>
              </w:rPr>
              <w:t>检后单元</w:t>
            </w:r>
          </w:p>
        </w:tc>
        <w:tc>
          <w:tcPr>
            <w:tcW w:w="3552" w:type="pct"/>
          </w:tcPr>
          <w:p w14:paraId="5F678DFB">
            <w:pPr>
              <w:spacing w:line="400" w:lineRule="exact"/>
              <w:rPr>
                <w:rFonts w:hint="eastAsia" w:ascii="宋体" w:hAnsi="宋体" w:cs="仿宋_GB2312"/>
                <w:kern w:val="0"/>
                <w:szCs w:val="21"/>
              </w:rPr>
            </w:pPr>
            <w:r>
              <w:rPr>
                <w:rFonts w:hint="eastAsia" w:ascii="宋体" w:hAnsi="宋体" w:cs="仿宋_GB2312"/>
                <w:kern w:val="0"/>
                <w:szCs w:val="21"/>
              </w:rPr>
              <w:t>健康管理检后单元，能够将体检数据同步到健康管理系统，结合健康风险评估，实现人群自动分组和批量精准管理。系统可提供报告解读、健康计划、健康处方、干预随访、效果评价。对体检结果重大阳性指标人群可以单独管理和科室转诊，同时可接转诊健康管理部门的客户复检。</w:t>
            </w:r>
          </w:p>
        </w:tc>
      </w:tr>
      <w:tr w14:paraId="2D43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0AC98CF5">
            <w:pPr>
              <w:spacing w:line="400" w:lineRule="exact"/>
              <w:jc w:val="center"/>
              <w:rPr>
                <w:rFonts w:hint="eastAsia" w:ascii="宋体" w:hAnsi="宋体" w:cs="仿宋_GB2312"/>
                <w:kern w:val="0"/>
                <w:szCs w:val="21"/>
              </w:rPr>
            </w:pPr>
          </w:p>
        </w:tc>
        <w:tc>
          <w:tcPr>
            <w:tcW w:w="816" w:type="pct"/>
            <w:vAlign w:val="center"/>
          </w:tcPr>
          <w:p w14:paraId="713138D7">
            <w:pPr>
              <w:spacing w:line="400" w:lineRule="exact"/>
              <w:jc w:val="center"/>
              <w:rPr>
                <w:rFonts w:hint="eastAsia" w:ascii="宋体" w:hAnsi="宋体" w:cs="仿宋_GB2312"/>
                <w:kern w:val="0"/>
                <w:szCs w:val="21"/>
              </w:rPr>
            </w:pPr>
            <w:r>
              <w:rPr>
                <w:rFonts w:hint="eastAsia" w:ascii="宋体" w:hAnsi="宋体" w:cs="仿宋_GB2312"/>
                <w:kern w:val="0"/>
                <w:szCs w:val="21"/>
              </w:rPr>
              <w:t>体检预约</w:t>
            </w:r>
          </w:p>
        </w:tc>
        <w:tc>
          <w:tcPr>
            <w:tcW w:w="3552" w:type="pct"/>
          </w:tcPr>
          <w:p w14:paraId="085E85E5">
            <w:pPr>
              <w:spacing w:line="400" w:lineRule="exact"/>
              <w:rPr>
                <w:rFonts w:hint="eastAsia" w:ascii="宋体" w:hAnsi="宋体" w:cs="仿宋_GB2312"/>
                <w:kern w:val="0"/>
                <w:szCs w:val="21"/>
              </w:rPr>
            </w:pPr>
            <w:r>
              <w:rPr>
                <w:rFonts w:hint="eastAsia" w:ascii="宋体" w:hAnsi="宋体" w:cs="仿宋_GB2312"/>
                <w:kern w:val="0"/>
                <w:szCs w:val="21"/>
              </w:rPr>
              <w:t>根据体检中心配置，支持按日期、时间进行到检在线预约。并支持通过短信链接方式直接点击预约。支持接口+文件导入方式对待预约人员进行归集。支持追溯从通知-&gt;预约-&gt;体检的全流程</w:t>
            </w:r>
          </w:p>
        </w:tc>
      </w:tr>
      <w:tr w14:paraId="640D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0E53AF1A">
            <w:pPr>
              <w:spacing w:line="400" w:lineRule="exact"/>
              <w:jc w:val="center"/>
              <w:rPr>
                <w:rFonts w:hint="eastAsia" w:ascii="宋体" w:hAnsi="宋体" w:cs="仿宋_GB2312"/>
                <w:kern w:val="0"/>
                <w:szCs w:val="21"/>
              </w:rPr>
            </w:pPr>
          </w:p>
        </w:tc>
        <w:tc>
          <w:tcPr>
            <w:tcW w:w="816" w:type="pct"/>
            <w:vAlign w:val="center"/>
          </w:tcPr>
          <w:p w14:paraId="3B7138F6">
            <w:pPr>
              <w:spacing w:line="400" w:lineRule="exact"/>
              <w:jc w:val="center"/>
              <w:rPr>
                <w:rFonts w:hint="eastAsia" w:ascii="宋体" w:hAnsi="宋体" w:cs="仿宋_GB2312"/>
                <w:kern w:val="0"/>
                <w:szCs w:val="21"/>
              </w:rPr>
            </w:pPr>
            <w:r>
              <w:rPr>
                <w:rFonts w:hint="eastAsia" w:ascii="宋体" w:hAnsi="宋体" w:cs="仿宋_GB2312"/>
                <w:kern w:val="0"/>
                <w:szCs w:val="21"/>
              </w:rPr>
              <w:t>体检信息管理</w:t>
            </w:r>
          </w:p>
        </w:tc>
        <w:tc>
          <w:tcPr>
            <w:tcW w:w="3552" w:type="pct"/>
          </w:tcPr>
          <w:p w14:paraId="01A2F7E8">
            <w:pPr>
              <w:spacing w:line="400" w:lineRule="exact"/>
              <w:rPr>
                <w:rFonts w:hint="eastAsia" w:ascii="宋体" w:hAnsi="宋体" w:cs="仿宋_GB2312"/>
                <w:kern w:val="0"/>
                <w:szCs w:val="21"/>
                <w:lang w:val="zh-CN"/>
              </w:rPr>
            </w:pPr>
            <w:r>
              <w:rPr>
                <w:rFonts w:hint="eastAsia" w:ascii="宋体" w:hAnsi="宋体" w:cs="仿宋_GB2312"/>
                <w:kern w:val="0"/>
                <w:szCs w:val="21"/>
              </w:rPr>
              <w:t>智能识别是否同人同次体检数据并进行覆盖。支持根据指标数值、异常结果、体检结果关键词进行检索。支持体检结果AI机器人告知。</w:t>
            </w:r>
          </w:p>
        </w:tc>
      </w:tr>
      <w:tr w14:paraId="5F61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31" w:type="pct"/>
            <w:vMerge w:val="continue"/>
            <w:vAlign w:val="center"/>
          </w:tcPr>
          <w:p w14:paraId="6B15FA7D">
            <w:pPr>
              <w:spacing w:line="400" w:lineRule="exact"/>
              <w:jc w:val="center"/>
              <w:rPr>
                <w:rFonts w:hint="eastAsia" w:ascii="宋体" w:hAnsi="宋体" w:cs="仿宋_GB2312"/>
                <w:kern w:val="0"/>
                <w:szCs w:val="21"/>
              </w:rPr>
            </w:pPr>
          </w:p>
        </w:tc>
        <w:tc>
          <w:tcPr>
            <w:tcW w:w="816" w:type="pct"/>
            <w:vAlign w:val="center"/>
          </w:tcPr>
          <w:p w14:paraId="45378C0A">
            <w:pPr>
              <w:spacing w:line="400" w:lineRule="exact"/>
              <w:jc w:val="center"/>
              <w:rPr>
                <w:rFonts w:hint="eastAsia" w:ascii="宋体" w:hAnsi="宋体" w:cs="仿宋_GB2312"/>
                <w:kern w:val="0"/>
                <w:szCs w:val="21"/>
              </w:rPr>
            </w:pPr>
            <w:r>
              <w:rPr>
                <w:rFonts w:hint="eastAsia" w:ascii="宋体" w:hAnsi="宋体" w:cs="仿宋_GB2312"/>
                <w:kern w:val="0"/>
                <w:szCs w:val="21"/>
              </w:rPr>
              <w:t>体检档案</w:t>
            </w:r>
          </w:p>
        </w:tc>
        <w:tc>
          <w:tcPr>
            <w:tcW w:w="3552" w:type="pct"/>
          </w:tcPr>
          <w:p w14:paraId="7F043492">
            <w:pPr>
              <w:spacing w:line="400" w:lineRule="exact"/>
              <w:rPr>
                <w:rFonts w:hint="eastAsia" w:ascii="宋体" w:hAnsi="宋体" w:cs="仿宋_GB2312"/>
                <w:kern w:val="0"/>
                <w:szCs w:val="21"/>
              </w:rPr>
            </w:pPr>
            <w:r>
              <w:rPr>
                <w:rFonts w:hint="eastAsia" w:ascii="宋体" w:hAnsi="宋体" w:cs="仿宋_GB2312"/>
                <w:kern w:val="0"/>
                <w:szCs w:val="21"/>
              </w:rPr>
              <w:t>体检记录是评价个人身体状况的重要依据之一，此页面记录录入体检报告客户的体检报告内容，显示体检详细时间和体检次数，可以查看体检报告和体检数据、并且有系统根据体检结果给出的再检推荐。为健康管理师制定干预方案提供基数数据。</w:t>
            </w:r>
          </w:p>
        </w:tc>
      </w:tr>
      <w:tr w14:paraId="3E91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4296E757">
            <w:pPr>
              <w:spacing w:line="400" w:lineRule="exact"/>
              <w:jc w:val="center"/>
              <w:rPr>
                <w:rFonts w:hint="eastAsia" w:ascii="宋体" w:hAnsi="宋体" w:cs="仿宋_GB2312"/>
                <w:kern w:val="0"/>
                <w:szCs w:val="21"/>
              </w:rPr>
            </w:pPr>
          </w:p>
        </w:tc>
        <w:tc>
          <w:tcPr>
            <w:tcW w:w="816" w:type="pct"/>
            <w:vAlign w:val="center"/>
          </w:tcPr>
          <w:p w14:paraId="3235CC46">
            <w:pPr>
              <w:snapToGrid w:val="0"/>
              <w:spacing w:line="400" w:lineRule="exact"/>
              <w:jc w:val="center"/>
              <w:rPr>
                <w:rFonts w:hint="eastAsia" w:ascii="宋体" w:hAnsi="宋体" w:cs="仿宋_GB2312"/>
                <w:kern w:val="0"/>
                <w:szCs w:val="21"/>
              </w:rPr>
            </w:pPr>
            <w:r>
              <w:rPr>
                <w:rFonts w:hint="eastAsia" w:ascii="宋体" w:hAnsi="宋体" w:cs="仿宋_GB2312"/>
                <w:kern w:val="0"/>
                <w:szCs w:val="21"/>
              </w:rPr>
              <w:t>重大阳性档案</w:t>
            </w:r>
          </w:p>
        </w:tc>
        <w:tc>
          <w:tcPr>
            <w:tcW w:w="3552" w:type="pct"/>
            <w:vAlign w:val="center"/>
          </w:tcPr>
          <w:p w14:paraId="54EA60D6">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重大阳性客户的信息收集及阳性指标标记，人工随访提示+AI跟踪随访功能。</w:t>
            </w:r>
          </w:p>
        </w:tc>
      </w:tr>
      <w:tr w14:paraId="72B6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7AD43DF1">
            <w:pPr>
              <w:spacing w:line="400" w:lineRule="exact"/>
              <w:jc w:val="center"/>
              <w:rPr>
                <w:rFonts w:hint="eastAsia" w:ascii="宋体" w:hAnsi="宋体" w:cs="仿宋_GB2312"/>
                <w:kern w:val="0"/>
                <w:szCs w:val="21"/>
              </w:rPr>
            </w:pPr>
          </w:p>
        </w:tc>
        <w:tc>
          <w:tcPr>
            <w:tcW w:w="816" w:type="pct"/>
            <w:vAlign w:val="center"/>
          </w:tcPr>
          <w:p w14:paraId="3B595211">
            <w:pPr>
              <w:widowControl/>
              <w:spacing w:line="400" w:lineRule="exact"/>
              <w:jc w:val="center"/>
              <w:rPr>
                <w:rFonts w:hint="eastAsia" w:ascii="宋体" w:hAnsi="宋体" w:cs="仿宋_GB2312"/>
                <w:kern w:val="0"/>
                <w:szCs w:val="21"/>
              </w:rPr>
            </w:pPr>
            <w:r>
              <w:rPr>
                <w:rFonts w:hint="eastAsia" w:ascii="宋体" w:hAnsi="宋体" w:cs="仿宋_GB2312"/>
                <w:kern w:val="0"/>
                <w:szCs w:val="21"/>
              </w:rPr>
              <w:t>预防接种管理</w:t>
            </w:r>
          </w:p>
        </w:tc>
        <w:tc>
          <w:tcPr>
            <w:tcW w:w="3552" w:type="pct"/>
            <w:vAlign w:val="center"/>
          </w:tcPr>
          <w:p w14:paraId="6CAE3868">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主要记录被管理人员的疫苗接种记录。针对客户记录所有的预防接种记录，可以为以后的健康管理提供疫苗接种依据。</w:t>
            </w:r>
          </w:p>
        </w:tc>
      </w:tr>
      <w:tr w14:paraId="2E35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69D587EB">
            <w:pPr>
              <w:spacing w:line="400" w:lineRule="exact"/>
              <w:jc w:val="center"/>
              <w:rPr>
                <w:rFonts w:hint="eastAsia" w:ascii="宋体" w:hAnsi="宋体" w:cs="仿宋_GB2312"/>
                <w:kern w:val="0"/>
                <w:szCs w:val="21"/>
              </w:rPr>
            </w:pPr>
          </w:p>
        </w:tc>
        <w:tc>
          <w:tcPr>
            <w:tcW w:w="816" w:type="pct"/>
            <w:vAlign w:val="center"/>
          </w:tcPr>
          <w:p w14:paraId="3FCC2234">
            <w:pPr>
              <w:spacing w:line="400" w:lineRule="exact"/>
              <w:jc w:val="center"/>
              <w:rPr>
                <w:rFonts w:hint="eastAsia" w:ascii="宋体" w:hAnsi="宋体" w:cs="仿宋_GB2312"/>
                <w:kern w:val="0"/>
                <w:szCs w:val="21"/>
              </w:rPr>
            </w:pPr>
            <w:r>
              <w:rPr>
                <w:rFonts w:hint="eastAsia" w:ascii="宋体" w:hAnsi="宋体" w:cs="仿宋_GB2312"/>
                <w:kern w:val="0"/>
                <w:szCs w:val="21"/>
              </w:rPr>
              <w:t>健康体检分析</w:t>
            </w:r>
          </w:p>
        </w:tc>
        <w:tc>
          <w:tcPr>
            <w:tcW w:w="3552" w:type="pct"/>
          </w:tcPr>
          <w:p w14:paraId="15490AF2">
            <w:pPr>
              <w:spacing w:line="400" w:lineRule="exact"/>
              <w:rPr>
                <w:rFonts w:hint="eastAsia" w:ascii="宋体" w:hAnsi="宋体" w:cs="仿宋_GB2312"/>
                <w:kern w:val="0"/>
                <w:szCs w:val="21"/>
              </w:rPr>
            </w:pPr>
            <w:r>
              <w:rPr>
                <w:rFonts w:hint="eastAsia" w:ascii="宋体" w:hAnsi="宋体" w:cs="仿宋_GB2312"/>
                <w:kern w:val="0"/>
                <w:szCs w:val="21"/>
              </w:rPr>
              <w:t>支持对系统内所有客户的体检数据进行智能分析，从年龄段、时间范围、性别、类别等维度进行体检异常结果TOP10分析、基础指标等分析，分析结果支持导出。</w:t>
            </w:r>
          </w:p>
        </w:tc>
      </w:tr>
      <w:tr w14:paraId="6437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5B8F08E0">
            <w:pPr>
              <w:spacing w:line="400" w:lineRule="exact"/>
              <w:jc w:val="center"/>
              <w:rPr>
                <w:rFonts w:hint="eastAsia" w:ascii="宋体" w:hAnsi="宋体" w:cs="仿宋_GB2312"/>
                <w:kern w:val="0"/>
                <w:szCs w:val="21"/>
              </w:rPr>
            </w:pPr>
          </w:p>
        </w:tc>
        <w:tc>
          <w:tcPr>
            <w:tcW w:w="816" w:type="pct"/>
            <w:vAlign w:val="center"/>
          </w:tcPr>
          <w:p w14:paraId="19545E4E">
            <w:pPr>
              <w:spacing w:line="400" w:lineRule="exact"/>
              <w:jc w:val="center"/>
              <w:rPr>
                <w:rFonts w:hint="eastAsia" w:ascii="宋体" w:hAnsi="宋体" w:cs="仿宋_GB2312"/>
                <w:kern w:val="0"/>
                <w:szCs w:val="21"/>
              </w:rPr>
            </w:pPr>
            <w:r>
              <w:rPr>
                <w:rFonts w:hint="eastAsia" w:ascii="宋体" w:hAnsi="宋体" w:cs="仿宋_GB2312"/>
                <w:kern w:val="0"/>
                <w:szCs w:val="21"/>
              </w:rPr>
              <w:t>体检报告</w:t>
            </w:r>
          </w:p>
        </w:tc>
        <w:tc>
          <w:tcPr>
            <w:tcW w:w="3552" w:type="pct"/>
          </w:tcPr>
          <w:p w14:paraId="54B2A383">
            <w:pPr>
              <w:spacing w:line="400" w:lineRule="exact"/>
              <w:rPr>
                <w:rFonts w:hint="eastAsia" w:ascii="宋体" w:hAnsi="宋体" w:cs="仿宋_GB2312"/>
                <w:kern w:val="0"/>
                <w:szCs w:val="21"/>
              </w:rPr>
            </w:pPr>
            <w:r>
              <w:rPr>
                <w:rFonts w:hint="eastAsia" w:ascii="宋体" w:hAnsi="宋体" w:cs="仿宋_GB2312"/>
                <w:kern w:val="0"/>
                <w:szCs w:val="21"/>
              </w:rPr>
              <w:t>对于所有方式进入系统中的体检报告数据进行集中管理，能够根据体检数据自动生成健康画像，体检报告支持Excel模板导入。</w:t>
            </w:r>
          </w:p>
        </w:tc>
      </w:tr>
      <w:tr w14:paraId="603D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484931AF">
            <w:pPr>
              <w:spacing w:line="400" w:lineRule="exact"/>
              <w:jc w:val="center"/>
              <w:rPr>
                <w:rFonts w:hint="eastAsia" w:ascii="宋体" w:hAnsi="宋体" w:cs="仿宋_GB2312"/>
                <w:kern w:val="0"/>
                <w:szCs w:val="21"/>
              </w:rPr>
            </w:pPr>
          </w:p>
        </w:tc>
        <w:tc>
          <w:tcPr>
            <w:tcW w:w="816" w:type="pct"/>
            <w:vAlign w:val="center"/>
          </w:tcPr>
          <w:p w14:paraId="3B03E236">
            <w:pPr>
              <w:spacing w:line="400" w:lineRule="exact"/>
              <w:jc w:val="center"/>
              <w:rPr>
                <w:rFonts w:hint="eastAsia" w:ascii="宋体" w:hAnsi="宋体" w:cs="仿宋_GB2312"/>
                <w:kern w:val="0"/>
                <w:szCs w:val="21"/>
              </w:rPr>
            </w:pPr>
            <w:r>
              <w:rPr>
                <w:rFonts w:hint="eastAsia" w:ascii="宋体" w:hAnsi="宋体" w:cs="仿宋_GB2312"/>
                <w:kern w:val="0"/>
                <w:szCs w:val="21"/>
              </w:rPr>
              <w:t>慢病评估问卷</w:t>
            </w:r>
          </w:p>
        </w:tc>
        <w:tc>
          <w:tcPr>
            <w:tcW w:w="3552" w:type="pct"/>
          </w:tcPr>
          <w:p w14:paraId="1F0A1114">
            <w:pPr>
              <w:spacing w:line="400" w:lineRule="exact"/>
              <w:rPr>
                <w:rFonts w:hint="eastAsia" w:ascii="宋体" w:hAnsi="宋体" w:cs="仿宋_GB2312"/>
                <w:kern w:val="0"/>
                <w:szCs w:val="21"/>
              </w:rPr>
            </w:pPr>
            <w:r>
              <w:rPr>
                <w:rFonts w:hint="eastAsia" w:ascii="宋体" w:hAnsi="宋体" w:cs="仿宋_GB2312"/>
                <w:kern w:val="0"/>
                <w:szCs w:val="21"/>
              </w:rPr>
              <w:t>能够通过电脑、触摸屏/一体机、手机等多种方式采集客户的慢病问卷并自动关联健康体检。</w:t>
            </w:r>
          </w:p>
        </w:tc>
      </w:tr>
      <w:tr w14:paraId="1BFA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7" w:hRule="atLeast"/>
          <w:jc w:val="center"/>
        </w:trPr>
        <w:tc>
          <w:tcPr>
            <w:tcW w:w="631" w:type="pct"/>
            <w:vMerge w:val="continue"/>
            <w:vAlign w:val="center"/>
          </w:tcPr>
          <w:p w14:paraId="4318F289">
            <w:pPr>
              <w:spacing w:line="400" w:lineRule="exact"/>
              <w:jc w:val="center"/>
              <w:rPr>
                <w:rFonts w:hint="eastAsia" w:ascii="宋体" w:hAnsi="宋体" w:cs="仿宋_GB2312"/>
                <w:kern w:val="0"/>
                <w:szCs w:val="21"/>
              </w:rPr>
            </w:pPr>
          </w:p>
        </w:tc>
        <w:tc>
          <w:tcPr>
            <w:tcW w:w="816" w:type="pct"/>
            <w:vAlign w:val="center"/>
          </w:tcPr>
          <w:p w14:paraId="2F1D5C18">
            <w:pPr>
              <w:spacing w:line="400" w:lineRule="exact"/>
              <w:jc w:val="center"/>
              <w:rPr>
                <w:rFonts w:hint="eastAsia" w:ascii="宋体" w:hAnsi="宋体" w:cs="仿宋_GB2312"/>
                <w:kern w:val="0"/>
                <w:szCs w:val="21"/>
              </w:rPr>
            </w:pPr>
            <w:r>
              <w:rPr>
                <w:rFonts w:hint="eastAsia" w:ascii="宋体" w:hAnsi="宋体" w:cs="仿宋_GB2312"/>
                <w:kern w:val="0"/>
                <w:szCs w:val="21"/>
              </w:rPr>
              <w:t>慢病评估问卷</w:t>
            </w:r>
          </w:p>
        </w:tc>
        <w:tc>
          <w:tcPr>
            <w:tcW w:w="3552" w:type="pct"/>
          </w:tcPr>
          <w:p w14:paraId="1462D4E5">
            <w:pPr>
              <w:spacing w:line="400" w:lineRule="exact"/>
              <w:rPr>
                <w:rFonts w:hint="eastAsia" w:ascii="宋体" w:hAnsi="宋体" w:cs="仿宋_GB2312"/>
                <w:kern w:val="0"/>
                <w:szCs w:val="21"/>
              </w:rPr>
            </w:pPr>
            <w:r>
              <w:rPr>
                <w:rFonts w:hint="eastAsia" w:ascii="宋体" w:hAnsi="宋体" w:cs="仿宋_GB2312"/>
                <w:kern w:val="0"/>
                <w:szCs w:val="21"/>
              </w:rPr>
              <w:t>对于所有方式进入系统中的慢病问卷数据进行集中管理，能够根据慢病问卷自动生成健康画像，慢病问卷至少包含：</w:t>
            </w:r>
            <w:r>
              <w:rPr>
                <w:rFonts w:hint="eastAsia" w:ascii="宋体" w:hAnsi="宋体" w:cs="仿宋_GB2312"/>
                <w:kern w:val="0"/>
                <w:szCs w:val="21"/>
              </w:rPr>
              <w:br w:type="textWrapping"/>
            </w:r>
            <w:r>
              <w:rPr>
                <w:rFonts w:hint="eastAsia" w:ascii="宋体" w:hAnsi="宋体" w:cs="仿宋_GB2312"/>
                <w:kern w:val="0"/>
                <w:szCs w:val="21"/>
              </w:rPr>
              <w:t>1.综合问卷从家族史、现病史、症状体征、历史异常指标、生活方式、心理健康与精神压力、睡眠健康、健康素养等多个维度分析不少于11种肿瘤+15种慢性病的风险因素,可用于检后疾病风险评估；可根据机构需要选择不同类型问卷。</w:t>
            </w:r>
          </w:p>
          <w:p w14:paraId="2E8E164E">
            <w:pPr>
              <w:spacing w:line="400" w:lineRule="exact"/>
              <w:rPr>
                <w:rFonts w:hint="eastAsia" w:ascii="宋体" w:hAnsi="宋体" w:cs="仿宋_GB2312"/>
                <w:kern w:val="0"/>
                <w:szCs w:val="21"/>
              </w:rPr>
            </w:pPr>
            <w:r>
              <w:rPr>
                <w:rFonts w:hint="eastAsia" w:ascii="宋体" w:hAnsi="宋体" w:cs="仿宋_GB2312"/>
                <w:kern w:val="0"/>
                <w:szCs w:val="21"/>
              </w:rPr>
              <w:t>2.风险评估问卷支持 3 套（CDC标准问卷、301医院慢病研究院同版问卷、综合性问卷）</w:t>
            </w:r>
            <w:r>
              <w:rPr>
                <w:rFonts w:hint="eastAsia" w:ascii="宋体" w:hAnsi="宋体" w:cs="仿宋_GB2312"/>
                <w:kern w:val="0"/>
                <w:szCs w:val="21"/>
              </w:rPr>
              <w:br w:type="textWrapping"/>
            </w:r>
            <w:r>
              <w:rPr>
                <w:rFonts w:hint="eastAsia" w:ascii="宋体" w:hAnsi="宋体" w:cs="仿宋_GB2312"/>
                <w:kern w:val="0"/>
                <w:szCs w:val="21"/>
              </w:rPr>
              <w:t>3.支持中医体质辨识、心理健康测试SCL-90填写和智能统计分析。</w:t>
            </w:r>
            <w:r>
              <w:rPr>
                <w:rFonts w:hint="eastAsia" w:ascii="宋体" w:hAnsi="宋体" w:cs="仿宋_GB2312"/>
                <w:kern w:val="0"/>
                <w:szCs w:val="21"/>
              </w:rPr>
              <w:br w:type="textWrapping"/>
            </w:r>
            <w:r>
              <w:rPr>
                <w:rFonts w:hint="eastAsia" w:ascii="宋体" w:hAnsi="宋体" w:cs="仿宋_GB2312"/>
                <w:kern w:val="0"/>
                <w:szCs w:val="21"/>
              </w:rPr>
              <w:t>4.支持机构做个性化问卷管理。</w:t>
            </w:r>
          </w:p>
        </w:tc>
      </w:tr>
      <w:tr w14:paraId="0D2A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7463E23C">
            <w:pPr>
              <w:spacing w:line="400" w:lineRule="exact"/>
              <w:jc w:val="center"/>
              <w:rPr>
                <w:rFonts w:hint="eastAsia" w:ascii="宋体" w:hAnsi="宋体" w:cs="仿宋_GB2312"/>
                <w:kern w:val="0"/>
                <w:szCs w:val="21"/>
              </w:rPr>
            </w:pPr>
          </w:p>
        </w:tc>
        <w:tc>
          <w:tcPr>
            <w:tcW w:w="816" w:type="pct"/>
            <w:vAlign w:val="center"/>
          </w:tcPr>
          <w:p w14:paraId="36EB03D8">
            <w:pPr>
              <w:widowControl/>
              <w:spacing w:line="400" w:lineRule="exact"/>
              <w:jc w:val="center"/>
              <w:rPr>
                <w:rFonts w:hint="eastAsia" w:ascii="宋体" w:hAnsi="宋体" w:cs="仿宋_GB2312"/>
                <w:kern w:val="0"/>
                <w:szCs w:val="21"/>
              </w:rPr>
            </w:pPr>
            <w:r>
              <w:rPr>
                <w:rFonts w:hint="eastAsia" w:ascii="宋体" w:hAnsi="宋体" w:cs="仿宋_GB2312"/>
                <w:kern w:val="0"/>
                <w:szCs w:val="21"/>
              </w:rPr>
              <w:t>个性化报告</w:t>
            </w:r>
          </w:p>
        </w:tc>
        <w:tc>
          <w:tcPr>
            <w:tcW w:w="3552" w:type="pct"/>
            <w:vAlign w:val="center"/>
          </w:tcPr>
          <w:p w14:paraId="70FF4C9C">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可根据医院、分院及科室要求个性化报告的封皮、封底以及系统配置不同套餐显示不同页数的报告。</w:t>
            </w:r>
          </w:p>
        </w:tc>
      </w:tr>
      <w:tr w14:paraId="46DF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40E140FD">
            <w:pPr>
              <w:spacing w:line="400" w:lineRule="exact"/>
              <w:jc w:val="center"/>
              <w:rPr>
                <w:rFonts w:hint="eastAsia" w:ascii="宋体" w:hAnsi="宋体" w:cs="仿宋_GB2312"/>
                <w:kern w:val="0"/>
                <w:szCs w:val="21"/>
              </w:rPr>
            </w:pPr>
          </w:p>
        </w:tc>
        <w:tc>
          <w:tcPr>
            <w:tcW w:w="816" w:type="pct"/>
            <w:vAlign w:val="center"/>
          </w:tcPr>
          <w:p w14:paraId="1C86F896">
            <w:pPr>
              <w:widowControl/>
              <w:spacing w:line="400" w:lineRule="exact"/>
              <w:jc w:val="center"/>
              <w:rPr>
                <w:rFonts w:hint="eastAsia" w:ascii="宋体" w:hAnsi="宋体" w:cs="仿宋_GB2312"/>
                <w:kern w:val="0"/>
                <w:szCs w:val="21"/>
              </w:rPr>
            </w:pPr>
            <w:r>
              <w:rPr>
                <w:rFonts w:hint="eastAsia" w:ascii="宋体" w:hAnsi="宋体" w:cs="仿宋_GB2312"/>
                <w:kern w:val="0"/>
                <w:szCs w:val="21"/>
              </w:rPr>
              <w:t>报告总评</w:t>
            </w:r>
          </w:p>
        </w:tc>
        <w:tc>
          <w:tcPr>
            <w:tcW w:w="3552" w:type="pct"/>
            <w:vAlign w:val="center"/>
          </w:tcPr>
          <w:p w14:paraId="00FB61B2">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报告可根据医生建议情况进行不同医嘱信息的字典库标注或手工标注信息。</w:t>
            </w:r>
          </w:p>
        </w:tc>
      </w:tr>
      <w:tr w14:paraId="5FCF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0B93A025">
            <w:pPr>
              <w:spacing w:line="400" w:lineRule="exact"/>
              <w:jc w:val="center"/>
              <w:rPr>
                <w:rFonts w:hint="eastAsia" w:ascii="宋体" w:hAnsi="宋体" w:cs="仿宋_GB2312"/>
                <w:kern w:val="0"/>
                <w:szCs w:val="21"/>
              </w:rPr>
            </w:pPr>
          </w:p>
        </w:tc>
        <w:tc>
          <w:tcPr>
            <w:tcW w:w="816" w:type="pct"/>
            <w:vAlign w:val="center"/>
          </w:tcPr>
          <w:p w14:paraId="39734FEF">
            <w:pPr>
              <w:widowControl/>
              <w:spacing w:line="400" w:lineRule="exact"/>
              <w:jc w:val="center"/>
              <w:rPr>
                <w:rFonts w:hint="eastAsia" w:ascii="宋体" w:hAnsi="宋体" w:cs="仿宋_GB2312"/>
                <w:kern w:val="0"/>
                <w:szCs w:val="21"/>
              </w:rPr>
            </w:pPr>
            <w:r>
              <w:rPr>
                <w:rFonts w:hint="eastAsia" w:ascii="宋体" w:hAnsi="宋体" w:cs="仿宋_GB2312"/>
                <w:kern w:val="0"/>
                <w:szCs w:val="21"/>
              </w:rPr>
              <w:t>评估风险等级调整</w:t>
            </w:r>
          </w:p>
        </w:tc>
        <w:tc>
          <w:tcPr>
            <w:tcW w:w="3552" w:type="pct"/>
            <w:vAlign w:val="center"/>
          </w:tcPr>
          <w:p w14:paraId="17CE48E9">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医生可根据不同维度的健康信息进行慢病风险等级的手工调整</w:t>
            </w:r>
          </w:p>
        </w:tc>
      </w:tr>
      <w:tr w14:paraId="7117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43A805A3">
            <w:pPr>
              <w:spacing w:line="400" w:lineRule="exact"/>
              <w:jc w:val="center"/>
              <w:rPr>
                <w:rFonts w:hint="eastAsia" w:ascii="宋体" w:hAnsi="宋体" w:cs="仿宋_GB2312"/>
                <w:kern w:val="0"/>
                <w:szCs w:val="21"/>
              </w:rPr>
            </w:pPr>
          </w:p>
        </w:tc>
        <w:tc>
          <w:tcPr>
            <w:tcW w:w="816" w:type="pct"/>
            <w:vAlign w:val="center"/>
          </w:tcPr>
          <w:p w14:paraId="1FED17C2">
            <w:pPr>
              <w:widowControl/>
              <w:spacing w:line="400" w:lineRule="exact"/>
              <w:jc w:val="center"/>
              <w:rPr>
                <w:rFonts w:hint="eastAsia" w:ascii="宋体" w:hAnsi="宋体" w:cs="仿宋_GB2312"/>
                <w:kern w:val="0"/>
                <w:szCs w:val="21"/>
              </w:rPr>
            </w:pPr>
            <w:r>
              <w:rPr>
                <w:rFonts w:hint="eastAsia" w:ascii="宋体" w:hAnsi="宋体" w:cs="仿宋_GB2312"/>
                <w:kern w:val="0"/>
                <w:szCs w:val="21"/>
              </w:rPr>
              <w:t>数据对比</w:t>
            </w:r>
          </w:p>
        </w:tc>
        <w:tc>
          <w:tcPr>
            <w:tcW w:w="3552" w:type="pct"/>
            <w:vAlign w:val="center"/>
          </w:tcPr>
          <w:p w14:paraId="65B52346">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能够与历史数据进行对比。</w:t>
            </w:r>
          </w:p>
        </w:tc>
      </w:tr>
      <w:tr w14:paraId="2878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1EF26311">
            <w:pPr>
              <w:spacing w:line="400" w:lineRule="exact"/>
              <w:jc w:val="center"/>
              <w:rPr>
                <w:rFonts w:hint="eastAsia" w:ascii="宋体" w:hAnsi="宋体" w:cs="仿宋_GB2312"/>
                <w:kern w:val="0"/>
                <w:szCs w:val="21"/>
              </w:rPr>
            </w:pPr>
          </w:p>
        </w:tc>
        <w:tc>
          <w:tcPr>
            <w:tcW w:w="816" w:type="pct"/>
            <w:vAlign w:val="center"/>
          </w:tcPr>
          <w:p w14:paraId="53CF36A7">
            <w:pPr>
              <w:spacing w:line="400" w:lineRule="exact"/>
              <w:jc w:val="center"/>
              <w:rPr>
                <w:rFonts w:hint="eastAsia" w:ascii="宋体" w:hAnsi="宋体" w:cs="仿宋_GB2312"/>
                <w:kern w:val="0"/>
                <w:szCs w:val="21"/>
              </w:rPr>
            </w:pPr>
            <w:r>
              <w:rPr>
                <w:rFonts w:hint="eastAsia" w:ascii="宋体" w:hAnsi="宋体" w:cs="仿宋_GB2312"/>
                <w:kern w:val="0"/>
                <w:szCs w:val="21"/>
              </w:rPr>
              <w:t>中医体质评估问卷</w:t>
            </w:r>
          </w:p>
        </w:tc>
        <w:tc>
          <w:tcPr>
            <w:tcW w:w="3552" w:type="pct"/>
          </w:tcPr>
          <w:p w14:paraId="4F707657">
            <w:pPr>
              <w:spacing w:line="400" w:lineRule="exact"/>
              <w:rPr>
                <w:rFonts w:hint="eastAsia" w:ascii="宋体" w:hAnsi="宋体" w:cs="仿宋_GB2312"/>
                <w:kern w:val="0"/>
                <w:szCs w:val="21"/>
              </w:rPr>
            </w:pPr>
            <w:r>
              <w:rPr>
                <w:rFonts w:hint="eastAsia" w:ascii="宋体" w:hAnsi="宋体" w:cs="仿宋_GB2312"/>
                <w:kern w:val="0"/>
                <w:szCs w:val="21"/>
              </w:rPr>
              <w:t>问卷采用中华中医院学会标准的《中医体质分类与判断表》，为个人提供体质辨识以及对应的养生指导意见。</w:t>
            </w:r>
          </w:p>
        </w:tc>
      </w:tr>
      <w:tr w14:paraId="303A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3B90C4DD">
            <w:pPr>
              <w:spacing w:line="400" w:lineRule="exact"/>
              <w:jc w:val="center"/>
              <w:rPr>
                <w:rFonts w:hint="eastAsia" w:ascii="宋体" w:hAnsi="宋体" w:cs="仿宋_GB2312"/>
                <w:kern w:val="0"/>
                <w:szCs w:val="21"/>
              </w:rPr>
            </w:pPr>
          </w:p>
        </w:tc>
        <w:tc>
          <w:tcPr>
            <w:tcW w:w="816" w:type="pct"/>
            <w:vAlign w:val="center"/>
          </w:tcPr>
          <w:p w14:paraId="3BDD1E0A">
            <w:pPr>
              <w:spacing w:line="400" w:lineRule="exact"/>
              <w:jc w:val="center"/>
              <w:rPr>
                <w:rFonts w:hint="eastAsia" w:ascii="宋体" w:hAnsi="宋体" w:cs="仿宋_GB2312"/>
                <w:kern w:val="0"/>
                <w:szCs w:val="21"/>
              </w:rPr>
            </w:pPr>
            <w:r>
              <w:rPr>
                <w:rFonts w:hint="eastAsia" w:ascii="宋体" w:hAnsi="宋体" w:cs="仿宋_GB2312"/>
                <w:kern w:val="0"/>
                <w:szCs w:val="21"/>
              </w:rPr>
              <w:t>心理评估问卷</w:t>
            </w:r>
          </w:p>
        </w:tc>
        <w:tc>
          <w:tcPr>
            <w:tcW w:w="3552" w:type="pct"/>
          </w:tcPr>
          <w:p w14:paraId="2CD6319D">
            <w:pPr>
              <w:spacing w:line="400" w:lineRule="exact"/>
              <w:rPr>
                <w:rFonts w:hint="eastAsia" w:ascii="宋体" w:hAnsi="宋体" w:cs="仿宋_GB2312"/>
                <w:kern w:val="0"/>
                <w:szCs w:val="21"/>
              </w:rPr>
            </w:pPr>
            <w:r>
              <w:rPr>
                <w:rFonts w:hint="eastAsia" w:ascii="宋体" w:hAnsi="宋体" w:cs="仿宋_GB2312"/>
                <w:kern w:val="0"/>
                <w:szCs w:val="21"/>
              </w:rPr>
              <w:t>支持两种以上心理评估，例如</w:t>
            </w:r>
            <w:r>
              <w:rPr>
                <w:rFonts w:hint="eastAsia" w:ascii="宋体" w:hAnsi="宋体" w:cs="仿宋_GB2312"/>
                <w:kern w:val="0"/>
                <w:szCs w:val="21"/>
                <w:lang w:eastAsia="zh-Hans"/>
              </w:rPr>
              <w:t>压力</w:t>
            </w:r>
            <w:r>
              <w:rPr>
                <w:rFonts w:hint="eastAsia" w:ascii="宋体" w:hAnsi="宋体" w:cs="仿宋_GB2312"/>
                <w:kern w:val="0"/>
                <w:szCs w:val="21"/>
              </w:rPr>
              <w:t>、</w:t>
            </w:r>
            <w:r>
              <w:rPr>
                <w:rFonts w:hint="eastAsia" w:ascii="宋体" w:hAnsi="宋体" w:cs="仿宋_GB2312"/>
                <w:kern w:val="0"/>
                <w:szCs w:val="21"/>
                <w:lang w:eastAsia="zh-Hans"/>
              </w:rPr>
              <w:t>A型性格</w:t>
            </w:r>
            <w:r>
              <w:rPr>
                <w:rFonts w:hint="eastAsia" w:ascii="宋体" w:hAnsi="宋体" w:cs="仿宋_GB2312"/>
                <w:kern w:val="0"/>
                <w:szCs w:val="21"/>
              </w:rPr>
              <w:t>心理评估等</w:t>
            </w:r>
          </w:p>
        </w:tc>
      </w:tr>
      <w:tr w14:paraId="0345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7" w:hRule="atLeast"/>
          <w:jc w:val="center"/>
        </w:trPr>
        <w:tc>
          <w:tcPr>
            <w:tcW w:w="631" w:type="pct"/>
            <w:vMerge w:val="continue"/>
            <w:vAlign w:val="center"/>
          </w:tcPr>
          <w:p w14:paraId="3E4D321B">
            <w:pPr>
              <w:spacing w:line="400" w:lineRule="exact"/>
              <w:jc w:val="center"/>
              <w:rPr>
                <w:rFonts w:hint="eastAsia" w:ascii="宋体" w:hAnsi="宋体" w:cs="仿宋_GB2312"/>
                <w:kern w:val="0"/>
                <w:szCs w:val="21"/>
              </w:rPr>
            </w:pPr>
          </w:p>
        </w:tc>
        <w:tc>
          <w:tcPr>
            <w:tcW w:w="816" w:type="pct"/>
            <w:vAlign w:val="center"/>
          </w:tcPr>
          <w:p w14:paraId="32880B74">
            <w:pPr>
              <w:spacing w:line="400" w:lineRule="exact"/>
              <w:jc w:val="center"/>
              <w:rPr>
                <w:rFonts w:hint="eastAsia" w:ascii="宋体" w:hAnsi="宋体" w:cs="仿宋_GB2312"/>
                <w:kern w:val="0"/>
                <w:szCs w:val="21"/>
              </w:rPr>
            </w:pPr>
            <w:r>
              <w:rPr>
                <w:rFonts w:hint="eastAsia" w:ascii="宋体" w:hAnsi="宋体" w:cs="仿宋_GB2312"/>
                <w:kern w:val="0"/>
                <w:szCs w:val="21"/>
              </w:rPr>
              <w:t>慢病评估报告</w:t>
            </w:r>
          </w:p>
        </w:tc>
        <w:tc>
          <w:tcPr>
            <w:tcW w:w="3552" w:type="pct"/>
          </w:tcPr>
          <w:p w14:paraId="282C2C38">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软件系统能相应计算并出支持25 大类健康风险评估，涵盖心血管疾病、内分泌、癌症等多种病症。（5年内患糖尿病风险、10年内患缺血性心血管疾病、代谢综合征、4年内高血压发生风险、肥胖症、血脂异常、10年内主要骨质疏松性骨折</w:t>
            </w:r>
            <w:r>
              <w:rPr>
                <w:rFonts w:hint="eastAsia" w:ascii="宋体" w:hAnsi="宋体" w:cs="仿宋_GB2312"/>
                <w:kern w:val="0"/>
                <w:szCs w:val="21"/>
                <w:lang w:eastAsia="zh-Hans"/>
              </w:rPr>
              <w:t>、冠心病、脂肪肝、痛风、偏头痛、脑卒中、慢阻肺</w:t>
            </w:r>
            <w:r>
              <w:rPr>
                <w:rFonts w:hint="eastAsia" w:ascii="宋体" w:hAnsi="宋体" w:cs="仿宋_GB2312"/>
                <w:kern w:val="0"/>
                <w:szCs w:val="21"/>
              </w:rPr>
              <w:t>、乳腺增生、肝癌、大肠癌、鼻咽癌、乳腺癌、肺癌</w:t>
            </w:r>
            <w:r>
              <w:rPr>
                <w:rFonts w:hint="eastAsia" w:ascii="宋体" w:hAnsi="宋体" w:cs="仿宋_GB2312"/>
                <w:kern w:val="0"/>
                <w:szCs w:val="21"/>
                <w:lang w:eastAsia="zh-Hans"/>
              </w:rPr>
              <w:t>、胃癌、前列腺癌、胰腺癌、宫颈癌、卵巢癌、子宫内膜癌</w:t>
            </w:r>
            <w:r>
              <w:rPr>
                <w:rFonts w:hint="eastAsia" w:ascii="宋体" w:hAnsi="宋体" w:cs="仿宋_GB2312"/>
                <w:kern w:val="0"/>
                <w:szCs w:val="21"/>
              </w:rPr>
              <w:t>）风险评估评估报告，包含各自的绝对风险、相对风险及风险因素；</w:t>
            </w:r>
          </w:p>
          <w:p w14:paraId="41A93A55">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能够出具健康生活方式评估报告，并进行生活方式的评分测定；</w:t>
            </w:r>
          </w:p>
          <w:p w14:paraId="142FAE7E">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可根据问卷信息提供个性化的膳食、运动习惯评价报告。膳食摄入量需按照国家指导结合个人体重、工作性质、运动量等多维信息综合评估摄入量，并结合客户现有疾病（例如糖尿病）情况推荐热量、营养素、菜谱等。</w:t>
            </w:r>
          </w:p>
          <w:p w14:paraId="0445C290">
            <w:pPr>
              <w:spacing w:line="400" w:lineRule="exact"/>
              <w:rPr>
                <w:rFonts w:hint="eastAsia" w:ascii="宋体" w:hAnsi="宋体" w:cs="仿宋_GB2312"/>
                <w:kern w:val="0"/>
                <w:szCs w:val="21"/>
              </w:rPr>
            </w:pPr>
            <w:r>
              <w:rPr>
                <w:rFonts w:hint="eastAsia" w:ascii="宋体" w:hAnsi="宋体" w:cs="仿宋_GB2312"/>
                <w:kern w:val="0"/>
                <w:szCs w:val="21"/>
              </w:rPr>
              <w:t>平台的评估模型的数据与疾控一直保持数据对接，可评估分析多种混合型慢性病的病人，并作出准确的干预方案。</w:t>
            </w:r>
          </w:p>
        </w:tc>
      </w:tr>
      <w:tr w14:paraId="2DD8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7" w:hRule="atLeast"/>
          <w:jc w:val="center"/>
        </w:trPr>
        <w:tc>
          <w:tcPr>
            <w:tcW w:w="631" w:type="pct"/>
            <w:vMerge w:val="continue"/>
            <w:vAlign w:val="center"/>
          </w:tcPr>
          <w:p w14:paraId="248766CF">
            <w:pPr>
              <w:spacing w:line="400" w:lineRule="exact"/>
              <w:jc w:val="center"/>
              <w:rPr>
                <w:rFonts w:hint="eastAsia" w:ascii="宋体" w:hAnsi="宋体" w:cs="仿宋_GB2312"/>
                <w:kern w:val="0"/>
                <w:szCs w:val="21"/>
              </w:rPr>
            </w:pPr>
          </w:p>
        </w:tc>
        <w:tc>
          <w:tcPr>
            <w:tcW w:w="816" w:type="pct"/>
            <w:vAlign w:val="center"/>
          </w:tcPr>
          <w:p w14:paraId="797FDC54">
            <w:pPr>
              <w:spacing w:line="400" w:lineRule="exact"/>
              <w:jc w:val="center"/>
              <w:rPr>
                <w:rFonts w:hint="eastAsia" w:ascii="宋体" w:hAnsi="宋体" w:cs="仿宋_GB2312"/>
                <w:kern w:val="0"/>
                <w:szCs w:val="21"/>
              </w:rPr>
            </w:pPr>
            <w:r>
              <w:rPr>
                <w:rFonts w:hint="eastAsia" w:ascii="宋体" w:hAnsi="宋体" w:cs="仿宋_GB2312"/>
                <w:kern w:val="0"/>
                <w:szCs w:val="21"/>
              </w:rPr>
              <w:t>团队慢病评估报告</w:t>
            </w:r>
          </w:p>
        </w:tc>
        <w:tc>
          <w:tcPr>
            <w:tcW w:w="3552" w:type="pct"/>
          </w:tcPr>
          <w:p w14:paraId="39347E26">
            <w:pPr>
              <w:spacing w:line="400" w:lineRule="exact"/>
              <w:rPr>
                <w:rFonts w:hint="eastAsia" w:ascii="宋体" w:hAnsi="宋体" w:cs="仿宋_GB2312"/>
                <w:kern w:val="0"/>
                <w:szCs w:val="21"/>
              </w:rPr>
            </w:pPr>
            <w:r>
              <w:rPr>
                <w:rFonts w:hint="eastAsia" w:ascii="宋体" w:hAnsi="宋体" w:cs="仿宋_GB2312"/>
                <w:kern w:val="0"/>
                <w:szCs w:val="21"/>
              </w:rPr>
              <w:t>1.对团体客户的健康测评结果和体检结果进行智能统计分析，生成专属的团体慢病评估报告。</w:t>
            </w:r>
            <w:r>
              <w:rPr>
                <w:rFonts w:hint="eastAsia" w:ascii="宋体" w:hAnsi="宋体" w:cs="仿宋_GB2312"/>
                <w:kern w:val="0"/>
                <w:szCs w:val="21"/>
              </w:rPr>
              <w:br w:type="textWrapping"/>
            </w:r>
            <w:r>
              <w:rPr>
                <w:rFonts w:hint="eastAsia" w:ascii="宋体" w:hAnsi="宋体" w:cs="仿宋_GB2312"/>
                <w:kern w:val="0"/>
                <w:szCs w:val="21"/>
              </w:rPr>
              <w:t>2.报告中至少包含生活方式统计、基础指标检查结果分布、体检异常TOP10统计、历次数据对比，肿瘤及慢病风险评估统计分析、体检异常统计等。便于团体管理者了解团体人员整体健康状况，开展必要的健康干预与管理，降低员工的疾病风险，实现团体员工健康资产保障，提升团体运营效率和可持续发展。</w:t>
            </w:r>
          </w:p>
        </w:tc>
      </w:tr>
      <w:tr w14:paraId="329C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31" w:type="pct"/>
            <w:vMerge w:val="continue"/>
            <w:vAlign w:val="center"/>
          </w:tcPr>
          <w:p w14:paraId="5D178BC1">
            <w:pPr>
              <w:spacing w:line="400" w:lineRule="exact"/>
              <w:jc w:val="center"/>
              <w:rPr>
                <w:rFonts w:hint="eastAsia" w:ascii="宋体" w:hAnsi="宋体" w:cs="仿宋_GB2312"/>
                <w:kern w:val="0"/>
                <w:szCs w:val="21"/>
              </w:rPr>
            </w:pPr>
          </w:p>
        </w:tc>
        <w:tc>
          <w:tcPr>
            <w:tcW w:w="816" w:type="pct"/>
            <w:vAlign w:val="center"/>
          </w:tcPr>
          <w:p w14:paraId="6B59409B">
            <w:pPr>
              <w:spacing w:line="400" w:lineRule="exact"/>
              <w:jc w:val="center"/>
              <w:rPr>
                <w:rFonts w:hint="eastAsia" w:ascii="宋体" w:hAnsi="宋体" w:cs="仿宋_GB2312"/>
                <w:kern w:val="0"/>
                <w:szCs w:val="21"/>
              </w:rPr>
            </w:pPr>
            <w:r>
              <w:rPr>
                <w:rFonts w:hint="eastAsia" w:ascii="宋体" w:hAnsi="宋体" w:cs="仿宋_GB2312"/>
                <w:kern w:val="0"/>
                <w:szCs w:val="21"/>
              </w:rPr>
              <w:t>风险分级管理</w:t>
            </w:r>
          </w:p>
        </w:tc>
        <w:tc>
          <w:tcPr>
            <w:tcW w:w="3552" w:type="pct"/>
          </w:tcPr>
          <w:p w14:paraId="5A105DD0">
            <w:pPr>
              <w:spacing w:line="400" w:lineRule="exact"/>
              <w:rPr>
                <w:rFonts w:hint="eastAsia" w:ascii="宋体" w:hAnsi="宋体" w:cs="仿宋_GB2312"/>
                <w:kern w:val="0"/>
                <w:szCs w:val="21"/>
              </w:rPr>
            </w:pPr>
            <w:r>
              <w:rPr>
                <w:rFonts w:hint="eastAsia" w:ascii="宋体" w:hAnsi="宋体" w:cs="仿宋_GB2312"/>
                <w:kern w:val="0"/>
                <w:szCs w:val="21"/>
              </w:rPr>
              <w:t>1.支持根据风险评估结论将人群自动分组为一般人群、慢病高风险人群和疾病人群。</w:t>
            </w:r>
          </w:p>
          <w:p w14:paraId="40EBD6CB">
            <w:pPr>
              <w:spacing w:line="400" w:lineRule="exact"/>
              <w:rPr>
                <w:rFonts w:hint="eastAsia" w:ascii="宋体" w:hAnsi="宋体" w:cs="仿宋_GB2312"/>
                <w:kern w:val="0"/>
                <w:szCs w:val="21"/>
              </w:rPr>
            </w:pPr>
            <w:r>
              <w:rPr>
                <w:rFonts w:hint="eastAsia" w:ascii="宋体" w:hAnsi="宋体" w:cs="仿宋_GB2312"/>
                <w:kern w:val="0"/>
                <w:szCs w:val="21"/>
              </w:rPr>
              <w:t>2.支持人群组合条件筛选。可从不同维度（疾病、高危、家族、危险因素）+不同病种的几百种组合进行筛选。</w:t>
            </w:r>
          </w:p>
        </w:tc>
      </w:tr>
      <w:tr w14:paraId="4324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2702FA80">
            <w:pPr>
              <w:spacing w:line="400" w:lineRule="exact"/>
              <w:jc w:val="center"/>
              <w:rPr>
                <w:rFonts w:hint="eastAsia" w:ascii="宋体" w:hAnsi="宋体" w:cs="仿宋_GB2312"/>
                <w:kern w:val="0"/>
                <w:szCs w:val="21"/>
              </w:rPr>
            </w:pPr>
          </w:p>
        </w:tc>
        <w:tc>
          <w:tcPr>
            <w:tcW w:w="816" w:type="pct"/>
            <w:vAlign w:val="center"/>
          </w:tcPr>
          <w:p w14:paraId="3850D253">
            <w:pPr>
              <w:spacing w:line="400" w:lineRule="exact"/>
              <w:jc w:val="center"/>
              <w:rPr>
                <w:rFonts w:hint="eastAsia" w:ascii="宋体" w:hAnsi="宋体" w:cs="仿宋_GB2312"/>
                <w:kern w:val="0"/>
                <w:szCs w:val="21"/>
              </w:rPr>
            </w:pPr>
            <w:r>
              <w:rPr>
                <w:rFonts w:hint="eastAsia" w:ascii="宋体" w:hAnsi="宋体" w:cs="仿宋_GB2312"/>
                <w:kern w:val="0"/>
                <w:szCs w:val="21"/>
              </w:rPr>
              <w:t>工作标签管理</w:t>
            </w:r>
          </w:p>
        </w:tc>
        <w:tc>
          <w:tcPr>
            <w:tcW w:w="3552" w:type="pct"/>
          </w:tcPr>
          <w:p w14:paraId="0FA17B1E">
            <w:pPr>
              <w:spacing w:line="400" w:lineRule="exact"/>
              <w:rPr>
                <w:rFonts w:hint="eastAsia" w:ascii="宋体" w:hAnsi="宋体" w:cs="仿宋_GB2312"/>
                <w:kern w:val="0"/>
                <w:szCs w:val="21"/>
              </w:rPr>
            </w:pPr>
            <w:r>
              <w:rPr>
                <w:rFonts w:hint="eastAsia" w:ascii="宋体" w:hAnsi="宋体" w:cs="仿宋_GB2312"/>
                <w:kern w:val="0"/>
                <w:szCs w:val="21"/>
              </w:rPr>
              <w:t>1. 支持自定义工作标签，进行人群的标签化管理。</w:t>
            </w:r>
          </w:p>
          <w:p w14:paraId="40FCF3E2">
            <w:pPr>
              <w:spacing w:line="400" w:lineRule="exact"/>
              <w:rPr>
                <w:rFonts w:hint="eastAsia" w:ascii="宋体" w:hAnsi="宋体" w:cs="仿宋_GB2312"/>
                <w:kern w:val="0"/>
                <w:szCs w:val="21"/>
              </w:rPr>
            </w:pPr>
            <w:r>
              <w:rPr>
                <w:rFonts w:hint="eastAsia" w:ascii="宋体" w:hAnsi="宋体" w:cs="仿宋_GB2312"/>
                <w:kern w:val="0"/>
                <w:szCs w:val="21"/>
              </w:rPr>
              <w:t>2. 一键查看不同标签所覆盖的人数</w:t>
            </w:r>
          </w:p>
        </w:tc>
      </w:tr>
      <w:tr w14:paraId="26E8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7B558C3D">
            <w:pPr>
              <w:spacing w:line="400" w:lineRule="exact"/>
              <w:jc w:val="center"/>
              <w:rPr>
                <w:rFonts w:hint="eastAsia" w:ascii="宋体" w:hAnsi="宋体" w:cs="仿宋_GB2312"/>
                <w:kern w:val="0"/>
                <w:szCs w:val="21"/>
              </w:rPr>
            </w:pPr>
          </w:p>
        </w:tc>
        <w:tc>
          <w:tcPr>
            <w:tcW w:w="816" w:type="pct"/>
            <w:vAlign w:val="center"/>
          </w:tcPr>
          <w:p w14:paraId="1BF20490">
            <w:pPr>
              <w:widowControl/>
              <w:spacing w:line="400" w:lineRule="exact"/>
              <w:jc w:val="center"/>
              <w:rPr>
                <w:rFonts w:hint="eastAsia" w:ascii="宋体" w:hAnsi="宋体" w:cs="仿宋_GB2312"/>
                <w:kern w:val="0"/>
                <w:szCs w:val="21"/>
              </w:rPr>
            </w:pPr>
            <w:r>
              <w:rPr>
                <w:rFonts w:hint="eastAsia" w:ascii="宋体" w:hAnsi="宋体" w:cs="仿宋_GB2312"/>
                <w:kern w:val="0"/>
                <w:szCs w:val="21"/>
              </w:rPr>
              <w:t>自动化健康信息推送</w:t>
            </w:r>
          </w:p>
        </w:tc>
        <w:tc>
          <w:tcPr>
            <w:tcW w:w="3552" w:type="pct"/>
            <w:vAlign w:val="center"/>
          </w:tcPr>
          <w:p w14:paraId="2EA5BA4B">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系统可进行个性化的健康教育、健康状况告之、复诊指导、养生之道等多种信息，实现自动化的信息推送到个人。</w:t>
            </w:r>
          </w:p>
        </w:tc>
      </w:tr>
      <w:tr w14:paraId="0801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41CEDAAA">
            <w:pPr>
              <w:spacing w:line="400" w:lineRule="exact"/>
              <w:jc w:val="center"/>
              <w:rPr>
                <w:rFonts w:hint="eastAsia" w:ascii="宋体" w:hAnsi="宋体" w:cs="仿宋_GB2312"/>
                <w:kern w:val="0"/>
                <w:szCs w:val="21"/>
              </w:rPr>
            </w:pPr>
          </w:p>
        </w:tc>
        <w:tc>
          <w:tcPr>
            <w:tcW w:w="816" w:type="pct"/>
            <w:vAlign w:val="center"/>
          </w:tcPr>
          <w:p w14:paraId="37A7727E">
            <w:pPr>
              <w:widowControl/>
              <w:spacing w:line="400" w:lineRule="exact"/>
              <w:jc w:val="center"/>
              <w:rPr>
                <w:rFonts w:hint="eastAsia" w:ascii="宋体" w:hAnsi="宋体" w:cs="仿宋_GB2312"/>
                <w:kern w:val="0"/>
                <w:szCs w:val="21"/>
              </w:rPr>
            </w:pPr>
            <w:r>
              <w:rPr>
                <w:rFonts w:hint="eastAsia" w:ascii="宋体" w:hAnsi="宋体" w:cs="仿宋_GB2312"/>
                <w:kern w:val="0"/>
                <w:szCs w:val="21"/>
              </w:rPr>
              <w:t>管理目标设定</w:t>
            </w:r>
          </w:p>
        </w:tc>
        <w:tc>
          <w:tcPr>
            <w:tcW w:w="3552" w:type="pct"/>
            <w:vAlign w:val="center"/>
          </w:tcPr>
          <w:p w14:paraId="2DE0113C">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医生可对个人进行阶段性管理目标的设定，目标内容包括指标改变、生活方式习惯调整等。</w:t>
            </w:r>
          </w:p>
        </w:tc>
      </w:tr>
      <w:tr w14:paraId="25CB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31" w:type="pct"/>
            <w:vMerge w:val="continue"/>
            <w:vAlign w:val="center"/>
          </w:tcPr>
          <w:p w14:paraId="4CE97BE2">
            <w:pPr>
              <w:spacing w:line="400" w:lineRule="exact"/>
              <w:jc w:val="center"/>
              <w:rPr>
                <w:rFonts w:hint="eastAsia" w:ascii="宋体" w:hAnsi="宋体" w:cs="仿宋_GB2312"/>
                <w:kern w:val="0"/>
                <w:szCs w:val="21"/>
              </w:rPr>
            </w:pPr>
          </w:p>
        </w:tc>
        <w:tc>
          <w:tcPr>
            <w:tcW w:w="816" w:type="pct"/>
            <w:vAlign w:val="center"/>
          </w:tcPr>
          <w:p w14:paraId="34426884">
            <w:pPr>
              <w:widowControl/>
              <w:spacing w:line="400" w:lineRule="exact"/>
              <w:jc w:val="center"/>
              <w:rPr>
                <w:rFonts w:hint="eastAsia" w:ascii="宋体" w:hAnsi="宋体" w:cs="仿宋_GB2312"/>
                <w:kern w:val="0"/>
                <w:szCs w:val="21"/>
              </w:rPr>
            </w:pPr>
            <w:r>
              <w:rPr>
                <w:rFonts w:hint="eastAsia" w:ascii="宋体" w:hAnsi="宋体" w:cs="仿宋_GB2312"/>
                <w:kern w:val="0"/>
                <w:szCs w:val="21"/>
              </w:rPr>
              <w:t>健康干预计划与工作任务提醒</w:t>
            </w:r>
          </w:p>
        </w:tc>
        <w:tc>
          <w:tcPr>
            <w:tcW w:w="3552" w:type="pct"/>
            <w:vAlign w:val="center"/>
          </w:tcPr>
          <w:p w14:paraId="72B05A81">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医生可自行定义健康干预计划，系统能够对医生每天的工作任务自动提醒，提高工作效率，便于医生提供给客户持续性管理；</w:t>
            </w:r>
          </w:p>
          <w:p w14:paraId="728CFCCC">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具有服务计划计次功能，可根据设定干预计划的内容及服务次数进行图表化显示；并可实现循环服务项目的设定。</w:t>
            </w:r>
          </w:p>
        </w:tc>
      </w:tr>
      <w:tr w14:paraId="12AC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631" w:type="pct"/>
            <w:vMerge w:val="continue"/>
            <w:vAlign w:val="center"/>
          </w:tcPr>
          <w:p w14:paraId="7BCCBB03">
            <w:pPr>
              <w:spacing w:line="400" w:lineRule="exact"/>
              <w:jc w:val="center"/>
              <w:rPr>
                <w:rFonts w:hint="eastAsia" w:ascii="宋体" w:hAnsi="宋体" w:cs="仿宋_GB2312"/>
                <w:kern w:val="0"/>
                <w:szCs w:val="21"/>
              </w:rPr>
            </w:pPr>
          </w:p>
        </w:tc>
        <w:tc>
          <w:tcPr>
            <w:tcW w:w="816" w:type="pct"/>
            <w:vAlign w:val="center"/>
          </w:tcPr>
          <w:p w14:paraId="782F6ECD">
            <w:pPr>
              <w:spacing w:line="400" w:lineRule="exact"/>
              <w:jc w:val="center"/>
              <w:rPr>
                <w:rFonts w:hint="eastAsia" w:ascii="宋体" w:hAnsi="宋体" w:cs="仿宋_GB2312"/>
                <w:kern w:val="0"/>
                <w:szCs w:val="21"/>
              </w:rPr>
            </w:pPr>
            <w:r>
              <w:rPr>
                <w:rFonts w:hint="eastAsia" w:ascii="宋体" w:hAnsi="宋体" w:cs="仿宋_GB2312"/>
                <w:kern w:val="0"/>
                <w:szCs w:val="21"/>
              </w:rPr>
              <w:t>健康干预</w:t>
            </w:r>
          </w:p>
        </w:tc>
        <w:tc>
          <w:tcPr>
            <w:tcW w:w="3552" w:type="pct"/>
          </w:tcPr>
          <w:p w14:paraId="4EBAB378">
            <w:pPr>
              <w:spacing w:line="400" w:lineRule="exact"/>
              <w:rPr>
                <w:rFonts w:hint="eastAsia" w:ascii="宋体" w:hAnsi="宋体" w:cs="仿宋_GB2312"/>
                <w:kern w:val="0"/>
                <w:szCs w:val="21"/>
              </w:rPr>
            </w:pPr>
            <w:r>
              <w:rPr>
                <w:rFonts w:hint="eastAsia" w:ascii="宋体" w:hAnsi="宋体" w:cs="仿宋_GB2312"/>
                <w:kern w:val="0"/>
                <w:szCs w:val="21"/>
              </w:rPr>
              <w:t>1.支持通过干预模板创建服务计划，创建计划时可添加门诊预约、复查预约、饮食运动促进方案，</w:t>
            </w:r>
          </w:p>
          <w:p w14:paraId="6B83EC51">
            <w:pPr>
              <w:spacing w:line="400" w:lineRule="exact"/>
              <w:rPr>
                <w:rFonts w:hint="eastAsia" w:ascii="宋体" w:hAnsi="宋体" w:cs="仿宋_GB2312"/>
                <w:kern w:val="0"/>
                <w:szCs w:val="21"/>
              </w:rPr>
            </w:pPr>
            <w:r>
              <w:rPr>
                <w:rFonts w:hint="eastAsia" w:ascii="宋体" w:hAnsi="宋体" w:cs="仿宋_GB2312"/>
                <w:kern w:val="0"/>
                <w:szCs w:val="21"/>
              </w:rPr>
              <w:t>2.支持短信、微信的自动发送及发送配置；</w:t>
            </w:r>
          </w:p>
          <w:p w14:paraId="3F0DC494">
            <w:pPr>
              <w:spacing w:line="400" w:lineRule="exact"/>
              <w:rPr>
                <w:rFonts w:hint="eastAsia" w:ascii="宋体" w:hAnsi="宋体" w:cs="仿宋_GB2312"/>
                <w:kern w:val="0"/>
                <w:szCs w:val="21"/>
              </w:rPr>
            </w:pPr>
            <w:r>
              <w:rPr>
                <w:rFonts w:hint="eastAsia" w:ascii="宋体" w:hAnsi="宋体" w:cs="仿宋_GB2312"/>
                <w:kern w:val="0"/>
                <w:szCs w:val="21"/>
              </w:rPr>
              <w:t>3.支持健康干预计划审核，创建后自动提醒管理师完成相关健康干预工作。</w:t>
            </w:r>
          </w:p>
          <w:p w14:paraId="0E3B4400">
            <w:pPr>
              <w:spacing w:line="400" w:lineRule="exact"/>
              <w:rPr>
                <w:rFonts w:hint="eastAsia" w:ascii="宋体" w:hAnsi="宋体" w:cs="仿宋_GB2312"/>
                <w:kern w:val="0"/>
                <w:szCs w:val="21"/>
              </w:rPr>
            </w:pPr>
            <w:r>
              <w:rPr>
                <w:rFonts w:hint="eastAsia" w:ascii="宋体" w:hAnsi="宋体" w:cs="仿宋_GB2312"/>
                <w:kern w:val="0"/>
                <w:szCs w:val="21"/>
              </w:rPr>
              <w:t>4.支持健康干预计划任务分配。</w:t>
            </w:r>
          </w:p>
        </w:tc>
      </w:tr>
      <w:tr w14:paraId="150F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31" w:type="pct"/>
            <w:vMerge w:val="continue"/>
            <w:vAlign w:val="center"/>
          </w:tcPr>
          <w:p w14:paraId="7BCB1C53">
            <w:pPr>
              <w:spacing w:line="400" w:lineRule="exact"/>
              <w:jc w:val="center"/>
              <w:rPr>
                <w:rFonts w:hint="eastAsia" w:ascii="宋体" w:hAnsi="宋体" w:cs="仿宋_GB2312"/>
                <w:kern w:val="0"/>
                <w:szCs w:val="21"/>
              </w:rPr>
            </w:pPr>
          </w:p>
        </w:tc>
        <w:tc>
          <w:tcPr>
            <w:tcW w:w="816" w:type="pct"/>
            <w:vAlign w:val="center"/>
          </w:tcPr>
          <w:p w14:paraId="3A0A9457">
            <w:pPr>
              <w:widowControl/>
              <w:spacing w:line="400" w:lineRule="exact"/>
              <w:jc w:val="center"/>
              <w:rPr>
                <w:rFonts w:hint="eastAsia" w:ascii="宋体" w:hAnsi="宋体" w:cs="仿宋_GB2312"/>
                <w:kern w:val="0"/>
                <w:szCs w:val="21"/>
              </w:rPr>
            </w:pPr>
            <w:r>
              <w:rPr>
                <w:rFonts w:hint="eastAsia" w:ascii="宋体" w:hAnsi="宋体" w:cs="仿宋_GB2312"/>
                <w:kern w:val="0"/>
                <w:szCs w:val="21"/>
              </w:rPr>
              <w:t>膳食处方</w:t>
            </w:r>
          </w:p>
        </w:tc>
        <w:tc>
          <w:tcPr>
            <w:tcW w:w="3552" w:type="pct"/>
            <w:vAlign w:val="center"/>
          </w:tcPr>
          <w:p w14:paraId="42E98E92">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基于个人健康风险改善需求提出的膳食处方，以及专家推荐食谱。用户可根据自己的饮食喜好进行食物交换。通过膳食习惯评价功能获得分阶段的饮食习惯重点指导。通过膳食日记获得营养评价分析报告。为医生实施膳食干预提供决策依据。</w:t>
            </w:r>
          </w:p>
        </w:tc>
      </w:tr>
      <w:tr w14:paraId="4380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7" w:hRule="atLeast"/>
          <w:jc w:val="center"/>
        </w:trPr>
        <w:tc>
          <w:tcPr>
            <w:tcW w:w="631" w:type="pct"/>
            <w:vMerge w:val="continue"/>
            <w:vAlign w:val="center"/>
          </w:tcPr>
          <w:p w14:paraId="04A4DBAF">
            <w:pPr>
              <w:spacing w:line="400" w:lineRule="exact"/>
              <w:jc w:val="center"/>
              <w:rPr>
                <w:rFonts w:hint="eastAsia" w:ascii="宋体" w:hAnsi="宋体" w:cs="仿宋_GB2312"/>
                <w:kern w:val="0"/>
                <w:szCs w:val="21"/>
              </w:rPr>
            </w:pPr>
          </w:p>
        </w:tc>
        <w:tc>
          <w:tcPr>
            <w:tcW w:w="816" w:type="pct"/>
            <w:vAlign w:val="center"/>
          </w:tcPr>
          <w:p w14:paraId="438C8D82">
            <w:pPr>
              <w:widowControl/>
              <w:spacing w:line="400" w:lineRule="exact"/>
              <w:jc w:val="center"/>
              <w:rPr>
                <w:rFonts w:hint="eastAsia" w:ascii="宋体" w:hAnsi="宋体" w:cs="仿宋_GB2312"/>
                <w:kern w:val="0"/>
                <w:szCs w:val="21"/>
              </w:rPr>
            </w:pPr>
            <w:r>
              <w:rPr>
                <w:rFonts w:hint="eastAsia" w:ascii="宋体" w:hAnsi="宋体" w:cs="仿宋_GB2312"/>
                <w:kern w:val="0"/>
                <w:szCs w:val="21"/>
              </w:rPr>
              <w:t>处方自定义</w:t>
            </w:r>
          </w:p>
        </w:tc>
        <w:tc>
          <w:tcPr>
            <w:tcW w:w="3552" w:type="pct"/>
            <w:vAlign w:val="center"/>
          </w:tcPr>
          <w:p w14:paraId="021D9244">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具有膳食处方编辑功能，由医生进行个人化处方的制定与执行。针对单一慢性病的干预方案不少于1000条。另外需要提供其他并发症混合数据库，并可根据疾控数据不段更新增加。字典实例：（孕产妇干预字典汇总）孕早期、孕中晚期、未哺乳、哺乳4 类。每类含有早期+高血压、早期+糖尿病、中晚+高血压、中晚+糖尿病等12 类。每个类又含有周一到周日 7 天的，每类又分类：1200、1400、1600...等 9 类级别，总共：4*12*7*9=3024 条干预处方。</w:t>
            </w:r>
          </w:p>
        </w:tc>
      </w:tr>
      <w:tr w14:paraId="7C6A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4401CF1A">
            <w:pPr>
              <w:spacing w:line="400" w:lineRule="exact"/>
              <w:jc w:val="center"/>
              <w:rPr>
                <w:rFonts w:hint="eastAsia" w:ascii="宋体" w:hAnsi="宋体" w:cs="仿宋_GB2312"/>
                <w:kern w:val="0"/>
                <w:szCs w:val="21"/>
              </w:rPr>
            </w:pPr>
          </w:p>
        </w:tc>
        <w:tc>
          <w:tcPr>
            <w:tcW w:w="816" w:type="pct"/>
            <w:vAlign w:val="center"/>
          </w:tcPr>
          <w:p w14:paraId="1472EC4B">
            <w:pPr>
              <w:widowControl/>
              <w:spacing w:line="400" w:lineRule="exact"/>
              <w:jc w:val="center"/>
              <w:rPr>
                <w:rFonts w:hint="eastAsia" w:ascii="宋体" w:hAnsi="宋体" w:cs="仿宋_GB2312"/>
                <w:kern w:val="0"/>
                <w:szCs w:val="21"/>
              </w:rPr>
            </w:pPr>
            <w:r>
              <w:rPr>
                <w:rFonts w:hint="eastAsia" w:ascii="宋体" w:hAnsi="宋体" w:cs="仿宋_GB2312"/>
                <w:kern w:val="0"/>
                <w:szCs w:val="21"/>
              </w:rPr>
              <w:t>膳食日记</w:t>
            </w:r>
          </w:p>
        </w:tc>
        <w:tc>
          <w:tcPr>
            <w:tcW w:w="3552" w:type="pct"/>
            <w:vAlign w:val="center"/>
          </w:tcPr>
          <w:p w14:paraId="17DFB68A">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医生可帮助客户记录日常膳食日记及膳食习惯</w:t>
            </w:r>
          </w:p>
        </w:tc>
      </w:tr>
      <w:tr w14:paraId="2558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2006EECF">
            <w:pPr>
              <w:spacing w:line="400" w:lineRule="exact"/>
              <w:jc w:val="center"/>
              <w:rPr>
                <w:rFonts w:hint="eastAsia" w:ascii="宋体" w:hAnsi="宋体" w:cs="仿宋_GB2312"/>
                <w:kern w:val="0"/>
                <w:szCs w:val="21"/>
              </w:rPr>
            </w:pPr>
          </w:p>
        </w:tc>
        <w:tc>
          <w:tcPr>
            <w:tcW w:w="816" w:type="pct"/>
            <w:vAlign w:val="center"/>
          </w:tcPr>
          <w:p w14:paraId="45042DC7">
            <w:pPr>
              <w:widowControl/>
              <w:spacing w:line="400" w:lineRule="exact"/>
              <w:jc w:val="center"/>
              <w:rPr>
                <w:rFonts w:hint="eastAsia" w:ascii="宋体" w:hAnsi="宋体" w:cs="仿宋_GB2312"/>
                <w:kern w:val="0"/>
                <w:szCs w:val="21"/>
              </w:rPr>
            </w:pPr>
            <w:r>
              <w:rPr>
                <w:rFonts w:hint="eastAsia" w:ascii="宋体" w:hAnsi="宋体" w:cs="仿宋_GB2312"/>
                <w:kern w:val="0"/>
                <w:szCs w:val="21"/>
              </w:rPr>
              <w:t>膳食处方编辑</w:t>
            </w:r>
          </w:p>
        </w:tc>
        <w:tc>
          <w:tcPr>
            <w:tcW w:w="3552" w:type="pct"/>
            <w:vAlign w:val="center"/>
          </w:tcPr>
          <w:p w14:paraId="4C5CF612">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具有膳食处方编辑功能，由医生进行个人化处方的制定与执行。可对其中的各种因素进行调整。</w:t>
            </w:r>
          </w:p>
        </w:tc>
      </w:tr>
      <w:tr w14:paraId="2610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60BC8A8B">
            <w:pPr>
              <w:spacing w:line="400" w:lineRule="exact"/>
              <w:jc w:val="center"/>
              <w:rPr>
                <w:rFonts w:hint="eastAsia" w:ascii="宋体" w:hAnsi="宋体" w:cs="仿宋_GB2312"/>
                <w:kern w:val="0"/>
                <w:szCs w:val="21"/>
              </w:rPr>
            </w:pPr>
          </w:p>
        </w:tc>
        <w:tc>
          <w:tcPr>
            <w:tcW w:w="816" w:type="pct"/>
            <w:vAlign w:val="center"/>
          </w:tcPr>
          <w:p w14:paraId="3C1BEC82">
            <w:pPr>
              <w:widowControl/>
              <w:spacing w:line="400" w:lineRule="exact"/>
              <w:jc w:val="center"/>
              <w:rPr>
                <w:rFonts w:hint="eastAsia" w:ascii="宋体" w:hAnsi="宋体" w:cs="仿宋_GB2312"/>
                <w:kern w:val="0"/>
                <w:szCs w:val="21"/>
              </w:rPr>
            </w:pPr>
            <w:r>
              <w:rPr>
                <w:rFonts w:hint="eastAsia" w:ascii="宋体" w:hAnsi="宋体" w:cs="仿宋_GB2312"/>
                <w:kern w:val="0"/>
                <w:szCs w:val="21"/>
              </w:rPr>
              <w:t>运动处方</w:t>
            </w:r>
          </w:p>
        </w:tc>
        <w:tc>
          <w:tcPr>
            <w:tcW w:w="3552" w:type="pct"/>
            <w:vAlign w:val="center"/>
          </w:tcPr>
          <w:p w14:paraId="164D144A">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基于个人健康风险改善需求提出的运动处方，以及专家推荐方案。用户可根据自己的运动喜好进行运动方式的交换。通过运动日记来记录分析报告。为医生实施运动方案提供决策依据。</w:t>
            </w:r>
          </w:p>
        </w:tc>
      </w:tr>
      <w:tr w14:paraId="2EF8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54734985">
            <w:pPr>
              <w:spacing w:line="400" w:lineRule="exact"/>
              <w:jc w:val="center"/>
              <w:rPr>
                <w:rFonts w:hint="eastAsia" w:ascii="宋体" w:hAnsi="宋体" w:cs="仿宋_GB2312"/>
                <w:kern w:val="0"/>
                <w:szCs w:val="21"/>
              </w:rPr>
            </w:pPr>
          </w:p>
        </w:tc>
        <w:tc>
          <w:tcPr>
            <w:tcW w:w="816" w:type="pct"/>
            <w:vAlign w:val="center"/>
          </w:tcPr>
          <w:p w14:paraId="65D851A6">
            <w:pPr>
              <w:widowControl/>
              <w:spacing w:line="400" w:lineRule="exact"/>
              <w:jc w:val="center"/>
              <w:rPr>
                <w:rFonts w:hint="eastAsia" w:ascii="宋体" w:hAnsi="宋体" w:cs="仿宋_GB2312"/>
                <w:kern w:val="0"/>
                <w:szCs w:val="21"/>
              </w:rPr>
            </w:pPr>
            <w:r>
              <w:rPr>
                <w:rFonts w:hint="eastAsia" w:ascii="宋体" w:hAnsi="宋体" w:cs="仿宋_GB2312"/>
                <w:kern w:val="0"/>
                <w:szCs w:val="21"/>
              </w:rPr>
              <w:t>处方自定义</w:t>
            </w:r>
          </w:p>
        </w:tc>
        <w:tc>
          <w:tcPr>
            <w:tcW w:w="3552" w:type="pct"/>
            <w:vAlign w:val="center"/>
          </w:tcPr>
          <w:p w14:paraId="36C14172">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具有运动处方编辑功能，由医生进行个人化处方的制定与执行。针对单一慢性病的干预方案不少于1000条。另外需要提供其他并发症混合数据库，并可根据疾控数据不段更新增加。</w:t>
            </w:r>
          </w:p>
        </w:tc>
      </w:tr>
      <w:tr w14:paraId="2B48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0D88C98D">
            <w:pPr>
              <w:spacing w:line="400" w:lineRule="exact"/>
              <w:jc w:val="center"/>
              <w:rPr>
                <w:rFonts w:hint="eastAsia" w:ascii="宋体" w:hAnsi="宋体" w:cs="仿宋_GB2312"/>
                <w:kern w:val="0"/>
                <w:szCs w:val="21"/>
              </w:rPr>
            </w:pPr>
          </w:p>
        </w:tc>
        <w:tc>
          <w:tcPr>
            <w:tcW w:w="816" w:type="pct"/>
            <w:vAlign w:val="center"/>
          </w:tcPr>
          <w:p w14:paraId="53A8DE7E">
            <w:pPr>
              <w:widowControl/>
              <w:spacing w:line="400" w:lineRule="exact"/>
              <w:jc w:val="center"/>
              <w:rPr>
                <w:rFonts w:hint="eastAsia" w:ascii="宋体" w:hAnsi="宋体" w:cs="仿宋_GB2312"/>
                <w:kern w:val="0"/>
                <w:szCs w:val="21"/>
              </w:rPr>
            </w:pPr>
            <w:r>
              <w:rPr>
                <w:rFonts w:hint="eastAsia" w:ascii="宋体" w:hAnsi="宋体" w:cs="仿宋_GB2312"/>
                <w:kern w:val="0"/>
                <w:szCs w:val="21"/>
              </w:rPr>
              <w:t>运动日记</w:t>
            </w:r>
          </w:p>
        </w:tc>
        <w:tc>
          <w:tcPr>
            <w:tcW w:w="3552" w:type="pct"/>
            <w:vAlign w:val="center"/>
          </w:tcPr>
          <w:p w14:paraId="106C716D">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医生可帮助客户记录日常运动日记及运动习惯</w:t>
            </w:r>
          </w:p>
        </w:tc>
      </w:tr>
      <w:tr w14:paraId="0B60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082A6114">
            <w:pPr>
              <w:spacing w:line="400" w:lineRule="exact"/>
              <w:jc w:val="center"/>
              <w:rPr>
                <w:rFonts w:hint="eastAsia" w:ascii="宋体" w:hAnsi="宋体" w:cs="仿宋_GB2312"/>
                <w:kern w:val="0"/>
                <w:szCs w:val="21"/>
              </w:rPr>
            </w:pPr>
          </w:p>
        </w:tc>
        <w:tc>
          <w:tcPr>
            <w:tcW w:w="816" w:type="pct"/>
            <w:vAlign w:val="center"/>
          </w:tcPr>
          <w:p w14:paraId="5CDAE673">
            <w:pPr>
              <w:widowControl/>
              <w:spacing w:line="400" w:lineRule="exact"/>
              <w:jc w:val="center"/>
              <w:rPr>
                <w:rFonts w:hint="eastAsia" w:ascii="宋体" w:hAnsi="宋体" w:cs="仿宋_GB2312"/>
                <w:kern w:val="0"/>
                <w:szCs w:val="21"/>
              </w:rPr>
            </w:pPr>
            <w:r>
              <w:rPr>
                <w:rFonts w:hint="eastAsia" w:ascii="宋体" w:hAnsi="宋体" w:cs="仿宋_GB2312"/>
                <w:kern w:val="0"/>
                <w:szCs w:val="21"/>
              </w:rPr>
              <w:t>处方编辑</w:t>
            </w:r>
          </w:p>
        </w:tc>
        <w:tc>
          <w:tcPr>
            <w:tcW w:w="3552" w:type="pct"/>
            <w:vAlign w:val="center"/>
          </w:tcPr>
          <w:p w14:paraId="54C7ADBB">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具有运动处方编辑功能，由医生进行个人化处方的制定与执行。可对其中的各种运动项目、强度等进行调整。</w:t>
            </w:r>
          </w:p>
        </w:tc>
      </w:tr>
      <w:tr w14:paraId="77A7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1A63812C">
            <w:pPr>
              <w:spacing w:line="400" w:lineRule="exact"/>
              <w:jc w:val="center"/>
              <w:rPr>
                <w:rFonts w:hint="eastAsia" w:ascii="宋体" w:hAnsi="宋体" w:cs="仿宋_GB2312"/>
                <w:kern w:val="0"/>
                <w:szCs w:val="21"/>
              </w:rPr>
            </w:pPr>
          </w:p>
        </w:tc>
        <w:tc>
          <w:tcPr>
            <w:tcW w:w="816" w:type="pct"/>
            <w:vAlign w:val="center"/>
          </w:tcPr>
          <w:p w14:paraId="765F290E">
            <w:pPr>
              <w:widowControl/>
              <w:spacing w:line="400" w:lineRule="exact"/>
              <w:jc w:val="center"/>
              <w:rPr>
                <w:rFonts w:hint="eastAsia" w:ascii="宋体" w:hAnsi="宋体" w:cs="仿宋_GB2312"/>
                <w:kern w:val="0"/>
                <w:szCs w:val="21"/>
              </w:rPr>
            </w:pPr>
            <w:r>
              <w:rPr>
                <w:rFonts w:hint="eastAsia" w:ascii="宋体" w:hAnsi="宋体" w:cs="仿宋_GB2312"/>
                <w:kern w:val="0"/>
                <w:szCs w:val="21"/>
              </w:rPr>
              <w:t>处方打印</w:t>
            </w:r>
          </w:p>
        </w:tc>
        <w:tc>
          <w:tcPr>
            <w:tcW w:w="3552" w:type="pct"/>
            <w:vAlign w:val="center"/>
          </w:tcPr>
          <w:p w14:paraId="3BB70781">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处方的打印与手机端查看功能</w:t>
            </w:r>
          </w:p>
        </w:tc>
      </w:tr>
      <w:tr w14:paraId="5BC3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794F7744">
            <w:pPr>
              <w:spacing w:line="400" w:lineRule="exact"/>
              <w:jc w:val="center"/>
              <w:rPr>
                <w:rFonts w:hint="eastAsia" w:ascii="宋体" w:hAnsi="宋体" w:cs="仿宋_GB2312"/>
                <w:kern w:val="0"/>
                <w:szCs w:val="21"/>
              </w:rPr>
            </w:pPr>
          </w:p>
        </w:tc>
        <w:tc>
          <w:tcPr>
            <w:tcW w:w="816" w:type="pct"/>
            <w:vAlign w:val="center"/>
          </w:tcPr>
          <w:p w14:paraId="789F5FEA">
            <w:pPr>
              <w:spacing w:line="400" w:lineRule="exact"/>
              <w:jc w:val="center"/>
              <w:rPr>
                <w:rFonts w:hint="eastAsia" w:ascii="宋体" w:hAnsi="宋体" w:cs="仿宋_GB2312"/>
                <w:kern w:val="0"/>
                <w:szCs w:val="21"/>
              </w:rPr>
            </w:pPr>
            <w:r>
              <w:rPr>
                <w:rFonts w:hint="eastAsia" w:ascii="宋体" w:hAnsi="宋体" w:cs="仿宋_GB2312"/>
                <w:kern w:val="0"/>
                <w:szCs w:val="21"/>
              </w:rPr>
              <w:t>健康服务</w:t>
            </w:r>
          </w:p>
        </w:tc>
        <w:tc>
          <w:tcPr>
            <w:tcW w:w="3552" w:type="pct"/>
          </w:tcPr>
          <w:p w14:paraId="152F89B9">
            <w:pPr>
              <w:spacing w:line="400" w:lineRule="exact"/>
              <w:rPr>
                <w:rFonts w:hint="eastAsia" w:ascii="宋体" w:hAnsi="宋体" w:cs="仿宋_GB2312"/>
                <w:kern w:val="0"/>
                <w:szCs w:val="21"/>
              </w:rPr>
            </w:pPr>
            <w:r>
              <w:rPr>
                <w:rFonts w:hint="eastAsia" w:ascii="宋体" w:hAnsi="宋体" w:cs="仿宋_GB2312"/>
                <w:kern w:val="0"/>
                <w:szCs w:val="21"/>
              </w:rPr>
              <w:t>支持机构自定义组合健康服务套餐，客户可在移动端购买套餐并支付；套餐设置包含套餐名称、服务项目、服务期限、关联疾病等，在服务期限内用户可通过移动端自主预约服务项目。</w:t>
            </w:r>
          </w:p>
        </w:tc>
      </w:tr>
      <w:tr w14:paraId="4CAA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6C66C073">
            <w:pPr>
              <w:spacing w:line="400" w:lineRule="exact"/>
              <w:jc w:val="center"/>
              <w:rPr>
                <w:rFonts w:hint="eastAsia" w:ascii="宋体" w:hAnsi="宋体" w:cs="仿宋_GB2312"/>
                <w:kern w:val="0"/>
                <w:szCs w:val="21"/>
              </w:rPr>
            </w:pPr>
          </w:p>
        </w:tc>
        <w:tc>
          <w:tcPr>
            <w:tcW w:w="816" w:type="pct"/>
            <w:vAlign w:val="center"/>
          </w:tcPr>
          <w:p w14:paraId="3CF1DE29">
            <w:pPr>
              <w:spacing w:line="400" w:lineRule="exact"/>
              <w:jc w:val="center"/>
              <w:rPr>
                <w:rFonts w:hint="eastAsia" w:ascii="宋体" w:hAnsi="宋体" w:cs="仿宋_GB2312"/>
                <w:kern w:val="0"/>
                <w:szCs w:val="21"/>
              </w:rPr>
            </w:pPr>
            <w:r>
              <w:rPr>
                <w:rFonts w:hint="eastAsia" w:ascii="宋体" w:hAnsi="宋体" w:cs="仿宋_GB2312"/>
                <w:kern w:val="0"/>
                <w:szCs w:val="21"/>
              </w:rPr>
              <w:t>健康任务</w:t>
            </w:r>
          </w:p>
        </w:tc>
        <w:tc>
          <w:tcPr>
            <w:tcW w:w="3552" w:type="pct"/>
          </w:tcPr>
          <w:p w14:paraId="25E49167">
            <w:pPr>
              <w:spacing w:line="400" w:lineRule="exact"/>
              <w:rPr>
                <w:rFonts w:hint="eastAsia" w:ascii="宋体" w:hAnsi="宋体" w:cs="仿宋_GB2312"/>
                <w:kern w:val="0"/>
                <w:szCs w:val="21"/>
              </w:rPr>
            </w:pPr>
            <w:r>
              <w:rPr>
                <w:rFonts w:hint="eastAsia" w:ascii="宋体" w:hAnsi="宋体" w:cs="仿宋_GB2312"/>
                <w:kern w:val="0"/>
                <w:szCs w:val="21"/>
              </w:rPr>
              <w:t>针对膳食指导、运动指导、健康监测的客户，系统支持一键式批量创建健康任务和自动推送健康任务；系统支持用户移动端反馈健康任务的执行情况及统计分析。</w:t>
            </w:r>
          </w:p>
        </w:tc>
      </w:tr>
      <w:tr w14:paraId="17BB1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5545F8B1">
            <w:pPr>
              <w:spacing w:line="400" w:lineRule="exact"/>
              <w:jc w:val="center"/>
              <w:rPr>
                <w:rFonts w:hint="eastAsia" w:ascii="宋体" w:hAnsi="宋体" w:cs="仿宋_GB2312"/>
                <w:kern w:val="0"/>
                <w:szCs w:val="21"/>
              </w:rPr>
            </w:pPr>
          </w:p>
        </w:tc>
        <w:tc>
          <w:tcPr>
            <w:tcW w:w="816" w:type="pct"/>
            <w:vAlign w:val="center"/>
          </w:tcPr>
          <w:p w14:paraId="78627EF5">
            <w:pPr>
              <w:spacing w:line="400" w:lineRule="exact"/>
              <w:jc w:val="center"/>
              <w:rPr>
                <w:rFonts w:hint="eastAsia" w:ascii="宋体" w:hAnsi="宋体" w:cs="仿宋_GB2312"/>
                <w:kern w:val="0"/>
                <w:szCs w:val="21"/>
              </w:rPr>
            </w:pPr>
            <w:r>
              <w:rPr>
                <w:rFonts w:hint="eastAsia" w:ascii="宋体" w:hAnsi="宋体" w:cs="仿宋_GB2312"/>
                <w:kern w:val="0"/>
                <w:szCs w:val="21"/>
              </w:rPr>
              <w:t>干预效果评价</w:t>
            </w:r>
          </w:p>
        </w:tc>
        <w:tc>
          <w:tcPr>
            <w:tcW w:w="3552" w:type="pct"/>
          </w:tcPr>
          <w:p w14:paraId="75AD62FA">
            <w:pPr>
              <w:spacing w:line="400" w:lineRule="exact"/>
              <w:rPr>
                <w:rFonts w:hint="eastAsia" w:ascii="宋体" w:hAnsi="宋体" w:cs="仿宋_GB2312"/>
                <w:kern w:val="0"/>
                <w:szCs w:val="21"/>
              </w:rPr>
            </w:pPr>
            <w:r>
              <w:rPr>
                <w:rFonts w:hint="eastAsia" w:ascii="宋体" w:hAnsi="宋体" w:cs="仿宋_GB2312"/>
                <w:kern w:val="0"/>
                <w:szCs w:val="21"/>
              </w:rPr>
              <w:t>对所有干预行为的阶段性效果评价，可以生成不同指标的曲线图。</w:t>
            </w:r>
          </w:p>
        </w:tc>
      </w:tr>
      <w:tr w14:paraId="540F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631" w:type="pct"/>
            <w:vMerge w:val="restart"/>
            <w:vAlign w:val="center"/>
          </w:tcPr>
          <w:p w14:paraId="7FC516B2">
            <w:pPr>
              <w:spacing w:line="400" w:lineRule="exact"/>
              <w:jc w:val="center"/>
              <w:rPr>
                <w:rFonts w:hint="eastAsia" w:ascii="宋体" w:hAnsi="宋体" w:cs="仿宋_GB2312"/>
                <w:kern w:val="0"/>
                <w:szCs w:val="21"/>
              </w:rPr>
            </w:pPr>
            <w:r>
              <w:rPr>
                <w:rFonts w:hint="eastAsia" w:ascii="宋体" w:hAnsi="宋体" w:cs="仿宋_GB2312"/>
                <w:kern w:val="0"/>
                <w:szCs w:val="21"/>
              </w:rPr>
              <w:t>诊后健康管理集成模块</w:t>
            </w:r>
          </w:p>
        </w:tc>
        <w:tc>
          <w:tcPr>
            <w:tcW w:w="816" w:type="pct"/>
            <w:vAlign w:val="center"/>
          </w:tcPr>
          <w:p w14:paraId="4704B86E">
            <w:pPr>
              <w:spacing w:line="400" w:lineRule="exact"/>
              <w:jc w:val="center"/>
              <w:rPr>
                <w:rFonts w:hint="eastAsia" w:ascii="宋体" w:hAnsi="宋体" w:cs="仿宋_GB2312"/>
                <w:kern w:val="0"/>
                <w:szCs w:val="21"/>
              </w:rPr>
            </w:pPr>
            <w:r>
              <w:rPr>
                <w:rFonts w:hint="eastAsia" w:ascii="宋体" w:hAnsi="宋体" w:cs="仿宋_GB2312"/>
                <w:kern w:val="0"/>
                <w:szCs w:val="21"/>
              </w:rPr>
              <w:t>诊后单元</w:t>
            </w:r>
          </w:p>
        </w:tc>
        <w:tc>
          <w:tcPr>
            <w:tcW w:w="3552" w:type="pct"/>
          </w:tcPr>
          <w:p w14:paraId="1B2420EA">
            <w:pPr>
              <w:spacing w:line="400" w:lineRule="exact"/>
              <w:rPr>
                <w:rFonts w:hint="eastAsia" w:ascii="宋体" w:hAnsi="宋体" w:cs="仿宋_GB2312"/>
                <w:kern w:val="0"/>
                <w:szCs w:val="21"/>
              </w:rPr>
            </w:pPr>
            <w:r>
              <w:rPr>
                <w:rFonts w:hint="eastAsia" w:ascii="宋体" w:hAnsi="宋体" w:cs="仿宋_GB2312"/>
                <w:kern w:val="0"/>
                <w:szCs w:val="21"/>
              </w:rPr>
              <w:t>健康管理诊后单元，可以将患者的门诊相关信息如就诊记录、病历信息、检查信息、用药处方信息等同步到健康管理系统，通过系统可以对患者提供诊后服务，包括诊断解读与病情评估、个性化治疗方案、用药指导与监督、随访与复查计划、动、养、心支持与辅导、医疗资源对接与协调、诊后康复效评反馈与调整等。并可以根据患者跟踪情况实现与体检部门和住院部门的双向转诊。</w:t>
            </w:r>
          </w:p>
        </w:tc>
      </w:tr>
      <w:tr w14:paraId="191D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70B0B6A2">
            <w:pPr>
              <w:spacing w:line="400" w:lineRule="exact"/>
              <w:jc w:val="center"/>
              <w:rPr>
                <w:rFonts w:hint="eastAsia" w:ascii="宋体" w:hAnsi="宋体" w:cs="仿宋_GB2312"/>
                <w:kern w:val="0"/>
                <w:szCs w:val="21"/>
              </w:rPr>
            </w:pPr>
          </w:p>
        </w:tc>
        <w:tc>
          <w:tcPr>
            <w:tcW w:w="816" w:type="pct"/>
            <w:vAlign w:val="center"/>
          </w:tcPr>
          <w:p w14:paraId="465B65BA">
            <w:pPr>
              <w:spacing w:line="400" w:lineRule="exact"/>
              <w:jc w:val="center"/>
              <w:rPr>
                <w:rFonts w:hint="eastAsia" w:ascii="宋体" w:hAnsi="宋体" w:cs="仿宋_GB2312"/>
                <w:kern w:val="0"/>
                <w:szCs w:val="21"/>
              </w:rPr>
            </w:pPr>
            <w:r>
              <w:rPr>
                <w:rFonts w:hint="eastAsia" w:ascii="宋体" w:hAnsi="宋体" w:cs="仿宋_GB2312"/>
                <w:kern w:val="0"/>
                <w:szCs w:val="21"/>
              </w:rPr>
              <w:t>门诊预约</w:t>
            </w:r>
          </w:p>
        </w:tc>
        <w:tc>
          <w:tcPr>
            <w:tcW w:w="3552" w:type="pct"/>
          </w:tcPr>
          <w:p w14:paraId="3B5A7A98">
            <w:pPr>
              <w:spacing w:line="400" w:lineRule="exact"/>
              <w:rPr>
                <w:rFonts w:hint="eastAsia" w:ascii="宋体" w:hAnsi="宋体" w:cs="仿宋_GB2312"/>
                <w:kern w:val="0"/>
                <w:szCs w:val="21"/>
              </w:rPr>
            </w:pPr>
            <w:r>
              <w:rPr>
                <w:rFonts w:hint="eastAsia" w:ascii="宋体" w:hAnsi="宋体" w:cs="仿宋_GB2312"/>
                <w:kern w:val="0"/>
                <w:szCs w:val="21"/>
              </w:rPr>
              <w:t>支持对阳性管理和干预人群进行门诊预约引流，和健康管理门诊服务，完成体检到诊疗的干预全过程，形成服务闭环。</w:t>
            </w:r>
          </w:p>
        </w:tc>
      </w:tr>
      <w:tr w14:paraId="48DC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2D21F6B3">
            <w:pPr>
              <w:spacing w:line="400" w:lineRule="exact"/>
              <w:jc w:val="center"/>
              <w:rPr>
                <w:rFonts w:hint="eastAsia" w:ascii="宋体" w:hAnsi="宋体" w:cs="仿宋_GB2312"/>
                <w:kern w:val="0"/>
                <w:szCs w:val="21"/>
              </w:rPr>
            </w:pPr>
          </w:p>
        </w:tc>
        <w:tc>
          <w:tcPr>
            <w:tcW w:w="816" w:type="pct"/>
            <w:vAlign w:val="center"/>
          </w:tcPr>
          <w:p w14:paraId="0B020374">
            <w:pPr>
              <w:spacing w:line="400" w:lineRule="exact"/>
              <w:jc w:val="center"/>
              <w:rPr>
                <w:rFonts w:hint="eastAsia" w:ascii="宋体" w:hAnsi="宋体" w:cs="仿宋_GB2312"/>
                <w:kern w:val="0"/>
                <w:szCs w:val="21"/>
              </w:rPr>
            </w:pPr>
            <w:r>
              <w:rPr>
                <w:rFonts w:hint="eastAsia" w:ascii="宋体" w:hAnsi="宋体" w:cs="仿宋_GB2312"/>
                <w:kern w:val="0"/>
                <w:szCs w:val="21"/>
              </w:rPr>
              <w:t>就医记录</w:t>
            </w:r>
          </w:p>
        </w:tc>
        <w:tc>
          <w:tcPr>
            <w:tcW w:w="3552" w:type="pct"/>
          </w:tcPr>
          <w:p w14:paraId="674B251F">
            <w:pPr>
              <w:spacing w:line="400" w:lineRule="exact"/>
              <w:rPr>
                <w:rFonts w:hint="eastAsia" w:ascii="宋体" w:hAnsi="宋体" w:cs="仿宋_GB2312"/>
                <w:kern w:val="0"/>
                <w:szCs w:val="21"/>
              </w:rPr>
            </w:pPr>
            <w:r>
              <w:rPr>
                <w:rFonts w:hint="eastAsia" w:ascii="宋体" w:hAnsi="宋体" w:cs="仿宋_GB2312"/>
                <w:kern w:val="0"/>
                <w:szCs w:val="21"/>
              </w:rPr>
              <w:t>1.对于客户的就医记录数据进行集中管理。</w:t>
            </w:r>
            <w:r>
              <w:rPr>
                <w:rFonts w:hint="eastAsia" w:ascii="宋体" w:hAnsi="宋体" w:cs="仿宋_GB2312"/>
                <w:kern w:val="0"/>
                <w:szCs w:val="21"/>
              </w:rPr>
              <w:br w:type="textWrapping"/>
            </w:r>
            <w:r>
              <w:rPr>
                <w:rFonts w:hint="eastAsia" w:ascii="宋体" w:hAnsi="宋体" w:cs="仿宋_GB2312"/>
                <w:kern w:val="0"/>
                <w:szCs w:val="21"/>
              </w:rPr>
              <w:t>2.能够对就医所产生的门诊/住院记录、就诊检查记录、用药记录进行自动/手动关联，方便一键调阅及维护。</w:t>
            </w:r>
          </w:p>
        </w:tc>
      </w:tr>
      <w:tr w14:paraId="5C2A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3C2BDDDD">
            <w:pPr>
              <w:spacing w:line="400" w:lineRule="exact"/>
              <w:jc w:val="center"/>
              <w:rPr>
                <w:rFonts w:hint="eastAsia" w:ascii="宋体" w:hAnsi="宋体" w:cs="仿宋_GB2312"/>
                <w:kern w:val="0"/>
                <w:szCs w:val="21"/>
              </w:rPr>
            </w:pPr>
          </w:p>
        </w:tc>
        <w:tc>
          <w:tcPr>
            <w:tcW w:w="816" w:type="pct"/>
            <w:vAlign w:val="center"/>
          </w:tcPr>
          <w:p w14:paraId="79EB3668">
            <w:pPr>
              <w:spacing w:line="400" w:lineRule="exact"/>
              <w:jc w:val="center"/>
              <w:rPr>
                <w:rFonts w:hint="eastAsia" w:ascii="宋体" w:hAnsi="宋体" w:cs="仿宋_GB2312"/>
                <w:kern w:val="0"/>
                <w:szCs w:val="21"/>
              </w:rPr>
            </w:pPr>
            <w:r>
              <w:rPr>
                <w:rFonts w:hint="eastAsia" w:ascii="宋体" w:hAnsi="宋体" w:cs="仿宋_GB2312"/>
                <w:kern w:val="0"/>
                <w:szCs w:val="21"/>
              </w:rPr>
              <w:t>用药记录</w:t>
            </w:r>
          </w:p>
        </w:tc>
        <w:tc>
          <w:tcPr>
            <w:tcW w:w="3552" w:type="pct"/>
          </w:tcPr>
          <w:p w14:paraId="4F932CCA">
            <w:pPr>
              <w:spacing w:line="400" w:lineRule="exact"/>
              <w:rPr>
                <w:rFonts w:hint="eastAsia" w:ascii="宋体" w:hAnsi="宋体" w:cs="仿宋_GB2312"/>
                <w:kern w:val="0"/>
                <w:szCs w:val="21"/>
              </w:rPr>
            </w:pPr>
            <w:r>
              <w:rPr>
                <w:rFonts w:hint="eastAsia" w:ascii="宋体" w:hAnsi="宋体" w:cs="仿宋_GB2312"/>
                <w:kern w:val="0"/>
                <w:szCs w:val="21"/>
              </w:rPr>
              <w:t>对于所有方式进入系统中的用药记录进行集中管理。</w:t>
            </w:r>
          </w:p>
        </w:tc>
      </w:tr>
      <w:tr w14:paraId="545F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58689419">
            <w:pPr>
              <w:spacing w:line="400" w:lineRule="exact"/>
              <w:jc w:val="center"/>
              <w:rPr>
                <w:rFonts w:hint="eastAsia" w:ascii="宋体" w:hAnsi="宋体" w:cs="仿宋_GB2312"/>
                <w:kern w:val="0"/>
                <w:szCs w:val="21"/>
              </w:rPr>
            </w:pPr>
          </w:p>
        </w:tc>
        <w:tc>
          <w:tcPr>
            <w:tcW w:w="816" w:type="pct"/>
            <w:vAlign w:val="center"/>
          </w:tcPr>
          <w:p w14:paraId="3F0675F3">
            <w:pPr>
              <w:spacing w:line="400" w:lineRule="exact"/>
              <w:jc w:val="center"/>
              <w:rPr>
                <w:rFonts w:hint="eastAsia" w:ascii="宋体" w:hAnsi="宋体" w:cs="仿宋_GB2312"/>
                <w:kern w:val="0"/>
                <w:szCs w:val="21"/>
              </w:rPr>
            </w:pPr>
            <w:r>
              <w:rPr>
                <w:rFonts w:hint="eastAsia" w:ascii="宋体" w:hAnsi="宋体" w:cs="仿宋_GB2312"/>
                <w:kern w:val="0"/>
                <w:szCs w:val="21"/>
              </w:rPr>
              <w:t>检查记录</w:t>
            </w:r>
          </w:p>
        </w:tc>
        <w:tc>
          <w:tcPr>
            <w:tcW w:w="3552" w:type="pct"/>
          </w:tcPr>
          <w:p w14:paraId="75E7B035">
            <w:pPr>
              <w:spacing w:line="400" w:lineRule="exact"/>
              <w:rPr>
                <w:rFonts w:hint="eastAsia" w:ascii="宋体" w:hAnsi="宋体" w:cs="仿宋_GB2312"/>
                <w:kern w:val="0"/>
                <w:szCs w:val="21"/>
              </w:rPr>
            </w:pPr>
            <w:r>
              <w:rPr>
                <w:rFonts w:hint="eastAsia" w:ascii="宋体" w:hAnsi="宋体" w:cs="仿宋_GB2312"/>
                <w:kern w:val="0"/>
                <w:szCs w:val="21"/>
              </w:rPr>
              <w:t>1.对于所有方式进入系统中的检查记录进行集中管理。</w:t>
            </w:r>
            <w:r>
              <w:rPr>
                <w:rFonts w:hint="eastAsia" w:ascii="宋体" w:hAnsi="宋体" w:cs="仿宋_GB2312"/>
                <w:kern w:val="0"/>
                <w:szCs w:val="21"/>
              </w:rPr>
              <w:br w:type="textWrapping"/>
            </w:r>
            <w:r>
              <w:rPr>
                <w:rFonts w:hint="eastAsia" w:ascii="宋体" w:hAnsi="宋体" w:cs="仿宋_GB2312"/>
                <w:kern w:val="0"/>
                <w:szCs w:val="21"/>
              </w:rPr>
              <w:t>2.能够将客户的多次检查记录合并为一份体检数据以用于开展健康风险评估、健康跟踪随访等。</w:t>
            </w:r>
          </w:p>
        </w:tc>
      </w:tr>
      <w:tr w14:paraId="6DF2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7DFA1001">
            <w:pPr>
              <w:spacing w:line="400" w:lineRule="exact"/>
              <w:jc w:val="center"/>
              <w:rPr>
                <w:rFonts w:hint="eastAsia" w:ascii="宋体" w:hAnsi="宋体" w:cs="仿宋_GB2312"/>
                <w:kern w:val="0"/>
                <w:szCs w:val="21"/>
              </w:rPr>
            </w:pPr>
          </w:p>
        </w:tc>
        <w:tc>
          <w:tcPr>
            <w:tcW w:w="816" w:type="pct"/>
            <w:vAlign w:val="center"/>
          </w:tcPr>
          <w:p w14:paraId="7D44FC7B">
            <w:pPr>
              <w:spacing w:line="400" w:lineRule="exact"/>
              <w:jc w:val="center"/>
              <w:rPr>
                <w:rFonts w:hint="eastAsia" w:ascii="宋体" w:hAnsi="宋体" w:cs="仿宋_GB2312"/>
                <w:kern w:val="0"/>
                <w:szCs w:val="21"/>
              </w:rPr>
            </w:pPr>
            <w:r>
              <w:rPr>
                <w:rFonts w:hint="eastAsia" w:ascii="宋体" w:hAnsi="宋体" w:cs="仿宋_GB2312"/>
                <w:kern w:val="0"/>
                <w:szCs w:val="21"/>
              </w:rPr>
              <w:t>复查预约</w:t>
            </w:r>
          </w:p>
        </w:tc>
        <w:tc>
          <w:tcPr>
            <w:tcW w:w="3552" w:type="pct"/>
          </w:tcPr>
          <w:p w14:paraId="5A970048">
            <w:pPr>
              <w:spacing w:line="400" w:lineRule="exact"/>
              <w:rPr>
                <w:rFonts w:hint="eastAsia" w:ascii="宋体" w:hAnsi="宋体" w:cs="仿宋_GB2312"/>
                <w:kern w:val="0"/>
                <w:szCs w:val="21"/>
              </w:rPr>
            </w:pPr>
            <w:r>
              <w:rPr>
                <w:rFonts w:hint="eastAsia" w:ascii="宋体" w:hAnsi="宋体" w:cs="仿宋_GB2312"/>
                <w:kern w:val="0"/>
                <w:szCs w:val="21"/>
              </w:rPr>
              <w:t>支持对阳性管理和干预人群进行复查预约引流，完成体检到诊疗的干预全过程，形成服务闭环。</w:t>
            </w:r>
          </w:p>
        </w:tc>
      </w:tr>
      <w:tr w14:paraId="049B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31" w:type="pct"/>
            <w:vMerge w:val="continue"/>
            <w:vAlign w:val="center"/>
          </w:tcPr>
          <w:p w14:paraId="0FC6C81B">
            <w:pPr>
              <w:spacing w:line="400" w:lineRule="exact"/>
              <w:jc w:val="center"/>
              <w:rPr>
                <w:rFonts w:hint="eastAsia" w:ascii="宋体" w:hAnsi="宋体" w:cs="仿宋_GB2312"/>
                <w:kern w:val="0"/>
                <w:szCs w:val="21"/>
              </w:rPr>
            </w:pPr>
          </w:p>
        </w:tc>
        <w:tc>
          <w:tcPr>
            <w:tcW w:w="816" w:type="pct"/>
            <w:vAlign w:val="center"/>
          </w:tcPr>
          <w:p w14:paraId="57F772AC">
            <w:pPr>
              <w:widowControl/>
              <w:spacing w:line="400" w:lineRule="exact"/>
              <w:jc w:val="center"/>
              <w:rPr>
                <w:rFonts w:hint="eastAsia" w:ascii="宋体" w:hAnsi="宋体" w:cs="仿宋_GB2312"/>
                <w:kern w:val="0"/>
                <w:szCs w:val="21"/>
              </w:rPr>
            </w:pPr>
            <w:r>
              <w:rPr>
                <w:rFonts w:hint="eastAsia" w:ascii="宋体" w:hAnsi="宋体" w:cs="仿宋_GB2312"/>
                <w:kern w:val="0"/>
                <w:szCs w:val="21"/>
                <w:lang w:eastAsia="zh-Hans"/>
              </w:rPr>
              <w:t>健康知识库</w:t>
            </w:r>
          </w:p>
        </w:tc>
        <w:tc>
          <w:tcPr>
            <w:tcW w:w="3552" w:type="pct"/>
            <w:vAlign w:val="center"/>
          </w:tcPr>
          <w:p w14:paraId="4AF71989">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系统内置</w:t>
            </w:r>
            <w:r>
              <w:rPr>
                <w:rFonts w:hint="eastAsia" w:ascii="宋体" w:hAnsi="宋体" w:cs="仿宋_GB2312"/>
                <w:kern w:val="0"/>
                <w:szCs w:val="21"/>
                <w:lang w:eastAsia="zh-Hans"/>
              </w:rPr>
              <w:t>各大医院</w:t>
            </w:r>
            <w:r>
              <w:rPr>
                <w:rFonts w:hint="eastAsia" w:ascii="宋体" w:hAnsi="宋体" w:cs="仿宋_GB2312"/>
                <w:kern w:val="0"/>
                <w:szCs w:val="21"/>
              </w:rPr>
              <w:t>医学</w:t>
            </w:r>
            <w:r>
              <w:rPr>
                <w:rFonts w:hint="eastAsia" w:ascii="宋体" w:hAnsi="宋体" w:cs="仿宋_GB2312"/>
                <w:kern w:val="0"/>
                <w:szCs w:val="21"/>
                <w:lang w:eastAsia="zh-Hans"/>
              </w:rPr>
              <w:t>共享</w:t>
            </w:r>
            <w:r>
              <w:rPr>
                <w:rFonts w:hint="eastAsia" w:ascii="宋体" w:hAnsi="宋体" w:cs="仿宋_GB2312"/>
                <w:kern w:val="0"/>
                <w:szCs w:val="21"/>
              </w:rPr>
              <w:t>知识数据</w:t>
            </w:r>
            <w:r>
              <w:rPr>
                <w:rFonts w:hint="eastAsia" w:ascii="宋体" w:hAnsi="宋体" w:cs="仿宋_GB2312"/>
                <w:kern w:val="0"/>
                <w:szCs w:val="21"/>
                <w:lang w:eastAsia="zh-Hans"/>
              </w:rPr>
              <w:t>库</w:t>
            </w:r>
            <w:r>
              <w:rPr>
                <w:rFonts w:hint="eastAsia" w:ascii="宋体" w:hAnsi="宋体" w:cs="仿宋_GB2312"/>
                <w:kern w:val="0"/>
                <w:szCs w:val="21"/>
              </w:rPr>
              <w:t>内容，</w:t>
            </w:r>
            <w:r>
              <w:rPr>
                <w:rFonts w:hint="eastAsia" w:ascii="宋体" w:hAnsi="宋体" w:cs="仿宋_GB2312"/>
                <w:kern w:val="0"/>
                <w:szCs w:val="21"/>
                <w:lang w:eastAsia="zh-Hans"/>
              </w:rPr>
              <w:t>包括高血压、糖尿病等等多种慢性病的不同患病程序下的干预处方库以及健康管理库、</w:t>
            </w:r>
            <w:r>
              <w:rPr>
                <w:rFonts w:hint="eastAsia" w:ascii="宋体" w:hAnsi="宋体" w:cs="仿宋_GB2312"/>
                <w:kern w:val="0"/>
                <w:szCs w:val="21"/>
              </w:rPr>
              <w:t>用于系统的医学逻辑和说明展示。</w:t>
            </w:r>
            <w:r>
              <w:rPr>
                <w:rFonts w:hint="eastAsia" w:ascii="宋体" w:hAnsi="宋体" w:cs="仿宋_GB2312"/>
                <w:kern w:val="0"/>
                <w:szCs w:val="21"/>
                <w:lang w:eastAsia="zh-Hans"/>
              </w:rPr>
              <w:t>并且</w:t>
            </w:r>
            <w:r>
              <w:rPr>
                <w:rFonts w:hint="eastAsia" w:ascii="宋体" w:hAnsi="宋体" w:cs="仿宋_GB2312"/>
                <w:kern w:val="0"/>
                <w:szCs w:val="21"/>
              </w:rPr>
              <w:t>支持医院的医学专家对知识库进行修改以方便医院自行维护。</w:t>
            </w:r>
            <w:r>
              <w:rPr>
                <w:rFonts w:hint="eastAsia" w:ascii="宋体" w:hAnsi="宋体" w:cs="仿宋_GB2312"/>
                <w:kern w:val="0"/>
                <w:szCs w:val="21"/>
                <w:lang w:eastAsia="zh-Hans"/>
              </w:rPr>
              <w:t>包括共享与被共享健康知识库的医学知识。</w:t>
            </w:r>
          </w:p>
        </w:tc>
      </w:tr>
      <w:tr w14:paraId="50E9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631" w:type="pct"/>
            <w:vMerge w:val="continue"/>
            <w:vAlign w:val="center"/>
          </w:tcPr>
          <w:p w14:paraId="592DE6D8">
            <w:pPr>
              <w:spacing w:line="400" w:lineRule="exact"/>
              <w:jc w:val="center"/>
              <w:rPr>
                <w:rFonts w:hint="eastAsia" w:ascii="宋体" w:hAnsi="宋体" w:cs="仿宋_GB2312"/>
                <w:kern w:val="0"/>
                <w:szCs w:val="21"/>
              </w:rPr>
            </w:pPr>
          </w:p>
        </w:tc>
        <w:tc>
          <w:tcPr>
            <w:tcW w:w="816" w:type="pct"/>
            <w:vAlign w:val="center"/>
          </w:tcPr>
          <w:p w14:paraId="50FDE062">
            <w:pPr>
              <w:widowControl/>
              <w:spacing w:line="400" w:lineRule="exact"/>
              <w:jc w:val="center"/>
              <w:rPr>
                <w:rFonts w:hint="eastAsia" w:ascii="宋体" w:hAnsi="宋体" w:cs="仿宋_GB2312"/>
                <w:kern w:val="0"/>
                <w:szCs w:val="21"/>
                <w:lang w:eastAsia="zh-Hans"/>
              </w:rPr>
            </w:pPr>
            <w:r>
              <w:rPr>
                <w:rFonts w:hint="eastAsia" w:ascii="宋体" w:hAnsi="宋体" w:cs="仿宋_GB2312"/>
                <w:kern w:val="0"/>
                <w:szCs w:val="21"/>
                <w:lang w:eastAsia="zh-Hans"/>
              </w:rPr>
              <w:t>健康方案库</w:t>
            </w:r>
          </w:p>
        </w:tc>
        <w:tc>
          <w:tcPr>
            <w:tcW w:w="3552" w:type="pct"/>
            <w:vAlign w:val="center"/>
          </w:tcPr>
          <w:p w14:paraId="3695E95E">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健康方案管理是健康处方的处方库，对于不同人群制定不同的健康管理处方模板，系统内部也预设了多种健康计划，比如成人处方模板，儿童处方模板，学龄及青春期处方模板，孕产妇处方模板，精神患者处方模板。</w:t>
            </w:r>
          </w:p>
          <w:p w14:paraId="302685DA">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在此模块健康管理师也可以根据实际情况添加专属的健康计划到健康计划库。在遇到适合相应计划的用户时可以直接添加预设好的健康计划。</w:t>
            </w:r>
          </w:p>
        </w:tc>
      </w:tr>
      <w:tr w14:paraId="26C2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3651C29B">
            <w:pPr>
              <w:spacing w:line="400" w:lineRule="exact"/>
              <w:jc w:val="center"/>
              <w:rPr>
                <w:rFonts w:hint="eastAsia" w:ascii="宋体" w:hAnsi="宋体" w:cs="仿宋_GB2312"/>
                <w:kern w:val="0"/>
                <w:szCs w:val="21"/>
              </w:rPr>
            </w:pPr>
          </w:p>
        </w:tc>
        <w:tc>
          <w:tcPr>
            <w:tcW w:w="816" w:type="pct"/>
            <w:vAlign w:val="center"/>
          </w:tcPr>
          <w:p w14:paraId="79A38394">
            <w:pPr>
              <w:widowControl/>
              <w:spacing w:line="400" w:lineRule="exact"/>
              <w:jc w:val="center"/>
              <w:rPr>
                <w:rFonts w:hint="eastAsia" w:ascii="宋体" w:hAnsi="宋体" w:cs="仿宋_GB2312"/>
                <w:kern w:val="0"/>
                <w:szCs w:val="21"/>
                <w:lang w:eastAsia="zh-Hans"/>
              </w:rPr>
            </w:pPr>
            <w:r>
              <w:rPr>
                <w:rFonts w:hint="eastAsia" w:ascii="宋体" w:hAnsi="宋体" w:cs="仿宋_GB2312"/>
                <w:kern w:val="0"/>
                <w:szCs w:val="21"/>
              </w:rPr>
              <w:t>健康趋势分析</w:t>
            </w:r>
          </w:p>
        </w:tc>
        <w:tc>
          <w:tcPr>
            <w:tcW w:w="3552" w:type="pct"/>
            <w:vAlign w:val="center"/>
          </w:tcPr>
          <w:p w14:paraId="10FBCBB7">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通过便携式健康指标监测设备上传或用户录入方式，动态记录个人健康指标，有利于个人与医生动态掌握健康趋势。包含体重指数、身高、体重、血压、腰围、血糖、血脂等数据。</w:t>
            </w:r>
          </w:p>
        </w:tc>
      </w:tr>
      <w:tr w14:paraId="4E3B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1DB965A0">
            <w:pPr>
              <w:spacing w:line="400" w:lineRule="exact"/>
              <w:jc w:val="center"/>
              <w:rPr>
                <w:rFonts w:hint="eastAsia" w:ascii="宋体" w:hAnsi="宋体" w:cs="仿宋_GB2312"/>
                <w:kern w:val="0"/>
                <w:szCs w:val="21"/>
              </w:rPr>
            </w:pPr>
          </w:p>
        </w:tc>
        <w:tc>
          <w:tcPr>
            <w:tcW w:w="816" w:type="pct"/>
            <w:vAlign w:val="center"/>
          </w:tcPr>
          <w:p w14:paraId="6C7C7095">
            <w:pPr>
              <w:widowControl/>
              <w:spacing w:line="400" w:lineRule="exact"/>
              <w:jc w:val="center"/>
              <w:rPr>
                <w:rFonts w:hint="eastAsia" w:ascii="宋体" w:hAnsi="宋体" w:cs="仿宋_GB2312"/>
                <w:kern w:val="0"/>
                <w:szCs w:val="21"/>
                <w:lang w:eastAsia="zh-Hans"/>
              </w:rPr>
            </w:pPr>
            <w:r>
              <w:rPr>
                <w:rFonts w:hint="eastAsia" w:ascii="宋体" w:hAnsi="宋体" w:cs="仿宋_GB2312"/>
                <w:kern w:val="0"/>
                <w:szCs w:val="21"/>
                <w:lang w:eastAsia="zh-Hans"/>
              </w:rPr>
              <w:t>在线咨询</w:t>
            </w:r>
          </w:p>
        </w:tc>
        <w:tc>
          <w:tcPr>
            <w:tcW w:w="3552" w:type="pct"/>
            <w:vAlign w:val="center"/>
          </w:tcPr>
          <w:p w14:paraId="7CF7EC93">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可以使用健康咨询功能，在线提问，健康管理师可以在线实时回答。</w:t>
            </w:r>
          </w:p>
        </w:tc>
      </w:tr>
      <w:tr w14:paraId="22D9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67025516">
            <w:pPr>
              <w:spacing w:line="400" w:lineRule="exact"/>
              <w:jc w:val="center"/>
              <w:rPr>
                <w:rFonts w:hint="eastAsia" w:ascii="宋体" w:hAnsi="宋体" w:cs="仿宋_GB2312"/>
                <w:kern w:val="0"/>
                <w:szCs w:val="21"/>
              </w:rPr>
            </w:pPr>
          </w:p>
        </w:tc>
        <w:tc>
          <w:tcPr>
            <w:tcW w:w="816" w:type="pct"/>
            <w:vAlign w:val="center"/>
          </w:tcPr>
          <w:p w14:paraId="5F871CA2">
            <w:pPr>
              <w:widowControl/>
              <w:spacing w:line="400" w:lineRule="exact"/>
              <w:jc w:val="center"/>
              <w:rPr>
                <w:rFonts w:hint="eastAsia" w:ascii="宋体" w:hAnsi="宋体" w:cs="仿宋_GB2312"/>
                <w:kern w:val="0"/>
                <w:szCs w:val="21"/>
                <w:lang w:eastAsia="zh-Hans"/>
              </w:rPr>
            </w:pPr>
            <w:r>
              <w:rPr>
                <w:rFonts w:hint="eastAsia" w:ascii="宋体" w:hAnsi="宋体" w:cs="仿宋_GB2312"/>
                <w:kern w:val="0"/>
                <w:szCs w:val="21"/>
                <w:lang w:eastAsia="zh-Hans"/>
              </w:rPr>
              <w:t>专属医生签约</w:t>
            </w:r>
          </w:p>
        </w:tc>
        <w:tc>
          <w:tcPr>
            <w:tcW w:w="3552" w:type="pct"/>
            <w:vAlign w:val="center"/>
          </w:tcPr>
          <w:p w14:paraId="5D62656A">
            <w:pPr>
              <w:snapToGrid w:val="0"/>
              <w:spacing w:line="400" w:lineRule="exact"/>
              <w:jc w:val="left"/>
              <w:rPr>
                <w:rFonts w:hint="eastAsia" w:ascii="宋体" w:hAnsi="宋体" w:cs="仿宋_GB2312"/>
                <w:kern w:val="0"/>
                <w:szCs w:val="21"/>
                <w:lang w:eastAsia="zh-Hans"/>
              </w:rPr>
            </w:pPr>
            <w:r>
              <w:rPr>
                <w:rFonts w:hint="eastAsia" w:ascii="宋体" w:hAnsi="宋体" w:cs="仿宋_GB2312"/>
                <w:kern w:val="0"/>
                <w:szCs w:val="21"/>
                <w:lang w:eastAsia="zh-Hans"/>
              </w:rPr>
              <w:t>可以</w:t>
            </w:r>
            <w:r>
              <w:rPr>
                <w:rFonts w:hint="eastAsia" w:ascii="宋体" w:hAnsi="宋体" w:cs="仿宋_GB2312"/>
                <w:kern w:val="0"/>
                <w:szCs w:val="21"/>
              </w:rPr>
              <w:t>绑定专属健康管理师，可以</w:t>
            </w:r>
            <w:r>
              <w:rPr>
                <w:rFonts w:hint="eastAsia" w:ascii="宋体" w:hAnsi="宋体" w:cs="仿宋_GB2312"/>
                <w:kern w:val="0"/>
                <w:szCs w:val="21"/>
                <w:lang w:eastAsia="zh-Hans"/>
              </w:rPr>
              <w:t>与专属健康管理师进行</w:t>
            </w:r>
            <w:r>
              <w:rPr>
                <w:rFonts w:hint="eastAsia" w:ascii="宋体" w:hAnsi="宋体" w:cs="仿宋_GB2312"/>
                <w:kern w:val="0"/>
                <w:szCs w:val="21"/>
              </w:rPr>
              <w:t>健康咨询功能，在线提问</w:t>
            </w:r>
            <w:r>
              <w:rPr>
                <w:rFonts w:hint="eastAsia" w:ascii="宋体" w:hAnsi="宋体" w:cs="仿宋_GB2312"/>
                <w:kern w:val="0"/>
                <w:szCs w:val="21"/>
                <w:lang w:eastAsia="zh-Hans"/>
              </w:rPr>
              <w:t>。</w:t>
            </w:r>
          </w:p>
        </w:tc>
      </w:tr>
      <w:tr w14:paraId="3571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7" w:hRule="atLeast"/>
          <w:jc w:val="center"/>
        </w:trPr>
        <w:tc>
          <w:tcPr>
            <w:tcW w:w="631" w:type="pct"/>
            <w:vMerge w:val="continue"/>
            <w:vAlign w:val="center"/>
          </w:tcPr>
          <w:p w14:paraId="0E74F0C5">
            <w:pPr>
              <w:spacing w:line="400" w:lineRule="exact"/>
              <w:jc w:val="center"/>
              <w:rPr>
                <w:rFonts w:hint="eastAsia" w:ascii="宋体" w:hAnsi="宋体" w:cs="仿宋_GB2312"/>
                <w:kern w:val="0"/>
                <w:szCs w:val="21"/>
              </w:rPr>
            </w:pPr>
          </w:p>
        </w:tc>
        <w:tc>
          <w:tcPr>
            <w:tcW w:w="816" w:type="pct"/>
            <w:vAlign w:val="center"/>
          </w:tcPr>
          <w:p w14:paraId="374565F9">
            <w:pPr>
              <w:widowControl/>
              <w:spacing w:line="400" w:lineRule="exact"/>
              <w:jc w:val="center"/>
              <w:rPr>
                <w:rFonts w:hint="eastAsia" w:ascii="宋体" w:hAnsi="宋体" w:cs="仿宋_GB2312"/>
                <w:kern w:val="0"/>
                <w:szCs w:val="21"/>
              </w:rPr>
            </w:pPr>
            <w:r>
              <w:rPr>
                <w:rFonts w:hint="eastAsia" w:ascii="宋体" w:hAnsi="宋体" w:cs="仿宋_GB2312"/>
                <w:kern w:val="0"/>
                <w:szCs w:val="21"/>
              </w:rPr>
              <w:t>慢病计划库功能</w:t>
            </w:r>
          </w:p>
        </w:tc>
        <w:tc>
          <w:tcPr>
            <w:tcW w:w="3552" w:type="pct"/>
            <w:vAlign w:val="center"/>
          </w:tcPr>
          <w:p w14:paraId="7C65C1F8">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集成25 种慢病管理的计划方案库，慢病病种不少于20种。每种慢病根据危险程度分为三个等级，每个等级中都要包含一年的干预方案。字典实例：（高血压干预方案：高血压初级管理1-365天的管理计划（数据库不少于5天的干预计划）。高血压中级管理1-365天的管理计划（数据库不少于8天的干预计划），高血压高级管理1-365天的管理计划（数据库不少于17天的干预计划）；</w:t>
            </w:r>
          </w:p>
          <w:p w14:paraId="66CF2FFE">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包括全生命周期的健康管理方案，儿童健康管理计划库（1-2岁、2-3岁、4岁、5岁、6岁）、青少年健康管理计划库、孕妇健康管理计划库、产妇健康管理计划库、老年人健康管理计划库、精神病患者健康管理计划库。（均要包括 3 个等级，全年的管理计划）</w:t>
            </w:r>
          </w:p>
        </w:tc>
      </w:tr>
      <w:tr w14:paraId="1109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4C5FFF8D">
            <w:pPr>
              <w:spacing w:line="400" w:lineRule="exact"/>
              <w:jc w:val="center"/>
              <w:rPr>
                <w:rFonts w:hint="eastAsia" w:ascii="宋体" w:hAnsi="宋体" w:cs="仿宋_GB2312"/>
                <w:kern w:val="0"/>
                <w:szCs w:val="21"/>
              </w:rPr>
            </w:pPr>
          </w:p>
        </w:tc>
        <w:tc>
          <w:tcPr>
            <w:tcW w:w="816" w:type="pct"/>
            <w:vAlign w:val="center"/>
          </w:tcPr>
          <w:p w14:paraId="19DB9107">
            <w:pPr>
              <w:widowControl/>
              <w:spacing w:line="400" w:lineRule="exact"/>
              <w:jc w:val="center"/>
              <w:rPr>
                <w:rFonts w:hint="eastAsia" w:ascii="宋体" w:hAnsi="宋体" w:cs="仿宋_GB2312"/>
                <w:kern w:val="0"/>
                <w:szCs w:val="21"/>
              </w:rPr>
            </w:pPr>
            <w:r>
              <w:rPr>
                <w:rFonts w:hint="eastAsia" w:ascii="宋体" w:hAnsi="宋体" w:cs="仿宋_GB2312"/>
                <w:kern w:val="0"/>
                <w:szCs w:val="21"/>
              </w:rPr>
              <w:t>方案管理</w:t>
            </w:r>
          </w:p>
        </w:tc>
        <w:tc>
          <w:tcPr>
            <w:tcW w:w="3552" w:type="pct"/>
            <w:vAlign w:val="center"/>
          </w:tcPr>
          <w:p w14:paraId="175773FD">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可由医生制定个性化的干预管理方案，如药物、营养等内容。并形成报告。</w:t>
            </w:r>
          </w:p>
        </w:tc>
      </w:tr>
      <w:tr w14:paraId="58E7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34454EA2">
            <w:pPr>
              <w:spacing w:line="400" w:lineRule="exact"/>
              <w:jc w:val="center"/>
              <w:rPr>
                <w:rFonts w:hint="eastAsia" w:ascii="宋体" w:hAnsi="宋体" w:cs="仿宋_GB2312"/>
                <w:kern w:val="0"/>
                <w:szCs w:val="21"/>
              </w:rPr>
            </w:pPr>
          </w:p>
        </w:tc>
        <w:tc>
          <w:tcPr>
            <w:tcW w:w="816" w:type="pct"/>
            <w:vAlign w:val="center"/>
          </w:tcPr>
          <w:p w14:paraId="61E6678E">
            <w:pPr>
              <w:widowControl/>
              <w:spacing w:line="400" w:lineRule="exact"/>
              <w:jc w:val="center"/>
              <w:rPr>
                <w:rFonts w:hint="eastAsia" w:ascii="宋体" w:hAnsi="宋体" w:cs="仿宋_GB2312"/>
                <w:kern w:val="0"/>
                <w:szCs w:val="21"/>
              </w:rPr>
            </w:pPr>
            <w:r>
              <w:rPr>
                <w:rFonts w:hint="eastAsia" w:ascii="宋体" w:hAnsi="宋体" w:cs="仿宋_GB2312"/>
                <w:kern w:val="0"/>
                <w:szCs w:val="21"/>
              </w:rPr>
              <w:t>营养补充剂</w:t>
            </w:r>
          </w:p>
        </w:tc>
        <w:tc>
          <w:tcPr>
            <w:tcW w:w="3552" w:type="pct"/>
            <w:vAlign w:val="center"/>
          </w:tcPr>
          <w:p w14:paraId="5F1F9018">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可以自定义营养补充剂处方，生成报告以及打卡日历，客户可通过手机端进行打卡服用操作，医生端可以补充过期打卡记录。</w:t>
            </w:r>
          </w:p>
        </w:tc>
      </w:tr>
      <w:tr w14:paraId="1359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52138C19">
            <w:pPr>
              <w:spacing w:line="400" w:lineRule="exact"/>
              <w:jc w:val="center"/>
              <w:rPr>
                <w:rFonts w:hint="eastAsia" w:ascii="宋体" w:hAnsi="宋体" w:cs="仿宋_GB2312"/>
                <w:kern w:val="0"/>
                <w:szCs w:val="21"/>
              </w:rPr>
            </w:pPr>
          </w:p>
        </w:tc>
        <w:tc>
          <w:tcPr>
            <w:tcW w:w="816" w:type="pct"/>
            <w:vAlign w:val="center"/>
          </w:tcPr>
          <w:p w14:paraId="52F27BAA">
            <w:pPr>
              <w:widowControl/>
              <w:spacing w:line="400" w:lineRule="exact"/>
              <w:jc w:val="center"/>
              <w:rPr>
                <w:rFonts w:hint="eastAsia" w:ascii="宋体" w:hAnsi="宋体" w:cs="仿宋_GB2312"/>
                <w:kern w:val="0"/>
                <w:szCs w:val="21"/>
              </w:rPr>
            </w:pPr>
            <w:r>
              <w:rPr>
                <w:rFonts w:hint="eastAsia" w:ascii="宋体" w:hAnsi="宋体" w:cs="仿宋_GB2312"/>
                <w:kern w:val="0"/>
                <w:szCs w:val="21"/>
              </w:rPr>
              <w:t>微信推送</w:t>
            </w:r>
          </w:p>
        </w:tc>
        <w:tc>
          <w:tcPr>
            <w:tcW w:w="3552" w:type="pct"/>
            <w:vAlign w:val="center"/>
          </w:tcPr>
          <w:p w14:paraId="3B7F07C4">
            <w:pPr>
              <w:snapToGrid w:val="0"/>
              <w:spacing w:line="400" w:lineRule="exact"/>
              <w:jc w:val="left"/>
              <w:rPr>
                <w:rFonts w:hint="eastAsia" w:ascii="宋体" w:hAnsi="宋体" w:cs="仿宋_GB2312"/>
                <w:kern w:val="0"/>
                <w:szCs w:val="21"/>
              </w:rPr>
            </w:pPr>
            <w:r>
              <w:rPr>
                <w:rFonts w:hint="eastAsia" w:ascii="宋体" w:hAnsi="宋体" w:cs="仿宋_GB2312"/>
                <w:kern w:val="0"/>
                <w:szCs w:val="21"/>
              </w:rPr>
              <w:t>所有管理方案的微信自动推送功能</w:t>
            </w:r>
          </w:p>
        </w:tc>
      </w:tr>
      <w:tr w14:paraId="586A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631" w:type="pct"/>
            <w:vMerge w:val="restart"/>
            <w:vAlign w:val="center"/>
          </w:tcPr>
          <w:p w14:paraId="779A1675">
            <w:pPr>
              <w:spacing w:line="400" w:lineRule="exact"/>
              <w:jc w:val="center"/>
              <w:rPr>
                <w:rFonts w:hint="eastAsia" w:ascii="宋体" w:hAnsi="宋体" w:cs="仿宋_GB2312"/>
                <w:kern w:val="0"/>
                <w:szCs w:val="21"/>
              </w:rPr>
            </w:pPr>
            <w:r>
              <w:rPr>
                <w:rFonts w:hint="eastAsia" w:ascii="宋体" w:hAnsi="宋体" w:cs="仿宋_GB2312"/>
                <w:kern w:val="0"/>
                <w:szCs w:val="21"/>
              </w:rPr>
              <w:t>院后健康管理集成模块</w:t>
            </w:r>
          </w:p>
        </w:tc>
        <w:tc>
          <w:tcPr>
            <w:tcW w:w="816" w:type="pct"/>
            <w:vAlign w:val="center"/>
          </w:tcPr>
          <w:p w14:paraId="6D5C6E94">
            <w:pPr>
              <w:spacing w:line="400" w:lineRule="exact"/>
              <w:jc w:val="center"/>
              <w:rPr>
                <w:rFonts w:hint="eastAsia" w:ascii="宋体" w:hAnsi="宋体" w:cs="仿宋_GB2312"/>
                <w:kern w:val="0"/>
                <w:szCs w:val="21"/>
              </w:rPr>
            </w:pPr>
            <w:r>
              <w:rPr>
                <w:rFonts w:hint="eastAsia" w:ascii="宋体" w:hAnsi="宋体" w:cs="仿宋_GB2312"/>
                <w:kern w:val="0"/>
                <w:szCs w:val="21"/>
              </w:rPr>
              <w:t>院后单元</w:t>
            </w:r>
          </w:p>
        </w:tc>
        <w:tc>
          <w:tcPr>
            <w:tcW w:w="3552" w:type="pct"/>
          </w:tcPr>
          <w:p w14:paraId="0E0B0926">
            <w:pPr>
              <w:spacing w:line="400" w:lineRule="exact"/>
              <w:rPr>
                <w:rFonts w:hint="eastAsia" w:ascii="宋体" w:hAnsi="宋体" w:cs="仿宋_GB2312"/>
                <w:kern w:val="0"/>
                <w:szCs w:val="21"/>
              </w:rPr>
            </w:pPr>
            <w:r>
              <w:rPr>
                <w:rFonts w:hint="eastAsia" w:ascii="宋体" w:hAnsi="宋体" w:cs="仿宋_GB2312"/>
                <w:kern w:val="0"/>
                <w:szCs w:val="21"/>
              </w:rPr>
              <w:t>健康管理院后单元，可以将患者的门诊相关信息如住院病史、病历信息、检查信息、用药处方信息等同步到健康管理系统，通过系统可以对患者提供院后服务，包括出院评估、个性化康复计划、家庭护理指导、用药指导与监测、病情随访与监测、并发症预防及生活方式调整、医疗资源对接、紧急应对指导、院后效评及复查管理。并可以根据患者跟踪情况提供绿通通道和双向转诊。</w:t>
            </w:r>
          </w:p>
        </w:tc>
      </w:tr>
      <w:tr w14:paraId="3E45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0DB4AD9C">
            <w:pPr>
              <w:spacing w:line="400" w:lineRule="exact"/>
              <w:jc w:val="center"/>
              <w:rPr>
                <w:rFonts w:hint="eastAsia" w:ascii="宋体" w:hAnsi="宋体" w:cs="仿宋_GB2312"/>
                <w:kern w:val="0"/>
                <w:szCs w:val="21"/>
              </w:rPr>
            </w:pPr>
          </w:p>
        </w:tc>
        <w:tc>
          <w:tcPr>
            <w:tcW w:w="816" w:type="pct"/>
            <w:vAlign w:val="center"/>
          </w:tcPr>
          <w:p w14:paraId="6774F0BE">
            <w:pPr>
              <w:spacing w:line="400" w:lineRule="exact"/>
              <w:jc w:val="center"/>
              <w:rPr>
                <w:rFonts w:hint="eastAsia" w:ascii="宋体" w:hAnsi="宋体" w:cs="仿宋_GB2312"/>
                <w:kern w:val="0"/>
                <w:szCs w:val="21"/>
              </w:rPr>
            </w:pPr>
            <w:r>
              <w:rPr>
                <w:rFonts w:hint="eastAsia" w:ascii="宋体" w:hAnsi="宋体" w:cs="仿宋_GB2312"/>
                <w:kern w:val="0"/>
                <w:szCs w:val="21"/>
              </w:rPr>
              <w:t>门诊预约</w:t>
            </w:r>
          </w:p>
        </w:tc>
        <w:tc>
          <w:tcPr>
            <w:tcW w:w="3552" w:type="pct"/>
          </w:tcPr>
          <w:p w14:paraId="0C449646">
            <w:pPr>
              <w:spacing w:line="400" w:lineRule="exact"/>
              <w:rPr>
                <w:rFonts w:hint="eastAsia" w:ascii="宋体" w:hAnsi="宋体" w:cs="仿宋_GB2312"/>
                <w:kern w:val="0"/>
                <w:szCs w:val="21"/>
              </w:rPr>
            </w:pPr>
            <w:r>
              <w:rPr>
                <w:rFonts w:hint="eastAsia" w:ascii="宋体" w:hAnsi="宋体" w:cs="仿宋_GB2312"/>
                <w:kern w:val="0"/>
                <w:szCs w:val="21"/>
              </w:rPr>
              <w:t>支持对阳性管理和干预人群进行门诊预约引流，和健康管理门诊服务预约。</w:t>
            </w:r>
          </w:p>
        </w:tc>
      </w:tr>
      <w:tr w14:paraId="578F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115C9714">
            <w:pPr>
              <w:spacing w:line="400" w:lineRule="exact"/>
              <w:jc w:val="center"/>
              <w:rPr>
                <w:rFonts w:hint="eastAsia" w:ascii="宋体" w:hAnsi="宋体" w:cs="仿宋_GB2312"/>
                <w:kern w:val="0"/>
                <w:szCs w:val="21"/>
              </w:rPr>
            </w:pPr>
          </w:p>
        </w:tc>
        <w:tc>
          <w:tcPr>
            <w:tcW w:w="816" w:type="pct"/>
            <w:vAlign w:val="center"/>
          </w:tcPr>
          <w:p w14:paraId="281C966F">
            <w:pPr>
              <w:spacing w:line="400" w:lineRule="exact"/>
              <w:jc w:val="center"/>
              <w:rPr>
                <w:rFonts w:hint="eastAsia" w:ascii="宋体" w:hAnsi="宋体" w:cs="仿宋_GB2312"/>
                <w:kern w:val="0"/>
                <w:szCs w:val="21"/>
              </w:rPr>
            </w:pPr>
            <w:r>
              <w:rPr>
                <w:rFonts w:hint="eastAsia" w:ascii="宋体" w:hAnsi="宋体" w:cs="仿宋_GB2312"/>
                <w:kern w:val="0"/>
                <w:szCs w:val="21"/>
              </w:rPr>
              <w:t>就医记录</w:t>
            </w:r>
          </w:p>
        </w:tc>
        <w:tc>
          <w:tcPr>
            <w:tcW w:w="3552" w:type="pct"/>
          </w:tcPr>
          <w:p w14:paraId="6BC3F4B1">
            <w:pPr>
              <w:spacing w:line="400" w:lineRule="exact"/>
              <w:rPr>
                <w:rFonts w:hint="eastAsia" w:ascii="宋体" w:hAnsi="宋体" w:cs="仿宋_GB2312"/>
                <w:kern w:val="0"/>
                <w:szCs w:val="21"/>
              </w:rPr>
            </w:pPr>
            <w:r>
              <w:rPr>
                <w:rFonts w:hint="eastAsia" w:ascii="宋体" w:hAnsi="宋体" w:cs="仿宋_GB2312"/>
                <w:kern w:val="0"/>
                <w:szCs w:val="21"/>
              </w:rPr>
              <w:t>1.对于客户的就医记录数据进行集中管理。</w:t>
            </w:r>
            <w:r>
              <w:rPr>
                <w:rFonts w:hint="eastAsia" w:ascii="宋体" w:hAnsi="宋体" w:cs="仿宋_GB2312"/>
                <w:kern w:val="0"/>
                <w:szCs w:val="21"/>
              </w:rPr>
              <w:br w:type="textWrapping"/>
            </w:r>
            <w:r>
              <w:rPr>
                <w:rFonts w:hint="eastAsia" w:ascii="宋体" w:hAnsi="宋体" w:cs="仿宋_GB2312"/>
                <w:kern w:val="0"/>
                <w:szCs w:val="21"/>
              </w:rPr>
              <w:t>2.能够对就医所产生的门诊/住院记录、就诊检查记录、用药记录进行自动/手动关联，方便一键调阅及维护。</w:t>
            </w:r>
          </w:p>
        </w:tc>
      </w:tr>
      <w:tr w14:paraId="1E30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1" w:type="pct"/>
            <w:vMerge w:val="continue"/>
            <w:vAlign w:val="center"/>
          </w:tcPr>
          <w:p w14:paraId="27A6C7E9">
            <w:pPr>
              <w:spacing w:line="400" w:lineRule="exact"/>
              <w:jc w:val="center"/>
              <w:rPr>
                <w:rFonts w:hint="eastAsia" w:ascii="宋体" w:hAnsi="宋体" w:cs="仿宋_GB2312"/>
                <w:kern w:val="0"/>
                <w:szCs w:val="21"/>
              </w:rPr>
            </w:pPr>
          </w:p>
        </w:tc>
        <w:tc>
          <w:tcPr>
            <w:tcW w:w="816" w:type="pct"/>
            <w:vAlign w:val="center"/>
          </w:tcPr>
          <w:p w14:paraId="444FEF7D">
            <w:pPr>
              <w:spacing w:line="400" w:lineRule="exact"/>
              <w:jc w:val="center"/>
              <w:rPr>
                <w:rFonts w:hint="eastAsia" w:ascii="宋体" w:hAnsi="宋体" w:cs="仿宋_GB2312"/>
                <w:kern w:val="0"/>
                <w:szCs w:val="21"/>
              </w:rPr>
            </w:pPr>
            <w:r>
              <w:rPr>
                <w:rFonts w:hint="eastAsia" w:ascii="宋体" w:hAnsi="宋体" w:cs="仿宋_GB2312"/>
                <w:kern w:val="0"/>
                <w:szCs w:val="21"/>
              </w:rPr>
              <w:t>用药记录</w:t>
            </w:r>
          </w:p>
        </w:tc>
        <w:tc>
          <w:tcPr>
            <w:tcW w:w="3552" w:type="pct"/>
          </w:tcPr>
          <w:p w14:paraId="49A370F1">
            <w:pPr>
              <w:spacing w:line="400" w:lineRule="exact"/>
              <w:rPr>
                <w:rFonts w:hint="eastAsia" w:ascii="宋体" w:hAnsi="宋体" w:cs="仿宋_GB2312"/>
                <w:kern w:val="0"/>
                <w:szCs w:val="21"/>
              </w:rPr>
            </w:pPr>
            <w:r>
              <w:rPr>
                <w:rFonts w:hint="eastAsia" w:ascii="宋体" w:hAnsi="宋体" w:cs="仿宋_GB2312"/>
                <w:kern w:val="0"/>
                <w:szCs w:val="21"/>
              </w:rPr>
              <w:t>对于所有方式进入系统中的用药记录进行集中管理。</w:t>
            </w:r>
          </w:p>
        </w:tc>
      </w:tr>
      <w:tr w14:paraId="7408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4AC0A271">
            <w:pPr>
              <w:spacing w:line="400" w:lineRule="exact"/>
              <w:jc w:val="center"/>
              <w:rPr>
                <w:rFonts w:hint="eastAsia" w:ascii="宋体" w:hAnsi="宋体" w:cs="仿宋_GB2312"/>
                <w:kern w:val="0"/>
                <w:szCs w:val="21"/>
              </w:rPr>
            </w:pPr>
          </w:p>
        </w:tc>
        <w:tc>
          <w:tcPr>
            <w:tcW w:w="816" w:type="pct"/>
            <w:vAlign w:val="center"/>
          </w:tcPr>
          <w:p w14:paraId="5B249C5F">
            <w:pPr>
              <w:spacing w:line="400" w:lineRule="exact"/>
              <w:jc w:val="center"/>
              <w:rPr>
                <w:rFonts w:hint="eastAsia" w:ascii="宋体" w:hAnsi="宋体" w:cs="仿宋_GB2312"/>
                <w:kern w:val="0"/>
                <w:szCs w:val="21"/>
              </w:rPr>
            </w:pPr>
            <w:r>
              <w:rPr>
                <w:rFonts w:hint="eastAsia" w:ascii="宋体" w:hAnsi="宋体" w:cs="仿宋_GB2312"/>
                <w:kern w:val="0"/>
                <w:szCs w:val="21"/>
              </w:rPr>
              <w:t>检查记录</w:t>
            </w:r>
          </w:p>
        </w:tc>
        <w:tc>
          <w:tcPr>
            <w:tcW w:w="3552" w:type="pct"/>
          </w:tcPr>
          <w:p w14:paraId="268FC1C1">
            <w:pPr>
              <w:spacing w:line="400" w:lineRule="exact"/>
              <w:rPr>
                <w:rFonts w:hint="eastAsia" w:ascii="宋体" w:hAnsi="宋体" w:cs="仿宋_GB2312"/>
                <w:kern w:val="0"/>
                <w:szCs w:val="21"/>
              </w:rPr>
            </w:pPr>
            <w:r>
              <w:rPr>
                <w:rFonts w:hint="eastAsia" w:ascii="宋体" w:hAnsi="宋体" w:cs="仿宋_GB2312"/>
                <w:kern w:val="0"/>
                <w:szCs w:val="21"/>
              </w:rPr>
              <w:t>1.对于所有方式进入系统中的检查记录进行集中管理。</w:t>
            </w:r>
            <w:r>
              <w:rPr>
                <w:rFonts w:hint="eastAsia" w:ascii="宋体" w:hAnsi="宋体" w:cs="仿宋_GB2312"/>
                <w:kern w:val="0"/>
                <w:szCs w:val="21"/>
              </w:rPr>
              <w:br w:type="textWrapping"/>
            </w:r>
            <w:r>
              <w:rPr>
                <w:rFonts w:hint="eastAsia" w:ascii="宋体" w:hAnsi="宋体" w:cs="仿宋_GB2312"/>
                <w:kern w:val="0"/>
                <w:szCs w:val="21"/>
              </w:rPr>
              <w:t>2.能够将客户的多次检查记录合并为一份体检数据以用于开展健康风险评估、健康跟踪随访等。</w:t>
            </w:r>
          </w:p>
        </w:tc>
      </w:tr>
      <w:tr w14:paraId="416D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1023486A">
            <w:pPr>
              <w:spacing w:line="400" w:lineRule="exact"/>
              <w:jc w:val="center"/>
              <w:rPr>
                <w:rFonts w:hint="eastAsia" w:ascii="宋体" w:hAnsi="宋体" w:cs="仿宋_GB2312"/>
                <w:kern w:val="0"/>
                <w:szCs w:val="21"/>
              </w:rPr>
            </w:pPr>
          </w:p>
        </w:tc>
        <w:tc>
          <w:tcPr>
            <w:tcW w:w="816" w:type="pct"/>
            <w:vAlign w:val="center"/>
          </w:tcPr>
          <w:p w14:paraId="349DD5D0">
            <w:pPr>
              <w:spacing w:line="400" w:lineRule="exact"/>
              <w:jc w:val="center"/>
              <w:rPr>
                <w:rFonts w:hint="eastAsia" w:ascii="宋体" w:hAnsi="宋体" w:cs="仿宋_GB2312"/>
                <w:kern w:val="0"/>
                <w:szCs w:val="21"/>
              </w:rPr>
            </w:pPr>
            <w:r>
              <w:rPr>
                <w:rFonts w:hint="eastAsia" w:ascii="宋体" w:hAnsi="宋体" w:cs="仿宋_GB2312"/>
                <w:kern w:val="0"/>
                <w:szCs w:val="21"/>
              </w:rPr>
              <w:t>复查预约</w:t>
            </w:r>
          </w:p>
        </w:tc>
        <w:tc>
          <w:tcPr>
            <w:tcW w:w="3552" w:type="pct"/>
          </w:tcPr>
          <w:p w14:paraId="26205518">
            <w:pPr>
              <w:spacing w:line="400" w:lineRule="exact"/>
              <w:rPr>
                <w:rFonts w:hint="eastAsia" w:ascii="宋体" w:hAnsi="宋体" w:cs="仿宋_GB2312"/>
                <w:kern w:val="0"/>
                <w:szCs w:val="21"/>
              </w:rPr>
            </w:pPr>
            <w:r>
              <w:rPr>
                <w:rFonts w:hint="eastAsia" w:ascii="宋体" w:hAnsi="宋体" w:cs="仿宋_GB2312"/>
                <w:kern w:val="0"/>
                <w:szCs w:val="21"/>
              </w:rPr>
              <w:t>支持对阳性管理和干预人群进行复查预约引流，完成体检到诊疗的干预全过程，形成服务闭环。</w:t>
            </w:r>
          </w:p>
        </w:tc>
      </w:tr>
      <w:tr w14:paraId="1252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0" w:hRule="atLeast"/>
          <w:jc w:val="center"/>
        </w:trPr>
        <w:tc>
          <w:tcPr>
            <w:tcW w:w="631" w:type="pct"/>
            <w:vMerge w:val="continue"/>
            <w:vAlign w:val="center"/>
          </w:tcPr>
          <w:p w14:paraId="192E7201">
            <w:pPr>
              <w:spacing w:line="400" w:lineRule="exact"/>
              <w:jc w:val="center"/>
              <w:rPr>
                <w:rFonts w:hint="eastAsia" w:ascii="宋体" w:hAnsi="宋体" w:cs="仿宋_GB2312"/>
                <w:kern w:val="0"/>
                <w:szCs w:val="21"/>
              </w:rPr>
            </w:pPr>
          </w:p>
        </w:tc>
        <w:tc>
          <w:tcPr>
            <w:tcW w:w="816" w:type="pct"/>
            <w:vAlign w:val="center"/>
          </w:tcPr>
          <w:p w14:paraId="25D854C6">
            <w:pPr>
              <w:spacing w:line="400" w:lineRule="exact"/>
              <w:jc w:val="center"/>
              <w:rPr>
                <w:rFonts w:hint="eastAsia" w:ascii="宋体" w:hAnsi="宋体" w:cs="仿宋_GB2312"/>
                <w:kern w:val="0"/>
                <w:szCs w:val="21"/>
              </w:rPr>
            </w:pPr>
            <w:r>
              <w:rPr>
                <w:rFonts w:hint="eastAsia" w:ascii="宋体" w:hAnsi="宋体" w:cs="仿宋_GB2312"/>
                <w:kern w:val="0"/>
                <w:szCs w:val="21"/>
              </w:rPr>
              <w:t>院后服务</w:t>
            </w:r>
          </w:p>
        </w:tc>
        <w:tc>
          <w:tcPr>
            <w:tcW w:w="3552" w:type="pct"/>
          </w:tcPr>
          <w:p w14:paraId="7739038C">
            <w:pPr>
              <w:spacing w:line="400" w:lineRule="exact"/>
              <w:rPr>
                <w:rFonts w:hint="eastAsia" w:ascii="宋体" w:hAnsi="宋体" w:cs="仿宋_GB2312"/>
                <w:kern w:val="0"/>
                <w:szCs w:val="21"/>
              </w:rPr>
            </w:pPr>
            <w:r>
              <w:rPr>
                <w:rFonts w:hint="eastAsia" w:ascii="宋体" w:hAnsi="宋体" w:cs="仿宋_GB2312"/>
                <w:kern w:val="0"/>
                <w:szCs w:val="21"/>
              </w:rPr>
              <w:t>1.对参与院后服务的人群，可通过系统实现出院评估、个性化康复计划、家庭护理指导、用药指导与监测、病情随访与监测、并发症预防及生活方式调整、医疗资源对接、紧急应对指导、院后效评及复查管理。</w:t>
            </w:r>
          </w:p>
          <w:p w14:paraId="614A06F8">
            <w:pPr>
              <w:spacing w:line="400" w:lineRule="exact"/>
              <w:rPr>
                <w:rFonts w:hint="eastAsia" w:ascii="宋体" w:hAnsi="宋体" w:cs="仿宋_GB2312"/>
                <w:kern w:val="0"/>
                <w:szCs w:val="21"/>
              </w:rPr>
            </w:pPr>
            <w:r>
              <w:rPr>
                <w:rFonts w:hint="eastAsia" w:ascii="宋体" w:hAnsi="宋体" w:cs="仿宋_GB2312"/>
                <w:kern w:val="0"/>
                <w:szCs w:val="21"/>
              </w:rPr>
              <w:t>2.系统支持通过健康服务套餐自动匹配创建健康干预计划，</w:t>
            </w:r>
          </w:p>
          <w:p w14:paraId="6FFA54B2">
            <w:pPr>
              <w:spacing w:line="400" w:lineRule="exact"/>
              <w:rPr>
                <w:rFonts w:hint="eastAsia" w:ascii="宋体" w:hAnsi="宋体" w:cs="仿宋_GB2312"/>
                <w:kern w:val="0"/>
                <w:szCs w:val="21"/>
              </w:rPr>
            </w:pPr>
            <w:r>
              <w:rPr>
                <w:rFonts w:hint="eastAsia" w:ascii="宋体" w:hAnsi="宋体" w:cs="仿宋_GB2312"/>
                <w:kern w:val="0"/>
                <w:szCs w:val="21"/>
              </w:rPr>
              <w:t>3.支持通过干预模板创建服务计划，创建计划时可添加门诊预约、随访与复查计划、家庭护理指导、用药指导与监测、病情随访与监测、并发症预防及生活方式调整、饮食运动促进方案，</w:t>
            </w:r>
          </w:p>
          <w:p w14:paraId="7190337C">
            <w:pPr>
              <w:spacing w:line="400" w:lineRule="exact"/>
              <w:rPr>
                <w:rFonts w:hint="eastAsia" w:ascii="宋体" w:hAnsi="宋体" w:cs="仿宋_GB2312"/>
                <w:kern w:val="0"/>
                <w:szCs w:val="21"/>
              </w:rPr>
            </w:pPr>
            <w:r>
              <w:rPr>
                <w:rFonts w:hint="eastAsia" w:ascii="宋体" w:hAnsi="宋体" w:cs="仿宋_GB2312"/>
                <w:kern w:val="0"/>
                <w:szCs w:val="21"/>
              </w:rPr>
              <w:t>4.支持短信、微信的自动发送及发送配置；支持健康干预计划审核，创建后自动提醒管理师完成相关健康干预工作。</w:t>
            </w:r>
          </w:p>
          <w:p w14:paraId="441421F2">
            <w:pPr>
              <w:spacing w:line="400" w:lineRule="exact"/>
              <w:rPr>
                <w:rFonts w:hint="eastAsia" w:ascii="宋体" w:hAnsi="宋体" w:cs="仿宋_GB2312"/>
                <w:kern w:val="0"/>
                <w:szCs w:val="21"/>
              </w:rPr>
            </w:pPr>
            <w:r>
              <w:rPr>
                <w:rFonts w:hint="eastAsia" w:ascii="宋体" w:hAnsi="宋体" w:cs="仿宋_GB2312"/>
                <w:kern w:val="0"/>
                <w:szCs w:val="21"/>
              </w:rPr>
              <w:t>5.支持一个客户叠加多个健康服务套餐，系统自动合并相同计划。</w:t>
            </w:r>
          </w:p>
          <w:p w14:paraId="53670B2B">
            <w:pPr>
              <w:spacing w:line="400" w:lineRule="exact"/>
              <w:rPr>
                <w:rFonts w:hint="eastAsia" w:ascii="宋体" w:hAnsi="宋体" w:cs="仿宋_GB2312"/>
                <w:kern w:val="0"/>
                <w:szCs w:val="21"/>
              </w:rPr>
            </w:pPr>
            <w:r>
              <w:rPr>
                <w:rFonts w:hint="eastAsia" w:ascii="宋体" w:hAnsi="宋体" w:cs="仿宋_GB2312"/>
                <w:kern w:val="0"/>
                <w:szCs w:val="21"/>
              </w:rPr>
              <w:t>6.支持对无套餐客户进行健康干预。</w:t>
            </w:r>
          </w:p>
          <w:p w14:paraId="33244AB0">
            <w:pPr>
              <w:spacing w:line="400" w:lineRule="exact"/>
              <w:rPr>
                <w:rFonts w:hint="eastAsia" w:ascii="宋体" w:hAnsi="宋体" w:cs="仿宋_GB2312"/>
                <w:kern w:val="0"/>
                <w:szCs w:val="21"/>
              </w:rPr>
            </w:pPr>
            <w:r>
              <w:rPr>
                <w:rFonts w:hint="eastAsia" w:ascii="宋体" w:hAnsi="宋体" w:cs="仿宋_GB2312"/>
                <w:kern w:val="0"/>
                <w:szCs w:val="21"/>
              </w:rPr>
              <w:t>7.支持健康干预计划任务分配。</w:t>
            </w:r>
          </w:p>
        </w:tc>
      </w:tr>
      <w:tr w14:paraId="480D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restart"/>
            <w:vAlign w:val="center"/>
          </w:tcPr>
          <w:p w14:paraId="6F295F31">
            <w:pPr>
              <w:spacing w:line="400" w:lineRule="exact"/>
              <w:jc w:val="center"/>
              <w:rPr>
                <w:rFonts w:hint="eastAsia" w:ascii="宋体" w:hAnsi="宋体" w:cs="仿宋_GB2312"/>
                <w:kern w:val="0"/>
                <w:szCs w:val="21"/>
              </w:rPr>
            </w:pPr>
            <w:r>
              <w:rPr>
                <w:rFonts w:hint="eastAsia" w:ascii="宋体" w:hAnsi="宋体" w:cs="仿宋_GB2312"/>
                <w:kern w:val="0"/>
                <w:szCs w:val="21"/>
              </w:rPr>
              <w:t>数据分析</w:t>
            </w:r>
          </w:p>
        </w:tc>
        <w:tc>
          <w:tcPr>
            <w:tcW w:w="816" w:type="pct"/>
            <w:vAlign w:val="center"/>
          </w:tcPr>
          <w:p w14:paraId="2135D084">
            <w:pPr>
              <w:spacing w:line="400" w:lineRule="exact"/>
              <w:jc w:val="center"/>
              <w:rPr>
                <w:rFonts w:hint="eastAsia" w:ascii="宋体" w:hAnsi="宋体" w:cs="仿宋_GB2312"/>
                <w:kern w:val="0"/>
                <w:szCs w:val="21"/>
              </w:rPr>
            </w:pPr>
            <w:r>
              <w:rPr>
                <w:rFonts w:hint="eastAsia" w:ascii="宋体" w:hAnsi="宋体" w:cs="仿宋_GB2312"/>
                <w:kern w:val="0"/>
                <w:szCs w:val="21"/>
              </w:rPr>
              <w:t>慢病评估分析</w:t>
            </w:r>
          </w:p>
        </w:tc>
        <w:tc>
          <w:tcPr>
            <w:tcW w:w="3552" w:type="pct"/>
          </w:tcPr>
          <w:p w14:paraId="288D1938">
            <w:pPr>
              <w:spacing w:line="400" w:lineRule="exact"/>
              <w:rPr>
                <w:rFonts w:hint="eastAsia" w:ascii="宋体" w:hAnsi="宋体" w:cs="仿宋_GB2312"/>
                <w:kern w:val="0"/>
                <w:szCs w:val="21"/>
              </w:rPr>
            </w:pPr>
            <w:r>
              <w:rPr>
                <w:rFonts w:hint="eastAsia" w:ascii="宋体" w:hAnsi="宋体" w:cs="仿宋_GB2312"/>
                <w:kern w:val="0"/>
                <w:szCs w:val="21"/>
              </w:rPr>
              <w:t>支持对系统内所有客户的评估数据进行智能分析，从年龄段、时间范围、性别、类别等维度进行评估人数、性别分布、年龄分布、疾病风险等级、生活方式等，分析结果支持导出。</w:t>
            </w:r>
          </w:p>
        </w:tc>
      </w:tr>
      <w:tr w14:paraId="3898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631" w:type="pct"/>
            <w:vMerge w:val="continue"/>
            <w:vAlign w:val="center"/>
          </w:tcPr>
          <w:p w14:paraId="3DB0D820">
            <w:pPr>
              <w:spacing w:line="400" w:lineRule="exact"/>
              <w:jc w:val="center"/>
              <w:rPr>
                <w:rFonts w:hint="eastAsia" w:ascii="宋体" w:hAnsi="宋体" w:cs="仿宋_GB2312"/>
                <w:kern w:val="0"/>
                <w:szCs w:val="21"/>
              </w:rPr>
            </w:pPr>
          </w:p>
        </w:tc>
        <w:tc>
          <w:tcPr>
            <w:tcW w:w="816" w:type="pct"/>
            <w:vAlign w:val="center"/>
          </w:tcPr>
          <w:p w14:paraId="44600A0F">
            <w:pPr>
              <w:spacing w:line="400" w:lineRule="exact"/>
              <w:jc w:val="center"/>
              <w:rPr>
                <w:rFonts w:hint="eastAsia" w:ascii="宋体" w:hAnsi="宋体" w:cs="仿宋_GB2312"/>
                <w:kern w:val="0"/>
                <w:szCs w:val="21"/>
              </w:rPr>
            </w:pPr>
            <w:r>
              <w:rPr>
                <w:rFonts w:hint="eastAsia" w:ascii="宋体" w:hAnsi="宋体" w:cs="仿宋_GB2312"/>
                <w:kern w:val="0"/>
                <w:szCs w:val="21"/>
              </w:rPr>
              <w:t>健康干预分析</w:t>
            </w:r>
          </w:p>
        </w:tc>
        <w:tc>
          <w:tcPr>
            <w:tcW w:w="3552" w:type="pct"/>
          </w:tcPr>
          <w:p w14:paraId="336EB166">
            <w:pPr>
              <w:spacing w:line="400" w:lineRule="exact"/>
              <w:rPr>
                <w:rFonts w:hint="eastAsia" w:ascii="宋体" w:hAnsi="宋体" w:cs="仿宋_GB2312"/>
                <w:kern w:val="0"/>
                <w:szCs w:val="21"/>
              </w:rPr>
            </w:pPr>
            <w:r>
              <w:rPr>
                <w:rFonts w:hint="eastAsia" w:ascii="宋体" w:hAnsi="宋体" w:cs="仿宋_GB2312"/>
                <w:kern w:val="0"/>
                <w:szCs w:val="21"/>
              </w:rPr>
              <w:t>支持对系统内所有管理师的健康干预工作进行智能分析，从干预人、干预形式、干预时间、人员分类等维度进干预人数、干预形式、干预病种统计、干预满意度、干预完成度分析、干预效果评价包括生理指标、行为改变等，分析结果支持导出。</w:t>
            </w:r>
          </w:p>
        </w:tc>
      </w:tr>
      <w:tr w14:paraId="0DFB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49F2A268">
            <w:pPr>
              <w:spacing w:line="400" w:lineRule="exact"/>
              <w:jc w:val="center"/>
              <w:rPr>
                <w:rFonts w:hint="eastAsia" w:ascii="宋体" w:hAnsi="宋体" w:cs="仿宋_GB2312"/>
                <w:kern w:val="0"/>
                <w:szCs w:val="21"/>
              </w:rPr>
            </w:pPr>
          </w:p>
        </w:tc>
        <w:tc>
          <w:tcPr>
            <w:tcW w:w="816" w:type="pct"/>
            <w:vAlign w:val="center"/>
          </w:tcPr>
          <w:p w14:paraId="7C4D5947">
            <w:pPr>
              <w:spacing w:line="400" w:lineRule="exact"/>
              <w:jc w:val="center"/>
              <w:rPr>
                <w:rFonts w:hint="eastAsia" w:ascii="宋体" w:hAnsi="宋体" w:cs="仿宋_GB2312"/>
                <w:kern w:val="0"/>
                <w:szCs w:val="21"/>
              </w:rPr>
            </w:pPr>
            <w:r>
              <w:rPr>
                <w:rFonts w:hint="eastAsia" w:ascii="宋体" w:hAnsi="宋体" w:cs="仿宋_GB2312"/>
                <w:kern w:val="0"/>
                <w:szCs w:val="21"/>
              </w:rPr>
              <w:t>健康体检分析</w:t>
            </w:r>
          </w:p>
        </w:tc>
        <w:tc>
          <w:tcPr>
            <w:tcW w:w="3552" w:type="pct"/>
          </w:tcPr>
          <w:p w14:paraId="3E66EF68">
            <w:pPr>
              <w:spacing w:line="400" w:lineRule="exact"/>
              <w:rPr>
                <w:rFonts w:hint="eastAsia" w:ascii="宋体" w:hAnsi="宋体" w:cs="仿宋_GB2312"/>
                <w:kern w:val="0"/>
                <w:szCs w:val="21"/>
              </w:rPr>
            </w:pPr>
            <w:r>
              <w:rPr>
                <w:rFonts w:hint="eastAsia" w:ascii="宋体" w:hAnsi="宋体" w:cs="仿宋_GB2312"/>
                <w:kern w:val="0"/>
                <w:szCs w:val="21"/>
              </w:rPr>
              <w:t>支持对系统内所有客户的体检数据进行智能分析，从年龄段、时间范围、性别、类别等维度进行体检异常结果TOP10分析、基础指标等分析，分析结果支持导出。</w:t>
            </w:r>
          </w:p>
        </w:tc>
      </w:tr>
      <w:tr w14:paraId="1160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78913DF4">
            <w:pPr>
              <w:spacing w:line="400" w:lineRule="exact"/>
              <w:jc w:val="center"/>
              <w:rPr>
                <w:rFonts w:hint="eastAsia" w:ascii="宋体" w:hAnsi="宋体" w:cs="仿宋_GB2312"/>
                <w:kern w:val="0"/>
                <w:szCs w:val="21"/>
              </w:rPr>
            </w:pPr>
          </w:p>
        </w:tc>
        <w:tc>
          <w:tcPr>
            <w:tcW w:w="816" w:type="pct"/>
            <w:vAlign w:val="center"/>
          </w:tcPr>
          <w:p w14:paraId="7702A084">
            <w:pPr>
              <w:spacing w:line="400" w:lineRule="exact"/>
              <w:jc w:val="center"/>
              <w:rPr>
                <w:rFonts w:hint="eastAsia" w:ascii="宋体" w:hAnsi="宋体" w:cs="仿宋_GB2312"/>
                <w:kern w:val="0"/>
                <w:szCs w:val="21"/>
              </w:rPr>
            </w:pPr>
            <w:r>
              <w:rPr>
                <w:rFonts w:hint="eastAsia" w:ascii="宋体" w:hAnsi="宋体" w:cs="仿宋_GB2312"/>
                <w:kern w:val="0"/>
                <w:szCs w:val="21"/>
              </w:rPr>
              <w:t>慢病问卷分析</w:t>
            </w:r>
          </w:p>
        </w:tc>
        <w:tc>
          <w:tcPr>
            <w:tcW w:w="3552" w:type="pct"/>
          </w:tcPr>
          <w:p w14:paraId="3AD4D0EE">
            <w:pPr>
              <w:spacing w:line="400" w:lineRule="exact"/>
              <w:rPr>
                <w:rFonts w:hint="eastAsia" w:ascii="宋体" w:hAnsi="宋体" w:cs="仿宋_GB2312"/>
                <w:kern w:val="0"/>
                <w:szCs w:val="21"/>
              </w:rPr>
            </w:pPr>
            <w:r>
              <w:rPr>
                <w:rFonts w:hint="eastAsia" w:ascii="宋体" w:hAnsi="宋体" w:cs="仿宋_GB2312"/>
                <w:kern w:val="0"/>
                <w:szCs w:val="21"/>
              </w:rPr>
              <w:t>支持对系统内所有客户的慢病问卷进行智能分析，从年龄段、时间范围、性别、类别等维度进行分生活方式分析、中医体质辨识分析、心理测评分析，分析结果支持导出。</w:t>
            </w:r>
          </w:p>
        </w:tc>
      </w:tr>
      <w:tr w14:paraId="7CF0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continue"/>
            <w:vAlign w:val="center"/>
          </w:tcPr>
          <w:p w14:paraId="2AFB020C">
            <w:pPr>
              <w:spacing w:line="400" w:lineRule="exact"/>
              <w:jc w:val="center"/>
              <w:rPr>
                <w:rFonts w:hint="eastAsia" w:ascii="宋体" w:hAnsi="宋体" w:cs="仿宋_GB2312"/>
                <w:kern w:val="0"/>
                <w:szCs w:val="21"/>
              </w:rPr>
            </w:pPr>
          </w:p>
        </w:tc>
        <w:tc>
          <w:tcPr>
            <w:tcW w:w="816" w:type="pct"/>
            <w:vAlign w:val="center"/>
          </w:tcPr>
          <w:p w14:paraId="7A8A4F69">
            <w:pPr>
              <w:spacing w:line="400" w:lineRule="exact"/>
              <w:jc w:val="center"/>
              <w:rPr>
                <w:rFonts w:hint="eastAsia" w:ascii="宋体" w:hAnsi="宋体" w:cs="仿宋_GB2312"/>
                <w:kern w:val="0"/>
                <w:szCs w:val="21"/>
              </w:rPr>
            </w:pPr>
            <w:r>
              <w:rPr>
                <w:rFonts w:hint="eastAsia" w:ascii="宋体" w:hAnsi="宋体" w:cs="仿宋_GB2312"/>
                <w:kern w:val="0"/>
                <w:szCs w:val="21"/>
              </w:rPr>
              <w:t>健康行为分析</w:t>
            </w:r>
          </w:p>
        </w:tc>
        <w:tc>
          <w:tcPr>
            <w:tcW w:w="3552" w:type="pct"/>
          </w:tcPr>
          <w:p w14:paraId="2715732C">
            <w:pPr>
              <w:spacing w:line="400" w:lineRule="exact"/>
              <w:rPr>
                <w:rFonts w:hint="eastAsia" w:ascii="宋体" w:hAnsi="宋体" w:cs="仿宋_GB2312"/>
                <w:kern w:val="0"/>
                <w:szCs w:val="21"/>
              </w:rPr>
            </w:pPr>
            <w:r>
              <w:rPr>
                <w:rFonts w:hint="eastAsia" w:ascii="宋体" w:hAnsi="宋体" w:cs="仿宋_GB2312"/>
                <w:kern w:val="0"/>
                <w:szCs w:val="21"/>
              </w:rPr>
              <w:t>支持对系统内所有客户在健康移动应用中的所有操作行为，从年龄段、时间范围、性别、类别等维度进行智能分析，分析结果支持导出。</w:t>
            </w:r>
          </w:p>
        </w:tc>
      </w:tr>
      <w:tr w14:paraId="67A5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31" w:type="pct"/>
            <w:vMerge w:val="continue"/>
            <w:vAlign w:val="center"/>
          </w:tcPr>
          <w:p w14:paraId="215186EC">
            <w:pPr>
              <w:spacing w:line="400" w:lineRule="exact"/>
              <w:jc w:val="center"/>
              <w:rPr>
                <w:rFonts w:hint="eastAsia" w:ascii="宋体" w:hAnsi="宋体" w:cs="仿宋_GB2312"/>
                <w:kern w:val="0"/>
                <w:szCs w:val="21"/>
              </w:rPr>
            </w:pPr>
          </w:p>
        </w:tc>
        <w:tc>
          <w:tcPr>
            <w:tcW w:w="816" w:type="pct"/>
            <w:vAlign w:val="center"/>
          </w:tcPr>
          <w:p w14:paraId="4FB1BE9C">
            <w:pPr>
              <w:spacing w:line="400" w:lineRule="exact"/>
              <w:jc w:val="center"/>
              <w:rPr>
                <w:rFonts w:hint="eastAsia" w:ascii="宋体" w:hAnsi="宋体" w:cs="仿宋_GB2312"/>
                <w:kern w:val="0"/>
                <w:szCs w:val="21"/>
              </w:rPr>
            </w:pPr>
            <w:r>
              <w:rPr>
                <w:rFonts w:hint="eastAsia" w:ascii="宋体" w:hAnsi="宋体" w:cs="仿宋_GB2312"/>
                <w:kern w:val="0"/>
                <w:szCs w:val="21"/>
              </w:rPr>
              <w:t>跟踪结果分析</w:t>
            </w:r>
          </w:p>
        </w:tc>
        <w:tc>
          <w:tcPr>
            <w:tcW w:w="3552" w:type="pct"/>
          </w:tcPr>
          <w:p w14:paraId="70EA4D52">
            <w:pPr>
              <w:spacing w:line="400" w:lineRule="exact"/>
              <w:rPr>
                <w:rFonts w:hint="eastAsia" w:ascii="宋体" w:hAnsi="宋体" w:cs="仿宋_GB2312"/>
                <w:kern w:val="0"/>
                <w:szCs w:val="21"/>
              </w:rPr>
            </w:pPr>
            <w:r>
              <w:rPr>
                <w:rFonts w:hint="eastAsia" w:ascii="宋体" w:hAnsi="宋体" w:cs="仿宋_GB2312"/>
                <w:kern w:val="0"/>
                <w:szCs w:val="21"/>
              </w:rPr>
              <w:t>对于所有参与回访和干预的客户进行跟踪结果分析，从年龄段、时间范围、性别、类别等维度进行跟踪人次分析，门诊预约、复查预约、疾病转归等，分析结果支持导出。</w:t>
            </w:r>
          </w:p>
        </w:tc>
      </w:tr>
      <w:tr w14:paraId="693E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31" w:type="pct"/>
            <w:vMerge w:val="restart"/>
            <w:vAlign w:val="center"/>
          </w:tcPr>
          <w:p w14:paraId="4927A61B">
            <w:pPr>
              <w:spacing w:line="400" w:lineRule="exact"/>
              <w:jc w:val="center"/>
              <w:rPr>
                <w:rFonts w:hint="eastAsia" w:ascii="宋体" w:hAnsi="宋体" w:cs="仿宋_GB2312"/>
                <w:kern w:val="0"/>
                <w:szCs w:val="21"/>
              </w:rPr>
            </w:pPr>
            <w:r>
              <w:rPr>
                <w:rFonts w:hint="eastAsia" w:ascii="宋体" w:hAnsi="宋体" w:cs="仿宋_GB2312"/>
                <w:kern w:val="0"/>
                <w:szCs w:val="21"/>
              </w:rPr>
              <w:t>医生绩效</w:t>
            </w:r>
          </w:p>
        </w:tc>
        <w:tc>
          <w:tcPr>
            <w:tcW w:w="816" w:type="pct"/>
            <w:vAlign w:val="center"/>
          </w:tcPr>
          <w:p w14:paraId="111C48B5">
            <w:pPr>
              <w:spacing w:line="400" w:lineRule="exact"/>
              <w:jc w:val="center"/>
              <w:rPr>
                <w:rFonts w:hint="eastAsia" w:ascii="宋体" w:hAnsi="宋体" w:cs="仿宋_GB2312"/>
                <w:kern w:val="0"/>
                <w:szCs w:val="21"/>
              </w:rPr>
            </w:pPr>
            <w:r>
              <w:rPr>
                <w:rFonts w:hint="eastAsia" w:ascii="宋体" w:hAnsi="宋体" w:cs="仿宋_GB2312"/>
                <w:kern w:val="0"/>
                <w:szCs w:val="21"/>
              </w:rPr>
              <w:t>工作量分析</w:t>
            </w:r>
          </w:p>
        </w:tc>
        <w:tc>
          <w:tcPr>
            <w:tcW w:w="3552" w:type="pct"/>
          </w:tcPr>
          <w:p w14:paraId="051DF4A4">
            <w:pPr>
              <w:spacing w:line="400" w:lineRule="exact"/>
              <w:rPr>
                <w:rFonts w:hint="eastAsia" w:ascii="宋体" w:hAnsi="宋体" w:cs="仿宋_GB2312"/>
                <w:kern w:val="0"/>
                <w:szCs w:val="21"/>
              </w:rPr>
            </w:pPr>
            <w:r>
              <w:rPr>
                <w:rFonts w:hint="eastAsia" w:ascii="宋体" w:hAnsi="宋体" w:cs="仿宋_GB2312"/>
                <w:kern w:val="0"/>
                <w:szCs w:val="21"/>
              </w:rPr>
              <w:t>对于系统内所有健康管理师的工作量进行智能分析，从健康任务创建量、执行计划量、干预完成度、干预方式、回访人数、回访次数、回访完成度、回访方式等进行分析，分析结果支持导出。</w:t>
            </w:r>
          </w:p>
        </w:tc>
      </w:tr>
      <w:tr w14:paraId="788F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631" w:type="pct"/>
            <w:vMerge w:val="continue"/>
            <w:vAlign w:val="center"/>
          </w:tcPr>
          <w:p w14:paraId="2CA9F6D2">
            <w:pPr>
              <w:spacing w:line="400" w:lineRule="exact"/>
              <w:jc w:val="center"/>
              <w:rPr>
                <w:rFonts w:hint="eastAsia" w:ascii="宋体" w:hAnsi="宋体" w:cs="仿宋_GB2312"/>
                <w:kern w:val="0"/>
                <w:szCs w:val="21"/>
              </w:rPr>
            </w:pPr>
          </w:p>
        </w:tc>
        <w:tc>
          <w:tcPr>
            <w:tcW w:w="816" w:type="pct"/>
            <w:vAlign w:val="center"/>
          </w:tcPr>
          <w:p w14:paraId="0F6EA9EA">
            <w:pPr>
              <w:spacing w:line="400" w:lineRule="exact"/>
              <w:jc w:val="center"/>
              <w:rPr>
                <w:rFonts w:hint="eastAsia" w:ascii="宋体" w:hAnsi="宋体" w:cs="仿宋_GB2312"/>
                <w:kern w:val="0"/>
                <w:szCs w:val="21"/>
              </w:rPr>
            </w:pPr>
            <w:r>
              <w:rPr>
                <w:rFonts w:hint="eastAsia" w:ascii="宋体" w:hAnsi="宋体" w:cs="仿宋_GB2312"/>
                <w:kern w:val="0"/>
                <w:szCs w:val="21"/>
              </w:rPr>
              <w:t>健康汇总分析</w:t>
            </w:r>
          </w:p>
        </w:tc>
        <w:tc>
          <w:tcPr>
            <w:tcW w:w="3552" w:type="pct"/>
          </w:tcPr>
          <w:p w14:paraId="23791E65">
            <w:pPr>
              <w:spacing w:line="400" w:lineRule="exact"/>
              <w:rPr>
                <w:rFonts w:hint="eastAsia" w:ascii="宋体" w:hAnsi="宋体" w:cs="仿宋_GB2312"/>
                <w:kern w:val="0"/>
                <w:szCs w:val="21"/>
              </w:rPr>
            </w:pPr>
            <w:r>
              <w:rPr>
                <w:rFonts w:hint="eastAsia" w:ascii="宋体" w:hAnsi="宋体" w:cs="仿宋_GB2312"/>
                <w:kern w:val="0"/>
                <w:szCs w:val="21"/>
              </w:rPr>
              <w:t>支持从基础档案、健康体检、慢病问卷、风险评估等多维度自定义开展实时数据分析工作，可以根据机构的管理要求针对分析结果进行批量编辑、批量推送短信/微信/问卷、批量导出，能够快速引用历史数据分析条件进行健康汇总分析。</w:t>
            </w:r>
          </w:p>
        </w:tc>
      </w:tr>
    </w:tbl>
    <w:p w14:paraId="4265736A">
      <w:pPr>
        <w:spacing w:line="400" w:lineRule="exact"/>
        <w:rPr>
          <w:rFonts w:hint="eastAsia" w:ascii="宋体" w:hAnsi="宋体"/>
          <w:szCs w:val="21"/>
        </w:rPr>
      </w:pPr>
    </w:p>
    <w:p w14:paraId="49098D16">
      <w:pPr>
        <w:pStyle w:val="2"/>
        <w:numPr>
          <w:ilvl w:val="0"/>
          <w:numId w:val="4"/>
        </w:numPr>
        <w:spacing w:before="120" w:after="120" w:line="400" w:lineRule="exact"/>
        <w:rPr>
          <w:rFonts w:hint="eastAsia" w:ascii="宋体" w:hAnsi="宋体"/>
          <w:sz w:val="21"/>
          <w:szCs w:val="21"/>
        </w:rPr>
      </w:pPr>
      <w:r>
        <w:rPr>
          <w:rFonts w:hint="eastAsia" w:ascii="宋体" w:hAnsi="宋体"/>
          <w:sz w:val="21"/>
          <w:szCs w:val="21"/>
        </w:rPr>
        <w:t>配套硬件设备及系统软件技术参数要求</w:t>
      </w:r>
    </w:p>
    <w:p w14:paraId="0E766E32">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配套硬件</w:t>
      </w:r>
    </w:p>
    <w:p w14:paraId="706E2889">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超融合服务器节点</w:t>
      </w:r>
    </w:p>
    <w:p w14:paraId="4D160EB3">
      <w:pPr>
        <w:spacing w:line="400" w:lineRule="exact"/>
        <w:ind w:firstLine="420" w:firstLineChars="200"/>
        <w:rPr>
          <w:rFonts w:hint="eastAsia" w:ascii="宋体" w:hAnsi="宋体"/>
          <w:szCs w:val="21"/>
        </w:rPr>
      </w:pPr>
      <w:r>
        <w:rPr>
          <w:rFonts w:hint="eastAsia" w:ascii="宋体" w:hAnsi="宋体"/>
          <w:szCs w:val="21"/>
        </w:rPr>
        <w:t>1、规格：2U机架式服务器。</w:t>
      </w:r>
    </w:p>
    <w:p w14:paraId="623EB77A">
      <w:pPr>
        <w:spacing w:line="400" w:lineRule="exact"/>
        <w:ind w:firstLine="420" w:firstLineChars="200"/>
        <w:rPr>
          <w:rFonts w:hint="eastAsia" w:ascii="宋体" w:hAnsi="宋体"/>
          <w:szCs w:val="21"/>
        </w:rPr>
      </w:pPr>
      <w:r>
        <w:rPr>
          <w:rFonts w:hint="eastAsia" w:ascii="宋体" w:hAnsi="宋体"/>
          <w:szCs w:val="21"/>
        </w:rPr>
        <w:t>2、处理器：配置≥2颗Intel 处理器,CPU主频≥2.2GHz，单颗CPU内核数≥26个；</w:t>
      </w:r>
    </w:p>
    <w:p w14:paraId="1B11A3FB">
      <w:pPr>
        <w:spacing w:line="400" w:lineRule="exact"/>
        <w:ind w:firstLine="420" w:firstLineChars="200"/>
        <w:rPr>
          <w:rFonts w:hint="eastAsia" w:ascii="宋体" w:hAnsi="宋体"/>
          <w:szCs w:val="21"/>
        </w:rPr>
      </w:pPr>
      <w:r>
        <w:rPr>
          <w:rFonts w:hint="eastAsia" w:ascii="宋体" w:hAnsi="宋体"/>
          <w:szCs w:val="21"/>
        </w:rPr>
        <w:t>3、内存：配置≥512GB DDR4 3200MHz内存，最大支持≥24条扩展插槽，配合持久内存最大支持≥6TB内存扩展</w:t>
      </w:r>
    </w:p>
    <w:p w14:paraId="0ECC93CD">
      <w:pPr>
        <w:spacing w:line="400" w:lineRule="exact"/>
        <w:ind w:firstLine="420" w:firstLineChars="200"/>
        <w:rPr>
          <w:rFonts w:hint="eastAsia" w:ascii="宋体" w:hAnsi="宋体"/>
          <w:szCs w:val="21"/>
        </w:rPr>
      </w:pPr>
      <w:r>
        <w:rPr>
          <w:rFonts w:hint="eastAsia" w:ascii="宋体" w:hAnsi="宋体"/>
          <w:szCs w:val="21"/>
        </w:rPr>
        <w:t>4、硬盘：配置≥2块480GB SSD（系统盘）+配置≥2块960GB SSD（缓存盘）+配置≥3块8TB SATA 7.2K机械（数据存储盘）,可选支持≥26个2.5寸硬盘扩展机型；可支持切换SAS/SATA/U.2硬盘不用更换背板；支持前置直连U.2 NVMe SSD硬盘。</w:t>
      </w:r>
    </w:p>
    <w:p w14:paraId="594EDB1D">
      <w:pPr>
        <w:spacing w:line="400" w:lineRule="exact"/>
        <w:ind w:firstLine="420" w:firstLineChars="200"/>
        <w:rPr>
          <w:rFonts w:hint="eastAsia" w:ascii="宋体" w:hAnsi="宋体"/>
          <w:szCs w:val="21"/>
        </w:rPr>
      </w:pPr>
      <w:r>
        <w:rPr>
          <w:rFonts w:hint="eastAsia" w:ascii="宋体" w:hAnsi="宋体"/>
          <w:szCs w:val="21"/>
        </w:rPr>
        <w:t>5、RAID功能：配置≥独立RAID卡 ，提供raid 0/1/10/5</w:t>
      </w:r>
    </w:p>
    <w:p w14:paraId="4138D7DA">
      <w:pPr>
        <w:spacing w:line="400" w:lineRule="exact"/>
        <w:ind w:firstLine="420" w:firstLineChars="200"/>
        <w:rPr>
          <w:rFonts w:hint="eastAsia" w:ascii="宋体" w:hAnsi="宋体"/>
          <w:szCs w:val="21"/>
        </w:rPr>
      </w:pPr>
      <w:r>
        <w:rPr>
          <w:rFonts w:hint="eastAsia" w:ascii="宋体" w:hAnsi="宋体"/>
          <w:szCs w:val="21"/>
        </w:rPr>
        <w:t>6、网卡：配置≥1个4口千兆网卡+2口万兆光（含模块）；配置1个独享的管理端口。</w:t>
      </w:r>
    </w:p>
    <w:p w14:paraId="3CBDAAC0">
      <w:pPr>
        <w:spacing w:line="400" w:lineRule="exact"/>
        <w:ind w:firstLine="420" w:firstLineChars="200"/>
        <w:rPr>
          <w:rFonts w:hint="eastAsia" w:ascii="宋体" w:hAnsi="宋体"/>
          <w:szCs w:val="21"/>
        </w:rPr>
      </w:pPr>
      <w:r>
        <w:rPr>
          <w:rFonts w:hint="eastAsia" w:ascii="宋体" w:hAnsi="宋体"/>
          <w:szCs w:val="21"/>
        </w:rPr>
        <w:t>7、电源：电源输出功率≥800W 80+铂金电源1+1冗余电源。</w:t>
      </w:r>
    </w:p>
    <w:p w14:paraId="534C5872">
      <w:pPr>
        <w:spacing w:line="400" w:lineRule="exact"/>
        <w:ind w:firstLine="420" w:firstLineChars="200"/>
        <w:rPr>
          <w:rFonts w:hint="eastAsia" w:ascii="宋体" w:hAnsi="宋体"/>
          <w:szCs w:val="21"/>
        </w:rPr>
      </w:pPr>
      <w:r>
        <w:rPr>
          <w:rFonts w:hint="eastAsia" w:ascii="宋体" w:hAnsi="宋体"/>
          <w:szCs w:val="21"/>
        </w:rPr>
        <w:t>8、冷却系统：配置4个冗余（N+1）热插拔系统风扇。</w:t>
      </w:r>
    </w:p>
    <w:p w14:paraId="32E9FF4E">
      <w:pPr>
        <w:spacing w:line="400" w:lineRule="exact"/>
        <w:ind w:firstLine="420" w:firstLineChars="200"/>
        <w:rPr>
          <w:rFonts w:hint="eastAsia" w:ascii="宋体" w:hAnsi="宋体"/>
          <w:szCs w:val="21"/>
        </w:rPr>
      </w:pPr>
      <w:r>
        <w:rPr>
          <w:rFonts w:hint="eastAsia" w:ascii="宋体" w:hAnsi="宋体"/>
          <w:szCs w:val="21"/>
        </w:rPr>
        <w:t>9、I/O扩展：最大支持≥8个PCIe 4.0插槽，配置≥4个USB 接口，支持USB 3.0。</w:t>
      </w:r>
    </w:p>
    <w:p w14:paraId="55F430C5">
      <w:pPr>
        <w:spacing w:line="400" w:lineRule="exact"/>
        <w:ind w:firstLine="420" w:firstLineChars="200"/>
        <w:rPr>
          <w:rFonts w:hint="eastAsia" w:ascii="宋体" w:hAnsi="宋体"/>
          <w:szCs w:val="21"/>
        </w:rPr>
      </w:pPr>
      <w:r>
        <w:rPr>
          <w:rFonts w:hint="eastAsia" w:ascii="宋体" w:hAnsi="宋体"/>
          <w:szCs w:val="21"/>
        </w:rPr>
        <w:t>10、服务器管理：提供针对处理器，内存，内部存储，风扇，电源，阵列卡等关键部件的故障预报警机制；提供针对处理器，内存插槽，风扇，电源，CPU板的LED故障报警指示灯；配置远程管理模块和独立远程管理网口，支持通过浏览器访问带外管理界面，可以收集和查看硬件资产信息、系统日志和诊断信息，监控服务器系统运行状态、健康情况和性能信息。</w:t>
      </w:r>
    </w:p>
    <w:p w14:paraId="13FFE2D1">
      <w:pPr>
        <w:spacing w:line="400" w:lineRule="exact"/>
        <w:ind w:firstLine="420" w:firstLineChars="200"/>
        <w:rPr>
          <w:rFonts w:hint="eastAsia" w:ascii="宋体" w:hAnsi="宋体"/>
          <w:szCs w:val="21"/>
        </w:rPr>
      </w:pPr>
      <w:r>
        <w:rPr>
          <w:rFonts w:hint="eastAsia" w:ascii="宋体" w:hAnsi="宋体"/>
          <w:szCs w:val="21"/>
        </w:rPr>
        <w:t>11、能源管理工具：提供同品牌能源管理软件，可对数据中心内同一品牌的塔式、机架、刀片服务器以及超融合节点等提供实时电源能耗、健康状况以及温度等的监控和分析，可查看和控制服务器散热，可提供优化的能源方案。</w:t>
      </w:r>
    </w:p>
    <w:p w14:paraId="5AAD18F5">
      <w:pPr>
        <w:spacing w:line="400" w:lineRule="exact"/>
        <w:ind w:firstLine="420" w:firstLineChars="200"/>
        <w:rPr>
          <w:rFonts w:hint="eastAsia" w:ascii="宋体" w:hAnsi="宋体"/>
          <w:szCs w:val="21"/>
        </w:rPr>
      </w:pPr>
      <w:r>
        <w:rPr>
          <w:rFonts w:hint="eastAsia" w:ascii="宋体" w:hAnsi="宋体"/>
          <w:szCs w:val="21"/>
        </w:rPr>
        <w:t>12、系统管理软件：提供同品牌运维管理软件，可在同一个图形界面里管理服务器和存储资源，并监控详细的性能与容量。配置部署无需命令行操作，只需在图形化管理界面上点击即可完成。要求提供移动APP，通过APP可以集中监控查看超融合设备的状态、审计日志和报警信息，以及执行设备电源开关动作等。提供与主流虚拟化平台集成：可与数据中心现有VMware vCenter集成，由vCenter直接管理硬件；</w:t>
      </w:r>
    </w:p>
    <w:p w14:paraId="3DA34F36">
      <w:pPr>
        <w:spacing w:line="400" w:lineRule="exact"/>
        <w:ind w:firstLine="420" w:firstLineChars="200"/>
        <w:rPr>
          <w:rFonts w:hint="eastAsia" w:ascii="宋体" w:hAnsi="宋体"/>
          <w:color w:val="auto"/>
          <w:szCs w:val="21"/>
        </w:rPr>
      </w:pPr>
      <w:r>
        <w:rPr>
          <w:rFonts w:hint="eastAsia" w:ascii="宋体" w:hAnsi="宋体"/>
          <w:color w:val="auto"/>
          <w:szCs w:val="21"/>
        </w:rPr>
        <w:t>13、</w:t>
      </w:r>
      <w:r>
        <w:rPr>
          <w:rFonts w:hint="eastAsia" w:ascii="宋体" w:hAnsi="宋体" w:eastAsia="宋体" w:cs="宋体"/>
          <w:color w:val="auto"/>
          <w:szCs w:val="21"/>
        </w:rPr>
        <w:t>◆</w:t>
      </w:r>
      <w:r>
        <w:rPr>
          <w:rFonts w:hint="eastAsia" w:ascii="宋体" w:hAnsi="宋体"/>
          <w:color w:val="auto"/>
          <w:szCs w:val="21"/>
        </w:rPr>
        <w:t>针对虚拟资源管理员提供一套统一的WEB管理平台，用于管理网络，计算和存储虚拟资源。投标时提供相关功能界面截图。</w:t>
      </w:r>
    </w:p>
    <w:p w14:paraId="3D22AD26">
      <w:pPr>
        <w:spacing w:line="400" w:lineRule="exact"/>
        <w:ind w:firstLine="420" w:firstLineChars="200"/>
        <w:rPr>
          <w:rFonts w:hint="eastAsia" w:ascii="宋体" w:hAnsi="宋体"/>
          <w:szCs w:val="21"/>
        </w:rPr>
      </w:pPr>
      <w:r>
        <w:rPr>
          <w:rFonts w:hint="eastAsia" w:ascii="宋体" w:hAnsi="宋体"/>
          <w:color w:val="auto"/>
          <w:szCs w:val="21"/>
        </w:rPr>
        <w:t>14、</w:t>
      </w:r>
      <w:r>
        <w:rPr>
          <w:rFonts w:hint="eastAsia" w:ascii="宋体" w:hAnsi="宋体"/>
          <w:color w:val="auto"/>
          <w:szCs w:val="21"/>
          <w:lang w:eastAsia="zh-CN"/>
        </w:rPr>
        <w:t>◆</w:t>
      </w:r>
      <w:r>
        <w:rPr>
          <w:rFonts w:hint="eastAsia" w:ascii="宋体" w:hAnsi="宋体"/>
          <w:color w:val="auto"/>
          <w:szCs w:val="21"/>
        </w:rPr>
        <w:t>支持</w:t>
      </w:r>
      <w:r>
        <w:rPr>
          <w:rFonts w:hint="eastAsia" w:ascii="宋体" w:hAnsi="宋体"/>
          <w:szCs w:val="21"/>
        </w:rPr>
        <w:t>数据同步可视化功能，当发生数据同步时在管理界面上可看到数据同步进度。投标时提供相关功能界面截图。</w:t>
      </w:r>
    </w:p>
    <w:p w14:paraId="76595F2C">
      <w:pPr>
        <w:spacing w:line="400" w:lineRule="exact"/>
        <w:ind w:firstLine="420" w:firstLineChars="200"/>
        <w:rPr>
          <w:rFonts w:hint="eastAsia" w:ascii="宋体" w:hAnsi="宋体"/>
          <w:szCs w:val="21"/>
        </w:rPr>
      </w:pPr>
      <w:r>
        <w:rPr>
          <w:rFonts w:hint="eastAsia" w:ascii="宋体" w:hAnsi="宋体"/>
          <w:szCs w:val="21"/>
        </w:rPr>
        <w:t>15、云存储：提供支持同品牌云存储软件，非OEM产品；支持集群部署，采用多副本冗余存储技术，支持副本数≥2；支持网页版、windows客户端、mac客户端、虚拟盘符版、android版、ipad版、iphone版，随时随地办公；提供Windows系统、Mac系统下的outlook邮箱插件；支持office或wps在线预览，支持图片文件在线预览（图片预览时需支持旋转和缩放），对于音视频文件无需下载也无需安装任何播放器软件即可实现在线播放。支持预览水印格式：WPS、office、PDF。可显示文字水印、账户信息、IP地址及时间。支持文件加密上传功能，上传到网盘中的文件为加密文件，下载到本地后需要专属工具方可对文件进行解密，实现文件的安全管控能力，并且无需借助任何第三方插件或平台；</w:t>
      </w:r>
    </w:p>
    <w:p w14:paraId="5DA5090D">
      <w:pPr>
        <w:spacing w:line="400" w:lineRule="exact"/>
        <w:ind w:firstLine="420" w:firstLineChars="200"/>
        <w:rPr>
          <w:rFonts w:hint="eastAsia" w:ascii="宋体" w:hAnsi="宋体"/>
          <w:szCs w:val="21"/>
        </w:rPr>
      </w:pPr>
      <w:r>
        <w:rPr>
          <w:rFonts w:hint="eastAsia" w:ascii="宋体" w:hAnsi="宋体"/>
          <w:color w:val="auto"/>
          <w:szCs w:val="21"/>
        </w:rPr>
        <w:t>16、▲磁盘备份：</w:t>
      </w:r>
      <w:r>
        <w:rPr>
          <w:rFonts w:hint="eastAsia" w:ascii="宋体" w:hAnsi="宋体"/>
          <w:szCs w:val="21"/>
        </w:rPr>
        <w:t>内置12TB同品牌备份软件功能，Windows 兼容性：通过微软认证的Windows Server /2008/2008R2/2012/2012R2/2016支持，帮助减少成本和部署时间，确保兼容性和可靠性，保护本地或远程服务器和工作站的所有系统配置信息，包括活动目录。 Linux兼容性：支持以下Linux客户端系统：Oracle、Red Hat、SUSE、Centos、Asianux Consortium 、Canonical、Citrix、Debian、Novell；支持重复数据删除：内置重复数据删除功能，大大减少备份时间窗口，无需额外安装和配置，重复数据删除可随意在数据源端和备份服务器端进行配置；全局重删池最大支持64TB以上；支持对（物理机，VMware，Hyper-V，Linux）备份作业数据进行全局灵活的块级重复数据删除。支持源端，目标端，第三方设备等多种重删方式；支持虚拟机环境：在同一界面同时支持vmware和Hyper-V虚拟机环境，实现与虚拟机无关的脱机备份，支持vmdk的块级增量备份，拥有即时恢复功能，可实现对虚拟机实现即时恢复；支持虚拟机整机恢复和单个文件，和应用的细颗粒恢复，备份后自动验证每一个虚拟机备份的可恢复性，保证备份的可用性；</w:t>
      </w:r>
    </w:p>
    <w:p w14:paraId="1F59317C">
      <w:pPr>
        <w:spacing w:line="400" w:lineRule="exact"/>
        <w:ind w:firstLine="420" w:firstLineChars="200"/>
        <w:rPr>
          <w:rFonts w:hint="eastAsia" w:ascii="宋体" w:hAnsi="宋体"/>
          <w:szCs w:val="21"/>
        </w:rPr>
      </w:pPr>
      <w:r>
        <w:rPr>
          <w:rFonts w:hint="eastAsia" w:ascii="宋体" w:hAnsi="宋体"/>
          <w:szCs w:val="21"/>
        </w:rPr>
        <w:t>17、安全：</w:t>
      </w:r>
    </w:p>
    <w:p w14:paraId="3BCC1BE4">
      <w:pPr>
        <w:spacing w:line="400" w:lineRule="exact"/>
        <w:ind w:firstLine="420" w:firstLineChars="200"/>
        <w:rPr>
          <w:rFonts w:hint="eastAsia" w:ascii="宋体" w:hAnsi="宋体"/>
          <w:color w:val="auto"/>
          <w:szCs w:val="21"/>
        </w:rPr>
      </w:pPr>
      <w:r>
        <w:rPr>
          <w:rFonts w:hint="eastAsia" w:ascii="宋体" w:hAnsi="宋体"/>
          <w:color w:val="auto"/>
          <w:szCs w:val="21"/>
          <w:lang w:eastAsia="zh-CN"/>
        </w:rPr>
        <w:t>◆</w:t>
      </w:r>
      <w:r>
        <w:rPr>
          <w:rFonts w:hint="eastAsia" w:ascii="宋体" w:hAnsi="宋体"/>
          <w:color w:val="auto"/>
          <w:szCs w:val="21"/>
        </w:rPr>
        <w:t>⑴、为确保底层系统安全，配置TCM（Trusted Cryptographic Module）可信加密模块（于投标文件中必须提供相关证明材料，可以是产品彩页或产品功能截图）；</w:t>
      </w:r>
    </w:p>
    <w:p w14:paraId="2056DC5C">
      <w:pPr>
        <w:spacing w:line="400" w:lineRule="exact"/>
        <w:ind w:firstLine="420" w:firstLineChars="200"/>
        <w:rPr>
          <w:rFonts w:hint="eastAsia" w:ascii="宋体" w:hAnsi="宋体"/>
          <w:szCs w:val="21"/>
        </w:rPr>
      </w:pPr>
      <w:r>
        <w:rPr>
          <w:rFonts w:hint="eastAsia" w:ascii="宋体" w:hAnsi="宋体"/>
          <w:color w:val="auto"/>
          <w:szCs w:val="21"/>
          <w:lang w:eastAsia="zh-CN"/>
        </w:rPr>
        <w:t>◆</w:t>
      </w:r>
      <w:r>
        <w:rPr>
          <w:rFonts w:hint="eastAsia" w:ascii="宋体" w:hAnsi="宋体"/>
          <w:color w:val="auto"/>
          <w:szCs w:val="21"/>
        </w:rPr>
        <w:t>⑵</w:t>
      </w:r>
      <w:r>
        <w:rPr>
          <w:rFonts w:hint="eastAsia" w:ascii="宋体" w:hAnsi="宋体"/>
          <w:szCs w:val="21"/>
        </w:rPr>
        <w:t>、支持安全管理平台，控制台支持实时显示客户端的状态，支持多种虚拟化平台的同台管理，既在同一套管理平台上同时支持如Vmware，华为、华三、锐捷，微软等不同虚拟化平台虚拟机安全管理，客户端支持将扫描检测到的未知文件上报到管理控制台通过云引擎进行分析判断，同时对终端威胁情报进行全网共享（于投标文件中必须提供相关证明材料，可以是产品彩页、官网截图或产品功能截图）。</w:t>
      </w:r>
    </w:p>
    <w:p w14:paraId="3F5089CB">
      <w:pPr>
        <w:spacing w:line="400" w:lineRule="exact"/>
        <w:ind w:firstLine="420" w:firstLineChars="200"/>
        <w:rPr>
          <w:rFonts w:hint="eastAsia" w:ascii="宋体" w:hAnsi="宋体"/>
          <w:szCs w:val="21"/>
        </w:rPr>
      </w:pPr>
      <w:r>
        <w:rPr>
          <w:rFonts w:hint="eastAsia" w:ascii="宋体" w:hAnsi="宋体"/>
          <w:szCs w:val="21"/>
        </w:rPr>
        <w:t>18、服务：提供原厂3年售后支持服务；提供原厂基础安装服务,为保证服务质量，供货时提供原厂授权（加盖原厂章）。</w:t>
      </w:r>
    </w:p>
    <w:p w14:paraId="0FC2F875">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超融合软件</w:t>
      </w:r>
    </w:p>
    <w:p w14:paraId="1FDB4805">
      <w:pPr>
        <w:spacing w:line="400" w:lineRule="exact"/>
        <w:ind w:firstLine="420" w:firstLineChars="200"/>
        <w:rPr>
          <w:rFonts w:hint="eastAsia" w:ascii="宋体" w:hAnsi="宋体"/>
          <w:color w:val="auto"/>
          <w:szCs w:val="21"/>
        </w:rPr>
      </w:pPr>
      <w:r>
        <w:rPr>
          <w:rFonts w:hint="eastAsia" w:ascii="宋体" w:hAnsi="宋体"/>
          <w:color w:val="auto"/>
          <w:szCs w:val="21"/>
        </w:rPr>
        <w:t>1、供应商所提供的软件产品、硬件产品必须为同一品牌，为了保证良好的兼容性，不能采用第三方（OEM/ODM）硬件服务器；</w:t>
      </w:r>
    </w:p>
    <w:p w14:paraId="3A66AB59">
      <w:pPr>
        <w:spacing w:line="400" w:lineRule="exact"/>
        <w:ind w:firstLine="420" w:firstLineChars="200"/>
        <w:rPr>
          <w:rFonts w:hint="eastAsia" w:ascii="宋体" w:hAnsi="宋体"/>
          <w:color w:val="auto"/>
          <w:szCs w:val="21"/>
        </w:rPr>
      </w:pPr>
      <w:r>
        <w:rPr>
          <w:rFonts w:hint="eastAsia" w:ascii="宋体" w:hAnsi="宋体"/>
          <w:color w:val="auto"/>
          <w:szCs w:val="21"/>
        </w:rPr>
        <w:t>本次提供的软件及硬件产品，为统一品牌，均享有原厂售后维保服务</w:t>
      </w:r>
    </w:p>
    <w:p w14:paraId="0FC83A32">
      <w:pPr>
        <w:spacing w:line="400" w:lineRule="exact"/>
        <w:ind w:firstLine="420" w:firstLineChars="200"/>
        <w:rPr>
          <w:rFonts w:hint="eastAsia" w:ascii="宋体" w:hAnsi="宋体"/>
          <w:color w:val="auto"/>
          <w:szCs w:val="21"/>
        </w:rPr>
      </w:pPr>
      <w:r>
        <w:rPr>
          <w:rFonts w:hint="eastAsia" w:ascii="宋体" w:hAnsi="宋体"/>
          <w:color w:val="auto"/>
          <w:szCs w:val="21"/>
        </w:rPr>
        <w:t>2、服务器虚拟化平台和存储平台采用松耦合架构，服务器虚拟化平台支持KVM，可单独对模块进行版本升级，升级过程对业务无影响；</w:t>
      </w:r>
    </w:p>
    <w:p w14:paraId="0F6D40DF">
      <w:pPr>
        <w:spacing w:line="400" w:lineRule="exact"/>
        <w:ind w:firstLine="420" w:firstLineChars="200"/>
        <w:rPr>
          <w:rFonts w:hint="eastAsia" w:ascii="宋体" w:hAnsi="宋体"/>
          <w:color w:val="auto"/>
          <w:szCs w:val="21"/>
        </w:rPr>
      </w:pPr>
      <w:r>
        <w:rPr>
          <w:rFonts w:hint="eastAsia" w:ascii="宋体" w:hAnsi="宋体"/>
          <w:color w:val="auto"/>
          <w:szCs w:val="21"/>
        </w:rPr>
        <w:t>3、超融合产品支持1节点、2节点、多节点部署，集群节点数量不受限制，2节点集群无需额外部署仲裁节点，可通过网络交换机实现仲裁机制，保证业务系统持续可用性；(提供产品功能截图 )</w:t>
      </w:r>
    </w:p>
    <w:p w14:paraId="6D5E6108">
      <w:pPr>
        <w:spacing w:line="400" w:lineRule="exact"/>
        <w:ind w:firstLine="420" w:firstLineChars="200"/>
        <w:rPr>
          <w:rFonts w:hint="eastAsia" w:ascii="宋体" w:hAnsi="宋体"/>
          <w:color w:val="auto"/>
          <w:szCs w:val="21"/>
        </w:rPr>
      </w:pPr>
      <w:r>
        <w:rPr>
          <w:rFonts w:hint="eastAsia" w:ascii="宋体" w:hAnsi="宋体"/>
          <w:color w:val="auto"/>
          <w:szCs w:val="21"/>
        </w:rPr>
        <w:t>4、混闪配置场景中，支持缓存盘数量大于数据盘数量，并能充分使用；系统可用容量大于数据盘总容量；支持全闪配置，同时提供更高的存储性能；</w:t>
      </w:r>
    </w:p>
    <w:p w14:paraId="58BD6EAF">
      <w:pPr>
        <w:spacing w:line="400" w:lineRule="exact"/>
        <w:ind w:firstLine="420" w:firstLineChars="200"/>
        <w:rPr>
          <w:rFonts w:hint="eastAsia" w:ascii="宋体" w:hAnsi="宋体"/>
          <w:color w:val="auto"/>
          <w:szCs w:val="21"/>
        </w:rPr>
      </w:pPr>
      <w:r>
        <w:rPr>
          <w:rFonts w:hint="eastAsia" w:ascii="宋体" w:hAnsi="宋体"/>
          <w:color w:val="auto"/>
          <w:szCs w:val="21"/>
        </w:rPr>
        <w:t>5、为了保证软件的兼容性，超融合软件可以支持市场主流国产芯片服务器部署，提供至少两家产品兼容性证明；</w:t>
      </w:r>
    </w:p>
    <w:p w14:paraId="764C164C">
      <w:pPr>
        <w:spacing w:line="400" w:lineRule="exact"/>
        <w:ind w:firstLine="420" w:firstLineChars="200"/>
        <w:rPr>
          <w:rFonts w:hint="eastAsia" w:ascii="宋体" w:hAnsi="宋体"/>
          <w:color w:val="auto"/>
          <w:szCs w:val="21"/>
        </w:rPr>
      </w:pPr>
      <w:r>
        <w:rPr>
          <w:rFonts w:hint="eastAsia" w:ascii="宋体" w:hAnsi="宋体"/>
          <w:color w:val="auto"/>
          <w:szCs w:val="21"/>
        </w:rPr>
        <w:t>6、超融合软件支持一体机交付方式或纯软件交付方式；支持更换服务器硬件无需更换软件，软件授权不锁定硬件，软件授权可转移；</w:t>
      </w:r>
    </w:p>
    <w:p w14:paraId="600062EF">
      <w:pPr>
        <w:spacing w:line="400" w:lineRule="exact"/>
        <w:ind w:firstLine="420" w:firstLineChars="200"/>
        <w:rPr>
          <w:rFonts w:hint="eastAsia" w:ascii="宋体" w:hAnsi="宋体"/>
          <w:color w:val="auto"/>
          <w:szCs w:val="21"/>
        </w:rPr>
      </w:pPr>
      <w:r>
        <w:rPr>
          <w:rFonts w:hint="eastAsia" w:ascii="宋体" w:hAnsi="宋体"/>
          <w:color w:val="auto"/>
          <w:szCs w:val="21"/>
        </w:rPr>
        <w:t>7、支持单节点部署或高可用部署，支持超融合集群内部部署或外部部署，支持在线进行版本升级；</w:t>
      </w:r>
    </w:p>
    <w:p w14:paraId="09E05873">
      <w:pPr>
        <w:spacing w:line="400" w:lineRule="exact"/>
        <w:ind w:firstLine="420" w:firstLineChars="200"/>
        <w:rPr>
          <w:rFonts w:hint="eastAsia" w:ascii="宋体" w:hAnsi="宋体"/>
          <w:color w:val="auto"/>
          <w:szCs w:val="21"/>
        </w:rPr>
      </w:pPr>
      <w:r>
        <w:rPr>
          <w:rFonts w:hint="eastAsia" w:ascii="宋体" w:hAnsi="宋体"/>
          <w:color w:val="auto"/>
          <w:szCs w:val="21"/>
        </w:rPr>
        <w:t>8、</w:t>
      </w:r>
      <w:r>
        <w:rPr>
          <w:rFonts w:hint="eastAsia" w:ascii="宋体" w:hAnsi="宋体"/>
          <w:color w:val="auto"/>
          <w:szCs w:val="21"/>
          <w:lang w:eastAsia="zh-CN"/>
        </w:rPr>
        <w:t>◆</w:t>
      </w:r>
      <w:r>
        <w:rPr>
          <w:rFonts w:hint="eastAsia" w:ascii="宋体" w:hAnsi="宋体"/>
          <w:color w:val="auto"/>
          <w:szCs w:val="21"/>
        </w:rPr>
        <w:t>云平台支持统一管理功能，全图形化B/S模式，支持在同一界面对超融合、虚拟化、桌面云产品进行集中管理，无需多个管理界面进行切换，支持对多种CPU架构集群进行集中管理，支持同时纳管多个VMware vCenter集群；(提供产品功能截图 )</w:t>
      </w:r>
    </w:p>
    <w:p w14:paraId="7EADDD49">
      <w:pPr>
        <w:spacing w:line="400" w:lineRule="exact"/>
        <w:ind w:firstLine="420" w:firstLineChars="200"/>
        <w:rPr>
          <w:rFonts w:hint="eastAsia" w:ascii="宋体" w:hAnsi="宋体"/>
          <w:color w:val="auto"/>
          <w:szCs w:val="21"/>
        </w:rPr>
      </w:pPr>
      <w:r>
        <w:rPr>
          <w:rFonts w:hint="eastAsia" w:ascii="宋体" w:hAnsi="宋体"/>
          <w:color w:val="auto"/>
          <w:szCs w:val="21"/>
        </w:rPr>
        <w:t>9、为了简化虚拟资源管理，提升数据安全性，云管平台应支持项目（租户）管理功能，支持通过项目对资源进行隔离，包括虚拟机、存储等，按项目分配不同权限用户，用户可拥有所属虚拟机资源，用户登录到云平台后仅可以看到所分配的资源（提供产品功能截图 ）</w:t>
      </w:r>
    </w:p>
    <w:p w14:paraId="6F0F2B7C">
      <w:pPr>
        <w:spacing w:line="400" w:lineRule="exact"/>
        <w:ind w:firstLine="420" w:firstLineChars="200"/>
        <w:rPr>
          <w:rFonts w:hint="eastAsia" w:ascii="宋体" w:hAnsi="宋体"/>
          <w:color w:val="auto"/>
          <w:szCs w:val="21"/>
        </w:rPr>
      </w:pPr>
      <w:r>
        <w:rPr>
          <w:rFonts w:hint="eastAsia" w:ascii="宋体" w:hAnsi="宋体"/>
          <w:color w:val="auto"/>
          <w:szCs w:val="21"/>
        </w:rPr>
        <w:t>10、支持对接外置存储磁盘阵列或软件定义存储，接口类型应包括FC SAN、iSCSI、NFS，支持基于外部存储的服务器节点高可用性，虚拟机可在不同存储间进行迁移和备份（提供产品功能截图 ）；</w:t>
      </w:r>
    </w:p>
    <w:p w14:paraId="34041887">
      <w:pPr>
        <w:spacing w:line="400" w:lineRule="exact"/>
        <w:ind w:firstLine="420" w:firstLineChars="200"/>
        <w:rPr>
          <w:rFonts w:hint="eastAsia" w:ascii="宋体" w:hAnsi="宋体"/>
          <w:color w:val="auto"/>
          <w:szCs w:val="21"/>
        </w:rPr>
      </w:pPr>
      <w:r>
        <w:rPr>
          <w:rFonts w:hint="eastAsia" w:ascii="宋体" w:hAnsi="宋体"/>
          <w:color w:val="auto"/>
          <w:szCs w:val="21"/>
        </w:rPr>
        <w:t>11、</w:t>
      </w:r>
      <w:r>
        <w:rPr>
          <w:rFonts w:hint="eastAsia" w:ascii="宋体" w:hAnsi="宋体"/>
          <w:color w:val="auto"/>
          <w:szCs w:val="21"/>
          <w:lang w:eastAsia="zh-CN"/>
        </w:rPr>
        <w:t>◆</w:t>
      </w:r>
      <w:r>
        <w:rPr>
          <w:rFonts w:hint="eastAsia" w:ascii="宋体" w:hAnsi="宋体"/>
          <w:color w:val="auto"/>
          <w:szCs w:val="21"/>
        </w:rPr>
        <w:t>直观展示存储池/硬盘数据空间分布和数据访问热度，提供最近一小时的热度展示。其中存储池级别的热力图支持按照节点和硬盘类型维度分别展示；(提供产品功能截图 )</w:t>
      </w:r>
    </w:p>
    <w:p w14:paraId="1C2DBCDA">
      <w:pPr>
        <w:spacing w:line="400" w:lineRule="exact"/>
        <w:ind w:firstLine="420" w:firstLineChars="200"/>
        <w:rPr>
          <w:rFonts w:hint="eastAsia" w:ascii="宋体" w:hAnsi="宋体"/>
          <w:color w:val="auto"/>
          <w:szCs w:val="21"/>
        </w:rPr>
      </w:pPr>
      <w:r>
        <w:rPr>
          <w:rFonts w:hint="eastAsia" w:ascii="宋体" w:hAnsi="宋体"/>
          <w:color w:val="auto"/>
          <w:szCs w:val="21"/>
        </w:rPr>
        <w:t>12、提供内置连续数据扫描功能，从交付完成开始，超融合系统持续比对数据副本的一致性，及时修复发现的数据校验错误。统一管理界面提供一键式数据完整性扫描，提供可视化的数据扫描进度，针对每个存储卷容器提供正常扫描和快速扫描两种方式，直观展示开始扫描的时间、风险状态、风险虚拟机，针对风险的虚拟机系统会自动触发数据修复，并提供再次扫描的功能（提供产品功能截图 ）；</w:t>
      </w:r>
    </w:p>
    <w:p w14:paraId="21B2A774">
      <w:pPr>
        <w:spacing w:line="400" w:lineRule="exact"/>
        <w:ind w:firstLine="420" w:firstLineChars="200"/>
        <w:rPr>
          <w:rFonts w:hint="eastAsia" w:ascii="宋体" w:hAnsi="宋体"/>
          <w:color w:val="auto"/>
          <w:szCs w:val="21"/>
        </w:rPr>
      </w:pPr>
      <w:r>
        <w:rPr>
          <w:rFonts w:hint="eastAsia" w:ascii="宋体" w:hAnsi="宋体"/>
          <w:color w:val="auto"/>
          <w:szCs w:val="21"/>
        </w:rPr>
        <w:t>13、为了满足不同语言客户使用需求，云管平台应支持多语言显示，应至少支持中文、英文字体（提供产品功能截图 ）；</w:t>
      </w:r>
    </w:p>
    <w:p w14:paraId="5DCEBFB7">
      <w:pPr>
        <w:spacing w:line="400" w:lineRule="exact"/>
        <w:ind w:firstLine="420" w:firstLineChars="200"/>
        <w:rPr>
          <w:rFonts w:hint="eastAsia" w:ascii="宋体" w:hAnsi="宋体"/>
          <w:color w:val="auto"/>
          <w:szCs w:val="21"/>
        </w:rPr>
      </w:pPr>
      <w:r>
        <w:rPr>
          <w:rFonts w:hint="eastAsia" w:ascii="宋体" w:hAnsi="宋体"/>
          <w:color w:val="auto"/>
          <w:szCs w:val="21"/>
        </w:rPr>
        <w:t>14、支持资源拓扑功能，通过拓扑图方式直观展示管理平台、集群、主机、虚拟机的对应关系，支持不同级别对象打开/折叠展示，支持在拓扑图中对主机、虚拟机级别进行创建、开机、关机等操作（提供产品功能截图 ）；</w:t>
      </w:r>
    </w:p>
    <w:p w14:paraId="5F9DC09F">
      <w:pPr>
        <w:spacing w:line="400" w:lineRule="exact"/>
        <w:ind w:firstLine="420" w:firstLineChars="200"/>
        <w:rPr>
          <w:rFonts w:hint="eastAsia" w:ascii="宋体" w:hAnsi="宋体"/>
          <w:color w:val="auto"/>
          <w:szCs w:val="21"/>
        </w:rPr>
      </w:pPr>
      <w:r>
        <w:rPr>
          <w:rFonts w:hint="eastAsia" w:ascii="宋体" w:hAnsi="宋体"/>
          <w:color w:val="auto"/>
          <w:szCs w:val="21"/>
        </w:rPr>
        <w:t>15、</w:t>
      </w:r>
      <w:r>
        <w:rPr>
          <w:rFonts w:hint="eastAsia" w:ascii="宋体" w:hAnsi="宋体"/>
          <w:color w:val="auto"/>
          <w:szCs w:val="21"/>
          <w:lang w:eastAsia="zh-CN"/>
        </w:rPr>
        <w:t>◆</w:t>
      </w:r>
      <w:r>
        <w:rPr>
          <w:rFonts w:hint="eastAsia" w:ascii="宋体" w:hAnsi="宋体"/>
          <w:color w:val="auto"/>
          <w:szCs w:val="21"/>
        </w:rPr>
        <w:t>为了满足业务系统的弹性需求，应支持伸缩组功能，可对一组业务虚拟机或有弹性资源需求的虚拟机设置伸缩组，可根据设定的CPU阈值对伸缩组中虚拟机进行动态的增加和减少；(提供产品功能截图 )</w:t>
      </w:r>
    </w:p>
    <w:p w14:paraId="41F3783E">
      <w:pPr>
        <w:spacing w:line="400" w:lineRule="exact"/>
        <w:ind w:firstLine="420" w:firstLineChars="200"/>
        <w:rPr>
          <w:rFonts w:hint="eastAsia" w:ascii="宋体" w:hAnsi="宋体"/>
          <w:color w:val="auto"/>
          <w:szCs w:val="21"/>
        </w:rPr>
      </w:pPr>
      <w:r>
        <w:rPr>
          <w:rFonts w:hint="eastAsia" w:ascii="宋体" w:hAnsi="宋体"/>
          <w:color w:val="auto"/>
          <w:szCs w:val="21"/>
        </w:rPr>
        <w:t>16、支持镜像管理功能，应支持多种文件格式（iso、vfd、tar.gz、ova、ovf）文件镜像，可对镜像文件进行上传、下载、修改、删除等操作，可通过镜像文件快速创建虚拟机（提供产品功能截图 ）；</w:t>
      </w:r>
    </w:p>
    <w:p w14:paraId="3458AC41">
      <w:pPr>
        <w:spacing w:line="400" w:lineRule="exact"/>
        <w:ind w:firstLine="420" w:firstLineChars="200"/>
        <w:rPr>
          <w:rFonts w:hint="eastAsia" w:ascii="宋体" w:hAnsi="宋体"/>
          <w:color w:val="auto"/>
          <w:szCs w:val="21"/>
        </w:rPr>
      </w:pPr>
      <w:r>
        <w:rPr>
          <w:rFonts w:hint="eastAsia" w:ascii="宋体" w:hAnsi="宋体"/>
          <w:color w:val="auto"/>
          <w:szCs w:val="21"/>
        </w:rPr>
        <w:t>17、支持对虚拟磁盘进行集中管理，支持删除虚拟机后保留虚拟磁盘，能够对虚拟磁盘执行精细化操作，如上传、创建、挂载、卸载、扩展、修改、删除等（提供产品功能截图 ）；</w:t>
      </w:r>
    </w:p>
    <w:p w14:paraId="48D50943">
      <w:pPr>
        <w:spacing w:line="400" w:lineRule="exact"/>
        <w:ind w:firstLine="420" w:firstLineChars="200"/>
        <w:rPr>
          <w:rFonts w:hint="eastAsia" w:ascii="宋体" w:hAnsi="宋体"/>
          <w:color w:val="auto"/>
          <w:szCs w:val="21"/>
        </w:rPr>
      </w:pPr>
      <w:r>
        <w:rPr>
          <w:rFonts w:hint="eastAsia" w:ascii="宋体" w:hAnsi="宋体"/>
          <w:color w:val="auto"/>
          <w:szCs w:val="21"/>
        </w:rPr>
        <w:t>18、支持虚拟机分组功能，可以按业务需求对虚拟机进行分组，方便虚拟化资源管理（提供产品功能截图 ）；</w:t>
      </w:r>
    </w:p>
    <w:p w14:paraId="2FD12C67">
      <w:pPr>
        <w:spacing w:line="400" w:lineRule="exact"/>
        <w:ind w:firstLine="420" w:firstLineChars="200"/>
        <w:rPr>
          <w:rFonts w:hint="eastAsia" w:ascii="宋体" w:hAnsi="宋体"/>
          <w:color w:val="auto"/>
          <w:szCs w:val="21"/>
        </w:rPr>
      </w:pPr>
      <w:r>
        <w:rPr>
          <w:rFonts w:hint="eastAsia" w:ascii="宋体" w:hAnsi="宋体"/>
          <w:color w:val="auto"/>
          <w:szCs w:val="21"/>
        </w:rPr>
        <w:t>19、支持虚拟机标签管理功能，可以按需设置标签（提供产品功能截图 ）；</w:t>
      </w:r>
    </w:p>
    <w:p w14:paraId="06A135D3">
      <w:pPr>
        <w:spacing w:line="400" w:lineRule="exact"/>
        <w:ind w:firstLine="420" w:firstLineChars="200"/>
        <w:rPr>
          <w:rFonts w:hint="eastAsia" w:ascii="宋体" w:hAnsi="宋体"/>
          <w:color w:val="auto"/>
          <w:szCs w:val="21"/>
        </w:rPr>
      </w:pPr>
      <w:r>
        <w:rPr>
          <w:rFonts w:hint="eastAsia" w:ascii="宋体" w:hAnsi="宋体"/>
          <w:color w:val="auto"/>
          <w:szCs w:val="21"/>
        </w:rPr>
        <w:t>20、zabbix集成桌面/虚拟机和服务器所有的监控指标数据；</w:t>
      </w:r>
    </w:p>
    <w:p w14:paraId="719AA149">
      <w:pPr>
        <w:spacing w:line="400" w:lineRule="exact"/>
        <w:ind w:firstLine="420" w:firstLineChars="200"/>
        <w:rPr>
          <w:rFonts w:hint="eastAsia" w:ascii="宋体" w:hAnsi="宋体"/>
          <w:color w:val="auto"/>
          <w:szCs w:val="21"/>
        </w:rPr>
      </w:pPr>
      <w:r>
        <w:rPr>
          <w:rFonts w:hint="eastAsia" w:ascii="宋体" w:hAnsi="宋体"/>
          <w:color w:val="auto"/>
          <w:szCs w:val="21"/>
        </w:rPr>
        <w:t>21、系统应具备良好的兼容性与开放性，可提供标准API接口与第三方系统或产品实现无缝集成对接；</w:t>
      </w:r>
    </w:p>
    <w:p w14:paraId="542A7237">
      <w:pPr>
        <w:spacing w:line="400" w:lineRule="exact"/>
        <w:ind w:firstLine="420" w:firstLineChars="200"/>
        <w:rPr>
          <w:rFonts w:hint="eastAsia" w:ascii="宋体" w:hAnsi="宋体"/>
          <w:color w:val="auto"/>
          <w:szCs w:val="21"/>
        </w:rPr>
      </w:pPr>
      <w:r>
        <w:rPr>
          <w:rFonts w:hint="eastAsia" w:ascii="宋体" w:hAnsi="宋体"/>
          <w:color w:val="auto"/>
          <w:szCs w:val="21"/>
        </w:rPr>
        <w:t>22、云平台完全自主研发，不能基于开源产品（如Openstack）开发，应能够提供整体架构平台性能监控功能，对集群资源、服务器、虚拟机的性能监控图，可以自定义监控周期，支持对监控数据进行报表导出（提供产品功能截图 ）；</w:t>
      </w:r>
    </w:p>
    <w:p w14:paraId="7B6C9C31">
      <w:pPr>
        <w:spacing w:line="400" w:lineRule="exact"/>
        <w:ind w:firstLine="420" w:firstLineChars="200"/>
        <w:rPr>
          <w:rFonts w:hint="eastAsia" w:ascii="宋体" w:hAnsi="宋体"/>
          <w:color w:val="auto"/>
          <w:szCs w:val="21"/>
        </w:rPr>
      </w:pPr>
      <w:r>
        <w:rPr>
          <w:rFonts w:hint="eastAsia" w:ascii="宋体" w:hAnsi="宋体"/>
          <w:color w:val="auto"/>
          <w:szCs w:val="21"/>
        </w:rPr>
        <w:t>23、支持实时查看服务器节点运行状态，支持集群实时监控，实时显示CPU、内存、硬盘的使用情况（提供产品功能截图 ）；</w:t>
      </w:r>
    </w:p>
    <w:p w14:paraId="10B0F971">
      <w:pPr>
        <w:spacing w:line="400" w:lineRule="exact"/>
        <w:ind w:firstLine="420" w:firstLineChars="200"/>
        <w:rPr>
          <w:rFonts w:hint="eastAsia" w:ascii="宋体" w:hAnsi="宋体"/>
          <w:color w:val="auto"/>
          <w:szCs w:val="21"/>
        </w:rPr>
      </w:pPr>
      <w:r>
        <w:rPr>
          <w:rFonts w:hint="eastAsia" w:ascii="宋体" w:hAnsi="宋体"/>
          <w:color w:val="auto"/>
          <w:szCs w:val="21"/>
        </w:rPr>
        <w:t>24、支持慢盘检测功能，系统可以自动检测硬盘的读性能、写性能，出现性能问题的硬盘会被置于faulted状态（提供产品功能截图 ）；</w:t>
      </w:r>
    </w:p>
    <w:p w14:paraId="705E1E6B">
      <w:pPr>
        <w:spacing w:line="400" w:lineRule="exact"/>
        <w:ind w:firstLine="420" w:firstLineChars="200"/>
        <w:rPr>
          <w:rFonts w:hint="eastAsia" w:ascii="宋体" w:hAnsi="宋体"/>
          <w:color w:val="auto"/>
          <w:szCs w:val="21"/>
        </w:rPr>
      </w:pPr>
      <w:r>
        <w:rPr>
          <w:rFonts w:hint="eastAsia" w:ascii="宋体" w:hAnsi="宋体"/>
          <w:color w:val="auto"/>
          <w:szCs w:val="21"/>
        </w:rPr>
        <w:t>25、支持SSD硬盘寿命监测功能，在图形界面通过百分比方式展示SSD硬盘当前寿命，避免硬盘寿命到期后导致的存储数据丢失和性能下降（提供产品功能截图 ）；</w:t>
      </w:r>
    </w:p>
    <w:p w14:paraId="65C1DBD1">
      <w:pPr>
        <w:spacing w:line="400" w:lineRule="exact"/>
        <w:ind w:firstLine="420" w:firstLineChars="200"/>
        <w:rPr>
          <w:rFonts w:hint="eastAsia" w:ascii="宋体" w:hAnsi="宋体"/>
          <w:color w:val="auto"/>
          <w:szCs w:val="21"/>
        </w:rPr>
      </w:pPr>
      <w:r>
        <w:rPr>
          <w:rFonts w:hint="eastAsia" w:ascii="宋体" w:hAnsi="宋体"/>
          <w:color w:val="auto"/>
          <w:szCs w:val="21"/>
        </w:rPr>
        <w:t>26、</w:t>
      </w:r>
      <w:r>
        <w:rPr>
          <w:rFonts w:hint="eastAsia" w:ascii="宋体" w:hAnsi="宋体"/>
          <w:color w:val="auto"/>
          <w:szCs w:val="21"/>
          <w:lang w:eastAsia="zh-CN"/>
        </w:rPr>
        <w:t>◆</w:t>
      </w:r>
      <w:r>
        <w:rPr>
          <w:rFonts w:hint="eastAsia" w:ascii="宋体" w:hAnsi="宋体"/>
          <w:color w:val="auto"/>
          <w:szCs w:val="21"/>
        </w:rPr>
        <w:t>支持通过Top5/Top10方式进行资源负载展示，通过曲线图或图表对CPU利用率、内存利用率、存储IOPS负载排名前5/10的服务器、虚拟机资源对象进行直观展示，可以快速识别资源过度负载的对象；(提供产品功能截图 )</w:t>
      </w:r>
    </w:p>
    <w:p w14:paraId="591ABEF6">
      <w:pPr>
        <w:spacing w:line="400" w:lineRule="exact"/>
        <w:ind w:firstLine="420" w:firstLineChars="200"/>
        <w:rPr>
          <w:rFonts w:hint="eastAsia" w:ascii="宋体" w:hAnsi="宋体"/>
          <w:color w:val="auto"/>
          <w:szCs w:val="21"/>
        </w:rPr>
      </w:pPr>
      <w:r>
        <w:rPr>
          <w:rFonts w:hint="eastAsia" w:ascii="宋体" w:hAnsi="宋体"/>
          <w:color w:val="auto"/>
          <w:szCs w:val="21"/>
        </w:rPr>
        <w:t>27、云平台应支持系统内置精细化告警规则，可根据告警规则自定义告警阈值，当设置的告警指标超过该阈值时，指定用户可以接到警报，避免资源过载导致的系统性问题（提供产品功能截图 ）；</w:t>
      </w:r>
    </w:p>
    <w:p w14:paraId="721CBBA1">
      <w:pPr>
        <w:spacing w:line="400" w:lineRule="exact"/>
        <w:ind w:firstLine="420" w:firstLineChars="200"/>
        <w:rPr>
          <w:rFonts w:hint="eastAsia" w:ascii="宋体" w:hAnsi="宋体"/>
          <w:color w:val="auto"/>
          <w:szCs w:val="21"/>
        </w:rPr>
      </w:pPr>
      <w:r>
        <w:rPr>
          <w:rFonts w:hint="eastAsia" w:ascii="宋体" w:hAnsi="宋体"/>
          <w:color w:val="auto"/>
          <w:szCs w:val="21"/>
        </w:rPr>
        <w:t>28、支持自定义告警规则，用户可根据企业特殊需求定制告警规则，支持精细化的告警参数设置，包括告警等级、告警服务、告警类型、告警指标、检测周期、持续时间、告警对象等参数（提供产品功能截图 ）；</w:t>
      </w:r>
    </w:p>
    <w:p w14:paraId="53570EA4">
      <w:pPr>
        <w:spacing w:line="400" w:lineRule="exact"/>
        <w:ind w:firstLine="420" w:firstLineChars="200"/>
        <w:rPr>
          <w:rFonts w:hint="eastAsia" w:ascii="宋体" w:hAnsi="宋体"/>
          <w:color w:val="auto"/>
          <w:szCs w:val="21"/>
        </w:rPr>
      </w:pPr>
      <w:r>
        <w:rPr>
          <w:rFonts w:hint="eastAsia" w:ascii="宋体" w:hAnsi="宋体"/>
          <w:color w:val="auto"/>
          <w:szCs w:val="21"/>
        </w:rPr>
        <w:t>29、支持按告警项或按对象的方式对已知的告警进行屏蔽，避免已知告警信息频繁触发（提供产品功能截图 ）；</w:t>
      </w:r>
    </w:p>
    <w:p w14:paraId="4DD98CDC">
      <w:pPr>
        <w:spacing w:line="400" w:lineRule="exact"/>
        <w:ind w:firstLine="420" w:firstLineChars="200"/>
        <w:rPr>
          <w:rFonts w:hint="eastAsia" w:ascii="宋体" w:hAnsi="宋体"/>
          <w:color w:val="auto"/>
          <w:szCs w:val="21"/>
        </w:rPr>
      </w:pPr>
      <w:r>
        <w:rPr>
          <w:rFonts w:hint="eastAsia" w:ascii="宋体" w:hAnsi="宋体"/>
          <w:color w:val="auto"/>
          <w:szCs w:val="21"/>
        </w:rPr>
        <w:t>30、支持告警信息可以通过邮件和微信方式发送，并可以在管理平台记录发送历史，为后期审计提供依据（提供产品功能截图 ）；</w:t>
      </w:r>
    </w:p>
    <w:p w14:paraId="2DFDA140">
      <w:pPr>
        <w:spacing w:line="400" w:lineRule="exact"/>
        <w:ind w:firstLine="420" w:firstLineChars="200"/>
        <w:rPr>
          <w:rFonts w:hint="eastAsia" w:ascii="宋体" w:hAnsi="宋体"/>
          <w:color w:val="auto"/>
          <w:szCs w:val="21"/>
        </w:rPr>
      </w:pPr>
      <w:r>
        <w:rPr>
          <w:rFonts w:hint="eastAsia" w:ascii="宋体" w:hAnsi="宋体"/>
          <w:color w:val="auto"/>
          <w:szCs w:val="21"/>
        </w:rPr>
        <w:t>31、为了满足监控需求，应支持自定义大屏展示功能，可按照业务需求定制多块监控大屏，可根据自身需要对监控模块设置展示种类、模块大小、位置及展示方式（曲线图、柱状图、表格等）等，方便直观展示平台信息、健康状态、资源利用情况等（提供产品功能截图 ）；</w:t>
      </w:r>
    </w:p>
    <w:p w14:paraId="761FD91B">
      <w:pPr>
        <w:spacing w:line="400" w:lineRule="exact"/>
        <w:ind w:firstLine="420" w:firstLineChars="200"/>
        <w:rPr>
          <w:rFonts w:hint="eastAsia" w:ascii="宋体" w:hAnsi="宋体"/>
          <w:color w:val="auto"/>
          <w:szCs w:val="21"/>
        </w:rPr>
      </w:pPr>
      <w:r>
        <w:rPr>
          <w:rFonts w:hint="eastAsia" w:ascii="宋体" w:hAnsi="宋体"/>
          <w:color w:val="auto"/>
          <w:szCs w:val="21"/>
        </w:rPr>
        <w:t>32、为了满足IT管理员快速定位系统瓶颈、发现系统性故障，云平台应支持性能分析面板，可定制多块性能分析面板，可将同一监控指标的多个不同对象在同一面板中集中展示，直观展示在同一时间点多个监控对象的状态（提供产品功能截图 ）；</w:t>
      </w:r>
    </w:p>
    <w:p w14:paraId="3ED8DE3D">
      <w:pPr>
        <w:spacing w:line="400" w:lineRule="exact"/>
        <w:ind w:firstLine="420" w:firstLineChars="200"/>
        <w:rPr>
          <w:rFonts w:hint="eastAsia" w:ascii="宋体" w:hAnsi="宋体"/>
          <w:color w:val="auto"/>
          <w:szCs w:val="21"/>
        </w:rPr>
      </w:pPr>
      <w:r>
        <w:rPr>
          <w:rFonts w:hint="eastAsia" w:ascii="宋体" w:hAnsi="宋体"/>
          <w:color w:val="auto"/>
          <w:szCs w:val="21"/>
        </w:rPr>
        <w:t>33、支持虚拟资源回收站功能，防止因虚拟机误删除导致数据丢失，为了防止误删除、误清空操作，在删除资源或清空回收站时需通过验证码或用户密码等方式进行验证，支持设置回收站文件保存周期，超期的文件将被自动删除（提供产品功能截图 ）；</w:t>
      </w:r>
    </w:p>
    <w:p w14:paraId="20D2A6B3">
      <w:pPr>
        <w:spacing w:line="400" w:lineRule="exact"/>
        <w:ind w:firstLine="420" w:firstLineChars="200"/>
        <w:rPr>
          <w:rFonts w:hint="eastAsia" w:ascii="宋体" w:hAnsi="宋体"/>
          <w:color w:val="auto"/>
          <w:szCs w:val="21"/>
        </w:rPr>
      </w:pPr>
      <w:r>
        <w:rPr>
          <w:rFonts w:hint="eastAsia" w:ascii="宋体" w:hAnsi="宋体"/>
          <w:color w:val="auto"/>
          <w:szCs w:val="21"/>
        </w:rPr>
        <w:t>34、</w:t>
      </w:r>
      <w:r>
        <w:rPr>
          <w:rFonts w:hint="eastAsia" w:ascii="宋体" w:hAnsi="宋体"/>
          <w:color w:val="auto"/>
          <w:szCs w:val="21"/>
          <w:lang w:eastAsia="zh-CN"/>
        </w:rPr>
        <w:t>◆</w:t>
      </w:r>
      <w:r>
        <w:rPr>
          <w:rFonts w:hint="eastAsia" w:ascii="宋体" w:hAnsi="宋体"/>
          <w:color w:val="auto"/>
          <w:szCs w:val="21"/>
        </w:rPr>
        <w:t>支持虚拟机无代理备份功能，备份许可不限制备份虚拟机数量及备份容量；</w:t>
      </w:r>
    </w:p>
    <w:p w14:paraId="4C51E104">
      <w:pPr>
        <w:spacing w:line="400" w:lineRule="exact"/>
        <w:ind w:firstLine="420" w:firstLineChars="200"/>
        <w:rPr>
          <w:rFonts w:hint="eastAsia" w:ascii="宋体" w:hAnsi="宋体"/>
          <w:color w:val="auto"/>
          <w:szCs w:val="21"/>
        </w:rPr>
      </w:pPr>
      <w:r>
        <w:rPr>
          <w:rFonts w:hint="eastAsia" w:ascii="宋体" w:hAnsi="宋体"/>
          <w:color w:val="auto"/>
          <w:szCs w:val="21"/>
        </w:rPr>
        <w:t>35、服务器虚拟化内核基于KVM定制开发，经过深度优化提供更高的稳定性和性能；</w:t>
      </w:r>
    </w:p>
    <w:p w14:paraId="7C3234EF">
      <w:pPr>
        <w:spacing w:line="400" w:lineRule="exact"/>
        <w:ind w:firstLine="420" w:firstLineChars="200"/>
        <w:rPr>
          <w:rFonts w:hint="eastAsia" w:ascii="宋体" w:hAnsi="宋体"/>
          <w:color w:val="auto"/>
          <w:szCs w:val="21"/>
        </w:rPr>
      </w:pPr>
      <w:r>
        <w:rPr>
          <w:rFonts w:hint="eastAsia" w:ascii="宋体" w:hAnsi="宋体"/>
          <w:color w:val="auto"/>
          <w:szCs w:val="21"/>
        </w:rPr>
        <w:t>36、支持虚拟机全生命周期管理，包括虚拟机创建、删除、启动、关闭、重启、快照、克隆、VNC登录等，支持虚拟机的搜索和过滤（提供产品功能截图 ）；</w:t>
      </w:r>
    </w:p>
    <w:p w14:paraId="2D25B6E7">
      <w:pPr>
        <w:spacing w:line="400" w:lineRule="exact"/>
        <w:ind w:firstLine="420" w:firstLineChars="200"/>
        <w:rPr>
          <w:rFonts w:hint="eastAsia" w:ascii="宋体" w:hAnsi="宋体"/>
          <w:color w:val="auto"/>
          <w:szCs w:val="21"/>
        </w:rPr>
      </w:pPr>
      <w:r>
        <w:rPr>
          <w:rFonts w:hint="eastAsia" w:ascii="宋体" w:hAnsi="宋体"/>
          <w:color w:val="auto"/>
          <w:szCs w:val="21"/>
        </w:rPr>
        <w:t>37、</w:t>
      </w:r>
      <w:r>
        <w:rPr>
          <w:rFonts w:hint="eastAsia" w:ascii="宋体" w:hAnsi="宋体"/>
          <w:color w:val="auto"/>
          <w:szCs w:val="21"/>
          <w:lang w:eastAsia="zh-CN"/>
        </w:rPr>
        <w:t>◆</w:t>
      </w:r>
      <w:r>
        <w:rPr>
          <w:rFonts w:hint="eastAsia" w:ascii="宋体" w:hAnsi="宋体"/>
          <w:color w:val="auto"/>
          <w:szCs w:val="21"/>
        </w:rPr>
        <w:t>为了保证创建虚拟机的灵活性，可通过创建全新、LHV模板和OVA模板三种方式创建虚拟机，也可通过内置低配、中配、高配模板快速创建虚拟机；(提供产品功能截图 )</w:t>
      </w:r>
    </w:p>
    <w:p w14:paraId="1AE67BFC">
      <w:pPr>
        <w:spacing w:line="400" w:lineRule="exact"/>
        <w:ind w:firstLine="420" w:firstLineChars="200"/>
        <w:rPr>
          <w:rFonts w:hint="eastAsia" w:ascii="宋体" w:hAnsi="宋体"/>
          <w:color w:val="auto"/>
          <w:szCs w:val="21"/>
        </w:rPr>
      </w:pPr>
      <w:r>
        <w:rPr>
          <w:rFonts w:hint="eastAsia" w:ascii="宋体" w:hAnsi="宋体"/>
          <w:color w:val="auto"/>
          <w:szCs w:val="21"/>
        </w:rPr>
        <w:t>38、虚拟机应具备物理机完整属性，拥有CPU、内存、网卡、硬盘、显卡等（提供产品功能截图 ）；</w:t>
      </w:r>
    </w:p>
    <w:p w14:paraId="172F31A4">
      <w:pPr>
        <w:spacing w:line="400" w:lineRule="exact"/>
        <w:ind w:firstLine="420" w:firstLineChars="200"/>
        <w:rPr>
          <w:rFonts w:hint="eastAsia" w:ascii="宋体" w:hAnsi="宋体"/>
          <w:color w:val="auto"/>
          <w:szCs w:val="21"/>
        </w:rPr>
      </w:pPr>
      <w:r>
        <w:rPr>
          <w:rFonts w:hint="eastAsia" w:ascii="宋体" w:hAnsi="宋体"/>
          <w:color w:val="auto"/>
          <w:szCs w:val="21"/>
        </w:rPr>
        <w:t>39、应支持批量操作虚拟机日常功能，包括批量虚拟机开机、关机、挂起、重启、迁移等，提升虚拟机维护的便捷性（提供产品功能截图 ）；</w:t>
      </w:r>
    </w:p>
    <w:p w14:paraId="089011CF">
      <w:pPr>
        <w:spacing w:line="400" w:lineRule="exact"/>
        <w:ind w:firstLine="420" w:firstLineChars="200"/>
        <w:rPr>
          <w:rFonts w:hint="eastAsia" w:ascii="宋体" w:hAnsi="宋体"/>
          <w:color w:val="auto"/>
          <w:szCs w:val="21"/>
        </w:rPr>
      </w:pPr>
      <w:r>
        <w:rPr>
          <w:rFonts w:hint="eastAsia" w:ascii="宋体" w:hAnsi="宋体"/>
          <w:color w:val="auto"/>
          <w:szCs w:val="21"/>
        </w:rPr>
        <w:t>40、虚拟机应可以安装独立的操作系统，支持Windows操作系统，包括Windows XP、Windows 7、Windows Server 2003、2008R2、2012R2、2016及以上版本服务器操作系统，支持Linux操作系统，包括Redhat、SUSE、CentOS、Ubuntu、Debian等多个发行版本，支持国产操作系统，包括统信UOS、中标麒麟、银河麒麟等（提供产品功能截图 ）；</w:t>
      </w:r>
    </w:p>
    <w:p w14:paraId="1A07F2A4">
      <w:pPr>
        <w:spacing w:line="400" w:lineRule="exact"/>
        <w:ind w:firstLine="420" w:firstLineChars="200"/>
        <w:rPr>
          <w:rFonts w:hint="eastAsia" w:ascii="宋体" w:hAnsi="宋体"/>
          <w:color w:val="auto"/>
          <w:szCs w:val="21"/>
        </w:rPr>
      </w:pPr>
      <w:r>
        <w:rPr>
          <w:rFonts w:hint="eastAsia" w:ascii="宋体" w:hAnsi="宋体"/>
          <w:color w:val="auto"/>
          <w:szCs w:val="21"/>
        </w:rPr>
        <w:t>41、支持虚拟机故障隔离，虚拟机之间支持隔离保护，单一虚拟机故障不会影响到同节点其他虚拟机正常运行（提供产品功能截图 ）；</w:t>
      </w:r>
    </w:p>
    <w:p w14:paraId="3DF43926">
      <w:pPr>
        <w:spacing w:line="400" w:lineRule="exact"/>
        <w:ind w:firstLine="420" w:firstLineChars="200"/>
        <w:rPr>
          <w:rFonts w:hint="eastAsia" w:ascii="宋体" w:hAnsi="宋体"/>
          <w:color w:val="auto"/>
          <w:szCs w:val="21"/>
        </w:rPr>
      </w:pPr>
      <w:r>
        <w:rPr>
          <w:rFonts w:hint="eastAsia" w:ascii="宋体" w:hAnsi="宋体"/>
          <w:color w:val="auto"/>
          <w:szCs w:val="21"/>
        </w:rPr>
        <w:t>42、支持在线的VM迁移，可以在不停机状态下，手工或自动地实现VM在资源池内不同物理机之间、不同存储卷之间进行迁移，保障业务连续性（提供产品功能截图 ）；</w:t>
      </w:r>
    </w:p>
    <w:p w14:paraId="5D4129CA">
      <w:pPr>
        <w:spacing w:line="400" w:lineRule="exact"/>
        <w:ind w:firstLine="420" w:firstLineChars="200"/>
        <w:rPr>
          <w:rFonts w:hint="eastAsia" w:ascii="宋体" w:hAnsi="宋体"/>
          <w:color w:val="auto"/>
          <w:szCs w:val="21"/>
        </w:rPr>
      </w:pPr>
      <w:r>
        <w:rPr>
          <w:rFonts w:hint="eastAsia" w:ascii="宋体" w:hAnsi="宋体"/>
          <w:color w:val="auto"/>
          <w:szCs w:val="21"/>
        </w:rPr>
        <w:t>43、虚拟化平台支持虚拟机高可用特性，当集群中出现服务器节点故障或其他原因导致的不可访问，其上运行的虚拟机可以自动在其它正常服务器节点实现启动，保证业务连续性（提供产品功能截图 ）；</w:t>
      </w:r>
    </w:p>
    <w:p w14:paraId="27ED130F">
      <w:pPr>
        <w:spacing w:line="400" w:lineRule="exact"/>
        <w:ind w:firstLine="420" w:firstLineChars="200"/>
        <w:rPr>
          <w:rFonts w:hint="eastAsia" w:ascii="宋体" w:hAnsi="宋体"/>
          <w:color w:val="auto"/>
          <w:szCs w:val="21"/>
        </w:rPr>
      </w:pPr>
      <w:r>
        <w:rPr>
          <w:rFonts w:hint="eastAsia" w:ascii="宋体" w:hAnsi="宋体"/>
          <w:color w:val="auto"/>
          <w:szCs w:val="21"/>
        </w:rPr>
        <w:t>44、支持资源动态负载均衡策略，当集群中物理服务器的资源负载过高时，系统自动将高负载物理服务器上运行的虚拟机迁移到相对空闲的物理服务器上，保证集群中服务器的资源利用率保持一致水平（提供产品功能截图 ）；</w:t>
      </w:r>
    </w:p>
    <w:p w14:paraId="4D00F6C6">
      <w:pPr>
        <w:spacing w:line="400" w:lineRule="exact"/>
        <w:ind w:firstLine="420" w:firstLineChars="200"/>
        <w:rPr>
          <w:rFonts w:hint="eastAsia" w:ascii="宋体" w:hAnsi="宋体"/>
          <w:color w:val="auto"/>
          <w:szCs w:val="21"/>
        </w:rPr>
      </w:pPr>
      <w:r>
        <w:rPr>
          <w:rFonts w:hint="eastAsia" w:ascii="宋体" w:hAnsi="宋体"/>
          <w:color w:val="auto"/>
          <w:szCs w:val="21"/>
        </w:rPr>
        <w:t>45、支持快照功能，可对开机、关机状态虚拟机生成快照，支持对生成的快照进行克隆虚拟机或模板操作，支持全克隆和链接克隆；(提供产品功能截图 )</w:t>
      </w:r>
    </w:p>
    <w:p w14:paraId="3907D8FB">
      <w:pPr>
        <w:spacing w:line="400" w:lineRule="exact"/>
        <w:ind w:firstLine="420" w:firstLineChars="200"/>
        <w:rPr>
          <w:rFonts w:hint="eastAsia" w:ascii="宋体" w:hAnsi="宋体"/>
          <w:color w:val="auto"/>
          <w:szCs w:val="21"/>
        </w:rPr>
      </w:pPr>
      <w:r>
        <w:rPr>
          <w:rFonts w:hint="eastAsia" w:ascii="宋体" w:hAnsi="宋体"/>
          <w:color w:val="auto"/>
          <w:szCs w:val="21"/>
        </w:rPr>
        <w:t>46、支持精细化快照策略设置，可设置按月、周、天、小时为周期运行策略，可设置按保留时间或保留数量的保存策略，可将配置好的快照策略批量到虚拟机（提供产品功能截图 ）；</w:t>
      </w:r>
    </w:p>
    <w:p w14:paraId="7D1BE0DC">
      <w:pPr>
        <w:spacing w:line="400" w:lineRule="exact"/>
        <w:ind w:firstLine="420" w:firstLineChars="200"/>
        <w:rPr>
          <w:rFonts w:hint="eastAsia" w:ascii="宋体" w:hAnsi="宋体"/>
          <w:color w:val="auto"/>
          <w:szCs w:val="21"/>
        </w:rPr>
      </w:pPr>
      <w:r>
        <w:rPr>
          <w:rFonts w:hint="eastAsia" w:ascii="宋体" w:hAnsi="宋体"/>
          <w:color w:val="auto"/>
          <w:szCs w:val="21"/>
        </w:rPr>
        <w:t>47、支持虚拟机克隆功能，支持克隆到虚拟机或模板（提供产品功能截图 ）；</w:t>
      </w:r>
    </w:p>
    <w:p w14:paraId="318E434C">
      <w:pPr>
        <w:spacing w:line="400" w:lineRule="exact"/>
        <w:ind w:firstLine="420" w:firstLineChars="200"/>
        <w:rPr>
          <w:rFonts w:hint="eastAsia" w:ascii="宋体" w:hAnsi="宋体"/>
          <w:color w:val="auto"/>
          <w:szCs w:val="21"/>
        </w:rPr>
      </w:pPr>
      <w:r>
        <w:rPr>
          <w:rFonts w:hint="eastAsia" w:ascii="宋体" w:hAnsi="宋体"/>
          <w:color w:val="auto"/>
          <w:szCs w:val="21"/>
        </w:rPr>
        <w:t>48、为了保证业务系统连续性运行，支持对虚拟硬件进行动态调整，可调整开机状态虚拟机的CPU、内存、硬盘、网卡资源，可在开机状态删除虚拟机硬盘、网卡资源，无需停机或重启即可实现虚拟资源的调整生效（提供产品功能截图 ）；</w:t>
      </w:r>
    </w:p>
    <w:p w14:paraId="39B87953">
      <w:pPr>
        <w:spacing w:line="400" w:lineRule="exact"/>
        <w:ind w:firstLine="420" w:firstLineChars="200"/>
        <w:rPr>
          <w:rFonts w:hint="eastAsia" w:ascii="宋体" w:hAnsi="宋体"/>
          <w:color w:val="auto"/>
          <w:szCs w:val="21"/>
        </w:rPr>
      </w:pPr>
      <w:r>
        <w:rPr>
          <w:rFonts w:hint="eastAsia" w:ascii="宋体" w:hAnsi="宋体"/>
          <w:color w:val="auto"/>
          <w:szCs w:val="21"/>
        </w:rPr>
        <w:t>49、为了保证业务系统对CPU资源使用稳定，支持对虚拟机vCPU亲和设置，通过手动将vCPU配到到固定物理CPU内核，保证对CPU资源优先使用（提供产品功能截图 ）；</w:t>
      </w:r>
    </w:p>
    <w:p w14:paraId="75134043">
      <w:pPr>
        <w:spacing w:line="400" w:lineRule="exact"/>
        <w:ind w:firstLine="420" w:firstLineChars="200"/>
        <w:rPr>
          <w:rFonts w:hint="eastAsia" w:ascii="宋体" w:hAnsi="宋体"/>
          <w:color w:val="auto"/>
          <w:szCs w:val="21"/>
        </w:rPr>
      </w:pPr>
      <w:r>
        <w:rPr>
          <w:rFonts w:hint="eastAsia" w:ascii="宋体" w:hAnsi="宋体"/>
          <w:color w:val="auto"/>
          <w:szCs w:val="21"/>
        </w:rPr>
        <w:t>50、支持虚拟机vCPU的限制和配额，可设置低、中、高、自定义配额，保证对计算资源的良好管控（提供产品功能截图 ）；</w:t>
      </w:r>
    </w:p>
    <w:p w14:paraId="7E9545BE">
      <w:pPr>
        <w:spacing w:line="400" w:lineRule="exact"/>
        <w:ind w:firstLine="420" w:firstLineChars="200"/>
        <w:rPr>
          <w:rFonts w:hint="eastAsia" w:ascii="宋体" w:hAnsi="宋体"/>
          <w:color w:val="auto"/>
          <w:szCs w:val="21"/>
        </w:rPr>
      </w:pPr>
      <w:r>
        <w:rPr>
          <w:rFonts w:hint="eastAsia" w:ascii="宋体" w:hAnsi="宋体"/>
          <w:color w:val="auto"/>
          <w:szCs w:val="21"/>
        </w:rPr>
        <w:t>51、支持合理的内存调度机制， 保证内存资源灵活控制，可设置内存共享（提供产品功能截图 ）；</w:t>
      </w:r>
    </w:p>
    <w:p w14:paraId="3FA19085">
      <w:pPr>
        <w:spacing w:line="400" w:lineRule="exact"/>
        <w:ind w:firstLine="420" w:firstLineChars="200"/>
        <w:rPr>
          <w:rFonts w:hint="eastAsia" w:ascii="宋体" w:hAnsi="宋体"/>
          <w:color w:val="auto"/>
          <w:szCs w:val="21"/>
        </w:rPr>
      </w:pPr>
      <w:r>
        <w:rPr>
          <w:rFonts w:hint="eastAsia" w:ascii="宋体" w:hAnsi="宋体"/>
          <w:color w:val="auto"/>
          <w:szCs w:val="21"/>
        </w:rPr>
        <w:t>52、支持精细化的虚拟网卡设置，为满足个性化需求，可按需指定网卡类型、QoS、自定义IP地址、MAC地址、网关、安全组等；</w:t>
      </w:r>
    </w:p>
    <w:p w14:paraId="343219F4">
      <w:pPr>
        <w:spacing w:line="400" w:lineRule="exact"/>
        <w:ind w:firstLine="420" w:firstLineChars="200"/>
        <w:rPr>
          <w:rFonts w:hint="eastAsia" w:ascii="宋体" w:hAnsi="宋体"/>
          <w:color w:val="auto"/>
          <w:szCs w:val="21"/>
        </w:rPr>
      </w:pPr>
      <w:r>
        <w:rPr>
          <w:rFonts w:hint="eastAsia" w:ascii="宋体" w:hAnsi="宋体"/>
          <w:color w:val="auto"/>
          <w:szCs w:val="21"/>
        </w:rPr>
        <w:t>53、支持SEABIOS和UEFI类型BIOS，可按需设置BIOS停滞时间（提供产品功能截图 ）；</w:t>
      </w:r>
    </w:p>
    <w:p w14:paraId="011A851A">
      <w:pPr>
        <w:spacing w:line="400" w:lineRule="exact"/>
        <w:ind w:firstLine="420" w:firstLineChars="200"/>
        <w:rPr>
          <w:rFonts w:hint="eastAsia" w:ascii="宋体" w:hAnsi="宋体"/>
          <w:color w:val="auto"/>
          <w:szCs w:val="21"/>
        </w:rPr>
      </w:pPr>
      <w:r>
        <w:rPr>
          <w:rFonts w:hint="eastAsia" w:ascii="宋体" w:hAnsi="宋体"/>
          <w:color w:val="auto"/>
          <w:szCs w:val="21"/>
        </w:rPr>
        <w:t>54、支持虚拟机故障检测功能，在Windows 虚拟机出现卡死及蓝屏时可自动实现重启（提供产品功能截图 ）；</w:t>
      </w:r>
    </w:p>
    <w:p w14:paraId="7170F9A7">
      <w:pPr>
        <w:spacing w:line="400" w:lineRule="exact"/>
        <w:ind w:firstLine="420" w:firstLineChars="200"/>
        <w:rPr>
          <w:rFonts w:hint="eastAsia" w:ascii="宋体" w:hAnsi="宋体"/>
          <w:color w:val="auto"/>
          <w:szCs w:val="21"/>
        </w:rPr>
      </w:pPr>
      <w:r>
        <w:rPr>
          <w:rFonts w:hint="eastAsia" w:ascii="宋体" w:hAnsi="宋体"/>
          <w:color w:val="auto"/>
          <w:szCs w:val="21"/>
        </w:rPr>
        <w:t>55、支持USB设备跨主机映射，无需安装客户端插件或代理即可识别USB设备，即使出现虚拟机迁移也可实现USB设备远程跨主机访问（提供产品功能截图 ）；</w:t>
      </w:r>
    </w:p>
    <w:p w14:paraId="16267940">
      <w:pPr>
        <w:spacing w:line="400" w:lineRule="exact"/>
        <w:ind w:firstLine="420" w:firstLineChars="200"/>
        <w:rPr>
          <w:rFonts w:hint="eastAsia" w:ascii="宋体" w:hAnsi="宋体"/>
          <w:color w:val="auto"/>
          <w:szCs w:val="21"/>
        </w:rPr>
      </w:pPr>
      <w:r>
        <w:rPr>
          <w:rFonts w:hint="eastAsia" w:ascii="宋体" w:hAnsi="宋体"/>
          <w:color w:val="auto"/>
          <w:szCs w:val="21"/>
        </w:rPr>
        <w:t>56、支持设置虚拟机引导顺序，可自定义设置硬盘、网络、CD-ROM引导顺序（提供产品功能截图 ）；</w:t>
      </w:r>
    </w:p>
    <w:p w14:paraId="5D065BBF">
      <w:pPr>
        <w:spacing w:line="400" w:lineRule="exact"/>
        <w:ind w:firstLine="420" w:firstLineChars="200"/>
        <w:rPr>
          <w:rFonts w:hint="eastAsia" w:ascii="宋体" w:hAnsi="宋体"/>
          <w:color w:val="auto"/>
          <w:szCs w:val="21"/>
        </w:rPr>
      </w:pPr>
      <w:r>
        <w:rPr>
          <w:rFonts w:hint="eastAsia" w:ascii="宋体" w:hAnsi="宋体"/>
          <w:color w:val="auto"/>
          <w:szCs w:val="21"/>
        </w:rPr>
        <w:t>57、支持GPU直通功能，将物理GPU通过Passthrough方式透传给虚拟机使用，虚拟机可以独占使用物理GPU资源（提供产品功能截图 ）；</w:t>
      </w:r>
    </w:p>
    <w:p w14:paraId="57FAA3E0">
      <w:pPr>
        <w:spacing w:line="400" w:lineRule="exact"/>
        <w:ind w:firstLine="420" w:firstLineChars="200"/>
        <w:rPr>
          <w:rFonts w:hint="eastAsia" w:ascii="宋体" w:hAnsi="宋体"/>
          <w:color w:val="auto"/>
          <w:szCs w:val="21"/>
        </w:rPr>
      </w:pPr>
      <w:r>
        <w:rPr>
          <w:rFonts w:hint="eastAsia" w:ascii="宋体" w:hAnsi="宋体"/>
          <w:color w:val="auto"/>
          <w:szCs w:val="21"/>
        </w:rPr>
        <w:t>58、支持vGPU功能，通过将物理GPU切分成多个vGPU分配给多个虚拟机使用，多个虚拟机可以共享物理GPU资源（提供产品功能截图 ）；</w:t>
      </w:r>
    </w:p>
    <w:p w14:paraId="456D9B05">
      <w:pPr>
        <w:spacing w:line="400" w:lineRule="exact"/>
        <w:ind w:firstLine="420" w:firstLineChars="200"/>
        <w:rPr>
          <w:rFonts w:hint="eastAsia" w:ascii="宋体" w:hAnsi="宋体"/>
          <w:color w:val="auto"/>
          <w:szCs w:val="21"/>
        </w:rPr>
      </w:pPr>
      <w:r>
        <w:rPr>
          <w:rFonts w:hint="eastAsia" w:ascii="宋体" w:hAnsi="宋体"/>
          <w:color w:val="auto"/>
          <w:szCs w:val="21"/>
        </w:rPr>
        <w:t>59、支持公网映射功能，可以将内网超融合服务器节点通过配置公网IP地址映射到公网，用于在外网连接VNC和桌面使用（提供产品功能截图 ）；</w:t>
      </w:r>
    </w:p>
    <w:p w14:paraId="18E0F612">
      <w:pPr>
        <w:spacing w:line="400" w:lineRule="exact"/>
        <w:ind w:firstLine="420" w:firstLineChars="200"/>
        <w:rPr>
          <w:rFonts w:hint="eastAsia" w:ascii="宋体" w:hAnsi="宋体"/>
          <w:color w:val="auto"/>
          <w:szCs w:val="21"/>
        </w:rPr>
      </w:pPr>
      <w:r>
        <w:rPr>
          <w:rFonts w:hint="eastAsia" w:ascii="宋体" w:hAnsi="宋体"/>
          <w:color w:val="auto"/>
          <w:szCs w:val="21"/>
        </w:rPr>
        <w:t>60、支持虚拟机锁定功能，可以将重要虚拟机设置密码锁定，只有解锁后才可对虚拟机进行配置操作（提供产品功能截图 ）；</w:t>
      </w:r>
    </w:p>
    <w:p w14:paraId="094CCF8F">
      <w:pPr>
        <w:spacing w:line="400" w:lineRule="exact"/>
        <w:ind w:firstLine="420" w:firstLineChars="200"/>
        <w:rPr>
          <w:rFonts w:hint="eastAsia" w:ascii="宋体" w:hAnsi="宋体"/>
          <w:color w:val="auto"/>
          <w:szCs w:val="21"/>
        </w:rPr>
      </w:pPr>
      <w:r>
        <w:rPr>
          <w:rFonts w:hint="eastAsia" w:ascii="宋体" w:hAnsi="宋体"/>
          <w:color w:val="auto"/>
          <w:szCs w:val="21"/>
        </w:rPr>
        <w:t>61、支持虚拟机列表批量导出功能，可将选定的或全部虚拟机列表通过CSV格式导出，便于IT管理员数据统计（提供产品功能截图 ）；</w:t>
      </w:r>
    </w:p>
    <w:p w14:paraId="62C34B35">
      <w:pPr>
        <w:spacing w:line="400" w:lineRule="exact"/>
        <w:ind w:firstLine="420" w:firstLineChars="200"/>
        <w:rPr>
          <w:rFonts w:hint="eastAsia" w:ascii="宋体" w:hAnsi="宋体"/>
          <w:color w:val="auto"/>
          <w:szCs w:val="21"/>
        </w:rPr>
      </w:pPr>
      <w:r>
        <w:rPr>
          <w:rFonts w:hint="eastAsia" w:ascii="宋体" w:hAnsi="宋体"/>
          <w:color w:val="auto"/>
          <w:szCs w:val="21"/>
        </w:rPr>
        <w:t>62、支持虚拟机导出功能，可将虚拟机通过tar.gz、OVA格式导出（提供产品功能截图 ）；</w:t>
      </w:r>
    </w:p>
    <w:p w14:paraId="79291B2C">
      <w:pPr>
        <w:spacing w:line="400" w:lineRule="exact"/>
        <w:ind w:firstLine="420" w:firstLineChars="200"/>
        <w:rPr>
          <w:rFonts w:hint="eastAsia" w:ascii="宋体" w:hAnsi="宋体"/>
          <w:color w:val="auto"/>
          <w:szCs w:val="21"/>
        </w:rPr>
      </w:pPr>
      <w:r>
        <w:rPr>
          <w:rFonts w:hint="eastAsia" w:ascii="宋体" w:hAnsi="宋体"/>
          <w:color w:val="auto"/>
          <w:szCs w:val="21"/>
        </w:rPr>
        <w:t>63、支持在管理平台上可以实现可视化网络拓扑的构建，支持虚拟设备的一键式拖拽与构建，快速的实现整个业务逻辑，支持对整个平台虚拟设备实现统一的管理，提升运维管理的工作效率（提供产品功能截图 ）；</w:t>
      </w:r>
    </w:p>
    <w:p w14:paraId="39046EE8">
      <w:pPr>
        <w:spacing w:line="400" w:lineRule="exact"/>
        <w:ind w:firstLine="420" w:firstLineChars="200"/>
        <w:rPr>
          <w:rFonts w:hint="eastAsia" w:ascii="宋体" w:hAnsi="宋体"/>
          <w:color w:val="auto"/>
          <w:szCs w:val="21"/>
        </w:rPr>
      </w:pPr>
      <w:r>
        <w:rPr>
          <w:rFonts w:hint="eastAsia" w:ascii="宋体" w:hAnsi="宋体"/>
          <w:color w:val="auto"/>
          <w:szCs w:val="21"/>
        </w:rPr>
        <w:t>64、应提供虚拟机等设备的连通性测试功能，支持虚拟网卡和物理网卡的拓扑应对，方便在虚拟化环境中进行相应的故障排除和恢复，能够定位到出现故障的网络链路，方便快速排查问题保障业务的高连续性（提供产品功能截图 ）；</w:t>
      </w:r>
    </w:p>
    <w:p w14:paraId="7A1F80EF">
      <w:pPr>
        <w:spacing w:line="400" w:lineRule="exact"/>
        <w:ind w:firstLine="420" w:firstLineChars="200"/>
        <w:rPr>
          <w:rFonts w:hint="eastAsia" w:ascii="宋体" w:hAnsi="宋体"/>
          <w:color w:val="auto"/>
          <w:szCs w:val="21"/>
        </w:rPr>
      </w:pPr>
      <w:r>
        <w:rPr>
          <w:rFonts w:hint="eastAsia" w:ascii="宋体" w:hAnsi="宋体"/>
          <w:color w:val="auto"/>
          <w:szCs w:val="21"/>
        </w:rPr>
        <w:t>65、支持网络安全组功能，安全组类型支持ipv4、ipv6、mac、vlan，可设置虚拟机的入方向、出方向安全访问控制功能，可基于IP、MAC、端口号、协议、优先级等设置访问规则（提供产品功能截图 ）；</w:t>
      </w:r>
    </w:p>
    <w:p w14:paraId="25A25C0B">
      <w:pPr>
        <w:spacing w:line="400" w:lineRule="exact"/>
        <w:ind w:firstLine="420" w:firstLineChars="200"/>
        <w:rPr>
          <w:rFonts w:hint="eastAsia" w:ascii="宋体" w:hAnsi="宋体"/>
          <w:color w:val="auto"/>
          <w:szCs w:val="21"/>
        </w:rPr>
      </w:pPr>
      <w:r>
        <w:rPr>
          <w:rFonts w:hint="eastAsia" w:ascii="宋体" w:hAnsi="宋体"/>
          <w:color w:val="auto"/>
          <w:szCs w:val="21"/>
        </w:rPr>
        <w:t>66、应支持设置虚拟机网络QoS策略，包括限制平均上传/下载的带宽，避免由于单个虚拟机的网络流量过大影响其他业务虚拟机（提供产品功能截图 ）；</w:t>
      </w:r>
    </w:p>
    <w:p w14:paraId="60B1D85A">
      <w:pPr>
        <w:spacing w:line="400" w:lineRule="exact"/>
        <w:ind w:firstLine="420" w:firstLineChars="200"/>
        <w:rPr>
          <w:rFonts w:hint="eastAsia" w:ascii="宋体" w:hAnsi="宋体"/>
          <w:color w:val="auto"/>
          <w:szCs w:val="21"/>
        </w:rPr>
      </w:pPr>
      <w:r>
        <w:rPr>
          <w:rFonts w:hint="eastAsia" w:ascii="宋体" w:hAnsi="宋体"/>
          <w:color w:val="auto"/>
          <w:szCs w:val="21"/>
        </w:rPr>
        <w:t>67、支持网络负载均衡，要求至少支持6种bond模式，满足故障切换和负载均衡能力（提供产品功能截图 ）；</w:t>
      </w:r>
    </w:p>
    <w:p w14:paraId="21C5E40A">
      <w:pPr>
        <w:spacing w:line="400" w:lineRule="exact"/>
        <w:ind w:firstLine="420" w:firstLineChars="200"/>
        <w:rPr>
          <w:rFonts w:hint="eastAsia" w:ascii="宋体" w:hAnsi="宋体"/>
          <w:color w:val="auto"/>
          <w:szCs w:val="21"/>
        </w:rPr>
      </w:pPr>
      <w:r>
        <w:rPr>
          <w:rFonts w:hint="eastAsia" w:ascii="宋体" w:hAnsi="宋体"/>
          <w:color w:val="auto"/>
          <w:szCs w:val="21"/>
        </w:rPr>
        <w:t>68、应支持在UI管理平台界面实现对网络配置的全部操作，包括物理网卡bond、虚拟交换机、虚拟端口组等设置，无需借助命令行操作，提高运维效率和简易性（提供产品功能截图 ）；</w:t>
      </w:r>
    </w:p>
    <w:p w14:paraId="3FCA2A53">
      <w:pPr>
        <w:spacing w:line="400" w:lineRule="exact"/>
        <w:ind w:firstLine="420" w:firstLineChars="200"/>
        <w:rPr>
          <w:rFonts w:hint="eastAsia" w:ascii="宋体" w:hAnsi="宋体"/>
          <w:color w:val="auto"/>
          <w:szCs w:val="21"/>
        </w:rPr>
      </w:pPr>
      <w:r>
        <w:rPr>
          <w:rFonts w:hint="eastAsia" w:ascii="宋体" w:hAnsi="宋体"/>
          <w:color w:val="auto"/>
          <w:szCs w:val="21"/>
        </w:rPr>
        <w:t>69、网络冗余保护功能；</w:t>
      </w:r>
    </w:p>
    <w:p w14:paraId="49C6920F">
      <w:pPr>
        <w:spacing w:line="400" w:lineRule="exact"/>
        <w:ind w:firstLine="420" w:firstLineChars="200"/>
        <w:rPr>
          <w:rFonts w:hint="eastAsia" w:ascii="宋体" w:hAnsi="宋体"/>
          <w:color w:val="auto"/>
          <w:szCs w:val="21"/>
        </w:rPr>
      </w:pPr>
      <w:r>
        <w:rPr>
          <w:rFonts w:hint="eastAsia" w:ascii="宋体" w:hAnsi="宋体"/>
          <w:color w:val="auto"/>
          <w:szCs w:val="21"/>
        </w:rPr>
        <w:t>70、采用分布式架构设计，由多台物理服务器组成分布式存储集群，通过新增物理服务器可以实现存储容量和性能的横向扩展（Scale-Out架构），扩容过程保证业务零中断；</w:t>
      </w:r>
    </w:p>
    <w:p w14:paraId="61DE3678">
      <w:pPr>
        <w:spacing w:line="400" w:lineRule="exact"/>
        <w:ind w:firstLine="420" w:firstLineChars="200"/>
        <w:rPr>
          <w:rFonts w:hint="eastAsia" w:ascii="宋体" w:hAnsi="宋体"/>
          <w:color w:val="auto"/>
          <w:szCs w:val="21"/>
        </w:rPr>
      </w:pPr>
      <w:r>
        <w:rPr>
          <w:rFonts w:hint="eastAsia" w:ascii="宋体" w:hAnsi="宋体"/>
          <w:color w:val="auto"/>
          <w:szCs w:val="21"/>
        </w:rPr>
        <w:t>71、分布式存储系统应完全自主研发，不能采用开源分布式存储技术（Glusterfs、Ceph、Lustre等）二次开发，掌握存储核心技术，提供更高的可靠性和性能；（提供主机/usr/lib64文件截图）</w:t>
      </w:r>
    </w:p>
    <w:p w14:paraId="24DC7E73">
      <w:pPr>
        <w:spacing w:line="400" w:lineRule="exact"/>
        <w:ind w:firstLine="420" w:firstLineChars="200"/>
        <w:rPr>
          <w:rFonts w:hint="eastAsia" w:ascii="宋体" w:hAnsi="宋体"/>
          <w:color w:val="auto"/>
          <w:szCs w:val="21"/>
        </w:rPr>
      </w:pPr>
      <w:r>
        <w:rPr>
          <w:rFonts w:hint="eastAsia" w:ascii="宋体" w:hAnsi="宋体"/>
          <w:color w:val="auto"/>
          <w:szCs w:val="21"/>
        </w:rPr>
        <w:t>72、分布式存储应智能分析数据负载情况，将数据在不同性能的硬盘（SSD、SATA）之间自动迁移，迁移过程对上层虚拟机和应用透明，无需停机，且数据迁移是实时、自动的；</w:t>
      </w:r>
    </w:p>
    <w:p w14:paraId="39EBC7FC">
      <w:pPr>
        <w:spacing w:line="400" w:lineRule="exact"/>
        <w:ind w:firstLine="420" w:firstLineChars="200"/>
        <w:rPr>
          <w:rFonts w:hint="eastAsia" w:ascii="宋体" w:hAnsi="宋体"/>
          <w:color w:val="auto"/>
          <w:szCs w:val="21"/>
        </w:rPr>
      </w:pPr>
      <w:r>
        <w:rPr>
          <w:rFonts w:hint="eastAsia" w:ascii="宋体" w:hAnsi="宋体"/>
          <w:color w:val="auto"/>
          <w:szCs w:val="21"/>
        </w:rPr>
        <w:t>73、支持数据安全恢复机制，当服务器节点或者硬盘故障后，自动利用集群内空闲硬盘空间用于故障数据重新恢复，通过图形界面可展示数据重建进度，保证数据安全性；</w:t>
      </w:r>
    </w:p>
    <w:p w14:paraId="2563EFF5">
      <w:pPr>
        <w:spacing w:line="400" w:lineRule="exact"/>
        <w:ind w:firstLine="420" w:firstLineChars="200"/>
        <w:rPr>
          <w:rFonts w:hint="eastAsia" w:ascii="宋体" w:hAnsi="宋体"/>
          <w:color w:val="auto"/>
          <w:szCs w:val="21"/>
        </w:rPr>
      </w:pPr>
      <w:r>
        <w:rPr>
          <w:rFonts w:hint="eastAsia" w:ascii="宋体" w:hAnsi="宋体"/>
          <w:color w:val="auto"/>
          <w:szCs w:val="21"/>
        </w:rPr>
        <w:t>74、支持数据本地化技术，虚拟机会在运行服务器节点存储建立完整的数据副本，其它数据副本在其他服务器节点硬盘均匀放置，数据副本优先在本地放置一份，虚机读取数据时优先读取本地副本；</w:t>
      </w:r>
    </w:p>
    <w:p w14:paraId="05F94294">
      <w:pPr>
        <w:spacing w:line="400" w:lineRule="exact"/>
        <w:ind w:firstLine="420" w:firstLineChars="200"/>
        <w:rPr>
          <w:rFonts w:hint="eastAsia" w:ascii="宋体" w:hAnsi="宋体"/>
          <w:color w:val="auto"/>
          <w:szCs w:val="21"/>
        </w:rPr>
      </w:pPr>
      <w:r>
        <w:rPr>
          <w:rFonts w:hint="eastAsia" w:ascii="宋体" w:hAnsi="宋体"/>
          <w:color w:val="auto"/>
          <w:szCs w:val="21"/>
        </w:rPr>
        <w:t>75、支持精细化存储策略设置，为满足不同业务需求可设置基于存储容器的多种策略，存储策略支持设置副本数，置备方式，压缩算法，空间预留，闪存读缓存预留，校验和开启（提供产品功能截图 ）；</w:t>
      </w:r>
    </w:p>
    <w:p w14:paraId="467BE090">
      <w:pPr>
        <w:spacing w:line="400" w:lineRule="exact"/>
        <w:ind w:firstLine="420" w:firstLineChars="200"/>
        <w:rPr>
          <w:rFonts w:hint="eastAsia" w:ascii="宋体" w:hAnsi="宋体"/>
          <w:color w:val="auto"/>
          <w:szCs w:val="21"/>
        </w:rPr>
      </w:pPr>
      <w:r>
        <w:rPr>
          <w:rFonts w:hint="eastAsia" w:ascii="宋体" w:hAnsi="宋体"/>
          <w:color w:val="auto"/>
          <w:szCs w:val="21"/>
        </w:rPr>
        <w:t>76、支持数据多副本技术，支持硬盘、节点、站点级别可用域，数据副本按可用域自动存储，可选支持1-6副本，最大满足5节点或设备故障；(提供产品功能截图 )</w:t>
      </w:r>
    </w:p>
    <w:p w14:paraId="1962C204">
      <w:pPr>
        <w:spacing w:line="400" w:lineRule="exact"/>
        <w:ind w:firstLine="420" w:firstLineChars="200"/>
        <w:rPr>
          <w:rFonts w:hint="eastAsia" w:ascii="宋体" w:hAnsi="宋体"/>
          <w:color w:val="auto"/>
          <w:szCs w:val="21"/>
        </w:rPr>
      </w:pPr>
      <w:r>
        <w:rPr>
          <w:rFonts w:hint="eastAsia" w:ascii="宋体" w:hAnsi="宋体"/>
          <w:color w:val="auto"/>
          <w:szCs w:val="21"/>
        </w:rPr>
        <w:t>77、</w:t>
      </w:r>
      <w:r>
        <w:rPr>
          <w:rFonts w:hint="eastAsia" w:ascii="宋体" w:hAnsi="宋体"/>
          <w:color w:val="auto"/>
          <w:szCs w:val="21"/>
          <w:lang w:eastAsia="zh-CN"/>
        </w:rPr>
        <w:t>◆</w:t>
      </w:r>
      <w:r>
        <w:rPr>
          <w:rFonts w:hint="eastAsia" w:ascii="宋体" w:hAnsi="宋体"/>
          <w:color w:val="auto"/>
          <w:szCs w:val="21"/>
        </w:rPr>
        <w:t>可选升级支持延伸集群功能，可实现站点级容灾保护，配置延伸集群后，单一站点故障后，延伸站点可实现立即接管，数据无丢失，且延伸站点可继续提供集群高可用，延伸站点可继续允许1-2节点故障；(提供产品功能截图 )</w:t>
      </w:r>
    </w:p>
    <w:p w14:paraId="7CB9D4CA">
      <w:pPr>
        <w:spacing w:line="400" w:lineRule="exact"/>
        <w:ind w:firstLine="420" w:firstLineChars="200"/>
        <w:rPr>
          <w:rFonts w:hint="eastAsia" w:ascii="宋体" w:hAnsi="宋体"/>
          <w:color w:val="auto"/>
          <w:szCs w:val="21"/>
        </w:rPr>
      </w:pPr>
      <w:r>
        <w:rPr>
          <w:rFonts w:hint="eastAsia" w:ascii="宋体" w:hAnsi="宋体"/>
          <w:color w:val="auto"/>
          <w:szCs w:val="21"/>
        </w:rPr>
        <w:t>78、支持智能应用感知技术，系统可自动识别业务系统写入数据块大小，进行智能匹配，保证最佳存储性能；</w:t>
      </w:r>
    </w:p>
    <w:p w14:paraId="00253236">
      <w:pPr>
        <w:spacing w:line="400" w:lineRule="exact"/>
        <w:ind w:firstLine="420" w:firstLineChars="200"/>
        <w:rPr>
          <w:rFonts w:hint="eastAsia" w:ascii="宋体" w:hAnsi="宋体"/>
          <w:color w:val="auto"/>
          <w:szCs w:val="21"/>
        </w:rPr>
      </w:pPr>
      <w:r>
        <w:rPr>
          <w:rFonts w:hint="eastAsia" w:ascii="宋体" w:hAnsi="宋体"/>
          <w:color w:val="auto"/>
          <w:szCs w:val="21"/>
        </w:rPr>
        <w:t>79、支持多种存储盘置备方式，为满足不同场景需要，应支精简置备，配置精简制备方式后可为虚拟卷保留一定比例的存储空间，可选25%、50%、75%预留（提供产品功能截图 ）；</w:t>
      </w:r>
    </w:p>
    <w:p w14:paraId="2E03F997">
      <w:pPr>
        <w:spacing w:line="400" w:lineRule="exact"/>
        <w:ind w:firstLine="420" w:firstLineChars="200"/>
        <w:rPr>
          <w:rFonts w:hint="eastAsia" w:ascii="宋体" w:hAnsi="宋体"/>
          <w:color w:val="auto"/>
          <w:szCs w:val="21"/>
        </w:rPr>
      </w:pPr>
      <w:r>
        <w:rPr>
          <w:rFonts w:hint="eastAsia" w:ascii="宋体" w:hAnsi="宋体"/>
          <w:color w:val="auto"/>
          <w:szCs w:val="21"/>
        </w:rPr>
        <w:t>80、支持在线压缩功能，设置后数据写入可进行在线压缩，应至少支持4种压缩选项，支持不同压缩比，节省存储空间（提供产品功能截图 ）；</w:t>
      </w:r>
    </w:p>
    <w:p w14:paraId="698AE3A1">
      <w:pPr>
        <w:spacing w:line="400" w:lineRule="exact"/>
        <w:ind w:firstLine="420" w:firstLineChars="200"/>
        <w:rPr>
          <w:rFonts w:hint="eastAsia" w:ascii="宋体" w:hAnsi="宋体"/>
          <w:color w:val="auto"/>
          <w:szCs w:val="21"/>
        </w:rPr>
      </w:pPr>
      <w:r>
        <w:rPr>
          <w:rFonts w:hint="eastAsia" w:ascii="宋体" w:hAnsi="宋体"/>
          <w:color w:val="auto"/>
          <w:szCs w:val="21"/>
        </w:rPr>
        <w:t>81、支持校验和验证功能，开启该功能后，在读取数据时，会计算读取数据的校验和，并同时读取以前写入的校验和。如果发现了错误，会通过其他数据副本在线重建数据。另外，支持该功能在后台周期性执行数据扫描（提供产品功能截图 ）；</w:t>
      </w:r>
    </w:p>
    <w:p w14:paraId="104B948C">
      <w:pPr>
        <w:spacing w:line="400" w:lineRule="exact"/>
        <w:ind w:firstLine="420" w:firstLineChars="200"/>
        <w:rPr>
          <w:rFonts w:hint="eastAsia" w:ascii="宋体" w:hAnsi="宋体"/>
          <w:color w:val="auto"/>
          <w:szCs w:val="21"/>
        </w:rPr>
      </w:pPr>
      <w:r>
        <w:rPr>
          <w:rFonts w:hint="eastAsia" w:ascii="宋体" w:hAnsi="宋体"/>
          <w:color w:val="auto"/>
          <w:szCs w:val="21"/>
        </w:rPr>
        <w:t>82、支持闪存读缓存功能，在混闪配置场景中，设置启用读缓存后，在闪存盘中按需为虚拟卷分配读取缓存，保证经常被读取的数据在内存缓存空间不足的时候下沉到闪存盘中，帮助提升读操作性能；(提供产品功能截图 )</w:t>
      </w:r>
    </w:p>
    <w:p w14:paraId="3E8E7868">
      <w:pPr>
        <w:spacing w:line="400" w:lineRule="exact"/>
        <w:ind w:firstLine="420" w:firstLineChars="200"/>
        <w:rPr>
          <w:rFonts w:hint="eastAsia" w:ascii="宋体" w:hAnsi="宋体"/>
          <w:color w:val="auto"/>
          <w:szCs w:val="21"/>
        </w:rPr>
      </w:pPr>
      <w:r>
        <w:rPr>
          <w:rFonts w:hint="eastAsia" w:ascii="宋体" w:hAnsi="宋体"/>
          <w:color w:val="auto"/>
          <w:szCs w:val="21"/>
        </w:rPr>
        <w:t>83、支持强制置备功能，开启该选项后，即使卷容器不满足存储策略中指定的允许的故障数，也会置备该对象，支持1节点和2节点强制置备2副本（提供产品功能截图 ）；</w:t>
      </w:r>
    </w:p>
    <w:p w14:paraId="2D345D7B">
      <w:pPr>
        <w:spacing w:line="400" w:lineRule="exact"/>
        <w:ind w:firstLine="420" w:firstLineChars="200"/>
        <w:rPr>
          <w:rFonts w:hint="eastAsia" w:ascii="宋体" w:hAnsi="宋体"/>
          <w:color w:val="auto"/>
          <w:szCs w:val="21"/>
        </w:rPr>
      </w:pPr>
      <w:r>
        <w:rPr>
          <w:rFonts w:hint="eastAsia" w:ascii="宋体" w:hAnsi="宋体"/>
          <w:color w:val="auto"/>
          <w:szCs w:val="21"/>
        </w:rPr>
        <w:t>84、</w:t>
      </w:r>
      <w:r>
        <w:rPr>
          <w:rFonts w:hint="eastAsia" w:ascii="宋体" w:hAnsi="宋体"/>
          <w:color w:val="auto"/>
          <w:szCs w:val="21"/>
          <w:lang w:eastAsia="zh-CN"/>
        </w:rPr>
        <w:t>◆</w:t>
      </w:r>
      <w:r>
        <w:rPr>
          <w:rFonts w:hint="eastAsia" w:ascii="宋体" w:hAnsi="宋体"/>
          <w:color w:val="auto"/>
          <w:szCs w:val="21"/>
        </w:rPr>
        <w:t>支持iSCSI共享盘功能，多个虚拟机实例可配置一个共享盘，共享盘承载多个虚拟机实例高可用性，满足Oracle rac、SQL Server等数据库高可用部署，支持加密访问；(提供产品功能截图 )</w:t>
      </w:r>
    </w:p>
    <w:p w14:paraId="4CF30037">
      <w:pPr>
        <w:pStyle w:val="4"/>
        <w:numPr>
          <w:ilvl w:val="2"/>
          <w:numId w:val="4"/>
        </w:numPr>
        <w:spacing w:before="0" w:after="0" w:line="400" w:lineRule="exact"/>
        <w:rPr>
          <w:rFonts w:hint="eastAsia" w:ascii="宋体" w:hAnsi="宋体"/>
          <w:color w:val="auto"/>
          <w:sz w:val="21"/>
          <w:szCs w:val="21"/>
        </w:rPr>
      </w:pPr>
      <w:r>
        <w:rPr>
          <w:rFonts w:hint="eastAsia" w:ascii="宋体" w:hAnsi="宋体"/>
          <w:color w:val="auto"/>
          <w:sz w:val="21"/>
          <w:szCs w:val="21"/>
        </w:rPr>
        <w:t>通用服务器</w:t>
      </w:r>
    </w:p>
    <w:p w14:paraId="215C113A">
      <w:pPr>
        <w:spacing w:line="400" w:lineRule="exact"/>
        <w:ind w:firstLine="420" w:firstLineChars="200"/>
        <w:rPr>
          <w:rFonts w:hint="eastAsia" w:ascii="宋体" w:hAnsi="宋体"/>
          <w:color w:val="auto"/>
          <w:szCs w:val="21"/>
        </w:rPr>
      </w:pPr>
      <w:r>
        <w:rPr>
          <w:rFonts w:hint="eastAsia" w:ascii="宋体" w:hAnsi="宋体"/>
          <w:color w:val="auto"/>
          <w:szCs w:val="21"/>
        </w:rPr>
        <w:t>1.规格：2U机架式服务器。</w:t>
      </w:r>
    </w:p>
    <w:p w14:paraId="640DB057">
      <w:pPr>
        <w:spacing w:line="400" w:lineRule="exact"/>
        <w:ind w:firstLine="420" w:firstLineChars="200"/>
        <w:rPr>
          <w:rFonts w:hint="eastAsia" w:ascii="宋体" w:hAnsi="宋体"/>
          <w:color w:val="auto"/>
          <w:szCs w:val="21"/>
        </w:rPr>
      </w:pPr>
      <w:r>
        <w:rPr>
          <w:rFonts w:hint="eastAsia" w:ascii="宋体" w:hAnsi="宋体"/>
          <w:color w:val="auto"/>
          <w:szCs w:val="21"/>
        </w:rPr>
        <w:t>2.处理器：本次配置≥2颗Intel Xeon (10C,100W,2.4GHz) 处理器</w:t>
      </w:r>
    </w:p>
    <w:p w14:paraId="7C32E460">
      <w:pPr>
        <w:spacing w:line="400" w:lineRule="exact"/>
        <w:ind w:firstLine="420" w:firstLineChars="200"/>
        <w:rPr>
          <w:rFonts w:hint="eastAsia" w:ascii="宋体" w:hAnsi="宋体"/>
          <w:color w:val="auto"/>
          <w:szCs w:val="21"/>
        </w:rPr>
      </w:pPr>
      <w:r>
        <w:rPr>
          <w:rFonts w:hint="eastAsia" w:ascii="宋体" w:hAnsi="宋体"/>
          <w:color w:val="auto"/>
          <w:szCs w:val="21"/>
        </w:rPr>
        <w:t>3.内存：配置≥128GB DDR4 2933MHz内存，≥16条扩展插槽。</w:t>
      </w:r>
    </w:p>
    <w:p w14:paraId="477030DC">
      <w:pPr>
        <w:spacing w:line="400" w:lineRule="exact"/>
        <w:ind w:firstLine="420" w:firstLineChars="200"/>
        <w:rPr>
          <w:rFonts w:hint="eastAsia" w:ascii="宋体" w:hAnsi="宋体"/>
          <w:color w:val="auto"/>
          <w:szCs w:val="21"/>
        </w:rPr>
      </w:pPr>
      <w:r>
        <w:rPr>
          <w:rFonts w:hint="eastAsia" w:ascii="宋体" w:hAnsi="宋体"/>
          <w:color w:val="auto"/>
          <w:szCs w:val="21"/>
        </w:rPr>
        <w:t xml:space="preserve">4.硬盘：配置≥M.2 480GB SATA  SSD固态 企业级硬盘+配置≥2块2.5 英寸2.4TB SAS 10K 企业级硬盘，配置8*3.5寸盘位，支持M.2 SSD:可支持扩展内置 M.2 128G SSD的数量≥2 </w:t>
      </w:r>
    </w:p>
    <w:p w14:paraId="360F36AC">
      <w:pPr>
        <w:spacing w:line="400" w:lineRule="exact"/>
        <w:ind w:firstLine="420" w:firstLineChars="200"/>
        <w:rPr>
          <w:rFonts w:hint="eastAsia" w:ascii="宋体" w:hAnsi="宋体"/>
          <w:color w:val="auto"/>
          <w:szCs w:val="21"/>
        </w:rPr>
      </w:pPr>
      <w:r>
        <w:rPr>
          <w:rFonts w:hint="eastAsia" w:ascii="宋体" w:hAnsi="宋体"/>
          <w:color w:val="auto"/>
          <w:szCs w:val="21"/>
        </w:rPr>
        <w:t>5.RAID功能：配置≥独立RAID卡 4G缓存，提供raid 0/1/10/5/6。</w:t>
      </w:r>
    </w:p>
    <w:p w14:paraId="00B13AA8">
      <w:pPr>
        <w:spacing w:line="400" w:lineRule="exact"/>
        <w:ind w:firstLine="420" w:firstLineChars="200"/>
        <w:rPr>
          <w:rFonts w:hint="eastAsia" w:ascii="宋体" w:hAnsi="宋体"/>
          <w:color w:val="auto"/>
          <w:szCs w:val="21"/>
        </w:rPr>
      </w:pPr>
      <w:r>
        <w:rPr>
          <w:rFonts w:hint="eastAsia" w:ascii="宋体" w:hAnsi="宋体"/>
          <w:color w:val="auto"/>
          <w:szCs w:val="21"/>
        </w:rPr>
        <w:t>6.网卡：配置≥2个千兆以太网控制器+双口万兆网卡（含光模块），配置≥1个独享的管理端口。</w:t>
      </w:r>
    </w:p>
    <w:p w14:paraId="2A23EE2A">
      <w:pPr>
        <w:spacing w:line="400" w:lineRule="exact"/>
        <w:ind w:firstLine="420" w:firstLineChars="200"/>
        <w:rPr>
          <w:rFonts w:hint="eastAsia" w:ascii="宋体" w:hAnsi="宋体"/>
          <w:color w:val="auto"/>
          <w:szCs w:val="21"/>
        </w:rPr>
      </w:pPr>
      <w:r>
        <w:rPr>
          <w:rFonts w:hint="eastAsia" w:ascii="宋体" w:hAnsi="宋体"/>
          <w:color w:val="auto"/>
          <w:szCs w:val="21"/>
        </w:rPr>
        <w:t>7.配件及GPU卡：免工具滑动导轨套件。</w:t>
      </w:r>
    </w:p>
    <w:p w14:paraId="3F747E67">
      <w:pPr>
        <w:spacing w:line="400" w:lineRule="exact"/>
        <w:ind w:firstLine="420" w:firstLineChars="200"/>
        <w:rPr>
          <w:rFonts w:hint="eastAsia" w:ascii="宋体" w:hAnsi="宋体"/>
          <w:color w:val="auto"/>
          <w:szCs w:val="21"/>
        </w:rPr>
      </w:pPr>
      <w:r>
        <w:rPr>
          <w:rFonts w:hint="eastAsia" w:ascii="宋体" w:hAnsi="宋体"/>
          <w:color w:val="auto"/>
          <w:szCs w:val="21"/>
        </w:rPr>
        <w:t>8.电源：电源输出功率≥750W 80+铂金冗余双电。</w:t>
      </w:r>
    </w:p>
    <w:p w14:paraId="7321FCC9">
      <w:pPr>
        <w:spacing w:line="400" w:lineRule="exact"/>
        <w:ind w:firstLine="420" w:firstLineChars="200"/>
        <w:rPr>
          <w:rFonts w:hint="eastAsia" w:ascii="宋体" w:hAnsi="宋体"/>
          <w:color w:val="auto"/>
          <w:szCs w:val="21"/>
        </w:rPr>
      </w:pPr>
      <w:r>
        <w:rPr>
          <w:rFonts w:hint="eastAsia" w:ascii="宋体" w:hAnsi="宋体"/>
          <w:color w:val="auto"/>
          <w:szCs w:val="21"/>
        </w:rPr>
        <w:t>9.I/O扩展：支持PCIe 3.0插槽，配置前置USB口用以连接手机管理服务器（可提供移动应用中的与操作面板类似的功能）。</w:t>
      </w:r>
    </w:p>
    <w:p w14:paraId="79EB9890">
      <w:pPr>
        <w:spacing w:line="400" w:lineRule="exact"/>
        <w:ind w:firstLine="420" w:firstLineChars="200"/>
        <w:rPr>
          <w:rFonts w:hint="eastAsia" w:ascii="宋体" w:hAnsi="宋体"/>
          <w:color w:val="auto"/>
          <w:szCs w:val="21"/>
        </w:rPr>
      </w:pPr>
      <w:r>
        <w:rPr>
          <w:rFonts w:hint="eastAsia" w:ascii="宋体" w:hAnsi="宋体"/>
          <w:color w:val="auto"/>
          <w:szCs w:val="21"/>
        </w:rPr>
        <w:t>10.服务器管理：提供针对处理器，内存，内部存储，风扇，电源，阵列卡等关键部件的故障预报警机制；提供针对处理器，内存插槽，风扇，电源，CPU板的LED故障报警指示灯；配置远程管理模块和独立远程管理网口，支持通过浏览器访问带外管理界面，可以收集和查看硬件资产信息、系统日志和诊断信息，监控服务器系统运行状态、健康情况和性能信息。</w:t>
      </w:r>
    </w:p>
    <w:p w14:paraId="5E48BBBB">
      <w:pPr>
        <w:spacing w:line="400" w:lineRule="exact"/>
        <w:ind w:firstLine="420" w:firstLineChars="200"/>
        <w:rPr>
          <w:rFonts w:hint="eastAsia" w:ascii="宋体" w:hAnsi="宋体"/>
          <w:color w:val="auto"/>
          <w:szCs w:val="21"/>
        </w:rPr>
      </w:pPr>
      <w:r>
        <w:rPr>
          <w:rFonts w:hint="eastAsia" w:ascii="宋体" w:hAnsi="宋体"/>
          <w:color w:val="auto"/>
          <w:szCs w:val="21"/>
        </w:rPr>
        <w:t>11.能源管理工具：提供同品牌能源管理软件，可对数据中心内同一品牌的塔式、机架、刀片服务器以及超融合节点等提供实时电源能耗、健康状况以及温度等的监控和分析，可查看和控制服务器散热，可提供优化的能源方案。</w:t>
      </w:r>
    </w:p>
    <w:p w14:paraId="2756D2AC">
      <w:pPr>
        <w:spacing w:line="400" w:lineRule="exact"/>
        <w:ind w:firstLine="420" w:firstLineChars="200"/>
        <w:rPr>
          <w:rFonts w:hint="eastAsia" w:ascii="宋体" w:hAnsi="宋体"/>
          <w:color w:val="auto"/>
          <w:szCs w:val="21"/>
        </w:rPr>
      </w:pPr>
      <w:r>
        <w:rPr>
          <w:rFonts w:hint="eastAsia" w:ascii="宋体" w:hAnsi="宋体"/>
          <w:color w:val="auto"/>
          <w:szCs w:val="21"/>
        </w:rPr>
        <w:t xml:space="preserve">12.系统管理软件：提供同品牌运维管理软件，可在同一个图形界面里管理服务器和存储资源，并监控详细的性能与容量。配置部署无需命令行操作，只需在图形化管理界面上点击即可完成。要求提供移动APP，通过APP可以集中监控查看超融合设备的状态、审计日志和报警信息，以及执行设备电源开关动作等。提供与主流虚拟化平台集成：可与数据中心现有VMware vCenter集成，由vCenter直接管理硬件；                       </w:t>
      </w:r>
    </w:p>
    <w:p w14:paraId="48DCCCE0">
      <w:pPr>
        <w:spacing w:line="400" w:lineRule="exact"/>
        <w:ind w:firstLine="420" w:firstLineChars="200"/>
        <w:rPr>
          <w:rFonts w:hint="eastAsia" w:ascii="宋体" w:hAnsi="宋体"/>
          <w:szCs w:val="21"/>
        </w:rPr>
      </w:pPr>
      <w:r>
        <w:rPr>
          <w:rFonts w:hint="eastAsia" w:ascii="宋体" w:hAnsi="宋体"/>
          <w:color w:val="auto"/>
          <w:szCs w:val="21"/>
        </w:rPr>
        <w:t>13.云存储：支持同品牌云存储软件，非OEM产品；支持集群部署，采用多副本冗余存储技术，支持副本数≥2；支持网页版、windows客户端、mac客户端、虚拟盘符版、android版、ipad版、iphone版，随时随地办公；提供Windows系统、Mac系统下的outlook邮箱插件；支持office或wps在线预览，支持图片文件在线预览（图片预览时需支持旋转和缩放），对于音视频文件无需下载也无需安装任何播放器软件即可实现在线播放。支持预览水印格式：WPS、office、PDF。可显示文字水印、账户信息、IP地址及时间</w:t>
      </w:r>
      <w:r>
        <w:rPr>
          <w:rFonts w:hint="eastAsia" w:ascii="宋体" w:hAnsi="宋体"/>
          <w:szCs w:val="21"/>
        </w:rPr>
        <w:t>。支持文件加密上传功能，上传到网盘中的文件为加密文件，下载到本地后需要专属工具方可对文件进行解密，实现文件的安全管控能力，并且无需借助任何第三方插件或平台；</w:t>
      </w:r>
    </w:p>
    <w:p w14:paraId="59AC96A6">
      <w:pPr>
        <w:spacing w:line="400" w:lineRule="exact"/>
        <w:ind w:firstLine="420" w:firstLineChars="200"/>
        <w:rPr>
          <w:rFonts w:hint="eastAsia" w:ascii="宋体" w:hAnsi="宋体"/>
          <w:szCs w:val="21"/>
        </w:rPr>
      </w:pPr>
      <w:r>
        <w:rPr>
          <w:rFonts w:hint="eastAsia" w:ascii="宋体" w:hAnsi="宋体"/>
          <w:szCs w:val="21"/>
        </w:rPr>
        <w:t>14.</w:t>
      </w:r>
      <w:r>
        <w:rPr>
          <w:rFonts w:hint="eastAsia"/>
        </w:rPr>
        <w:t xml:space="preserve"> </w:t>
      </w:r>
      <w:r>
        <w:rPr>
          <w:rFonts w:hint="eastAsia" w:ascii="宋体" w:hAnsi="宋体"/>
          <w:szCs w:val="21"/>
        </w:rPr>
        <w:t>▲</w:t>
      </w:r>
      <w:r>
        <w:rPr>
          <w:rFonts w:hint="eastAsia" w:ascii="宋体" w:hAnsi="宋体"/>
          <w:color w:val="auto"/>
          <w:szCs w:val="21"/>
        </w:rPr>
        <w:t>磁盘备份</w:t>
      </w:r>
      <w:r>
        <w:rPr>
          <w:rFonts w:hint="eastAsia" w:ascii="宋体" w:hAnsi="宋体"/>
          <w:szCs w:val="21"/>
        </w:rPr>
        <w:t>：支持同品牌备份软件功能，Windows 兼容性：通过微软认证的WindowsServer /2008/2008R2/2012/2012R2/2016支持，帮助减少成本和部署时间，确保兼容性和可靠性，保护本地或远程服务器和工作站的所有系统配置信息，包括活动目录。 Linux兼容性：支持以下Linux客户端系统：Oracle、Red Hat、SUSE、Centos、Asianux Consortium 、Canonical、Citrix、Debian、Novell；支持重复数据删除：内置重复数据删除功能，大大减少备份时间窗口，无需额外安装和配置，重复数据删除可随意在数据源端和备份服务器端进行配置；全局重删池最大支持64TB以上；支持对（物理机，VMware，Hyper-V，Linux）备份作业数据进行全局灵活的块级重复数据删除。支持源端，目标端，第三方设备等多种重删方式；支持虚拟机环境：在同一界面同时支持vmware和Hyper-V虚拟机环境，实现与虚拟机无关的脱机备份，支持vmdk的块级增量备份，拥有即时恢复功能，可实现对虚拟机实现即时恢复；支持虚拟机整机恢复和单个文件，和应用的细颗粒恢复，备份后自动验证每一个虚拟机备份的可恢复性，保证备份的可用性；</w:t>
      </w:r>
    </w:p>
    <w:p w14:paraId="4D1C4003">
      <w:pPr>
        <w:spacing w:line="400" w:lineRule="exact"/>
        <w:ind w:firstLine="420" w:firstLineChars="200"/>
        <w:rPr>
          <w:rFonts w:hint="eastAsia" w:ascii="宋体" w:hAnsi="宋体"/>
          <w:szCs w:val="21"/>
        </w:rPr>
      </w:pPr>
      <w:r>
        <w:rPr>
          <w:rFonts w:hint="eastAsia" w:ascii="宋体" w:hAnsi="宋体"/>
          <w:szCs w:val="21"/>
        </w:rPr>
        <w:t>15.安全：</w:t>
      </w:r>
    </w:p>
    <w:p w14:paraId="4FD08789">
      <w:pPr>
        <w:spacing w:line="400" w:lineRule="exact"/>
        <w:ind w:firstLine="420" w:firstLineChars="200"/>
        <w:rPr>
          <w:rFonts w:hint="eastAsia" w:ascii="宋体" w:hAnsi="宋体"/>
          <w:color w:val="auto"/>
          <w:szCs w:val="21"/>
        </w:rPr>
      </w:pPr>
      <w:r>
        <w:rPr>
          <w:rFonts w:hint="eastAsia" w:ascii="宋体" w:hAnsi="宋体"/>
          <w:color w:val="auto"/>
          <w:szCs w:val="21"/>
          <w:lang w:eastAsia="zh-CN"/>
        </w:rPr>
        <w:t>◆</w:t>
      </w:r>
      <w:r>
        <w:rPr>
          <w:rFonts w:hint="eastAsia" w:ascii="宋体" w:hAnsi="宋体"/>
          <w:color w:val="auto"/>
          <w:szCs w:val="21"/>
        </w:rPr>
        <w:t>⑴、为确保底层系统安全，配置TCM（Trusted Cryptographic Module）可信加密模块（于投标文件中必须提供相关证明材料，可以是产品彩页或产品功能截图）；</w:t>
      </w:r>
    </w:p>
    <w:p w14:paraId="0DEC6173">
      <w:pPr>
        <w:spacing w:line="400" w:lineRule="exact"/>
        <w:ind w:firstLine="420" w:firstLineChars="200"/>
        <w:rPr>
          <w:rFonts w:hint="eastAsia" w:ascii="宋体" w:hAnsi="宋体"/>
          <w:szCs w:val="21"/>
        </w:rPr>
      </w:pPr>
      <w:r>
        <w:rPr>
          <w:rFonts w:hint="eastAsia" w:ascii="宋体" w:hAnsi="宋体"/>
          <w:color w:val="auto"/>
          <w:szCs w:val="21"/>
          <w:lang w:eastAsia="zh-CN"/>
        </w:rPr>
        <w:t>◆</w:t>
      </w:r>
      <w:r>
        <w:rPr>
          <w:rFonts w:hint="eastAsia" w:ascii="宋体" w:hAnsi="宋体"/>
          <w:color w:val="auto"/>
          <w:szCs w:val="21"/>
        </w:rPr>
        <w:t>⑵</w:t>
      </w:r>
      <w:r>
        <w:rPr>
          <w:rFonts w:hint="eastAsia" w:ascii="宋体" w:hAnsi="宋体"/>
          <w:szCs w:val="21"/>
        </w:rPr>
        <w:t>、支持安全管理平台，控制台支持实时显示客户端的状态，支持多种虚拟化平台的同台管理，既在同一套管理平台上同时支持如Vmware，华为、华三、锐捷，微软等不同虚拟化平台虚拟机安全管理，客户端支持将扫描检测到的未知文件上报到管理控制台通过云引擎进行分析判断，同时对终端威胁情报进行全网共享（于投标文件中必须提供相关证明材料，可以是产品彩页、官网截图或产品功能截图）。</w:t>
      </w:r>
    </w:p>
    <w:p w14:paraId="4063219D">
      <w:pPr>
        <w:spacing w:line="400" w:lineRule="exact"/>
        <w:ind w:firstLine="420" w:firstLineChars="200"/>
        <w:rPr>
          <w:rFonts w:hint="eastAsia" w:ascii="宋体" w:hAnsi="宋体"/>
          <w:szCs w:val="21"/>
        </w:rPr>
      </w:pPr>
      <w:r>
        <w:rPr>
          <w:rFonts w:hint="eastAsia" w:ascii="宋体" w:hAnsi="宋体"/>
          <w:szCs w:val="21"/>
        </w:rPr>
        <w:t>16.服务：提供原厂3年7x24售后支持服务，提供原厂基础安装服务。</w:t>
      </w:r>
    </w:p>
    <w:p w14:paraId="360D5DA6">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超融合万兆交换机</w:t>
      </w:r>
    </w:p>
    <w:p w14:paraId="39CE8C6F">
      <w:pPr>
        <w:spacing w:line="400" w:lineRule="exact"/>
        <w:ind w:firstLine="420" w:firstLineChars="200"/>
        <w:rPr>
          <w:rFonts w:hint="eastAsia" w:ascii="宋体" w:hAnsi="宋体"/>
          <w:szCs w:val="21"/>
        </w:rPr>
      </w:pPr>
      <w:r>
        <w:rPr>
          <w:rFonts w:hint="eastAsia" w:ascii="宋体" w:hAnsi="宋体"/>
          <w:szCs w:val="21"/>
        </w:rPr>
        <w:t>1、支持并实配1</w:t>
      </w:r>
      <w:r>
        <w:rPr>
          <w:rFonts w:hint="eastAsia" w:ascii="宋体" w:hAnsi="宋体"/>
          <w:color w:val="auto"/>
          <w:szCs w:val="21"/>
        </w:rPr>
        <w:t>0G/1G接</w:t>
      </w:r>
      <w:r>
        <w:rPr>
          <w:rFonts w:hint="eastAsia" w:ascii="宋体" w:hAnsi="宋体"/>
          <w:szCs w:val="21"/>
        </w:rPr>
        <w:t>口数≥20，25G/10G接口数量≥4，40G接口数≥2，整机可扩展支持10G接口数≥32。本次提供≥8个10GB短波模块，提供1根5米10GB 堆叠线缆。</w:t>
      </w:r>
    </w:p>
    <w:p w14:paraId="43EE6414">
      <w:pPr>
        <w:spacing w:line="400" w:lineRule="exact"/>
        <w:ind w:firstLine="420" w:firstLineChars="200"/>
        <w:rPr>
          <w:rFonts w:hint="eastAsia" w:ascii="宋体" w:hAnsi="宋体"/>
          <w:szCs w:val="21"/>
        </w:rPr>
      </w:pPr>
      <w:r>
        <w:rPr>
          <w:rFonts w:hint="eastAsia" w:ascii="宋体" w:hAnsi="宋体"/>
          <w:szCs w:val="21"/>
        </w:rPr>
        <w:t>2、支持并实配可拔插双模块化电源，可拔插双模块化风扇，前后风道</w:t>
      </w:r>
    </w:p>
    <w:p w14:paraId="2B82205E">
      <w:pPr>
        <w:spacing w:line="400" w:lineRule="exact"/>
        <w:ind w:firstLine="420" w:firstLineChars="200"/>
        <w:rPr>
          <w:rFonts w:hint="eastAsia" w:ascii="宋体" w:hAnsi="宋体"/>
          <w:szCs w:val="21"/>
        </w:rPr>
      </w:pPr>
      <w:r>
        <w:rPr>
          <w:rFonts w:hint="eastAsia" w:ascii="宋体" w:hAnsi="宋体"/>
          <w:szCs w:val="21"/>
        </w:rPr>
        <w:t>3、交换容量≥2.56T，包转发率≥570Mpps。</w:t>
      </w:r>
    </w:p>
    <w:p w14:paraId="3A208C77">
      <w:pPr>
        <w:spacing w:line="400" w:lineRule="exact"/>
        <w:ind w:firstLine="420" w:firstLineChars="200"/>
        <w:rPr>
          <w:rFonts w:hint="eastAsia" w:ascii="宋体" w:hAnsi="宋体"/>
          <w:szCs w:val="21"/>
        </w:rPr>
      </w:pPr>
      <w:r>
        <w:rPr>
          <w:rFonts w:hint="eastAsia" w:ascii="宋体" w:hAnsi="宋体"/>
          <w:szCs w:val="21"/>
        </w:rPr>
        <w:t>4、支持硬件健康状态可视化，可以对风扇状态、电源、温度、板载电压进行监控，尤其是在日常巡查中发现电压异常前兆，可及时处理，避免出现电压异常宕机。</w:t>
      </w:r>
    </w:p>
    <w:p w14:paraId="0DB994AA">
      <w:pPr>
        <w:spacing w:line="400" w:lineRule="exact"/>
        <w:ind w:firstLine="420" w:firstLineChars="200"/>
        <w:rPr>
          <w:rFonts w:hint="eastAsia" w:ascii="宋体" w:hAnsi="宋体"/>
          <w:szCs w:val="21"/>
        </w:rPr>
      </w:pPr>
      <w:r>
        <w:rPr>
          <w:rFonts w:hint="eastAsia" w:ascii="宋体" w:hAnsi="宋体"/>
          <w:szCs w:val="21"/>
        </w:rPr>
        <w:t>5、支持硬件层级双boot，采用两个FLASH芯片存储boot软件（系统引导程序），实现硬件级boot冗余备份，避免因FLASH芯片故障导致交换机无法启动。设备支持故障隔离技术，用于监测光模块状态，一旦出现故障，可马上识别、并将故障模块隔离，确保不影响其它端口和整机的正常运行，更换模块后该端口也可马上恢复正常工作。</w:t>
      </w:r>
    </w:p>
    <w:p w14:paraId="2388F2A9">
      <w:pPr>
        <w:spacing w:line="400" w:lineRule="exact"/>
        <w:ind w:firstLine="420" w:firstLineChars="200"/>
        <w:rPr>
          <w:rFonts w:hint="eastAsia" w:ascii="宋体" w:hAnsi="宋体"/>
          <w:szCs w:val="21"/>
        </w:rPr>
      </w:pPr>
      <w:r>
        <w:rPr>
          <w:rFonts w:hint="eastAsia" w:ascii="宋体" w:hAnsi="宋体"/>
          <w:szCs w:val="21"/>
        </w:rPr>
        <w:t>6、支持RIP，OSPF，BGP，RIPng，OSPFv3，BGP4+</w:t>
      </w:r>
    </w:p>
    <w:p w14:paraId="57D1FA03">
      <w:pPr>
        <w:spacing w:line="400" w:lineRule="exact"/>
        <w:ind w:firstLine="420" w:firstLineChars="200"/>
        <w:rPr>
          <w:rFonts w:hint="eastAsia" w:ascii="宋体" w:hAnsi="宋体"/>
          <w:szCs w:val="21"/>
        </w:rPr>
      </w:pPr>
      <w:r>
        <w:rPr>
          <w:rFonts w:hint="eastAsia" w:ascii="宋体" w:hAnsi="宋体"/>
          <w:szCs w:val="21"/>
        </w:rPr>
        <w:t>7、支持端口镜像功能，支持多对一端口镜像及一对多端口镜像，支持跨交换机的远程端口镜像功能 RSPAN，支持聚合链路的镜像</w:t>
      </w:r>
    </w:p>
    <w:p w14:paraId="2D711CE8">
      <w:pPr>
        <w:spacing w:line="400" w:lineRule="exact"/>
        <w:ind w:firstLine="420" w:firstLineChars="200"/>
        <w:rPr>
          <w:rFonts w:hint="eastAsia" w:ascii="宋体" w:hAnsi="宋体"/>
          <w:szCs w:val="21"/>
        </w:rPr>
      </w:pPr>
      <w:r>
        <w:rPr>
          <w:rFonts w:hint="eastAsia" w:ascii="宋体" w:hAnsi="宋体"/>
          <w:szCs w:val="21"/>
        </w:rPr>
        <w:t>8、支持多虚一技术，可将多台物理设备虚拟化为一台逻辑设备统一管理，VSL故障恢复时间＜30ms。</w:t>
      </w:r>
    </w:p>
    <w:p w14:paraId="676EC59F">
      <w:pPr>
        <w:spacing w:line="400" w:lineRule="exact"/>
        <w:ind w:firstLine="420" w:firstLineChars="200"/>
        <w:rPr>
          <w:rFonts w:hint="eastAsia" w:ascii="宋体" w:hAnsi="宋体"/>
          <w:szCs w:val="21"/>
        </w:rPr>
      </w:pPr>
      <w:r>
        <w:rPr>
          <w:rFonts w:hint="eastAsia" w:ascii="宋体" w:hAnsi="宋体"/>
          <w:szCs w:val="21"/>
        </w:rPr>
        <w:t>9、支持支持同时开启802.1X或WEB认证，CPP、ACL、防ARP欺骗等功能不会相互冲突、制约。</w:t>
      </w:r>
    </w:p>
    <w:p w14:paraId="1FA060B2">
      <w:pPr>
        <w:spacing w:line="400" w:lineRule="exact"/>
        <w:ind w:firstLine="420" w:firstLineChars="200"/>
        <w:rPr>
          <w:rFonts w:hint="eastAsia" w:ascii="宋体" w:hAnsi="宋体"/>
          <w:szCs w:val="21"/>
        </w:rPr>
      </w:pPr>
      <w:r>
        <w:rPr>
          <w:rFonts w:hint="eastAsia" w:ascii="宋体" w:hAnsi="宋体"/>
          <w:szCs w:val="21"/>
        </w:rPr>
        <w:t>10、要求所投产品支持软件定义网络SDN，符合OpenFlow、NETCONF协议标准。</w:t>
      </w:r>
    </w:p>
    <w:p w14:paraId="66AA50C6">
      <w:pPr>
        <w:spacing w:line="400" w:lineRule="exact"/>
        <w:ind w:firstLine="420" w:firstLineChars="200"/>
        <w:rPr>
          <w:rFonts w:hint="eastAsia" w:ascii="宋体" w:hAnsi="宋体"/>
          <w:szCs w:val="21"/>
        </w:rPr>
      </w:pPr>
      <w:r>
        <w:rPr>
          <w:rFonts w:hint="eastAsia" w:ascii="宋体" w:hAnsi="宋体"/>
          <w:szCs w:val="21"/>
        </w:rPr>
        <w:t>11、支持CPU保护功能，能够针对发往CPU处理的各种报文进行流区分和优先级队列分级处理，保护交换机在各种环境下稳定工作；支持专门基础网络保护机制，能够限制用户向网络中发送数据包的速率，对有攻击行为的用户进行隔离，保证设备和整网的安全稳定运行。</w:t>
      </w:r>
    </w:p>
    <w:p w14:paraId="2EE99A0A">
      <w:pPr>
        <w:spacing w:line="400" w:lineRule="exact"/>
        <w:ind w:firstLine="420" w:firstLineChars="200"/>
        <w:rPr>
          <w:rFonts w:hint="eastAsia" w:ascii="宋体" w:hAnsi="宋体"/>
          <w:szCs w:val="21"/>
        </w:rPr>
      </w:pPr>
      <w:r>
        <w:rPr>
          <w:rFonts w:hint="eastAsia" w:ascii="宋体" w:hAnsi="宋体"/>
          <w:szCs w:val="21"/>
        </w:rPr>
        <w:t>12、提供3年原厂售后服务</w:t>
      </w:r>
    </w:p>
    <w:p w14:paraId="52C750DE">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业务交换机</w:t>
      </w:r>
    </w:p>
    <w:p w14:paraId="43762951">
      <w:pPr>
        <w:spacing w:line="400" w:lineRule="exact"/>
        <w:ind w:firstLine="420" w:firstLineChars="200"/>
        <w:rPr>
          <w:rFonts w:hint="eastAsia" w:ascii="宋体" w:hAnsi="宋体"/>
          <w:szCs w:val="21"/>
        </w:rPr>
      </w:pPr>
      <w:r>
        <w:rPr>
          <w:rFonts w:hint="eastAsia" w:ascii="宋体" w:hAnsi="宋体"/>
          <w:szCs w:val="21"/>
        </w:rPr>
        <w:t>1、硬件：</w:t>
      </w:r>
    </w:p>
    <w:p w14:paraId="271BEC02">
      <w:pPr>
        <w:spacing w:line="400" w:lineRule="exact"/>
        <w:ind w:firstLine="420" w:firstLineChars="200"/>
        <w:rPr>
          <w:rFonts w:hint="eastAsia" w:ascii="宋体" w:hAnsi="宋体"/>
          <w:szCs w:val="21"/>
        </w:rPr>
      </w:pPr>
      <w:r>
        <w:rPr>
          <w:rFonts w:hint="eastAsia" w:ascii="宋体" w:hAnsi="宋体"/>
          <w:szCs w:val="21"/>
        </w:rPr>
        <w:t>交换容量≥672Gbps，如官网以X/Y形式表述则以其中最小值为准。</w:t>
      </w:r>
    </w:p>
    <w:p w14:paraId="7539CB8F">
      <w:pPr>
        <w:spacing w:line="400" w:lineRule="exact"/>
        <w:ind w:firstLine="420" w:firstLineChars="200"/>
        <w:rPr>
          <w:rFonts w:hint="eastAsia" w:ascii="宋体" w:hAnsi="宋体"/>
          <w:szCs w:val="21"/>
        </w:rPr>
      </w:pPr>
      <w:r>
        <w:rPr>
          <w:rFonts w:hint="eastAsia" w:ascii="宋体" w:hAnsi="宋体"/>
          <w:szCs w:val="21"/>
        </w:rPr>
        <w:t>转发性能≥171Mpps，如官网以X/Y形式表述则以其中最小值为准。</w:t>
      </w:r>
    </w:p>
    <w:p w14:paraId="45432E0D">
      <w:pPr>
        <w:spacing w:line="400" w:lineRule="exact"/>
        <w:ind w:firstLine="420" w:firstLineChars="200"/>
        <w:rPr>
          <w:rFonts w:hint="eastAsia" w:ascii="宋体" w:hAnsi="宋体"/>
          <w:szCs w:val="21"/>
        </w:rPr>
      </w:pPr>
      <w:r>
        <w:rPr>
          <w:rFonts w:hint="eastAsia" w:ascii="宋体" w:hAnsi="宋体"/>
          <w:szCs w:val="21"/>
        </w:rPr>
        <w:t>固化10/100/1000M以太网端口≥24个，10G/1GSFP+光接口≥4个。</w:t>
      </w:r>
    </w:p>
    <w:p w14:paraId="3D4A815D">
      <w:pPr>
        <w:spacing w:line="400" w:lineRule="exact"/>
        <w:ind w:firstLine="420" w:firstLineChars="200"/>
        <w:rPr>
          <w:rFonts w:hint="eastAsia" w:ascii="宋体" w:hAnsi="宋体"/>
          <w:szCs w:val="21"/>
        </w:rPr>
      </w:pPr>
      <w:r>
        <w:rPr>
          <w:rFonts w:hint="eastAsia" w:ascii="宋体" w:hAnsi="宋体"/>
          <w:szCs w:val="21"/>
        </w:rPr>
        <w:t>支持并实配可拔插双模块化电源，实现1+1冗余。</w:t>
      </w:r>
    </w:p>
    <w:p w14:paraId="6E51A20D">
      <w:pPr>
        <w:spacing w:line="400" w:lineRule="exact"/>
        <w:ind w:firstLine="420" w:firstLineChars="200"/>
        <w:rPr>
          <w:rFonts w:hint="eastAsia" w:ascii="宋体" w:hAnsi="宋体"/>
          <w:szCs w:val="21"/>
        </w:rPr>
      </w:pPr>
      <w:r>
        <w:rPr>
          <w:rFonts w:hint="eastAsia" w:ascii="宋体" w:hAnsi="宋体"/>
          <w:szCs w:val="21"/>
        </w:rPr>
        <w:t>产品端口浪涌抗扰度≥10KV，即具备10KV的防雷能力；</w:t>
      </w:r>
    </w:p>
    <w:p w14:paraId="4CC2C1AF">
      <w:pPr>
        <w:spacing w:line="400" w:lineRule="exact"/>
        <w:ind w:firstLine="420" w:firstLineChars="200"/>
        <w:rPr>
          <w:rFonts w:hint="eastAsia" w:ascii="宋体" w:hAnsi="宋体"/>
          <w:szCs w:val="21"/>
        </w:rPr>
      </w:pPr>
      <w:r>
        <w:rPr>
          <w:rFonts w:hint="eastAsia" w:ascii="宋体" w:hAnsi="宋体"/>
          <w:szCs w:val="21"/>
        </w:rPr>
        <w:t>2、软件：</w:t>
      </w:r>
    </w:p>
    <w:p w14:paraId="668D453E">
      <w:pPr>
        <w:spacing w:line="400" w:lineRule="exact"/>
        <w:ind w:firstLine="420" w:firstLineChars="200"/>
        <w:rPr>
          <w:rFonts w:hint="eastAsia" w:ascii="宋体" w:hAnsi="宋体"/>
          <w:szCs w:val="21"/>
        </w:rPr>
      </w:pPr>
      <w:r>
        <w:rPr>
          <w:rFonts w:hint="eastAsia" w:ascii="宋体" w:hAnsi="宋体"/>
          <w:szCs w:val="21"/>
        </w:rPr>
        <w:t>支持RIP/RIPng、OSPFv2/OSPFv3等三层路由协议；</w:t>
      </w:r>
    </w:p>
    <w:p w14:paraId="54A6403A">
      <w:pPr>
        <w:spacing w:line="400" w:lineRule="exact"/>
        <w:ind w:firstLine="420" w:firstLineChars="200"/>
        <w:rPr>
          <w:rFonts w:hint="eastAsia" w:ascii="宋体" w:hAnsi="宋体"/>
          <w:szCs w:val="21"/>
        </w:rPr>
      </w:pPr>
      <w:r>
        <w:rPr>
          <w:rFonts w:hint="eastAsia" w:ascii="宋体" w:hAnsi="宋体"/>
          <w:szCs w:val="21"/>
        </w:rPr>
        <w:t>支持SAVI功能，可防止地址解析欺骗；</w:t>
      </w:r>
    </w:p>
    <w:p w14:paraId="08FACFB5">
      <w:pPr>
        <w:spacing w:line="400" w:lineRule="exact"/>
        <w:ind w:firstLine="420" w:firstLineChars="200"/>
        <w:rPr>
          <w:rFonts w:hint="eastAsia" w:ascii="宋体" w:hAnsi="宋体"/>
          <w:szCs w:val="21"/>
        </w:rPr>
      </w:pPr>
      <w:r>
        <w:rPr>
          <w:rFonts w:hint="eastAsia" w:ascii="宋体" w:hAnsi="宋体"/>
          <w:szCs w:val="21"/>
        </w:rPr>
        <w:t>支持CPU保护功能，限制非法报文对CPU的攻击，保护交换机在各种环境下稳定工作；</w:t>
      </w:r>
    </w:p>
    <w:p w14:paraId="18FF160B">
      <w:pPr>
        <w:spacing w:line="400" w:lineRule="exact"/>
        <w:ind w:firstLine="420" w:firstLineChars="200"/>
        <w:rPr>
          <w:rFonts w:hint="eastAsia" w:ascii="宋体" w:hAnsi="宋体"/>
          <w:szCs w:val="21"/>
        </w:rPr>
      </w:pPr>
      <w:r>
        <w:rPr>
          <w:rFonts w:hint="eastAsia" w:ascii="宋体" w:hAnsi="宋体"/>
          <w:szCs w:val="21"/>
        </w:rPr>
        <w:t>支持专门基础网络保护机制，支持限制用户向网络中发送数据包的速率，对有攻击行为的用户进行隔离，保证设备和整网的安全稳定运行；</w:t>
      </w:r>
    </w:p>
    <w:p w14:paraId="0CFD5BD2">
      <w:pPr>
        <w:spacing w:line="400" w:lineRule="exact"/>
        <w:ind w:firstLine="420" w:firstLineChars="200"/>
        <w:rPr>
          <w:rFonts w:hint="eastAsia" w:ascii="宋体" w:hAnsi="宋体"/>
          <w:szCs w:val="21"/>
        </w:rPr>
      </w:pPr>
      <w:r>
        <w:rPr>
          <w:rFonts w:hint="eastAsia" w:ascii="宋体" w:hAnsi="宋体"/>
          <w:szCs w:val="21"/>
        </w:rPr>
        <w:t>支持快速以太网链路检测协议，可快速检测链路的通断和光纤链路的单向性，并支持端口下的环路检测功能；</w:t>
      </w:r>
    </w:p>
    <w:p w14:paraId="6EB84720">
      <w:pPr>
        <w:spacing w:line="400" w:lineRule="exact"/>
        <w:ind w:firstLine="420" w:firstLineChars="200"/>
        <w:rPr>
          <w:rFonts w:hint="eastAsia" w:ascii="宋体" w:hAnsi="宋体"/>
          <w:szCs w:val="21"/>
        </w:rPr>
      </w:pPr>
      <w:r>
        <w:rPr>
          <w:rFonts w:hint="eastAsia" w:ascii="宋体" w:hAnsi="宋体"/>
          <w:szCs w:val="21"/>
        </w:rPr>
        <w:t>支持虚拟化功能，即可将多台物理设备虚拟化为一台逻辑设备统一管理，并且链路故障的收敛时间最快50ms；</w:t>
      </w:r>
    </w:p>
    <w:p w14:paraId="2E8D8D8A">
      <w:pPr>
        <w:spacing w:line="400" w:lineRule="exact"/>
        <w:ind w:firstLine="420" w:firstLineChars="200"/>
        <w:rPr>
          <w:rFonts w:hint="eastAsia" w:ascii="宋体" w:hAnsi="宋体"/>
          <w:szCs w:val="21"/>
        </w:rPr>
      </w:pPr>
      <w:r>
        <w:rPr>
          <w:rFonts w:hint="eastAsia" w:ascii="宋体" w:hAnsi="宋体"/>
          <w:szCs w:val="21"/>
        </w:rPr>
        <w:t>支持SNMP、CLI(Telnet/Console)、RMON、SSH、Syslog、NTP/SNTP、FTP、TFTP、Web。</w:t>
      </w:r>
    </w:p>
    <w:p w14:paraId="077BA4CD">
      <w:pPr>
        <w:spacing w:line="400" w:lineRule="exact"/>
        <w:ind w:firstLine="420" w:firstLineChars="200"/>
        <w:rPr>
          <w:rFonts w:hint="eastAsia" w:ascii="宋体" w:hAnsi="宋体"/>
          <w:szCs w:val="21"/>
        </w:rPr>
      </w:pPr>
      <w:r>
        <w:rPr>
          <w:rFonts w:hint="eastAsia" w:ascii="宋体" w:hAnsi="宋体"/>
          <w:szCs w:val="21"/>
        </w:rPr>
        <w:t>3、资质：</w:t>
      </w:r>
    </w:p>
    <w:p w14:paraId="2D6E12C2">
      <w:pPr>
        <w:spacing w:line="400" w:lineRule="exact"/>
        <w:ind w:firstLine="420" w:firstLineChars="200"/>
        <w:rPr>
          <w:rFonts w:hint="eastAsia" w:ascii="宋体" w:hAnsi="宋体"/>
          <w:szCs w:val="21"/>
        </w:rPr>
      </w:pPr>
      <w:r>
        <w:rPr>
          <w:rFonts w:hint="eastAsia" w:ascii="宋体" w:hAnsi="宋体"/>
          <w:szCs w:val="21"/>
        </w:rPr>
        <w:t>提供工业和信息化部颁发的电信设备进网许可证，许可证上需标注为三层交换机；</w:t>
      </w:r>
    </w:p>
    <w:p w14:paraId="72D25E7C">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安装调试和辅材</w:t>
      </w:r>
    </w:p>
    <w:p w14:paraId="0B7FBC3A">
      <w:pPr>
        <w:spacing w:line="400" w:lineRule="exact"/>
        <w:ind w:firstLine="420" w:firstLineChars="200"/>
        <w:rPr>
          <w:rFonts w:hint="eastAsia" w:ascii="宋体" w:hAnsi="宋体"/>
          <w:szCs w:val="21"/>
        </w:rPr>
      </w:pPr>
      <w:r>
        <w:rPr>
          <w:rFonts w:hint="eastAsia" w:ascii="宋体" w:hAnsi="宋体"/>
          <w:szCs w:val="21"/>
        </w:rPr>
        <w:t>提供本次超融合平台的安装调试服务，以及所需的所有线材一批。</w:t>
      </w:r>
    </w:p>
    <w:p w14:paraId="3E64B63E">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网络安全防火墙</w:t>
      </w:r>
    </w:p>
    <w:p w14:paraId="38B032B4">
      <w:pPr>
        <w:spacing w:line="400" w:lineRule="exact"/>
        <w:ind w:firstLine="420" w:firstLineChars="200"/>
        <w:rPr>
          <w:rFonts w:hint="eastAsia" w:ascii="宋体" w:hAnsi="宋体"/>
          <w:szCs w:val="21"/>
        </w:rPr>
      </w:pPr>
      <w:r>
        <w:rPr>
          <w:rFonts w:hint="eastAsia" w:ascii="宋体" w:hAnsi="宋体"/>
          <w:szCs w:val="21"/>
        </w:rPr>
        <w:t>1、1U设备，8个千兆电口，4个千兆光口，1个扩展槽，4G EMMC存储，双电源；</w:t>
      </w:r>
    </w:p>
    <w:p w14:paraId="5A95F67C">
      <w:pPr>
        <w:spacing w:line="400" w:lineRule="exact"/>
        <w:ind w:firstLine="420" w:firstLineChars="200"/>
        <w:rPr>
          <w:rFonts w:hint="eastAsia" w:ascii="宋体" w:hAnsi="宋体"/>
          <w:szCs w:val="21"/>
        </w:rPr>
      </w:pPr>
      <w:r>
        <w:rPr>
          <w:rFonts w:hint="eastAsia" w:ascii="宋体" w:hAnsi="宋体"/>
          <w:szCs w:val="21"/>
        </w:rPr>
        <w:t>防火墙吞吐量≥6Gbps；IPS+AV吞吐量≥4.8Gbps；并发连接150万；每秒新建7万；Ipsec VPN吞吐2G；SSL VPN用户数600，3年硬件质保与软件升级服务。</w:t>
      </w:r>
    </w:p>
    <w:p w14:paraId="461DDDBF">
      <w:pPr>
        <w:spacing w:line="400" w:lineRule="exact"/>
        <w:ind w:firstLine="420" w:firstLineChars="200"/>
        <w:rPr>
          <w:rFonts w:hint="eastAsia" w:ascii="宋体" w:hAnsi="宋体"/>
          <w:szCs w:val="21"/>
        </w:rPr>
      </w:pPr>
      <w:r>
        <w:rPr>
          <w:rFonts w:hint="eastAsia" w:ascii="宋体" w:hAnsi="宋体"/>
          <w:szCs w:val="21"/>
        </w:rPr>
        <w:t>2、国产品牌，具备完整自主知识产权，独立专业防火墙设备，非插卡式扩展的防火墙设备。</w:t>
      </w:r>
    </w:p>
    <w:p w14:paraId="02D0B50B">
      <w:pPr>
        <w:spacing w:line="400" w:lineRule="exact"/>
        <w:ind w:firstLine="420" w:firstLineChars="200"/>
        <w:rPr>
          <w:rFonts w:hint="eastAsia" w:ascii="宋体" w:hAnsi="宋体"/>
          <w:szCs w:val="21"/>
        </w:rPr>
      </w:pPr>
      <w:r>
        <w:rPr>
          <w:rFonts w:hint="eastAsia" w:ascii="宋体" w:hAnsi="宋体"/>
          <w:szCs w:val="21"/>
        </w:rPr>
        <w:t>3、支持策略预编译技术，整机性能不受防火墙访问控制策略情况下影响。</w:t>
      </w:r>
    </w:p>
    <w:p w14:paraId="1BBE1382">
      <w:pPr>
        <w:spacing w:line="400" w:lineRule="exact"/>
        <w:ind w:firstLine="420" w:firstLineChars="200"/>
        <w:rPr>
          <w:rFonts w:hint="eastAsia" w:ascii="宋体" w:hAnsi="宋体"/>
          <w:szCs w:val="21"/>
        </w:rPr>
      </w:pPr>
      <w:r>
        <w:rPr>
          <w:rFonts w:hint="eastAsia" w:ascii="宋体" w:hAnsi="宋体"/>
          <w:szCs w:val="21"/>
        </w:rPr>
        <w:t>4、支持基于IP网段、IP地址范围、ISP地址库、区域地址库等的多种黑名单阻断方式，支持分组功能，可基于分组的一键启停，支持在会话管理界面根据当前会话信息直接设置黑名单。</w:t>
      </w:r>
    </w:p>
    <w:p w14:paraId="65FF11A8">
      <w:pPr>
        <w:spacing w:line="400" w:lineRule="exact"/>
        <w:ind w:firstLine="420" w:firstLineChars="200"/>
        <w:rPr>
          <w:rFonts w:hint="eastAsia" w:ascii="宋体" w:hAnsi="宋体"/>
          <w:szCs w:val="21"/>
        </w:rPr>
      </w:pPr>
      <w:r>
        <w:rPr>
          <w:rFonts w:hint="eastAsia" w:ascii="宋体" w:hAnsi="宋体"/>
          <w:szCs w:val="21"/>
        </w:rPr>
        <w:t>5、支持并开通 网络入侵检测及防御功能，入侵防御事件库事件数量不少于3000条，可基于IP地址、网段、用户、时间、VLAN、协议类型等条件设定入侵防御模块的检测事件及响应方式，一条策略可同时引用攻击防护、病毒防护、入侵防护、web防护、威胁情报、口令防护等安全防护模板 。</w:t>
      </w:r>
    </w:p>
    <w:p w14:paraId="05554A0E">
      <w:pPr>
        <w:spacing w:line="400" w:lineRule="exact"/>
        <w:ind w:firstLine="420" w:firstLineChars="200"/>
        <w:rPr>
          <w:rFonts w:hint="eastAsia" w:ascii="宋体" w:hAnsi="宋体"/>
          <w:szCs w:val="21"/>
        </w:rPr>
      </w:pPr>
      <w:r>
        <w:rPr>
          <w:rFonts w:hint="eastAsia" w:ascii="宋体" w:hAnsi="宋体"/>
          <w:szCs w:val="21"/>
        </w:rPr>
        <w:t>6、支持IPS抓包取证，可选择将产生IPS事件的会话所有报文进行存储，并与IPS日志关联一键导出。</w:t>
      </w:r>
    </w:p>
    <w:p w14:paraId="34069D67">
      <w:pPr>
        <w:spacing w:line="400" w:lineRule="exact"/>
        <w:ind w:firstLine="420" w:firstLineChars="200"/>
        <w:rPr>
          <w:rFonts w:hint="eastAsia" w:ascii="宋体" w:hAnsi="宋体"/>
          <w:szCs w:val="21"/>
        </w:rPr>
      </w:pPr>
      <w:r>
        <w:rPr>
          <w:rFonts w:hint="eastAsia" w:ascii="宋体" w:hAnsi="宋体"/>
          <w:szCs w:val="21"/>
        </w:rPr>
        <w:t>7、支持DNS安全监测系统联动， 可另外开通相应功能，实现云端DNS安全检查系统进行攻击识别，识别的攻击类型应至少包含：后门、远控木马、DDOS、挖矿、银行木马、APT、DGA、黑客工具、勒索软件、数据窃取、蠕虫、钓鱼网站、黄赌毒等威胁。</w:t>
      </w:r>
    </w:p>
    <w:p w14:paraId="7CD15999">
      <w:pPr>
        <w:spacing w:line="400" w:lineRule="exact"/>
        <w:ind w:firstLine="420" w:firstLineChars="200"/>
        <w:rPr>
          <w:rFonts w:hint="eastAsia" w:ascii="宋体" w:hAnsi="宋体"/>
          <w:szCs w:val="21"/>
        </w:rPr>
      </w:pPr>
      <w:r>
        <w:rPr>
          <w:rFonts w:hint="eastAsia" w:ascii="宋体" w:hAnsi="宋体"/>
          <w:szCs w:val="21"/>
        </w:rPr>
        <w:t>8、基于主流杀毒引擎，支持对文件感染型病毒、蠕虫病毒、脚本病毒、宏病毒、木马、恶意软件等过滤，病毒库数量不少于1200万，防病毒功能开启后，整机处理性能衰减不超过30%。</w:t>
      </w:r>
    </w:p>
    <w:p w14:paraId="066732FA">
      <w:pPr>
        <w:spacing w:line="400" w:lineRule="exact"/>
        <w:ind w:firstLine="420" w:firstLineChars="200"/>
        <w:rPr>
          <w:rFonts w:hint="eastAsia" w:ascii="宋体" w:hAnsi="宋体"/>
          <w:szCs w:val="21"/>
        </w:rPr>
      </w:pPr>
      <w:r>
        <w:rPr>
          <w:rFonts w:hint="eastAsia" w:ascii="宋体" w:hAnsi="宋体"/>
          <w:szCs w:val="21"/>
        </w:rPr>
        <w:t>9、支持本地离线库在线更新，离线更新，支持威胁情报威胁信息一键跳转云端威胁情报中信查看威胁详细实时全量的信息化展示，失陷检测情报分类包含：勒索软件、挖矿软件、网银木马、窃密木马、黑客工具、后门软件、僵尸网络、常规木马、DGA、黑灰产、扫描探测、隐匿追踪、可疑威胁、定向攻击、蠕虫病毒、APT攻击、其他远控等风险流量进行识别和过滤，可对不同类别风险IP流量进行记录日志或者阻断一定时间。</w:t>
      </w:r>
    </w:p>
    <w:p w14:paraId="401B65FB">
      <w:pPr>
        <w:spacing w:line="400" w:lineRule="exact"/>
        <w:ind w:firstLine="420" w:firstLineChars="200"/>
        <w:rPr>
          <w:rFonts w:hint="eastAsia" w:ascii="宋体" w:hAnsi="宋体"/>
          <w:szCs w:val="21"/>
        </w:rPr>
      </w:pPr>
      <w:r>
        <w:rPr>
          <w:rFonts w:hint="eastAsia" w:ascii="宋体" w:hAnsi="宋体"/>
          <w:szCs w:val="21"/>
        </w:rPr>
        <w:t>10、支持DoH加密域名解析服务，对解析流量加密处理。</w:t>
      </w:r>
    </w:p>
    <w:p w14:paraId="76241AC2">
      <w:pPr>
        <w:spacing w:line="400" w:lineRule="exact"/>
        <w:ind w:firstLine="420" w:firstLineChars="200"/>
        <w:rPr>
          <w:rFonts w:hint="eastAsia" w:ascii="宋体" w:hAnsi="宋体"/>
          <w:szCs w:val="21"/>
        </w:rPr>
      </w:pPr>
      <w:r>
        <w:rPr>
          <w:rFonts w:hint="eastAsia" w:ascii="宋体" w:hAnsi="宋体"/>
          <w:szCs w:val="21"/>
        </w:rPr>
        <w:t>11、支持并开通基于DPI和DFI技术的应用特征识别及行为控制，应用识别的种类不少于2000种，支持并开通基于URL分类库的WEB访问管理，URL分类库规模不少于2000万条。</w:t>
      </w:r>
    </w:p>
    <w:p w14:paraId="622376BE">
      <w:pPr>
        <w:spacing w:line="400" w:lineRule="exact"/>
        <w:ind w:firstLine="420" w:firstLineChars="200"/>
        <w:rPr>
          <w:rFonts w:hint="eastAsia" w:ascii="宋体" w:hAnsi="宋体"/>
          <w:szCs w:val="21"/>
        </w:rPr>
      </w:pPr>
      <w:r>
        <w:rPr>
          <w:rFonts w:hint="eastAsia" w:ascii="宋体" w:hAnsi="宋体"/>
          <w:szCs w:val="21"/>
        </w:rPr>
        <w:t>12、支持双边链路质量优化，支持对称模式部署，在链路存在丢包、延迟、抖动等因素时， 通过专有的协议隧道模式，封装用户应用，并改善网络环境中的应用性能解决数据丢包 、延迟等问题。</w:t>
      </w:r>
    </w:p>
    <w:p w14:paraId="058F3104">
      <w:pPr>
        <w:spacing w:line="400" w:lineRule="exact"/>
        <w:ind w:firstLine="420" w:firstLineChars="200"/>
        <w:rPr>
          <w:rFonts w:hint="eastAsia" w:ascii="宋体" w:hAnsi="宋体"/>
          <w:szCs w:val="21"/>
        </w:rPr>
      </w:pPr>
      <w:r>
        <w:rPr>
          <w:rFonts w:hint="eastAsia" w:ascii="宋体" w:hAnsi="宋体"/>
          <w:szCs w:val="21"/>
        </w:rPr>
        <w:t>13、支持链路复制技术，支持视频会议优化，提供多路复制，单路收发功能，在多条链路间实现业务无缝切换。</w:t>
      </w:r>
    </w:p>
    <w:p w14:paraId="61581FB2">
      <w:pPr>
        <w:spacing w:line="400" w:lineRule="exact"/>
        <w:ind w:firstLine="420" w:firstLineChars="200"/>
        <w:rPr>
          <w:rFonts w:hint="eastAsia" w:ascii="宋体" w:hAnsi="宋体"/>
          <w:szCs w:val="21"/>
        </w:rPr>
      </w:pPr>
      <w:r>
        <w:rPr>
          <w:rFonts w:hint="eastAsia" w:ascii="宋体" w:hAnsi="宋体"/>
          <w:szCs w:val="21"/>
        </w:rPr>
        <w:t>14、支持高、中、低三种密码检查强度，支持对常见应用（如HTTP、Telnet、FTP、SMTP、POP3等）进行弱口令检查，并上报安全事件，支持对口令频繁暴力破解的检测。检测到暴力破解后可选择告警、精准阻断、阻断源ip等动作。</w:t>
      </w:r>
    </w:p>
    <w:p w14:paraId="0CC4E72E">
      <w:pPr>
        <w:spacing w:line="400" w:lineRule="exact"/>
        <w:ind w:firstLine="420" w:firstLineChars="200"/>
        <w:rPr>
          <w:rFonts w:hint="eastAsia" w:ascii="宋体" w:hAnsi="宋体"/>
          <w:szCs w:val="21"/>
        </w:rPr>
      </w:pPr>
      <w:r>
        <w:rPr>
          <w:rFonts w:hint="eastAsia" w:ascii="宋体" w:hAnsi="宋体"/>
          <w:szCs w:val="21"/>
        </w:rPr>
        <w:t>15、支持并开通IPSec VPN、GRE VPN，并且支持从管控平台查询到每条ipsec隧道、gre隧道的实时包、抖动、延迟数据以图形化界面进行展示。</w:t>
      </w:r>
    </w:p>
    <w:p w14:paraId="78E57852">
      <w:pPr>
        <w:spacing w:line="400" w:lineRule="exact"/>
        <w:ind w:firstLine="420" w:firstLineChars="200"/>
        <w:rPr>
          <w:rFonts w:hint="eastAsia" w:ascii="宋体" w:hAnsi="宋体"/>
          <w:szCs w:val="21"/>
        </w:rPr>
      </w:pPr>
      <w:r>
        <w:rPr>
          <w:rFonts w:hint="eastAsia" w:ascii="宋体" w:hAnsi="宋体"/>
          <w:szCs w:val="21"/>
        </w:rPr>
        <w:t>16、支持HTTP压缩与双边加速功能，从而减少传输数据量并降低带宽消耗，缩短客户端访问的下载等待时间。</w:t>
      </w:r>
    </w:p>
    <w:p w14:paraId="1645CCDD">
      <w:pPr>
        <w:spacing w:line="400" w:lineRule="exact"/>
        <w:ind w:firstLine="420" w:firstLineChars="200"/>
        <w:rPr>
          <w:rFonts w:hint="eastAsia" w:ascii="宋体" w:hAnsi="宋体"/>
          <w:szCs w:val="21"/>
        </w:rPr>
      </w:pPr>
      <w:r>
        <w:rPr>
          <w:rFonts w:hint="eastAsia" w:ascii="宋体" w:hAnsi="宋体"/>
          <w:szCs w:val="21"/>
        </w:rPr>
        <w:t>17、根据需要可另开授权，通过云端DNS安全检查系统进行攻击识别，识别的攻击类型应至少包含：后门、远控木马、DDOS、挖矿、银行木马、APT、DGA、黑客工具、勒索软件、数据窃取、蠕虫、钓鱼网站、黄赌毒等威胁。</w:t>
      </w:r>
    </w:p>
    <w:p w14:paraId="0ED1037E">
      <w:pPr>
        <w:spacing w:line="400" w:lineRule="exact"/>
        <w:ind w:firstLine="420" w:firstLineChars="200"/>
        <w:rPr>
          <w:rFonts w:hint="eastAsia" w:ascii="宋体" w:hAnsi="宋体"/>
          <w:szCs w:val="21"/>
        </w:rPr>
      </w:pPr>
      <w:r>
        <w:rPr>
          <w:rFonts w:hint="eastAsia" w:ascii="宋体" w:hAnsi="宋体"/>
          <w:szCs w:val="21"/>
        </w:rPr>
        <w:t>18、支持设备与终端安全系统联动，查询终端设备安全状态，发现终端威胁信息可进行本地安全事件上报。</w:t>
      </w:r>
    </w:p>
    <w:p w14:paraId="037FBE03">
      <w:pPr>
        <w:pStyle w:val="4"/>
        <w:numPr>
          <w:ilvl w:val="2"/>
          <w:numId w:val="4"/>
        </w:numPr>
        <w:spacing w:before="0" w:after="0" w:line="400" w:lineRule="exact"/>
        <w:rPr>
          <w:rFonts w:hint="eastAsia" w:ascii="宋体" w:hAnsi="宋体"/>
          <w:sz w:val="21"/>
          <w:szCs w:val="21"/>
        </w:rPr>
      </w:pPr>
      <w:r>
        <w:rPr>
          <w:rFonts w:hint="eastAsia" w:ascii="宋体" w:hAnsi="宋体"/>
          <w:sz w:val="21"/>
          <w:szCs w:val="21"/>
        </w:rPr>
        <w:t>数据集中备份一体机</w:t>
      </w:r>
    </w:p>
    <w:p w14:paraId="56A92645">
      <w:pPr>
        <w:spacing w:line="400" w:lineRule="exact"/>
        <w:ind w:firstLine="420" w:firstLineChars="200"/>
        <w:rPr>
          <w:rFonts w:hint="eastAsia" w:ascii="宋体" w:hAnsi="宋体"/>
          <w:szCs w:val="21"/>
        </w:rPr>
      </w:pPr>
      <w:r>
        <w:rPr>
          <w:rFonts w:hint="eastAsia" w:ascii="宋体" w:hAnsi="宋体"/>
          <w:szCs w:val="21"/>
        </w:rPr>
        <w:t>1、一体机配置CPU不少于2颗，CPU总核心数不低于32，CPU主频不低于2.1，一体机缓存不低于256GB，配置不少于2块1.92T  PCIE SSD及6块8TB 7200转 3.5寸近线SAS原厂硬盘，配置10GbE光口网卡不少于2块，最大可扩展16个端口硬件RAID引擎支持0/1/5/6/10/30/50/60等Raid模式，热插拔几余电源及风扇，含导轨，硬件原厂质保不少于三年。</w:t>
      </w:r>
    </w:p>
    <w:p w14:paraId="322E1336">
      <w:pPr>
        <w:spacing w:line="400" w:lineRule="exact"/>
        <w:ind w:firstLine="420" w:firstLineChars="200"/>
        <w:rPr>
          <w:rFonts w:hint="eastAsia" w:ascii="宋体" w:hAnsi="宋体"/>
          <w:szCs w:val="21"/>
        </w:rPr>
      </w:pPr>
      <w:r>
        <w:rPr>
          <w:rFonts w:hint="eastAsia" w:ascii="宋体" w:hAnsi="宋体"/>
          <w:szCs w:val="21"/>
        </w:rPr>
        <w:t>2、内置业务数据库快速备份与恢复系统软件，自主产权非OEM产品，支持数据库连续保护及快速恢复，RTO为分钟级;支持数据库误操作恢复；支持备份一体机访问权限细粒度控制以及异常访问告警；支持秒级挂载恢复，支持并行挂载且不限制挂载副本数量；支持分钟级快照功能，并支持恢复至过去任一时间点；支持web端自定义备份策略以及备份速度、副本数量、备份态势感知；支持IP网络，支持FC以及IB网络；支持数据库备份副本在线数据查询；支持备份恢复模拟演练；支持数据库升级测试演练；支持Oracle、Mysql、Sqlserver、PostGresql、达梦、人大金仓、阿里OCEANBASE、腾讯TDSQ、华为GaussDB等数据库。配置数据库备份节点授权不少于5个，不限制备份容量。</w:t>
      </w:r>
    </w:p>
    <w:p w14:paraId="2CA3D8E8">
      <w:pPr>
        <w:pStyle w:val="2"/>
        <w:numPr>
          <w:ilvl w:val="0"/>
          <w:numId w:val="4"/>
        </w:numPr>
        <w:spacing w:before="120" w:after="120" w:line="400" w:lineRule="exact"/>
        <w:rPr>
          <w:rFonts w:hint="eastAsia" w:ascii="宋体" w:hAnsi="宋体"/>
          <w:sz w:val="21"/>
          <w:szCs w:val="21"/>
        </w:rPr>
      </w:pPr>
      <w:r>
        <w:rPr>
          <w:rFonts w:hint="eastAsia" w:ascii="宋体" w:hAnsi="宋体"/>
          <w:sz w:val="21"/>
          <w:szCs w:val="21"/>
        </w:rPr>
        <w:t>技术服务要求</w:t>
      </w:r>
    </w:p>
    <w:p w14:paraId="24C51167">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实施要求</w:t>
      </w:r>
    </w:p>
    <w:p w14:paraId="37395D15">
      <w:pPr>
        <w:spacing w:line="400" w:lineRule="exact"/>
        <w:ind w:firstLine="420" w:firstLineChars="200"/>
        <w:rPr>
          <w:rFonts w:hint="eastAsia" w:ascii="宋体" w:hAnsi="宋体"/>
          <w:szCs w:val="21"/>
        </w:rPr>
      </w:pPr>
      <w:r>
        <w:rPr>
          <w:rFonts w:hint="eastAsia" w:ascii="宋体" w:hAnsi="宋体"/>
          <w:szCs w:val="21"/>
        </w:rPr>
        <w:t>合同履约期限：12个月内。</w:t>
      </w:r>
    </w:p>
    <w:p w14:paraId="2EB4BF1A">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培训要求</w:t>
      </w:r>
    </w:p>
    <w:p w14:paraId="6714256E">
      <w:pPr>
        <w:spacing w:line="400" w:lineRule="exact"/>
        <w:ind w:firstLine="420" w:firstLineChars="200"/>
        <w:rPr>
          <w:rFonts w:hint="eastAsia" w:ascii="宋体" w:hAnsi="宋体"/>
          <w:szCs w:val="21"/>
        </w:rPr>
      </w:pPr>
      <w:r>
        <w:rPr>
          <w:rFonts w:hint="eastAsia" w:ascii="宋体" w:hAnsi="宋体"/>
          <w:szCs w:val="21"/>
        </w:rPr>
        <w:t>中标人必须根据应用软件的功能和特点，充分考虑到系统使用人员的实际水平，提出详细的系统培训方案。目标是通过系统培训以达到系统管理人员能够具备独立管理中标人所提供的应用软件和日常的维护处理能力，各级业务人员能够熟练使用应用软件，确保应用系统能够真正的用起来。</w:t>
      </w:r>
    </w:p>
    <w:p w14:paraId="0AECD6C3">
      <w:pPr>
        <w:spacing w:line="400" w:lineRule="exact"/>
        <w:ind w:firstLine="420" w:firstLineChars="200"/>
        <w:rPr>
          <w:rFonts w:hint="eastAsia" w:ascii="宋体" w:hAnsi="宋体"/>
          <w:szCs w:val="21"/>
        </w:rPr>
      </w:pPr>
      <w:r>
        <w:rPr>
          <w:rFonts w:hint="eastAsia" w:ascii="宋体" w:hAnsi="宋体"/>
          <w:szCs w:val="21"/>
        </w:rPr>
        <w:t>1、中标人必须针对本项目应用软件及采用的相关技术等提出全面培训计划和培训方案并征得采购人同意后实施，培训服务工作须满足招标文件要求。</w:t>
      </w:r>
    </w:p>
    <w:p w14:paraId="3AF7BC99">
      <w:pPr>
        <w:spacing w:line="400" w:lineRule="exact"/>
        <w:ind w:firstLine="420" w:firstLineChars="200"/>
        <w:rPr>
          <w:rFonts w:hint="eastAsia" w:ascii="宋体" w:hAnsi="宋体"/>
          <w:szCs w:val="21"/>
        </w:rPr>
      </w:pPr>
      <w:r>
        <w:rPr>
          <w:rFonts w:hint="eastAsia" w:ascii="宋体" w:hAnsi="宋体"/>
          <w:szCs w:val="21"/>
        </w:rPr>
        <w:t>2、培训对象应分为普通业务操作员、系统管理员，中标人必须针对不同的对象制定不同的培训计划，并分别培训。所提供的培训课程表随投标文件一起提交；</w:t>
      </w:r>
    </w:p>
    <w:p w14:paraId="4D0B178B">
      <w:pPr>
        <w:spacing w:line="400" w:lineRule="exact"/>
        <w:ind w:firstLine="420" w:firstLineChars="200"/>
        <w:rPr>
          <w:rFonts w:hint="eastAsia" w:ascii="宋体" w:hAnsi="宋体"/>
          <w:szCs w:val="21"/>
        </w:rPr>
      </w:pPr>
      <w:r>
        <w:rPr>
          <w:rFonts w:hint="eastAsia" w:ascii="宋体" w:hAnsi="宋体"/>
          <w:szCs w:val="21"/>
        </w:rPr>
        <w:t>3、中标人应保证提供有经验的教员，使采购方相关人员在培训后能够独立地对系统进行管理、维护，而不需中标人的人员在场指导。</w:t>
      </w:r>
    </w:p>
    <w:p w14:paraId="3D9300CB">
      <w:pPr>
        <w:spacing w:line="400" w:lineRule="exact"/>
        <w:ind w:firstLine="420" w:firstLineChars="200"/>
        <w:rPr>
          <w:rFonts w:hint="eastAsia" w:ascii="宋体" w:hAnsi="宋体"/>
          <w:szCs w:val="21"/>
        </w:rPr>
      </w:pPr>
      <w:r>
        <w:rPr>
          <w:rFonts w:hint="eastAsia" w:ascii="宋体" w:hAnsi="宋体"/>
          <w:szCs w:val="21"/>
        </w:rPr>
        <w:t>4、培训内容包括应用软件操作、操作系统、后台数据库管理等培训。</w:t>
      </w:r>
    </w:p>
    <w:p w14:paraId="4B9248A8">
      <w:pPr>
        <w:spacing w:line="400" w:lineRule="exact"/>
        <w:ind w:firstLine="420" w:firstLineChars="200"/>
        <w:rPr>
          <w:rFonts w:hint="eastAsia" w:ascii="宋体" w:hAnsi="宋体"/>
          <w:szCs w:val="21"/>
        </w:rPr>
      </w:pPr>
      <w:r>
        <w:rPr>
          <w:rFonts w:hint="eastAsia" w:ascii="宋体" w:hAnsi="宋体"/>
          <w:szCs w:val="21"/>
        </w:rPr>
        <w:t>5、中标人必须为所有被培训人员进行现场培训。</w:t>
      </w:r>
    </w:p>
    <w:p w14:paraId="45FA37DD">
      <w:pPr>
        <w:spacing w:line="400" w:lineRule="exact"/>
        <w:ind w:firstLine="420" w:firstLineChars="200"/>
        <w:rPr>
          <w:rFonts w:hint="eastAsia" w:ascii="宋体" w:hAnsi="宋体"/>
          <w:szCs w:val="21"/>
        </w:rPr>
      </w:pPr>
      <w:r>
        <w:rPr>
          <w:rFonts w:hint="eastAsia" w:ascii="宋体" w:hAnsi="宋体"/>
          <w:szCs w:val="21"/>
        </w:rPr>
        <w:t>6、业务系统操作培训工作应在系统安装之前结束。</w:t>
      </w:r>
    </w:p>
    <w:p w14:paraId="2B3DE32B">
      <w:pPr>
        <w:spacing w:line="400" w:lineRule="exact"/>
        <w:ind w:firstLine="420" w:firstLineChars="200"/>
        <w:rPr>
          <w:rFonts w:hint="eastAsia" w:ascii="宋体" w:hAnsi="宋体"/>
          <w:szCs w:val="21"/>
        </w:rPr>
      </w:pPr>
      <w:r>
        <w:rPr>
          <w:rFonts w:hint="eastAsia" w:ascii="宋体" w:hAnsi="宋体"/>
          <w:szCs w:val="21"/>
        </w:rPr>
        <w:t>7、与培训相关的费用，投标人应当一并计算在投标报价中。</w:t>
      </w:r>
    </w:p>
    <w:p w14:paraId="00409FD9">
      <w:pPr>
        <w:pStyle w:val="3"/>
        <w:numPr>
          <w:ilvl w:val="1"/>
          <w:numId w:val="4"/>
        </w:numPr>
        <w:spacing w:before="0" w:after="0" w:line="400" w:lineRule="exact"/>
        <w:rPr>
          <w:rFonts w:hint="eastAsia" w:ascii="宋体" w:hAnsi="宋体" w:eastAsia="宋体"/>
          <w:sz w:val="21"/>
          <w:szCs w:val="21"/>
        </w:rPr>
      </w:pPr>
      <w:r>
        <w:rPr>
          <w:rFonts w:hint="eastAsia" w:ascii="宋体" w:hAnsi="宋体" w:eastAsia="宋体"/>
          <w:sz w:val="21"/>
          <w:szCs w:val="21"/>
        </w:rPr>
        <w:t>验收和售后服务要求</w:t>
      </w:r>
    </w:p>
    <w:p w14:paraId="4A40F64A">
      <w:pPr>
        <w:spacing w:line="400" w:lineRule="exact"/>
        <w:ind w:firstLine="420" w:firstLineChars="200"/>
        <w:rPr>
          <w:rFonts w:hint="eastAsia" w:ascii="宋体" w:hAnsi="宋体"/>
          <w:szCs w:val="21"/>
        </w:rPr>
      </w:pPr>
      <w:r>
        <w:rPr>
          <w:rFonts w:hint="eastAsia" w:ascii="宋体" w:hAnsi="宋体"/>
          <w:szCs w:val="21"/>
        </w:rPr>
        <w:t>1、配套硬件设备及系统软件安装、调试、运行1个月后进行硬件验收；应用软件上线1周后进行软件初验，软件初验1个月后进行软件终验；验收人员由采购人相关人员与中标人代表共同组成。</w:t>
      </w:r>
    </w:p>
    <w:p w14:paraId="3935400A">
      <w:pPr>
        <w:spacing w:line="400" w:lineRule="exact"/>
        <w:ind w:firstLine="420" w:firstLineChars="200"/>
        <w:rPr>
          <w:rFonts w:hint="eastAsia" w:ascii="宋体" w:hAnsi="宋体"/>
          <w:color w:val="auto"/>
          <w:szCs w:val="21"/>
        </w:rPr>
      </w:pPr>
      <w:r>
        <w:rPr>
          <w:rFonts w:hint="eastAsia" w:ascii="宋体" w:hAnsi="宋体"/>
          <w:szCs w:val="21"/>
        </w:rPr>
        <w:t>2、中标人</w:t>
      </w:r>
      <w:r>
        <w:rPr>
          <w:rFonts w:hint="eastAsia" w:ascii="宋体" w:hAnsi="宋体"/>
          <w:color w:val="auto"/>
          <w:szCs w:val="21"/>
        </w:rPr>
        <w:t>应至少提供应用软件两年免费质保期，质保期起始日期为软件终验后第二天起。</w:t>
      </w:r>
    </w:p>
    <w:p w14:paraId="4AE6889D">
      <w:pPr>
        <w:spacing w:line="400" w:lineRule="exact"/>
        <w:ind w:firstLine="420" w:firstLineChars="200"/>
        <w:rPr>
          <w:rFonts w:hint="eastAsia" w:ascii="宋体" w:hAnsi="宋体"/>
          <w:color w:val="auto"/>
          <w:szCs w:val="21"/>
        </w:rPr>
      </w:pPr>
      <w:r>
        <w:rPr>
          <w:rFonts w:hint="eastAsia" w:ascii="宋体" w:hAnsi="宋体"/>
          <w:color w:val="auto"/>
          <w:szCs w:val="21"/>
        </w:rPr>
        <w:t>3、中标人应至少提供配套硬件设备及系统软件三年免费质保期，质保期起始日期为硬件验收后第二天起。</w:t>
      </w:r>
    </w:p>
    <w:p w14:paraId="0913C5BB">
      <w:pPr>
        <w:spacing w:line="400" w:lineRule="exact"/>
        <w:ind w:firstLine="420" w:firstLineChars="200"/>
        <w:rPr>
          <w:rFonts w:ascii="宋体" w:hAnsi="宋体"/>
          <w:color w:val="auto"/>
          <w:szCs w:val="21"/>
        </w:rPr>
      </w:pPr>
      <w:r>
        <w:rPr>
          <w:rFonts w:hint="eastAsia" w:ascii="宋体" w:hAnsi="宋体"/>
          <w:color w:val="auto"/>
          <w:szCs w:val="21"/>
        </w:rPr>
        <w:t>4、提供7×24小时支持维护服务并在30分钟内响应，维护方式包括邮件、电话、远程维护、现场服务等方式。必须保证有足够的人员及技术支持电话负责本系统运维工作，并保证4小时内派工程师到达现场、48小时之内解决问题。</w:t>
      </w:r>
    </w:p>
    <w:p w14:paraId="040BDE06">
      <w:pPr>
        <w:pStyle w:val="2"/>
        <w:numPr>
          <w:ilvl w:val="0"/>
          <w:numId w:val="4"/>
        </w:numPr>
        <w:spacing w:before="120" w:after="120" w:line="400" w:lineRule="exact"/>
        <w:rPr>
          <w:rFonts w:hint="eastAsia" w:ascii="宋体" w:hAnsi="宋体"/>
          <w:color w:val="auto"/>
          <w:sz w:val="21"/>
          <w:szCs w:val="21"/>
        </w:rPr>
      </w:pPr>
      <w:r>
        <w:rPr>
          <w:rFonts w:hint="eastAsia" w:ascii="宋体" w:hAnsi="宋体"/>
          <w:color w:val="auto"/>
          <w:sz w:val="21"/>
          <w:szCs w:val="21"/>
        </w:rPr>
        <w:t>商务要求</w:t>
      </w:r>
    </w:p>
    <w:p w14:paraId="5651425A">
      <w:pPr>
        <w:spacing w:line="400" w:lineRule="exact"/>
        <w:ind w:firstLine="420" w:firstLineChars="200"/>
        <w:rPr>
          <w:rFonts w:hint="eastAsia" w:ascii="宋体" w:hAnsi="宋体"/>
          <w:color w:val="auto"/>
          <w:szCs w:val="21"/>
        </w:rPr>
      </w:pPr>
      <w:r>
        <w:rPr>
          <w:rFonts w:hint="eastAsia" w:ascii="宋体" w:hAnsi="宋体"/>
          <w:color w:val="auto"/>
          <w:szCs w:val="21"/>
        </w:rPr>
        <w:t>1、</w:t>
      </w:r>
      <w:r>
        <w:rPr>
          <w:rFonts w:hint="eastAsia" w:ascii="宋体" w:hAnsi="宋体"/>
          <w:color w:val="auto"/>
          <w:szCs w:val="21"/>
          <w:lang w:eastAsia="zh-CN"/>
        </w:rPr>
        <w:t>合同履约期限</w:t>
      </w:r>
      <w:r>
        <w:rPr>
          <w:rFonts w:hint="eastAsia" w:ascii="宋体" w:hAnsi="宋体"/>
          <w:color w:val="auto"/>
          <w:szCs w:val="21"/>
        </w:rPr>
        <w:t>：12个月内。</w:t>
      </w:r>
    </w:p>
    <w:p w14:paraId="066B5D0D">
      <w:pPr>
        <w:spacing w:line="400" w:lineRule="exact"/>
        <w:ind w:firstLine="420" w:firstLineChars="200"/>
        <w:rPr>
          <w:rFonts w:hint="eastAsia" w:ascii="宋体" w:hAnsi="宋体"/>
          <w:color w:val="auto"/>
          <w:szCs w:val="21"/>
        </w:rPr>
      </w:pPr>
      <w:r>
        <w:rPr>
          <w:rFonts w:hint="eastAsia" w:ascii="宋体" w:hAnsi="宋体"/>
          <w:color w:val="auto"/>
          <w:szCs w:val="21"/>
        </w:rPr>
        <w:t>2、交付地点： 采购人指定地点。</w:t>
      </w:r>
    </w:p>
    <w:p w14:paraId="5FDD73D8">
      <w:pPr>
        <w:spacing w:line="400" w:lineRule="exact"/>
        <w:ind w:firstLine="420" w:firstLineChars="200"/>
        <w:rPr>
          <w:rFonts w:hint="eastAsia" w:ascii="宋体" w:hAnsi="宋体"/>
          <w:color w:val="auto"/>
          <w:szCs w:val="21"/>
        </w:rPr>
      </w:pPr>
      <w:r>
        <w:rPr>
          <w:rFonts w:hint="eastAsia" w:ascii="宋体" w:hAnsi="宋体"/>
          <w:color w:val="auto"/>
          <w:szCs w:val="21"/>
        </w:rPr>
        <w:t>3、合同签订时间：出具中标通知书之后</w:t>
      </w:r>
      <w:r>
        <w:rPr>
          <w:rFonts w:hint="eastAsia" w:ascii="宋体" w:hAnsi="宋体"/>
          <w:color w:val="auto"/>
          <w:szCs w:val="21"/>
          <w:lang w:eastAsia="zh-CN"/>
        </w:rPr>
        <w:t>二十五日</w:t>
      </w:r>
      <w:r>
        <w:rPr>
          <w:rFonts w:hint="eastAsia" w:ascii="宋体" w:hAnsi="宋体"/>
          <w:color w:val="auto"/>
          <w:szCs w:val="21"/>
        </w:rPr>
        <w:t>内签订合同。</w:t>
      </w:r>
    </w:p>
    <w:p w14:paraId="6B57FC5E">
      <w:pPr>
        <w:spacing w:line="400" w:lineRule="exact"/>
        <w:ind w:firstLine="420" w:firstLineChars="200"/>
        <w:rPr>
          <w:rFonts w:hint="eastAsia" w:ascii="宋体" w:hAnsi="宋体"/>
          <w:szCs w:val="21"/>
        </w:rPr>
      </w:pPr>
    </w:p>
    <w:p w14:paraId="5695507A">
      <w:pPr>
        <w:pStyle w:val="17"/>
        <w:spacing w:line="360" w:lineRule="auto"/>
        <w:outlineLvl w:val="1"/>
        <w:rPr>
          <w:rFonts w:ascii="Times New Roman" w:hAnsi="Times New Roman"/>
          <w:b/>
          <w:sz w:val="30"/>
          <w:szCs w:val="30"/>
        </w:rPr>
      </w:pPr>
    </w:p>
    <w:p w14:paraId="393D4557"/>
    <w:p w14:paraId="7E99FF75">
      <w:pPr>
        <w:pStyle w:val="17"/>
        <w:spacing w:line="360" w:lineRule="auto"/>
        <w:jc w:val="center"/>
        <w:outlineLvl w:val="1"/>
        <w:rPr>
          <w:rFonts w:ascii="Times New Roman" w:hAnsi="Times New Roman"/>
          <w:b/>
          <w:sz w:val="30"/>
          <w:szCs w:val="30"/>
        </w:rPr>
      </w:pPr>
    </w:p>
    <w:p w14:paraId="74EA1812">
      <w:pPr>
        <w:pStyle w:val="17"/>
        <w:spacing w:line="360" w:lineRule="auto"/>
        <w:jc w:val="center"/>
        <w:outlineLvl w:val="1"/>
        <w:rPr>
          <w:rFonts w:ascii="Times New Roman" w:hAnsi="Times New Roman"/>
          <w:b/>
          <w:sz w:val="30"/>
          <w:szCs w:val="30"/>
        </w:rPr>
      </w:pPr>
    </w:p>
    <w:p w14:paraId="53AA7262">
      <w:pPr>
        <w:pStyle w:val="17"/>
        <w:spacing w:line="360" w:lineRule="auto"/>
        <w:jc w:val="center"/>
        <w:outlineLvl w:val="1"/>
        <w:rPr>
          <w:rFonts w:ascii="Times New Roman" w:hAnsi="Times New Roman"/>
          <w:b/>
          <w:sz w:val="30"/>
          <w:szCs w:val="30"/>
        </w:rPr>
      </w:pPr>
    </w:p>
    <w:p w14:paraId="4CF2FF94">
      <w:pPr>
        <w:pStyle w:val="17"/>
        <w:spacing w:line="360" w:lineRule="auto"/>
        <w:jc w:val="center"/>
        <w:outlineLvl w:val="1"/>
        <w:rPr>
          <w:rFonts w:ascii="Times New Roman" w:hAnsi="Times New Roman"/>
          <w:b/>
          <w:sz w:val="30"/>
          <w:szCs w:val="30"/>
        </w:rPr>
      </w:pPr>
    </w:p>
    <w:p w14:paraId="223DC78A">
      <w:pPr>
        <w:rPr>
          <w:b/>
          <w:sz w:val="30"/>
          <w:szCs w:val="30"/>
        </w:rPr>
      </w:pPr>
    </w:p>
    <w:p w14:paraId="371CB5E7">
      <w:pPr>
        <w:pStyle w:val="17"/>
        <w:spacing w:line="360" w:lineRule="auto"/>
        <w:jc w:val="center"/>
        <w:outlineLvl w:val="1"/>
        <w:rPr>
          <w:rFonts w:ascii="Times New Roman" w:hAnsi="Times New Roman"/>
          <w:b/>
          <w:sz w:val="30"/>
          <w:szCs w:val="30"/>
        </w:rPr>
      </w:pPr>
      <w:r>
        <w:rPr>
          <w:rFonts w:hint="eastAsia" w:ascii="Times New Roman" w:hAnsi="Times New Roman"/>
          <w:b/>
          <w:sz w:val="30"/>
          <w:szCs w:val="30"/>
        </w:rPr>
        <w:t>节能产品政府采购品目清单</w:t>
      </w:r>
      <w:bookmarkEnd w:id="42"/>
    </w:p>
    <w:p w14:paraId="637B1E4E">
      <w:pPr>
        <w:pStyle w:val="32"/>
        <w:ind w:firstLine="468" w:firstLineChars="200"/>
        <w:jc w:val="right"/>
      </w:pPr>
      <w:r>
        <w:rPr>
          <w:rFonts w:hint="eastAsia" w:ascii="宋体" w:hAnsi="宋体" w:cs="宋体"/>
          <w:spacing w:val="-3"/>
          <w:szCs w:val="21"/>
        </w:rPr>
        <w:drawing>
          <wp:inline distT="0" distB="0" distL="114300" distR="114300">
            <wp:extent cx="5821045" cy="7919720"/>
            <wp:effectExtent l="0" t="0" r="8255" b="5080"/>
            <wp:docPr id="4" name="图片 2" descr="（2019.4.2）节能产品政府采购品目清单 财库〔2019〕19号 的附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2019.4.2）节能产品政府采购品目清单 财库〔2019〕19号 的附件_00"/>
                    <pic:cNvPicPr>
                      <a:picLocks noChangeAspect="1"/>
                    </pic:cNvPicPr>
                  </pic:nvPicPr>
                  <pic:blipFill>
                    <a:blip r:embed="rId14" cstate="print"/>
                    <a:srcRect l="14307" t="17354" r="12956" b="12677"/>
                    <a:stretch>
                      <a:fillRect/>
                    </a:stretch>
                  </pic:blipFill>
                  <pic:spPr>
                    <a:xfrm>
                      <a:off x="0" y="0"/>
                      <a:ext cx="5821045" cy="7919720"/>
                    </a:xfrm>
                    <a:prstGeom prst="rect">
                      <a:avLst/>
                    </a:prstGeom>
                    <a:noFill/>
                    <a:ln>
                      <a:noFill/>
                    </a:ln>
                  </pic:spPr>
                </pic:pic>
              </a:graphicData>
            </a:graphic>
          </wp:inline>
        </w:drawing>
      </w:r>
      <w:r>
        <w:rPr>
          <w:rFonts w:hint="eastAsia" w:ascii="宋体" w:hAnsi="宋体" w:cs="宋体"/>
          <w:spacing w:val="-3"/>
          <w:szCs w:val="21"/>
        </w:rPr>
        <w:drawing>
          <wp:inline distT="0" distB="0" distL="114300" distR="114300">
            <wp:extent cx="5799455" cy="9131935"/>
            <wp:effectExtent l="0" t="0" r="10795" b="12065"/>
            <wp:docPr id="6" name="图片 3" descr="（2019.4.2）节能产品政府采购品目清单 财库〔2019〕19号 的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2019.4.2）节能产品政府采购品目清单 财库〔2019〕19号 的附件_01"/>
                    <pic:cNvPicPr>
                      <a:picLocks noChangeAspect="1"/>
                    </pic:cNvPicPr>
                  </pic:nvPicPr>
                  <pic:blipFill>
                    <a:blip r:embed="rId15" cstate="print"/>
                    <a:srcRect l="14307" t="7982" r="13258" b="11398"/>
                    <a:stretch>
                      <a:fillRect/>
                    </a:stretch>
                  </pic:blipFill>
                  <pic:spPr>
                    <a:xfrm>
                      <a:off x="0" y="0"/>
                      <a:ext cx="5799455" cy="9131935"/>
                    </a:xfrm>
                    <a:prstGeom prst="rect">
                      <a:avLst/>
                    </a:prstGeom>
                    <a:noFill/>
                    <a:ln>
                      <a:noFill/>
                    </a:ln>
                  </pic:spPr>
                </pic:pic>
              </a:graphicData>
            </a:graphic>
          </wp:inline>
        </w:drawing>
      </w:r>
      <w:r>
        <w:rPr>
          <w:rFonts w:hint="eastAsia" w:ascii="宋体" w:hAnsi="宋体" w:cs="宋体"/>
          <w:spacing w:val="-3"/>
          <w:szCs w:val="21"/>
        </w:rPr>
        <w:drawing>
          <wp:inline distT="0" distB="0" distL="114300" distR="114300">
            <wp:extent cx="6111240" cy="8950960"/>
            <wp:effectExtent l="0" t="0" r="3810" b="2540"/>
            <wp:docPr id="1" name="图片 4" descr="（2019.4.2）节能产品政府采购品目清单 财库〔2019〕19号 的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019.4.2）节能产品政府采购品目清单 财库〔2019〕19号 的附件_02"/>
                    <pic:cNvPicPr>
                      <a:picLocks noChangeAspect="1"/>
                    </pic:cNvPicPr>
                  </pic:nvPicPr>
                  <pic:blipFill>
                    <a:blip r:embed="rId16" cstate="print"/>
                    <a:srcRect l="14464" t="8205" r="13559" b="13631"/>
                    <a:stretch>
                      <a:fillRect/>
                    </a:stretch>
                  </pic:blipFill>
                  <pic:spPr>
                    <a:xfrm>
                      <a:off x="0" y="0"/>
                      <a:ext cx="6111240" cy="8950960"/>
                    </a:xfrm>
                    <a:prstGeom prst="rect">
                      <a:avLst/>
                    </a:prstGeom>
                    <a:noFill/>
                    <a:ln>
                      <a:noFill/>
                    </a:ln>
                  </pic:spPr>
                </pic:pic>
              </a:graphicData>
            </a:graphic>
          </wp:inline>
        </w:drawing>
      </w:r>
      <w:r>
        <w:drawing>
          <wp:inline distT="0" distB="0" distL="114300" distR="114300">
            <wp:extent cx="6037580" cy="2854325"/>
            <wp:effectExtent l="0" t="0" r="1270" b="31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6037580" cy="2854325"/>
                    </a:xfrm>
                    <a:prstGeom prst="rect">
                      <a:avLst/>
                    </a:prstGeom>
                    <a:noFill/>
                    <a:ln>
                      <a:noFill/>
                    </a:ln>
                  </pic:spPr>
                </pic:pic>
              </a:graphicData>
            </a:graphic>
          </wp:inline>
        </w:drawing>
      </w:r>
    </w:p>
    <w:p w14:paraId="054689CE">
      <w:pPr>
        <w:pStyle w:val="32"/>
        <w:spacing w:line="440" w:lineRule="exact"/>
        <w:ind w:firstLine="468" w:firstLineChars="200"/>
      </w:pPr>
      <w:r>
        <w:rPr>
          <w:rFonts w:hint="eastAsia" w:ascii="宋体" w:hAnsi="宋体" w:cs="宋体"/>
          <w:spacing w:val="-3"/>
          <w:szCs w:val="21"/>
        </w:rPr>
        <w:t>据《财政部 发展改革委 生态环境部 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否则投标文件作无效处理</w:t>
      </w:r>
    </w:p>
    <w:p w14:paraId="7E2153C9">
      <w:pPr>
        <w:pStyle w:val="2"/>
        <w:spacing w:line="640" w:lineRule="exact"/>
        <w:jc w:val="center"/>
      </w:pPr>
    </w:p>
    <w:p w14:paraId="5F984FD0">
      <w:pPr>
        <w:pStyle w:val="2"/>
        <w:spacing w:line="640" w:lineRule="exact"/>
        <w:jc w:val="center"/>
      </w:pPr>
    </w:p>
    <w:p w14:paraId="713AB9E6">
      <w:pPr>
        <w:pStyle w:val="2"/>
        <w:spacing w:line="640" w:lineRule="exact"/>
        <w:jc w:val="center"/>
      </w:pPr>
    </w:p>
    <w:p w14:paraId="74FA9680">
      <w:pPr>
        <w:pStyle w:val="2"/>
        <w:spacing w:line="640" w:lineRule="exact"/>
        <w:jc w:val="center"/>
      </w:pPr>
    </w:p>
    <w:p w14:paraId="4C6CA6B5">
      <w:pPr>
        <w:pStyle w:val="2"/>
        <w:spacing w:line="640" w:lineRule="exact"/>
        <w:jc w:val="center"/>
      </w:pPr>
    </w:p>
    <w:p w14:paraId="7F44517B"/>
    <w:p w14:paraId="7AF6D2D1"/>
    <w:p w14:paraId="6A0294EF">
      <w:pPr>
        <w:pStyle w:val="2"/>
        <w:spacing w:line="640" w:lineRule="exact"/>
        <w:jc w:val="center"/>
      </w:pPr>
      <w:r>
        <w:rPr>
          <w:rFonts w:hint="eastAsia"/>
        </w:rPr>
        <w:t>第三章  投标人须知</w:t>
      </w:r>
      <w:bookmarkEnd w:id="43"/>
    </w:p>
    <w:p w14:paraId="00187C28">
      <w:pPr>
        <w:jc w:val="center"/>
        <w:rPr>
          <w:sz w:val="36"/>
          <w:szCs w:val="36"/>
        </w:rPr>
      </w:pPr>
      <w:bookmarkStart w:id="44" w:name="_Toc254970667"/>
      <w:bookmarkStart w:id="45" w:name="_Toc254970526"/>
      <w:r>
        <w:rPr>
          <w:rFonts w:hint="eastAsia"/>
          <w:sz w:val="36"/>
          <w:szCs w:val="36"/>
        </w:rPr>
        <w:t>投标人须知前附表</w:t>
      </w:r>
      <w:bookmarkEnd w:id="44"/>
      <w:bookmarkEnd w:id="45"/>
    </w:p>
    <w:p w14:paraId="465FAA27">
      <w:pPr>
        <w:jc w:val="center"/>
        <w:rPr>
          <w:sz w:val="36"/>
          <w:szCs w:val="36"/>
        </w:rPr>
      </w:pPr>
    </w:p>
    <w:tbl>
      <w:tblPr>
        <w:tblStyle w:val="26"/>
        <w:tblW w:w="9603" w:type="dxa"/>
        <w:jc w:val="right"/>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4E2FA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5F0F66AB">
            <w:pPr>
              <w:snapToGrid w:val="0"/>
              <w:spacing w:line="400" w:lineRule="exact"/>
              <w:jc w:val="left"/>
              <w:rPr>
                <w:rFonts w:hint="eastAsia" w:ascii="宋体" w:hAnsi="宋体"/>
                <w:szCs w:val="21"/>
              </w:rPr>
            </w:pPr>
            <w:r>
              <w:rPr>
                <w:rFonts w:hint="eastAsia" w:ascii="宋体" w:hAnsi="宋体"/>
                <w:szCs w:val="21"/>
              </w:rPr>
              <w:t>条款号</w:t>
            </w:r>
          </w:p>
        </w:tc>
        <w:tc>
          <w:tcPr>
            <w:tcW w:w="8708" w:type="dxa"/>
            <w:tcBorders>
              <w:top w:val="single" w:color="auto" w:sz="4" w:space="0"/>
              <w:left w:val="single" w:color="auto" w:sz="4" w:space="0"/>
              <w:bottom w:val="single" w:color="auto" w:sz="4" w:space="0"/>
              <w:right w:val="single" w:color="auto" w:sz="4" w:space="0"/>
            </w:tcBorders>
            <w:vAlign w:val="center"/>
          </w:tcPr>
          <w:p w14:paraId="6CE2A70E">
            <w:pPr>
              <w:snapToGrid w:val="0"/>
              <w:spacing w:line="400" w:lineRule="exact"/>
              <w:jc w:val="center"/>
              <w:rPr>
                <w:rFonts w:hint="eastAsia" w:ascii="宋体" w:hAnsi="宋体"/>
                <w:szCs w:val="21"/>
              </w:rPr>
            </w:pPr>
            <w:r>
              <w:rPr>
                <w:rFonts w:hint="eastAsia" w:ascii="宋体" w:hAnsi="宋体"/>
                <w:szCs w:val="21"/>
              </w:rPr>
              <w:t>编列内容</w:t>
            </w:r>
          </w:p>
        </w:tc>
      </w:tr>
      <w:tr w14:paraId="60BCD4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14C193BA">
            <w:pPr>
              <w:spacing w:line="400" w:lineRule="exact"/>
              <w:jc w:val="center"/>
              <w:rPr>
                <w:rFonts w:hint="eastAsia" w:ascii="宋体" w:hAnsi="宋体"/>
                <w:szCs w:val="21"/>
              </w:rPr>
            </w:pPr>
            <w:r>
              <w:rPr>
                <w:rFonts w:hint="eastAsia" w:ascii="宋体" w:hAnsi="宋体"/>
                <w:szCs w:val="21"/>
              </w:rPr>
              <w:t>3</w:t>
            </w:r>
          </w:p>
        </w:tc>
        <w:tc>
          <w:tcPr>
            <w:tcW w:w="8708" w:type="dxa"/>
            <w:tcBorders>
              <w:top w:val="single" w:color="auto" w:sz="4" w:space="0"/>
              <w:left w:val="single" w:color="auto" w:sz="4" w:space="0"/>
              <w:bottom w:val="single" w:color="auto" w:sz="4" w:space="0"/>
              <w:right w:val="single" w:color="auto" w:sz="4" w:space="0"/>
            </w:tcBorders>
            <w:vAlign w:val="center"/>
          </w:tcPr>
          <w:p w14:paraId="614CF76C">
            <w:pPr>
              <w:snapToGrid w:val="0"/>
              <w:spacing w:line="400" w:lineRule="exact"/>
              <w:jc w:val="left"/>
              <w:rPr>
                <w:rFonts w:hint="eastAsia" w:ascii="宋体" w:hAnsi="宋体"/>
                <w:szCs w:val="21"/>
              </w:rPr>
            </w:pPr>
            <w:r>
              <w:rPr>
                <w:rFonts w:hint="eastAsia" w:ascii="宋体" w:hAnsi="宋体"/>
                <w:szCs w:val="21"/>
              </w:rPr>
              <w:t>投标人的资格要求：详见招标公告。</w:t>
            </w:r>
          </w:p>
        </w:tc>
      </w:tr>
      <w:tr w14:paraId="0849D4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4733421F">
            <w:pPr>
              <w:spacing w:line="400" w:lineRule="exact"/>
              <w:jc w:val="center"/>
              <w:rPr>
                <w:rFonts w:hint="eastAsia" w:ascii="宋体" w:hAnsi="宋体"/>
                <w:szCs w:val="21"/>
              </w:rPr>
            </w:pPr>
            <w:bookmarkStart w:id="46" w:name="_8.1"/>
            <w:bookmarkEnd w:id="46"/>
            <w:bookmarkStart w:id="47" w:name="_9.2"/>
            <w:bookmarkEnd w:id="47"/>
            <w:bookmarkStart w:id="48" w:name="_5"/>
            <w:bookmarkEnd w:id="48"/>
            <w:r>
              <w:rPr>
                <w:rFonts w:hint="eastAsia" w:ascii="宋体" w:hAnsi="宋体"/>
                <w:szCs w:val="21"/>
              </w:rPr>
              <w:t>6.1</w:t>
            </w:r>
          </w:p>
        </w:tc>
        <w:tc>
          <w:tcPr>
            <w:tcW w:w="8708" w:type="dxa"/>
            <w:tcBorders>
              <w:top w:val="single" w:color="auto" w:sz="4" w:space="0"/>
              <w:left w:val="single" w:color="auto" w:sz="4" w:space="0"/>
              <w:bottom w:val="single" w:color="auto" w:sz="4" w:space="0"/>
              <w:right w:val="single" w:color="auto" w:sz="4" w:space="0"/>
            </w:tcBorders>
            <w:vAlign w:val="center"/>
          </w:tcPr>
          <w:p w14:paraId="147C86BE">
            <w:pPr>
              <w:pStyle w:val="12"/>
              <w:spacing w:line="400" w:lineRule="exact"/>
              <w:rPr>
                <w:rFonts w:hint="eastAsia" w:ascii="宋体" w:hAnsi="宋体"/>
                <w:szCs w:val="21"/>
              </w:rPr>
            </w:pPr>
            <w:r>
              <w:rPr>
                <w:rFonts w:hint="eastAsia" w:ascii="宋体" w:hAnsi="宋体"/>
                <w:szCs w:val="21"/>
              </w:rPr>
              <w:t>本项目是否接受联合体投标：详见招标公告。</w:t>
            </w:r>
          </w:p>
        </w:tc>
      </w:tr>
      <w:tr w14:paraId="07159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136D1C64">
            <w:pPr>
              <w:spacing w:line="400" w:lineRule="exact"/>
              <w:jc w:val="center"/>
              <w:rPr>
                <w:rFonts w:hint="eastAsia" w:ascii="宋体" w:hAnsi="宋体"/>
                <w:szCs w:val="21"/>
              </w:rPr>
            </w:pPr>
            <w:r>
              <w:rPr>
                <w:rFonts w:ascii="宋体" w:hAnsi="宋体"/>
                <w:szCs w:val="21"/>
              </w:rPr>
              <w:t>6.2</w:t>
            </w:r>
          </w:p>
        </w:tc>
        <w:tc>
          <w:tcPr>
            <w:tcW w:w="8708" w:type="dxa"/>
            <w:tcBorders>
              <w:top w:val="single" w:color="auto" w:sz="4" w:space="0"/>
              <w:left w:val="single" w:color="auto" w:sz="4" w:space="0"/>
              <w:bottom w:val="single" w:color="auto" w:sz="4" w:space="0"/>
              <w:right w:val="single" w:color="auto" w:sz="4" w:space="0"/>
            </w:tcBorders>
            <w:vAlign w:val="center"/>
          </w:tcPr>
          <w:p w14:paraId="5BE6EE03">
            <w:pPr>
              <w:autoSpaceDE w:val="0"/>
              <w:autoSpaceDN w:val="0"/>
              <w:snapToGrid w:val="0"/>
              <w:spacing w:line="400" w:lineRule="exact"/>
              <w:textAlignment w:val="bottom"/>
              <w:rPr>
                <w:rFonts w:hint="eastAsia" w:ascii="宋体" w:hAnsi="宋体"/>
                <w:szCs w:val="21"/>
              </w:rPr>
            </w:pPr>
            <w:bookmarkStart w:id="49" w:name="_Hlk54105293"/>
            <w:r>
              <w:rPr>
                <w:rFonts w:hint="eastAsia" w:ascii="宋体" w:hAnsi="宋体"/>
                <w:szCs w:val="21"/>
              </w:rPr>
              <w:t>如接受联合体投标，</w:t>
            </w:r>
            <w:bookmarkEnd w:id="49"/>
            <w:r>
              <w:rPr>
                <w:rFonts w:hint="eastAsia" w:ascii="宋体" w:hAnsi="宋体"/>
                <w:szCs w:val="21"/>
              </w:rPr>
              <w:t>联合体投标要求如下：</w:t>
            </w:r>
          </w:p>
          <w:p w14:paraId="4545C015">
            <w:pPr>
              <w:autoSpaceDE w:val="0"/>
              <w:autoSpaceDN w:val="0"/>
              <w:snapToGrid w:val="0"/>
              <w:spacing w:line="400" w:lineRule="exact"/>
              <w:textAlignment w:val="bottom"/>
              <w:rPr>
                <w:rFonts w:hint="eastAsia" w:ascii="宋体" w:hAnsi="宋体"/>
                <w:szCs w:val="21"/>
              </w:rPr>
            </w:pPr>
            <w:r>
              <w:rPr>
                <w:rFonts w:hint="eastAsia" w:ascii="宋体" w:hAnsi="宋体"/>
                <w:szCs w:val="21"/>
              </w:rPr>
              <w:t>1、两个以上投标人可以组成一个投标联合体，以一个投标人的身份共同参加投标，联合体投标人的名称应统一按“XXX 公司与 XXX 公司的联合体”的规则填写。</w:t>
            </w:r>
            <w:r>
              <w:rPr>
                <w:rFonts w:hint="eastAsia" w:ascii="宋体" w:hAnsi="宋体"/>
                <w:szCs w:val="21"/>
              </w:rPr>
              <w:tab/>
            </w:r>
          </w:p>
          <w:p w14:paraId="1FE6BB0D">
            <w:pPr>
              <w:autoSpaceDE w:val="0"/>
              <w:autoSpaceDN w:val="0"/>
              <w:snapToGrid w:val="0"/>
              <w:spacing w:line="400" w:lineRule="exact"/>
              <w:textAlignment w:val="bottom"/>
              <w:rPr>
                <w:rFonts w:hint="eastAsia" w:ascii="宋体" w:hAnsi="宋体"/>
                <w:szCs w:val="21"/>
              </w:rPr>
            </w:pPr>
            <w:r>
              <w:rPr>
                <w:rFonts w:hint="eastAsia" w:ascii="宋体" w:hAnsi="宋体"/>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71A297E5">
            <w:pPr>
              <w:autoSpaceDE w:val="0"/>
              <w:autoSpaceDN w:val="0"/>
              <w:snapToGrid w:val="0"/>
              <w:spacing w:line="400" w:lineRule="exact"/>
              <w:textAlignment w:val="bottom"/>
              <w:rPr>
                <w:rFonts w:hint="eastAsia" w:ascii="宋体" w:hAnsi="宋体"/>
                <w:szCs w:val="21"/>
              </w:rPr>
            </w:pPr>
            <w:r>
              <w:rPr>
                <w:rFonts w:hint="eastAsia" w:ascii="宋体" w:hAnsi="宋体"/>
                <w:szCs w:val="21"/>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r>
              <w:rPr>
                <w:rFonts w:hint="eastAsia" w:ascii="宋体" w:hAnsi="宋体"/>
                <w:szCs w:val="21"/>
              </w:rPr>
              <w:tab/>
            </w:r>
          </w:p>
          <w:p w14:paraId="05AA128C">
            <w:pPr>
              <w:autoSpaceDE w:val="0"/>
              <w:autoSpaceDN w:val="0"/>
              <w:snapToGrid w:val="0"/>
              <w:spacing w:line="400" w:lineRule="exact"/>
              <w:textAlignment w:val="bottom"/>
              <w:rPr>
                <w:rFonts w:hint="eastAsia" w:ascii="宋体" w:hAnsi="宋体"/>
                <w:szCs w:val="21"/>
              </w:rPr>
            </w:pPr>
            <w:r>
              <w:rPr>
                <w:rFonts w:hint="eastAsia" w:ascii="宋体" w:hAnsi="宋体"/>
                <w:szCs w:val="21"/>
              </w:rPr>
              <w:t>4、以联合体形式参加政府采购活动的，联合体各方不得再单独参加或者与其他投标人另外组成联合体参加同一合同项下的政府采购活动，否则与之相关的投标文件作废。</w:t>
            </w:r>
            <w:r>
              <w:rPr>
                <w:rFonts w:hint="eastAsia" w:ascii="宋体" w:hAnsi="宋体"/>
                <w:szCs w:val="21"/>
              </w:rPr>
              <w:tab/>
            </w:r>
            <w:r>
              <w:rPr>
                <w:rFonts w:hint="eastAsia" w:ascii="宋体" w:hAnsi="宋体"/>
                <w:szCs w:val="21"/>
              </w:rPr>
              <w:tab/>
            </w:r>
          </w:p>
          <w:p w14:paraId="68963D21">
            <w:pPr>
              <w:autoSpaceDE w:val="0"/>
              <w:autoSpaceDN w:val="0"/>
              <w:snapToGrid w:val="0"/>
              <w:spacing w:line="400" w:lineRule="exact"/>
              <w:textAlignment w:val="bottom"/>
              <w:rPr>
                <w:rFonts w:hint="eastAsia" w:ascii="宋体" w:hAnsi="宋体"/>
                <w:szCs w:val="21"/>
              </w:rPr>
            </w:pPr>
            <w:r>
              <w:rPr>
                <w:rFonts w:hint="eastAsia" w:ascii="宋体" w:hAnsi="宋体"/>
                <w:szCs w:val="21"/>
              </w:rPr>
              <w:t>5、联合体中有同类资质的投标人按照联合体分工承担相同工作的，应当按照资质等级较低的投标人确定资质等级。</w:t>
            </w:r>
            <w:r>
              <w:rPr>
                <w:rFonts w:hint="eastAsia" w:ascii="宋体" w:hAnsi="宋体"/>
                <w:szCs w:val="21"/>
              </w:rPr>
              <w:tab/>
            </w:r>
            <w:r>
              <w:rPr>
                <w:rFonts w:hint="eastAsia" w:ascii="宋体" w:hAnsi="宋体"/>
                <w:szCs w:val="21"/>
              </w:rPr>
              <w:tab/>
            </w:r>
          </w:p>
          <w:p w14:paraId="66B404A3">
            <w:pPr>
              <w:autoSpaceDE w:val="0"/>
              <w:autoSpaceDN w:val="0"/>
              <w:snapToGrid w:val="0"/>
              <w:spacing w:line="400" w:lineRule="exact"/>
              <w:textAlignment w:val="bottom"/>
              <w:rPr>
                <w:rFonts w:hint="eastAsia" w:ascii="宋体" w:hAnsi="宋体"/>
                <w:szCs w:val="21"/>
              </w:rPr>
            </w:pPr>
            <w:r>
              <w:rPr>
                <w:rFonts w:hint="eastAsia" w:ascii="宋体" w:hAnsi="宋体"/>
                <w:szCs w:val="21"/>
              </w:rPr>
              <w:t>6、联合体投标业绩、履约能力按照联合体各方其中较高的一方认定并计算（招标文件另有规定的除外）。</w:t>
            </w:r>
            <w:r>
              <w:rPr>
                <w:rFonts w:hint="eastAsia" w:ascii="宋体" w:hAnsi="宋体"/>
                <w:szCs w:val="21"/>
              </w:rPr>
              <w:tab/>
            </w:r>
            <w:r>
              <w:rPr>
                <w:rFonts w:hint="eastAsia" w:ascii="宋体" w:hAnsi="宋体"/>
                <w:szCs w:val="21"/>
              </w:rPr>
              <w:tab/>
            </w:r>
            <w:r>
              <w:rPr>
                <w:rFonts w:hint="eastAsia" w:ascii="宋体" w:hAnsi="宋体"/>
                <w:szCs w:val="21"/>
              </w:rPr>
              <w:tab/>
            </w:r>
          </w:p>
          <w:p w14:paraId="2322BF67">
            <w:pPr>
              <w:autoSpaceDE w:val="0"/>
              <w:autoSpaceDN w:val="0"/>
              <w:snapToGrid w:val="0"/>
              <w:spacing w:line="400" w:lineRule="exact"/>
              <w:textAlignment w:val="bottom"/>
              <w:rPr>
                <w:rFonts w:hint="eastAsia" w:ascii="宋体" w:hAnsi="宋体"/>
                <w:szCs w:val="21"/>
              </w:rPr>
            </w:pPr>
            <w:r>
              <w:rPr>
                <w:rFonts w:hint="eastAsia" w:ascii="宋体" w:hAnsi="宋体"/>
                <w:szCs w:val="21"/>
              </w:rPr>
              <w:t>7、联合体各方均应按照招标文件的规定提交资格证明文件。</w:t>
            </w:r>
          </w:p>
        </w:tc>
      </w:tr>
      <w:tr w14:paraId="022272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6198BE86">
            <w:pPr>
              <w:spacing w:line="400" w:lineRule="exact"/>
              <w:jc w:val="center"/>
              <w:rPr>
                <w:rFonts w:hint="eastAsia" w:ascii="宋体" w:hAnsi="宋体"/>
                <w:szCs w:val="21"/>
              </w:rPr>
            </w:pPr>
            <w:r>
              <w:rPr>
                <w:rFonts w:hint="eastAsia" w:ascii="宋体" w:hAnsi="宋体"/>
                <w:szCs w:val="21"/>
              </w:rPr>
              <w:t>7.2</w:t>
            </w:r>
          </w:p>
        </w:tc>
        <w:tc>
          <w:tcPr>
            <w:tcW w:w="8708" w:type="dxa"/>
            <w:tcBorders>
              <w:top w:val="single" w:color="auto" w:sz="4" w:space="0"/>
              <w:left w:val="single" w:color="auto" w:sz="4" w:space="0"/>
              <w:bottom w:val="single" w:color="auto" w:sz="4" w:space="0"/>
              <w:right w:val="single" w:color="auto" w:sz="4" w:space="0"/>
            </w:tcBorders>
            <w:vAlign w:val="center"/>
          </w:tcPr>
          <w:p w14:paraId="3BD1FEA2">
            <w:pPr>
              <w:pStyle w:val="12"/>
              <w:spacing w:line="400" w:lineRule="exact"/>
              <w:rPr>
                <w:rFonts w:hint="eastAsia" w:ascii="宋体" w:hAnsi="宋体"/>
                <w:szCs w:val="21"/>
                <w:u w:val="single"/>
              </w:rPr>
            </w:pPr>
            <w:r>
              <w:rPr>
                <w:rFonts w:hint="eastAsia" w:ascii="宋体" w:hAnsi="宋体"/>
                <w:szCs w:val="21"/>
              </w:rPr>
              <w:t>本项目不允许分包。</w:t>
            </w:r>
          </w:p>
        </w:tc>
      </w:tr>
      <w:tr w14:paraId="3A101C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6" w:hRule="atLeast"/>
          <w:jc w:val="right"/>
        </w:trPr>
        <w:tc>
          <w:tcPr>
            <w:tcW w:w="895" w:type="dxa"/>
            <w:tcBorders>
              <w:top w:val="single" w:color="auto" w:sz="4" w:space="0"/>
              <w:left w:val="single" w:color="auto" w:sz="4" w:space="0"/>
              <w:bottom w:val="single" w:color="auto" w:sz="4" w:space="0"/>
              <w:right w:val="single" w:color="auto" w:sz="4" w:space="0"/>
            </w:tcBorders>
            <w:vAlign w:val="center"/>
          </w:tcPr>
          <w:p w14:paraId="7E909189">
            <w:pPr>
              <w:spacing w:line="400" w:lineRule="exact"/>
              <w:jc w:val="center"/>
              <w:rPr>
                <w:rFonts w:hint="eastAsia" w:ascii="宋体" w:hAnsi="宋体"/>
                <w:szCs w:val="21"/>
              </w:rPr>
            </w:pPr>
            <w:r>
              <w:rPr>
                <w:rFonts w:hint="eastAsia" w:ascii="宋体" w:hAnsi="宋体"/>
                <w:szCs w:val="21"/>
              </w:rPr>
              <w:t>8.1</w:t>
            </w:r>
          </w:p>
        </w:tc>
        <w:tc>
          <w:tcPr>
            <w:tcW w:w="8708" w:type="dxa"/>
            <w:tcBorders>
              <w:top w:val="single" w:color="auto" w:sz="4" w:space="0"/>
              <w:left w:val="single" w:color="auto" w:sz="4" w:space="0"/>
              <w:bottom w:val="single" w:color="auto" w:sz="4" w:space="0"/>
              <w:right w:val="single" w:color="auto" w:sz="4" w:space="0"/>
            </w:tcBorders>
            <w:vAlign w:val="center"/>
          </w:tcPr>
          <w:p w14:paraId="0B2C3594">
            <w:pPr>
              <w:autoSpaceDE w:val="0"/>
              <w:autoSpaceDN w:val="0"/>
              <w:snapToGrid w:val="0"/>
              <w:spacing w:line="400" w:lineRule="exact"/>
              <w:textAlignment w:val="bottom"/>
              <w:rPr>
                <w:rFonts w:hint="eastAsia" w:ascii="宋体" w:hAnsi="宋体"/>
                <w:szCs w:val="21"/>
              </w:rPr>
            </w:pPr>
            <w:r>
              <w:rPr>
                <w:rFonts w:hint="eastAsia" w:ascii="宋体" w:hAnsi="宋体"/>
                <w:szCs w:val="21"/>
              </w:rPr>
              <w:t>1、采用综合评分法的采购项目，提供相同品牌产品（非单一产品采购项目的，指核心产品）的不同投标人评审得分相同时，按照下列方式确定一个投标人获得中标人推荐资格：按</w:t>
            </w:r>
            <w:r>
              <w:rPr>
                <w:rFonts w:ascii="宋体" w:hAnsi="宋体"/>
                <w:szCs w:val="21"/>
              </w:rPr>
              <w:t>投标报价低</w:t>
            </w:r>
            <w:r>
              <w:rPr>
                <w:rFonts w:hint="eastAsia" w:ascii="宋体" w:hAnsi="宋体"/>
                <w:szCs w:val="21"/>
              </w:rPr>
              <w:t>的原则确定，</w:t>
            </w:r>
            <w:r>
              <w:rPr>
                <w:rFonts w:ascii="宋体" w:hAnsi="宋体"/>
                <w:szCs w:val="21"/>
              </w:rPr>
              <w:t>投标报价相同的</w:t>
            </w:r>
            <w:r>
              <w:rPr>
                <w:rFonts w:hint="eastAsia" w:ascii="宋体" w:hAnsi="宋体"/>
                <w:szCs w:val="21"/>
              </w:rPr>
              <w:t>按综合评分中技术水平、售后服务、履约能力、政策功能得分高低依次确定。</w:t>
            </w:r>
          </w:p>
        </w:tc>
      </w:tr>
      <w:tr w14:paraId="25E6A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7" w:hRule="atLeast"/>
          <w:jc w:val="right"/>
        </w:trPr>
        <w:tc>
          <w:tcPr>
            <w:tcW w:w="895" w:type="dxa"/>
            <w:vMerge w:val="restart"/>
            <w:tcBorders>
              <w:top w:val="single" w:color="auto" w:sz="4" w:space="0"/>
              <w:left w:val="single" w:color="auto" w:sz="4" w:space="0"/>
              <w:right w:val="single" w:color="auto" w:sz="4" w:space="0"/>
            </w:tcBorders>
            <w:vAlign w:val="center"/>
          </w:tcPr>
          <w:p w14:paraId="1712C0CE">
            <w:pPr>
              <w:spacing w:line="400" w:lineRule="exact"/>
              <w:jc w:val="center"/>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5</w:t>
            </w:r>
          </w:p>
        </w:tc>
        <w:tc>
          <w:tcPr>
            <w:tcW w:w="8708" w:type="dxa"/>
            <w:tcBorders>
              <w:top w:val="single" w:color="auto" w:sz="4" w:space="0"/>
              <w:left w:val="single" w:color="auto" w:sz="4" w:space="0"/>
              <w:bottom w:val="single" w:color="auto" w:sz="4" w:space="0"/>
              <w:right w:val="single" w:color="auto" w:sz="4" w:space="0"/>
            </w:tcBorders>
            <w:vAlign w:val="center"/>
          </w:tcPr>
          <w:p w14:paraId="457B4A85">
            <w:pPr>
              <w:snapToGrid w:val="0"/>
              <w:spacing w:line="400" w:lineRule="exact"/>
              <w:rPr>
                <w:rFonts w:hint="eastAsia" w:ascii="宋体" w:hAnsi="宋体"/>
                <w:szCs w:val="21"/>
              </w:rPr>
            </w:pPr>
            <w:r>
              <w:rPr>
                <w:rFonts w:hint="eastAsia" w:ascii="宋体" w:hAnsi="宋体"/>
                <w:szCs w:val="21"/>
              </w:rPr>
              <w:t>本项目不组织现场考察。</w:t>
            </w:r>
          </w:p>
        </w:tc>
      </w:tr>
      <w:tr w14:paraId="38C933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jc w:val="right"/>
        </w:trPr>
        <w:tc>
          <w:tcPr>
            <w:tcW w:w="895" w:type="dxa"/>
            <w:vMerge w:val="continue"/>
            <w:tcBorders>
              <w:left w:val="single" w:color="auto" w:sz="4" w:space="0"/>
              <w:bottom w:val="single" w:color="auto" w:sz="4" w:space="0"/>
              <w:right w:val="single" w:color="auto" w:sz="4" w:space="0"/>
            </w:tcBorders>
            <w:vAlign w:val="center"/>
          </w:tcPr>
          <w:p w14:paraId="1C82390F">
            <w:pPr>
              <w:spacing w:line="400" w:lineRule="exact"/>
              <w:jc w:val="center"/>
              <w:rPr>
                <w:rFonts w:hint="eastAsia" w:ascii="宋体" w:hAnsi="宋体"/>
                <w:szCs w:val="21"/>
              </w:rPr>
            </w:pPr>
          </w:p>
        </w:tc>
        <w:tc>
          <w:tcPr>
            <w:tcW w:w="8708" w:type="dxa"/>
            <w:tcBorders>
              <w:top w:val="single" w:color="auto" w:sz="4" w:space="0"/>
              <w:left w:val="single" w:color="auto" w:sz="4" w:space="0"/>
              <w:bottom w:val="single" w:color="auto" w:sz="4" w:space="0"/>
              <w:right w:val="single" w:color="auto" w:sz="4" w:space="0"/>
            </w:tcBorders>
            <w:vAlign w:val="center"/>
          </w:tcPr>
          <w:p w14:paraId="4AD3C213">
            <w:pPr>
              <w:snapToGrid w:val="0"/>
              <w:spacing w:line="400" w:lineRule="exact"/>
              <w:rPr>
                <w:rFonts w:hint="eastAsia" w:ascii="宋体" w:hAnsi="宋体"/>
                <w:szCs w:val="21"/>
              </w:rPr>
            </w:pPr>
            <w:r>
              <w:rPr>
                <w:rFonts w:hint="eastAsia" w:ascii="宋体" w:hAnsi="宋体"/>
                <w:szCs w:val="21"/>
              </w:rPr>
              <w:t>本项目不组织召开开标前答疑会</w:t>
            </w:r>
          </w:p>
        </w:tc>
      </w:tr>
      <w:tr w14:paraId="5DE19F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vMerge w:val="restart"/>
            <w:tcBorders>
              <w:top w:val="single" w:color="auto" w:sz="4" w:space="0"/>
              <w:left w:val="single" w:color="auto" w:sz="4" w:space="0"/>
              <w:right w:val="single" w:color="auto" w:sz="4" w:space="0"/>
            </w:tcBorders>
            <w:vAlign w:val="center"/>
          </w:tcPr>
          <w:p w14:paraId="19CEBACD">
            <w:pPr>
              <w:spacing w:line="400" w:lineRule="exact"/>
              <w:jc w:val="center"/>
              <w:rPr>
                <w:rFonts w:hint="eastAsia" w:ascii="宋体" w:hAnsi="宋体"/>
                <w:szCs w:val="21"/>
              </w:rPr>
            </w:pPr>
            <w:bookmarkStart w:id="50" w:name="_13.1"/>
            <w:bookmarkEnd w:id="50"/>
            <w:r>
              <w:rPr>
                <w:rFonts w:hint="eastAsia" w:ascii="宋体" w:hAnsi="宋体"/>
                <w:szCs w:val="21"/>
              </w:rPr>
              <w:t>13.</w:t>
            </w:r>
            <w:bookmarkStart w:id="51" w:name="_Hlt19632543"/>
            <w:r>
              <w:rPr>
                <w:rFonts w:hint="eastAsia" w:ascii="宋体" w:hAnsi="宋体"/>
                <w:szCs w:val="21"/>
              </w:rPr>
              <w:t>1</w:t>
            </w:r>
            <w:bookmarkEnd w:id="51"/>
          </w:p>
        </w:tc>
        <w:tc>
          <w:tcPr>
            <w:tcW w:w="8708" w:type="dxa"/>
            <w:tcBorders>
              <w:top w:val="single" w:color="auto" w:sz="4" w:space="0"/>
              <w:left w:val="single" w:color="auto" w:sz="4" w:space="0"/>
              <w:bottom w:val="single" w:color="auto" w:sz="4" w:space="0"/>
              <w:right w:val="single" w:color="auto" w:sz="4" w:space="0"/>
            </w:tcBorders>
            <w:vAlign w:val="center"/>
          </w:tcPr>
          <w:p w14:paraId="2AE101FF">
            <w:pPr>
              <w:snapToGrid w:val="0"/>
              <w:spacing w:line="400" w:lineRule="exact"/>
              <w:jc w:val="left"/>
              <w:rPr>
                <w:rFonts w:hint="eastAsia" w:ascii="宋体" w:hAnsi="宋体" w:cs="Courier New"/>
                <w:b/>
                <w:szCs w:val="21"/>
              </w:rPr>
            </w:pPr>
            <w:r>
              <w:rPr>
                <w:rFonts w:hint="eastAsia" w:ascii="宋体" w:hAnsi="宋体" w:cs="Courier New"/>
                <w:b/>
                <w:szCs w:val="21"/>
              </w:rPr>
              <w:t>报价文件:</w:t>
            </w:r>
          </w:p>
          <w:p w14:paraId="15165DF8">
            <w:pPr>
              <w:tabs>
                <w:tab w:val="left" w:pos="459"/>
              </w:tabs>
              <w:snapToGrid w:val="0"/>
              <w:spacing w:line="400" w:lineRule="exact"/>
              <w:jc w:val="left"/>
              <w:rPr>
                <w:rFonts w:hint="eastAsia" w:ascii="宋体" w:hAnsi="宋体"/>
                <w:szCs w:val="21"/>
              </w:rPr>
            </w:pPr>
            <w:r>
              <w:rPr>
                <w:rFonts w:hint="eastAsia" w:ascii="宋体" w:hAnsi="宋体"/>
                <w:szCs w:val="21"/>
              </w:rPr>
              <w:t>1、投标函（格式后附）；</w:t>
            </w:r>
            <w:r>
              <w:rPr>
                <w:rFonts w:hint="eastAsia" w:ascii="宋体" w:hAnsi="宋体"/>
                <w:b/>
                <w:szCs w:val="21"/>
              </w:rPr>
              <w:t>（必须提供，否则按无效投标处理）</w:t>
            </w:r>
          </w:p>
          <w:p w14:paraId="161FADC4">
            <w:pPr>
              <w:tabs>
                <w:tab w:val="left" w:pos="459"/>
              </w:tabs>
              <w:snapToGrid w:val="0"/>
              <w:spacing w:line="400" w:lineRule="exact"/>
              <w:jc w:val="left"/>
              <w:rPr>
                <w:rFonts w:hint="eastAsia" w:ascii="宋体" w:hAnsi="宋体"/>
                <w:szCs w:val="21"/>
              </w:rPr>
            </w:pPr>
            <w:bookmarkStart w:id="52" w:name="_Hlk71299233"/>
            <w:r>
              <w:rPr>
                <w:rFonts w:hint="eastAsia" w:ascii="宋体" w:hAnsi="宋体"/>
                <w:szCs w:val="21"/>
              </w:rPr>
              <w:t>2、开标一览表</w:t>
            </w:r>
            <w:bookmarkEnd w:id="52"/>
            <w:r>
              <w:rPr>
                <w:rFonts w:hint="eastAsia" w:ascii="宋体" w:hAnsi="宋体"/>
                <w:szCs w:val="21"/>
              </w:rPr>
              <w:t>（格式后附）； （</w:t>
            </w:r>
            <w:r>
              <w:rPr>
                <w:rFonts w:hint="eastAsia" w:ascii="宋体" w:hAnsi="宋体"/>
                <w:b/>
                <w:szCs w:val="21"/>
              </w:rPr>
              <w:t>必须提供，否则按无效投标处理</w:t>
            </w:r>
            <w:r>
              <w:rPr>
                <w:rFonts w:hint="eastAsia" w:ascii="宋体" w:hAnsi="宋体"/>
                <w:szCs w:val="21"/>
              </w:rPr>
              <w:t>）</w:t>
            </w:r>
          </w:p>
          <w:p w14:paraId="5859F44B">
            <w:pPr>
              <w:tabs>
                <w:tab w:val="left" w:pos="459"/>
              </w:tabs>
              <w:snapToGrid w:val="0"/>
              <w:spacing w:line="400" w:lineRule="exact"/>
              <w:jc w:val="left"/>
              <w:rPr>
                <w:rFonts w:hint="eastAsia" w:ascii="宋体" w:hAnsi="宋体"/>
                <w:szCs w:val="21"/>
              </w:rPr>
            </w:pPr>
            <w:r>
              <w:rPr>
                <w:rFonts w:hint="eastAsia" w:ascii="宋体" w:hAnsi="宋体"/>
                <w:szCs w:val="21"/>
              </w:rPr>
              <w:t>3、投标人针对报价需要说明的其他文件和说明（格式自拟）。</w:t>
            </w:r>
          </w:p>
          <w:p w14:paraId="0DFDD504">
            <w:pPr>
              <w:snapToGrid w:val="0"/>
              <w:spacing w:line="400" w:lineRule="exact"/>
              <w:ind w:firstLine="420"/>
              <w:jc w:val="left"/>
              <w:rPr>
                <w:rFonts w:hint="eastAsia" w:ascii="宋体" w:hAnsi="宋体"/>
                <w:szCs w:val="21"/>
              </w:rPr>
            </w:pPr>
            <w:r>
              <w:rPr>
                <w:rFonts w:hint="eastAsia" w:ascii="宋体" w:hAnsi="宋体"/>
                <w:b/>
                <w:bCs/>
                <w:szCs w:val="21"/>
              </w:rPr>
              <w:t>注：投标函、开标一览表必须由法定代表人或者委托代理人在规定签章处逐一签字并加盖投标人公章，否则按无效投标</w:t>
            </w:r>
            <w:r>
              <w:rPr>
                <w:rFonts w:hint="eastAsia" w:ascii="宋体" w:hAnsi="宋体" w:cs="Courier New"/>
                <w:b/>
                <w:szCs w:val="21"/>
              </w:rPr>
              <w:t>处理</w:t>
            </w:r>
            <w:r>
              <w:rPr>
                <w:rFonts w:hint="eastAsia" w:ascii="宋体" w:hAnsi="宋体"/>
                <w:b/>
                <w:bCs/>
                <w:szCs w:val="21"/>
              </w:rPr>
              <w:t>。</w:t>
            </w:r>
          </w:p>
        </w:tc>
      </w:tr>
      <w:tr w14:paraId="17C5F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vMerge w:val="continue"/>
            <w:tcBorders>
              <w:left w:val="single" w:color="auto" w:sz="4" w:space="0"/>
              <w:right w:val="single" w:color="auto" w:sz="4" w:space="0"/>
            </w:tcBorders>
            <w:vAlign w:val="center"/>
          </w:tcPr>
          <w:p w14:paraId="33C0CD51">
            <w:pPr>
              <w:spacing w:line="400" w:lineRule="exact"/>
              <w:rPr>
                <w:rFonts w:hint="eastAsia" w:ascii="宋体" w:hAnsi="宋体"/>
                <w:szCs w:val="21"/>
              </w:rPr>
            </w:pPr>
            <w:bookmarkStart w:id="53" w:name="_13.2"/>
            <w:bookmarkEnd w:id="53"/>
          </w:p>
        </w:tc>
        <w:tc>
          <w:tcPr>
            <w:tcW w:w="8708" w:type="dxa"/>
            <w:tcBorders>
              <w:top w:val="single" w:color="auto" w:sz="4" w:space="0"/>
              <w:left w:val="single" w:color="auto" w:sz="4" w:space="0"/>
              <w:bottom w:val="single" w:color="auto" w:sz="4" w:space="0"/>
              <w:right w:val="single" w:color="auto" w:sz="4" w:space="0"/>
            </w:tcBorders>
            <w:vAlign w:val="center"/>
          </w:tcPr>
          <w:p w14:paraId="06917931">
            <w:pPr>
              <w:snapToGrid w:val="0"/>
              <w:spacing w:line="400" w:lineRule="exact"/>
              <w:jc w:val="left"/>
              <w:rPr>
                <w:rFonts w:hint="eastAsia" w:ascii="宋体" w:hAnsi="宋体" w:cs="Courier New"/>
                <w:b/>
                <w:szCs w:val="21"/>
              </w:rPr>
            </w:pPr>
            <w:r>
              <w:rPr>
                <w:rFonts w:hint="eastAsia" w:ascii="宋体" w:hAnsi="宋体" w:cs="Courier New"/>
                <w:b/>
                <w:szCs w:val="21"/>
              </w:rPr>
              <w:t>资格证明文件:</w:t>
            </w:r>
          </w:p>
          <w:p w14:paraId="15E2FB56">
            <w:pPr>
              <w:autoSpaceDE w:val="0"/>
              <w:autoSpaceDN w:val="0"/>
              <w:snapToGrid w:val="0"/>
              <w:spacing w:line="400" w:lineRule="exact"/>
              <w:textAlignment w:val="bottom"/>
              <w:rPr>
                <w:rFonts w:hint="eastAsia" w:ascii="宋体" w:hAnsi="宋体"/>
                <w:b/>
                <w:szCs w:val="21"/>
              </w:rPr>
            </w:pPr>
            <w:r>
              <w:rPr>
                <w:rFonts w:hint="eastAsia" w:ascii="宋体" w:hAnsi="宋体" w:cs="宋体"/>
                <w:szCs w:val="21"/>
              </w:rPr>
              <w:t>1、供应商为法人或者其他组织的，</w:t>
            </w:r>
            <w:r>
              <w:rPr>
                <w:rFonts w:hint="eastAsia" w:ascii="宋体" w:hAnsi="宋体"/>
                <w:szCs w:val="21"/>
              </w:rPr>
              <w:t>证明文件为其营业执照复印件（如营业执照或者事业单位法人证书或者执业许可证等）；供应商为自然人的，证明文件为其身份证复印件；</w:t>
            </w:r>
            <w:r>
              <w:rPr>
                <w:rFonts w:hint="eastAsia" w:ascii="宋体" w:hAnsi="宋体"/>
                <w:b/>
                <w:szCs w:val="21"/>
              </w:rPr>
              <w:t>（必须提供，否则投标文件按无效响应处理</w:t>
            </w:r>
            <w:r>
              <w:rPr>
                <w:rFonts w:ascii="宋体" w:hAnsi="宋体"/>
                <w:b/>
                <w:szCs w:val="21"/>
              </w:rPr>
              <w:t>）</w:t>
            </w:r>
          </w:p>
          <w:p w14:paraId="3FD0BE00">
            <w:pPr>
              <w:autoSpaceDE w:val="0"/>
              <w:autoSpaceDN w:val="0"/>
              <w:snapToGrid w:val="0"/>
              <w:spacing w:line="400" w:lineRule="exact"/>
              <w:textAlignment w:val="bottom"/>
              <w:rPr>
                <w:rFonts w:hint="eastAsia" w:ascii="宋体" w:hAnsi="宋体" w:cs="宋体"/>
                <w:b/>
                <w:szCs w:val="21"/>
              </w:rPr>
            </w:pPr>
            <w:r>
              <w:rPr>
                <w:rFonts w:hint="eastAsia" w:ascii="宋体" w:hAnsi="宋体" w:cs="宋体"/>
                <w:szCs w:val="21"/>
              </w:rPr>
              <w:t>2、投标人依法缴纳税收的相关材料（2024年9月至开标截止时间内任意一个月的依法缴纳税收的凭据复印件；依法免税的供应商，必须提供相应文件证明其依法免税。从</w:t>
            </w:r>
            <w:r>
              <w:rPr>
                <w:rFonts w:ascii="宋体" w:hAnsi="宋体" w:cs="宋体"/>
                <w:szCs w:val="21"/>
              </w:rPr>
              <w:t>成立</w:t>
            </w:r>
            <w:r>
              <w:rPr>
                <w:rFonts w:hint="eastAsia" w:ascii="宋体" w:hAnsi="宋体" w:cs="宋体"/>
                <w:szCs w:val="21"/>
              </w:rPr>
              <w:t>之日起到投标文件提交截止时间止不足要求月数的，只需提供从</w:t>
            </w:r>
            <w:r>
              <w:rPr>
                <w:rFonts w:ascii="宋体" w:hAnsi="宋体" w:cs="宋体"/>
                <w:szCs w:val="21"/>
              </w:rPr>
              <w:t>成立</w:t>
            </w:r>
            <w:r>
              <w:rPr>
                <w:rFonts w:hint="eastAsia" w:ascii="宋体" w:hAnsi="宋体" w:cs="宋体"/>
                <w:szCs w:val="21"/>
              </w:rPr>
              <w:t>之日起的依法缴纳税收相应证明文件）；</w:t>
            </w:r>
            <w:r>
              <w:rPr>
                <w:rFonts w:hint="eastAsia" w:ascii="宋体" w:hAnsi="宋体" w:cs="宋体"/>
                <w:b/>
                <w:szCs w:val="21"/>
              </w:rPr>
              <w:t>（必须提供，否则按无效投标处理）</w:t>
            </w:r>
          </w:p>
          <w:p w14:paraId="4615E2D6">
            <w:pPr>
              <w:autoSpaceDE w:val="0"/>
              <w:autoSpaceDN w:val="0"/>
              <w:snapToGrid w:val="0"/>
              <w:spacing w:line="400" w:lineRule="exact"/>
              <w:textAlignment w:val="bottom"/>
              <w:rPr>
                <w:rFonts w:hint="eastAsia" w:ascii="宋体" w:hAnsi="宋体" w:cs="宋体"/>
                <w:b/>
                <w:bCs/>
                <w:szCs w:val="21"/>
              </w:rPr>
            </w:pPr>
            <w:r>
              <w:rPr>
                <w:rFonts w:hint="eastAsia" w:ascii="宋体" w:hAnsi="宋体" w:cs="宋体"/>
                <w:szCs w:val="21"/>
              </w:rPr>
              <w:t>3、投标人依法缴纳社会保障资金的相关材料[2024年9月至开标截止时间内任意一个月内的依法缴纳社会保障资金的缴费凭证（完税证明或者社会保险缴费证明）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cs="宋体"/>
                <w:b/>
                <w:bCs/>
                <w:szCs w:val="21"/>
              </w:rPr>
              <w:t>（必须提供，否则按无效投标处理）</w:t>
            </w:r>
          </w:p>
          <w:p w14:paraId="50AC079B">
            <w:pPr>
              <w:autoSpaceDE w:val="0"/>
              <w:autoSpaceDN w:val="0"/>
              <w:snapToGrid w:val="0"/>
              <w:spacing w:line="400" w:lineRule="exact"/>
              <w:textAlignment w:val="bottom"/>
              <w:rPr>
                <w:rFonts w:hint="eastAsia" w:ascii="宋体" w:hAnsi="宋体" w:cs="宋体"/>
                <w:b/>
                <w:bCs/>
                <w:szCs w:val="21"/>
              </w:rPr>
            </w:pPr>
            <w:r>
              <w:rPr>
                <w:rFonts w:hint="eastAsia" w:ascii="宋体" w:hAnsi="宋体" w:cs="宋体"/>
                <w:szCs w:val="21"/>
              </w:rPr>
              <w:t>4、投标人财务状况报告（2023年</w:t>
            </w:r>
            <w:r>
              <w:rPr>
                <w:rFonts w:hint="eastAsia" w:ascii="宋体" w:hAnsi="宋体" w:cs="宋体"/>
                <w:szCs w:val="21"/>
                <w:lang w:eastAsia="zh-CN"/>
              </w:rPr>
              <w:t>或</w:t>
            </w:r>
            <w:r>
              <w:rPr>
                <w:rFonts w:hint="eastAsia" w:ascii="宋体" w:hAnsi="宋体" w:cs="宋体"/>
                <w:szCs w:val="21"/>
              </w:rPr>
              <w:t>2024年度财务报表复印件或者银行出具的资信证明；投标人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hint="eastAsia" w:ascii="宋体" w:hAnsi="宋体" w:cs="宋体"/>
                <w:b/>
                <w:bCs/>
                <w:szCs w:val="21"/>
              </w:rPr>
              <w:t>；（除自然人外必须提供，否则按无效投标处理）</w:t>
            </w:r>
          </w:p>
          <w:p w14:paraId="72AC934E">
            <w:pPr>
              <w:autoSpaceDE w:val="0"/>
              <w:autoSpaceDN w:val="0"/>
              <w:snapToGrid w:val="0"/>
              <w:spacing w:line="400" w:lineRule="exact"/>
              <w:textAlignment w:val="bottom"/>
              <w:rPr>
                <w:rFonts w:hint="eastAsia" w:ascii="宋体" w:hAnsi="宋体" w:cs="宋体"/>
                <w:szCs w:val="21"/>
              </w:rPr>
            </w:pPr>
            <w:r>
              <w:rPr>
                <w:rFonts w:hint="eastAsia" w:ascii="宋体" w:hAnsi="宋体" w:cs="宋体"/>
                <w:szCs w:val="21"/>
              </w:rPr>
              <w:t>5、投标人直接控股、管理关系信息表（</w:t>
            </w:r>
            <w:r>
              <w:rPr>
                <w:rFonts w:hint="eastAsia" w:ascii="宋体" w:hAnsi="宋体" w:cs="宋体"/>
                <w:b/>
                <w:bCs/>
                <w:szCs w:val="21"/>
              </w:rPr>
              <w:t>格式后附）；（必须提供，否则按无效投标处理）</w:t>
            </w:r>
          </w:p>
          <w:p w14:paraId="619C1AE9">
            <w:pPr>
              <w:autoSpaceDE w:val="0"/>
              <w:autoSpaceDN w:val="0"/>
              <w:snapToGrid w:val="0"/>
              <w:spacing w:line="400" w:lineRule="exact"/>
              <w:textAlignment w:val="bottom"/>
              <w:rPr>
                <w:rFonts w:hint="eastAsia" w:ascii="宋体" w:hAnsi="宋体" w:cs="宋体"/>
                <w:b/>
                <w:bCs/>
                <w:szCs w:val="21"/>
              </w:rPr>
            </w:pPr>
            <w:r>
              <w:rPr>
                <w:rFonts w:hint="eastAsia" w:ascii="宋体" w:hAnsi="宋体" w:cs="宋体"/>
                <w:szCs w:val="21"/>
              </w:rPr>
              <w:t>6、投标声明</w:t>
            </w:r>
            <w:r>
              <w:rPr>
                <w:rFonts w:hint="eastAsia" w:ascii="宋体" w:hAnsi="宋体" w:cs="宋体"/>
                <w:b/>
                <w:bCs/>
                <w:szCs w:val="21"/>
              </w:rPr>
              <w:t>（格式后附）；（必须提供，否则按无效投标处理）</w:t>
            </w:r>
          </w:p>
          <w:p w14:paraId="3CC134FC">
            <w:pPr>
              <w:autoSpaceDE w:val="0"/>
              <w:autoSpaceDN w:val="0"/>
              <w:snapToGrid w:val="0"/>
              <w:spacing w:line="400" w:lineRule="exact"/>
              <w:textAlignment w:val="bottom"/>
              <w:rPr>
                <w:rFonts w:hint="eastAsia" w:ascii="宋体" w:hAnsi="宋体" w:cs="宋体"/>
                <w:b/>
                <w:bCs/>
                <w:szCs w:val="21"/>
              </w:rPr>
            </w:pPr>
            <w:r>
              <w:rPr>
                <w:rFonts w:hint="eastAsia" w:ascii="宋体" w:hAnsi="宋体" w:cs="宋体"/>
                <w:szCs w:val="21"/>
              </w:rPr>
              <w:t>7、本项目属于部分预留份额专门面向中小企业采购的项目，预留预算总金额的30%专门面向中小企业采购，预留份额部分货物制造商（或服务提供商）应为中小型企业或监狱企业或残疾人福利性单位。</w:t>
            </w:r>
            <w:r>
              <w:rPr>
                <w:rFonts w:hint="eastAsia" w:ascii="宋体" w:hAnsi="宋体" w:cs="宋体"/>
                <w:b/>
                <w:bCs/>
                <w:szCs w:val="21"/>
              </w:rPr>
              <w:t>（格式后附）（《必须提供中小企业声明函或残疾人福利性单位声明函或属于监狱企业的证明资料》否则响应文件按无效响应处理)</w:t>
            </w:r>
          </w:p>
          <w:p w14:paraId="5B1A874E">
            <w:pPr>
              <w:autoSpaceDE w:val="0"/>
              <w:autoSpaceDN w:val="0"/>
              <w:snapToGrid w:val="0"/>
              <w:spacing w:line="400" w:lineRule="exact"/>
              <w:textAlignment w:val="bottom"/>
              <w:rPr>
                <w:rFonts w:hint="eastAsia" w:ascii="宋体" w:hAnsi="宋体" w:cs="宋体"/>
                <w:b/>
                <w:bCs/>
                <w:szCs w:val="21"/>
              </w:rPr>
            </w:pPr>
            <w:r>
              <w:rPr>
                <w:rFonts w:hint="eastAsia" w:ascii="宋体" w:hAnsi="宋体" w:cs="宋体"/>
                <w:b/>
                <w:bCs/>
                <w:szCs w:val="21"/>
              </w:rPr>
              <w:t>注：</w:t>
            </w:r>
          </w:p>
          <w:p w14:paraId="23C59A6C">
            <w:pPr>
              <w:snapToGrid w:val="0"/>
              <w:spacing w:line="320" w:lineRule="atLeast"/>
              <w:ind w:firstLine="422" w:firstLineChars="200"/>
              <w:jc w:val="left"/>
              <w:rPr>
                <w:rFonts w:hint="eastAsia" w:ascii="宋体" w:hAnsi="宋体" w:cs="Courier New"/>
                <w:b/>
                <w:szCs w:val="21"/>
              </w:rPr>
            </w:pPr>
            <w:r>
              <w:rPr>
                <w:rFonts w:hint="eastAsia" w:ascii="宋体" w:hAnsi="宋体"/>
                <w:b/>
                <w:bCs/>
                <w:szCs w:val="21"/>
              </w:rPr>
              <w:t>1、以上标明“必须提供”的材料属于复印件的，必须加盖投标人公章，否则按无效投标</w:t>
            </w:r>
            <w:r>
              <w:rPr>
                <w:rFonts w:hint="eastAsia" w:ascii="宋体" w:hAnsi="宋体" w:cs="Courier New"/>
                <w:b/>
                <w:szCs w:val="21"/>
              </w:rPr>
              <w:t>处理。</w:t>
            </w:r>
          </w:p>
          <w:p w14:paraId="6EC1E7F7">
            <w:pPr>
              <w:snapToGrid w:val="0"/>
              <w:spacing w:line="320" w:lineRule="atLeast"/>
              <w:ind w:firstLine="422" w:firstLineChars="200"/>
              <w:jc w:val="left"/>
              <w:rPr>
                <w:rFonts w:hint="eastAsia" w:ascii="宋体" w:hAnsi="宋体"/>
                <w:b/>
                <w:bCs/>
                <w:szCs w:val="21"/>
              </w:rPr>
            </w:pPr>
            <w:r>
              <w:rPr>
                <w:rFonts w:hint="eastAsia" w:ascii="宋体" w:hAnsi="宋体" w:cs="Courier New"/>
                <w:b/>
                <w:szCs w:val="21"/>
              </w:rPr>
              <w:t>2、</w:t>
            </w:r>
            <w:r>
              <w:rPr>
                <w:rFonts w:hint="eastAsia" w:ascii="宋体" w:hAnsi="宋体"/>
                <w:b/>
                <w:bCs/>
                <w:szCs w:val="21"/>
              </w:rPr>
              <w:t>投标声明必须由法定代表人在规定签章处签字并加盖投标人公章，否则按无效投标处理。</w:t>
            </w:r>
          </w:p>
          <w:p w14:paraId="1FECDA8E">
            <w:pPr>
              <w:snapToGrid w:val="0"/>
              <w:spacing w:line="320" w:lineRule="atLeast"/>
              <w:ind w:firstLine="422" w:firstLineChars="200"/>
              <w:jc w:val="left"/>
              <w:rPr>
                <w:rFonts w:hint="eastAsia" w:ascii="宋体" w:hAnsi="宋体"/>
                <w:b/>
                <w:bCs/>
                <w:szCs w:val="21"/>
              </w:rPr>
            </w:pPr>
            <w:r>
              <w:rPr>
                <w:rFonts w:hint="eastAsia" w:ascii="宋体" w:hAnsi="宋体"/>
                <w:b/>
                <w:bCs/>
                <w:szCs w:val="21"/>
              </w:rPr>
              <w:t>3、投标人直接控股、管理关系信息表必须由法定代表人或者委托代理人在规定签章处签字并加盖投标人公章，否则按无效投标</w:t>
            </w:r>
            <w:r>
              <w:rPr>
                <w:rFonts w:hint="eastAsia" w:ascii="宋体" w:hAnsi="宋体" w:cs="Courier New"/>
                <w:b/>
                <w:szCs w:val="21"/>
              </w:rPr>
              <w:t>处理</w:t>
            </w:r>
            <w:r>
              <w:rPr>
                <w:rFonts w:hint="eastAsia" w:ascii="宋体" w:hAnsi="宋体"/>
                <w:b/>
                <w:bCs/>
                <w:szCs w:val="21"/>
              </w:rPr>
              <w:t>。</w:t>
            </w:r>
          </w:p>
          <w:p w14:paraId="5C893BBF">
            <w:pPr>
              <w:snapToGrid w:val="0"/>
              <w:spacing w:line="320" w:lineRule="atLeast"/>
              <w:ind w:firstLine="422" w:firstLineChars="200"/>
              <w:jc w:val="left"/>
              <w:rPr>
                <w:rFonts w:hint="eastAsia" w:ascii="宋体" w:hAnsi="宋体"/>
                <w:b/>
                <w:bCs/>
                <w:szCs w:val="21"/>
              </w:rPr>
            </w:pPr>
            <w:r>
              <w:rPr>
                <w:rFonts w:hint="eastAsia" w:ascii="宋体" w:hAnsi="宋体"/>
                <w:b/>
                <w:bCs/>
                <w:szCs w:val="21"/>
              </w:rPr>
              <w:t>4、联合体投标时，第1-5项资格证明文件联合体各方均必须分别提供，联合体各方分别盖章和签字，否则按无效投标</w:t>
            </w:r>
            <w:r>
              <w:rPr>
                <w:rFonts w:hint="eastAsia" w:ascii="宋体" w:hAnsi="宋体" w:cs="Courier New"/>
                <w:b/>
                <w:szCs w:val="21"/>
              </w:rPr>
              <w:t>处理</w:t>
            </w:r>
            <w:r>
              <w:rPr>
                <w:rFonts w:hint="eastAsia" w:ascii="宋体" w:hAnsi="宋体"/>
                <w:b/>
                <w:bCs/>
                <w:szCs w:val="21"/>
              </w:rPr>
              <w:t>。</w:t>
            </w:r>
          </w:p>
        </w:tc>
      </w:tr>
      <w:tr w14:paraId="055E0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vMerge w:val="continue"/>
            <w:tcBorders>
              <w:left w:val="single" w:color="auto" w:sz="4" w:space="0"/>
              <w:right w:val="single" w:color="auto" w:sz="4" w:space="0"/>
            </w:tcBorders>
            <w:vAlign w:val="center"/>
          </w:tcPr>
          <w:p w14:paraId="20A6D102">
            <w:pPr>
              <w:spacing w:line="400" w:lineRule="exact"/>
              <w:rPr>
                <w:rFonts w:hint="eastAsia" w:ascii="宋体" w:hAnsi="宋体"/>
                <w:szCs w:val="21"/>
              </w:rPr>
            </w:pPr>
            <w:bookmarkStart w:id="54" w:name="_13.3"/>
            <w:bookmarkEnd w:id="54"/>
          </w:p>
        </w:tc>
        <w:tc>
          <w:tcPr>
            <w:tcW w:w="8708" w:type="dxa"/>
            <w:tcBorders>
              <w:top w:val="single" w:color="auto" w:sz="4" w:space="0"/>
              <w:left w:val="single" w:color="auto" w:sz="4" w:space="0"/>
              <w:bottom w:val="single" w:color="auto" w:sz="4" w:space="0"/>
              <w:right w:val="single" w:color="auto" w:sz="4" w:space="0"/>
            </w:tcBorders>
            <w:vAlign w:val="center"/>
          </w:tcPr>
          <w:p w14:paraId="3AAD04A8">
            <w:pPr>
              <w:snapToGrid w:val="0"/>
              <w:spacing w:line="400" w:lineRule="exact"/>
              <w:jc w:val="left"/>
              <w:rPr>
                <w:rFonts w:hint="eastAsia" w:ascii="宋体" w:hAnsi="宋体" w:cs="Courier New"/>
                <w:b/>
                <w:szCs w:val="21"/>
              </w:rPr>
            </w:pPr>
            <w:r>
              <w:rPr>
                <w:rFonts w:hint="eastAsia" w:ascii="宋体" w:hAnsi="宋体" w:cs="Courier New"/>
                <w:b/>
                <w:szCs w:val="21"/>
              </w:rPr>
              <w:t>商务文件：</w:t>
            </w:r>
          </w:p>
          <w:p w14:paraId="1A986D16">
            <w:pPr>
              <w:snapToGrid w:val="0"/>
              <w:spacing w:line="400" w:lineRule="exact"/>
              <w:jc w:val="left"/>
              <w:rPr>
                <w:rFonts w:hint="eastAsia" w:ascii="宋体" w:hAnsi="宋体"/>
                <w:szCs w:val="21"/>
              </w:rPr>
            </w:pPr>
            <w:r>
              <w:rPr>
                <w:rFonts w:hint="eastAsia" w:ascii="宋体" w:hAnsi="宋体"/>
                <w:szCs w:val="21"/>
              </w:rPr>
              <w:t>1、无串通投标行为的承诺函（格式后附）；（</w:t>
            </w:r>
            <w:r>
              <w:rPr>
                <w:rFonts w:hint="eastAsia" w:ascii="宋体" w:hAnsi="宋体"/>
                <w:b/>
                <w:szCs w:val="21"/>
              </w:rPr>
              <w:t>必须提供，否则按无效投标处理</w:t>
            </w:r>
            <w:r>
              <w:rPr>
                <w:rFonts w:hint="eastAsia" w:ascii="宋体" w:hAnsi="宋体"/>
                <w:szCs w:val="21"/>
              </w:rPr>
              <w:t>）</w:t>
            </w:r>
          </w:p>
          <w:p w14:paraId="649DA67A">
            <w:pPr>
              <w:snapToGrid w:val="0"/>
              <w:spacing w:line="400" w:lineRule="exact"/>
              <w:jc w:val="left"/>
              <w:rPr>
                <w:rFonts w:hint="eastAsia" w:ascii="宋体" w:hAnsi="宋体"/>
                <w:szCs w:val="21"/>
              </w:rPr>
            </w:pPr>
            <w:r>
              <w:rPr>
                <w:rFonts w:hint="eastAsia" w:ascii="宋体" w:hAnsi="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b/>
                <w:szCs w:val="21"/>
              </w:rPr>
              <w:t>必须提供，否则按无效投标处理</w:t>
            </w:r>
            <w:r>
              <w:rPr>
                <w:rFonts w:hint="eastAsia" w:ascii="宋体" w:hAnsi="宋体"/>
                <w:szCs w:val="21"/>
              </w:rPr>
              <w:t>）</w:t>
            </w:r>
          </w:p>
          <w:p w14:paraId="0F088D16">
            <w:pPr>
              <w:snapToGrid w:val="0"/>
              <w:spacing w:line="400" w:lineRule="exact"/>
              <w:jc w:val="left"/>
              <w:rPr>
                <w:rFonts w:hint="eastAsia" w:ascii="宋体" w:hAnsi="宋体"/>
                <w:szCs w:val="21"/>
              </w:rPr>
            </w:pPr>
            <w:r>
              <w:rPr>
                <w:rFonts w:hint="eastAsia" w:ascii="宋体" w:hAnsi="宋体"/>
                <w:szCs w:val="21"/>
              </w:rPr>
              <w:t>3、授权委托书及委托代理人有效身份证正反面复印件（格式后附）；（</w:t>
            </w:r>
            <w:r>
              <w:rPr>
                <w:rFonts w:hint="eastAsia" w:ascii="宋体" w:hAnsi="宋体"/>
                <w:b/>
                <w:szCs w:val="21"/>
              </w:rPr>
              <w:t>委托时必须提供，否则按无效投标处理</w:t>
            </w:r>
            <w:r>
              <w:rPr>
                <w:rFonts w:hint="eastAsia" w:ascii="宋体" w:hAnsi="宋体"/>
                <w:szCs w:val="21"/>
              </w:rPr>
              <w:t>）</w:t>
            </w:r>
          </w:p>
          <w:p w14:paraId="561934A5">
            <w:pPr>
              <w:snapToGrid w:val="0"/>
              <w:spacing w:line="400" w:lineRule="exact"/>
              <w:jc w:val="left"/>
              <w:rPr>
                <w:rFonts w:hint="eastAsia" w:ascii="宋体" w:hAnsi="宋体"/>
                <w:szCs w:val="21"/>
              </w:rPr>
            </w:pPr>
            <w:r>
              <w:rPr>
                <w:rFonts w:hint="eastAsia" w:ascii="宋体" w:hAnsi="宋体"/>
                <w:szCs w:val="21"/>
              </w:rPr>
              <w:t>4、</w:t>
            </w:r>
            <w:bookmarkStart w:id="55" w:name="OLE_LINK1"/>
            <w:r>
              <w:rPr>
                <w:rFonts w:hint="eastAsia" w:ascii="宋体" w:hAnsi="宋体"/>
                <w:szCs w:val="21"/>
              </w:rPr>
              <w:t>商务要求偏离表</w:t>
            </w:r>
            <w:bookmarkEnd w:id="55"/>
            <w:r>
              <w:rPr>
                <w:rFonts w:hint="eastAsia" w:ascii="宋体" w:hAnsi="宋体"/>
                <w:szCs w:val="21"/>
              </w:rPr>
              <w:t>（格式后附）；（</w:t>
            </w:r>
            <w:r>
              <w:rPr>
                <w:rFonts w:hint="eastAsia" w:ascii="宋体" w:hAnsi="宋体"/>
                <w:b/>
                <w:szCs w:val="21"/>
              </w:rPr>
              <w:t>必须提供，否则按无效投标处理</w:t>
            </w:r>
            <w:r>
              <w:rPr>
                <w:rFonts w:hint="eastAsia" w:ascii="宋体" w:hAnsi="宋体"/>
                <w:szCs w:val="21"/>
              </w:rPr>
              <w:t>）</w:t>
            </w:r>
          </w:p>
          <w:p w14:paraId="20058BDD">
            <w:pPr>
              <w:snapToGrid w:val="0"/>
              <w:spacing w:line="400" w:lineRule="exact"/>
              <w:jc w:val="left"/>
              <w:rPr>
                <w:rFonts w:hint="eastAsia" w:ascii="宋体" w:hAnsi="宋体"/>
                <w:szCs w:val="21"/>
              </w:rPr>
            </w:pPr>
            <w:r>
              <w:rPr>
                <w:rFonts w:hint="eastAsia" w:ascii="宋体" w:hAnsi="宋体"/>
                <w:szCs w:val="21"/>
              </w:rPr>
              <w:t>5、售后服务承诺（格式自拟）；（</w:t>
            </w:r>
            <w:r>
              <w:rPr>
                <w:rFonts w:hint="eastAsia" w:ascii="宋体" w:hAnsi="宋体"/>
                <w:b/>
                <w:szCs w:val="21"/>
              </w:rPr>
              <w:t>必须提供，否则按无效投标处理</w:t>
            </w:r>
            <w:r>
              <w:rPr>
                <w:rFonts w:hint="eastAsia" w:ascii="宋体" w:hAnsi="宋体"/>
                <w:szCs w:val="21"/>
              </w:rPr>
              <w:t>）</w:t>
            </w:r>
          </w:p>
          <w:p w14:paraId="0FD362AC">
            <w:pPr>
              <w:snapToGrid w:val="0"/>
              <w:spacing w:line="400" w:lineRule="exact"/>
              <w:jc w:val="left"/>
              <w:rPr>
                <w:rFonts w:hint="eastAsia" w:ascii="宋体" w:hAnsi="宋体"/>
                <w:szCs w:val="21"/>
              </w:rPr>
            </w:pPr>
            <w:r>
              <w:rPr>
                <w:rFonts w:hint="eastAsia" w:ascii="宋体" w:hAnsi="宋体"/>
                <w:szCs w:val="21"/>
              </w:rPr>
              <w:t>6、投标人情况介绍（格式自拟）；</w:t>
            </w:r>
          </w:p>
          <w:p w14:paraId="3B7D1B9A">
            <w:pPr>
              <w:snapToGrid w:val="0"/>
              <w:spacing w:line="400" w:lineRule="exact"/>
              <w:jc w:val="left"/>
              <w:rPr>
                <w:rFonts w:hint="eastAsia" w:ascii="宋体" w:hAnsi="宋体"/>
                <w:b/>
                <w:bCs/>
                <w:szCs w:val="21"/>
              </w:rPr>
            </w:pPr>
            <w:r>
              <w:rPr>
                <w:rFonts w:hint="eastAsia" w:ascii="宋体" w:hAnsi="宋体"/>
                <w:szCs w:val="21"/>
              </w:rPr>
              <w:t>7、除招标文件规定必须提供以外，投标人认为需要提供的其他证明材料（格式自拟）。（投标人根据“第二章 采购需求”及“第四章 评标方法及评标标准”提供有关证明材料）。</w:t>
            </w:r>
          </w:p>
          <w:p w14:paraId="4998C8D9">
            <w:pPr>
              <w:snapToGrid w:val="0"/>
              <w:spacing w:line="400" w:lineRule="exact"/>
              <w:ind w:firstLine="422" w:firstLineChars="200"/>
              <w:jc w:val="left"/>
              <w:rPr>
                <w:rFonts w:hint="eastAsia" w:ascii="宋体" w:hAnsi="宋体"/>
                <w:szCs w:val="21"/>
              </w:rPr>
            </w:pPr>
            <w:r>
              <w:rPr>
                <w:rFonts w:hint="eastAsia" w:ascii="宋体" w:hAnsi="宋体"/>
                <w:b/>
                <w:bCs/>
                <w:szCs w:val="21"/>
              </w:rPr>
              <w:t>注：以上标明“必须提供”的材料属于复印件的，必须加盖投标人公章，否则按无效投标</w:t>
            </w:r>
            <w:r>
              <w:rPr>
                <w:rFonts w:hint="eastAsia" w:ascii="宋体" w:hAnsi="宋体" w:cs="Courier New"/>
                <w:b/>
                <w:szCs w:val="21"/>
              </w:rPr>
              <w:t>处理</w:t>
            </w:r>
            <w:r>
              <w:rPr>
                <w:rFonts w:hint="eastAsia" w:ascii="宋体" w:hAnsi="宋体"/>
                <w:b/>
                <w:bCs/>
                <w:szCs w:val="21"/>
              </w:rPr>
              <w:t>。</w:t>
            </w:r>
          </w:p>
        </w:tc>
      </w:tr>
      <w:tr w14:paraId="0C9D2C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vMerge w:val="continue"/>
            <w:tcBorders>
              <w:left w:val="single" w:color="auto" w:sz="4" w:space="0"/>
              <w:bottom w:val="single" w:color="auto" w:sz="4" w:space="0"/>
              <w:right w:val="single" w:color="auto" w:sz="4" w:space="0"/>
            </w:tcBorders>
            <w:vAlign w:val="center"/>
          </w:tcPr>
          <w:p w14:paraId="0360C417">
            <w:pPr>
              <w:spacing w:line="400" w:lineRule="exact"/>
              <w:rPr>
                <w:rFonts w:hint="eastAsia" w:ascii="宋体" w:hAnsi="宋体"/>
                <w:szCs w:val="21"/>
              </w:rPr>
            </w:pPr>
            <w:bookmarkStart w:id="56" w:name="_13.4"/>
            <w:bookmarkEnd w:id="56"/>
          </w:p>
        </w:tc>
        <w:tc>
          <w:tcPr>
            <w:tcW w:w="8708" w:type="dxa"/>
            <w:tcBorders>
              <w:top w:val="single" w:color="auto" w:sz="4" w:space="0"/>
              <w:left w:val="single" w:color="auto" w:sz="4" w:space="0"/>
              <w:bottom w:val="single" w:color="auto" w:sz="4" w:space="0"/>
              <w:right w:val="single" w:color="auto" w:sz="4" w:space="0"/>
            </w:tcBorders>
            <w:vAlign w:val="center"/>
          </w:tcPr>
          <w:p w14:paraId="324F642C">
            <w:pPr>
              <w:snapToGrid w:val="0"/>
              <w:spacing w:line="400" w:lineRule="exact"/>
              <w:jc w:val="left"/>
              <w:rPr>
                <w:rFonts w:hint="eastAsia" w:ascii="宋体" w:hAnsi="宋体" w:cs="Courier New"/>
                <w:b/>
                <w:szCs w:val="21"/>
              </w:rPr>
            </w:pPr>
            <w:r>
              <w:rPr>
                <w:rFonts w:hint="eastAsia" w:ascii="宋体" w:hAnsi="宋体" w:cs="Courier New"/>
                <w:b/>
                <w:szCs w:val="21"/>
              </w:rPr>
              <w:t>技术文件：</w:t>
            </w:r>
          </w:p>
          <w:p w14:paraId="2AC2C035">
            <w:pPr>
              <w:numPr>
                <w:ilvl w:val="0"/>
                <w:numId w:val="6"/>
              </w:numPr>
              <w:snapToGrid w:val="0"/>
              <w:spacing w:line="400" w:lineRule="exact"/>
              <w:jc w:val="left"/>
              <w:rPr>
                <w:rFonts w:hint="eastAsia" w:ascii="宋体" w:hAnsi="宋体"/>
                <w:szCs w:val="21"/>
              </w:rPr>
            </w:pPr>
            <w:r>
              <w:rPr>
                <w:rFonts w:hint="eastAsia" w:ascii="宋体" w:hAnsi="宋体"/>
                <w:szCs w:val="21"/>
              </w:rPr>
              <w:t>技术要求偏离表（格式后附）；（</w:t>
            </w:r>
            <w:r>
              <w:rPr>
                <w:rFonts w:hint="eastAsia" w:ascii="宋体" w:hAnsi="宋体"/>
                <w:b/>
                <w:szCs w:val="21"/>
              </w:rPr>
              <w:t>必须提供，否则按无效投标处理</w:t>
            </w:r>
            <w:r>
              <w:rPr>
                <w:rFonts w:hint="eastAsia" w:ascii="宋体" w:hAnsi="宋体"/>
                <w:szCs w:val="21"/>
              </w:rPr>
              <w:t>）</w:t>
            </w:r>
          </w:p>
          <w:p w14:paraId="0C546B07">
            <w:pPr>
              <w:snapToGrid w:val="0"/>
              <w:spacing w:line="400" w:lineRule="exact"/>
              <w:jc w:val="left"/>
              <w:rPr>
                <w:rFonts w:hint="eastAsia" w:ascii="宋体" w:hAnsi="宋体"/>
                <w:szCs w:val="21"/>
              </w:rPr>
            </w:pPr>
            <w:r>
              <w:rPr>
                <w:rFonts w:hint="eastAsia" w:ascii="宋体" w:hAnsi="宋体"/>
                <w:szCs w:val="21"/>
              </w:rPr>
              <w:t>2、项目实施人员一览表（格式后附）；（</w:t>
            </w:r>
            <w:r>
              <w:rPr>
                <w:rFonts w:hint="eastAsia" w:ascii="宋体" w:hAnsi="宋体"/>
                <w:b/>
                <w:szCs w:val="21"/>
              </w:rPr>
              <w:t>必须提供，否则按无效投标处理</w:t>
            </w:r>
            <w:r>
              <w:rPr>
                <w:rFonts w:hint="eastAsia" w:ascii="宋体" w:hAnsi="宋体"/>
                <w:szCs w:val="21"/>
              </w:rPr>
              <w:t>）</w:t>
            </w:r>
          </w:p>
          <w:p w14:paraId="1D9AA0BF">
            <w:pPr>
              <w:snapToGrid w:val="0"/>
              <w:spacing w:line="400" w:lineRule="exact"/>
              <w:jc w:val="left"/>
              <w:rPr>
                <w:rFonts w:hint="eastAsia" w:ascii="宋体" w:hAnsi="宋体"/>
                <w:szCs w:val="21"/>
              </w:rPr>
            </w:pPr>
            <w:r>
              <w:rPr>
                <w:rFonts w:hint="eastAsia" w:ascii="宋体" w:hAnsi="宋体"/>
                <w:szCs w:val="21"/>
              </w:rPr>
              <w:t>3、项目实施方案（格式自拟）；（</w:t>
            </w:r>
            <w:r>
              <w:rPr>
                <w:rFonts w:hint="eastAsia" w:ascii="宋体" w:hAnsi="宋体"/>
                <w:b/>
                <w:szCs w:val="21"/>
              </w:rPr>
              <w:t>必须提供，否则按无效投标处理</w:t>
            </w:r>
            <w:r>
              <w:rPr>
                <w:rFonts w:hint="eastAsia" w:ascii="宋体" w:hAnsi="宋体"/>
                <w:szCs w:val="21"/>
              </w:rPr>
              <w:t>）</w:t>
            </w:r>
          </w:p>
          <w:p w14:paraId="50157183">
            <w:pPr>
              <w:snapToGrid w:val="0"/>
              <w:spacing w:line="400" w:lineRule="exact"/>
              <w:jc w:val="left"/>
              <w:rPr>
                <w:rFonts w:hint="eastAsia" w:ascii="宋体" w:hAnsi="宋体"/>
                <w:szCs w:val="21"/>
              </w:rPr>
            </w:pPr>
            <w:r>
              <w:rPr>
                <w:rFonts w:hint="eastAsia" w:ascii="宋体" w:hAnsi="宋体"/>
                <w:szCs w:val="21"/>
              </w:rPr>
              <w:t>4、对本项目系统总体要求的理解。包括：功能说明、性能指标及设备选型说明（质量、性能、价格、外观、体积等方面进行比较和选择的理由及过程，格式自拟）；</w:t>
            </w:r>
          </w:p>
          <w:p w14:paraId="61B09C48">
            <w:pPr>
              <w:snapToGrid w:val="0"/>
              <w:spacing w:line="400" w:lineRule="exact"/>
              <w:jc w:val="left"/>
              <w:rPr>
                <w:rFonts w:hint="eastAsia" w:ascii="宋体" w:hAnsi="宋体"/>
                <w:szCs w:val="21"/>
              </w:rPr>
            </w:pPr>
            <w:r>
              <w:rPr>
                <w:rFonts w:hint="eastAsia" w:ascii="宋体" w:hAnsi="宋体"/>
                <w:szCs w:val="21"/>
              </w:rPr>
              <w:t>5、产品出厂标准、质量检测报告[其中有精度要求的仪器设备类政府采购项目，应当要求投标人提供精度数据（</w:t>
            </w:r>
            <w:r>
              <w:rPr>
                <w:szCs w:val="21"/>
              </w:rPr>
              <w:t>国家认可的有资质的第三方检测机构出具的检测报告复印件</w:t>
            </w:r>
            <w:r>
              <w:rPr>
                <w:rFonts w:hint="eastAsia" w:ascii="宋体" w:hAnsi="宋体"/>
                <w:szCs w:val="21"/>
              </w:rPr>
              <w:t>或者由采购人在投标前组织的实测获得）]；</w:t>
            </w:r>
          </w:p>
          <w:p w14:paraId="4F68735C">
            <w:pPr>
              <w:snapToGrid w:val="0"/>
              <w:spacing w:line="400" w:lineRule="exact"/>
              <w:jc w:val="left"/>
              <w:rPr>
                <w:rFonts w:hint="eastAsia" w:ascii="宋体" w:hAnsi="宋体"/>
                <w:szCs w:val="21"/>
              </w:rPr>
            </w:pPr>
            <w:r>
              <w:rPr>
                <w:rFonts w:hint="eastAsia" w:ascii="宋体" w:hAnsi="宋体"/>
                <w:szCs w:val="21"/>
              </w:rPr>
              <w:t>6、优惠条件：投标人承诺给予招标人的各种优惠条件，包括售后服务、备品备件、专用耗材等方面的优惠；投标人不得给予赠品或者与采购无关的其他商品、服务；</w:t>
            </w:r>
          </w:p>
          <w:p w14:paraId="751E7E44">
            <w:pPr>
              <w:snapToGrid w:val="0"/>
              <w:spacing w:line="400" w:lineRule="exact"/>
              <w:jc w:val="left"/>
              <w:rPr>
                <w:rFonts w:hint="eastAsia" w:ascii="宋体" w:hAnsi="宋体"/>
                <w:szCs w:val="21"/>
              </w:rPr>
            </w:pPr>
            <w:r>
              <w:rPr>
                <w:rFonts w:hint="eastAsia" w:ascii="宋体" w:hAnsi="宋体"/>
                <w:szCs w:val="21"/>
              </w:rPr>
              <w:t>7、投标人对本项目的合理化建议和改进措施（格式自拟）；</w:t>
            </w:r>
          </w:p>
          <w:p w14:paraId="2DDEDB7C">
            <w:pPr>
              <w:snapToGrid w:val="0"/>
              <w:spacing w:line="400" w:lineRule="exact"/>
              <w:jc w:val="left"/>
              <w:rPr>
                <w:rFonts w:hint="eastAsia" w:ascii="宋体" w:hAnsi="宋体"/>
                <w:bCs/>
                <w:szCs w:val="21"/>
              </w:rPr>
            </w:pPr>
            <w:r>
              <w:rPr>
                <w:rFonts w:hint="eastAsia" w:ascii="宋体" w:hAnsi="宋体"/>
                <w:szCs w:val="21"/>
              </w:rPr>
              <w:t>8、除招标文件规定必须提供以外，投标人需要说明的其他文件和说明（格式自拟）。</w:t>
            </w:r>
          </w:p>
          <w:p w14:paraId="5996E35C">
            <w:pPr>
              <w:snapToGrid w:val="0"/>
              <w:spacing w:line="400" w:lineRule="exact"/>
              <w:ind w:firstLine="422" w:firstLineChars="200"/>
              <w:jc w:val="left"/>
              <w:rPr>
                <w:rFonts w:hint="eastAsia" w:ascii="宋体" w:hAnsi="宋体"/>
                <w:b/>
                <w:bCs/>
                <w:szCs w:val="21"/>
              </w:rPr>
            </w:pPr>
            <w:r>
              <w:rPr>
                <w:rFonts w:hint="eastAsia" w:ascii="宋体" w:hAnsi="宋体"/>
                <w:b/>
                <w:bCs/>
                <w:szCs w:val="21"/>
              </w:rPr>
              <w:t>注：以上标明“必须提供”的材料属于复印件的，必须加盖投标人公章，否则按无效投标</w:t>
            </w:r>
            <w:r>
              <w:rPr>
                <w:rFonts w:hint="eastAsia" w:ascii="宋体" w:hAnsi="宋体" w:cs="Courier New"/>
                <w:b/>
                <w:szCs w:val="21"/>
              </w:rPr>
              <w:t>处理</w:t>
            </w:r>
            <w:r>
              <w:rPr>
                <w:rFonts w:hint="eastAsia" w:ascii="宋体" w:hAnsi="宋体"/>
                <w:b/>
                <w:bCs/>
                <w:szCs w:val="21"/>
              </w:rPr>
              <w:t>。</w:t>
            </w:r>
          </w:p>
        </w:tc>
      </w:tr>
      <w:tr w14:paraId="503619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04D10DD0">
            <w:pPr>
              <w:spacing w:line="400" w:lineRule="exact"/>
              <w:jc w:val="center"/>
              <w:rPr>
                <w:rFonts w:hint="eastAsia" w:ascii="宋体" w:hAnsi="宋体"/>
                <w:szCs w:val="21"/>
              </w:rPr>
            </w:pPr>
            <w:bookmarkStart w:id="57" w:name="_13.5"/>
            <w:bookmarkEnd w:id="57"/>
            <w:bookmarkStart w:id="58" w:name="_16.2"/>
            <w:bookmarkEnd w:id="58"/>
            <w:r>
              <w:rPr>
                <w:rFonts w:hint="eastAsia" w:ascii="宋体" w:hAnsi="宋体"/>
                <w:szCs w:val="21"/>
              </w:rPr>
              <w:t>16</w:t>
            </w:r>
            <w:bookmarkStart w:id="59" w:name="_Hlt19194066"/>
            <w:bookmarkStart w:id="60" w:name="_Hlt19693759"/>
            <w:bookmarkStart w:id="61" w:name="_Hlt19194067"/>
            <w:bookmarkStart w:id="62" w:name="_Hlt19693758"/>
            <w:r>
              <w:rPr>
                <w:rFonts w:hint="eastAsia" w:ascii="宋体" w:hAnsi="宋体"/>
                <w:szCs w:val="21"/>
              </w:rPr>
              <w:t>.</w:t>
            </w:r>
            <w:bookmarkEnd w:id="59"/>
            <w:bookmarkEnd w:id="60"/>
            <w:bookmarkEnd w:id="61"/>
            <w:bookmarkEnd w:id="62"/>
            <w:r>
              <w:rPr>
                <w:rFonts w:hint="eastAsia" w:ascii="宋体" w:hAnsi="宋体"/>
                <w:szCs w:val="21"/>
              </w:rPr>
              <w:t>2</w:t>
            </w:r>
          </w:p>
        </w:tc>
        <w:tc>
          <w:tcPr>
            <w:tcW w:w="8708" w:type="dxa"/>
            <w:tcBorders>
              <w:top w:val="single" w:color="auto" w:sz="4" w:space="0"/>
              <w:left w:val="single" w:color="auto" w:sz="4" w:space="0"/>
              <w:bottom w:val="single" w:color="auto" w:sz="4" w:space="0"/>
              <w:right w:val="single" w:color="auto" w:sz="4" w:space="0"/>
            </w:tcBorders>
            <w:vAlign w:val="center"/>
          </w:tcPr>
          <w:p w14:paraId="630BA141">
            <w:pPr>
              <w:snapToGrid w:val="0"/>
              <w:spacing w:line="400" w:lineRule="exact"/>
              <w:rPr>
                <w:rFonts w:hint="eastAsia" w:ascii="宋体" w:hAnsi="宋体"/>
                <w:b/>
                <w:szCs w:val="21"/>
              </w:rPr>
            </w:pPr>
            <w:r>
              <w:rPr>
                <w:rFonts w:hint="eastAsia" w:ascii="宋体" w:hAnsi="宋体"/>
                <w:szCs w:val="21"/>
              </w:rPr>
              <w:t>投标报价是履行合同的最终价格，包括投标货物（包括备品备件、专用工具等）的价格（包括已在中国境内的进口货物完税后的仓库交货价、展室交货价或者货架交货价），投标货物运输（含保险）、安装（如有）、调试、检验、技术服务、培训和招标文件要求提供的所有伴随服务、工程等费用和税费。</w:t>
            </w:r>
          </w:p>
        </w:tc>
      </w:tr>
      <w:tr w14:paraId="4C7EE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46792F47">
            <w:pPr>
              <w:spacing w:line="400" w:lineRule="exact"/>
              <w:jc w:val="center"/>
              <w:rPr>
                <w:rFonts w:hint="eastAsia" w:ascii="宋体" w:hAnsi="宋体"/>
                <w:szCs w:val="21"/>
              </w:rPr>
            </w:pPr>
            <w:bookmarkStart w:id="63" w:name="_17.1"/>
            <w:bookmarkEnd w:id="63"/>
            <w:r>
              <w:rPr>
                <w:rFonts w:hint="eastAsia" w:ascii="宋体" w:hAnsi="宋体"/>
                <w:szCs w:val="21"/>
              </w:rPr>
              <w:t>17.</w:t>
            </w:r>
            <w:r>
              <w:rPr>
                <w:rFonts w:ascii="宋体" w:hAnsi="宋体"/>
                <w:szCs w:val="21"/>
              </w:rPr>
              <w:t>2</w:t>
            </w:r>
          </w:p>
        </w:tc>
        <w:tc>
          <w:tcPr>
            <w:tcW w:w="8708" w:type="dxa"/>
            <w:tcBorders>
              <w:top w:val="single" w:color="auto" w:sz="4" w:space="0"/>
              <w:left w:val="single" w:color="auto" w:sz="4" w:space="0"/>
              <w:bottom w:val="single" w:color="auto" w:sz="4" w:space="0"/>
              <w:right w:val="single" w:color="auto" w:sz="4" w:space="0"/>
            </w:tcBorders>
            <w:vAlign w:val="center"/>
          </w:tcPr>
          <w:p w14:paraId="32178CBD">
            <w:pPr>
              <w:snapToGrid w:val="0"/>
              <w:spacing w:line="400" w:lineRule="exact"/>
              <w:rPr>
                <w:rFonts w:hint="eastAsia" w:ascii="宋体" w:hAnsi="宋体"/>
                <w:szCs w:val="21"/>
              </w:rPr>
            </w:pPr>
            <w:r>
              <w:rPr>
                <w:rFonts w:hint="eastAsia" w:ascii="宋体" w:hAnsi="宋体"/>
                <w:szCs w:val="21"/>
              </w:rPr>
              <w:t>投标有效期：投标截止之日起120天内。</w:t>
            </w:r>
          </w:p>
        </w:tc>
      </w:tr>
      <w:tr w14:paraId="3189E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3CAD33C1">
            <w:pPr>
              <w:spacing w:line="400" w:lineRule="exact"/>
              <w:jc w:val="center"/>
              <w:rPr>
                <w:rFonts w:hint="eastAsia" w:ascii="宋体" w:hAnsi="宋体"/>
                <w:szCs w:val="21"/>
              </w:rPr>
            </w:pPr>
            <w:bookmarkStart w:id="64" w:name="_18"/>
            <w:bookmarkEnd w:id="64"/>
            <w:r>
              <w:rPr>
                <w:rFonts w:hint="eastAsia" w:ascii="宋体" w:hAnsi="宋体"/>
                <w:szCs w:val="21"/>
              </w:rPr>
              <w:t>18</w:t>
            </w:r>
            <w:r>
              <w:rPr>
                <w:rFonts w:ascii="宋体" w:hAnsi="宋体"/>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5BA75438">
            <w:pPr>
              <w:spacing w:line="360" w:lineRule="auto"/>
              <w:rPr>
                <w:rFonts w:hint="eastAsia" w:ascii="宋体" w:hAnsi="宋体" w:cs="宋体"/>
                <w:szCs w:val="21"/>
              </w:rPr>
            </w:pPr>
            <w:r>
              <w:rPr>
                <w:rFonts w:hint="eastAsia" w:ascii="宋体" w:hAnsi="宋体" w:cs="宋体"/>
                <w:szCs w:val="21"/>
              </w:rPr>
              <w:t xml:space="preserve">□本项目不收取投标保证金。 </w:t>
            </w:r>
          </w:p>
          <w:p w14:paraId="3D56D1C5">
            <w:pPr>
              <w:spacing w:line="360" w:lineRule="auto"/>
              <w:rPr>
                <w:rFonts w:hint="eastAsia" w:ascii="宋体" w:hAnsi="宋体" w:cs="宋体"/>
                <w:szCs w:val="21"/>
              </w:rPr>
            </w:pPr>
            <w:r>
              <w:rPr>
                <w:rFonts w:hint="eastAsia" w:ascii="宋体" w:hAnsi="宋体" w:cs="宋体"/>
                <w:szCs w:val="21"/>
              </w:rPr>
              <w:t xml:space="preserve">☑本项目收取投标保证金，具体规定如下： </w:t>
            </w:r>
          </w:p>
          <w:p w14:paraId="46BA3BD9">
            <w:pPr>
              <w:spacing w:line="380" w:lineRule="exact"/>
              <w:ind w:firstLine="420" w:firstLineChars="200"/>
              <w:rPr>
                <w:rFonts w:hint="eastAsia" w:ascii="宋体" w:hAnsi="宋体" w:cs="宋体"/>
                <w:szCs w:val="21"/>
              </w:rPr>
            </w:pPr>
            <w:r>
              <w:rPr>
                <w:rFonts w:hint="eastAsia" w:ascii="宋体" w:hAnsi="宋体" w:cs="宋体"/>
                <w:szCs w:val="21"/>
              </w:rPr>
              <w:t>投标保证金人民币：62000.00元。</w:t>
            </w:r>
          </w:p>
          <w:p w14:paraId="7196C008">
            <w:pPr>
              <w:spacing w:line="380" w:lineRule="exact"/>
              <w:ind w:firstLine="420" w:firstLineChars="200"/>
              <w:rPr>
                <w:rFonts w:hint="eastAsia" w:ascii="宋体" w:hAnsi="宋体" w:cs="宋体"/>
                <w:szCs w:val="21"/>
              </w:rPr>
            </w:pPr>
            <w:r>
              <w:rPr>
                <w:rFonts w:hint="eastAsia" w:ascii="宋体" w:hAnsi="宋体" w:cs="宋体"/>
                <w:szCs w:val="21"/>
              </w:rPr>
              <w:t>投标保证金的交纳方式：银行转账、支票、汇票、本票或者银行、保险机构出具的保函（包含电子保函），禁止采用现钞方式。采用银行转账方式的，在投标文件提交截止时间前从投标人账户交至指定账户并且到账（开户名称：广西誉采招标咨询有限公司，开户银行：</w:t>
            </w:r>
            <w:r>
              <w:rPr>
                <w:rFonts w:hint="eastAsia"/>
              </w:rPr>
              <w:t>玉林市区农村信用合作联社玉东分社</w:t>
            </w:r>
            <w:r>
              <w:rPr>
                <w:rFonts w:hint="eastAsia" w:ascii="宋体" w:hAnsi="宋体" w:cs="宋体"/>
                <w:szCs w:val="21"/>
              </w:rPr>
              <w:t>，银行账号：506312010108929419）；采用支票、汇票、本票或者保函等方式的，在投标文件提交截止时间前，投标人必须递交单独密封的支票、汇票、本票或者保函原件。</w:t>
            </w:r>
            <w:r>
              <w:rPr>
                <w:rFonts w:hint="eastAsia" w:ascii="宋体" w:hAnsi="宋体" w:cs="宋体"/>
                <w:b/>
                <w:bCs/>
                <w:szCs w:val="21"/>
              </w:rPr>
              <w:t>否则视为无效投标保证金。</w:t>
            </w:r>
            <w:r>
              <w:rPr>
                <w:rFonts w:hint="eastAsia" w:ascii="宋体" w:hAnsi="宋体" w:cs="宋体"/>
                <w:szCs w:val="21"/>
              </w:rPr>
              <w:t xml:space="preserve"> </w:t>
            </w:r>
          </w:p>
          <w:p w14:paraId="3F51E8B2">
            <w:pPr>
              <w:spacing w:line="360" w:lineRule="auto"/>
              <w:rPr>
                <w:rFonts w:hint="eastAsia" w:ascii="宋体" w:hAnsi="宋体" w:cs="宋体"/>
                <w:szCs w:val="21"/>
              </w:rPr>
            </w:pPr>
            <w:r>
              <w:rPr>
                <w:rFonts w:hint="eastAsia" w:ascii="宋体" w:hAnsi="宋体" w:cs="宋体"/>
                <w:szCs w:val="21"/>
              </w:rPr>
              <w:t xml:space="preserve">相关要求： </w:t>
            </w:r>
          </w:p>
          <w:p w14:paraId="4458BCD2">
            <w:pPr>
              <w:spacing w:line="360" w:lineRule="auto"/>
              <w:rPr>
                <w:rFonts w:hint="eastAsia" w:ascii="宋体" w:hAnsi="宋体" w:cs="宋体"/>
                <w:b/>
                <w:bCs/>
                <w:szCs w:val="21"/>
              </w:rPr>
            </w:pPr>
            <w:r>
              <w:rPr>
                <w:rFonts w:hint="eastAsia" w:ascii="宋体" w:hAnsi="宋体" w:cs="宋体"/>
                <w:szCs w:val="21"/>
              </w:rPr>
              <w:t>1.投标保证金采用银行转账交纳方式，在投标文件提交截止时间前交至指定账户并且到账，投标人应将银行转账底单的复印件作为投标保证金提交凭证，放置于商务及技术文件中，</w:t>
            </w:r>
            <w:r>
              <w:rPr>
                <w:rFonts w:hint="eastAsia" w:ascii="宋体" w:hAnsi="宋体" w:cs="宋体"/>
                <w:b/>
                <w:bCs/>
                <w:szCs w:val="21"/>
              </w:rPr>
              <w:t xml:space="preserve">否则投标无效。 </w:t>
            </w:r>
          </w:p>
          <w:p w14:paraId="1B509B0F">
            <w:pPr>
              <w:spacing w:line="360" w:lineRule="auto"/>
              <w:rPr>
                <w:rFonts w:hint="eastAsia" w:ascii="宋体" w:hAnsi="宋体" w:cs="宋体"/>
                <w:szCs w:val="21"/>
              </w:rPr>
            </w:pPr>
            <w:r>
              <w:rPr>
                <w:rFonts w:hint="eastAsia" w:ascii="宋体" w:hAnsi="宋体" w:cs="宋体"/>
                <w:szCs w:val="21"/>
              </w:rPr>
              <w:t xml:space="preserve">2.投标保证金采用支票、汇票、本票或者银行、保险机构出具的保函（包含电子保函）交纳 </w:t>
            </w:r>
          </w:p>
          <w:p w14:paraId="7E594EF6">
            <w:pPr>
              <w:spacing w:line="360" w:lineRule="auto"/>
              <w:rPr>
                <w:rFonts w:hint="eastAsia" w:ascii="宋体" w:hAnsi="宋体" w:cs="宋体"/>
                <w:szCs w:val="21"/>
              </w:rPr>
            </w:pPr>
            <w:r>
              <w:rPr>
                <w:rFonts w:hint="eastAsia" w:ascii="宋体" w:hAnsi="宋体" w:cs="宋体"/>
                <w:szCs w:val="21"/>
              </w:rPr>
              <w:t xml:space="preserve">方式的，投标人应将支票、汇票、本票或者银行、保险机构出具的保函（包含电子保函）的 </w:t>
            </w:r>
          </w:p>
          <w:p w14:paraId="43371C44">
            <w:pPr>
              <w:spacing w:line="360" w:lineRule="auto"/>
              <w:rPr>
                <w:rFonts w:hint="eastAsia" w:ascii="宋体" w:hAnsi="宋体" w:cs="宋体"/>
                <w:szCs w:val="21"/>
              </w:rPr>
            </w:pPr>
            <w:r>
              <w:rPr>
                <w:rFonts w:hint="eastAsia" w:ascii="宋体" w:hAnsi="宋体" w:cs="宋体"/>
                <w:szCs w:val="21"/>
              </w:rPr>
              <w:t>复印件作为投标保证金提交凭证，放置于商务及技术文件中，</w:t>
            </w:r>
            <w:r>
              <w:rPr>
                <w:rFonts w:hint="eastAsia" w:ascii="宋体" w:hAnsi="宋体" w:cs="宋体"/>
                <w:b/>
                <w:bCs/>
                <w:szCs w:val="21"/>
              </w:rPr>
              <w:t>否则投标无效</w:t>
            </w:r>
            <w:r>
              <w:rPr>
                <w:rFonts w:hint="eastAsia" w:ascii="宋体" w:hAnsi="宋体" w:cs="宋体"/>
                <w:szCs w:val="21"/>
              </w:rPr>
              <w:t>。</w:t>
            </w:r>
          </w:p>
          <w:p w14:paraId="344441EF">
            <w:pPr>
              <w:spacing w:line="360" w:lineRule="auto"/>
              <w:rPr>
                <w:rFonts w:hint="eastAsia" w:ascii="宋体" w:hAnsi="宋体" w:cs="宋体"/>
                <w:szCs w:val="21"/>
              </w:rPr>
            </w:pPr>
            <w:r>
              <w:rPr>
                <w:rFonts w:hint="eastAsia" w:ascii="宋体" w:hAnsi="宋体" w:cs="宋体"/>
                <w:szCs w:val="21"/>
              </w:rPr>
              <w:t xml:space="preserve">3.投标人为联合体的，可以由联合体中的一方或者多方共同交纳投标保证金，其交纳的保证 </w:t>
            </w:r>
          </w:p>
          <w:p w14:paraId="39A23083">
            <w:pPr>
              <w:spacing w:line="360" w:lineRule="auto"/>
              <w:rPr>
                <w:rFonts w:hint="eastAsia" w:ascii="宋体" w:hAnsi="宋体" w:cs="宋体"/>
                <w:szCs w:val="21"/>
              </w:rPr>
            </w:pPr>
            <w:r>
              <w:rPr>
                <w:rFonts w:hint="eastAsia" w:ascii="宋体" w:hAnsi="宋体" w:cs="宋体"/>
                <w:szCs w:val="21"/>
              </w:rPr>
              <w:t xml:space="preserve">金对联合体各方均具有约束力。 </w:t>
            </w:r>
          </w:p>
          <w:p w14:paraId="1E2BDE65">
            <w:pPr>
              <w:spacing w:line="360" w:lineRule="auto"/>
              <w:rPr>
                <w:rFonts w:hint="eastAsia" w:ascii="宋体" w:hAnsi="宋体" w:cs="宋体"/>
                <w:b/>
                <w:bCs/>
                <w:szCs w:val="21"/>
              </w:rPr>
            </w:pPr>
            <w:r>
              <w:rPr>
                <w:rFonts w:hint="eastAsia" w:ascii="宋体" w:hAnsi="宋体" w:cs="宋体"/>
                <w:b/>
                <w:bCs/>
                <w:szCs w:val="21"/>
              </w:rPr>
              <w:t xml:space="preserve">备注： </w:t>
            </w:r>
          </w:p>
          <w:p w14:paraId="13FF8323">
            <w:pPr>
              <w:spacing w:line="360" w:lineRule="auto"/>
              <w:rPr>
                <w:rFonts w:hint="eastAsia" w:ascii="宋体" w:hAnsi="宋体" w:cs="宋体"/>
                <w:b/>
                <w:bCs/>
                <w:szCs w:val="21"/>
              </w:rPr>
            </w:pPr>
            <w:r>
              <w:rPr>
                <w:rFonts w:hint="eastAsia" w:ascii="宋体" w:hAnsi="宋体" w:cs="宋体"/>
                <w:b/>
                <w:bCs/>
                <w:szCs w:val="21"/>
              </w:rPr>
              <w:t xml:space="preserve">1. 投标保证金在投标文件提交截止时间后提交的，或者不按规定交纳方式交纳的，或者未足额交纳的（包含保函额度不足的），视为无效投标保证金。 </w:t>
            </w:r>
          </w:p>
          <w:p w14:paraId="4C56A344">
            <w:pPr>
              <w:spacing w:line="360" w:lineRule="auto"/>
              <w:rPr>
                <w:rFonts w:hint="eastAsia" w:ascii="宋体" w:hAnsi="宋体" w:cs="宋体"/>
                <w:b/>
                <w:bCs/>
                <w:szCs w:val="21"/>
              </w:rPr>
            </w:pPr>
            <w:r>
              <w:rPr>
                <w:rFonts w:hint="eastAsia" w:ascii="宋体" w:hAnsi="宋体" w:cs="宋体"/>
                <w:b/>
                <w:bCs/>
                <w:szCs w:val="21"/>
              </w:rPr>
              <w:t xml:space="preserve">2.投标人采用现钞方式或者从个人账户（自然人投标除外）转出的投标保证金，视为无效竞 </w:t>
            </w:r>
          </w:p>
          <w:p w14:paraId="32C24178">
            <w:pPr>
              <w:spacing w:line="360" w:lineRule="auto"/>
              <w:rPr>
                <w:rFonts w:hint="eastAsia" w:ascii="宋体" w:hAnsi="宋体" w:cs="宋体"/>
                <w:b/>
                <w:bCs/>
                <w:szCs w:val="21"/>
              </w:rPr>
            </w:pPr>
            <w:r>
              <w:rPr>
                <w:rFonts w:hint="eastAsia" w:ascii="宋体" w:hAnsi="宋体" w:cs="宋体"/>
                <w:b/>
                <w:bCs/>
                <w:szCs w:val="21"/>
              </w:rPr>
              <w:t xml:space="preserve">标保证金。 </w:t>
            </w:r>
          </w:p>
          <w:p w14:paraId="6156634C">
            <w:pPr>
              <w:spacing w:line="360" w:lineRule="auto"/>
              <w:rPr>
                <w:rFonts w:hint="eastAsia" w:ascii="宋体" w:hAnsi="宋体" w:cs="宋体"/>
                <w:b/>
                <w:bCs/>
                <w:szCs w:val="21"/>
              </w:rPr>
            </w:pPr>
            <w:r>
              <w:rPr>
                <w:rFonts w:hint="eastAsia" w:ascii="宋体" w:hAnsi="宋体" w:cs="宋体"/>
                <w:b/>
                <w:bCs/>
                <w:szCs w:val="21"/>
              </w:rPr>
              <w:t xml:space="preserve">3.支票、汇票或者本票出现无效或者背书情形的，视为无效投标保证金。 </w:t>
            </w:r>
          </w:p>
          <w:p w14:paraId="4A2C381F">
            <w:pPr>
              <w:spacing w:line="360" w:lineRule="auto"/>
              <w:rPr>
                <w:rFonts w:hint="eastAsia" w:ascii="宋体" w:hAnsi="宋体" w:cs="宋体"/>
                <w:b/>
                <w:bCs/>
                <w:szCs w:val="21"/>
              </w:rPr>
            </w:pPr>
            <w:r>
              <w:rPr>
                <w:rFonts w:hint="eastAsia" w:ascii="宋体" w:hAnsi="宋体" w:cs="宋体"/>
                <w:b/>
                <w:bCs/>
                <w:szCs w:val="21"/>
              </w:rPr>
              <w:t xml:space="preserve">4.保函有效期低于投标有效期的，视为无效投标保证金。 </w:t>
            </w:r>
          </w:p>
          <w:p w14:paraId="1D71CB1D">
            <w:pPr>
              <w:autoSpaceDE w:val="0"/>
              <w:autoSpaceDN w:val="0"/>
              <w:snapToGrid w:val="0"/>
              <w:spacing w:line="400" w:lineRule="exact"/>
              <w:textAlignment w:val="bottom"/>
              <w:rPr>
                <w:rFonts w:hint="eastAsia" w:ascii="宋体" w:hAnsi="宋体"/>
                <w:b/>
                <w:szCs w:val="21"/>
              </w:rPr>
            </w:pPr>
            <w:r>
              <w:rPr>
                <w:rFonts w:hint="eastAsia" w:ascii="宋体" w:hAnsi="宋体" w:cs="宋体"/>
                <w:b/>
                <w:bCs/>
                <w:szCs w:val="21"/>
              </w:rPr>
              <w:t xml:space="preserve">5.采用银行、保险机构出具保函的，必须为无条件保函，否则视为无效投标保证金。 </w:t>
            </w:r>
          </w:p>
        </w:tc>
      </w:tr>
      <w:tr w14:paraId="3389C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126873C9">
            <w:pPr>
              <w:spacing w:line="400" w:lineRule="exact"/>
              <w:jc w:val="center"/>
              <w:rPr>
                <w:rFonts w:hint="eastAsia" w:ascii="宋体" w:hAnsi="宋体"/>
                <w:szCs w:val="21"/>
              </w:rPr>
            </w:pPr>
            <w:bookmarkStart w:id="65" w:name="_19.2"/>
            <w:bookmarkEnd w:id="65"/>
            <w:r>
              <w:rPr>
                <w:rFonts w:hint="eastAsia" w:ascii="宋体" w:hAnsi="宋体"/>
                <w:szCs w:val="21"/>
              </w:rPr>
              <w:t>19.2</w:t>
            </w:r>
          </w:p>
        </w:tc>
        <w:tc>
          <w:tcPr>
            <w:tcW w:w="8708" w:type="dxa"/>
            <w:tcBorders>
              <w:top w:val="single" w:color="auto" w:sz="4" w:space="0"/>
              <w:left w:val="single" w:color="auto" w:sz="4" w:space="0"/>
              <w:bottom w:val="single" w:color="auto" w:sz="4" w:space="0"/>
              <w:right w:val="single" w:color="auto" w:sz="4" w:space="0"/>
            </w:tcBorders>
            <w:vAlign w:val="center"/>
          </w:tcPr>
          <w:p w14:paraId="4C2E9EAA">
            <w:pPr>
              <w:autoSpaceDE w:val="0"/>
              <w:autoSpaceDN w:val="0"/>
              <w:snapToGrid w:val="0"/>
              <w:spacing w:line="400" w:lineRule="exact"/>
              <w:textAlignment w:val="bottom"/>
              <w:rPr>
                <w:rFonts w:hint="eastAsia" w:ascii="宋体" w:hAnsi="宋体"/>
                <w:szCs w:val="21"/>
              </w:rPr>
            </w:pPr>
            <w:r>
              <w:rPr>
                <w:rFonts w:hint="eastAsia" w:hAnsi="宋体"/>
                <w:szCs w:val="21"/>
              </w:rPr>
              <w:t>投标文件应按报价文件、资格证明文件、商务文件、技术文件分别编制，</w:t>
            </w:r>
            <w:r>
              <w:rPr>
                <w:rFonts w:hint="eastAsia" w:ascii="宋体" w:hAnsi="宋体" w:cs="宋体"/>
                <w:szCs w:val="21"/>
              </w:rPr>
              <w:t>并按”广西政府采购云平台”的要求编制、加密、上传。</w:t>
            </w:r>
          </w:p>
        </w:tc>
      </w:tr>
      <w:tr w14:paraId="32DBC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47795F0B">
            <w:pPr>
              <w:spacing w:line="400" w:lineRule="exact"/>
              <w:jc w:val="center"/>
              <w:rPr>
                <w:rFonts w:hint="eastAsia" w:ascii="宋体" w:hAnsi="宋体"/>
                <w:szCs w:val="21"/>
              </w:rPr>
            </w:pPr>
            <w:r>
              <w:rPr>
                <w:rFonts w:hint="eastAsia" w:ascii="宋体" w:hAnsi="宋体"/>
                <w:szCs w:val="21"/>
              </w:rPr>
              <w:t>20.1</w:t>
            </w:r>
          </w:p>
        </w:tc>
        <w:tc>
          <w:tcPr>
            <w:tcW w:w="8708" w:type="dxa"/>
            <w:tcBorders>
              <w:top w:val="single" w:color="auto" w:sz="4" w:space="0"/>
              <w:left w:val="single" w:color="auto" w:sz="4" w:space="0"/>
              <w:bottom w:val="single" w:color="auto" w:sz="4" w:space="0"/>
              <w:right w:val="single" w:color="auto" w:sz="4" w:space="0"/>
            </w:tcBorders>
            <w:vAlign w:val="center"/>
          </w:tcPr>
          <w:p w14:paraId="16401113">
            <w:pPr>
              <w:autoSpaceDE w:val="0"/>
              <w:autoSpaceDN w:val="0"/>
              <w:snapToGrid w:val="0"/>
              <w:spacing w:line="400" w:lineRule="exact"/>
              <w:textAlignment w:val="bottom"/>
              <w:rPr>
                <w:rFonts w:hint="eastAsia" w:hAnsi="宋体"/>
                <w:szCs w:val="21"/>
              </w:rPr>
            </w:pPr>
            <w:r>
              <w:rPr>
                <w:rFonts w:hint="eastAsia" w:ascii="宋体" w:hAnsi="宋体"/>
                <w:szCs w:val="21"/>
              </w:rPr>
              <w:t>电子投标文件应在制作完成后，投标人应按广西政府采购云平台的要求进行加密，并在规定时间内解密，否则，由此产生的后果由投标人自行负责。</w:t>
            </w:r>
          </w:p>
        </w:tc>
      </w:tr>
      <w:tr w14:paraId="780D65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right"/>
        </w:trPr>
        <w:tc>
          <w:tcPr>
            <w:tcW w:w="895" w:type="dxa"/>
            <w:tcBorders>
              <w:top w:val="single" w:color="auto" w:sz="4" w:space="0"/>
              <w:left w:val="single" w:color="auto" w:sz="4" w:space="0"/>
              <w:bottom w:val="single" w:color="auto" w:sz="4" w:space="0"/>
              <w:right w:val="single" w:color="auto" w:sz="4" w:space="0"/>
            </w:tcBorders>
            <w:vAlign w:val="center"/>
          </w:tcPr>
          <w:p w14:paraId="341B5C20">
            <w:pPr>
              <w:spacing w:line="400" w:lineRule="exact"/>
              <w:jc w:val="center"/>
              <w:rPr>
                <w:rFonts w:hint="eastAsia" w:ascii="宋体" w:hAnsi="宋体"/>
                <w:szCs w:val="21"/>
              </w:rPr>
            </w:pPr>
            <w:bookmarkStart w:id="66" w:name="_21.1"/>
            <w:bookmarkEnd w:id="66"/>
            <w:r>
              <w:rPr>
                <w:rFonts w:hint="eastAsia" w:ascii="宋体" w:hAnsi="宋体"/>
                <w:szCs w:val="21"/>
              </w:rPr>
              <w:t>21.1</w:t>
            </w:r>
          </w:p>
        </w:tc>
        <w:tc>
          <w:tcPr>
            <w:tcW w:w="8708" w:type="dxa"/>
            <w:tcBorders>
              <w:top w:val="single" w:color="auto" w:sz="4" w:space="0"/>
              <w:left w:val="single" w:color="auto" w:sz="4" w:space="0"/>
              <w:bottom w:val="single" w:color="auto" w:sz="4" w:space="0"/>
              <w:right w:val="single" w:color="auto" w:sz="4" w:space="0"/>
            </w:tcBorders>
            <w:vAlign w:val="center"/>
          </w:tcPr>
          <w:p w14:paraId="18AA004F">
            <w:pPr>
              <w:snapToGrid w:val="0"/>
              <w:spacing w:line="400" w:lineRule="exact"/>
              <w:rPr>
                <w:rFonts w:hint="eastAsia" w:ascii="宋体" w:hAnsi="宋体"/>
                <w:szCs w:val="21"/>
                <w:u w:val="single"/>
              </w:rPr>
            </w:pPr>
            <w:r>
              <w:rPr>
                <w:rFonts w:hint="eastAsia" w:ascii="宋体" w:hAnsi="宋体"/>
                <w:szCs w:val="21"/>
              </w:rPr>
              <w:t>1、投标截止时间：详见招标公告</w:t>
            </w:r>
          </w:p>
          <w:p w14:paraId="4CDA9184">
            <w:pPr>
              <w:snapToGrid w:val="0"/>
              <w:spacing w:line="400" w:lineRule="exact"/>
              <w:rPr>
                <w:rFonts w:hint="eastAsia" w:ascii="宋体" w:hAnsi="宋体"/>
                <w:szCs w:val="21"/>
              </w:rPr>
            </w:pPr>
            <w:r>
              <w:rPr>
                <w:rFonts w:hint="eastAsia" w:ascii="宋体" w:hAnsi="宋体"/>
                <w:szCs w:val="21"/>
              </w:rPr>
              <w:t>2、投标地点：详见招标公告</w:t>
            </w:r>
          </w:p>
        </w:tc>
      </w:tr>
      <w:tr w14:paraId="7E28F3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34F5CC7E">
            <w:pPr>
              <w:spacing w:line="400" w:lineRule="exact"/>
              <w:jc w:val="center"/>
              <w:rPr>
                <w:rFonts w:hint="eastAsia" w:ascii="宋体" w:hAnsi="宋体"/>
                <w:szCs w:val="21"/>
              </w:rPr>
            </w:pPr>
            <w:bookmarkStart w:id="67" w:name="_23"/>
            <w:bookmarkEnd w:id="67"/>
            <w:r>
              <w:rPr>
                <w:rFonts w:hint="eastAsia" w:ascii="宋体" w:hAnsi="宋体"/>
                <w:szCs w:val="21"/>
              </w:rPr>
              <w:t>23</w:t>
            </w:r>
          </w:p>
        </w:tc>
        <w:tc>
          <w:tcPr>
            <w:tcW w:w="8708" w:type="dxa"/>
            <w:tcBorders>
              <w:top w:val="single" w:color="auto" w:sz="4" w:space="0"/>
              <w:left w:val="single" w:color="auto" w:sz="4" w:space="0"/>
              <w:bottom w:val="single" w:color="auto" w:sz="4" w:space="0"/>
              <w:right w:val="single" w:color="auto" w:sz="4" w:space="0"/>
            </w:tcBorders>
            <w:vAlign w:val="center"/>
          </w:tcPr>
          <w:p w14:paraId="54B2CA6D">
            <w:pPr>
              <w:snapToGrid w:val="0"/>
              <w:spacing w:line="400" w:lineRule="exact"/>
              <w:rPr>
                <w:rFonts w:hint="eastAsia" w:ascii="宋体" w:hAnsi="宋体"/>
                <w:szCs w:val="21"/>
              </w:rPr>
            </w:pPr>
            <w:r>
              <w:rPr>
                <w:rFonts w:hint="eastAsia" w:ascii="宋体" w:hAnsi="宋体"/>
                <w:szCs w:val="21"/>
              </w:rPr>
              <w:t>1、开标时间：详见招标公告</w:t>
            </w:r>
          </w:p>
          <w:p w14:paraId="6A0C8A77">
            <w:pPr>
              <w:snapToGrid w:val="0"/>
              <w:spacing w:line="400" w:lineRule="exact"/>
              <w:rPr>
                <w:rFonts w:hint="eastAsia" w:ascii="宋体" w:hAnsi="宋体"/>
                <w:szCs w:val="21"/>
              </w:rPr>
            </w:pPr>
            <w:r>
              <w:rPr>
                <w:rFonts w:hint="eastAsia" w:ascii="宋体" w:hAnsi="宋体"/>
                <w:szCs w:val="21"/>
              </w:rPr>
              <w:t>2、开标地点：详见招标公告</w:t>
            </w:r>
          </w:p>
        </w:tc>
      </w:tr>
      <w:tr w14:paraId="40ACDD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040DF5FC">
            <w:pPr>
              <w:spacing w:line="400" w:lineRule="exact"/>
              <w:jc w:val="center"/>
              <w:rPr>
                <w:rFonts w:hint="eastAsia" w:ascii="宋体" w:hAnsi="宋体"/>
                <w:szCs w:val="21"/>
              </w:rPr>
            </w:pPr>
            <w:r>
              <w:rPr>
                <w:rFonts w:hint="eastAsia" w:ascii="宋体" w:hAnsi="宋体"/>
                <w:bCs/>
                <w:szCs w:val="21"/>
              </w:rPr>
              <w:t>24.2</w:t>
            </w:r>
          </w:p>
        </w:tc>
        <w:tc>
          <w:tcPr>
            <w:tcW w:w="8708" w:type="dxa"/>
            <w:tcBorders>
              <w:top w:val="single" w:color="auto" w:sz="4" w:space="0"/>
              <w:left w:val="single" w:color="auto" w:sz="4" w:space="0"/>
              <w:bottom w:val="single" w:color="auto" w:sz="4" w:space="0"/>
              <w:right w:val="single" w:color="auto" w:sz="4" w:space="0"/>
            </w:tcBorders>
            <w:vAlign w:val="center"/>
          </w:tcPr>
          <w:p w14:paraId="26A26FEF">
            <w:pPr>
              <w:autoSpaceDE w:val="0"/>
              <w:autoSpaceDN w:val="0"/>
              <w:adjustRightInd w:val="0"/>
              <w:spacing w:line="440" w:lineRule="exact"/>
              <w:rPr>
                <w:rFonts w:hint="eastAsia" w:ascii="宋体" w:hAnsi="宋体"/>
                <w:szCs w:val="21"/>
              </w:rPr>
            </w:pPr>
            <w:r>
              <w:rPr>
                <w:rFonts w:hint="eastAsia" w:ascii="宋体" w:hAnsi="宋体"/>
                <w:bCs/>
                <w:szCs w:val="21"/>
              </w:rPr>
              <w:t>“广西政府采购云平台”按开标时间自动提取所有投标文件。采购代理机构依托”广西政府采购云平台”向各投标人发出电子加密投标文件【开始解密】通知，由投标人进行投标文件解密。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szCs w:val="21"/>
              </w:rPr>
              <w:t>投标人的法定代表人或其委托代理人须携带加密时所用的CA锁准时登录到”广西政府采购云平台”电子开标大厅签到</w:t>
            </w:r>
            <w:r>
              <w:rPr>
                <w:rFonts w:hint="eastAsia" w:ascii="宋体" w:hAnsi="宋体" w:cs="宋体"/>
                <w:b/>
                <w:szCs w:val="21"/>
              </w:rPr>
              <w:t>并在发起解密</w:t>
            </w:r>
            <w:r>
              <w:rPr>
                <w:rFonts w:hint="eastAsia" w:ascii="宋体" w:hAnsi="宋体"/>
                <w:b/>
                <w:bCs/>
                <w:szCs w:val="21"/>
              </w:rPr>
              <w:t>通知</w:t>
            </w:r>
            <w:r>
              <w:rPr>
                <w:rFonts w:hint="eastAsia" w:ascii="宋体" w:hAnsi="宋体" w:cs="宋体"/>
                <w:b/>
                <w:szCs w:val="21"/>
              </w:rPr>
              <w:t>之时起30分钟内完成</w:t>
            </w:r>
            <w:r>
              <w:rPr>
                <w:rFonts w:hint="eastAsia" w:ascii="宋体" w:hAnsi="宋体"/>
                <w:b/>
                <w:bCs/>
                <w:szCs w:val="21"/>
              </w:rPr>
              <w:t>对电子投标文件解密。投标文件未按时解密的，视为无效投标。</w:t>
            </w:r>
          </w:p>
        </w:tc>
      </w:tr>
      <w:tr w14:paraId="7C6269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42C68B65">
            <w:pPr>
              <w:spacing w:line="400" w:lineRule="exact"/>
              <w:jc w:val="center"/>
              <w:rPr>
                <w:rFonts w:hint="eastAsia" w:ascii="宋体" w:hAnsi="宋体"/>
                <w:szCs w:val="21"/>
              </w:rPr>
            </w:pPr>
            <w:bookmarkStart w:id="68" w:name="_25.3"/>
            <w:bookmarkEnd w:id="68"/>
            <w:r>
              <w:rPr>
                <w:rFonts w:hint="eastAsia" w:ascii="宋体" w:hAnsi="宋体"/>
                <w:szCs w:val="21"/>
              </w:rPr>
              <w:t>25.3（3）</w:t>
            </w:r>
          </w:p>
        </w:tc>
        <w:tc>
          <w:tcPr>
            <w:tcW w:w="8708" w:type="dxa"/>
            <w:tcBorders>
              <w:top w:val="single" w:color="auto" w:sz="4" w:space="0"/>
              <w:left w:val="single" w:color="auto" w:sz="4" w:space="0"/>
              <w:bottom w:val="single" w:color="auto" w:sz="4" w:space="0"/>
              <w:right w:val="single" w:color="auto" w:sz="4" w:space="0"/>
            </w:tcBorders>
            <w:vAlign w:val="center"/>
          </w:tcPr>
          <w:p w14:paraId="55DE6DD1">
            <w:pPr>
              <w:snapToGrid w:val="0"/>
              <w:spacing w:line="400" w:lineRule="exact"/>
              <w:rPr>
                <w:rFonts w:hint="eastAsia" w:ascii="宋体" w:hAnsi="宋体"/>
                <w:szCs w:val="21"/>
              </w:rPr>
            </w:pPr>
            <w:r>
              <w:rPr>
                <w:rFonts w:hint="eastAsia" w:ascii="宋体" w:hAnsi="宋体"/>
                <w:szCs w:val="21"/>
              </w:rPr>
              <w:t>采购人或者采购代理机构在资格审查结束前，对投标人进行信用查询。</w:t>
            </w:r>
          </w:p>
          <w:p w14:paraId="5127D9BE">
            <w:pPr>
              <w:snapToGrid w:val="0"/>
              <w:spacing w:line="400" w:lineRule="exact"/>
              <w:rPr>
                <w:rFonts w:hint="eastAsia" w:ascii="宋体" w:hAnsi="宋体"/>
                <w:szCs w:val="21"/>
              </w:rPr>
            </w:pPr>
            <w:r>
              <w:rPr>
                <w:rFonts w:hint="eastAsia" w:ascii="宋体" w:hAnsi="宋体"/>
                <w:szCs w:val="21"/>
              </w:rPr>
              <w:t>查询渠道：</w:t>
            </w:r>
            <w:r>
              <w:rPr>
                <w:rFonts w:ascii="宋体" w:hAnsi="宋体"/>
                <w:szCs w:val="21"/>
              </w:rPr>
              <w:t>“信用中国”网站（www.creditchina.gov.cn）、中国政府采购网（</w:t>
            </w:r>
            <w:r>
              <w:fldChar w:fldCharType="begin"/>
            </w:r>
            <w:r>
              <w:instrText xml:space="preserve"> HYPERLINK "http://www.ccgp.gov.cn" </w:instrText>
            </w:r>
            <w:r>
              <w:fldChar w:fldCharType="separate"/>
            </w:r>
            <w:r>
              <w:rPr>
                <w:rStyle w:val="30"/>
                <w:rFonts w:ascii="宋体" w:hAnsi="宋体"/>
                <w:color w:val="auto"/>
                <w:szCs w:val="21"/>
              </w:rPr>
              <w:t>www.ccgp.gov.cn</w:t>
            </w:r>
            <w:r>
              <w:rPr>
                <w:rStyle w:val="30"/>
                <w:rFonts w:ascii="宋体" w:hAnsi="宋体"/>
                <w:color w:val="auto"/>
                <w:szCs w:val="21"/>
              </w:rPr>
              <w:fldChar w:fldCharType="end"/>
            </w:r>
            <w:r>
              <w:rPr>
                <w:rFonts w:ascii="宋体" w:hAnsi="宋体"/>
                <w:szCs w:val="21"/>
              </w:rPr>
              <w:t>）</w:t>
            </w:r>
            <w:r>
              <w:rPr>
                <w:rFonts w:hint="eastAsia" w:ascii="宋体" w:hAnsi="宋体"/>
                <w:szCs w:val="21"/>
              </w:rPr>
              <w:t>。</w:t>
            </w:r>
          </w:p>
          <w:p w14:paraId="00D940AB">
            <w:pPr>
              <w:snapToGrid w:val="0"/>
              <w:spacing w:line="400" w:lineRule="exact"/>
              <w:rPr>
                <w:rFonts w:hint="eastAsia" w:ascii="宋体" w:hAnsi="宋体"/>
                <w:szCs w:val="21"/>
              </w:rPr>
            </w:pPr>
            <w:r>
              <w:rPr>
                <w:rFonts w:hint="eastAsia" w:ascii="宋体" w:hAnsi="宋体"/>
                <w:szCs w:val="21"/>
              </w:rPr>
              <w:t>信用查询截止时点：</w:t>
            </w:r>
            <w:r>
              <w:rPr>
                <w:rFonts w:ascii="宋体" w:hAnsi="宋体" w:cs="宋体"/>
                <w:szCs w:val="21"/>
              </w:rPr>
              <w:t>资格审查结束前</w:t>
            </w:r>
            <w:r>
              <w:rPr>
                <w:rFonts w:hint="eastAsia" w:ascii="宋体" w:hAnsi="宋体" w:cs="宋体"/>
                <w:szCs w:val="21"/>
              </w:rPr>
              <w:t>。</w:t>
            </w:r>
          </w:p>
          <w:p w14:paraId="29929027">
            <w:pPr>
              <w:snapToGrid w:val="0"/>
              <w:spacing w:line="400" w:lineRule="exact"/>
              <w:rPr>
                <w:rFonts w:hint="eastAsia" w:ascii="宋体" w:hAnsi="宋体"/>
                <w:szCs w:val="21"/>
              </w:rPr>
            </w:pPr>
            <w:r>
              <w:rPr>
                <w:rFonts w:hint="eastAsia" w:ascii="宋体" w:hAnsi="宋体"/>
                <w:szCs w:val="21"/>
              </w:rPr>
              <w:t>查询记录和证据留存方式：</w:t>
            </w:r>
            <w:r>
              <w:rPr>
                <w:rFonts w:hint="eastAsia" w:ascii="宋体" w:hAnsi="宋体" w:cs="宋体"/>
                <w:szCs w:val="21"/>
              </w:rPr>
              <w:t>将查询网站中的查询记录截图并作为评审资料保存。</w:t>
            </w:r>
          </w:p>
          <w:p w14:paraId="76B0EC33">
            <w:pPr>
              <w:snapToGrid w:val="0"/>
              <w:spacing w:line="400" w:lineRule="exact"/>
              <w:rPr>
                <w:rFonts w:hint="eastAsia" w:ascii="宋体" w:hAnsi="宋体"/>
                <w:b/>
                <w:szCs w:val="21"/>
              </w:rPr>
            </w:pPr>
            <w:r>
              <w:rPr>
                <w:rFonts w:hint="eastAsia" w:ascii="宋体" w:hAnsi="宋体"/>
                <w:szCs w:val="21"/>
              </w:rPr>
              <w:t>信用信息使用规则：根据财政部《关于在政府采购活动中查询及使用信用记录有关问题的通知》（财库〔2016〕125号）的规定，</w:t>
            </w: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06BF85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66777885">
            <w:pPr>
              <w:spacing w:line="400" w:lineRule="exact"/>
              <w:jc w:val="center"/>
              <w:rPr>
                <w:rFonts w:hint="eastAsia" w:ascii="宋体" w:hAnsi="宋体"/>
                <w:szCs w:val="21"/>
              </w:rPr>
            </w:pPr>
            <w:bookmarkStart w:id="69" w:name="_26"/>
            <w:bookmarkEnd w:id="69"/>
            <w:r>
              <w:rPr>
                <w:rFonts w:hint="eastAsia" w:ascii="宋体" w:hAnsi="宋体"/>
                <w:szCs w:val="21"/>
              </w:rPr>
              <w:t>26</w:t>
            </w:r>
          </w:p>
        </w:tc>
        <w:tc>
          <w:tcPr>
            <w:tcW w:w="8708" w:type="dxa"/>
            <w:tcBorders>
              <w:top w:val="single" w:color="auto" w:sz="4" w:space="0"/>
              <w:left w:val="single" w:color="auto" w:sz="4" w:space="0"/>
              <w:bottom w:val="single" w:color="auto" w:sz="4" w:space="0"/>
              <w:right w:val="single" w:color="auto" w:sz="4" w:space="0"/>
            </w:tcBorders>
            <w:vAlign w:val="center"/>
          </w:tcPr>
          <w:p w14:paraId="105778BC">
            <w:pPr>
              <w:autoSpaceDE w:val="0"/>
              <w:autoSpaceDN w:val="0"/>
              <w:snapToGrid w:val="0"/>
              <w:spacing w:line="400" w:lineRule="exact"/>
              <w:textAlignment w:val="bottom"/>
              <w:rPr>
                <w:rFonts w:hint="eastAsia" w:ascii="宋体" w:hAnsi="宋体"/>
                <w:szCs w:val="21"/>
              </w:rPr>
            </w:pPr>
            <w:r>
              <w:rPr>
                <w:rFonts w:hint="eastAsia" w:ascii="宋体" w:hAnsi="宋体"/>
                <w:szCs w:val="21"/>
              </w:rPr>
              <w:t>评标委员会的人数：5人</w:t>
            </w:r>
            <w:r>
              <w:rPr>
                <w:rFonts w:hint="eastAsia" w:hAnsi="宋体"/>
                <w:szCs w:val="21"/>
              </w:rPr>
              <w:t>。</w:t>
            </w:r>
          </w:p>
        </w:tc>
      </w:tr>
      <w:tr w14:paraId="766DD8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7C7C406A">
            <w:pPr>
              <w:spacing w:line="400" w:lineRule="exact"/>
              <w:jc w:val="center"/>
              <w:rPr>
                <w:rFonts w:hint="eastAsia" w:ascii="宋体" w:hAnsi="宋体"/>
                <w:szCs w:val="21"/>
              </w:rPr>
            </w:pPr>
            <w:bookmarkStart w:id="70" w:name="_28.3"/>
            <w:bookmarkEnd w:id="70"/>
            <w:r>
              <w:rPr>
                <w:rFonts w:ascii="宋体" w:hAnsi="宋体"/>
                <w:szCs w:val="21"/>
              </w:rPr>
              <w:t>29.1</w:t>
            </w:r>
          </w:p>
        </w:tc>
        <w:tc>
          <w:tcPr>
            <w:tcW w:w="8708" w:type="dxa"/>
            <w:tcBorders>
              <w:top w:val="single" w:color="auto" w:sz="4" w:space="0"/>
              <w:left w:val="single" w:color="auto" w:sz="4" w:space="0"/>
              <w:bottom w:val="single" w:color="auto" w:sz="4" w:space="0"/>
              <w:right w:val="single" w:color="auto" w:sz="4" w:space="0"/>
            </w:tcBorders>
            <w:vAlign w:val="center"/>
          </w:tcPr>
          <w:p w14:paraId="45C01EE4">
            <w:pPr>
              <w:autoSpaceDE w:val="0"/>
              <w:autoSpaceDN w:val="0"/>
              <w:snapToGrid w:val="0"/>
              <w:spacing w:line="400" w:lineRule="exact"/>
              <w:textAlignment w:val="bottom"/>
              <w:rPr>
                <w:rFonts w:hint="eastAsia" w:ascii="宋体" w:hAnsi="宋体"/>
                <w:szCs w:val="21"/>
              </w:rPr>
            </w:pPr>
            <w:r>
              <w:rPr>
                <w:rFonts w:hint="eastAsia" w:ascii="宋体" w:hAnsi="宋体"/>
                <w:szCs w:val="21"/>
              </w:rPr>
              <w:t>评标方法：综合评分法</w:t>
            </w:r>
          </w:p>
        </w:tc>
      </w:tr>
      <w:tr w14:paraId="479E1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right"/>
        </w:trPr>
        <w:tc>
          <w:tcPr>
            <w:tcW w:w="895" w:type="dxa"/>
            <w:vMerge w:val="restart"/>
            <w:tcBorders>
              <w:top w:val="single" w:color="auto" w:sz="4" w:space="0"/>
              <w:left w:val="single" w:color="auto" w:sz="4" w:space="0"/>
              <w:right w:val="single" w:color="auto" w:sz="4" w:space="0"/>
            </w:tcBorders>
            <w:vAlign w:val="center"/>
          </w:tcPr>
          <w:p w14:paraId="6F131359">
            <w:pPr>
              <w:spacing w:line="400" w:lineRule="exact"/>
              <w:jc w:val="center"/>
              <w:rPr>
                <w:rFonts w:hint="eastAsia" w:ascii="宋体" w:hAnsi="宋体"/>
                <w:color w:val="auto"/>
                <w:szCs w:val="21"/>
              </w:rPr>
            </w:pPr>
            <w:bookmarkStart w:id="71" w:name="_29.2.2（2）"/>
            <w:bookmarkEnd w:id="71"/>
            <w:r>
              <w:rPr>
                <w:rFonts w:hint="eastAsia" w:ascii="宋体" w:hAnsi="宋体"/>
                <w:color w:val="auto"/>
                <w:szCs w:val="21"/>
              </w:rPr>
              <w:t>29</w:t>
            </w:r>
            <w:r>
              <w:rPr>
                <w:rFonts w:ascii="宋体" w:hAnsi="宋体"/>
                <w:color w:val="auto"/>
                <w:szCs w:val="21"/>
              </w:rPr>
              <w:t>.2</w:t>
            </w:r>
          </w:p>
        </w:tc>
        <w:tc>
          <w:tcPr>
            <w:tcW w:w="8708" w:type="dxa"/>
            <w:tcBorders>
              <w:top w:val="single" w:color="auto" w:sz="4" w:space="0"/>
              <w:left w:val="single" w:color="auto" w:sz="4" w:space="0"/>
              <w:right w:val="single" w:color="auto" w:sz="4" w:space="0"/>
            </w:tcBorders>
            <w:vAlign w:val="center"/>
          </w:tcPr>
          <w:p w14:paraId="49DA1EF7">
            <w:pPr>
              <w:snapToGrid w:val="0"/>
              <w:spacing w:line="400" w:lineRule="exact"/>
              <w:rPr>
                <w:rFonts w:hint="eastAsia" w:ascii="宋体" w:hAnsi="宋体"/>
                <w:color w:val="auto"/>
                <w:szCs w:val="21"/>
              </w:rPr>
            </w:pPr>
            <w:r>
              <w:rPr>
                <w:rFonts w:hint="eastAsia" w:ascii="宋体" w:hAnsi="宋体" w:cs="宋体"/>
                <w:color w:val="auto"/>
                <w:szCs w:val="21"/>
              </w:rPr>
              <w:t>商务要求</w:t>
            </w:r>
            <w:r>
              <w:rPr>
                <w:rFonts w:hint="eastAsia" w:ascii="宋体" w:hAnsi="宋体"/>
                <w:color w:val="auto"/>
                <w:szCs w:val="21"/>
              </w:rPr>
              <w:t>评审中允许负偏离的条款数为</w:t>
            </w:r>
            <w:r>
              <w:rPr>
                <w:rFonts w:hint="eastAsia" w:ascii="宋体" w:hAnsi="宋体"/>
                <w:color w:val="auto"/>
                <w:szCs w:val="21"/>
              </w:rPr>
              <w:fldChar w:fldCharType="begin"/>
            </w:r>
            <w:r>
              <w:rPr>
                <w:rFonts w:hint="eastAsia" w:ascii="宋体" w:hAnsi="宋体"/>
                <w:color w:val="auto"/>
                <w:szCs w:val="21"/>
              </w:rPr>
              <w:instrText xml:space="preserve"> eq \o\ac(</w:instrText>
            </w:r>
            <w:r>
              <w:rPr>
                <w:rFonts w:hint="eastAsia" w:ascii="宋体" w:hAnsi="宋体"/>
                <w:color w:val="auto"/>
                <w:position w:val="-4"/>
                <w:sz w:val="31"/>
                <w:szCs w:val="21"/>
              </w:rPr>
              <w:instrText xml:space="preserve">□,</w:instrText>
            </w:r>
            <w:r>
              <w:rPr>
                <w:rFonts w:hint="eastAsia" w:ascii="宋体" w:hAnsi="宋体"/>
                <w:color w:val="auto"/>
                <w:szCs w:val="21"/>
              </w:rPr>
              <w:instrText xml:space="preserve">√)</w:instrText>
            </w:r>
            <w:r>
              <w:rPr>
                <w:rFonts w:hint="eastAsia" w:ascii="宋体" w:hAnsi="宋体"/>
                <w:color w:val="auto"/>
                <w:szCs w:val="21"/>
              </w:rPr>
              <w:fldChar w:fldCharType="end"/>
            </w:r>
            <w:r>
              <w:rPr>
                <w:rFonts w:hint="eastAsia" w:ascii="宋体" w:hAnsi="宋体"/>
                <w:color w:val="auto"/>
                <w:szCs w:val="21"/>
                <w:u w:val="single"/>
              </w:rPr>
              <w:t xml:space="preserve"> 0  </w:t>
            </w:r>
            <w:r>
              <w:rPr>
                <w:rFonts w:hint="eastAsia" w:ascii="宋体" w:hAnsi="宋体"/>
                <w:color w:val="auto"/>
                <w:szCs w:val="21"/>
              </w:rPr>
              <w:t xml:space="preserve">项 </w:t>
            </w:r>
            <w:r>
              <w:rPr>
                <w:rFonts w:hint="eastAsia" w:ascii="宋体" w:hAnsi="宋体"/>
                <w:color w:val="auto"/>
                <w:szCs w:val="21"/>
              </w:rPr>
              <w:fldChar w:fldCharType="begin"/>
            </w:r>
            <w:r>
              <w:rPr>
                <w:rFonts w:hint="eastAsia" w:ascii="宋体" w:hAnsi="宋体"/>
                <w:color w:val="auto"/>
                <w:szCs w:val="21"/>
              </w:rPr>
              <w:instrText xml:space="preserve"> eq \o\ac(</w:instrText>
            </w:r>
            <w:r>
              <w:rPr>
                <w:rFonts w:hint="eastAsia" w:ascii="宋体" w:hAnsi="宋体"/>
                <w:color w:val="auto"/>
                <w:position w:val="-4"/>
                <w:sz w:val="31"/>
                <w:szCs w:val="21"/>
              </w:rPr>
              <w:instrText xml:space="preserve">□</w:instrText>
            </w:r>
            <w:r>
              <w:rPr>
                <w:rFonts w:hint="eastAsia" w:ascii="宋体" w:hAnsi="宋体"/>
                <w:color w:val="auto"/>
                <w:szCs w:val="21"/>
              </w:rPr>
              <w:instrText xml:space="preserve">)</w:instrText>
            </w:r>
            <w:r>
              <w:rPr>
                <w:rFonts w:hint="eastAsia" w:ascii="宋体" w:hAnsi="宋体"/>
                <w:color w:val="auto"/>
                <w:szCs w:val="21"/>
              </w:rPr>
              <w:fldChar w:fldCharType="end"/>
            </w:r>
            <w:r>
              <w:rPr>
                <w:rFonts w:hint="eastAsia" w:ascii="宋体" w:hAnsi="宋体"/>
                <w:color w:val="auto"/>
                <w:szCs w:val="21"/>
              </w:rPr>
              <w:t>无限制（勾选）</w:t>
            </w:r>
          </w:p>
          <w:p w14:paraId="4FE2B748">
            <w:pPr>
              <w:snapToGrid w:val="0"/>
              <w:spacing w:line="400" w:lineRule="exact"/>
              <w:rPr>
                <w:rFonts w:hint="eastAsia" w:ascii="宋体" w:hAnsi="宋体"/>
                <w:color w:val="auto"/>
                <w:szCs w:val="21"/>
              </w:rPr>
            </w:pPr>
            <w:r>
              <w:rPr>
                <w:rFonts w:hint="eastAsia" w:ascii="宋体" w:hAnsi="宋体"/>
                <w:color w:val="auto"/>
                <w:szCs w:val="21"/>
              </w:rPr>
              <w:t>技术要求评审中允许负偏离的条款数为</w:t>
            </w:r>
            <w:r>
              <w:rPr>
                <w:rFonts w:hint="eastAsia" w:ascii="宋体" w:hAnsi="宋体"/>
                <w:color w:val="auto"/>
                <w:szCs w:val="21"/>
              </w:rPr>
              <w:fldChar w:fldCharType="begin"/>
            </w:r>
            <w:r>
              <w:rPr>
                <w:rFonts w:hint="eastAsia" w:ascii="宋体" w:hAnsi="宋体"/>
                <w:color w:val="auto"/>
                <w:szCs w:val="21"/>
              </w:rPr>
              <w:instrText xml:space="preserve"> eq \o\ac(</w:instrText>
            </w:r>
            <w:r>
              <w:rPr>
                <w:rFonts w:hint="eastAsia" w:ascii="宋体" w:hAnsi="宋体"/>
                <w:color w:val="auto"/>
                <w:position w:val="-4"/>
                <w:sz w:val="31"/>
                <w:szCs w:val="21"/>
              </w:rPr>
              <w:instrText xml:space="preserve">□</w:instrText>
            </w:r>
            <w:r>
              <w:rPr>
                <w:rFonts w:hint="eastAsia" w:ascii="宋体" w:hAnsi="宋体"/>
                <w:color w:val="auto"/>
                <w:szCs w:val="21"/>
              </w:rPr>
              <w:instrText xml:space="preserve">)</w:instrText>
            </w:r>
            <w:r>
              <w:rPr>
                <w:rFonts w:hint="eastAsia" w:ascii="宋体" w:hAnsi="宋体"/>
                <w:color w:val="auto"/>
                <w:szCs w:val="21"/>
              </w:rPr>
              <w:fldChar w:fldCharType="end"/>
            </w:r>
            <w:r>
              <w:rPr>
                <w:rFonts w:hint="eastAsia" w:ascii="宋体" w:hAnsi="宋体"/>
                <w:color w:val="auto"/>
                <w:szCs w:val="21"/>
                <w:u w:val="single"/>
              </w:rPr>
              <w:t xml:space="preserve"> 0  </w:t>
            </w:r>
            <w:r>
              <w:rPr>
                <w:rFonts w:hint="eastAsia" w:ascii="宋体" w:hAnsi="宋体"/>
                <w:color w:val="auto"/>
                <w:szCs w:val="21"/>
              </w:rPr>
              <w:t xml:space="preserve">项 </w:t>
            </w:r>
            <w:r>
              <w:rPr>
                <w:rFonts w:hint="eastAsia" w:ascii="宋体" w:hAnsi="宋体"/>
                <w:color w:val="auto"/>
                <w:szCs w:val="21"/>
              </w:rPr>
              <w:fldChar w:fldCharType="begin"/>
            </w:r>
            <w:r>
              <w:rPr>
                <w:rFonts w:hint="eastAsia" w:ascii="宋体" w:hAnsi="宋体"/>
                <w:color w:val="auto"/>
                <w:szCs w:val="21"/>
              </w:rPr>
              <w:instrText xml:space="preserve"> eq \o\ac(</w:instrText>
            </w:r>
            <w:r>
              <w:rPr>
                <w:rFonts w:hint="eastAsia" w:ascii="宋体" w:hAnsi="宋体"/>
                <w:color w:val="auto"/>
                <w:position w:val="-4"/>
                <w:sz w:val="31"/>
                <w:szCs w:val="21"/>
              </w:rPr>
              <w:instrText xml:space="preserve">□,</w:instrText>
            </w:r>
            <w:r>
              <w:rPr>
                <w:rFonts w:hint="eastAsia" w:ascii="宋体" w:hAnsi="宋体"/>
                <w:color w:val="auto"/>
                <w:szCs w:val="21"/>
              </w:rPr>
              <w:instrText xml:space="preserve">√)</w:instrText>
            </w:r>
            <w:r>
              <w:rPr>
                <w:rFonts w:hint="eastAsia" w:ascii="宋体" w:hAnsi="宋体"/>
                <w:color w:val="auto"/>
                <w:szCs w:val="21"/>
              </w:rPr>
              <w:fldChar w:fldCharType="end"/>
            </w:r>
            <w:r>
              <w:rPr>
                <w:rFonts w:hint="eastAsia" w:ascii="宋体" w:hAnsi="宋体"/>
                <w:color w:val="auto"/>
                <w:szCs w:val="21"/>
              </w:rPr>
              <w:t>无限制（勾选）</w:t>
            </w:r>
          </w:p>
        </w:tc>
      </w:tr>
      <w:tr w14:paraId="415BB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right"/>
        </w:trPr>
        <w:tc>
          <w:tcPr>
            <w:tcW w:w="895" w:type="dxa"/>
            <w:vMerge w:val="continue"/>
            <w:tcBorders>
              <w:left w:val="single" w:color="auto" w:sz="4" w:space="0"/>
              <w:right w:val="single" w:color="auto" w:sz="4" w:space="0"/>
            </w:tcBorders>
            <w:vAlign w:val="center"/>
          </w:tcPr>
          <w:p w14:paraId="18150E71">
            <w:pPr>
              <w:spacing w:line="400" w:lineRule="exact"/>
              <w:jc w:val="center"/>
              <w:rPr>
                <w:rFonts w:hint="eastAsia" w:ascii="宋体" w:hAnsi="宋体"/>
                <w:szCs w:val="21"/>
              </w:rPr>
            </w:pPr>
          </w:p>
        </w:tc>
        <w:tc>
          <w:tcPr>
            <w:tcW w:w="8708" w:type="dxa"/>
            <w:tcBorders>
              <w:top w:val="single" w:color="auto" w:sz="4" w:space="0"/>
              <w:left w:val="single" w:color="auto" w:sz="4" w:space="0"/>
              <w:right w:val="single" w:color="auto" w:sz="4" w:space="0"/>
            </w:tcBorders>
            <w:vAlign w:val="center"/>
          </w:tcPr>
          <w:p w14:paraId="7AD7BC32">
            <w:pPr>
              <w:snapToGrid w:val="0"/>
              <w:spacing w:line="400" w:lineRule="exact"/>
              <w:rPr>
                <w:rFonts w:hint="eastAsia" w:ascii="宋体" w:hAnsi="宋体" w:cs="宋体"/>
                <w:szCs w:val="21"/>
                <w:u w:val="single"/>
              </w:rPr>
            </w:pPr>
            <w:r>
              <w:rPr>
                <w:rFonts w:hAnsi="宋体"/>
                <w:szCs w:val="21"/>
              </w:rPr>
              <w:t>中标候选人推荐数量</w:t>
            </w:r>
            <w:r>
              <w:rPr>
                <w:rFonts w:hint="eastAsia" w:hAnsi="宋体"/>
                <w:szCs w:val="21"/>
              </w:rPr>
              <w:t>：3家</w:t>
            </w:r>
          </w:p>
        </w:tc>
      </w:tr>
      <w:tr w14:paraId="651FE9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77A35E96">
            <w:pPr>
              <w:spacing w:line="400" w:lineRule="exact"/>
              <w:jc w:val="center"/>
              <w:rPr>
                <w:rFonts w:hint="eastAsia" w:ascii="宋体" w:hAnsi="宋体"/>
                <w:szCs w:val="21"/>
              </w:rPr>
            </w:pPr>
            <w:r>
              <w:rPr>
                <w:rFonts w:hint="eastAsia" w:ascii="宋体" w:hAnsi="宋体"/>
                <w:szCs w:val="21"/>
              </w:rPr>
              <w:t>30</w:t>
            </w:r>
            <w:r>
              <w:rPr>
                <w:rFonts w:ascii="宋体" w:hAnsi="宋体"/>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5170880B">
            <w:pPr>
              <w:autoSpaceDE w:val="0"/>
              <w:autoSpaceDN w:val="0"/>
              <w:snapToGrid w:val="0"/>
              <w:spacing w:line="400" w:lineRule="exact"/>
              <w:textAlignment w:val="bottom"/>
              <w:rPr>
                <w:rFonts w:hint="eastAsia" w:ascii="宋体" w:hAnsi="宋体"/>
                <w:szCs w:val="21"/>
              </w:rPr>
            </w:pPr>
            <w:r>
              <w:rPr>
                <w:rFonts w:hint="eastAsia" w:ascii="宋体" w:hAnsi="宋体"/>
                <w:szCs w:val="21"/>
              </w:rPr>
              <w:t>采用综合评分法的采购项目，采购人确定中标人时，出现中标候选人并列的情形，采购人按以下的方式确定中标人：按综合评分中以投标报价由低到高顺序排列、货物性能、售后服务、履约能力、政策功能得分高低依次确定。</w:t>
            </w:r>
          </w:p>
        </w:tc>
      </w:tr>
      <w:tr w14:paraId="0F12F6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right"/>
        </w:trPr>
        <w:tc>
          <w:tcPr>
            <w:tcW w:w="895" w:type="dxa"/>
            <w:tcBorders>
              <w:top w:val="single" w:color="auto" w:sz="4" w:space="0"/>
              <w:left w:val="single" w:color="auto" w:sz="4" w:space="0"/>
              <w:bottom w:val="single" w:color="auto" w:sz="4" w:space="0"/>
              <w:right w:val="single" w:color="auto" w:sz="4" w:space="0"/>
            </w:tcBorders>
            <w:vAlign w:val="center"/>
          </w:tcPr>
          <w:p w14:paraId="143BCC59">
            <w:pPr>
              <w:spacing w:line="400" w:lineRule="exact"/>
              <w:jc w:val="center"/>
              <w:rPr>
                <w:rFonts w:hint="eastAsia" w:ascii="宋体" w:hAnsi="宋体"/>
                <w:szCs w:val="21"/>
              </w:rPr>
            </w:pPr>
            <w:bookmarkStart w:id="72" w:name="_39.1"/>
            <w:bookmarkEnd w:id="72"/>
            <w:r>
              <w:rPr>
                <w:rFonts w:hint="eastAsia" w:ascii="宋体" w:hAnsi="宋体"/>
                <w:szCs w:val="21"/>
              </w:rPr>
              <w:t>35</w:t>
            </w:r>
            <w:r>
              <w:rPr>
                <w:rFonts w:ascii="宋体" w:hAnsi="宋体"/>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551B3026">
            <w:pPr>
              <w:autoSpaceDE w:val="0"/>
              <w:autoSpaceDN w:val="0"/>
              <w:snapToGrid w:val="0"/>
              <w:spacing w:line="400" w:lineRule="exact"/>
              <w:textAlignment w:val="bottom"/>
              <w:rPr>
                <w:rFonts w:hint="eastAsia" w:ascii="宋体" w:hAnsi="宋体" w:cs="宋体"/>
                <w:kern w:val="0"/>
                <w:szCs w:val="21"/>
              </w:rPr>
            </w:pPr>
            <w:r>
              <w:rPr>
                <w:rFonts w:hint="eastAsia" w:ascii="宋体" w:hAnsi="宋体"/>
                <w:szCs w:val="21"/>
              </w:rPr>
              <w:t>本项目不收取履约保证金。</w:t>
            </w:r>
          </w:p>
        </w:tc>
      </w:tr>
      <w:tr w14:paraId="7BEC7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65752450">
            <w:pPr>
              <w:spacing w:line="400" w:lineRule="exact"/>
              <w:jc w:val="center"/>
              <w:rPr>
                <w:rFonts w:hint="eastAsia" w:ascii="宋体" w:hAnsi="宋体"/>
                <w:szCs w:val="21"/>
              </w:rPr>
            </w:pPr>
            <w:bookmarkStart w:id="73" w:name="_40.1"/>
            <w:bookmarkEnd w:id="73"/>
            <w:r>
              <w:rPr>
                <w:rFonts w:hint="eastAsia" w:ascii="宋体" w:hAnsi="宋体"/>
                <w:szCs w:val="21"/>
              </w:rPr>
              <w:t>36.1</w:t>
            </w:r>
          </w:p>
        </w:tc>
        <w:tc>
          <w:tcPr>
            <w:tcW w:w="8708" w:type="dxa"/>
            <w:tcBorders>
              <w:top w:val="single" w:color="auto" w:sz="4" w:space="0"/>
              <w:left w:val="single" w:color="auto" w:sz="4" w:space="0"/>
              <w:bottom w:val="single" w:color="auto" w:sz="4" w:space="0"/>
              <w:right w:val="single" w:color="auto" w:sz="4" w:space="0"/>
            </w:tcBorders>
            <w:vAlign w:val="center"/>
          </w:tcPr>
          <w:p w14:paraId="59FEECA0">
            <w:pPr>
              <w:autoSpaceDE w:val="0"/>
              <w:autoSpaceDN w:val="0"/>
              <w:snapToGrid w:val="0"/>
              <w:spacing w:line="400" w:lineRule="exact"/>
              <w:textAlignment w:val="bottom"/>
              <w:rPr>
                <w:rFonts w:hint="eastAsia" w:ascii="宋体" w:hAnsi="宋体"/>
                <w:szCs w:val="21"/>
              </w:rPr>
            </w:pPr>
            <w:r>
              <w:rPr>
                <w:rFonts w:hint="eastAsia" w:ascii="宋体" w:hAnsi="宋体"/>
                <w:szCs w:val="21"/>
              </w:rPr>
              <w:t xml:space="preserve">签订合同携带的证明材料： </w:t>
            </w:r>
          </w:p>
          <w:p w14:paraId="23C88E9E">
            <w:pPr>
              <w:autoSpaceDE w:val="0"/>
              <w:autoSpaceDN w:val="0"/>
              <w:snapToGrid w:val="0"/>
              <w:spacing w:line="400" w:lineRule="exact"/>
              <w:textAlignment w:val="bottom"/>
              <w:rPr>
                <w:rFonts w:hint="eastAsia" w:ascii="宋体" w:hAnsi="宋体"/>
                <w:szCs w:val="21"/>
              </w:rPr>
            </w:pPr>
            <w:r>
              <w:rPr>
                <w:rFonts w:hint="eastAsia" w:ascii="宋体" w:hAnsi="宋体"/>
                <w:szCs w:val="21"/>
              </w:rPr>
              <w:t>1、委托代理人负责签订合同的，须携带授权委托书及委托代理人身份证原件等其他资格证件。</w:t>
            </w:r>
          </w:p>
          <w:p w14:paraId="60140ABB">
            <w:pPr>
              <w:autoSpaceDE w:val="0"/>
              <w:autoSpaceDN w:val="0"/>
              <w:snapToGrid w:val="0"/>
              <w:spacing w:line="400" w:lineRule="exact"/>
              <w:textAlignment w:val="bottom"/>
              <w:rPr>
                <w:rFonts w:hint="eastAsia" w:ascii="宋体" w:hAnsi="宋体"/>
                <w:szCs w:val="21"/>
              </w:rPr>
            </w:pPr>
            <w:r>
              <w:rPr>
                <w:rFonts w:hint="eastAsia" w:ascii="宋体" w:hAnsi="宋体"/>
                <w:szCs w:val="21"/>
              </w:rPr>
              <w:t>2、法定代表人负责签订合同的，须携带法定代表人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14:paraId="77CFAD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3AC85FC6">
            <w:pPr>
              <w:spacing w:line="400" w:lineRule="exact"/>
              <w:jc w:val="center"/>
              <w:rPr>
                <w:rFonts w:hint="eastAsia" w:ascii="宋体" w:hAnsi="宋体"/>
                <w:szCs w:val="21"/>
              </w:rPr>
            </w:pPr>
            <w:r>
              <w:rPr>
                <w:rFonts w:hint="eastAsia" w:ascii="宋体" w:hAnsi="宋体"/>
                <w:szCs w:val="21"/>
              </w:rPr>
              <w:t>3</w:t>
            </w:r>
            <w:r>
              <w:rPr>
                <w:rFonts w:ascii="宋体" w:hAnsi="宋体"/>
                <w:szCs w:val="21"/>
              </w:rPr>
              <w:t>8.2</w:t>
            </w:r>
          </w:p>
        </w:tc>
        <w:tc>
          <w:tcPr>
            <w:tcW w:w="8708" w:type="dxa"/>
            <w:tcBorders>
              <w:top w:val="single" w:color="auto" w:sz="4" w:space="0"/>
              <w:left w:val="single" w:color="auto" w:sz="4" w:space="0"/>
              <w:bottom w:val="single" w:color="auto" w:sz="4" w:space="0"/>
              <w:right w:val="single" w:color="auto" w:sz="4" w:space="0"/>
            </w:tcBorders>
            <w:vAlign w:val="center"/>
          </w:tcPr>
          <w:p w14:paraId="340F13DC">
            <w:pPr>
              <w:snapToGrid w:val="0"/>
              <w:spacing w:line="400" w:lineRule="exact"/>
              <w:rPr>
                <w:rFonts w:hint="eastAsia" w:ascii="宋体" w:hAnsi="宋体"/>
                <w:szCs w:val="21"/>
              </w:rPr>
            </w:pPr>
            <w:r>
              <w:rPr>
                <w:rFonts w:hint="eastAsia" w:ascii="宋体" w:hAnsi="宋体"/>
                <w:szCs w:val="21"/>
              </w:rPr>
              <w:t>接收质疑函方式：以纸质书面形式</w:t>
            </w:r>
          </w:p>
          <w:p w14:paraId="4179AC19">
            <w:pPr>
              <w:snapToGrid w:val="0"/>
              <w:spacing w:line="400" w:lineRule="exact"/>
              <w:rPr>
                <w:rFonts w:hint="eastAsia" w:ascii="宋体" w:hAnsi="宋体"/>
                <w:szCs w:val="21"/>
              </w:rPr>
            </w:pPr>
            <w:r>
              <w:rPr>
                <w:rFonts w:hint="eastAsia" w:ascii="宋体" w:hAnsi="宋体"/>
                <w:szCs w:val="21"/>
              </w:rPr>
              <w:t>质疑联系部门及联系方式：广西誉采招标咨询有限公司，质疑联系人：</w:t>
            </w:r>
            <w:r>
              <w:rPr>
                <w:rFonts w:hint="eastAsia" w:ascii="宋体" w:hAnsi="宋体"/>
                <w:szCs w:val="21"/>
                <w:lang w:eastAsia="zh-CN"/>
              </w:rPr>
              <w:t>林霞</w:t>
            </w:r>
            <w:r>
              <w:rPr>
                <w:rFonts w:hint="eastAsia" w:ascii="宋体" w:hAnsi="宋体"/>
                <w:szCs w:val="21"/>
              </w:rPr>
              <w:t>，联系电话：0775-</w:t>
            </w:r>
            <w:r>
              <w:rPr>
                <w:rFonts w:ascii="宋体" w:hAnsi="宋体"/>
                <w:szCs w:val="21"/>
              </w:rPr>
              <w:t>2832750</w:t>
            </w:r>
            <w:r>
              <w:rPr>
                <w:rFonts w:hint="eastAsia" w:ascii="宋体" w:hAnsi="宋体"/>
                <w:szCs w:val="21"/>
              </w:rPr>
              <w:t>，</w:t>
            </w:r>
            <w:r>
              <w:rPr>
                <w:rFonts w:ascii="宋体" w:hAnsi="宋体"/>
                <w:szCs w:val="21"/>
              </w:rPr>
              <w:t>通讯地址</w:t>
            </w:r>
            <w:r>
              <w:rPr>
                <w:rFonts w:hint="eastAsia" w:ascii="宋体" w:hAnsi="宋体" w:cs="Helvetica"/>
                <w:szCs w:val="21"/>
              </w:rPr>
              <w:t>：广西玉林市民主北路东侧7栋3号</w:t>
            </w:r>
          </w:p>
          <w:p w14:paraId="73CC185D">
            <w:pPr>
              <w:autoSpaceDE w:val="0"/>
              <w:autoSpaceDN w:val="0"/>
              <w:snapToGrid w:val="0"/>
              <w:spacing w:line="400" w:lineRule="exact"/>
              <w:textAlignment w:val="bottom"/>
              <w:rPr>
                <w:rFonts w:hint="eastAsia" w:ascii="宋体" w:hAnsi="宋体"/>
                <w:szCs w:val="21"/>
              </w:rPr>
            </w:pPr>
            <w:r>
              <w:rPr>
                <w:rFonts w:hint="eastAsia" w:hAnsi="宋体"/>
                <w:szCs w:val="21"/>
              </w:rPr>
              <w:t>现场提交质疑办理业务时间：工作日，</w:t>
            </w:r>
            <w:r>
              <w:rPr>
                <w:rFonts w:hint="eastAsia" w:ascii="宋体" w:hAnsi="宋体" w:cs="Arial"/>
                <w:szCs w:val="21"/>
              </w:rPr>
              <w:t>上午8:00-12:00；下午15:00-18:00（北京时间）</w:t>
            </w:r>
          </w:p>
        </w:tc>
      </w:tr>
      <w:tr w14:paraId="001BC2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753E3D23">
            <w:pPr>
              <w:spacing w:line="400" w:lineRule="exact"/>
              <w:jc w:val="center"/>
              <w:rPr>
                <w:rFonts w:hint="eastAsia" w:ascii="宋体" w:hAnsi="宋体"/>
                <w:szCs w:val="21"/>
              </w:rPr>
            </w:pPr>
            <w:bookmarkStart w:id="74" w:name="_42"/>
            <w:bookmarkEnd w:id="74"/>
            <w:bookmarkStart w:id="75" w:name="_41"/>
            <w:bookmarkEnd w:id="75"/>
            <w:bookmarkStart w:id="76" w:name="_Hlt17709148"/>
            <w:r>
              <w:rPr>
                <w:rFonts w:hint="eastAsia" w:ascii="宋体" w:hAnsi="宋体"/>
                <w:szCs w:val="21"/>
              </w:rPr>
              <w:t>3</w:t>
            </w:r>
            <w:bookmarkEnd w:id="76"/>
            <w:r>
              <w:rPr>
                <w:rFonts w:ascii="宋体" w:hAnsi="宋体"/>
                <w:szCs w:val="21"/>
              </w:rPr>
              <w:t>9.1</w:t>
            </w:r>
          </w:p>
        </w:tc>
        <w:tc>
          <w:tcPr>
            <w:tcW w:w="8708" w:type="dxa"/>
            <w:tcBorders>
              <w:top w:val="single" w:color="auto" w:sz="4" w:space="0"/>
              <w:left w:val="single" w:color="auto" w:sz="4" w:space="0"/>
              <w:bottom w:val="single" w:color="auto" w:sz="4" w:space="0"/>
              <w:right w:val="single" w:color="auto" w:sz="4" w:space="0"/>
            </w:tcBorders>
            <w:vAlign w:val="center"/>
          </w:tcPr>
          <w:p w14:paraId="6FBC6D9C">
            <w:pPr>
              <w:snapToGrid w:val="0"/>
              <w:spacing w:line="400" w:lineRule="exact"/>
              <w:rPr>
                <w:rFonts w:hint="eastAsia" w:ascii="宋体" w:hAnsi="宋体"/>
                <w:szCs w:val="21"/>
              </w:rPr>
            </w:pPr>
            <w:r>
              <w:rPr>
                <w:rFonts w:hint="eastAsia" w:ascii="宋体" w:hAnsi="宋体"/>
                <w:szCs w:val="21"/>
              </w:rPr>
              <w:t>采购代理服务费收取标准：</w:t>
            </w:r>
          </w:p>
          <w:p w14:paraId="2AC5EA4A">
            <w:pPr>
              <w:snapToGrid w:val="0"/>
              <w:spacing w:line="400" w:lineRule="exact"/>
              <w:rPr>
                <w:rFonts w:hint="eastAsia" w:ascii="宋体" w:hAnsi="宋体"/>
                <w:szCs w:val="21"/>
              </w:rPr>
            </w:pPr>
            <w:r>
              <w:rPr>
                <w:rFonts w:hint="eastAsia" w:ascii="宋体" w:hAnsi="宋体"/>
                <w:szCs w:val="21"/>
              </w:rPr>
              <w:t>中标金额为计费额，按【2002】1980号《招标代理服务费管理暂行办法》货物或服务招标类收费标准。</w:t>
            </w:r>
          </w:p>
          <w:p w14:paraId="05B9F307">
            <w:pPr>
              <w:snapToGrid w:val="0"/>
              <w:spacing w:line="400" w:lineRule="exact"/>
              <w:rPr>
                <w:rFonts w:hint="eastAsia" w:ascii="宋体" w:hAnsi="宋体"/>
                <w:szCs w:val="21"/>
              </w:rPr>
            </w:pPr>
            <w:r>
              <w:rPr>
                <w:rFonts w:hint="eastAsia" w:ascii="宋体" w:hAnsi="宋体"/>
                <w:szCs w:val="21"/>
              </w:rPr>
              <w:t>开户名称：广西誉采招标咨询有限公司</w:t>
            </w:r>
          </w:p>
          <w:p w14:paraId="49ACF45C">
            <w:pPr>
              <w:snapToGrid w:val="0"/>
              <w:spacing w:line="400" w:lineRule="exact"/>
              <w:rPr>
                <w:rFonts w:hint="eastAsia" w:ascii="宋体" w:hAnsi="宋体"/>
                <w:szCs w:val="21"/>
              </w:rPr>
            </w:pPr>
            <w:r>
              <w:rPr>
                <w:rFonts w:hint="eastAsia" w:ascii="宋体" w:hAnsi="宋体"/>
                <w:szCs w:val="21"/>
              </w:rPr>
              <w:t>开户银行：玉林市区农村信用合作联社玉东分社</w:t>
            </w:r>
          </w:p>
          <w:p w14:paraId="0B275CB2">
            <w:pPr>
              <w:snapToGrid w:val="0"/>
              <w:spacing w:line="400" w:lineRule="exact"/>
              <w:rPr>
                <w:rFonts w:hint="eastAsia" w:hAnsi="宋体" w:cs="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账    号：506312010108929419</w:t>
            </w:r>
          </w:p>
        </w:tc>
      </w:tr>
      <w:tr w14:paraId="42A21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43EF4436">
            <w:pPr>
              <w:snapToGrid w:val="0"/>
              <w:spacing w:line="400" w:lineRule="exact"/>
              <w:jc w:val="center"/>
              <w:rPr>
                <w:rFonts w:hint="eastAsia" w:ascii="宋体" w:hAnsi="宋体"/>
                <w:szCs w:val="21"/>
              </w:rPr>
            </w:pPr>
            <w:r>
              <w:rPr>
                <w:rFonts w:ascii="宋体" w:hAnsi="宋体"/>
                <w:szCs w:val="21"/>
              </w:rPr>
              <w:t>40.</w:t>
            </w:r>
            <w:r>
              <w:rPr>
                <w:rFonts w:hint="eastAsia" w:ascii="宋体" w:hAnsi="宋体"/>
                <w:szCs w:val="21"/>
              </w:rPr>
              <w:t>2</w:t>
            </w:r>
          </w:p>
        </w:tc>
        <w:tc>
          <w:tcPr>
            <w:tcW w:w="8708" w:type="dxa"/>
            <w:tcBorders>
              <w:top w:val="single" w:color="auto" w:sz="4" w:space="0"/>
              <w:left w:val="single" w:color="auto" w:sz="4" w:space="0"/>
              <w:bottom w:val="single" w:color="auto" w:sz="4" w:space="0"/>
              <w:right w:val="single" w:color="auto" w:sz="4" w:space="0"/>
            </w:tcBorders>
            <w:vAlign w:val="center"/>
          </w:tcPr>
          <w:p w14:paraId="4D1891E7">
            <w:pPr>
              <w:snapToGrid w:val="0"/>
              <w:spacing w:line="400" w:lineRule="exact"/>
              <w:rPr>
                <w:rFonts w:hint="eastAsia" w:ascii="宋体" w:hAnsi="宋体"/>
                <w:szCs w:val="21"/>
              </w:rPr>
            </w:pPr>
            <w:r>
              <w:rPr>
                <w:rFonts w:hint="eastAsia" w:ascii="宋体" w:hAnsi="宋体"/>
                <w:szCs w:val="21"/>
              </w:rPr>
              <w:t>解释：</w:t>
            </w:r>
            <w:r>
              <w:rPr>
                <w:rFonts w:ascii="宋体" w:hAnsi="宋体"/>
                <w:szCs w:val="21"/>
              </w:rPr>
              <w:t>构成本招标文件的各个组成文件应互为解释，互为说明；除招标文件中有特别规定外，仅适用于招标投标阶段的规定，按</w:t>
            </w:r>
            <w:r>
              <w:rPr>
                <w:rFonts w:hint="eastAsia" w:ascii="宋体" w:hAnsi="宋体"/>
                <w:szCs w:val="21"/>
              </w:rPr>
              <w:t>更正公告（澄清公告）</w:t>
            </w:r>
            <w:r>
              <w:rPr>
                <w:rFonts w:ascii="宋体" w:hAnsi="宋体"/>
                <w:szCs w:val="21"/>
              </w:rPr>
              <w:t>、招标公告、</w:t>
            </w:r>
            <w:r>
              <w:rPr>
                <w:rFonts w:hint="eastAsia" w:ascii="宋体" w:hAnsi="宋体"/>
                <w:szCs w:val="21"/>
              </w:rPr>
              <w:t>采购需求、</w:t>
            </w:r>
            <w:r>
              <w:rPr>
                <w:rFonts w:ascii="宋体" w:hAnsi="宋体"/>
                <w:szCs w:val="21"/>
              </w:rPr>
              <w:t>投标人须知、</w:t>
            </w:r>
            <w:r>
              <w:rPr>
                <w:rFonts w:hint="eastAsia" w:ascii="宋体" w:hAnsi="宋体"/>
                <w:szCs w:val="21"/>
              </w:rPr>
              <w:t>评标方法及评标标准</w:t>
            </w:r>
            <w:r>
              <w:rPr>
                <w:rFonts w:ascii="宋体" w:hAnsi="宋体"/>
                <w:szCs w:val="21"/>
              </w:rPr>
              <w:t>、</w:t>
            </w:r>
            <w:r>
              <w:rPr>
                <w:rFonts w:hint="eastAsia" w:ascii="宋体" w:hAnsi="宋体"/>
                <w:szCs w:val="21"/>
              </w:rPr>
              <w:t>拟签订的合同文本、</w:t>
            </w:r>
            <w:r>
              <w:rPr>
                <w:rFonts w:ascii="宋体" w:hAnsi="宋体"/>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szCs w:val="21"/>
              </w:rPr>
              <w:t>更正公告（澄清公告）</w:t>
            </w:r>
            <w:r>
              <w:rPr>
                <w:rFonts w:ascii="宋体" w:hAnsi="宋体"/>
                <w:szCs w:val="21"/>
              </w:rPr>
              <w:t>与同步更新的招标文件不一致时以</w:t>
            </w:r>
            <w:r>
              <w:rPr>
                <w:rFonts w:hint="eastAsia" w:ascii="宋体" w:hAnsi="宋体"/>
                <w:szCs w:val="21"/>
              </w:rPr>
              <w:t>更正公告（澄清公告）</w:t>
            </w:r>
            <w:r>
              <w:rPr>
                <w:rFonts w:ascii="宋体" w:hAnsi="宋体"/>
                <w:szCs w:val="21"/>
              </w:rPr>
              <w:t>为准。按本款前述规定仍不能形成结论的，由</w:t>
            </w:r>
            <w:r>
              <w:rPr>
                <w:rFonts w:hint="eastAsia" w:ascii="宋体" w:hAnsi="宋体"/>
                <w:szCs w:val="21"/>
              </w:rPr>
              <w:t>采购</w:t>
            </w:r>
            <w:r>
              <w:rPr>
                <w:rFonts w:ascii="宋体" w:hAnsi="宋体"/>
                <w:szCs w:val="21"/>
              </w:rPr>
              <w:t>人</w:t>
            </w:r>
            <w:r>
              <w:rPr>
                <w:rFonts w:hint="eastAsia" w:ascii="宋体" w:hAnsi="宋体"/>
                <w:szCs w:val="21"/>
              </w:rPr>
              <w:t>或者采购代理机构</w:t>
            </w:r>
            <w:r>
              <w:rPr>
                <w:rFonts w:ascii="宋体" w:hAnsi="宋体"/>
                <w:szCs w:val="21"/>
              </w:rPr>
              <w:t>负责解释。</w:t>
            </w:r>
          </w:p>
        </w:tc>
      </w:tr>
      <w:tr w14:paraId="5BDDF3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5FFEC871">
            <w:pPr>
              <w:snapToGrid w:val="0"/>
              <w:spacing w:line="400" w:lineRule="exact"/>
              <w:jc w:val="center"/>
              <w:rPr>
                <w:rFonts w:hint="eastAsia" w:ascii="宋体" w:hAnsi="宋体"/>
                <w:szCs w:val="21"/>
              </w:rPr>
            </w:pPr>
            <w:r>
              <w:rPr>
                <w:rFonts w:ascii="宋体" w:hAnsi="宋体"/>
                <w:szCs w:val="21"/>
              </w:rPr>
              <w:t>40.</w:t>
            </w:r>
            <w:r>
              <w:rPr>
                <w:rFonts w:hint="eastAsia" w:ascii="宋体" w:hAnsi="宋体"/>
                <w:szCs w:val="21"/>
              </w:rPr>
              <w:t>3</w:t>
            </w:r>
          </w:p>
        </w:tc>
        <w:tc>
          <w:tcPr>
            <w:tcW w:w="8708" w:type="dxa"/>
            <w:tcBorders>
              <w:top w:val="single" w:color="auto" w:sz="4" w:space="0"/>
              <w:left w:val="single" w:color="auto" w:sz="4" w:space="0"/>
              <w:bottom w:val="single" w:color="auto" w:sz="4" w:space="0"/>
              <w:right w:val="single" w:color="auto" w:sz="4" w:space="0"/>
            </w:tcBorders>
            <w:vAlign w:val="center"/>
          </w:tcPr>
          <w:p w14:paraId="4C5C84F8">
            <w:pPr>
              <w:pStyle w:val="17"/>
              <w:snapToGrid w:val="0"/>
              <w:spacing w:line="400" w:lineRule="exact"/>
              <w:rPr>
                <w:rFonts w:hint="eastAsia" w:hAnsi="宋体" w:cs="宋体"/>
                <w:bCs/>
                <w:sz w:val="21"/>
              </w:rPr>
            </w:pPr>
            <w:r>
              <w:rPr>
                <w:rFonts w:hint="eastAsia" w:hAnsi="宋体" w:cs="宋体"/>
                <w:bCs/>
                <w:sz w:val="21"/>
              </w:rPr>
              <w:t>1、本招标文件中描述投标人的“公章”是指根据我国对公章的管理规定，用投标人法定主体行为名称制作的印章</w:t>
            </w:r>
            <w:r>
              <w:rPr>
                <w:rFonts w:hint="eastAsia" w:hAnsi="宋体" w:cs="宋体"/>
                <w:sz w:val="21"/>
              </w:rPr>
              <w:t>（含电子印章）</w:t>
            </w:r>
            <w:r>
              <w:rPr>
                <w:rFonts w:hint="eastAsia" w:hAnsi="宋体" w:cs="宋体"/>
                <w:bCs/>
                <w:sz w:val="21"/>
              </w:rPr>
              <w:t>，除本招标文件有特殊规定外，投标人的财务章、部门章、分公司章、工会章、合同章、投标专用章、业务专用章及银行的转账章、现金收讫章、现金付讫章等其他形式印章均不能代替公章。</w:t>
            </w:r>
          </w:p>
          <w:p w14:paraId="146609D8">
            <w:pPr>
              <w:pStyle w:val="17"/>
              <w:snapToGrid w:val="0"/>
              <w:spacing w:line="400" w:lineRule="exact"/>
              <w:rPr>
                <w:rFonts w:hint="eastAsia" w:hAnsi="宋体" w:cs="宋体"/>
                <w:bCs/>
                <w:sz w:val="21"/>
              </w:rPr>
            </w:pPr>
            <w:r>
              <w:rPr>
                <w:rFonts w:hint="eastAsia" w:hAnsi="宋体" w:cs="宋体"/>
                <w:bCs/>
                <w:sz w:val="21"/>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29945E97">
            <w:pPr>
              <w:pStyle w:val="17"/>
              <w:snapToGrid w:val="0"/>
              <w:spacing w:line="400" w:lineRule="exact"/>
              <w:rPr>
                <w:rFonts w:hint="eastAsia" w:hAnsi="宋体" w:cs="宋体"/>
                <w:bCs/>
                <w:sz w:val="21"/>
              </w:rPr>
            </w:pPr>
            <w:r>
              <w:rPr>
                <w:rFonts w:hint="eastAsia" w:hAnsi="宋体" w:cs="宋体"/>
                <w:bCs/>
                <w:sz w:val="21"/>
              </w:rPr>
              <w:t>3、本招标文件中描述投标人的“签字”是指投标人的法定代表人或者委托代理人</w:t>
            </w:r>
            <w:r>
              <w:rPr>
                <w:rFonts w:hint="eastAsia" w:hAnsi="宋体" w:cs="宋体"/>
                <w:sz w:val="21"/>
              </w:rPr>
              <w:t>在文件规定签署处签名（含电子签名）的行为，私章、印鉴等其他形式均不能代替签字</w:t>
            </w:r>
            <w:r>
              <w:rPr>
                <w:rFonts w:hint="eastAsia" w:hAnsi="宋体" w:cs="宋体"/>
                <w:bCs/>
                <w:sz w:val="21"/>
              </w:rPr>
              <w:t>。</w:t>
            </w:r>
          </w:p>
          <w:p w14:paraId="3BFD8665">
            <w:pPr>
              <w:pStyle w:val="17"/>
              <w:snapToGrid w:val="0"/>
              <w:spacing w:line="400" w:lineRule="exact"/>
              <w:rPr>
                <w:rFonts w:hint="eastAsia" w:hAnsi="宋体" w:cs="宋体"/>
                <w:bCs/>
                <w:sz w:val="21"/>
              </w:rPr>
            </w:pPr>
            <w:r>
              <w:rPr>
                <w:rFonts w:hint="eastAsia" w:hAnsi="宋体" w:cs="宋体"/>
                <w:bCs/>
                <w:sz w:val="21"/>
              </w:rPr>
              <w:t>4、自然人投标的，招标文件规定盖公章处由自然人摁手指指印。</w:t>
            </w:r>
          </w:p>
          <w:p w14:paraId="0819ABBC">
            <w:pPr>
              <w:spacing w:line="400" w:lineRule="exact"/>
              <w:jc w:val="left"/>
              <w:rPr>
                <w:rFonts w:hint="eastAsia" w:ascii="宋体" w:hAnsi="宋体"/>
                <w:szCs w:val="21"/>
              </w:rPr>
            </w:pPr>
            <w:r>
              <w:rPr>
                <w:rFonts w:hint="eastAsia" w:ascii="宋体" w:hAnsi="宋体" w:cs="宋体"/>
                <w:bCs/>
                <w:szCs w:val="21"/>
              </w:rPr>
              <w:t>5、本招标文件所称的“以上”“以下”“以内”“届满”，包括本数；所称的“不满”“超过”“以外”，不包括本数。</w:t>
            </w:r>
          </w:p>
        </w:tc>
      </w:tr>
      <w:tr w14:paraId="7AD731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right"/>
        </w:trPr>
        <w:tc>
          <w:tcPr>
            <w:tcW w:w="895" w:type="dxa"/>
            <w:tcBorders>
              <w:top w:val="single" w:color="auto" w:sz="4" w:space="0"/>
              <w:left w:val="single" w:color="auto" w:sz="4" w:space="0"/>
              <w:bottom w:val="single" w:color="auto" w:sz="4" w:space="0"/>
              <w:right w:val="single" w:color="auto" w:sz="4" w:space="0"/>
            </w:tcBorders>
            <w:vAlign w:val="center"/>
          </w:tcPr>
          <w:p w14:paraId="6CC077E7">
            <w:pPr>
              <w:snapToGrid w:val="0"/>
              <w:spacing w:line="400" w:lineRule="exact"/>
              <w:jc w:val="center"/>
              <w:rPr>
                <w:rFonts w:hint="eastAsia" w:ascii="宋体" w:hAnsi="宋体"/>
                <w:szCs w:val="21"/>
              </w:rPr>
            </w:pPr>
            <w:r>
              <w:rPr>
                <w:rFonts w:ascii="宋体" w:hAnsi="宋体"/>
                <w:szCs w:val="21"/>
              </w:rPr>
              <w:t>40.4</w:t>
            </w:r>
          </w:p>
        </w:tc>
        <w:tc>
          <w:tcPr>
            <w:tcW w:w="8708" w:type="dxa"/>
            <w:tcBorders>
              <w:top w:val="single" w:color="auto" w:sz="4" w:space="0"/>
              <w:left w:val="single" w:color="auto" w:sz="4" w:space="0"/>
              <w:bottom w:val="single" w:color="auto" w:sz="4" w:space="0"/>
              <w:right w:val="single" w:color="auto" w:sz="4" w:space="0"/>
            </w:tcBorders>
            <w:vAlign w:val="center"/>
          </w:tcPr>
          <w:p w14:paraId="2EC4D381">
            <w:pPr>
              <w:pStyle w:val="17"/>
              <w:snapToGrid w:val="0"/>
              <w:spacing w:line="380" w:lineRule="exact"/>
              <w:rPr>
                <w:rFonts w:hint="eastAsia" w:asciiTheme="minorEastAsia" w:hAnsiTheme="minorEastAsia" w:eastAsiaTheme="minorEastAsia" w:cstheme="minorEastAsia"/>
                <w:kern w:val="2"/>
                <w:sz w:val="21"/>
              </w:rPr>
            </w:pPr>
            <w:r>
              <w:rPr>
                <w:rFonts w:hint="eastAsia" w:asciiTheme="minorEastAsia" w:hAnsiTheme="minorEastAsia" w:eastAsiaTheme="minorEastAsia" w:cstheme="minorEastAsia"/>
                <w:kern w:val="2"/>
                <w:sz w:val="21"/>
              </w:rPr>
              <w:t>1.本项目属于部分预留份额专门面向中小企业采购的项目，预留预算总金额的30%专门面向中小企业采购，预留份额部分货物制造商（或服务提供商）应为中小型企业或监狱企业或残疾人福利性单位。投标人提供的货物（或服务）应至少有30%由中小型企业或监狱企业或残疾人福利性单位供应。</w:t>
            </w:r>
          </w:p>
          <w:p w14:paraId="4FF2B5A2">
            <w:pPr>
              <w:pStyle w:val="17"/>
              <w:snapToGrid w:val="0"/>
              <w:spacing w:line="380" w:lineRule="exact"/>
              <w:rPr>
                <w:rFonts w:hint="eastAsia" w:hAnsi="宋体" w:cs="宋体"/>
                <w:sz w:val="21"/>
              </w:rPr>
            </w:pPr>
            <w:r>
              <w:rPr>
                <w:rFonts w:hint="eastAsia" w:hAnsi="宋体" w:cs="宋体"/>
                <w:sz w:val="21"/>
              </w:rPr>
              <w:t>2.</w:t>
            </w:r>
            <w:r>
              <w:rPr>
                <w:rFonts w:hAnsi="宋体" w:cs="宋体"/>
                <w:sz w:val="21"/>
              </w:rPr>
              <w:t>本项目</w:t>
            </w:r>
            <w:r>
              <w:rPr>
                <w:rFonts w:hint="eastAsia" w:hAnsi="宋体" w:cs="宋体"/>
                <w:sz w:val="21"/>
              </w:rPr>
              <w:t>不</w:t>
            </w:r>
            <w:r>
              <w:rPr>
                <w:rFonts w:hAnsi="宋体" w:cs="宋体"/>
                <w:sz w:val="21"/>
              </w:rPr>
              <w:t>接受联合体</w:t>
            </w:r>
            <w:r>
              <w:rPr>
                <w:rFonts w:hint="eastAsia" w:hAnsi="宋体" w:cs="宋体"/>
                <w:sz w:val="21"/>
              </w:rPr>
              <w:t>投标</w:t>
            </w:r>
            <w:r>
              <w:rPr>
                <w:rFonts w:hAnsi="宋体" w:cs="宋体"/>
                <w:sz w:val="21"/>
              </w:rPr>
              <w:t>，本项目不允许分包</w:t>
            </w:r>
            <w:r>
              <w:rPr>
                <w:rFonts w:hint="eastAsia" w:hAnsi="宋体" w:cs="宋体"/>
                <w:sz w:val="21"/>
              </w:rPr>
              <w:t>。</w:t>
            </w:r>
          </w:p>
          <w:p w14:paraId="2D2EE36A">
            <w:pPr>
              <w:pStyle w:val="17"/>
              <w:snapToGrid w:val="0"/>
              <w:spacing w:line="400" w:lineRule="exact"/>
              <w:rPr>
                <w:rFonts w:hint="eastAsia" w:hAnsi="宋体" w:cs="宋体"/>
                <w:bCs/>
                <w:sz w:val="21"/>
              </w:rPr>
            </w:pPr>
            <w:r>
              <w:rPr>
                <w:rFonts w:hint="eastAsia" w:hAnsi="宋体" w:cs="宋体"/>
                <w:sz w:val="21"/>
              </w:rPr>
              <w:t>3.本项目采购标的对应的中小企业划分标准所属行业为:软件部分为软件和信息技术服务业；配套硬件部分为</w:t>
            </w:r>
            <w:r>
              <w:rPr>
                <w:rFonts w:hint="eastAsia" w:hAnsi="宋体" w:cs="宋体"/>
              </w:rPr>
              <w:t>工业</w:t>
            </w:r>
            <w:r>
              <w:rPr>
                <w:rFonts w:hint="eastAsia" w:hAnsi="宋体" w:cs="宋体"/>
                <w:sz w:val="21"/>
              </w:rPr>
              <w:t>。</w:t>
            </w:r>
          </w:p>
        </w:tc>
      </w:tr>
    </w:tbl>
    <w:p w14:paraId="2CA5F155">
      <w:pPr>
        <w:pStyle w:val="4"/>
        <w:keepNext w:val="0"/>
        <w:keepLines w:val="0"/>
        <w:jc w:val="center"/>
      </w:pPr>
    </w:p>
    <w:p w14:paraId="752820B8"/>
    <w:p w14:paraId="1F7C20B1"/>
    <w:p w14:paraId="77FEE4DD"/>
    <w:p w14:paraId="089EE5D4"/>
    <w:p w14:paraId="52E3AD16"/>
    <w:p w14:paraId="0374123E"/>
    <w:p w14:paraId="16EC818F"/>
    <w:p w14:paraId="0A3304CC"/>
    <w:p w14:paraId="624BC246"/>
    <w:p w14:paraId="0F68F22A"/>
    <w:p w14:paraId="481EFCF7"/>
    <w:p w14:paraId="67DB630C"/>
    <w:p w14:paraId="6673C2F6"/>
    <w:p w14:paraId="020B3E06"/>
    <w:p w14:paraId="045719D1"/>
    <w:p w14:paraId="1C860BCC"/>
    <w:p w14:paraId="5D7F434D"/>
    <w:p w14:paraId="7645C663"/>
    <w:p w14:paraId="6DD8AB37"/>
    <w:p w14:paraId="2C2D4283"/>
    <w:p w14:paraId="5F5D53DC"/>
    <w:p w14:paraId="1A670893"/>
    <w:p w14:paraId="7DC0A738"/>
    <w:p w14:paraId="62DC1BE8"/>
    <w:p w14:paraId="31278A32"/>
    <w:p w14:paraId="54ED5DC1"/>
    <w:p w14:paraId="31329ACB"/>
    <w:p w14:paraId="7D6923E0"/>
    <w:p w14:paraId="4592492D"/>
    <w:p w14:paraId="180E267B"/>
    <w:p w14:paraId="71E6FC12"/>
    <w:p w14:paraId="45613201"/>
    <w:p w14:paraId="3CC826C2"/>
    <w:p w14:paraId="6583A482"/>
    <w:p w14:paraId="064B0CBC"/>
    <w:p w14:paraId="0834454B"/>
    <w:p w14:paraId="5852FC2D">
      <w:pPr>
        <w:pStyle w:val="4"/>
        <w:keepNext w:val="0"/>
        <w:keepLines w:val="0"/>
        <w:jc w:val="center"/>
      </w:pPr>
      <w:r>
        <w:rPr>
          <w:rFonts w:hint="eastAsia"/>
        </w:rPr>
        <w:t>投标人须知正文</w:t>
      </w:r>
    </w:p>
    <w:p w14:paraId="02A13174">
      <w:pPr>
        <w:pStyle w:val="4"/>
        <w:keepNext w:val="0"/>
        <w:keepLines w:val="0"/>
        <w:jc w:val="center"/>
      </w:pPr>
      <w:r>
        <w:rPr>
          <w:rFonts w:hint="eastAsia"/>
        </w:rPr>
        <w:t>一、总  则</w:t>
      </w:r>
    </w:p>
    <w:p w14:paraId="7CF2E037">
      <w:pPr>
        <w:pStyle w:val="6"/>
        <w:keepNext w:val="0"/>
        <w:keepLines w:val="0"/>
        <w:spacing w:before="0" w:after="0" w:line="420" w:lineRule="atLeast"/>
        <w:ind w:left="420" w:leftChars="200"/>
        <w:rPr>
          <w:rFonts w:hint="eastAsia" w:ascii="黑体" w:hAnsi="黑体" w:eastAsia="黑体"/>
          <w:sz w:val="24"/>
        </w:rPr>
      </w:pPr>
      <w:bookmarkStart w:id="77" w:name="_Toc254970668"/>
      <w:bookmarkStart w:id="78" w:name="_Toc254970527"/>
      <w:r>
        <w:rPr>
          <w:rFonts w:hint="eastAsia" w:ascii="黑体" w:hAnsi="黑体" w:eastAsia="黑体"/>
          <w:sz w:val="24"/>
        </w:rPr>
        <w:t>1.适用范围</w:t>
      </w:r>
      <w:bookmarkEnd w:id="77"/>
      <w:bookmarkEnd w:id="78"/>
    </w:p>
    <w:p w14:paraId="0C909D37">
      <w:pPr>
        <w:snapToGrid w:val="0"/>
        <w:spacing w:line="420" w:lineRule="atLeast"/>
        <w:ind w:firstLine="420" w:firstLineChars="200"/>
        <w:jc w:val="left"/>
        <w:rPr>
          <w:rFonts w:hint="eastAsia"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22EBFB82">
      <w:pPr>
        <w:snapToGrid w:val="0"/>
        <w:spacing w:line="420" w:lineRule="atLeast"/>
        <w:ind w:firstLine="420" w:firstLineChars="200"/>
        <w:jc w:val="left"/>
        <w:rPr>
          <w:rFonts w:hint="eastAsia"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521C6A5D">
      <w:pPr>
        <w:pStyle w:val="6"/>
        <w:keepNext w:val="0"/>
        <w:keepLines w:val="0"/>
        <w:spacing w:before="0" w:after="0" w:line="420" w:lineRule="atLeast"/>
        <w:ind w:left="420" w:leftChars="200"/>
        <w:rPr>
          <w:rFonts w:hint="eastAsia" w:ascii="黑体" w:hAnsi="黑体" w:eastAsia="黑体"/>
          <w:sz w:val="24"/>
        </w:rPr>
      </w:pPr>
      <w:bookmarkStart w:id="79" w:name="_Toc254970528"/>
      <w:bookmarkStart w:id="80" w:name="_Toc254970669"/>
      <w:r>
        <w:rPr>
          <w:rFonts w:hint="eastAsia" w:ascii="黑体" w:hAnsi="黑体" w:eastAsia="黑体"/>
          <w:sz w:val="24"/>
        </w:rPr>
        <w:t>2.定义</w:t>
      </w:r>
      <w:bookmarkEnd w:id="79"/>
      <w:bookmarkEnd w:id="80"/>
    </w:p>
    <w:p w14:paraId="27295E35">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2.1“采购人”是指依法进行政府采购的国家机关、事业单位、团体组织。</w:t>
      </w:r>
    </w:p>
    <w:p w14:paraId="790FEAB9">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2.2“采购代理机构”是指政府采购集中采购机构和集中采购机构以外的采购代理机构。</w:t>
      </w:r>
    </w:p>
    <w:p w14:paraId="72ACA261">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2.3“供应商”是指向采购人提供货物、工程或者服务的法人、其他组织或者自然人。</w:t>
      </w:r>
    </w:p>
    <w:p w14:paraId="63DE6816">
      <w:pPr>
        <w:pStyle w:val="7"/>
        <w:spacing w:line="420" w:lineRule="atLeast"/>
        <w:rPr>
          <w:rFonts w:hint="eastAsia" w:ascii="宋体" w:hAnsi="宋体"/>
          <w:szCs w:val="21"/>
        </w:rPr>
      </w:pPr>
      <w:r>
        <w:rPr>
          <w:rFonts w:hint="eastAsia" w:ascii="宋体" w:hAnsi="宋体"/>
          <w:szCs w:val="21"/>
        </w:rPr>
        <w:t>2.4“投标人”是指响应招标、参加投标竞争的法人、其他组织或者自然人。</w:t>
      </w:r>
    </w:p>
    <w:p w14:paraId="664BEFC7">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2.5“货物”是指各种形态和种类的物品，包括原材料、燃料、设备、产品等。</w:t>
      </w:r>
    </w:p>
    <w:p w14:paraId="0A3A92B1">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2.6“售后服务” 是指商品出售以后所提供的各种服务，包含但不限于投标人须承担的备品备件、包装、运输、装卸、保险、货到就位以及安装、调试、培训、保修以及其他各种服务。</w:t>
      </w:r>
    </w:p>
    <w:p w14:paraId="041A4B46">
      <w:pPr>
        <w:pStyle w:val="6"/>
        <w:keepNext w:val="0"/>
        <w:keepLines w:val="0"/>
        <w:spacing w:before="0" w:after="0" w:line="420" w:lineRule="atLeast"/>
        <w:rPr>
          <w:rFonts w:hint="eastAsia" w:ascii="宋体" w:hAnsi="宋体"/>
          <w:b w:val="0"/>
          <w:sz w:val="21"/>
          <w:szCs w:val="21"/>
        </w:rPr>
      </w:pPr>
      <w:r>
        <w:rPr>
          <w:rFonts w:hint="eastAsia" w:ascii="宋体" w:hAnsi="宋体"/>
          <w:b w:val="0"/>
          <w:sz w:val="21"/>
          <w:szCs w:val="21"/>
        </w:rPr>
        <w:t xml:space="preserve">    2.7“书面形式”是指合同书、信件和数据电文（包括电报、电传、传真、电子数据交换和电子邮件）等可以有形地表现所载内容的形式。</w:t>
      </w:r>
    </w:p>
    <w:p w14:paraId="7FC66E07">
      <w:pPr>
        <w:pStyle w:val="6"/>
        <w:keepNext w:val="0"/>
        <w:keepLines w:val="0"/>
        <w:spacing w:before="0" w:after="0" w:line="420" w:lineRule="atLeast"/>
        <w:ind w:firstLine="420" w:firstLineChars="200"/>
        <w:rPr>
          <w:rFonts w:hint="eastAsia" w:ascii="宋体" w:hAnsi="宋体"/>
          <w:b w:val="0"/>
          <w:color w:val="auto"/>
          <w:sz w:val="21"/>
          <w:szCs w:val="21"/>
        </w:rPr>
      </w:pPr>
      <w:r>
        <w:rPr>
          <w:rFonts w:hint="eastAsia" w:ascii="宋体" w:hAnsi="宋体"/>
          <w:b w:val="0"/>
          <w:sz w:val="21"/>
          <w:szCs w:val="21"/>
        </w:rPr>
        <w:t>2.8“实质性要求”是指招标文件中已经指明不满足则投标无效的条款，或者不能负偏离的条款，或者</w:t>
      </w:r>
      <w:r>
        <w:rPr>
          <w:rFonts w:hint="eastAsia" w:ascii="宋体" w:hAnsi="宋体"/>
          <w:b w:val="0"/>
          <w:color w:val="auto"/>
          <w:sz w:val="21"/>
          <w:szCs w:val="21"/>
        </w:rPr>
        <w:t>采购需求中带“▲”的条款。</w:t>
      </w:r>
    </w:p>
    <w:p w14:paraId="7A780C2F">
      <w:pPr>
        <w:snapToGrid w:val="0"/>
        <w:spacing w:line="420" w:lineRule="atLeast"/>
        <w:ind w:firstLine="420" w:firstLineChars="200"/>
        <w:jc w:val="left"/>
        <w:rPr>
          <w:rFonts w:hint="eastAsia" w:ascii="宋体" w:hAnsi="宋体" w:cs="宋体"/>
          <w:szCs w:val="21"/>
        </w:rPr>
      </w:pPr>
      <w:r>
        <w:rPr>
          <w:rFonts w:hint="eastAsia" w:ascii="宋体" w:hAnsi="宋体"/>
          <w:szCs w:val="21"/>
        </w:rPr>
        <w:t xml:space="preserve">2.9 </w:t>
      </w:r>
      <w:r>
        <w:rPr>
          <w:rFonts w:hint="eastAsia" w:ascii="宋体" w:hAnsi="宋体" w:cs="宋体"/>
          <w:szCs w:val="21"/>
        </w:rPr>
        <w:t>“正偏离”，是指投标文件对招标文件“采购需求”中有关条款作出的响应优于条款要求并有利于采购人的情形。</w:t>
      </w:r>
    </w:p>
    <w:p w14:paraId="6A785AD6">
      <w:pPr>
        <w:snapToGrid w:val="0"/>
        <w:spacing w:line="420" w:lineRule="atLeast"/>
        <w:ind w:firstLine="420" w:firstLineChars="200"/>
        <w:jc w:val="left"/>
        <w:rPr>
          <w:rFonts w:hint="eastAsia" w:ascii="宋体" w:hAnsi="宋体" w:cs="宋体"/>
          <w:szCs w:val="21"/>
        </w:rPr>
      </w:pPr>
      <w:r>
        <w:rPr>
          <w:rFonts w:ascii="宋体" w:hAnsi="宋体" w:cs="宋体"/>
          <w:szCs w:val="21"/>
        </w:rPr>
        <w:t>2.10</w:t>
      </w:r>
      <w:r>
        <w:rPr>
          <w:rFonts w:hint="eastAsia" w:ascii="宋体" w:hAnsi="宋体" w:cs="宋体"/>
          <w:szCs w:val="21"/>
        </w:rPr>
        <w:t>“负偏离”，是指投标文件对招标文件“采购需求”中有关条款作出的响应不满足条款要求，导致采购人要求不能得到满足的情形。</w:t>
      </w:r>
    </w:p>
    <w:p w14:paraId="2641B602">
      <w:pPr>
        <w:snapToGrid w:val="0"/>
        <w:spacing w:line="420" w:lineRule="atLeast"/>
        <w:ind w:firstLine="420" w:firstLineChars="200"/>
        <w:jc w:val="left"/>
        <w:rPr>
          <w:rFonts w:hint="eastAsia" w:ascii="宋体" w:hAnsi="宋体" w:cs="宋体"/>
          <w:szCs w:val="21"/>
        </w:rPr>
      </w:pPr>
      <w:r>
        <w:rPr>
          <w:rFonts w:hint="eastAsia" w:ascii="宋体" w:hAnsi="宋体"/>
          <w:szCs w:val="21"/>
        </w:rPr>
        <w:t>2.1</w:t>
      </w:r>
      <w:r>
        <w:rPr>
          <w:rFonts w:ascii="宋体" w:hAnsi="宋体"/>
          <w:szCs w:val="21"/>
        </w:rPr>
        <w:t>1</w:t>
      </w:r>
      <w:r>
        <w:rPr>
          <w:rFonts w:hint="eastAsia" w:ascii="宋体" w:hAnsi="宋体" w:cs="宋体"/>
          <w:szCs w:val="21"/>
        </w:rPr>
        <w:t>“允许负偏离的条款”是指采购需求中的不属于“实质性要求”的条款。</w:t>
      </w:r>
      <w:bookmarkStart w:id="81" w:name="_Toc254970670"/>
      <w:bookmarkStart w:id="82" w:name="_Toc254970529"/>
    </w:p>
    <w:p w14:paraId="41F044A4">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w:t>
      </w:r>
      <w:bookmarkEnd w:id="81"/>
      <w:bookmarkEnd w:id="82"/>
      <w:r>
        <w:rPr>
          <w:rFonts w:hint="eastAsia" w:ascii="黑体" w:hAnsi="黑体" w:eastAsia="黑体"/>
          <w:sz w:val="24"/>
        </w:rPr>
        <w:t>投标人的资格要求</w:t>
      </w:r>
    </w:p>
    <w:p w14:paraId="39862038">
      <w:pPr>
        <w:snapToGrid w:val="0"/>
        <w:spacing w:line="420" w:lineRule="atLeast"/>
        <w:ind w:firstLine="420" w:firstLineChars="200"/>
        <w:jc w:val="left"/>
        <w:rPr>
          <w:rFonts w:hint="eastAsia" w:ascii="宋体" w:hAnsi="宋体"/>
          <w:szCs w:val="21"/>
        </w:rPr>
      </w:pPr>
      <w:r>
        <w:rPr>
          <w:rFonts w:hint="eastAsia" w:ascii="宋体" w:hAnsi="宋体"/>
          <w:szCs w:val="21"/>
        </w:rPr>
        <w:t>投标人的资格要求详见“投标人须知前附表”。</w:t>
      </w:r>
    </w:p>
    <w:p w14:paraId="698ED99C">
      <w:pPr>
        <w:pStyle w:val="6"/>
        <w:keepNext w:val="0"/>
        <w:keepLines w:val="0"/>
        <w:spacing w:before="0" w:after="0" w:line="420" w:lineRule="atLeast"/>
        <w:ind w:left="420" w:leftChars="200"/>
        <w:rPr>
          <w:rFonts w:hint="eastAsia" w:ascii="黑体" w:hAnsi="黑体" w:eastAsia="黑体"/>
          <w:sz w:val="24"/>
        </w:rPr>
      </w:pPr>
      <w:bookmarkStart w:id="83" w:name="_Toc254970671"/>
      <w:bookmarkStart w:id="84" w:name="_Toc254970530"/>
      <w:r>
        <w:rPr>
          <w:rFonts w:hint="eastAsia" w:ascii="黑体" w:hAnsi="黑体" w:eastAsia="黑体"/>
          <w:sz w:val="24"/>
        </w:rPr>
        <w:t>4.投标委托</w:t>
      </w:r>
      <w:bookmarkEnd w:id="83"/>
      <w:bookmarkEnd w:id="84"/>
    </w:p>
    <w:p w14:paraId="283F2AA3">
      <w:pPr>
        <w:snapToGrid w:val="0"/>
        <w:spacing w:line="420" w:lineRule="atLeast"/>
        <w:ind w:firstLine="420" w:firstLineChars="200"/>
        <w:jc w:val="left"/>
        <w:rPr>
          <w:rFonts w:hint="eastAsia" w:ascii="宋体" w:hAnsi="宋体"/>
          <w:szCs w:val="21"/>
        </w:rPr>
      </w:pPr>
      <w:r>
        <w:rPr>
          <w:rFonts w:hint="eastAsia" w:ascii="宋体" w:hAnsi="宋体"/>
          <w:szCs w:val="21"/>
        </w:rPr>
        <w:t>投标人代表参加投标活动过程中必须携带个人有效身份证件。如投标人代表不是法定代表人，须持有授权委托书（按第六章要求格式填写）。</w:t>
      </w:r>
    </w:p>
    <w:p w14:paraId="1A537773">
      <w:pPr>
        <w:pStyle w:val="6"/>
        <w:keepNext w:val="0"/>
        <w:keepLines w:val="0"/>
        <w:spacing w:before="0" w:after="0" w:line="420" w:lineRule="atLeast"/>
        <w:ind w:left="420" w:leftChars="200"/>
        <w:rPr>
          <w:rFonts w:hint="eastAsia" w:ascii="黑体" w:hAnsi="黑体" w:eastAsia="黑体"/>
          <w:sz w:val="24"/>
        </w:rPr>
      </w:pPr>
      <w:bookmarkStart w:id="85" w:name="_5.投标费用"/>
      <w:bookmarkEnd w:id="85"/>
      <w:bookmarkStart w:id="86" w:name="_Toc254970531"/>
      <w:bookmarkStart w:id="87" w:name="_Toc254970672"/>
      <w:r>
        <w:rPr>
          <w:rFonts w:hint="eastAsia" w:ascii="黑体" w:hAnsi="黑体" w:eastAsia="黑体"/>
          <w:sz w:val="24"/>
        </w:rPr>
        <w:t>5.投标费用</w:t>
      </w:r>
      <w:bookmarkEnd w:id="86"/>
      <w:bookmarkEnd w:id="87"/>
    </w:p>
    <w:p w14:paraId="0F1A2E27">
      <w:pPr>
        <w:snapToGrid w:val="0"/>
        <w:spacing w:line="420" w:lineRule="atLeast"/>
        <w:ind w:firstLine="420" w:firstLineChars="200"/>
        <w:jc w:val="left"/>
        <w:rPr>
          <w:rFonts w:hint="eastAsia" w:ascii="宋体" w:hAnsi="宋体"/>
          <w:szCs w:val="21"/>
        </w:rPr>
      </w:pPr>
      <w:r>
        <w:rPr>
          <w:rFonts w:hint="eastAsia" w:ascii="宋体" w:hAnsi="宋体" w:cs="宋体"/>
          <w:szCs w:val="21"/>
        </w:rPr>
        <w:t>投标费用：投标人应承担参与本次采购活动有关的所有费用，包括但不限于获取招标文件、勘查现场、编制和提交投标文件、参加澄清说明、签订合同等，不论投标结果如何，均应自行承担。</w:t>
      </w:r>
    </w:p>
    <w:p w14:paraId="7A694A8F">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6.联合体投标</w:t>
      </w:r>
    </w:p>
    <w:p w14:paraId="345E3939">
      <w:pPr>
        <w:snapToGrid w:val="0"/>
        <w:spacing w:line="420" w:lineRule="atLeast"/>
        <w:ind w:firstLine="420" w:firstLineChars="200"/>
        <w:jc w:val="left"/>
        <w:rPr>
          <w:rFonts w:hint="eastAsia" w:ascii="宋体" w:hAnsi="宋体"/>
          <w:szCs w:val="21"/>
        </w:rPr>
      </w:pPr>
      <w:r>
        <w:rPr>
          <w:rFonts w:hint="eastAsia" w:ascii="宋体" w:hAnsi="宋体"/>
          <w:szCs w:val="21"/>
        </w:rPr>
        <w:t>6.1本项目是否接受联合体投标，详见“投标人须知前附表”。</w:t>
      </w:r>
    </w:p>
    <w:p w14:paraId="1DC6217E">
      <w:pPr>
        <w:snapToGrid w:val="0"/>
        <w:spacing w:line="420" w:lineRule="atLeast"/>
        <w:ind w:firstLine="420" w:firstLineChars="200"/>
        <w:jc w:val="left"/>
        <w:rPr>
          <w:rFonts w:hint="eastAsia" w:ascii="宋体" w:hAnsi="宋体"/>
          <w:bCs/>
          <w:szCs w:val="21"/>
        </w:rPr>
      </w:pPr>
      <w:r>
        <w:rPr>
          <w:rFonts w:hint="eastAsia" w:ascii="宋体" w:hAnsi="宋体"/>
          <w:bCs/>
          <w:szCs w:val="21"/>
        </w:rPr>
        <w:t>6.2如接受联合体投标，联合体投标要求详见“投标人须知前附表”。</w:t>
      </w:r>
    </w:p>
    <w:p w14:paraId="54FF93D2">
      <w:pPr>
        <w:pStyle w:val="6"/>
        <w:keepNext w:val="0"/>
        <w:keepLines w:val="0"/>
        <w:spacing w:before="0" w:after="0" w:line="420" w:lineRule="atLeast"/>
        <w:ind w:firstLine="424" w:firstLineChars="202"/>
        <w:rPr>
          <w:rFonts w:hint="eastAsia" w:ascii="黑体" w:hAnsi="黑体" w:eastAsia="黑体"/>
          <w:sz w:val="24"/>
        </w:rPr>
      </w:pPr>
      <w:r>
        <w:rPr>
          <w:rFonts w:hint="eastAsia" w:ascii="宋体" w:hAnsi="宋体"/>
          <w:b w:val="0"/>
          <w:bCs/>
          <w:sz w:val="21"/>
          <w:szCs w:val="21"/>
        </w:rPr>
        <w:t>6.3</w:t>
      </w:r>
      <w:r>
        <w:rPr>
          <w:rFonts w:ascii="宋体" w:hAnsi="宋体"/>
          <w:b w:val="0"/>
          <w:bCs/>
          <w:sz w:val="21"/>
          <w:szCs w:val="21"/>
        </w:rPr>
        <w:t xml:space="preserve"> </w:t>
      </w:r>
      <w:bookmarkStart w:id="88" w:name="_Hlk65857072"/>
      <w:r>
        <w:rPr>
          <w:rFonts w:hint="eastAsia" w:ascii="宋体" w:hAnsi="宋体"/>
          <w:b w:val="0"/>
          <w:bCs/>
          <w:sz w:val="21"/>
          <w:szCs w:val="21"/>
        </w:rPr>
        <w:t>根据《政府采购促进中小企业发展管理办法》，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88"/>
    </w:p>
    <w:p w14:paraId="6BD6D034">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 xml:space="preserve">7.转包与分包             </w:t>
      </w:r>
    </w:p>
    <w:p w14:paraId="2AFE50D4">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7.1本项目不允许转包。</w:t>
      </w:r>
    </w:p>
    <w:p w14:paraId="796FAB41">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C09DF70">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31CDAB39">
      <w:pPr>
        <w:pStyle w:val="6"/>
        <w:keepNext w:val="0"/>
        <w:keepLines w:val="0"/>
        <w:spacing w:before="0" w:after="0" w:line="420" w:lineRule="atLeast"/>
        <w:ind w:left="420" w:leftChars="200"/>
        <w:rPr>
          <w:rFonts w:hint="eastAsia" w:ascii="黑体" w:hAnsi="黑体" w:eastAsia="黑体"/>
          <w:sz w:val="24"/>
        </w:rPr>
      </w:pPr>
      <w:bookmarkStart w:id="89" w:name="_Toc254970532"/>
      <w:bookmarkStart w:id="90" w:name="_Toc254970673"/>
      <w:r>
        <w:rPr>
          <w:rFonts w:hint="eastAsia" w:ascii="黑体" w:hAnsi="黑体" w:eastAsia="黑体"/>
          <w:sz w:val="24"/>
        </w:rPr>
        <w:t>8.特别说明</w:t>
      </w:r>
      <w:bookmarkEnd w:id="89"/>
      <w:bookmarkEnd w:id="90"/>
    </w:p>
    <w:p w14:paraId="3A2E73E3">
      <w:pPr>
        <w:pStyle w:val="6"/>
        <w:keepNext w:val="0"/>
        <w:keepLines w:val="0"/>
        <w:spacing w:before="0" w:after="0" w:line="420" w:lineRule="atLeast"/>
        <w:ind w:firstLine="420" w:firstLineChars="200"/>
        <w:rPr>
          <w:rFonts w:hint="eastAsia" w:ascii="宋体" w:hAnsi="宋体"/>
          <w:b w:val="0"/>
          <w:sz w:val="21"/>
          <w:szCs w:val="21"/>
        </w:rPr>
      </w:pPr>
      <w:bookmarkStart w:id="91" w:name="_8.1提供相同品牌产品且通过资格审查、符合性审查的不同投标人参加同一合"/>
      <w:bookmarkEnd w:id="91"/>
      <w:r>
        <w:rPr>
          <w:rFonts w:ascii="宋体" w:hAnsi="宋体"/>
          <w:b w:val="0"/>
          <w:sz w:val="21"/>
          <w:szCs w:val="21"/>
        </w:rPr>
        <w:fldChar w:fldCharType="begin"/>
      </w:r>
      <w:r>
        <w:rPr>
          <w:rFonts w:ascii="宋体" w:hAnsi="宋体"/>
          <w:b w:val="0"/>
          <w:sz w:val="21"/>
          <w:szCs w:val="21"/>
        </w:rPr>
        <w:instrText xml:space="preserve"> HYPERLINK  \l "_8.1" </w:instrText>
      </w:r>
      <w:r>
        <w:rPr>
          <w:rFonts w:ascii="宋体" w:hAnsi="宋体"/>
          <w:b w:val="0"/>
          <w:sz w:val="21"/>
          <w:szCs w:val="21"/>
        </w:rPr>
        <w:fldChar w:fldCharType="separate"/>
      </w:r>
      <w:r>
        <w:rPr>
          <w:rFonts w:hint="eastAsia" w:ascii="宋体" w:hAnsi="宋体"/>
          <w:b w:val="0"/>
          <w:sz w:val="21"/>
          <w:szCs w:val="21"/>
        </w:rPr>
        <w:t>8.1</w:t>
      </w:r>
      <w:r>
        <w:rPr>
          <w:rFonts w:ascii="宋体" w:hAnsi="宋体"/>
          <w:b w:val="0"/>
          <w:sz w:val="21"/>
          <w:szCs w:val="21"/>
        </w:rPr>
        <w:fldChar w:fldCharType="end"/>
      </w:r>
      <w:r>
        <w:rPr>
          <w:rFonts w:hint="eastAsia" w:ascii="宋体" w:hAnsi="宋体"/>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sz w:val="22"/>
          <w:szCs w:val="22"/>
        </w:rPr>
        <w:t>其他投标无效。</w:t>
      </w:r>
    </w:p>
    <w:p w14:paraId="23209E90">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56FBEA6">
      <w:pPr>
        <w:pStyle w:val="17"/>
        <w:snapToGrid w:val="0"/>
        <w:spacing w:line="420" w:lineRule="atLeast"/>
        <w:ind w:left="2" w:leftChars="1" w:firstLine="420" w:firstLineChars="200"/>
        <w:rPr>
          <w:rFonts w:hint="eastAsia" w:hAnsi="宋体"/>
          <w:kern w:val="2"/>
          <w:sz w:val="21"/>
        </w:rPr>
      </w:pPr>
      <w:r>
        <w:rPr>
          <w:rFonts w:hint="eastAsia" w:hAnsi="宋体"/>
          <w:kern w:val="2"/>
          <w:sz w:val="21"/>
        </w:rPr>
        <w:t>非单一产品采购项目，多家投标人提供的核心产品品牌相同的，</w:t>
      </w:r>
      <w:r>
        <w:rPr>
          <w:rFonts w:hint="eastAsia" w:hAnsi="宋体"/>
          <w:sz w:val="22"/>
          <w:szCs w:val="22"/>
        </w:rPr>
        <w:t>按前两款规定处理</w:t>
      </w:r>
      <w:r>
        <w:rPr>
          <w:rFonts w:hint="eastAsia" w:hAnsi="宋体"/>
          <w:kern w:val="2"/>
          <w:sz w:val="21"/>
        </w:rPr>
        <w:t>。</w:t>
      </w:r>
    </w:p>
    <w:p w14:paraId="1AF1B2F5">
      <w:pPr>
        <w:pStyle w:val="6"/>
        <w:keepNext w:val="0"/>
        <w:keepLines w:val="0"/>
        <w:spacing w:before="0" w:after="0" w:line="420" w:lineRule="atLeast"/>
        <w:ind w:firstLine="367" w:firstLineChars="175"/>
        <w:rPr>
          <w:rFonts w:hint="eastAsia" w:ascii="宋体" w:hAnsi="宋体"/>
          <w:b w:val="0"/>
          <w:sz w:val="21"/>
          <w:szCs w:val="21"/>
        </w:rPr>
      </w:pPr>
      <w:r>
        <w:rPr>
          <w:rFonts w:hint="eastAsia" w:ascii="宋体" w:hAnsi="宋体"/>
          <w:b w:val="0"/>
          <w:sz w:val="21"/>
          <w:szCs w:val="21"/>
        </w:rPr>
        <w:t xml:space="preserve"> 8.2如果本招标文件要求提供投标人或制造商的资格、信誉、荣誉、业绩与企业认证等材料的，资格、信誉、荣誉、业绩与企业认证等必须为投标人或者制造商所拥有或自身获得 。</w:t>
      </w:r>
    </w:p>
    <w:p w14:paraId="456B33E0">
      <w:pPr>
        <w:pStyle w:val="6"/>
        <w:keepNext w:val="0"/>
        <w:keepLines w:val="0"/>
        <w:spacing w:before="0" w:after="0" w:line="420" w:lineRule="atLeast"/>
        <w:ind w:firstLine="367" w:firstLineChars="175"/>
        <w:rPr>
          <w:rFonts w:hint="eastAsia" w:ascii="宋体" w:hAnsi="宋体"/>
          <w:b w:val="0"/>
          <w:sz w:val="21"/>
          <w:szCs w:val="21"/>
        </w:rPr>
      </w:pPr>
      <w:r>
        <w:rPr>
          <w:rFonts w:hint="eastAsia" w:ascii="宋体" w:hAnsi="宋体"/>
          <w:b w:val="0"/>
          <w:sz w:val="21"/>
          <w:szCs w:val="21"/>
        </w:rPr>
        <w:t xml:space="preserve"> 8.3投标人应仔细阅读招标文件的所有内容，按照招标文件的要求提交投标文件，并对所提供的全部资料的真实性承担法律责任。</w:t>
      </w:r>
    </w:p>
    <w:p w14:paraId="3CB1EE2B">
      <w:pPr>
        <w:pStyle w:val="6"/>
        <w:keepNext w:val="0"/>
        <w:keepLines w:val="0"/>
        <w:spacing w:before="0" w:after="0" w:line="420" w:lineRule="atLeast"/>
        <w:ind w:firstLine="367" w:firstLineChars="175"/>
        <w:rPr>
          <w:rFonts w:hint="eastAsia" w:ascii="宋体" w:hAnsi="宋体"/>
          <w:b w:val="0"/>
          <w:sz w:val="21"/>
          <w:szCs w:val="21"/>
        </w:rPr>
      </w:pPr>
      <w:r>
        <w:rPr>
          <w:rFonts w:hint="eastAsia" w:ascii="宋体" w:hAnsi="宋体"/>
          <w:b w:val="0"/>
          <w:sz w:val="21"/>
          <w:szCs w:val="21"/>
        </w:rPr>
        <w:t xml:space="preserve"> 8.4投标人在投标活动中提供任何虚假材料，将报监管部门查处；中标后发现的，中标人须依法赔偿采购人，且民事赔偿并不免除违法投标人的行政与刑事责任。</w:t>
      </w:r>
    </w:p>
    <w:p w14:paraId="110AC0A4">
      <w:pPr>
        <w:pStyle w:val="6"/>
        <w:keepNext w:val="0"/>
        <w:keepLines w:val="0"/>
        <w:spacing w:before="0" w:after="0" w:line="420" w:lineRule="atLeast"/>
        <w:ind w:left="420" w:leftChars="200"/>
        <w:rPr>
          <w:rFonts w:hint="eastAsia" w:ascii="黑体" w:hAnsi="黑体" w:eastAsia="黑体"/>
          <w:sz w:val="24"/>
        </w:rPr>
      </w:pPr>
    </w:p>
    <w:p w14:paraId="648CFEF6">
      <w:pPr>
        <w:pStyle w:val="6"/>
        <w:keepNext w:val="0"/>
        <w:keepLines w:val="0"/>
        <w:spacing w:before="0" w:after="0" w:line="420" w:lineRule="atLeast"/>
        <w:ind w:left="420" w:leftChars="200"/>
        <w:rPr>
          <w:rFonts w:hint="eastAsia" w:ascii="黑体" w:hAnsi="黑体" w:eastAsia="黑体"/>
          <w:sz w:val="24"/>
        </w:rPr>
      </w:pPr>
    </w:p>
    <w:p w14:paraId="101E03BA">
      <w:pPr>
        <w:pStyle w:val="6"/>
        <w:keepNext w:val="0"/>
        <w:keepLines w:val="0"/>
        <w:spacing w:before="0" w:after="0" w:line="420" w:lineRule="atLeast"/>
        <w:ind w:left="420" w:leftChars="200"/>
        <w:rPr>
          <w:rFonts w:hint="eastAsia" w:ascii="黑体" w:hAnsi="黑体" w:eastAsia="黑体"/>
          <w:sz w:val="24"/>
        </w:rPr>
      </w:pPr>
      <w:r>
        <w:rPr>
          <w:rFonts w:ascii="黑体" w:hAnsi="黑体" w:eastAsia="黑体"/>
          <w:sz w:val="24"/>
        </w:rPr>
        <w:t>9.</w:t>
      </w:r>
      <w:r>
        <w:rPr>
          <w:rFonts w:hint="eastAsia" w:ascii="黑体" w:hAnsi="黑体" w:eastAsia="黑体"/>
          <w:sz w:val="24"/>
        </w:rPr>
        <w:t>回避与串通投标</w:t>
      </w:r>
    </w:p>
    <w:p w14:paraId="6A81C0AC">
      <w:pPr>
        <w:pStyle w:val="6"/>
        <w:keepNext w:val="0"/>
        <w:keepLines w:val="0"/>
        <w:spacing w:before="0" w:after="0" w:line="420" w:lineRule="atLeast"/>
        <w:ind w:firstLine="367" w:firstLineChars="175"/>
        <w:rPr>
          <w:rFonts w:hint="eastAsia" w:ascii="宋体" w:hAnsi="宋体"/>
          <w:b w:val="0"/>
          <w:sz w:val="21"/>
          <w:szCs w:val="21"/>
        </w:rPr>
      </w:pPr>
      <w:r>
        <w:rPr>
          <w:rFonts w:hint="eastAsia" w:ascii="宋体" w:hAnsi="宋体"/>
          <w:b w:val="0"/>
          <w:sz w:val="21"/>
          <w:szCs w:val="21"/>
        </w:rPr>
        <w:t>9</w:t>
      </w:r>
      <w:r>
        <w:rPr>
          <w:rFonts w:ascii="宋体" w:hAnsi="宋体"/>
          <w:b w:val="0"/>
          <w:sz w:val="21"/>
          <w:szCs w:val="21"/>
        </w:rPr>
        <w:t>.1在政府采购活动中，采购人员及相关人员与</w:t>
      </w:r>
      <w:r>
        <w:rPr>
          <w:rFonts w:hint="eastAsia" w:ascii="宋体" w:hAnsi="宋体"/>
          <w:b w:val="0"/>
          <w:sz w:val="21"/>
          <w:szCs w:val="21"/>
        </w:rPr>
        <w:t>供应商</w:t>
      </w:r>
      <w:r>
        <w:rPr>
          <w:rFonts w:ascii="宋体" w:hAnsi="宋体"/>
          <w:b w:val="0"/>
          <w:sz w:val="21"/>
          <w:szCs w:val="21"/>
        </w:rPr>
        <w:t>有下列利害关系之一的，应当回避：</w:t>
      </w:r>
    </w:p>
    <w:p w14:paraId="0EC978FA">
      <w:pPr>
        <w:pStyle w:val="17"/>
        <w:snapToGrid w:val="0"/>
        <w:spacing w:line="420" w:lineRule="atLeast"/>
        <w:ind w:left="2" w:leftChars="1" w:firstLine="420" w:firstLineChars="200"/>
        <w:rPr>
          <w:rFonts w:hint="eastAsia" w:hAnsi="宋体"/>
          <w:kern w:val="2"/>
          <w:sz w:val="21"/>
        </w:rPr>
      </w:pPr>
      <w:r>
        <w:rPr>
          <w:rFonts w:hAnsi="宋体"/>
          <w:kern w:val="2"/>
          <w:sz w:val="21"/>
        </w:rPr>
        <w:t>（</w:t>
      </w:r>
      <w:r>
        <w:rPr>
          <w:rFonts w:hint="eastAsia" w:hAnsi="宋体"/>
          <w:kern w:val="2"/>
          <w:sz w:val="21"/>
        </w:rPr>
        <w:t>1</w:t>
      </w:r>
      <w:r>
        <w:rPr>
          <w:rFonts w:hAnsi="宋体"/>
          <w:kern w:val="2"/>
          <w:sz w:val="21"/>
        </w:rPr>
        <w:t>）参加采购活动前3年内与</w:t>
      </w:r>
      <w:r>
        <w:rPr>
          <w:rFonts w:hint="eastAsia" w:hAnsi="宋体"/>
          <w:kern w:val="2"/>
          <w:sz w:val="21"/>
        </w:rPr>
        <w:t>供应商</w:t>
      </w:r>
      <w:r>
        <w:rPr>
          <w:rFonts w:hAnsi="宋体"/>
          <w:kern w:val="2"/>
          <w:sz w:val="21"/>
        </w:rPr>
        <w:t>存在劳动关系；</w:t>
      </w:r>
    </w:p>
    <w:p w14:paraId="6232D746">
      <w:pPr>
        <w:pStyle w:val="17"/>
        <w:snapToGrid w:val="0"/>
        <w:spacing w:line="420" w:lineRule="atLeast"/>
        <w:ind w:left="2" w:leftChars="1" w:firstLine="420" w:firstLineChars="200"/>
        <w:rPr>
          <w:rFonts w:hint="eastAsia" w:hAnsi="宋体"/>
          <w:kern w:val="2"/>
          <w:sz w:val="21"/>
        </w:rPr>
      </w:pPr>
      <w:r>
        <w:rPr>
          <w:rFonts w:hAnsi="宋体"/>
          <w:kern w:val="2"/>
          <w:sz w:val="21"/>
        </w:rPr>
        <w:t>（</w:t>
      </w:r>
      <w:r>
        <w:rPr>
          <w:rFonts w:hint="eastAsia" w:hAnsi="宋体"/>
          <w:kern w:val="2"/>
          <w:sz w:val="21"/>
        </w:rPr>
        <w:t>2</w:t>
      </w:r>
      <w:r>
        <w:rPr>
          <w:rFonts w:hAnsi="宋体"/>
          <w:kern w:val="2"/>
          <w:sz w:val="21"/>
        </w:rPr>
        <w:t>）参加采购活动前3年内担任</w:t>
      </w:r>
      <w:r>
        <w:rPr>
          <w:rFonts w:hint="eastAsia" w:hAnsi="宋体"/>
          <w:kern w:val="2"/>
          <w:sz w:val="21"/>
        </w:rPr>
        <w:t>供应商</w:t>
      </w:r>
      <w:r>
        <w:rPr>
          <w:rFonts w:hAnsi="宋体"/>
          <w:kern w:val="2"/>
          <w:sz w:val="21"/>
        </w:rPr>
        <w:t>的董事、监事；</w:t>
      </w:r>
    </w:p>
    <w:p w14:paraId="53798B12">
      <w:pPr>
        <w:pStyle w:val="17"/>
        <w:snapToGrid w:val="0"/>
        <w:spacing w:line="420" w:lineRule="atLeast"/>
        <w:ind w:left="2" w:leftChars="1" w:firstLine="420" w:firstLineChars="200"/>
        <w:rPr>
          <w:rFonts w:hint="eastAsia" w:hAnsi="宋体"/>
          <w:kern w:val="2"/>
          <w:sz w:val="21"/>
        </w:rPr>
      </w:pPr>
      <w:r>
        <w:rPr>
          <w:rFonts w:hAnsi="宋体"/>
          <w:kern w:val="2"/>
          <w:sz w:val="21"/>
        </w:rPr>
        <w:t>（</w:t>
      </w:r>
      <w:r>
        <w:rPr>
          <w:rFonts w:hint="eastAsia" w:hAnsi="宋体"/>
          <w:kern w:val="2"/>
          <w:sz w:val="21"/>
        </w:rPr>
        <w:t>3</w:t>
      </w:r>
      <w:r>
        <w:rPr>
          <w:rFonts w:hAnsi="宋体"/>
          <w:kern w:val="2"/>
          <w:sz w:val="21"/>
        </w:rPr>
        <w:t>）参加采购活动前3年内是</w:t>
      </w:r>
      <w:r>
        <w:rPr>
          <w:rFonts w:hint="eastAsia" w:hAnsi="宋体"/>
          <w:kern w:val="2"/>
          <w:sz w:val="21"/>
        </w:rPr>
        <w:t>供应商</w:t>
      </w:r>
      <w:r>
        <w:rPr>
          <w:rFonts w:hAnsi="宋体"/>
          <w:kern w:val="2"/>
          <w:sz w:val="21"/>
        </w:rPr>
        <w:t>的控股股东或者实际控制人；</w:t>
      </w:r>
    </w:p>
    <w:p w14:paraId="78D907EE">
      <w:pPr>
        <w:pStyle w:val="17"/>
        <w:snapToGrid w:val="0"/>
        <w:spacing w:line="420" w:lineRule="atLeast"/>
        <w:ind w:left="2" w:leftChars="1" w:firstLine="420" w:firstLineChars="200"/>
        <w:rPr>
          <w:rFonts w:hint="eastAsia" w:hAnsi="宋体"/>
          <w:kern w:val="2"/>
          <w:sz w:val="21"/>
        </w:rPr>
      </w:pPr>
      <w:r>
        <w:rPr>
          <w:rFonts w:hAnsi="宋体"/>
          <w:kern w:val="2"/>
          <w:sz w:val="21"/>
        </w:rPr>
        <w:t>（</w:t>
      </w:r>
      <w:r>
        <w:rPr>
          <w:rFonts w:hint="eastAsia" w:hAnsi="宋体"/>
          <w:kern w:val="2"/>
          <w:sz w:val="21"/>
        </w:rPr>
        <w:t>4</w:t>
      </w:r>
      <w:r>
        <w:rPr>
          <w:rFonts w:hAnsi="宋体"/>
          <w:kern w:val="2"/>
          <w:sz w:val="21"/>
        </w:rPr>
        <w:t>）与</w:t>
      </w:r>
      <w:r>
        <w:rPr>
          <w:rFonts w:hint="eastAsia" w:hAnsi="宋体"/>
          <w:kern w:val="2"/>
          <w:sz w:val="21"/>
        </w:rPr>
        <w:t>供应商</w:t>
      </w:r>
      <w:r>
        <w:rPr>
          <w:rFonts w:hAnsi="宋体"/>
          <w:kern w:val="2"/>
          <w:sz w:val="21"/>
        </w:rPr>
        <w:t>的法定代表人或者负责人有夫妻、直系血亲、三代以内旁系血亲或者近姻亲关系；</w:t>
      </w:r>
    </w:p>
    <w:p w14:paraId="39121FDC">
      <w:pPr>
        <w:pStyle w:val="17"/>
        <w:snapToGrid w:val="0"/>
        <w:spacing w:line="420" w:lineRule="atLeast"/>
        <w:ind w:left="2" w:leftChars="1" w:firstLine="420" w:firstLineChars="200"/>
        <w:rPr>
          <w:rFonts w:hint="eastAsia" w:hAnsi="宋体"/>
          <w:kern w:val="2"/>
          <w:sz w:val="21"/>
        </w:rPr>
      </w:pPr>
      <w:r>
        <w:rPr>
          <w:rFonts w:hAnsi="宋体"/>
          <w:kern w:val="2"/>
          <w:sz w:val="21"/>
        </w:rPr>
        <w:t>（</w:t>
      </w:r>
      <w:r>
        <w:rPr>
          <w:rFonts w:hint="eastAsia" w:hAnsi="宋体"/>
          <w:kern w:val="2"/>
          <w:sz w:val="21"/>
        </w:rPr>
        <w:t>5</w:t>
      </w:r>
      <w:r>
        <w:rPr>
          <w:rFonts w:hAnsi="宋体"/>
          <w:kern w:val="2"/>
          <w:sz w:val="21"/>
        </w:rPr>
        <w:t>）与</w:t>
      </w:r>
      <w:r>
        <w:rPr>
          <w:rFonts w:hint="eastAsia" w:hAnsi="宋体"/>
          <w:kern w:val="2"/>
          <w:sz w:val="21"/>
        </w:rPr>
        <w:t>供应商</w:t>
      </w:r>
      <w:r>
        <w:rPr>
          <w:rFonts w:hAnsi="宋体"/>
          <w:kern w:val="2"/>
          <w:sz w:val="21"/>
        </w:rPr>
        <w:t>有其他可能影响政府采购活动公平、公正进行的关系。</w:t>
      </w:r>
    </w:p>
    <w:p w14:paraId="075D1211">
      <w:pPr>
        <w:pStyle w:val="17"/>
        <w:snapToGrid w:val="0"/>
        <w:spacing w:line="420" w:lineRule="atLeast"/>
        <w:ind w:left="2" w:leftChars="1" w:firstLine="420" w:firstLineChars="200"/>
        <w:rPr>
          <w:rFonts w:hint="eastAsia" w:hAnsi="宋体"/>
          <w:kern w:val="2"/>
          <w:sz w:val="21"/>
        </w:rPr>
      </w:pPr>
      <w:r>
        <w:rPr>
          <w:rFonts w:hint="eastAsia" w:hAnsi="宋体"/>
          <w:kern w:val="2"/>
          <w:sz w:val="21"/>
        </w:rPr>
        <w:t>供应商</w:t>
      </w:r>
      <w:r>
        <w:rPr>
          <w:rFonts w:hAnsi="宋体"/>
          <w:kern w:val="2"/>
          <w:sz w:val="21"/>
        </w:rPr>
        <w:t>认为采购人员及相关人员与其他</w:t>
      </w:r>
      <w:r>
        <w:rPr>
          <w:rFonts w:hint="eastAsia" w:hAnsi="宋体"/>
          <w:kern w:val="2"/>
          <w:sz w:val="21"/>
        </w:rPr>
        <w:t>供应商</w:t>
      </w:r>
      <w:r>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14:paraId="188AD32C">
      <w:pPr>
        <w:pStyle w:val="6"/>
        <w:keepNext w:val="0"/>
        <w:keepLines w:val="0"/>
        <w:spacing w:before="0" w:after="0" w:line="420" w:lineRule="atLeast"/>
        <w:ind w:left="420" w:leftChars="200"/>
        <w:rPr>
          <w:rFonts w:hint="eastAsia" w:ascii="宋体" w:hAnsi="宋体"/>
          <w:sz w:val="21"/>
          <w:szCs w:val="21"/>
        </w:rPr>
      </w:pPr>
      <w:r>
        <w:rPr>
          <w:rFonts w:ascii="宋体" w:hAnsi="宋体"/>
          <w:sz w:val="21"/>
          <w:szCs w:val="21"/>
        </w:rPr>
        <w:t>9.2</w:t>
      </w:r>
      <w:r>
        <w:rPr>
          <w:rFonts w:hint="eastAsia" w:ascii="宋体" w:hAnsi="宋体"/>
          <w:sz w:val="21"/>
          <w:szCs w:val="21"/>
        </w:rPr>
        <w:t>有下列情形之一的视为投标人相互串通投标，投标文件将被视为无效：</w:t>
      </w:r>
    </w:p>
    <w:p w14:paraId="20D3ECEB">
      <w:pPr>
        <w:pStyle w:val="17"/>
        <w:snapToGrid w:val="0"/>
        <w:spacing w:line="420" w:lineRule="atLeast"/>
        <w:ind w:left="2" w:leftChars="1" w:firstLine="422" w:firstLineChars="200"/>
        <w:rPr>
          <w:rFonts w:hint="eastAsia" w:hAnsi="宋体"/>
          <w:b/>
          <w:kern w:val="2"/>
          <w:sz w:val="21"/>
        </w:rPr>
      </w:pPr>
      <w:r>
        <w:rPr>
          <w:rFonts w:hint="eastAsia" w:hAnsi="宋体"/>
          <w:b/>
          <w:kern w:val="2"/>
          <w:sz w:val="21"/>
        </w:rPr>
        <w:t xml:space="preserve">（1）不同投标人的投标文件由同一单位或者个人编制； </w:t>
      </w:r>
    </w:p>
    <w:p w14:paraId="7D34B41B">
      <w:pPr>
        <w:pStyle w:val="17"/>
        <w:snapToGrid w:val="0"/>
        <w:spacing w:line="420" w:lineRule="atLeast"/>
        <w:ind w:left="2" w:leftChars="1" w:firstLine="422" w:firstLineChars="200"/>
        <w:rPr>
          <w:rFonts w:hint="eastAsia" w:hAnsi="宋体"/>
          <w:b/>
          <w:kern w:val="2"/>
          <w:sz w:val="21"/>
        </w:rPr>
      </w:pPr>
      <w:r>
        <w:rPr>
          <w:rFonts w:hint="eastAsia" w:hAnsi="宋体"/>
          <w:b/>
          <w:kern w:val="2"/>
          <w:sz w:val="21"/>
        </w:rPr>
        <w:t>（2）不同投标人委托同一单位或者个人办理投标事宜；</w:t>
      </w:r>
    </w:p>
    <w:p w14:paraId="69EE6D9C">
      <w:pPr>
        <w:pStyle w:val="17"/>
        <w:snapToGrid w:val="0"/>
        <w:spacing w:line="420" w:lineRule="atLeast"/>
        <w:ind w:left="2" w:leftChars="1" w:firstLine="422" w:firstLineChars="200"/>
        <w:rPr>
          <w:rFonts w:hint="eastAsia" w:hAnsi="宋体"/>
          <w:b/>
          <w:kern w:val="2"/>
          <w:sz w:val="21"/>
        </w:rPr>
      </w:pPr>
      <w:r>
        <w:rPr>
          <w:rFonts w:hint="eastAsia" w:hAnsi="宋体"/>
          <w:b/>
          <w:kern w:val="2"/>
          <w:sz w:val="21"/>
        </w:rPr>
        <w:t>（3）不同的投标人的投标文件载明的项目管理员为同一个人；</w:t>
      </w:r>
    </w:p>
    <w:p w14:paraId="7AEFF8F9">
      <w:pPr>
        <w:pStyle w:val="17"/>
        <w:snapToGrid w:val="0"/>
        <w:spacing w:line="420" w:lineRule="atLeast"/>
        <w:ind w:left="2" w:leftChars="1" w:firstLine="422" w:firstLineChars="200"/>
        <w:rPr>
          <w:rFonts w:hint="eastAsia" w:hAnsi="宋体"/>
          <w:b/>
          <w:kern w:val="2"/>
          <w:sz w:val="21"/>
        </w:rPr>
      </w:pPr>
      <w:r>
        <w:rPr>
          <w:rFonts w:hint="eastAsia" w:hAnsi="宋体"/>
          <w:b/>
          <w:kern w:val="2"/>
          <w:sz w:val="21"/>
        </w:rPr>
        <w:t>（4）不同投标人的投标文件异常一致或者投标报价呈规律性差异；</w:t>
      </w:r>
    </w:p>
    <w:p w14:paraId="632F5999">
      <w:pPr>
        <w:pStyle w:val="17"/>
        <w:snapToGrid w:val="0"/>
        <w:spacing w:line="420" w:lineRule="atLeast"/>
        <w:ind w:left="2" w:leftChars="1" w:firstLine="422" w:firstLineChars="200"/>
        <w:rPr>
          <w:rFonts w:hint="eastAsia" w:hAnsi="宋体"/>
          <w:b/>
          <w:kern w:val="2"/>
          <w:sz w:val="21"/>
        </w:rPr>
      </w:pPr>
      <w:r>
        <w:rPr>
          <w:rFonts w:hint="eastAsia" w:hAnsi="宋体"/>
          <w:b/>
          <w:kern w:val="2"/>
          <w:sz w:val="21"/>
        </w:rPr>
        <w:t>（5）不同投标人的投标文件相互混装；</w:t>
      </w:r>
    </w:p>
    <w:p w14:paraId="2A8D2736">
      <w:pPr>
        <w:pStyle w:val="17"/>
        <w:snapToGrid w:val="0"/>
        <w:spacing w:line="420" w:lineRule="atLeast"/>
        <w:ind w:left="2" w:leftChars="1" w:firstLine="422" w:firstLineChars="200"/>
        <w:rPr>
          <w:rFonts w:hint="eastAsia" w:hAnsi="宋体"/>
          <w:b/>
          <w:kern w:val="2"/>
          <w:sz w:val="21"/>
        </w:rPr>
      </w:pPr>
      <w:r>
        <w:rPr>
          <w:rFonts w:hint="eastAsia" w:hAnsi="宋体"/>
          <w:b/>
          <w:kern w:val="2"/>
          <w:sz w:val="21"/>
        </w:rPr>
        <w:t>（6）不同投标人的投标保证金从同一单位或者个人账户转出。</w:t>
      </w:r>
    </w:p>
    <w:p w14:paraId="04261A4A">
      <w:pPr>
        <w:pStyle w:val="6"/>
        <w:keepNext w:val="0"/>
        <w:keepLines w:val="0"/>
        <w:spacing w:before="0" w:after="0" w:line="420" w:lineRule="atLeast"/>
        <w:ind w:left="420" w:leftChars="200"/>
        <w:rPr>
          <w:rFonts w:hint="eastAsia" w:ascii="宋体" w:hAnsi="宋体"/>
          <w:b w:val="0"/>
          <w:sz w:val="21"/>
          <w:szCs w:val="21"/>
        </w:rPr>
      </w:pPr>
      <w:r>
        <w:rPr>
          <w:rFonts w:ascii="宋体" w:hAnsi="宋体"/>
          <w:b w:val="0"/>
          <w:sz w:val="21"/>
          <w:szCs w:val="21"/>
        </w:rPr>
        <w:t>9.3</w:t>
      </w:r>
      <w:r>
        <w:rPr>
          <w:rFonts w:hint="eastAsia" w:ascii="宋体" w:hAnsi="宋体"/>
          <w:b w:val="0"/>
          <w:sz w:val="21"/>
          <w:szCs w:val="21"/>
        </w:rPr>
        <w:t>供应商有下列情形之一的，属于恶意串通行为，将报同级监督管理部门：</w:t>
      </w:r>
    </w:p>
    <w:p w14:paraId="44CB29ED">
      <w:pPr>
        <w:pStyle w:val="17"/>
        <w:snapToGrid w:val="0"/>
        <w:spacing w:line="420" w:lineRule="atLeast"/>
        <w:ind w:left="2" w:leftChars="1" w:firstLine="420" w:firstLineChars="200"/>
        <w:rPr>
          <w:rFonts w:hint="eastAsia" w:hAnsi="宋体"/>
          <w:kern w:val="2"/>
          <w:sz w:val="21"/>
        </w:rPr>
      </w:pPr>
      <w:r>
        <w:rPr>
          <w:rFonts w:hint="eastAsia" w:hAnsi="宋体"/>
          <w:kern w:val="2"/>
          <w:sz w:val="21"/>
        </w:rPr>
        <w:t>（1）供应商直接或者间接从采购人或者采购代理机构处获得其他供应商的相关信息并修改其投标文件或者响应文件；</w:t>
      </w:r>
    </w:p>
    <w:p w14:paraId="411446E8">
      <w:pPr>
        <w:pStyle w:val="17"/>
        <w:snapToGrid w:val="0"/>
        <w:spacing w:line="420" w:lineRule="atLeast"/>
        <w:ind w:left="2" w:leftChars="1" w:firstLine="420" w:firstLineChars="200"/>
        <w:rPr>
          <w:rFonts w:hint="eastAsia" w:hAnsi="宋体"/>
          <w:kern w:val="2"/>
          <w:sz w:val="21"/>
        </w:rPr>
      </w:pPr>
      <w:r>
        <w:rPr>
          <w:rFonts w:hint="eastAsia" w:hAnsi="宋体"/>
          <w:kern w:val="2"/>
          <w:sz w:val="21"/>
        </w:rPr>
        <w:t>（2）供应商按照采购人或者采购代理机构的授意撤换、修改投标文件或者响应文件；</w:t>
      </w:r>
    </w:p>
    <w:p w14:paraId="41F11C01">
      <w:pPr>
        <w:pStyle w:val="17"/>
        <w:snapToGrid w:val="0"/>
        <w:spacing w:line="420" w:lineRule="atLeast"/>
        <w:ind w:left="2" w:leftChars="1" w:firstLine="420" w:firstLineChars="200"/>
        <w:rPr>
          <w:rFonts w:hint="eastAsia" w:hAnsi="宋体"/>
          <w:kern w:val="2"/>
          <w:sz w:val="21"/>
        </w:rPr>
      </w:pPr>
      <w:r>
        <w:rPr>
          <w:rFonts w:hint="eastAsia" w:hAnsi="宋体"/>
          <w:kern w:val="2"/>
          <w:sz w:val="21"/>
        </w:rPr>
        <w:t>（3）供应商之间协商报价、技术方案等投标文件或者响应文件的实质性内容；</w:t>
      </w:r>
    </w:p>
    <w:p w14:paraId="59CC3784">
      <w:pPr>
        <w:pStyle w:val="17"/>
        <w:snapToGrid w:val="0"/>
        <w:spacing w:line="420" w:lineRule="atLeast"/>
        <w:ind w:left="2" w:leftChars="1" w:firstLine="420" w:firstLineChars="200"/>
        <w:rPr>
          <w:rFonts w:hint="eastAsia" w:hAnsi="宋体"/>
          <w:kern w:val="2"/>
          <w:sz w:val="21"/>
        </w:rPr>
      </w:pPr>
      <w:r>
        <w:rPr>
          <w:rFonts w:hint="eastAsia" w:hAnsi="宋体"/>
          <w:kern w:val="2"/>
          <w:sz w:val="21"/>
        </w:rPr>
        <w:t>（4）属于同一集团、协会、商会等组织成员的供应商按照该组织要求协同参加政府采购活动；</w:t>
      </w:r>
    </w:p>
    <w:p w14:paraId="0A7AA50A">
      <w:pPr>
        <w:pStyle w:val="17"/>
        <w:snapToGrid w:val="0"/>
        <w:spacing w:line="420" w:lineRule="atLeast"/>
        <w:ind w:left="2" w:leftChars="1" w:firstLine="420" w:firstLineChars="200"/>
        <w:rPr>
          <w:rFonts w:hint="eastAsia" w:hAnsi="宋体"/>
          <w:kern w:val="2"/>
          <w:sz w:val="21"/>
        </w:rPr>
      </w:pPr>
      <w:r>
        <w:rPr>
          <w:rFonts w:hint="eastAsia" w:hAnsi="宋体"/>
          <w:kern w:val="2"/>
          <w:sz w:val="21"/>
        </w:rPr>
        <w:t>（5）供应商之间事先约定一致抬高或者压低投标报价，或者在招标项目中事先约定轮流以高价位或者低价位中标，或者事先约定由某一特定供应商中标，然后再参加投标；</w:t>
      </w:r>
    </w:p>
    <w:p w14:paraId="1E1A1B32">
      <w:pPr>
        <w:pStyle w:val="17"/>
        <w:snapToGrid w:val="0"/>
        <w:spacing w:line="420" w:lineRule="atLeast"/>
        <w:ind w:left="2" w:leftChars="1" w:firstLine="420" w:firstLineChars="200"/>
        <w:rPr>
          <w:rFonts w:hint="eastAsia" w:hAnsi="宋体"/>
          <w:kern w:val="2"/>
          <w:sz w:val="21"/>
        </w:rPr>
      </w:pPr>
      <w:r>
        <w:rPr>
          <w:rFonts w:hint="eastAsia" w:hAnsi="宋体"/>
          <w:kern w:val="2"/>
          <w:sz w:val="21"/>
        </w:rPr>
        <w:t>（6）供应商之间商定部分供应商放弃参加政府采购活动或者放弃中标；</w:t>
      </w:r>
    </w:p>
    <w:p w14:paraId="6A92073B">
      <w:pPr>
        <w:pStyle w:val="17"/>
        <w:snapToGrid w:val="0"/>
        <w:spacing w:line="420" w:lineRule="atLeast"/>
        <w:ind w:left="2" w:leftChars="1" w:firstLine="420" w:firstLineChars="200"/>
      </w:pPr>
      <w:r>
        <w:rPr>
          <w:rFonts w:hint="eastAsia" w:hAnsi="宋体"/>
          <w:kern w:val="2"/>
          <w:sz w:val="21"/>
        </w:rPr>
        <w:t>（7）供应商与采购人或者采购代理机构之间、供应商相互之间，为谋求特定供应商中标或者排斥其他供应商的其他串通行为。</w:t>
      </w:r>
      <w:bookmarkStart w:id="92" w:name="_Toc254970675"/>
      <w:bookmarkStart w:id="93" w:name="_Toc254970534"/>
    </w:p>
    <w:p w14:paraId="7F2C59DE">
      <w:pPr>
        <w:pStyle w:val="4"/>
        <w:keepNext w:val="0"/>
        <w:keepLines w:val="0"/>
        <w:spacing w:line="420" w:lineRule="atLeast"/>
        <w:jc w:val="center"/>
      </w:pPr>
    </w:p>
    <w:p w14:paraId="63808804">
      <w:pPr>
        <w:pStyle w:val="4"/>
        <w:keepNext w:val="0"/>
        <w:keepLines w:val="0"/>
        <w:spacing w:line="420" w:lineRule="atLeast"/>
        <w:jc w:val="center"/>
      </w:pPr>
    </w:p>
    <w:p w14:paraId="54EEF0B8">
      <w:pPr>
        <w:pStyle w:val="4"/>
        <w:keepNext w:val="0"/>
        <w:keepLines w:val="0"/>
        <w:spacing w:line="420" w:lineRule="atLeast"/>
        <w:jc w:val="center"/>
      </w:pPr>
      <w:r>
        <w:rPr>
          <w:rFonts w:hint="eastAsia"/>
        </w:rPr>
        <w:t>二、招标文件</w:t>
      </w:r>
      <w:bookmarkEnd w:id="92"/>
      <w:bookmarkEnd w:id="93"/>
    </w:p>
    <w:p w14:paraId="6D95B8EE">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10.招标文件的组成</w:t>
      </w:r>
    </w:p>
    <w:p w14:paraId="23E4667E">
      <w:pPr>
        <w:snapToGrid w:val="0"/>
        <w:spacing w:line="420" w:lineRule="atLeast"/>
        <w:ind w:firstLine="420"/>
        <w:jc w:val="left"/>
        <w:rPr>
          <w:rFonts w:hint="eastAsia" w:ascii="宋体" w:hAnsi="宋体"/>
          <w:szCs w:val="21"/>
        </w:rPr>
      </w:pPr>
      <w:r>
        <w:rPr>
          <w:rFonts w:hint="eastAsia" w:ascii="宋体" w:hAnsi="宋体"/>
          <w:szCs w:val="21"/>
        </w:rPr>
        <w:t>（1）招标公告；</w:t>
      </w:r>
    </w:p>
    <w:p w14:paraId="0C3CB622">
      <w:pPr>
        <w:snapToGrid w:val="0"/>
        <w:spacing w:line="420" w:lineRule="atLeast"/>
        <w:ind w:firstLine="420"/>
        <w:jc w:val="left"/>
        <w:rPr>
          <w:rFonts w:hint="eastAsia" w:ascii="宋体" w:hAnsi="宋体"/>
          <w:szCs w:val="21"/>
        </w:rPr>
      </w:pPr>
      <w:r>
        <w:rPr>
          <w:rFonts w:hint="eastAsia" w:ascii="宋体" w:hAnsi="宋体"/>
          <w:szCs w:val="21"/>
        </w:rPr>
        <w:t xml:space="preserve">（2）采购需求； </w:t>
      </w:r>
    </w:p>
    <w:p w14:paraId="1023FF56">
      <w:pPr>
        <w:snapToGrid w:val="0"/>
        <w:spacing w:line="420" w:lineRule="atLeast"/>
        <w:ind w:firstLine="420"/>
        <w:jc w:val="left"/>
        <w:rPr>
          <w:rFonts w:hint="eastAsia" w:ascii="宋体" w:hAnsi="宋体"/>
          <w:szCs w:val="21"/>
        </w:rPr>
      </w:pPr>
      <w:r>
        <w:rPr>
          <w:rFonts w:hint="eastAsia" w:ascii="宋体" w:hAnsi="宋体"/>
          <w:szCs w:val="21"/>
        </w:rPr>
        <w:t>（3）投标人须知；</w:t>
      </w:r>
    </w:p>
    <w:p w14:paraId="50073692">
      <w:pPr>
        <w:snapToGrid w:val="0"/>
        <w:spacing w:line="420" w:lineRule="atLeast"/>
        <w:ind w:firstLine="420"/>
        <w:jc w:val="left"/>
        <w:rPr>
          <w:rFonts w:hint="eastAsia" w:ascii="宋体" w:hAnsi="宋体"/>
          <w:szCs w:val="21"/>
        </w:rPr>
      </w:pPr>
      <w:r>
        <w:rPr>
          <w:rFonts w:hint="eastAsia" w:ascii="宋体" w:hAnsi="宋体"/>
          <w:szCs w:val="21"/>
        </w:rPr>
        <w:t>（4）评标方法及评标标准；</w:t>
      </w:r>
    </w:p>
    <w:p w14:paraId="3FC55EF3">
      <w:pPr>
        <w:snapToGrid w:val="0"/>
        <w:spacing w:line="420" w:lineRule="atLeast"/>
        <w:ind w:firstLine="420"/>
        <w:jc w:val="left"/>
        <w:rPr>
          <w:rFonts w:hint="eastAsia" w:ascii="宋体" w:hAnsi="宋体"/>
          <w:szCs w:val="21"/>
        </w:rPr>
      </w:pPr>
      <w:r>
        <w:rPr>
          <w:rFonts w:hint="eastAsia" w:ascii="宋体" w:hAnsi="宋体"/>
          <w:szCs w:val="21"/>
        </w:rPr>
        <w:t>（5）拟签订的合同文本；</w:t>
      </w:r>
    </w:p>
    <w:p w14:paraId="11D856F0">
      <w:pPr>
        <w:snapToGrid w:val="0"/>
        <w:spacing w:line="420" w:lineRule="atLeast"/>
        <w:ind w:firstLine="420"/>
        <w:jc w:val="left"/>
        <w:rPr>
          <w:rFonts w:hint="eastAsia" w:ascii="宋体" w:hAnsi="宋体"/>
          <w:szCs w:val="21"/>
        </w:rPr>
      </w:pPr>
      <w:r>
        <w:rPr>
          <w:rFonts w:hint="eastAsia" w:ascii="宋体" w:hAnsi="宋体"/>
          <w:szCs w:val="21"/>
        </w:rPr>
        <w:t>（6）投标文件格式。</w:t>
      </w:r>
    </w:p>
    <w:p w14:paraId="338BF3AE">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11.招标文件的澄清、修改 、现场考察和答疑会</w:t>
      </w:r>
    </w:p>
    <w:p w14:paraId="1B10206C">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54B88A47">
      <w:pPr>
        <w:pStyle w:val="6"/>
        <w:keepNext w:val="0"/>
        <w:keepLines w:val="0"/>
        <w:numPr>
          <w:ilvl w:val="0"/>
          <w:numId w:val="0"/>
        </w:numPr>
        <w:spacing w:before="0" w:after="0" w:line="420" w:lineRule="atLeast"/>
        <w:ind w:firstLine="420" w:firstLineChars="200"/>
        <w:rPr>
          <w:rFonts w:hint="eastAsia" w:ascii="宋体" w:hAnsi="宋体"/>
        </w:rPr>
      </w:pPr>
      <w:r>
        <w:rPr>
          <w:rFonts w:hint="eastAsia" w:ascii="宋体" w:hAnsi="宋体"/>
          <w:b w:val="0"/>
          <w:sz w:val="21"/>
          <w:szCs w:val="21"/>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469DA4BA">
      <w:pPr>
        <w:spacing w:line="420" w:lineRule="atLeast"/>
        <w:ind w:firstLine="420" w:firstLineChars="200"/>
        <w:rPr>
          <w:rFonts w:hint="eastAsia" w:ascii="宋体" w:hAnsi="宋体"/>
          <w:szCs w:val="21"/>
        </w:rPr>
      </w:pPr>
      <w:r>
        <w:rPr>
          <w:rFonts w:hint="eastAsia" w:ascii="宋体" w:hAnsi="宋体"/>
        </w:rPr>
        <w:t>11.3采购人和采购代理机构可以视采购具体情况，变更投标截止时间和开标时间，并</w:t>
      </w:r>
      <w:r>
        <w:rPr>
          <w:rFonts w:hint="eastAsia" w:ascii="宋体" w:hAnsi="宋体"/>
          <w:szCs w:val="21"/>
        </w:rPr>
        <w:t>在原公告发布媒体上发布更正公告。</w:t>
      </w:r>
    </w:p>
    <w:p w14:paraId="28C552BB">
      <w:pPr>
        <w:spacing w:line="420" w:lineRule="atLeast"/>
        <w:ind w:firstLine="420" w:firstLineChars="200"/>
        <w:rPr>
          <w:rFonts w:hint="eastAsia" w:hAnsi="宋体"/>
        </w:rPr>
      </w:pPr>
      <w:r>
        <w:rPr>
          <w:rFonts w:hint="eastAsia" w:ascii="宋体" w:hAnsi="宋体"/>
          <w:szCs w:val="21"/>
        </w:rPr>
        <w:t>11.4招标文件澄清、答复、修改、补充的内容为招标文件的组成部分。</w:t>
      </w:r>
      <w:r>
        <w:rPr>
          <w:rFonts w:hint="eastAsia" w:ascii="宋体" w:hAnsi="宋体"/>
          <w:b/>
          <w:szCs w:val="21"/>
        </w:rPr>
        <w:t>当招标文件与招标文件的澄清、答复、修改、补充通知就同一内容的表述不一致时，以最后发出的文件为准。</w:t>
      </w:r>
    </w:p>
    <w:p w14:paraId="35039DA3">
      <w:pPr>
        <w:pStyle w:val="17"/>
        <w:snapToGrid w:val="0"/>
        <w:spacing w:line="420" w:lineRule="atLeast"/>
        <w:ind w:firstLine="420" w:firstLineChars="200"/>
        <w:rPr>
          <w:rFonts w:hint="eastAsia" w:hAnsi="宋体"/>
          <w:sz w:val="21"/>
        </w:rPr>
      </w:pPr>
      <w:r>
        <w:rPr>
          <w:rFonts w:hint="eastAsia" w:hAnsi="宋体"/>
          <w:sz w:val="21"/>
        </w:rPr>
        <w:t>1</w:t>
      </w:r>
      <w:r>
        <w:rPr>
          <w:rFonts w:hAnsi="宋体"/>
          <w:sz w:val="21"/>
        </w:rPr>
        <w:t>1.</w:t>
      </w:r>
      <w:bookmarkStart w:id="94" w:name="_Hlk53134511"/>
      <w:r>
        <w:rPr>
          <w:rFonts w:hint="eastAsia" w:hAnsi="宋体"/>
          <w:sz w:val="21"/>
        </w:rPr>
        <w:t>5采购人或者采购代理机构可以在招标文件提供期限截止后，组织已获取招标文件的潜在投标人现场考察或者召开开标前答疑会，具体详见“投标人须知前附表”。</w:t>
      </w:r>
    </w:p>
    <w:p w14:paraId="66C3378D">
      <w:pPr>
        <w:pStyle w:val="17"/>
        <w:snapToGrid w:val="0"/>
        <w:spacing w:line="420" w:lineRule="atLeast"/>
        <w:ind w:firstLine="420" w:firstLineChars="200"/>
        <w:rPr>
          <w:rFonts w:hint="eastAsia" w:hAnsi="宋体"/>
          <w:sz w:val="21"/>
        </w:rPr>
      </w:pPr>
    </w:p>
    <w:bookmarkEnd w:id="94"/>
    <w:p w14:paraId="6A37050C">
      <w:pPr>
        <w:pStyle w:val="4"/>
        <w:keepNext w:val="0"/>
        <w:keepLines w:val="0"/>
        <w:spacing w:line="420" w:lineRule="atLeast"/>
        <w:jc w:val="center"/>
      </w:pPr>
      <w:bookmarkStart w:id="95" w:name="_Toc254970676"/>
      <w:bookmarkStart w:id="96" w:name="_Toc254970535"/>
      <w:r>
        <w:rPr>
          <w:rFonts w:hint="eastAsia"/>
        </w:rPr>
        <w:t>三、投标文件的编制</w:t>
      </w:r>
      <w:bookmarkEnd w:id="95"/>
      <w:bookmarkEnd w:id="96"/>
    </w:p>
    <w:p w14:paraId="5BC97B9E">
      <w:pPr>
        <w:pStyle w:val="6"/>
        <w:keepNext w:val="0"/>
        <w:keepLines w:val="0"/>
        <w:spacing w:before="0" w:after="0" w:line="420" w:lineRule="atLeast"/>
        <w:ind w:left="420" w:leftChars="200"/>
        <w:rPr>
          <w:rFonts w:hint="eastAsia" w:ascii="黑体" w:hAnsi="黑体" w:eastAsia="黑体"/>
          <w:sz w:val="24"/>
        </w:rPr>
      </w:pPr>
      <w:bookmarkStart w:id="97" w:name="_Toc254970677"/>
      <w:bookmarkStart w:id="98" w:name="_Toc254970536"/>
      <w:r>
        <w:rPr>
          <w:rFonts w:hint="eastAsia" w:ascii="黑体" w:hAnsi="黑体" w:eastAsia="黑体"/>
          <w:sz w:val="24"/>
        </w:rPr>
        <w:t>12.投标文件的编制原则</w:t>
      </w:r>
    </w:p>
    <w:p w14:paraId="5B984991">
      <w:pPr>
        <w:snapToGrid w:val="0"/>
        <w:spacing w:line="420" w:lineRule="atLeast"/>
        <w:ind w:firstLine="420"/>
        <w:jc w:val="left"/>
        <w:rPr>
          <w:rFonts w:hint="eastAsia" w:ascii="宋体" w:hAnsi="宋体" w:cs="Courier New"/>
          <w:szCs w:val="21"/>
        </w:rPr>
      </w:pPr>
      <w:r>
        <w:rPr>
          <w:rFonts w:ascii="宋体" w:hAnsi="宋体"/>
          <w:szCs w:val="21"/>
        </w:rPr>
        <w:t>投标人必须按照招标文件的要求编制投标文件。投标文件必须对招标文件提出的要求和条件作出明确响应。</w:t>
      </w:r>
    </w:p>
    <w:p w14:paraId="7C4B3276">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13.投标文件的组成</w:t>
      </w:r>
      <w:bookmarkEnd w:id="97"/>
      <w:bookmarkEnd w:id="98"/>
    </w:p>
    <w:p w14:paraId="6BDBE38F">
      <w:pPr>
        <w:snapToGrid w:val="0"/>
        <w:spacing w:line="420" w:lineRule="atLeast"/>
        <w:ind w:firstLine="420" w:firstLineChars="200"/>
        <w:jc w:val="left"/>
        <w:rPr>
          <w:rFonts w:hint="eastAsia" w:ascii="宋体" w:hAnsi="宋体"/>
          <w:szCs w:val="21"/>
        </w:rPr>
      </w:pPr>
      <w:r>
        <w:rPr>
          <w:rFonts w:hint="eastAsia" w:ascii="宋体" w:hAnsi="宋体"/>
          <w:szCs w:val="21"/>
        </w:rPr>
        <w:t>1</w:t>
      </w:r>
      <w:r>
        <w:rPr>
          <w:rFonts w:ascii="宋体" w:hAnsi="宋体"/>
          <w:szCs w:val="21"/>
        </w:rPr>
        <w:t>3.1</w:t>
      </w:r>
      <w:r>
        <w:rPr>
          <w:rFonts w:hint="eastAsia" w:ascii="宋体" w:hAnsi="宋体"/>
          <w:szCs w:val="21"/>
        </w:rPr>
        <w:t>投标文件由报价文件、资格证明文件、商务文件、技术文件四部分组成。</w:t>
      </w:r>
    </w:p>
    <w:p w14:paraId="6DB5C72E">
      <w:pPr>
        <w:pStyle w:val="6"/>
        <w:keepNext w:val="0"/>
        <w:keepLines w:val="0"/>
        <w:spacing w:before="0" w:after="0" w:line="420" w:lineRule="atLeast"/>
        <w:ind w:left="420" w:leftChars="200"/>
        <w:rPr>
          <w:rFonts w:hint="eastAsia" w:ascii="宋体" w:hAnsi="宋体"/>
          <w:b w:val="0"/>
          <w:sz w:val="21"/>
          <w:szCs w:val="21"/>
        </w:rPr>
      </w:pPr>
      <w:bookmarkStart w:id="99" w:name="_13.1报价文件:_具体材料见“投标人须知前附表”。"/>
      <w:bookmarkEnd w:id="99"/>
      <w:r>
        <w:rPr>
          <w:rFonts w:hint="eastAsia" w:ascii="宋体" w:hAnsi="宋体"/>
          <w:b w:val="0"/>
          <w:sz w:val="21"/>
          <w:szCs w:val="21"/>
        </w:rPr>
        <w:t>（1）报价文件：</w:t>
      </w:r>
      <w:r>
        <w:rPr>
          <w:rFonts w:ascii="宋体" w:hAnsi="宋体"/>
          <w:b w:val="0"/>
          <w:sz w:val="21"/>
          <w:szCs w:val="21"/>
        </w:rPr>
        <w:t xml:space="preserve"> 具体材料见“投标人须知前附表”</w:t>
      </w:r>
      <w:r>
        <w:rPr>
          <w:rFonts w:hint="eastAsia" w:ascii="宋体" w:hAnsi="宋体"/>
          <w:b w:val="0"/>
          <w:sz w:val="21"/>
          <w:szCs w:val="21"/>
        </w:rPr>
        <w:t>。</w:t>
      </w:r>
    </w:p>
    <w:p w14:paraId="71A70EA4">
      <w:pPr>
        <w:pStyle w:val="6"/>
        <w:keepNext w:val="0"/>
        <w:keepLines w:val="0"/>
        <w:spacing w:before="0" w:after="0" w:line="420" w:lineRule="atLeast"/>
        <w:ind w:left="420" w:leftChars="200"/>
        <w:rPr>
          <w:rFonts w:hint="eastAsia" w:ascii="宋体" w:hAnsi="宋体"/>
          <w:b w:val="0"/>
          <w:sz w:val="21"/>
          <w:szCs w:val="21"/>
        </w:rPr>
      </w:pPr>
      <w:bookmarkStart w:id="100" w:name="_13.2资格证明文件：具体材料见“投标人须知前附表”。"/>
      <w:bookmarkEnd w:id="100"/>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）资格证明文件：</w:t>
      </w:r>
      <w:r>
        <w:rPr>
          <w:rFonts w:ascii="宋体" w:hAnsi="宋体"/>
          <w:b w:val="0"/>
          <w:sz w:val="21"/>
          <w:szCs w:val="21"/>
        </w:rPr>
        <w:t>具体材料见“投标人须知前附表”</w:t>
      </w:r>
      <w:r>
        <w:rPr>
          <w:rFonts w:hint="eastAsia" w:ascii="宋体" w:hAnsi="宋体"/>
          <w:b w:val="0"/>
          <w:sz w:val="21"/>
          <w:szCs w:val="21"/>
        </w:rPr>
        <w:t>。</w:t>
      </w:r>
    </w:p>
    <w:p w14:paraId="30E9AF2D">
      <w:pPr>
        <w:pStyle w:val="6"/>
        <w:keepNext w:val="0"/>
        <w:keepLines w:val="0"/>
        <w:spacing w:before="0" w:after="0" w:line="420" w:lineRule="atLeast"/>
        <w:ind w:left="420" w:leftChars="200"/>
        <w:rPr>
          <w:rFonts w:hint="eastAsia" w:ascii="宋体" w:hAnsi="宋体"/>
          <w:b w:val="0"/>
          <w:sz w:val="21"/>
          <w:szCs w:val="21"/>
        </w:rPr>
      </w:pPr>
      <w:bookmarkStart w:id="101" w:name="_13.3商务文件:_具体材料见“投标人须知前附表”。"/>
      <w:bookmarkEnd w:id="101"/>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）商务文件：</w:t>
      </w:r>
      <w:r>
        <w:rPr>
          <w:rFonts w:ascii="宋体" w:hAnsi="宋体"/>
          <w:b w:val="0"/>
          <w:sz w:val="21"/>
          <w:szCs w:val="21"/>
        </w:rPr>
        <w:t>具体材料见“投标人须知前附表”</w:t>
      </w:r>
      <w:r>
        <w:rPr>
          <w:rFonts w:hint="eastAsia" w:ascii="宋体" w:hAnsi="宋体"/>
          <w:b w:val="0"/>
          <w:sz w:val="21"/>
          <w:szCs w:val="21"/>
        </w:rPr>
        <w:t>。</w:t>
      </w:r>
    </w:p>
    <w:p w14:paraId="0FF22618">
      <w:pPr>
        <w:pStyle w:val="6"/>
        <w:keepNext w:val="0"/>
        <w:keepLines w:val="0"/>
        <w:spacing w:before="0" w:after="0" w:line="420" w:lineRule="atLeast"/>
        <w:ind w:left="420" w:leftChars="200"/>
        <w:rPr>
          <w:rFonts w:hint="eastAsia" w:ascii="宋体" w:hAnsi="宋体"/>
          <w:b w:val="0"/>
          <w:sz w:val="21"/>
          <w:szCs w:val="21"/>
        </w:rPr>
      </w:pPr>
      <w:bookmarkStart w:id="102" w:name="_13.4技术文件：具体材料见“投标人须知前附表”。"/>
      <w:bookmarkEnd w:id="102"/>
      <w:r>
        <w:rPr>
          <w:rFonts w:hint="eastAsia" w:ascii="宋体" w:hAnsi="宋体"/>
          <w:b w:val="0"/>
          <w:sz w:val="21"/>
          <w:szCs w:val="21"/>
        </w:rPr>
        <w:t>（</w:t>
      </w:r>
      <w:r>
        <w:rPr>
          <w:rFonts w:ascii="宋体" w:hAnsi="宋体"/>
          <w:b w:val="0"/>
          <w:sz w:val="21"/>
          <w:szCs w:val="21"/>
        </w:rPr>
        <w:t>4</w:t>
      </w:r>
      <w:r>
        <w:rPr>
          <w:rFonts w:hint="eastAsia" w:ascii="宋体" w:hAnsi="宋体"/>
          <w:b w:val="0"/>
          <w:sz w:val="21"/>
          <w:szCs w:val="21"/>
        </w:rPr>
        <w:t>）技术文件：</w:t>
      </w:r>
      <w:r>
        <w:rPr>
          <w:rFonts w:ascii="宋体" w:hAnsi="宋体"/>
          <w:b w:val="0"/>
          <w:sz w:val="21"/>
          <w:szCs w:val="21"/>
        </w:rPr>
        <w:t>具体材料见“投标人须知前附表”</w:t>
      </w:r>
      <w:r>
        <w:rPr>
          <w:rFonts w:hint="eastAsia" w:ascii="宋体" w:hAnsi="宋体"/>
          <w:b w:val="0"/>
          <w:sz w:val="21"/>
          <w:szCs w:val="21"/>
        </w:rPr>
        <w:t>。</w:t>
      </w:r>
      <w:bookmarkStart w:id="103" w:name="_13.5投标文件电子版：具体材料见“投标人须知前附表”。"/>
      <w:bookmarkEnd w:id="103"/>
    </w:p>
    <w:p w14:paraId="57AC2AE7">
      <w:pPr>
        <w:pStyle w:val="6"/>
        <w:keepNext w:val="0"/>
        <w:keepLines w:val="0"/>
        <w:spacing w:before="0" w:after="0" w:line="420" w:lineRule="atLeast"/>
        <w:ind w:left="420" w:leftChars="200"/>
        <w:rPr>
          <w:rFonts w:hint="eastAsia" w:ascii="黑体" w:hAnsi="黑体" w:eastAsia="黑体"/>
          <w:sz w:val="24"/>
        </w:rPr>
      </w:pPr>
      <w:bookmarkStart w:id="104" w:name="_Toc254970678"/>
      <w:bookmarkStart w:id="105" w:name="_Toc254970537"/>
      <w:r>
        <w:rPr>
          <w:rFonts w:hint="eastAsia" w:ascii="黑体" w:hAnsi="黑体" w:eastAsia="黑体"/>
          <w:sz w:val="24"/>
        </w:rPr>
        <w:t>14.投标文件的语言及计量</w:t>
      </w:r>
      <w:bookmarkEnd w:id="104"/>
      <w:bookmarkEnd w:id="105"/>
    </w:p>
    <w:p w14:paraId="02F6C500">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14.1语言文字</w:t>
      </w:r>
    </w:p>
    <w:p w14:paraId="4FF045C0">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FB0ABCC">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14.2投标计量单位</w:t>
      </w:r>
    </w:p>
    <w:p w14:paraId="47BB81CF">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招标文件已有明确规定的，使用招标文件规定的计量单位；招标文件没有规定的，应采用中华人民共和国法定计量单位，货币种类为人民币，否则视同未响应。</w:t>
      </w:r>
    </w:p>
    <w:p w14:paraId="7F6FADB9">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15.投标的风险</w:t>
      </w:r>
    </w:p>
    <w:p w14:paraId="7A689601">
      <w:pPr>
        <w:pStyle w:val="17"/>
        <w:snapToGrid w:val="0"/>
        <w:spacing w:line="420" w:lineRule="atLeast"/>
        <w:ind w:firstLine="420" w:firstLineChars="200"/>
        <w:jc w:val="left"/>
        <w:rPr>
          <w:rFonts w:hint="eastAsia" w:hAnsi="宋体"/>
          <w:sz w:val="21"/>
        </w:rPr>
      </w:pPr>
      <w:r>
        <w:rPr>
          <w:rFonts w:hint="eastAsia" w:hAnsi="宋体"/>
          <w:sz w:val="21"/>
        </w:rPr>
        <w:t>投标人没有按照招标文件要求提供全部资料，或者投标人没有对招标文件作出实质性响应是投标人的风险，并可能导致其投标被拒绝。</w:t>
      </w:r>
    </w:p>
    <w:p w14:paraId="194F91B0">
      <w:pPr>
        <w:pStyle w:val="6"/>
        <w:keepNext w:val="0"/>
        <w:keepLines w:val="0"/>
        <w:spacing w:before="0" w:after="0" w:line="420" w:lineRule="atLeast"/>
        <w:ind w:left="420" w:leftChars="200"/>
        <w:rPr>
          <w:rFonts w:hint="eastAsia" w:ascii="黑体" w:hAnsi="黑体" w:eastAsia="黑体"/>
          <w:sz w:val="24"/>
        </w:rPr>
      </w:pPr>
      <w:bookmarkStart w:id="106" w:name="_Toc254970538"/>
      <w:bookmarkStart w:id="107" w:name="_Toc254970679"/>
      <w:r>
        <w:rPr>
          <w:rFonts w:hint="eastAsia" w:ascii="黑体" w:hAnsi="黑体" w:eastAsia="黑体"/>
          <w:sz w:val="24"/>
        </w:rPr>
        <w:t>16.投标报价</w:t>
      </w:r>
      <w:bookmarkEnd w:id="106"/>
      <w:bookmarkEnd w:id="107"/>
    </w:p>
    <w:p w14:paraId="1C94C104">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16.1投标报价应按“第六章　投标文件格式”中“开标一览表”格式填写。</w:t>
      </w:r>
    </w:p>
    <w:p w14:paraId="11BD7326">
      <w:pPr>
        <w:pStyle w:val="6"/>
        <w:keepNext w:val="0"/>
        <w:keepLines w:val="0"/>
        <w:spacing w:before="0" w:after="0" w:line="420" w:lineRule="atLeast"/>
        <w:ind w:left="420" w:leftChars="200"/>
        <w:rPr>
          <w:rFonts w:hint="eastAsia" w:ascii="宋体" w:hAnsi="宋体"/>
          <w:b w:val="0"/>
          <w:sz w:val="21"/>
          <w:szCs w:val="21"/>
        </w:rPr>
      </w:pPr>
      <w:bookmarkStart w:id="108" w:name="_16.2投标报价具体定义见投标人须知前附表。"/>
      <w:bookmarkEnd w:id="108"/>
      <w:r>
        <w:rPr>
          <w:rFonts w:hint="eastAsia" w:ascii="宋体" w:hAnsi="宋体"/>
          <w:b w:val="0"/>
          <w:sz w:val="21"/>
          <w:szCs w:val="21"/>
        </w:rPr>
        <w:t>16.2投标报价具体包括内容详见“投标人须知前附表”。</w:t>
      </w:r>
    </w:p>
    <w:p w14:paraId="2BF7313A">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16.3投标人必须就所投每个分标的全部内容分别作完整唯一总价报价，不得存在漏项报价；投标人必须就所投分标的单项内容作唯一报价。</w:t>
      </w:r>
    </w:p>
    <w:p w14:paraId="45284F4B">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17.投标有效期</w:t>
      </w:r>
    </w:p>
    <w:p w14:paraId="3676C631">
      <w:pPr>
        <w:pStyle w:val="6"/>
        <w:keepNext w:val="0"/>
        <w:keepLines w:val="0"/>
        <w:spacing w:before="0" w:after="0" w:line="420" w:lineRule="atLeast"/>
        <w:ind w:firstLine="420" w:firstLineChars="200"/>
        <w:rPr>
          <w:rFonts w:hint="eastAsia" w:ascii="宋体" w:hAnsi="宋体"/>
          <w:b w:val="0"/>
          <w:sz w:val="21"/>
          <w:szCs w:val="21"/>
        </w:rPr>
      </w:pPr>
      <w:bookmarkStart w:id="109" w:name="_17.1投标有效期应按“投标人须知中的前附表”规定的期限。"/>
      <w:bookmarkEnd w:id="109"/>
      <w:r>
        <w:rPr>
          <w:rFonts w:hint="eastAsia" w:ascii="宋体" w:hAnsi="宋体"/>
          <w:b w:val="0"/>
          <w:sz w:val="21"/>
          <w:szCs w:val="21"/>
        </w:rPr>
        <w:t>17.1投标有效期是指为保证采购人有足够的时间在开标后完成评标、定标、合同签订等工作而要求投标人提交的投标文件在一定时间内保持有效的期限。</w:t>
      </w:r>
    </w:p>
    <w:p w14:paraId="059E0665">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17.2</w:t>
      </w:r>
      <w:bookmarkStart w:id="110" w:name="_Toc254970540"/>
      <w:bookmarkStart w:id="111" w:name="_Toc254970681"/>
      <w:r>
        <w:rPr>
          <w:rFonts w:hint="eastAsia" w:ascii="宋体" w:hAnsi="宋体"/>
          <w:b w:val="0"/>
          <w:sz w:val="21"/>
          <w:szCs w:val="21"/>
        </w:rPr>
        <w:t xml:space="preserve"> 投标有效期应按规定的期限作出承诺，具体详见“投标人须知前附表”。</w:t>
      </w:r>
    </w:p>
    <w:p w14:paraId="1A67F3D6">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17.3投标人的投标文件在投标有效期内均保持有效。</w:t>
      </w:r>
      <w:bookmarkEnd w:id="110"/>
      <w:bookmarkEnd w:id="111"/>
    </w:p>
    <w:p w14:paraId="2102137D">
      <w:pPr>
        <w:pStyle w:val="6"/>
        <w:keepNext w:val="0"/>
        <w:keepLines w:val="0"/>
        <w:spacing w:before="0" w:after="0" w:line="420" w:lineRule="atLeast"/>
        <w:ind w:left="420" w:leftChars="200"/>
        <w:rPr>
          <w:rFonts w:hint="eastAsia" w:ascii="黑体" w:hAnsi="黑体" w:eastAsia="黑体"/>
          <w:sz w:val="24"/>
        </w:rPr>
      </w:pPr>
      <w:bookmarkStart w:id="112" w:name="_18.投标保证金"/>
      <w:bookmarkEnd w:id="112"/>
      <w:bookmarkStart w:id="113" w:name="_Toc254970682"/>
      <w:bookmarkStart w:id="114" w:name="_Toc254970541"/>
      <w:r>
        <w:rPr>
          <w:rFonts w:hint="eastAsia" w:ascii="黑体" w:hAnsi="黑体" w:eastAsia="黑体"/>
          <w:sz w:val="24"/>
        </w:rPr>
        <w:t>18.投标保证金</w:t>
      </w:r>
      <w:bookmarkEnd w:id="113"/>
      <w:bookmarkEnd w:id="114"/>
    </w:p>
    <w:p w14:paraId="67B26578">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18.1投标人须按“投标人须知前附表” 的规定提交投标保证金。</w:t>
      </w:r>
    </w:p>
    <w:p w14:paraId="41EB9C3D">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18.2投标保证金的退还</w:t>
      </w:r>
    </w:p>
    <w:p w14:paraId="06D59C5E">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 xml:space="preserve">未中标人的投标保证金自中标通知书发出之日起4个工作日内退还；中标人的投标保证金自政府采购合同签订之日起4个工作日内退还。 </w:t>
      </w:r>
    </w:p>
    <w:p w14:paraId="4BDC6B35">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18.3除逾期退还投标保证金和终止招标的情形以外，投标保证金不计息。</w:t>
      </w:r>
    </w:p>
    <w:p w14:paraId="6209BEC5">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 xml:space="preserve">18.4投标人有下列情形之一的，投标保证金将不予退还： </w:t>
      </w:r>
    </w:p>
    <w:p w14:paraId="2AE888B3">
      <w:pPr>
        <w:snapToGrid w:val="0"/>
        <w:spacing w:line="420" w:lineRule="atLeast"/>
        <w:ind w:firstLine="411" w:firstLineChars="196"/>
        <w:jc w:val="left"/>
        <w:rPr>
          <w:rFonts w:hint="eastAsia" w:ascii="宋体" w:hAnsi="宋体"/>
          <w:szCs w:val="21"/>
        </w:rPr>
      </w:pPr>
      <w:r>
        <w:rPr>
          <w:rFonts w:hint="eastAsia" w:ascii="宋体" w:hAnsi="宋体"/>
          <w:szCs w:val="21"/>
        </w:rPr>
        <w:t>（1）投标人在投标有效期内撤销投标文件的；</w:t>
      </w:r>
    </w:p>
    <w:p w14:paraId="35D0FB8B">
      <w:pPr>
        <w:snapToGrid w:val="0"/>
        <w:spacing w:line="420" w:lineRule="atLeast"/>
        <w:ind w:firstLine="411" w:firstLineChars="196"/>
        <w:jc w:val="left"/>
        <w:rPr>
          <w:rFonts w:hint="eastAsia" w:ascii="宋体" w:hAnsi="宋体"/>
          <w:szCs w:val="21"/>
        </w:rPr>
      </w:pPr>
      <w:r>
        <w:rPr>
          <w:rFonts w:hint="eastAsia" w:ascii="宋体" w:hAnsi="宋体"/>
          <w:szCs w:val="21"/>
        </w:rPr>
        <w:t>（2）未按规定提交履约保证金的；</w:t>
      </w:r>
    </w:p>
    <w:p w14:paraId="2D4EC609">
      <w:pPr>
        <w:snapToGrid w:val="0"/>
        <w:spacing w:line="420" w:lineRule="atLeast"/>
        <w:ind w:firstLine="411" w:firstLineChars="196"/>
        <w:jc w:val="left"/>
        <w:rPr>
          <w:rFonts w:hint="eastAsia" w:ascii="宋体" w:hAnsi="宋体"/>
          <w:szCs w:val="21"/>
        </w:rPr>
      </w:pPr>
      <w:r>
        <w:rPr>
          <w:rFonts w:hint="eastAsia" w:ascii="宋体" w:hAnsi="宋体"/>
          <w:szCs w:val="21"/>
        </w:rPr>
        <w:t>（3）投标人在投标过程中弄虚作假，提供虚假材料的；</w:t>
      </w:r>
    </w:p>
    <w:p w14:paraId="42100622">
      <w:pPr>
        <w:snapToGrid w:val="0"/>
        <w:spacing w:line="420" w:lineRule="atLeast"/>
        <w:ind w:firstLine="411" w:firstLineChars="196"/>
        <w:rPr>
          <w:rFonts w:hint="eastAsia" w:ascii="宋体" w:hAnsi="宋体"/>
          <w:szCs w:val="21"/>
        </w:rPr>
      </w:pPr>
      <w:r>
        <w:rPr>
          <w:rFonts w:hint="eastAsia" w:ascii="宋体" w:hAnsi="宋体"/>
          <w:szCs w:val="21"/>
        </w:rPr>
        <w:t>（4）中标人无正当理由不与采购人签订合同的；</w:t>
      </w:r>
    </w:p>
    <w:p w14:paraId="7BC82F66">
      <w:pPr>
        <w:snapToGrid w:val="0"/>
        <w:spacing w:line="420" w:lineRule="atLeast"/>
        <w:ind w:firstLine="420" w:firstLineChars="200"/>
        <w:rPr>
          <w:rFonts w:hint="eastAsia" w:ascii="宋体" w:hAnsi="宋体"/>
          <w:szCs w:val="21"/>
        </w:rPr>
      </w:pPr>
      <w:r>
        <w:rPr>
          <w:rFonts w:hint="eastAsia" w:ascii="宋体" w:hAnsi="宋体"/>
          <w:szCs w:val="21"/>
        </w:rPr>
        <w:t>（5）投标人出现本章第9.2、9.3情形的；</w:t>
      </w:r>
    </w:p>
    <w:p w14:paraId="49CF4F38">
      <w:pPr>
        <w:snapToGrid w:val="0"/>
        <w:spacing w:line="420" w:lineRule="atLeast"/>
        <w:ind w:firstLine="420" w:firstLineChars="200"/>
        <w:rPr>
          <w:rFonts w:hint="eastAsia" w:ascii="宋体" w:hAnsi="宋体"/>
          <w:szCs w:val="21"/>
        </w:rPr>
      </w:pPr>
      <w:r>
        <w:rPr>
          <w:rFonts w:hint="eastAsia" w:ascii="宋体" w:hAnsi="宋体"/>
          <w:szCs w:val="21"/>
        </w:rPr>
        <w:t>（6）</w:t>
      </w:r>
      <w:r>
        <w:rPr>
          <w:rFonts w:hint="eastAsia" w:ascii="宋体" w:hAnsi="宋体" w:cs="宋体"/>
          <w:szCs w:val="21"/>
        </w:rPr>
        <w:t>法律法规规定的其他情形</w:t>
      </w:r>
      <w:r>
        <w:rPr>
          <w:rFonts w:hint="eastAsia" w:ascii="宋体" w:hAnsi="宋体"/>
          <w:szCs w:val="21"/>
        </w:rPr>
        <w:t>。</w:t>
      </w:r>
    </w:p>
    <w:p w14:paraId="311EF83A">
      <w:pPr>
        <w:pStyle w:val="6"/>
        <w:keepNext w:val="0"/>
        <w:keepLines w:val="0"/>
        <w:spacing w:before="0" w:after="0" w:line="420" w:lineRule="atLeast"/>
        <w:ind w:left="420" w:leftChars="200"/>
        <w:rPr>
          <w:rFonts w:hint="eastAsia" w:ascii="黑体" w:hAnsi="黑体" w:eastAsia="黑体"/>
          <w:sz w:val="24"/>
        </w:rPr>
      </w:pPr>
      <w:bookmarkStart w:id="115" w:name="_Toc254970683"/>
      <w:bookmarkStart w:id="116" w:name="_Toc254970542"/>
      <w:r>
        <w:rPr>
          <w:rFonts w:hint="eastAsia" w:ascii="黑体" w:hAnsi="黑体" w:eastAsia="黑体"/>
          <w:sz w:val="24"/>
        </w:rPr>
        <w:t>19.投标文件的</w:t>
      </w:r>
      <w:bookmarkEnd w:id="115"/>
      <w:bookmarkEnd w:id="116"/>
      <w:r>
        <w:rPr>
          <w:rFonts w:hint="eastAsia" w:ascii="黑体" w:hAnsi="黑体" w:eastAsia="黑体"/>
          <w:sz w:val="24"/>
        </w:rPr>
        <w:t>编制</w:t>
      </w:r>
    </w:p>
    <w:p w14:paraId="0C259D98">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1A1B7F80">
      <w:pPr>
        <w:pStyle w:val="6"/>
        <w:keepNext w:val="0"/>
        <w:keepLines w:val="0"/>
        <w:numPr>
          <w:ilvl w:val="0"/>
          <w:numId w:val="0"/>
        </w:numPr>
        <w:spacing w:before="0" w:after="0" w:line="420" w:lineRule="atLeast"/>
        <w:ind w:firstLine="420" w:firstLineChars="200"/>
        <w:rPr>
          <w:rFonts w:hint="eastAsia" w:ascii="宋体" w:hAnsi="宋体"/>
          <w:b w:val="0"/>
          <w:sz w:val="21"/>
          <w:szCs w:val="21"/>
        </w:rPr>
      </w:pPr>
      <w:bookmarkStart w:id="117" w:name="_19.2投标文件应按报价文件、资格证明文件、商务文件、技术文件分别编制"/>
      <w:bookmarkEnd w:id="117"/>
      <w:r>
        <w:rPr>
          <w:rFonts w:hint="eastAsia" w:ascii="宋体" w:hAnsi="宋体"/>
          <w:b w:val="0"/>
          <w:sz w:val="21"/>
          <w:szCs w:val="21"/>
        </w:rPr>
        <w:t>19.2投标文件应按报价文件、资格证明文件、商务文件、技术文件分别编制电子文件，并按”广西政府采购云平台”的要求编制、加密、上传。</w:t>
      </w:r>
    </w:p>
    <w:p w14:paraId="2BF71C94">
      <w:pPr>
        <w:pStyle w:val="6"/>
        <w:keepNext w:val="0"/>
        <w:keepLines w:val="0"/>
        <w:numPr>
          <w:ilvl w:val="0"/>
          <w:numId w:val="0"/>
        </w:numPr>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19.</w:t>
      </w:r>
      <w:bookmarkStart w:id="118" w:name="_Hlk65832616"/>
      <w:r>
        <w:rPr>
          <w:rFonts w:hint="eastAsia" w:ascii="宋体" w:hAnsi="宋体"/>
          <w:b w:val="0"/>
          <w:sz w:val="21"/>
          <w:szCs w:val="21"/>
        </w:rPr>
        <w:t>3投标文件须由投标人在规定位置盖公章并签字</w:t>
      </w:r>
      <w:bookmarkStart w:id="119" w:name="_Hlk65832569"/>
      <w:r>
        <w:rPr>
          <w:rFonts w:hint="eastAsia" w:ascii="宋体" w:hAnsi="宋体"/>
          <w:b w:val="0"/>
          <w:sz w:val="21"/>
          <w:szCs w:val="21"/>
        </w:rPr>
        <w:t>（具体以投标人须知前附表或投标文件格式规定为准）</w:t>
      </w:r>
      <w:bookmarkEnd w:id="118"/>
      <w:bookmarkEnd w:id="119"/>
      <w:r>
        <w:rPr>
          <w:rFonts w:hint="eastAsia" w:ascii="宋体" w:hAnsi="宋体"/>
          <w:b w:val="0"/>
          <w:sz w:val="21"/>
          <w:szCs w:val="21"/>
        </w:rPr>
        <w:t>，</w:t>
      </w:r>
      <w:r>
        <w:rPr>
          <w:rFonts w:hint="eastAsia" w:ascii="宋体" w:hAnsi="宋体"/>
          <w:bCs/>
          <w:sz w:val="21"/>
          <w:szCs w:val="21"/>
        </w:rPr>
        <w:t>否则按无效投标处理</w:t>
      </w:r>
      <w:r>
        <w:rPr>
          <w:rFonts w:hint="eastAsia" w:ascii="宋体" w:hAnsi="宋体"/>
          <w:b w:val="0"/>
          <w:sz w:val="21"/>
          <w:szCs w:val="21"/>
        </w:rPr>
        <w:t>。</w:t>
      </w:r>
    </w:p>
    <w:p w14:paraId="421033C1">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19.4投标文件中标注的投标人名称应与主体资格证明（如营业执照、事业单位法人证书、执业许可证、自然人身份证等）及公章一致，</w:t>
      </w:r>
      <w:r>
        <w:rPr>
          <w:rFonts w:hint="eastAsia" w:ascii="宋体" w:hAnsi="宋体"/>
          <w:sz w:val="21"/>
          <w:szCs w:val="21"/>
        </w:rPr>
        <w:t>否则按无效投标处理</w:t>
      </w:r>
      <w:r>
        <w:rPr>
          <w:rFonts w:hint="eastAsia" w:ascii="宋体" w:hAnsi="宋体"/>
          <w:b w:val="0"/>
          <w:sz w:val="21"/>
          <w:szCs w:val="21"/>
        </w:rPr>
        <w:t>。</w:t>
      </w:r>
    </w:p>
    <w:p w14:paraId="029E52BA">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0ED8545C">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20.投标文件的加密、解密</w:t>
      </w:r>
    </w:p>
    <w:p w14:paraId="1C28F60A">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20.1电子投标文件编制完成后，投标人应按”广西政府采购云平台”的要求进行加密，并在规定时间内解密，否则，由此产生的后果由投标人自行负责。</w:t>
      </w:r>
    </w:p>
    <w:p w14:paraId="6A7392FB">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21.投标文件的提交</w:t>
      </w:r>
    </w:p>
    <w:p w14:paraId="6EDA8D9C">
      <w:pPr>
        <w:pStyle w:val="6"/>
        <w:keepNext w:val="0"/>
        <w:keepLines w:val="0"/>
        <w:numPr>
          <w:ilvl w:val="0"/>
          <w:numId w:val="0"/>
        </w:numPr>
        <w:spacing w:before="0" w:after="0" w:line="420" w:lineRule="atLeast"/>
        <w:ind w:firstLine="420" w:firstLineChars="200"/>
        <w:rPr>
          <w:rFonts w:hint="eastAsia" w:ascii="宋体" w:hAnsi="宋体"/>
          <w:b w:val="0"/>
          <w:sz w:val="21"/>
          <w:szCs w:val="21"/>
        </w:rPr>
      </w:pPr>
      <w:bookmarkStart w:id="120" w:name="_21.1投标人必须在“投标人须知中的前附表”规定的投标文件接收时间和投"/>
      <w:bookmarkEnd w:id="120"/>
      <w:r>
        <w:rPr>
          <w:rFonts w:hint="eastAsia" w:ascii="宋体" w:hAnsi="宋体"/>
          <w:b w:val="0"/>
          <w:sz w:val="21"/>
          <w:szCs w:val="21"/>
        </w:rPr>
        <w:t>21.1投标人必须在“投标人须知前附表”规定的投标文件接收时间和投标地点提交投标文件。</w:t>
      </w:r>
    </w:p>
    <w:p w14:paraId="51777F20">
      <w:pPr>
        <w:pStyle w:val="6"/>
        <w:keepNext w:val="0"/>
        <w:keepLines w:val="0"/>
        <w:numPr>
          <w:ilvl w:val="0"/>
          <w:numId w:val="0"/>
        </w:numPr>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21.2本项目为全流程电子化政府采购项目，通过”广西政府采购云平台”（（https://www.gcy.zfcg.gxzf.gov.cn/）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7054C65D">
      <w:pPr>
        <w:pStyle w:val="6"/>
        <w:keepNext w:val="0"/>
        <w:keepLines w:val="0"/>
        <w:numPr>
          <w:ilvl w:val="0"/>
          <w:numId w:val="0"/>
        </w:numPr>
        <w:spacing w:before="0" w:after="0" w:line="420" w:lineRule="atLeast"/>
        <w:ind w:firstLine="420" w:firstLineChars="200"/>
        <w:jc w:val="left"/>
        <w:rPr>
          <w:rFonts w:hint="eastAsia" w:ascii="宋体" w:hAnsi="宋体"/>
          <w:b w:val="0"/>
          <w:sz w:val="21"/>
          <w:szCs w:val="21"/>
        </w:rPr>
      </w:pPr>
      <w:r>
        <w:rPr>
          <w:rFonts w:hint="eastAsia" w:ascii="宋体" w:hAnsi="宋体"/>
          <w:b w:val="0"/>
          <w:sz w:val="21"/>
          <w:szCs w:val="21"/>
        </w:rPr>
        <w:t>21.3未在规定时间内上传或者未按”广西政府采购云平台”的要求编制、加密的电子投标文件，”广西政府采购云平台”将拒收。</w:t>
      </w:r>
    </w:p>
    <w:p w14:paraId="7F4AD285">
      <w:pPr>
        <w:pStyle w:val="7"/>
        <w:spacing w:line="420" w:lineRule="atLeast"/>
      </w:pPr>
      <w:r>
        <w:rPr>
          <w:rFonts w:hint="eastAsia" w:ascii="宋体" w:hAnsi="宋体"/>
          <w:szCs w:val="21"/>
        </w:rPr>
        <w:t>21.4电子投标文件提交方式见“招标公告”中“四、提交投标文件截止时间、开标时间和地点”</w:t>
      </w:r>
    </w:p>
    <w:p w14:paraId="747B3884">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22. 投标文件的补充、修改、撤回与退回</w:t>
      </w:r>
    </w:p>
    <w:p w14:paraId="36341810">
      <w:pPr>
        <w:snapToGrid w:val="0"/>
        <w:spacing w:line="420" w:lineRule="atLeast"/>
        <w:ind w:firstLine="420"/>
        <w:jc w:val="left"/>
        <w:rPr>
          <w:rFonts w:hint="eastAsia" w:ascii="宋体" w:hAnsi="宋体"/>
          <w:szCs w:val="21"/>
        </w:rPr>
      </w:pPr>
      <w:bookmarkStart w:id="121" w:name="_Toc254970684"/>
      <w:bookmarkStart w:id="122" w:name="_Toc254970543"/>
      <w:r>
        <w:rPr>
          <w:rFonts w:hint="eastAsia" w:ascii="宋体" w:hAnsi="宋体"/>
          <w:szCs w:val="21"/>
        </w:rPr>
        <w:t>2</w:t>
      </w:r>
      <w:r>
        <w:rPr>
          <w:rFonts w:ascii="宋体" w:hAnsi="宋体"/>
          <w:szCs w:val="21"/>
        </w:rPr>
        <w:t>2.1</w:t>
      </w:r>
      <w:r>
        <w:rPr>
          <w:rFonts w:hint="eastAsia" w:ascii="宋体" w:hAnsi="宋体"/>
          <w:szCs w:val="21"/>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21"/>
    <w:bookmarkEnd w:id="122"/>
    <w:p w14:paraId="078BFE40">
      <w:pPr>
        <w:snapToGrid w:val="0"/>
        <w:spacing w:line="420" w:lineRule="atLeast"/>
        <w:ind w:firstLine="420"/>
        <w:jc w:val="left"/>
        <w:rPr>
          <w:rFonts w:hint="eastAsia" w:ascii="宋体" w:hAnsi="宋体"/>
          <w:szCs w:val="21"/>
        </w:rPr>
      </w:pPr>
      <w:r>
        <w:rPr>
          <w:rFonts w:hint="eastAsia" w:ascii="宋体" w:hAnsi="宋体"/>
          <w:szCs w:val="21"/>
        </w:rPr>
        <w:t>22.</w:t>
      </w:r>
      <w:r>
        <w:rPr>
          <w:rFonts w:ascii="宋体" w:hAnsi="宋体"/>
          <w:szCs w:val="21"/>
        </w:rPr>
        <w:t>2</w:t>
      </w:r>
      <w:r>
        <w:rPr>
          <w:rFonts w:hint="eastAsia" w:ascii="宋体" w:hAnsi="宋体"/>
          <w:szCs w:val="21"/>
        </w:rPr>
        <w:t>在投标截止时间止提交投标文件的投标人不足3家时，不得开标，采购代理机构将根据”广西政府采购云平台”的操作将电子版投标文件退回，除此之外采购人和采购代理机构对已提交的投标文件概不退回。</w:t>
      </w:r>
    </w:p>
    <w:p w14:paraId="20A587F6">
      <w:pPr>
        <w:spacing w:line="420" w:lineRule="atLeast"/>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2.3</w:t>
      </w:r>
      <w:r>
        <w:rPr>
          <w:rFonts w:hint="eastAsia" w:ascii="宋体" w:hAnsi="宋体" w:cs="宋体"/>
          <w:szCs w:val="21"/>
        </w:rPr>
        <w:t xml:space="preserve"> 投标人在投标截止时间后书面通知采购人、采购代理机构撤销投标文件的，将根据本须知正文1</w:t>
      </w:r>
      <w:r>
        <w:rPr>
          <w:rFonts w:ascii="宋体" w:hAnsi="宋体" w:cs="宋体"/>
          <w:szCs w:val="21"/>
        </w:rPr>
        <w:t>8</w:t>
      </w:r>
      <w:r>
        <w:rPr>
          <w:rFonts w:hint="eastAsia" w:ascii="宋体" w:hAnsi="宋体" w:cs="宋体"/>
          <w:szCs w:val="21"/>
        </w:rPr>
        <w:t>.4的规定不予退还其投标保证金。</w:t>
      </w:r>
    </w:p>
    <w:p w14:paraId="095DB060">
      <w:pPr>
        <w:pStyle w:val="15"/>
        <w:snapToGrid w:val="0"/>
        <w:spacing w:line="420" w:lineRule="atLeast"/>
        <w:ind w:firstLine="739"/>
        <w:rPr>
          <w:rFonts w:hint="eastAsia" w:ascii="宋体" w:hAnsi="宋体" w:eastAsia="宋体"/>
          <w:snapToGrid w:val="0"/>
          <w:sz w:val="21"/>
          <w:szCs w:val="21"/>
        </w:rPr>
      </w:pPr>
    </w:p>
    <w:p w14:paraId="6A441BB4">
      <w:pPr>
        <w:pStyle w:val="4"/>
        <w:keepNext w:val="0"/>
        <w:keepLines w:val="0"/>
        <w:spacing w:line="420" w:lineRule="atLeast"/>
        <w:jc w:val="center"/>
      </w:pPr>
      <w:bookmarkStart w:id="123" w:name="_Toc254970544"/>
      <w:bookmarkStart w:id="124" w:name="_Toc254970685"/>
      <w:r>
        <w:rPr>
          <w:rFonts w:hint="eastAsia"/>
        </w:rPr>
        <w:t>四、开    标</w:t>
      </w:r>
      <w:bookmarkEnd w:id="123"/>
      <w:bookmarkEnd w:id="124"/>
    </w:p>
    <w:p w14:paraId="51E7B782">
      <w:pPr>
        <w:pStyle w:val="6"/>
        <w:keepNext w:val="0"/>
        <w:keepLines w:val="0"/>
        <w:spacing w:before="0" w:after="0" w:line="420" w:lineRule="atLeast"/>
        <w:ind w:left="420" w:leftChars="200"/>
        <w:rPr>
          <w:rFonts w:hint="eastAsia" w:ascii="黑体" w:hAnsi="黑体" w:eastAsia="黑体"/>
          <w:sz w:val="24"/>
        </w:rPr>
      </w:pPr>
      <w:bookmarkStart w:id="125" w:name="_23.开标时间和地点"/>
      <w:bookmarkEnd w:id="125"/>
      <w:r>
        <w:rPr>
          <w:rFonts w:hint="eastAsia" w:ascii="黑体" w:hAnsi="黑体" w:eastAsia="黑体"/>
          <w:sz w:val="24"/>
        </w:rPr>
        <w:t>23.开标时间和地点</w:t>
      </w:r>
    </w:p>
    <w:p w14:paraId="4177DE61">
      <w:pPr>
        <w:snapToGrid w:val="0"/>
        <w:spacing w:line="420" w:lineRule="atLeast"/>
        <w:ind w:firstLine="420"/>
        <w:jc w:val="left"/>
        <w:rPr>
          <w:rFonts w:hint="eastAsia" w:ascii="宋体" w:hAnsi="宋体"/>
          <w:szCs w:val="21"/>
        </w:rPr>
      </w:pPr>
      <w:r>
        <w:rPr>
          <w:rFonts w:hint="eastAsia" w:ascii="宋体" w:hAnsi="宋体"/>
          <w:szCs w:val="21"/>
        </w:rPr>
        <w:t>23.1开标时间及地点详见“投标人须知前附表”</w:t>
      </w:r>
    </w:p>
    <w:p w14:paraId="2E9AF526">
      <w:pPr>
        <w:snapToGrid w:val="0"/>
        <w:spacing w:line="420" w:lineRule="atLeast"/>
        <w:ind w:firstLine="420"/>
        <w:jc w:val="left"/>
        <w:rPr>
          <w:rFonts w:hint="eastAsia" w:ascii="宋体" w:hAnsi="宋体"/>
          <w:szCs w:val="21"/>
        </w:rPr>
      </w:pPr>
      <w:r>
        <w:rPr>
          <w:rFonts w:hint="eastAsia" w:ascii="宋体" w:hAnsi="宋体"/>
          <w:szCs w:val="21"/>
        </w:rPr>
        <w:t>23.2如投标人成功解密投标文件，但未在“政采云”电子开标大厅参加开标的，视同认可开标过程和结果，由此产生的后果由投标人自行负责。成功解密投标文件的投标人不足3家的，不得开标。</w:t>
      </w:r>
    </w:p>
    <w:p w14:paraId="09BB7857">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24.开标程序</w:t>
      </w:r>
    </w:p>
    <w:p w14:paraId="78046AA8">
      <w:pPr>
        <w:autoSpaceDE w:val="0"/>
        <w:autoSpaceDN w:val="0"/>
        <w:adjustRightInd w:val="0"/>
        <w:spacing w:line="420" w:lineRule="atLeast"/>
        <w:ind w:firstLine="420" w:firstLineChars="200"/>
        <w:rPr>
          <w:rFonts w:hint="eastAsia" w:ascii="宋体" w:hAnsi="宋体"/>
          <w:kern w:val="0"/>
          <w:szCs w:val="21"/>
        </w:rPr>
      </w:pPr>
      <w:r>
        <w:rPr>
          <w:rFonts w:hint="eastAsia" w:ascii="宋体" w:hAnsi="宋体"/>
          <w:bCs/>
          <w:szCs w:val="21"/>
        </w:rPr>
        <w:t>24.1</w:t>
      </w:r>
      <w:r>
        <w:rPr>
          <w:rFonts w:hint="eastAsia" w:ascii="宋体" w:hAnsi="宋体"/>
          <w:kern w:val="0"/>
          <w:szCs w:val="21"/>
        </w:rPr>
        <w:t>开标形式：</w:t>
      </w:r>
    </w:p>
    <w:p w14:paraId="5C7CB30E">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采购代理机构将按照招标文件规定的时间通过”广西政府采购云平台”组织线上开标活动、开启投标文件，所有供应商均应当准时在线参加。投标人</w:t>
      </w:r>
      <w:r>
        <w:rPr>
          <w:rFonts w:ascii="宋体" w:hAnsi="宋体"/>
          <w:bCs/>
          <w:szCs w:val="21"/>
        </w:rPr>
        <w:t>如不</w:t>
      </w:r>
      <w:r>
        <w:rPr>
          <w:rFonts w:hint="eastAsia" w:ascii="宋体" w:hAnsi="宋体"/>
          <w:bCs/>
          <w:szCs w:val="21"/>
        </w:rPr>
        <w:t>参加</w:t>
      </w:r>
      <w:r>
        <w:rPr>
          <w:rFonts w:ascii="宋体" w:hAnsi="宋体"/>
          <w:bCs/>
          <w:szCs w:val="21"/>
        </w:rPr>
        <w:t>开标大会的，</w:t>
      </w:r>
      <w:r>
        <w:rPr>
          <w:rFonts w:hint="eastAsia" w:ascii="宋体" w:hAnsi="宋体"/>
          <w:bCs/>
          <w:szCs w:val="21"/>
        </w:rPr>
        <w:t>视同认可开标结果，</w:t>
      </w:r>
      <w:r>
        <w:rPr>
          <w:rFonts w:ascii="宋体" w:hAnsi="宋体"/>
          <w:bCs/>
          <w:szCs w:val="21"/>
        </w:rPr>
        <w:t>事后不得对采购相关人员、开标过程和开标结果提出异议</w:t>
      </w:r>
      <w:r>
        <w:rPr>
          <w:rFonts w:hint="eastAsia" w:ascii="宋体" w:hAnsi="宋体"/>
          <w:bCs/>
          <w:szCs w:val="21"/>
        </w:rPr>
        <w:t>，同时投标人因未在线参加开标而导致投标文件无法按时解密等一切后果由投标人自己承担。</w:t>
      </w:r>
    </w:p>
    <w:p w14:paraId="36EDFC06">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24.2</w:t>
      </w:r>
      <w:r>
        <w:rPr>
          <w:rFonts w:ascii="宋体" w:hAnsi="宋体"/>
          <w:bCs/>
          <w:szCs w:val="21"/>
        </w:rPr>
        <w:t>开</w:t>
      </w:r>
      <w:r>
        <w:rPr>
          <w:rFonts w:hint="eastAsia" w:ascii="宋体" w:hAnsi="宋体"/>
          <w:bCs/>
          <w:szCs w:val="21"/>
        </w:rPr>
        <w:t>标</w:t>
      </w:r>
      <w:r>
        <w:rPr>
          <w:rFonts w:ascii="宋体" w:hAnsi="宋体"/>
          <w:bCs/>
          <w:szCs w:val="21"/>
        </w:rPr>
        <w:t>程序：</w:t>
      </w:r>
    </w:p>
    <w:p w14:paraId="62EA4726">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1）解密电子投标文件。”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szCs w:val="21"/>
        </w:rPr>
        <w:t>投标人的法定代表人或其委托代理人须携带加密时所用的CA锁准时登录到”广西政府采购云平台”电子开标大厅签到</w:t>
      </w:r>
      <w:r>
        <w:rPr>
          <w:rFonts w:hint="eastAsia" w:ascii="宋体" w:hAnsi="宋体" w:cs="宋体"/>
          <w:b/>
          <w:szCs w:val="21"/>
        </w:rPr>
        <w:t>并在发起解密</w:t>
      </w:r>
      <w:r>
        <w:rPr>
          <w:rFonts w:hint="eastAsia" w:ascii="宋体" w:hAnsi="宋体"/>
          <w:b/>
          <w:bCs/>
          <w:szCs w:val="21"/>
        </w:rPr>
        <w:t>通知</w:t>
      </w:r>
      <w:r>
        <w:rPr>
          <w:rFonts w:hint="eastAsia" w:ascii="宋体" w:hAnsi="宋体" w:cs="宋体"/>
          <w:b/>
          <w:szCs w:val="21"/>
        </w:rPr>
        <w:t>之时起30分钟内完成</w:t>
      </w:r>
      <w:r>
        <w:rPr>
          <w:rFonts w:hint="eastAsia" w:ascii="宋体" w:hAnsi="宋体"/>
          <w:b/>
          <w:bCs/>
          <w:szCs w:val="21"/>
        </w:rPr>
        <w:t>对电子投标文件解密。投标文件未按时解密的，视为无效投标。</w:t>
      </w:r>
      <w:r>
        <w:rPr>
          <w:rFonts w:hint="eastAsia" w:ascii="宋体" w:hAnsi="宋体"/>
          <w:bCs/>
          <w:szCs w:val="21"/>
        </w:rPr>
        <w:t>（解密异常情况处理：详见本章29.4 电子交易活动的中止。</w:t>
      </w:r>
    </w:p>
    <w:p w14:paraId="50B855E5">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（2）电子唱标。投标文件解密结束，各投标供应商报价均在”广西政府采购云平台”远程不见面开标大厅展示；</w:t>
      </w:r>
    </w:p>
    <w:p w14:paraId="4AC40AE8">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（3）签署电子《政府采购活动现场确认声明书》。通过邮件形式在远程不见面开标大厅发送各投标人签署电子《政府采购活动现场确认声明书》。</w:t>
      </w:r>
    </w:p>
    <w:p w14:paraId="5DE34284">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727BB2CB">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0E8704B8">
      <w:pPr>
        <w:autoSpaceDE w:val="0"/>
        <w:autoSpaceDN w:val="0"/>
        <w:adjustRightInd w:val="0"/>
        <w:spacing w:line="420" w:lineRule="atLeast"/>
        <w:ind w:firstLine="420" w:firstLineChars="200"/>
        <w:rPr>
          <w:rFonts w:hint="eastAsia" w:ascii="宋体" w:hAnsi="宋体"/>
          <w:bCs/>
          <w:szCs w:val="21"/>
        </w:rPr>
      </w:pPr>
      <w:r>
        <w:rPr>
          <w:rFonts w:hint="eastAsia" w:ascii="宋体" w:hAnsi="宋体"/>
          <w:bCs/>
          <w:szCs w:val="21"/>
        </w:rPr>
        <w:t>（6）开标结束。</w:t>
      </w:r>
    </w:p>
    <w:p w14:paraId="6CCCBAC4">
      <w:pPr>
        <w:autoSpaceDE w:val="0"/>
        <w:autoSpaceDN w:val="0"/>
        <w:adjustRightInd w:val="0"/>
        <w:spacing w:line="420" w:lineRule="atLeast"/>
        <w:ind w:firstLine="422" w:firstLineChars="200"/>
        <w:rPr>
          <w:rFonts w:hint="eastAsia" w:ascii="宋体" w:hAnsi="宋体"/>
          <w:b/>
          <w:bCs/>
          <w:szCs w:val="21"/>
        </w:rPr>
      </w:pPr>
      <w:r>
        <w:rPr>
          <w:rFonts w:hint="eastAsia" w:ascii="宋体" w:hAnsi="宋体"/>
          <w:b/>
          <w:bCs/>
          <w:szCs w:val="21"/>
        </w:rPr>
        <w:t>特别说明：如遇”广西政府采购云平台”电子化开标或评审程序调整的，按调整后执行。</w:t>
      </w:r>
    </w:p>
    <w:p w14:paraId="0525ECB0">
      <w:pPr>
        <w:pStyle w:val="17"/>
        <w:snapToGrid w:val="0"/>
        <w:spacing w:line="420" w:lineRule="atLeast"/>
        <w:ind w:left="689" w:leftChars="228" w:hanging="210" w:hangingChars="100"/>
        <w:rPr>
          <w:rFonts w:hint="eastAsia" w:hAnsi="宋体"/>
          <w:sz w:val="21"/>
        </w:rPr>
      </w:pPr>
    </w:p>
    <w:p w14:paraId="1AF5DC9A">
      <w:pPr>
        <w:pStyle w:val="4"/>
        <w:keepNext w:val="0"/>
        <w:keepLines w:val="0"/>
        <w:spacing w:line="420" w:lineRule="atLeast"/>
        <w:jc w:val="center"/>
      </w:pPr>
      <w:r>
        <w:rPr>
          <w:rFonts w:hint="eastAsia"/>
        </w:rPr>
        <w:t>五、资格审查</w:t>
      </w:r>
    </w:p>
    <w:p w14:paraId="651CD06B">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25.资格审查</w:t>
      </w:r>
    </w:p>
    <w:p w14:paraId="1D7475DC">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25.1</w:t>
      </w:r>
      <w:r>
        <w:rPr>
          <w:rFonts w:ascii="宋体" w:hAnsi="宋体"/>
          <w:b w:val="0"/>
          <w:sz w:val="21"/>
          <w:szCs w:val="21"/>
        </w:rPr>
        <w:t>开标结束后，</w:t>
      </w:r>
      <w:r>
        <w:rPr>
          <w:rFonts w:hint="eastAsia" w:ascii="宋体" w:hAnsi="宋体"/>
          <w:b w:val="0"/>
          <w:sz w:val="21"/>
          <w:szCs w:val="21"/>
        </w:rPr>
        <w:t>采购人或者采购代理机构</w:t>
      </w:r>
      <w:r>
        <w:rPr>
          <w:rFonts w:ascii="宋体" w:hAnsi="宋体"/>
          <w:b w:val="0"/>
          <w:sz w:val="21"/>
          <w:szCs w:val="21"/>
        </w:rPr>
        <w:t>依法对投标人的资格进行审查。</w:t>
      </w:r>
    </w:p>
    <w:p w14:paraId="17DA3C5C">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25.2资格审查标准为本招标文件中载明对投标人资格要求的条件。本项目资格审查采用合格制，凡符合招标文件规定的投标人资格要求的投标人均通过资格审查。</w:t>
      </w:r>
    </w:p>
    <w:p w14:paraId="2A4A5B2F">
      <w:pPr>
        <w:pStyle w:val="6"/>
        <w:keepNext w:val="0"/>
        <w:keepLines w:val="0"/>
        <w:numPr>
          <w:ilvl w:val="0"/>
          <w:numId w:val="0"/>
        </w:numPr>
        <w:spacing w:before="0" w:after="0" w:line="420" w:lineRule="atLeast"/>
        <w:ind w:firstLine="422" w:firstLineChars="200"/>
        <w:rPr>
          <w:rFonts w:hint="eastAsia" w:ascii="宋体" w:hAnsi="宋体"/>
          <w:sz w:val="21"/>
          <w:szCs w:val="21"/>
        </w:rPr>
      </w:pPr>
      <w:bookmarkStart w:id="126" w:name="_25.3_投标人有下列情形之一的，资格审查不通过而导致其投标无效："/>
      <w:bookmarkEnd w:id="126"/>
      <w:r>
        <w:rPr>
          <w:rFonts w:hint="eastAsia" w:ascii="宋体" w:hAnsi="宋体"/>
          <w:sz w:val="21"/>
          <w:szCs w:val="21"/>
        </w:rPr>
        <w:t>25.3 投标人有下列情形之一的，资格审查不通过，作无效投标处理：</w:t>
      </w:r>
    </w:p>
    <w:p w14:paraId="0198D1AD">
      <w:pPr>
        <w:pStyle w:val="17"/>
        <w:snapToGrid w:val="0"/>
        <w:spacing w:line="420" w:lineRule="atLeast"/>
        <w:ind w:firstLine="422" w:firstLineChars="200"/>
        <w:rPr>
          <w:rFonts w:hint="eastAsia" w:hAnsi="宋体"/>
          <w:b/>
          <w:sz w:val="21"/>
        </w:rPr>
      </w:pPr>
      <w:r>
        <w:rPr>
          <w:rFonts w:hint="eastAsia" w:hAnsi="宋体"/>
          <w:b/>
          <w:sz w:val="21"/>
        </w:rPr>
        <w:t>（1）未按招标文件规定的方式获取本招标文件的投标人；</w:t>
      </w:r>
    </w:p>
    <w:p w14:paraId="5EB084C8">
      <w:pPr>
        <w:pStyle w:val="17"/>
        <w:snapToGrid w:val="0"/>
        <w:spacing w:line="420" w:lineRule="atLeast"/>
        <w:ind w:firstLine="422" w:firstLineChars="200"/>
        <w:rPr>
          <w:rFonts w:hint="eastAsia" w:hAnsi="宋体"/>
          <w:b/>
          <w:sz w:val="21"/>
        </w:rPr>
      </w:pPr>
      <w:r>
        <w:rPr>
          <w:rFonts w:hint="eastAsia" w:hAnsi="宋体"/>
          <w:b/>
          <w:sz w:val="21"/>
        </w:rPr>
        <w:t>（2）不具备招标文件中规定的资格要求的；</w:t>
      </w:r>
    </w:p>
    <w:p w14:paraId="34E2C992">
      <w:pPr>
        <w:pStyle w:val="17"/>
        <w:snapToGrid w:val="0"/>
        <w:spacing w:line="420" w:lineRule="atLeast"/>
        <w:ind w:firstLine="422" w:firstLineChars="200"/>
        <w:rPr>
          <w:rFonts w:hint="eastAsia" w:hAnsi="宋体"/>
          <w:b/>
          <w:sz w:val="21"/>
        </w:rPr>
      </w:pPr>
      <w:r>
        <w:rPr>
          <w:rFonts w:hint="eastAsia" w:hAnsi="宋体"/>
          <w:b/>
          <w:sz w:val="21"/>
        </w:rPr>
        <w:t>（3）在“信用中国”网站（www.creditchina.gov.cn） 、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7B5BADF8">
      <w:pPr>
        <w:pStyle w:val="17"/>
        <w:snapToGrid w:val="0"/>
        <w:spacing w:line="420" w:lineRule="atLeast"/>
        <w:ind w:firstLine="422" w:firstLineChars="200"/>
        <w:rPr>
          <w:rFonts w:hint="eastAsia" w:hAnsi="宋体"/>
          <w:b/>
          <w:sz w:val="21"/>
        </w:rPr>
      </w:pPr>
      <w:r>
        <w:rPr>
          <w:rFonts w:hint="eastAsia" w:hAnsi="宋体"/>
          <w:b/>
          <w:sz w:val="21"/>
        </w:rPr>
        <w:t>（4）同一合同项下的不同投标人，单位负责人为同一人或者存在直接控股、管理关系的；为本项目提供过整体设计、规范编制或者项目管理、监理、检测等服务的供应商，再参加该采购项目的其他采购活动的；</w:t>
      </w:r>
    </w:p>
    <w:p w14:paraId="072DEB53">
      <w:pPr>
        <w:pStyle w:val="17"/>
        <w:snapToGrid w:val="0"/>
        <w:spacing w:line="420" w:lineRule="atLeast"/>
        <w:ind w:firstLine="422" w:firstLineChars="200"/>
        <w:rPr>
          <w:rFonts w:hint="eastAsia" w:hAnsi="宋体"/>
          <w:b/>
          <w:sz w:val="21"/>
        </w:rPr>
      </w:pPr>
      <w:r>
        <w:rPr>
          <w:rFonts w:hint="eastAsia" w:hAnsi="宋体"/>
          <w:b/>
          <w:sz w:val="21"/>
        </w:rPr>
        <w:t>（</w:t>
      </w:r>
      <w:r>
        <w:rPr>
          <w:rFonts w:hAnsi="宋体"/>
          <w:b/>
          <w:sz w:val="21"/>
        </w:rPr>
        <w:t>5</w:t>
      </w:r>
      <w:r>
        <w:rPr>
          <w:rFonts w:hint="eastAsia" w:hAnsi="宋体"/>
          <w:b/>
          <w:sz w:val="21"/>
        </w:rPr>
        <w:t>）投标文件中的资格证明文件缺少任一项“投标人须知前附表”资格证明文件规定“必须提供”的文件资料的；</w:t>
      </w:r>
    </w:p>
    <w:p w14:paraId="07A975BF">
      <w:pPr>
        <w:pStyle w:val="17"/>
        <w:snapToGrid w:val="0"/>
        <w:spacing w:line="420" w:lineRule="atLeast"/>
        <w:ind w:firstLine="422" w:firstLineChars="200"/>
        <w:rPr>
          <w:rFonts w:hint="eastAsia" w:hAnsi="宋体"/>
          <w:b/>
          <w:sz w:val="21"/>
        </w:rPr>
      </w:pPr>
      <w:r>
        <w:rPr>
          <w:rFonts w:hint="eastAsia" w:hAnsi="宋体"/>
          <w:b/>
          <w:sz w:val="21"/>
        </w:rPr>
        <w:t>（</w:t>
      </w:r>
      <w:r>
        <w:rPr>
          <w:rFonts w:hAnsi="宋体"/>
          <w:b/>
          <w:sz w:val="21"/>
        </w:rPr>
        <w:t>6</w:t>
      </w:r>
      <w:r>
        <w:rPr>
          <w:rFonts w:hint="eastAsia" w:hAnsi="宋体"/>
          <w:b/>
          <w:sz w:val="21"/>
        </w:rPr>
        <w:t>）投标文件中的资格证明文件出现任一项不符合“投标人须知前附表”资格证明文件规定“必须提供”的文件资料要求或者无效的。</w:t>
      </w:r>
    </w:p>
    <w:p w14:paraId="0B16C268">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sz w:val="21"/>
          <w:szCs w:val="21"/>
        </w:rPr>
        <w:t>25.4</w:t>
      </w:r>
      <w:r>
        <w:rPr>
          <w:rFonts w:ascii="宋体" w:hAnsi="宋体"/>
          <w:sz w:val="21"/>
          <w:szCs w:val="21"/>
        </w:rPr>
        <w:t>合格投标人不足3家的，不得评标。</w:t>
      </w:r>
    </w:p>
    <w:p w14:paraId="032CD518">
      <w:pPr>
        <w:pStyle w:val="17"/>
        <w:snapToGrid w:val="0"/>
        <w:spacing w:line="420" w:lineRule="atLeast"/>
        <w:ind w:left="689" w:leftChars="228" w:hanging="210" w:hangingChars="100"/>
        <w:rPr>
          <w:rFonts w:hint="eastAsia" w:hAnsi="宋体"/>
          <w:sz w:val="21"/>
        </w:rPr>
      </w:pPr>
    </w:p>
    <w:p w14:paraId="69F7ADDE">
      <w:pPr>
        <w:pStyle w:val="4"/>
        <w:keepNext w:val="0"/>
        <w:keepLines w:val="0"/>
        <w:spacing w:line="420" w:lineRule="atLeast"/>
        <w:jc w:val="center"/>
      </w:pPr>
      <w:r>
        <w:rPr>
          <w:rFonts w:hint="eastAsia"/>
        </w:rPr>
        <w:t>六、评   标</w:t>
      </w:r>
    </w:p>
    <w:p w14:paraId="5DD607AC">
      <w:pPr>
        <w:pStyle w:val="6"/>
        <w:keepNext w:val="0"/>
        <w:keepLines w:val="0"/>
        <w:spacing w:before="0" w:after="0" w:line="420" w:lineRule="atLeast"/>
        <w:ind w:left="420" w:leftChars="200"/>
        <w:rPr>
          <w:rFonts w:hint="eastAsia" w:ascii="黑体" w:hAnsi="黑体" w:eastAsia="黑体"/>
          <w:sz w:val="24"/>
        </w:rPr>
      </w:pPr>
      <w:bookmarkStart w:id="127" w:name="_26.组建评标委员会"/>
      <w:bookmarkEnd w:id="127"/>
      <w:r>
        <w:rPr>
          <w:rFonts w:hint="eastAsia" w:ascii="黑体" w:hAnsi="黑体" w:eastAsia="黑体"/>
          <w:sz w:val="24"/>
        </w:rPr>
        <w:t>26.组建评标委员会</w:t>
      </w:r>
    </w:p>
    <w:p w14:paraId="76F14326">
      <w:pPr>
        <w:pStyle w:val="17"/>
        <w:snapToGrid w:val="0"/>
        <w:spacing w:line="420" w:lineRule="atLeast"/>
        <w:ind w:firstLine="420" w:firstLineChars="200"/>
        <w:rPr>
          <w:rFonts w:hint="eastAsia" w:hAnsi="宋体"/>
          <w:sz w:val="21"/>
        </w:rPr>
      </w:pPr>
      <w:r>
        <w:rPr>
          <w:rFonts w:hint="eastAsia" w:hAnsi="宋体"/>
          <w:sz w:val="21"/>
        </w:rPr>
        <w:t>评标委员会由采购人代表和评审专家组成，具体人数详见“投标人须知前附表”，其中评审专家不得少于成员总数的三分之二。</w:t>
      </w:r>
    </w:p>
    <w:p w14:paraId="20A9F7B3">
      <w:pPr>
        <w:pStyle w:val="17"/>
        <w:snapToGrid w:val="0"/>
        <w:spacing w:line="420" w:lineRule="atLeast"/>
        <w:ind w:left="2" w:leftChars="1" w:firstLine="420" w:firstLineChars="200"/>
        <w:rPr>
          <w:rFonts w:hint="eastAsia" w:hAnsi="宋体"/>
          <w:sz w:val="21"/>
        </w:rPr>
      </w:pPr>
      <w:r>
        <w:rPr>
          <w:rFonts w:hint="eastAsia" w:hAnsi="宋体"/>
          <w:sz w:val="21"/>
        </w:rPr>
        <w:t>参加过采购项目前期咨询论证的专家，不得参加该采购项目的评审活动。</w:t>
      </w:r>
    </w:p>
    <w:p w14:paraId="33906146">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27.评标的依据</w:t>
      </w:r>
    </w:p>
    <w:p w14:paraId="44F08CB3">
      <w:pPr>
        <w:pStyle w:val="17"/>
        <w:snapToGrid w:val="0"/>
        <w:spacing w:line="420" w:lineRule="atLeast"/>
        <w:ind w:firstLine="420" w:firstLineChars="200"/>
        <w:rPr>
          <w:rFonts w:hint="eastAsia" w:hAnsi="宋体"/>
          <w:sz w:val="21"/>
        </w:rPr>
      </w:pPr>
      <w:r>
        <w:rPr>
          <w:rFonts w:hint="eastAsia" w:hAnsi="宋体"/>
          <w:sz w:val="21"/>
        </w:rPr>
        <w:t>评标委员会以</w:t>
      </w:r>
      <w:r>
        <w:rPr>
          <w:rFonts w:hint="eastAsia" w:hAnsi="宋体" w:cs="宋体"/>
          <w:sz w:val="21"/>
        </w:rPr>
        <w:t>“第四章 评标方法和评标标准”</w:t>
      </w:r>
      <w:r>
        <w:rPr>
          <w:rFonts w:hint="eastAsia" w:hAnsi="宋体"/>
          <w:sz w:val="21"/>
        </w:rPr>
        <w:t>为依据对投标文件进行评审，</w:t>
      </w:r>
      <w:r>
        <w:rPr>
          <w:rFonts w:hAnsi="宋体"/>
          <w:sz w:val="21"/>
        </w:rPr>
        <w:t>没有规定的方法、评审因素和标准，不作为评标依据。</w:t>
      </w:r>
    </w:p>
    <w:p w14:paraId="5B5299CC">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28.评标原则</w:t>
      </w:r>
    </w:p>
    <w:p w14:paraId="0AE32119">
      <w:pPr>
        <w:pStyle w:val="17"/>
        <w:snapToGrid w:val="0"/>
        <w:spacing w:line="420" w:lineRule="atLeast"/>
        <w:ind w:firstLine="420" w:firstLineChars="200"/>
        <w:rPr>
          <w:rFonts w:hint="eastAsia" w:hAnsi="宋体"/>
          <w:sz w:val="21"/>
        </w:rPr>
      </w:pPr>
      <w:r>
        <w:rPr>
          <w:rFonts w:hint="eastAsia" w:hAnsi="宋体"/>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46796478">
      <w:pPr>
        <w:pStyle w:val="17"/>
        <w:snapToGrid w:val="0"/>
        <w:spacing w:line="420" w:lineRule="atLeast"/>
        <w:ind w:firstLine="420" w:firstLineChars="200"/>
        <w:rPr>
          <w:rFonts w:hint="eastAsia" w:hAnsi="宋体"/>
          <w:sz w:val="21"/>
        </w:rPr>
      </w:pPr>
      <w:r>
        <w:rPr>
          <w:rFonts w:hint="eastAsia" w:hAnsi="宋体"/>
          <w:sz w:val="21"/>
        </w:rPr>
        <w:t>28.2</w:t>
      </w:r>
      <w:bookmarkStart w:id="128" w:name="_28.3评标方法。本项目将按须知前附表规定的评标办法进行评标，具体评标"/>
      <w:bookmarkEnd w:id="128"/>
      <w:r>
        <w:rPr>
          <w:rFonts w:hint="eastAsia" w:hAnsi="宋体"/>
          <w:sz w:val="21"/>
        </w:rPr>
        <w:t>评委表决。评标委员会成员对需要共同认定的事项存在争议的，应当按照少数服从多数的原则作出结论。</w:t>
      </w:r>
    </w:p>
    <w:p w14:paraId="3A1025C3">
      <w:pPr>
        <w:pStyle w:val="17"/>
        <w:snapToGrid w:val="0"/>
        <w:spacing w:line="420" w:lineRule="atLeast"/>
        <w:ind w:firstLine="420" w:firstLineChars="200"/>
        <w:rPr>
          <w:rFonts w:hint="eastAsia" w:hAnsi="宋体"/>
          <w:sz w:val="21"/>
        </w:rPr>
      </w:pPr>
      <w:r>
        <w:rPr>
          <w:rFonts w:hint="eastAsia" w:hAnsi="宋体"/>
          <w:sz w:val="21"/>
        </w:rPr>
        <w:t>28.</w:t>
      </w:r>
      <w:r>
        <w:rPr>
          <w:rFonts w:hAnsi="宋体"/>
          <w:sz w:val="21"/>
        </w:rPr>
        <w:t>3</w:t>
      </w:r>
      <w:r>
        <w:rPr>
          <w:rFonts w:hint="eastAsia" w:hAnsi="宋体"/>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8857F56">
      <w:pPr>
        <w:pStyle w:val="17"/>
        <w:snapToGrid w:val="0"/>
        <w:spacing w:line="420" w:lineRule="atLeast"/>
        <w:ind w:firstLine="420" w:firstLineChars="200"/>
        <w:rPr>
          <w:rFonts w:hint="eastAsia" w:hAnsi="宋体"/>
          <w:sz w:val="21"/>
        </w:rPr>
      </w:pPr>
      <w:r>
        <w:rPr>
          <w:rFonts w:hint="eastAsia" w:hAnsi="宋体"/>
          <w:sz w:val="21"/>
        </w:rPr>
        <w:t>2</w:t>
      </w:r>
      <w:r>
        <w:rPr>
          <w:rFonts w:hAnsi="宋体"/>
          <w:sz w:val="21"/>
        </w:rPr>
        <w:t>8.4</w:t>
      </w:r>
      <w:r>
        <w:rPr>
          <w:rFonts w:hint="eastAsia" w:hAnsi="宋体"/>
          <w:sz w:val="21"/>
        </w:rPr>
        <w:t>评标过程的监控。本项目评标过程实行全程录音、录像监控，</w:t>
      </w:r>
      <w:r>
        <w:rPr>
          <w:rFonts w:hint="eastAsia" w:hAnsi="宋体"/>
          <w:b/>
          <w:bCs/>
          <w:sz w:val="21"/>
        </w:rPr>
        <w:t>投标人在评标过程中所进行的试图影响评标结果的不公正活动，可能导致其投标无效</w:t>
      </w:r>
      <w:r>
        <w:rPr>
          <w:rFonts w:hint="eastAsia" w:hAnsi="宋体"/>
          <w:sz w:val="21"/>
        </w:rPr>
        <w:t>。</w:t>
      </w:r>
    </w:p>
    <w:p w14:paraId="5472C362">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29.评标方法及中标候选人推荐</w:t>
      </w:r>
    </w:p>
    <w:p w14:paraId="51BE68D5">
      <w:pPr>
        <w:pStyle w:val="17"/>
        <w:snapToGrid w:val="0"/>
        <w:spacing w:line="420" w:lineRule="atLeast"/>
        <w:ind w:firstLine="420" w:firstLineChars="200"/>
        <w:rPr>
          <w:rFonts w:hint="eastAsia" w:hAnsi="宋体"/>
          <w:sz w:val="21"/>
        </w:rPr>
      </w:pPr>
      <w:r>
        <w:rPr>
          <w:rFonts w:hint="eastAsia" w:hAnsi="宋体"/>
          <w:sz w:val="21"/>
        </w:rPr>
        <w:t>2</w:t>
      </w:r>
      <w:r>
        <w:rPr>
          <w:rFonts w:hAnsi="宋体"/>
          <w:sz w:val="21"/>
        </w:rPr>
        <w:t>9.1</w:t>
      </w:r>
      <w:r>
        <w:rPr>
          <w:rFonts w:hint="eastAsia" w:hAnsi="宋体"/>
          <w:sz w:val="21"/>
        </w:rPr>
        <w:t>本项目的评标方法详见“投标人须知前附表”。</w:t>
      </w:r>
    </w:p>
    <w:p w14:paraId="10C8923E">
      <w:pPr>
        <w:pStyle w:val="17"/>
        <w:snapToGrid w:val="0"/>
        <w:spacing w:line="420" w:lineRule="atLeast"/>
        <w:ind w:firstLine="420" w:firstLineChars="200"/>
        <w:rPr>
          <w:rFonts w:hint="eastAsia" w:hAnsi="宋体"/>
          <w:sz w:val="21"/>
        </w:rPr>
      </w:pPr>
      <w:r>
        <w:rPr>
          <w:rFonts w:hint="eastAsia" w:hAnsi="宋体"/>
          <w:sz w:val="21"/>
        </w:rPr>
        <w:t>2</w:t>
      </w:r>
      <w:r>
        <w:rPr>
          <w:rFonts w:hAnsi="宋体"/>
          <w:sz w:val="21"/>
        </w:rPr>
        <w:t>9.2</w:t>
      </w:r>
      <w:r>
        <w:rPr>
          <w:rFonts w:hAnsi="宋体" w:cs="宋体"/>
          <w:sz w:val="21"/>
        </w:rPr>
        <w:t xml:space="preserve"> </w:t>
      </w:r>
      <w:r>
        <w:rPr>
          <w:rFonts w:hAnsi="宋体"/>
          <w:sz w:val="21"/>
        </w:rPr>
        <w:t>中标候选人推荐数量详见</w:t>
      </w:r>
      <w:r>
        <w:rPr>
          <w:rFonts w:hint="eastAsia" w:hAnsi="宋体"/>
          <w:sz w:val="21"/>
        </w:rPr>
        <w:t>“投标人须知前附表”。</w:t>
      </w:r>
    </w:p>
    <w:p w14:paraId="799F0659">
      <w:pPr>
        <w:pStyle w:val="17"/>
        <w:snapToGrid w:val="0"/>
        <w:spacing w:line="420" w:lineRule="atLeast"/>
        <w:ind w:firstLine="420" w:firstLineChars="200"/>
        <w:rPr>
          <w:rFonts w:hint="eastAsia" w:hAnsi="宋体"/>
          <w:sz w:val="21"/>
        </w:rPr>
      </w:pPr>
      <w:r>
        <w:rPr>
          <w:rFonts w:hint="eastAsia" w:hAnsi="宋体"/>
          <w:sz w:val="21"/>
        </w:rPr>
        <w:t>2</w:t>
      </w:r>
      <w:r>
        <w:rPr>
          <w:rFonts w:hAnsi="宋体"/>
          <w:sz w:val="21"/>
        </w:rPr>
        <w:t>9.</w:t>
      </w:r>
      <w:r>
        <w:rPr>
          <w:rFonts w:hint="eastAsia" w:hAnsi="宋体"/>
          <w:sz w:val="21"/>
        </w:rPr>
        <w:t>3</w:t>
      </w:r>
      <w:r>
        <w:rPr>
          <w:rFonts w:hAnsi="宋体"/>
          <w:sz w:val="21"/>
        </w:rPr>
        <w:t>评标委员会</w:t>
      </w:r>
      <w:r>
        <w:rPr>
          <w:rFonts w:hint="eastAsia" w:hAnsi="宋体"/>
          <w:sz w:val="21"/>
        </w:rPr>
        <w:t>将</w:t>
      </w:r>
      <w:r>
        <w:rPr>
          <w:rFonts w:hAnsi="宋体"/>
          <w:sz w:val="21"/>
        </w:rPr>
        <w:t>按照</w:t>
      </w:r>
      <w:r>
        <w:rPr>
          <w:rFonts w:hint="eastAsia" w:hAnsi="宋体"/>
          <w:sz w:val="21"/>
        </w:rPr>
        <w:t>“第四章 评标方法和评标标准”</w:t>
      </w:r>
      <w:r>
        <w:rPr>
          <w:rFonts w:hAnsi="宋体"/>
          <w:sz w:val="21"/>
        </w:rPr>
        <w:t>规定的方法、评审因素、标准和程序对投标文件进行评审。</w:t>
      </w:r>
    </w:p>
    <w:p w14:paraId="64C37C84">
      <w:pPr>
        <w:pStyle w:val="17"/>
        <w:snapToGrid w:val="0"/>
        <w:spacing w:line="420" w:lineRule="atLeast"/>
        <w:ind w:firstLine="420" w:firstLineChars="200"/>
        <w:rPr>
          <w:rFonts w:hint="eastAsia" w:hAnsi="宋体"/>
          <w:sz w:val="21"/>
        </w:rPr>
      </w:pPr>
      <w:r>
        <w:rPr>
          <w:rFonts w:hint="eastAsia" w:hAnsi="宋体"/>
          <w:sz w:val="21"/>
        </w:rPr>
        <w:t>29.4电子交易活动的中止。采购过程中出现以下情形，导致电子交易平台无法正常运行，或者无法保证电子交易的公平、公正和安全时，采购代理机构可中止电子交易活动：</w:t>
      </w:r>
    </w:p>
    <w:p w14:paraId="3A8CBB48">
      <w:pPr>
        <w:pStyle w:val="17"/>
        <w:snapToGrid w:val="0"/>
        <w:spacing w:line="420" w:lineRule="atLeast"/>
        <w:ind w:firstLine="420" w:firstLineChars="200"/>
        <w:rPr>
          <w:rFonts w:hint="eastAsia" w:hAnsi="宋体"/>
          <w:sz w:val="21"/>
        </w:rPr>
      </w:pPr>
      <w:r>
        <w:rPr>
          <w:rFonts w:hint="eastAsia" w:hAnsi="宋体"/>
          <w:sz w:val="21"/>
        </w:rPr>
        <w:t xml:space="preserve">（1）电子交易平台发生故障而无法登录访问的； </w:t>
      </w:r>
    </w:p>
    <w:p w14:paraId="43F97F24">
      <w:pPr>
        <w:pStyle w:val="17"/>
        <w:snapToGrid w:val="0"/>
        <w:spacing w:line="420" w:lineRule="atLeast"/>
        <w:ind w:firstLine="420" w:firstLineChars="200"/>
        <w:rPr>
          <w:rFonts w:hint="eastAsia" w:hAnsi="宋体"/>
          <w:sz w:val="21"/>
        </w:rPr>
      </w:pPr>
      <w:r>
        <w:rPr>
          <w:rFonts w:hint="eastAsia" w:hAnsi="宋体"/>
          <w:sz w:val="21"/>
        </w:rPr>
        <w:t>（2）电子交易平台应用或数据库出现错误，不能进行正常操作的；</w:t>
      </w:r>
    </w:p>
    <w:p w14:paraId="558F5494">
      <w:pPr>
        <w:pStyle w:val="17"/>
        <w:snapToGrid w:val="0"/>
        <w:spacing w:line="420" w:lineRule="atLeast"/>
        <w:ind w:firstLine="420" w:firstLineChars="200"/>
        <w:rPr>
          <w:rFonts w:hint="eastAsia" w:hAnsi="宋体"/>
          <w:sz w:val="21"/>
        </w:rPr>
      </w:pPr>
      <w:r>
        <w:rPr>
          <w:rFonts w:hint="eastAsia" w:hAnsi="宋体"/>
          <w:sz w:val="21"/>
        </w:rPr>
        <w:t>（3）电子交易平台发现严重安全漏洞，有潜在泄密危险的；</w:t>
      </w:r>
    </w:p>
    <w:p w14:paraId="76AC9D0F">
      <w:pPr>
        <w:pStyle w:val="17"/>
        <w:snapToGrid w:val="0"/>
        <w:spacing w:line="420" w:lineRule="atLeast"/>
        <w:ind w:firstLine="420" w:firstLineChars="200"/>
        <w:rPr>
          <w:rFonts w:hint="eastAsia" w:hAnsi="宋体"/>
          <w:sz w:val="21"/>
        </w:rPr>
      </w:pPr>
      <w:r>
        <w:rPr>
          <w:rFonts w:hint="eastAsia" w:hAnsi="宋体"/>
          <w:sz w:val="21"/>
        </w:rPr>
        <w:t xml:space="preserve">（4）病毒发作导致不能进行正常操作的； </w:t>
      </w:r>
    </w:p>
    <w:p w14:paraId="57124CD9">
      <w:pPr>
        <w:pStyle w:val="17"/>
        <w:snapToGrid w:val="0"/>
        <w:spacing w:line="420" w:lineRule="atLeast"/>
        <w:ind w:firstLine="420" w:firstLineChars="200"/>
        <w:rPr>
          <w:rFonts w:hint="eastAsia" w:hAnsi="宋体"/>
          <w:sz w:val="21"/>
        </w:rPr>
      </w:pPr>
      <w:r>
        <w:rPr>
          <w:rFonts w:hint="eastAsia" w:hAnsi="宋体"/>
          <w:sz w:val="21"/>
        </w:rPr>
        <w:t>（4）其他无法保证电子交易的公平、公正和安全的情况。</w:t>
      </w:r>
    </w:p>
    <w:p w14:paraId="741AF92B">
      <w:pPr>
        <w:pStyle w:val="17"/>
        <w:snapToGrid w:val="0"/>
        <w:spacing w:line="420" w:lineRule="atLeast"/>
        <w:ind w:firstLine="420" w:firstLineChars="200"/>
        <w:rPr>
          <w:rFonts w:hint="eastAsia" w:hAnsi="宋体"/>
          <w:sz w:val="21"/>
        </w:rPr>
      </w:pPr>
      <w:r>
        <w:rPr>
          <w:rFonts w:hint="eastAsia" w:hAnsi="宋体"/>
          <w:sz w:val="21"/>
        </w:rPr>
        <w:t>29.5出现以上情形，不影响采购公平、公正性的，采购代理机构可以待上述情形消除后继续组织电子交易活动；影响或可能影响采购公平、公正性的，经采购代理机构确认后，应当重新采购。</w:t>
      </w:r>
    </w:p>
    <w:p w14:paraId="49D5ECBE">
      <w:pPr>
        <w:pStyle w:val="17"/>
        <w:snapToGrid w:val="0"/>
        <w:spacing w:line="420" w:lineRule="atLeast"/>
        <w:rPr>
          <w:rFonts w:hint="eastAsia" w:hAnsi="宋体"/>
          <w:sz w:val="21"/>
        </w:rPr>
      </w:pPr>
    </w:p>
    <w:p w14:paraId="2EE81442">
      <w:pPr>
        <w:pStyle w:val="4"/>
        <w:keepNext w:val="0"/>
        <w:keepLines w:val="0"/>
        <w:spacing w:line="420" w:lineRule="atLeast"/>
        <w:jc w:val="center"/>
      </w:pPr>
      <w:bookmarkStart w:id="129" w:name="_Toc254970687"/>
      <w:bookmarkStart w:id="130" w:name="_Toc254970546"/>
      <w:r>
        <w:rPr>
          <w:rFonts w:hint="eastAsia"/>
        </w:rPr>
        <w:t>七、</w:t>
      </w:r>
      <w:bookmarkEnd w:id="129"/>
      <w:bookmarkEnd w:id="130"/>
      <w:r>
        <w:rPr>
          <w:rFonts w:hint="eastAsia"/>
        </w:rPr>
        <w:t>中标和合同</w:t>
      </w:r>
    </w:p>
    <w:p w14:paraId="185DFCA6">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30</w:t>
      </w:r>
      <w:r>
        <w:rPr>
          <w:rFonts w:ascii="黑体" w:hAnsi="黑体" w:eastAsia="黑体"/>
          <w:sz w:val="24"/>
        </w:rPr>
        <w:t xml:space="preserve"> </w:t>
      </w:r>
      <w:r>
        <w:rPr>
          <w:rFonts w:hint="eastAsia" w:ascii="黑体" w:hAnsi="黑体" w:eastAsia="黑体"/>
          <w:sz w:val="24"/>
        </w:rPr>
        <w:t>确定中标人</w:t>
      </w:r>
    </w:p>
    <w:p w14:paraId="68B22985">
      <w:pPr>
        <w:pStyle w:val="6"/>
        <w:keepNext w:val="0"/>
        <w:keepLines w:val="0"/>
        <w:spacing w:before="0" w:after="0" w:line="420" w:lineRule="atLeast"/>
        <w:ind w:firstLine="420" w:firstLineChars="200"/>
        <w:rPr>
          <w:rFonts w:hint="eastAsia" w:ascii="宋体" w:hAnsi="宋体"/>
          <w:b w:val="0"/>
          <w:sz w:val="21"/>
          <w:szCs w:val="21"/>
        </w:rPr>
      </w:pPr>
      <w:r>
        <w:rPr>
          <w:rFonts w:ascii="宋体" w:hAnsi="宋体"/>
          <w:b w:val="0"/>
          <w:sz w:val="21"/>
          <w:szCs w:val="21"/>
        </w:rPr>
        <w:t>30.1</w:t>
      </w:r>
      <w:r>
        <w:rPr>
          <w:rFonts w:hint="eastAsia" w:ascii="宋体" w:hAnsi="宋体"/>
          <w:b w:val="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15EFBC85">
      <w:pPr>
        <w:snapToGrid w:val="0"/>
        <w:spacing w:line="420" w:lineRule="atLeast"/>
        <w:ind w:firstLine="420" w:firstLineChars="200"/>
        <w:rPr>
          <w:rFonts w:hint="eastAsia" w:ascii="宋体" w:hAnsi="宋体" w:cs="Courier New"/>
          <w:szCs w:val="21"/>
        </w:rPr>
      </w:pPr>
      <w:r>
        <w:rPr>
          <w:rFonts w:ascii="宋体" w:hAnsi="宋体" w:cs="Courier New"/>
          <w:szCs w:val="21"/>
        </w:rPr>
        <w:t>30.2</w:t>
      </w:r>
      <w:r>
        <w:rPr>
          <w:rFonts w:hint="eastAsia" w:ascii="宋体" w:hAnsi="宋体" w:cs="Courier New"/>
          <w:szCs w:val="21"/>
        </w:rPr>
        <w:t>采购人在收到评标报告5个工作日内未按评标报告推荐的中标候选人顺序确定中标人，又不能说明合法理由的，视同按评标报告推荐的顺序确定排名第一的中标候选人为中标人。</w:t>
      </w:r>
    </w:p>
    <w:p w14:paraId="291FEEB1">
      <w:pPr>
        <w:snapToGrid w:val="0"/>
        <w:spacing w:line="420" w:lineRule="atLeast"/>
        <w:ind w:firstLine="420" w:firstLineChars="200"/>
        <w:rPr>
          <w:rFonts w:hint="eastAsia" w:ascii="宋体" w:hAnsi="宋体"/>
          <w:szCs w:val="21"/>
        </w:rPr>
      </w:pPr>
      <w:r>
        <w:rPr>
          <w:rFonts w:hint="eastAsia" w:ascii="宋体" w:hAnsi="宋体"/>
          <w:szCs w:val="21"/>
        </w:rPr>
        <w:t>30.3出现下列情形之一的，应予废标：</w:t>
      </w:r>
    </w:p>
    <w:p w14:paraId="4914D4DE">
      <w:pPr>
        <w:snapToGrid w:val="0"/>
        <w:spacing w:line="420" w:lineRule="atLeast"/>
        <w:ind w:firstLine="420" w:firstLineChars="200"/>
        <w:rPr>
          <w:rFonts w:hint="eastAsia" w:ascii="宋体" w:hAnsi="宋体"/>
          <w:szCs w:val="21"/>
        </w:rPr>
      </w:pPr>
      <w:r>
        <w:rPr>
          <w:rFonts w:hint="eastAsia" w:ascii="宋体" w:hAnsi="宋体"/>
          <w:szCs w:val="21"/>
        </w:rPr>
        <w:t>（1）符合专业条件的供应商或者对招标文件作实质响应的供应商不足三家的；</w:t>
      </w:r>
    </w:p>
    <w:p w14:paraId="3F3716F3">
      <w:pPr>
        <w:snapToGrid w:val="0"/>
        <w:spacing w:line="420" w:lineRule="atLeast"/>
        <w:ind w:firstLine="420" w:firstLineChars="200"/>
        <w:rPr>
          <w:rFonts w:hint="eastAsia" w:ascii="宋体" w:hAnsi="宋体"/>
          <w:szCs w:val="21"/>
        </w:rPr>
      </w:pPr>
      <w:r>
        <w:rPr>
          <w:rFonts w:hint="eastAsia" w:ascii="宋体" w:hAnsi="宋体"/>
          <w:szCs w:val="21"/>
        </w:rPr>
        <w:t>（2）出现影响采购公正的违法、违规行为的；</w:t>
      </w:r>
    </w:p>
    <w:p w14:paraId="3F783B00">
      <w:pPr>
        <w:snapToGrid w:val="0"/>
        <w:spacing w:line="420" w:lineRule="atLeast"/>
        <w:ind w:firstLine="420" w:firstLineChars="200"/>
        <w:rPr>
          <w:rFonts w:hint="eastAsia" w:ascii="宋体" w:hAnsi="宋体"/>
          <w:szCs w:val="21"/>
        </w:rPr>
      </w:pPr>
      <w:r>
        <w:rPr>
          <w:rFonts w:hint="eastAsia" w:ascii="宋体" w:hAnsi="宋体"/>
          <w:szCs w:val="21"/>
        </w:rPr>
        <w:t>（3）投标人的报价均超过了采购预算，采购人不能支付的；</w:t>
      </w:r>
    </w:p>
    <w:p w14:paraId="027C36DC">
      <w:pPr>
        <w:snapToGrid w:val="0"/>
        <w:spacing w:line="420" w:lineRule="atLeast"/>
        <w:ind w:firstLine="420" w:firstLineChars="200"/>
        <w:rPr>
          <w:rFonts w:hint="eastAsia" w:ascii="宋体" w:hAnsi="宋体"/>
          <w:szCs w:val="21"/>
        </w:rPr>
      </w:pPr>
      <w:r>
        <w:rPr>
          <w:rFonts w:hint="eastAsia" w:ascii="宋体" w:hAnsi="宋体"/>
          <w:szCs w:val="21"/>
        </w:rPr>
        <w:t>（4）因重大变故，采购任务取消的。</w:t>
      </w:r>
    </w:p>
    <w:p w14:paraId="725150D0">
      <w:pPr>
        <w:snapToGrid w:val="0"/>
        <w:spacing w:line="420" w:lineRule="atLeast"/>
        <w:ind w:firstLine="420" w:firstLineChars="200"/>
        <w:rPr>
          <w:rFonts w:hint="eastAsia" w:ascii="宋体" w:hAnsi="宋体"/>
          <w:szCs w:val="21"/>
        </w:rPr>
      </w:pPr>
      <w:r>
        <w:rPr>
          <w:rFonts w:hint="eastAsia" w:ascii="宋体" w:hAnsi="宋体"/>
          <w:szCs w:val="21"/>
        </w:rPr>
        <w:t>废标后，采购人应当将废标理由通知所有投标人。</w:t>
      </w:r>
    </w:p>
    <w:p w14:paraId="349632ED">
      <w:pPr>
        <w:snapToGrid w:val="0"/>
        <w:spacing w:line="420" w:lineRule="atLeast"/>
        <w:ind w:firstLine="420" w:firstLineChars="200"/>
        <w:rPr>
          <w:rFonts w:hint="eastAsia" w:ascii="宋体" w:hAnsi="宋体" w:cs="Courier New"/>
          <w:szCs w:val="21"/>
        </w:rPr>
      </w:pPr>
      <w:r>
        <w:rPr>
          <w:rFonts w:ascii="宋体" w:hAnsi="宋体" w:cs="Courier New"/>
          <w:szCs w:val="21"/>
        </w:rPr>
        <w:t>30.</w:t>
      </w:r>
      <w:r>
        <w:rPr>
          <w:rFonts w:hint="eastAsia" w:ascii="宋体" w:hAnsi="宋体" w:cs="Courier New"/>
          <w:szCs w:val="21"/>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宋体" w:hAnsi="宋体" w:cs="Courier New"/>
          <w:szCs w:val="21"/>
        </w:rPr>
        <w:t>拒绝签订政府采购合同的</w:t>
      </w:r>
      <w:r>
        <w:rPr>
          <w:rFonts w:hint="eastAsia" w:ascii="宋体" w:hAnsi="宋体" w:cs="Courier New"/>
          <w:szCs w:val="21"/>
        </w:rPr>
        <w:t>中标人</w:t>
      </w:r>
      <w:r>
        <w:rPr>
          <w:rFonts w:ascii="宋体" w:hAnsi="宋体" w:cs="Courier New"/>
          <w:szCs w:val="21"/>
        </w:rPr>
        <w:t>不得参加对该项目重新开展的采购活动。</w:t>
      </w:r>
    </w:p>
    <w:p w14:paraId="012C8624">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31. 结果公告</w:t>
      </w:r>
    </w:p>
    <w:p w14:paraId="2422D6F7">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3</w:t>
      </w:r>
      <w:r>
        <w:rPr>
          <w:rFonts w:ascii="宋体" w:hAnsi="宋体"/>
          <w:b w:val="0"/>
          <w:sz w:val="21"/>
          <w:szCs w:val="21"/>
        </w:rPr>
        <w:t>1.1</w:t>
      </w:r>
      <w:r>
        <w:rPr>
          <w:rFonts w:hint="eastAsia" w:ascii="宋体" w:hAnsi="宋体"/>
          <w:b w:val="0"/>
          <w:sz w:val="21"/>
          <w:szCs w:val="21"/>
        </w:rPr>
        <w:t>采购人或者采购代理机构应当自中标人确定之日起2个工作日内，在省级以上财政部门指定的媒体上公告中标结果，招标文件应当随中标结果同时公告。</w:t>
      </w:r>
      <w:r>
        <w:rPr>
          <w:rFonts w:hint="eastAsia" w:ascii="宋体" w:hAnsi="宋体"/>
          <w:sz w:val="21"/>
          <w:szCs w:val="21"/>
        </w:rPr>
        <w:t>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sz w:val="21"/>
          <w:szCs w:val="21"/>
        </w:rPr>
        <w:t>排名第二的中标候选人因前款规定的同样原因被取消中标资格的，采购人可以确定排名第三的中标候选人为中标人，以此类推。以上信息查询记录及相关证据与采购文件一并保存。</w:t>
      </w:r>
    </w:p>
    <w:p w14:paraId="679D8AEF">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31.2中标供应商享受《政府采购促进中小企业发展管理办法》（财库〔2020〕46号）规定的中小企业扶持政策的，采购人、采购代理机构应当随中标结果公开中标供应商的《中小企业声明函》。</w:t>
      </w:r>
    </w:p>
    <w:p w14:paraId="21E7E9ED">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32.发出中标通知书</w:t>
      </w:r>
    </w:p>
    <w:p w14:paraId="5905E4E4">
      <w:pPr>
        <w:pStyle w:val="6"/>
        <w:keepNext w:val="0"/>
        <w:keepLines w:val="0"/>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在公告中标结果的同时，采购代理机构向中标人发出中标通知书。对未通过资格审查的投标人，应当告知其未通过的原因；采用综合评分办法评审的，还应当告知未中标人本人的评审得分与排序。</w:t>
      </w:r>
    </w:p>
    <w:p w14:paraId="522AD6B8">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33. 无义务解释未中标原因</w:t>
      </w:r>
    </w:p>
    <w:p w14:paraId="507C2D28">
      <w:pPr>
        <w:pStyle w:val="6"/>
        <w:keepNext w:val="0"/>
        <w:keepLines w:val="0"/>
        <w:spacing w:before="0" w:after="0" w:line="420" w:lineRule="atLeast"/>
        <w:ind w:left="420" w:leftChars="200"/>
        <w:rPr>
          <w:rFonts w:hint="eastAsia" w:ascii="宋体" w:hAnsi="宋体"/>
          <w:b w:val="0"/>
          <w:sz w:val="21"/>
          <w:szCs w:val="21"/>
        </w:rPr>
      </w:pPr>
      <w:r>
        <w:rPr>
          <w:rFonts w:hint="eastAsia" w:ascii="宋体" w:hAnsi="宋体"/>
          <w:b w:val="0"/>
          <w:sz w:val="21"/>
          <w:szCs w:val="21"/>
        </w:rPr>
        <w:t>采购代理机构无义务向未中标的投标人解释未中标原因和退还投标文件。</w:t>
      </w:r>
    </w:p>
    <w:p w14:paraId="46DD28FA">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34.合同授予标准</w:t>
      </w:r>
    </w:p>
    <w:p w14:paraId="2D79E9AB">
      <w:pPr>
        <w:snapToGrid w:val="0"/>
        <w:spacing w:line="420" w:lineRule="atLeast"/>
        <w:ind w:firstLine="420" w:firstLineChars="200"/>
        <w:rPr>
          <w:rFonts w:hint="eastAsia"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39061FB6">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35.履约保证金</w:t>
      </w:r>
    </w:p>
    <w:p w14:paraId="3AFB53BF">
      <w:pPr>
        <w:pStyle w:val="6"/>
        <w:keepNext w:val="0"/>
        <w:keepLines w:val="0"/>
        <w:spacing w:before="0" w:after="0" w:line="420" w:lineRule="atLeast"/>
        <w:ind w:firstLine="315" w:firstLineChars="150"/>
        <w:rPr>
          <w:rFonts w:hint="eastAsia" w:ascii="宋体" w:hAnsi="宋体"/>
          <w:b w:val="0"/>
          <w:sz w:val="21"/>
          <w:szCs w:val="21"/>
        </w:rPr>
      </w:pPr>
      <w:bookmarkStart w:id="131" w:name="_39.1中标人须于签订合同前按本须知前附表规定的金额转账或电汇到指定账"/>
      <w:bookmarkEnd w:id="131"/>
      <w:r>
        <w:rPr>
          <w:rFonts w:ascii="宋体" w:hAnsi="宋体"/>
          <w:b w:val="0"/>
          <w:sz w:val="21"/>
          <w:szCs w:val="21"/>
        </w:rPr>
        <w:t xml:space="preserve"> </w:t>
      </w:r>
      <w:r>
        <w:rPr>
          <w:rFonts w:hint="eastAsia" w:ascii="宋体" w:hAnsi="宋体"/>
          <w:b w:val="0"/>
          <w:sz w:val="21"/>
          <w:szCs w:val="21"/>
        </w:rPr>
        <w:t>3</w:t>
      </w:r>
      <w:r>
        <w:rPr>
          <w:rFonts w:ascii="宋体" w:hAnsi="宋体"/>
          <w:b w:val="0"/>
          <w:sz w:val="21"/>
          <w:szCs w:val="21"/>
        </w:rPr>
        <w:t>5</w:t>
      </w:r>
      <w:r>
        <w:rPr>
          <w:rFonts w:hint="eastAsia" w:ascii="宋体" w:hAnsi="宋体"/>
          <w:b w:val="0"/>
          <w:sz w:val="21"/>
          <w:szCs w:val="21"/>
        </w:rPr>
        <w:t>.1 履约保证金的金额、提交方式、退付的时间和条件详见 “投标人须知前附表”。中标人未按规定提交履约保证金的，视为拒绝与采购人签订合同。</w:t>
      </w:r>
    </w:p>
    <w:p w14:paraId="56C89CEE">
      <w:pPr>
        <w:pStyle w:val="6"/>
        <w:keepNext w:val="0"/>
        <w:keepLines w:val="0"/>
        <w:spacing w:before="0" w:after="0" w:line="420" w:lineRule="atLeast"/>
        <w:ind w:firstLine="316" w:firstLineChars="150"/>
        <w:rPr>
          <w:rFonts w:hint="eastAsia" w:ascii="宋体" w:hAnsi="宋体"/>
          <w:sz w:val="21"/>
          <w:szCs w:val="21"/>
        </w:rPr>
      </w:pPr>
      <w:r>
        <w:rPr>
          <w:rFonts w:hint="eastAsia" w:ascii="宋体" w:hAnsi="宋体"/>
          <w:sz w:val="21"/>
          <w:szCs w:val="21"/>
        </w:rPr>
        <w:t xml:space="preserve"> </w:t>
      </w:r>
      <w:r>
        <w:rPr>
          <w:rFonts w:hint="eastAsia" w:ascii="宋体" w:hAnsi="宋体"/>
          <w:b w:val="0"/>
          <w:bCs/>
          <w:sz w:val="21"/>
          <w:szCs w:val="21"/>
        </w:rPr>
        <w:t>35.2在履约保证金退还日期前，若中标人的开户名称、开户银行、帐号有变动的，请以书面形式通知履约保证金收取单位，否则由此产生的后果由中标人自行承担。</w:t>
      </w:r>
    </w:p>
    <w:p w14:paraId="6939286E">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36.签订合同</w:t>
      </w:r>
    </w:p>
    <w:p w14:paraId="50D0F939">
      <w:pPr>
        <w:pStyle w:val="6"/>
        <w:keepNext w:val="0"/>
        <w:keepLines w:val="0"/>
        <w:spacing w:before="0" w:after="0" w:line="420" w:lineRule="atLeast"/>
        <w:ind w:firstLine="315" w:firstLineChars="150"/>
        <w:rPr>
          <w:rFonts w:hint="eastAsia" w:ascii="宋体" w:hAnsi="宋体"/>
          <w:b w:val="0"/>
          <w:bCs/>
          <w:sz w:val="21"/>
          <w:szCs w:val="21"/>
        </w:rPr>
      </w:pPr>
      <w:bookmarkStart w:id="132" w:name="_40.1投标人接到中标通知书后，按须知前附表规定向采购人出示相关资格证"/>
      <w:bookmarkEnd w:id="132"/>
      <w:r>
        <w:rPr>
          <w:rFonts w:hint="eastAsia" w:ascii="宋体" w:hAnsi="宋体"/>
          <w:b w:val="0"/>
          <w:sz w:val="21"/>
          <w:szCs w:val="21"/>
        </w:rPr>
        <w:t xml:space="preserve"> 36.1投标人领取中标通知书（书面或电子）后，按“投标人须知前附表”规定向采购人出示相关证明材料，经采购人核验合格后方可签订采购合同（书面或电子）。</w:t>
      </w:r>
      <w:r>
        <w:rPr>
          <w:rFonts w:hint="eastAsia" w:ascii="宋体" w:hAnsi="宋体"/>
          <w:b w:val="0"/>
          <w:bCs/>
          <w:sz w:val="21"/>
          <w:szCs w:val="21"/>
        </w:rPr>
        <w:t>如中标人为联合体的，</w:t>
      </w:r>
      <w:r>
        <w:rPr>
          <w:rFonts w:ascii="宋体" w:hAnsi="宋体"/>
          <w:b w:val="0"/>
          <w:bCs/>
          <w:sz w:val="21"/>
          <w:szCs w:val="21"/>
        </w:rPr>
        <w:t>联合体各方应当共同与采购人签订采购合同，就采购合同约定的事项对采购人承担连带责任。</w:t>
      </w:r>
      <w:r>
        <w:rPr>
          <w:rFonts w:ascii="宋体" w:hAnsi="宋体" w:cs="宋体"/>
          <w:sz w:val="24"/>
        </w:rPr>
        <w:t>中标（成交）人在中标（成交）后签订合同前必须提供两套完整的投标文件</w:t>
      </w:r>
      <w:r>
        <w:rPr>
          <w:rFonts w:hint="eastAsia" w:ascii="宋体" w:hAnsi="宋体" w:cs="宋体"/>
          <w:sz w:val="24"/>
        </w:rPr>
        <w:t>到代理机构</w:t>
      </w:r>
      <w:r>
        <w:rPr>
          <w:rFonts w:ascii="宋体" w:hAnsi="宋体" w:cs="宋体"/>
          <w:sz w:val="24"/>
        </w:rPr>
        <w:t>，以提供给采购人存档备用。</w:t>
      </w:r>
    </w:p>
    <w:p w14:paraId="7BF5E3CF">
      <w:pPr>
        <w:pStyle w:val="6"/>
        <w:keepNext w:val="0"/>
        <w:keepLines w:val="0"/>
        <w:numPr>
          <w:ilvl w:val="0"/>
          <w:numId w:val="0"/>
        </w:numPr>
        <w:spacing w:before="0" w:after="0" w:line="420" w:lineRule="atLeast"/>
        <w:ind w:firstLine="420" w:firstLineChars="200"/>
        <w:rPr>
          <w:rFonts w:hint="eastAsia" w:ascii="宋体" w:hAnsi="宋体"/>
          <w:b w:val="0"/>
          <w:sz w:val="21"/>
          <w:szCs w:val="21"/>
        </w:rPr>
      </w:pPr>
      <w:r>
        <w:rPr>
          <w:rFonts w:hint="eastAsia" w:ascii="宋体" w:hAnsi="宋体"/>
          <w:b w:val="0"/>
          <w:sz w:val="21"/>
          <w:szCs w:val="21"/>
        </w:rPr>
        <w:t>36.2签订合同时间：按中标通知书规定的时间与采购人签订合同（最长不能超过25日）。</w:t>
      </w:r>
    </w:p>
    <w:p w14:paraId="23316FD1">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36.</w:t>
      </w:r>
      <w:r>
        <w:rPr>
          <w:rFonts w:ascii="宋体" w:hAnsi="宋体"/>
          <w:b w:val="0"/>
          <w:sz w:val="21"/>
          <w:szCs w:val="21"/>
        </w:rPr>
        <w:t>3</w:t>
      </w:r>
      <w:r>
        <w:rPr>
          <w:rFonts w:hint="eastAsia" w:ascii="宋体" w:hAnsi="宋体"/>
          <w:b w:val="0"/>
          <w:sz w:val="21"/>
          <w:szCs w:val="21"/>
        </w:rPr>
        <w:t>中标人拒绝与采购人签订合同的，按照本须知正文第3</w:t>
      </w:r>
      <w:r>
        <w:rPr>
          <w:rFonts w:ascii="宋体" w:hAnsi="宋体"/>
          <w:b w:val="0"/>
          <w:sz w:val="21"/>
          <w:szCs w:val="21"/>
        </w:rPr>
        <w:t>0.4条</w:t>
      </w:r>
      <w:r>
        <w:rPr>
          <w:rFonts w:hint="eastAsia" w:ascii="宋体" w:hAnsi="宋体"/>
          <w:b w:val="0"/>
          <w:sz w:val="21"/>
          <w:szCs w:val="21"/>
        </w:rPr>
        <w:t>的规定执行。</w:t>
      </w:r>
    </w:p>
    <w:p w14:paraId="3A9B62E4">
      <w:pPr>
        <w:pStyle w:val="6"/>
        <w:keepNext w:val="0"/>
        <w:keepLines w:val="0"/>
        <w:spacing w:before="0" w:after="0" w:line="420" w:lineRule="atLeast"/>
        <w:ind w:left="420" w:leftChars="200"/>
        <w:rPr>
          <w:rFonts w:hint="eastAsia" w:ascii="黑体" w:hAnsi="黑体" w:eastAsia="黑体"/>
          <w:sz w:val="24"/>
        </w:rPr>
      </w:pPr>
      <w:bookmarkStart w:id="133" w:name="_41.政府采购合同公告"/>
      <w:bookmarkEnd w:id="133"/>
      <w:r>
        <w:rPr>
          <w:rFonts w:hint="eastAsia" w:ascii="黑体" w:hAnsi="黑体" w:eastAsia="黑体"/>
          <w:sz w:val="24"/>
        </w:rPr>
        <w:t>37.政府采购合同公告</w:t>
      </w:r>
    </w:p>
    <w:p w14:paraId="762DA6FB">
      <w:pPr>
        <w:pStyle w:val="17"/>
        <w:snapToGrid w:val="0"/>
        <w:spacing w:line="420" w:lineRule="atLeast"/>
        <w:ind w:firstLine="420" w:firstLineChars="200"/>
        <w:rPr>
          <w:rFonts w:hint="eastAsia" w:hAnsi="宋体"/>
          <w:sz w:val="21"/>
        </w:rPr>
      </w:pPr>
      <w:r>
        <w:rPr>
          <w:rFonts w:hint="eastAsia" w:hAnsi="宋体"/>
          <w:sz w:val="21"/>
        </w:rPr>
        <w:t>采购人或者受托采购代理机构应当自政府采购合同签订之日起2个工作日内，将政府采购合同在省级以上人民政府财政部门指定的媒体上公告，</w:t>
      </w:r>
      <w:r>
        <w:rPr>
          <w:rFonts w:hAnsi="宋体"/>
          <w:sz w:val="21"/>
        </w:rPr>
        <w:t>但政府采购合同中涉及国家秘密、商业秘密的内容除外。</w:t>
      </w:r>
    </w:p>
    <w:p w14:paraId="506BE970">
      <w:pPr>
        <w:pStyle w:val="6"/>
        <w:keepNext w:val="0"/>
        <w:keepLines w:val="0"/>
        <w:spacing w:before="0" w:after="0" w:line="420" w:lineRule="atLeast"/>
        <w:ind w:left="420" w:leftChars="200"/>
        <w:rPr>
          <w:rFonts w:hint="eastAsia" w:ascii="黑体" w:hAnsi="黑体" w:eastAsia="黑体"/>
          <w:sz w:val="24"/>
        </w:rPr>
      </w:pPr>
      <w:r>
        <w:rPr>
          <w:rFonts w:hint="eastAsia" w:ascii="黑体" w:hAnsi="黑体" w:eastAsia="黑体"/>
          <w:sz w:val="24"/>
        </w:rPr>
        <w:t>3</w:t>
      </w:r>
      <w:r>
        <w:rPr>
          <w:rFonts w:ascii="黑体" w:hAnsi="黑体" w:eastAsia="黑体"/>
          <w:sz w:val="24"/>
        </w:rPr>
        <w:t>8.</w:t>
      </w:r>
      <w:r>
        <w:rPr>
          <w:rFonts w:hint="eastAsia" w:ascii="黑体" w:hAnsi="黑体" w:eastAsia="黑体"/>
          <w:sz w:val="24"/>
        </w:rPr>
        <w:t xml:space="preserve"> 询问、质疑和投诉</w:t>
      </w:r>
    </w:p>
    <w:p w14:paraId="56E74A13">
      <w:pPr>
        <w:pStyle w:val="7"/>
        <w:spacing w:line="420" w:lineRule="atLeast"/>
        <w:rPr>
          <w:rFonts w:hint="eastAsia" w:ascii="宋体" w:hAnsi="宋体"/>
          <w:szCs w:val="21"/>
        </w:rPr>
      </w:pPr>
      <w:r>
        <w:rPr>
          <w:rFonts w:ascii="宋体" w:hAnsi="宋体"/>
          <w:szCs w:val="21"/>
        </w:rPr>
        <w:t>38.1</w:t>
      </w:r>
      <w:r>
        <w:rPr>
          <w:rFonts w:hint="eastAsia" w:ascii="宋体" w:hAnsi="宋体"/>
          <w:szCs w:val="21"/>
        </w:rPr>
        <w:t>供应商对政府采购活动事项有疑问的，可以向采购人提出询问，采购人或者采购代理机构应当在3个工作日内对供应商依法提出的询问作出答复，但答复的内容不得涉及商业秘密。</w:t>
      </w:r>
    </w:p>
    <w:p w14:paraId="02119352">
      <w:pPr>
        <w:pStyle w:val="6"/>
        <w:keepNext w:val="0"/>
        <w:keepLines w:val="0"/>
        <w:spacing w:before="0" w:after="0" w:line="420" w:lineRule="atLeast"/>
        <w:ind w:firstLine="315" w:firstLineChars="150"/>
        <w:rPr>
          <w:rFonts w:hint="eastAsia" w:ascii="宋体" w:hAnsi="宋体"/>
          <w:b w:val="0"/>
          <w:sz w:val="21"/>
          <w:szCs w:val="21"/>
        </w:rPr>
      </w:pPr>
      <w:r>
        <w:rPr>
          <w:rFonts w:hint="eastAsia" w:ascii="宋体" w:hAnsi="宋体"/>
          <w:b w:val="0"/>
          <w:sz w:val="21"/>
          <w:szCs w:val="21"/>
        </w:rPr>
        <w:t xml:space="preserve"> </w:t>
      </w:r>
      <w:r>
        <w:rPr>
          <w:rFonts w:ascii="宋体" w:hAnsi="宋体"/>
          <w:b w:val="0"/>
          <w:sz w:val="21"/>
          <w:szCs w:val="21"/>
        </w:rPr>
        <w:t>38</w:t>
      </w:r>
      <w:r>
        <w:rPr>
          <w:rFonts w:hint="eastAsia" w:ascii="宋体" w:hAnsi="宋体"/>
          <w:b w:val="0"/>
          <w:sz w:val="21"/>
          <w:szCs w:val="21"/>
        </w:rPr>
        <w:t>.</w:t>
      </w:r>
      <w:r>
        <w:rPr>
          <w:rFonts w:ascii="宋体" w:hAnsi="宋体"/>
          <w:b w:val="0"/>
          <w:sz w:val="21"/>
          <w:szCs w:val="21"/>
        </w:rPr>
        <w:t>2</w:t>
      </w:r>
      <w:r>
        <w:rPr>
          <w:rFonts w:hint="eastAsia" w:ascii="宋体" w:hAnsi="宋体"/>
          <w:b w:val="0"/>
          <w:sz w:val="21"/>
          <w:szCs w:val="21"/>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74D7126">
      <w:pPr>
        <w:pStyle w:val="17"/>
        <w:snapToGrid w:val="0"/>
        <w:spacing w:line="420" w:lineRule="atLeast"/>
        <w:ind w:firstLine="420" w:firstLineChars="200"/>
        <w:rPr>
          <w:rFonts w:hint="eastAsia" w:hAnsi="宋体"/>
          <w:sz w:val="21"/>
        </w:rPr>
      </w:pPr>
      <w:r>
        <w:rPr>
          <w:rFonts w:hAnsi="宋体"/>
          <w:sz w:val="21"/>
        </w:rPr>
        <w:t>（</w:t>
      </w:r>
      <w:r>
        <w:rPr>
          <w:rFonts w:hint="eastAsia" w:hAnsi="宋体"/>
          <w:sz w:val="21"/>
        </w:rPr>
        <w:t>1</w:t>
      </w:r>
      <w:r>
        <w:rPr>
          <w:rFonts w:hAnsi="宋体"/>
          <w:sz w:val="21"/>
        </w:rPr>
        <w:t>）对可以质疑的</w:t>
      </w:r>
      <w:r>
        <w:rPr>
          <w:rFonts w:hint="eastAsia" w:hAnsi="宋体"/>
          <w:sz w:val="21"/>
        </w:rPr>
        <w:t>招标</w:t>
      </w:r>
      <w:r>
        <w:rPr>
          <w:rFonts w:hAnsi="宋体"/>
          <w:sz w:val="21"/>
        </w:rPr>
        <w:t>文件提出质疑的，为收到</w:t>
      </w:r>
      <w:r>
        <w:rPr>
          <w:rFonts w:hint="eastAsia" w:hAnsi="宋体"/>
          <w:sz w:val="21"/>
        </w:rPr>
        <w:t>招标</w:t>
      </w:r>
      <w:r>
        <w:rPr>
          <w:rFonts w:hAnsi="宋体"/>
          <w:sz w:val="21"/>
        </w:rPr>
        <w:t>文件之日</w:t>
      </w:r>
      <w:r>
        <w:rPr>
          <w:rFonts w:hint="eastAsia" w:hAnsi="宋体"/>
          <w:sz w:val="21"/>
        </w:rPr>
        <w:t>或者招标文件公告期限届满之日</w:t>
      </w:r>
      <w:r>
        <w:rPr>
          <w:rFonts w:hAnsi="宋体"/>
          <w:sz w:val="21"/>
        </w:rPr>
        <w:t>；</w:t>
      </w:r>
    </w:p>
    <w:p w14:paraId="70FAC021">
      <w:pPr>
        <w:pStyle w:val="17"/>
        <w:snapToGrid w:val="0"/>
        <w:spacing w:line="420" w:lineRule="atLeast"/>
        <w:ind w:firstLine="420" w:firstLineChars="200"/>
        <w:rPr>
          <w:rFonts w:hint="eastAsia" w:hAnsi="宋体"/>
          <w:sz w:val="21"/>
        </w:rPr>
      </w:pPr>
      <w:r>
        <w:rPr>
          <w:rFonts w:hAnsi="宋体"/>
          <w:sz w:val="21"/>
        </w:rPr>
        <w:t>（</w:t>
      </w:r>
      <w:r>
        <w:rPr>
          <w:rFonts w:hint="eastAsia" w:hAnsi="宋体"/>
          <w:sz w:val="21"/>
        </w:rPr>
        <w:t>2</w:t>
      </w:r>
      <w:r>
        <w:rPr>
          <w:rFonts w:hAnsi="宋体"/>
          <w:sz w:val="21"/>
        </w:rPr>
        <w:t>）对</w:t>
      </w:r>
      <w:r>
        <w:rPr>
          <w:rFonts w:hint="eastAsia" w:hAnsi="宋体"/>
          <w:sz w:val="21"/>
        </w:rPr>
        <w:t>采购</w:t>
      </w:r>
      <w:r>
        <w:rPr>
          <w:rFonts w:hAnsi="宋体"/>
          <w:sz w:val="21"/>
        </w:rPr>
        <w:t>过程提出质疑的，为各采购程序环节结束之日；</w:t>
      </w:r>
    </w:p>
    <w:p w14:paraId="5EA9B689">
      <w:pPr>
        <w:pStyle w:val="17"/>
        <w:snapToGrid w:val="0"/>
        <w:spacing w:line="420" w:lineRule="atLeast"/>
        <w:ind w:firstLine="420" w:firstLineChars="200"/>
        <w:rPr>
          <w:rFonts w:hint="eastAsia" w:hAnsi="宋体"/>
          <w:bCs/>
          <w:sz w:val="21"/>
        </w:rPr>
      </w:pPr>
      <w:r>
        <w:rPr>
          <w:rFonts w:hAnsi="宋体"/>
          <w:sz w:val="21"/>
        </w:rPr>
        <w:t>（</w:t>
      </w:r>
      <w:r>
        <w:rPr>
          <w:rFonts w:hint="eastAsia" w:hAnsi="宋体"/>
          <w:sz w:val="21"/>
        </w:rPr>
        <w:t>3</w:t>
      </w:r>
      <w:r>
        <w:rPr>
          <w:rFonts w:hAnsi="宋体"/>
          <w:sz w:val="21"/>
        </w:rPr>
        <w:t>）对中标结果提出质疑的，为中标结果公告期限届满之日。</w:t>
      </w:r>
    </w:p>
    <w:p w14:paraId="2FCC8C0C">
      <w:pPr>
        <w:pStyle w:val="6"/>
        <w:keepNext w:val="0"/>
        <w:keepLines w:val="0"/>
        <w:spacing w:before="0" w:after="0" w:line="420" w:lineRule="atLeast"/>
        <w:ind w:firstLine="315" w:firstLineChars="150"/>
        <w:rPr>
          <w:rFonts w:hint="eastAsia" w:ascii="宋体" w:hAnsi="宋体"/>
          <w:b w:val="0"/>
          <w:sz w:val="21"/>
          <w:szCs w:val="21"/>
        </w:rPr>
      </w:pPr>
      <w:r>
        <w:rPr>
          <w:rFonts w:ascii="宋体" w:hAnsi="宋体"/>
          <w:b w:val="0"/>
          <w:sz w:val="21"/>
          <w:szCs w:val="21"/>
        </w:rPr>
        <w:t>38</w:t>
      </w:r>
      <w:r>
        <w:rPr>
          <w:rFonts w:hint="eastAsia" w:ascii="宋体" w:hAnsi="宋体"/>
          <w:b w:val="0"/>
          <w:sz w:val="21"/>
          <w:szCs w:val="21"/>
        </w:rPr>
        <w:t>.</w:t>
      </w:r>
      <w:r>
        <w:rPr>
          <w:rFonts w:ascii="宋体" w:hAnsi="宋体"/>
          <w:b w:val="0"/>
          <w:sz w:val="21"/>
          <w:szCs w:val="21"/>
        </w:rPr>
        <w:t>3</w:t>
      </w:r>
      <w:r>
        <w:rPr>
          <w:rFonts w:hint="eastAsia" w:ascii="宋体" w:hAnsi="宋体"/>
          <w:b w:val="0"/>
          <w:sz w:val="21"/>
          <w:szCs w:val="21"/>
        </w:rPr>
        <w:t xml:space="preserve"> </w:t>
      </w:r>
      <w:r>
        <w:rPr>
          <w:rFonts w:hAnsi="宋体"/>
          <w:bCs/>
          <w:sz w:val="21"/>
        </w:rPr>
        <w:t>供应商提出质疑应当提交质疑函和必要的证明材料</w:t>
      </w:r>
      <w:r>
        <w:rPr>
          <w:rFonts w:hint="eastAsia" w:hAnsi="宋体"/>
          <w:bCs/>
          <w:sz w:val="21"/>
        </w:rPr>
        <w:t>，</w:t>
      </w:r>
      <w:r>
        <w:rPr>
          <w:rFonts w:hAnsi="宋体"/>
          <w:bCs/>
          <w:sz w:val="21"/>
        </w:rPr>
        <w:t>针对同一采购程序环节的质疑</w:t>
      </w:r>
      <w:r>
        <w:rPr>
          <w:rFonts w:hint="eastAsia" w:hAnsi="宋体"/>
          <w:bCs/>
          <w:sz w:val="21"/>
        </w:rPr>
        <w:t>必须</w:t>
      </w:r>
      <w:r>
        <w:rPr>
          <w:rFonts w:hAnsi="宋体"/>
          <w:bCs/>
          <w:sz w:val="21"/>
        </w:rPr>
        <w:t>在法定质疑期内一次性提出。质疑函应当包括下列内容</w:t>
      </w:r>
      <w:r>
        <w:rPr>
          <w:rFonts w:hint="eastAsia" w:hAnsi="宋体"/>
          <w:bCs/>
          <w:sz w:val="21"/>
        </w:rPr>
        <w:t>（质疑函格式后附）</w:t>
      </w:r>
      <w:r>
        <w:rPr>
          <w:rFonts w:hAnsi="宋体"/>
          <w:bCs/>
          <w:sz w:val="21"/>
        </w:rPr>
        <w:t>：</w:t>
      </w:r>
    </w:p>
    <w:p w14:paraId="55257FE0">
      <w:pPr>
        <w:pStyle w:val="17"/>
        <w:snapToGrid w:val="0"/>
        <w:spacing w:line="420" w:lineRule="atLeast"/>
        <w:ind w:firstLine="420" w:firstLineChars="200"/>
        <w:rPr>
          <w:rFonts w:hint="eastAsia" w:hAnsi="宋体"/>
          <w:bCs/>
          <w:sz w:val="21"/>
        </w:rPr>
      </w:pPr>
      <w:r>
        <w:rPr>
          <w:rFonts w:hAnsi="宋体"/>
          <w:bCs/>
          <w:sz w:val="21"/>
        </w:rPr>
        <w:t>（</w:t>
      </w:r>
      <w:r>
        <w:rPr>
          <w:rFonts w:hint="eastAsia" w:hAnsi="宋体"/>
          <w:bCs/>
          <w:sz w:val="21"/>
        </w:rPr>
        <w:t>1</w:t>
      </w:r>
      <w:r>
        <w:rPr>
          <w:rFonts w:hAnsi="宋体"/>
          <w:bCs/>
          <w:sz w:val="21"/>
        </w:rPr>
        <w:t>）供应商的姓名或者名称、地址、邮编、联系人及联系电话；</w:t>
      </w:r>
    </w:p>
    <w:p w14:paraId="1AA79436">
      <w:pPr>
        <w:pStyle w:val="17"/>
        <w:snapToGrid w:val="0"/>
        <w:spacing w:line="420" w:lineRule="atLeast"/>
        <w:ind w:firstLine="420" w:firstLineChars="200"/>
        <w:rPr>
          <w:rFonts w:hint="eastAsia" w:hAnsi="宋体"/>
          <w:bCs/>
          <w:sz w:val="21"/>
        </w:rPr>
      </w:pPr>
      <w:r>
        <w:rPr>
          <w:rFonts w:hAnsi="宋体"/>
          <w:bCs/>
          <w:sz w:val="21"/>
        </w:rPr>
        <w:t>（</w:t>
      </w:r>
      <w:r>
        <w:rPr>
          <w:rFonts w:hint="eastAsia" w:hAnsi="宋体"/>
          <w:bCs/>
          <w:sz w:val="21"/>
        </w:rPr>
        <w:t>2</w:t>
      </w:r>
      <w:r>
        <w:rPr>
          <w:rFonts w:hAnsi="宋体"/>
          <w:bCs/>
          <w:sz w:val="21"/>
        </w:rPr>
        <w:t>）质疑项目的名称、编号；</w:t>
      </w:r>
    </w:p>
    <w:p w14:paraId="29ED9B4F">
      <w:pPr>
        <w:pStyle w:val="17"/>
        <w:snapToGrid w:val="0"/>
        <w:spacing w:line="420" w:lineRule="atLeast"/>
        <w:ind w:firstLine="420" w:firstLineChars="200"/>
        <w:rPr>
          <w:rFonts w:hint="eastAsia" w:hAnsi="宋体"/>
          <w:bCs/>
          <w:sz w:val="21"/>
        </w:rPr>
      </w:pPr>
      <w:r>
        <w:rPr>
          <w:rFonts w:hAnsi="宋体"/>
          <w:bCs/>
          <w:sz w:val="21"/>
        </w:rPr>
        <w:t>（</w:t>
      </w:r>
      <w:r>
        <w:rPr>
          <w:rFonts w:hint="eastAsia" w:hAnsi="宋体"/>
          <w:bCs/>
          <w:sz w:val="21"/>
        </w:rPr>
        <w:t>3</w:t>
      </w:r>
      <w:r>
        <w:rPr>
          <w:rFonts w:hAnsi="宋体"/>
          <w:bCs/>
          <w:sz w:val="21"/>
        </w:rPr>
        <w:t>）具体、明确的质疑事项和与质疑事项相关的请求；</w:t>
      </w:r>
    </w:p>
    <w:p w14:paraId="1B6BE850">
      <w:pPr>
        <w:pStyle w:val="17"/>
        <w:snapToGrid w:val="0"/>
        <w:spacing w:line="420" w:lineRule="atLeast"/>
        <w:ind w:firstLine="420" w:firstLineChars="200"/>
        <w:rPr>
          <w:rFonts w:hint="eastAsia" w:hAnsi="宋体"/>
          <w:bCs/>
          <w:sz w:val="21"/>
        </w:rPr>
      </w:pPr>
      <w:r>
        <w:rPr>
          <w:rFonts w:hAnsi="宋体"/>
          <w:bCs/>
          <w:sz w:val="21"/>
        </w:rPr>
        <w:t>（</w:t>
      </w:r>
      <w:r>
        <w:rPr>
          <w:rFonts w:hint="eastAsia" w:hAnsi="宋体"/>
          <w:bCs/>
          <w:sz w:val="21"/>
        </w:rPr>
        <w:t>4</w:t>
      </w:r>
      <w:r>
        <w:rPr>
          <w:rFonts w:hAnsi="宋体"/>
          <w:bCs/>
          <w:sz w:val="21"/>
        </w:rPr>
        <w:t>）事实依据；</w:t>
      </w:r>
    </w:p>
    <w:p w14:paraId="15BC0AE6">
      <w:pPr>
        <w:pStyle w:val="17"/>
        <w:snapToGrid w:val="0"/>
        <w:spacing w:line="420" w:lineRule="atLeast"/>
        <w:ind w:firstLine="420" w:firstLineChars="200"/>
        <w:rPr>
          <w:rFonts w:hint="eastAsia" w:hAnsi="宋体"/>
          <w:bCs/>
          <w:sz w:val="21"/>
        </w:rPr>
      </w:pPr>
      <w:r>
        <w:rPr>
          <w:rFonts w:hAnsi="宋体"/>
          <w:bCs/>
          <w:sz w:val="21"/>
        </w:rPr>
        <w:t>（</w:t>
      </w:r>
      <w:r>
        <w:rPr>
          <w:rFonts w:hint="eastAsia" w:hAnsi="宋体"/>
          <w:bCs/>
          <w:sz w:val="21"/>
        </w:rPr>
        <w:t>5</w:t>
      </w:r>
      <w:r>
        <w:rPr>
          <w:rFonts w:hAnsi="宋体"/>
          <w:bCs/>
          <w:sz w:val="21"/>
        </w:rPr>
        <w:t>）必要的法律依据；</w:t>
      </w:r>
    </w:p>
    <w:p w14:paraId="69FAD81E">
      <w:pPr>
        <w:pStyle w:val="17"/>
        <w:snapToGrid w:val="0"/>
        <w:spacing w:line="420" w:lineRule="atLeast"/>
        <w:ind w:firstLine="420" w:firstLineChars="200"/>
        <w:rPr>
          <w:rFonts w:hint="eastAsia" w:hAnsi="宋体"/>
          <w:bCs/>
          <w:sz w:val="21"/>
        </w:rPr>
      </w:pPr>
      <w:r>
        <w:rPr>
          <w:rFonts w:hAnsi="宋体"/>
          <w:bCs/>
          <w:sz w:val="21"/>
        </w:rPr>
        <w:t>（</w:t>
      </w:r>
      <w:r>
        <w:rPr>
          <w:rFonts w:hint="eastAsia" w:hAnsi="宋体"/>
          <w:bCs/>
          <w:sz w:val="21"/>
        </w:rPr>
        <w:t>6</w:t>
      </w:r>
      <w:r>
        <w:rPr>
          <w:rFonts w:hAnsi="宋体"/>
          <w:bCs/>
          <w:sz w:val="21"/>
        </w:rPr>
        <w:t>）提出质疑的日期。</w:t>
      </w:r>
    </w:p>
    <w:p w14:paraId="5741EA70">
      <w:pPr>
        <w:pStyle w:val="17"/>
        <w:snapToGrid w:val="0"/>
        <w:spacing w:line="420" w:lineRule="atLeast"/>
        <w:ind w:firstLine="420" w:firstLineChars="200"/>
        <w:rPr>
          <w:rFonts w:hint="eastAsia" w:hAnsi="宋体"/>
          <w:bCs/>
          <w:sz w:val="21"/>
        </w:rPr>
      </w:pPr>
      <w:r>
        <w:rPr>
          <w:rFonts w:hAnsi="宋体"/>
          <w:bCs/>
          <w:sz w:val="21"/>
        </w:rPr>
        <w:t>供应商为自然人的，应当由本人签字；供应商为法人或者其他组织的，应当由法定代表人、主要负责人，或者其委托代理人签字或者盖章，并加盖公章</w:t>
      </w:r>
      <w:r>
        <w:rPr>
          <w:rFonts w:hint="eastAsia" w:hAnsi="宋体"/>
          <w:bCs/>
          <w:sz w:val="21"/>
        </w:rPr>
        <w:t>。</w:t>
      </w:r>
    </w:p>
    <w:p w14:paraId="16CBA7FA">
      <w:pPr>
        <w:pStyle w:val="6"/>
        <w:keepNext w:val="0"/>
        <w:keepLines w:val="0"/>
        <w:snapToGrid w:val="0"/>
        <w:spacing w:before="0" w:after="0" w:line="420" w:lineRule="atLeast"/>
        <w:ind w:firstLine="420" w:firstLineChars="200"/>
        <w:rPr>
          <w:rFonts w:hint="eastAsia" w:ascii="宋体" w:hAnsi="宋体"/>
          <w:b w:val="0"/>
          <w:bCs/>
          <w:sz w:val="21"/>
          <w:szCs w:val="21"/>
        </w:rPr>
      </w:pPr>
      <w:r>
        <w:rPr>
          <w:rFonts w:ascii="宋体" w:hAnsi="宋体"/>
          <w:b w:val="0"/>
          <w:sz w:val="21"/>
          <w:szCs w:val="21"/>
        </w:rPr>
        <w:t>3</w:t>
      </w:r>
      <w:r>
        <w:rPr>
          <w:rFonts w:ascii="宋体" w:hAnsi="宋体"/>
          <w:b w:val="0"/>
          <w:bCs/>
          <w:sz w:val="21"/>
          <w:szCs w:val="21"/>
        </w:rPr>
        <w:t>8.4</w:t>
      </w:r>
      <w:r>
        <w:rPr>
          <w:rFonts w:hint="eastAsia" w:ascii="宋体" w:hAnsi="宋体"/>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14:paraId="1DF7DAC5">
      <w:pPr>
        <w:pStyle w:val="17"/>
        <w:snapToGrid w:val="0"/>
        <w:spacing w:line="420" w:lineRule="atLeast"/>
        <w:rPr>
          <w:rFonts w:hint="eastAsia" w:hAnsi="宋体"/>
          <w:bCs/>
          <w:sz w:val="21"/>
        </w:rPr>
      </w:pPr>
      <w:r>
        <w:rPr>
          <w:rFonts w:hint="eastAsia" w:hAnsi="宋体"/>
          <w:bCs/>
          <w:sz w:val="21"/>
        </w:rPr>
        <w:t>　　（1）对招标文件提出的质疑，依法通过澄清或者修改可以继续开展采购活动的，澄清或者修改招标文件后继续开展采购活动；否则应当修改招标文件后重新开展采购活动。</w:t>
      </w:r>
    </w:p>
    <w:p w14:paraId="48906CD7">
      <w:pPr>
        <w:pStyle w:val="17"/>
        <w:snapToGrid w:val="0"/>
        <w:spacing w:line="420" w:lineRule="atLeast"/>
        <w:rPr>
          <w:rFonts w:hint="eastAsia" w:hAnsi="宋体"/>
          <w:bCs/>
          <w:sz w:val="21"/>
        </w:rPr>
      </w:pPr>
      <w:r>
        <w:rPr>
          <w:rFonts w:hint="eastAsia" w:hAnsi="宋体"/>
          <w:bCs/>
          <w:sz w:val="21"/>
        </w:rPr>
        <w:t>　　（2）对采购过程、中标结果提出的质疑，合格供应商符合法定数量时，可以从合格的中标候选人中另行确定中标供应商的，应当依法另行确定中标供应商；否则应当重新开展采购活动。</w:t>
      </w:r>
    </w:p>
    <w:p w14:paraId="67AC5390">
      <w:pPr>
        <w:pStyle w:val="17"/>
        <w:snapToGrid w:val="0"/>
        <w:spacing w:line="420" w:lineRule="atLeast"/>
        <w:ind w:firstLine="420"/>
        <w:rPr>
          <w:rFonts w:hint="eastAsia" w:hAnsi="宋体"/>
          <w:bCs/>
          <w:sz w:val="21"/>
        </w:rPr>
      </w:pPr>
      <w:r>
        <w:rPr>
          <w:rFonts w:hint="eastAsia" w:hAnsi="宋体"/>
          <w:bCs/>
          <w:sz w:val="21"/>
        </w:rPr>
        <w:t>质疑答复导致中标结果改变的，采购人或者采购代理机构应当将有关情况书面报告本级财政部门。</w:t>
      </w:r>
    </w:p>
    <w:p w14:paraId="590EA4E3">
      <w:pPr>
        <w:pStyle w:val="17"/>
        <w:snapToGrid w:val="0"/>
        <w:spacing w:line="420" w:lineRule="atLeast"/>
        <w:ind w:firstLine="420" w:firstLineChars="200"/>
        <w:rPr>
          <w:rFonts w:hint="eastAsia" w:hAnsi="宋体"/>
          <w:sz w:val="21"/>
        </w:rPr>
      </w:pPr>
      <w:r>
        <w:rPr>
          <w:rFonts w:hAnsi="宋体"/>
          <w:sz w:val="21"/>
        </w:rPr>
        <w:t>38</w:t>
      </w:r>
      <w:r>
        <w:rPr>
          <w:rFonts w:hint="eastAsia" w:hAnsi="宋体"/>
          <w:sz w:val="21"/>
        </w:rPr>
        <w:t>.</w:t>
      </w:r>
      <w:r>
        <w:rPr>
          <w:rFonts w:hAnsi="宋体"/>
          <w:sz w:val="21"/>
        </w:rPr>
        <w:t>5</w:t>
      </w:r>
      <w:r>
        <w:rPr>
          <w:rFonts w:hint="eastAsia" w:hAnsi="宋体"/>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4" w:name="_八、其他事项"/>
      <w:bookmarkEnd w:id="134"/>
    </w:p>
    <w:p w14:paraId="21D86FAF">
      <w:pPr>
        <w:pStyle w:val="17"/>
        <w:snapToGrid w:val="0"/>
        <w:spacing w:line="420" w:lineRule="atLeast"/>
        <w:ind w:firstLine="400" w:firstLineChars="200"/>
      </w:pPr>
    </w:p>
    <w:p w14:paraId="0741508A">
      <w:pPr>
        <w:pStyle w:val="4"/>
        <w:keepNext w:val="0"/>
        <w:keepLines w:val="0"/>
        <w:spacing w:line="420" w:lineRule="atLeast"/>
        <w:jc w:val="center"/>
      </w:pPr>
      <w:r>
        <w:rPr>
          <w:rFonts w:hint="eastAsia"/>
        </w:rPr>
        <w:t>八、其他事项</w:t>
      </w:r>
    </w:p>
    <w:p w14:paraId="6FBB67F1">
      <w:pPr>
        <w:pStyle w:val="6"/>
        <w:keepNext w:val="0"/>
        <w:keepLines w:val="0"/>
        <w:spacing w:before="0" w:after="0" w:line="420" w:lineRule="atLeast"/>
        <w:ind w:left="420" w:leftChars="200"/>
        <w:rPr>
          <w:rFonts w:hint="eastAsia" w:ascii="黑体" w:hAnsi="黑体" w:eastAsia="黑体"/>
          <w:sz w:val="24"/>
        </w:rPr>
      </w:pPr>
      <w:bookmarkStart w:id="135" w:name="_42.代理服务费"/>
      <w:bookmarkEnd w:id="135"/>
      <w:r>
        <w:rPr>
          <w:rFonts w:hint="eastAsia" w:ascii="黑体" w:hAnsi="黑体" w:eastAsia="黑体"/>
          <w:sz w:val="24"/>
        </w:rPr>
        <w:t>3</w:t>
      </w:r>
      <w:r>
        <w:rPr>
          <w:rFonts w:ascii="黑体" w:hAnsi="黑体" w:eastAsia="黑体"/>
          <w:sz w:val="24"/>
        </w:rPr>
        <w:t>9</w:t>
      </w:r>
      <w:r>
        <w:rPr>
          <w:rFonts w:hint="eastAsia" w:ascii="黑体" w:hAnsi="黑体" w:eastAsia="黑体"/>
          <w:sz w:val="24"/>
        </w:rPr>
        <w:t>.代理服务费</w:t>
      </w:r>
    </w:p>
    <w:p w14:paraId="038F7008">
      <w:pPr>
        <w:pStyle w:val="17"/>
        <w:snapToGrid w:val="0"/>
        <w:spacing w:line="420" w:lineRule="atLeast"/>
        <w:ind w:firstLine="420" w:firstLineChars="200"/>
        <w:rPr>
          <w:rFonts w:hint="eastAsia" w:hAnsi="宋体"/>
          <w:sz w:val="21"/>
        </w:rPr>
      </w:pPr>
      <w:r>
        <w:rPr>
          <w:rFonts w:hint="eastAsia" w:hAnsi="宋体"/>
          <w:sz w:val="21"/>
        </w:rPr>
        <w:t>3</w:t>
      </w:r>
      <w:r>
        <w:rPr>
          <w:rFonts w:hAnsi="宋体"/>
          <w:sz w:val="21"/>
        </w:rPr>
        <w:t>9</w:t>
      </w:r>
      <w:r>
        <w:rPr>
          <w:rFonts w:hint="eastAsia" w:hAnsi="宋体"/>
          <w:sz w:val="21"/>
        </w:rPr>
        <w:t>.1代理服务收取标准及缴费账户详见“投标人须知前附表”，投标人为联合体的，可以由联合体中的一方或者多方共同交纳代理服务费。</w:t>
      </w:r>
    </w:p>
    <w:p w14:paraId="30C9908A">
      <w:pPr>
        <w:pStyle w:val="17"/>
        <w:snapToGrid w:val="0"/>
        <w:spacing w:line="420" w:lineRule="atLeast"/>
        <w:ind w:firstLine="420" w:firstLineChars="200"/>
        <w:rPr>
          <w:rFonts w:hint="eastAsia" w:hAnsi="宋体"/>
          <w:sz w:val="21"/>
        </w:rPr>
      </w:pPr>
      <w:r>
        <w:rPr>
          <w:rFonts w:hint="eastAsia" w:hAnsi="宋体"/>
          <w:sz w:val="21"/>
        </w:rPr>
        <w:t>3</w:t>
      </w:r>
      <w:r>
        <w:rPr>
          <w:rFonts w:hAnsi="宋体"/>
          <w:sz w:val="21"/>
        </w:rPr>
        <w:t>9</w:t>
      </w:r>
      <w:r>
        <w:rPr>
          <w:rFonts w:hint="eastAsia" w:hAnsi="宋体"/>
          <w:sz w:val="21"/>
        </w:rPr>
        <w:t>.2代理服务收费标准：</w:t>
      </w:r>
    </w:p>
    <w:p w14:paraId="3FBAC95C">
      <w:pPr>
        <w:pStyle w:val="17"/>
        <w:snapToGrid w:val="0"/>
        <w:spacing w:line="420" w:lineRule="atLeast"/>
        <w:ind w:firstLine="420" w:firstLineChars="200"/>
        <w:rPr>
          <w:rFonts w:hint="eastAsia" w:hAnsi="宋体"/>
          <w:sz w:val="21"/>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1AB3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7BCBB658">
            <w:pPr>
              <w:spacing w:line="420" w:lineRule="atLeast"/>
              <w:rPr>
                <w:rFonts w:hint="eastAsia" w:ascii="宋体" w:hAnsi="宋体"/>
                <w:szCs w:val="21"/>
              </w:rPr>
            </w:pPr>
            <w:r>
              <w:rPr>
                <w:rFonts w:hint="eastAsia" w:ascii="宋体" w:hAnsi="宋体"/>
                <w:szCs w:val="21"/>
              </w:rPr>
              <w:t xml:space="preserve">               费率</w:t>
            </w:r>
          </w:p>
          <w:p w14:paraId="511F4BB3">
            <w:pPr>
              <w:spacing w:line="420" w:lineRule="atLeast"/>
              <w:rPr>
                <w:rFonts w:hint="eastAsia" w:ascii="宋体" w:hAnsi="宋体"/>
                <w:szCs w:val="21"/>
              </w:rPr>
            </w:pPr>
            <w:r>
              <w:rPr>
                <w:rFonts w:hint="eastAsia" w:ascii="宋体" w:hAnsi="宋体"/>
                <w:szCs w:val="21"/>
              </w:rPr>
              <w:t>中标金额</w:t>
            </w:r>
          </w:p>
        </w:tc>
        <w:tc>
          <w:tcPr>
            <w:tcW w:w="1659" w:type="dxa"/>
            <w:vAlign w:val="center"/>
          </w:tcPr>
          <w:p w14:paraId="38A7E413">
            <w:pPr>
              <w:spacing w:line="420" w:lineRule="atLeast"/>
              <w:ind w:firstLine="105" w:firstLineChars="50"/>
              <w:jc w:val="center"/>
              <w:rPr>
                <w:rFonts w:hint="eastAsia" w:ascii="宋体" w:hAnsi="宋体"/>
                <w:szCs w:val="21"/>
              </w:rPr>
            </w:pPr>
            <w:r>
              <w:rPr>
                <w:rFonts w:hint="eastAsia" w:ascii="宋体" w:hAnsi="宋体"/>
                <w:szCs w:val="21"/>
              </w:rPr>
              <w:t>货物招标</w:t>
            </w:r>
          </w:p>
        </w:tc>
        <w:tc>
          <w:tcPr>
            <w:tcW w:w="1687" w:type="dxa"/>
            <w:vAlign w:val="center"/>
          </w:tcPr>
          <w:p w14:paraId="1BE582C6">
            <w:pPr>
              <w:spacing w:line="420" w:lineRule="atLeast"/>
              <w:jc w:val="center"/>
              <w:rPr>
                <w:rFonts w:hint="eastAsia" w:ascii="宋体" w:hAnsi="宋体"/>
                <w:szCs w:val="21"/>
              </w:rPr>
            </w:pPr>
            <w:r>
              <w:rPr>
                <w:rFonts w:hint="eastAsia" w:ascii="宋体" w:hAnsi="宋体"/>
                <w:szCs w:val="21"/>
              </w:rPr>
              <w:t>服务招标</w:t>
            </w:r>
          </w:p>
        </w:tc>
        <w:tc>
          <w:tcPr>
            <w:tcW w:w="1659" w:type="dxa"/>
            <w:vAlign w:val="center"/>
          </w:tcPr>
          <w:p w14:paraId="4ED69F8D">
            <w:pPr>
              <w:spacing w:line="420" w:lineRule="atLeast"/>
              <w:jc w:val="center"/>
              <w:rPr>
                <w:rFonts w:hint="eastAsia" w:ascii="宋体" w:hAnsi="宋体"/>
                <w:szCs w:val="21"/>
              </w:rPr>
            </w:pPr>
            <w:r>
              <w:rPr>
                <w:rFonts w:hint="eastAsia" w:ascii="宋体" w:hAnsi="宋体"/>
                <w:szCs w:val="21"/>
              </w:rPr>
              <w:t>工程招标</w:t>
            </w:r>
          </w:p>
        </w:tc>
      </w:tr>
      <w:tr w14:paraId="17A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ABAB290">
            <w:pPr>
              <w:spacing w:line="420" w:lineRule="atLeast"/>
              <w:rPr>
                <w:rFonts w:hint="eastAsia" w:ascii="宋体" w:hAnsi="宋体"/>
                <w:szCs w:val="21"/>
              </w:rPr>
            </w:pPr>
            <w:r>
              <w:rPr>
                <w:rFonts w:hint="eastAsia" w:ascii="宋体" w:hAnsi="宋体"/>
                <w:szCs w:val="21"/>
              </w:rPr>
              <w:t>100万元以下</w:t>
            </w:r>
          </w:p>
        </w:tc>
        <w:tc>
          <w:tcPr>
            <w:tcW w:w="1659" w:type="dxa"/>
          </w:tcPr>
          <w:p w14:paraId="67612B42">
            <w:pPr>
              <w:spacing w:line="420" w:lineRule="atLeast"/>
              <w:rPr>
                <w:rFonts w:hint="eastAsia" w:ascii="宋体" w:hAnsi="宋体"/>
                <w:szCs w:val="21"/>
              </w:rPr>
            </w:pPr>
            <w:r>
              <w:rPr>
                <w:rFonts w:hint="eastAsia" w:ascii="宋体" w:hAnsi="宋体" w:cs="宋体"/>
                <w:kern w:val="0"/>
                <w:szCs w:val="21"/>
              </w:rPr>
              <w:t xml:space="preserve">  </w:t>
            </w:r>
            <w:r>
              <w:rPr>
                <w:rFonts w:ascii="宋体" w:hAnsi="宋体" w:cs="宋体"/>
                <w:kern w:val="0"/>
                <w:szCs w:val="21"/>
              </w:rPr>
              <w:t xml:space="preserve">1.5% </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 xml:space="preserve">    </w:t>
            </w:r>
          </w:p>
        </w:tc>
        <w:tc>
          <w:tcPr>
            <w:tcW w:w="1687" w:type="dxa"/>
          </w:tcPr>
          <w:p w14:paraId="15C56104">
            <w:pPr>
              <w:spacing w:line="420" w:lineRule="atLeast"/>
              <w:ind w:firstLine="210" w:firstLineChars="100"/>
              <w:rPr>
                <w:rFonts w:hint="eastAsia" w:ascii="宋体" w:hAnsi="宋体"/>
                <w:szCs w:val="21"/>
              </w:rPr>
            </w:pPr>
            <w:r>
              <w:rPr>
                <w:rFonts w:ascii="宋体" w:hAnsi="宋体" w:cs="宋体"/>
                <w:kern w:val="0"/>
                <w:szCs w:val="21"/>
              </w:rPr>
              <w:t>1.5%</w:t>
            </w:r>
          </w:p>
        </w:tc>
        <w:tc>
          <w:tcPr>
            <w:tcW w:w="1659" w:type="dxa"/>
          </w:tcPr>
          <w:p w14:paraId="5027885B">
            <w:pPr>
              <w:spacing w:line="420" w:lineRule="atLeast"/>
              <w:ind w:firstLine="210" w:firstLineChars="100"/>
              <w:rPr>
                <w:rFonts w:hint="eastAsia" w:ascii="宋体" w:hAnsi="宋体"/>
                <w:szCs w:val="21"/>
              </w:rPr>
            </w:pPr>
            <w:r>
              <w:rPr>
                <w:rFonts w:ascii="宋体" w:hAnsi="宋体" w:cs="宋体"/>
                <w:kern w:val="0"/>
                <w:szCs w:val="21"/>
              </w:rPr>
              <w:t xml:space="preserve">1.0% </w:t>
            </w:r>
          </w:p>
        </w:tc>
      </w:tr>
      <w:tr w14:paraId="45F9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87FDF09">
            <w:pPr>
              <w:spacing w:line="420" w:lineRule="atLeast"/>
              <w:rPr>
                <w:rFonts w:hint="eastAsia" w:ascii="宋体" w:hAnsi="宋体"/>
                <w:szCs w:val="21"/>
              </w:rPr>
            </w:pPr>
            <w:r>
              <w:rPr>
                <w:rFonts w:hint="eastAsia" w:ascii="宋体" w:hAnsi="宋体"/>
                <w:szCs w:val="21"/>
              </w:rPr>
              <w:t>100～500万元</w:t>
            </w:r>
          </w:p>
        </w:tc>
        <w:tc>
          <w:tcPr>
            <w:tcW w:w="1659" w:type="dxa"/>
          </w:tcPr>
          <w:p w14:paraId="5C9C48FD">
            <w:pPr>
              <w:spacing w:line="420" w:lineRule="atLeast"/>
              <w:ind w:firstLine="210" w:firstLineChars="100"/>
              <w:rPr>
                <w:rFonts w:hint="eastAsia" w:ascii="宋体" w:hAnsi="宋体"/>
                <w:szCs w:val="21"/>
              </w:rPr>
            </w:pPr>
            <w:r>
              <w:rPr>
                <w:rFonts w:ascii="宋体" w:hAnsi="宋体" w:cs="宋体"/>
                <w:kern w:val="0"/>
                <w:szCs w:val="21"/>
              </w:rPr>
              <w:t xml:space="preserve">1.1% </w:t>
            </w:r>
            <w:r>
              <w:rPr>
                <w:rFonts w:hint="eastAsia" w:ascii="宋体" w:hAnsi="宋体" w:cs="宋体"/>
                <w:kern w:val="0"/>
                <w:szCs w:val="21"/>
              </w:rPr>
              <w:t xml:space="preserve">                </w:t>
            </w:r>
          </w:p>
        </w:tc>
        <w:tc>
          <w:tcPr>
            <w:tcW w:w="1687" w:type="dxa"/>
          </w:tcPr>
          <w:p w14:paraId="72A90153">
            <w:pPr>
              <w:spacing w:line="420" w:lineRule="atLeast"/>
              <w:ind w:firstLine="210" w:firstLineChars="100"/>
              <w:rPr>
                <w:rFonts w:hint="eastAsia" w:ascii="宋体" w:hAnsi="宋体"/>
                <w:szCs w:val="21"/>
              </w:rPr>
            </w:pPr>
            <w:r>
              <w:rPr>
                <w:rFonts w:ascii="宋体" w:hAnsi="宋体" w:cs="宋体"/>
                <w:kern w:val="0"/>
                <w:szCs w:val="21"/>
              </w:rPr>
              <w:t>0.8%</w:t>
            </w:r>
          </w:p>
        </w:tc>
        <w:tc>
          <w:tcPr>
            <w:tcW w:w="1659" w:type="dxa"/>
          </w:tcPr>
          <w:p w14:paraId="58A4D12D">
            <w:pPr>
              <w:spacing w:line="420" w:lineRule="atLeast"/>
              <w:ind w:firstLine="210" w:firstLineChars="100"/>
              <w:rPr>
                <w:rFonts w:hint="eastAsia" w:ascii="宋体" w:hAnsi="宋体"/>
                <w:szCs w:val="21"/>
              </w:rPr>
            </w:pPr>
            <w:r>
              <w:rPr>
                <w:rFonts w:ascii="宋体" w:hAnsi="宋体" w:cs="宋体"/>
                <w:kern w:val="0"/>
                <w:szCs w:val="21"/>
              </w:rPr>
              <w:t xml:space="preserve">0.7% </w:t>
            </w:r>
          </w:p>
        </w:tc>
      </w:tr>
      <w:tr w14:paraId="04FA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0C7D07E">
            <w:pPr>
              <w:spacing w:line="420" w:lineRule="atLeast"/>
              <w:rPr>
                <w:rFonts w:hint="eastAsia" w:ascii="宋体" w:hAnsi="宋体"/>
                <w:szCs w:val="21"/>
              </w:rPr>
            </w:pPr>
            <w:r>
              <w:rPr>
                <w:rFonts w:hint="eastAsia" w:ascii="宋体" w:hAnsi="宋体"/>
                <w:szCs w:val="21"/>
              </w:rPr>
              <w:t>500～1000万元</w:t>
            </w:r>
          </w:p>
        </w:tc>
        <w:tc>
          <w:tcPr>
            <w:tcW w:w="1659" w:type="dxa"/>
          </w:tcPr>
          <w:p w14:paraId="5C962480">
            <w:pPr>
              <w:spacing w:line="420" w:lineRule="atLeast"/>
              <w:rPr>
                <w:rFonts w:hint="eastAsia" w:ascii="宋体" w:hAnsi="宋体"/>
                <w:szCs w:val="21"/>
              </w:rPr>
            </w:pPr>
            <w:r>
              <w:rPr>
                <w:rFonts w:hint="eastAsia" w:ascii="宋体" w:hAnsi="宋体" w:cs="宋体"/>
                <w:kern w:val="0"/>
                <w:szCs w:val="21"/>
              </w:rPr>
              <w:t xml:space="preserve">  </w:t>
            </w:r>
            <w:r>
              <w:rPr>
                <w:rFonts w:ascii="宋体" w:hAnsi="宋体" w:cs="宋体"/>
                <w:kern w:val="0"/>
                <w:szCs w:val="21"/>
              </w:rPr>
              <w:t xml:space="preserve">0.8% </w:t>
            </w:r>
            <w:r>
              <w:rPr>
                <w:rFonts w:hint="eastAsia" w:ascii="宋体" w:hAnsi="宋体" w:cs="宋体"/>
                <w:kern w:val="0"/>
                <w:szCs w:val="21"/>
              </w:rPr>
              <w:t xml:space="preserve">               </w:t>
            </w:r>
          </w:p>
        </w:tc>
        <w:tc>
          <w:tcPr>
            <w:tcW w:w="1687" w:type="dxa"/>
          </w:tcPr>
          <w:p w14:paraId="07031B38">
            <w:pPr>
              <w:spacing w:line="420" w:lineRule="atLeast"/>
              <w:ind w:firstLine="210" w:firstLineChars="100"/>
              <w:rPr>
                <w:rFonts w:hint="eastAsia" w:ascii="宋体" w:hAnsi="宋体"/>
                <w:szCs w:val="21"/>
              </w:rPr>
            </w:pPr>
            <w:r>
              <w:rPr>
                <w:rFonts w:ascii="宋体" w:hAnsi="宋体" w:cs="宋体"/>
                <w:kern w:val="0"/>
                <w:szCs w:val="21"/>
              </w:rPr>
              <w:t>0.45%</w:t>
            </w:r>
          </w:p>
        </w:tc>
        <w:tc>
          <w:tcPr>
            <w:tcW w:w="1659" w:type="dxa"/>
          </w:tcPr>
          <w:p w14:paraId="1D37E938">
            <w:pPr>
              <w:spacing w:line="420" w:lineRule="atLeast"/>
              <w:ind w:firstLine="210" w:firstLineChars="100"/>
              <w:rPr>
                <w:rFonts w:hint="eastAsia" w:ascii="宋体" w:hAnsi="宋体"/>
                <w:szCs w:val="21"/>
              </w:rPr>
            </w:pPr>
            <w:r>
              <w:rPr>
                <w:rFonts w:ascii="宋体" w:hAnsi="宋体" w:cs="宋体"/>
                <w:kern w:val="0"/>
                <w:szCs w:val="21"/>
              </w:rPr>
              <w:t>0.55%</w:t>
            </w:r>
          </w:p>
        </w:tc>
      </w:tr>
      <w:tr w14:paraId="178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259D0E43">
            <w:pPr>
              <w:spacing w:line="420" w:lineRule="atLeast"/>
              <w:rPr>
                <w:rFonts w:hint="eastAsia" w:ascii="宋体" w:hAnsi="宋体"/>
                <w:szCs w:val="21"/>
              </w:rPr>
            </w:pPr>
            <w:r>
              <w:rPr>
                <w:rFonts w:hint="eastAsia" w:ascii="宋体" w:hAnsi="宋体"/>
                <w:szCs w:val="21"/>
              </w:rPr>
              <w:t>1000～5000万元</w:t>
            </w:r>
          </w:p>
        </w:tc>
        <w:tc>
          <w:tcPr>
            <w:tcW w:w="1659" w:type="dxa"/>
          </w:tcPr>
          <w:p w14:paraId="1538D431">
            <w:pPr>
              <w:spacing w:line="420" w:lineRule="atLeast"/>
              <w:ind w:firstLine="210" w:firstLineChars="100"/>
              <w:rPr>
                <w:rFonts w:hint="eastAsia" w:ascii="宋体" w:hAnsi="宋体"/>
                <w:szCs w:val="21"/>
              </w:rPr>
            </w:pPr>
            <w:r>
              <w:rPr>
                <w:rFonts w:ascii="宋体" w:hAnsi="宋体" w:cs="宋体"/>
                <w:kern w:val="0"/>
                <w:szCs w:val="21"/>
              </w:rPr>
              <w:t xml:space="preserve">0.5% </w:t>
            </w:r>
            <w:r>
              <w:rPr>
                <w:rFonts w:hint="eastAsia" w:ascii="宋体" w:hAnsi="宋体" w:cs="宋体"/>
                <w:kern w:val="0"/>
                <w:szCs w:val="21"/>
              </w:rPr>
              <w:t xml:space="preserve">               </w:t>
            </w:r>
          </w:p>
        </w:tc>
        <w:tc>
          <w:tcPr>
            <w:tcW w:w="1687" w:type="dxa"/>
          </w:tcPr>
          <w:p w14:paraId="403129F4">
            <w:pPr>
              <w:spacing w:line="420" w:lineRule="atLeast"/>
              <w:ind w:firstLine="210" w:firstLineChars="100"/>
              <w:rPr>
                <w:rFonts w:hint="eastAsia" w:ascii="宋体" w:hAnsi="宋体"/>
                <w:szCs w:val="21"/>
              </w:rPr>
            </w:pPr>
            <w:r>
              <w:rPr>
                <w:rFonts w:ascii="宋体" w:hAnsi="宋体" w:cs="宋体"/>
                <w:kern w:val="0"/>
                <w:szCs w:val="21"/>
              </w:rPr>
              <w:t>0.25%</w:t>
            </w:r>
          </w:p>
        </w:tc>
        <w:tc>
          <w:tcPr>
            <w:tcW w:w="1659" w:type="dxa"/>
          </w:tcPr>
          <w:p w14:paraId="39233A6D">
            <w:pPr>
              <w:spacing w:line="420" w:lineRule="atLeast"/>
              <w:ind w:firstLine="210" w:firstLineChars="100"/>
              <w:rPr>
                <w:rFonts w:hint="eastAsia" w:ascii="宋体" w:hAnsi="宋体"/>
                <w:szCs w:val="21"/>
              </w:rPr>
            </w:pPr>
            <w:r>
              <w:rPr>
                <w:rFonts w:ascii="宋体" w:hAnsi="宋体" w:cs="宋体"/>
                <w:kern w:val="0"/>
                <w:szCs w:val="21"/>
              </w:rPr>
              <w:t xml:space="preserve">0.35% </w:t>
            </w:r>
          </w:p>
        </w:tc>
      </w:tr>
      <w:tr w14:paraId="1440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CB6882B">
            <w:pPr>
              <w:spacing w:line="420" w:lineRule="atLeast"/>
              <w:rPr>
                <w:rFonts w:hint="eastAsia" w:ascii="宋体" w:hAnsi="宋体"/>
                <w:szCs w:val="21"/>
              </w:rPr>
            </w:pPr>
            <w:r>
              <w:rPr>
                <w:rFonts w:hint="eastAsia" w:ascii="宋体" w:hAnsi="宋体"/>
                <w:szCs w:val="21"/>
              </w:rPr>
              <w:t>5000万元～1亿元</w:t>
            </w:r>
          </w:p>
        </w:tc>
        <w:tc>
          <w:tcPr>
            <w:tcW w:w="1659" w:type="dxa"/>
          </w:tcPr>
          <w:p w14:paraId="3192D807">
            <w:pPr>
              <w:spacing w:line="420" w:lineRule="atLeast"/>
              <w:ind w:firstLine="210" w:firstLineChars="100"/>
              <w:rPr>
                <w:rFonts w:hint="eastAsia" w:ascii="宋体" w:hAnsi="宋体"/>
                <w:szCs w:val="21"/>
              </w:rPr>
            </w:pPr>
            <w:r>
              <w:rPr>
                <w:rFonts w:ascii="宋体" w:hAnsi="宋体" w:cs="宋体"/>
                <w:kern w:val="0"/>
                <w:szCs w:val="21"/>
              </w:rPr>
              <w:t xml:space="preserve">0.25% </w:t>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t xml:space="preserve">         </w:t>
            </w:r>
          </w:p>
        </w:tc>
        <w:tc>
          <w:tcPr>
            <w:tcW w:w="1687" w:type="dxa"/>
          </w:tcPr>
          <w:p w14:paraId="69764880">
            <w:pPr>
              <w:spacing w:line="420" w:lineRule="atLeast"/>
              <w:ind w:firstLine="210" w:firstLineChars="100"/>
              <w:rPr>
                <w:rFonts w:hint="eastAsia" w:ascii="宋体" w:hAnsi="宋体"/>
                <w:szCs w:val="21"/>
              </w:rPr>
            </w:pPr>
            <w:r>
              <w:rPr>
                <w:rFonts w:ascii="宋体" w:hAnsi="宋体" w:cs="宋体"/>
                <w:kern w:val="0"/>
                <w:szCs w:val="21"/>
              </w:rPr>
              <w:t>0.1%</w:t>
            </w:r>
          </w:p>
        </w:tc>
        <w:tc>
          <w:tcPr>
            <w:tcW w:w="1659" w:type="dxa"/>
          </w:tcPr>
          <w:p w14:paraId="79C84D09">
            <w:pPr>
              <w:spacing w:line="420" w:lineRule="atLeast"/>
              <w:ind w:firstLine="210" w:firstLineChars="100"/>
              <w:rPr>
                <w:rFonts w:hint="eastAsia" w:ascii="宋体" w:hAnsi="宋体"/>
                <w:szCs w:val="21"/>
              </w:rPr>
            </w:pPr>
            <w:r>
              <w:rPr>
                <w:rFonts w:ascii="宋体" w:hAnsi="宋体" w:cs="宋体"/>
                <w:kern w:val="0"/>
                <w:szCs w:val="21"/>
              </w:rPr>
              <w:t>0.2%</w:t>
            </w:r>
          </w:p>
        </w:tc>
      </w:tr>
      <w:tr w14:paraId="5388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EF42861">
            <w:pPr>
              <w:spacing w:line="420" w:lineRule="atLeast"/>
              <w:rPr>
                <w:rFonts w:hint="eastAsia" w:ascii="宋体" w:hAnsi="宋体"/>
                <w:szCs w:val="21"/>
              </w:rPr>
            </w:pPr>
            <w:r>
              <w:rPr>
                <w:rFonts w:hint="eastAsia" w:ascii="宋体" w:hAnsi="宋体"/>
                <w:szCs w:val="21"/>
              </w:rPr>
              <w:t>1～5亿元</w:t>
            </w:r>
          </w:p>
        </w:tc>
        <w:tc>
          <w:tcPr>
            <w:tcW w:w="1659" w:type="dxa"/>
          </w:tcPr>
          <w:p w14:paraId="77BE02D4">
            <w:pPr>
              <w:spacing w:line="420" w:lineRule="atLeast"/>
              <w:ind w:firstLine="210" w:firstLineChars="100"/>
              <w:rPr>
                <w:rFonts w:hint="eastAsia" w:ascii="宋体" w:hAnsi="宋体"/>
                <w:szCs w:val="21"/>
              </w:rPr>
            </w:pPr>
            <w:r>
              <w:rPr>
                <w:rFonts w:hint="eastAsia" w:ascii="宋体" w:hAnsi="宋体"/>
                <w:szCs w:val="21"/>
              </w:rPr>
              <w:t>0.05%</w:t>
            </w:r>
          </w:p>
        </w:tc>
        <w:tc>
          <w:tcPr>
            <w:tcW w:w="1687" w:type="dxa"/>
          </w:tcPr>
          <w:p w14:paraId="4F7F66F1">
            <w:pPr>
              <w:spacing w:line="420" w:lineRule="atLeast"/>
              <w:rPr>
                <w:rFonts w:hint="eastAsia" w:ascii="宋体" w:hAnsi="宋体"/>
                <w:szCs w:val="21"/>
              </w:rPr>
            </w:pPr>
            <w:r>
              <w:rPr>
                <w:rFonts w:hint="eastAsia" w:ascii="宋体" w:hAnsi="宋体"/>
                <w:szCs w:val="21"/>
              </w:rPr>
              <w:t xml:space="preserve">  0.05%</w:t>
            </w:r>
          </w:p>
        </w:tc>
        <w:tc>
          <w:tcPr>
            <w:tcW w:w="1659" w:type="dxa"/>
          </w:tcPr>
          <w:p w14:paraId="659D02FD">
            <w:pPr>
              <w:spacing w:line="420" w:lineRule="atLeast"/>
              <w:rPr>
                <w:rFonts w:hint="eastAsia" w:ascii="宋体" w:hAnsi="宋体"/>
                <w:szCs w:val="21"/>
              </w:rPr>
            </w:pPr>
            <w:r>
              <w:rPr>
                <w:rFonts w:hint="eastAsia" w:ascii="宋体" w:hAnsi="宋体"/>
                <w:szCs w:val="21"/>
              </w:rPr>
              <w:t xml:space="preserve">  0.05%</w:t>
            </w:r>
          </w:p>
        </w:tc>
      </w:tr>
      <w:tr w14:paraId="46E5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BE75FE4">
            <w:pPr>
              <w:spacing w:line="420" w:lineRule="atLeast"/>
              <w:rPr>
                <w:rFonts w:hint="eastAsia" w:ascii="宋体" w:hAnsi="宋体"/>
                <w:szCs w:val="21"/>
              </w:rPr>
            </w:pPr>
            <w:r>
              <w:rPr>
                <w:rFonts w:hint="eastAsia" w:ascii="宋体" w:hAnsi="宋体"/>
                <w:szCs w:val="21"/>
              </w:rPr>
              <w:t>5～10亿元</w:t>
            </w:r>
          </w:p>
        </w:tc>
        <w:tc>
          <w:tcPr>
            <w:tcW w:w="1659" w:type="dxa"/>
          </w:tcPr>
          <w:p w14:paraId="36567011">
            <w:pPr>
              <w:spacing w:line="420" w:lineRule="atLeast"/>
              <w:ind w:firstLine="105" w:firstLineChars="50"/>
              <w:rPr>
                <w:rFonts w:hint="eastAsia" w:ascii="宋体" w:hAnsi="宋体"/>
                <w:szCs w:val="21"/>
              </w:rPr>
            </w:pPr>
            <w:r>
              <w:rPr>
                <w:rFonts w:hint="eastAsia" w:ascii="宋体" w:hAnsi="宋体"/>
                <w:szCs w:val="21"/>
              </w:rPr>
              <w:t>0.035%</w:t>
            </w:r>
          </w:p>
        </w:tc>
        <w:tc>
          <w:tcPr>
            <w:tcW w:w="1687" w:type="dxa"/>
          </w:tcPr>
          <w:p w14:paraId="2D160588">
            <w:pPr>
              <w:spacing w:line="420" w:lineRule="atLeast"/>
              <w:rPr>
                <w:rFonts w:hint="eastAsia" w:ascii="宋体" w:hAnsi="宋体"/>
                <w:szCs w:val="21"/>
              </w:rPr>
            </w:pPr>
            <w:r>
              <w:rPr>
                <w:rFonts w:hint="eastAsia" w:ascii="宋体" w:hAnsi="宋体"/>
                <w:szCs w:val="21"/>
              </w:rPr>
              <w:t xml:space="preserve">  0.035%</w:t>
            </w:r>
          </w:p>
        </w:tc>
        <w:tc>
          <w:tcPr>
            <w:tcW w:w="1659" w:type="dxa"/>
          </w:tcPr>
          <w:p w14:paraId="40DF0594">
            <w:pPr>
              <w:spacing w:line="420" w:lineRule="atLeast"/>
              <w:ind w:firstLine="105" w:firstLineChars="50"/>
              <w:rPr>
                <w:rFonts w:hint="eastAsia" w:ascii="宋体" w:hAnsi="宋体"/>
                <w:szCs w:val="21"/>
              </w:rPr>
            </w:pPr>
            <w:r>
              <w:rPr>
                <w:rFonts w:hint="eastAsia" w:ascii="宋体" w:hAnsi="宋体"/>
                <w:szCs w:val="21"/>
              </w:rPr>
              <w:t>0.035%</w:t>
            </w:r>
          </w:p>
        </w:tc>
      </w:tr>
      <w:tr w14:paraId="7059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885DD11">
            <w:pPr>
              <w:spacing w:line="420" w:lineRule="atLeast"/>
              <w:rPr>
                <w:rFonts w:hint="eastAsia" w:ascii="宋体" w:hAnsi="宋体"/>
                <w:szCs w:val="21"/>
              </w:rPr>
            </w:pPr>
            <w:r>
              <w:rPr>
                <w:rFonts w:hint="eastAsia" w:ascii="宋体" w:hAnsi="宋体"/>
                <w:szCs w:val="21"/>
              </w:rPr>
              <w:t>10～50亿元</w:t>
            </w:r>
          </w:p>
        </w:tc>
        <w:tc>
          <w:tcPr>
            <w:tcW w:w="1659" w:type="dxa"/>
          </w:tcPr>
          <w:p w14:paraId="427ECEC9">
            <w:pPr>
              <w:spacing w:line="420" w:lineRule="atLeast"/>
              <w:ind w:firstLine="105" w:firstLineChars="50"/>
              <w:rPr>
                <w:rFonts w:hint="eastAsia" w:ascii="宋体" w:hAnsi="宋体"/>
                <w:szCs w:val="21"/>
              </w:rPr>
            </w:pPr>
            <w:r>
              <w:rPr>
                <w:rFonts w:hint="eastAsia" w:ascii="宋体" w:hAnsi="宋体"/>
                <w:szCs w:val="21"/>
              </w:rPr>
              <w:t>0.008%</w:t>
            </w:r>
          </w:p>
        </w:tc>
        <w:tc>
          <w:tcPr>
            <w:tcW w:w="1687" w:type="dxa"/>
          </w:tcPr>
          <w:p w14:paraId="15CFC75E">
            <w:pPr>
              <w:spacing w:line="420" w:lineRule="atLeast"/>
              <w:ind w:firstLine="210" w:firstLineChars="100"/>
              <w:rPr>
                <w:rFonts w:hint="eastAsia" w:ascii="宋体" w:hAnsi="宋体"/>
                <w:szCs w:val="21"/>
              </w:rPr>
            </w:pPr>
            <w:r>
              <w:rPr>
                <w:rFonts w:hint="eastAsia" w:ascii="宋体" w:hAnsi="宋体"/>
                <w:szCs w:val="21"/>
              </w:rPr>
              <w:t>0.008%</w:t>
            </w:r>
          </w:p>
        </w:tc>
        <w:tc>
          <w:tcPr>
            <w:tcW w:w="1659" w:type="dxa"/>
          </w:tcPr>
          <w:p w14:paraId="5F202C86">
            <w:pPr>
              <w:spacing w:line="420" w:lineRule="atLeast"/>
              <w:ind w:firstLine="105" w:firstLineChars="50"/>
              <w:rPr>
                <w:rFonts w:hint="eastAsia" w:ascii="宋体" w:hAnsi="宋体"/>
                <w:szCs w:val="21"/>
              </w:rPr>
            </w:pPr>
            <w:r>
              <w:rPr>
                <w:rFonts w:hint="eastAsia" w:ascii="宋体" w:hAnsi="宋体"/>
                <w:szCs w:val="21"/>
              </w:rPr>
              <w:t>0.008%</w:t>
            </w:r>
          </w:p>
        </w:tc>
      </w:tr>
      <w:tr w14:paraId="1CB2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225CD19F">
            <w:pPr>
              <w:spacing w:line="420" w:lineRule="atLeast"/>
              <w:rPr>
                <w:rFonts w:hint="eastAsia" w:ascii="宋体" w:hAnsi="宋体"/>
                <w:szCs w:val="21"/>
              </w:rPr>
            </w:pPr>
            <w:r>
              <w:rPr>
                <w:rFonts w:hint="eastAsia" w:ascii="宋体" w:hAnsi="宋体"/>
                <w:szCs w:val="21"/>
              </w:rPr>
              <w:t>50～100亿元</w:t>
            </w:r>
          </w:p>
        </w:tc>
        <w:tc>
          <w:tcPr>
            <w:tcW w:w="1659" w:type="dxa"/>
          </w:tcPr>
          <w:p w14:paraId="5DE29368">
            <w:pPr>
              <w:spacing w:line="420" w:lineRule="atLeast"/>
              <w:rPr>
                <w:rFonts w:hint="eastAsia" w:ascii="宋体" w:hAnsi="宋体"/>
                <w:szCs w:val="21"/>
              </w:rPr>
            </w:pPr>
            <w:r>
              <w:rPr>
                <w:rFonts w:hint="eastAsia" w:ascii="宋体" w:hAnsi="宋体"/>
                <w:szCs w:val="21"/>
              </w:rPr>
              <w:t xml:space="preserve"> 0.006%</w:t>
            </w:r>
          </w:p>
        </w:tc>
        <w:tc>
          <w:tcPr>
            <w:tcW w:w="1687" w:type="dxa"/>
          </w:tcPr>
          <w:p w14:paraId="583DE408">
            <w:pPr>
              <w:spacing w:line="420" w:lineRule="atLeast"/>
              <w:ind w:firstLine="210" w:firstLineChars="100"/>
              <w:rPr>
                <w:rFonts w:hint="eastAsia" w:ascii="宋体" w:hAnsi="宋体"/>
                <w:szCs w:val="21"/>
              </w:rPr>
            </w:pPr>
            <w:r>
              <w:rPr>
                <w:rFonts w:hint="eastAsia" w:ascii="宋体" w:hAnsi="宋体"/>
                <w:szCs w:val="21"/>
              </w:rPr>
              <w:t>0.006%</w:t>
            </w:r>
          </w:p>
        </w:tc>
        <w:tc>
          <w:tcPr>
            <w:tcW w:w="1659" w:type="dxa"/>
          </w:tcPr>
          <w:p w14:paraId="5961EC48">
            <w:pPr>
              <w:spacing w:line="420" w:lineRule="atLeast"/>
              <w:ind w:firstLine="105" w:firstLineChars="50"/>
              <w:rPr>
                <w:rFonts w:hint="eastAsia" w:ascii="宋体" w:hAnsi="宋体"/>
                <w:szCs w:val="21"/>
              </w:rPr>
            </w:pPr>
            <w:r>
              <w:rPr>
                <w:rFonts w:hint="eastAsia" w:ascii="宋体" w:hAnsi="宋体"/>
                <w:szCs w:val="21"/>
              </w:rPr>
              <w:t>0.006%</w:t>
            </w:r>
          </w:p>
        </w:tc>
      </w:tr>
      <w:tr w14:paraId="6EB3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677B901">
            <w:pPr>
              <w:spacing w:line="420" w:lineRule="atLeast"/>
              <w:rPr>
                <w:rFonts w:hint="eastAsia" w:ascii="宋体" w:hAnsi="宋体"/>
                <w:szCs w:val="21"/>
              </w:rPr>
            </w:pPr>
            <w:r>
              <w:rPr>
                <w:rFonts w:hint="eastAsia" w:ascii="宋体" w:hAnsi="宋体"/>
                <w:szCs w:val="21"/>
              </w:rPr>
              <w:t>100亿以上</w:t>
            </w:r>
          </w:p>
        </w:tc>
        <w:tc>
          <w:tcPr>
            <w:tcW w:w="1659" w:type="dxa"/>
          </w:tcPr>
          <w:p w14:paraId="3A01168F">
            <w:pPr>
              <w:spacing w:line="420" w:lineRule="atLeast"/>
              <w:rPr>
                <w:rFonts w:hint="eastAsia" w:ascii="宋体" w:hAnsi="宋体"/>
                <w:szCs w:val="21"/>
              </w:rPr>
            </w:pPr>
            <w:r>
              <w:rPr>
                <w:rFonts w:hint="eastAsia" w:ascii="宋体" w:hAnsi="宋体"/>
                <w:szCs w:val="21"/>
              </w:rPr>
              <w:t xml:space="preserve"> 0.004%</w:t>
            </w:r>
          </w:p>
        </w:tc>
        <w:tc>
          <w:tcPr>
            <w:tcW w:w="1687" w:type="dxa"/>
          </w:tcPr>
          <w:p w14:paraId="56CB3275">
            <w:pPr>
              <w:spacing w:line="420" w:lineRule="atLeast"/>
              <w:ind w:firstLine="210" w:firstLineChars="100"/>
              <w:rPr>
                <w:rFonts w:hint="eastAsia" w:ascii="宋体" w:hAnsi="宋体"/>
                <w:szCs w:val="21"/>
              </w:rPr>
            </w:pPr>
            <w:r>
              <w:rPr>
                <w:rFonts w:hint="eastAsia" w:ascii="宋体" w:hAnsi="宋体"/>
                <w:szCs w:val="21"/>
              </w:rPr>
              <w:t>0.004%</w:t>
            </w:r>
          </w:p>
        </w:tc>
        <w:tc>
          <w:tcPr>
            <w:tcW w:w="1659" w:type="dxa"/>
          </w:tcPr>
          <w:p w14:paraId="4C5B896C">
            <w:pPr>
              <w:spacing w:line="420" w:lineRule="atLeast"/>
              <w:ind w:firstLine="105" w:firstLineChars="50"/>
              <w:rPr>
                <w:rFonts w:hint="eastAsia" w:ascii="宋体" w:hAnsi="宋体"/>
                <w:szCs w:val="21"/>
              </w:rPr>
            </w:pPr>
            <w:r>
              <w:rPr>
                <w:rFonts w:hint="eastAsia" w:ascii="宋体" w:hAnsi="宋体"/>
                <w:szCs w:val="21"/>
              </w:rPr>
              <w:t>0.004%</w:t>
            </w:r>
          </w:p>
        </w:tc>
      </w:tr>
    </w:tbl>
    <w:p w14:paraId="0140943C">
      <w:pPr>
        <w:spacing w:line="420" w:lineRule="atLeast"/>
        <w:ind w:firstLine="420" w:firstLineChars="200"/>
        <w:jc w:val="left"/>
        <w:rPr>
          <w:rFonts w:hint="eastAsia" w:ascii="宋体" w:hAnsi="宋体" w:cs="宋体"/>
          <w:szCs w:val="21"/>
        </w:rPr>
      </w:pPr>
      <w:r>
        <w:rPr>
          <w:rFonts w:hint="eastAsia" w:ascii="宋体" w:hAnsi="宋体"/>
          <w:szCs w:val="21"/>
        </w:rPr>
        <w:t>注:</w:t>
      </w:r>
      <w:r>
        <w:rPr>
          <w:rFonts w:ascii="宋体" w:hAnsi="宋体" w:cs="宋体"/>
          <w:szCs w:val="21"/>
        </w:rPr>
        <w:t xml:space="preserve"> </w:t>
      </w:r>
    </w:p>
    <w:p w14:paraId="25838190">
      <w:pPr>
        <w:spacing w:line="420" w:lineRule="atLeast"/>
        <w:ind w:firstLine="420" w:firstLineChars="200"/>
        <w:jc w:val="left"/>
        <w:rPr>
          <w:rFonts w:hint="eastAsia" w:ascii="宋体" w:hAnsi="宋体" w:cs="宋体"/>
          <w:szCs w:val="21"/>
        </w:rPr>
      </w:pPr>
      <w:r>
        <w:rPr>
          <w:rFonts w:hint="eastAsia" w:ascii="宋体" w:hAnsi="宋体" w:cs="宋体"/>
          <w:szCs w:val="21"/>
        </w:rPr>
        <w:t>（1）</w:t>
      </w:r>
      <w:r>
        <w:rPr>
          <w:rFonts w:ascii="宋体" w:hAnsi="宋体" w:cs="宋体"/>
          <w:szCs w:val="21"/>
        </w:rPr>
        <w:t>按本表费率计算的收费为</w:t>
      </w:r>
      <w:r>
        <w:rPr>
          <w:rFonts w:hint="eastAsia" w:ascii="宋体" w:hAnsi="宋体" w:cs="宋体"/>
          <w:szCs w:val="21"/>
        </w:rPr>
        <w:t>采购</w:t>
      </w:r>
      <w:r>
        <w:rPr>
          <w:rFonts w:ascii="宋体" w:hAnsi="宋体" w:cs="宋体"/>
          <w:szCs w:val="21"/>
        </w:rPr>
        <w:t>代理的收费基准价格</w:t>
      </w:r>
      <w:r>
        <w:rPr>
          <w:rFonts w:hint="eastAsia" w:ascii="宋体" w:hAnsi="宋体" w:cs="宋体"/>
          <w:szCs w:val="21"/>
        </w:rPr>
        <w:t>；</w:t>
      </w:r>
    </w:p>
    <w:p w14:paraId="410E3AE5">
      <w:pPr>
        <w:spacing w:line="420" w:lineRule="atLeast"/>
        <w:ind w:firstLine="420" w:firstLineChars="200"/>
        <w:jc w:val="left"/>
        <w:rPr>
          <w:rFonts w:hint="eastAsia" w:ascii="宋体" w:hAnsi="宋体" w:cs="宋体"/>
          <w:szCs w:val="21"/>
        </w:rPr>
      </w:pPr>
      <w:r>
        <w:rPr>
          <w:rFonts w:hint="eastAsia" w:ascii="宋体" w:hAnsi="宋体" w:cs="宋体"/>
          <w:szCs w:val="21"/>
        </w:rPr>
        <w:t>（2）采购</w:t>
      </w:r>
      <w:r>
        <w:rPr>
          <w:rFonts w:ascii="宋体" w:hAnsi="宋体" w:cs="宋体"/>
          <w:szCs w:val="21"/>
        </w:rPr>
        <w:t>代理收费按差额定率累进法计算。</w:t>
      </w:r>
    </w:p>
    <w:p w14:paraId="59F63067">
      <w:pPr>
        <w:spacing w:line="420" w:lineRule="atLeast"/>
        <w:ind w:firstLine="420" w:firstLineChars="200"/>
        <w:jc w:val="left"/>
        <w:rPr>
          <w:rFonts w:hint="eastAsia" w:ascii="宋体" w:hAnsi="宋体" w:cs="宋体"/>
          <w:szCs w:val="21"/>
        </w:rPr>
      </w:pPr>
      <w:r>
        <w:rPr>
          <w:rFonts w:ascii="宋体" w:hAnsi="宋体" w:cs="宋体"/>
          <w:szCs w:val="21"/>
        </w:rPr>
        <w:t>例如：某</w:t>
      </w:r>
      <w:r>
        <w:rPr>
          <w:rFonts w:hint="eastAsia" w:ascii="宋体" w:hAnsi="宋体" w:cs="宋体"/>
          <w:szCs w:val="21"/>
        </w:rPr>
        <w:t>货物采购</w:t>
      </w:r>
      <w:r>
        <w:rPr>
          <w:rFonts w:ascii="宋体" w:hAnsi="宋体" w:cs="宋体"/>
          <w:szCs w:val="21"/>
        </w:rPr>
        <w:t>代理业务</w:t>
      </w:r>
      <w:r>
        <w:rPr>
          <w:rFonts w:hint="eastAsia" w:ascii="宋体" w:hAnsi="宋体" w:cs="宋体"/>
          <w:szCs w:val="21"/>
        </w:rPr>
        <w:t>中标</w:t>
      </w:r>
      <w:r>
        <w:rPr>
          <w:rFonts w:ascii="宋体" w:hAnsi="宋体" w:cs="宋体"/>
          <w:szCs w:val="21"/>
        </w:rPr>
        <w:t>金额</w:t>
      </w:r>
      <w:r>
        <w:rPr>
          <w:rFonts w:hint="eastAsia" w:ascii="宋体" w:hAnsi="宋体" w:cs="宋体"/>
          <w:szCs w:val="21"/>
        </w:rPr>
        <w:t>或者暂定价</w:t>
      </w:r>
      <w:r>
        <w:rPr>
          <w:rFonts w:ascii="宋体" w:hAnsi="宋体" w:cs="宋体"/>
          <w:szCs w:val="21"/>
        </w:rPr>
        <w:t>为200万元，计算</w:t>
      </w:r>
      <w:r>
        <w:rPr>
          <w:rFonts w:hint="eastAsia" w:ascii="宋体" w:hAnsi="宋体" w:cs="宋体"/>
          <w:szCs w:val="21"/>
        </w:rPr>
        <w:t>采购</w:t>
      </w:r>
      <w:r>
        <w:rPr>
          <w:rFonts w:ascii="宋体" w:hAnsi="宋体" w:cs="宋体"/>
          <w:szCs w:val="21"/>
        </w:rPr>
        <w:t>代理收费额如下：</w:t>
      </w:r>
    </w:p>
    <w:p w14:paraId="54ABD368">
      <w:pPr>
        <w:spacing w:line="420" w:lineRule="atLeast"/>
        <w:ind w:firstLine="420" w:firstLineChars="200"/>
        <w:jc w:val="left"/>
        <w:rPr>
          <w:rFonts w:hint="eastAsia" w:ascii="宋体" w:hAnsi="宋体" w:cs="宋体"/>
          <w:szCs w:val="21"/>
        </w:rPr>
      </w:pPr>
      <w:r>
        <w:rPr>
          <w:rFonts w:ascii="宋体" w:hAnsi="宋体" w:cs="宋体"/>
          <w:szCs w:val="21"/>
        </w:rPr>
        <w:t>100 万元×l.5 ％＝ 1.5 万元</w:t>
      </w:r>
    </w:p>
    <w:p w14:paraId="5EDA1D83">
      <w:pPr>
        <w:spacing w:line="420" w:lineRule="atLeast"/>
        <w:ind w:firstLine="420" w:firstLineChars="200"/>
        <w:jc w:val="left"/>
        <w:rPr>
          <w:rFonts w:hint="eastAsia" w:ascii="宋体" w:hAnsi="宋体" w:cs="宋体"/>
          <w:szCs w:val="21"/>
        </w:rPr>
      </w:pPr>
      <w:r>
        <w:rPr>
          <w:rFonts w:ascii="宋体" w:hAnsi="宋体" w:cs="宋体"/>
          <w:szCs w:val="21"/>
        </w:rPr>
        <w:t>（ 200 － 100 ）万元 ×1.1％＝1.1万元</w:t>
      </w:r>
    </w:p>
    <w:p w14:paraId="70AB1788">
      <w:pPr>
        <w:spacing w:line="420" w:lineRule="atLeast"/>
        <w:ind w:firstLine="420" w:firstLineChars="200"/>
        <w:jc w:val="left"/>
        <w:rPr>
          <w:rFonts w:hint="eastAsia" w:ascii="宋体" w:hAnsi="宋体" w:cs="宋体"/>
          <w:szCs w:val="21"/>
        </w:rPr>
      </w:pPr>
      <w:r>
        <w:rPr>
          <w:rFonts w:hint="eastAsia" w:ascii="宋体" w:hAnsi="宋体" w:cs="宋体"/>
          <w:szCs w:val="21"/>
        </w:rPr>
        <w:t>合计收费＝ 1.5+1.1＝ 2.6 （万元）</w:t>
      </w:r>
    </w:p>
    <w:p w14:paraId="6EB2C0A7">
      <w:pPr>
        <w:spacing w:line="420" w:lineRule="atLeast"/>
        <w:ind w:firstLine="420" w:firstLineChars="200"/>
        <w:jc w:val="left"/>
        <w:rPr>
          <w:rFonts w:hint="eastAsia" w:ascii="宋体" w:hAnsi="宋体" w:cs="宋体"/>
          <w:szCs w:val="21"/>
        </w:rPr>
      </w:pPr>
      <w:r>
        <w:rPr>
          <w:rFonts w:hint="eastAsia" w:ascii="宋体" w:hAnsi="宋体" w:cs="宋体"/>
          <w:szCs w:val="21"/>
        </w:rPr>
        <w:t>32.9 代理服务费交纳银行帐号信息</w:t>
      </w:r>
    </w:p>
    <w:p w14:paraId="5A95B76F">
      <w:pPr>
        <w:spacing w:line="420" w:lineRule="atLeast"/>
        <w:ind w:firstLine="420" w:firstLineChars="200"/>
        <w:jc w:val="left"/>
        <w:rPr>
          <w:rFonts w:hint="eastAsia" w:ascii="宋体" w:hAnsi="宋体" w:cs="宋体"/>
          <w:szCs w:val="21"/>
        </w:rPr>
      </w:pPr>
      <w:r>
        <w:rPr>
          <w:rFonts w:hint="eastAsia" w:ascii="宋体" w:hAnsi="宋体" w:cs="宋体"/>
          <w:szCs w:val="21"/>
        </w:rPr>
        <w:t>开户名称：广西誉采招标咨询有限公司</w:t>
      </w:r>
    </w:p>
    <w:p w14:paraId="3CAB0566">
      <w:pPr>
        <w:spacing w:line="420" w:lineRule="atLeast"/>
        <w:ind w:firstLine="420" w:firstLineChars="200"/>
        <w:jc w:val="left"/>
        <w:rPr>
          <w:rFonts w:hint="eastAsia" w:ascii="宋体" w:hAnsi="宋体" w:cs="宋体"/>
          <w:szCs w:val="21"/>
        </w:rPr>
      </w:pPr>
      <w:r>
        <w:rPr>
          <w:rFonts w:hint="eastAsia" w:ascii="宋体" w:hAnsi="宋体" w:cs="宋体"/>
          <w:szCs w:val="21"/>
        </w:rPr>
        <w:t>开户银行：玉林市区农村信用合作联社玉东分社</w:t>
      </w:r>
    </w:p>
    <w:p w14:paraId="07FAFF5D">
      <w:pPr>
        <w:pStyle w:val="6"/>
        <w:keepNext w:val="0"/>
        <w:keepLines w:val="0"/>
        <w:spacing w:before="0" w:after="0" w:line="420" w:lineRule="atLeast"/>
        <w:ind w:left="420" w:leftChars="200"/>
        <w:jc w:val="left"/>
        <w:rPr>
          <w:rFonts w:hint="eastAsia" w:ascii="黑体" w:hAnsi="黑体" w:eastAsia="黑体"/>
          <w:b w:val="0"/>
          <w:bCs/>
          <w:sz w:val="24"/>
        </w:rPr>
      </w:pPr>
      <w:r>
        <w:rPr>
          <w:rFonts w:hint="eastAsia" w:hAnsi="宋体" w:cs="宋体"/>
          <w:b w:val="0"/>
          <w:bCs/>
          <w:color w:val="000000"/>
          <w:sz w:val="21"/>
        </w:rPr>
        <w:t>账    号：506312010108929419</w:t>
      </w:r>
    </w:p>
    <w:p w14:paraId="43233614">
      <w:pPr>
        <w:pStyle w:val="6"/>
        <w:keepNext w:val="0"/>
        <w:keepLines w:val="0"/>
        <w:spacing w:before="0" w:after="0" w:line="420" w:lineRule="atLeast"/>
        <w:ind w:left="420" w:leftChars="200"/>
        <w:jc w:val="left"/>
        <w:rPr>
          <w:rFonts w:hint="eastAsia" w:ascii="黑体" w:hAnsi="黑体" w:eastAsia="黑体"/>
          <w:sz w:val="24"/>
        </w:rPr>
      </w:pPr>
      <w:r>
        <w:rPr>
          <w:rFonts w:ascii="黑体" w:hAnsi="黑体" w:eastAsia="黑体"/>
          <w:sz w:val="24"/>
        </w:rPr>
        <w:t>40. 需要补充的其他内容</w:t>
      </w:r>
    </w:p>
    <w:p w14:paraId="38DE65F2">
      <w:pPr>
        <w:pStyle w:val="17"/>
        <w:spacing w:before="120" w:after="120" w:line="420" w:lineRule="atLeast"/>
        <w:ind w:firstLine="420" w:firstLineChars="200"/>
        <w:contextualSpacing/>
        <w:jc w:val="left"/>
        <w:rPr>
          <w:rFonts w:hint="eastAsia" w:hAnsi="宋体" w:cs="宋体"/>
          <w:sz w:val="21"/>
        </w:rPr>
      </w:pPr>
      <w:r>
        <w:rPr>
          <w:rFonts w:hint="eastAsia" w:hAnsi="宋体" w:cs="宋体"/>
          <w:sz w:val="21"/>
        </w:rPr>
        <w:t>40.1履约验收咨询费详见“投标人须知前附表”。</w:t>
      </w:r>
    </w:p>
    <w:p w14:paraId="46F9D619">
      <w:pPr>
        <w:pStyle w:val="17"/>
        <w:spacing w:before="120" w:after="120" w:line="420" w:lineRule="atLeast"/>
        <w:ind w:firstLine="420" w:firstLineChars="200"/>
        <w:contextualSpacing/>
        <w:jc w:val="left"/>
        <w:rPr>
          <w:rFonts w:hint="eastAsia" w:hAnsi="宋体" w:cs="宋体"/>
          <w:sz w:val="21"/>
        </w:rPr>
      </w:pPr>
      <w:r>
        <w:rPr>
          <w:rFonts w:hint="eastAsia" w:hAnsi="宋体" w:cs="宋体"/>
          <w:sz w:val="21"/>
        </w:rPr>
        <w:t>40.2 本招标文件解释规则详见“投标人须知前附表”。</w:t>
      </w:r>
    </w:p>
    <w:p w14:paraId="7997471C">
      <w:pPr>
        <w:pStyle w:val="17"/>
        <w:spacing w:before="120" w:after="120" w:line="420" w:lineRule="atLeast"/>
        <w:ind w:firstLine="420" w:firstLineChars="200"/>
        <w:contextualSpacing/>
        <w:jc w:val="left"/>
        <w:rPr>
          <w:rFonts w:hint="eastAsia" w:hAnsi="宋体" w:cs="宋体"/>
          <w:sz w:val="21"/>
        </w:rPr>
      </w:pPr>
      <w:r>
        <w:rPr>
          <w:rFonts w:hint="eastAsia" w:hAnsi="宋体" w:cs="宋体"/>
          <w:sz w:val="21"/>
        </w:rPr>
        <w:t>40.3其他事项详见“投标人须知前附表</w:t>
      </w:r>
    </w:p>
    <w:p w14:paraId="3B8FE8B2">
      <w:pPr>
        <w:pStyle w:val="17"/>
        <w:spacing w:before="120" w:after="120" w:line="420" w:lineRule="atLeast"/>
        <w:ind w:firstLine="420" w:firstLineChars="200"/>
        <w:contextualSpacing/>
        <w:jc w:val="left"/>
        <w:rPr>
          <w:rFonts w:hint="eastAsia" w:hAnsi="宋体" w:cs="宋体"/>
          <w:sz w:val="21"/>
        </w:rPr>
      </w:pPr>
      <w:r>
        <w:rPr>
          <w:rFonts w:hint="eastAsia" w:hAnsi="宋体" w:cs="宋体"/>
          <w:sz w:val="21"/>
        </w:rPr>
        <w:t>40.4关于中小企业采购需明确的内容：</w:t>
      </w:r>
    </w:p>
    <w:p w14:paraId="1ADEC151">
      <w:pPr>
        <w:pStyle w:val="17"/>
        <w:snapToGrid w:val="0"/>
        <w:spacing w:line="380" w:lineRule="exact"/>
        <w:ind w:firstLine="420" w:firstLineChars="200"/>
        <w:jc w:val="left"/>
        <w:rPr>
          <w:rFonts w:hint="eastAsia" w:asciiTheme="minorEastAsia" w:hAnsiTheme="minorEastAsia" w:eastAsiaTheme="minorEastAsia" w:cstheme="minorEastAsia"/>
          <w:kern w:val="2"/>
          <w:sz w:val="21"/>
        </w:rPr>
      </w:pPr>
      <w:r>
        <w:rPr>
          <w:rFonts w:hint="eastAsia" w:asciiTheme="minorEastAsia" w:hAnsiTheme="minorEastAsia" w:eastAsiaTheme="minorEastAsia" w:cstheme="minorEastAsia"/>
          <w:kern w:val="2"/>
          <w:sz w:val="21"/>
        </w:rPr>
        <w:t>1.本项目属于部分预留份额专门面向中小企业采购的项目，预留预算总金额的30%专门面向中小企业采购，预留份额部分货物制造商（或服务提供商）应为中小型企业或监狱企业或残疾人福利性单位。投标人提供的货物（或服务）应至少有30%由中小型企业或监狱企业或残疾人福利性单位供应。</w:t>
      </w:r>
    </w:p>
    <w:p w14:paraId="6EAB134B">
      <w:pPr>
        <w:pStyle w:val="17"/>
        <w:snapToGrid w:val="0"/>
        <w:spacing w:line="380" w:lineRule="exact"/>
        <w:ind w:firstLine="420" w:firstLineChars="200"/>
        <w:jc w:val="left"/>
        <w:rPr>
          <w:rFonts w:hint="eastAsia" w:hAnsi="宋体" w:cs="宋体"/>
          <w:sz w:val="21"/>
        </w:rPr>
      </w:pPr>
      <w:r>
        <w:rPr>
          <w:rFonts w:hint="eastAsia" w:hAnsi="宋体" w:cs="宋体"/>
          <w:sz w:val="21"/>
        </w:rPr>
        <w:t>2.</w:t>
      </w:r>
      <w:r>
        <w:rPr>
          <w:rFonts w:hAnsi="宋体" w:cs="宋体"/>
          <w:sz w:val="21"/>
        </w:rPr>
        <w:t>本项目</w:t>
      </w:r>
      <w:r>
        <w:rPr>
          <w:rFonts w:hint="eastAsia" w:hAnsi="宋体" w:cs="宋体"/>
          <w:sz w:val="21"/>
        </w:rPr>
        <w:t>不</w:t>
      </w:r>
      <w:r>
        <w:rPr>
          <w:rFonts w:hAnsi="宋体" w:cs="宋体"/>
          <w:sz w:val="21"/>
        </w:rPr>
        <w:t>接受联合体</w:t>
      </w:r>
      <w:r>
        <w:rPr>
          <w:rFonts w:hint="eastAsia" w:hAnsi="宋体" w:cs="宋体"/>
          <w:sz w:val="21"/>
        </w:rPr>
        <w:t>投标</w:t>
      </w:r>
      <w:r>
        <w:rPr>
          <w:rFonts w:hAnsi="宋体" w:cs="宋体"/>
          <w:sz w:val="21"/>
        </w:rPr>
        <w:t>，本项目不允许分包</w:t>
      </w:r>
      <w:r>
        <w:rPr>
          <w:rFonts w:hint="eastAsia" w:hAnsi="宋体" w:cs="宋体"/>
          <w:sz w:val="21"/>
        </w:rPr>
        <w:t>。</w:t>
      </w:r>
    </w:p>
    <w:p w14:paraId="34102067">
      <w:pPr>
        <w:pStyle w:val="17"/>
        <w:snapToGrid w:val="0"/>
        <w:spacing w:before="120" w:after="120" w:line="420" w:lineRule="atLeast"/>
        <w:ind w:firstLine="420" w:firstLineChars="200"/>
        <w:rPr>
          <w:rFonts w:hint="eastAsia" w:hAnsi="宋体"/>
        </w:rPr>
      </w:pPr>
      <w:r>
        <w:rPr>
          <w:rFonts w:hint="eastAsia" w:hAnsi="宋体" w:cs="宋体"/>
          <w:sz w:val="21"/>
        </w:rPr>
        <w:t>3.本项目采购标的对应的中小企业划分标准所属行业为:软件部分为软件和信息技术服务业；配套硬件部分为</w:t>
      </w:r>
      <w:r>
        <w:rPr>
          <w:rFonts w:hint="eastAsia" w:hAnsi="宋体" w:cs="宋体"/>
        </w:rPr>
        <w:t>工业</w:t>
      </w:r>
      <w:r>
        <w:rPr>
          <w:rFonts w:hint="eastAsia" w:hAnsi="宋体" w:cs="宋体"/>
          <w:sz w:val="21"/>
        </w:rPr>
        <w:t>。</w:t>
      </w:r>
    </w:p>
    <w:p w14:paraId="69B7E881">
      <w:pPr>
        <w:pStyle w:val="17"/>
        <w:snapToGrid w:val="0"/>
        <w:spacing w:before="120" w:after="120" w:line="420" w:lineRule="atLeast"/>
        <w:rPr>
          <w:rFonts w:hint="eastAsia" w:hAnsi="宋体"/>
        </w:rPr>
      </w:pPr>
    </w:p>
    <w:p w14:paraId="4F5F9BF1">
      <w:pPr>
        <w:pStyle w:val="17"/>
        <w:snapToGrid w:val="0"/>
        <w:spacing w:before="120" w:after="120"/>
        <w:rPr>
          <w:rFonts w:hint="eastAsia" w:hAnsi="宋体"/>
        </w:rPr>
      </w:pPr>
    </w:p>
    <w:p w14:paraId="21EE48CA">
      <w:pPr>
        <w:pStyle w:val="17"/>
        <w:snapToGrid w:val="0"/>
        <w:spacing w:before="120" w:after="120"/>
        <w:rPr>
          <w:rFonts w:hint="eastAsia" w:hAnsi="宋体"/>
        </w:rPr>
      </w:pPr>
    </w:p>
    <w:p w14:paraId="4D6B37DC">
      <w:pPr>
        <w:pStyle w:val="17"/>
        <w:snapToGrid w:val="0"/>
        <w:spacing w:before="120" w:after="120"/>
        <w:rPr>
          <w:rFonts w:hint="eastAsia" w:hAnsi="宋体"/>
        </w:rPr>
      </w:pPr>
    </w:p>
    <w:p w14:paraId="254AE1E5">
      <w:pPr>
        <w:pStyle w:val="17"/>
        <w:snapToGrid w:val="0"/>
        <w:spacing w:before="120" w:after="120"/>
        <w:rPr>
          <w:rFonts w:hint="eastAsia" w:hAnsi="宋体"/>
        </w:rPr>
      </w:pPr>
    </w:p>
    <w:p w14:paraId="44C8C20B">
      <w:pPr>
        <w:pStyle w:val="17"/>
        <w:snapToGrid w:val="0"/>
        <w:spacing w:before="120" w:after="120"/>
        <w:rPr>
          <w:rFonts w:hint="eastAsia" w:hAnsi="宋体"/>
        </w:rPr>
      </w:pPr>
    </w:p>
    <w:p w14:paraId="64C8EE25">
      <w:pPr>
        <w:pStyle w:val="2"/>
        <w:jc w:val="center"/>
      </w:pPr>
      <w:bookmarkStart w:id="136" w:name="_Toc254970548"/>
      <w:bookmarkStart w:id="137" w:name="_Toc254970689"/>
      <w:bookmarkStart w:id="138" w:name="_Toc330456896"/>
      <w:bookmarkStart w:id="139" w:name="_Toc74320803"/>
    </w:p>
    <w:p w14:paraId="0B64EC98">
      <w:pPr>
        <w:pStyle w:val="2"/>
        <w:jc w:val="center"/>
      </w:pPr>
    </w:p>
    <w:p w14:paraId="39D52CF4"/>
    <w:p w14:paraId="422A6D26">
      <w:pPr>
        <w:pStyle w:val="25"/>
        <w:ind w:firstLine="640"/>
      </w:pPr>
    </w:p>
    <w:p w14:paraId="70AA22D8">
      <w:pPr>
        <w:pStyle w:val="25"/>
        <w:ind w:firstLine="640"/>
      </w:pPr>
    </w:p>
    <w:p w14:paraId="4A07A2B7">
      <w:pPr>
        <w:pStyle w:val="25"/>
        <w:ind w:firstLine="640"/>
      </w:pPr>
    </w:p>
    <w:p w14:paraId="21FA3633"/>
    <w:p w14:paraId="16FE15B3"/>
    <w:p w14:paraId="2C933F55"/>
    <w:p w14:paraId="27F16869">
      <w:pPr>
        <w:pStyle w:val="2"/>
        <w:jc w:val="center"/>
      </w:pPr>
      <w:r>
        <w:rPr>
          <w:rFonts w:hint="eastAsia"/>
        </w:rPr>
        <w:t>第四章  评标方法及评标标准</w:t>
      </w:r>
      <w:bookmarkEnd w:id="136"/>
      <w:bookmarkEnd w:id="137"/>
      <w:bookmarkEnd w:id="138"/>
      <w:bookmarkEnd w:id="139"/>
    </w:p>
    <w:p w14:paraId="733F5763">
      <w:pPr>
        <w:pStyle w:val="17"/>
        <w:spacing w:before="120" w:after="120"/>
        <w:outlineLvl w:val="0"/>
        <w:rPr>
          <w:rFonts w:hint="eastAsia" w:hAnsi="宋体"/>
          <w:b/>
        </w:rPr>
      </w:pPr>
      <w:bookmarkStart w:id="140" w:name="_Toc254970549"/>
      <w:bookmarkStart w:id="141" w:name="_Toc254970690"/>
    </w:p>
    <w:bookmarkEnd w:id="140"/>
    <w:bookmarkEnd w:id="141"/>
    <w:p w14:paraId="60086999">
      <w:pPr>
        <w:pStyle w:val="17"/>
        <w:spacing w:before="120" w:after="120"/>
        <w:outlineLvl w:val="0"/>
        <w:rPr>
          <w:rFonts w:hint="eastAsia" w:hAnsi="宋体"/>
          <w:bCs/>
          <w:sz w:val="32"/>
          <w:szCs w:val="32"/>
        </w:rPr>
      </w:pPr>
    </w:p>
    <w:p w14:paraId="3DC7FD81">
      <w:pPr>
        <w:pStyle w:val="17"/>
        <w:spacing w:before="120" w:after="120"/>
        <w:outlineLvl w:val="0"/>
        <w:rPr>
          <w:rFonts w:hint="eastAsia" w:hAnsi="宋体"/>
          <w:bCs/>
          <w:sz w:val="32"/>
          <w:szCs w:val="32"/>
        </w:rPr>
      </w:pPr>
    </w:p>
    <w:p w14:paraId="3C551F6C">
      <w:pPr>
        <w:pStyle w:val="17"/>
        <w:spacing w:before="120" w:after="120"/>
        <w:outlineLvl w:val="0"/>
        <w:rPr>
          <w:rFonts w:hint="eastAsia" w:hAnsi="宋体"/>
          <w:bCs/>
          <w:sz w:val="32"/>
          <w:szCs w:val="32"/>
        </w:rPr>
      </w:pPr>
    </w:p>
    <w:p w14:paraId="28A338BE">
      <w:pPr>
        <w:spacing w:before="156" w:beforeLines="50" w:after="156" w:afterLines="50" w:line="400" w:lineRule="exact"/>
        <w:rPr>
          <w:rFonts w:hint="eastAsia" w:ascii="宋体" w:hAnsi="宋体"/>
          <w:b/>
          <w:sz w:val="24"/>
        </w:rPr>
      </w:pPr>
    </w:p>
    <w:p w14:paraId="18C4A7F1">
      <w:pPr>
        <w:spacing w:before="156" w:beforeLines="50" w:after="156" w:afterLines="50" w:line="400" w:lineRule="exact"/>
        <w:rPr>
          <w:rFonts w:hint="eastAsia" w:ascii="宋体" w:hAnsi="宋体"/>
          <w:b/>
          <w:sz w:val="24"/>
        </w:rPr>
      </w:pPr>
    </w:p>
    <w:p w14:paraId="4B6B9700">
      <w:pPr>
        <w:spacing w:before="156" w:beforeLines="50" w:after="156" w:afterLines="50" w:line="400" w:lineRule="exact"/>
        <w:rPr>
          <w:rFonts w:hint="eastAsia" w:ascii="宋体" w:hAnsi="宋体"/>
          <w:b/>
          <w:sz w:val="24"/>
        </w:rPr>
      </w:pPr>
    </w:p>
    <w:p w14:paraId="798CBBA8">
      <w:pPr>
        <w:spacing w:before="156" w:beforeLines="50" w:after="156" w:afterLines="50" w:line="400" w:lineRule="exact"/>
        <w:rPr>
          <w:rFonts w:hint="eastAsia" w:ascii="宋体" w:hAnsi="宋体"/>
          <w:b/>
          <w:sz w:val="24"/>
        </w:rPr>
      </w:pPr>
    </w:p>
    <w:p w14:paraId="27080203">
      <w:pPr>
        <w:spacing w:before="156" w:beforeLines="50" w:after="156" w:afterLines="50" w:line="400" w:lineRule="exact"/>
        <w:rPr>
          <w:rFonts w:hint="eastAsia" w:ascii="宋体" w:hAnsi="宋体"/>
          <w:b/>
          <w:sz w:val="24"/>
        </w:rPr>
      </w:pPr>
    </w:p>
    <w:p w14:paraId="7941E8CE">
      <w:pPr>
        <w:pStyle w:val="4"/>
        <w:keepNext w:val="0"/>
        <w:keepLines w:val="0"/>
        <w:rPr>
          <w:sz w:val="30"/>
          <w:szCs w:val="30"/>
        </w:rPr>
      </w:pPr>
    </w:p>
    <w:p w14:paraId="708D1E1E"/>
    <w:p w14:paraId="70C96BB1">
      <w:pPr>
        <w:pStyle w:val="4"/>
        <w:keepNext w:val="0"/>
        <w:keepLines w:val="0"/>
        <w:jc w:val="center"/>
        <w:rPr>
          <w:sz w:val="30"/>
          <w:szCs w:val="30"/>
        </w:rPr>
      </w:pPr>
      <w:r>
        <w:rPr>
          <w:rFonts w:hint="eastAsia"/>
          <w:sz w:val="30"/>
          <w:szCs w:val="30"/>
        </w:rPr>
        <w:t>一、评标方法</w:t>
      </w:r>
    </w:p>
    <w:p w14:paraId="7A355CCF">
      <w:pPr>
        <w:pStyle w:val="17"/>
        <w:snapToGrid w:val="0"/>
        <w:spacing w:line="360" w:lineRule="auto"/>
        <w:ind w:left="1" w:firstLine="420"/>
        <w:rPr>
          <w:rFonts w:hint="eastAsia" w:hAnsi="宋体"/>
          <w:b/>
          <w:kern w:val="2"/>
          <w:sz w:val="21"/>
        </w:rPr>
      </w:pPr>
      <w:r>
        <w:rPr>
          <w:rFonts w:hint="eastAsia" w:hAnsi="宋体"/>
          <w:b/>
          <w:kern w:val="2"/>
          <w:sz w:val="21"/>
        </w:rPr>
        <w:t>综合评分法，是指投标文件满足招标文件全部实质性要求，且按照评审因素的量化指标评审得分最高的投标人为中标候选人的评标方法。</w:t>
      </w:r>
    </w:p>
    <w:p w14:paraId="6C36669C">
      <w:pPr>
        <w:pStyle w:val="17"/>
        <w:snapToGrid w:val="0"/>
        <w:spacing w:line="360" w:lineRule="auto"/>
        <w:ind w:left="1" w:firstLine="420"/>
        <w:rPr>
          <w:rFonts w:hint="eastAsia" w:hAnsi="宋体"/>
          <w:b/>
          <w:kern w:val="2"/>
          <w:sz w:val="21"/>
        </w:rPr>
      </w:pPr>
      <w:r>
        <w:rPr>
          <w:rFonts w:hint="eastAsia" w:hAnsi="宋体"/>
          <w:b/>
          <w:kern w:val="2"/>
          <w:sz w:val="21"/>
        </w:rPr>
        <w:t>最低评标价法，是指投标文件满足招标文件全部实质性要求，且投标报价最低的投标人为中标候选人的评标方法。</w:t>
      </w:r>
    </w:p>
    <w:p w14:paraId="7E0B60C9">
      <w:pPr>
        <w:pStyle w:val="4"/>
        <w:keepNext w:val="0"/>
        <w:keepLines w:val="0"/>
        <w:jc w:val="center"/>
        <w:rPr>
          <w:sz w:val="30"/>
          <w:szCs w:val="30"/>
        </w:rPr>
      </w:pPr>
      <w:r>
        <w:rPr>
          <w:rFonts w:hint="eastAsia"/>
          <w:sz w:val="30"/>
          <w:szCs w:val="30"/>
        </w:rPr>
        <w:t>二、评标程序</w:t>
      </w:r>
    </w:p>
    <w:p w14:paraId="158CF170">
      <w:pPr>
        <w:pStyle w:val="6"/>
        <w:keepNext w:val="0"/>
        <w:keepLines w:val="0"/>
        <w:spacing w:before="0" w:after="0" w:line="360" w:lineRule="auto"/>
        <w:ind w:left="420" w:leftChars="200"/>
        <w:rPr>
          <w:rFonts w:hint="eastAsia" w:ascii="宋体" w:hAnsi="宋体"/>
          <w:sz w:val="21"/>
          <w:szCs w:val="21"/>
        </w:rPr>
      </w:pPr>
      <w:r>
        <w:rPr>
          <w:rFonts w:hint="eastAsia" w:ascii="宋体" w:hAnsi="宋体"/>
          <w:sz w:val="21"/>
          <w:szCs w:val="21"/>
        </w:rPr>
        <w:t>1.符合性审查</w:t>
      </w:r>
    </w:p>
    <w:p w14:paraId="5B171740">
      <w:pPr>
        <w:pStyle w:val="17"/>
        <w:snapToGrid w:val="0"/>
        <w:spacing w:line="360" w:lineRule="auto"/>
        <w:ind w:left="1" w:firstLine="420"/>
        <w:rPr>
          <w:rFonts w:hint="eastAsia" w:hAnsi="宋体"/>
          <w:b/>
          <w:kern w:val="2"/>
          <w:sz w:val="21"/>
        </w:rPr>
      </w:pPr>
      <w:r>
        <w:rPr>
          <w:rFonts w:hint="eastAsia" w:hAnsi="宋体"/>
          <w:b/>
          <w:kern w:val="2"/>
          <w:sz w:val="21"/>
        </w:rPr>
        <w:t>评标委员会应当对符合资格的投标人的投标文件进行投标报价、商务、技术等实质性内容符合性审查，以确定其是否满足招标文件的实质性要求。</w:t>
      </w:r>
    </w:p>
    <w:p w14:paraId="1FE3C99E">
      <w:pPr>
        <w:pStyle w:val="6"/>
        <w:keepNext w:val="0"/>
        <w:keepLines w:val="0"/>
        <w:spacing w:before="0" w:after="0" w:line="360" w:lineRule="auto"/>
        <w:ind w:left="420" w:leftChars="200"/>
        <w:rPr>
          <w:rFonts w:hint="eastAsia" w:ascii="宋体" w:hAnsi="宋体"/>
          <w:sz w:val="21"/>
          <w:szCs w:val="21"/>
        </w:rPr>
      </w:pPr>
      <w:r>
        <w:rPr>
          <w:rFonts w:hint="eastAsia" w:ascii="宋体" w:hAnsi="宋体"/>
          <w:sz w:val="21"/>
          <w:szCs w:val="21"/>
        </w:rPr>
        <w:t>2</w:t>
      </w:r>
      <w:r>
        <w:rPr>
          <w:rFonts w:ascii="宋体" w:hAnsi="宋体"/>
          <w:sz w:val="21"/>
          <w:szCs w:val="21"/>
        </w:rPr>
        <w:t>.</w:t>
      </w:r>
      <w:r>
        <w:rPr>
          <w:rFonts w:hint="eastAsia" w:ascii="宋体" w:hAnsi="宋体"/>
          <w:sz w:val="21"/>
          <w:szCs w:val="21"/>
        </w:rPr>
        <w:t>符合性审查不通过而导致投标无效的情形</w:t>
      </w:r>
    </w:p>
    <w:p w14:paraId="00BA844D">
      <w:pPr>
        <w:snapToGrid w:val="0"/>
        <w:spacing w:line="360" w:lineRule="auto"/>
        <w:ind w:firstLine="422" w:firstLineChars="200"/>
        <w:rPr>
          <w:rFonts w:hint="eastAsia" w:ascii="宋体" w:hAnsi="宋体"/>
          <w:b/>
          <w:szCs w:val="21"/>
        </w:rPr>
      </w:pPr>
      <w:r>
        <w:rPr>
          <w:rFonts w:hint="eastAsia" w:ascii="宋体" w:hAnsi="宋体"/>
          <w:b/>
          <w:szCs w:val="21"/>
        </w:rPr>
        <w:t>投标人的投标文件中存在对招标文件的任何实质性要求和条件的负偏离，将被视为投标无效。</w:t>
      </w:r>
    </w:p>
    <w:p w14:paraId="0E721F8B">
      <w:pPr>
        <w:pStyle w:val="6"/>
        <w:keepNext w:val="0"/>
        <w:keepLines w:val="0"/>
        <w:spacing w:before="0" w:after="0" w:line="360" w:lineRule="auto"/>
        <w:ind w:left="420" w:leftChars="200"/>
        <w:rPr>
          <w:rFonts w:hint="eastAsia" w:ascii="宋体" w:hAnsi="宋体"/>
          <w:sz w:val="21"/>
          <w:szCs w:val="21"/>
        </w:rPr>
      </w:pPr>
      <w:r>
        <w:rPr>
          <w:rFonts w:hint="eastAsia" w:ascii="宋体" w:hAnsi="宋体"/>
          <w:sz w:val="21"/>
          <w:szCs w:val="21"/>
        </w:rPr>
        <w:t>2.1在报价评审时，如发现下列情形之一的，将被视为投标无效：</w:t>
      </w:r>
    </w:p>
    <w:p w14:paraId="4B30D95C">
      <w:pPr>
        <w:pStyle w:val="7"/>
        <w:numPr>
          <w:ilvl w:val="0"/>
          <w:numId w:val="7"/>
        </w:numPr>
        <w:spacing w:line="360" w:lineRule="auto"/>
        <w:ind w:firstLine="422"/>
        <w:rPr>
          <w:rFonts w:hint="eastAsia" w:ascii="宋体" w:hAnsi="宋体"/>
          <w:b/>
          <w:szCs w:val="21"/>
        </w:rPr>
      </w:pPr>
      <w:r>
        <w:rPr>
          <w:rFonts w:hint="eastAsia" w:ascii="宋体" w:hAnsi="宋体"/>
          <w:b/>
          <w:spacing w:val="-6"/>
          <w:szCs w:val="21"/>
        </w:rPr>
        <w:t>报价文件</w:t>
      </w:r>
      <w:r>
        <w:rPr>
          <w:rFonts w:hint="eastAsia" w:ascii="宋体" w:hAnsi="宋体"/>
          <w:b/>
          <w:szCs w:val="21"/>
        </w:rPr>
        <w:t>未提供“投标人须知前附表”第13.1条规定中“必须提供”的文件资料的；</w:t>
      </w:r>
    </w:p>
    <w:p w14:paraId="2C0F76CD">
      <w:pPr>
        <w:pStyle w:val="7"/>
        <w:numPr>
          <w:ilvl w:val="0"/>
          <w:numId w:val="7"/>
        </w:numPr>
        <w:spacing w:line="360" w:lineRule="auto"/>
        <w:ind w:firstLine="422"/>
        <w:rPr>
          <w:rFonts w:hint="eastAsia" w:ascii="宋体" w:hAnsi="宋体"/>
          <w:b/>
          <w:szCs w:val="21"/>
        </w:rPr>
      </w:pPr>
      <w:r>
        <w:rPr>
          <w:rFonts w:hint="eastAsia" w:ascii="宋体" w:hAnsi="宋体"/>
          <w:b/>
          <w:szCs w:val="21"/>
        </w:rPr>
        <w:t>未采用人民币报价或者未按照招标文件标明的币种报价的；</w:t>
      </w:r>
    </w:p>
    <w:p w14:paraId="684D667E">
      <w:pPr>
        <w:pStyle w:val="7"/>
        <w:numPr>
          <w:ilvl w:val="0"/>
          <w:numId w:val="7"/>
        </w:numPr>
        <w:spacing w:line="360" w:lineRule="auto"/>
        <w:ind w:firstLine="422"/>
        <w:rPr>
          <w:rFonts w:hint="eastAsia" w:ascii="宋体" w:hAnsi="宋体"/>
          <w:b/>
          <w:szCs w:val="21"/>
        </w:rPr>
      </w:pPr>
      <w:r>
        <w:rPr>
          <w:rFonts w:hint="eastAsia" w:ascii="宋体" w:hAnsi="宋体"/>
          <w:b/>
          <w:szCs w:val="21"/>
        </w:rPr>
        <w:t>报价超出招标文件相应规定最高限价，或者超出相应采购预算金额的；</w:t>
      </w:r>
    </w:p>
    <w:p w14:paraId="7C61EFAC">
      <w:pPr>
        <w:pStyle w:val="7"/>
        <w:numPr>
          <w:ilvl w:val="0"/>
          <w:numId w:val="7"/>
        </w:numPr>
        <w:spacing w:line="360" w:lineRule="auto"/>
        <w:ind w:firstLine="422"/>
        <w:rPr>
          <w:rFonts w:hint="eastAsia" w:ascii="宋体" w:hAnsi="宋体"/>
          <w:b/>
          <w:szCs w:val="21"/>
        </w:rPr>
      </w:pPr>
      <w:r>
        <w:rPr>
          <w:rFonts w:hint="eastAsia" w:ascii="宋体" w:hAnsi="宋体"/>
          <w:b/>
          <w:szCs w:val="21"/>
        </w:rPr>
        <w:t>投标人未就所投项目或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54349C02">
      <w:pPr>
        <w:pStyle w:val="7"/>
        <w:numPr>
          <w:ilvl w:val="0"/>
          <w:numId w:val="7"/>
        </w:numPr>
        <w:spacing w:line="360" w:lineRule="auto"/>
        <w:ind w:firstLine="422"/>
        <w:rPr>
          <w:rFonts w:hint="eastAsia" w:ascii="宋体" w:hAnsi="宋体"/>
          <w:b/>
          <w:szCs w:val="21"/>
        </w:rPr>
      </w:pPr>
      <w:r>
        <w:rPr>
          <w:rFonts w:hint="eastAsia" w:ascii="宋体" w:hAnsi="宋体"/>
          <w:b/>
          <w:szCs w:val="21"/>
        </w:rPr>
        <w:t>修正后的报价，投标人不确认的；</w:t>
      </w:r>
    </w:p>
    <w:p w14:paraId="0151E2C1">
      <w:pPr>
        <w:pStyle w:val="7"/>
        <w:numPr>
          <w:ilvl w:val="0"/>
          <w:numId w:val="7"/>
        </w:numPr>
        <w:spacing w:line="360" w:lineRule="auto"/>
        <w:ind w:firstLine="422"/>
        <w:rPr>
          <w:rFonts w:hint="eastAsia" w:ascii="宋体" w:hAnsi="宋体"/>
          <w:b/>
          <w:szCs w:val="21"/>
        </w:rPr>
      </w:pPr>
      <w:r>
        <w:rPr>
          <w:rFonts w:hint="eastAsia" w:ascii="宋体" w:hAnsi="宋体"/>
          <w:b/>
          <w:szCs w:val="21"/>
        </w:rPr>
        <w:t>投标人属于本章第</w:t>
      </w:r>
      <w:r>
        <w:rPr>
          <w:rFonts w:ascii="宋体" w:hAnsi="宋体"/>
          <w:b/>
          <w:szCs w:val="21"/>
        </w:rPr>
        <w:t>5.1</w:t>
      </w:r>
      <w:r>
        <w:rPr>
          <w:rFonts w:hint="eastAsia" w:ascii="宋体" w:hAnsi="宋体"/>
          <w:b/>
          <w:szCs w:val="21"/>
        </w:rPr>
        <w:t>条（2）或者第5</w:t>
      </w:r>
      <w:r>
        <w:rPr>
          <w:rFonts w:ascii="宋体" w:hAnsi="宋体"/>
          <w:b/>
          <w:szCs w:val="21"/>
        </w:rPr>
        <w:t>.2条</w:t>
      </w:r>
      <w:r>
        <w:rPr>
          <w:rFonts w:hint="eastAsia" w:ascii="宋体" w:hAnsi="宋体"/>
          <w:b/>
          <w:szCs w:val="21"/>
        </w:rPr>
        <w:t>（2）项情形的；</w:t>
      </w:r>
    </w:p>
    <w:p w14:paraId="3D74BA6A">
      <w:pPr>
        <w:pStyle w:val="7"/>
        <w:numPr>
          <w:ilvl w:val="0"/>
          <w:numId w:val="7"/>
        </w:numPr>
        <w:spacing w:line="360" w:lineRule="auto"/>
        <w:ind w:firstLine="422"/>
        <w:rPr>
          <w:rFonts w:hint="eastAsia" w:ascii="宋体" w:hAnsi="宋体"/>
          <w:b/>
          <w:szCs w:val="21"/>
        </w:rPr>
      </w:pPr>
      <w:r>
        <w:rPr>
          <w:rFonts w:hint="eastAsia" w:ascii="宋体" w:hAnsi="宋体"/>
          <w:b/>
          <w:spacing w:val="-6"/>
          <w:szCs w:val="21"/>
        </w:rPr>
        <w:t>报价文件</w:t>
      </w:r>
      <w:r>
        <w:rPr>
          <w:rFonts w:hint="eastAsia" w:ascii="宋体" w:hAnsi="宋体"/>
          <w:b/>
          <w:szCs w:val="21"/>
        </w:rPr>
        <w:t>响应的标的数量及单位与招标文件要求实质性不一致的。</w:t>
      </w:r>
    </w:p>
    <w:p w14:paraId="4220461B">
      <w:pPr>
        <w:pStyle w:val="6"/>
        <w:keepNext w:val="0"/>
        <w:keepLines w:val="0"/>
        <w:spacing w:before="0" w:after="0" w:line="360" w:lineRule="auto"/>
        <w:ind w:left="420" w:leftChars="200"/>
        <w:rPr>
          <w:rFonts w:hint="eastAsia" w:ascii="宋体" w:hAnsi="宋体"/>
          <w:sz w:val="21"/>
          <w:szCs w:val="21"/>
        </w:rPr>
      </w:pPr>
      <w:r>
        <w:rPr>
          <w:rFonts w:hint="eastAsia" w:ascii="宋体" w:hAnsi="宋体"/>
          <w:sz w:val="21"/>
          <w:szCs w:val="21"/>
        </w:rPr>
        <w:t>2.2在商务评审时，如发现下列情形之一的，将被视为投标无效：</w:t>
      </w:r>
    </w:p>
    <w:p w14:paraId="6B2E57B1">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投标文件未按招标文件要求签署、盖章的；</w:t>
      </w:r>
    </w:p>
    <w:p w14:paraId="6BE711FE">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委托代理人未能出具有效身份证或者出具的身份证与授权委托书中的信息不符的；</w:t>
      </w:r>
    </w:p>
    <w:p w14:paraId="1AAA1E4F">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为无效投标保证金的或者未按照招标文件的规定提交投标保证金的(要求提交投标保证金时)；</w:t>
      </w:r>
    </w:p>
    <w:p w14:paraId="0B5978DF">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投标文件未提供“投标人须知前附表”第13.</w:t>
      </w:r>
      <w:r>
        <w:rPr>
          <w:rFonts w:ascii="宋体" w:hAnsi="宋体"/>
          <w:b/>
          <w:szCs w:val="21"/>
        </w:rPr>
        <w:t>1</w:t>
      </w:r>
      <w:r>
        <w:rPr>
          <w:rFonts w:hint="eastAsia" w:ascii="宋体" w:hAnsi="宋体"/>
          <w:b/>
          <w:szCs w:val="21"/>
        </w:rPr>
        <w:t>条规定中“必须提供”或者“委托时必须提供”的文件资料的；</w:t>
      </w:r>
    </w:p>
    <w:p w14:paraId="027EB106">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商务要求评审允许负偏离的条款数超过“投标人须知前附表”规定项数的；</w:t>
      </w:r>
    </w:p>
    <w:p w14:paraId="5159D486">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投标文件的实质性内容未使用中文表述、使用计量单位不符合招标文件要求的；</w:t>
      </w:r>
    </w:p>
    <w:p w14:paraId="7E3AEC00">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投标文件中的文件资料因填写不齐全或者内容虚假或者出现其他情形而导致被评标委员会认定无效的；</w:t>
      </w:r>
    </w:p>
    <w:p w14:paraId="357CAC3E">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投标文件含有采购人不能接受的附加条件的；</w:t>
      </w:r>
    </w:p>
    <w:p w14:paraId="0AE8A443">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属于投标人须知正文第</w:t>
      </w:r>
      <w:r>
        <w:rPr>
          <w:rFonts w:ascii="宋体" w:hAnsi="宋体"/>
          <w:b/>
          <w:szCs w:val="21"/>
        </w:rPr>
        <w:t>9.2</w:t>
      </w:r>
      <w:r>
        <w:rPr>
          <w:rFonts w:hint="eastAsia" w:ascii="宋体" w:hAnsi="宋体"/>
          <w:b/>
          <w:szCs w:val="21"/>
        </w:rPr>
        <w:t>条情形的；</w:t>
      </w:r>
    </w:p>
    <w:p w14:paraId="19F25ABC">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投标文件标注的项目名称或者项目编号与招标文件标注的项目名称或者项目编号不一致的；</w:t>
      </w:r>
    </w:p>
    <w:p w14:paraId="018FA136">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招标文件明确不允许分包，投标文件拟分包的；</w:t>
      </w:r>
    </w:p>
    <w:p w14:paraId="7E284FF5">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未响应招标文件实质性要求的；</w:t>
      </w:r>
    </w:p>
    <w:p w14:paraId="6B9064CF">
      <w:pPr>
        <w:numPr>
          <w:ilvl w:val="0"/>
          <w:numId w:val="8"/>
        </w:numPr>
        <w:snapToGrid w:val="0"/>
        <w:spacing w:line="360" w:lineRule="auto"/>
        <w:ind w:firstLine="422" w:firstLineChars="200"/>
        <w:rPr>
          <w:rFonts w:hint="eastAsia" w:ascii="宋体" w:hAnsi="宋体"/>
          <w:b/>
          <w:szCs w:val="21"/>
        </w:rPr>
      </w:pPr>
      <w:r>
        <w:rPr>
          <w:rFonts w:hint="eastAsia" w:ascii="宋体" w:hAnsi="宋体"/>
          <w:b/>
          <w:szCs w:val="21"/>
        </w:rPr>
        <w:t>法律、法规和招标文件规定的其他无效情形。</w:t>
      </w:r>
    </w:p>
    <w:p w14:paraId="1D7859DB">
      <w:pPr>
        <w:pStyle w:val="6"/>
        <w:keepNext w:val="0"/>
        <w:keepLines w:val="0"/>
        <w:spacing w:before="0" w:after="0" w:line="360" w:lineRule="auto"/>
        <w:ind w:left="420" w:leftChars="200"/>
        <w:rPr>
          <w:rFonts w:hint="eastAsia" w:ascii="宋体" w:hAnsi="宋体"/>
          <w:sz w:val="21"/>
          <w:szCs w:val="21"/>
        </w:rPr>
      </w:pPr>
      <w:r>
        <w:rPr>
          <w:rFonts w:hint="eastAsia" w:ascii="宋体" w:hAnsi="宋体"/>
          <w:sz w:val="21"/>
          <w:szCs w:val="21"/>
        </w:rPr>
        <w:t>2.3在技术评审时，如发现下列情形之一的，将被视为投标无效：</w:t>
      </w:r>
    </w:p>
    <w:p w14:paraId="2D1BD564">
      <w:pPr>
        <w:pStyle w:val="15"/>
        <w:snapToGrid w:val="0"/>
        <w:spacing w:line="360" w:lineRule="auto"/>
        <w:ind w:firstLine="413" w:firstLineChars="196"/>
        <w:rPr>
          <w:rFonts w:hint="eastAsia" w:ascii="宋体" w:hAnsi="宋体" w:eastAsia="宋体"/>
          <w:b/>
          <w:kern w:val="2"/>
          <w:sz w:val="21"/>
          <w:szCs w:val="21"/>
        </w:rPr>
      </w:pPr>
      <w:r>
        <w:rPr>
          <w:rFonts w:hint="eastAsia" w:ascii="宋体" w:hAnsi="宋体" w:eastAsia="宋体"/>
          <w:b/>
          <w:kern w:val="2"/>
          <w:sz w:val="21"/>
          <w:szCs w:val="21"/>
        </w:rPr>
        <w:t>（1）技术要求评审允许负偏离的条款数超过“投标人须知前附表”规定项数的；</w:t>
      </w:r>
    </w:p>
    <w:p w14:paraId="1FD624F6">
      <w:pPr>
        <w:pStyle w:val="15"/>
        <w:snapToGrid w:val="0"/>
        <w:spacing w:line="360" w:lineRule="auto"/>
        <w:ind w:firstLine="413" w:firstLineChars="196"/>
        <w:rPr>
          <w:rFonts w:hint="eastAsia" w:ascii="宋体" w:hAnsi="宋体" w:eastAsia="宋体"/>
          <w:b/>
          <w:kern w:val="2"/>
          <w:sz w:val="21"/>
          <w:szCs w:val="21"/>
        </w:rPr>
      </w:pPr>
      <w:r>
        <w:rPr>
          <w:rFonts w:hint="eastAsia" w:ascii="宋体" w:hAnsi="宋体" w:eastAsia="宋体"/>
          <w:b/>
          <w:kern w:val="2"/>
          <w:sz w:val="21"/>
          <w:szCs w:val="21"/>
        </w:rPr>
        <w:t>（2）投标文件未提供“投标人须知前附表”第13.</w:t>
      </w:r>
      <w:r>
        <w:rPr>
          <w:rFonts w:ascii="宋体" w:hAnsi="宋体" w:eastAsia="宋体"/>
          <w:b/>
          <w:kern w:val="2"/>
          <w:sz w:val="21"/>
          <w:szCs w:val="21"/>
        </w:rPr>
        <w:t>1</w:t>
      </w:r>
      <w:r>
        <w:rPr>
          <w:rFonts w:hint="eastAsia" w:ascii="宋体" w:hAnsi="宋体" w:eastAsia="宋体"/>
          <w:b/>
          <w:kern w:val="2"/>
          <w:sz w:val="21"/>
          <w:szCs w:val="21"/>
        </w:rPr>
        <w:t>条规定中“必须提供”的文件资料的；</w:t>
      </w:r>
    </w:p>
    <w:p w14:paraId="7554BDB7">
      <w:pPr>
        <w:pStyle w:val="15"/>
        <w:snapToGrid w:val="0"/>
        <w:spacing w:line="360" w:lineRule="auto"/>
        <w:ind w:firstLine="413" w:firstLineChars="196"/>
        <w:rPr>
          <w:rFonts w:hint="eastAsia" w:ascii="宋体" w:hAnsi="宋体" w:eastAsia="宋体"/>
          <w:b/>
          <w:kern w:val="2"/>
          <w:sz w:val="21"/>
          <w:szCs w:val="21"/>
        </w:rPr>
      </w:pPr>
      <w:r>
        <w:rPr>
          <w:rFonts w:hint="eastAsia" w:ascii="宋体" w:hAnsi="宋体" w:eastAsia="宋体"/>
          <w:b/>
          <w:kern w:val="2"/>
          <w:sz w:val="21"/>
          <w:szCs w:val="21"/>
        </w:rPr>
        <w:t>（3）虚假投标，或者出现其他情形而导致被评标委员会认定无效的；</w:t>
      </w:r>
    </w:p>
    <w:p w14:paraId="4EFF1934">
      <w:pPr>
        <w:pStyle w:val="15"/>
        <w:snapToGrid w:val="0"/>
        <w:spacing w:line="360" w:lineRule="auto"/>
        <w:ind w:firstLine="413" w:firstLineChars="196"/>
        <w:rPr>
          <w:rFonts w:hint="eastAsia" w:ascii="宋体" w:hAnsi="宋体" w:eastAsia="宋体"/>
          <w:b/>
          <w:kern w:val="2"/>
          <w:sz w:val="21"/>
          <w:szCs w:val="21"/>
        </w:rPr>
      </w:pPr>
      <w:r>
        <w:rPr>
          <w:rFonts w:hint="eastAsia" w:ascii="宋体" w:hAnsi="宋体" w:eastAsia="宋体"/>
          <w:b/>
          <w:kern w:val="2"/>
          <w:sz w:val="21"/>
          <w:szCs w:val="21"/>
        </w:rPr>
        <w:t>（4）</w:t>
      </w:r>
      <w:bookmarkStart w:id="142" w:name="_Hlk71706244"/>
      <w:r>
        <w:rPr>
          <w:rFonts w:hint="eastAsia" w:ascii="宋体" w:hAnsi="宋体" w:eastAsia="宋体"/>
          <w:b/>
          <w:kern w:val="2"/>
          <w:sz w:val="21"/>
          <w:szCs w:val="21"/>
        </w:rPr>
        <w:t>招标文件未载明允许提供备选（替代）投标方案或明确不允许提供备选（替代）投标方案时，投标人提供了备选（替代）投标方案的；</w:t>
      </w:r>
      <w:bookmarkEnd w:id="142"/>
    </w:p>
    <w:p w14:paraId="2B76C652">
      <w:pPr>
        <w:pStyle w:val="15"/>
        <w:snapToGrid w:val="0"/>
        <w:spacing w:line="360" w:lineRule="auto"/>
        <w:ind w:firstLine="413" w:firstLineChars="196"/>
        <w:rPr>
          <w:rFonts w:hint="eastAsia" w:ascii="宋体" w:hAnsi="宋体" w:eastAsia="宋体"/>
          <w:b/>
          <w:kern w:val="2"/>
          <w:sz w:val="21"/>
          <w:szCs w:val="21"/>
        </w:rPr>
      </w:pPr>
      <w:r>
        <w:rPr>
          <w:rFonts w:hint="eastAsia" w:ascii="宋体" w:hAnsi="宋体" w:eastAsia="宋体"/>
          <w:b/>
          <w:kern w:val="2"/>
          <w:sz w:val="21"/>
          <w:szCs w:val="21"/>
        </w:rPr>
        <w:t>（5）未响应招标文件实质性要求的。</w:t>
      </w:r>
    </w:p>
    <w:p w14:paraId="06A2F6E2">
      <w:pPr>
        <w:pStyle w:val="15"/>
        <w:snapToGrid w:val="0"/>
        <w:spacing w:line="360" w:lineRule="auto"/>
        <w:ind w:firstLine="413" w:firstLineChars="196"/>
        <w:rPr>
          <w:rFonts w:hint="eastAsia" w:ascii="宋体" w:hAnsi="宋体" w:eastAsia="宋体"/>
          <w:b/>
          <w:kern w:val="2"/>
          <w:sz w:val="21"/>
          <w:szCs w:val="21"/>
        </w:rPr>
      </w:pPr>
      <w:r>
        <w:rPr>
          <w:rFonts w:hint="eastAsia" w:ascii="宋体" w:hAnsi="宋体" w:eastAsia="宋体"/>
          <w:b/>
          <w:kern w:val="2"/>
          <w:sz w:val="21"/>
          <w:szCs w:val="21"/>
        </w:rPr>
        <w:t>2.4通过符合性审查的投标人不足3家，评标委员会不得继续评标，并出具评标报告。</w:t>
      </w:r>
    </w:p>
    <w:p w14:paraId="34E5ED55">
      <w:pPr>
        <w:pStyle w:val="6"/>
        <w:keepNext w:val="0"/>
        <w:keepLines w:val="0"/>
        <w:spacing w:before="0" w:after="0" w:line="360" w:lineRule="auto"/>
        <w:ind w:left="420" w:leftChars="200"/>
        <w:rPr>
          <w:rFonts w:hint="eastAsia" w:ascii="宋体" w:hAnsi="宋体"/>
          <w:sz w:val="21"/>
          <w:szCs w:val="21"/>
        </w:rPr>
      </w:pPr>
      <w:r>
        <w:rPr>
          <w:rFonts w:hint="eastAsia" w:ascii="宋体" w:hAnsi="宋体"/>
          <w:sz w:val="21"/>
          <w:szCs w:val="21"/>
        </w:rPr>
        <w:t>3</w:t>
      </w:r>
      <w:r>
        <w:rPr>
          <w:rFonts w:ascii="宋体" w:hAnsi="宋体"/>
          <w:sz w:val="21"/>
          <w:szCs w:val="21"/>
        </w:rPr>
        <w:t>.</w:t>
      </w:r>
      <w:r>
        <w:rPr>
          <w:rFonts w:hint="eastAsia" w:ascii="宋体" w:hAnsi="宋体"/>
          <w:sz w:val="21"/>
          <w:szCs w:val="21"/>
        </w:rPr>
        <w:t>澄清补正</w:t>
      </w:r>
    </w:p>
    <w:p w14:paraId="73CE9650">
      <w:pPr>
        <w:snapToGrid w:val="0"/>
        <w:spacing w:line="360" w:lineRule="auto"/>
        <w:ind w:firstLine="420" w:firstLineChars="200"/>
        <w:rPr>
          <w:rFonts w:hint="eastAsia" w:ascii="宋体" w:hAnsi="宋体" w:cs="Courier New"/>
          <w:szCs w:val="21"/>
        </w:rPr>
      </w:pPr>
      <w:r>
        <w:rPr>
          <w:rFonts w:hint="eastAsia" w:ascii="宋体" w:hAnsi="宋体" w:cs="Courier New"/>
          <w:szCs w:val="21"/>
        </w:rPr>
        <w:t>对投标文件中含义不明确、同类问题表述不一致或者有明显文字和计算错误的内容，评标委员会以</w:t>
      </w:r>
      <w:r>
        <w:rPr>
          <w:rFonts w:hint="eastAsia" w:ascii="宋体" w:hAnsi="宋体" w:cs="宋体"/>
          <w:szCs w:val="21"/>
        </w:rPr>
        <w:t>电子澄清函形式</w:t>
      </w:r>
      <w:r>
        <w:rPr>
          <w:rFonts w:hint="eastAsia" w:ascii="宋体" w:hAnsi="宋体" w:cs="Courier New"/>
          <w:szCs w:val="21"/>
        </w:rPr>
        <w:t>要求投标人在规定时间内作出必要的澄清、说明或者纠正。投标人的澄清、说明或者补正必须采用</w:t>
      </w:r>
      <w:r>
        <w:rPr>
          <w:rFonts w:hint="eastAsia" w:ascii="宋体" w:hAnsi="宋体" w:cs="宋体"/>
          <w:szCs w:val="21"/>
        </w:rPr>
        <w:t>电子回函形式</w:t>
      </w:r>
      <w:r>
        <w:rPr>
          <w:rFonts w:hint="eastAsia" w:ascii="宋体" w:hAnsi="宋体" w:cs="Courier New"/>
          <w:szCs w:val="21"/>
        </w:rPr>
        <w:t>，并加盖投标人公章，或者由法定代表人或者其授权的代表签字。投标人的澄清、说明或者补正不得超出投标文件的范围或者改变投标文件的实质性内容。</w:t>
      </w:r>
    </w:p>
    <w:p w14:paraId="5769835B">
      <w:pPr>
        <w:pStyle w:val="6"/>
        <w:keepNext w:val="0"/>
        <w:keepLines w:val="0"/>
        <w:spacing w:before="0" w:after="0" w:line="360" w:lineRule="auto"/>
        <w:ind w:left="420" w:leftChars="200"/>
        <w:rPr>
          <w:rFonts w:hint="eastAsia" w:ascii="宋体" w:hAnsi="宋体"/>
          <w:sz w:val="21"/>
          <w:szCs w:val="21"/>
        </w:rPr>
      </w:pPr>
      <w:r>
        <w:rPr>
          <w:rFonts w:ascii="宋体" w:hAnsi="宋体"/>
          <w:sz w:val="21"/>
          <w:szCs w:val="21"/>
        </w:rPr>
        <w:t>4.</w:t>
      </w:r>
      <w:r>
        <w:rPr>
          <w:rFonts w:hint="eastAsia" w:ascii="宋体" w:hAnsi="宋体"/>
          <w:sz w:val="21"/>
          <w:szCs w:val="21"/>
        </w:rPr>
        <w:t>投标文件修正</w:t>
      </w:r>
    </w:p>
    <w:p w14:paraId="05E1237D">
      <w:pPr>
        <w:pStyle w:val="6"/>
        <w:keepNext w:val="0"/>
        <w:keepLines w:val="0"/>
        <w:spacing w:before="0" w:after="0" w:line="360" w:lineRule="auto"/>
        <w:ind w:left="420" w:leftChars="200"/>
        <w:rPr>
          <w:rFonts w:hint="eastAsia" w:ascii="宋体" w:hAnsi="宋体"/>
          <w:b w:val="0"/>
          <w:sz w:val="21"/>
          <w:szCs w:val="21"/>
        </w:rPr>
      </w:pPr>
      <w:r>
        <w:rPr>
          <w:rFonts w:ascii="宋体" w:hAnsi="宋体"/>
          <w:b w:val="0"/>
          <w:sz w:val="21"/>
          <w:szCs w:val="21"/>
        </w:rPr>
        <w:t>4</w:t>
      </w:r>
      <w:r>
        <w:rPr>
          <w:rFonts w:hint="eastAsia" w:ascii="宋体" w:hAnsi="宋体"/>
          <w:b w:val="0"/>
          <w:sz w:val="21"/>
          <w:szCs w:val="21"/>
        </w:rPr>
        <w:t xml:space="preserve">.1投标文件报价出现前后不一致的，按照下列规定修正： </w:t>
      </w:r>
    </w:p>
    <w:p w14:paraId="291B1554">
      <w:pPr>
        <w:pStyle w:val="17"/>
        <w:snapToGrid w:val="0"/>
        <w:spacing w:line="360" w:lineRule="auto"/>
        <w:ind w:firstLine="420" w:firstLineChars="200"/>
        <w:rPr>
          <w:rFonts w:hint="eastAsia" w:hAnsi="宋体"/>
          <w:sz w:val="21"/>
        </w:rPr>
      </w:pPr>
      <w:r>
        <w:rPr>
          <w:rFonts w:hint="eastAsia" w:hAnsi="宋体"/>
          <w:sz w:val="21"/>
        </w:rPr>
        <w:t>（1）投标文件中开标一览表（报价表）内容与投标文件中相应内容不一致的，以开标一览表（报价表）为准；</w:t>
      </w:r>
    </w:p>
    <w:p w14:paraId="0F0E03B9">
      <w:pPr>
        <w:pStyle w:val="17"/>
        <w:snapToGrid w:val="0"/>
        <w:spacing w:line="360" w:lineRule="auto"/>
        <w:ind w:firstLine="420" w:firstLineChars="200"/>
        <w:rPr>
          <w:rFonts w:hint="eastAsia" w:hAnsi="宋体"/>
          <w:sz w:val="21"/>
        </w:rPr>
      </w:pPr>
      <w:r>
        <w:rPr>
          <w:rFonts w:hint="eastAsia" w:hAnsi="宋体"/>
          <w:sz w:val="21"/>
        </w:rPr>
        <w:t>（2）大写金额和小写金额不一致的，以大写金额为准；</w:t>
      </w:r>
    </w:p>
    <w:p w14:paraId="27B17945">
      <w:pPr>
        <w:pStyle w:val="17"/>
        <w:snapToGrid w:val="0"/>
        <w:spacing w:line="360" w:lineRule="auto"/>
        <w:ind w:firstLine="420" w:firstLineChars="200"/>
        <w:rPr>
          <w:rFonts w:hint="eastAsia" w:hAnsi="宋体"/>
          <w:sz w:val="21"/>
        </w:rPr>
      </w:pPr>
      <w:r>
        <w:rPr>
          <w:rFonts w:hint="eastAsia" w:hAnsi="宋体"/>
          <w:sz w:val="21"/>
        </w:rPr>
        <w:t>（3）单价金额小数点或者百分比有明显错位的，以开标一览表的总价为准，并修改单价；</w:t>
      </w:r>
    </w:p>
    <w:p w14:paraId="5E861439">
      <w:pPr>
        <w:pStyle w:val="17"/>
        <w:snapToGrid w:val="0"/>
        <w:spacing w:line="360" w:lineRule="auto"/>
        <w:ind w:firstLine="420" w:firstLineChars="200"/>
        <w:rPr>
          <w:rFonts w:hint="eastAsia" w:hAnsi="宋体"/>
          <w:sz w:val="21"/>
        </w:rPr>
      </w:pPr>
      <w:r>
        <w:rPr>
          <w:rFonts w:hint="eastAsia" w:hAnsi="宋体"/>
          <w:sz w:val="21"/>
        </w:rPr>
        <w:t>（4）总价金额与按单价汇总金额不一致的，以单价金额计算结果为准。</w:t>
      </w:r>
    </w:p>
    <w:p w14:paraId="58C2A579">
      <w:pPr>
        <w:pStyle w:val="17"/>
        <w:snapToGrid w:val="0"/>
        <w:spacing w:line="360" w:lineRule="auto"/>
        <w:ind w:firstLine="420" w:firstLineChars="200"/>
        <w:rPr>
          <w:rFonts w:hint="eastAsia" w:hAnsi="宋体"/>
          <w:sz w:val="21"/>
        </w:rPr>
      </w:pPr>
      <w:r>
        <w:rPr>
          <w:rFonts w:hint="eastAsia" w:hAnsi="宋体"/>
          <w:sz w:val="21"/>
        </w:rPr>
        <w:t>同时出现两种以上不一致的，按照以上（1）-（4）规定的顺序修正。修正后的报价经投标人确认后产生约束力，投标人不确认的，</w:t>
      </w:r>
      <w:r>
        <w:rPr>
          <w:rFonts w:hint="eastAsia" w:hAnsi="宋体"/>
          <w:b/>
          <w:kern w:val="2"/>
          <w:sz w:val="21"/>
        </w:rPr>
        <w:t>其投标无效</w:t>
      </w:r>
      <w:r>
        <w:rPr>
          <w:rFonts w:hint="eastAsia" w:hAnsi="宋体"/>
          <w:sz w:val="21"/>
        </w:rPr>
        <w:t>。</w:t>
      </w:r>
    </w:p>
    <w:p w14:paraId="3E52F9D6">
      <w:pPr>
        <w:pStyle w:val="6"/>
        <w:keepNext w:val="0"/>
        <w:keepLines w:val="0"/>
        <w:spacing w:before="0" w:after="0" w:line="360" w:lineRule="auto"/>
        <w:rPr>
          <w:rFonts w:hint="eastAsia" w:ascii="宋体" w:hAnsi="宋体"/>
          <w:b w:val="0"/>
          <w:sz w:val="21"/>
          <w:szCs w:val="21"/>
        </w:rPr>
      </w:pPr>
      <w:r>
        <w:rPr>
          <w:rFonts w:ascii="宋体" w:hAnsi="宋体"/>
          <w:b w:val="0"/>
          <w:sz w:val="21"/>
          <w:szCs w:val="21"/>
        </w:rPr>
        <w:t xml:space="preserve">    4</w:t>
      </w:r>
      <w:r>
        <w:rPr>
          <w:rFonts w:hint="eastAsia" w:ascii="宋体" w:hAnsi="宋体"/>
          <w:b w:val="0"/>
          <w:sz w:val="21"/>
          <w:szCs w:val="21"/>
        </w:rPr>
        <w:t>.2经投标人确认修正后的报价若超过采购预算金额或者最高限价，</w:t>
      </w:r>
      <w:r>
        <w:rPr>
          <w:rFonts w:hint="eastAsia" w:ascii="宋体" w:hAnsi="宋体"/>
          <w:sz w:val="21"/>
          <w:szCs w:val="21"/>
        </w:rPr>
        <w:t>投标人的投标文件作无效投标处理</w:t>
      </w:r>
      <w:r>
        <w:rPr>
          <w:rFonts w:hint="eastAsia" w:ascii="宋体" w:hAnsi="宋体"/>
          <w:b w:val="0"/>
          <w:sz w:val="21"/>
          <w:szCs w:val="21"/>
        </w:rPr>
        <w:t>。</w:t>
      </w:r>
    </w:p>
    <w:p w14:paraId="10474948">
      <w:pPr>
        <w:snapToGrid w:val="0"/>
        <w:spacing w:line="360" w:lineRule="auto"/>
        <w:ind w:firstLine="420" w:firstLineChars="200"/>
        <w:rPr>
          <w:rFonts w:hint="eastAsia" w:ascii="宋体" w:hAnsi="宋体"/>
          <w:szCs w:val="21"/>
        </w:rPr>
      </w:pPr>
      <w:r>
        <w:rPr>
          <w:rFonts w:ascii="宋体" w:hAnsi="宋体"/>
          <w:szCs w:val="21"/>
        </w:rPr>
        <w:t>4</w:t>
      </w:r>
      <w:r>
        <w:rPr>
          <w:rFonts w:hint="eastAsia" w:ascii="宋体" w:hAnsi="宋体"/>
          <w:szCs w:val="21"/>
        </w:rPr>
        <w:t>.3经投标人确认修正后的报价作为签订合同的依据，并以此报价计算价格分。</w:t>
      </w:r>
    </w:p>
    <w:p w14:paraId="19D30E06">
      <w:pPr>
        <w:pStyle w:val="6"/>
        <w:keepNext w:val="0"/>
        <w:keepLines w:val="0"/>
        <w:spacing w:before="0" w:after="0" w:line="360" w:lineRule="auto"/>
        <w:ind w:left="420" w:leftChars="200"/>
        <w:rPr>
          <w:rFonts w:hint="eastAsia" w:ascii="宋体" w:hAnsi="宋体"/>
          <w:sz w:val="21"/>
          <w:szCs w:val="21"/>
        </w:rPr>
      </w:pPr>
      <w:r>
        <w:rPr>
          <w:rFonts w:ascii="宋体" w:hAnsi="宋体"/>
          <w:sz w:val="21"/>
          <w:szCs w:val="21"/>
        </w:rPr>
        <w:t>5.</w:t>
      </w:r>
      <w:r>
        <w:rPr>
          <w:rFonts w:hint="eastAsia" w:ascii="宋体" w:hAnsi="宋体"/>
          <w:sz w:val="21"/>
          <w:szCs w:val="21"/>
        </w:rPr>
        <w:t>比较与评价</w:t>
      </w:r>
    </w:p>
    <w:p w14:paraId="50CDBEDD">
      <w:pPr>
        <w:snapToGrid w:val="0"/>
        <w:spacing w:line="360" w:lineRule="auto"/>
        <w:ind w:firstLine="420" w:firstLineChars="200"/>
        <w:rPr>
          <w:rFonts w:hint="eastAsia" w:ascii="宋体" w:hAnsi="宋体"/>
          <w:szCs w:val="21"/>
        </w:rPr>
      </w:pPr>
      <w:r>
        <w:rPr>
          <w:rFonts w:hint="eastAsia" w:ascii="宋体" w:hAnsi="宋体"/>
          <w:szCs w:val="21"/>
        </w:rPr>
        <w:t>5.1采用综合评分法的</w:t>
      </w:r>
    </w:p>
    <w:p w14:paraId="00201774">
      <w:pPr>
        <w:snapToGrid w:val="0"/>
        <w:spacing w:line="360" w:lineRule="auto"/>
        <w:ind w:firstLine="420" w:firstLineChars="200"/>
        <w:rPr>
          <w:rFonts w:hint="eastAsia" w:ascii="宋体" w:hAnsi="宋体"/>
          <w:szCs w:val="21"/>
        </w:rPr>
      </w:pPr>
      <w:r>
        <w:rPr>
          <w:rFonts w:hint="eastAsia" w:ascii="宋体" w:hAnsi="宋体"/>
          <w:szCs w:val="21"/>
        </w:rPr>
        <w:t>（1）评标委员会按照招标文件中规定的评标方法及评标标准，对符合性审查合格的投标文件进行商务和技术评估，综合比较与评价。</w:t>
      </w:r>
    </w:p>
    <w:p w14:paraId="6A307795">
      <w:pPr>
        <w:snapToGrid w:val="0"/>
        <w:spacing w:line="360" w:lineRule="auto"/>
        <w:ind w:firstLine="420" w:firstLineChars="200"/>
        <w:rPr>
          <w:rFonts w:hint="eastAsia" w:ascii="宋体" w:hAnsi="宋体"/>
          <w:szCs w:val="21"/>
        </w:rPr>
      </w:pPr>
      <w:r>
        <w:rPr>
          <w:rFonts w:hint="eastAsia" w:ascii="宋体" w:hAnsi="宋体"/>
          <w:szCs w:val="21"/>
        </w:rPr>
        <w:t>（2）评标委员会独立对每个投标人的投标文件进行评价，并汇总每个投标人的得分。</w:t>
      </w:r>
    </w:p>
    <w:p w14:paraId="6068830B">
      <w:pPr>
        <w:snapToGrid w:val="0"/>
        <w:spacing w:line="360" w:lineRule="auto"/>
        <w:ind w:firstLine="420" w:firstLineChars="200"/>
        <w:rPr>
          <w:rFonts w:hint="eastAsia" w:ascii="宋体" w:hAnsi="宋体"/>
          <w:szCs w:val="21"/>
        </w:rPr>
      </w:pPr>
      <w:r>
        <w:rPr>
          <w:rFonts w:hint="eastAsia" w:ascii="宋体" w:hAnsi="宋体"/>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szCs w:val="21"/>
        </w:rPr>
        <w:t>投标人不能证明其报价合理性的，评标委员会将其作为无效投标处理</w:t>
      </w:r>
      <w:r>
        <w:rPr>
          <w:rFonts w:hint="eastAsia" w:ascii="宋体" w:hAnsi="宋体"/>
          <w:szCs w:val="21"/>
        </w:rPr>
        <w:t>。</w:t>
      </w:r>
    </w:p>
    <w:p w14:paraId="24782526">
      <w:pPr>
        <w:snapToGrid w:val="0"/>
        <w:spacing w:line="360" w:lineRule="auto"/>
        <w:ind w:firstLine="420" w:firstLineChars="200"/>
        <w:rPr>
          <w:rFonts w:hint="eastAsia" w:ascii="宋体" w:hAnsi="宋体"/>
          <w:szCs w:val="21"/>
        </w:rPr>
      </w:pPr>
      <w:r>
        <w:rPr>
          <w:rFonts w:hint="eastAsia" w:ascii="宋体" w:hAnsi="宋体"/>
          <w:szCs w:val="21"/>
        </w:rPr>
        <w:t>（3）评标委员会按照招标文件中规定的评标方法和标准计算各投标人的报价得分。在计算过程中，不得去掉最高报价或者最低报价。</w:t>
      </w:r>
    </w:p>
    <w:p w14:paraId="3035E8B7">
      <w:pPr>
        <w:snapToGrid w:val="0"/>
        <w:spacing w:line="360" w:lineRule="auto"/>
        <w:ind w:firstLine="420" w:firstLineChars="200"/>
        <w:rPr>
          <w:rFonts w:hint="eastAsia" w:ascii="宋体" w:hAnsi="宋体"/>
          <w:szCs w:val="21"/>
        </w:rPr>
      </w:pPr>
      <w:r>
        <w:rPr>
          <w:rFonts w:hint="eastAsia" w:ascii="宋体" w:hAnsi="宋体"/>
          <w:szCs w:val="21"/>
        </w:rPr>
        <w:t>（4）各投标人的得分为所有评委的有效评分的算术平均数。</w:t>
      </w:r>
    </w:p>
    <w:p w14:paraId="1F2D7A04">
      <w:pPr>
        <w:snapToGrid w:val="0"/>
        <w:spacing w:line="360" w:lineRule="auto"/>
        <w:ind w:firstLine="420" w:firstLineChars="200"/>
        <w:rPr>
          <w:rFonts w:hint="eastAsia" w:ascii="宋体" w:hAnsi="宋体"/>
          <w:szCs w:val="21"/>
        </w:rPr>
      </w:pPr>
      <w:r>
        <w:rPr>
          <w:rFonts w:hint="eastAsia" w:ascii="宋体" w:hAnsi="宋体"/>
          <w:szCs w:val="21"/>
        </w:rPr>
        <w:t>（5）评标委员会按照招标文件中的规定推荐中标候选人。</w:t>
      </w:r>
    </w:p>
    <w:p w14:paraId="2EAEB482">
      <w:pPr>
        <w:snapToGrid w:val="0"/>
        <w:spacing w:line="360" w:lineRule="auto"/>
        <w:ind w:firstLine="420" w:firstLineChars="200"/>
        <w:rPr>
          <w:rFonts w:hint="eastAsia" w:ascii="宋体" w:hAnsi="宋体"/>
          <w:szCs w:val="21"/>
        </w:rPr>
      </w:pPr>
      <w:r>
        <w:rPr>
          <w:rFonts w:hint="eastAsia" w:ascii="宋体" w:hAnsi="宋体"/>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F4FBCE2">
      <w:pPr>
        <w:snapToGrid w:val="0"/>
        <w:spacing w:line="360" w:lineRule="auto"/>
        <w:ind w:firstLine="420" w:firstLineChars="200"/>
        <w:rPr>
          <w:rFonts w:hint="eastAsia" w:ascii="宋体" w:hAnsi="宋体"/>
          <w:szCs w:val="21"/>
        </w:rPr>
      </w:pPr>
      <w:r>
        <w:rPr>
          <w:rFonts w:hint="eastAsia" w:ascii="宋体" w:hAnsi="宋体"/>
          <w:szCs w:val="21"/>
        </w:rPr>
        <w:t>5.2采用</w:t>
      </w:r>
      <w:r>
        <w:rPr>
          <w:rFonts w:hint="eastAsia" w:hAnsi="宋体"/>
        </w:rPr>
        <w:t>最低评标价法</w:t>
      </w:r>
      <w:r>
        <w:rPr>
          <w:rFonts w:hint="eastAsia" w:ascii="宋体" w:hAnsi="宋体"/>
          <w:szCs w:val="21"/>
        </w:rPr>
        <w:t>的</w:t>
      </w:r>
    </w:p>
    <w:p w14:paraId="310E2C41">
      <w:pPr>
        <w:snapToGrid w:val="0"/>
        <w:spacing w:line="360" w:lineRule="auto"/>
        <w:ind w:firstLine="424" w:firstLineChars="202"/>
        <w:jc w:val="left"/>
        <w:rPr>
          <w:rFonts w:hint="eastAsia" w:ascii="宋体" w:hAnsi="宋体"/>
          <w:szCs w:val="21"/>
        </w:rPr>
      </w:pPr>
      <w:r>
        <w:rPr>
          <w:rFonts w:hint="eastAsia" w:ascii="宋体" w:hAnsi="宋体"/>
          <w:szCs w:val="21"/>
        </w:rPr>
        <w:t>（1）评标委员会按照招标文件中规定的评标方法及评标标准，对符合性审查合格的投标文件报价进行比较。</w:t>
      </w:r>
    </w:p>
    <w:p w14:paraId="07C480B9">
      <w:pPr>
        <w:snapToGrid w:val="0"/>
        <w:spacing w:line="360" w:lineRule="auto"/>
        <w:ind w:firstLine="399" w:firstLineChars="202"/>
        <w:jc w:val="left"/>
        <w:rPr>
          <w:rFonts w:hint="eastAsia" w:ascii="宋体" w:hAnsi="宋体"/>
          <w:spacing w:val="-6"/>
          <w:szCs w:val="21"/>
        </w:rPr>
      </w:pPr>
      <w:r>
        <w:rPr>
          <w:rFonts w:hint="eastAsia" w:ascii="宋体" w:hAnsi="宋体"/>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spacing w:val="-6"/>
          <w:szCs w:val="21"/>
        </w:rPr>
        <w:t>投标人不能证明其报价合理性的，评标委员会将其作为无效投标处理</w:t>
      </w:r>
      <w:r>
        <w:rPr>
          <w:rFonts w:hint="eastAsia" w:ascii="宋体" w:hAnsi="宋体"/>
          <w:spacing w:val="-6"/>
          <w:szCs w:val="21"/>
        </w:rPr>
        <w:t>。</w:t>
      </w:r>
    </w:p>
    <w:p w14:paraId="188AFB26">
      <w:pPr>
        <w:snapToGrid w:val="0"/>
        <w:spacing w:line="360" w:lineRule="auto"/>
        <w:ind w:firstLine="424" w:firstLineChars="202"/>
        <w:jc w:val="left"/>
        <w:rPr>
          <w:rFonts w:hint="eastAsia" w:ascii="宋体" w:hAnsi="宋体"/>
          <w:szCs w:val="21"/>
        </w:rPr>
      </w:pPr>
      <w:r>
        <w:rPr>
          <w:rFonts w:hint="eastAsia" w:ascii="宋体" w:hAnsi="宋体"/>
          <w:szCs w:val="21"/>
        </w:rPr>
        <w:t>（3）评标委员会按照招标文件中的规定推荐中标候选人。</w:t>
      </w:r>
    </w:p>
    <w:p w14:paraId="26D18E4A">
      <w:pPr>
        <w:snapToGrid w:val="0"/>
        <w:spacing w:line="360" w:lineRule="auto"/>
        <w:ind w:firstLine="424" w:firstLineChars="202"/>
        <w:jc w:val="left"/>
        <w:rPr>
          <w:rFonts w:hint="eastAsia" w:ascii="宋体" w:hAnsi="宋体"/>
          <w:szCs w:val="21"/>
        </w:rPr>
      </w:pPr>
      <w:r>
        <w:rPr>
          <w:rFonts w:hint="eastAsia" w:ascii="宋体" w:hAnsi="宋体"/>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504C6A2C">
      <w:pPr>
        <w:snapToGrid w:val="0"/>
        <w:spacing w:line="320" w:lineRule="exact"/>
        <w:jc w:val="center"/>
      </w:pPr>
      <w:r>
        <w:br w:type="page"/>
      </w:r>
      <w:r>
        <w:rPr>
          <w:rFonts w:ascii="宋体" w:hAnsi="宋体" w:cs="宋体"/>
          <w:b/>
          <w:bCs/>
          <w:sz w:val="32"/>
          <w:szCs w:val="32"/>
        </w:rPr>
        <w:t>三</w:t>
      </w:r>
      <w:r>
        <w:rPr>
          <w:rFonts w:hint="eastAsia" w:ascii="宋体" w:hAnsi="宋体" w:cs="宋体"/>
          <w:b/>
          <w:bCs/>
          <w:sz w:val="32"/>
          <w:szCs w:val="32"/>
        </w:rPr>
        <w:t>、评标标准</w:t>
      </w:r>
    </w:p>
    <w:p w14:paraId="1E920A28">
      <w:pPr>
        <w:pStyle w:val="4"/>
        <w:keepNext w:val="0"/>
        <w:keepLines w:val="0"/>
        <w:spacing w:line="320" w:lineRule="exact"/>
        <w:jc w:val="center"/>
        <w:rPr>
          <w:bCs w:val="0"/>
        </w:rPr>
      </w:pPr>
      <w:r>
        <w:rPr>
          <w:rFonts w:hint="eastAsia"/>
        </w:rPr>
        <w:t>综合评分法</w:t>
      </w:r>
    </w:p>
    <w:tbl>
      <w:tblPr>
        <w:tblStyle w:val="26"/>
        <w:tblW w:w="10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691"/>
        <w:gridCol w:w="683"/>
        <w:gridCol w:w="1166"/>
        <w:gridCol w:w="7048"/>
      </w:tblGrid>
      <w:tr w14:paraId="6D03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Align w:val="center"/>
          </w:tcPr>
          <w:p w14:paraId="639C50C9">
            <w:pPr>
              <w:adjustRightInd w:val="0"/>
              <w:spacing w:line="410" w:lineRule="exact"/>
              <w:jc w:val="center"/>
              <w:textAlignment w:val="baseline"/>
              <w:rPr>
                <w:rFonts w:hint="eastAsia" w:ascii="宋体" w:hAnsi="宋体"/>
                <w:b/>
                <w:szCs w:val="21"/>
              </w:rPr>
            </w:pPr>
            <w:r>
              <w:rPr>
                <w:rFonts w:hint="eastAsia" w:ascii="宋体" w:hAnsi="宋体"/>
                <w:b/>
                <w:szCs w:val="21"/>
              </w:rPr>
              <w:t>序号</w:t>
            </w:r>
          </w:p>
        </w:tc>
        <w:tc>
          <w:tcPr>
            <w:tcW w:w="691" w:type="dxa"/>
            <w:vAlign w:val="center"/>
          </w:tcPr>
          <w:p w14:paraId="7ED407F5">
            <w:pPr>
              <w:adjustRightInd w:val="0"/>
              <w:spacing w:line="410" w:lineRule="exact"/>
              <w:jc w:val="center"/>
              <w:textAlignment w:val="baseline"/>
              <w:rPr>
                <w:rFonts w:hint="eastAsia" w:ascii="宋体" w:hAnsi="宋体"/>
                <w:szCs w:val="21"/>
              </w:rPr>
            </w:pPr>
            <w:r>
              <w:rPr>
                <w:rFonts w:hint="eastAsia" w:ascii="宋体" w:hAnsi="宋体"/>
                <w:b/>
                <w:szCs w:val="21"/>
              </w:rPr>
              <w:t>评审因素</w:t>
            </w:r>
          </w:p>
        </w:tc>
        <w:tc>
          <w:tcPr>
            <w:tcW w:w="683" w:type="dxa"/>
            <w:vAlign w:val="center"/>
          </w:tcPr>
          <w:p w14:paraId="27423326">
            <w:pPr>
              <w:adjustRightInd w:val="0"/>
              <w:spacing w:line="410" w:lineRule="exact"/>
              <w:jc w:val="center"/>
              <w:textAlignment w:val="baseline"/>
              <w:rPr>
                <w:rFonts w:hint="eastAsia" w:ascii="宋体" w:hAnsi="宋体"/>
                <w:b/>
                <w:szCs w:val="21"/>
              </w:rPr>
            </w:pPr>
            <w:r>
              <w:rPr>
                <w:rFonts w:hint="eastAsia" w:ascii="宋体" w:hAnsi="宋体"/>
                <w:b/>
                <w:szCs w:val="21"/>
              </w:rPr>
              <w:t>分值</w:t>
            </w:r>
          </w:p>
        </w:tc>
        <w:tc>
          <w:tcPr>
            <w:tcW w:w="8214" w:type="dxa"/>
            <w:gridSpan w:val="2"/>
            <w:vAlign w:val="center"/>
          </w:tcPr>
          <w:p w14:paraId="31B0F712">
            <w:pPr>
              <w:adjustRightInd w:val="0"/>
              <w:spacing w:line="410" w:lineRule="exact"/>
              <w:jc w:val="center"/>
              <w:textAlignment w:val="baseline"/>
              <w:rPr>
                <w:rFonts w:hint="eastAsia" w:ascii="宋体" w:hAnsi="宋体"/>
                <w:b/>
                <w:szCs w:val="21"/>
              </w:rPr>
            </w:pPr>
            <w:r>
              <w:rPr>
                <w:rFonts w:hint="eastAsia" w:ascii="宋体" w:hAnsi="宋体"/>
                <w:b/>
                <w:szCs w:val="21"/>
              </w:rPr>
              <w:t>评标标准</w:t>
            </w:r>
          </w:p>
        </w:tc>
      </w:tr>
      <w:tr w14:paraId="0CBB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Align w:val="center"/>
          </w:tcPr>
          <w:p w14:paraId="3182C9A9">
            <w:pPr>
              <w:adjustRightInd w:val="0"/>
              <w:spacing w:line="360" w:lineRule="auto"/>
              <w:jc w:val="center"/>
              <w:textAlignment w:val="baseline"/>
              <w:rPr>
                <w:rFonts w:hint="eastAsia" w:ascii="宋体" w:hAnsi="宋体"/>
                <w:b/>
                <w:szCs w:val="21"/>
              </w:rPr>
            </w:pPr>
            <w:r>
              <w:rPr>
                <w:rFonts w:hint="eastAsia" w:ascii="宋体" w:hAnsi="宋体"/>
                <w:b/>
                <w:szCs w:val="21"/>
              </w:rPr>
              <w:t>1</w:t>
            </w:r>
          </w:p>
        </w:tc>
        <w:tc>
          <w:tcPr>
            <w:tcW w:w="691" w:type="dxa"/>
            <w:vAlign w:val="center"/>
          </w:tcPr>
          <w:p w14:paraId="017F3649">
            <w:pPr>
              <w:adjustRightInd w:val="0"/>
              <w:spacing w:line="360" w:lineRule="auto"/>
              <w:jc w:val="center"/>
              <w:textAlignment w:val="baseline"/>
              <w:rPr>
                <w:rFonts w:hint="eastAsia" w:ascii="宋体" w:hAnsi="宋体"/>
                <w:b/>
                <w:szCs w:val="21"/>
              </w:rPr>
            </w:pPr>
            <w:r>
              <w:rPr>
                <w:rFonts w:hint="eastAsia" w:ascii="宋体" w:hAnsi="宋体"/>
                <w:b/>
                <w:szCs w:val="21"/>
              </w:rPr>
              <w:t>投标报价</w:t>
            </w:r>
          </w:p>
        </w:tc>
        <w:tc>
          <w:tcPr>
            <w:tcW w:w="683" w:type="dxa"/>
            <w:vAlign w:val="center"/>
          </w:tcPr>
          <w:p w14:paraId="0852327D">
            <w:pPr>
              <w:adjustRightInd w:val="0"/>
              <w:spacing w:line="360" w:lineRule="auto"/>
              <w:jc w:val="center"/>
              <w:textAlignment w:val="baseline"/>
              <w:rPr>
                <w:rFonts w:hint="eastAsia" w:ascii="宋体" w:hAnsi="宋体"/>
                <w:b/>
                <w:szCs w:val="21"/>
              </w:rPr>
            </w:pPr>
            <w:r>
              <w:rPr>
                <w:rFonts w:hint="eastAsia" w:ascii="宋体" w:hAnsi="宋体"/>
                <w:b/>
                <w:szCs w:val="21"/>
              </w:rPr>
              <w:t>10分</w:t>
            </w:r>
          </w:p>
        </w:tc>
        <w:tc>
          <w:tcPr>
            <w:tcW w:w="8214" w:type="dxa"/>
            <w:gridSpan w:val="2"/>
            <w:vAlign w:val="center"/>
          </w:tcPr>
          <w:p w14:paraId="5467A014">
            <w:pPr>
              <w:spacing w:line="400" w:lineRule="atLeast"/>
              <w:outlineLvl w:val="0"/>
              <w:rPr>
                <w:rFonts w:hint="eastAsia" w:ascii="宋体" w:hAnsi="宋体" w:cs="宋体"/>
                <w:b/>
                <w:bCs/>
                <w:kern w:val="0"/>
                <w:szCs w:val="21"/>
              </w:rPr>
            </w:pPr>
            <w:r>
              <w:rPr>
                <w:rFonts w:hint="eastAsia" w:ascii="宋体" w:hAnsi="宋体" w:cs="宋体"/>
                <w:b/>
                <w:bCs/>
                <w:kern w:val="0"/>
                <w:szCs w:val="21"/>
              </w:rPr>
              <w:t>投标报价分（满分10分）</w:t>
            </w:r>
          </w:p>
          <w:p w14:paraId="26750D3A">
            <w:pPr>
              <w:spacing w:line="400" w:lineRule="atLeast"/>
              <w:ind w:firstLine="420" w:firstLineChars="200"/>
              <w:outlineLvl w:val="0"/>
              <w:rPr>
                <w:rFonts w:hint="eastAsia" w:ascii="宋体" w:hAnsi="宋体" w:cs="宋体"/>
                <w:kern w:val="0"/>
                <w:szCs w:val="21"/>
              </w:rPr>
            </w:pPr>
            <w:r>
              <w:rPr>
                <w:rFonts w:hint="eastAsia" w:ascii="宋体" w:hAnsi="宋体" w:cs="宋体"/>
                <w:kern w:val="0"/>
                <w:szCs w:val="21"/>
              </w:rPr>
              <w:t>1、投标报价分采用低价优先法计算，满足招标文件要求且评标价最低的有效投标人的评标价为评标基准价，其投标报价分为满分。</w:t>
            </w:r>
          </w:p>
          <w:p w14:paraId="73891FB7">
            <w:pPr>
              <w:spacing w:line="400" w:lineRule="atLeast"/>
              <w:ind w:firstLine="420" w:firstLineChars="200"/>
              <w:outlineLvl w:val="0"/>
              <w:rPr>
                <w:rFonts w:hint="eastAsia" w:ascii="宋体" w:hAnsi="宋体" w:cs="宋体"/>
                <w:kern w:val="0"/>
                <w:szCs w:val="21"/>
              </w:rPr>
            </w:pPr>
            <w:r>
              <w:rPr>
                <w:rFonts w:hint="eastAsia" w:ascii="宋体" w:hAnsi="宋体" w:cs="宋体"/>
                <w:kern w:val="0"/>
                <w:szCs w:val="21"/>
              </w:rPr>
              <w:t>2、其他投标人的价格分统一按照下列公式计算：</w:t>
            </w:r>
          </w:p>
          <w:p w14:paraId="6E92B1C7">
            <w:pPr>
              <w:spacing w:line="420" w:lineRule="exact"/>
              <w:outlineLvl w:val="0"/>
              <w:rPr>
                <w:rFonts w:hint="eastAsia" w:ascii="宋体" w:hAnsi="宋体" w:cs="Courier New"/>
                <w:bCs/>
                <w:szCs w:val="21"/>
              </w:rPr>
            </w:pPr>
            <w:r>
              <w:rPr>
                <w:rFonts w:hint="eastAsia" w:ascii="宋体" w:hAnsi="宋体" w:cs="宋体"/>
                <w:kern w:val="0"/>
                <w:szCs w:val="21"/>
              </w:rPr>
              <w:t>某有效投标人的投标报价分=(评标基准价／某有效投标人评标价)×10分</w:t>
            </w:r>
          </w:p>
        </w:tc>
      </w:tr>
      <w:tr w14:paraId="181E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restart"/>
            <w:vAlign w:val="center"/>
          </w:tcPr>
          <w:p w14:paraId="00FC252A">
            <w:pPr>
              <w:adjustRightInd w:val="0"/>
              <w:spacing w:line="360" w:lineRule="auto"/>
              <w:jc w:val="center"/>
              <w:textAlignment w:val="baseline"/>
              <w:rPr>
                <w:rFonts w:hint="eastAsia" w:ascii="宋体" w:hAnsi="宋体"/>
                <w:b/>
                <w:szCs w:val="21"/>
              </w:rPr>
            </w:pPr>
            <w:r>
              <w:rPr>
                <w:rFonts w:hint="eastAsia" w:ascii="宋体" w:hAnsi="宋体"/>
                <w:b/>
                <w:szCs w:val="21"/>
              </w:rPr>
              <w:t>2</w:t>
            </w:r>
          </w:p>
        </w:tc>
        <w:tc>
          <w:tcPr>
            <w:tcW w:w="691" w:type="dxa"/>
            <w:vMerge w:val="restart"/>
            <w:vAlign w:val="center"/>
          </w:tcPr>
          <w:p w14:paraId="642A7174">
            <w:pPr>
              <w:adjustRightInd w:val="0"/>
              <w:spacing w:line="360" w:lineRule="auto"/>
              <w:jc w:val="center"/>
              <w:textAlignment w:val="baseline"/>
              <w:rPr>
                <w:rFonts w:hint="eastAsia" w:ascii="宋体" w:hAnsi="宋体"/>
                <w:b/>
                <w:szCs w:val="21"/>
              </w:rPr>
            </w:pPr>
            <w:r>
              <w:rPr>
                <w:rFonts w:hint="eastAsia" w:hAnsi="宋体"/>
                <w:b/>
              </w:rPr>
              <w:t>技术分</w:t>
            </w:r>
          </w:p>
        </w:tc>
        <w:tc>
          <w:tcPr>
            <w:tcW w:w="683" w:type="dxa"/>
            <w:vMerge w:val="restart"/>
            <w:vAlign w:val="center"/>
          </w:tcPr>
          <w:p w14:paraId="4B4F6DFF">
            <w:pPr>
              <w:adjustRightInd w:val="0"/>
              <w:spacing w:line="360" w:lineRule="atLeast"/>
              <w:jc w:val="center"/>
              <w:textAlignment w:val="baseline"/>
              <w:rPr>
                <w:rFonts w:hint="eastAsia" w:ascii="宋体" w:hAnsi="宋体"/>
                <w:b/>
                <w:szCs w:val="21"/>
              </w:rPr>
            </w:pPr>
            <w:r>
              <w:rPr>
                <w:rFonts w:hint="eastAsia" w:ascii="宋体" w:hAnsi="宋体"/>
                <w:b/>
                <w:szCs w:val="21"/>
              </w:rPr>
              <w:t>50分</w:t>
            </w:r>
          </w:p>
        </w:tc>
        <w:tc>
          <w:tcPr>
            <w:tcW w:w="1166" w:type="dxa"/>
            <w:vAlign w:val="center"/>
          </w:tcPr>
          <w:p w14:paraId="413BA26F">
            <w:pPr>
              <w:adjustRightInd w:val="0"/>
              <w:spacing w:line="360" w:lineRule="atLeast"/>
              <w:jc w:val="center"/>
              <w:textAlignment w:val="baseline"/>
              <w:rPr>
                <w:rFonts w:hint="eastAsia" w:hAnsi="宋体" w:cs="宋体"/>
                <w:b/>
                <w:color w:val="auto"/>
                <w:szCs w:val="21"/>
              </w:rPr>
            </w:pPr>
            <w:r>
              <w:rPr>
                <w:rFonts w:hint="eastAsia" w:hAnsi="宋体" w:cs="宋体"/>
                <w:b/>
                <w:color w:val="auto"/>
                <w:szCs w:val="21"/>
              </w:rPr>
              <w:t>技术参数</w:t>
            </w:r>
          </w:p>
          <w:p w14:paraId="27D34B27">
            <w:pPr>
              <w:adjustRightInd w:val="0"/>
              <w:spacing w:line="360" w:lineRule="atLeast"/>
              <w:jc w:val="center"/>
              <w:textAlignment w:val="baseline"/>
              <w:rPr>
                <w:rFonts w:hint="eastAsia" w:hAnsi="宋体" w:cs="宋体"/>
                <w:b/>
                <w:color w:val="auto"/>
                <w:szCs w:val="21"/>
              </w:rPr>
            </w:pPr>
            <w:r>
              <w:rPr>
                <w:rFonts w:hint="eastAsia" w:hAnsi="宋体" w:cs="宋体"/>
                <w:b/>
                <w:color w:val="auto"/>
                <w:szCs w:val="21"/>
              </w:rPr>
              <w:t>（满分20分）</w:t>
            </w:r>
          </w:p>
        </w:tc>
        <w:tc>
          <w:tcPr>
            <w:tcW w:w="7048" w:type="dxa"/>
            <w:vAlign w:val="center"/>
          </w:tcPr>
          <w:p w14:paraId="6FF6CDF0">
            <w:pPr>
              <w:spacing w:line="400" w:lineRule="atLeast"/>
              <w:jc w:val="left"/>
              <w:rPr>
                <w:rFonts w:hint="eastAsia" w:hAnsi="宋体"/>
                <w:bCs/>
                <w:color w:val="auto"/>
              </w:rPr>
            </w:pPr>
            <w:r>
              <w:rPr>
                <w:rFonts w:hint="eastAsia" w:hAnsi="宋体"/>
                <w:bCs/>
                <w:color w:val="auto"/>
              </w:rPr>
              <w:t>根据采购文件的技术参数对投标响应内容进行综合评价，技术参数完全满足采购文件要求的得20分。其中：</w:t>
            </w:r>
          </w:p>
          <w:p w14:paraId="6A4767EC">
            <w:pPr>
              <w:spacing w:line="400" w:lineRule="atLeast"/>
              <w:jc w:val="left"/>
              <w:rPr>
                <w:rFonts w:hint="eastAsia" w:hAnsi="宋体"/>
                <w:bCs/>
                <w:color w:val="auto"/>
              </w:rPr>
            </w:pPr>
            <w:r>
              <w:rPr>
                <w:rFonts w:hint="eastAsia" w:hAnsi="宋体"/>
                <w:bCs/>
                <w:color w:val="auto"/>
              </w:rPr>
              <w:t>①带</w:t>
            </w:r>
            <w:bookmarkStart w:id="143" w:name="_Hlk192148067"/>
            <w:r>
              <w:rPr>
                <w:rFonts w:hint="eastAsia" w:hAnsi="宋体"/>
                <w:bCs/>
                <w:color w:val="auto"/>
              </w:rPr>
              <w:t>▲</w:t>
            </w:r>
            <w:bookmarkEnd w:id="143"/>
            <w:r>
              <w:rPr>
                <w:rFonts w:hint="eastAsia" w:hAnsi="宋体"/>
                <w:bCs/>
                <w:color w:val="auto"/>
              </w:rPr>
              <w:t>号的技术参数为实质性要求，有负偏离情况的按无效标处理；</w:t>
            </w:r>
          </w:p>
          <w:p w14:paraId="506AACC3">
            <w:pPr>
              <w:spacing w:line="400" w:lineRule="atLeast"/>
              <w:jc w:val="left"/>
              <w:rPr>
                <w:rFonts w:hint="eastAsia" w:hAnsi="宋体"/>
                <w:bCs/>
                <w:color w:val="auto"/>
              </w:rPr>
            </w:pPr>
            <w:r>
              <w:rPr>
                <w:rFonts w:hint="eastAsia" w:hAnsi="宋体"/>
                <w:bCs/>
                <w:color w:val="auto"/>
              </w:rPr>
              <w:t>②带</w:t>
            </w:r>
            <w:r>
              <w:rPr>
                <w:rFonts w:hint="eastAsia" w:ascii="宋体" w:hAnsi="宋体" w:eastAsia="宋体" w:cs="宋体"/>
                <w:bCs/>
                <w:color w:val="auto"/>
              </w:rPr>
              <w:t>◆</w:t>
            </w:r>
            <w:r>
              <w:rPr>
                <w:rFonts w:hint="eastAsia" w:hAnsi="宋体"/>
                <w:bCs/>
                <w:color w:val="auto"/>
              </w:rPr>
              <w:t>号的技术参数满分7分，每有一项不满足扣0.5分，扣完本项分数为止；</w:t>
            </w:r>
          </w:p>
          <w:p w14:paraId="5AF8DC0C">
            <w:pPr>
              <w:spacing w:line="400" w:lineRule="atLeast"/>
              <w:jc w:val="left"/>
              <w:rPr>
                <w:rFonts w:hint="eastAsia" w:hAnsi="宋体"/>
                <w:bCs/>
                <w:color w:val="auto"/>
              </w:rPr>
            </w:pPr>
            <w:r>
              <w:rPr>
                <w:rFonts w:hint="eastAsia" w:hAnsi="宋体"/>
                <w:bCs/>
                <w:color w:val="auto"/>
              </w:rPr>
              <w:t>③不带▲号和</w:t>
            </w:r>
            <w:r>
              <w:rPr>
                <w:rFonts w:hint="eastAsia" w:ascii="宋体" w:hAnsi="宋体" w:eastAsia="宋体" w:cs="宋体"/>
                <w:bCs/>
                <w:color w:val="auto"/>
              </w:rPr>
              <w:t>◆</w:t>
            </w:r>
            <w:r>
              <w:rPr>
                <w:rFonts w:hint="eastAsia" w:hAnsi="宋体"/>
                <w:bCs/>
                <w:color w:val="auto"/>
              </w:rPr>
              <w:t>号的技术参数，满分13分，每有一项不满足扣0.2分，扣完本项分数为止；</w:t>
            </w:r>
          </w:p>
        </w:tc>
      </w:tr>
      <w:tr w14:paraId="31EE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continue"/>
            <w:vAlign w:val="center"/>
          </w:tcPr>
          <w:p w14:paraId="68B5F65E">
            <w:pPr>
              <w:adjustRightInd w:val="0"/>
              <w:spacing w:line="360" w:lineRule="auto"/>
              <w:jc w:val="center"/>
              <w:textAlignment w:val="baseline"/>
              <w:rPr>
                <w:rFonts w:hint="eastAsia" w:ascii="宋体" w:hAnsi="宋体"/>
                <w:b/>
                <w:szCs w:val="21"/>
              </w:rPr>
            </w:pPr>
          </w:p>
        </w:tc>
        <w:tc>
          <w:tcPr>
            <w:tcW w:w="691" w:type="dxa"/>
            <w:vMerge w:val="continue"/>
            <w:vAlign w:val="center"/>
          </w:tcPr>
          <w:p w14:paraId="27B96D9C">
            <w:pPr>
              <w:adjustRightInd w:val="0"/>
              <w:spacing w:line="360" w:lineRule="auto"/>
              <w:jc w:val="center"/>
              <w:textAlignment w:val="baseline"/>
              <w:rPr>
                <w:rFonts w:hint="eastAsia" w:hAnsi="宋体"/>
                <w:b/>
              </w:rPr>
            </w:pPr>
          </w:p>
        </w:tc>
        <w:tc>
          <w:tcPr>
            <w:tcW w:w="683" w:type="dxa"/>
            <w:vMerge w:val="continue"/>
            <w:vAlign w:val="center"/>
          </w:tcPr>
          <w:p w14:paraId="0FAEBE02">
            <w:pPr>
              <w:adjustRightInd w:val="0"/>
              <w:spacing w:line="360" w:lineRule="atLeast"/>
              <w:jc w:val="center"/>
              <w:textAlignment w:val="baseline"/>
              <w:rPr>
                <w:rFonts w:hint="eastAsia" w:ascii="宋体" w:hAnsi="宋体"/>
                <w:b/>
                <w:szCs w:val="21"/>
              </w:rPr>
            </w:pPr>
          </w:p>
        </w:tc>
        <w:tc>
          <w:tcPr>
            <w:tcW w:w="1166" w:type="dxa"/>
            <w:vAlign w:val="center"/>
          </w:tcPr>
          <w:p w14:paraId="3DBC1F61">
            <w:pPr>
              <w:adjustRightInd w:val="0"/>
              <w:spacing w:line="360" w:lineRule="atLeast"/>
              <w:jc w:val="center"/>
              <w:textAlignment w:val="baseline"/>
              <w:rPr>
                <w:rFonts w:hint="eastAsia" w:hAnsi="宋体" w:cs="宋体"/>
                <w:b/>
                <w:color w:val="000000"/>
                <w:szCs w:val="21"/>
              </w:rPr>
            </w:pPr>
            <w:r>
              <w:rPr>
                <w:rFonts w:hint="eastAsia" w:hAnsi="宋体" w:cs="宋体"/>
                <w:b/>
                <w:color w:val="000000"/>
                <w:szCs w:val="21"/>
              </w:rPr>
              <w:t>项目实施方案分(满分</w:t>
            </w:r>
            <w:r>
              <w:rPr>
                <w:rFonts w:hAnsi="宋体" w:cs="宋体"/>
                <w:b/>
                <w:color w:val="000000"/>
                <w:szCs w:val="21"/>
              </w:rPr>
              <w:t>1</w:t>
            </w:r>
            <w:r>
              <w:rPr>
                <w:rFonts w:hint="eastAsia" w:hAnsi="宋体" w:cs="宋体"/>
                <w:b/>
                <w:color w:val="000000"/>
                <w:szCs w:val="21"/>
              </w:rPr>
              <w:t>0分)</w:t>
            </w:r>
          </w:p>
        </w:tc>
        <w:tc>
          <w:tcPr>
            <w:tcW w:w="7048" w:type="dxa"/>
            <w:vAlign w:val="center"/>
          </w:tcPr>
          <w:p w14:paraId="750C9F1B">
            <w:pPr>
              <w:pStyle w:val="12"/>
              <w:spacing w:line="400" w:lineRule="atLeast"/>
              <w:rPr>
                <w:rFonts w:hint="eastAsia" w:hAnsi="宋体"/>
                <w:color w:val="auto"/>
                <w:szCs w:val="21"/>
              </w:rPr>
            </w:pPr>
            <w:r>
              <w:rPr>
                <w:rFonts w:hint="eastAsia" w:hAnsi="宋体"/>
                <w:bCs/>
                <w:color w:val="auto"/>
              </w:rPr>
              <w:t>①</w:t>
            </w:r>
            <w:r>
              <w:rPr>
                <w:rFonts w:hint="eastAsia" w:hAnsi="宋体"/>
                <w:color w:val="auto"/>
                <w:szCs w:val="21"/>
              </w:rPr>
              <w:t>配备人员专业经验丰富；②方案合理、可行、针对性强；③项目进度计划完善；④项目实施过程中的沟通渠道便捷顺畅；⑤硬件配备齐全</w:t>
            </w:r>
            <w:r>
              <w:rPr>
                <w:rFonts w:hint="eastAsia" w:hAnsi="宋体"/>
                <w:color w:val="auto"/>
                <w:szCs w:val="21"/>
                <w:lang w:eastAsia="zh-CN"/>
              </w:rPr>
              <w:t>；</w:t>
            </w:r>
            <w:r>
              <w:rPr>
                <w:rFonts w:hint="eastAsia" w:hAnsi="宋体"/>
                <w:color w:val="auto"/>
                <w:szCs w:val="21"/>
              </w:rPr>
              <w:t>⑥有良好的质量保障措施。</w:t>
            </w:r>
          </w:p>
          <w:p w14:paraId="0040CAF8">
            <w:pPr>
              <w:spacing w:line="400" w:lineRule="atLeast"/>
              <w:jc w:val="left"/>
              <w:rPr>
                <w:rFonts w:hint="eastAsia" w:hAnsi="宋体"/>
                <w:color w:val="auto"/>
                <w:szCs w:val="21"/>
              </w:rPr>
            </w:pPr>
            <w:r>
              <w:rPr>
                <w:rFonts w:hint="eastAsia" w:hAnsi="宋体"/>
                <w:color w:val="auto"/>
                <w:szCs w:val="21"/>
              </w:rPr>
              <w:t>一档（0分）：供应商的项目实施方案明显不满足采购要求或者没有提供项目实施方案的；</w:t>
            </w:r>
          </w:p>
          <w:p w14:paraId="50B73ED2">
            <w:pPr>
              <w:spacing w:line="400" w:lineRule="atLeast"/>
              <w:jc w:val="left"/>
              <w:rPr>
                <w:rFonts w:hint="eastAsia" w:hAnsi="宋体"/>
                <w:color w:val="auto"/>
                <w:szCs w:val="21"/>
              </w:rPr>
            </w:pPr>
            <w:r>
              <w:rPr>
                <w:rFonts w:hint="eastAsia" w:hAnsi="宋体"/>
                <w:color w:val="auto"/>
                <w:szCs w:val="21"/>
              </w:rPr>
              <w:t>二档（</w:t>
            </w:r>
            <w:r>
              <w:rPr>
                <w:rFonts w:hAnsi="宋体"/>
                <w:color w:val="auto"/>
                <w:szCs w:val="21"/>
              </w:rPr>
              <w:t>3</w:t>
            </w:r>
            <w:r>
              <w:rPr>
                <w:rFonts w:hint="eastAsia" w:hAnsi="宋体"/>
                <w:color w:val="auto"/>
                <w:szCs w:val="21"/>
              </w:rPr>
              <w:t>分）：供应商的项目实施方案基本满足采购要求，具备以上6项要素中不少于3项，且项目实施方案服务方案简单，方案针对性、合理性不强的；</w:t>
            </w:r>
          </w:p>
          <w:p w14:paraId="20F1D702">
            <w:pPr>
              <w:spacing w:line="400" w:lineRule="atLeast"/>
              <w:jc w:val="left"/>
              <w:rPr>
                <w:rFonts w:hint="eastAsia" w:hAnsi="宋体"/>
                <w:color w:val="auto"/>
                <w:szCs w:val="21"/>
              </w:rPr>
            </w:pPr>
            <w:r>
              <w:rPr>
                <w:rFonts w:hint="eastAsia" w:hAnsi="宋体"/>
                <w:color w:val="auto"/>
                <w:szCs w:val="21"/>
              </w:rPr>
              <w:t>三档（</w:t>
            </w:r>
            <w:r>
              <w:rPr>
                <w:rFonts w:hAnsi="宋体"/>
                <w:color w:val="auto"/>
                <w:szCs w:val="21"/>
              </w:rPr>
              <w:t>6</w:t>
            </w:r>
            <w:r>
              <w:rPr>
                <w:rFonts w:hint="eastAsia" w:hAnsi="宋体"/>
                <w:color w:val="auto"/>
                <w:szCs w:val="21"/>
              </w:rPr>
              <w:t>分）：供应商的项目实施方案满足采购要求，具备以上6项要素中不少于5项，且项目实施方案服务方案较详细，具有一定的针对性和可行性的。</w:t>
            </w:r>
          </w:p>
          <w:p w14:paraId="78D22BFC">
            <w:pPr>
              <w:spacing w:line="400" w:lineRule="atLeast"/>
              <w:jc w:val="left"/>
              <w:rPr>
                <w:rFonts w:hint="eastAsia" w:hAnsi="宋体" w:cs="宋体"/>
                <w:bCs/>
              </w:rPr>
            </w:pPr>
            <w:r>
              <w:rPr>
                <w:rFonts w:hint="eastAsia" w:hAnsi="宋体"/>
                <w:color w:val="auto"/>
                <w:szCs w:val="21"/>
              </w:rPr>
              <w:t>四档（</w:t>
            </w:r>
            <w:r>
              <w:rPr>
                <w:rFonts w:hAnsi="宋体"/>
                <w:color w:val="auto"/>
                <w:szCs w:val="21"/>
              </w:rPr>
              <w:t>1</w:t>
            </w:r>
            <w:r>
              <w:rPr>
                <w:rFonts w:hint="eastAsia" w:hAnsi="宋体"/>
                <w:color w:val="auto"/>
                <w:szCs w:val="21"/>
              </w:rPr>
              <w:t>0分）：供应商的项目实施方案满足采购要求，具备以上6项要素，且项目实施方案服务方案完整且详细，具有有科学性、针对性和可行性；</w:t>
            </w:r>
          </w:p>
        </w:tc>
      </w:tr>
      <w:tr w14:paraId="1E81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continue"/>
            <w:vAlign w:val="center"/>
          </w:tcPr>
          <w:p w14:paraId="1E49F45D">
            <w:pPr>
              <w:adjustRightInd w:val="0"/>
              <w:spacing w:line="360" w:lineRule="auto"/>
              <w:jc w:val="center"/>
              <w:textAlignment w:val="baseline"/>
              <w:rPr>
                <w:rFonts w:hint="eastAsia" w:ascii="宋体" w:hAnsi="宋体"/>
                <w:b/>
                <w:szCs w:val="21"/>
              </w:rPr>
            </w:pPr>
          </w:p>
        </w:tc>
        <w:tc>
          <w:tcPr>
            <w:tcW w:w="691" w:type="dxa"/>
            <w:vMerge w:val="continue"/>
            <w:vAlign w:val="center"/>
          </w:tcPr>
          <w:p w14:paraId="163050C8">
            <w:pPr>
              <w:adjustRightInd w:val="0"/>
              <w:spacing w:line="360" w:lineRule="auto"/>
              <w:jc w:val="center"/>
              <w:textAlignment w:val="baseline"/>
              <w:rPr>
                <w:rFonts w:hint="eastAsia" w:hAnsi="宋体"/>
                <w:b/>
              </w:rPr>
            </w:pPr>
          </w:p>
        </w:tc>
        <w:tc>
          <w:tcPr>
            <w:tcW w:w="683" w:type="dxa"/>
            <w:vMerge w:val="continue"/>
            <w:vAlign w:val="center"/>
          </w:tcPr>
          <w:p w14:paraId="5697B696">
            <w:pPr>
              <w:adjustRightInd w:val="0"/>
              <w:spacing w:line="360" w:lineRule="atLeast"/>
              <w:jc w:val="center"/>
              <w:textAlignment w:val="baseline"/>
              <w:rPr>
                <w:rFonts w:hint="eastAsia" w:ascii="宋体" w:hAnsi="宋体"/>
                <w:b/>
                <w:szCs w:val="21"/>
              </w:rPr>
            </w:pPr>
          </w:p>
        </w:tc>
        <w:tc>
          <w:tcPr>
            <w:tcW w:w="1166" w:type="dxa"/>
            <w:vAlign w:val="center"/>
          </w:tcPr>
          <w:p w14:paraId="15447F99">
            <w:pPr>
              <w:adjustRightInd w:val="0"/>
              <w:spacing w:line="360" w:lineRule="auto"/>
              <w:jc w:val="center"/>
              <w:textAlignment w:val="baseline"/>
              <w:rPr>
                <w:rFonts w:hint="eastAsia" w:hAnsi="宋体"/>
                <w:b/>
              </w:rPr>
            </w:pPr>
            <w:r>
              <w:rPr>
                <w:rFonts w:hint="eastAsia" w:hAnsi="宋体"/>
                <w:b/>
              </w:rPr>
              <w:t>总体设计方案（</w:t>
            </w:r>
            <w:r>
              <w:rPr>
                <w:rFonts w:hint="eastAsia" w:hAnsi="宋体" w:cs="宋体"/>
                <w:b/>
                <w:color w:val="000000"/>
                <w:szCs w:val="21"/>
              </w:rPr>
              <w:t>满分</w:t>
            </w:r>
            <w:r>
              <w:rPr>
                <w:rFonts w:hint="eastAsia" w:hAnsi="宋体"/>
                <w:b/>
              </w:rPr>
              <w:t>10分）</w:t>
            </w:r>
          </w:p>
        </w:tc>
        <w:tc>
          <w:tcPr>
            <w:tcW w:w="7048" w:type="dxa"/>
            <w:vAlign w:val="center"/>
          </w:tcPr>
          <w:p w14:paraId="7FDFC1A8">
            <w:pPr>
              <w:shd w:val="clear" w:color="auto" w:fill="FFFFFF"/>
              <w:spacing w:line="440" w:lineRule="exact"/>
              <w:rPr>
                <w:rFonts w:hint="eastAsia" w:ascii="宋体" w:hAnsi="宋体" w:cs="宋体"/>
                <w:bCs/>
                <w:szCs w:val="21"/>
              </w:rPr>
            </w:pPr>
            <w:r>
              <w:rPr>
                <w:rFonts w:hint="eastAsia" w:ascii="宋体" w:hAnsi="宋体" w:cs="宋体"/>
                <w:bCs/>
                <w:szCs w:val="21"/>
              </w:rPr>
              <w:t>根据对投标人的总体设计方案从项目建设背景、用户需求分析、项目建设依据、总体设计思路、总体设计原则、系统架构设计、技术架构设计、技术路线设计的符合度方面评价：</w:t>
            </w:r>
          </w:p>
          <w:p w14:paraId="46154942">
            <w:pPr>
              <w:shd w:val="clear" w:color="auto" w:fill="FFFFFF"/>
              <w:spacing w:line="440" w:lineRule="exact"/>
              <w:rPr>
                <w:rFonts w:hint="eastAsia" w:ascii="宋体" w:hAnsi="宋体" w:cs="宋体"/>
                <w:bCs/>
                <w:szCs w:val="21"/>
              </w:rPr>
            </w:pPr>
            <w:r>
              <w:rPr>
                <w:rFonts w:hint="eastAsia" w:ascii="宋体" w:hAnsi="宋体" w:cs="宋体"/>
                <w:bCs/>
                <w:szCs w:val="21"/>
              </w:rPr>
              <w:t>一档（0分）：投标人的总体设计方案不符合本次项目要求的</w:t>
            </w:r>
          </w:p>
          <w:p w14:paraId="39A8534D">
            <w:pPr>
              <w:shd w:val="clear" w:color="auto" w:fill="FFFFFF"/>
              <w:spacing w:line="440" w:lineRule="exact"/>
              <w:rPr>
                <w:rFonts w:hint="eastAsia" w:ascii="宋体" w:hAnsi="宋体" w:cs="宋体"/>
                <w:bCs/>
                <w:szCs w:val="21"/>
              </w:rPr>
            </w:pPr>
            <w:r>
              <w:rPr>
                <w:rFonts w:hint="eastAsia" w:ascii="宋体" w:hAnsi="宋体" w:cs="宋体"/>
                <w:bCs/>
                <w:szCs w:val="21"/>
              </w:rPr>
              <w:t>二档（3分）：投标人的总体设计方案勉强符合本次项目要求，没有明显技术错误，技术方案简单，技术欠完善。</w:t>
            </w:r>
          </w:p>
          <w:p w14:paraId="09908126">
            <w:pPr>
              <w:shd w:val="clear" w:color="auto" w:fill="FFFFFF"/>
              <w:spacing w:line="440" w:lineRule="exact"/>
              <w:rPr>
                <w:rFonts w:hint="eastAsia" w:ascii="宋体" w:hAnsi="宋体" w:cs="宋体"/>
                <w:bCs/>
                <w:szCs w:val="21"/>
              </w:rPr>
            </w:pPr>
            <w:r>
              <w:rPr>
                <w:rFonts w:hint="eastAsia" w:ascii="宋体" w:hAnsi="宋体" w:cs="宋体"/>
                <w:bCs/>
                <w:szCs w:val="21"/>
              </w:rPr>
              <w:t>三档（6分）：投标人的总体设计方案满足此次项目的基本要求，技术方案的系统架构设计、技术架构设计、对业主的需求分析基本满足招标文件要求；</w:t>
            </w:r>
          </w:p>
          <w:p w14:paraId="07B74FEC">
            <w:pPr>
              <w:shd w:val="clear" w:color="auto" w:fill="FFFFFF"/>
              <w:spacing w:line="440" w:lineRule="exact"/>
              <w:rPr>
                <w:rFonts w:hint="eastAsia" w:hAnsi="宋体"/>
                <w:szCs w:val="21"/>
              </w:rPr>
            </w:pPr>
            <w:r>
              <w:rPr>
                <w:rFonts w:hint="eastAsia" w:ascii="宋体" w:hAnsi="宋体" w:cs="宋体"/>
                <w:bCs/>
                <w:szCs w:val="21"/>
              </w:rPr>
              <w:t>四档（10分）：投标人的总体设计方案完善可行性高，充分了解背景，对于院方的需求把握准确，具有充足的建设依据，设计思路清晰，设计原则合理，系统架构灵活可扩展，采用“微服务”技术架构，技术路线先进实用，行文工整，逻辑清晰，结构严谨；</w:t>
            </w:r>
          </w:p>
        </w:tc>
      </w:tr>
      <w:tr w14:paraId="2ED8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continue"/>
            <w:vAlign w:val="center"/>
          </w:tcPr>
          <w:p w14:paraId="726E0781">
            <w:pPr>
              <w:adjustRightInd w:val="0"/>
              <w:spacing w:line="360" w:lineRule="auto"/>
              <w:jc w:val="center"/>
              <w:textAlignment w:val="baseline"/>
              <w:rPr>
                <w:rFonts w:hint="eastAsia" w:ascii="宋体" w:hAnsi="宋体"/>
                <w:b/>
                <w:szCs w:val="21"/>
              </w:rPr>
            </w:pPr>
          </w:p>
        </w:tc>
        <w:tc>
          <w:tcPr>
            <w:tcW w:w="691" w:type="dxa"/>
            <w:vMerge w:val="continue"/>
            <w:vAlign w:val="center"/>
          </w:tcPr>
          <w:p w14:paraId="0222CBEA">
            <w:pPr>
              <w:adjustRightInd w:val="0"/>
              <w:spacing w:line="360" w:lineRule="auto"/>
              <w:jc w:val="center"/>
              <w:textAlignment w:val="baseline"/>
              <w:rPr>
                <w:rFonts w:hint="eastAsia" w:hAnsi="宋体"/>
                <w:b/>
              </w:rPr>
            </w:pPr>
          </w:p>
        </w:tc>
        <w:tc>
          <w:tcPr>
            <w:tcW w:w="683" w:type="dxa"/>
            <w:vMerge w:val="continue"/>
            <w:vAlign w:val="center"/>
          </w:tcPr>
          <w:p w14:paraId="0BF580CA">
            <w:pPr>
              <w:adjustRightInd w:val="0"/>
              <w:spacing w:line="360" w:lineRule="atLeast"/>
              <w:jc w:val="center"/>
              <w:textAlignment w:val="baseline"/>
              <w:rPr>
                <w:rFonts w:hint="eastAsia" w:ascii="宋体" w:hAnsi="宋体"/>
                <w:b/>
                <w:szCs w:val="21"/>
              </w:rPr>
            </w:pPr>
          </w:p>
        </w:tc>
        <w:tc>
          <w:tcPr>
            <w:tcW w:w="1166" w:type="dxa"/>
            <w:vAlign w:val="center"/>
          </w:tcPr>
          <w:p w14:paraId="645A8260">
            <w:pPr>
              <w:spacing w:line="360" w:lineRule="auto"/>
              <w:jc w:val="center"/>
              <w:rPr>
                <w:rFonts w:hint="eastAsia" w:ascii="宋体" w:hAnsi="宋体" w:cs="宋体"/>
                <w:b/>
                <w:bCs/>
                <w:szCs w:val="21"/>
              </w:rPr>
            </w:pPr>
            <w:r>
              <w:rPr>
                <w:rFonts w:hint="eastAsia" w:ascii="宋体" w:hAnsi="宋体"/>
                <w:b/>
                <w:szCs w:val="21"/>
              </w:rPr>
              <w:t>售后服务(</w:t>
            </w:r>
            <w:r>
              <w:rPr>
                <w:rFonts w:hint="eastAsia" w:hAnsi="宋体" w:cs="宋体"/>
                <w:b/>
                <w:color w:val="000000"/>
                <w:szCs w:val="21"/>
              </w:rPr>
              <w:t>满分</w:t>
            </w:r>
            <w:r>
              <w:rPr>
                <w:rFonts w:ascii="宋体" w:hAnsi="宋体"/>
                <w:b/>
                <w:szCs w:val="21"/>
              </w:rPr>
              <w:t>1</w:t>
            </w:r>
            <w:r>
              <w:rPr>
                <w:rFonts w:hint="eastAsia" w:ascii="宋体" w:hAnsi="宋体"/>
                <w:b/>
                <w:szCs w:val="21"/>
              </w:rPr>
              <w:t>0分)</w:t>
            </w:r>
          </w:p>
        </w:tc>
        <w:tc>
          <w:tcPr>
            <w:tcW w:w="7048" w:type="dxa"/>
            <w:vAlign w:val="center"/>
          </w:tcPr>
          <w:p w14:paraId="7F488829">
            <w:pPr>
              <w:spacing w:line="400" w:lineRule="atLeast"/>
              <w:jc w:val="left"/>
              <w:rPr>
                <w:rFonts w:hint="eastAsia" w:hAnsi="宋体"/>
                <w:bCs/>
                <w:szCs w:val="21"/>
              </w:rPr>
            </w:pPr>
            <w:r>
              <w:rPr>
                <w:rFonts w:hint="eastAsia" w:hAnsi="宋体"/>
                <w:szCs w:val="21"/>
              </w:rPr>
              <w:t>售后服务方案的</w:t>
            </w:r>
            <w:r>
              <w:rPr>
                <w:rFonts w:hint="eastAsia"/>
              </w:rPr>
              <w:t>评价要素</w:t>
            </w:r>
            <w:r>
              <w:rPr>
                <w:rFonts w:hint="eastAsia" w:hAnsi="宋体"/>
                <w:szCs w:val="21"/>
              </w:rPr>
              <w:t>：</w:t>
            </w:r>
            <w:r>
              <w:rPr>
                <w:rFonts w:hint="eastAsia" w:hAnsi="宋体"/>
                <w:bCs/>
                <w:szCs w:val="21"/>
              </w:rPr>
              <w:t>⑴有</w:t>
            </w:r>
            <w:r>
              <w:rPr>
                <w:rFonts w:hint="eastAsia" w:hAnsi="宋体"/>
                <w:szCs w:val="21"/>
              </w:rPr>
              <w:t>履行合同能力的人员、⑵安装调试方案、</w:t>
            </w:r>
            <w:r>
              <w:rPr>
                <w:rFonts w:hint="eastAsia" w:hAnsi="宋体"/>
                <w:bCs/>
                <w:szCs w:val="21"/>
              </w:rPr>
              <w:t>⑶</w:t>
            </w:r>
            <w:r>
              <w:rPr>
                <w:rFonts w:hint="eastAsia" w:hAnsi="宋体"/>
                <w:szCs w:val="21"/>
              </w:rPr>
              <w:t>交付使用期、⑷质保期、⑸到达现场处理故障时间、⑹免费保修期外维修维护方案、⑺培训技术人员方案、⑻定期回访、⑼本地售后服务保障、⑽</w:t>
            </w:r>
            <w:r>
              <w:rPr>
                <w:rFonts w:hint="eastAsia" w:hAnsi="宋体"/>
                <w:bCs/>
                <w:szCs w:val="21"/>
              </w:rPr>
              <w:t>验收方案</w:t>
            </w:r>
            <w:r>
              <w:rPr>
                <w:rFonts w:hint="eastAsia" w:hAnsi="宋体" w:cs="宋体"/>
                <w:szCs w:val="21"/>
              </w:rPr>
              <w:t>等因素</w:t>
            </w:r>
            <w:r>
              <w:rPr>
                <w:rFonts w:hint="eastAsia" w:hAnsi="宋体"/>
                <w:bCs/>
                <w:szCs w:val="21"/>
              </w:rPr>
              <w:t>。</w:t>
            </w:r>
          </w:p>
          <w:p w14:paraId="1C9C8203">
            <w:pPr>
              <w:adjustRightInd w:val="0"/>
              <w:snapToGrid w:val="0"/>
              <w:spacing w:line="400" w:lineRule="atLeast"/>
              <w:ind w:firstLine="315" w:firstLineChars="150"/>
              <w:jc w:val="left"/>
              <w:rPr>
                <w:rFonts w:hint="eastAsia" w:hAnsi="宋体"/>
                <w:szCs w:val="21"/>
              </w:rPr>
            </w:pPr>
            <w:r>
              <w:rPr>
                <w:rFonts w:hint="eastAsia" w:hAnsi="宋体"/>
                <w:szCs w:val="21"/>
              </w:rPr>
              <w:t>一档（0）：售后服务方案不满足招标文件要求的；</w:t>
            </w:r>
          </w:p>
          <w:p w14:paraId="3B345CF8">
            <w:pPr>
              <w:adjustRightInd w:val="0"/>
              <w:snapToGrid w:val="0"/>
              <w:spacing w:line="400" w:lineRule="atLeast"/>
              <w:ind w:firstLine="315" w:firstLineChars="150"/>
              <w:jc w:val="left"/>
              <w:rPr>
                <w:rFonts w:hint="eastAsia" w:hAnsi="宋体"/>
                <w:szCs w:val="21"/>
              </w:rPr>
            </w:pPr>
            <w:r>
              <w:rPr>
                <w:rFonts w:hint="eastAsia" w:hAnsi="宋体"/>
                <w:szCs w:val="21"/>
              </w:rPr>
              <w:t>二档（</w:t>
            </w:r>
            <w:r>
              <w:rPr>
                <w:rFonts w:hAnsi="宋体"/>
                <w:szCs w:val="21"/>
              </w:rPr>
              <w:t>3</w:t>
            </w:r>
            <w:r>
              <w:rPr>
                <w:rFonts w:hint="eastAsia" w:hAnsi="宋体"/>
                <w:szCs w:val="21"/>
              </w:rPr>
              <w:t>）：售后服务方案满足招标文件要求，根据上述因素的完整程度、针对性、合理性一般的；</w:t>
            </w:r>
          </w:p>
          <w:p w14:paraId="62DF728E">
            <w:pPr>
              <w:adjustRightInd w:val="0"/>
              <w:snapToGrid w:val="0"/>
              <w:spacing w:line="400" w:lineRule="atLeast"/>
              <w:ind w:firstLine="315" w:firstLineChars="150"/>
              <w:jc w:val="left"/>
              <w:rPr>
                <w:rFonts w:hint="eastAsia" w:hAnsi="宋体"/>
                <w:szCs w:val="21"/>
              </w:rPr>
            </w:pPr>
            <w:r>
              <w:rPr>
                <w:rFonts w:hint="eastAsia" w:hAnsi="宋体"/>
                <w:szCs w:val="21"/>
              </w:rPr>
              <w:t>三档（</w:t>
            </w:r>
            <w:r>
              <w:rPr>
                <w:rFonts w:hAnsi="宋体"/>
                <w:szCs w:val="21"/>
              </w:rPr>
              <w:t>6</w:t>
            </w:r>
            <w:r>
              <w:rPr>
                <w:rFonts w:hint="eastAsia" w:hAnsi="宋体"/>
                <w:szCs w:val="21"/>
              </w:rPr>
              <w:t>）：售后服务方案满足招标文件要求，根据上述因素的完整程度、针对性、合理性相对较好的，且有不少于4项优于采购要求的；</w:t>
            </w:r>
          </w:p>
          <w:p w14:paraId="313A90F9">
            <w:pPr>
              <w:shd w:val="clear" w:color="auto" w:fill="FFFFFF"/>
              <w:spacing w:line="440" w:lineRule="exact"/>
              <w:rPr>
                <w:rFonts w:hint="eastAsia" w:ascii="宋体" w:hAnsi="宋体" w:cs="宋体"/>
                <w:bCs/>
                <w:szCs w:val="21"/>
              </w:rPr>
            </w:pPr>
            <w:r>
              <w:rPr>
                <w:rFonts w:hint="eastAsia" w:hAnsi="宋体"/>
                <w:szCs w:val="21"/>
              </w:rPr>
              <w:t>四档（</w:t>
            </w:r>
            <w:r>
              <w:rPr>
                <w:rFonts w:hAnsi="宋体"/>
                <w:szCs w:val="21"/>
              </w:rPr>
              <w:t>1</w:t>
            </w:r>
            <w:r>
              <w:rPr>
                <w:rFonts w:hint="eastAsia" w:hAnsi="宋体"/>
                <w:szCs w:val="21"/>
              </w:rPr>
              <w:t>0）：售后服务方案满足招标文件要求，根据上述因素的完整程度、针对性、合理性相对优秀的，且有不少于8项优于采购要求的。</w:t>
            </w:r>
          </w:p>
        </w:tc>
      </w:tr>
      <w:tr w14:paraId="003F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restart"/>
            <w:vAlign w:val="center"/>
          </w:tcPr>
          <w:p w14:paraId="3D691A5E">
            <w:pPr>
              <w:adjustRightInd w:val="0"/>
              <w:spacing w:line="360" w:lineRule="auto"/>
              <w:jc w:val="center"/>
              <w:textAlignment w:val="baseline"/>
              <w:rPr>
                <w:rFonts w:hint="eastAsia" w:ascii="宋体" w:hAnsi="宋体"/>
                <w:b/>
                <w:szCs w:val="21"/>
              </w:rPr>
            </w:pPr>
            <w:r>
              <w:rPr>
                <w:rFonts w:ascii="宋体" w:hAnsi="宋体"/>
                <w:b/>
                <w:szCs w:val="21"/>
              </w:rPr>
              <w:t>3</w:t>
            </w:r>
          </w:p>
        </w:tc>
        <w:tc>
          <w:tcPr>
            <w:tcW w:w="691" w:type="dxa"/>
            <w:vMerge w:val="restart"/>
            <w:vAlign w:val="center"/>
          </w:tcPr>
          <w:p w14:paraId="04254BBD">
            <w:pPr>
              <w:spacing w:line="360" w:lineRule="auto"/>
              <w:jc w:val="center"/>
              <w:rPr>
                <w:rFonts w:hint="eastAsia" w:ascii="宋体" w:hAnsi="宋体" w:cs="宋体"/>
                <w:b/>
                <w:bCs/>
                <w:szCs w:val="20"/>
              </w:rPr>
            </w:pPr>
            <w:r>
              <w:rPr>
                <w:rFonts w:hint="eastAsia" w:ascii="宋体" w:hAnsi="宋体" w:cs="宋体"/>
                <w:b/>
                <w:bCs/>
                <w:szCs w:val="20"/>
              </w:rPr>
              <w:t>商务分</w:t>
            </w:r>
          </w:p>
        </w:tc>
        <w:tc>
          <w:tcPr>
            <w:tcW w:w="683" w:type="dxa"/>
            <w:vMerge w:val="restart"/>
            <w:vAlign w:val="center"/>
          </w:tcPr>
          <w:p w14:paraId="25D73EFE">
            <w:pPr>
              <w:spacing w:line="360" w:lineRule="auto"/>
              <w:jc w:val="center"/>
              <w:rPr>
                <w:rFonts w:hint="eastAsia" w:ascii="宋体" w:hAnsi="宋体" w:cs="宋体"/>
                <w:b/>
                <w:bCs/>
                <w:szCs w:val="20"/>
              </w:rPr>
            </w:pPr>
            <w:r>
              <w:rPr>
                <w:rFonts w:ascii="宋体" w:hAnsi="宋体" w:cs="宋体"/>
                <w:b/>
                <w:bCs/>
                <w:szCs w:val="20"/>
              </w:rPr>
              <w:t>40</w:t>
            </w:r>
            <w:r>
              <w:rPr>
                <w:rFonts w:hint="eastAsia" w:ascii="宋体" w:hAnsi="宋体" w:cs="宋体"/>
                <w:b/>
                <w:bCs/>
                <w:szCs w:val="20"/>
              </w:rPr>
              <w:t>分</w:t>
            </w:r>
          </w:p>
          <w:p w14:paraId="4D986BFE">
            <w:pPr>
              <w:spacing w:line="360" w:lineRule="atLeast"/>
              <w:jc w:val="center"/>
              <w:rPr>
                <w:rFonts w:hint="eastAsia" w:ascii="宋体" w:hAnsi="宋体" w:cs="宋体"/>
                <w:b/>
                <w:bCs/>
                <w:szCs w:val="20"/>
              </w:rPr>
            </w:pPr>
          </w:p>
        </w:tc>
        <w:tc>
          <w:tcPr>
            <w:tcW w:w="1166" w:type="dxa"/>
            <w:vAlign w:val="center"/>
          </w:tcPr>
          <w:p w14:paraId="6B73C151">
            <w:pPr>
              <w:spacing w:line="360" w:lineRule="auto"/>
              <w:rPr>
                <w:rFonts w:hint="eastAsia" w:ascii="宋体" w:hAnsi="宋体" w:cs="宋体"/>
                <w:b/>
                <w:bCs/>
                <w:szCs w:val="20"/>
              </w:rPr>
            </w:pPr>
            <w:r>
              <w:rPr>
                <w:rFonts w:hint="eastAsia" w:ascii="宋体" w:hAnsi="宋体" w:cs="宋体"/>
                <w:b/>
                <w:bCs/>
                <w:szCs w:val="20"/>
              </w:rPr>
              <w:t>同类业绩（</w:t>
            </w:r>
            <w:r>
              <w:rPr>
                <w:rFonts w:hint="eastAsia" w:hAnsi="宋体" w:cs="宋体"/>
                <w:b/>
                <w:color w:val="000000"/>
                <w:szCs w:val="21"/>
              </w:rPr>
              <w:t>满分</w:t>
            </w:r>
            <w:r>
              <w:rPr>
                <w:rFonts w:ascii="宋体" w:hAnsi="宋体" w:cs="宋体"/>
                <w:b/>
                <w:bCs/>
                <w:szCs w:val="20"/>
              </w:rPr>
              <w:t>1</w:t>
            </w:r>
            <w:r>
              <w:rPr>
                <w:rFonts w:hint="eastAsia" w:ascii="宋体" w:hAnsi="宋体" w:cs="宋体"/>
                <w:b/>
                <w:bCs/>
                <w:szCs w:val="20"/>
              </w:rPr>
              <w:t>5分）</w:t>
            </w:r>
          </w:p>
        </w:tc>
        <w:tc>
          <w:tcPr>
            <w:tcW w:w="7048" w:type="dxa"/>
            <w:vAlign w:val="center"/>
          </w:tcPr>
          <w:p w14:paraId="52CC3CA8">
            <w:pPr>
              <w:spacing w:line="400" w:lineRule="atLeast"/>
              <w:jc w:val="left"/>
              <w:rPr>
                <w:rFonts w:hint="eastAsia" w:ascii="宋体" w:hAnsi="宋体" w:cs="宋体"/>
                <w:szCs w:val="20"/>
              </w:rPr>
            </w:pPr>
            <w:r>
              <w:rPr>
                <w:rFonts w:hint="eastAsia" w:ascii="宋体" w:hAnsi="宋体" w:eastAsia="宋体" w:cs="宋体"/>
                <w:szCs w:val="20"/>
              </w:rPr>
              <w:t>标人或产品供应商</w:t>
            </w:r>
            <w:r>
              <w:rPr>
                <w:rFonts w:hint="eastAsia" w:ascii="宋体" w:hAnsi="宋体" w:eastAsia="宋体" w:cs="宋体"/>
                <w:color w:val="auto"/>
                <w:szCs w:val="20"/>
              </w:rPr>
              <w:t>具有统一支付对账平台、临床决策支持系统、数据中心、集成平台、单病种质量监测系统</w:t>
            </w:r>
            <w:r>
              <w:rPr>
                <w:rFonts w:hint="eastAsia" w:ascii="宋体" w:hAnsi="宋体" w:cs="宋体"/>
                <w:color w:val="auto"/>
                <w:szCs w:val="20"/>
                <w:lang w:eastAsia="zh-CN"/>
              </w:rPr>
              <w:t>等</w:t>
            </w:r>
            <w:r>
              <w:rPr>
                <w:rFonts w:hint="eastAsia" w:ascii="宋体" w:hAnsi="宋体" w:eastAsia="宋体" w:cs="宋体"/>
                <w:color w:val="auto"/>
                <w:szCs w:val="20"/>
              </w:rPr>
              <w:t>同类案例，每</w:t>
            </w:r>
            <w:r>
              <w:rPr>
                <w:rFonts w:hint="eastAsia" w:ascii="宋体" w:hAnsi="宋体" w:eastAsia="宋体" w:cs="宋体"/>
                <w:szCs w:val="20"/>
              </w:rPr>
              <w:t>个系统每提供1个案例得1分，每个系统最多得3分，满分15分。提供合同证明材料加盖投标人公章。</w:t>
            </w:r>
          </w:p>
        </w:tc>
      </w:tr>
      <w:tr w14:paraId="2B4A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continue"/>
            <w:vAlign w:val="center"/>
          </w:tcPr>
          <w:p w14:paraId="2C7AFBD2">
            <w:pPr>
              <w:adjustRightInd w:val="0"/>
              <w:spacing w:line="360" w:lineRule="auto"/>
              <w:jc w:val="center"/>
              <w:textAlignment w:val="baseline"/>
              <w:rPr>
                <w:rFonts w:hint="eastAsia" w:ascii="宋体" w:hAnsi="宋体"/>
                <w:b/>
                <w:szCs w:val="21"/>
              </w:rPr>
            </w:pPr>
          </w:p>
        </w:tc>
        <w:tc>
          <w:tcPr>
            <w:tcW w:w="691" w:type="dxa"/>
            <w:vMerge w:val="continue"/>
            <w:vAlign w:val="center"/>
          </w:tcPr>
          <w:p w14:paraId="051B7FC9">
            <w:pPr>
              <w:spacing w:line="360" w:lineRule="auto"/>
              <w:jc w:val="center"/>
              <w:rPr>
                <w:rFonts w:hint="eastAsia" w:ascii="宋体" w:hAnsi="宋体" w:cs="宋体"/>
                <w:b/>
                <w:bCs/>
                <w:szCs w:val="20"/>
              </w:rPr>
            </w:pPr>
          </w:p>
        </w:tc>
        <w:tc>
          <w:tcPr>
            <w:tcW w:w="683" w:type="dxa"/>
            <w:vMerge w:val="continue"/>
            <w:vAlign w:val="center"/>
          </w:tcPr>
          <w:p w14:paraId="0B01F161">
            <w:pPr>
              <w:spacing w:line="360" w:lineRule="atLeast"/>
              <w:jc w:val="center"/>
              <w:rPr>
                <w:rFonts w:hint="eastAsia" w:ascii="宋体" w:hAnsi="宋体" w:cs="宋体"/>
                <w:b/>
                <w:bCs/>
                <w:szCs w:val="20"/>
              </w:rPr>
            </w:pPr>
          </w:p>
        </w:tc>
        <w:tc>
          <w:tcPr>
            <w:tcW w:w="1166" w:type="dxa"/>
            <w:vAlign w:val="center"/>
          </w:tcPr>
          <w:p w14:paraId="6495C1EB">
            <w:pPr>
              <w:spacing w:line="360" w:lineRule="auto"/>
              <w:jc w:val="center"/>
              <w:rPr>
                <w:rFonts w:hint="eastAsia" w:ascii="宋体" w:hAnsi="宋体" w:cs="宋体"/>
                <w:b/>
                <w:bCs/>
                <w:szCs w:val="20"/>
              </w:rPr>
            </w:pPr>
            <w:r>
              <w:rPr>
                <w:rFonts w:hint="eastAsia" w:ascii="宋体" w:hAnsi="宋体" w:cs="宋体"/>
                <w:b/>
                <w:bCs/>
                <w:szCs w:val="20"/>
              </w:rPr>
              <w:t>信誉分（</w:t>
            </w:r>
            <w:r>
              <w:rPr>
                <w:rFonts w:hint="eastAsia" w:hAnsi="宋体" w:cs="宋体"/>
                <w:b/>
                <w:color w:val="000000"/>
                <w:szCs w:val="21"/>
              </w:rPr>
              <w:t>满分</w:t>
            </w:r>
            <w:r>
              <w:rPr>
                <w:rFonts w:hint="eastAsia" w:ascii="宋体" w:hAnsi="宋体" w:cs="宋体"/>
                <w:b/>
                <w:bCs/>
                <w:szCs w:val="20"/>
              </w:rPr>
              <w:t>4分）</w:t>
            </w:r>
          </w:p>
        </w:tc>
        <w:tc>
          <w:tcPr>
            <w:tcW w:w="7048" w:type="dxa"/>
            <w:vAlign w:val="center"/>
          </w:tcPr>
          <w:p w14:paraId="603D509A">
            <w:pPr>
              <w:spacing w:line="400" w:lineRule="atLeast"/>
              <w:jc w:val="left"/>
              <w:rPr>
                <w:rFonts w:hint="eastAsia" w:ascii="宋体" w:hAnsi="宋体" w:cs="宋体"/>
                <w:szCs w:val="20"/>
              </w:rPr>
            </w:pPr>
            <w:r>
              <w:rPr>
                <w:rFonts w:hint="eastAsia" w:ascii="宋体" w:hAnsi="宋体" w:cs="宋体"/>
                <w:szCs w:val="20"/>
              </w:rPr>
              <w:t>投标人或核心产品服务商具有ISO9001质量管理体系认证证书、ISO27001信息安全管理体系认证证书、ISO20000信息技术服务管理体系认证证书、ISO38505数据治理管理体系认证证书。每提供1项得1分，最多得4分，提供证书复印件加盖投标人公章。</w:t>
            </w:r>
          </w:p>
        </w:tc>
      </w:tr>
      <w:tr w14:paraId="7652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continue"/>
            <w:vAlign w:val="center"/>
          </w:tcPr>
          <w:p w14:paraId="51858F16">
            <w:pPr>
              <w:adjustRightInd w:val="0"/>
              <w:spacing w:line="360" w:lineRule="auto"/>
              <w:jc w:val="center"/>
              <w:textAlignment w:val="baseline"/>
              <w:rPr>
                <w:rFonts w:hint="eastAsia" w:ascii="宋体" w:hAnsi="宋体"/>
                <w:b/>
                <w:szCs w:val="21"/>
              </w:rPr>
            </w:pPr>
          </w:p>
        </w:tc>
        <w:tc>
          <w:tcPr>
            <w:tcW w:w="691" w:type="dxa"/>
            <w:vMerge w:val="continue"/>
            <w:vAlign w:val="center"/>
          </w:tcPr>
          <w:p w14:paraId="0BCF1FBA">
            <w:pPr>
              <w:spacing w:line="360" w:lineRule="auto"/>
              <w:jc w:val="center"/>
              <w:rPr>
                <w:rFonts w:hint="eastAsia" w:ascii="宋体" w:hAnsi="宋体" w:cs="宋体"/>
                <w:b/>
                <w:bCs/>
                <w:szCs w:val="20"/>
              </w:rPr>
            </w:pPr>
          </w:p>
        </w:tc>
        <w:tc>
          <w:tcPr>
            <w:tcW w:w="683" w:type="dxa"/>
            <w:vMerge w:val="continue"/>
            <w:vAlign w:val="center"/>
          </w:tcPr>
          <w:p w14:paraId="2400E928">
            <w:pPr>
              <w:spacing w:line="360" w:lineRule="atLeast"/>
              <w:jc w:val="center"/>
              <w:rPr>
                <w:rFonts w:hint="eastAsia" w:ascii="宋体" w:hAnsi="宋体" w:cs="宋体"/>
                <w:b/>
                <w:bCs/>
                <w:szCs w:val="20"/>
              </w:rPr>
            </w:pPr>
          </w:p>
        </w:tc>
        <w:tc>
          <w:tcPr>
            <w:tcW w:w="1166" w:type="dxa"/>
            <w:vAlign w:val="center"/>
          </w:tcPr>
          <w:p w14:paraId="51FD5B0D">
            <w:pPr>
              <w:spacing w:line="360" w:lineRule="auto"/>
              <w:jc w:val="center"/>
              <w:rPr>
                <w:rFonts w:hint="eastAsia" w:ascii="宋体" w:hAnsi="宋体" w:cs="宋体"/>
                <w:b/>
                <w:bCs/>
                <w:szCs w:val="20"/>
              </w:rPr>
            </w:pPr>
            <w:r>
              <w:rPr>
                <w:rFonts w:hint="eastAsia" w:ascii="宋体" w:hAnsi="宋体" w:cs="宋体"/>
                <w:b/>
                <w:bCs/>
                <w:szCs w:val="20"/>
              </w:rPr>
              <w:t>产品测试（</w:t>
            </w:r>
            <w:r>
              <w:rPr>
                <w:rFonts w:hint="eastAsia" w:hAnsi="宋体" w:cs="宋体"/>
                <w:b/>
                <w:color w:val="000000"/>
                <w:szCs w:val="21"/>
              </w:rPr>
              <w:t>满分</w:t>
            </w:r>
            <w:r>
              <w:rPr>
                <w:rFonts w:hint="eastAsia" w:ascii="宋体" w:hAnsi="宋体" w:cs="宋体"/>
                <w:b/>
                <w:bCs/>
                <w:szCs w:val="20"/>
              </w:rPr>
              <w:t>6分）</w:t>
            </w:r>
          </w:p>
        </w:tc>
        <w:tc>
          <w:tcPr>
            <w:tcW w:w="7048" w:type="dxa"/>
            <w:vAlign w:val="center"/>
          </w:tcPr>
          <w:p w14:paraId="7F9AF269">
            <w:pPr>
              <w:spacing w:line="400" w:lineRule="atLeast"/>
              <w:jc w:val="left"/>
              <w:rPr>
                <w:rFonts w:hint="eastAsia" w:ascii="宋体" w:hAnsi="宋体" w:cs="宋体"/>
                <w:szCs w:val="20"/>
              </w:rPr>
            </w:pPr>
            <w:r>
              <w:rPr>
                <w:rFonts w:hint="eastAsia" w:ascii="宋体" w:hAnsi="宋体" w:cs="宋体"/>
                <w:szCs w:val="20"/>
              </w:rPr>
              <w:t>所投产品具有统一对账平台、统一支付平台、手术麻醉临床信息系统、治疗管理系统、临床知识库、单病种质量监测系统经软件评测机构检测通过的测试报告，每提供1个产品的测试报告得1分，满分6分。提供测试报告复印件加盖投标人公章。产品名称可以略有不同，但是必须是功能相同的产品。</w:t>
            </w:r>
          </w:p>
        </w:tc>
      </w:tr>
      <w:tr w14:paraId="6D81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continue"/>
            <w:vAlign w:val="center"/>
          </w:tcPr>
          <w:p w14:paraId="5CD869A9">
            <w:pPr>
              <w:adjustRightInd w:val="0"/>
              <w:spacing w:line="360" w:lineRule="auto"/>
              <w:jc w:val="center"/>
              <w:textAlignment w:val="baseline"/>
              <w:rPr>
                <w:rFonts w:hint="eastAsia" w:ascii="宋体" w:hAnsi="宋体"/>
                <w:b/>
                <w:szCs w:val="21"/>
              </w:rPr>
            </w:pPr>
          </w:p>
        </w:tc>
        <w:tc>
          <w:tcPr>
            <w:tcW w:w="691" w:type="dxa"/>
            <w:vMerge w:val="continue"/>
            <w:vAlign w:val="center"/>
          </w:tcPr>
          <w:p w14:paraId="755A7333">
            <w:pPr>
              <w:spacing w:line="360" w:lineRule="auto"/>
              <w:jc w:val="center"/>
              <w:rPr>
                <w:rFonts w:hint="eastAsia" w:ascii="宋体" w:hAnsi="宋体" w:cs="宋体"/>
                <w:b/>
                <w:bCs/>
                <w:szCs w:val="20"/>
              </w:rPr>
            </w:pPr>
          </w:p>
        </w:tc>
        <w:tc>
          <w:tcPr>
            <w:tcW w:w="683" w:type="dxa"/>
            <w:vMerge w:val="continue"/>
            <w:vAlign w:val="center"/>
          </w:tcPr>
          <w:p w14:paraId="2A026091">
            <w:pPr>
              <w:spacing w:line="360" w:lineRule="atLeast"/>
              <w:jc w:val="center"/>
              <w:rPr>
                <w:rFonts w:hint="eastAsia" w:ascii="宋体" w:hAnsi="宋体" w:cs="宋体"/>
                <w:b/>
                <w:bCs/>
                <w:szCs w:val="20"/>
              </w:rPr>
            </w:pPr>
          </w:p>
        </w:tc>
        <w:tc>
          <w:tcPr>
            <w:tcW w:w="1166" w:type="dxa"/>
            <w:vAlign w:val="center"/>
          </w:tcPr>
          <w:p w14:paraId="383F6A07">
            <w:pPr>
              <w:spacing w:line="360" w:lineRule="auto"/>
              <w:rPr>
                <w:rFonts w:hint="eastAsia" w:ascii="宋体" w:hAnsi="宋体" w:cs="宋体"/>
                <w:b/>
                <w:bCs/>
                <w:szCs w:val="20"/>
              </w:rPr>
            </w:pPr>
            <w:r>
              <w:rPr>
                <w:rFonts w:hint="eastAsia" w:ascii="宋体" w:hAnsi="宋体" w:cs="宋体"/>
                <w:b/>
                <w:bCs/>
                <w:szCs w:val="20"/>
              </w:rPr>
              <w:t>知识产权（</w:t>
            </w:r>
            <w:r>
              <w:rPr>
                <w:rFonts w:hint="eastAsia" w:hAnsi="宋体" w:cs="宋体"/>
                <w:b/>
                <w:color w:val="000000"/>
                <w:szCs w:val="21"/>
              </w:rPr>
              <w:t>满分</w:t>
            </w:r>
            <w:r>
              <w:rPr>
                <w:rFonts w:hint="eastAsia" w:ascii="宋体" w:hAnsi="宋体" w:cs="宋体"/>
                <w:b/>
                <w:bCs/>
                <w:szCs w:val="20"/>
              </w:rPr>
              <w:t>11分）</w:t>
            </w:r>
          </w:p>
        </w:tc>
        <w:tc>
          <w:tcPr>
            <w:tcW w:w="7048" w:type="dxa"/>
            <w:vAlign w:val="center"/>
          </w:tcPr>
          <w:p w14:paraId="73D34FBA">
            <w:pPr>
              <w:spacing w:line="360" w:lineRule="auto"/>
              <w:rPr>
                <w:rFonts w:hint="eastAsia" w:ascii="宋体" w:hAnsi="宋体" w:cs="宋体"/>
              </w:rPr>
            </w:pPr>
            <w:r>
              <w:rPr>
                <w:rFonts w:hint="eastAsia" w:ascii="宋体" w:hAnsi="宋体" w:cs="宋体"/>
              </w:rPr>
              <w:t>按照国家相关政策规定及招标文件建设内容要求，以及招标人对医院未来电子病历管理及应用水平建设的要求，要求投标人或产品供应商自身具有以下与本次建设内容相关的软件著作权证书：统一对账平台、统一支付平台、手术麻醉临床信息系统、治疗管理系统、临床知识库、手术分级管理系统、抗生素分级管理系统、合理用药系统、医院感染实时监控管理系统、主数据管理、单病种质量监测系统。</w:t>
            </w:r>
          </w:p>
          <w:p w14:paraId="0CA693D3">
            <w:pPr>
              <w:spacing w:line="360" w:lineRule="auto"/>
              <w:rPr>
                <w:rFonts w:hint="eastAsia" w:ascii="宋体" w:hAnsi="宋体" w:cs="宋体"/>
                <w:b/>
                <w:bCs/>
                <w:szCs w:val="20"/>
              </w:rPr>
            </w:pPr>
            <w:r>
              <w:rPr>
                <w:rFonts w:hint="eastAsia" w:ascii="宋体" w:hAnsi="等线" w:cs="宋体"/>
                <w:kern w:val="0"/>
                <w:sz w:val="22"/>
              </w:rPr>
              <w:t>每提供一个证书得</w:t>
            </w:r>
            <w:r>
              <w:rPr>
                <w:rFonts w:ascii="宋体" w:hAnsi="等线" w:cs="宋体"/>
                <w:kern w:val="0"/>
                <w:sz w:val="22"/>
              </w:rPr>
              <w:t>1</w:t>
            </w:r>
            <w:r>
              <w:rPr>
                <w:rFonts w:hint="eastAsia" w:ascii="宋体" w:hAnsi="等线" w:cs="宋体"/>
                <w:kern w:val="0"/>
                <w:sz w:val="22"/>
              </w:rPr>
              <w:t>分，满分</w:t>
            </w:r>
            <w:r>
              <w:rPr>
                <w:rFonts w:ascii="宋体" w:hAnsi="等线" w:cs="宋体"/>
                <w:kern w:val="0"/>
                <w:sz w:val="22"/>
              </w:rPr>
              <w:t>1</w:t>
            </w:r>
            <w:r>
              <w:rPr>
                <w:rFonts w:hint="eastAsia" w:ascii="宋体" w:hAnsi="等线" w:cs="宋体"/>
                <w:kern w:val="0"/>
                <w:sz w:val="22"/>
              </w:rPr>
              <w:t>1分</w:t>
            </w:r>
            <w:r>
              <w:rPr>
                <w:rFonts w:hint="eastAsia" w:ascii="宋体" w:hAnsi="宋体" w:cs="宋体"/>
                <w:kern w:val="0"/>
                <w:szCs w:val="21"/>
              </w:rPr>
              <w:t>。计算机软件著作权登记证书</w:t>
            </w:r>
            <w:r>
              <w:rPr>
                <w:rFonts w:hint="eastAsia" w:ascii="宋体" w:hAnsi="宋体" w:cs="宋体"/>
                <w:color w:val="000000"/>
                <w:kern w:val="0"/>
                <w:szCs w:val="21"/>
              </w:rPr>
              <w:t>必须在本招标文件发布之前取得</w:t>
            </w:r>
            <w:r>
              <w:rPr>
                <w:rFonts w:hint="eastAsia" w:ascii="宋体" w:hAnsi="宋体" w:cs="宋体"/>
                <w:kern w:val="0"/>
                <w:szCs w:val="21"/>
              </w:rPr>
              <w:t>，以提供著作权登记证书复印件加盖投标人公章为准。产品名称可以略有不同，但是必须是功能相同的产品。</w:t>
            </w:r>
          </w:p>
        </w:tc>
      </w:tr>
      <w:tr w14:paraId="79D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 w:type="dxa"/>
            <w:vMerge w:val="continue"/>
            <w:vAlign w:val="center"/>
          </w:tcPr>
          <w:p w14:paraId="2690A2AD">
            <w:pPr>
              <w:adjustRightInd w:val="0"/>
              <w:spacing w:line="360" w:lineRule="auto"/>
              <w:jc w:val="center"/>
              <w:textAlignment w:val="baseline"/>
              <w:rPr>
                <w:rFonts w:hint="eastAsia" w:ascii="宋体" w:hAnsi="宋体"/>
                <w:b/>
                <w:szCs w:val="21"/>
              </w:rPr>
            </w:pPr>
          </w:p>
        </w:tc>
        <w:tc>
          <w:tcPr>
            <w:tcW w:w="691" w:type="dxa"/>
            <w:vMerge w:val="continue"/>
            <w:vAlign w:val="center"/>
          </w:tcPr>
          <w:p w14:paraId="15BD9633">
            <w:pPr>
              <w:spacing w:line="360" w:lineRule="atLeast"/>
              <w:jc w:val="center"/>
              <w:rPr>
                <w:rFonts w:hint="eastAsia" w:ascii="宋体" w:hAnsi="宋体" w:cs="宋体"/>
                <w:b/>
                <w:bCs/>
                <w:szCs w:val="20"/>
              </w:rPr>
            </w:pPr>
          </w:p>
        </w:tc>
        <w:tc>
          <w:tcPr>
            <w:tcW w:w="683" w:type="dxa"/>
            <w:vMerge w:val="continue"/>
            <w:vAlign w:val="center"/>
          </w:tcPr>
          <w:p w14:paraId="2537E3B8">
            <w:pPr>
              <w:spacing w:line="360" w:lineRule="auto"/>
              <w:jc w:val="center"/>
              <w:rPr>
                <w:rFonts w:hint="eastAsia" w:ascii="宋体" w:hAnsi="宋体" w:cs="宋体"/>
                <w:b/>
                <w:bCs/>
                <w:szCs w:val="20"/>
              </w:rPr>
            </w:pPr>
          </w:p>
        </w:tc>
        <w:tc>
          <w:tcPr>
            <w:tcW w:w="1166" w:type="dxa"/>
            <w:vAlign w:val="center"/>
          </w:tcPr>
          <w:p w14:paraId="6C27BE5E">
            <w:pPr>
              <w:shd w:val="clear" w:color="auto" w:fill="FFFFFF"/>
              <w:spacing w:line="440" w:lineRule="exact"/>
              <w:rPr>
                <w:rFonts w:hint="eastAsia" w:ascii="宋体" w:hAnsi="宋体" w:cs="宋体"/>
                <w:b/>
                <w:bCs/>
              </w:rPr>
            </w:pPr>
            <w:r>
              <w:rPr>
                <w:rFonts w:hint="eastAsia" w:ascii="宋体" w:hAnsi="宋体" w:cs="宋体"/>
                <w:b/>
                <w:bCs/>
              </w:rPr>
              <w:t>项目人员配备</w:t>
            </w:r>
            <w:r>
              <w:rPr>
                <w:rFonts w:hint="eastAsia" w:ascii="宋体" w:hAnsi="宋体" w:cs="宋体"/>
                <w:b/>
                <w:bCs/>
                <w:szCs w:val="20"/>
              </w:rPr>
              <w:t>（</w:t>
            </w:r>
            <w:r>
              <w:rPr>
                <w:rFonts w:hint="eastAsia" w:hAnsi="宋体" w:cs="宋体"/>
                <w:b/>
                <w:color w:val="000000"/>
                <w:szCs w:val="21"/>
              </w:rPr>
              <w:t>满分</w:t>
            </w:r>
            <w:r>
              <w:rPr>
                <w:rFonts w:ascii="宋体" w:hAnsi="宋体" w:cs="宋体"/>
                <w:b/>
                <w:bCs/>
                <w:szCs w:val="20"/>
              </w:rPr>
              <w:t>4</w:t>
            </w:r>
            <w:r>
              <w:rPr>
                <w:rFonts w:hint="eastAsia" w:ascii="宋体" w:hAnsi="宋体" w:cs="宋体"/>
                <w:b/>
                <w:bCs/>
                <w:szCs w:val="20"/>
              </w:rPr>
              <w:t>分）</w:t>
            </w:r>
          </w:p>
        </w:tc>
        <w:tc>
          <w:tcPr>
            <w:tcW w:w="7048" w:type="dxa"/>
            <w:vAlign w:val="center"/>
          </w:tcPr>
          <w:p w14:paraId="4BBF02A6">
            <w:pPr>
              <w:shd w:val="clear" w:color="auto" w:fill="FFFFFF"/>
              <w:spacing w:line="440" w:lineRule="exact"/>
              <w:rPr>
                <w:rFonts w:hint="eastAsia" w:ascii="宋体" w:hAnsi="宋体" w:cs="宋体"/>
              </w:rPr>
            </w:pPr>
            <w:r>
              <w:rPr>
                <w:rFonts w:hint="eastAsia" w:ascii="宋体" w:hAnsi="宋体" w:cs="宋体"/>
                <w:bCs/>
              </w:rPr>
              <w:t>投标人或</w:t>
            </w:r>
            <w:r>
              <w:rPr>
                <w:rFonts w:hint="eastAsia" w:ascii="宋体" w:hAnsi="宋体" w:cs="宋体"/>
              </w:rPr>
              <w:t>核心产品服务商</w:t>
            </w:r>
            <w:r>
              <w:rPr>
                <w:rFonts w:hint="eastAsia" w:ascii="宋体" w:hAnsi="宋体" w:cs="宋体"/>
                <w:bCs/>
              </w:rPr>
              <w:t>的项目团队中具有高级信息系统项目管理师、信息安全规划师、系统集成项目管理工程师、软件设计师、网络工程师、软件测试工程师、</w:t>
            </w:r>
            <w:r>
              <w:rPr>
                <w:rFonts w:hint="eastAsia" w:ascii="宋体" w:hAnsi="宋体" w:cs="宋体"/>
                <w:bCs/>
                <w:color w:val="auto"/>
              </w:rPr>
              <w:t>数据库认证专家（OCP）、高级系统架构师、高级系统分析师全部提供得</w:t>
            </w:r>
            <w:r>
              <w:rPr>
                <w:rFonts w:ascii="宋体" w:hAnsi="宋体" w:cs="宋体"/>
                <w:bCs/>
                <w:color w:val="auto"/>
              </w:rPr>
              <w:t>4</w:t>
            </w:r>
            <w:r>
              <w:rPr>
                <w:rFonts w:hint="eastAsia" w:ascii="宋体" w:hAnsi="宋体" w:cs="宋体"/>
                <w:bCs/>
                <w:color w:val="auto"/>
              </w:rPr>
              <w:t>分，每缺一项扣1分，扣完为止。【须提供相关证书复印件和投标人或</w:t>
            </w:r>
            <w:r>
              <w:rPr>
                <w:rFonts w:hint="eastAsia" w:ascii="宋体" w:hAnsi="宋体" w:cs="宋体"/>
                <w:color w:val="auto"/>
              </w:rPr>
              <w:t>核心产品服务商</w:t>
            </w:r>
            <w:r>
              <w:rPr>
                <w:rFonts w:hint="eastAsia" w:ascii="宋体" w:hAnsi="宋体" w:cs="宋体"/>
                <w:bCs/>
                <w:color w:val="auto"/>
              </w:rPr>
              <w:t>为相关人员缴交的投标前6个月中任一个月的社保证明，并加盖投标人公章】。</w:t>
            </w:r>
          </w:p>
        </w:tc>
      </w:tr>
      <w:tr w14:paraId="2287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6" w:type="dxa"/>
            <w:gridSpan w:val="4"/>
            <w:vAlign w:val="center"/>
          </w:tcPr>
          <w:p w14:paraId="0F9E610B">
            <w:pPr>
              <w:spacing w:line="360" w:lineRule="auto"/>
              <w:rPr>
                <w:rFonts w:hint="eastAsia" w:ascii="宋体" w:hAnsi="宋体" w:cs="Courier New"/>
                <w:bCs/>
                <w:szCs w:val="21"/>
              </w:rPr>
            </w:pPr>
            <w:r>
              <w:rPr>
                <w:rFonts w:hint="eastAsia" w:ascii="宋体" w:hAnsi="宋体" w:cs="宋体"/>
                <w:b/>
                <w:bCs/>
                <w:kern w:val="0"/>
                <w:sz w:val="20"/>
                <w:szCs w:val="21"/>
              </w:rPr>
              <w:t>总得分=1+2+3。</w:t>
            </w:r>
          </w:p>
        </w:tc>
        <w:tc>
          <w:tcPr>
            <w:tcW w:w="7048" w:type="dxa"/>
            <w:vAlign w:val="center"/>
          </w:tcPr>
          <w:p w14:paraId="49FDA3F5">
            <w:pPr>
              <w:spacing w:line="360" w:lineRule="auto"/>
              <w:rPr>
                <w:rFonts w:hint="eastAsia" w:ascii="宋体" w:hAnsi="宋体" w:cs="Courier New"/>
                <w:b/>
                <w:bCs/>
                <w:szCs w:val="21"/>
              </w:rPr>
            </w:pPr>
          </w:p>
        </w:tc>
      </w:tr>
    </w:tbl>
    <w:p w14:paraId="50D07B32"/>
    <w:p w14:paraId="69131876">
      <w:pPr>
        <w:pStyle w:val="17"/>
        <w:spacing w:line="360" w:lineRule="auto"/>
        <w:ind w:firstLine="420"/>
        <w:rPr>
          <w:rFonts w:hint="eastAsia" w:hAnsi="宋体"/>
          <w:bCs/>
          <w:sz w:val="21"/>
        </w:rPr>
      </w:pPr>
      <w:r>
        <w:rPr>
          <w:rFonts w:hint="eastAsia" w:hAnsi="宋体"/>
          <w:bCs/>
          <w:sz w:val="21"/>
        </w:rPr>
        <w:t>注：1.计分方法按四舍五入取至百分位；</w:t>
      </w:r>
    </w:p>
    <w:p w14:paraId="1C9E44E8">
      <w:pPr>
        <w:pStyle w:val="17"/>
        <w:numPr>
          <w:ilvl w:val="0"/>
          <w:numId w:val="9"/>
        </w:numPr>
        <w:spacing w:line="360" w:lineRule="auto"/>
        <w:rPr>
          <w:rFonts w:hint="eastAsia" w:hAnsi="宋体"/>
          <w:bCs/>
          <w:sz w:val="21"/>
        </w:rPr>
      </w:pPr>
      <w:r>
        <w:rPr>
          <w:rFonts w:hint="eastAsia" w:hAnsi="宋体"/>
          <w:bCs/>
          <w:sz w:val="21"/>
        </w:rPr>
        <w:t>因落实政府采购政策进行价格调整的，以调整后的价格计算评标基准价和投标报价。</w:t>
      </w:r>
    </w:p>
    <w:p w14:paraId="7EC62A2E">
      <w:pPr>
        <w:widowControl/>
        <w:jc w:val="left"/>
        <w:rPr>
          <w:b/>
          <w:bCs/>
          <w:kern w:val="0"/>
          <w:sz w:val="30"/>
          <w:szCs w:val="30"/>
        </w:rPr>
      </w:pPr>
      <w:r>
        <w:rPr>
          <w:sz w:val="30"/>
          <w:szCs w:val="30"/>
        </w:rPr>
        <w:br w:type="page"/>
      </w:r>
    </w:p>
    <w:p w14:paraId="134D25DE">
      <w:pPr>
        <w:pStyle w:val="4"/>
        <w:keepNext w:val="0"/>
        <w:keepLines w:val="0"/>
        <w:jc w:val="center"/>
        <w:rPr>
          <w:sz w:val="30"/>
          <w:szCs w:val="30"/>
        </w:rPr>
      </w:pPr>
      <w:r>
        <w:rPr>
          <w:rFonts w:hint="eastAsia"/>
          <w:sz w:val="30"/>
          <w:szCs w:val="30"/>
        </w:rPr>
        <w:t>四、中标候选人推荐原则</w:t>
      </w:r>
    </w:p>
    <w:p w14:paraId="11B27291">
      <w:pPr>
        <w:pStyle w:val="17"/>
        <w:spacing w:line="360" w:lineRule="auto"/>
        <w:contextualSpacing/>
        <w:rPr>
          <w:rFonts w:hint="eastAsia" w:hAnsi="宋体"/>
          <w:b/>
          <w:bCs/>
          <w:sz w:val="24"/>
          <w:szCs w:val="24"/>
        </w:rPr>
      </w:pPr>
      <w:r>
        <w:rPr>
          <w:rFonts w:hint="eastAsia" w:hAnsi="宋体"/>
          <w:b/>
          <w:bCs/>
          <w:sz w:val="24"/>
          <w:szCs w:val="24"/>
        </w:rPr>
        <w:t>（一）综合评分法</w:t>
      </w:r>
    </w:p>
    <w:p w14:paraId="05E1F201">
      <w:pPr>
        <w:pStyle w:val="17"/>
        <w:spacing w:line="360" w:lineRule="auto"/>
        <w:ind w:firstLine="420" w:firstLineChars="200"/>
        <w:contextualSpacing/>
        <w:rPr>
          <w:rFonts w:hint="eastAsia" w:hAnsi="宋体"/>
          <w:sz w:val="21"/>
        </w:rPr>
      </w:pPr>
      <w:r>
        <w:rPr>
          <w:rFonts w:hint="eastAsia" w:hAnsi="宋体"/>
          <w:sz w:val="21"/>
        </w:rPr>
        <w:t>评标委员会将根据总得分由高到低排列次序并推荐中标候选人。得分相同的，按投标报价由低到高顺序排列。得分且投标报价相同的并列，按货物性能、售后服务、履约能力、政策功能得分高低依次确定，推荐排名第一的中标候选人为中标人。</w:t>
      </w:r>
    </w:p>
    <w:p w14:paraId="480DD539">
      <w:pPr>
        <w:pStyle w:val="17"/>
        <w:spacing w:line="360" w:lineRule="auto"/>
        <w:ind w:firstLine="420" w:firstLineChars="200"/>
        <w:contextualSpacing/>
        <w:rPr>
          <w:rFonts w:hint="eastAsia" w:hAnsi="宋体"/>
          <w:sz w:val="21"/>
        </w:rPr>
      </w:pPr>
    </w:p>
    <w:p w14:paraId="55B9C2C6">
      <w:pPr>
        <w:spacing w:before="156" w:beforeLines="50" w:after="156" w:afterLines="50" w:line="400" w:lineRule="exact"/>
        <w:rPr>
          <w:rFonts w:hint="eastAsia" w:ascii="宋体" w:hAnsi="宋体"/>
          <w:b/>
          <w:sz w:val="24"/>
        </w:rPr>
      </w:pPr>
    </w:p>
    <w:p w14:paraId="52720251">
      <w:pPr>
        <w:spacing w:before="156" w:beforeLines="50" w:after="156" w:afterLines="50" w:line="400" w:lineRule="exact"/>
        <w:rPr>
          <w:rFonts w:hint="eastAsia" w:ascii="宋体" w:hAnsi="宋体"/>
          <w:b/>
          <w:sz w:val="24"/>
        </w:rPr>
      </w:pPr>
    </w:p>
    <w:p w14:paraId="7ACFB5D7">
      <w:pPr>
        <w:pStyle w:val="3"/>
        <w:keepNext w:val="0"/>
        <w:keepLines w:val="0"/>
      </w:pPr>
    </w:p>
    <w:p w14:paraId="0D7FDFD6"/>
    <w:p w14:paraId="7DBAC96A">
      <w:pPr>
        <w:pStyle w:val="25"/>
        <w:ind w:firstLine="640"/>
      </w:pPr>
    </w:p>
    <w:p w14:paraId="01CDDBF3">
      <w:pPr>
        <w:pStyle w:val="25"/>
        <w:ind w:firstLine="640"/>
      </w:pPr>
    </w:p>
    <w:p w14:paraId="517BB73E">
      <w:pPr>
        <w:pStyle w:val="25"/>
        <w:ind w:firstLine="640"/>
      </w:pPr>
    </w:p>
    <w:p w14:paraId="1231A7AF">
      <w:pPr>
        <w:pStyle w:val="25"/>
        <w:ind w:firstLine="640"/>
      </w:pPr>
    </w:p>
    <w:p w14:paraId="15FAAD1C">
      <w:pPr>
        <w:pStyle w:val="25"/>
        <w:ind w:firstLine="640"/>
      </w:pPr>
    </w:p>
    <w:p w14:paraId="4CCFB80E">
      <w:pPr>
        <w:pStyle w:val="25"/>
        <w:ind w:firstLine="640"/>
      </w:pPr>
    </w:p>
    <w:p w14:paraId="57D4C35B">
      <w:pPr>
        <w:widowControl/>
        <w:jc w:val="left"/>
        <w:rPr>
          <w:rFonts w:ascii="仿宋_GB2312" w:eastAsia="仿宋_GB2312"/>
          <w:kern w:val="0"/>
          <w:sz w:val="32"/>
          <w:szCs w:val="20"/>
        </w:rPr>
      </w:pPr>
      <w:r>
        <w:br w:type="page"/>
      </w:r>
    </w:p>
    <w:p w14:paraId="185764D6">
      <w:pPr>
        <w:pStyle w:val="25"/>
        <w:ind w:firstLine="640"/>
      </w:pPr>
    </w:p>
    <w:p w14:paraId="6BC412FF">
      <w:pPr>
        <w:pStyle w:val="25"/>
        <w:ind w:firstLine="640"/>
      </w:pPr>
    </w:p>
    <w:p w14:paraId="5C19B5C0">
      <w:pPr>
        <w:pStyle w:val="25"/>
        <w:ind w:firstLine="640"/>
      </w:pPr>
    </w:p>
    <w:p w14:paraId="615E5CFE">
      <w:pPr>
        <w:pStyle w:val="25"/>
        <w:ind w:firstLine="640"/>
      </w:pPr>
    </w:p>
    <w:p w14:paraId="7C2258BB">
      <w:pPr>
        <w:pStyle w:val="3"/>
        <w:keepNext w:val="0"/>
        <w:keepLines w:val="0"/>
        <w:jc w:val="center"/>
      </w:pPr>
    </w:p>
    <w:p w14:paraId="4CB303AE">
      <w:pPr>
        <w:pStyle w:val="2"/>
        <w:jc w:val="center"/>
      </w:pPr>
      <w:bookmarkStart w:id="144" w:name="_Toc74320804"/>
    </w:p>
    <w:p w14:paraId="0AA10CE5">
      <w:pPr>
        <w:pStyle w:val="2"/>
      </w:pPr>
    </w:p>
    <w:p w14:paraId="5F786922">
      <w:pPr>
        <w:pStyle w:val="2"/>
        <w:jc w:val="center"/>
      </w:pPr>
      <w:r>
        <w:rPr>
          <w:rFonts w:hint="eastAsia"/>
        </w:rPr>
        <w:t>第五章  拟签订的合同文本</w:t>
      </w:r>
      <w:bookmarkEnd w:id="144"/>
    </w:p>
    <w:p w14:paraId="2966232E">
      <w:pPr>
        <w:snapToGrid w:val="0"/>
        <w:jc w:val="center"/>
        <w:rPr>
          <w:rFonts w:hint="eastAsia" w:ascii="宋体" w:hAnsi="宋体"/>
          <w:bCs/>
          <w:sz w:val="32"/>
          <w:szCs w:val="32"/>
        </w:rPr>
      </w:pPr>
    </w:p>
    <w:p w14:paraId="4E606FC8">
      <w:pPr>
        <w:snapToGrid w:val="0"/>
        <w:jc w:val="center"/>
        <w:rPr>
          <w:rFonts w:hint="eastAsia" w:ascii="宋体" w:hAnsi="宋体"/>
          <w:bCs/>
          <w:sz w:val="32"/>
          <w:szCs w:val="32"/>
        </w:rPr>
      </w:pPr>
    </w:p>
    <w:p w14:paraId="64AD1DDA">
      <w:pPr>
        <w:snapToGrid w:val="0"/>
        <w:jc w:val="center"/>
        <w:rPr>
          <w:rFonts w:hint="eastAsia" w:ascii="宋体" w:hAnsi="宋体"/>
          <w:bCs/>
          <w:sz w:val="32"/>
          <w:szCs w:val="32"/>
        </w:rPr>
      </w:pPr>
    </w:p>
    <w:p w14:paraId="605F1800">
      <w:pPr>
        <w:snapToGrid w:val="0"/>
        <w:jc w:val="center"/>
        <w:rPr>
          <w:rFonts w:hint="eastAsia" w:ascii="宋体" w:hAnsi="宋体"/>
          <w:bCs/>
          <w:sz w:val="32"/>
          <w:szCs w:val="32"/>
        </w:rPr>
      </w:pPr>
    </w:p>
    <w:p w14:paraId="3B288FBE">
      <w:pPr>
        <w:snapToGrid w:val="0"/>
        <w:jc w:val="center"/>
        <w:rPr>
          <w:rFonts w:hint="eastAsia" w:ascii="宋体" w:hAnsi="宋体"/>
          <w:bCs/>
          <w:sz w:val="32"/>
          <w:szCs w:val="32"/>
        </w:rPr>
      </w:pPr>
    </w:p>
    <w:p w14:paraId="1E1F3A67">
      <w:pPr>
        <w:snapToGrid w:val="0"/>
        <w:jc w:val="center"/>
        <w:rPr>
          <w:rFonts w:hint="eastAsia" w:ascii="宋体" w:hAnsi="宋体"/>
          <w:bCs/>
          <w:sz w:val="32"/>
          <w:szCs w:val="32"/>
        </w:rPr>
      </w:pPr>
    </w:p>
    <w:p w14:paraId="2F1034BF">
      <w:pPr>
        <w:snapToGrid w:val="0"/>
        <w:jc w:val="center"/>
        <w:rPr>
          <w:rFonts w:hint="eastAsia" w:ascii="宋体" w:hAnsi="宋体"/>
          <w:bCs/>
          <w:sz w:val="32"/>
          <w:szCs w:val="32"/>
        </w:rPr>
      </w:pPr>
    </w:p>
    <w:p w14:paraId="1BC44720">
      <w:pPr>
        <w:snapToGrid w:val="0"/>
        <w:jc w:val="center"/>
        <w:rPr>
          <w:rFonts w:hint="eastAsia" w:ascii="宋体" w:hAnsi="宋体"/>
          <w:bCs/>
          <w:sz w:val="32"/>
          <w:szCs w:val="32"/>
        </w:rPr>
      </w:pPr>
    </w:p>
    <w:p w14:paraId="53E951E4">
      <w:pPr>
        <w:snapToGrid w:val="0"/>
        <w:jc w:val="center"/>
        <w:rPr>
          <w:rFonts w:hint="eastAsia" w:ascii="宋体" w:hAnsi="宋体"/>
          <w:bCs/>
          <w:sz w:val="32"/>
          <w:szCs w:val="32"/>
        </w:rPr>
      </w:pPr>
    </w:p>
    <w:p w14:paraId="38F78BAB">
      <w:pPr>
        <w:snapToGrid w:val="0"/>
        <w:jc w:val="center"/>
        <w:rPr>
          <w:rFonts w:hint="eastAsia" w:ascii="宋体" w:hAnsi="宋体"/>
          <w:bCs/>
          <w:sz w:val="32"/>
          <w:szCs w:val="32"/>
        </w:rPr>
      </w:pPr>
    </w:p>
    <w:p w14:paraId="0BB5F1EC">
      <w:pPr>
        <w:snapToGrid w:val="0"/>
        <w:jc w:val="center"/>
        <w:rPr>
          <w:rFonts w:hint="eastAsia" w:ascii="宋体" w:hAnsi="宋体"/>
          <w:bCs/>
          <w:sz w:val="32"/>
          <w:szCs w:val="32"/>
        </w:rPr>
      </w:pPr>
    </w:p>
    <w:p w14:paraId="5E0E9332">
      <w:pPr>
        <w:snapToGrid w:val="0"/>
        <w:jc w:val="center"/>
        <w:rPr>
          <w:rFonts w:hint="eastAsia" w:ascii="宋体" w:hAnsi="宋体"/>
          <w:bCs/>
          <w:sz w:val="32"/>
          <w:szCs w:val="32"/>
        </w:rPr>
      </w:pPr>
    </w:p>
    <w:p w14:paraId="7031C24C">
      <w:pPr>
        <w:snapToGrid w:val="0"/>
        <w:jc w:val="center"/>
        <w:rPr>
          <w:rFonts w:hint="eastAsia" w:ascii="宋体" w:hAnsi="宋体"/>
          <w:szCs w:val="21"/>
        </w:rPr>
      </w:pPr>
      <w:r>
        <w:rPr>
          <w:rFonts w:ascii="宋体" w:hAnsi="宋体"/>
          <w:bCs/>
          <w:sz w:val="32"/>
          <w:szCs w:val="32"/>
        </w:rPr>
        <w:br w:type="page"/>
      </w:r>
      <w:bookmarkStart w:id="145" w:name="_Hlk55381736"/>
      <w:r>
        <w:rPr>
          <w:rFonts w:hint="eastAsia" w:ascii="宋体" w:hAnsi="宋体"/>
          <w:b/>
          <w:sz w:val="32"/>
          <w:szCs w:val="32"/>
        </w:rPr>
        <w:t>广西壮族自治区政府采购合同使用说明</w:t>
      </w:r>
    </w:p>
    <w:p w14:paraId="3FF7D558">
      <w:pPr>
        <w:snapToGrid w:val="0"/>
        <w:spacing w:line="360" w:lineRule="auto"/>
        <w:jc w:val="center"/>
        <w:rPr>
          <w:rFonts w:hint="eastAsia" w:ascii="宋体" w:hAnsi="宋体"/>
          <w:szCs w:val="21"/>
        </w:rPr>
      </w:pPr>
      <w:r>
        <w:rPr>
          <w:rFonts w:hint="eastAsia" w:ascii="宋体" w:hAnsi="宋体"/>
          <w:szCs w:val="21"/>
        </w:rPr>
        <w:t>（一般货物类）</w:t>
      </w:r>
    </w:p>
    <w:p w14:paraId="21C07500">
      <w:pPr>
        <w:snapToGrid w:val="0"/>
        <w:spacing w:line="360" w:lineRule="auto"/>
        <w:jc w:val="center"/>
        <w:rPr>
          <w:rFonts w:hint="eastAsia" w:ascii="宋体" w:hAnsi="宋体"/>
          <w:szCs w:val="21"/>
        </w:rPr>
      </w:pPr>
    </w:p>
    <w:p w14:paraId="6F554748">
      <w:pPr>
        <w:snapToGrid w:val="0"/>
        <w:spacing w:line="360" w:lineRule="auto"/>
        <w:ind w:firstLine="630"/>
        <w:rPr>
          <w:rFonts w:hint="eastAsia" w:ascii="宋体" w:hAnsi="宋体"/>
          <w:szCs w:val="21"/>
        </w:rPr>
      </w:pPr>
      <w:r>
        <w:rPr>
          <w:rFonts w:hint="eastAsia" w:ascii="宋体" w:hAnsi="宋体"/>
          <w:szCs w:val="21"/>
        </w:rPr>
        <w:t>《政府采购合同》是对招标文件规定或者投标文件承诺的中货物和服务要约事项的细化和补充，所签订的合同不得对招标文件和中标人投标文件作实质性修改；招标过程中有关项目标的性状的重要澄清和承诺事项必须在合同相应条款中予以明确表达。采购人和中标人不得提出任何不合理的要求作为签订合同的条件；不得私下订立背离招标文件实质性内容的协议。</w:t>
      </w:r>
    </w:p>
    <w:p w14:paraId="359C7D88">
      <w:pPr>
        <w:snapToGrid w:val="0"/>
        <w:spacing w:line="360" w:lineRule="auto"/>
        <w:ind w:firstLine="413" w:firstLineChars="196"/>
        <w:rPr>
          <w:rFonts w:hint="eastAsia" w:ascii="宋体" w:hAnsi="宋体"/>
          <w:b/>
          <w:szCs w:val="21"/>
        </w:rPr>
      </w:pPr>
      <w:r>
        <w:rPr>
          <w:rFonts w:hint="eastAsia" w:ascii="宋体" w:hAnsi="宋体"/>
          <w:b/>
          <w:szCs w:val="21"/>
        </w:rPr>
        <w:t>一、本合同适用范围</w:t>
      </w:r>
    </w:p>
    <w:p w14:paraId="4F88A54B">
      <w:pPr>
        <w:snapToGrid w:val="0"/>
        <w:spacing w:line="360" w:lineRule="auto"/>
        <w:ind w:firstLine="420" w:firstLineChars="200"/>
        <w:rPr>
          <w:rFonts w:hint="eastAsia" w:ascii="宋体" w:hAnsi="宋体"/>
          <w:szCs w:val="21"/>
        </w:rPr>
      </w:pPr>
      <w:r>
        <w:rPr>
          <w:rFonts w:hint="eastAsia" w:ascii="宋体" w:hAnsi="宋体"/>
          <w:szCs w:val="21"/>
        </w:rPr>
        <w:t>家用电器、电子产品、教学仪器设备、医疗仪器设备、广播电视仪器设备、体育器材、音响乐器、药品、服装、印刷设备和印刷品等政府采购项目（协议供货除外）适用于本合同。</w:t>
      </w:r>
    </w:p>
    <w:p w14:paraId="483A14BF">
      <w:pPr>
        <w:snapToGrid w:val="0"/>
        <w:spacing w:line="360" w:lineRule="auto"/>
        <w:ind w:firstLine="422" w:firstLineChars="200"/>
        <w:rPr>
          <w:rFonts w:hint="eastAsia" w:ascii="宋体" w:hAnsi="宋体"/>
          <w:b/>
          <w:szCs w:val="21"/>
        </w:rPr>
      </w:pPr>
      <w:r>
        <w:rPr>
          <w:rFonts w:hint="eastAsia" w:ascii="宋体" w:hAnsi="宋体"/>
          <w:b/>
          <w:szCs w:val="21"/>
        </w:rPr>
        <w:t>二、填写说明</w:t>
      </w:r>
    </w:p>
    <w:p w14:paraId="773ACFCE">
      <w:pPr>
        <w:snapToGrid w:val="0"/>
        <w:spacing w:line="360" w:lineRule="auto"/>
        <w:ind w:firstLine="420" w:firstLineChars="200"/>
        <w:rPr>
          <w:rFonts w:hint="eastAsia" w:ascii="宋体" w:hAnsi="宋体"/>
          <w:szCs w:val="21"/>
        </w:rPr>
      </w:pPr>
      <w:r>
        <w:rPr>
          <w:rFonts w:hint="eastAsia" w:ascii="宋体" w:hAnsi="宋体"/>
          <w:szCs w:val="21"/>
        </w:rPr>
        <w:t>（一）合同标题：地市县使用时可在“广西壮族自治区”后再加所在地名称或者将“广西壮族自治区”删除加所在地名称。</w:t>
      </w:r>
    </w:p>
    <w:p w14:paraId="26430BAC">
      <w:pPr>
        <w:snapToGrid w:val="0"/>
        <w:spacing w:line="360" w:lineRule="auto"/>
        <w:ind w:firstLine="420" w:firstLineChars="200"/>
        <w:rPr>
          <w:rFonts w:hint="eastAsia" w:ascii="宋体" w:hAnsi="宋体"/>
          <w:szCs w:val="21"/>
        </w:rPr>
      </w:pPr>
      <w:r>
        <w:rPr>
          <w:rFonts w:hint="eastAsia" w:ascii="宋体" w:hAnsi="宋体"/>
          <w:szCs w:val="21"/>
        </w:rPr>
        <w:t>（二）本合同划线部分所需填写内容，除以下条款特殊要求外，按招标文件规定或者投标文件承诺的要求填写，如招标文件规定或者投标文件承诺的没有明确，按甲乙双方商定意见填写。</w:t>
      </w:r>
    </w:p>
    <w:p w14:paraId="75238672">
      <w:pPr>
        <w:snapToGrid w:val="0"/>
        <w:spacing w:line="360" w:lineRule="auto"/>
        <w:ind w:firstLine="420" w:firstLineChars="200"/>
        <w:rPr>
          <w:rFonts w:hint="eastAsia" w:ascii="宋体" w:hAnsi="宋体"/>
          <w:szCs w:val="21"/>
        </w:rPr>
      </w:pPr>
      <w:r>
        <w:rPr>
          <w:rFonts w:hint="eastAsia" w:ascii="宋体" w:hAnsi="宋体"/>
          <w:szCs w:val="21"/>
        </w:rPr>
        <w:t>（三）第一条合同标的：按表中各项目要求填写，内容填写不下时可另加附页。</w:t>
      </w:r>
    </w:p>
    <w:p w14:paraId="6EE9AFC2">
      <w:pPr>
        <w:adjustRightInd w:val="0"/>
        <w:snapToGrid w:val="0"/>
        <w:spacing w:line="360" w:lineRule="auto"/>
        <w:ind w:firstLine="420" w:firstLineChars="200"/>
        <w:rPr>
          <w:rFonts w:hint="eastAsia" w:ascii="宋体" w:hAnsi="宋体"/>
          <w:szCs w:val="21"/>
        </w:rPr>
      </w:pPr>
      <w:r>
        <w:rPr>
          <w:rFonts w:hint="eastAsia" w:ascii="宋体" w:hAnsi="宋体"/>
          <w:szCs w:val="21"/>
        </w:rPr>
        <w:t>（四）第四条包装和运输：货物运输方式包括；汽车、火车、轮船等。</w:t>
      </w:r>
    </w:p>
    <w:p w14:paraId="1608987F">
      <w:pPr>
        <w:adjustRightInd w:val="0"/>
        <w:snapToGrid w:val="0"/>
        <w:spacing w:line="360" w:lineRule="auto"/>
        <w:ind w:firstLine="420" w:firstLineChars="200"/>
        <w:rPr>
          <w:rFonts w:hint="eastAsia" w:ascii="宋体" w:hAnsi="宋体"/>
          <w:szCs w:val="21"/>
        </w:rPr>
      </w:pPr>
      <w:r>
        <w:rPr>
          <w:rFonts w:hint="eastAsia" w:ascii="宋体" w:hAnsi="宋体"/>
          <w:szCs w:val="21"/>
        </w:rPr>
        <w:t>（五）货物交付和验收：时间按合同签订（或者生效）后多少日（或者工作日）或者直接填X年X月X日前交货。</w:t>
      </w:r>
    </w:p>
    <w:p w14:paraId="62CEECB8">
      <w:pPr>
        <w:adjustRightInd w:val="0"/>
        <w:snapToGrid w:val="0"/>
        <w:spacing w:line="360" w:lineRule="auto"/>
        <w:ind w:firstLine="420" w:firstLineChars="200"/>
        <w:rPr>
          <w:rFonts w:hint="eastAsia" w:ascii="宋体" w:hAnsi="宋体"/>
          <w:szCs w:val="21"/>
        </w:rPr>
      </w:pPr>
      <w:r>
        <w:rPr>
          <w:rFonts w:hint="eastAsia" w:ascii="宋体" w:hAnsi="宋体"/>
          <w:szCs w:val="21"/>
        </w:rPr>
        <w:t>（六）第八条付款方式：资金性质按一般预算拨款、财政性基金拨款、纳入财政专户管理的收入安排的资金、未纳入财政专户管理的收入安排的资金、上年结余填写。</w:t>
      </w:r>
    </w:p>
    <w:p w14:paraId="375C2B9B">
      <w:pPr>
        <w:adjustRightInd w:val="0"/>
        <w:snapToGrid w:val="0"/>
        <w:spacing w:line="360" w:lineRule="auto"/>
        <w:ind w:firstLine="413" w:firstLineChars="196"/>
        <w:rPr>
          <w:rFonts w:hint="eastAsia" w:ascii="宋体" w:hAnsi="宋体"/>
          <w:b/>
          <w:szCs w:val="21"/>
        </w:rPr>
      </w:pPr>
      <w:r>
        <w:rPr>
          <w:rFonts w:hint="eastAsia" w:ascii="宋体" w:hAnsi="宋体"/>
          <w:b/>
          <w:szCs w:val="21"/>
        </w:rPr>
        <w:t>三、有关要求</w:t>
      </w:r>
    </w:p>
    <w:p w14:paraId="6601AE33">
      <w:pPr>
        <w:adjustRightInd w:val="0"/>
        <w:snapToGrid w:val="0"/>
        <w:spacing w:line="360" w:lineRule="auto"/>
        <w:ind w:firstLine="315" w:firstLineChars="150"/>
        <w:rPr>
          <w:rFonts w:hint="eastAsia" w:ascii="宋体" w:hAnsi="宋体"/>
          <w:szCs w:val="21"/>
        </w:rPr>
      </w:pPr>
      <w:r>
        <w:rPr>
          <w:rFonts w:hint="eastAsia" w:ascii="宋体" w:hAnsi="宋体"/>
          <w:szCs w:val="21"/>
        </w:rPr>
        <w:t>（一）各单位现使用的专业合同可作为本合同附件，但专业合同各条款必须符合招标文件规定或者投标文件承诺的和本合同各条款要求，如发生矛盾以本合同为准。</w:t>
      </w:r>
    </w:p>
    <w:p w14:paraId="6984D303">
      <w:pPr>
        <w:adjustRightInd w:val="0"/>
        <w:snapToGrid w:val="0"/>
        <w:spacing w:line="360" w:lineRule="auto"/>
        <w:ind w:firstLine="315" w:firstLineChars="150"/>
        <w:rPr>
          <w:rFonts w:hint="eastAsia" w:ascii="宋体" w:hAnsi="宋体"/>
          <w:szCs w:val="21"/>
        </w:rPr>
      </w:pPr>
      <w:r>
        <w:rPr>
          <w:rFonts w:hint="eastAsia" w:ascii="宋体" w:hAnsi="宋体"/>
          <w:szCs w:val="21"/>
        </w:rPr>
        <w:t>（二）协议供货合同应使用原文本。</w:t>
      </w:r>
    </w:p>
    <w:p w14:paraId="279FF6EE">
      <w:pPr>
        <w:adjustRightInd w:val="0"/>
        <w:snapToGrid w:val="0"/>
        <w:spacing w:line="360" w:lineRule="auto"/>
        <w:ind w:firstLine="315" w:firstLineChars="150"/>
        <w:rPr>
          <w:rFonts w:hint="eastAsia" w:ascii="宋体" w:hAnsi="宋体"/>
          <w:szCs w:val="21"/>
        </w:rPr>
      </w:pPr>
      <w:r>
        <w:rPr>
          <w:rFonts w:hint="eastAsia" w:ascii="宋体" w:hAnsi="宋体"/>
          <w:szCs w:val="21"/>
        </w:rPr>
        <w:t>（三）甲乙双方对本合同各条款均不能改动，只能在划线位置填写，如有改动视同无效合同。</w:t>
      </w:r>
    </w:p>
    <w:p w14:paraId="3ED0BDF6">
      <w:pPr>
        <w:adjustRightInd w:val="0"/>
        <w:snapToGrid w:val="0"/>
        <w:spacing w:line="360" w:lineRule="auto"/>
        <w:ind w:firstLine="315" w:firstLineChars="150"/>
        <w:rPr>
          <w:rFonts w:hint="eastAsia" w:ascii="宋体" w:hAnsi="宋体"/>
          <w:szCs w:val="21"/>
        </w:rPr>
      </w:pPr>
      <w:r>
        <w:rPr>
          <w:rFonts w:hint="eastAsia" w:ascii="宋体" w:hAnsi="宋体"/>
          <w:szCs w:val="21"/>
        </w:rPr>
        <w:t>（四）本合同统一用</w:t>
      </w:r>
      <w:r>
        <w:rPr>
          <w:rFonts w:hint="eastAsia" w:ascii="宋体" w:hAnsi="宋体"/>
          <w:caps/>
          <w:szCs w:val="21"/>
        </w:rPr>
        <w:t>A</w:t>
      </w:r>
      <w:r>
        <w:rPr>
          <w:rFonts w:hint="eastAsia" w:ascii="宋体" w:hAnsi="宋体"/>
          <w:szCs w:val="21"/>
        </w:rPr>
        <w:t>4纸打印。</w:t>
      </w:r>
    </w:p>
    <w:p w14:paraId="6914545E">
      <w:pPr>
        <w:adjustRightInd w:val="0"/>
        <w:snapToGrid w:val="0"/>
        <w:spacing w:line="360" w:lineRule="auto"/>
        <w:ind w:firstLine="315" w:firstLineChars="150"/>
        <w:rPr>
          <w:rFonts w:hint="eastAsia" w:ascii="宋体" w:hAnsi="宋体"/>
          <w:szCs w:val="21"/>
        </w:rPr>
      </w:pPr>
      <w:r>
        <w:rPr>
          <w:rFonts w:hint="eastAsia" w:ascii="宋体" w:hAnsi="宋体"/>
          <w:szCs w:val="21"/>
        </w:rPr>
        <w:t>（五）本合同为试行文本，采购人和中标人在使用过程中如发现不当之处，请及时提出建议，以便修正。</w:t>
      </w:r>
    </w:p>
    <w:p w14:paraId="4BF5775C">
      <w:pPr>
        <w:pStyle w:val="17"/>
        <w:jc w:val="center"/>
        <w:rPr>
          <w:rFonts w:hint="eastAsia" w:hAnsi="宋体"/>
          <w:sz w:val="72"/>
          <w:szCs w:val="72"/>
        </w:rPr>
      </w:pPr>
      <w:r>
        <w:rPr>
          <w:rFonts w:hint="eastAsia" w:hAnsi="宋体"/>
        </w:rPr>
        <w:t>本合同各条款由广西壮族自治区财政厅政府采购监督管理处负责解释。</w:t>
      </w:r>
      <w:r>
        <w:rPr>
          <w:rFonts w:hAnsi="宋体"/>
          <w:bCs/>
          <w:sz w:val="32"/>
          <w:szCs w:val="32"/>
        </w:rPr>
        <w:br w:type="page"/>
      </w:r>
    </w:p>
    <w:p w14:paraId="22F0DCC4">
      <w:pPr>
        <w:tabs>
          <w:tab w:val="left" w:pos="2565"/>
        </w:tabs>
        <w:snapToGrid w:val="0"/>
        <w:spacing w:line="360" w:lineRule="auto"/>
        <w:rPr>
          <w:rFonts w:hint="eastAsia" w:hAnsi="宋体"/>
          <w:b/>
          <w:color w:val="000000"/>
          <w:sz w:val="72"/>
          <w:szCs w:val="72"/>
        </w:rPr>
      </w:pPr>
    </w:p>
    <w:p w14:paraId="0D52049A">
      <w:pPr>
        <w:tabs>
          <w:tab w:val="left" w:pos="2565"/>
        </w:tabs>
        <w:snapToGrid w:val="0"/>
        <w:spacing w:line="360" w:lineRule="auto"/>
        <w:jc w:val="center"/>
        <w:rPr>
          <w:rFonts w:hint="eastAsia" w:hAnsi="宋体"/>
          <w:b/>
          <w:color w:val="000000"/>
          <w:sz w:val="100"/>
          <w:szCs w:val="100"/>
        </w:rPr>
      </w:pPr>
      <w:r>
        <w:rPr>
          <w:rFonts w:hint="eastAsia" w:hAnsi="宋体"/>
          <w:b/>
          <w:color w:val="000000"/>
          <w:sz w:val="100"/>
          <w:szCs w:val="100"/>
        </w:rPr>
        <w:t xml:space="preserve">采 </w:t>
      </w:r>
      <w:r>
        <w:rPr>
          <w:rFonts w:hAnsi="宋体"/>
          <w:b/>
          <w:color w:val="000000"/>
          <w:sz w:val="100"/>
          <w:szCs w:val="100"/>
        </w:rPr>
        <w:t xml:space="preserve"> </w:t>
      </w:r>
      <w:r>
        <w:rPr>
          <w:rFonts w:hint="eastAsia" w:hAnsi="宋体"/>
          <w:b/>
          <w:color w:val="000000"/>
          <w:sz w:val="100"/>
          <w:szCs w:val="100"/>
        </w:rPr>
        <w:t xml:space="preserve">购 </w:t>
      </w:r>
      <w:r>
        <w:rPr>
          <w:rFonts w:hAnsi="宋体"/>
          <w:b/>
          <w:color w:val="000000"/>
          <w:sz w:val="100"/>
          <w:szCs w:val="100"/>
        </w:rPr>
        <w:t xml:space="preserve"> </w:t>
      </w:r>
      <w:r>
        <w:rPr>
          <w:rFonts w:hint="eastAsia" w:hAnsi="宋体"/>
          <w:b/>
          <w:color w:val="000000"/>
          <w:sz w:val="100"/>
          <w:szCs w:val="100"/>
        </w:rPr>
        <w:t xml:space="preserve">合 </w:t>
      </w:r>
      <w:r>
        <w:rPr>
          <w:rFonts w:hAnsi="宋体"/>
          <w:b/>
          <w:color w:val="000000"/>
          <w:sz w:val="100"/>
          <w:szCs w:val="100"/>
        </w:rPr>
        <w:t xml:space="preserve"> </w:t>
      </w:r>
      <w:r>
        <w:rPr>
          <w:rFonts w:hint="eastAsia" w:hAnsi="宋体"/>
          <w:b/>
          <w:color w:val="000000"/>
          <w:sz w:val="100"/>
          <w:szCs w:val="100"/>
        </w:rPr>
        <w:t>同</w:t>
      </w:r>
    </w:p>
    <w:p w14:paraId="1E8740AB">
      <w:pPr>
        <w:snapToGrid w:val="0"/>
        <w:spacing w:line="600" w:lineRule="exact"/>
        <w:jc w:val="center"/>
        <w:rPr>
          <w:rFonts w:hint="eastAsia" w:hAnsi="宋体"/>
          <w:sz w:val="30"/>
          <w:szCs w:val="30"/>
        </w:rPr>
      </w:pPr>
      <w:r>
        <w:rPr>
          <w:rFonts w:hint="eastAsia" w:hAnsi="宋体"/>
          <w:sz w:val="30"/>
          <w:szCs w:val="30"/>
        </w:rPr>
        <w:t>（采购内容：）</w:t>
      </w:r>
    </w:p>
    <w:p w14:paraId="45C8A6DA">
      <w:pPr>
        <w:snapToGrid w:val="0"/>
        <w:spacing w:line="600" w:lineRule="exact"/>
        <w:jc w:val="center"/>
        <w:rPr>
          <w:rFonts w:hint="eastAsia" w:hAnsi="宋体"/>
          <w:sz w:val="30"/>
          <w:szCs w:val="30"/>
        </w:rPr>
      </w:pPr>
    </w:p>
    <w:p w14:paraId="3DB5E505">
      <w:pPr>
        <w:snapToGrid w:val="0"/>
        <w:spacing w:line="600" w:lineRule="exact"/>
        <w:jc w:val="center"/>
        <w:rPr>
          <w:rFonts w:hint="eastAsia" w:hAnsi="宋体"/>
          <w:sz w:val="30"/>
          <w:szCs w:val="30"/>
        </w:rPr>
      </w:pPr>
    </w:p>
    <w:p w14:paraId="061FB2E8">
      <w:pPr>
        <w:snapToGrid w:val="0"/>
        <w:spacing w:line="600" w:lineRule="exact"/>
        <w:jc w:val="center"/>
        <w:rPr>
          <w:rFonts w:hint="eastAsia" w:hAnsi="宋体"/>
          <w:sz w:val="30"/>
          <w:szCs w:val="30"/>
        </w:rPr>
      </w:pPr>
    </w:p>
    <w:p w14:paraId="091F29B4">
      <w:pPr>
        <w:snapToGrid w:val="0"/>
        <w:spacing w:line="600" w:lineRule="exact"/>
        <w:jc w:val="center"/>
        <w:rPr>
          <w:rFonts w:hint="eastAsia" w:hAnsi="宋体"/>
          <w:sz w:val="30"/>
          <w:szCs w:val="30"/>
        </w:rPr>
      </w:pPr>
    </w:p>
    <w:p w14:paraId="0B8F9372">
      <w:pPr>
        <w:snapToGrid w:val="0"/>
        <w:spacing w:line="600" w:lineRule="exact"/>
        <w:jc w:val="center"/>
        <w:rPr>
          <w:rFonts w:hint="eastAsia" w:hAnsi="宋体"/>
          <w:sz w:val="30"/>
          <w:szCs w:val="30"/>
        </w:rPr>
      </w:pPr>
    </w:p>
    <w:p w14:paraId="1E18209B">
      <w:pPr>
        <w:snapToGrid w:val="0"/>
        <w:spacing w:line="600" w:lineRule="exact"/>
        <w:jc w:val="center"/>
        <w:rPr>
          <w:rFonts w:hint="eastAsia" w:hAnsi="宋体"/>
          <w:sz w:val="30"/>
          <w:szCs w:val="30"/>
        </w:rPr>
      </w:pPr>
    </w:p>
    <w:p w14:paraId="1EA7A9E3">
      <w:pPr>
        <w:snapToGrid w:val="0"/>
        <w:spacing w:line="600" w:lineRule="exact"/>
        <w:jc w:val="center"/>
        <w:rPr>
          <w:rFonts w:hint="eastAsia" w:hAnsi="宋体"/>
          <w:sz w:val="30"/>
          <w:szCs w:val="30"/>
        </w:rPr>
      </w:pPr>
    </w:p>
    <w:p w14:paraId="212D1932">
      <w:pPr>
        <w:snapToGrid w:val="0"/>
        <w:spacing w:line="600" w:lineRule="exact"/>
        <w:jc w:val="center"/>
        <w:rPr>
          <w:rFonts w:hint="eastAsia" w:ascii="宋体" w:hAnsi="宋体"/>
          <w:bCs/>
          <w:color w:val="000000"/>
          <w:sz w:val="30"/>
          <w:szCs w:val="30"/>
        </w:rPr>
      </w:pPr>
    </w:p>
    <w:p w14:paraId="5A2C61B0">
      <w:pPr>
        <w:snapToGrid w:val="0"/>
        <w:spacing w:line="600" w:lineRule="exact"/>
        <w:rPr>
          <w:rFonts w:hint="eastAsia" w:ascii="宋体" w:hAnsi="宋体"/>
          <w:bCs/>
          <w:color w:val="000000"/>
          <w:sz w:val="30"/>
          <w:szCs w:val="30"/>
        </w:rPr>
      </w:pPr>
      <w:r>
        <w:rPr>
          <w:rFonts w:hint="eastAsia" w:ascii="宋体" w:hAnsi="宋体"/>
          <w:bCs/>
          <w:color w:val="000000"/>
          <w:sz w:val="30"/>
          <w:szCs w:val="30"/>
        </w:rPr>
        <w:t xml:space="preserve"> </w:t>
      </w:r>
      <w:r>
        <w:rPr>
          <w:rFonts w:ascii="宋体" w:hAnsi="宋体"/>
          <w:bCs/>
          <w:color w:val="000000"/>
          <w:sz w:val="30"/>
          <w:szCs w:val="30"/>
        </w:rPr>
        <w:t xml:space="preserve">       </w:t>
      </w:r>
      <w:r>
        <w:rPr>
          <w:rFonts w:hint="eastAsia" w:ascii="宋体" w:hAnsi="宋体"/>
          <w:bCs/>
          <w:color w:val="000000"/>
          <w:sz w:val="30"/>
          <w:szCs w:val="30"/>
        </w:rPr>
        <w:t>项目名称：</w:t>
      </w:r>
      <w:r>
        <w:rPr>
          <w:rFonts w:hint="eastAsia" w:ascii="宋体" w:hAnsi="宋体"/>
          <w:bCs/>
          <w:color w:val="000000"/>
          <w:sz w:val="30"/>
          <w:szCs w:val="30"/>
          <w:u w:val="single"/>
        </w:rPr>
        <w:t xml:space="preserve"> </w:t>
      </w:r>
      <w:r>
        <w:rPr>
          <w:rFonts w:ascii="宋体" w:hAnsi="宋体"/>
          <w:bCs/>
          <w:color w:val="000000"/>
          <w:sz w:val="30"/>
          <w:szCs w:val="30"/>
          <w:u w:val="single"/>
        </w:rPr>
        <w:t xml:space="preserve">                           </w:t>
      </w:r>
      <w:r>
        <w:rPr>
          <w:rFonts w:ascii="宋体" w:hAnsi="宋体"/>
          <w:bCs/>
          <w:color w:val="000000"/>
          <w:sz w:val="30"/>
          <w:szCs w:val="30"/>
        </w:rPr>
        <w:t xml:space="preserve">    </w:t>
      </w:r>
    </w:p>
    <w:p w14:paraId="73AC848F">
      <w:pPr>
        <w:snapToGrid w:val="0"/>
        <w:spacing w:line="600" w:lineRule="exact"/>
        <w:rPr>
          <w:rFonts w:hint="eastAsia" w:ascii="宋体" w:hAnsi="宋体"/>
          <w:bCs/>
          <w:color w:val="000000"/>
          <w:sz w:val="30"/>
          <w:szCs w:val="30"/>
        </w:rPr>
      </w:pPr>
      <w:r>
        <w:rPr>
          <w:rFonts w:hint="eastAsia" w:ascii="宋体" w:hAnsi="宋体"/>
          <w:bCs/>
          <w:color w:val="000000"/>
          <w:sz w:val="30"/>
          <w:szCs w:val="30"/>
        </w:rPr>
        <w:t xml:space="preserve"> </w:t>
      </w:r>
      <w:r>
        <w:rPr>
          <w:rFonts w:ascii="宋体" w:hAnsi="宋体"/>
          <w:bCs/>
          <w:color w:val="000000"/>
          <w:sz w:val="30"/>
          <w:szCs w:val="30"/>
        </w:rPr>
        <w:t xml:space="preserve">       </w:t>
      </w:r>
      <w:r>
        <w:rPr>
          <w:rFonts w:hint="eastAsia" w:ascii="宋体" w:hAnsi="宋体"/>
          <w:bCs/>
          <w:color w:val="000000"/>
          <w:sz w:val="30"/>
          <w:szCs w:val="30"/>
        </w:rPr>
        <w:t>项目编号：</w:t>
      </w:r>
      <w:r>
        <w:rPr>
          <w:rFonts w:hint="eastAsia" w:ascii="宋体" w:hAnsi="宋体"/>
          <w:bCs/>
          <w:color w:val="000000"/>
          <w:sz w:val="30"/>
          <w:szCs w:val="30"/>
          <w:u w:val="single"/>
        </w:rPr>
        <w:t xml:space="preserve"> </w:t>
      </w:r>
      <w:r>
        <w:rPr>
          <w:rFonts w:ascii="宋体" w:hAnsi="宋体"/>
          <w:bCs/>
          <w:color w:val="000000"/>
          <w:sz w:val="30"/>
          <w:szCs w:val="30"/>
          <w:u w:val="single"/>
        </w:rPr>
        <w:t xml:space="preserve">                           </w:t>
      </w:r>
      <w:r>
        <w:rPr>
          <w:rFonts w:ascii="宋体" w:hAnsi="宋体"/>
          <w:bCs/>
          <w:color w:val="000000"/>
          <w:sz w:val="30"/>
          <w:szCs w:val="30"/>
        </w:rPr>
        <w:t xml:space="preserve">                          </w:t>
      </w:r>
    </w:p>
    <w:p w14:paraId="3C666A2B">
      <w:pPr>
        <w:snapToGrid w:val="0"/>
        <w:spacing w:line="600" w:lineRule="exact"/>
        <w:ind w:firstLine="1200" w:firstLineChars="400"/>
        <w:rPr>
          <w:rFonts w:hint="eastAsia" w:ascii="宋体" w:hAnsi="宋体"/>
          <w:color w:val="000000"/>
          <w:sz w:val="30"/>
          <w:szCs w:val="30"/>
        </w:rPr>
      </w:pPr>
      <w:r>
        <w:rPr>
          <w:rFonts w:hint="eastAsia" w:ascii="宋体" w:hAnsi="宋体"/>
          <w:color w:val="000000"/>
          <w:sz w:val="30"/>
          <w:szCs w:val="30"/>
        </w:rPr>
        <w:t>采购单位（甲方）：</w:t>
      </w:r>
      <w:r>
        <w:rPr>
          <w:rFonts w:hint="eastAsia" w:ascii="宋体" w:hAnsi="宋体"/>
          <w:bCs/>
          <w:color w:val="000000"/>
          <w:sz w:val="30"/>
          <w:szCs w:val="30"/>
          <w:u w:val="single"/>
        </w:rPr>
        <w:t>博白县第二人民医院</w:t>
      </w:r>
      <w:r>
        <w:rPr>
          <w:rFonts w:hint="eastAsia" w:ascii="宋体" w:hAnsi="宋体"/>
          <w:color w:val="000000"/>
          <w:sz w:val="30"/>
          <w:szCs w:val="30"/>
          <w:u w:val="single"/>
        </w:rPr>
        <w:t xml:space="preserve"> </w:t>
      </w:r>
    </w:p>
    <w:p w14:paraId="4003D627">
      <w:pPr>
        <w:snapToGrid w:val="0"/>
        <w:spacing w:line="600" w:lineRule="exact"/>
        <w:ind w:firstLine="1200" w:firstLineChars="400"/>
        <w:rPr>
          <w:rFonts w:hint="eastAsia" w:ascii="宋体" w:hAnsi="宋体"/>
          <w:bCs/>
          <w:color w:val="000000"/>
          <w:sz w:val="30"/>
          <w:szCs w:val="30"/>
        </w:rPr>
      </w:pPr>
      <w:r>
        <w:rPr>
          <w:rFonts w:hint="eastAsia" w:ascii="宋体" w:hAnsi="宋体"/>
          <w:color w:val="000000"/>
          <w:sz w:val="30"/>
          <w:szCs w:val="30"/>
        </w:rPr>
        <w:t>供 应 商（乙方）：</w:t>
      </w:r>
      <w:r>
        <w:rPr>
          <w:rFonts w:hint="eastAsia" w:ascii="宋体" w:hAnsi="宋体"/>
          <w:color w:val="000000"/>
          <w:sz w:val="30"/>
          <w:szCs w:val="30"/>
          <w:u w:val="single"/>
        </w:rPr>
        <w:t xml:space="preserve">                   </w:t>
      </w:r>
    </w:p>
    <w:p w14:paraId="6E3B6A89">
      <w:pPr>
        <w:widowControl/>
        <w:jc w:val="center"/>
        <w:rPr>
          <w:rFonts w:ascii="宋体"/>
          <w:b/>
          <w:sz w:val="72"/>
          <w:szCs w:val="72"/>
        </w:rPr>
        <w:sectPr>
          <w:footerReference r:id="rId3" w:type="default"/>
          <w:footerReference r:id="rId4" w:type="even"/>
          <w:pgSz w:w="11906" w:h="16838"/>
          <w:pgMar w:top="1440" w:right="1080" w:bottom="1440" w:left="1080" w:header="851" w:footer="992" w:gutter="0"/>
          <w:pgNumType w:start="1"/>
          <w:cols w:space="720" w:num="1"/>
          <w:docGrid w:type="lines" w:linePitch="312" w:charSpace="0"/>
        </w:sectPr>
      </w:pPr>
    </w:p>
    <w:p w14:paraId="7872F7D6">
      <w:pPr>
        <w:widowControl/>
        <w:jc w:val="center"/>
        <w:rPr>
          <w:rFonts w:hint="eastAsia" w:ascii="方正小标宋简体" w:hAnsi="宋体" w:eastAsia="方正小标宋简体"/>
          <w:bCs/>
          <w:color w:val="000000"/>
          <w:sz w:val="44"/>
          <w:szCs w:val="44"/>
        </w:rPr>
      </w:pPr>
      <w:r>
        <w:rPr>
          <w:rFonts w:hint="eastAsia" w:ascii="方正小标宋简体" w:hAnsi="宋体" w:eastAsia="方正小标宋简体"/>
          <w:bCs/>
          <w:color w:val="000000"/>
          <w:sz w:val="44"/>
          <w:szCs w:val="44"/>
        </w:rPr>
        <w:t>博白县第二人民医院采购合同</w:t>
      </w:r>
    </w:p>
    <w:p w14:paraId="6D9AC680">
      <w:pPr>
        <w:snapToGrid w:val="0"/>
        <w:spacing w:line="520" w:lineRule="exact"/>
        <w:ind w:right="480" w:firstLine="5250" w:firstLineChars="2500"/>
        <w:rPr>
          <w:rFonts w:hint="eastAsia" w:ascii="宋体" w:hAnsi="宋体"/>
          <w:bCs/>
          <w:color w:val="000000"/>
          <w:szCs w:val="21"/>
          <w:u w:val="single"/>
        </w:rPr>
      </w:pPr>
      <w:r>
        <w:rPr>
          <w:rFonts w:hint="eastAsia" w:ascii="宋体" w:hAnsi="宋体"/>
          <w:bCs/>
          <w:color w:val="000000"/>
          <w:szCs w:val="21"/>
        </w:rPr>
        <w:t>合同编号：</w:t>
      </w:r>
    </w:p>
    <w:p w14:paraId="65BDFCC8">
      <w:pPr>
        <w:spacing w:line="520" w:lineRule="exact"/>
        <w:rPr>
          <w:rFonts w:hint="eastAsia" w:ascii="宋体" w:hAnsi="宋体"/>
          <w:color w:val="000000"/>
          <w:szCs w:val="21"/>
        </w:rPr>
      </w:pPr>
      <w:r>
        <w:rPr>
          <w:rFonts w:hint="eastAsia" w:ascii="宋体" w:hAnsi="宋体"/>
          <w:color w:val="000000"/>
          <w:szCs w:val="21"/>
        </w:rPr>
        <w:t>采购单位（甲方）</w:t>
      </w:r>
      <w:r>
        <w:rPr>
          <w:rFonts w:hint="eastAsia" w:ascii="宋体" w:hAnsi="宋体"/>
          <w:color w:val="000000"/>
          <w:szCs w:val="21"/>
          <w:u w:val="single"/>
        </w:rPr>
        <w:t>博白县第二人民医院</w:t>
      </w:r>
      <w:r>
        <w:rPr>
          <w:rFonts w:hint="eastAsia" w:ascii="宋体" w:hAnsi="宋体"/>
          <w:color w:val="000000"/>
          <w:szCs w:val="21"/>
        </w:rPr>
        <w:t xml:space="preserve">       供 应 商（乙方）</w:t>
      </w:r>
      <w:r>
        <w:rPr>
          <w:rFonts w:hint="eastAsia" w:ascii="宋体" w:hAnsi="宋体"/>
          <w:color w:val="000000"/>
          <w:szCs w:val="21"/>
          <w:u w:val="single"/>
        </w:rPr>
        <w:t xml:space="preserve">                   </w:t>
      </w:r>
      <w:r>
        <w:rPr>
          <w:rFonts w:hint="eastAsia" w:ascii="宋体" w:hAnsi="宋体"/>
          <w:color w:val="000000"/>
          <w:szCs w:val="21"/>
        </w:rPr>
        <w:t xml:space="preserve">   </w:t>
      </w:r>
    </w:p>
    <w:p w14:paraId="44976E3B">
      <w:pPr>
        <w:spacing w:line="520" w:lineRule="exact"/>
        <w:rPr>
          <w:rFonts w:hint="eastAsia" w:ascii="宋体" w:hAnsi="宋体"/>
          <w:color w:val="000000"/>
          <w:szCs w:val="21"/>
        </w:rPr>
      </w:pPr>
      <w:r>
        <w:rPr>
          <w:rFonts w:hint="eastAsia" w:ascii="宋体" w:hAnsi="宋体"/>
          <w:color w:val="000000"/>
          <w:szCs w:val="21"/>
        </w:rPr>
        <w:t xml:space="preserve">签  订  地  点  </w:t>
      </w:r>
      <w:r>
        <w:rPr>
          <w:rFonts w:hint="eastAsia" w:ascii="宋体" w:hAnsi="宋体"/>
          <w:color w:val="000000"/>
          <w:szCs w:val="21"/>
          <w:u w:val="single"/>
        </w:rPr>
        <w:t>博白县第二人民医院</w:t>
      </w:r>
      <w:r>
        <w:rPr>
          <w:rFonts w:hint="eastAsia" w:ascii="宋体" w:hAnsi="宋体"/>
          <w:color w:val="000000"/>
          <w:szCs w:val="21"/>
        </w:rPr>
        <w:t xml:space="preserve">       签  订  时  间  </w:t>
      </w:r>
      <w:r>
        <w:rPr>
          <w:rFonts w:hint="eastAsia" w:ascii="宋体" w:hAnsi="宋体"/>
          <w:color w:val="000000"/>
          <w:szCs w:val="21"/>
          <w:u w:val="single"/>
        </w:rPr>
        <w:t xml:space="preserve"> 2025年    月    日 </w:t>
      </w:r>
      <w:r>
        <w:rPr>
          <w:rFonts w:hint="eastAsia" w:ascii="宋体" w:hAnsi="宋体"/>
          <w:color w:val="000000"/>
          <w:szCs w:val="21"/>
        </w:rPr>
        <w:t xml:space="preserve">  </w:t>
      </w:r>
    </w:p>
    <w:p w14:paraId="006CA4A8">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根据《中华人民共和国政府采购法》、《中华人民共和国民法典》等法律、法规规定，按照采购文件规定条款和成交供应商承诺，甲乙双方特签订本合同，共同遵守。具体条款如下：</w:t>
      </w:r>
    </w:p>
    <w:p w14:paraId="62F55EA0">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第一条　合同标的</w:t>
      </w:r>
    </w:p>
    <w:p w14:paraId="7A3C16A9">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1.供货一览表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86"/>
        <w:gridCol w:w="1056"/>
        <w:gridCol w:w="1056"/>
        <w:gridCol w:w="1056"/>
        <w:gridCol w:w="846"/>
        <w:gridCol w:w="636"/>
        <w:gridCol w:w="1266"/>
        <w:gridCol w:w="1266"/>
      </w:tblGrid>
      <w:tr w14:paraId="7C95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0" w:type="auto"/>
            <w:vAlign w:val="center"/>
          </w:tcPr>
          <w:p w14:paraId="6E3E4455">
            <w:pPr>
              <w:snapToGrid w:val="0"/>
              <w:spacing w:line="400" w:lineRule="atLeast"/>
              <w:jc w:val="center"/>
              <w:rPr>
                <w:rFonts w:hint="eastAsia" w:ascii="宋体" w:hAnsi="宋体"/>
                <w:color w:val="000000"/>
                <w:szCs w:val="21"/>
              </w:rPr>
            </w:pPr>
            <w:r>
              <w:rPr>
                <w:rFonts w:hint="eastAsia" w:ascii="宋体" w:hAnsi="宋体"/>
                <w:color w:val="000000"/>
                <w:szCs w:val="21"/>
              </w:rPr>
              <w:t>序号</w:t>
            </w:r>
          </w:p>
        </w:tc>
        <w:tc>
          <w:tcPr>
            <w:tcW w:w="0" w:type="auto"/>
            <w:vAlign w:val="center"/>
          </w:tcPr>
          <w:p w14:paraId="65D0634B">
            <w:pPr>
              <w:snapToGrid w:val="0"/>
              <w:spacing w:line="400" w:lineRule="atLeast"/>
              <w:jc w:val="center"/>
              <w:rPr>
                <w:rFonts w:hint="eastAsia" w:ascii="宋体" w:hAnsi="宋体"/>
                <w:color w:val="000000"/>
                <w:szCs w:val="21"/>
              </w:rPr>
            </w:pPr>
            <w:r>
              <w:rPr>
                <w:rFonts w:hint="eastAsia" w:ascii="宋体" w:hAnsi="宋体"/>
                <w:color w:val="000000"/>
                <w:szCs w:val="21"/>
              </w:rPr>
              <w:t>产品名称</w:t>
            </w:r>
          </w:p>
        </w:tc>
        <w:tc>
          <w:tcPr>
            <w:tcW w:w="0" w:type="auto"/>
            <w:vAlign w:val="center"/>
          </w:tcPr>
          <w:p w14:paraId="067E1C2D">
            <w:pPr>
              <w:snapToGrid w:val="0"/>
              <w:spacing w:line="400" w:lineRule="atLeast"/>
              <w:jc w:val="center"/>
              <w:rPr>
                <w:rFonts w:hint="eastAsia" w:ascii="宋体" w:hAnsi="宋体"/>
                <w:color w:val="000000"/>
                <w:szCs w:val="21"/>
              </w:rPr>
            </w:pPr>
            <w:r>
              <w:rPr>
                <w:rFonts w:hint="eastAsia" w:ascii="宋体" w:hAnsi="宋体"/>
                <w:color w:val="000000"/>
                <w:szCs w:val="21"/>
              </w:rPr>
              <w:t>商标品牌</w:t>
            </w:r>
          </w:p>
        </w:tc>
        <w:tc>
          <w:tcPr>
            <w:tcW w:w="0" w:type="auto"/>
            <w:vAlign w:val="center"/>
          </w:tcPr>
          <w:p w14:paraId="2F0B9B5A">
            <w:pPr>
              <w:snapToGrid w:val="0"/>
              <w:spacing w:line="400" w:lineRule="atLeast"/>
              <w:jc w:val="center"/>
              <w:rPr>
                <w:rFonts w:hint="eastAsia" w:ascii="宋体" w:hAnsi="宋体"/>
                <w:color w:val="000000"/>
                <w:szCs w:val="21"/>
              </w:rPr>
            </w:pPr>
            <w:r>
              <w:rPr>
                <w:rFonts w:hint="eastAsia" w:ascii="宋体" w:hAnsi="宋体"/>
                <w:color w:val="000000"/>
                <w:szCs w:val="21"/>
              </w:rPr>
              <w:t>规格型号</w:t>
            </w:r>
          </w:p>
        </w:tc>
        <w:tc>
          <w:tcPr>
            <w:tcW w:w="0" w:type="auto"/>
            <w:vAlign w:val="center"/>
          </w:tcPr>
          <w:p w14:paraId="6B539D97">
            <w:pPr>
              <w:snapToGrid w:val="0"/>
              <w:spacing w:line="400" w:lineRule="atLeast"/>
              <w:jc w:val="center"/>
              <w:rPr>
                <w:rFonts w:hint="eastAsia" w:ascii="宋体" w:hAnsi="宋体"/>
                <w:color w:val="000000"/>
                <w:szCs w:val="21"/>
              </w:rPr>
            </w:pPr>
            <w:r>
              <w:rPr>
                <w:rFonts w:hint="eastAsia" w:ascii="宋体" w:hAnsi="宋体"/>
                <w:color w:val="000000"/>
                <w:szCs w:val="21"/>
              </w:rPr>
              <w:t>生产厂家</w:t>
            </w:r>
          </w:p>
        </w:tc>
        <w:tc>
          <w:tcPr>
            <w:tcW w:w="0" w:type="auto"/>
            <w:vAlign w:val="center"/>
          </w:tcPr>
          <w:p w14:paraId="01D19827">
            <w:pPr>
              <w:snapToGrid w:val="0"/>
              <w:spacing w:line="400" w:lineRule="atLeast"/>
              <w:jc w:val="center"/>
              <w:rPr>
                <w:rFonts w:hint="eastAsia" w:ascii="宋体" w:hAnsi="宋体"/>
                <w:color w:val="000000"/>
                <w:szCs w:val="21"/>
              </w:rPr>
            </w:pPr>
            <w:r>
              <w:rPr>
                <w:rFonts w:hint="eastAsia" w:ascii="宋体" w:hAnsi="宋体"/>
                <w:color w:val="000000"/>
                <w:szCs w:val="21"/>
              </w:rPr>
              <w:t>数  量</w:t>
            </w:r>
          </w:p>
        </w:tc>
        <w:tc>
          <w:tcPr>
            <w:tcW w:w="0" w:type="auto"/>
            <w:vAlign w:val="center"/>
          </w:tcPr>
          <w:p w14:paraId="60C6D207">
            <w:pPr>
              <w:snapToGrid w:val="0"/>
              <w:spacing w:line="400" w:lineRule="atLeast"/>
              <w:jc w:val="center"/>
              <w:rPr>
                <w:rFonts w:hint="eastAsia" w:ascii="宋体" w:hAnsi="宋体"/>
                <w:color w:val="000000"/>
                <w:szCs w:val="21"/>
              </w:rPr>
            </w:pPr>
            <w:r>
              <w:rPr>
                <w:rFonts w:hint="eastAsia" w:ascii="宋体" w:hAnsi="宋体"/>
                <w:color w:val="000000"/>
                <w:szCs w:val="21"/>
              </w:rPr>
              <w:t>单位</w:t>
            </w:r>
          </w:p>
        </w:tc>
        <w:tc>
          <w:tcPr>
            <w:tcW w:w="0" w:type="auto"/>
            <w:vAlign w:val="center"/>
          </w:tcPr>
          <w:p w14:paraId="467449C9">
            <w:pPr>
              <w:snapToGrid w:val="0"/>
              <w:spacing w:line="400" w:lineRule="atLeast"/>
              <w:jc w:val="center"/>
              <w:rPr>
                <w:rFonts w:hint="eastAsia" w:ascii="宋体" w:hAnsi="宋体"/>
                <w:color w:val="000000"/>
                <w:szCs w:val="21"/>
              </w:rPr>
            </w:pPr>
            <w:r>
              <w:rPr>
                <w:rFonts w:hint="eastAsia" w:ascii="宋体" w:hAnsi="宋体"/>
                <w:color w:val="000000"/>
                <w:szCs w:val="21"/>
              </w:rPr>
              <w:t>单价（元）</w:t>
            </w:r>
          </w:p>
        </w:tc>
        <w:tc>
          <w:tcPr>
            <w:tcW w:w="0" w:type="auto"/>
            <w:vAlign w:val="center"/>
          </w:tcPr>
          <w:p w14:paraId="763F7C6F">
            <w:pPr>
              <w:snapToGrid w:val="0"/>
              <w:spacing w:line="400" w:lineRule="atLeast"/>
              <w:jc w:val="center"/>
              <w:rPr>
                <w:rFonts w:hint="eastAsia" w:ascii="宋体" w:hAnsi="宋体"/>
                <w:color w:val="000000"/>
                <w:szCs w:val="21"/>
              </w:rPr>
            </w:pPr>
            <w:r>
              <w:rPr>
                <w:rFonts w:hint="eastAsia" w:ascii="宋体" w:hAnsi="宋体"/>
                <w:color w:val="000000"/>
                <w:szCs w:val="21"/>
              </w:rPr>
              <w:t>金额（元）</w:t>
            </w:r>
          </w:p>
        </w:tc>
      </w:tr>
      <w:tr w14:paraId="26E7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vAlign w:val="center"/>
          </w:tcPr>
          <w:p w14:paraId="1183EEC4">
            <w:pPr>
              <w:snapToGrid w:val="0"/>
              <w:spacing w:line="400" w:lineRule="atLeast"/>
              <w:jc w:val="center"/>
              <w:rPr>
                <w:rFonts w:hint="eastAsia" w:ascii="宋体" w:hAnsi="宋体"/>
                <w:color w:val="000000"/>
                <w:szCs w:val="21"/>
              </w:rPr>
            </w:pPr>
            <w:r>
              <w:rPr>
                <w:rFonts w:hint="eastAsia" w:ascii="宋体" w:hAnsi="宋体"/>
                <w:color w:val="000000"/>
                <w:szCs w:val="21"/>
              </w:rPr>
              <w:t>1</w:t>
            </w:r>
          </w:p>
        </w:tc>
        <w:tc>
          <w:tcPr>
            <w:tcW w:w="0" w:type="auto"/>
            <w:vAlign w:val="center"/>
          </w:tcPr>
          <w:p w14:paraId="0D6B7CFE">
            <w:pPr>
              <w:snapToGrid w:val="0"/>
              <w:spacing w:line="400" w:lineRule="atLeast"/>
              <w:jc w:val="center"/>
              <w:rPr>
                <w:rFonts w:hint="eastAsia" w:ascii="宋体" w:hAnsi="宋体"/>
                <w:color w:val="FF0000"/>
                <w:szCs w:val="21"/>
              </w:rPr>
            </w:pPr>
            <w:r>
              <w:rPr>
                <w:rFonts w:hint="eastAsia" w:ascii="宋体" w:hAnsi="宋体"/>
                <w:szCs w:val="21"/>
              </w:rPr>
              <w:t>(填注册证名字)</w:t>
            </w:r>
          </w:p>
        </w:tc>
        <w:tc>
          <w:tcPr>
            <w:tcW w:w="0" w:type="auto"/>
            <w:vAlign w:val="center"/>
          </w:tcPr>
          <w:p w14:paraId="6FA6E10E">
            <w:pPr>
              <w:snapToGrid w:val="0"/>
              <w:spacing w:line="400" w:lineRule="atLeast"/>
              <w:jc w:val="center"/>
              <w:rPr>
                <w:rFonts w:hint="eastAsia" w:ascii="宋体" w:hAnsi="宋体"/>
                <w:color w:val="000000"/>
                <w:szCs w:val="21"/>
              </w:rPr>
            </w:pPr>
          </w:p>
        </w:tc>
        <w:tc>
          <w:tcPr>
            <w:tcW w:w="0" w:type="auto"/>
            <w:vAlign w:val="center"/>
          </w:tcPr>
          <w:p w14:paraId="7014CC8C">
            <w:pPr>
              <w:snapToGrid w:val="0"/>
              <w:spacing w:line="400" w:lineRule="atLeast"/>
              <w:jc w:val="center"/>
              <w:rPr>
                <w:rFonts w:hint="eastAsia" w:ascii="宋体" w:hAnsi="宋体"/>
                <w:color w:val="000000"/>
                <w:szCs w:val="21"/>
              </w:rPr>
            </w:pPr>
          </w:p>
        </w:tc>
        <w:tc>
          <w:tcPr>
            <w:tcW w:w="0" w:type="auto"/>
            <w:vAlign w:val="center"/>
          </w:tcPr>
          <w:p w14:paraId="68F7F771">
            <w:pPr>
              <w:snapToGrid w:val="0"/>
              <w:spacing w:line="400" w:lineRule="atLeast"/>
              <w:jc w:val="center"/>
              <w:rPr>
                <w:rFonts w:hint="eastAsia" w:ascii="宋体" w:hAnsi="宋体"/>
                <w:color w:val="000000"/>
                <w:szCs w:val="21"/>
              </w:rPr>
            </w:pPr>
          </w:p>
        </w:tc>
        <w:tc>
          <w:tcPr>
            <w:tcW w:w="0" w:type="auto"/>
            <w:vAlign w:val="center"/>
          </w:tcPr>
          <w:p w14:paraId="0BDC8923">
            <w:pPr>
              <w:snapToGrid w:val="0"/>
              <w:spacing w:line="400" w:lineRule="atLeast"/>
              <w:jc w:val="center"/>
              <w:rPr>
                <w:rFonts w:hint="eastAsia" w:ascii="宋体" w:hAnsi="宋体"/>
                <w:color w:val="000000"/>
                <w:szCs w:val="21"/>
              </w:rPr>
            </w:pPr>
          </w:p>
        </w:tc>
        <w:tc>
          <w:tcPr>
            <w:tcW w:w="0" w:type="auto"/>
            <w:vAlign w:val="center"/>
          </w:tcPr>
          <w:p w14:paraId="2685CA73">
            <w:pPr>
              <w:snapToGrid w:val="0"/>
              <w:spacing w:line="400" w:lineRule="atLeast"/>
              <w:jc w:val="center"/>
              <w:rPr>
                <w:rFonts w:hint="eastAsia" w:ascii="宋体" w:hAnsi="宋体"/>
                <w:color w:val="000000"/>
                <w:szCs w:val="21"/>
              </w:rPr>
            </w:pPr>
          </w:p>
        </w:tc>
        <w:tc>
          <w:tcPr>
            <w:tcW w:w="0" w:type="auto"/>
            <w:vAlign w:val="center"/>
          </w:tcPr>
          <w:p w14:paraId="75B4633C">
            <w:pPr>
              <w:snapToGrid w:val="0"/>
              <w:spacing w:line="400" w:lineRule="atLeast"/>
              <w:jc w:val="center"/>
              <w:rPr>
                <w:rFonts w:hint="eastAsia" w:ascii="宋体" w:hAnsi="宋体"/>
                <w:color w:val="000000"/>
                <w:szCs w:val="21"/>
              </w:rPr>
            </w:pPr>
          </w:p>
        </w:tc>
        <w:tc>
          <w:tcPr>
            <w:tcW w:w="0" w:type="auto"/>
            <w:vAlign w:val="center"/>
          </w:tcPr>
          <w:p w14:paraId="244FDD40">
            <w:pPr>
              <w:snapToGrid w:val="0"/>
              <w:spacing w:line="400" w:lineRule="atLeast"/>
              <w:jc w:val="center"/>
              <w:rPr>
                <w:rFonts w:hint="eastAsia" w:ascii="宋体" w:hAnsi="宋体"/>
                <w:color w:val="000000"/>
                <w:szCs w:val="21"/>
              </w:rPr>
            </w:pPr>
          </w:p>
        </w:tc>
      </w:tr>
      <w:tr w14:paraId="3932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0" w:type="auto"/>
            <w:gridSpan w:val="9"/>
            <w:vAlign w:val="center"/>
          </w:tcPr>
          <w:p w14:paraId="1E518A47">
            <w:pPr>
              <w:snapToGrid w:val="0"/>
              <w:spacing w:line="400" w:lineRule="atLeast"/>
              <w:jc w:val="center"/>
              <w:rPr>
                <w:rFonts w:hint="eastAsia" w:ascii="宋体" w:hAnsi="宋体"/>
                <w:color w:val="000000"/>
                <w:szCs w:val="21"/>
              </w:rPr>
            </w:pPr>
            <w:r>
              <w:rPr>
                <w:rFonts w:hint="eastAsia" w:ascii="宋体" w:hAnsi="宋体"/>
                <w:color w:val="000000"/>
                <w:szCs w:val="21"/>
              </w:rPr>
              <w:t>人民币合计金额（大写）</w:t>
            </w:r>
            <w:r>
              <w:rPr>
                <w:rFonts w:hint="eastAsia" w:ascii="宋体" w:hAnsi="宋体"/>
                <w:color w:val="000000"/>
                <w:szCs w:val="21"/>
                <w:u w:val="single"/>
              </w:rPr>
              <w:t xml:space="preserve">          </w:t>
            </w:r>
            <w:r>
              <w:rPr>
                <w:rFonts w:hint="eastAsia" w:ascii="宋体" w:hAnsi="宋体"/>
                <w:color w:val="000000"/>
                <w:szCs w:val="21"/>
              </w:rPr>
              <w:t>元整    （小写）¥</w:t>
            </w:r>
            <w:r>
              <w:rPr>
                <w:rFonts w:hint="eastAsia" w:ascii="宋体" w:hAnsi="宋体"/>
                <w:color w:val="000000"/>
                <w:szCs w:val="21"/>
                <w:u w:val="single"/>
              </w:rPr>
              <w:t xml:space="preserve">      </w:t>
            </w:r>
            <w:r>
              <w:rPr>
                <w:rFonts w:hint="eastAsia" w:ascii="宋体" w:hAnsi="宋体"/>
                <w:color w:val="000000"/>
                <w:szCs w:val="21"/>
              </w:rPr>
              <w:t>.</w:t>
            </w:r>
            <w:r>
              <w:rPr>
                <w:rFonts w:hint="eastAsia" w:ascii="宋体" w:hAnsi="宋体"/>
                <w:color w:val="000000"/>
                <w:szCs w:val="21"/>
                <w:u w:val="single"/>
              </w:rPr>
              <w:t xml:space="preserve">  </w:t>
            </w:r>
            <w:r>
              <w:rPr>
                <w:rFonts w:hint="eastAsia" w:ascii="宋体" w:hAnsi="宋体"/>
                <w:color w:val="000000"/>
                <w:szCs w:val="21"/>
              </w:rPr>
              <w:t>元</w:t>
            </w:r>
          </w:p>
        </w:tc>
      </w:tr>
    </w:tbl>
    <w:p w14:paraId="629C4421">
      <w:pPr>
        <w:snapToGrid w:val="0"/>
        <w:spacing w:line="520" w:lineRule="exact"/>
        <w:ind w:right="420" w:firstLine="420" w:firstLineChars="200"/>
        <w:rPr>
          <w:rFonts w:hint="eastAsia" w:ascii="宋体" w:hAnsi="宋体"/>
          <w:color w:val="000000"/>
          <w:szCs w:val="21"/>
        </w:rPr>
      </w:pPr>
      <w:r>
        <w:rPr>
          <w:rFonts w:hint="eastAsia" w:ascii="宋体" w:hAnsi="宋体"/>
          <w:color w:val="000000"/>
          <w:szCs w:val="21"/>
        </w:rPr>
        <w:t>2.合同总金额包括设计、设备制造、备件、专用工具、包装、仓储、运输、安装、调试、检验、技术培训、技术资料、验收合格之前及保修期与备品备件发生的所有含税费用。本合同执行期间合同总金额不变。如招响应文件对其另有规定的，从其规定。</w:t>
      </w:r>
    </w:p>
    <w:p w14:paraId="1FEE9B67">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第二条　质量保证</w:t>
      </w:r>
    </w:p>
    <w:p w14:paraId="1FCC8A19">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1.乙方所提供的货物型号、货物</w:t>
      </w:r>
      <w:r>
        <w:rPr>
          <w:rFonts w:hint="eastAsia"/>
          <w:color w:val="000000"/>
          <w:szCs w:val="21"/>
        </w:rPr>
        <w:t>性能、</w:t>
      </w:r>
      <w:r>
        <w:rPr>
          <w:rFonts w:hint="eastAsia" w:ascii="宋体" w:hAnsi="宋体"/>
          <w:color w:val="000000"/>
          <w:szCs w:val="21"/>
        </w:rPr>
        <w:t>技术规格、技术参数、质量标准等必须与响应文件和承诺相一致。</w:t>
      </w:r>
    </w:p>
    <w:p w14:paraId="04DAA618">
      <w:pPr>
        <w:snapToGrid w:val="0"/>
        <w:spacing w:line="520" w:lineRule="exact"/>
        <w:ind w:firstLine="420" w:firstLineChars="200"/>
        <w:rPr>
          <w:color w:val="000000"/>
          <w:szCs w:val="21"/>
        </w:rPr>
      </w:pPr>
      <w:r>
        <w:rPr>
          <w:rFonts w:hint="eastAsia" w:ascii="宋体" w:hAnsi="宋体"/>
          <w:color w:val="000000"/>
          <w:szCs w:val="21"/>
        </w:rPr>
        <w:t>2.乙方所提供的合同货物必须是全新、未曾使用过的原装产品，且在正常安装、使用和保养条件下，其使用寿命期内各项指标均达到质量要求。</w:t>
      </w:r>
      <w:r>
        <w:rPr>
          <w:rFonts w:hint="eastAsia"/>
          <w:color w:val="000000"/>
          <w:szCs w:val="21"/>
        </w:rPr>
        <w:t>不符合要求者，根据实际情况，经双方协商，可按以下办法处理：</w:t>
      </w:r>
    </w:p>
    <w:p w14:paraId="5322A55C">
      <w:pPr>
        <w:spacing w:line="520" w:lineRule="exact"/>
        <w:ind w:firstLine="420" w:firstLineChars="200"/>
        <w:rPr>
          <w:color w:val="000000"/>
          <w:szCs w:val="21"/>
        </w:rPr>
      </w:pPr>
      <w:r>
        <w:rPr>
          <w:rFonts w:hint="eastAsia"/>
          <w:color w:val="000000"/>
          <w:szCs w:val="21"/>
        </w:rPr>
        <w:t>（1）更换：由乙方承担所发生的全部费用。</w:t>
      </w:r>
    </w:p>
    <w:p w14:paraId="732E8E90">
      <w:pPr>
        <w:spacing w:line="520" w:lineRule="exact"/>
        <w:ind w:firstLine="420" w:firstLineChars="200"/>
        <w:rPr>
          <w:color w:val="000000"/>
          <w:szCs w:val="21"/>
        </w:rPr>
      </w:pPr>
      <w:r>
        <w:rPr>
          <w:rFonts w:hint="eastAsia"/>
          <w:color w:val="000000"/>
          <w:szCs w:val="21"/>
        </w:rPr>
        <w:t>（2）贬值处理：由甲乙双方合议定价。</w:t>
      </w:r>
    </w:p>
    <w:p w14:paraId="5C2029D7">
      <w:pPr>
        <w:spacing w:line="520" w:lineRule="exact"/>
        <w:ind w:firstLine="420" w:firstLineChars="200"/>
        <w:rPr>
          <w:color w:val="000000"/>
          <w:szCs w:val="21"/>
        </w:rPr>
      </w:pPr>
      <w:r>
        <w:rPr>
          <w:rFonts w:hint="eastAsia"/>
          <w:color w:val="000000"/>
          <w:szCs w:val="21"/>
        </w:rPr>
        <w:t>（3）退货处理：乙方应退还甲方支付的合同款，同时应承担该货物的直接费用（运输、保险、检验、货款利息及银行手续费等）。</w:t>
      </w:r>
    </w:p>
    <w:p w14:paraId="58F1FCF0">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3.乙方提供的节能和环保产品必须是列入政府采购清单的产品。</w:t>
      </w:r>
    </w:p>
    <w:p w14:paraId="5681693D">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第三条　权利保证</w:t>
      </w:r>
    </w:p>
    <w:p w14:paraId="3DAF3223">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1.乙方应保证所提供货物在使用时不会侵犯任何第三方的专利权、商标权、工业设计权或其他权利。否则，乙方须承担对第三方的专利权、商标权、工业设计权或其他权利的侵权责任并承担因此而发生的所有费用。</w:t>
      </w:r>
    </w:p>
    <w:p w14:paraId="05232E8D">
      <w:pPr>
        <w:snapToGrid w:val="0"/>
        <w:spacing w:line="520" w:lineRule="exact"/>
        <w:ind w:firstLine="420" w:firstLineChars="200"/>
        <w:rPr>
          <w:rFonts w:hint="eastAsia" w:ascii="宋体" w:hAnsi="宋体"/>
          <w:color w:val="000000"/>
          <w:szCs w:val="21"/>
        </w:rPr>
      </w:pPr>
      <w:r>
        <w:rPr>
          <w:rFonts w:ascii="宋体" w:hAnsi="宋体"/>
          <w:color w:val="000000"/>
          <w:szCs w:val="21"/>
        </w:rPr>
        <w:t>2</w:t>
      </w:r>
      <w:r>
        <w:rPr>
          <w:rFonts w:hint="eastAsia" w:ascii="宋体" w:hAnsi="宋体"/>
          <w:color w:val="000000"/>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1BD95CA">
      <w:pPr>
        <w:snapToGrid w:val="0"/>
        <w:spacing w:line="520" w:lineRule="exact"/>
        <w:ind w:firstLine="420" w:firstLineChars="200"/>
        <w:rPr>
          <w:rFonts w:hint="eastAsia" w:ascii="宋体" w:hAnsi="宋体"/>
          <w:color w:val="000000"/>
          <w:szCs w:val="21"/>
        </w:rPr>
      </w:pPr>
      <w:r>
        <w:rPr>
          <w:rFonts w:ascii="宋体" w:hAnsi="宋体"/>
          <w:color w:val="000000"/>
          <w:szCs w:val="21"/>
        </w:rPr>
        <w:t>3</w:t>
      </w:r>
      <w:r>
        <w:rPr>
          <w:rFonts w:hint="eastAsia" w:ascii="宋体" w:hAnsi="宋体"/>
          <w:color w:val="000000"/>
          <w:szCs w:val="21"/>
        </w:rPr>
        <w:t>.乙方保证所交付的货物的所有权完全属于乙方且无任何抵押、质押、查封等产权瑕疵。</w:t>
      </w:r>
    </w:p>
    <w:p w14:paraId="5128338F">
      <w:pPr>
        <w:pStyle w:val="17"/>
        <w:snapToGrid w:val="0"/>
        <w:spacing w:line="520" w:lineRule="exact"/>
        <w:ind w:firstLine="413" w:firstLineChars="196"/>
        <w:rPr>
          <w:rFonts w:hint="eastAsia" w:hAnsi="宋体"/>
          <w:b/>
          <w:color w:val="000000"/>
          <w:sz w:val="21"/>
        </w:rPr>
      </w:pPr>
      <w:r>
        <w:rPr>
          <w:rFonts w:hint="eastAsia" w:hAnsi="宋体"/>
          <w:b/>
          <w:color w:val="000000"/>
          <w:sz w:val="21"/>
        </w:rPr>
        <w:t>第四条　包装及运输</w:t>
      </w:r>
    </w:p>
    <w:p w14:paraId="0E4ED23D">
      <w:pPr>
        <w:snapToGrid w:val="0"/>
        <w:spacing w:line="520" w:lineRule="exact"/>
        <w:ind w:left="-61" w:leftChars="-29" w:firstLine="514" w:firstLineChars="245"/>
        <w:rPr>
          <w:rFonts w:hint="eastAsia" w:ascii="宋体" w:hAnsi="宋体"/>
          <w:color w:val="000000"/>
          <w:szCs w:val="21"/>
        </w:rPr>
      </w:pPr>
      <w:r>
        <w:rPr>
          <w:rFonts w:hint="eastAsia" w:ascii="宋体" w:hAnsi="宋体"/>
          <w:color w:val="000000"/>
          <w:szCs w:val="21"/>
        </w:rPr>
        <w:t>1.乙方提供的货物均应按招响应文件要求的包装材料、包装标准、包装方式进行包装，使之满足运输距离、防潮、防雨、防震、防锈、防腐和防破损装卸等要求，以保证货物安全运达甲方指定地点。每一包装单元内应附详细的装箱单和质量合格证。</w:t>
      </w:r>
    </w:p>
    <w:p w14:paraId="00E4271C">
      <w:pPr>
        <w:snapToGrid w:val="0"/>
        <w:spacing w:line="520" w:lineRule="exact"/>
        <w:ind w:left="-61" w:leftChars="-29" w:firstLine="514" w:firstLineChars="245"/>
        <w:rPr>
          <w:rFonts w:hint="eastAsia" w:ascii="宋体" w:hAnsi="宋体"/>
          <w:color w:val="000000"/>
          <w:szCs w:val="21"/>
        </w:rPr>
      </w:pPr>
      <w:r>
        <w:rPr>
          <w:rFonts w:hint="eastAsia" w:ascii="宋体" w:hAnsi="宋体"/>
          <w:color w:val="000000"/>
          <w:szCs w:val="21"/>
        </w:rPr>
        <w:t>2.使用说明书（货物属于进口产品的，供货时应同时附上中文使用说明书）、质量检验证明书、随配附件和工具以及清单一并附于货物内。</w:t>
      </w:r>
    </w:p>
    <w:p w14:paraId="4BBD1272">
      <w:pPr>
        <w:snapToGrid w:val="0"/>
        <w:spacing w:line="520" w:lineRule="exact"/>
        <w:ind w:left="-61" w:leftChars="-29" w:firstLine="514" w:firstLineChars="245"/>
        <w:rPr>
          <w:rFonts w:hint="eastAsia" w:ascii="宋体" w:hAnsi="宋体"/>
          <w:color w:val="000000"/>
          <w:szCs w:val="21"/>
        </w:rPr>
      </w:pPr>
      <w:r>
        <w:rPr>
          <w:rFonts w:hint="eastAsia" w:ascii="宋体" w:hAnsi="宋体"/>
          <w:color w:val="000000"/>
          <w:szCs w:val="21"/>
        </w:rPr>
        <w:t>3.乙方在货物发运手续办理完毕后二十四小时内或货到甲方四十八小时前通知甲方，以准备接货。</w:t>
      </w:r>
    </w:p>
    <w:p w14:paraId="2F797EE0">
      <w:pPr>
        <w:snapToGrid w:val="0"/>
        <w:spacing w:line="520" w:lineRule="exact"/>
        <w:ind w:left="-61" w:leftChars="-29" w:firstLine="514" w:firstLineChars="245"/>
        <w:rPr>
          <w:rFonts w:hint="eastAsia" w:ascii="宋体" w:hAnsi="宋体"/>
          <w:color w:val="000000"/>
          <w:szCs w:val="21"/>
        </w:rPr>
      </w:pPr>
      <w:r>
        <w:rPr>
          <w:rFonts w:hint="eastAsia" w:ascii="宋体" w:hAnsi="宋体"/>
          <w:color w:val="000000"/>
          <w:szCs w:val="21"/>
        </w:rPr>
        <w:t>4.货物在交付甲方前发生的风险均由乙方负责。</w:t>
      </w:r>
    </w:p>
    <w:p w14:paraId="6305260C">
      <w:pPr>
        <w:snapToGrid w:val="0"/>
        <w:spacing w:line="520" w:lineRule="exact"/>
        <w:ind w:left="-61" w:leftChars="-29" w:firstLine="514" w:firstLineChars="245"/>
        <w:rPr>
          <w:rFonts w:hint="eastAsia" w:ascii="宋体" w:hAnsi="宋体"/>
          <w:color w:val="000000"/>
          <w:szCs w:val="21"/>
        </w:rPr>
      </w:pPr>
      <w:r>
        <w:rPr>
          <w:rFonts w:hint="eastAsia" w:ascii="宋体" w:hAnsi="宋体"/>
          <w:color w:val="000000"/>
          <w:szCs w:val="21"/>
        </w:rPr>
        <w:t>5.货物在规定的交付期限内由乙方送达甲方指定的地点并开箱验货签收视为交付。</w:t>
      </w:r>
    </w:p>
    <w:p w14:paraId="57918FEC">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6.货物的运输方式：</w:t>
      </w:r>
      <w:r>
        <w:rPr>
          <w:rFonts w:hint="eastAsia" w:ascii="宋体" w:hAnsi="宋体"/>
          <w:color w:val="000000"/>
          <w:szCs w:val="21"/>
          <w:u w:val="single"/>
        </w:rPr>
        <w:t xml:space="preserve"> 陆运 </w:t>
      </w:r>
      <w:r>
        <w:rPr>
          <w:rFonts w:hint="eastAsia" w:ascii="宋体" w:hAnsi="宋体"/>
          <w:color w:val="000000"/>
          <w:szCs w:val="21"/>
        </w:rPr>
        <w:t>。</w:t>
      </w:r>
    </w:p>
    <w:p w14:paraId="064B2A5A">
      <w:pPr>
        <w:snapToGrid w:val="0"/>
        <w:spacing w:line="520" w:lineRule="exact"/>
        <w:ind w:firstLine="420" w:firstLineChars="200"/>
        <w:rPr>
          <w:rFonts w:hint="eastAsia" w:ascii="宋体" w:hAnsi="宋体"/>
          <w:color w:val="000000"/>
          <w:szCs w:val="21"/>
          <w:u w:val="single"/>
        </w:rPr>
      </w:pPr>
      <w:r>
        <w:rPr>
          <w:rFonts w:hint="eastAsia" w:ascii="宋体" w:hAnsi="宋体"/>
          <w:color w:val="000000"/>
          <w:szCs w:val="21"/>
        </w:rPr>
        <w:t>7.乙方负责货物运输，货物运输合理损耗及计算方法：</w:t>
      </w:r>
      <w:r>
        <w:rPr>
          <w:rFonts w:hint="eastAsia" w:ascii="宋体" w:hAnsi="宋体"/>
          <w:color w:val="000000"/>
          <w:szCs w:val="21"/>
          <w:u w:val="single"/>
        </w:rPr>
        <w:t xml:space="preserve">  无  </w:t>
      </w:r>
      <w:r>
        <w:rPr>
          <w:rFonts w:hint="eastAsia" w:ascii="宋体" w:hAnsi="宋体"/>
          <w:color w:val="000000"/>
          <w:szCs w:val="21"/>
        </w:rPr>
        <w:t>。</w:t>
      </w:r>
    </w:p>
    <w:p w14:paraId="0CA47B77">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第五条　交货、安装、调试、培训和验收</w:t>
      </w:r>
    </w:p>
    <w:p w14:paraId="1D21439F">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1.乙方交货时间</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hint="eastAsia" w:ascii="宋体" w:hAnsi="宋体"/>
          <w:color w:val="000000"/>
          <w:szCs w:val="21"/>
        </w:rPr>
        <w:t>，地点：博白县第二人民医院内甲方指定的地点 。</w:t>
      </w:r>
    </w:p>
    <w:p w14:paraId="202BF7DD">
      <w:pPr>
        <w:pStyle w:val="17"/>
        <w:snapToGrid w:val="0"/>
        <w:spacing w:line="520" w:lineRule="exact"/>
        <w:ind w:firstLine="420" w:firstLineChars="200"/>
        <w:jc w:val="left"/>
        <w:rPr>
          <w:rFonts w:hint="eastAsia" w:hAnsi="宋体"/>
          <w:color w:val="000000"/>
          <w:sz w:val="21"/>
        </w:rPr>
      </w:pPr>
      <w:r>
        <w:rPr>
          <w:rFonts w:hint="eastAsia" w:hAnsi="宋体"/>
          <w:color w:val="000000"/>
          <w:sz w:val="21"/>
        </w:rPr>
        <w:t>2.货物运达约定的交货地点后，甲方应对照货物生产商提供的、随货物运抵的货物清单，对照合同、备忘录、商务谈判记录等有效合法商务文件，对货物及其附属物件进行到货验收。符合响应文件和本合同规定的货物，甲方给予签收；对不符合响应文件和本合同规定的货物或货物有质量问题的货物不予签收，可立即要求退换，乙方不得拒绝和延误。</w:t>
      </w:r>
    </w:p>
    <w:p w14:paraId="51D0AF9A">
      <w:pPr>
        <w:snapToGrid w:val="0"/>
        <w:spacing w:line="520" w:lineRule="exact"/>
        <w:ind w:firstLine="420" w:firstLineChars="200"/>
        <w:rPr>
          <w:rFonts w:hint="eastAsia" w:hAnsi="宋体"/>
          <w:color w:val="000000"/>
          <w:szCs w:val="21"/>
        </w:rPr>
      </w:pPr>
      <w:r>
        <w:rPr>
          <w:rFonts w:hint="eastAsia" w:hAnsi="宋体"/>
          <w:color w:val="000000"/>
          <w:szCs w:val="21"/>
        </w:rPr>
        <w:t>3.乙方交货前应对产品作出全面检查和对验收文件进行整理，并列出清单，作为甲方收货验收和使用的技术条件依据，检验的结果应随货物交甲方。</w:t>
      </w:r>
    </w:p>
    <w:p w14:paraId="4DED8A60">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4.甲方应提供必要安装条件（如场地、电源、水源等），乙方负责合同项下的安装、调试及培训工作。</w:t>
      </w:r>
    </w:p>
    <w:p w14:paraId="2CE26024">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5.乙方安装时须对各安装场地内的其他设备、设施有良好的保护措施。若因安装行为改造或损坏场地内其他设备设施，产生的后果以及费用由乙方负责。</w:t>
      </w:r>
    </w:p>
    <w:p w14:paraId="038F01B3">
      <w:pPr>
        <w:pStyle w:val="17"/>
        <w:snapToGrid w:val="0"/>
        <w:spacing w:line="520" w:lineRule="exact"/>
        <w:ind w:firstLine="420" w:firstLineChars="200"/>
        <w:jc w:val="left"/>
        <w:rPr>
          <w:rFonts w:hint="eastAsia" w:hAnsi="宋体"/>
          <w:color w:val="000000"/>
          <w:sz w:val="21"/>
        </w:rPr>
      </w:pPr>
      <w:r>
        <w:rPr>
          <w:rFonts w:hint="eastAsia" w:hAnsi="宋体"/>
          <w:color w:val="000000"/>
          <w:sz w:val="21"/>
        </w:rPr>
        <w:t xml:space="preserve">6.乙方负责为甲方有关人员免费的培训。培训时间、地点：玉林市内甲方指定的时间、地点。 </w:t>
      </w:r>
    </w:p>
    <w:p w14:paraId="2040E17B">
      <w:pPr>
        <w:pStyle w:val="17"/>
        <w:snapToGrid w:val="0"/>
        <w:spacing w:line="520" w:lineRule="exact"/>
        <w:ind w:firstLine="420" w:firstLineChars="200"/>
        <w:rPr>
          <w:rFonts w:hint="eastAsia" w:hAnsi="宋体"/>
          <w:color w:val="000000"/>
          <w:sz w:val="21"/>
        </w:rPr>
      </w:pPr>
      <w:r>
        <w:rPr>
          <w:rFonts w:hint="eastAsia" w:hAnsi="宋体"/>
          <w:color w:val="000000"/>
          <w:sz w:val="21"/>
        </w:rPr>
        <w:t>7.本项目为约定委托代理机构组织的验收项目，验收时间以该项目验收方案确定的验收时间为准，验收结果以该项目验收报告结论为准。在验收过程中发现乙方有违约问题，可暂缓资金结算，待违约问题解决后，方可办理资金结算事宜。</w:t>
      </w:r>
    </w:p>
    <w:p w14:paraId="74170106">
      <w:pPr>
        <w:pStyle w:val="17"/>
        <w:snapToGrid w:val="0"/>
        <w:spacing w:line="520" w:lineRule="exact"/>
        <w:ind w:firstLine="420" w:firstLineChars="200"/>
        <w:rPr>
          <w:rFonts w:hint="eastAsia" w:hAnsi="宋体"/>
          <w:color w:val="000000"/>
          <w:sz w:val="21"/>
        </w:rPr>
      </w:pPr>
      <w:r>
        <w:rPr>
          <w:rFonts w:hint="eastAsia" w:hAnsi="宋体"/>
          <w:color w:val="000000"/>
          <w:sz w:val="21"/>
        </w:rPr>
        <w:t>8.对技术复杂的货物及国家强制要求检测的货物，由代理机构请国家认可的专业检测机构进行检测，并由其出具质量检测报告。检测费用由乙方负责。</w:t>
      </w:r>
    </w:p>
    <w:p w14:paraId="318F3F1D">
      <w:pPr>
        <w:pStyle w:val="17"/>
        <w:snapToGrid w:val="0"/>
        <w:spacing w:line="520" w:lineRule="exact"/>
        <w:ind w:firstLine="420" w:firstLineChars="200"/>
        <w:rPr>
          <w:rFonts w:hint="eastAsia" w:hAnsi="宋体"/>
          <w:color w:val="000000"/>
          <w:sz w:val="21"/>
        </w:rPr>
      </w:pPr>
      <w:r>
        <w:rPr>
          <w:rFonts w:hint="eastAsia" w:hAnsi="宋体"/>
          <w:color w:val="000000"/>
          <w:sz w:val="21"/>
        </w:rPr>
        <w:t>9.甲方全程参与第三方验收并进行监督。如甲方对验收结果有异议的，则当场向代理机构及乙方提出，乙方应及时予以解决。需甲方配合的，甲方应在不违反原则前提下予以配合。</w:t>
      </w:r>
    </w:p>
    <w:p w14:paraId="5F74FFCB">
      <w:pPr>
        <w:pStyle w:val="17"/>
        <w:snapToGrid w:val="0"/>
        <w:spacing w:line="520" w:lineRule="exact"/>
        <w:ind w:firstLine="420" w:firstLineChars="200"/>
        <w:rPr>
          <w:rFonts w:hint="eastAsia" w:hAnsi="宋体"/>
          <w:color w:val="000000"/>
          <w:sz w:val="21"/>
        </w:rPr>
      </w:pPr>
      <w:r>
        <w:rPr>
          <w:rFonts w:hint="eastAsia" w:hAnsi="宋体"/>
          <w:color w:val="000000"/>
          <w:sz w:val="21"/>
        </w:rPr>
        <w:t>10.货物商检由乙方负责申报。</w:t>
      </w:r>
    </w:p>
    <w:p w14:paraId="2685FACB">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第六条  付款方式</w:t>
      </w:r>
    </w:p>
    <w:p w14:paraId="7CF314BC">
      <w:pPr>
        <w:pStyle w:val="17"/>
        <w:snapToGrid w:val="0"/>
        <w:spacing w:line="520" w:lineRule="exact"/>
        <w:ind w:firstLine="420" w:firstLineChars="200"/>
        <w:rPr>
          <w:rFonts w:hint="eastAsia" w:hAnsi="宋体"/>
          <w:color w:val="auto"/>
          <w:sz w:val="21"/>
        </w:rPr>
      </w:pPr>
      <w:r>
        <w:rPr>
          <w:rFonts w:hint="eastAsia" w:hAnsi="宋体"/>
          <w:color w:val="auto"/>
          <w:sz w:val="21"/>
        </w:rPr>
        <w:t>1、合同签订并且应用软件上线配套硬件验收后支付120万元整；</w:t>
      </w:r>
    </w:p>
    <w:p w14:paraId="146F6C15">
      <w:pPr>
        <w:pStyle w:val="17"/>
        <w:snapToGrid w:val="0"/>
        <w:spacing w:line="520" w:lineRule="exact"/>
        <w:ind w:firstLine="420" w:firstLineChars="200"/>
        <w:rPr>
          <w:rFonts w:hint="eastAsia" w:hAnsi="宋体"/>
          <w:color w:val="auto"/>
          <w:sz w:val="21"/>
        </w:rPr>
      </w:pPr>
      <w:r>
        <w:rPr>
          <w:rFonts w:hint="eastAsia" w:hAnsi="宋体"/>
          <w:color w:val="auto"/>
          <w:sz w:val="21"/>
        </w:rPr>
        <w:t>2、余款在合同签定时具体约定。</w:t>
      </w:r>
      <w:r>
        <w:rPr>
          <w:rFonts w:hint="eastAsia" w:hAnsi="宋体"/>
          <w:color w:val="auto"/>
          <w:sz w:val="21"/>
        </w:rPr>
        <w:tab/>
      </w:r>
    </w:p>
    <w:p w14:paraId="119217CE">
      <w:pPr>
        <w:pStyle w:val="17"/>
        <w:snapToGrid w:val="0"/>
        <w:spacing w:line="520" w:lineRule="exact"/>
        <w:ind w:firstLine="422" w:firstLineChars="200"/>
        <w:rPr>
          <w:rFonts w:hint="eastAsia" w:hAnsi="宋体"/>
          <w:color w:val="000000"/>
          <w:sz w:val="21"/>
        </w:rPr>
      </w:pPr>
      <w:r>
        <w:rPr>
          <w:rFonts w:hint="eastAsia" w:hAnsi="宋体"/>
          <w:b/>
          <w:color w:val="000000"/>
          <w:sz w:val="21"/>
        </w:rPr>
        <w:t>第七条  保证金</w:t>
      </w:r>
      <w:r>
        <w:rPr>
          <w:rFonts w:hint="eastAsia" w:hAnsi="宋体"/>
          <w:color w:val="000000"/>
          <w:sz w:val="21"/>
        </w:rPr>
        <w:t>：</w:t>
      </w:r>
      <w:r>
        <w:rPr>
          <w:rFonts w:hint="eastAsia" w:hAnsi="宋体"/>
          <w:color w:val="000000"/>
          <w:sz w:val="21"/>
          <w:u w:val="single"/>
        </w:rPr>
        <w:t>无</w:t>
      </w:r>
    </w:p>
    <w:p w14:paraId="2CA7F9D4">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 xml:space="preserve">第八条  税费 </w:t>
      </w:r>
    </w:p>
    <w:p w14:paraId="4327F223">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本合同执行中相关的一切税费均由乙方负担。 </w:t>
      </w:r>
    </w:p>
    <w:p w14:paraId="6E81046D">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第九条  保修期及售后服务</w:t>
      </w:r>
    </w:p>
    <w:p w14:paraId="6693B006">
      <w:pPr>
        <w:snapToGrid w:val="0"/>
        <w:spacing w:line="520" w:lineRule="exact"/>
        <w:ind w:firstLine="420" w:firstLineChars="200"/>
        <w:rPr>
          <w:color w:val="000000"/>
          <w:szCs w:val="21"/>
        </w:rPr>
      </w:pPr>
      <w:r>
        <w:rPr>
          <w:rFonts w:hint="eastAsia" w:ascii="宋体" w:hAnsi="宋体"/>
          <w:color w:val="000000"/>
          <w:szCs w:val="21"/>
        </w:rPr>
        <w:t>1.乙方应按照国家有关法律法规和“三包”规定以及招响应文件和本合同所附的《服务承诺》，为甲方提供售后服务。</w:t>
      </w:r>
    </w:p>
    <w:p w14:paraId="4AD4BBB5">
      <w:pPr>
        <w:spacing w:line="520" w:lineRule="exact"/>
        <w:ind w:firstLine="420" w:firstLineChars="200"/>
        <w:rPr>
          <w:color w:val="000000"/>
          <w:szCs w:val="21"/>
        </w:rPr>
      </w:pPr>
      <w:r>
        <w:rPr>
          <w:rFonts w:hint="eastAsia"/>
          <w:color w:val="000000"/>
          <w:szCs w:val="21"/>
        </w:rPr>
        <w:t>2.</w:t>
      </w:r>
      <w:r>
        <w:rPr>
          <w:rFonts w:hint="eastAsia" w:ascii="宋体" w:hAnsi="宋体"/>
          <w:color w:val="000000"/>
          <w:szCs w:val="21"/>
        </w:rPr>
        <w:t>软件保修期：</w:t>
      </w:r>
      <w:r>
        <w:rPr>
          <w:rFonts w:hint="eastAsia" w:ascii="宋体" w:hAnsi="宋体"/>
          <w:color w:val="000000"/>
          <w:szCs w:val="21"/>
          <w:u w:val="single"/>
        </w:rPr>
        <w:t xml:space="preserve">       </w:t>
      </w:r>
      <w:r>
        <w:rPr>
          <w:rFonts w:hint="eastAsia" w:ascii="宋体" w:hAnsi="宋体"/>
          <w:color w:val="000000"/>
          <w:szCs w:val="21"/>
        </w:rPr>
        <w:t>年，硬件保修期：</w:t>
      </w:r>
      <w:r>
        <w:rPr>
          <w:rFonts w:hint="eastAsia" w:ascii="宋体" w:hAnsi="宋体"/>
          <w:color w:val="000000"/>
          <w:szCs w:val="21"/>
          <w:u w:val="single"/>
        </w:rPr>
        <w:t xml:space="preserve">       </w:t>
      </w:r>
      <w:r>
        <w:rPr>
          <w:rFonts w:hint="eastAsia" w:ascii="宋体" w:hAnsi="宋体"/>
          <w:color w:val="000000"/>
          <w:szCs w:val="21"/>
        </w:rPr>
        <w:t>年保修期自货物最终验收合格之日算起。</w:t>
      </w:r>
      <w:r>
        <w:rPr>
          <w:rFonts w:hint="eastAsia"/>
          <w:color w:val="000000"/>
          <w:szCs w:val="21"/>
        </w:rPr>
        <w:t>在质保期内，乙方应对货物出现的质量及安全问题负责处理解决并承担一切费用。因人为因素出现的故障不在免费保修范围内。</w:t>
      </w:r>
    </w:p>
    <w:p w14:paraId="5E31ED50">
      <w:pPr>
        <w:spacing w:line="520" w:lineRule="exact"/>
        <w:ind w:firstLine="420" w:firstLineChars="200"/>
        <w:rPr>
          <w:color w:val="000000"/>
          <w:szCs w:val="21"/>
        </w:rPr>
      </w:pPr>
      <w:r>
        <w:rPr>
          <w:rFonts w:hint="eastAsia"/>
          <w:color w:val="000000"/>
          <w:szCs w:val="21"/>
        </w:rPr>
        <w:t>3.超过保修期的机器设备，终生维修，维修时只收部件成本费。</w:t>
      </w:r>
    </w:p>
    <w:p w14:paraId="3C69F8BE">
      <w:pPr>
        <w:spacing w:line="520" w:lineRule="exact"/>
        <w:ind w:firstLine="420" w:firstLineChars="200"/>
        <w:rPr>
          <w:rFonts w:hint="eastAsia" w:ascii="宋体" w:hAnsi="宋体"/>
          <w:color w:val="000000"/>
          <w:szCs w:val="21"/>
        </w:rPr>
      </w:pPr>
      <w:r>
        <w:rPr>
          <w:rFonts w:hint="eastAsia"/>
          <w:color w:val="000000"/>
          <w:szCs w:val="21"/>
        </w:rPr>
        <w:t>4.提供 7×24 小时的技术支持服务。如发生质量问题，中标人在接到采购人通知后</w:t>
      </w:r>
      <w:r>
        <w:rPr>
          <w:rFonts w:hint="eastAsia"/>
          <w:color w:val="000000"/>
          <w:szCs w:val="21"/>
          <w:u w:val="single"/>
        </w:rPr>
        <w:t xml:space="preserve">  </w:t>
      </w:r>
      <w:r>
        <w:rPr>
          <w:rFonts w:hint="eastAsia"/>
          <w:color w:val="000000"/>
          <w:szCs w:val="21"/>
        </w:rPr>
        <w:t>小时内到达现场处理，一般质量问题处理时限不超过</w:t>
      </w:r>
      <w:r>
        <w:rPr>
          <w:rFonts w:hint="eastAsia"/>
          <w:color w:val="000000"/>
          <w:szCs w:val="21"/>
          <w:u w:val="single"/>
        </w:rPr>
        <w:t xml:space="preserve">  </w:t>
      </w:r>
      <w:r>
        <w:rPr>
          <w:rFonts w:hint="eastAsia"/>
          <w:color w:val="000000"/>
          <w:szCs w:val="21"/>
        </w:rPr>
        <w:t>小时，重大质量问题处理时限不超过</w:t>
      </w:r>
      <w:r>
        <w:rPr>
          <w:rFonts w:hint="eastAsia"/>
          <w:color w:val="000000"/>
          <w:szCs w:val="21"/>
          <w:u w:val="single"/>
        </w:rPr>
        <w:t xml:space="preserve">  </w:t>
      </w:r>
      <w:r>
        <w:rPr>
          <w:rFonts w:hint="eastAsia"/>
          <w:color w:val="000000"/>
          <w:szCs w:val="21"/>
        </w:rPr>
        <w:t>小时。</w:t>
      </w:r>
    </w:p>
    <w:p w14:paraId="48787354">
      <w:pPr>
        <w:spacing w:line="520" w:lineRule="exact"/>
        <w:ind w:firstLine="420" w:firstLineChars="200"/>
        <w:rPr>
          <w:rFonts w:hint="eastAsia" w:ascii="宋体" w:hAnsi="宋体"/>
          <w:color w:val="000000"/>
          <w:szCs w:val="21"/>
        </w:rPr>
      </w:pPr>
      <w:r>
        <w:rPr>
          <w:rFonts w:hint="eastAsia" w:ascii="宋体" w:hAnsi="宋体"/>
          <w:color w:val="000000"/>
          <w:szCs w:val="21"/>
        </w:rPr>
        <w:t>5.乙方提供的服务承诺和售后服务及保修期责任等其它具体约定事项。（如有，见合同附件）</w:t>
      </w:r>
    </w:p>
    <w:p w14:paraId="4FED4358">
      <w:pPr>
        <w:spacing w:line="520" w:lineRule="exact"/>
        <w:ind w:firstLine="420" w:firstLineChars="200"/>
        <w:rPr>
          <w:color w:val="000000"/>
          <w:szCs w:val="21"/>
        </w:rPr>
      </w:pPr>
      <w:r>
        <w:rPr>
          <w:rFonts w:hint="eastAsia"/>
          <w:color w:val="000000"/>
          <w:szCs w:val="21"/>
        </w:rPr>
        <w:t>6.乙方应当向甲方提供维护手册、维修手册、软件备份、故障代码表、备件清单、零部件、维修密码等维护维修必需的材料和信息，以便甲方维护维修使用。</w:t>
      </w:r>
    </w:p>
    <w:p w14:paraId="5C3D5B09">
      <w:pPr>
        <w:snapToGrid w:val="0"/>
        <w:spacing w:line="520" w:lineRule="exact"/>
        <w:ind w:firstLine="422" w:firstLineChars="200"/>
        <w:rPr>
          <w:rFonts w:hint="eastAsia" w:ascii="宋体" w:hAnsi="宋体"/>
          <w:b/>
          <w:color w:val="000000"/>
          <w:szCs w:val="21"/>
        </w:rPr>
      </w:pPr>
      <w:r>
        <w:rPr>
          <w:rFonts w:hint="eastAsia" w:ascii="宋体" w:hAnsi="宋体"/>
          <w:b/>
          <w:color w:val="000000"/>
          <w:szCs w:val="21"/>
        </w:rPr>
        <w:t>第十条</w:t>
      </w:r>
      <w:r>
        <w:rPr>
          <w:rFonts w:hint="eastAsia" w:hAnsi="宋体"/>
          <w:b/>
          <w:color w:val="000000"/>
          <w:szCs w:val="21"/>
        </w:rPr>
        <w:t xml:space="preserve">  </w:t>
      </w:r>
      <w:r>
        <w:rPr>
          <w:rFonts w:hint="eastAsia" w:ascii="宋体" w:hAnsi="宋体"/>
          <w:b/>
          <w:color w:val="000000"/>
          <w:szCs w:val="21"/>
        </w:rPr>
        <w:t>违约责任</w:t>
      </w:r>
    </w:p>
    <w:p w14:paraId="38DA60D4">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2CC188D2">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2.因包装、运输引起的货物损坏，按质量不合格处理，乙方负责更换。</w:t>
      </w:r>
    </w:p>
    <w:p w14:paraId="17AAB808">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3.甲方无故延期接收货物、乙方逾期交货的，每天向对方偿付违约货款额3‰违约金，但违约金累计不得超过违约货款额5%，超过30天对方有权解除合同，违约方承担因此给对方造成经济损失；甲方延期付货款的，每天向乙方偿付延期货款额3‰滞纳金，但滞纳金累计不得超过延期货款额5%。</w:t>
      </w:r>
    </w:p>
    <w:p w14:paraId="0B62D949">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4.乙方未按本合同和响应文件中规定的服务承诺提供售后服务的，乙方应按本合同合计金额 5%向甲方支付违约金。</w:t>
      </w:r>
    </w:p>
    <w:p w14:paraId="6A3678D8">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5.乙方提供的货物在质量保证期内，因设计、工艺或材料的缺陷和其它质量原因造成的问题，由乙方负责，费用从剩余5%货款中扣除，不足另补。</w:t>
      </w:r>
    </w:p>
    <w:p w14:paraId="46C6E091">
      <w:pPr>
        <w:snapToGrid w:val="0"/>
        <w:spacing w:line="520" w:lineRule="exact"/>
        <w:ind w:firstLine="420" w:firstLineChars="200"/>
        <w:rPr>
          <w:rFonts w:hint="eastAsia" w:hAnsi="宋体"/>
          <w:color w:val="000000"/>
          <w:szCs w:val="21"/>
        </w:rPr>
      </w:pPr>
      <w:r>
        <w:rPr>
          <w:rFonts w:hint="eastAsia" w:ascii="宋体" w:hAnsi="宋体"/>
          <w:color w:val="000000"/>
          <w:szCs w:val="21"/>
        </w:rPr>
        <w:t>6.其它违约行为按违约货款额5%收取违约金并赔偿经济损失。</w:t>
      </w:r>
    </w:p>
    <w:p w14:paraId="56A1FC4E">
      <w:pPr>
        <w:pStyle w:val="17"/>
        <w:snapToGrid w:val="0"/>
        <w:spacing w:line="520" w:lineRule="exact"/>
        <w:ind w:firstLine="413" w:firstLineChars="196"/>
        <w:rPr>
          <w:rFonts w:hint="eastAsia" w:hAnsi="宋体"/>
          <w:b/>
          <w:color w:val="000000"/>
          <w:sz w:val="21"/>
        </w:rPr>
      </w:pPr>
      <w:r>
        <w:rPr>
          <w:rFonts w:hint="eastAsia" w:hAnsi="宋体"/>
          <w:b/>
          <w:color w:val="000000"/>
          <w:sz w:val="21"/>
        </w:rPr>
        <w:t>第十一条  不可抗力事件处理</w:t>
      </w:r>
    </w:p>
    <w:p w14:paraId="1F59302D">
      <w:pPr>
        <w:pStyle w:val="17"/>
        <w:snapToGrid w:val="0"/>
        <w:spacing w:line="520" w:lineRule="exact"/>
        <w:ind w:firstLine="420" w:firstLineChars="200"/>
        <w:rPr>
          <w:rFonts w:hint="eastAsia" w:hAnsi="宋体"/>
          <w:color w:val="000000"/>
          <w:sz w:val="21"/>
        </w:rPr>
      </w:pPr>
      <w:r>
        <w:rPr>
          <w:rFonts w:hint="eastAsia" w:hAnsi="宋体"/>
          <w:color w:val="000000"/>
          <w:sz w:val="21"/>
        </w:rPr>
        <w:t>1.在合同有效期内，任何一方因不可抗力事件导致不能履行合同，则合同履行期可延长，其延长期与不可抗力影响期相同。</w:t>
      </w:r>
    </w:p>
    <w:p w14:paraId="3B9A0125">
      <w:pPr>
        <w:pStyle w:val="17"/>
        <w:snapToGrid w:val="0"/>
        <w:spacing w:line="520" w:lineRule="exact"/>
        <w:ind w:firstLine="420" w:firstLineChars="200"/>
        <w:rPr>
          <w:rFonts w:hint="eastAsia" w:hAnsi="宋体"/>
          <w:color w:val="000000"/>
          <w:sz w:val="21"/>
        </w:rPr>
      </w:pPr>
      <w:r>
        <w:rPr>
          <w:rFonts w:hint="eastAsia" w:hAnsi="宋体"/>
          <w:color w:val="000000"/>
          <w:sz w:val="21"/>
        </w:rPr>
        <w:t>2.不可抗力事件发生后，应立即通知对方，并寄送有关权威机构出具的证明。</w:t>
      </w:r>
    </w:p>
    <w:p w14:paraId="1E2AB745">
      <w:pPr>
        <w:pStyle w:val="17"/>
        <w:snapToGrid w:val="0"/>
        <w:spacing w:line="520" w:lineRule="exact"/>
        <w:ind w:left="-61" w:leftChars="-29" w:firstLine="420" w:firstLineChars="200"/>
        <w:rPr>
          <w:rFonts w:hint="eastAsia" w:hAnsi="宋体"/>
          <w:color w:val="000000"/>
          <w:sz w:val="21"/>
        </w:rPr>
      </w:pPr>
      <w:r>
        <w:rPr>
          <w:rFonts w:hint="eastAsia" w:hAnsi="宋体"/>
          <w:color w:val="000000"/>
          <w:sz w:val="21"/>
        </w:rPr>
        <w:t>3.不可抗力事件延续一百二十天以上，双方应通过友好协商，确定是否继续履行合同。</w:t>
      </w:r>
    </w:p>
    <w:p w14:paraId="67C588D6">
      <w:pPr>
        <w:snapToGrid w:val="0"/>
        <w:spacing w:line="520" w:lineRule="exact"/>
        <w:ind w:firstLine="422" w:firstLineChars="200"/>
        <w:rPr>
          <w:rFonts w:hint="eastAsia" w:ascii="宋体" w:hAnsi="宋体"/>
          <w:b/>
          <w:color w:val="000000"/>
          <w:szCs w:val="21"/>
        </w:rPr>
      </w:pPr>
      <w:r>
        <w:rPr>
          <w:rFonts w:hint="eastAsia" w:hAnsi="宋体"/>
          <w:b/>
          <w:color w:val="000000"/>
          <w:szCs w:val="21"/>
        </w:rPr>
        <w:t>第十二条</w:t>
      </w:r>
      <w:r>
        <w:rPr>
          <w:rFonts w:hint="eastAsia" w:ascii="宋体" w:hAnsi="宋体"/>
          <w:b/>
          <w:color w:val="000000"/>
          <w:szCs w:val="21"/>
        </w:rPr>
        <w:t>　合同争议解决</w:t>
      </w:r>
    </w:p>
    <w:p w14:paraId="201F717B">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1.因货物质量问题发生争议的，应邀请国家认可的质量检测机构对货物质量进行鉴定。货物符合标准的，鉴定费由甲方承担；货物不符合标准的，鉴定费由乙方承担。</w:t>
      </w:r>
    </w:p>
    <w:p w14:paraId="71513932">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2.因履行本合同引起的或与本合同有关的争议，甲乙双方应首先通过友好协商解决，如果协商不能解决，可向项目所在地的仲裁委员会申请仲裁或向项目所在地人民法院提起诉讼。</w:t>
      </w:r>
    </w:p>
    <w:p w14:paraId="540C383C">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3.诉讼期间，本合同继续履行。</w:t>
      </w:r>
    </w:p>
    <w:p w14:paraId="73D64669">
      <w:pPr>
        <w:pStyle w:val="17"/>
        <w:snapToGrid w:val="0"/>
        <w:spacing w:line="520" w:lineRule="exact"/>
        <w:ind w:firstLine="413" w:firstLineChars="196"/>
        <w:rPr>
          <w:rFonts w:hint="eastAsia" w:hAnsi="宋体"/>
          <w:b/>
          <w:color w:val="000000"/>
          <w:sz w:val="21"/>
        </w:rPr>
      </w:pPr>
      <w:r>
        <w:rPr>
          <w:rFonts w:hint="eastAsia" w:hAnsi="宋体"/>
          <w:b/>
          <w:color w:val="000000"/>
          <w:sz w:val="21"/>
        </w:rPr>
        <w:t>第十三条  合同生效及其它</w:t>
      </w:r>
    </w:p>
    <w:p w14:paraId="7E582A91">
      <w:pPr>
        <w:pStyle w:val="17"/>
        <w:snapToGrid w:val="0"/>
        <w:spacing w:line="520" w:lineRule="exact"/>
        <w:ind w:firstLine="315" w:firstLineChars="150"/>
        <w:rPr>
          <w:rFonts w:hint="eastAsia" w:hAnsi="宋体"/>
          <w:color w:val="000000"/>
          <w:sz w:val="21"/>
        </w:rPr>
      </w:pPr>
      <w:r>
        <w:rPr>
          <w:rFonts w:hint="eastAsia" w:hAnsi="宋体"/>
          <w:color w:val="000000"/>
          <w:sz w:val="21"/>
        </w:rPr>
        <w:t xml:space="preserve"> 1.合同经双方法定代表人或授权代表签字并加盖单位公章后生效。</w:t>
      </w:r>
    </w:p>
    <w:p w14:paraId="176609C5">
      <w:pPr>
        <w:pStyle w:val="17"/>
        <w:snapToGrid w:val="0"/>
        <w:spacing w:line="520" w:lineRule="exact"/>
        <w:ind w:firstLine="420" w:firstLineChars="200"/>
        <w:rPr>
          <w:rFonts w:hint="eastAsia" w:hAnsi="宋体"/>
          <w:color w:val="000000"/>
          <w:sz w:val="21"/>
        </w:rPr>
      </w:pPr>
      <w:r>
        <w:rPr>
          <w:rFonts w:hint="eastAsia" w:hAnsi="宋体"/>
          <w:color w:val="000000"/>
          <w:sz w:val="21"/>
        </w:rPr>
        <w:t>2.合同执行中涉及采购资金和采购内容修改或补充的，须经甲乙双方协商同意，并签书面补充协议，方可作为主合同不可分割的一部分。</w:t>
      </w:r>
    </w:p>
    <w:p w14:paraId="40917F3E">
      <w:pPr>
        <w:pStyle w:val="17"/>
        <w:snapToGrid w:val="0"/>
        <w:spacing w:line="520" w:lineRule="exact"/>
        <w:ind w:firstLine="420" w:firstLineChars="200"/>
        <w:rPr>
          <w:rFonts w:hint="eastAsia" w:hAnsi="宋体"/>
          <w:color w:val="000000"/>
          <w:sz w:val="21"/>
        </w:rPr>
      </w:pPr>
      <w:r>
        <w:rPr>
          <w:rFonts w:hint="eastAsia" w:hAnsi="宋体"/>
          <w:color w:val="000000"/>
          <w:sz w:val="21"/>
        </w:rPr>
        <w:t>3.本合同未尽事宜，遵照《</w:t>
      </w:r>
      <w:r>
        <w:rPr>
          <w:rFonts w:hint="eastAsia" w:hAnsi="宋体"/>
          <w:sz w:val="21"/>
        </w:rPr>
        <w:t>中华人民共和国民法典</w:t>
      </w:r>
      <w:r>
        <w:rPr>
          <w:rFonts w:hint="eastAsia" w:hAnsi="宋体"/>
          <w:color w:val="000000"/>
          <w:sz w:val="21"/>
        </w:rPr>
        <w:t>》有关条文执行。</w:t>
      </w:r>
    </w:p>
    <w:p w14:paraId="28CB3B9A">
      <w:pPr>
        <w:pStyle w:val="17"/>
        <w:snapToGrid w:val="0"/>
        <w:spacing w:line="520" w:lineRule="exact"/>
        <w:ind w:left="420" w:leftChars="200"/>
        <w:rPr>
          <w:rFonts w:hint="eastAsia" w:hAnsi="宋体"/>
          <w:b/>
          <w:color w:val="000000"/>
          <w:sz w:val="21"/>
        </w:rPr>
      </w:pPr>
      <w:r>
        <w:rPr>
          <w:rFonts w:hint="eastAsia" w:hAnsi="宋体"/>
          <w:b/>
          <w:color w:val="000000"/>
          <w:sz w:val="21"/>
        </w:rPr>
        <w:t>第十四条  合同的变更、终止与转让</w:t>
      </w:r>
    </w:p>
    <w:p w14:paraId="17BA40C4">
      <w:pPr>
        <w:pStyle w:val="17"/>
        <w:snapToGrid w:val="0"/>
        <w:spacing w:line="520" w:lineRule="exact"/>
        <w:ind w:firstLine="420" w:firstLineChars="200"/>
        <w:rPr>
          <w:rFonts w:hint="eastAsia" w:hAnsi="宋体"/>
          <w:sz w:val="21"/>
        </w:rPr>
      </w:pPr>
      <w:r>
        <w:rPr>
          <w:rFonts w:hint="eastAsia" w:hAnsi="宋体"/>
          <w:color w:val="000000"/>
          <w:sz w:val="21"/>
        </w:rPr>
        <w:t>1.本合同一经签订，</w:t>
      </w:r>
      <w:r>
        <w:rPr>
          <w:rFonts w:hint="eastAsia" w:hAnsi="宋体"/>
          <w:sz w:val="21"/>
        </w:rPr>
        <w:t>甲乙双方不得擅自变更、中止或终止。</w:t>
      </w:r>
    </w:p>
    <w:p w14:paraId="5F534D0F">
      <w:pPr>
        <w:pStyle w:val="17"/>
        <w:snapToGrid w:val="0"/>
        <w:spacing w:line="520" w:lineRule="exact"/>
        <w:ind w:firstLine="420"/>
        <w:rPr>
          <w:rFonts w:hint="eastAsia" w:hAnsi="宋体"/>
          <w:sz w:val="21"/>
        </w:rPr>
      </w:pPr>
      <w:r>
        <w:rPr>
          <w:rFonts w:hint="eastAsia" w:hAnsi="宋体"/>
          <w:sz w:val="21"/>
        </w:rPr>
        <w:t>2.乙方不得擅自转让（无进口资格的供应商委托进口货物除外）其应履行的合同义务。</w:t>
      </w:r>
    </w:p>
    <w:p w14:paraId="19C01896">
      <w:pPr>
        <w:snapToGrid w:val="0"/>
        <w:spacing w:line="520" w:lineRule="exact"/>
        <w:ind w:left="120" w:leftChars="57" w:firstLine="316" w:firstLineChars="150"/>
        <w:rPr>
          <w:rFonts w:hint="eastAsia" w:ascii="宋体" w:hAnsi="宋体"/>
          <w:szCs w:val="21"/>
        </w:rPr>
      </w:pPr>
      <w:r>
        <w:rPr>
          <w:rFonts w:hint="eastAsia" w:hAnsi="宋体"/>
          <w:b/>
          <w:szCs w:val="21"/>
        </w:rPr>
        <w:t>第十五条</w:t>
      </w:r>
      <w:r>
        <w:rPr>
          <w:rFonts w:hAnsi="宋体"/>
          <w:b/>
          <w:szCs w:val="21"/>
        </w:rPr>
        <w:t xml:space="preserve">  </w:t>
      </w:r>
      <w:r>
        <w:rPr>
          <w:rFonts w:hint="eastAsia" w:ascii="宋体" w:hAnsi="宋体"/>
          <w:b/>
          <w:szCs w:val="21"/>
        </w:rPr>
        <w:t>信息保密</w:t>
      </w:r>
    </w:p>
    <w:p w14:paraId="797BE7B0">
      <w:pPr>
        <w:pStyle w:val="17"/>
        <w:snapToGrid w:val="0"/>
        <w:spacing w:line="520" w:lineRule="exact"/>
        <w:ind w:firstLine="420"/>
        <w:rPr>
          <w:rFonts w:hint="eastAsia" w:hAnsi="宋体"/>
          <w:sz w:val="21"/>
        </w:rPr>
      </w:pPr>
      <w:r>
        <w:rPr>
          <w:rFonts w:hint="eastAsia" w:hAnsi="宋体"/>
          <w:sz w:val="21"/>
        </w:rPr>
        <w:t>1.甲乙双方应当对本合同的内容、因履行本合同或在本合同期间获得对方的商务、财务、技术、产品的信息、用户资料或其他标明保密的文件或信息的内容保守秘密，未经信息披露方书面事先同意，不得向本协议以外的任何第三方泄露。</w:t>
      </w:r>
    </w:p>
    <w:p w14:paraId="217449CB">
      <w:pPr>
        <w:pStyle w:val="17"/>
        <w:snapToGrid w:val="0"/>
        <w:spacing w:line="520" w:lineRule="exact"/>
        <w:ind w:firstLine="420"/>
        <w:rPr>
          <w:rFonts w:hint="eastAsia" w:hAnsi="宋体"/>
          <w:sz w:val="21"/>
        </w:rPr>
      </w:pPr>
      <w:r>
        <w:rPr>
          <w:rFonts w:hint="eastAsia" w:hAnsi="宋体"/>
          <w:sz w:val="21"/>
        </w:rPr>
        <w:t>2.除非得到另一方的书面许可，甲乙双方均不得将本合同中的内容及在本合同执行过程中获得的对方的商业信息向任何第三方泄露;</w:t>
      </w:r>
    </w:p>
    <w:p w14:paraId="053FB828">
      <w:pPr>
        <w:snapToGrid w:val="0"/>
        <w:spacing w:line="520" w:lineRule="exact"/>
        <w:ind w:left="120" w:leftChars="57" w:firstLine="315" w:firstLineChars="150"/>
        <w:rPr>
          <w:rFonts w:hint="eastAsia" w:hAnsi="宋体"/>
          <w:szCs w:val="21"/>
        </w:rPr>
      </w:pPr>
      <w:r>
        <w:rPr>
          <w:rFonts w:hAnsi="宋体"/>
          <w:szCs w:val="21"/>
        </w:rPr>
        <w:t>3.</w:t>
      </w:r>
      <w:r>
        <w:rPr>
          <w:rFonts w:hint="eastAsia" w:hAnsi="宋体"/>
          <w:szCs w:val="21"/>
        </w:rPr>
        <w:t>本保密条款在本合同期满、解除或终止后仍然有效。</w:t>
      </w:r>
    </w:p>
    <w:p w14:paraId="78888DFA">
      <w:pPr>
        <w:snapToGrid w:val="0"/>
        <w:spacing w:line="520" w:lineRule="exact"/>
        <w:ind w:left="120" w:leftChars="57" w:firstLine="316" w:firstLineChars="150"/>
        <w:rPr>
          <w:rFonts w:hint="eastAsia" w:ascii="宋体" w:hAnsi="宋体"/>
          <w:color w:val="000000"/>
          <w:szCs w:val="21"/>
        </w:rPr>
      </w:pPr>
      <w:r>
        <w:rPr>
          <w:rFonts w:hint="eastAsia" w:hAnsi="宋体"/>
          <w:b/>
          <w:color w:val="000000"/>
          <w:szCs w:val="21"/>
        </w:rPr>
        <w:t xml:space="preserve">第十六条  </w:t>
      </w:r>
      <w:r>
        <w:rPr>
          <w:rFonts w:hint="eastAsia" w:ascii="宋体" w:hAnsi="宋体"/>
          <w:color w:val="000000"/>
          <w:szCs w:val="21"/>
        </w:rPr>
        <w:t>本合同一式</w:t>
      </w:r>
      <w:r>
        <w:rPr>
          <w:rFonts w:hint="eastAsia" w:ascii="宋体" w:hAnsi="宋体"/>
          <w:color w:val="000000"/>
          <w:szCs w:val="21"/>
          <w:u w:val="single"/>
        </w:rPr>
        <w:t xml:space="preserve"> 陆 </w:t>
      </w:r>
      <w:r>
        <w:rPr>
          <w:rFonts w:hint="eastAsia" w:ascii="宋体" w:hAnsi="宋体"/>
          <w:color w:val="000000"/>
          <w:szCs w:val="21"/>
        </w:rPr>
        <w:t>份，具有同等法律效力。甲方执肆份，乙方执</w:t>
      </w:r>
      <w:r>
        <w:rPr>
          <w:rFonts w:hint="eastAsia" w:ascii="宋体" w:hAnsi="宋体"/>
          <w:color w:val="000000"/>
          <w:szCs w:val="21"/>
          <w:u w:val="single"/>
        </w:rPr>
        <w:t xml:space="preserve"> 壹 </w:t>
      </w:r>
      <w:r>
        <w:rPr>
          <w:rFonts w:hint="eastAsia" w:ascii="宋体" w:hAnsi="宋体"/>
          <w:color w:val="000000"/>
          <w:szCs w:val="21"/>
        </w:rPr>
        <w:t>份,招标代理机构执</w:t>
      </w:r>
      <w:r>
        <w:rPr>
          <w:rFonts w:hint="eastAsia" w:ascii="宋体" w:hAnsi="宋体"/>
          <w:color w:val="000000"/>
          <w:szCs w:val="21"/>
          <w:u w:val="single"/>
        </w:rPr>
        <w:t xml:space="preserve"> 壹 </w:t>
      </w:r>
      <w:r>
        <w:rPr>
          <w:rFonts w:hint="eastAsia" w:ascii="宋体" w:hAnsi="宋体"/>
          <w:color w:val="000000"/>
          <w:szCs w:val="21"/>
        </w:rPr>
        <w:t>份（可根据需要另增加）。</w:t>
      </w:r>
    </w:p>
    <w:p w14:paraId="29BB998C">
      <w:pPr>
        <w:snapToGrid w:val="0"/>
        <w:spacing w:line="520" w:lineRule="exact"/>
        <w:ind w:firstLine="420" w:firstLineChars="200"/>
        <w:rPr>
          <w:rFonts w:hint="eastAsia" w:ascii="宋体" w:hAnsi="宋体"/>
          <w:color w:val="000000"/>
          <w:szCs w:val="21"/>
        </w:rPr>
      </w:pPr>
      <w:r>
        <w:rPr>
          <w:rFonts w:hint="eastAsia" w:ascii="宋体" w:hAnsi="宋体"/>
          <w:color w:val="000000"/>
          <w:szCs w:val="21"/>
        </w:rPr>
        <w:t>本合同甲乙双方签字盖章后生效。</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4"/>
        <w:gridCol w:w="5120"/>
      </w:tblGrid>
      <w:tr w14:paraId="2F5D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402" w:type="pct"/>
            <w:vAlign w:val="center"/>
          </w:tcPr>
          <w:p w14:paraId="1CFE4EBA">
            <w:pPr>
              <w:snapToGrid w:val="0"/>
              <w:spacing w:line="520" w:lineRule="exact"/>
              <w:rPr>
                <w:rFonts w:hint="eastAsia" w:ascii="宋体" w:hAnsi="宋体"/>
                <w:color w:val="000000"/>
                <w:szCs w:val="21"/>
              </w:rPr>
            </w:pPr>
            <w:r>
              <w:rPr>
                <w:rFonts w:hint="eastAsia" w:ascii="宋体" w:hAnsi="宋体"/>
                <w:color w:val="000000"/>
                <w:szCs w:val="21"/>
              </w:rPr>
              <w:t xml:space="preserve">甲方（章）           </w:t>
            </w:r>
          </w:p>
          <w:p w14:paraId="631EF841">
            <w:pPr>
              <w:snapToGrid w:val="0"/>
              <w:spacing w:line="520" w:lineRule="exact"/>
              <w:rPr>
                <w:rFonts w:hint="eastAsia" w:ascii="宋体" w:hAnsi="宋体"/>
                <w:color w:val="000000"/>
                <w:szCs w:val="21"/>
              </w:rPr>
            </w:pPr>
            <w:r>
              <w:rPr>
                <w:rFonts w:hint="eastAsia" w:ascii="宋体" w:hAnsi="宋体"/>
                <w:color w:val="000000"/>
                <w:szCs w:val="21"/>
              </w:rPr>
              <w:t>博白县第二人民医院</w:t>
            </w:r>
          </w:p>
          <w:p w14:paraId="3626C8C7">
            <w:pPr>
              <w:snapToGrid w:val="0"/>
              <w:spacing w:line="520" w:lineRule="exact"/>
              <w:ind w:firstLine="945" w:firstLineChars="450"/>
              <w:jc w:val="right"/>
              <w:rPr>
                <w:rFonts w:hint="eastAsia" w:ascii="宋体" w:hAnsi="宋体"/>
                <w:color w:val="000000"/>
                <w:szCs w:val="21"/>
              </w:rPr>
            </w:pPr>
            <w:r>
              <w:rPr>
                <w:rFonts w:hint="eastAsia" w:ascii="宋体" w:hAnsi="宋体"/>
                <w:color w:val="000000"/>
                <w:szCs w:val="21"/>
              </w:rPr>
              <w:t>2025年   月   日</w:t>
            </w:r>
          </w:p>
        </w:tc>
        <w:tc>
          <w:tcPr>
            <w:tcW w:w="2598" w:type="pct"/>
            <w:vAlign w:val="center"/>
          </w:tcPr>
          <w:p w14:paraId="08F15B1B">
            <w:pPr>
              <w:snapToGrid w:val="0"/>
              <w:spacing w:line="520" w:lineRule="exact"/>
              <w:rPr>
                <w:rFonts w:hint="eastAsia" w:ascii="宋体" w:hAnsi="宋体"/>
                <w:color w:val="000000"/>
                <w:szCs w:val="21"/>
              </w:rPr>
            </w:pPr>
            <w:r>
              <w:rPr>
                <w:rFonts w:hint="eastAsia" w:ascii="宋体" w:hAnsi="宋体"/>
                <w:color w:val="000000"/>
                <w:szCs w:val="21"/>
              </w:rPr>
              <w:t xml:space="preserve">乙方（章）              </w:t>
            </w:r>
          </w:p>
          <w:p w14:paraId="2E40C1FF">
            <w:pPr>
              <w:snapToGrid w:val="0"/>
              <w:spacing w:line="520" w:lineRule="exact"/>
              <w:rPr>
                <w:rFonts w:hint="eastAsia" w:ascii="宋体" w:hAnsi="宋体"/>
                <w:color w:val="000000"/>
                <w:szCs w:val="21"/>
              </w:rPr>
            </w:pPr>
          </w:p>
          <w:p w14:paraId="055F2D68">
            <w:pPr>
              <w:snapToGrid w:val="0"/>
              <w:spacing w:line="520" w:lineRule="exact"/>
              <w:jc w:val="right"/>
              <w:rPr>
                <w:rFonts w:hint="eastAsia" w:ascii="宋体" w:hAnsi="宋体"/>
                <w:color w:val="000000"/>
                <w:szCs w:val="21"/>
              </w:rPr>
            </w:pPr>
            <w:r>
              <w:rPr>
                <w:rFonts w:hint="eastAsia" w:ascii="宋体" w:hAnsi="宋体"/>
                <w:color w:val="000000"/>
                <w:szCs w:val="21"/>
              </w:rPr>
              <w:t xml:space="preserve"> 2025年   月   日</w:t>
            </w:r>
          </w:p>
        </w:tc>
      </w:tr>
      <w:tr w14:paraId="23F3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402" w:type="pct"/>
            <w:vAlign w:val="center"/>
          </w:tcPr>
          <w:p w14:paraId="33E1E9C6">
            <w:pPr>
              <w:snapToGrid w:val="0"/>
              <w:spacing w:line="520" w:lineRule="exact"/>
              <w:rPr>
                <w:rFonts w:hint="eastAsia" w:ascii="宋体" w:hAnsi="宋体"/>
                <w:color w:val="000000"/>
                <w:szCs w:val="21"/>
              </w:rPr>
            </w:pPr>
            <w:r>
              <w:rPr>
                <w:rFonts w:hint="eastAsia" w:ascii="宋体" w:hAnsi="宋体"/>
                <w:color w:val="000000"/>
                <w:szCs w:val="21"/>
              </w:rPr>
              <w:t>单位地址：</w:t>
            </w:r>
            <w:r>
              <w:rPr>
                <w:rFonts w:hint="eastAsia" w:ascii="宋体" w:hAnsi="宋体" w:cs="宋体"/>
                <w:szCs w:val="21"/>
              </w:rPr>
              <w:t xml:space="preserve">龙港新区玉林龙潭产业园区白树大道南侧（博白县龙潭镇）  </w:t>
            </w:r>
            <w:r>
              <w:rPr>
                <w:rFonts w:hint="eastAsia" w:ascii="宋体" w:hAnsi="宋体" w:cs="宋体"/>
                <w:color w:val="FF0000"/>
                <w:szCs w:val="21"/>
              </w:rPr>
              <w:t xml:space="preserve">              </w:t>
            </w:r>
          </w:p>
        </w:tc>
        <w:tc>
          <w:tcPr>
            <w:tcW w:w="2598" w:type="pct"/>
            <w:vAlign w:val="center"/>
          </w:tcPr>
          <w:p w14:paraId="7CD21EC7">
            <w:pPr>
              <w:snapToGrid w:val="0"/>
              <w:spacing w:line="520" w:lineRule="exact"/>
              <w:rPr>
                <w:rFonts w:hint="eastAsia" w:ascii="宋体" w:hAnsi="宋体"/>
                <w:color w:val="000000"/>
                <w:szCs w:val="21"/>
              </w:rPr>
            </w:pPr>
            <w:r>
              <w:rPr>
                <w:rFonts w:hint="eastAsia" w:ascii="宋体" w:hAnsi="宋体"/>
                <w:color w:val="000000"/>
                <w:szCs w:val="21"/>
              </w:rPr>
              <w:t>单位地址：</w:t>
            </w:r>
          </w:p>
        </w:tc>
      </w:tr>
      <w:tr w14:paraId="0244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2402" w:type="pct"/>
            <w:vAlign w:val="center"/>
          </w:tcPr>
          <w:p w14:paraId="56646431">
            <w:pPr>
              <w:snapToGrid w:val="0"/>
              <w:spacing w:line="520" w:lineRule="exact"/>
              <w:rPr>
                <w:rFonts w:hint="eastAsia" w:ascii="宋体" w:hAnsi="宋体"/>
                <w:color w:val="000000"/>
                <w:szCs w:val="21"/>
              </w:rPr>
            </w:pPr>
            <w:r>
              <w:rPr>
                <w:rFonts w:hint="eastAsia" w:ascii="宋体" w:hAnsi="宋体"/>
                <w:color w:val="000000"/>
                <w:szCs w:val="21"/>
              </w:rPr>
              <w:t>法定代表人签名：</w:t>
            </w:r>
          </w:p>
        </w:tc>
        <w:tc>
          <w:tcPr>
            <w:tcW w:w="2598" w:type="pct"/>
            <w:vAlign w:val="center"/>
          </w:tcPr>
          <w:p w14:paraId="646498BF">
            <w:pPr>
              <w:snapToGrid w:val="0"/>
              <w:spacing w:line="520" w:lineRule="exact"/>
              <w:rPr>
                <w:rFonts w:hint="eastAsia" w:ascii="宋体" w:hAnsi="宋体"/>
                <w:color w:val="000000"/>
                <w:szCs w:val="21"/>
              </w:rPr>
            </w:pPr>
            <w:r>
              <w:rPr>
                <w:rFonts w:hint="eastAsia" w:ascii="宋体" w:hAnsi="宋体"/>
                <w:color w:val="000000"/>
                <w:szCs w:val="21"/>
              </w:rPr>
              <w:t>法定代表人签名：</w:t>
            </w:r>
          </w:p>
        </w:tc>
      </w:tr>
      <w:tr w14:paraId="08E1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402" w:type="pct"/>
            <w:vAlign w:val="center"/>
          </w:tcPr>
          <w:p w14:paraId="20EB08C3">
            <w:pPr>
              <w:snapToGrid w:val="0"/>
              <w:spacing w:line="520" w:lineRule="exact"/>
              <w:rPr>
                <w:rFonts w:hint="eastAsia" w:ascii="宋体" w:hAnsi="宋体"/>
                <w:color w:val="000000"/>
                <w:szCs w:val="21"/>
              </w:rPr>
            </w:pPr>
            <w:r>
              <w:rPr>
                <w:rFonts w:hint="eastAsia" w:ascii="宋体" w:hAnsi="宋体"/>
                <w:color w:val="000000"/>
                <w:szCs w:val="21"/>
              </w:rPr>
              <w:t>委托代理人签名：</w:t>
            </w:r>
          </w:p>
        </w:tc>
        <w:tc>
          <w:tcPr>
            <w:tcW w:w="2598" w:type="pct"/>
            <w:vAlign w:val="center"/>
          </w:tcPr>
          <w:p w14:paraId="73BBDB82">
            <w:pPr>
              <w:snapToGrid w:val="0"/>
              <w:spacing w:line="520" w:lineRule="exact"/>
              <w:rPr>
                <w:rFonts w:hint="eastAsia" w:ascii="宋体" w:hAnsi="宋体"/>
                <w:color w:val="000000"/>
                <w:szCs w:val="21"/>
              </w:rPr>
            </w:pPr>
            <w:r>
              <w:rPr>
                <w:rFonts w:hint="eastAsia" w:ascii="宋体" w:hAnsi="宋体"/>
                <w:color w:val="000000"/>
                <w:szCs w:val="21"/>
              </w:rPr>
              <w:t>委托代理人签名:</w:t>
            </w:r>
          </w:p>
        </w:tc>
      </w:tr>
      <w:tr w14:paraId="58D4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402" w:type="pct"/>
            <w:vAlign w:val="center"/>
          </w:tcPr>
          <w:p w14:paraId="3B573B59">
            <w:pPr>
              <w:snapToGrid w:val="0"/>
              <w:spacing w:line="520" w:lineRule="exact"/>
              <w:rPr>
                <w:rFonts w:hint="eastAsia" w:ascii="宋体" w:hAnsi="宋体"/>
                <w:color w:val="000000"/>
                <w:szCs w:val="21"/>
              </w:rPr>
            </w:pPr>
            <w:r>
              <w:rPr>
                <w:rFonts w:hint="eastAsia" w:ascii="宋体" w:hAnsi="宋体"/>
                <w:color w:val="000000"/>
                <w:szCs w:val="21"/>
              </w:rPr>
              <w:t>电话：</w:t>
            </w:r>
          </w:p>
        </w:tc>
        <w:tc>
          <w:tcPr>
            <w:tcW w:w="2598" w:type="pct"/>
            <w:vAlign w:val="center"/>
          </w:tcPr>
          <w:p w14:paraId="1C8C98F4">
            <w:pPr>
              <w:snapToGrid w:val="0"/>
              <w:spacing w:line="520" w:lineRule="exact"/>
              <w:rPr>
                <w:rFonts w:hint="eastAsia" w:ascii="宋体" w:hAnsi="宋体"/>
                <w:color w:val="000000"/>
                <w:szCs w:val="21"/>
              </w:rPr>
            </w:pPr>
            <w:r>
              <w:rPr>
                <w:rFonts w:hint="eastAsia" w:ascii="宋体" w:hAnsi="宋体"/>
                <w:color w:val="000000"/>
                <w:szCs w:val="21"/>
              </w:rPr>
              <w:t>电话：</w:t>
            </w:r>
          </w:p>
        </w:tc>
      </w:tr>
      <w:tr w14:paraId="7887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402" w:type="pct"/>
            <w:vAlign w:val="center"/>
          </w:tcPr>
          <w:p w14:paraId="6EC0AD7E">
            <w:pPr>
              <w:snapToGrid w:val="0"/>
              <w:spacing w:line="520" w:lineRule="exact"/>
              <w:rPr>
                <w:rFonts w:hint="eastAsia" w:ascii="宋体" w:hAnsi="宋体"/>
                <w:color w:val="000000"/>
                <w:szCs w:val="21"/>
              </w:rPr>
            </w:pPr>
            <w:r>
              <w:rPr>
                <w:rFonts w:hint="eastAsia" w:ascii="宋体" w:hAnsi="宋体"/>
                <w:color w:val="000000"/>
                <w:szCs w:val="21"/>
              </w:rPr>
              <w:t>电子邮箱：</w:t>
            </w:r>
          </w:p>
        </w:tc>
        <w:tc>
          <w:tcPr>
            <w:tcW w:w="2598" w:type="pct"/>
            <w:vAlign w:val="center"/>
          </w:tcPr>
          <w:p w14:paraId="70CCB6A1">
            <w:pPr>
              <w:snapToGrid w:val="0"/>
              <w:spacing w:line="520" w:lineRule="exact"/>
              <w:rPr>
                <w:rFonts w:hint="eastAsia" w:ascii="宋体" w:hAnsi="宋体"/>
                <w:color w:val="000000"/>
                <w:szCs w:val="21"/>
              </w:rPr>
            </w:pPr>
            <w:r>
              <w:rPr>
                <w:rFonts w:hint="eastAsia" w:ascii="宋体" w:hAnsi="宋体"/>
                <w:color w:val="000000"/>
                <w:szCs w:val="21"/>
              </w:rPr>
              <w:t>电子邮箱：</w:t>
            </w:r>
          </w:p>
        </w:tc>
      </w:tr>
      <w:tr w14:paraId="4187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402" w:type="pct"/>
            <w:vAlign w:val="center"/>
          </w:tcPr>
          <w:p w14:paraId="7332CF72">
            <w:pPr>
              <w:snapToGrid w:val="0"/>
              <w:spacing w:line="520" w:lineRule="exact"/>
              <w:rPr>
                <w:rFonts w:hint="eastAsia" w:ascii="宋体" w:hAnsi="宋体"/>
                <w:color w:val="000000"/>
                <w:szCs w:val="21"/>
              </w:rPr>
            </w:pPr>
            <w:r>
              <w:rPr>
                <w:rFonts w:hint="eastAsia" w:ascii="宋体" w:hAnsi="宋体"/>
                <w:color w:val="000000"/>
                <w:szCs w:val="21"/>
              </w:rPr>
              <w:t>开户银行：</w:t>
            </w:r>
          </w:p>
          <w:p w14:paraId="7F4D508E">
            <w:pPr>
              <w:snapToGrid w:val="0"/>
              <w:spacing w:line="520" w:lineRule="exact"/>
              <w:rPr>
                <w:rFonts w:hint="eastAsia" w:ascii="宋体" w:hAnsi="宋体"/>
                <w:color w:val="000000"/>
                <w:szCs w:val="21"/>
              </w:rPr>
            </w:pPr>
          </w:p>
        </w:tc>
        <w:tc>
          <w:tcPr>
            <w:tcW w:w="2598" w:type="pct"/>
            <w:vAlign w:val="center"/>
          </w:tcPr>
          <w:p w14:paraId="54185970">
            <w:pPr>
              <w:snapToGrid w:val="0"/>
              <w:spacing w:line="520" w:lineRule="exact"/>
              <w:rPr>
                <w:rFonts w:hint="eastAsia" w:ascii="宋体" w:hAnsi="宋体"/>
                <w:color w:val="000000"/>
                <w:szCs w:val="21"/>
              </w:rPr>
            </w:pPr>
            <w:r>
              <w:rPr>
                <w:rFonts w:hint="eastAsia" w:ascii="宋体" w:hAnsi="宋体"/>
                <w:color w:val="000000"/>
                <w:szCs w:val="21"/>
              </w:rPr>
              <w:t>开户银行：</w:t>
            </w:r>
          </w:p>
          <w:p w14:paraId="452BEF49">
            <w:pPr>
              <w:snapToGrid w:val="0"/>
              <w:spacing w:line="520" w:lineRule="exact"/>
              <w:rPr>
                <w:rFonts w:hint="eastAsia" w:ascii="宋体" w:hAnsi="宋体"/>
                <w:color w:val="000000"/>
                <w:szCs w:val="21"/>
              </w:rPr>
            </w:pPr>
          </w:p>
        </w:tc>
      </w:tr>
      <w:tr w14:paraId="4D14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099010E7">
            <w:pPr>
              <w:snapToGrid w:val="0"/>
              <w:spacing w:line="520" w:lineRule="exact"/>
              <w:rPr>
                <w:rFonts w:hint="eastAsia" w:ascii="宋体" w:hAnsi="宋体"/>
                <w:color w:val="000000"/>
                <w:szCs w:val="21"/>
              </w:rPr>
            </w:pPr>
            <w:r>
              <w:rPr>
                <w:rFonts w:hint="eastAsia" w:ascii="宋体" w:hAnsi="宋体"/>
                <w:color w:val="000000"/>
                <w:szCs w:val="21"/>
              </w:rPr>
              <w:t>账号：</w:t>
            </w:r>
          </w:p>
        </w:tc>
        <w:tc>
          <w:tcPr>
            <w:tcW w:w="2598" w:type="pct"/>
            <w:vAlign w:val="center"/>
          </w:tcPr>
          <w:p w14:paraId="76E512EE">
            <w:pPr>
              <w:snapToGrid w:val="0"/>
              <w:spacing w:line="520" w:lineRule="exact"/>
              <w:rPr>
                <w:rFonts w:hint="eastAsia" w:ascii="宋体" w:hAnsi="宋体"/>
                <w:color w:val="000000"/>
                <w:szCs w:val="21"/>
              </w:rPr>
            </w:pPr>
            <w:r>
              <w:rPr>
                <w:rFonts w:hint="eastAsia" w:ascii="宋体" w:hAnsi="宋体"/>
                <w:color w:val="000000"/>
                <w:szCs w:val="21"/>
              </w:rPr>
              <w:t>账号：</w:t>
            </w:r>
          </w:p>
        </w:tc>
      </w:tr>
      <w:tr w14:paraId="27F84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19A8815B">
            <w:pPr>
              <w:snapToGrid w:val="0"/>
              <w:spacing w:line="520" w:lineRule="exact"/>
              <w:rPr>
                <w:rFonts w:hint="eastAsia" w:ascii="宋体" w:hAnsi="宋体"/>
                <w:color w:val="000000"/>
                <w:szCs w:val="21"/>
              </w:rPr>
            </w:pPr>
            <w:r>
              <w:rPr>
                <w:rFonts w:hint="eastAsia" w:ascii="宋体" w:hAnsi="宋体"/>
                <w:color w:val="000000"/>
                <w:szCs w:val="21"/>
              </w:rPr>
              <w:t>纳税人识别号:</w:t>
            </w:r>
          </w:p>
        </w:tc>
        <w:tc>
          <w:tcPr>
            <w:tcW w:w="2598" w:type="pct"/>
            <w:vAlign w:val="center"/>
          </w:tcPr>
          <w:p w14:paraId="7077334F">
            <w:pPr>
              <w:snapToGrid w:val="0"/>
              <w:spacing w:line="520" w:lineRule="exact"/>
              <w:rPr>
                <w:rFonts w:hint="eastAsia" w:ascii="宋体" w:hAnsi="宋体"/>
                <w:color w:val="000000"/>
                <w:szCs w:val="21"/>
              </w:rPr>
            </w:pPr>
            <w:r>
              <w:rPr>
                <w:rFonts w:hint="eastAsia" w:ascii="宋体" w:hAnsi="宋体"/>
                <w:color w:val="000000"/>
                <w:szCs w:val="21"/>
              </w:rPr>
              <w:t>纳税人识别号:</w:t>
            </w:r>
          </w:p>
        </w:tc>
      </w:tr>
      <w:tr w14:paraId="4F65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402" w:type="pct"/>
            <w:vAlign w:val="center"/>
          </w:tcPr>
          <w:p w14:paraId="79DBEAD7">
            <w:pPr>
              <w:snapToGrid w:val="0"/>
              <w:spacing w:line="520" w:lineRule="exact"/>
              <w:rPr>
                <w:rFonts w:hint="eastAsia" w:ascii="宋体" w:hAnsi="宋体"/>
                <w:color w:val="000000"/>
                <w:szCs w:val="21"/>
              </w:rPr>
            </w:pPr>
            <w:r>
              <w:rPr>
                <w:rFonts w:hint="eastAsia" w:ascii="宋体" w:hAnsi="宋体"/>
                <w:color w:val="000000"/>
                <w:szCs w:val="21"/>
              </w:rPr>
              <w:t>邮政编码：</w:t>
            </w:r>
          </w:p>
        </w:tc>
        <w:tc>
          <w:tcPr>
            <w:tcW w:w="2598" w:type="pct"/>
            <w:vAlign w:val="center"/>
          </w:tcPr>
          <w:p w14:paraId="04CD348B">
            <w:pPr>
              <w:snapToGrid w:val="0"/>
              <w:spacing w:line="520" w:lineRule="exact"/>
              <w:rPr>
                <w:rFonts w:hint="eastAsia" w:ascii="宋体" w:hAnsi="宋体"/>
                <w:color w:val="000000"/>
                <w:szCs w:val="21"/>
              </w:rPr>
            </w:pPr>
            <w:r>
              <w:rPr>
                <w:rFonts w:hint="eastAsia" w:ascii="宋体" w:hAnsi="宋体"/>
                <w:color w:val="000000"/>
                <w:szCs w:val="21"/>
              </w:rPr>
              <w:t>邮政编码：</w:t>
            </w:r>
          </w:p>
        </w:tc>
      </w:tr>
    </w:tbl>
    <w:p w14:paraId="7FCC8E0F">
      <w:pPr>
        <w:snapToGrid w:val="0"/>
        <w:spacing w:line="400" w:lineRule="exact"/>
        <w:jc w:val="center"/>
        <w:rPr>
          <w:rFonts w:hint="eastAsia" w:ascii="宋体" w:hAnsi="宋体"/>
          <w:b/>
          <w:color w:val="000000"/>
          <w:szCs w:val="21"/>
        </w:rPr>
      </w:pPr>
      <w:r>
        <w:rPr>
          <w:rFonts w:ascii="宋体" w:hAnsi="宋体"/>
          <w:b/>
          <w:color w:val="000000"/>
          <w:szCs w:val="21"/>
        </w:rPr>
        <w:br w:type="page"/>
      </w:r>
    </w:p>
    <w:p w14:paraId="6572CB4F">
      <w:pPr>
        <w:spacing w:line="560" w:lineRule="exact"/>
        <w:ind w:firstLine="400" w:firstLineChars="200"/>
        <w:rPr>
          <w:rFonts w:hint="eastAsia" w:ascii="宋体" w:hAnsi="宋体"/>
          <w:sz w:val="20"/>
        </w:rPr>
      </w:pPr>
    </w:p>
    <w:p w14:paraId="7FEE8B42">
      <w:pPr>
        <w:snapToGrid w:val="0"/>
        <w:spacing w:line="360" w:lineRule="auto"/>
        <w:ind w:left="420" w:hanging="420" w:hangingChars="200"/>
        <w:rPr>
          <w:rFonts w:hint="eastAsia" w:ascii="宋体" w:hAnsi="宋体"/>
          <w:szCs w:val="21"/>
        </w:rPr>
      </w:pPr>
    </w:p>
    <w:bookmarkEnd w:id="145"/>
    <w:p w14:paraId="7D6162F3">
      <w:pPr>
        <w:snapToGrid w:val="0"/>
        <w:rPr>
          <w:rFonts w:hint="eastAsia" w:ascii="宋体" w:hAnsi="宋体"/>
          <w:bCs/>
          <w:sz w:val="32"/>
          <w:szCs w:val="32"/>
        </w:rPr>
      </w:pPr>
    </w:p>
    <w:p w14:paraId="1C1E0DC6">
      <w:pPr>
        <w:pStyle w:val="32"/>
        <w:rPr>
          <w:rFonts w:hint="eastAsia" w:ascii="宋体" w:hAnsi="宋体"/>
          <w:bCs w:val="0"/>
          <w:sz w:val="32"/>
          <w:szCs w:val="32"/>
        </w:rPr>
      </w:pPr>
    </w:p>
    <w:p w14:paraId="48032465">
      <w:pPr>
        <w:pStyle w:val="32"/>
        <w:rPr>
          <w:rFonts w:hint="eastAsia" w:ascii="宋体" w:hAnsi="宋体"/>
          <w:bCs w:val="0"/>
          <w:sz w:val="32"/>
          <w:szCs w:val="32"/>
        </w:rPr>
      </w:pPr>
    </w:p>
    <w:p w14:paraId="3B980AC3">
      <w:pPr>
        <w:pStyle w:val="32"/>
        <w:rPr>
          <w:rFonts w:hint="eastAsia" w:ascii="宋体" w:hAnsi="宋体"/>
          <w:bCs w:val="0"/>
          <w:sz w:val="32"/>
          <w:szCs w:val="32"/>
        </w:rPr>
      </w:pPr>
    </w:p>
    <w:p w14:paraId="52E1AD09">
      <w:pPr>
        <w:pStyle w:val="32"/>
        <w:rPr>
          <w:rFonts w:hint="eastAsia" w:ascii="宋体" w:hAnsi="宋体"/>
          <w:bCs w:val="0"/>
          <w:sz w:val="32"/>
          <w:szCs w:val="32"/>
        </w:rPr>
      </w:pPr>
    </w:p>
    <w:p w14:paraId="36B81613">
      <w:pPr>
        <w:snapToGrid w:val="0"/>
        <w:jc w:val="center"/>
        <w:rPr>
          <w:rFonts w:hint="eastAsia" w:ascii="宋体" w:hAnsi="宋体"/>
          <w:bCs/>
          <w:sz w:val="32"/>
          <w:szCs w:val="32"/>
        </w:rPr>
      </w:pPr>
    </w:p>
    <w:p w14:paraId="4F33AEA5">
      <w:pPr>
        <w:pStyle w:val="25"/>
        <w:ind w:firstLine="640"/>
        <w:rPr>
          <w:rFonts w:hint="eastAsia" w:ascii="宋体" w:hAnsi="宋体"/>
          <w:bCs/>
          <w:szCs w:val="32"/>
        </w:rPr>
      </w:pPr>
    </w:p>
    <w:p w14:paraId="0CBFBE52">
      <w:pPr>
        <w:pStyle w:val="25"/>
        <w:ind w:firstLine="640"/>
        <w:rPr>
          <w:rFonts w:hint="eastAsia" w:ascii="宋体" w:hAnsi="宋体"/>
          <w:bCs/>
          <w:szCs w:val="32"/>
        </w:rPr>
      </w:pPr>
    </w:p>
    <w:p w14:paraId="32F5031E">
      <w:pPr>
        <w:pStyle w:val="25"/>
        <w:ind w:firstLine="640"/>
        <w:rPr>
          <w:rFonts w:hint="eastAsia" w:ascii="宋体" w:hAnsi="宋体"/>
          <w:bCs/>
          <w:szCs w:val="32"/>
        </w:rPr>
      </w:pPr>
    </w:p>
    <w:p w14:paraId="7C8559A1">
      <w:pPr>
        <w:pStyle w:val="25"/>
        <w:ind w:firstLine="640"/>
        <w:rPr>
          <w:rFonts w:hint="eastAsia" w:ascii="宋体" w:hAnsi="宋体"/>
          <w:bCs/>
          <w:szCs w:val="32"/>
        </w:rPr>
      </w:pPr>
    </w:p>
    <w:p w14:paraId="22CC7D7C">
      <w:pPr>
        <w:pStyle w:val="25"/>
        <w:ind w:firstLine="640"/>
        <w:rPr>
          <w:rFonts w:hint="eastAsia" w:ascii="宋体" w:hAnsi="宋体"/>
          <w:bCs/>
          <w:szCs w:val="32"/>
        </w:rPr>
      </w:pPr>
    </w:p>
    <w:p w14:paraId="19F6CB9A">
      <w:pPr>
        <w:snapToGrid w:val="0"/>
        <w:jc w:val="center"/>
        <w:rPr>
          <w:rFonts w:hint="eastAsia" w:ascii="宋体" w:hAnsi="宋体"/>
          <w:bCs/>
          <w:sz w:val="32"/>
          <w:szCs w:val="32"/>
        </w:rPr>
      </w:pPr>
    </w:p>
    <w:p w14:paraId="2BED8659">
      <w:pPr>
        <w:pStyle w:val="2"/>
        <w:jc w:val="center"/>
      </w:pPr>
      <w:bookmarkStart w:id="146" w:name="_Toc74320805"/>
      <w:r>
        <w:rPr>
          <w:rFonts w:hint="eastAsia"/>
        </w:rPr>
        <w:t>第六章　投标文件格式</w:t>
      </w:r>
      <w:bookmarkEnd w:id="146"/>
    </w:p>
    <w:p w14:paraId="5247CF09">
      <w:pPr>
        <w:snapToGrid w:val="0"/>
        <w:spacing w:before="50" w:after="50"/>
        <w:outlineLvl w:val="1"/>
        <w:rPr>
          <w:rFonts w:hint="eastAsia" w:ascii="宋体" w:hAnsi="宋体"/>
          <w:sz w:val="32"/>
          <w:szCs w:val="20"/>
        </w:rPr>
      </w:pPr>
    </w:p>
    <w:p w14:paraId="27DE69C8">
      <w:pPr>
        <w:snapToGrid w:val="0"/>
        <w:spacing w:before="50" w:after="50"/>
        <w:outlineLvl w:val="1"/>
        <w:rPr>
          <w:rFonts w:hint="eastAsia" w:ascii="宋体" w:hAnsi="宋体"/>
          <w:sz w:val="32"/>
          <w:szCs w:val="20"/>
        </w:rPr>
      </w:pPr>
    </w:p>
    <w:p w14:paraId="1A8CEB82">
      <w:pPr>
        <w:snapToGrid w:val="0"/>
        <w:spacing w:before="50" w:after="50"/>
        <w:outlineLvl w:val="1"/>
        <w:rPr>
          <w:rFonts w:hint="eastAsia" w:ascii="宋体" w:hAnsi="宋体"/>
          <w:sz w:val="32"/>
          <w:szCs w:val="20"/>
        </w:rPr>
      </w:pPr>
    </w:p>
    <w:p w14:paraId="2B33A981">
      <w:pPr>
        <w:snapToGrid w:val="0"/>
        <w:spacing w:before="50" w:after="50"/>
        <w:outlineLvl w:val="1"/>
        <w:rPr>
          <w:rFonts w:hint="eastAsia" w:ascii="宋体" w:hAnsi="宋体"/>
          <w:sz w:val="32"/>
          <w:szCs w:val="20"/>
        </w:rPr>
      </w:pPr>
    </w:p>
    <w:p w14:paraId="77FA7414">
      <w:pPr>
        <w:snapToGrid w:val="0"/>
        <w:spacing w:before="50" w:after="50"/>
        <w:outlineLvl w:val="1"/>
        <w:rPr>
          <w:rFonts w:hint="eastAsia" w:ascii="宋体" w:hAnsi="宋体"/>
          <w:sz w:val="32"/>
          <w:szCs w:val="20"/>
        </w:rPr>
      </w:pPr>
    </w:p>
    <w:p w14:paraId="5E4428A3">
      <w:pPr>
        <w:snapToGrid w:val="0"/>
        <w:spacing w:before="50" w:after="50"/>
        <w:outlineLvl w:val="1"/>
        <w:rPr>
          <w:rFonts w:hint="eastAsia" w:ascii="宋体" w:hAnsi="宋体"/>
          <w:sz w:val="32"/>
          <w:szCs w:val="20"/>
        </w:rPr>
      </w:pPr>
    </w:p>
    <w:p w14:paraId="77D7DB57">
      <w:pPr>
        <w:snapToGrid w:val="0"/>
        <w:spacing w:before="50" w:after="50"/>
        <w:outlineLvl w:val="1"/>
        <w:rPr>
          <w:rFonts w:hint="eastAsia" w:ascii="宋体" w:hAnsi="宋体"/>
          <w:sz w:val="32"/>
          <w:szCs w:val="20"/>
        </w:rPr>
      </w:pPr>
    </w:p>
    <w:p w14:paraId="2F06888D">
      <w:pPr>
        <w:snapToGrid w:val="0"/>
        <w:spacing w:before="50" w:after="50"/>
        <w:outlineLvl w:val="1"/>
        <w:rPr>
          <w:rFonts w:hint="eastAsia" w:ascii="宋体" w:hAnsi="宋体"/>
          <w:sz w:val="32"/>
          <w:szCs w:val="20"/>
        </w:rPr>
      </w:pPr>
    </w:p>
    <w:p w14:paraId="28B14B16">
      <w:pPr>
        <w:snapToGrid w:val="0"/>
        <w:spacing w:before="50" w:after="50"/>
        <w:outlineLvl w:val="1"/>
        <w:rPr>
          <w:rFonts w:hint="eastAsia" w:ascii="宋体" w:hAnsi="宋体"/>
          <w:sz w:val="32"/>
          <w:szCs w:val="20"/>
        </w:rPr>
      </w:pPr>
    </w:p>
    <w:p w14:paraId="349A57DF">
      <w:pPr>
        <w:snapToGrid w:val="0"/>
        <w:spacing w:before="50" w:after="50"/>
        <w:outlineLvl w:val="1"/>
        <w:rPr>
          <w:rFonts w:hint="eastAsia" w:ascii="宋体" w:hAnsi="宋体"/>
          <w:sz w:val="32"/>
          <w:szCs w:val="20"/>
        </w:rPr>
      </w:pPr>
    </w:p>
    <w:p w14:paraId="2029C76D">
      <w:pPr>
        <w:snapToGrid w:val="0"/>
        <w:spacing w:before="50" w:after="50"/>
        <w:outlineLvl w:val="1"/>
        <w:rPr>
          <w:rFonts w:hint="eastAsia" w:ascii="宋体" w:hAnsi="宋体"/>
          <w:sz w:val="32"/>
          <w:szCs w:val="20"/>
        </w:rPr>
      </w:pPr>
    </w:p>
    <w:p w14:paraId="7DD46A06">
      <w:pPr>
        <w:snapToGrid w:val="0"/>
        <w:spacing w:before="120" w:beforeLines="50" w:after="50"/>
        <w:jc w:val="center"/>
        <w:outlineLvl w:val="1"/>
        <w:rPr>
          <w:rFonts w:hint="eastAsia" w:ascii="宋体" w:hAnsi="宋体"/>
        </w:rPr>
      </w:pPr>
    </w:p>
    <w:p w14:paraId="58F468AE">
      <w:pPr>
        <w:rPr>
          <w:b/>
          <w:sz w:val="28"/>
          <w:szCs w:val="28"/>
        </w:rPr>
      </w:pPr>
      <w:bookmarkStart w:id="147" w:name="_Toc19686836"/>
      <w:bookmarkStart w:id="148" w:name="_Toc254970557"/>
      <w:bookmarkStart w:id="149" w:name="_Toc254970698"/>
      <w:r>
        <w:rPr>
          <w:b/>
          <w:sz w:val="28"/>
          <w:szCs w:val="28"/>
        </w:rPr>
        <w:br w:type="page"/>
      </w:r>
      <w:r>
        <w:rPr>
          <w:rFonts w:hint="eastAsia"/>
          <w:b/>
          <w:sz w:val="28"/>
          <w:szCs w:val="28"/>
        </w:rPr>
        <w:t>一、报价文件格式</w:t>
      </w:r>
      <w:bookmarkEnd w:id="147"/>
    </w:p>
    <w:p w14:paraId="3360C8D5">
      <w:pPr>
        <w:snapToGrid w:val="0"/>
        <w:spacing w:before="120" w:beforeLines="50" w:after="50" w:line="360" w:lineRule="auto"/>
        <w:ind w:left="142"/>
        <w:jc w:val="left"/>
        <w:rPr>
          <w:rFonts w:hint="eastAsia" w:ascii="宋体" w:hAnsi="宋体"/>
          <w:sz w:val="24"/>
          <w:szCs w:val="20"/>
        </w:rPr>
      </w:pPr>
      <w:r>
        <w:rPr>
          <w:rFonts w:hint="eastAsia" w:ascii="宋体" w:hAnsi="宋体"/>
          <w:b/>
          <w:sz w:val="24"/>
        </w:rPr>
        <w:t xml:space="preserve">1. 报价文件封面格式： </w:t>
      </w:r>
    </w:p>
    <w:p w14:paraId="23056341">
      <w:pPr>
        <w:snapToGrid w:val="0"/>
        <w:spacing w:before="120" w:beforeLines="50" w:after="50" w:line="400" w:lineRule="exact"/>
        <w:rPr>
          <w:rFonts w:hint="eastAsia" w:ascii="宋体" w:hAnsi="宋体"/>
          <w:bCs/>
          <w:sz w:val="32"/>
          <w:szCs w:val="20"/>
        </w:rPr>
      </w:pPr>
      <w:r>
        <w:rPr>
          <w:rFonts w:hint="eastAsia" w:ascii="宋体" w:hAnsi="宋体"/>
          <w:sz w:val="24"/>
        </w:rPr>
        <w:t xml:space="preserve">                                                   </w:t>
      </w:r>
    </w:p>
    <w:p w14:paraId="20BD8038">
      <w:pPr>
        <w:snapToGrid w:val="0"/>
        <w:spacing w:before="120" w:beforeLines="50" w:after="50" w:line="400" w:lineRule="exact"/>
        <w:jc w:val="center"/>
        <w:rPr>
          <w:rFonts w:hint="eastAsia" w:ascii="宋体" w:hAnsi="宋体"/>
          <w:bCs/>
          <w:sz w:val="24"/>
          <w:szCs w:val="20"/>
        </w:rPr>
      </w:pPr>
    </w:p>
    <w:p w14:paraId="20ECA263">
      <w:pPr>
        <w:snapToGrid w:val="0"/>
        <w:spacing w:before="120" w:beforeLines="50" w:after="50"/>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投  标  文  件</w:t>
      </w:r>
    </w:p>
    <w:p w14:paraId="311E72BA">
      <w:pPr>
        <w:snapToGrid w:val="0"/>
        <w:spacing w:before="120" w:beforeLines="50" w:after="50" w:line="400" w:lineRule="exact"/>
        <w:jc w:val="center"/>
        <w:rPr>
          <w:rFonts w:hint="eastAsia" w:ascii="宋体" w:hAnsi="宋体"/>
          <w:bCs/>
          <w:sz w:val="32"/>
          <w:szCs w:val="32"/>
        </w:rPr>
      </w:pPr>
    </w:p>
    <w:p w14:paraId="78241D56">
      <w:pPr>
        <w:snapToGrid w:val="0"/>
        <w:spacing w:before="120" w:beforeLines="50" w:after="50" w:line="400" w:lineRule="exact"/>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报  价  文  件</w:t>
      </w:r>
    </w:p>
    <w:p w14:paraId="1C866F4B">
      <w:pPr>
        <w:snapToGrid w:val="0"/>
        <w:spacing w:before="120" w:beforeLines="50" w:after="50" w:line="400" w:lineRule="exact"/>
        <w:rPr>
          <w:rFonts w:hint="eastAsia" w:ascii="宋体" w:hAnsi="宋体"/>
          <w:bCs/>
          <w:sz w:val="24"/>
          <w:szCs w:val="20"/>
        </w:rPr>
      </w:pPr>
    </w:p>
    <w:p w14:paraId="6C685E3E">
      <w:pPr>
        <w:snapToGrid w:val="0"/>
        <w:spacing w:before="120" w:beforeLines="50" w:after="50" w:line="400" w:lineRule="exact"/>
        <w:rPr>
          <w:rFonts w:hint="eastAsia" w:ascii="宋体" w:hAnsi="宋体"/>
          <w:bCs/>
          <w:sz w:val="24"/>
          <w:szCs w:val="20"/>
        </w:rPr>
      </w:pPr>
    </w:p>
    <w:p w14:paraId="7AF47418">
      <w:pPr>
        <w:snapToGrid w:val="0"/>
        <w:spacing w:before="120" w:beforeLines="50" w:after="50" w:line="400" w:lineRule="exact"/>
        <w:rPr>
          <w:rFonts w:hint="eastAsia" w:ascii="宋体" w:hAnsi="宋体"/>
          <w:bCs/>
          <w:sz w:val="24"/>
          <w:szCs w:val="20"/>
        </w:rPr>
      </w:pPr>
    </w:p>
    <w:p w14:paraId="0F16BB6D">
      <w:pPr>
        <w:snapToGrid w:val="0"/>
        <w:spacing w:before="120" w:beforeLines="50" w:after="50" w:line="400" w:lineRule="exact"/>
        <w:rPr>
          <w:rFonts w:hint="eastAsia" w:ascii="宋体" w:hAnsi="宋体"/>
          <w:bCs/>
          <w:sz w:val="24"/>
          <w:szCs w:val="20"/>
        </w:rPr>
      </w:pPr>
    </w:p>
    <w:p w14:paraId="7620FE11">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 xml:space="preserve">项目名称： </w:t>
      </w:r>
    </w:p>
    <w:p w14:paraId="6ABFB83A">
      <w:pPr>
        <w:snapToGrid w:val="0"/>
        <w:spacing w:before="120" w:beforeLines="50" w:after="50" w:line="400" w:lineRule="exact"/>
        <w:ind w:firstLine="360" w:firstLineChars="150"/>
        <w:rPr>
          <w:rFonts w:hint="eastAsia" w:ascii="宋体" w:hAnsi="宋体"/>
          <w:bCs/>
          <w:sz w:val="24"/>
        </w:rPr>
      </w:pPr>
    </w:p>
    <w:p w14:paraId="580B7232">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4A28BBEF">
      <w:pPr>
        <w:snapToGrid w:val="0"/>
        <w:spacing w:before="120" w:beforeLines="50" w:after="50" w:line="400" w:lineRule="exact"/>
        <w:rPr>
          <w:rFonts w:hint="eastAsia" w:ascii="宋体" w:hAnsi="宋体"/>
          <w:bCs/>
          <w:sz w:val="24"/>
        </w:rPr>
      </w:pPr>
    </w:p>
    <w:p w14:paraId="17BE9C83">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投标人名称：</w:t>
      </w:r>
    </w:p>
    <w:p w14:paraId="06871B85">
      <w:pPr>
        <w:snapToGrid w:val="0"/>
        <w:spacing w:before="120" w:beforeLines="50" w:after="50" w:line="400" w:lineRule="exact"/>
        <w:ind w:firstLine="360" w:firstLineChars="150"/>
        <w:rPr>
          <w:rFonts w:hint="eastAsia" w:ascii="宋体" w:hAnsi="宋体"/>
          <w:bCs/>
          <w:sz w:val="24"/>
        </w:rPr>
      </w:pPr>
    </w:p>
    <w:p w14:paraId="08376D33">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投标人地址：</w:t>
      </w:r>
    </w:p>
    <w:p w14:paraId="5164F3A0">
      <w:pPr>
        <w:pStyle w:val="7"/>
        <w:snapToGrid w:val="0"/>
        <w:spacing w:before="50" w:after="50" w:line="400" w:lineRule="exact"/>
        <w:ind w:firstLine="960" w:firstLineChars="400"/>
        <w:rPr>
          <w:rFonts w:hint="eastAsia" w:ascii="宋体" w:hAnsi="宋体"/>
          <w:bCs/>
          <w:sz w:val="24"/>
          <w:szCs w:val="24"/>
        </w:rPr>
      </w:pPr>
    </w:p>
    <w:p w14:paraId="28E32083">
      <w:pPr>
        <w:snapToGrid w:val="0"/>
        <w:spacing w:before="120" w:beforeLines="50" w:after="50" w:line="400" w:lineRule="exact"/>
        <w:rPr>
          <w:rFonts w:hint="eastAsia" w:ascii="宋体" w:hAnsi="宋体"/>
          <w:sz w:val="30"/>
          <w:szCs w:val="20"/>
        </w:rPr>
      </w:pPr>
      <w:r>
        <w:rPr>
          <w:rFonts w:hint="eastAsia" w:ascii="宋体" w:hAnsi="宋体"/>
          <w:sz w:val="24"/>
        </w:rPr>
        <w:t xml:space="preserve">                                   年  月  日</w:t>
      </w:r>
    </w:p>
    <w:p w14:paraId="2C62FDD5">
      <w:pPr>
        <w:snapToGrid w:val="0"/>
        <w:spacing w:before="120" w:beforeLines="50" w:after="50" w:line="360" w:lineRule="auto"/>
        <w:jc w:val="left"/>
        <w:rPr>
          <w:rFonts w:hint="eastAsia" w:ascii="宋体" w:hAnsi="宋体"/>
          <w:sz w:val="24"/>
          <w:szCs w:val="20"/>
        </w:rPr>
      </w:pPr>
      <w:r>
        <w:rPr>
          <w:rFonts w:ascii="宋体" w:hAnsi="宋体"/>
          <w:b/>
          <w:sz w:val="24"/>
        </w:rPr>
        <w:br w:type="page"/>
      </w:r>
      <w:r>
        <w:rPr>
          <w:rFonts w:hint="eastAsia" w:ascii="宋体" w:hAnsi="宋体"/>
          <w:b/>
          <w:sz w:val="24"/>
        </w:rPr>
        <w:t>2.</w:t>
      </w:r>
      <w:r>
        <w:rPr>
          <w:rFonts w:hint="eastAsia" w:ascii="宋体" w:hAnsi="宋体"/>
          <w:b/>
          <w:bCs/>
          <w:sz w:val="24"/>
        </w:rPr>
        <w:t>报价文件目录</w:t>
      </w:r>
    </w:p>
    <w:p w14:paraId="6CB0AFB7">
      <w:pPr>
        <w:snapToGrid w:val="0"/>
        <w:spacing w:before="50" w:after="120" w:afterLines="50" w:line="360" w:lineRule="auto"/>
        <w:jc w:val="left"/>
        <w:rPr>
          <w:rFonts w:hint="eastAsia" w:ascii="宋体" w:hAnsi="宋体"/>
          <w:b/>
          <w:sz w:val="24"/>
        </w:rPr>
      </w:pPr>
      <w:r>
        <w:rPr>
          <w:rFonts w:hint="eastAsia" w:ascii="宋体" w:hAnsi="宋体"/>
          <w:szCs w:val="21"/>
        </w:rPr>
        <w:t>根据招标文件规定及投标人提供的材料自行编写目录。</w:t>
      </w:r>
    </w:p>
    <w:p w14:paraId="5151E96E">
      <w:pPr>
        <w:snapToGrid w:val="0"/>
        <w:spacing w:before="120" w:beforeLines="50" w:after="50"/>
        <w:rPr>
          <w:rFonts w:hint="eastAsia" w:ascii="宋体" w:hAnsi="宋体"/>
          <w:b/>
          <w:sz w:val="24"/>
        </w:rPr>
      </w:pPr>
    </w:p>
    <w:p w14:paraId="4E74F4CE">
      <w:pPr>
        <w:snapToGrid w:val="0"/>
        <w:spacing w:before="120" w:beforeLines="50" w:after="50"/>
        <w:rPr>
          <w:rFonts w:hint="eastAsia" w:ascii="宋体" w:hAnsi="宋体"/>
          <w:b/>
          <w:sz w:val="24"/>
        </w:rPr>
      </w:pPr>
    </w:p>
    <w:p w14:paraId="77E0667D">
      <w:pPr>
        <w:snapToGrid w:val="0"/>
        <w:spacing w:before="120" w:beforeLines="50" w:after="50"/>
        <w:rPr>
          <w:rFonts w:hint="eastAsia" w:ascii="宋体" w:hAnsi="宋体"/>
          <w:b/>
          <w:sz w:val="24"/>
        </w:rPr>
      </w:pPr>
    </w:p>
    <w:p w14:paraId="76C8B993">
      <w:pPr>
        <w:snapToGrid w:val="0"/>
        <w:spacing w:before="120" w:beforeLines="50" w:after="50"/>
        <w:ind w:left="142"/>
        <w:jc w:val="left"/>
        <w:rPr>
          <w:rFonts w:hint="eastAsia" w:ascii="宋体" w:hAnsi="宋体"/>
          <w:b/>
          <w:sz w:val="24"/>
        </w:rPr>
      </w:pPr>
      <w:r>
        <w:rPr>
          <w:rFonts w:ascii="宋体" w:hAnsi="宋体"/>
          <w:b/>
          <w:sz w:val="24"/>
        </w:rPr>
        <w:br w:type="page"/>
      </w:r>
      <w:r>
        <w:rPr>
          <w:rFonts w:hint="eastAsia" w:ascii="宋体" w:hAnsi="宋体"/>
          <w:b/>
          <w:sz w:val="24"/>
        </w:rPr>
        <w:t>3. 投标函格式：</w:t>
      </w:r>
    </w:p>
    <w:p w14:paraId="0D843976">
      <w:pPr>
        <w:snapToGrid w:val="0"/>
        <w:spacing w:before="120" w:beforeLines="50" w:after="50" w:line="360" w:lineRule="auto"/>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投 标 函</w:t>
      </w:r>
    </w:p>
    <w:p w14:paraId="249D1D7D">
      <w:pPr>
        <w:spacing w:line="440" w:lineRule="exact"/>
        <w:contextualSpacing/>
        <w:rPr>
          <w:rFonts w:hint="eastAsia" w:ascii="宋体" w:hAnsi="宋体"/>
          <w:sz w:val="24"/>
        </w:rPr>
      </w:pPr>
      <w:r>
        <w:rPr>
          <w:rFonts w:hint="eastAsia" w:ascii="宋体" w:hAnsi="宋体"/>
          <w:sz w:val="24"/>
        </w:rPr>
        <w:t>致：</w:t>
      </w:r>
      <w:r>
        <w:rPr>
          <w:rFonts w:hint="eastAsia" w:ascii="宋体" w:hAnsi="宋体"/>
          <w:sz w:val="24"/>
          <w:u w:val="single"/>
        </w:rPr>
        <w:t>采购人名称</w:t>
      </w:r>
    </w:p>
    <w:p w14:paraId="3A811209">
      <w:pPr>
        <w:spacing w:line="440" w:lineRule="exact"/>
        <w:ind w:firstLine="480"/>
        <w:contextualSpacing/>
        <w:rPr>
          <w:rFonts w:hint="eastAsia" w:ascii="宋体" w:hAnsi="宋体"/>
          <w:sz w:val="24"/>
        </w:rPr>
      </w:pPr>
      <w:r>
        <w:rPr>
          <w:rFonts w:hint="eastAsia" w:ascii="宋体" w:hAnsi="宋体"/>
          <w:sz w:val="24"/>
        </w:rPr>
        <w:t>根据贵方</w:t>
      </w:r>
      <w:r>
        <w:rPr>
          <w:rFonts w:hint="eastAsia" w:ascii="宋体" w:hAnsi="宋体"/>
          <w:sz w:val="24"/>
          <w:u w:val="single"/>
        </w:rPr>
        <w:t xml:space="preserve"> 项目名称</w:t>
      </w:r>
      <w:r>
        <w:rPr>
          <w:rFonts w:hint="eastAsia" w:ascii="宋体" w:hAnsi="宋体"/>
          <w:sz w:val="24"/>
        </w:rPr>
        <w:t>（项目编号：</w:t>
      </w:r>
      <w:r>
        <w:rPr>
          <w:rFonts w:hint="eastAsia" w:ascii="宋体" w:hAnsi="宋体"/>
          <w:sz w:val="24"/>
          <w:u w:val="single"/>
        </w:rPr>
        <w:t xml:space="preserve">        </w:t>
      </w:r>
      <w:r>
        <w:rPr>
          <w:rFonts w:hint="eastAsia" w:ascii="宋体" w:hAnsi="宋体"/>
          <w:sz w:val="24"/>
        </w:rPr>
        <w:t>）的招标公告，签字代表</w:t>
      </w:r>
      <w:r>
        <w:rPr>
          <w:rFonts w:hint="eastAsia" w:ascii="宋体" w:hAnsi="宋体"/>
          <w:sz w:val="24"/>
          <w:u w:val="single"/>
        </w:rPr>
        <w:t xml:space="preserve">            </w:t>
      </w:r>
      <w:r>
        <w:rPr>
          <w:rFonts w:hint="eastAsia" w:ascii="宋体" w:hAnsi="宋体"/>
          <w:sz w:val="24"/>
        </w:rPr>
        <w:t>（姓名）经正式授权并代表投标人</w:t>
      </w:r>
      <w:r>
        <w:rPr>
          <w:rFonts w:hint="eastAsia" w:ascii="宋体" w:hAnsi="宋体"/>
          <w:sz w:val="24"/>
          <w:u w:val="single"/>
        </w:rPr>
        <w:t xml:space="preserve">                 </w:t>
      </w:r>
      <w:r>
        <w:rPr>
          <w:rFonts w:hint="eastAsia" w:ascii="宋体" w:hAnsi="宋体"/>
          <w:sz w:val="24"/>
        </w:rPr>
        <w:t>（投标人名称）提交投标文件。</w:t>
      </w:r>
    </w:p>
    <w:p w14:paraId="049DC402">
      <w:pPr>
        <w:spacing w:line="440" w:lineRule="exact"/>
        <w:ind w:firstLine="480" w:firstLineChars="200"/>
        <w:contextualSpacing/>
        <w:rPr>
          <w:rFonts w:hint="eastAsia" w:ascii="宋体" w:hAnsi="宋体"/>
          <w:sz w:val="24"/>
        </w:rPr>
      </w:pPr>
      <w:r>
        <w:rPr>
          <w:rFonts w:hint="eastAsia" w:ascii="宋体" w:hAnsi="宋体"/>
          <w:sz w:val="24"/>
        </w:rPr>
        <w:t>据此函，我方宣布同意如下：</w:t>
      </w:r>
    </w:p>
    <w:p w14:paraId="337520F2">
      <w:pPr>
        <w:spacing w:line="440" w:lineRule="exact"/>
        <w:ind w:firstLine="480" w:firstLineChars="200"/>
        <w:contextualSpacing/>
        <w:rPr>
          <w:rFonts w:hint="eastAsia" w:ascii="宋体" w:hAnsi="宋体"/>
          <w:sz w:val="24"/>
        </w:rPr>
      </w:pPr>
      <w:r>
        <w:rPr>
          <w:rFonts w:hint="eastAsia" w:ascii="宋体" w:hAnsi="宋体"/>
          <w:sz w:val="24"/>
        </w:rPr>
        <w:t>1.我方已详细审查全部“招标文件”，包括修改文件（如有的话）以及全部参考资料和有关附件，已经了解我方对于招标文件、采购过程、采购结果有依法进行询问、质疑、投诉的权利及相关渠道和要求。</w:t>
      </w:r>
    </w:p>
    <w:p w14:paraId="2F7DC1CD">
      <w:pPr>
        <w:spacing w:line="440" w:lineRule="exact"/>
        <w:ind w:firstLine="480" w:firstLineChars="200"/>
        <w:contextualSpacing/>
        <w:rPr>
          <w:rFonts w:hint="eastAsia" w:ascii="宋体" w:hAnsi="宋体"/>
          <w:sz w:val="24"/>
        </w:rPr>
      </w:pPr>
      <w:r>
        <w:rPr>
          <w:rFonts w:hint="eastAsia" w:ascii="宋体" w:hAnsi="宋体"/>
          <w:sz w:val="24"/>
        </w:rPr>
        <w:t>2.我方在投标之前已经完全理解并接受招标文件的各项规定和要求，对招标文件的合理性、合法性不再有异议。</w:t>
      </w:r>
    </w:p>
    <w:p w14:paraId="06809FCE">
      <w:pPr>
        <w:spacing w:line="440" w:lineRule="exact"/>
        <w:ind w:firstLine="480" w:firstLineChars="200"/>
        <w:contextualSpacing/>
        <w:rPr>
          <w:rFonts w:hint="eastAsia" w:ascii="宋体" w:hAnsi="宋体"/>
          <w:sz w:val="24"/>
        </w:rPr>
      </w:pPr>
      <w:r>
        <w:rPr>
          <w:rFonts w:hint="eastAsia" w:ascii="宋体" w:hAnsi="宋体"/>
          <w:sz w:val="24"/>
        </w:rPr>
        <w:t>3.本投标有效期自投标截止之日起</w:t>
      </w:r>
      <w:r>
        <w:rPr>
          <w:rFonts w:ascii="宋体" w:hAnsi="宋体"/>
          <w:sz w:val="24"/>
          <w:u w:val="single"/>
        </w:rPr>
        <w:t xml:space="preserve">    </w:t>
      </w:r>
      <w:r>
        <w:rPr>
          <w:rFonts w:hint="eastAsia" w:ascii="宋体" w:hAnsi="宋体"/>
          <w:sz w:val="24"/>
        </w:rPr>
        <w:t>日。</w:t>
      </w:r>
    </w:p>
    <w:p w14:paraId="0F7F5C82">
      <w:pPr>
        <w:spacing w:line="440" w:lineRule="exact"/>
        <w:ind w:firstLine="480" w:firstLineChars="200"/>
        <w:contextualSpacing/>
        <w:rPr>
          <w:rFonts w:hint="eastAsia" w:ascii="宋体" w:hAnsi="宋体"/>
          <w:sz w:val="24"/>
        </w:rPr>
      </w:pPr>
      <w:r>
        <w:rPr>
          <w:rFonts w:hint="eastAsia" w:ascii="宋体" w:hAnsi="宋体"/>
          <w:sz w:val="24"/>
        </w:rPr>
        <w:t>4.如中标，本投标文件至本项目合同履行完毕止均保持有效，我方将按“招标文件”及政府采购法律、法规的规定履行合同责任和义务。</w:t>
      </w:r>
    </w:p>
    <w:p w14:paraId="240CA352">
      <w:pPr>
        <w:spacing w:line="440" w:lineRule="exact"/>
        <w:ind w:firstLine="480" w:firstLineChars="200"/>
        <w:contextualSpacing/>
        <w:rPr>
          <w:rFonts w:hint="eastAsia" w:ascii="宋体" w:hAnsi="宋体"/>
          <w:sz w:val="24"/>
        </w:rPr>
      </w:pPr>
      <w:r>
        <w:rPr>
          <w:rFonts w:hint="eastAsia" w:ascii="宋体" w:hAnsi="宋体"/>
          <w:sz w:val="24"/>
        </w:rPr>
        <w:t>5.我方同意按照贵方要求提供与投标有关的一切数据或者资料。</w:t>
      </w:r>
    </w:p>
    <w:p w14:paraId="13E24E31">
      <w:pPr>
        <w:spacing w:line="440" w:lineRule="exact"/>
        <w:ind w:firstLine="480" w:firstLineChars="200"/>
        <w:contextualSpacing/>
        <w:rPr>
          <w:rFonts w:hint="eastAsia" w:ascii="宋体" w:hAnsi="宋体"/>
          <w:sz w:val="24"/>
        </w:rPr>
      </w:pPr>
      <w:r>
        <w:rPr>
          <w:rFonts w:hint="eastAsia" w:ascii="宋体" w:hAnsi="宋体"/>
          <w:sz w:val="24"/>
        </w:rPr>
        <w:t>6.我方向贵方提交的所有投标文件、资料都是准确的和真实的。</w:t>
      </w:r>
    </w:p>
    <w:p w14:paraId="6BDE79A0">
      <w:pPr>
        <w:spacing w:line="440" w:lineRule="exact"/>
        <w:ind w:firstLine="480" w:firstLineChars="200"/>
        <w:contextualSpacing/>
        <w:rPr>
          <w:rFonts w:hint="eastAsia" w:ascii="宋体" w:hAnsi="宋体"/>
          <w:sz w:val="24"/>
        </w:rPr>
      </w:pPr>
      <w:r>
        <w:rPr>
          <w:rFonts w:hint="eastAsia" w:ascii="宋体" w:hAnsi="宋体"/>
          <w:sz w:val="24"/>
        </w:rPr>
        <w:t>7.以上事项如有虚假或者隐瞒，我方愿意承担一切后果，并不再寻求任何旨在减轻或者免除法律责任的辩解。</w:t>
      </w:r>
    </w:p>
    <w:p w14:paraId="50ECE86F">
      <w:pPr>
        <w:spacing w:line="440" w:lineRule="exact"/>
        <w:ind w:firstLine="480" w:firstLineChars="200"/>
        <w:contextualSpacing/>
        <w:rPr>
          <w:rFonts w:hint="eastAsia" w:ascii="宋体" w:hAnsi="宋体"/>
          <w:sz w:val="24"/>
        </w:rPr>
      </w:pPr>
      <w:r>
        <w:rPr>
          <w:rFonts w:hint="eastAsia" w:ascii="宋体" w:hAnsi="宋体"/>
          <w:sz w:val="24"/>
        </w:rPr>
        <w:t>8.根据</w:t>
      </w:r>
      <w:r>
        <w:rPr>
          <w:rFonts w:ascii="宋体" w:hAnsi="宋体"/>
          <w:sz w:val="24"/>
        </w:rPr>
        <w:t>《中华人民共和国政府采购法实施条例》第五十条要求对政府采购合同进行公告</w:t>
      </w:r>
      <w:r>
        <w:rPr>
          <w:rFonts w:hint="eastAsia" w:ascii="宋体" w:hAnsi="宋体"/>
          <w:sz w:val="24"/>
        </w:rPr>
        <w:t>，</w:t>
      </w:r>
      <w:r>
        <w:rPr>
          <w:rFonts w:ascii="宋体" w:hAnsi="宋体"/>
          <w:sz w:val="24"/>
        </w:rPr>
        <w:t>但政府采购合同中涉及国家秘密、商业秘密的内容除外。</w:t>
      </w:r>
      <w:r>
        <w:rPr>
          <w:rFonts w:hint="eastAsia" w:ascii="宋体" w:hAnsi="宋体"/>
          <w:sz w:val="24"/>
        </w:rPr>
        <w:t>我方就对本次投标文件进行注明如下：（两项内容中必须选择一项）</w:t>
      </w:r>
    </w:p>
    <w:p w14:paraId="2B9DC729">
      <w:pPr>
        <w:spacing w:line="440" w:lineRule="exact"/>
        <w:ind w:firstLine="480" w:firstLineChars="200"/>
        <w:contextualSpacing/>
        <w:rPr>
          <w:rFonts w:hint="eastAsia" w:ascii="宋体" w:hAnsi="宋体"/>
          <w:sz w:val="24"/>
        </w:rPr>
      </w:pPr>
      <w:r>
        <w:rPr>
          <w:rFonts w:hint="eastAsia" w:ascii="宋体" w:hAnsi="宋体"/>
          <w:sz w:val="24"/>
        </w:rPr>
        <w:t>□我方本次投标文件</w:t>
      </w:r>
      <w:r>
        <w:rPr>
          <w:rFonts w:ascii="宋体" w:hAnsi="宋体" w:cs="宋体"/>
          <w:kern w:val="0"/>
          <w:sz w:val="24"/>
        </w:rPr>
        <w:t>内容中</w:t>
      </w:r>
      <w:r>
        <w:rPr>
          <w:rFonts w:hint="eastAsia" w:ascii="宋体" w:hAnsi="宋体"/>
          <w:sz w:val="24"/>
        </w:rPr>
        <w:t>未</w:t>
      </w:r>
      <w:r>
        <w:rPr>
          <w:rFonts w:ascii="宋体" w:hAnsi="宋体" w:cs="宋体"/>
          <w:kern w:val="0"/>
          <w:sz w:val="24"/>
        </w:rPr>
        <w:t>涉及商业秘密</w:t>
      </w:r>
      <w:r>
        <w:rPr>
          <w:rFonts w:hint="eastAsia" w:ascii="宋体" w:hAnsi="宋体" w:cs="宋体"/>
          <w:kern w:val="0"/>
          <w:sz w:val="24"/>
        </w:rPr>
        <w:t>；</w:t>
      </w:r>
    </w:p>
    <w:p w14:paraId="5EEE4BC1">
      <w:pPr>
        <w:spacing w:line="440" w:lineRule="exact"/>
        <w:ind w:firstLine="480" w:firstLineChars="200"/>
        <w:contextualSpacing/>
        <w:rPr>
          <w:rFonts w:hint="eastAsia" w:ascii="宋体" w:hAnsi="宋体"/>
          <w:sz w:val="24"/>
        </w:rPr>
      </w:pPr>
      <w:r>
        <w:rPr>
          <w:rFonts w:hint="eastAsia" w:ascii="宋体" w:hAnsi="宋体"/>
          <w:sz w:val="24"/>
        </w:rPr>
        <w:t>□我方本次投标文件</w:t>
      </w:r>
      <w:r>
        <w:rPr>
          <w:rFonts w:ascii="宋体" w:hAnsi="宋体" w:cs="宋体"/>
          <w:kern w:val="0"/>
          <w:sz w:val="24"/>
        </w:rPr>
        <w:t>涉及商业秘密</w:t>
      </w:r>
      <w:r>
        <w:rPr>
          <w:rFonts w:hint="eastAsia" w:ascii="宋体" w:hAnsi="宋体" w:cs="宋体"/>
          <w:kern w:val="0"/>
          <w:sz w:val="24"/>
        </w:rPr>
        <w:t>的</w:t>
      </w:r>
      <w:r>
        <w:rPr>
          <w:rFonts w:ascii="宋体" w:hAnsi="宋体" w:cs="宋体"/>
          <w:kern w:val="0"/>
          <w:sz w:val="24"/>
        </w:rPr>
        <w:t>内容</w:t>
      </w:r>
      <w:r>
        <w:rPr>
          <w:rFonts w:hint="eastAsia" w:ascii="宋体" w:hAnsi="宋体" w:cs="宋体"/>
          <w:kern w:val="0"/>
          <w:sz w:val="24"/>
        </w:rPr>
        <w:t>有：</w:t>
      </w:r>
      <w:r>
        <w:rPr>
          <w:rFonts w:hint="eastAsia" w:ascii="宋体" w:hAnsi="宋体" w:cs="宋体"/>
          <w:kern w:val="0"/>
          <w:sz w:val="24"/>
          <w:u w:val="single"/>
        </w:rPr>
        <w:t xml:space="preserve">                         </w:t>
      </w:r>
      <w:r>
        <w:rPr>
          <w:rFonts w:hint="eastAsia" w:ascii="宋体" w:hAnsi="宋体" w:cs="宋体"/>
          <w:kern w:val="0"/>
          <w:sz w:val="24"/>
        </w:rPr>
        <w:t>；</w:t>
      </w:r>
    </w:p>
    <w:p w14:paraId="76DD1F79">
      <w:pPr>
        <w:spacing w:line="440" w:lineRule="exact"/>
        <w:ind w:firstLine="480" w:firstLineChars="200"/>
        <w:contextualSpacing/>
        <w:rPr>
          <w:rFonts w:hint="eastAsia" w:ascii="宋体" w:hAnsi="宋体"/>
          <w:sz w:val="24"/>
        </w:rPr>
      </w:pPr>
      <w:r>
        <w:rPr>
          <w:rFonts w:hint="eastAsia" w:ascii="宋体" w:hAnsi="宋体"/>
          <w:sz w:val="24"/>
        </w:rPr>
        <w:t>9.与本投标有关的一切正式往来信函请寄：</w:t>
      </w:r>
    </w:p>
    <w:p w14:paraId="1C0D6889">
      <w:pPr>
        <w:spacing w:line="440" w:lineRule="exact"/>
        <w:ind w:firstLine="480" w:firstLineChars="200"/>
        <w:contextualSpacing/>
        <w:rPr>
          <w:rFonts w:hint="eastAsia" w:ascii="宋体" w:hAnsi="宋体"/>
          <w:sz w:val="24"/>
          <w:u w:val="single"/>
        </w:rPr>
      </w:pPr>
      <w:r>
        <w:rPr>
          <w:rFonts w:hint="eastAsia" w:ascii="宋体" w:hAnsi="宋体"/>
          <w:sz w:val="24"/>
        </w:rPr>
        <w:t>地址：</w:t>
      </w:r>
      <w:r>
        <w:rPr>
          <w:rFonts w:hint="eastAsia" w:ascii="宋体" w:hAnsi="宋体"/>
          <w:sz w:val="24"/>
          <w:u w:val="single"/>
        </w:rPr>
        <w:t xml:space="preserve">          </w:t>
      </w:r>
      <w:r>
        <w:rPr>
          <w:rFonts w:hint="eastAsia" w:ascii="宋体" w:hAnsi="宋体"/>
          <w:sz w:val="24"/>
        </w:rPr>
        <w:t>邮编：</w:t>
      </w:r>
      <w:r>
        <w:rPr>
          <w:rFonts w:hint="eastAsia" w:ascii="宋体" w:hAnsi="宋体"/>
          <w:sz w:val="24"/>
          <w:u w:val="single"/>
        </w:rPr>
        <w:t xml:space="preserve">            </w:t>
      </w:r>
    </w:p>
    <w:p w14:paraId="497001BF">
      <w:pPr>
        <w:spacing w:line="440" w:lineRule="exact"/>
        <w:ind w:firstLine="480" w:firstLineChars="200"/>
        <w:contextualSpacing/>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传真：</w:t>
      </w:r>
      <w:r>
        <w:rPr>
          <w:rFonts w:hint="eastAsia" w:ascii="宋体" w:hAnsi="宋体"/>
          <w:sz w:val="24"/>
          <w:u w:val="single"/>
        </w:rPr>
        <w:t xml:space="preserve">          </w:t>
      </w:r>
    </w:p>
    <w:p w14:paraId="68FFDC25">
      <w:pPr>
        <w:spacing w:line="440" w:lineRule="exact"/>
        <w:ind w:firstLine="480" w:firstLineChars="200"/>
        <w:contextualSpacing/>
        <w:rPr>
          <w:rFonts w:hint="eastAsia" w:ascii="宋体" w:hAnsi="宋体"/>
          <w:sz w:val="24"/>
        </w:rPr>
      </w:pPr>
      <w:r>
        <w:rPr>
          <w:rFonts w:hint="eastAsia" w:ascii="宋体" w:hAnsi="宋体"/>
          <w:sz w:val="24"/>
        </w:rPr>
        <w:t>投标人名称:</w:t>
      </w:r>
      <w:r>
        <w:rPr>
          <w:rFonts w:hint="eastAsia" w:ascii="宋体" w:hAnsi="宋体"/>
          <w:sz w:val="24"/>
          <w:u w:val="single"/>
        </w:rPr>
        <w:t xml:space="preserve">                </w:t>
      </w:r>
    </w:p>
    <w:p w14:paraId="3AAD5687">
      <w:pPr>
        <w:spacing w:line="440" w:lineRule="exact"/>
        <w:ind w:firstLine="480" w:firstLineChars="200"/>
        <w:contextualSpacing/>
        <w:jc w:val="left"/>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银行帐号：</w:t>
      </w:r>
      <w:r>
        <w:rPr>
          <w:rFonts w:hint="eastAsia" w:ascii="宋体" w:hAnsi="宋体"/>
          <w:sz w:val="24"/>
          <w:u w:val="single"/>
        </w:rPr>
        <w:t xml:space="preserve">                    </w:t>
      </w:r>
      <w:r>
        <w:rPr>
          <w:rFonts w:hint="eastAsia" w:ascii="宋体" w:hAnsi="宋体"/>
          <w:sz w:val="24"/>
        </w:rPr>
        <w:t xml:space="preserve"> </w:t>
      </w:r>
    </w:p>
    <w:p w14:paraId="26DD3FC7">
      <w:pPr>
        <w:spacing w:line="440" w:lineRule="exact"/>
        <w:ind w:firstLine="480" w:firstLineChars="200"/>
        <w:contextualSpacing/>
        <w:jc w:val="left"/>
        <w:rPr>
          <w:rFonts w:hint="eastAsia" w:ascii="宋体" w:hAnsi="宋体"/>
          <w:sz w:val="24"/>
        </w:rPr>
      </w:pPr>
      <w:r>
        <w:rPr>
          <w:rFonts w:hint="eastAsia" w:ascii="宋体" w:hAnsi="宋体"/>
          <w:sz w:val="24"/>
        </w:rPr>
        <w:t xml:space="preserve">法定代表人或者委托代理人签字:___________ </w:t>
      </w:r>
    </w:p>
    <w:p w14:paraId="10E47AC1">
      <w:pPr>
        <w:pStyle w:val="17"/>
        <w:spacing w:line="440" w:lineRule="exact"/>
        <w:contextualSpacing/>
        <w:jc w:val="center"/>
        <w:rPr>
          <w:rFonts w:hint="eastAsia" w:hAnsi="宋体"/>
          <w:sz w:val="24"/>
          <w:szCs w:val="24"/>
          <w:u w:val="single"/>
        </w:rPr>
      </w:pPr>
      <w:r>
        <w:rPr>
          <w:rFonts w:hint="eastAsia" w:hAnsi="宋体"/>
          <w:sz w:val="24"/>
        </w:rPr>
        <w:t xml:space="preserve"> </w:t>
      </w:r>
      <w:r>
        <w:rPr>
          <w:rFonts w:hAnsi="宋体"/>
          <w:sz w:val="24"/>
        </w:rPr>
        <w:t xml:space="preserve">                                   </w:t>
      </w:r>
      <w:r>
        <w:rPr>
          <w:rFonts w:hint="eastAsia" w:hAnsi="宋体"/>
          <w:sz w:val="24"/>
        </w:rPr>
        <w:t>投标人（盖公章）：</w:t>
      </w:r>
    </w:p>
    <w:p w14:paraId="28460034">
      <w:pPr>
        <w:pStyle w:val="17"/>
        <w:spacing w:line="440" w:lineRule="exact"/>
        <w:contextualSpacing/>
        <w:rPr>
          <w:rFonts w:hint="eastAsia" w:hAnsi="宋体"/>
          <w:sz w:val="24"/>
        </w:rPr>
      </w:pPr>
      <w:r>
        <w:rPr>
          <w:rFonts w:hint="eastAsia" w:hAnsi="宋体"/>
          <w:sz w:val="24"/>
          <w:szCs w:val="24"/>
        </w:rPr>
        <w:t xml:space="preserve">                                                </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p>
    <w:p w14:paraId="20828650">
      <w:pPr>
        <w:snapToGrid w:val="0"/>
        <w:spacing w:before="120" w:beforeLines="50" w:after="50" w:line="440" w:lineRule="exact"/>
        <w:jc w:val="left"/>
        <w:rPr>
          <w:rFonts w:hint="eastAsia" w:ascii="宋体" w:hAnsi="宋体"/>
          <w:b/>
          <w:sz w:val="24"/>
          <w:szCs w:val="20"/>
        </w:rPr>
      </w:pPr>
      <w:r>
        <w:rPr>
          <w:rFonts w:hAnsi="宋体"/>
          <w:u w:val="single"/>
        </w:rPr>
        <w:br w:type="page"/>
      </w:r>
      <w:r>
        <w:rPr>
          <w:rFonts w:hint="eastAsia" w:ascii="宋体" w:hAnsi="宋体"/>
          <w:b/>
          <w:sz w:val="24"/>
        </w:rPr>
        <w:t>4. 开标一览表（货物类格式）</w:t>
      </w:r>
    </w:p>
    <w:p w14:paraId="4A67601D">
      <w:pPr>
        <w:snapToGrid w:val="0"/>
        <w:spacing w:before="50" w:after="50"/>
        <w:jc w:val="center"/>
        <w:rPr>
          <w:rFonts w:hint="eastAsia" w:ascii="宋体" w:hAnsi="宋体"/>
          <w:b/>
          <w:sz w:val="30"/>
        </w:rPr>
      </w:pPr>
      <w:r>
        <w:rPr>
          <w:rFonts w:hint="eastAsia" w:ascii="宋体" w:hAnsi="宋体"/>
          <w:b/>
          <w:sz w:val="30"/>
        </w:rPr>
        <w:t>开标一览表</w:t>
      </w:r>
    </w:p>
    <w:p w14:paraId="7ADF0316">
      <w:pPr>
        <w:snapToGrid w:val="0"/>
        <w:spacing w:before="50" w:after="50"/>
        <w:jc w:val="center"/>
        <w:rPr>
          <w:rFonts w:hint="eastAsia" w:ascii="宋体" w:hAnsi="宋体"/>
          <w:b/>
          <w:sz w:val="30"/>
          <w:szCs w:val="20"/>
        </w:rPr>
      </w:pPr>
    </w:p>
    <w:p w14:paraId="588658EE">
      <w:pPr>
        <w:snapToGrid w:val="0"/>
        <w:spacing w:before="50" w:after="50" w:line="360" w:lineRule="auto"/>
        <w:rPr>
          <w:rFonts w:hint="eastAsia" w:ascii="宋体" w:hAnsi="宋体"/>
          <w:sz w:val="24"/>
        </w:rPr>
      </w:pPr>
      <w:r>
        <w:rPr>
          <w:rFonts w:hint="eastAsia" w:ascii="宋体" w:hAnsi="宋体"/>
          <w:sz w:val="24"/>
        </w:rPr>
        <w:t>项目名称：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项目编号：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投标人名称：</w:t>
      </w:r>
      <w:r>
        <w:rPr>
          <w:rFonts w:hint="eastAsia" w:ascii="宋体" w:hAnsi="宋体"/>
          <w:sz w:val="24"/>
          <w:u w:val="single"/>
        </w:rPr>
        <w:t xml:space="preserve">                     </w:t>
      </w:r>
      <w:r>
        <w:rPr>
          <w:rFonts w:hint="eastAsia" w:ascii="宋体" w:hAnsi="宋体"/>
          <w:sz w:val="24"/>
        </w:rPr>
        <w:t xml:space="preserve">                       单位：元</w:t>
      </w:r>
    </w:p>
    <w:tbl>
      <w:tblPr>
        <w:tblStyle w:val="26"/>
        <w:tblW w:w="4994"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8"/>
        <w:gridCol w:w="2359"/>
        <w:gridCol w:w="827"/>
        <w:gridCol w:w="961"/>
        <w:gridCol w:w="1033"/>
        <w:gridCol w:w="923"/>
        <w:gridCol w:w="3041"/>
      </w:tblGrid>
      <w:tr w14:paraId="3375C7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350E78B4">
            <w:pPr>
              <w:snapToGrid w:val="0"/>
              <w:spacing w:before="50" w:after="50" w:line="360" w:lineRule="auto"/>
              <w:jc w:val="center"/>
              <w:rPr>
                <w:rFonts w:hint="eastAsia" w:ascii="宋体" w:hAnsi="宋体"/>
                <w:b/>
                <w:sz w:val="24"/>
              </w:rPr>
            </w:pPr>
            <w:r>
              <w:rPr>
                <w:rFonts w:hint="eastAsia" w:ascii="宋体" w:hAnsi="宋体"/>
                <w:b/>
                <w:sz w:val="24"/>
              </w:rPr>
              <w:t>序号</w:t>
            </w:r>
          </w:p>
        </w:tc>
        <w:tc>
          <w:tcPr>
            <w:tcW w:w="1199" w:type="pct"/>
            <w:tcBorders>
              <w:top w:val="single" w:color="auto" w:sz="4" w:space="0"/>
              <w:left w:val="single" w:color="auto" w:sz="4" w:space="0"/>
              <w:bottom w:val="single" w:color="auto" w:sz="4" w:space="0"/>
              <w:right w:val="single" w:color="auto" w:sz="4" w:space="0"/>
            </w:tcBorders>
            <w:vAlign w:val="center"/>
          </w:tcPr>
          <w:p w14:paraId="07396DDB">
            <w:pPr>
              <w:snapToGrid w:val="0"/>
              <w:spacing w:before="50" w:after="50" w:line="360" w:lineRule="auto"/>
              <w:jc w:val="center"/>
              <w:rPr>
                <w:rFonts w:hint="eastAsia" w:ascii="宋体" w:hAnsi="宋体"/>
                <w:b/>
                <w:sz w:val="24"/>
              </w:rPr>
            </w:pPr>
            <w:r>
              <w:rPr>
                <w:rFonts w:hint="eastAsia" w:ascii="宋体" w:hAnsi="宋体"/>
                <w:b/>
                <w:sz w:val="24"/>
              </w:rPr>
              <w:t>标的的名称</w:t>
            </w:r>
          </w:p>
        </w:tc>
        <w:tc>
          <w:tcPr>
            <w:tcW w:w="420" w:type="pct"/>
            <w:tcBorders>
              <w:top w:val="single" w:color="auto" w:sz="4" w:space="0"/>
              <w:left w:val="single" w:color="auto" w:sz="4" w:space="0"/>
              <w:bottom w:val="single" w:color="auto" w:sz="4" w:space="0"/>
              <w:right w:val="single" w:color="auto" w:sz="4" w:space="0"/>
            </w:tcBorders>
            <w:vAlign w:val="center"/>
          </w:tcPr>
          <w:p w14:paraId="41382394">
            <w:pPr>
              <w:snapToGrid w:val="0"/>
              <w:spacing w:before="50" w:after="50" w:line="360" w:lineRule="auto"/>
              <w:jc w:val="center"/>
              <w:rPr>
                <w:rFonts w:hint="eastAsia" w:ascii="宋体" w:hAnsi="宋体"/>
                <w:b/>
                <w:sz w:val="24"/>
              </w:rPr>
            </w:pPr>
            <w:r>
              <w:rPr>
                <w:rFonts w:hint="eastAsia" w:ascii="宋体" w:hAnsi="宋体"/>
                <w:b/>
                <w:sz w:val="24"/>
              </w:rPr>
              <w:t>产地</w:t>
            </w:r>
          </w:p>
        </w:tc>
        <w:tc>
          <w:tcPr>
            <w:tcW w:w="488" w:type="pct"/>
            <w:tcBorders>
              <w:top w:val="single" w:color="auto" w:sz="4" w:space="0"/>
              <w:left w:val="single" w:color="auto" w:sz="4" w:space="0"/>
              <w:bottom w:val="single" w:color="auto" w:sz="4" w:space="0"/>
              <w:right w:val="single" w:color="auto" w:sz="4" w:space="0"/>
            </w:tcBorders>
            <w:vAlign w:val="center"/>
          </w:tcPr>
          <w:p w14:paraId="21B9C760">
            <w:pPr>
              <w:snapToGrid w:val="0"/>
              <w:spacing w:before="50" w:after="50" w:line="360" w:lineRule="auto"/>
              <w:jc w:val="center"/>
              <w:rPr>
                <w:rFonts w:hint="eastAsia" w:ascii="宋体" w:hAnsi="宋体"/>
                <w:b/>
                <w:sz w:val="24"/>
              </w:rPr>
            </w:pPr>
            <w:r>
              <w:rPr>
                <w:rFonts w:hint="eastAsia" w:ascii="宋体" w:hAnsi="宋体"/>
                <w:b/>
                <w:sz w:val="24"/>
              </w:rPr>
              <w:t>品牌及型号</w:t>
            </w:r>
          </w:p>
        </w:tc>
        <w:tc>
          <w:tcPr>
            <w:tcW w:w="525" w:type="pct"/>
            <w:tcBorders>
              <w:top w:val="single" w:color="auto" w:sz="4" w:space="0"/>
              <w:left w:val="single" w:color="auto" w:sz="4" w:space="0"/>
              <w:bottom w:val="single" w:color="auto" w:sz="4" w:space="0"/>
              <w:right w:val="single" w:color="auto" w:sz="4" w:space="0"/>
            </w:tcBorders>
            <w:vAlign w:val="center"/>
          </w:tcPr>
          <w:p w14:paraId="6F2262D9">
            <w:pPr>
              <w:snapToGrid w:val="0"/>
              <w:spacing w:before="50" w:after="50" w:line="360" w:lineRule="auto"/>
              <w:jc w:val="center"/>
              <w:rPr>
                <w:rFonts w:hint="eastAsia" w:ascii="宋体" w:hAnsi="宋体"/>
                <w:b/>
                <w:sz w:val="24"/>
              </w:rPr>
            </w:pPr>
            <w:r>
              <w:rPr>
                <w:rFonts w:hint="eastAsia" w:ascii="宋体" w:hAnsi="宋体"/>
                <w:b/>
                <w:sz w:val="24"/>
              </w:rPr>
              <w:t>数量及单位①</w:t>
            </w:r>
          </w:p>
        </w:tc>
        <w:tc>
          <w:tcPr>
            <w:tcW w:w="469" w:type="pct"/>
            <w:tcBorders>
              <w:top w:val="single" w:color="auto" w:sz="4" w:space="0"/>
              <w:left w:val="single" w:color="auto" w:sz="4" w:space="0"/>
              <w:bottom w:val="single" w:color="auto" w:sz="4" w:space="0"/>
              <w:right w:val="single" w:color="auto" w:sz="4" w:space="0"/>
            </w:tcBorders>
            <w:vAlign w:val="center"/>
          </w:tcPr>
          <w:p w14:paraId="153708C9">
            <w:pPr>
              <w:snapToGrid w:val="0"/>
              <w:spacing w:before="50" w:after="50" w:line="360" w:lineRule="auto"/>
              <w:jc w:val="center"/>
              <w:rPr>
                <w:rFonts w:hint="eastAsia" w:ascii="宋体" w:hAnsi="宋体"/>
                <w:b/>
                <w:sz w:val="24"/>
              </w:rPr>
            </w:pPr>
            <w:r>
              <w:rPr>
                <w:rFonts w:hint="eastAsia" w:ascii="宋体" w:hAnsi="宋体"/>
                <w:b/>
                <w:sz w:val="24"/>
              </w:rPr>
              <w:t>单价</w:t>
            </w:r>
          </w:p>
          <w:p w14:paraId="7B58B47F">
            <w:pPr>
              <w:snapToGrid w:val="0"/>
              <w:spacing w:before="50" w:after="50" w:line="360" w:lineRule="auto"/>
              <w:jc w:val="center"/>
              <w:rPr>
                <w:rFonts w:hint="eastAsia" w:ascii="宋体" w:hAnsi="宋体"/>
                <w:b/>
                <w:sz w:val="24"/>
              </w:rPr>
            </w:pPr>
            <w:r>
              <w:rPr>
                <w:rFonts w:hint="eastAsia" w:ascii="宋体" w:hAnsi="宋体"/>
                <w:b/>
                <w:sz w:val="24"/>
              </w:rPr>
              <w:t>②</w:t>
            </w:r>
          </w:p>
        </w:tc>
        <w:tc>
          <w:tcPr>
            <w:tcW w:w="1543" w:type="pct"/>
            <w:tcBorders>
              <w:top w:val="single" w:color="auto" w:sz="4" w:space="0"/>
              <w:left w:val="single" w:color="auto" w:sz="4" w:space="0"/>
              <w:bottom w:val="single" w:color="auto" w:sz="4" w:space="0"/>
              <w:right w:val="single" w:color="auto" w:sz="4" w:space="0"/>
            </w:tcBorders>
            <w:vAlign w:val="center"/>
          </w:tcPr>
          <w:p w14:paraId="15117628">
            <w:pPr>
              <w:snapToGrid w:val="0"/>
              <w:spacing w:before="50" w:after="50" w:line="360" w:lineRule="auto"/>
              <w:jc w:val="center"/>
              <w:rPr>
                <w:rFonts w:hint="eastAsia" w:ascii="宋体" w:hAnsi="宋体"/>
                <w:b/>
                <w:sz w:val="24"/>
              </w:rPr>
            </w:pPr>
            <w:r>
              <w:rPr>
                <w:rFonts w:hint="eastAsia" w:ascii="宋体" w:hAnsi="宋体"/>
                <w:b/>
                <w:sz w:val="24"/>
              </w:rPr>
              <w:t>投标报价</w:t>
            </w:r>
          </w:p>
          <w:p w14:paraId="59EEA67C">
            <w:pPr>
              <w:snapToGrid w:val="0"/>
              <w:spacing w:before="50" w:after="50" w:line="360" w:lineRule="auto"/>
              <w:jc w:val="center"/>
              <w:rPr>
                <w:rFonts w:hint="eastAsia" w:ascii="宋体" w:hAnsi="宋体"/>
                <w:b/>
                <w:sz w:val="24"/>
              </w:rPr>
            </w:pPr>
            <w:r>
              <w:rPr>
                <w:rFonts w:ascii="宋体" w:hAnsi="宋体"/>
                <w:b/>
                <w:sz w:val="24"/>
              </w:rPr>
              <w:t>③</w:t>
            </w:r>
            <w:r>
              <w:rPr>
                <w:rFonts w:hint="eastAsia" w:ascii="宋体" w:hAnsi="宋体"/>
                <w:b/>
                <w:sz w:val="24"/>
              </w:rPr>
              <w:t>=①×②</w:t>
            </w:r>
          </w:p>
        </w:tc>
      </w:tr>
      <w:tr w14:paraId="6CE3D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48772FA5">
            <w:pPr>
              <w:snapToGrid w:val="0"/>
              <w:spacing w:before="50" w:after="50" w:line="360" w:lineRule="auto"/>
              <w:jc w:val="center"/>
              <w:rPr>
                <w:rFonts w:hint="eastAsia" w:ascii="宋体" w:hAnsi="宋体"/>
                <w:b/>
                <w:sz w:val="24"/>
              </w:rPr>
            </w:pPr>
            <w:r>
              <w:rPr>
                <w:rFonts w:hint="eastAsia" w:ascii="宋体" w:hAnsi="宋体"/>
                <w:b/>
                <w:sz w:val="24"/>
              </w:rPr>
              <w:t>1</w:t>
            </w:r>
          </w:p>
        </w:tc>
        <w:tc>
          <w:tcPr>
            <w:tcW w:w="1199" w:type="pct"/>
            <w:tcBorders>
              <w:top w:val="single" w:color="auto" w:sz="4" w:space="0"/>
              <w:left w:val="single" w:color="auto" w:sz="4" w:space="0"/>
              <w:bottom w:val="single" w:color="auto" w:sz="4" w:space="0"/>
              <w:right w:val="single" w:color="auto" w:sz="4" w:space="0"/>
            </w:tcBorders>
            <w:vAlign w:val="center"/>
          </w:tcPr>
          <w:p w14:paraId="1F6B9879">
            <w:pPr>
              <w:snapToGrid w:val="0"/>
              <w:spacing w:before="50" w:after="50" w:line="360" w:lineRule="auto"/>
              <w:jc w:val="center"/>
              <w:rPr>
                <w:rFonts w:hint="eastAsia" w:ascii="宋体" w:hAnsi="宋体"/>
                <w:b/>
                <w:sz w:val="24"/>
              </w:rPr>
            </w:pPr>
          </w:p>
        </w:tc>
        <w:tc>
          <w:tcPr>
            <w:tcW w:w="420" w:type="pct"/>
            <w:tcBorders>
              <w:top w:val="single" w:color="auto" w:sz="4" w:space="0"/>
              <w:left w:val="single" w:color="auto" w:sz="4" w:space="0"/>
              <w:bottom w:val="single" w:color="auto" w:sz="4" w:space="0"/>
              <w:right w:val="single" w:color="auto" w:sz="4" w:space="0"/>
            </w:tcBorders>
            <w:vAlign w:val="center"/>
          </w:tcPr>
          <w:p w14:paraId="7DC51107">
            <w:pPr>
              <w:snapToGrid w:val="0"/>
              <w:spacing w:before="50" w:after="50" w:line="360" w:lineRule="auto"/>
              <w:rPr>
                <w:rFonts w:hint="eastAsia" w:ascii="宋体" w:hAnsi="宋体"/>
                <w:sz w:val="24"/>
              </w:rPr>
            </w:pPr>
          </w:p>
        </w:tc>
        <w:tc>
          <w:tcPr>
            <w:tcW w:w="488" w:type="pct"/>
            <w:tcBorders>
              <w:top w:val="single" w:color="auto" w:sz="4" w:space="0"/>
              <w:left w:val="single" w:color="auto" w:sz="4" w:space="0"/>
              <w:bottom w:val="single" w:color="auto" w:sz="4" w:space="0"/>
              <w:right w:val="single" w:color="auto" w:sz="4" w:space="0"/>
            </w:tcBorders>
            <w:vAlign w:val="center"/>
          </w:tcPr>
          <w:p w14:paraId="0C2B26CB">
            <w:pPr>
              <w:snapToGrid w:val="0"/>
              <w:spacing w:before="50" w:after="50" w:line="360" w:lineRule="auto"/>
              <w:rPr>
                <w:rFonts w:hint="eastAsia" w:ascii="宋体" w:hAnsi="宋体"/>
                <w:sz w:val="24"/>
              </w:rPr>
            </w:pPr>
          </w:p>
        </w:tc>
        <w:tc>
          <w:tcPr>
            <w:tcW w:w="525" w:type="pct"/>
            <w:tcBorders>
              <w:top w:val="single" w:color="auto" w:sz="4" w:space="0"/>
              <w:left w:val="single" w:color="auto" w:sz="4" w:space="0"/>
              <w:bottom w:val="single" w:color="auto" w:sz="4" w:space="0"/>
              <w:right w:val="single" w:color="auto" w:sz="4" w:space="0"/>
            </w:tcBorders>
            <w:vAlign w:val="center"/>
          </w:tcPr>
          <w:p w14:paraId="6E7BE6ED">
            <w:pPr>
              <w:snapToGrid w:val="0"/>
              <w:spacing w:before="50" w:after="50" w:line="360" w:lineRule="auto"/>
              <w:rPr>
                <w:rFonts w:hint="eastAsia" w:ascii="宋体" w:hAnsi="宋体"/>
                <w:sz w:val="24"/>
              </w:rPr>
            </w:pPr>
          </w:p>
        </w:tc>
        <w:tc>
          <w:tcPr>
            <w:tcW w:w="469" w:type="pct"/>
            <w:tcBorders>
              <w:top w:val="single" w:color="auto" w:sz="4" w:space="0"/>
              <w:left w:val="single" w:color="auto" w:sz="4" w:space="0"/>
              <w:bottom w:val="single" w:color="auto" w:sz="4" w:space="0"/>
              <w:right w:val="single" w:color="auto" w:sz="4" w:space="0"/>
            </w:tcBorders>
            <w:vAlign w:val="center"/>
          </w:tcPr>
          <w:p w14:paraId="2257003F">
            <w:pPr>
              <w:snapToGrid w:val="0"/>
              <w:spacing w:before="50" w:after="50" w:line="360" w:lineRule="auto"/>
              <w:rPr>
                <w:rFonts w:hint="eastAsia" w:ascii="宋体" w:hAnsi="宋体"/>
                <w:sz w:val="24"/>
              </w:rPr>
            </w:pPr>
          </w:p>
        </w:tc>
        <w:tc>
          <w:tcPr>
            <w:tcW w:w="1543" w:type="pct"/>
            <w:tcBorders>
              <w:top w:val="single" w:color="auto" w:sz="4" w:space="0"/>
              <w:left w:val="single" w:color="auto" w:sz="4" w:space="0"/>
              <w:bottom w:val="single" w:color="auto" w:sz="4" w:space="0"/>
              <w:right w:val="single" w:color="auto" w:sz="4" w:space="0"/>
            </w:tcBorders>
            <w:vAlign w:val="center"/>
          </w:tcPr>
          <w:p w14:paraId="7EB124F5">
            <w:pPr>
              <w:snapToGrid w:val="0"/>
              <w:spacing w:before="50" w:after="50" w:line="360" w:lineRule="auto"/>
              <w:rPr>
                <w:rFonts w:hint="eastAsia" w:ascii="宋体" w:hAnsi="宋体"/>
                <w:sz w:val="24"/>
              </w:rPr>
            </w:pPr>
          </w:p>
        </w:tc>
      </w:tr>
      <w:tr w14:paraId="3B6C0E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7B59122A">
            <w:pPr>
              <w:snapToGrid w:val="0"/>
              <w:spacing w:before="50" w:after="50" w:line="360" w:lineRule="auto"/>
              <w:jc w:val="center"/>
              <w:rPr>
                <w:rFonts w:hint="eastAsia" w:ascii="宋体" w:hAnsi="宋体"/>
                <w:b/>
                <w:sz w:val="24"/>
              </w:rPr>
            </w:pPr>
            <w:r>
              <w:rPr>
                <w:rFonts w:hint="eastAsia" w:ascii="宋体" w:hAnsi="宋体"/>
                <w:b/>
                <w:sz w:val="24"/>
              </w:rPr>
              <w:t>2</w:t>
            </w:r>
          </w:p>
        </w:tc>
        <w:tc>
          <w:tcPr>
            <w:tcW w:w="1199" w:type="pct"/>
            <w:tcBorders>
              <w:top w:val="single" w:color="auto" w:sz="4" w:space="0"/>
              <w:left w:val="single" w:color="auto" w:sz="4" w:space="0"/>
              <w:bottom w:val="single" w:color="auto" w:sz="4" w:space="0"/>
              <w:right w:val="single" w:color="auto" w:sz="4" w:space="0"/>
            </w:tcBorders>
            <w:vAlign w:val="center"/>
          </w:tcPr>
          <w:p w14:paraId="231ADADB">
            <w:pPr>
              <w:snapToGrid w:val="0"/>
              <w:spacing w:before="50" w:after="50" w:line="360" w:lineRule="auto"/>
              <w:jc w:val="center"/>
              <w:rPr>
                <w:rFonts w:hint="eastAsia" w:ascii="宋体" w:hAnsi="宋体"/>
                <w:b/>
                <w:sz w:val="24"/>
              </w:rPr>
            </w:pPr>
          </w:p>
        </w:tc>
        <w:tc>
          <w:tcPr>
            <w:tcW w:w="420" w:type="pct"/>
            <w:tcBorders>
              <w:top w:val="single" w:color="auto" w:sz="4" w:space="0"/>
              <w:left w:val="single" w:color="auto" w:sz="4" w:space="0"/>
              <w:bottom w:val="single" w:color="auto" w:sz="4" w:space="0"/>
              <w:right w:val="single" w:color="auto" w:sz="4" w:space="0"/>
            </w:tcBorders>
            <w:vAlign w:val="center"/>
          </w:tcPr>
          <w:p w14:paraId="584AD84D">
            <w:pPr>
              <w:snapToGrid w:val="0"/>
              <w:spacing w:before="50" w:after="50" w:line="360" w:lineRule="auto"/>
              <w:rPr>
                <w:rFonts w:hint="eastAsia" w:ascii="宋体" w:hAnsi="宋体"/>
                <w:sz w:val="24"/>
              </w:rPr>
            </w:pPr>
          </w:p>
        </w:tc>
        <w:tc>
          <w:tcPr>
            <w:tcW w:w="488" w:type="pct"/>
            <w:tcBorders>
              <w:top w:val="single" w:color="auto" w:sz="4" w:space="0"/>
              <w:left w:val="single" w:color="auto" w:sz="4" w:space="0"/>
              <w:bottom w:val="single" w:color="auto" w:sz="4" w:space="0"/>
              <w:right w:val="single" w:color="auto" w:sz="4" w:space="0"/>
            </w:tcBorders>
            <w:vAlign w:val="center"/>
          </w:tcPr>
          <w:p w14:paraId="4A58EC85">
            <w:pPr>
              <w:snapToGrid w:val="0"/>
              <w:spacing w:before="50" w:after="50" w:line="360" w:lineRule="auto"/>
              <w:rPr>
                <w:rFonts w:hint="eastAsia" w:ascii="宋体" w:hAnsi="宋体"/>
                <w:sz w:val="24"/>
              </w:rPr>
            </w:pPr>
          </w:p>
        </w:tc>
        <w:tc>
          <w:tcPr>
            <w:tcW w:w="525" w:type="pct"/>
            <w:tcBorders>
              <w:top w:val="single" w:color="auto" w:sz="4" w:space="0"/>
              <w:left w:val="single" w:color="auto" w:sz="4" w:space="0"/>
              <w:bottom w:val="single" w:color="auto" w:sz="4" w:space="0"/>
              <w:right w:val="single" w:color="auto" w:sz="4" w:space="0"/>
            </w:tcBorders>
            <w:vAlign w:val="center"/>
          </w:tcPr>
          <w:p w14:paraId="50768F65">
            <w:pPr>
              <w:snapToGrid w:val="0"/>
              <w:spacing w:before="50" w:after="50" w:line="360" w:lineRule="auto"/>
              <w:rPr>
                <w:rFonts w:hint="eastAsia" w:ascii="宋体" w:hAnsi="宋体"/>
                <w:sz w:val="24"/>
              </w:rPr>
            </w:pPr>
          </w:p>
        </w:tc>
        <w:tc>
          <w:tcPr>
            <w:tcW w:w="469" w:type="pct"/>
            <w:tcBorders>
              <w:top w:val="single" w:color="auto" w:sz="4" w:space="0"/>
              <w:left w:val="single" w:color="auto" w:sz="4" w:space="0"/>
              <w:bottom w:val="single" w:color="auto" w:sz="4" w:space="0"/>
              <w:right w:val="single" w:color="auto" w:sz="4" w:space="0"/>
            </w:tcBorders>
            <w:vAlign w:val="center"/>
          </w:tcPr>
          <w:p w14:paraId="6F67F0CD">
            <w:pPr>
              <w:snapToGrid w:val="0"/>
              <w:spacing w:before="50" w:after="50" w:line="360" w:lineRule="auto"/>
              <w:rPr>
                <w:rFonts w:hint="eastAsia" w:ascii="宋体" w:hAnsi="宋体"/>
                <w:sz w:val="24"/>
              </w:rPr>
            </w:pPr>
          </w:p>
        </w:tc>
        <w:tc>
          <w:tcPr>
            <w:tcW w:w="1543" w:type="pct"/>
            <w:tcBorders>
              <w:top w:val="single" w:color="auto" w:sz="4" w:space="0"/>
              <w:left w:val="single" w:color="auto" w:sz="4" w:space="0"/>
              <w:bottom w:val="single" w:color="auto" w:sz="4" w:space="0"/>
              <w:right w:val="single" w:color="auto" w:sz="4" w:space="0"/>
            </w:tcBorders>
            <w:vAlign w:val="center"/>
          </w:tcPr>
          <w:p w14:paraId="018DE3E2">
            <w:pPr>
              <w:snapToGrid w:val="0"/>
              <w:spacing w:before="50" w:after="50" w:line="360" w:lineRule="auto"/>
              <w:rPr>
                <w:rFonts w:hint="eastAsia" w:ascii="宋体" w:hAnsi="宋体"/>
                <w:sz w:val="24"/>
              </w:rPr>
            </w:pPr>
          </w:p>
        </w:tc>
      </w:tr>
      <w:tr w14:paraId="57D5B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3B835C93">
            <w:pPr>
              <w:snapToGrid w:val="0"/>
              <w:spacing w:before="50" w:after="50" w:line="360" w:lineRule="auto"/>
              <w:jc w:val="center"/>
              <w:rPr>
                <w:rFonts w:hint="eastAsia" w:ascii="宋体" w:hAnsi="宋体"/>
                <w:b/>
                <w:sz w:val="24"/>
              </w:rPr>
            </w:pPr>
            <w:r>
              <w:rPr>
                <w:rFonts w:hint="eastAsia" w:ascii="宋体" w:hAnsi="宋体"/>
                <w:b/>
                <w:sz w:val="24"/>
              </w:rPr>
              <w:t>……</w:t>
            </w:r>
          </w:p>
        </w:tc>
        <w:tc>
          <w:tcPr>
            <w:tcW w:w="1199" w:type="pct"/>
            <w:tcBorders>
              <w:top w:val="single" w:color="auto" w:sz="4" w:space="0"/>
              <w:left w:val="single" w:color="auto" w:sz="4" w:space="0"/>
              <w:bottom w:val="single" w:color="auto" w:sz="4" w:space="0"/>
              <w:right w:val="single" w:color="auto" w:sz="4" w:space="0"/>
            </w:tcBorders>
            <w:vAlign w:val="center"/>
          </w:tcPr>
          <w:p w14:paraId="3983575B">
            <w:pPr>
              <w:snapToGrid w:val="0"/>
              <w:spacing w:before="50" w:after="50" w:line="360" w:lineRule="auto"/>
              <w:jc w:val="center"/>
              <w:rPr>
                <w:rFonts w:hint="eastAsia" w:ascii="宋体" w:hAnsi="宋体"/>
                <w:b/>
                <w:sz w:val="24"/>
              </w:rPr>
            </w:pPr>
            <w:r>
              <w:rPr>
                <w:rFonts w:hint="eastAsia" w:ascii="宋体" w:hAnsi="宋体"/>
                <w:b/>
                <w:sz w:val="24"/>
              </w:rPr>
              <w:t>……</w:t>
            </w:r>
          </w:p>
        </w:tc>
        <w:tc>
          <w:tcPr>
            <w:tcW w:w="420" w:type="pct"/>
            <w:tcBorders>
              <w:top w:val="single" w:color="auto" w:sz="4" w:space="0"/>
              <w:left w:val="single" w:color="auto" w:sz="4" w:space="0"/>
              <w:bottom w:val="single" w:color="auto" w:sz="4" w:space="0"/>
              <w:right w:val="single" w:color="auto" w:sz="4" w:space="0"/>
            </w:tcBorders>
            <w:vAlign w:val="center"/>
          </w:tcPr>
          <w:p w14:paraId="7EBB23BC">
            <w:pPr>
              <w:snapToGrid w:val="0"/>
              <w:spacing w:before="50" w:after="50" w:line="360" w:lineRule="auto"/>
              <w:rPr>
                <w:rFonts w:hint="eastAsia" w:ascii="宋体" w:hAnsi="宋体"/>
                <w:sz w:val="24"/>
              </w:rPr>
            </w:pPr>
          </w:p>
        </w:tc>
        <w:tc>
          <w:tcPr>
            <w:tcW w:w="488" w:type="pct"/>
            <w:tcBorders>
              <w:top w:val="single" w:color="auto" w:sz="4" w:space="0"/>
              <w:left w:val="single" w:color="auto" w:sz="4" w:space="0"/>
              <w:bottom w:val="single" w:color="auto" w:sz="4" w:space="0"/>
              <w:right w:val="single" w:color="auto" w:sz="4" w:space="0"/>
            </w:tcBorders>
            <w:vAlign w:val="center"/>
          </w:tcPr>
          <w:p w14:paraId="6C56CFCA">
            <w:pPr>
              <w:snapToGrid w:val="0"/>
              <w:spacing w:before="50" w:after="50" w:line="360" w:lineRule="auto"/>
              <w:rPr>
                <w:rFonts w:hint="eastAsia" w:ascii="宋体" w:hAnsi="宋体"/>
                <w:sz w:val="24"/>
              </w:rPr>
            </w:pPr>
          </w:p>
        </w:tc>
        <w:tc>
          <w:tcPr>
            <w:tcW w:w="525" w:type="pct"/>
            <w:tcBorders>
              <w:top w:val="single" w:color="auto" w:sz="4" w:space="0"/>
              <w:left w:val="single" w:color="auto" w:sz="4" w:space="0"/>
              <w:bottom w:val="single" w:color="auto" w:sz="4" w:space="0"/>
              <w:right w:val="single" w:color="auto" w:sz="4" w:space="0"/>
            </w:tcBorders>
            <w:vAlign w:val="center"/>
          </w:tcPr>
          <w:p w14:paraId="596E792F">
            <w:pPr>
              <w:snapToGrid w:val="0"/>
              <w:spacing w:before="50" w:after="50" w:line="360" w:lineRule="auto"/>
              <w:rPr>
                <w:rFonts w:hint="eastAsia" w:ascii="宋体" w:hAnsi="宋体"/>
                <w:sz w:val="24"/>
              </w:rPr>
            </w:pPr>
          </w:p>
        </w:tc>
        <w:tc>
          <w:tcPr>
            <w:tcW w:w="469" w:type="pct"/>
            <w:tcBorders>
              <w:top w:val="single" w:color="auto" w:sz="4" w:space="0"/>
              <w:left w:val="single" w:color="auto" w:sz="4" w:space="0"/>
              <w:bottom w:val="single" w:color="auto" w:sz="4" w:space="0"/>
              <w:right w:val="single" w:color="auto" w:sz="4" w:space="0"/>
            </w:tcBorders>
            <w:vAlign w:val="center"/>
          </w:tcPr>
          <w:p w14:paraId="7E2BE333">
            <w:pPr>
              <w:snapToGrid w:val="0"/>
              <w:spacing w:before="50" w:after="50" w:line="360" w:lineRule="auto"/>
              <w:rPr>
                <w:rFonts w:hint="eastAsia" w:ascii="宋体" w:hAnsi="宋体"/>
                <w:sz w:val="24"/>
              </w:rPr>
            </w:pPr>
          </w:p>
        </w:tc>
        <w:tc>
          <w:tcPr>
            <w:tcW w:w="1543" w:type="pct"/>
            <w:tcBorders>
              <w:top w:val="single" w:color="auto" w:sz="4" w:space="0"/>
              <w:left w:val="single" w:color="auto" w:sz="4" w:space="0"/>
              <w:bottom w:val="single" w:color="auto" w:sz="4" w:space="0"/>
              <w:right w:val="single" w:color="auto" w:sz="4" w:space="0"/>
            </w:tcBorders>
            <w:vAlign w:val="center"/>
          </w:tcPr>
          <w:p w14:paraId="74B827A4">
            <w:pPr>
              <w:snapToGrid w:val="0"/>
              <w:spacing w:before="50" w:after="50" w:line="360" w:lineRule="auto"/>
              <w:rPr>
                <w:rFonts w:hint="eastAsia" w:ascii="宋体" w:hAnsi="宋体"/>
                <w:sz w:val="24"/>
              </w:rPr>
            </w:pPr>
          </w:p>
        </w:tc>
      </w:tr>
      <w:tr w14:paraId="7B866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3C21E621">
            <w:pPr>
              <w:snapToGrid w:val="0"/>
              <w:spacing w:before="50" w:after="50" w:line="360" w:lineRule="auto"/>
              <w:rPr>
                <w:rFonts w:hint="eastAsia" w:ascii="宋体" w:hAnsi="宋体"/>
                <w:sz w:val="24"/>
              </w:rPr>
            </w:pPr>
            <w:r>
              <w:rPr>
                <w:rFonts w:hint="eastAsia" w:ascii="宋体" w:hAnsi="宋体" w:cs="仿宋_GB2312"/>
                <w:sz w:val="24"/>
              </w:rPr>
              <w:t>合计金额大写：人民币</w:t>
            </w:r>
            <w:r>
              <w:rPr>
                <w:rFonts w:hint="eastAsia" w:ascii="宋体" w:hAnsi="宋体" w:cs="仿宋_GB2312"/>
                <w:sz w:val="24"/>
                <w:u w:val="single"/>
              </w:rPr>
              <w:t xml:space="preserve">           </w:t>
            </w:r>
            <w:r>
              <w:rPr>
                <w:rFonts w:hint="eastAsia" w:ascii="宋体" w:hAnsi="宋体" w:cs="仿宋_GB2312"/>
                <w:sz w:val="24"/>
              </w:rPr>
              <w:t>（￥</w:t>
            </w:r>
            <w:r>
              <w:rPr>
                <w:rFonts w:hint="eastAsia" w:ascii="宋体" w:hAnsi="宋体" w:cs="仿宋_GB2312"/>
                <w:sz w:val="24"/>
                <w:u w:val="single"/>
              </w:rPr>
              <w:t xml:space="preserve">           </w:t>
            </w:r>
            <w:r>
              <w:rPr>
                <w:rFonts w:hint="eastAsia" w:ascii="宋体" w:hAnsi="宋体" w:cs="仿宋_GB2312"/>
                <w:sz w:val="24"/>
              </w:rPr>
              <w:t>）</w:t>
            </w:r>
          </w:p>
        </w:tc>
      </w:tr>
      <w:tr w14:paraId="7C5682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6D6FFD54">
            <w:pPr>
              <w:spacing w:line="360" w:lineRule="auto"/>
              <w:rPr>
                <w:rFonts w:hint="eastAsia" w:ascii="宋体" w:hAnsi="宋体" w:cs="仿宋_GB2312"/>
                <w:sz w:val="24"/>
              </w:rPr>
            </w:pPr>
            <w:r>
              <w:rPr>
                <w:rFonts w:hint="eastAsia" w:ascii="宋体" w:hAnsi="宋体" w:cs="仿宋_GB2312"/>
                <w:sz w:val="24"/>
              </w:rPr>
              <w:t>合同履行期限：</w:t>
            </w:r>
          </w:p>
        </w:tc>
      </w:tr>
    </w:tbl>
    <w:p w14:paraId="1DD04332">
      <w:pPr>
        <w:snapToGrid w:val="0"/>
        <w:spacing w:before="50" w:after="50" w:line="360" w:lineRule="auto"/>
        <w:jc w:val="left"/>
        <w:rPr>
          <w:rFonts w:hint="eastAsia" w:ascii="宋体" w:hAnsi="宋体"/>
          <w:sz w:val="24"/>
        </w:rPr>
      </w:pPr>
      <w:r>
        <w:rPr>
          <w:rFonts w:hint="eastAsia" w:ascii="宋体" w:hAnsi="宋体"/>
          <w:sz w:val="24"/>
        </w:rPr>
        <w:t xml:space="preserve">注: </w:t>
      </w:r>
    </w:p>
    <w:p w14:paraId="59AE9C92">
      <w:pPr>
        <w:snapToGrid w:val="0"/>
        <w:spacing w:before="50" w:after="50" w:line="360" w:lineRule="auto"/>
        <w:ind w:firstLine="480" w:firstLineChars="200"/>
        <w:jc w:val="left"/>
        <w:rPr>
          <w:rFonts w:hint="eastAsia" w:ascii="宋体" w:hAnsi="宋体"/>
          <w:sz w:val="24"/>
        </w:rPr>
      </w:pPr>
      <w:r>
        <w:rPr>
          <w:rFonts w:hint="eastAsia" w:ascii="宋体" w:hAnsi="宋体"/>
          <w:sz w:val="24"/>
        </w:rPr>
        <w:t>1.投标人的开标一览表必须加盖投标人公章并由</w:t>
      </w:r>
      <w:r>
        <w:rPr>
          <w:rFonts w:ascii="宋体" w:hAnsi="宋体"/>
          <w:sz w:val="24"/>
        </w:rPr>
        <w:t>法定代表人或者委托代理人</w:t>
      </w:r>
      <w:r>
        <w:rPr>
          <w:rFonts w:hint="eastAsia" w:ascii="宋体" w:hAnsi="宋体"/>
          <w:sz w:val="24"/>
        </w:rPr>
        <w:t>签字，</w:t>
      </w:r>
      <w:r>
        <w:rPr>
          <w:rFonts w:hint="eastAsia" w:ascii="宋体" w:hAnsi="宋体"/>
          <w:b/>
          <w:sz w:val="24"/>
        </w:rPr>
        <w:t>否则其投标作无效标处理</w:t>
      </w:r>
      <w:r>
        <w:rPr>
          <w:rFonts w:hint="eastAsia" w:ascii="宋体" w:hAnsi="宋体"/>
          <w:sz w:val="24"/>
        </w:rPr>
        <w:t>。</w:t>
      </w:r>
    </w:p>
    <w:p w14:paraId="1AB96ADA">
      <w:pPr>
        <w:snapToGrid w:val="0"/>
        <w:spacing w:before="50" w:after="50" w:line="360" w:lineRule="auto"/>
        <w:ind w:firstLine="480" w:firstLineChars="200"/>
        <w:jc w:val="left"/>
        <w:rPr>
          <w:rFonts w:hint="eastAsia" w:ascii="宋体" w:hAnsi="宋体"/>
          <w:b/>
          <w:sz w:val="24"/>
        </w:rPr>
      </w:pPr>
      <w:r>
        <w:rPr>
          <w:rFonts w:hint="eastAsia" w:ascii="宋体" w:hAnsi="宋体"/>
          <w:bCs/>
          <w:sz w:val="24"/>
        </w:rPr>
        <w:t>2.</w:t>
      </w:r>
      <w:r>
        <w:rPr>
          <w:rFonts w:hint="eastAsia" w:ascii="宋体" w:hAnsi="宋体"/>
          <w:sz w:val="24"/>
        </w:rPr>
        <w:t>报价一经涂改，应在涂改处加盖投标人公章或者由法定代表人或者委托代理人签字或者盖章</w:t>
      </w:r>
      <w:r>
        <w:rPr>
          <w:rFonts w:hint="eastAsia" w:ascii="宋体" w:hAnsi="宋体"/>
          <w:b/>
          <w:sz w:val="24"/>
        </w:rPr>
        <w:t>，否则其投标作无效标处理。</w:t>
      </w:r>
    </w:p>
    <w:p w14:paraId="5644F08E">
      <w:pPr>
        <w:snapToGrid w:val="0"/>
        <w:spacing w:before="50" w:after="50" w:line="360" w:lineRule="auto"/>
        <w:ind w:firstLine="480" w:firstLineChars="200"/>
        <w:jc w:val="left"/>
        <w:rPr>
          <w:rFonts w:hint="eastAsia" w:ascii="宋体" w:hAnsi="宋体"/>
          <w:sz w:val="24"/>
        </w:rPr>
      </w:pPr>
      <w:r>
        <w:rPr>
          <w:rFonts w:hint="eastAsia" w:ascii="宋体" w:hAnsi="宋体"/>
          <w:sz w:val="24"/>
        </w:rPr>
        <w:t>3.招标文件中列明采购专用耗材的，应按招标文件规定的耗材量或者按耗材的常规试用量提供报价。</w:t>
      </w:r>
    </w:p>
    <w:p w14:paraId="2DCD5CBE">
      <w:pPr>
        <w:snapToGrid w:val="0"/>
        <w:spacing w:before="50" w:after="50" w:line="360" w:lineRule="auto"/>
        <w:ind w:firstLine="480" w:firstLineChars="200"/>
        <w:jc w:val="left"/>
        <w:rPr>
          <w:rFonts w:hint="eastAsia" w:ascii="宋体" w:hAnsi="宋体"/>
          <w:sz w:val="24"/>
        </w:rPr>
      </w:pPr>
      <w:r>
        <w:rPr>
          <w:rFonts w:hint="eastAsia" w:ascii="宋体" w:hAnsi="宋体"/>
          <w:sz w:val="24"/>
        </w:rPr>
        <w:t>4.如为联合体投标，“投标人名称”处必须列明联合体各方名称，并标注联合体牵头人名称，</w:t>
      </w:r>
      <w:r>
        <w:rPr>
          <w:rFonts w:hint="eastAsia" w:ascii="宋体" w:hAnsi="宋体"/>
          <w:b/>
          <w:sz w:val="24"/>
        </w:rPr>
        <w:t>否则其投标作无效标处理。</w:t>
      </w:r>
    </w:p>
    <w:p w14:paraId="3A6BA0BE">
      <w:pPr>
        <w:snapToGrid w:val="0"/>
        <w:spacing w:before="50" w:after="50" w:line="360" w:lineRule="auto"/>
        <w:ind w:firstLine="456" w:firstLineChars="200"/>
        <w:jc w:val="left"/>
        <w:rPr>
          <w:rFonts w:hint="eastAsia" w:ascii="宋体" w:hAnsi="宋体"/>
          <w:spacing w:val="-6"/>
          <w:sz w:val="24"/>
        </w:rPr>
      </w:pPr>
      <w:r>
        <w:rPr>
          <w:rFonts w:hint="eastAsia" w:ascii="宋体" w:hAnsi="宋体"/>
          <w:spacing w:val="-6"/>
          <w:sz w:val="24"/>
        </w:rPr>
        <w:t>5.如为联合体投标，盖章处须加盖联合体各方公章，</w:t>
      </w:r>
      <w:r>
        <w:rPr>
          <w:rFonts w:hint="eastAsia" w:ascii="宋体" w:hAnsi="宋体"/>
          <w:b/>
          <w:spacing w:val="-6"/>
          <w:sz w:val="24"/>
        </w:rPr>
        <w:t>否则其投标作无效标处理。</w:t>
      </w:r>
    </w:p>
    <w:p w14:paraId="4E0269F2">
      <w:pPr>
        <w:snapToGrid w:val="0"/>
        <w:spacing w:before="50" w:after="50" w:line="360" w:lineRule="auto"/>
        <w:ind w:firstLine="480" w:firstLineChars="200"/>
        <w:rPr>
          <w:rFonts w:hint="eastAsia" w:ascii="宋体" w:hAnsi="宋体"/>
          <w:b/>
          <w:sz w:val="24"/>
        </w:rPr>
      </w:pPr>
      <w:r>
        <w:rPr>
          <w:rFonts w:hint="eastAsia" w:ascii="宋体" w:hAnsi="宋体"/>
          <w:sz w:val="24"/>
        </w:rPr>
        <w:t>6.如有多分标，按分标分别提供开标一览表，</w:t>
      </w:r>
      <w:r>
        <w:rPr>
          <w:rFonts w:hint="eastAsia" w:ascii="宋体" w:hAnsi="宋体"/>
          <w:b/>
          <w:sz w:val="24"/>
        </w:rPr>
        <w:t>否则投标无效。</w:t>
      </w:r>
    </w:p>
    <w:p w14:paraId="4DA74959">
      <w:pPr>
        <w:snapToGrid w:val="0"/>
        <w:spacing w:before="50" w:after="50" w:line="360" w:lineRule="auto"/>
        <w:ind w:firstLine="482" w:firstLineChars="200"/>
        <w:rPr>
          <w:rFonts w:hint="eastAsia" w:ascii="宋体" w:hAnsi="宋体"/>
          <w:b/>
          <w:sz w:val="24"/>
        </w:rPr>
      </w:pPr>
    </w:p>
    <w:p w14:paraId="25B5AC68">
      <w:pPr>
        <w:snapToGrid w:val="0"/>
        <w:spacing w:before="50" w:after="50" w:line="360" w:lineRule="auto"/>
        <w:ind w:left="-2" w:leftChars="-1" w:right="-817" w:rightChars="-389"/>
        <w:rPr>
          <w:rFonts w:hint="eastAsia" w:ascii="宋体" w:hAnsi="宋体"/>
          <w:sz w:val="24"/>
        </w:rPr>
      </w:pPr>
      <w:r>
        <w:rPr>
          <w:rFonts w:hint="eastAsia" w:ascii="宋体" w:hAnsi="宋体"/>
          <w:sz w:val="24"/>
        </w:rPr>
        <w:t xml:space="preserve">法定代表人或者委托代理人（签字）：                    </w:t>
      </w:r>
    </w:p>
    <w:p w14:paraId="45A3D9CA">
      <w:pPr>
        <w:snapToGrid w:val="0"/>
        <w:spacing w:before="50" w:after="50" w:line="360" w:lineRule="auto"/>
        <w:ind w:left="-3" w:leftChars="-15" w:right="-817" w:rightChars="-389" w:hanging="28" w:hangingChars="12"/>
        <w:rPr>
          <w:rFonts w:hint="eastAsia" w:ascii="宋体" w:hAnsi="宋体"/>
          <w:szCs w:val="21"/>
        </w:rPr>
      </w:pPr>
      <w:r>
        <w:rPr>
          <w:rFonts w:hint="eastAsia" w:ascii="宋体" w:hAnsi="宋体"/>
          <w:sz w:val="24"/>
        </w:rPr>
        <w:t>投标人（盖公章）：                                 日期：    年   月   日</w:t>
      </w:r>
    </w:p>
    <w:p w14:paraId="39E6E337">
      <w:pPr>
        <w:rPr>
          <w:b/>
          <w:sz w:val="28"/>
          <w:szCs w:val="28"/>
        </w:rPr>
      </w:pPr>
      <w:r>
        <w:rPr>
          <w:rFonts w:ascii="宋体" w:hAnsi="宋体"/>
          <w:b/>
          <w:bCs/>
          <w:sz w:val="24"/>
        </w:rPr>
        <w:br w:type="page"/>
      </w:r>
      <w:bookmarkStart w:id="150" w:name="_Toc19686837"/>
      <w:r>
        <w:rPr>
          <w:rFonts w:hint="eastAsia"/>
          <w:b/>
          <w:sz w:val="28"/>
          <w:szCs w:val="28"/>
        </w:rPr>
        <w:t>二、资格证明文件格式</w:t>
      </w:r>
      <w:bookmarkEnd w:id="148"/>
      <w:bookmarkEnd w:id="149"/>
      <w:bookmarkEnd w:id="150"/>
    </w:p>
    <w:p w14:paraId="69A77DBC">
      <w:pPr>
        <w:numPr>
          <w:ilvl w:val="2"/>
          <w:numId w:val="10"/>
        </w:numPr>
        <w:snapToGrid w:val="0"/>
        <w:spacing w:before="120" w:beforeLines="50" w:after="50" w:line="360" w:lineRule="auto"/>
        <w:ind w:left="0" w:firstLine="0"/>
        <w:jc w:val="left"/>
        <w:rPr>
          <w:rFonts w:hint="eastAsia" w:ascii="宋体" w:hAnsi="宋体"/>
          <w:b/>
          <w:sz w:val="24"/>
        </w:rPr>
      </w:pPr>
      <w:r>
        <w:rPr>
          <w:rFonts w:hint="eastAsia" w:ascii="宋体" w:hAnsi="宋体"/>
          <w:b/>
          <w:sz w:val="24"/>
        </w:rPr>
        <w:t xml:space="preserve">资格证明文件封面格式： </w:t>
      </w:r>
    </w:p>
    <w:p w14:paraId="598F7D72">
      <w:pPr>
        <w:snapToGrid w:val="0"/>
        <w:spacing w:before="120" w:beforeLines="50" w:after="50"/>
        <w:rPr>
          <w:rFonts w:hint="eastAsia" w:ascii="宋体" w:hAnsi="宋体"/>
          <w:bCs/>
          <w:sz w:val="32"/>
          <w:szCs w:val="20"/>
        </w:rPr>
      </w:pPr>
      <w:r>
        <w:rPr>
          <w:rFonts w:hint="eastAsia" w:ascii="宋体" w:hAnsi="宋体"/>
          <w:sz w:val="24"/>
        </w:rPr>
        <w:t xml:space="preserve">                                                   </w:t>
      </w:r>
    </w:p>
    <w:p w14:paraId="70CC6AAF">
      <w:pPr>
        <w:snapToGrid w:val="0"/>
        <w:spacing w:before="120" w:beforeLines="50" w:after="50"/>
        <w:rPr>
          <w:rFonts w:hint="eastAsia" w:ascii="宋体" w:hAnsi="宋体"/>
          <w:sz w:val="24"/>
          <w:szCs w:val="20"/>
        </w:rPr>
      </w:pPr>
    </w:p>
    <w:p w14:paraId="6D25A778">
      <w:pPr>
        <w:snapToGrid w:val="0"/>
        <w:spacing w:before="120" w:beforeLines="50" w:after="50"/>
        <w:rPr>
          <w:rFonts w:hint="eastAsia" w:ascii="宋体" w:hAnsi="宋体"/>
          <w:sz w:val="24"/>
          <w:szCs w:val="20"/>
        </w:rPr>
      </w:pPr>
    </w:p>
    <w:p w14:paraId="58969603">
      <w:pPr>
        <w:snapToGrid w:val="0"/>
        <w:spacing w:before="120" w:beforeLines="50" w:after="50"/>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投  标  文  件</w:t>
      </w:r>
    </w:p>
    <w:p w14:paraId="2405CED4">
      <w:pPr>
        <w:snapToGrid w:val="0"/>
        <w:spacing w:before="120" w:beforeLines="50" w:after="50"/>
        <w:rPr>
          <w:rFonts w:hint="eastAsia" w:ascii="宋体" w:hAnsi="宋体"/>
          <w:sz w:val="24"/>
          <w:szCs w:val="20"/>
        </w:rPr>
      </w:pPr>
    </w:p>
    <w:p w14:paraId="0DDC5769">
      <w:pPr>
        <w:snapToGrid w:val="0"/>
        <w:spacing w:before="120" w:beforeLines="50" w:after="50"/>
        <w:rPr>
          <w:rFonts w:hint="eastAsia" w:ascii="宋体" w:hAnsi="宋体"/>
          <w:sz w:val="24"/>
          <w:szCs w:val="20"/>
        </w:rPr>
      </w:pPr>
    </w:p>
    <w:p w14:paraId="59121A0E">
      <w:pPr>
        <w:snapToGrid w:val="0"/>
        <w:spacing w:before="120" w:beforeLines="50" w:after="50"/>
        <w:jc w:val="center"/>
        <w:rPr>
          <w:rFonts w:hint="eastAsia" w:ascii="宋体" w:hAnsi="宋体"/>
          <w:b/>
          <w:sz w:val="24"/>
          <w:szCs w:val="20"/>
        </w:rPr>
      </w:pPr>
      <w:r>
        <w:rPr>
          <w:rFonts w:hint="eastAsia" w:ascii="宋体" w:hAnsi="宋体"/>
          <w:b/>
          <w:sz w:val="32"/>
          <w:szCs w:val="32"/>
        </w:rPr>
        <w:t>资 格 证 明 文 件</w:t>
      </w:r>
    </w:p>
    <w:p w14:paraId="267E6CCB">
      <w:pPr>
        <w:snapToGrid w:val="0"/>
        <w:spacing w:before="120" w:beforeLines="50" w:after="50"/>
        <w:rPr>
          <w:rFonts w:hint="eastAsia" w:ascii="宋体" w:hAnsi="宋体"/>
          <w:bCs/>
          <w:sz w:val="24"/>
          <w:szCs w:val="20"/>
        </w:rPr>
      </w:pPr>
    </w:p>
    <w:p w14:paraId="5B207C30">
      <w:pPr>
        <w:snapToGrid w:val="0"/>
        <w:spacing w:before="120" w:beforeLines="50" w:after="50"/>
        <w:rPr>
          <w:rFonts w:hint="eastAsia" w:ascii="宋体" w:hAnsi="宋体"/>
          <w:bCs/>
          <w:sz w:val="24"/>
          <w:szCs w:val="20"/>
        </w:rPr>
      </w:pPr>
    </w:p>
    <w:p w14:paraId="0849327B">
      <w:pPr>
        <w:snapToGrid w:val="0"/>
        <w:spacing w:before="120" w:beforeLines="50" w:after="50"/>
        <w:rPr>
          <w:rFonts w:hint="eastAsia" w:ascii="宋体" w:hAnsi="宋体"/>
          <w:bCs/>
          <w:sz w:val="24"/>
          <w:szCs w:val="20"/>
        </w:rPr>
      </w:pPr>
    </w:p>
    <w:p w14:paraId="7B224184">
      <w:pPr>
        <w:snapToGrid w:val="0"/>
        <w:spacing w:before="120" w:beforeLines="50" w:after="50"/>
        <w:rPr>
          <w:rFonts w:hint="eastAsia" w:ascii="宋体" w:hAnsi="宋体"/>
          <w:bCs/>
          <w:sz w:val="24"/>
          <w:szCs w:val="20"/>
        </w:rPr>
      </w:pPr>
    </w:p>
    <w:p w14:paraId="6C3864EE">
      <w:pPr>
        <w:snapToGrid w:val="0"/>
        <w:spacing w:before="120" w:beforeLines="50" w:after="50"/>
        <w:rPr>
          <w:rFonts w:hint="eastAsia" w:ascii="宋体" w:hAnsi="宋体"/>
          <w:bCs/>
          <w:sz w:val="24"/>
          <w:szCs w:val="20"/>
        </w:rPr>
      </w:pPr>
    </w:p>
    <w:p w14:paraId="4A84E197">
      <w:pPr>
        <w:snapToGrid w:val="0"/>
        <w:spacing w:before="120" w:beforeLines="50" w:after="50"/>
        <w:ind w:firstLine="540" w:firstLineChars="225"/>
        <w:rPr>
          <w:rFonts w:hint="eastAsia" w:ascii="宋体" w:hAnsi="宋体"/>
          <w:bCs/>
          <w:sz w:val="24"/>
        </w:rPr>
      </w:pPr>
      <w:r>
        <w:rPr>
          <w:rFonts w:hint="eastAsia" w:ascii="宋体" w:hAnsi="宋体"/>
          <w:bCs/>
          <w:sz w:val="24"/>
        </w:rPr>
        <w:t>项目名称：</w:t>
      </w:r>
    </w:p>
    <w:p w14:paraId="66CF43AE">
      <w:pPr>
        <w:snapToGrid w:val="0"/>
        <w:spacing w:before="120" w:beforeLines="50" w:after="50"/>
        <w:ind w:firstLine="540" w:firstLineChars="225"/>
        <w:rPr>
          <w:rFonts w:hint="eastAsia" w:ascii="宋体" w:hAnsi="宋体"/>
          <w:bCs/>
          <w:sz w:val="24"/>
          <w:szCs w:val="20"/>
        </w:rPr>
      </w:pPr>
    </w:p>
    <w:p w14:paraId="386464A5">
      <w:pPr>
        <w:snapToGrid w:val="0"/>
        <w:spacing w:before="120" w:beforeLines="50" w:after="50"/>
        <w:ind w:firstLine="540" w:firstLineChars="225"/>
        <w:rPr>
          <w:rFonts w:hint="eastAsia" w:ascii="宋体" w:hAnsi="宋体"/>
          <w:bCs/>
          <w:sz w:val="24"/>
        </w:rPr>
      </w:pPr>
      <w:r>
        <w:rPr>
          <w:rFonts w:hint="eastAsia" w:ascii="宋体" w:hAnsi="宋体"/>
          <w:bCs/>
          <w:sz w:val="24"/>
        </w:rPr>
        <w:t>项目编号：</w:t>
      </w:r>
    </w:p>
    <w:p w14:paraId="7E75E022">
      <w:pPr>
        <w:snapToGrid w:val="0"/>
        <w:spacing w:before="120" w:beforeLines="50" w:after="50"/>
        <w:ind w:firstLine="540" w:firstLineChars="225"/>
        <w:rPr>
          <w:rFonts w:hint="eastAsia" w:ascii="宋体" w:hAnsi="宋体"/>
          <w:bCs/>
          <w:sz w:val="24"/>
        </w:rPr>
      </w:pPr>
      <w:r>
        <w:rPr>
          <w:rFonts w:hint="eastAsia" w:ascii="宋体" w:hAnsi="宋体"/>
          <w:bCs/>
          <w:sz w:val="24"/>
        </w:rPr>
        <w:t xml:space="preserve"> </w:t>
      </w:r>
    </w:p>
    <w:p w14:paraId="0B248286">
      <w:pPr>
        <w:pStyle w:val="7"/>
        <w:snapToGrid w:val="0"/>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12B0000F">
      <w:pPr>
        <w:pStyle w:val="7"/>
        <w:snapToGrid w:val="0"/>
        <w:spacing w:before="50" w:after="50"/>
        <w:ind w:firstLine="540" w:firstLineChars="225"/>
        <w:rPr>
          <w:rFonts w:hint="eastAsia" w:ascii="宋体" w:hAnsi="宋体"/>
          <w:bCs/>
          <w:sz w:val="24"/>
          <w:szCs w:val="24"/>
        </w:rPr>
      </w:pPr>
    </w:p>
    <w:p w14:paraId="04FF0DD4">
      <w:pPr>
        <w:pStyle w:val="7"/>
        <w:snapToGrid w:val="0"/>
        <w:spacing w:before="50" w:after="50"/>
        <w:ind w:firstLine="960" w:firstLineChars="400"/>
        <w:rPr>
          <w:rFonts w:hint="eastAsia" w:ascii="宋体" w:hAnsi="宋体"/>
          <w:bCs/>
          <w:sz w:val="24"/>
          <w:szCs w:val="24"/>
        </w:rPr>
      </w:pPr>
    </w:p>
    <w:p w14:paraId="47C23157">
      <w:pPr>
        <w:snapToGrid w:val="0"/>
        <w:spacing w:before="120" w:beforeLines="50" w:after="50"/>
        <w:ind w:firstLine="645"/>
        <w:jc w:val="center"/>
        <w:rPr>
          <w:rFonts w:hint="eastAsia" w:ascii="宋体" w:hAnsi="宋体"/>
          <w:sz w:val="24"/>
        </w:rPr>
      </w:pPr>
      <w:r>
        <w:rPr>
          <w:rFonts w:hint="eastAsia" w:ascii="宋体" w:hAnsi="宋体"/>
          <w:sz w:val="24"/>
        </w:rPr>
        <w:t>年  月  日</w:t>
      </w:r>
    </w:p>
    <w:p w14:paraId="7FEBC0B3">
      <w:pPr>
        <w:snapToGrid w:val="0"/>
        <w:spacing w:before="120" w:beforeLines="50" w:after="50"/>
        <w:rPr>
          <w:rFonts w:hint="eastAsia" w:ascii="宋体" w:hAnsi="宋体"/>
          <w:sz w:val="24"/>
          <w:szCs w:val="20"/>
        </w:rPr>
      </w:pPr>
      <w:r>
        <w:rPr>
          <w:rFonts w:ascii="宋体" w:hAnsi="宋体"/>
          <w:sz w:val="24"/>
          <w:szCs w:val="20"/>
        </w:rPr>
        <w:t xml:space="preserve"> </w:t>
      </w:r>
    </w:p>
    <w:p w14:paraId="124C9B06">
      <w:pPr>
        <w:snapToGrid w:val="0"/>
        <w:spacing w:before="120" w:beforeLines="50" w:after="50"/>
        <w:rPr>
          <w:rFonts w:hint="eastAsia" w:ascii="宋体" w:hAnsi="宋体"/>
          <w:sz w:val="24"/>
          <w:szCs w:val="20"/>
        </w:rPr>
      </w:pPr>
    </w:p>
    <w:p w14:paraId="1FE402BC">
      <w:pPr>
        <w:numPr>
          <w:ilvl w:val="2"/>
          <w:numId w:val="10"/>
        </w:numPr>
        <w:snapToGrid w:val="0"/>
        <w:spacing w:before="120" w:beforeLines="50" w:after="50" w:line="360" w:lineRule="auto"/>
        <w:ind w:left="0" w:firstLine="0"/>
        <w:jc w:val="left"/>
        <w:rPr>
          <w:rFonts w:hint="eastAsia" w:ascii="宋体" w:hAnsi="宋体"/>
          <w:sz w:val="24"/>
          <w:szCs w:val="20"/>
        </w:rPr>
      </w:pPr>
      <w:r>
        <w:rPr>
          <w:rFonts w:ascii="宋体" w:hAnsi="宋体"/>
          <w:b/>
          <w:bCs/>
          <w:sz w:val="24"/>
        </w:rPr>
        <w:br w:type="page"/>
      </w:r>
      <w:r>
        <w:rPr>
          <w:rFonts w:hint="eastAsia" w:ascii="宋体" w:hAnsi="宋体"/>
          <w:b/>
          <w:bCs/>
          <w:sz w:val="24"/>
        </w:rPr>
        <w:t>资格证明文件目录</w:t>
      </w:r>
    </w:p>
    <w:p w14:paraId="094999B4">
      <w:pPr>
        <w:snapToGrid w:val="0"/>
        <w:spacing w:line="360" w:lineRule="auto"/>
        <w:ind w:firstLine="420" w:firstLineChars="200"/>
        <w:jc w:val="left"/>
        <w:rPr>
          <w:rFonts w:hint="eastAsia" w:ascii="宋体" w:hAnsi="宋体"/>
          <w:szCs w:val="21"/>
        </w:rPr>
      </w:pPr>
      <w:r>
        <w:rPr>
          <w:rFonts w:hint="eastAsia" w:ascii="宋体" w:hAnsi="宋体"/>
          <w:szCs w:val="21"/>
        </w:rPr>
        <w:t>根据招标文件规定及投标人提供的材料自行编写目录。</w:t>
      </w:r>
    </w:p>
    <w:p w14:paraId="679A32BB">
      <w:pPr>
        <w:snapToGrid w:val="0"/>
        <w:spacing w:before="50" w:after="120" w:afterLines="50"/>
        <w:jc w:val="left"/>
        <w:rPr>
          <w:rFonts w:hint="eastAsia" w:ascii="宋体" w:hAnsi="宋体"/>
          <w:sz w:val="24"/>
        </w:rPr>
      </w:pPr>
    </w:p>
    <w:p w14:paraId="21990D72">
      <w:pPr>
        <w:snapToGrid w:val="0"/>
        <w:spacing w:before="50" w:after="120" w:afterLines="50"/>
        <w:jc w:val="left"/>
        <w:rPr>
          <w:rFonts w:hint="eastAsia" w:ascii="宋体" w:hAnsi="宋体"/>
          <w:sz w:val="24"/>
        </w:rPr>
      </w:pPr>
    </w:p>
    <w:p w14:paraId="07A59C45">
      <w:pPr>
        <w:numPr>
          <w:ilvl w:val="2"/>
          <w:numId w:val="10"/>
        </w:numPr>
        <w:snapToGrid w:val="0"/>
        <w:spacing w:before="120" w:beforeLines="50" w:after="50"/>
        <w:ind w:left="0" w:firstLine="0"/>
        <w:jc w:val="left"/>
        <w:rPr>
          <w:rFonts w:hint="eastAsia" w:ascii="宋体" w:hAnsi="宋体"/>
          <w:b/>
          <w:sz w:val="24"/>
        </w:rPr>
      </w:pPr>
      <w:r>
        <w:rPr>
          <w:rFonts w:ascii="宋体" w:hAnsi="宋体"/>
          <w:b/>
          <w:sz w:val="24"/>
        </w:rPr>
        <w:br w:type="page"/>
      </w:r>
      <w:r>
        <w:rPr>
          <w:rFonts w:hint="eastAsia" w:ascii="宋体" w:hAnsi="宋体"/>
          <w:b/>
          <w:sz w:val="28"/>
          <w:szCs w:val="28"/>
        </w:rPr>
        <w:t>投标人直接控股、管理关系信息表</w:t>
      </w:r>
    </w:p>
    <w:p w14:paraId="7768ABF9">
      <w:pPr>
        <w:snapToGrid w:val="0"/>
        <w:spacing w:before="50" w:after="120" w:afterLines="50"/>
        <w:jc w:val="center"/>
        <w:rPr>
          <w:rFonts w:hint="eastAsia" w:ascii="宋体" w:hAnsi="宋体"/>
          <w:b/>
          <w:sz w:val="28"/>
          <w:szCs w:val="28"/>
        </w:rPr>
      </w:pPr>
    </w:p>
    <w:p w14:paraId="059A7668">
      <w:pPr>
        <w:snapToGrid w:val="0"/>
        <w:spacing w:before="50" w:after="120" w:afterLines="50" w:line="360" w:lineRule="auto"/>
        <w:jc w:val="center"/>
        <w:rPr>
          <w:rFonts w:hint="eastAsia" w:ascii="宋体" w:hAnsi="宋体"/>
          <w:b/>
          <w:sz w:val="32"/>
          <w:szCs w:val="32"/>
        </w:rPr>
      </w:pPr>
      <w:r>
        <w:rPr>
          <w:rFonts w:hint="eastAsia" w:ascii="宋体" w:hAnsi="宋体"/>
          <w:b/>
          <w:sz w:val="32"/>
          <w:szCs w:val="32"/>
        </w:rPr>
        <w:t>投标人直接控股股东信息表</w:t>
      </w:r>
    </w:p>
    <w:tbl>
      <w:tblPr>
        <w:tblStyle w:val="2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F20108E">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1BD2C81">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1611799">
            <w:pPr>
              <w:spacing w:line="360" w:lineRule="auto"/>
              <w:jc w:val="center"/>
              <w:rPr>
                <w:rFonts w:hint="eastAsia"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4D30E0B">
            <w:pPr>
              <w:spacing w:line="360" w:lineRule="auto"/>
              <w:jc w:val="center"/>
              <w:rPr>
                <w:rFonts w:hint="eastAsia"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FCE7E15">
            <w:pPr>
              <w:spacing w:line="360" w:lineRule="auto"/>
              <w:jc w:val="center"/>
              <w:rPr>
                <w:rFonts w:hint="eastAsia"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FC7CD69">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4A64B95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280881">
            <w:pPr>
              <w:spacing w:line="360" w:lineRule="auto"/>
              <w:jc w:val="center"/>
              <w:rPr>
                <w:rFonts w:hint="eastAsia"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6DB0C83">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7BDAA6">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800313">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02B19D">
            <w:pPr>
              <w:spacing w:line="360" w:lineRule="auto"/>
              <w:jc w:val="center"/>
              <w:rPr>
                <w:rFonts w:hint="eastAsia" w:ascii="宋体" w:hAnsi="宋体" w:cs="宋体"/>
                <w:kern w:val="0"/>
                <w:sz w:val="24"/>
              </w:rPr>
            </w:pPr>
          </w:p>
        </w:tc>
      </w:tr>
      <w:tr w14:paraId="21B4DAC1">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270843">
            <w:pPr>
              <w:spacing w:line="360" w:lineRule="auto"/>
              <w:jc w:val="center"/>
              <w:rPr>
                <w:rFonts w:hint="eastAsia"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74BB06">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379000">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9C1A09">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9F6A10">
            <w:pPr>
              <w:spacing w:line="360" w:lineRule="auto"/>
              <w:jc w:val="center"/>
              <w:rPr>
                <w:rFonts w:hint="eastAsia" w:ascii="宋体" w:hAnsi="宋体" w:cs="宋体"/>
                <w:kern w:val="0"/>
                <w:sz w:val="24"/>
              </w:rPr>
            </w:pPr>
          </w:p>
        </w:tc>
      </w:tr>
      <w:tr w14:paraId="214054E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38F58E">
            <w:pPr>
              <w:spacing w:line="360" w:lineRule="auto"/>
              <w:jc w:val="center"/>
              <w:rPr>
                <w:rFonts w:hint="eastAsia"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312173">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DD22F3">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92ACE1">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FEFD19">
            <w:pPr>
              <w:spacing w:line="360" w:lineRule="auto"/>
              <w:jc w:val="center"/>
              <w:rPr>
                <w:rFonts w:hint="eastAsia" w:ascii="宋体" w:hAnsi="宋体" w:cs="宋体"/>
                <w:kern w:val="0"/>
                <w:sz w:val="24"/>
              </w:rPr>
            </w:pPr>
          </w:p>
        </w:tc>
      </w:tr>
      <w:tr w14:paraId="70945B8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057A22">
            <w:pPr>
              <w:spacing w:line="360" w:lineRule="auto"/>
              <w:jc w:val="center"/>
              <w:rPr>
                <w:rFonts w:hint="eastAsia"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2B32E2">
            <w:pPr>
              <w:spacing w:line="360" w:lineRule="auto"/>
              <w:jc w:val="center"/>
              <w:rPr>
                <w:rFonts w:hint="eastAsia"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4BDB59">
            <w:pPr>
              <w:spacing w:line="360" w:lineRule="auto"/>
              <w:jc w:val="center"/>
              <w:rPr>
                <w:rFonts w:hint="eastAsia"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2AB79A">
            <w:pPr>
              <w:spacing w:line="360" w:lineRule="auto"/>
              <w:jc w:val="center"/>
              <w:rPr>
                <w:rFonts w:hint="eastAsia"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D279B8">
            <w:pPr>
              <w:spacing w:line="360" w:lineRule="auto"/>
              <w:jc w:val="center"/>
              <w:rPr>
                <w:rFonts w:hint="eastAsia" w:ascii="宋体" w:hAnsi="宋体" w:cs="宋体"/>
                <w:kern w:val="0"/>
                <w:sz w:val="24"/>
              </w:rPr>
            </w:pPr>
          </w:p>
        </w:tc>
      </w:tr>
    </w:tbl>
    <w:p w14:paraId="068892DB">
      <w:pPr>
        <w:snapToGrid w:val="0"/>
        <w:spacing w:line="360" w:lineRule="auto"/>
        <w:jc w:val="left"/>
        <w:rPr>
          <w:rFonts w:hint="eastAsia" w:ascii="宋体" w:hAnsi="宋体"/>
          <w:sz w:val="24"/>
        </w:rPr>
      </w:pPr>
      <w:r>
        <w:rPr>
          <w:rFonts w:hint="eastAsia" w:ascii="宋体" w:hAnsi="宋体"/>
          <w:sz w:val="24"/>
        </w:rPr>
        <w:t>注：</w:t>
      </w:r>
    </w:p>
    <w:p w14:paraId="4076873E">
      <w:pPr>
        <w:snapToGrid w:val="0"/>
        <w:spacing w:line="360" w:lineRule="auto"/>
        <w:jc w:val="left"/>
        <w:rPr>
          <w:rFonts w:hint="eastAsia"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E2F2B65">
      <w:pPr>
        <w:snapToGrid w:val="0"/>
        <w:spacing w:line="360" w:lineRule="auto"/>
        <w:jc w:val="left"/>
        <w:rPr>
          <w:rFonts w:hint="eastAsia"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12A07B50">
      <w:pPr>
        <w:snapToGrid w:val="0"/>
        <w:spacing w:line="360" w:lineRule="auto"/>
        <w:jc w:val="left"/>
        <w:rPr>
          <w:rFonts w:hint="eastAsia" w:ascii="宋体" w:hAnsi="宋体"/>
          <w:sz w:val="24"/>
        </w:rPr>
      </w:pPr>
      <w:r>
        <w:rPr>
          <w:rFonts w:hint="eastAsia" w:ascii="宋体" w:hAnsi="宋体"/>
          <w:sz w:val="24"/>
        </w:rPr>
        <w:t>3.供应商不存在直接控股股东的，则填“无”。</w:t>
      </w:r>
    </w:p>
    <w:p w14:paraId="31A779B0">
      <w:pPr>
        <w:snapToGrid w:val="0"/>
        <w:spacing w:line="360" w:lineRule="auto"/>
        <w:jc w:val="left"/>
        <w:rPr>
          <w:rFonts w:hint="eastAsia" w:ascii="宋体" w:hAnsi="宋体"/>
          <w:sz w:val="24"/>
        </w:rPr>
      </w:pPr>
    </w:p>
    <w:p w14:paraId="00F435AD">
      <w:pPr>
        <w:snapToGrid w:val="0"/>
        <w:spacing w:line="360" w:lineRule="auto"/>
        <w:jc w:val="left"/>
        <w:rPr>
          <w:rFonts w:hint="eastAsia" w:ascii="宋体" w:hAnsi="宋体"/>
          <w:sz w:val="24"/>
        </w:rPr>
      </w:pPr>
    </w:p>
    <w:p w14:paraId="33BBCE11">
      <w:pPr>
        <w:snapToGrid w:val="0"/>
        <w:spacing w:line="360" w:lineRule="auto"/>
        <w:jc w:val="left"/>
        <w:rPr>
          <w:rFonts w:hint="eastAsia" w:ascii="宋体" w:hAnsi="宋体"/>
          <w:sz w:val="24"/>
        </w:rPr>
      </w:pPr>
    </w:p>
    <w:p w14:paraId="46DD4010">
      <w:pPr>
        <w:snapToGrid w:val="0"/>
        <w:spacing w:line="360" w:lineRule="auto"/>
        <w:jc w:val="left"/>
        <w:rPr>
          <w:rFonts w:hint="eastAsia" w:ascii="宋体" w:hAnsi="宋体"/>
          <w:sz w:val="24"/>
        </w:rPr>
      </w:pPr>
    </w:p>
    <w:p w14:paraId="30EF7BA5">
      <w:pPr>
        <w:snapToGrid w:val="0"/>
        <w:spacing w:line="360" w:lineRule="auto"/>
        <w:jc w:val="left"/>
        <w:rPr>
          <w:rFonts w:hint="eastAsia" w:ascii="宋体" w:hAnsi="宋体"/>
          <w:sz w:val="24"/>
        </w:rPr>
      </w:pPr>
    </w:p>
    <w:p w14:paraId="6E673238">
      <w:pPr>
        <w:snapToGrid w:val="0"/>
        <w:spacing w:before="120" w:beforeLines="50" w:line="360" w:lineRule="auto"/>
        <w:ind w:right="480" w:firstLine="3967" w:firstLineChars="1653"/>
        <w:rPr>
          <w:rFonts w:hint="eastAsia" w:ascii="宋体" w:hAnsi="宋体"/>
          <w:sz w:val="24"/>
          <w:u w:val="single"/>
        </w:rPr>
      </w:pPr>
      <w:r>
        <w:rPr>
          <w:rFonts w:hint="eastAsia" w:ascii="宋体" w:hAnsi="宋体"/>
          <w:sz w:val="24"/>
        </w:rPr>
        <w:t>法定代表人或者委托代理人（签字）：</w:t>
      </w:r>
      <w:r>
        <w:rPr>
          <w:rFonts w:hint="eastAsia" w:ascii="宋体" w:hAnsi="宋体"/>
          <w:sz w:val="24"/>
          <w:u w:val="single"/>
        </w:rPr>
        <w:t xml:space="preserve">             </w:t>
      </w:r>
    </w:p>
    <w:p w14:paraId="07FE80EA">
      <w:pPr>
        <w:snapToGrid w:val="0"/>
        <w:spacing w:before="120" w:beforeLines="50" w:after="50" w:line="360" w:lineRule="auto"/>
        <w:ind w:right="480" w:firstLine="5520" w:firstLineChars="2300"/>
        <w:rPr>
          <w:rFonts w:hint="eastAsia" w:ascii="宋体" w:hAnsi="宋体"/>
          <w:sz w:val="24"/>
          <w:u w:val="single"/>
        </w:rPr>
      </w:pPr>
      <w:r>
        <w:rPr>
          <w:rFonts w:hint="eastAsia" w:ascii="宋体" w:hAnsi="宋体"/>
          <w:sz w:val="24"/>
        </w:rPr>
        <w:t>投标人（盖公章）：</w:t>
      </w:r>
      <w:r>
        <w:rPr>
          <w:rFonts w:hint="eastAsia" w:ascii="宋体" w:hAnsi="宋体"/>
          <w:sz w:val="24"/>
          <w:u w:val="single"/>
        </w:rPr>
        <w:t xml:space="preserve">                 </w:t>
      </w:r>
    </w:p>
    <w:p w14:paraId="49A43A25">
      <w:pPr>
        <w:snapToGrid w:val="0"/>
        <w:spacing w:before="120" w:beforeLines="50" w:after="50" w:line="360" w:lineRule="auto"/>
        <w:ind w:right="480" w:firstLine="5520" w:firstLineChars="2300"/>
        <w:rPr>
          <w:rFonts w:hint="eastAsia" w:ascii="宋体" w:hAnsi="宋体"/>
          <w:szCs w:val="21"/>
        </w:rPr>
      </w:pPr>
      <w:r>
        <w:rPr>
          <w:rFonts w:hint="eastAsia" w:ascii="宋体" w:hAnsi="宋体"/>
          <w:sz w:val="24"/>
        </w:rPr>
        <w:t>年    月    日</w:t>
      </w:r>
    </w:p>
    <w:p w14:paraId="3C576C91">
      <w:pPr>
        <w:snapToGrid w:val="0"/>
        <w:jc w:val="center"/>
        <w:rPr>
          <w:rFonts w:hint="eastAsia" w:ascii="宋体" w:hAnsi="宋体"/>
          <w:b/>
          <w:sz w:val="28"/>
          <w:szCs w:val="28"/>
        </w:rPr>
      </w:pPr>
    </w:p>
    <w:p w14:paraId="00ECC953">
      <w:pPr>
        <w:snapToGrid w:val="0"/>
        <w:spacing w:line="360" w:lineRule="auto"/>
        <w:jc w:val="center"/>
        <w:rPr>
          <w:rFonts w:hint="eastAsia" w:ascii="宋体" w:hAnsi="宋体"/>
          <w:sz w:val="32"/>
          <w:szCs w:val="32"/>
        </w:rPr>
      </w:pPr>
      <w:r>
        <w:rPr>
          <w:rFonts w:ascii="宋体" w:hAnsi="宋体"/>
          <w:b/>
          <w:sz w:val="32"/>
          <w:szCs w:val="32"/>
        </w:rPr>
        <w:br w:type="page"/>
      </w:r>
      <w:r>
        <w:rPr>
          <w:rFonts w:hint="eastAsia" w:ascii="宋体" w:hAnsi="宋体"/>
          <w:b/>
          <w:sz w:val="32"/>
          <w:szCs w:val="32"/>
        </w:rPr>
        <w:t>投标人直接管理关系信息表</w:t>
      </w:r>
    </w:p>
    <w:tbl>
      <w:tblPr>
        <w:tblStyle w:val="26"/>
        <w:tblW w:w="0" w:type="auto"/>
        <w:tblInd w:w="0" w:type="dxa"/>
        <w:tblLayout w:type="fixed"/>
        <w:tblCellMar>
          <w:top w:w="0" w:type="dxa"/>
          <w:left w:w="0" w:type="dxa"/>
          <w:bottom w:w="0" w:type="dxa"/>
          <w:right w:w="0" w:type="dxa"/>
        </w:tblCellMar>
      </w:tblPr>
      <w:tblGrid>
        <w:gridCol w:w="1005"/>
        <w:gridCol w:w="2659"/>
        <w:gridCol w:w="3924"/>
        <w:gridCol w:w="2064"/>
      </w:tblGrid>
      <w:tr w14:paraId="58515668">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6F4360B">
            <w:pPr>
              <w:spacing w:line="360" w:lineRule="auto"/>
              <w:jc w:val="center"/>
              <w:rPr>
                <w:rFonts w:hint="eastAsia"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1CA0303">
            <w:pPr>
              <w:spacing w:line="360" w:lineRule="auto"/>
              <w:jc w:val="center"/>
              <w:rPr>
                <w:rFonts w:hint="eastAsia"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DE26637">
            <w:pPr>
              <w:spacing w:line="360" w:lineRule="auto"/>
              <w:jc w:val="center"/>
              <w:rPr>
                <w:rFonts w:hint="eastAsia"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1781F30">
            <w:pPr>
              <w:spacing w:line="360" w:lineRule="auto"/>
              <w:jc w:val="center"/>
              <w:rPr>
                <w:rFonts w:hint="eastAsia" w:ascii="宋体" w:hAnsi="宋体" w:cs="宋体"/>
                <w:b/>
                <w:bCs/>
                <w:kern w:val="0"/>
                <w:sz w:val="24"/>
              </w:rPr>
            </w:pPr>
            <w:r>
              <w:rPr>
                <w:rFonts w:hint="eastAsia" w:ascii="宋体" w:hAnsi="宋体" w:cs="宋体"/>
                <w:b/>
                <w:bCs/>
                <w:kern w:val="0"/>
                <w:sz w:val="24"/>
              </w:rPr>
              <w:t>备注</w:t>
            </w:r>
          </w:p>
        </w:tc>
      </w:tr>
      <w:tr w14:paraId="3D66806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36CAD65">
            <w:pPr>
              <w:spacing w:line="360" w:lineRule="auto"/>
              <w:jc w:val="center"/>
              <w:rPr>
                <w:rFonts w:hint="eastAsia"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B44DED2">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C25040A">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318E71A">
            <w:pPr>
              <w:spacing w:line="360" w:lineRule="auto"/>
              <w:jc w:val="center"/>
              <w:rPr>
                <w:rFonts w:hint="eastAsia" w:ascii="宋体" w:hAnsi="宋体" w:cs="宋体"/>
                <w:kern w:val="0"/>
                <w:sz w:val="24"/>
              </w:rPr>
            </w:pPr>
          </w:p>
        </w:tc>
      </w:tr>
      <w:tr w14:paraId="49C71DE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058AC7D">
            <w:pPr>
              <w:spacing w:line="360" w:lineRule="auto"/>
              <w:jc w:val="center"/>
              <w:rPr>
                <w:rFonts w:hint="eastAsia"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4DDEC50">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0BF75AE">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C126C07">
            <w:pPr>
              <w:spacing w:line="360" w:lineRule="auto"/>
              <w:jc w:val="center"/>
              <w:rPr>
                <w:rFonts w:hint="eastAsia" w:ascii="宋体" w:hAnsi="宋体" w:cs="宋体"/>
                <w:kern w:val="0"/>
                <w:sz w:val="24"/>
              </w:rPr>
            </w:pPr>
          </w:p>
        </w:tc>
      </w:tr>
      <w:tr w14:paraId="1EE18B9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6D26308">
            <w:pPr>
              <w:spacing w:line="360" w:lineRule="auto"/>
              <w:jc w:val="center"/>
              <w:rPr>
                <w:rFonts w:hint="eastAsia"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02E1462">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2D0AB6D">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A4D3471">
            <w:pPr>
              <w:spacing w:line="360" w:lineRule="auto"/>
              <w:jc w:val="center"/>
              <w:rPr>
                <w:rFonts w:hint="eastAsia" w:ascii="宋体" w:hAnsi="宋体" w:cs="宋体"/>
                <w:kern w:val="0"/>
                <w:sz w:val="24"/>
              </w:rPr>
            </w:pPr>
          </w:p>
        </w:tc>
      </w:tr>
      <w:tr w14:paraId="00E4AAD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DB5BEF1">
            <w:pPr>
              <w:spacing w:line="360" w:lineRule="auto"/>
              <w:jc w:val="center"/>
              <w:rPr>
                <w:rFonts w:hint="eastAsia"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06B0EE3">
            <w:pPr>
              <w:spacing w:line="360" w:lineRule="auto"/>
              <w:jc w:val="center"/>
              <w:rPr>
                <w:rFonts w:hint="eastAsia"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626E8D7">
            <w:pPr>
              <w:spacing w:line="360" w:lineRule="auto"/>
              <w:jc w:val="center"/>
              <w:rPr>
                <w:rFonts w:hint="eastAsia"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DBF59CC">
            <w:pPr>
              <w:spacing w:line="360" w:lineRule="auto"/>
              <w:jc w:val="center"/>
              <w:rPr>
                <w:rFonts w:hint="eastAsia" w:ascii="宋体" w:hAnsi="宋体" w:cs="宋体"/>
                <w:kern w:val="0"/>
                <w:sz w:val="24"/>
              </w:rPr>
            </w:pPr>
          </w:p>
        </w:tc>
      </w:tr>
    </w:tbl>
    <w:p w14:paraId="5F7B0219">
      <w:pPr>
        <w:snapToGrid w:val="0"/>
        <w:spacing w:line="360" w:lineRule="auto"/>
        <w:jc w:val="left"/>
        <w:rPr>
          <w:rFonts w:hint="eastAsia" w:ascii="宋体" w:hAnsi="宋体"/>
          <w:sz w:val="24"/>
        </w:rPr>
      </w:pPr>
      <w:r>
        <w:rPr>
          <w:rFonts w:hint="eastAsia" w:ascii="宋体" w:hAnsi="宋体"/>
          <w:sz w:val="24"/>
        </w:rPr>
        <w:t>注：</w:t>
      </w:r>
    </w:p>
    <w:p w14:paraId="0D0C6CED">
      <w:pPr>
        <w:snapToGrid w:val="0"/>
        <w:spacing w:line="360" w:lineRule="auto"/>
        <w:ind w:firstLine="480" w:firstLineChars="200"/>
        <w:jc w:val="left"/>
        <w:rPr>
          <w:rFonts w:hint="eastAsia"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30BB77FF">
      <w:pPr>
        <w:snapToGrid w:val="0"/>
        <w:spacing w:line="360" w:lineRule="auto"/>
        <w:ind w:firstLine="480" w:firstLineChars="200"/>
        <w:jc w:val="left"/>
        <w:rPr>
          <w:rFonts w:hint="eastAsia"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22F73872">
      <w:pPr>
        <w:snapToGrid w:val="0"/>
        <w:spacing w:line="360" w:lineRule="auto"/>
        <w:ind w:firstLine="480" w:firstLineChars="200"/>
        <w:jc w:val="left"/>
        <w:rPr>
          <w:rFonts w:hint="eastAsia" w:ascii="宋体" w:hAnsi="宋体"/>
          <w:sz w:val="24"/>
        </w:rPr>
      </w:pPr>
      <w:r>
        <w:rPr>
          <w:rFonts w:hint="eastAsia" w:ascii="宋体" w:hAnsi="宋体"/>
          <w:sz w:val="24"/>
        </w:rPr>
        <w:t>3.供应商不存在直接管理关系的，则填“无”。</w:t>
      </w:r>
    </w:p>
    <w:p w14:paraId="013D39D8">
      <w:pPr>
        <w:snapToGrid w:val="0"/>
        <w:spacing w:line="360" w:lineRule="auto"/>
        <w:jc w:val="left"/>
        <w:rPr>
          <w:rFonts w:hint="eastAsia" w:ascii="宋体" w:hAnsi="宋体"/>
          <w:sz w:val="24"/>
        </w:rPr>
      </w:pPr>
    </w:p>
    <w:p w14:paraId="24E0D170">
      <w:pPr>
        <w:snapToGrid w:val="0"/>
        <w:spacing w:line="360" w:lineRule="auto"/>
        <w:jc w:val="left"/>
        <w:rPr>
          <w:rFonts w:hint="eastAsia" w:ascii="宋体" w:hAnsi="宋体"/>
          <w:sz w:val="24"/>
        </w:rPr>
      </w:pPr>
    </w:p>
    <w:p w14:paraId="5FCF717B">
      <w:pPr>
        <w:snapToGrid w:val="0"/>
        <w:spacing w:line="360" w:lineRule="auto"/>
        <w:jc w:val="left"/>
        <w:rPr>
          <w:rFonts w:hint="eastAsia" w:ascii="宋体" w:hAnsi="宋体"/>
          <w:sz w:val="24"/>
        </w:rPr>
      </w:pPr>
    </w:p>
    <w:p w14:paraId="34415F14">
      <w:pPr>
        <w:snapToGrid w:val="0"/>
        <w:spacing w:line="360" w:lineRule="auto"/>
        <w:jc w:val="left"/>
        <w:rPr>
          <w:sz w:val="24"/>
        </w:rPr>
      </w:pPr>
    </w:p>
    <w:p w14:paraId="4AE946E6">
      <w:pPr>
        <w:snapToGrid w:val="0"/>
        <w:spacing w:line="360" w:lineRule="auto"/>
        <w:jc w:val="left"/>
        <w:rPr>
          <w:sz w:val="24"/>
        </w:rPr>
      </w:pPr>
    </w:p>
    <w:p w14:paraId="7251CE14">
      <w:pPr>
        <w:snapToGrid w:val="0"/>
        <w:spacing w:line="360" w:lineRule="auto"/>
        <w:jc w:val="left"/>
        <w:rPr>
          <w:sz w:val="24"/>
        </w:rPr>
      </w:pPr>
    </w:p>
    <w:p w14:paraId="475BBE04">
      <w:pPr>
        <w:snapToGrid w:val="0"/>
        <w:spacing w:line="360" w:lineRule="auto"/>
        <w:jc w:val="left"/>
        <w:rPr>
          <w:rFonts w:hint="eastAsia" w:ascii="宋体" w:hAnsi="宋体"/>
          <w:sz w:val="24"/>
        </w:rPr>
      </w:pPr>
    </w:p>
    <w:p w14:paraId="259576E5">
      <w:pPr>
        <w:snapToGrid w:val="0"/>
        <w:spacing w:before="120" w:beforeLines="50" w:line="360" w:lineRule="auto"/>
        <w:ind w:right="480" w:firstLine="3967" w:firstLineChars="1653"/>
        <w:rPr>
          <w:rFonts w:hint="eastAsia" w:ascii="宋体" w:hAnsi="宋体"/>
          <w:sz w:val="24"/>
          <w:u w:val="single"/>
        </w:rPr>
      </w:pPr>
      <w:r>
        <w:rPr>
          <w:rFonts w:hint="eastAsia" w:ascii="宋体" w:hAnsi="宋体"/>
          <w:sz w:val="24"/>
        </w:rPr>
        <w:t>法定代表人或者委托代理人（签字）：</w:t>
      </w:r>
      <w:r>
        <w:rPr>
          <w:rFonts w:hint="eastAsia" w:ascii="宋体" w:hAnsi="宋体"/>
          <w:sz w:val="24"/>
          <w:u w:val="single"/>
        </w:rPr>
        <w:t xml:space="preserve">             </w:t>
      </w:r>
    </w:p>
    <w:p w14:paraId="71FF080E">
      <w:pPr>
        <w:snapToGrid w:val="0"/>
        <w:spacing w:before="120" w:beforeLines="50" w:after="50" w:line="360" w:lineRule="auto"/>
        <w:ind w:right="480" w:firstLine="5520" w:firstLineChars="2300"/>
        <w:rPr>
          <w:rFonts w:hint="eastAsia" w:ascii="宋体" w:hAnsi="宋体"/>
          <w:sz w:val="24"/>
        </w:rPr>
      </w:pPr>
      <w:r>
        <w:rPr>
          <w:rFonts w:hint="eastAsia" w:ascii="宋体" w:hAnsi="宋体"/>
          <w:sz w:val="24"/>
        </w:rPr>
        <w:t>投标人（盖公章）：</w:t>
      </w:r>
      <w:r>
        <w:rPr>
          <w:rFonts w:hint="eastAsia" w:ascii="宋体" w:hAnsi="宋体"/>
          <w:sz w:val="24"/>
          <w:u w:val="single"/>
        </w:rPr>
        <w:t xml:space="preserve">                 </w:t>
      </w:r>
    </w:p>
    <w:p w14:paraId="5FE4EB42">
      <w:pPr>
        <w:snapToGrid w:val="0"/>
        <w:spacing w:before="120" w:beforeLines="50" w:after="50" w:line="360" w:lineRule="auto"/>
        <w:ind w:right="480" w:firstLine="240" w:firstLineChars="100"/>
        <w:jc w:val="right"/>
        <w:rPr>
          <w:rFonts w:hint="eastAsia" w:ascii="宋体" w:hAnsi="宋体"/>
          <w:sz w:val="24"/>
        </w:rPr>
      </w:pPr>
      <w:r>
        <w:rPr>
          <w:rFonts w:hint="eastAsia" w:ascii="宋体" w:hAnsi="宋体"/>
          <w:sz w:val="24"/>
        </w:rPr>
        <w:t xml:space="preserve"> 年    月    日</w:t>
      </w:r>
    </w:p>
    <w:p w14:paraId="6C222BA6">
      <w:pPr>
        <w:snapToGrid w:val="0"/>
        <w:spacing w:before="50" w:after="120" w:afterLines="50"/>
        <w:jc w:val="left"/>
        <w:rPr>
          <w:rFonts w:hint="eastAsia" w:ascii="宋体" w:hAnsi="宋体"/>
          <w:szCs w:val="21"/>
        </w:rPr>
      </w:pPr>
    </w:p>
    <w:p w14:paraId="75F175FD">
      <w:pPr>
        <w:snapToGrid w:val="0"/>
        <w:spacing w:before="120" w:beforeLines="50" w:after="50"/>
        <w:jc w:val="left"/>
        <w:rPr>
          <w:rFonts w:hint="eastAsia" w:ascii="宋体" w:hAnsi="宋体"/>
          <w:b/>
          <w:sz w:val="24"/>
          <w:szCs w:val="20"/>
        </w:rPr>
      </w:pPr>
    </w:p>
    <w:p w14:paraId="4B486053">
      <w:pPr>
        <w:numPr>
          <w:ilvl w:val="2"/>
          <w:numId w:val="10"/>
        </w:numPr>
        <w:snapToGrid w:val="0"/>
        <w:spacing w:before="120" w:beforeLines="50" w:after="50"/>
        <w:ind w:left="0" w:firstLine="0"/>
        <w:jc w:val="left"/>
        <w:rPr>
          <w:rFonts w:hint="eastAsia" w:ascii="宋体" w:hAnsi="宋体"/>
          <w:b/>
          <w:sz w:val="24"/>
          <w:szCs w:val="20"/>
        </w:rPr>
      </w:pPr>
      <w:r>
        <w:rPr>
          <w:rFonts w:ascii="宋体" w:hAnsi="宋体"/>
          <w:b/>
          <w:sz w:val="24"/>
        </w:rPr>
        <w:br w:type="page"/>
      </w:r>
      <w:r>
        <w:rPr>
          <w:rFonts w:hint="eastAsia" w:ascii="宋体" w:hAnsi="宋体"/>
          <w:b/>
          <w:sz w:val="24"/>
        </w:rPr>
        <w:t>投标声明格式</w:t>
      </w:r>
    </w:p>
    <w:p w14:paraId="32A41BE8">
      <w:pPr>
        <w:snapToGrid w:val="0"/>
        <w:spacing w:before="50" w:after="120" w:afterLines="50"/>
        <w:jc w:val="left"/>
        <w:rPr>
          <w:rFonts w:hint="eastAsia" w:ascii="宋体" w:hAnsi="宋体"/>
        </w:rPr>
      </w:pPr>
    </w:p>
    <w:p w14:paraId="5CCF5F42">
      <w:pPr>
        <w:snapToGrid w:val="0"/>
        <w:spacing w:before="50" w:after="120" w:afterLines="50"/>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投标声明</w:t>
      </w:r>
    </w:p>
    <w:p w14:paraId="1A8647DD">
      <w:pPr>
        <w:snapToGrid w:val="0"/>
        <w:spacing w:before="50" w:after="120" w:afterLines="50"/>
        <w:jc w:val="center"/>
        <w:rPr>
          <w:rFonts w:hint="eastAsia" w:ascii="方正小标宋简体" w:hAnsi="方正小标宋简体" w:eastAsia="方正小标宋简体" w:cs="方正小标宋简体"/>
          <w:bCs/>
          <w:sz w:val="44"/>
          <w:szCs w:val="44"/>
        </w:rPr>
      </w:pPr>
    </w:p>
    <w:p w14:paraId="2C7F9771">
      <w:pPr>
        <w:spacing w:line="400" w:lineRule="exact"/>
        <w:contextualSpacing/>
        <w:jc w:val="left"/>
        <w:rPr>
          <w:sz w:val="24"/>
        </w:rPr>
      </w:pPr>
      <w:r>
        <w:rPr>
          <w:rFonts w:hint="eastAsia"/>
          <w:sz w:val="24"/>
        </w:rPr>
        <w:t>（采购人名称）：</w:t>
      </w:r>
    </w:p>
    <w:p w14:paraId="35E19FB2">
      <w:pPr>
        <w:spacing w:line="400" w:lineRule="exact"/>
        <w:ind w:firstLine="523" w:firstLineChars="218"/>
        <w:contextualSpacing/>
        <w:jc w:val="left"/>
        <w:rPr>
          <w:rFonts w:hint="eastAsia" w:ascii="宋体" w:hAnsi="宋体"/>
          <w:sz w:val="24"/>
        </w:rPr>
      </w:pPr>
      <w:r>
        <w:rPr>
          <w:rFonts w:hint="eastAsia" w:ascii="宋体" w:hAnsi="宋体"/>
          <w:sz w:val="24"/>
        </w:rPr>
        <w:t>我方参加贵单位组织</w:t>
      </w:r>
      <w:r>
        <w:rPr>
          <w:rFonts w:hint="eastAsia" w:ascii="宋体" w:hAnsi="宋体"/>
          <w:sz w:val="24"/>
          <w:u w:val="single"/>
        </w:rPr>
        <w:t xml:space="preserve">             </w:t>
      </w:r>
      <w:r>
        <w:rPr>
          <w:rFonts w:hint="eastAsia" w:ascii="宋体" w:hAnsi="宋体"/>
          <w:sz w:val="24"/>
        </w:rPr>
        <w:t>项目（项目编号：</w:t>
      </w:r>
      <w:r>
        <w:rPr>
          <w:rFonts w:hint="eastAsia" w:ascii="宋体" w:hAnsi="宋体"/>
          <w:sz w:val="24"/>
          <w:u w:val="single"/>
        </w:rPr>
        <w:t xml:space="preserve">       </w:t>
      </w:r>
      <w:r>
        <w:rPr>
          <w:rFonts w:hint="eastAsia" w:ascii="宋体" w:hAnsi="宋体"/>
          <w:sz w:val="24"/>
        </w:rPr>
        <w:t>）的政府采购活动。我方在此郑重声明：</w:t>
      </w:r>
    </w:p>
    <w:p w14:paraId="2BB83ABE">
      <w:pPr>
        <w:spacing w:line="400" w:lineRule="exact"/>
        <w:ind w:firstLine="480" w:firstLineChars="200"/>
        <w:contextualSpacing/>
        <w:jc w:val="left"/>
        <w:rPr>
          <w:rFonts w:hint="eastAsia" w:ascii="宋体" w:hAnsi="宋体"/>
          <w:sz w:val="24"/>
        </w:rPr>
      </w:pPr>
      <w:r>
        <w:rPr>
          <w:rFonts w:hint="eastAsia" w:ascii="宋体" w:hAnsi="宋体"/>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5B26503">
      <w:pPr>
        <w:spacing w:line="400" w:lineRule="exact"/>
        <w:ind w:firstLine="480" w:firstLineChars="200"/>
        <w:contextualSpacing/>
        <w:jc w:val="left"/>
        <w:rPr>
          <w:rFonts w:hint="eastAsia" w:ascii="宋体" w:hAnsi="宋体"/>
          <w:sz w:val="24"/>
        </w:rPr>
      </w:pPr>
      <w:r>
        <w:rPr>
          <w:rFonts w:hint="eastAsia" w:ascii="宋体" w:hAnsi="宋体"/>
          <w:sz w:val="24"/>
        </w:rPr>
        <w:t>2.我方不是为本次采购项目提供整体设计、规范编制或者项目管理、监理、检测等服务的供应商。</w:t>
      </w:r>
    </w:p>
    <w:p w14:paraId="37DA03B3">
      <w:pPr>
        <w:spacing w:line="400" w:lineRule="exact"/>
        <w:ind w:firstLine="480" w:firstLineChars="200"/>
        <w:contextualSpacing/>
        <w:jc w:val="left"/>
        <w:rPr>
          <w:rFonts w:hint="eastAsia" w:ascii="宋体" w:hAnsi="宋体"/>
          <w:sz w:val="24"/>
        </w:rPr>
      </w:pPr>
      <w:r>
        <w:rPr>
          <w:rFonts w:hint="eastAsia" w:ascii="宋体" w:hAnsi="宋体"/>
          <w:sz w:val="24"/>
        </w:rPr>
        <w:t>3. 我方承诺符合《中华人民共和国政府采购法》第二十二条规定：</w:t>
      </w:r>
    </w:p>
    <w:p w14:paraId="41CCBB2D">
      <w:pPr>
        <w:spacing w:line="400" w:lineRule="exact"/>
        <w:ind w:firstLine="480" w:firstLineChars="200"/>
        <w:contextualSpacing/>
        <w:jc w:val="left"/>
        <w:rPr>
          <w:rFonts w:hint="eastAsia" w:ascii="宋体" w:hAnsi="宋体"/>
          <w:sz w:val="24"/>
        </w:rPr>
      </w:pPr>
      <w:r>
        <w:rPr>
          <w:rFonts w:hint="eastAsia" w:ascii="宋体" w:hAnsi="宋体"/>
          <w:sz w:val="24"/>
        </w:rPr>
        <w:t>（一）具有独立承担民事责任的能力；</w:t>
      </w:r>
    </w:p>
    <w:p w14:paraId="66357C52">
      <w:pPr>
        <w:spacing w:line="400" w:lineRule="exact"/>
        <w:ind w:firstLine="480" w:firstLineChars="200"/>
        <w:contextualSpacing/>
        <w:jc w:val="left"/>
        <w:rPr>
          <w:rFonts w:hint="eastAsia" w:ascii="宋体" w:hAnsi="宋体"/>
          <w:sz w:val="24"/>
        </w:rPr>
      </w:pPr>
      <w:r>
        <w:rPr>
          <w:rFonts w:hint="eastAsia" w:ascii="宋体" w:hAnsi="宋体"/>
          <w:sz w:val="24"/>
        </w:rPr>
        <w:t>（二）具有良好的商业信誉和健全的财务会计制度；</w:t>
      </w:r>
    </w:p>
    <w:p w14:paraId="2CEF40DD">
      <w:pPr>
        <w:spacing w:line="400" w:lineRule="exact"/>
        <w:ind w:firstLine="480" w:firstLineChars="200"/>
        <w:contextualSpacing/>
        <w:jc w:val="left"/>
        <w:rPr>
          <w:rFonts w:hint="eastAsia" w:ascii="宋体" w:hAnsi="宋体"/>
          <w:sz w:val="24"/>
        </w:rPr>
      </w:pPr>
      <w:r>
        <w:rPr>
          <w:rFonts w:hint="eastAsia" w:ascii="宋体" w:hAnsi="宋体"/>
          <w:sz w:val="24"/>
        </w:rPr>
        <w:t>（三）具有履行合同所必需的设备和专业技术能力；</w:t>
      </w:r>
    </w:p>
    <w:p w14:paraId="7198276A">
      <w:pPr>
        <w:spacing w:line="400" w:lineRule="exact"/>
        <w:ind w:firstLine="480" w:firstLineChars="200"/>
        <w:contextualSpacing/>
        <w:jc w:val="left"/>
        <w:rPr>
          <w:rFonts w:hint="eastAsia" w:ascii="宋体" w:hAnsi="宋体"/>
          <w:sz w:val="24"/>
        </w:rPr>
      </w:pPr>
      <w:r>
        <w:rPr>
          <w:rFonts w:hint="eastAsia" w:ascii="宋体" w:hAnsi="宋体"/>
          <w:sz w:val="24"/>
        </w:rPr>
        <w:t>（四）有依法缴纳税收和社会保障资金的良好记录；</w:t>
      </w:r>
    </w:p>
    <w:p w14:paraId="752CF222">
      <w:pPr>
        <w:spacing w:line="400" w:lineRule="exact"/>
        <w:ind w:firstLine="480" w:firstLineChars="200"/>
        <w:contextualSpacing/>
        <w:jc w:val="left"/>
        <w:rPr>
          <w:rFonts w:hint="eastAsia" w:ascii="宋体" w:hAnsi="宋体"/>
          <w:sz w:val="24"/>
        </w:rPr>
      </w:pPr>
      <w:r>
        <w:rPr>
          <w:rFonts w:hint="eastAsia" w:ascii="宋体" w:hAnsi="宋体"/>
          <w:sz w:val="24"/>
        </w:rPr>
        <w:t>（五）参加政府采购活动前三年内，在经营活动中没有重大违法记录；</w:t>
      </w:r>
    </w:p>
    <w:p w14:paraId="58520074">
      <w:pPr>
        <w:spacing w:line="400" w:lineRule="exact"/>
        <w:ind w:firstLine="480" w:firstLineChars="200"/>
        <w:contextualSpacing/>
        <w:jc w:val="left"/>
        <w:rPr>
          <w:rFonts w:hint="eastAsia" w:ascii="宋体" w:hAnsi="宋体"/>
          <w:sz w:val="24"/>
        </w:rPr>
      </w:pPr>
      <w:r>
        <w:rPr>
          <w:rFonts w:hint="eastAsia" w:ascii="宋体" w:hAnsi="宋体"/>
          <w:sz w:val="24"/>
        </w:rPr>
        <w:t>（六）法律、行政法规规定的其他条件。</w:t>
      </w:r>
    </w:p>
    <w:p w14:paraId="5CE856F4">
      <w:pPr>
        <w:spacing w:line="400" w:lineRule="exact"/>
        <w:ind w:firstLine="480" w:firstLineChars="200"/>
        <w:contextualSpacing/>
        <w:jc w:val="left"/>
        <w:rPr>
          <w:rFonts w:hint="eastAsia" w:ascii="宋体" w:hAnsi="宋体"/>
          <w:sz w:val="24"/>
        </w:rPr>
      </w:pPr>
      <w:r>
        <w:rPr>
          <w:rFonts w:hint="eastAsia" w:ascii="宋体" w:hAnsi="宋体"/>
          <w:sz w:val="24"/>
        </w:rPr>
        <w:t>4.以上事项如有虚假或者隐瞒，我方愿意承担一切后果，并不再寻求任何旨在减轻或者免除法律责任的辩解。</w:t>
      </w:r>
    </w:p>
    <w:p w14:paraId="585CAF4C">
      <w:pPr>
        <w:spacing w:line="400" w:lineRule="exact"/>
        <w:contextualSpacing/>
        <w:jc w:val="left"/>
        <w:rPr>
          <w:rFonts w:hint="eastAsia" w:ascii="宋体" w:hAnsi="宋体"/>
          <w:sz w:val="24"/>
        </w:rPr>
      </w:pPr>
      <w:r>
        <w:rPr>
          <w:rFonts w:hint="eastAsia" w:ascii="宋体" w:hAnsi="宋体"/>
          <w:sz w:val="24"/>
        </w:rPr>
        <w:t xml:space="preserve">    特此承诺。</w:t>
      </w:r>
    </w:p>
    <w:p w14:paraId="76BDDC95">
      <w:pPr>
        <w:spacing w:line="400" w:lineRule="exact"/>
        <w:contextualSpacing/>
        <w:jc w:val="left"/>
        <w:rPr>
          <w:rFonts w:hint="eastAsia" w:ascii="宋体" w:hAnsi="宋体"/>
          <w:b/>
          <w:sz w:val="24"/>
        </w:rPr>
      </w:pPr>
      <w:r>
        <w:rPr>
          <w:rFonts w:hint="eastAsia" w:ascii="宋体" w:hAnsi="宋体"/>
          <w:b/>
          <w:sz w:val="24"/>
        </w:rPr>
        <w:t xml:space="preserve">    注：如为联合体投标，盖章处须加盖联合体各方公章并由联合体各方法定代表人分别签字，否则投标无效。</w:t>
      </w:r>
    </w:p>
    <w:p w14:paraId="6CC4487F">
      <w:pPr>
        <w:spacing w:line="400" w:lineRule="exact"/>
        <w:contextualSpacing/>
        <w:jc w:val="left"/>
        <w:rPr>
          <w:rFonts w:hint="eastAsia" w:ascii="宋体" w:hAnsi="宋体"/>
          <w:sz w:val="24"/>
        </w:rPr>
      </w:pPr>
      <w:r>
        <w:rPr>
          <w:rFonts w:hint="eastAsia" w:ascii="宋体" w:hAnsi="宋体"/>
          <w:sz w:val="24"/>
        </w:rPr>
        <w:t xml:space="preserve">                                          法定代表人（签字或者盖章）：</w:t>
      </w:r>
      <w:r>
        <w:rPr>
          <w:rFonts w:hint="eastAsia" w:ascii="宋体" w:hAnsi="宋体"/>
          <w:sz w:val="24"/>
          <w:u w:val="single"/>
        </w:rPr>
        <w:t xml:space="preserve">             </w:t>
      </w:r>
    </w:p>
    <w:p w14:paraId="411E2074">
      <w:pPr>
        <w:spacing w:line="400" w:lineRule="exact"/>
        <w:contextualSpacing/>
        <w:jc w:val="left"/>
        <w:rPr>
          <w:rFonts w:hint="eastAsia" w:ascii="宋体" w:hAnsi="宋体"/>
          <w:sz w:val="24"/>
        </w:rPr>
      </w:pPr>
      <w:r>
        <w:rPr>
          <w:rFonts w:hint="eastAsia" w:ascii="宋体" w:hAnsi="宋体"/>
          <w:sz w:val="24"/>
        </w:rPr>
        <w:t xml:space="preserve">                                          投标人（盖公章）：</w:t>
      </w:r>
      <w:r>
        <w:rPr>
          <w:rFonts w:hint="eastAsia" w:ascii="宋体" w:hAnsi="宋体"/>
          <w:sz w:val="24"/>
          <w:u w:val="single"/>
        </w:rPr>
        <w:t xml:space="preserve">                 </w:t>
      </w:r>
    </w:p>
    <w:p w14:paraId="3BCFE6C5">
      <w:pPr>
        <w:spacing w:line="400" w:lineRule="exact"/>
        <w:contextualSpacing/>
        <w:jc w:val="left"/>
        <w:rPr>
          <w:rFonts w:hint="eastAsia" w:ascii="宋体" w:hAnsi="宋体"/>
        </w:rPr>
      </w:pPr>
      <w:r>
        <w:rPr>
          <w:rFonts w:hint="eastAsia" w:ascii="宋体" w:hAnsi="宋体"/>
          <w:sz w:val="24"/>
        </w:rPr>
        <w:t xml:space="preserve">                                                  年    月    日</w:t>
      </w:r>
    </w:p>
    <w:p w14:paraId="31D4EB3C">
      <w:pPr>
        <w:rPr>
          <w:b/>
          <w:sz w:val="28"/>
          <w:szCs w:val="28"/>
        </w:rPr>
      </w:pPr>
      <w:bookmarkStart w:id="151" w:name="_Toc19686838"/>
      <w:r>
        <w:rPr>
          <w:b/>
          <w:sz w:val="28"/>
          <w:szCs w:val="28"/>
        </w:rPr>
        <w:br w:type="page"/>
      </w:r>
      <w:r>
        <w:rPr>
          <w:rFonts w:hint="eastAsia"/>
          <w:b/>
          <w:sz w:val="28"/>
          <w:szCs w:val="28"/>
        </w:rPr>
        <w:t>三、商务文件格式</w:t>
      </w:r>
      <w:bookmarkEnd w:id="151"/>
    </w:p>
    <w:p w14:paraId="50512434">
      <w:pPr>
        <w:snapToGrid w:val="0"/>
        <w:spacing w:before="120" w:beforeLines="50" w:after="50" w:line="360" w:lineRule="auto"/>
        <w:jc w:val="left"/>
        <w:rPr>
          <w:rFonts w:hint="eastAsia" w:ascii="宋体" w:hAnsi="宋体"/>
          <w:b/>
          <w:sz w:val="24"/>
        </w:rPr>
      </w:pPr>
      <w:r>
        <w:rPr>
          <w:rFonts w:hint="eastAsia" w:ascii="宋体" w:hAnsi="宋体"/>
          <w:b/>
          <w:sz w:val="24"/>
        </w:rPr>
        <w:t xml:space="preserve">1.商务文件封面格式： </w:t>
      </w:r>
    </w:p>
    <w:p w14:paraId="53E6BCB3">
      <w:pPr>
        <w:snapToGrid w:val="0"/>
        <w:spacing w:before="120" w:beforeLines="50" w:after="50"/>
        <w:rPr>
          <w:rFonts w:hint="eastAsia" w:ascii="宋体" w:hAnsi="宋体"/>
          <w:bCs/>
          <w:sz w:val="32"/>
          <w:szCs w:val="20"/>
        </w:rPr>
      </w:pPr>
      <w:r>
        <w:rPr>
          <w:rFonts w:hint="eastAsia" w:ascii="宋体" w:hAnsi="宋体"/>
          <w:sz w:val="24"/>
        </w:rPr>
        <w:t xml:space="preserve">                                                 </w:t>
      </w:r>
    </w:p>
    <w:p w14:paraId="55E208C0">
      <w:pPr>
        <w:snapToGrid w:val="0"/>
        <w:spacing w:before="120" w:beforeLines="50" w:after="50"/>
        <w:rPr>
          <w:rFonts w:hint="eastAsia" w:ascii="宋体" w:hAnsi="宋体"/>
          <w:sz w:val="24"/>
          <w:szCs w:val="20"/>
        </w:rPr>
      </w:pPr>
    </w:p>
    <w:p w14:paraId="5B7692E7">
      <w:pPr>
        <w:snapToGrid w:val="0"/>
        <w:spacing w:before="120" w:beforeLines="50" w:after="50"/>
        <w:rPr>
          <w:rFonts w:hint="eastAsia" w:ascii="宋体" w:hAnsi="宋体"/>
          <w:sz w:val="24"/>
          <w:szCs w:val="20"/>
        </w:rPr>
      </w:pPr>
    </w:p>
    <w:p w14:paraId="6EEE89FF">
      <w:pPr>
        <w:snapToGrid w:val="0"/>
        <w:spacing w:before="120" w:beforeLines="50" w:after="50"/>
        <w:rPr>
          <w:rFonts w:hint="eastAsia" w:ascii="宋体" w:hAnsi="宋体"/>
          <w:sz w:val="24"/>
          <w:szCs w:val="20"/>
        </w:rPr>
      </w:pPr>
    </w:p>
    <w:p w14:paraId="5030F2EC">
      <w:pPr>
        <w:snapToGrid w:val="0"/>
        <w:spacing w:before="120" w:beforeLines="50" w:after="50"/>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投  标  文  件</w:t>
      </w:r>
    </w:p>
    <w:p w14:paraId="00E4282C">
      <w:pPr>
        <w:snapToGrid w:val="0"/>
        <w:spacing w:before="120" w:beforeLines="50" w:after="50"/>
        <w:rPr>
          <w:rFonts w:hint="eastAsia" w:ascii="宋体" w:hAnsi="宋体"/>
          <w:sz w:val="24"/>
          <w:szCs w:val="20"/>
        </w:rPr>
      </w:pPr>
    </w:p>
    <w:p w14:paraId="4BE5CAB1">
      <w:pPr>
        <w:snapToGrid w:val="0"/>
        <w:spacing w:before="120" w:beforeLines="50" w:after="50"/>
        <w:rPr>
          <w:rFonts w:hint="eastAsia" w:ascii="宋体" w:hAnsi="宋体"/>
          <w:sz w:val="24"/>
          <w:szCs w:val="20"/>
        </w:rPr>
      </w:pPr>
    </w:p>
    <w:p w14:paraId="499DD6AC">
      <w:pPr>
        <w:snapToGrid w:val="0"/>
        <w:spacing w:before="120" w:beforeLines="50" w:after="50"/>
        <w:jc w:val="cente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商  务  文  件</w:t>
      </w:r>
    </w:p>
    <w:p w14:paraId="474158C7">
      <w:pPr>
        <w:snapToGrid w:val="0"/>
        <w:spacing w:before="120" w:beforeLines="50" w:after="50"/>
        <w:rPr>
          <w:rFonts w:hint="eastAsia" w:ascii="宋体" w:hAnsi="宋体"/>
          <w:bCs/>
          <w:sz w:val="24"/>
          <w:szCs w:val="20"/>
        </w:rPr>
      </w:pPr>
    </w:p>
    <w:p w14:paraId="30F7B165">
      <w:pPr>
        <w:snapToGrid w:val="0"/>
        <w:spacing w:before="120" w:beforeLines="50" w:after="50"/>
        <w:ind w:firstLine="540" w:firstLineChars="225"/>
        <w:rPr>
          <w:rFonts w:hint="eastAsia" w:ascii="宋体" w:hAnsi="宋体"/>
          <w:bCs/>
          <w:sz w:val="24"/>
        </w:rPr>
      </w:pPr>
    </w:p>
    <w:p w14:paraId="295D4722">
      <w:pPr>
        <w:snapToGrid w:val="0"/>
        <w:spacing w:before="120" w:beforeLines="50" w:after="50"/>
        <w:ind w:firstLine="540" w:firstLineChars="225"/>
        <w:rPr>
          <w:rFonts w:hint="eastAsia" w:ascii="宋体" w:hAnsi="宋体"/>
          <w:bCs/>
          <w:sz w:val="24"/>
        </w:rPr>
      </w:pPr>
    </w:p>
    <w:p w14:paraId="7A7EBC37">
      <w:pPr>
        <w:snapToGrid w:val="0"/>
        <w:spacing w:before="120" w:beforeLines="50" w:after="50"/>
        <w:ind w:firstLine="540" w:firstLineChars="225"/>
        <w:rPr>
          <w:rFonts w:hint="eastAsia" w:ascii="宋体" w:hAnsi="宋体"/>
          <w:bCs/>
          <w:sz w:val="24"/>
        </w:rPr>
      </w:pPr>
    </w:p>
    <w:p w14:paraId="6B077427">
      <w:pPr>
        <w:snapToGrid w:val="0"/>
        <w:spacing w:before="120" w:beforeLines="50" w:after="50"/>
        <w:ind w:firstLine="540" w:firstLineChars="225"/>
        <w:rPr>
          <w:rFonts w:hint="eastAsia" w:ascii="宋体" w:hAnsi="宋体"/>
          <w:bCs/>
          <w:sz w:val="24"/>
        </w:rPr>
      </w:pPr>
      <w:r>
        <w:rPr>
          <w:rFonts w:hint="eastAsia" w:ascii="宋体" w:hAnsi="宋体"/>
          <w:bCs/>
          <w:sz w:val="24"/>
        </w:rPr>
        <w:t>项目名称：</w:t>
      </w:r>
    </w:p>
    <w:p w14:paraId="17FFE4D8">
      <w:pPr>
        <w:snapToGrid w:val="0"/>
        <w:spacing w:before="120" w:beforeLines="50" w:after="50"/>
        <w:ind w:firstLine="540" w:firstLineChars="225"/>
        <w:rPr>
          <w:rFonts w:hint="eastAsia" w:ascii="宋体" w:hAnsi="宋体"/>
          <w:bCs/>
          <w:sz w:val="24"/>
          <w:szCs w:val="20"/>
        </w:rPr>
      </w:pPr>
    </w:p>
    <w:p w14:paraId="4EFB02DE">
      <w:pPr>
        <w:snapToGrid w:val="0"/>
        <w:spacing w:before="120" w:beforeLines="50" w:after="50"/>
        <w:ind w:firstLine="540" w:firstLineChars="225"/>
        <w:rPr>
          <w:rFonts w:hint="eastAsia" w:ascii="宋体" w:hAnsi="宋体"/>
          <w:bCs/>
          <w:sz w:val="24"/>
        </w:rPr>
      </w:pPr>
      <w:r>
        <w:rPr>
          <w:rFonts w:hint="eastAsia" w:ascii="宋体" w:hAnsi="宋体"/>
          <w:bCs/>
          <w:sz w:val="24"/>
        </w:rPr>
        <w:t>项目编号：</w:t>
      </w:r>
    </w:p>
    <w:p w14:paraId="0EA9D4AB">
      <w:pPr>
        <w:snapToGrid w:val="0"/>
        <w:spacing w:before="120" w:beforeLines="50" w:after="50"/>
        <w:ind w:firstLine="540" w:firstLineChars="225"/>
        <w:rPr>
          <w:rFonts w:hint="eastAsia" w:ascii="宋体" w:hAnsi="宋体"/>
          <w:bCs/>
          <w:sz w:val="24"/>
          <w:szCs w:val="20"/>
        </w:rPr>
      </w:pPr>
      <w:r>
        <w:rPr>
          <w:rFonts w:hint="eastAsia" w:ascii="宋体" w:hAnsi="宋体"/>
          <w:bCs/>
          <w:sz w:val="24"/>
        </w:rPr>
        <w:t xml:space="preserve"> </w:t>
      </w:r>
    </w:p>
    <w:p w14:paraId="24506BAE">
      <w:pPr>
        <w:pStyle w:val="7"/>
        <w:snapToGrid w:val="0"/>
        <w:spacing w:before="50" w:after="50"/>
        <w:ind w:firstLine="540" w:firstLineChars="225"/>
        <w:rPr>
          <w:rFonts w:hint="eastAsia" w:ascii="宋体" w:hAnsi="宋体"/>
          <w:bCs/>
          <w:sz w:val="24"/>
          <w:szCs w:val="24"/>
        </w:rPr>
      </w:pPr>
      <w:r>
        <w:rPr>
          <w:rFonts w:hint="eastAsia" w:ascii="宋体" w:hAnsi="宋体"/>
          <w:bCs/>
          <w:sz w:val="24"/>
          <w:szCs w:val="24"/>
        </w:rPr>
        <w:t>投标人名称：</w:t>
      </w:r>
    </w:p>
    <w:p w14:paraId="3C3FB798">
      <w:pPr>
        <w:pStyle w:val="7"/>
        <w:snapToGrid w:val="0"/>
        <w:spacing w:before="50" w:after="50"/>
        <w:ind w:firstLine="540" w:firstLineChars="225"/>
        <w:rPr>
          <w:rFonts w:hint="eastAsia" w:ascii="宋体" w:hAnsi="宋体"/>
          <w:bCs/>
          <w:sz w:val="24"/>
          <w:szCs w:val="24"/>
        </w:rPr>
      </w:pPr>
    </w:p>
    <w:p w14:paraId="737323B3">
      <w:pPr>
        <w:pStyle w:val="7"/>
        <w:snapToGrid w:val="0"/>
        <w:spacing w:before="50" w:after="50"/>
        <w:ind w:firstLine="540" w:firstLineChars="225"/>
        <w:rPr>
          <w:rFonts w:hint="eastAsia" w:ascii="宋体" w:hAnsi="宋体"/>
          <w:bCs/>
          <w:sz w:val="24"/>
          <w:szCs w:val="24"/>
        </w:rPr>
      </w:pPr>
      <w:r>
        <w:rPr>
          <w:rFonts w:hint="eastAsia" w:ascii="宋体" w:hAnsi="宋体"/>
          <w:bCs/>
          <w:sz w:val="24"/>
          <w:szCs w:val="24"/>
        </w:rPr>
        <w:t>投标人地址：</w:t>
      </w:r>
    </w:p>
    <w:p w14:paraId="232D6FEF">
      <w:pPr>
        <w:pStyle w:val="7"/>
        <w:snapToGrid w:val="0"/>
        <w:spacing w:before="50" w:after="50"/>
        <w:ind w:firstLine="960" w:firstLineChars="400"/>
        <w:rPr>
          <w:rFonts w:hint="eastAsia" w:ascii="宋体" w:hAnsi="宋体"/>
          <w:bCs/>
          <w:sz w:val="24"/>
          <w:szCs w:val="24"/>
        </w:rPr>
      </w:pPr>
    </w:p>
    <w:p w14:paraId="212BD880">
      <w:pPr>
        <w:snapToGrid w:val="0"/>
        <w:spacing w:before="120" w:beforeLines="50" w:after="50"/>
        <w:ind w:firstLine="645"/>
        <w:rPr>
          <w:rFonts w:hint="eastAsia" w:ascii="宋体" w:hAnsi="宋体"/>
          <w:sz w:val="24"/>
        </w:rPr>
      </w:pPr>
      <w:r>
        <w:rPr>
          <w:rFonts w:hint="eastAsia" w:ascii="宋体" w:hAnsi="宋体"/>
          <w:sz w:val="24"/>
        </w:rPr>
        <w:t xml:space="preserve">                        年  月  日</w:t>
      </w:r>
    </w:p>
    <w:p w14:paraId="2A1D7494">
      <w:pPr>
        <w:snapToGrid w:val="0"/>
        <w:spacing w:before="120" w:beforeLines="50" w:after="50"/>
        <w:rPr>
          <w:rFonts w:hint="eastAsia" w:ascii="宋体" w:hAnsi="宋体"/>
          <w:sz w:val="24"/>
          <w:szCs w:val="20"/>
        </w:rPr>
      </w:pPr>
      <w:r>
        <w:rPr>
          <w:rFonts w:ascii="宋体" w:hAnsi="宋体"/>
          <w:sz w:val="24"/>
          <w:szCs w:val="20"/>
        </w:rPr>
        <w:t xml:space="preserve"> </w:t>
      </w:r>
    </w:p>
    <w:p w14:paraId="470E0F95">
      <w:pPr>
        <w:snapToGrid w:val="0"/>
        <w:spacing w:line="360" w:lineRule="auto"/>
        <w:jc w:val="left"/>
        <w:rPr>
          <w:rFonts w:hint="eastAsia" w:ascii="宋体" w:hAnsi="宋体"/>
          <w:b/>
          <w:bCs/>
          <w:sz w:val="28"/>
          <w:szCs w:val="28"/>
        </w:rPr>
      </w:pPr>
      <w:r>
        <w:rPr>
          <w:rFonts w:ascii="宋体" w:hAnsi="宋体"/>
          <w:sz w:val="24"/>
          <w:szCs w:val="20"/>
        </w:rPr>
        <w:br w:type="page"/>
      </w:r>
      <w:r>
        <w:rPr>
          <w:rFonts w:hint="eastAsia" w:ascii="宋体" w:hAnsi="宋体"/>
          <w:b/>
          <w:bCs/>
          <w:sz w:val="24"/>
        </w:rPr>
        <w:t>2.商务文件目录</w:t>
      </w:r>
    </w:p>
    <w:p w14:paraId="01789B5A">
      <w:pPr>
        <w:snapToGrid w:val="0"/>
        <w:spacing w:before="50" w:after="120" w:afterLines="50" w:line="360" w:lineRule="auto"/>
        <w:ind w:firstLine="480" w:firstLineChars="200"/>
        <w:jc w:val="left"/>
        <w:rPr>
          <w:rFonts w:hint="eastAsia" w:ascii="微软雅黑" w:hAnsi="微软雅黑" w:eastAsia="微软雅黑"/>
          <w:b/>
          <w:bCs/>
          <w:sz w:val="32"/>
          <w:szCs w:val="32"/>
        </w:rPr>
      </w:pPr>
      <w:r>
        <w:rPr>
          <w:rFonts w:hint="eastAsia" w:ascii="宋体" w:hAnsi="宋体"/>
          <w:sz w:val="24"/>
        </w:rPr>
        <w:t>根据招标文件规定及投标人提供的材料自行编写目录。</w:t>
      </w:r>
    </w:p>
    <w:p w14:paraId="0AEC8578">
      <w:pPr>
        <w:snapToGrid w:val="0"/>
        <w:spacing w:before="50" w:after="120" w:afterLines="50"/>
        <w:jc w:val="left"/>
        <w:rPr>
          <w:rFonts w:hint="eastAsia" w:ascii="宋体" w:hAnsi="宋体"/>
        </w:rPr>
      </w:pPr>
    </w:p>
    <w:p w14:paraId="2EC901CC">
      <w:pPr>
        <w:snapToGrid w:val="0"/>
        <w:spacing w:before="120" w:beforeLines="50" w:after="50"/>
        <w:jc w:val="left"/>
        <w:rPr>
          <w:rFonts w:hint="eastAsia" w:ascii="宋体" w:hAnsi="宋体"/>
          <w:b/>
          <w:sz w:val="24"/>
        </w:rPr>
      </w:pPr>
      <w:r>
        <w:rPr>
          <w:rFonts w:ascii="宋体" w:hAnsi="宋体"/>
          <w:b/>
          <w:sz w:val="24"/>
        </w:rPr>
        <w:br w:type="page"/>
      </w:r>
      <w:r>
        <w:rPr>
          <w:rFonts w:hint="eastAsia" w:ascii="宋体" w:hAnsi="宋体"/>
          <w:b/>
          <w:sz w:val="24"/>
        </w:rPr>
        <w:t>3.投标人参加本项目无围标串标行为的承诺</w:t>
      </w:r>
    </w:p>
    <w:p w14:paraId="7056ACBC">
      <w:pPr>
        <w:snapToGrid w:val="0"/>
        <w:spacing w:before="120" w:beforeLines="50" w:after="50"/>
        <w:jc w:val="left"/>
        <w:rPr>
          <w:rFonts w:hint="eastAsia" w:ascii="宋体" w:hAnsi="宋体"/>
          <w:b/>
          <w:sz w:val="24"/>
        </w:rPr>
      </w:pPr>
    </w:p>
    <w:p w14:paraId="482DA4A4">
      <w:pPr>
        <w:spacing w:line="360" w:lineRule="auto"/>
        <w:ind w:left="420"/>
        <w:contextualSpacing/>
        <w:jc w:val="center"/>
        <w:rPr>
          <w:rFonts w:hint="eastAsia" w:ascii="宋体" w:hAnsi="宋体"/>
          <w:b/>
          <w:sz w:val="24"/>
        </w:rPr>
      </w:pPr>
      <w:r>
        <w:rPr>
          <w:rFonts w:hint="eastAsia" w:ascii="方正小标宋简体" w:hAnsi="方正小标宋简体" w:eastAsia="方正小标宋简体" w:cs="方正小标宋简体"/>
          <w:bCs/>
          <w:spacing w:val="-11"/>
          <w:sz w:val="44"/>
          <w:szCs w:val="44"/>
        </w:rPr>
        <w:t>投标人参加本项目无围标串标行为的承诺函</w:t>
      </w:r>
    </w:p>
    <w:p w14:paraId="1A11FEDF">
      <w:pPr>
        <w:spacing w:line="440" w:lineRule="exact"/>
        <w:contextualSpacing/>
        <w:jc w:val="left"/>
        <w:rPr>
          <w:rFonts w:hint="eastAsia" w:ascii="宋体" w:hAnsi="宋体"/>
          <w:b/>
          <w:sz w:val="24"/>
        </w:rPr>
      </w:pPr>
      <w:r>
        <w:rPr>
          <w:rFonts w:hint="eastAsia" w:ascii="宋体" w:hAnsi="宋体"/>
          <w:b/>
          <w:sz w:val="24"/>
        </w:rPr>
        <w:t>一、我方承诺无下列相互串通投标的情形：</w:t>
      </w:r>
    </w:p>
    <w:p w14:paraId="3F6B7BF1">
      <w:pPr>
        <w:spacing w:line="440" w:lineRule="exact"/>
        <w:ind w:firstLine="470" w:firstLineChars="196"/>
        <w:contextualSpacing/>
        <w:jc w:val="left"/>
        <w:rPr>
          <w:rFonts w:hint="eastAsia" w:ascii="宋体" w:hAnsi="宋体"/>
          <w:sz w:val="24"/>
        </w:rPr>
      </w:pPr>
      <w:r>
        <w:rPr>
          <w:rFonts w:hint="eastAsia" w:ascii="宋体" w:hAnsi="宋体"/>
          <w:sz w:val="24"/>
        </w:rPr>
        <w:t>1.不同投标人的投标文件由同一单位或者个人编制；</w:t>
      </w:r>
    </w:p>
    <w:p w14:paraId="197E989B">
      <w:pPr>
        <w:spacing w:line="440" w:lineRule="exact"/>
        <w:ind w:firstLine="470" w:firstLineChars="196"/>
        <w:contextualSpacing/>
        <w:jc w:val="left"/>
        <w:rPr>
          <w:rFonts w:hint="eastAsia" w:ascii="宋体" w:hAnsi="宋体"/>
          <w:sz w:val="24"/>
        </w:rPr>
      </w:pPr>
      <w:r>
        <w:rPr>
          <w:rFonts w:hint="eastAsia" w:ascii="宋体" w:hAnsi="宋体"/>
          <w:sz w:val="24"/>
        </w:rPr>
        <w:t>2.不同投标人委托同一单位或者个人办理投标事宜；</w:t>
      </w:r>
    </w:p>
    <w:p w14:paraId="28B133CC">
      <w:pPr>
        <w:spacing w:line="440" w:lineRule="exact"/>
        <w:ind w:firstLine="470" w:firstLineChars="196"/>
        <w:contextualSpacing/>
        <w:jc w:val="left"/>
        <w:rPr>
          <w:rFonts w:hint="eastAsia" w:ascii="宋体" w:hAnsi="宋体"/>
          <w:sz w:val="24"/>
        </w:rPr>
      </w:pPr>
      <w:r>
        <w:rPr>
          <w:rFonts w:hint="eastAsia" w:ascii="宋体" w:hAnsi="宋体"/>
          <w:sz w:val="24"/>
        </w:rPr>
        <w:t>3.不同的投标人的投标文件载明的项目管理员为同一个人；</w:t>
      </w:r>
    </w:p>
    <w:p w14:paraId="311CE982">
      <w:pPr>
        <w:spacing w:line="440" w:lineRule="exact"/>
        <w:ind w:firstLine="470" w:firstLineChars="196"/>
        <w:contextualSpacing/>
        <w:jc w:val="left"/>
        <w:rPr>
          <w:rFonts w:hint="eastAsia" w:ascii="宋体" w:hAnsi="宋体"/>
          <w:sz w:val="24"/>
        </w:rPr>
      </w:pPr>
      <w:r>
        <w:rPr>
          <w:rFonts w:hint="eastAsia" w:ascii="宋体" w:hAnsi="宋体"/>
          <w:sz w:val="24"/>
        </w:rPr>
        <w:t>4.不同投标人的投标文件异常一致或者投标报价呈规律性差异；</w:t>
      </w:r>
    </w:p>
    <w:p w14:paraId="3D36F63F">
      <w:pPr>
        <w:spacing w:line="440" w:lineRule="exact"/>
        <w:ind w:firstLine="470" w:firstLineChars="196"/>
        <w:contextualSpacing/>
        <w:jc w:val="left"/>
        <w:rPr>
          <w:rFonts w:hint="eastAsia" w:ascii="宋体" w:hAnsi="宋体"/>
          <w:sz w:val="24"/>
        </w:rPr>
      </w:pPr>
      <w:r>
        <w:rPr>
          <w:rFonts w:hint="eastAsia" w:ascii="宋体" w:hAnsi="宋体"/>
          <w:sz w:val="24"/>
        </w:rPr>
        <w:t>5.不同投标人的投标文件相互混装；</w:t>
      </w:r>
    </w:p>
    <w:p w14:paraId="00919673">
      <w:pPr>
        <w:spacing w:line="440" w:lineRule="exact"/>
        <w:ind w:firstLine="470" w:firstLineChars="196"/>
        <w:contextualSpacing/>
        <w:jc w:val="left"/>
        <w:rPr>
          <w:rFonts w:hint="eastAsia" w:ascii="宋体" w:hAnsi="宋体"/>
          <w:sz w:val="24"/>
        </w:rPr>
      </w:pPr>
      <w:r>
        <w:rPr>
          <w:rFonts w:hint="eastAsia" w:ascii="宋体" w:hAnsi="宋体"/>
          <w:sz w:val="24"/>
        </w:rPr>
        <w:t>6.不同投标人的投标保证金从同一单位或者个人账户转出。</w:t>
      </w:r>
    </w:p>
    <w:p w14:paraId="6C4558CC">
      <w:pPr>
        <w:spacing w:line="440" w:lineRule="exact"/>
        <w:contextualSpacing/>
        <w:jc w:val="left"/>
        <w:rPr>
          <w:rFonts w:hint="eastAsia" w:ascii="宋体" w:hAnsi="宋体"/>
          <w:sz w:val="24"/>
        </w:rPr>
      </w:pPr>
      <w:r>
        <w:rPr>
          <w:rFonts w:hint="eastAsia" w:ascii="宋体" w:hAnsi="宋体"/>
          <w:b/>
          <w:sz w:val="24"/>
        </w:rPr>
        <w:t>二、我方承诺无下列恶意串通的情形：</w:t>
      </w:r>
    </w:p>
    <w:p w14:paraId="3B6C6B98">
      <w:pPr>
        <w:spacing w:line="440" w:lineRule="exact"/>
        <w:ind w:firstLine="470" w:firstLineChars="196"/>
        <w:contextualSpacing/>
        <w:jc w:val="left"/>
        <w:rPr>
          <w:rFonts w:hint="eastAsia" w:ascii="宋体" w:hAnsi="宋体"/>
          <w:sz w:val="24"/>
        </w:rPr>
      </w:pPr>
      <w:r>
        <w:rPr>
          <w:rFonts w:hint="eastAsia" w:ascii="宋体" w:hAnsi="宋体"/>
          <w:sz w:val="24"/>
        </w:rPr>
        <w:t>1.投标人直接或者间接从采购人或者采购代理机构处获得其他投标人的相关信息并修改其投标文件或者响应文件；</w:t>
      </w:r>
    </w:p>
    <w:p w14:paraId="4968715F">
      <w:pPr>
        <w:spacing w:line="440" w:lineRule="exact"/>
        <w:ind w:firstLine="470" w:firstLineChars="196"/>
        <w:contextualSpacing/>
        <w:jc w:val="left"/>
        <w:rPr>
          <w:rFonts w:hint="eastAsia" w:ascii="宋体" w:hAnsi="宋体"/>
          <w:sz w:val="24"/>
        </w:rPr>
      </w:pPr>
      <w:r>
        <w:rPr>
          <w:rFonts w:hint="eastAsia" w:ascii="宋体" w:hAnsi="宋体"/>
          <w:sz w:val="24"/>
        </w:rPr>
        <w:t>2.投标人按照采购人或者采购代理机构的授意撤换、修改投标文件或者响应文件；</w:t>
      </w:r>
    </w:p>
    <w:p w14:paraId="46D22A78">
      <w:pPr>
        <w:spacing w:line="440" w:lineRule="exact"/>
        <w:ind w:firstLine="470" w:firstLineChars="196"/>
        <w:contextualSpacing/>
        <w:jc w:val="left"/>
        <w:rPr>
          <w:rFonts w:hint="eastAsia" w:ascii="宋体" w:hAnsi="宋体"/>
          <w:sz w:val="24"/>
        </w:rPr>
      </w:pPr>
      <w:r>
        <w:rPr>
          <w:rFonts w:hint="eastAsia" w:ascii="宋体" w:hAnsi="宋体"/>
          <w:sz w:val="24"/>
        </w:rPr>
        <w:t>3.投标人之间协商报价、技术方案等投标文件或者响应文件的实质性内容；</w:t>
      </w:r>
    </w:p>
    <w:p w14:paraId="07B41916">
      <w:pPr>
        <w:spacing w:line="440" w:lineRule="exact"/>
        <w:ind w:firstLine="470" w:firstLineChars="196"/>
        <w:contextualSpacing/>
        <w:jc w:val="left"/>
        <w:rPr>
          <w:rFonts w:hint="eastAsia" w:ascii="宋体" w:hAnsi="宋体"/>
          <w:sz w:val="24"/>
        </w:rPr>
      </w:pPr>
      <w:r>
        <w:rPr>
          <w:rFonts w:hint="eastAsia" w:ascii="宋体" w:hAnsi="宋体"/>
          <w:sz w:val="24"/>
        </w:rPr>
        <w:t>4.属于同一集团、协会、商会等组织成员的投标人按照该组织要求协同参加政府采购活动；</w:t>
      </w:r>
    </w:p>
    <w:p w14:paraId="23330C27">
      <w:pPr>
        <w:spacing w:line="440" w:lineRule="exact"/>
        <w:ind w:firstLine="470" w:firstLineChars="196"/>
        <w:contextualSpacing/>
        <w:jc w:val="left"/>
        <w:rPr>
          <w:rFonts w:hint="eastAsia" w:ascii="宋体" w:hAnsi="宋体"/>
          <w:sz w:val="24"/>
        </w:rPr>
      </w:pPr>
      <w:r>
        <w:rPr>
          <w:rFonts w:hint="eastAsia" w:ascii="宋体" w:hAnsi="宋体"/>
          <w:sz w:val="24"/>
        </w:rPr>
        <w:t>5.投标人之间事先约定一致抬高或者压低投标报价，或者在招标项目中事先约定轮流以高价位或者低价位中标，或者事先约定由某一特定投标人中标，然后再参加投标；</w:t>
      </w:r>
    </w:p>
    <w:p w14:paraId="7865FF9E">
      <w:pPr>
        <w:spacing w:line="440" w:lineRule="exact"/>
        <w:ind w:firstLine="470" w:firstLineChars="196"/>
        <w:contextualSpacing/>
        <w:jc w:val="left"/>
        <w:rPr>
          <w:rFonts w:hint="eastAsia" w:ascii="宋体" w:hAnsi="宋体"/>
          <w:sz w:val="24"/>
        </w:rPr>
      </w:pPr>
      <w:r>
        <w:rPr>
          <w:rFonts w:hint="eastAsia" w:ascii="宋体" w:hAnsi="宋体"/>
          <w:sz w:val="24"/>
        </w:rPr>
        <w:t>6.投标人之间商定部分投标人放弃参加政府采购活动或者放弃中标；</w:t>
      </w:r>
    </w:p>
    <w:p w14:paraId="7C0C4D3A">
      <w:pPr>
        <w:spacing w:line="440" w:lineRule="exact"/>
        <w:ind w:firstLine="470" w:firstLineChars="196"/>
        <w:contextualSpacing/>
        <w:jc w:val="left"/>
        <w:rPr>
          <w:rFonts w:hint="eastAsia" w:ascii="宋体" w:hAnsi="宋体"/>
          <w:sz w:val="24"/>
        </w:rPr>
      </w:pPr>
      <w:r>
        <w:rPr>
          <w:rFonts w:hint="eastAsia" w:ascii="宋体" w:hAnsi="宋体"/>
          <w:sz w:val="24"/>
        </w:rPr>
        <w:t>7.投标人与采购人或者采购代理机构之间、投标人相互之间，为谋求特定投标人中标或者排斥其他投标人的其他串通行为。</w:t>
      </w:r>
    </w:p>
    <w:p w14:paraId="7EFB9B95">
      <w:pPr>
        <w:spacing w:line="440" w:lineRule="exact"/>
        <w:ind w:firstLine="472" w:firstLineChars="196"/>
        <w:contextualSpacing/>
        <w:jc w:val="left"/>
        <w:rPr>
          <w:rFonts w:hint="eastAsia" w:ascii="宋体" w:hAnsi="宋体"/>
          <w:b/>
          <w:sz w:val="24"/>
        </w:rPr>
      </w:pPr>
      <w:r>
        <w:rPr>
          <w:rFonts w:hint="eastAsia" w:ascii="宋体" w:hAnsi="宋体"/>
          <w:b/>
          <w:sz w:val="24"/>
        </w:rPr>
        <w:t>以上情形一经核查属实，我方愿意承担一切后果，并不再寻求任何旨在减轻或者免除法律责任的辩解。</w:t>
      </w:r>
    </w:p>
    <w:p w14:paraId="158CAA87">
      <w:pPr>
        <w:pStyle w:val="17"/>
        <w:spacing w:line="440" w:lineRule="exact"/>
        <w:ind w:firstLine="6840" w:firstLineChars="2850"/>
        <w:contextualSpacing/>
        <w:rPr>
          <w:rFonts w:hint="eastAsia" w:hAnsi="宋体"/>
          <w:sz w:val="24"/>
          <w:szCs w:val="24"/>
        </w:rPr>
      </w:pPr>
    </w:p>
    <w:p w14:paraId="5076B936">
      <w:pPr>
        <w:pStyle w:val="17"/>
        <w:spacing w:line="440" w:lineRule="exact"/>
        <w:contextualSpacing/>
        <w:jc w:val="center"/>
        <w:rPr>
          <w:rFonts w:hint="eastAsia" w:hAnsi="宋体"/>
          <w:sz w:val="24"/>
          <w:szCs w:val="24"/>
        </w:rPr>
      </w:pPr>
      <w:r>
        <w:rPr>
          <w:rFonts w:hint="eastAsia" w:hAnsi="宋体"/>
          <w:sz w:val="24"/>
          <w:szCs w:val="24"/>
        </w:rPr>
        <w:t xml:space="preserve"> </w:t>
      </w:r>
      <w:r>
        <w:rPr>
          <w:rFonts w:hAnsi="宋体"/>
          <w:sz w:val="24"/>
          <w:szCs w:val="24"/>
        </w:rPr>
        <w:t xml:space="preserve">                                   </w:t>
      </w:r>
      <w:r>
        <w:rPr>
          <w:rFonts w:hint="eastAsia" w:hAnsi="宋体"/>
          <w:sz w:val="24"/>
          <w:szCs w:val="24"/>
        </w:rPr>
        <w:t>投标人名称（公章）</w:t>
      </w:r>
    </w:p>
    <w:p w14:paraId="75AC20FC">
      <w:pPr>
        <w:pStyle w:val="17"/>
        <w:spacing w:line="440" w:lineRule="exact"/>
        <w:contextualSpacing/>
        <w:rPr>
          <w:rFonts w:hint="eastAsia" w:hAnsi="宋体"/>
          <w:sz w:val="24"/>
        </w:rPr>
      </w:pPr>
      <w:r>
        <w:rPr>
          <w:rFonts w:hint="eastAsia" w:hAnsi="宋体"/>
          <w:sz w:val="24"/>
        </w:rPr>
        <w:t xml:space="preserve">                                                </w:t>
      </w:r>
      <w:r>
        <w:rPr>
          <w:rFonts w:hint="eastAsia" w:hAnsi="宋体"/>
          <w:sz w:val="24"/>
          <w:u w:val="single"/>
        </w:rPr>
        <w:t xml:space="preserve">      </w:t>
      </w:r>
      <w:r>
        <w:rPr>
          <w:rFonts w:hint="eastAsia" w:hAnsi="宋体"/>
          <w:sz w:val="24"/>
        </w:rPr>
        <w:t>年</w:t>
      </w:r>
      <w:r>
        <w:rPr>
          <w:rFonts w:hint="eastAsia" w:hAnsi="宋体"/>
          <w:sz w:val="24"/>
          <w:u w:val="single"/>
        </w:rPr>
        <w:t xml:space="preserve">    </w:t>
      </w:r>
      <w:r>
        <w:rPr>
          <w:rFonts w:hint="eastAsia" w:hAnsi="宋体"/>
          <w:sz w:val="24"/>
        </w:rPr>
        <w:t>月</w:t>
      </w:r>
      <w:r>
        <w:rPr>
          <w:rFonts w:hint="eastAsia" w:hAnsi="宋体"/>
          <w:sz w:val="24"/>
          <w:u w:val="single"/>
        </w:rPr>
        <w:t xml:space="preserve">     </w:t>
      </w:r>
      <w:r>
        <w:rPr>
          <w:rFonts w:hint="eastAsia" w:hAnsi="宋体"/>
          <w:sz w:val="24"/>
        </w:rPr>
        <w:t>日</w:t>
      </w:r>
    </w:p>
    <w:p w14:paraId="677A519D">
      <w:pPr>
        <w:snapToGrid w:val="0"/>
        <w:spacing w:before="120" w:beforeLines="50" w:after="50"/>
        <w:jc w:val="left"/>
        <w:rPr>
          <w:rFonts w:hint="eastAsia" w:ascii="宋体" w:hAnsi="宋体"/>
          <w:b/>
          <w:sz w:val="24"/>
          <w:szCs w:val="20"/>
        </w:rPr>
      </w:pPr>
      <w:r>
        <w:rPr>
          <w:rFonts w:hint="eastAsia" w:ascii="宋体" w:hAnsi="宋体"/>
          <w:b/>
          <w:sz w:val="24"/>
        </w:rPr>
        <w:t>4.法定代表人身份证明</w:t>
      </w:r>
    </w:p>
    <w:p w14:paraId="5A99EDCB">
      <w:pPr>
        <w:spacing w:before="240" w:beforeLines="100" w:after="120" w:afterLines="50"/>
        <w:ind w:left="540"/>
        <w:jc w:val="center"/>
        <w:rPr>
          <w:rFonts w:ascii="宋体" w:hAnsi="Courier New"/>
          <w:b/>
          <w:sz w:val="32"/>
          <w:szCs w:val="32"/>
        </w:rPr>
      </w:pPr>
    </w:p>
    <w:p w14:paraId="5E4464F4">
      <w:pPr>
        <w:spacing w:before="240" w:beforeLines="100" w:after="120" w:afterLines="50"/>
        <w:ind w:left="540"/>
        <w:jc w:val="center"/>
        <w:rPr>
          <w:rFonts w:hint="eastAsia" w:ascii="方正小标宋简体" w:hAnsi="方正小标宋简体" w:eastAsia="方正小标宋简体" w:cs="方正小标宋简体"/>
          <w:bCs/>
          <w:sz w:val="44"/>
          <w:szCs w:val="44"/>
        </w:rPr>
      </w:pPr>
      <w:r>
        <w:rPr>
          <w:rFonts w:ascii="方正小标宋简体" w:hAnsi="方正小标宋简体" w:eastAsia="方正小标宋简体" w:cs="方正小标宋简体"/>
          <w:bCs/>
          <w:sz w:val="44"/>
          <w:szCs w:val="44"/>
        </w:rPr>
        <w:br w:type="page"/>
      </w:r>
      <w:r>
        <w:rPr>
          <w:rFonts w:hint="eastAsia" w:ascii="方正小标宋简体" w:hAnsi="方正小标宋简体" w:eastAsia="方正小标宋简体" w:cs="方正小标宋简体"/>
          <w:bCs/>
          <w:sz w:val="44"/>
          <w:szCs w:val="44"/>
        </w:rPr>
        <w:t>法定代表人身份证明</w:t>
      </w:r>
    </w:p>
    <w:p w14:paraId="00E1C72D">
      <w:pPr>
        <w:spacing w:line="500" w:lineRule="exact"/>
        <w:ind w:left="540"/>
        <w:rPr>
          <w:rFonts w:hint="eastAsia" w:ascii="宋体" w:hAnsi="宋体"/>
          <w:sz w:val="24"/>
        </w:rPr>
      </w:pPr>
      <w:r>
        <w:rPr>
          <w:rFonts w:hint="eastAsia" w:ascii="宋体" w:hAnsi="宋体"/>
          <w:sz w:val="24"/>
        </w:rPr>
        <w:t>投 标 人：</w:t>
      </w:r>
      <w:r>
        <w:rPr>
          <w:rFonts w:hint="eastAsia" w:ascii="宋体" w:hAnsi="宋体"/>
          <w:sz w:val="24"/>
          <w:u w:val="single"/>
        </w:rPr>
        <w:t xml:space="preserve">                                                        </w:t>
      </w:r>
    </w:p>
    <w:p w14:paraId="70A2B75A">
      <w:pPr>
        <w:spacing w:line="500" w:lineRule="exact"/>
        <w:ind w:left="540"/>
        <w:rPr>
          <w:rFonts w:hint="eastAsia" w:ascii="宋体" w:hAnsi="宋体"/>
          <w:sz w:val="24"/>
        </w:rPr>
      </w:pPr>
      <w:r>
        <w:rPr>
          <w:rFonts w:hint="eastAsia" w:ascii="宋体" w:hAnsi="宋体"/>
          <w:sz w:val="24"/>
        </w:rPr>
        <w:t>地    址：</w:t>
      </w:r>
      <w:r>
        <w:rPr>
          <w:rFonts w:hint="eastAsia" w:ascii="宋体" w:hAnsi="宋体"/>
          <w:sz w:val="24"/>
          <w:u w:val="single"/>
        </w:rPr>
        <w:t xml:space="preserve">                                                        </w:t>
      </w:r>
    </w:p>
    <w:p w14:paraId="2D60E5C5">
      <w:pPr>
        <w:spacing w:line="500" w:lineRule="exact"/>
        <w:ind w:left="540"/>
        <w:rPr>
          <w:rFonts w:hint="eastAsia"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795B6F22">
      <w:pPr>
        <w:spacing w:line="500" w:lineRule="exact"/>
        <w:ind w:left="540"/>
        <w:rPr>
          <w:rFonts w:hint="eastAsia" w:ascii="宋体" w:hAnsi="宋体"/>
          <w:sz w:val="24"/>
          <w:u w:val="single"/>
        </w:rPr>
      </w:pPr>
      <w:r>
        <w:rPr>
          <w:rFonts w:hint="eastAsia" w:ascii="宋体" w:hAnsi="宋体"/>
          <w:sz w:val="24"/>
        </w:rPr>
        <w:t>年    龄：</w:t>
      </w:r>
      <w:r>
        <w:rPr>
          <w:rFonts w:hint="eastAsia" w:ascii="宋体" w:hAnsi="宋体"/>
          <w:sz w:val="24"/>
          <w:u w:val="single"/>
        </w:rPr>
        <w:t xml:space="preserve">                          </w:t>
      </w:r>
      <w:r>
        <w:rPr>
          <w:rFonts w:hint="eastAsia" w:ascii="宋体" w:hAnsi="宋体"/>
          <w:sz w:val="24"/>
        </w:rPr>
        <w:t>职      务：</w:t>
      </w:r>
      <w:r>
        <w:rPr>
          <w:rFonts w:hint="eastAsia" w:ascii="宋体" w:hAnsi="宋体"/>
          <w:sz w:val="24"/>
          <w:u w:val="single"/>
        </w:rPr>
        <w:t xml:space="preserve">                </w:t>
      </w:r>
    </w:p>
    <w:p w14:paraId="43C370E0">
      <w:pPr>
        <w:spacing w:line="500" w:lineRule="exact"/>
        <w:ind w:left="540"/>
        <w:rPr>
          <w:rFonts w:hint="eastAsia" w:ascii="宋体" w:hAnsi="宋体"/>
          <w:sz w:val="24"/>
        </w:rPr>
      </w:pPr>
      <w:r>
        <w:rPr>
          <w:rFonts w:hint="eastAsia" w:ascii="宋体" w:hAnsi="宋体"/>
          <w:sz w:val="24"/>
        </w:rPr>
        <w:t>身份证</w:t>
      </w:r>
      <w:r>
        <w:rPr>
          <w:rFonts w:hint="eastAsia"/>
          <w:sz w:val="24"/>
        </w:rPr>
        <w:t>号码：</w:t>
      </w:r>
      <w:r>
        <w:rPr>
          <w:rFonts w:hint="eastAsia"/>
          <w:sz w:val="24"/>
          <w:u w:val="single"/>
        </w:rPr>
        <w:t xml:space="preserve">                                 </w:t>
      </w:r>
    </w:p>
    <w:p w14:paraId="3BCE0F3A">
      <w:pPr>
        <w:spacing w:line="500" w:lineRule="exact"/>
        <w:ind w:left="540"/>
        <w:rPr>
          <w:rFonts w:hint="eastAsia"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6B2AF358">
      <w:pPr>
        <w:spacing w:line="500" w:lineRule="exact"/>
        <w:ind w:left="540"/>
        <w:rPr>
          <w:rFonts w:hint="eastAsia" w:ascii="宋体" w:hAnsi="宋体"/>
          <w:sz w:val="24"/>
        </w:rPr>
      </w:pPr>
      <w:r>
        <w:rPr>
          <w:rFonts w:hint="eastAsia" w:ascii="宋体" w:hAnsi="宋体"/>
          <w:sz w:val="24"/>
        </w:rPr>
        <w:t>特此证明。</w:t>
      </w:r>
    </w:p>
    <w:p w14:paraId="69C6578D">
      <w:pPr>
        <w:spacing w:line="500" w:lineRule="exact"/>
        <w:ind w:left="540"/>
        <w:rPr>
          <w:rFonts w:hint="eastAsia" w:ascii="宋体" w:hAnsi="宋体"/>
          <w:sz w:val="24"/>
        </w:rPr>
      </w:pPr>
    </w:p>
    <w:p w14:paraId="79199B4E">
      <w:pPr>
        <w:spacing w:line="500" w:lineRule="exact"/>
        <w:ind w:left="540"/>
        <w:rPr>
          <w:rFonts w:hint="eastAsia" w:ascii="宋体" w:hAnsi="宋体"/>
          <w:sz w:val="24"/>
        </w:rPr>
      </w:pPr>
    </w:p>
    <w:p w14:paraId="6667EC6E">
      <w:pPr>
        <w:spacing w:line="500" w:lineRule="exact"/>
        <w:ind w:left="540"/>
        <w:rPr>
          <w:rFonts w:hint="eastAsia" w:ascii="宋体" w:hAnsi="宋体"/>
          <w:sz w:val="24"/>
        </w:rPr>
      </w:pPr>
      <w:r>
        <w:rPr>
          <w:rFonts w:hint="eastAsia" w:ascii="宋体" w:hAnsi="宋体"/>
          <w:sz w:val="24"/>
        </w:rPr>
        <w:t>附件：法定代表人有效身份证正反面复印件</w:t>
      </w:r>
    </w:p>
    <w:p w14:paraId="3BE623C9">
      <w:pPr>
        <w:spacing w:line="500" w:lineRule="exact"/>
        <w:ind w:left="540"/>
        <w:rPr>
          <w:rFonts w:hint="eastAsia" w:ascii="宋体" w:hAnsi="宋体"/>
          <w:sz w:val="24"/>
        </w:rPr>
      </w:pPr>
    </w:p>
    <w:p w14:paraId="06F7981C">
      <w:pPr>
        <w:spacing w:line="500" w:lineRule="exact"/>
        <w:ind w:left="540"/>
        <w:jc w:val="right"/>
        <w:rPr>
          <w:rFonts w:hint="eastAsia" w:ascii="宋体" w:hAnsi="宋体"/>
          <w:sz w:val="24"/>
        </w:rPr>
      </w:pPr>
      <w:r>
        <w:rPr>
          <w:rFonts w:hint="eastAsia" w:ascii="宋体" w:hAnsi="宋体"/>
          <w:sz w:val="24"/>
        </w:rPr>
        <w:t>投标人名称（公章）</w:t>
      </w:r>
    </w:p>
    <w:p w14:paraId="63932597">
      <w:pPr>
        <w:spacing w:line="500" w:lineRule="exact"/>
        <w:ind w:left="540"/>
        <w:jc w:val="right"/>
        <w:rPr>
          <w:rFonts w:hint="eastAsia" w:ascii="宋体" w:hAnsi="宋体"/>
          <w:sz w:val="24"/>
        </w:rPr>
      </w:pPr>
    </w:p>
    <w:p w14:paraId="1F15ED45">
      <w:pPr>
        <w:snapToGrid w:val="0"/>
        <w:spacing w:before="120" w:beforeLines="50" w:after="50"/>
        <w:ind w:left="540"/>
        <w:jc w:val="right"/>
        <w:rPr>
          <w:rFonts w:hint="eastAsia"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73C3A9F">
      <w:pPr>
        <w:snapToGrid w:val="0"/>
        <w:spacing w:before="120" w:beforeLines="50" w:after="50"/>
        <w:jc w:val="center"/>
        <w:rPr>
          <w:rFonts w:hint="eastAsia" w:ascii="宋体" w:hAnsi="宋体"/>
          <w:b/>
          <w:sz w:val="24"/>
        </w:rPr>
      </w:pPr>
    </w:p>
    <w:p w14:paraId="4CA1B556">
      <w:pPr>
        <w:snapToGrid w:val="0"/>
        <w:spacing w:before="120" w:beforeLines="50" w:after="50"/>
        <w:jc w:val="left"/>
        <w:rPr>
          <w:rFonts w:hint="eastAsia" w:ascii="宋体" w:hAnsi="宋体"/>
          <w:b/>
          <w:sz w:val="24"/>
          <w:szCs w:val="20"/>
        </w:rPr>
      </w:pPr>
      <w:r>
        <w:rPr>
          <w:rFonts w:hint="eastAsia" w:ascii="宋体" w:hAnsi="宋体"/>
          <w:sz w:val="24"/>
        </w:rPr>
        <w:t>注：自然人投标的无需提供</w:t>
      </w:r>
    </w:p>
    <w:p w14:paraId="72B67A55">
      <w:pPr>
        <w:snapToGrid w:val="0"/>
        <w:spacing w:before="120" w:beforeLines="50" w:after="50"/>
        <w:jc w:val="left"/>
        <w:rPr>
          <w:rFonts w:hint="eastAsia" w:ascii="宋体" w:hAnsi="宋体"/>
          <w:b/>
          <w:sz w:val="24"/>
          <w:szCs w:val="20"/>
        </w:rPr>
      </w:pPr>
      <w:r>
        <w:rPr>
          <w:rFonts w:ascii="宋体" w:hAnsi="宋体"/>
          <w:b/>
          <w:sz w:val="24"/>
        </w:rPr>
        <w:br w:type="page"/>
      </w:r>
      <w:r>
        <w:rPr>
          <w:rFonts w:hint="eastAsia" w:ascii="宋体" w:hAnsi="宋体"/>
          <w:b/>
          <w:sz w:val="24"/>
        </w:rPr>
        <w:t>5.授权委托书格式</w:t>
      </w:r>
    </w:p>
    <w:p w14:paraId="5D8003C4">
      <w:pPr>
        <w:snapToGrid w:val="0"/>
        <w:spacing w:before="120" w:beforeLines="50" w:after="50"/>
        <w:jc w:val="center"/>
        <w:rPr>
          <w:rFonts w:hint="eastAsia" w:ascii="宋体" w:hAnsi="宋体"/>
          <w:b/>
          <w:sz w:val="44"/>
          <w:szCs w:val="44"/>
        </w:rPr>
      </w:pPr>
    </w:p>
    <w:p w14:paraId="131D5DD5">
      <w:pPr>
        <w:spacing w:line="360" w:lineRule="auto"/>
        <w:contextualSpacing/>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授权委托书</w:t>
      </w:r>
    </w:p>
    <w:p w14:paraId="68A56FDF">
      <w:pPr>
        <w:spacing w:line="360" w:lineRule="auto"/>
        <w:contextualSpacing/>
        <w:jc w:val="cente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（非联合体投标格式）</w:t>
      </w:r>
    </w:p>
    <w:p w14:paraId="2DC1A065">
      <w:pPr>
        <w:spacing w:line="360" w:lineRule="auto"/>
        <w:contextualSpacing/>
        <w:jc w:val="center"/>
        <w:rPr>
          <w:rFonts w:hint="eastAsia" w:ascii="方正小标宋简体" w:hAnsi="方正小标宋简体" w:eastAsia="方正小标宋简体" w:cs="方正小标宋简体"/>
          <w:bCs/>
          <w:sz w:val="24"/>
        </w:rPr>
      </w:pPr>
      <w:r>
        <w:rPr>
          <w:rFonts w:hint="eastAsia" w:ascii="方正小标宋简体" w:hAnsi="方正小标宋简体" w:eastAsia="方正小标宋简体" w:cs="方正小标宋简体"/>
          <w:bCs/>
          <w:sz w:val="32"/>
          <w:szCs w:val="32"/>
        </w:rPr>
        <w:t>（如有委托时）</w:t>
      </w:r>
    </w:p>
    <w:p w14:paraId="7833091F">
      <w:pPr>
        <w:spacing w:line="440" w:lineRule="exact"/>
        <w:contextualSpacing/>
        <w:jc w:val="center"/>
        <w:rPr>
          <w:rFonts w:hint="eastAsia" w:ascii="宋体" w:hAnsi="宋体"/>
          <w:b/>
          <w:sz w:val="24"/>
        </w:rPr>
      </w:pPr>
    </w:p>
    <w:p w14:paraId="58F1E093">
      <w:pPr>
        <w:spacing w:line="440" w:lineRule="exact"/>
        <w:contextualSpacing/>
        <w:rPr>
          <w:rFonts w:hint="eastAsia" w:ascii="宋体" w:hAnsi="宋体"/>
          <w:b/>
          <w:bCs/>
          <w:sz w:val="24"/>
        </w:rPr>
      </w:pPr>
      <w:r>
        <w:rPr>
          <w:rFonts w:hint="eastAsia" w:ascii="宋体" w:hAnsi="宋体"/>
          <w:bCs/>
          <w:sz w:val="24"/>
        </w:rPr>
        <w:t>致：</w:t>
      </w:r>
      <w:r>
        <w:rPr>
          <w:rFonts w:hint="eastAsia" w:ascii="宋体" w:hAnsi="宋体"/>
          <w:sz w:val="24"/>
          <w:u w:val="single"/>
        </w:rPr>
        <w:t>采购人名称</w:t>
      </w:r>
      <w:r>
        <w:rPr>
          <w:rFonts w:hint="eastAsia" w:ascii="宋体" w:hAnsi="宋体"/>
          <w:sz w:val="24"/>
        </w:rPr>
        <w:t>：</w:t>
      </w:r>
    </w:p>
    <w:p w14:paraId="52413A0C">
      <w:pPr>
        <w:spacing w:line="440" w:lineRule="exact"/>
        <w:ind w:firstLine="566" w:firstLineChars="236"/>
        <w:contextualSpacing/>
        <w:rPr>
          <w:rFonts w:hint="eastAsia" w:ascii="宋体" w:hAnsi="宋体"/>
          <w:sz w:val="24"/>
        </w:rPr>
      </w:pPr>
      <w:r>
        <w:rPr>
          <w:rFonts w:hint="eastAsia" w:ascii="宋体" w:hAnsi="宋体"/>
          <w:sz w:val="24"/>
        </w:rPr>
        <w:t>我</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（投标人名称）的法定代表人，现授权委托</w:t>
      </w:r>
      <w:r>
        <w:rPr>
          <w:rFonts w:hint="eastAsia" w:ascii="宋体" w:hAnsi="宋体"/>
          <w:sz w:val="24"/>
          <w:u w:val="single"/>
        </w:rPr>
        <w:t xml:space="preserve">              （姓名）</w:t>
      </w:r>
      <w:r>
        <w:rPr>
          <w:rFonts w:hint="eastAsia" w:ascii="宋体" w:hAnsi="宋体"/>
          <w:sz w:val="24"/>
        </w:rPr>
        <w:t>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项目的投标活动，并代表我方全权办理针对上述项目的所有采购程序和环节的具体事务和签署相关文件。</w:t>
      </w:r>
    </w:p>
    <w:p w14:paraId="2B5CC59D">
      <w:pPr>
        <w:spacing w:line="440" w:lineRule="exact"/>
        <w:contextualSpacing/>
        <w:rPr>
          <w:rFonts w:hint="eastAsia" w:ascii="宋体" w:hAnsi="宋体"/>
          <w:sz w:val="24"/>
        </w:rPr>
      </w:pPr>
      <w:r>
        <w:rPr>
          <w:rFonts w:hint="eastAsia" w:ascii="宋体" w:hAnsi="宋体"/>
          <w:sz w:val="24"/>
        </w:rPr>
        <w:t xml:space="preserve">    我方对委托代理人的签字事项负全部责任。</w:t>
      </w:r>
    </w:p>
    <w:p w14:paraId="2115D70D">
      <w:pPr>
        <w:spacing w:line="440" w:lineRule="exact"/>
        <w:ind w:firstLine="480"/>
        <w:contextualSpacing/>
        <w:rPr>
          <w:rFonts w:hint="eastAsia" w:ascii="宋体" w:hAnsi="宋体"/>
          <w:sz w:val="24"/>
        </w:rPr>
      </w:pPr>
      <w:r>
        <w:rPr>
          <w:rFonts w:hint="eastAsia" w:ascii="宋体" w:hAnsi="宋体"/>
          <w:sz w:val="24"/>
          <w:u w:val="single"/>
        </w:rPr>
        <w:t>本授权书自签署之日起生效，在撤销授权的书面通知以前，本授权书一直有效。委托代理人在授权书有效期内签署的所有文件不因授权的撤销而失效。</w:t>
      </w:r>
    </w:p>
    <w:p w14:paraId="5DE7DE58">
      <w:pPr>
        <w:spacing w:line="440" w:lineRule="exact"/>
        <w:ind w:firstLine="480"/>
        <w:contextualSpacing/>
        <w:rPr>
          <w:rFonts w:hint="eastAsia" w:ascii="宋体" w:hAnsi="宋体"/>
          <w:sz w:val="24"/>
        </w:rPr>
      </w:pPr>
      <w:r>
        <w:rPr>
          <w:rFonts w:hint="eastAsia" w:ascii="宋体" w:hAnsi="宋体"/>
          <w:sz w:val="24"/>
        </w:rPr>
        <w:t>委托代理人无转委托权，特此委托。</w:t>
      </w:r>
    </w:p>
    <w:p w14:paraId="2349C0E5">
      <w:pPr>
        <w:spacing w:line="440" w:lineRule="exact"/>
        <w:ind w:firstLine="480"/>
        <w:contextualSpacing/>
        <w:rPr>
          <w:rFonts w:hint="eastAsia" w:ascii="宋体" w:hAnsi="宋体"/>
          <w:sz w:val="24"/>
        </w:rPr>
      </w:pPr>
      <w:r>
        <w:rPr>
          <w:rFonts w:hint="eastAsia" w:ascii="宋体" w:hAnsi="宋体"/>
          <w:sz w:val="24"/>
        </w:rPr>
        <w:t>附：法定代表人身份证明及委托代理人有效身份证正反面复印件</w:t>
      </w:r>
    </w:p>
    <w:p w14:paraId="5F79CC62">
      <w:pPr>
        <w:spacing w:line="440" w:lineRule="exact"/>
        <w:contextualSpacing/>
        <w:rPr>
          <w:rFonts w:hint="eastAsia" w:ascii="宋体" w:hAnsi="宋体"/>
          <w:sz w:val="24"/>
        </w:rPr>
      </w:pPr>
    </w:p>
    <w:p w14:paraId="5EA2B879">
      <w:pPr>
        <w:spacing w:line="440" w:lineRule="exact"/>
        <w:contextualSpacing/>
        <w:rPr>
          <w:rFonts w:hint="eastAsia" w:ascii="宋体" w:hAnsi="宋体"/>
          <w:sz w:val="24"/>
          <w:u w:val="single"/>
        </w:rPr>
      </w:pPr>
      <w:r>
        <w:rPr>
          <w:rFonts w:hint="eastAsia" w:ascii="宋体" w:hAnsi="宋体"/>
          <w:sz w:val="24"/>
        </w:rPr>
        <w:t>委托代理人（签字）：</w:t>
      </w:r>
      <w:r>
        <w:rPr>
          <w:rFonts w:hint="eastAsia" w:ascii="宋体" w:hAnsi="宋体"/>
          <w:sz w:val="24"/>
          <w:u w:val="single"/>
        </w:rPr>
        <w:t xml:space="preserve">               </w:t>
      </w:r>
      <w:r>
        <w:rPr>
          <w:rFonts w:hint="eastAsia" w:ascii="宋体" w:hAnsi="宋体"/>
          <w:sz w:val="24"/>
        </w:rPr>
        <w:t xml:space="preserve">            法定代表人（签字或者盖章）：</w:t>
      </w:r>
      <w:r>
        <w:rPr>
          <w:rFonts w:hint="eastAsia" w:ascii="宋体" w:hAnsi="宋体"/>
          <w:sz w:val="24"/>
          <w:u w:val="single"/>
        </w:rPr>
        <w:t xml:space="preserve">              </w:t>
      </w:r>
    </w:p>
    <w:p w14:paraId="238BD0E0">
      <w:pPr>
        <w:spacing w:line="440" w:lineRule="exact"/>
        <w:contextualSpacing/>
        <w:rPr>
          <w:rFonts w:hint="eastAsia" w:ascii="宋体" w:hAnsi="宋体"/>
          <w:sz w:val="24"/>
        </w:rPr>
      </w:pPr>
      <w:r>
        <w:rPr>
          <w:rFonts w:hint="eastAsia" w:ascii="宋体" w:hAnsi="宋体"/>
          <w:sz w:val="24"/>
        </w:rPr>
        <w:t>委托代理人身份证号码：</w:t>
      </w:r>
      <w:r>
        <w:rPr>
          <w:rFonts w:hint="eastAsia" w:ascii="宋体" w:hAnsi="宋体"/>
          <w:sz w:val="24"/>
          <w:u w:val="single"/>
        </w:rPr>
        <w:t xml:space="preserve">                             </w:t>
      </w:r>
      <w:r>
        <w:rPr>
          <w:rFonts w:hint="eastAsia" w:ascii="宋体" w:hAnsi="宋体"/>
          <w:sz w:val="24"/>
        </w:rPr>
        <w:t xml:space="preserve"> </w:t>
      </w:r>
    </w:p>
    <w:p w14:paraId="45D8EFD3">
      <w:pPr>
        <w:spacing w:line="440" w:lineRule="exact"/>
        <w:contextualSpacing/>
        <w:jc w:val="center"/>
        <w:rPr>
          <w:rFonts w:hint="eastAsia" w:ascii="宋体" w:hAnsi="宋体"/>
          <w:sz w:val="24"/>
        </w:rPr>
      </w:pPr>
      <w:r>
        <w:rPr>
          <w:rFonts w:hint="eastAsia" w:ascii="宋体" w:hAnsi="宋体"/>
          <w:sz w:val="24"/>
        </w:rPr>
        <w:t xml:space="preserve">                                                投标人（盖公章）：</w:t>
      </w:r>
    </w:p>
    <w:p w14:paraId="2E755250">
      <w:pPr>
        <w:spacing w:line="440" w:lineRule="exact"/>
        <w:contextualSpacing/>
        <w:jc w:val="center"/>
        <w:rPr>
          <w:rFonts w:hint="eastAsia" w:ascii="宋体" w:hAnsi="宋体"/>
          <w:sz w:val="24"/>
        </w:rPr>
      </w:pPr>
      <w:r>
        <w:rPr>
          <w:rFonts w:hint="eastAsia" w:ascii="宋体" w:hAnsi="宋体"/>
          <w:sz w:val="24"/>
        </w:rPr>
        <w:t xml:space="preserve">                                              年    月    日</w:t>
      </w:r>
    </w:p>
    <w:p w14:paraId="65E386AD">
      <w:pPr>
        <w:spacing w:line="440" w:lineRule="exact"/>
        <w:contextualSpacing/>
        <w:rPr>
          <w:rFonts w:hint="eastAsia" w:ascii="宋体" w:hAnsi="宋体" w:cs="仿宋_GB2312"/>
          <w:sz w:val="24"/>
        </w:rPr>
      </w:pPr>
      <w:r>
        <w:rPr>
          <w:rFonts w:hint="eastAsia" w:ascii="宋体" w:hAnsi="宋体" w:cs="仿宋_GB2312"/>
          <w:sz w:val="24"/>
        </w:rPr>
        <w:t>注：1.</w:t>
      </w:r>
      <w:bookmarkStart w:id="152" w:name="_Hlk65851555"/>
      <w:bookmarkStart w:id="153" w:name="_Hlk65851620"/>
      <w:r>
        <w:rPr>
          <w:rFonts w:hint="eastAsia" w:ascii="宋体" w:hAnsi="宋体" w:cs="仿宋_GB2312"/>
          <w:sz w:val="24"/>
        </w:rPr>
        <w:t>法定代表人必须在授权委托书上亲笔签字或者盖章，</w:t>
      </w:r>
      <w:bookmarkEnd w:id="152"/>
      <w:r>
        <w:rPr>
          <w:rFonts w:hint="eastAsia" w:ascii="宋体" w:hAnsi="宋体" w:cs="仿宋_GB2312"/>
          <w:sz w:val="24"/>
        </w:rPr>
        <w:t>委托代理人必须在授权委托书上亲笔签字，</w:t>
      </w:r>
      <w:r>
        <w:rPr>
          <w:rFonts w:hint="eastAsia" w:ascii="宋体" w:hAnsi="宋体" w:cs="仿宋_GB2312"/>
          <w:b/>
          <w:bCs/>
          <w:sz w:val="24"/>
        </w:rPr>
        <w:t>否则按无效投标处理</w:t>
      </w:r>
      <w:r>
        <w:rPr>
          <w:rFonts w:hint="eastAsia" w:ascii="宋体" w:hAnsi="宋体" w:cs="仿宋_GB2312"/>
          <w:sz w:val="24"/>
        </w:rPr>
        <w:t>；</w:t>
      </w:r>
      <w:bookmarkEnd w:id="153"/>
    </w:p>
    <w:p w14:paraId="64B27CDA">
      <w:pPr>
        <w:spacing w:line="440" w:lineRule="exact"/>
        <w:ind w:firstLine="480" w:firstLineChars="200"/>
        <w:contextualSpacing/>
        <w:jc w:val="left"/>
        <w:rPr>
          <w:rFonts w:hint="eastAsia" w:ascii="宋体" w:hAnsi="宋体"/>
          <w:sz w:val="24"/>
        </w:rPr>
      </w:pPr>
      <w:r>
        <w:rPr>
          <w:rFonts w:hint="eastAsia" w:ascii="宋体" w:hAnsi="宋体" w:cs="仿宋_GB2312"/>
          <w:sz w:val="24"/>
        </w:rPr>
        <w:t>2.法人、其他组织投标时“我方”是指“我单位”，自然人投标时“我方”是指“本人”。</w:t>
      </w:r>
    </w:p>
    <w:p w14:paraId="2E6CA784">
      <w:pPr>
        <w:snapToGrid w:val="0"/>
        <w:spacing w:before="120" w:beforeLines="50" w:after="50"/>
        <w:ind w:firstLine="566" w:firstLineChars="236"/>
        <w:jc w:val="center"/>
        <w:rPr>
          <w:rFonts w:hint="eastAsia" w:ascii="方正小标宋简体" w:hAnsi="方正小标宋简体" w:eastAsia="方正小标宋简体" w:cs="方正小标宋简体"/>
          <w:sz w:val="44"/>
          <w:szCs w:val="44"/>
        </w:rPr>
      </w:pPr>
      <w:r>
        <w:rPr>
          <w:rFonts w:ascii="宋体" w:hAnsi="宋体"/>
          <w:sz w:val="24"/>
        </w:rPr>
        <w:br w:type="page"/>
      </w:r>
      <w:r>
        <w:rPr>
          <w:rFonts w:hint="eastAsia" w:ascii="方正小标宋简体" w:hAnsi="方正小标宋简体" w:eastAsia="方正小标宋简体" w:cs="方正小标宋简体"/>
          <w:sz w:val="44"/>
          <w:szCs w:val="44"/>
        </w:rPr>
        <w:t>授权委托书</w:t>
      </w:r>
    </w:p>
    <w:p w14:paraId="19633125">
      <w:pPr>
        <w:snapToGrid w:val="0"/>
        <w:spacing w:before="120" w:beforeLines="50" w:after="50"/>
        <w:ind w:firstLine="755" w:firstLineChars="236"/>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（联合体投标格式）</w:t>
      </w:r>
    </w:p>
    <w:p w14:paraId="0D612925">
      <w:pPr>
        <w:snapToGrid w:val="0"/>
        <w:spacing w:before="120" w:beforeLines="50" w:after="50"/>
        <w:ind w:firstLine="755" w:firstLineChars="236"/>
        <w:jc w:val="center"/>
        <w:rPr>
          <w:rFonts w:hint="eastAsia" w:ascii="方正小标宋简体" w:hAnsi="方正小标宋简体" w:eastAsia="方正小标宋简体" w:cs="方正小标宋简体"/>
          <w:sz w:val="24"/>
        </w:rPr>
      </w:pPr>
      <w:r>
        <w:rPr>
          <w:rFonts w:hint="eastAsia" w:ascii="方正小标宋简体" w:hAnsi="方正小标宋简体" w:eastAsia="方正小标宋简体" w:cs="方正小标宋简体"/>
          <w:sz w:val="32"/>
          <w:szCs w:val="32"/>
        </w:rPr>
        <w:t>（如有委托时）</w:t>
      </w:r>
    </w:p>
    <w:p w14:paraId="6374159B">
      <w:pPr>
        <w:spacing w:line="440" w:lineRule="exact"/>
        <w:contextualSpacing/>
        <w:jc w:val="left"/>
        <w:rPr>
          <w:rFonts w:hint="eastAsia" w:ascii="宋体" w:hAnsi="宋体"/>
          <w:sz w:val="24"/>
        </w:rPr>
      </w:pPr>
      <w:r>
        <w:rPr>
          <w:rFonts w:hint="eastAsia" w:ascii="宋体" w:hAnsi="宋体"/>
          <w:bCs/>
          <w:sz w:val="24"/>
        </w:rPr>
        <w:t>致：</w:t>
      </w:r>
      <w:r>
        <w:rPr>
          <w:rFonts w:hint="eastAsia" w:ascii="宋体" w:hAnsi="宋体"/>
          <w:sz w:val="24"/>
          <w:u w:val="single"/>
        </w:rPr>
        <w:t>采购人名称</w:t>
      </w:r>
      <w:r>
        <w:rPr>
          <w:rFonts w:hint="eastAsia" w:ascii="宋体" w:hAnsi="宋体"/>
          <w:sz w:val="24"/>
        </w:rPr>
        <w:t>：</w:t>
      </w:r>
    </w:p>
    <w:p w14:paraId="776DB8BE">
      <w:pPr>
        <w:spacing w:line="440" w:lineRule="exact"/>
        <w:ind w:firstLine="566" w:firstLineChars="236"/>
        <w:contextualSpacing/>
        <w:rPr>
          <w:rFonts w:hint="eastAsia" w:ascii="宋体" w:hAnsi="宋体"/>
          <w:sz w:val="24"/>
        </w:rPr>
      </w:pPr>
      <w:r>
        <w:rPr>
          <w:rFonts w:hint="eastAsia" w:ascii="宋体" w:hAnsi="宋体"/>
          <w:sz w:val="24"/>
        </w:rPr>
        <w:t xml:space="preserve">根据 </w:t>
      </w:r>
      <w:r>
        <w:rPr>
          <w:rFonts w:hint="eastAsia" w:ascii="宋体" w:hAnsi="宋体"/>
          <w:sz w:val="24"/>
          <w:u w:val="single"/>
        </w:rPr>
        <w:t xml:space="preserve"> （牵头人名称）</w:t>
      </w:r>
      <w:r>
        <w:rPr>
          <w:rFonts w:hint="eastAsia" w:ascii="宋体" w:hAnsi="宋体"/>
          <w:sz w:val="24"/>
        </w:rPr>
        <w:t>与</w:t>
      </w:r>
      <w:r>
        <w:rPr>
          <w:rFonts w:hint="eastAsia" w:ascii="宋体" w:hAnsi="宋体"/>
          <w:sz w:val="24"/>
          <w:u w:val="single"/>
        </w:rPr>
        <w:t>（联合体其他成员名称）</w:t>
      </w:r>
      <w:r>
        <w:rPr>
          <w:rFonts w:hint="eastAsia" w:ascii="宋体" w:hAnsi="宋体"/>
          <w:sz w:val="24"/>
        </w:rPr>
        <w:t>签订的《联合体投标协议书》的内容，</w:t>
      </w:r>
      <w:r>
        <w:rPr>
          <w:rFonts w:hint="eastAsia" w:ascii="宋体" w:hAnsi="宋体"/>
          <w:sz w:val="24"/>
          <w:u w:val="single"/>
        </w:rPr>
        <w:t>（牵头人名称）</w:t>
      </w:r>
      <w:r>
        <w:rPr>
          <w:rFonts w:hint="eastAsia" w:ascii="宋体" w:hAnsi="宋体"/>
          <w:sz w:val="24"/>
        </w:rPr>
        <w:t>的法定代表人</w:t>
      </w:r>
      <w:r>
        <w:rPr>
          <w:rFonts w:hint="eastAsia" w:ascii="宋体" w:hAnsi="宋体"/>
          <w:sz w:val="24"/>
          <w:u w:val="single"/>
        </w:rPr>
        <w:t>（姓名）</w:t>
      </w:r>
      <w:r>
        <w:rPr>
          <w:rFonts w:hint="eastAsia" w:ascii="宋体" w:hAnsi="宋体"/>
          <w:sz w:val="24"/>
        </w:rPr>
        <w:t>现授权委托</w:t>
      </w:r>
      <w:r>
        <w:rPr>
          <w:rFonts w:hint="eastAsia" w:ascii="宋体" w:hAnsi="宋体"/>
          <w:sz w:val="24"/>
          <w:u w:val="single"/>
        </w:rPr>
        <w:t xml:space="preserve">              （姓名）</w:t>
      </w:r>
      <w:r>
        <w:rPr>
          <w:rFonts w:hint="eastAsia" w:ascii="宋体" w:hAnsi="宋体"/>
          <w:sz w:val="24"/>
        </w:rPr>
        <w:t>以我方的名义参加</w:t>
      </w:r>
      <w:r>
        <w:rPr>
          <w:rFonts w:hint="eastAsia" w:ascii="宋体" w:hAnsi="宋体"/>
          <w:sz w:val="24"/>
          <w:u w:val="single"/>
        </w:rPr>
        <w:t xml:space="preserve">              </w:t>
      </w:r>
      <w:r>
        <w:rPr>
          <w:rFonts w:hint="eastAsia" w:ascii="宋体" w:hAnsi="宋体"/>
          <w:sz w:val="24"/>
        </w:rPr>
        <w:t>项目的投标活动，并代表我方全权办理针对上述项目的所有采购程序和环节的具体事务和签署相关文件。</w:t>
      </w:r>
    </w:p>
    <w:p w14:paraId="47553E45">
      <w:pPr>
        <w:spacing w:line="440" w:lineRule="exact"/>
        <w:ind w:firstLine="566" w:firstLineChars="236"/>
        <w:contextualSpacing/>
        <w:rPr>
          <w:rFonts w:hint="eastAsia" w:ascii="宋体" w:hAnsi="宋体"/>
          <w:sz w:val="24"/>
        </w:rPr>
      </w:pPr>
      <w:r>
        <w:rPr>
          <w:rFonts w:hint="eastAsia" w:ascii="宋体" w:hAnsi="宋体"/>
          <w:sz w:val="24"/>
        </w:rPr>
        <w:t>我方对委托代理人的签字事项负全部责任。</w:t>
      </w:r>
    </w:p>
    <w:p w14:paraId="2C42B09D">
      <w:pPr>
        <w:spacing w:line="440" w:lineRule="exact"/>
        <w:ind w:firstLine="566" w:firstLineChars="236"/>
        <w:contextualSpacing/>
        <w:rPr>
          <w:rFonts w:hint="eastAsia" w:ascii="宋体" w:hAnsi="宋体"/>
          <w:sz w:val="24"/>
        </w:rPr>
      </w:pPr>
      <w:r>
        <w:rPr>
          <w:rFonts w:hint="eastAsia" w:ascii="宋体" w:hAnsi="宋体"/>
          <w:sz w:val="24"/>
        </w:rPr>
        <w:t>本授权书自签署之日起生效，在撤销授权的书面通知以前，本授权书一直有效。委托代理人在授权书有效期内签署的所有文件不因授权的撤销而失效。</w:t>
      </w:r>
    </w:p>
    <w:p w14:paraId="157E3ED2">
      <w:pPr>
        <w:spacing w:line="440" w:lineRule="exact"/>
        <w:ind w:firstLine="566" w:firstLineChars="236"/>
        <w:contextualSpacing/>
        <w:rPr>
          <w:rFonts w:hint="eastAsia" w:ascii="宋体" w:hAnsi="宋体"/>
          <w:sz w:val="24"/>
        </w:rPr>
      </w:pPr>
      <w:r>
        <w:rPr>
          <w:rFonts w:hint="eastAsia" w:ascii="宋体" w:hAnsi="宋体"/>
          <w:sz w:val="24"/>
        </w:rPr>
        <w:t>委托代理人无转委托权，特此委托。</w:t>
      </w:r>
    </w:p>
    <w:p w14:paraId="273CB237">
      <w:pPr>
        <w:spacing w:line="440" w:lineRule="exact"/>
        <w:ind w:firstLine="566" w:firstLineChars="236"/>
        <w:contextualSpacing/>
        <w:rPr>
          <w:rFonts w:hint="eastAsia" w:ascii="宋体" w:hAnsi="宋体"/>
          <w:sz w:val="24"/>
        </w:rPr>
      </w:pPr>
      <w:r>
        <w:rPr>
          <w:rFonts w:hint="eastAsia" w:ascii="宋体" w:hAnsi="宋体"/>
          <w:sz w:val="24"/>
        </w:rPr>
        <w:t>附：牵头人法定代表人身份证明及委托代理人有效身份证正反面复印件</w:t>
      </w:r>
    </w:p>
    <w:p w14:paraId="5E8DBD19">
      <w:pPr>
        <w:spacing w:line="440" w:lineRule="exact"/>
        <w:ind w:firstLine="566" w:firstLineChars="236"/>
        <w:contextualSpacing/>
        <w:rPr>
          <w:rFonts w:hint="eastAsia" w:ascii="宋体" w:hAnsi="宋体"/>
          <w:sz w:val="24"/>
        </w:rPr>
      </w:pPr>
    </w:p>
    <w:p w14:paraId="7E9C4F1B">
      <w:pPr>
        <w:spacing w:line="440" w:lineRule="exact"/>
        <w:ind w:firstLine="566" w:firstLineChars="236"/>
        <w:contextualSpacing/>
        <w:rPr>
          <w:rFonts w:hint="eastAsia" w:ascii="宋体" w:hAnsi="宋体"/>
          <w:sz w:val="24"/>
        </w:rPr>
      </w:pPr>
      <w:r>
        <w:rPr>
          <w:rFonts w:hint="eastAsia" w:ascii="宋体" w:hAnsi="宋体"/>
          <w:sz w:val="24"/>
        </w:rPr>
        <w:t>牵头人法定代表人（签字或者盖章）：</w:t>
      </w:r>
    </w:p>
    <w:p w14:paraId="4D93B5A5">
      <w:pPr>
        <w:spacing w:line="440" w:lineRule="exact"/>
        <w:ind w:firstLine="566" w:firstLineChars="236"/>
        <w:contextualSpacing/>
        <w:rPr>
          <w:rFonts w:hint="eastAsia" w:ascii="宋体" w:hAnsi="宋体"/>
          <w:sz w:val="24"/>
        </w:rPr>
      </w:pPr>
      <w:r>
        <w:rPr>
          <w:rFonts w:hint="eastAsia" w:ascii="宋体" w:hAnsi="宋体"/>
          <w:sz w:val="24"/>
        </w:rPr>
        <w:t>牵头人（盖公章）：</w:t>
      </w:r>
    </w:p>
    <w:p w14:paraId="36AC5814">
      <w:pPr>
        <w:spacing w:line="440" w:lineRule="exact"/>
        <w:ind w:firstLine="566" w:firstLineChars="236"/>
        <w:contextualSpacing/>
        <w:rPr>
          <w:rFonts w:hint="eastAsia" w:ascii="宋体" w:hAnsi="宋体"/>
          <w:sz w:val="24"/>
        </w:rPr>
      </w:pPr>
      <w:r>
        <w:rPr>
          <w:rFonts w:hint="eastAsia" w:ascii="宋体" w:hAnsi="宋体"/>
          <w:sz w:val="24"/>
        </w:rPr>
        <w:t>日期：    年   月   日</w:t>
      </w:r>
    </w:p>
    <w:p w14:paraId="0CBBC8A4">
      <w:pPr>
        <w:spacing w:line="440" w:lineRule="exact"/>
        <w:ind w:firstLine="566" w:firstLineChars="236"/>
        <w:contextualSpacing/>
        <w:rPr>
          <w:rFonts w:hint="eastAsia" w:ascii="宋体" w:hAnsi="宋体"/>
          <w:sz w:val="24"/>
        </w:rPr>
      </w:pPr>
    </w:p>
    <w:p w14:paraId="1B0CF919">
      <w:pPr>
        <w:spacing w:line="440" w:lineRule="exact"/>
        <w:ind w:firstLine="566" w:firstLineChars="236"/>
        <w:contextualSpacing/>
        <w:rPr>
          <w:rFonts w:hint="eastAsia" w:ascii="宋体" w:hAnsi="宋体"/>
          <w:sz w:val="24"/>
        </w:rPr>
      </w:pPr>
      <w:r>
        <w:rPr>
          <w:rFonts w:hint="eastAsia" w:ascii="宋体" w:hAnsi="宋体"/>
          <w:sz w:val="24"/>
        </w:rPr>
        <w:t>被授权人（签字）：</w:t>
      </w:r>
    </w:p>
    <w:p w14:paraId="5BBCEC6D">
      <w:pPr>
        <w:spacing w:line="440" w:lineRule="exact"/>
        <w:ind w:firstLine="566" w:firstLineChars="236"/>
        <w:contextualSpacing/>
        <w:rPr>
          <w:rFonts w:hint="eastAsia" w:ascii="宋体" w:hAnsi="宋体" w:cs="仿宋_GB2312"/>
          <w:sz w:val="32"/>
          <w:szCs w:val="32"/>
        </w:rPr>
      </w:pPr>
      <w:r>
        <w:rPr>
          <w:rFonts w:hint="eastAsia" w:ascii="宋体" w:hAnsi="宋体"/>
          <w:sz w:val="24"/>
        </w:rPr>
        <w:t>日期：    年   月   日</w:t>
      </w:r>
    </w:p>
    <w:p w14:paraId="79C70236">
      <w:pPr>
        <w:spacing w:line="440" w:lineRule="exact"/>
        <w:contextualSpacing/>
        <w:rPr>
          <w:rFonts w:hint="eastAsia" w:ascii="宋体" w:hAnsi="宋体" w:cs="仿宋_GB2312"/>
          <w:sz w:val="24"/>
        </w:rPr>
      </w:pPr>
      <w:r>
        <w:rPr>
          <w:rFonts w:hint="eastAsia" w:ascii="宋体" w:hAnsi="宋体" w:cs="仿宋_GB2312"/>
          <w:sz w:val="24"/>
        </w:rPr>
        <w:t>注：1. 法定代表人必须在授权委托书上亲笔签字或者盖章，委托代理人必须在授权委托书上亲笔签字，</w:t>
      </w:r>
      <w:r>
        <w:rPr>
          <w:rFonts w:hint="eastAsia" w:ascii="宋体" w:hAnsi="宋体" w:cs="仿宋_GB2312"/>
          <w:b/>
          <w:bCs/>
          <w:sz w:val="24"/>
        </w:rPr>
        <w:t>否则按无效投标处理</w:t>
      </w:r>
      <w:r>
        <w:rPr>
          <w:rFonts w:hint="eastAsia" w:ascii="宋体" w:hAnsi="宋体" w:cs="仿宋_GB2312"/>
          <w:sz w:val="24"/>
        </w:rPr>
        <w:t>；</w:t>
      </w:r>
    </w:p>
    <w:p w14:paraId="62ACD20B">
      <w:pPr>
        <w:spacing w:line="440" w:lineRule="exact"/>
        <w:ind w:firstLine="480" w:firstLineChars="200"/>
        <w:contextualSpacing/>
        <w:jc w:val="left"/>
        <w:rPr>
          <w:rFonts w:hint="eastAsia" w:ascii="宋体" w:hAnsi="宋体" w:cs="仿宋_GB2312"/>
          <w:sz w:val="24"/>
        </w:rPr>
      </w:pPr>
      <w:r>
        <w:rPr>
          <w:rFonts w:hint="eastAsia" w:ascii="宋体" w:hAnsi="宋体" w:cs="仿宋_GB2312"/>
          <w:sz w:val="24"/>
        </w:rPr>
        <w:t>2.本授权委托书应由联合体牵头人的法定代表人按上述规定签字。</w:t>
      </w:r>
    </w:p>
    <w:p w14:paraId="1B02D6BA">
      <w:pPr>
        <w:spacing w:line="440" w:lineRule="exact"/>
        <w:ind w:firstLine="480" w:firstLineChars="200"/>
        <w:contextualSpacing/>
        <w:jc w:val="left"/>
        <w:rPr>
          <w:rFonts w:hint="eastAsia" w:ascii="宋体" w:hAnsi="宋体"/>
          <w:sz w:val="24"/>
        </w:rPr>
      </w:pPr>
      <w:r>
        <w:rPr>
          <w:rFonts w:hint="eastAsia" w:ascii="宋体" w:hAnsi="宋体" w:cs="仿宋_GB2312"/>
          <w:sz w:val="24"/>
        </w:rPr>
        <w:t>3</w:t>
      </w:r>
      <w:r>
        <w:rPr>
          <w:rFonts w:ascii="宋体" w:hAnsi="宋体" w:cs="仿宋_GB2312"/>
          <w:sz w:val="24"/>
        </w:rPr>
        <w:t>.</w:t>
      </w:r>
      <w:r>
        <w:rPr>
          <w:rFonts w:hint="eastAsia" w:ascii="宋体" w:hAnsi="宋体" w:cs="仿宋_GB2312"/>
          <w:sz w:val="24"/>
        </w:rPr>
        <w:t>法人、其他组织投标时“我方”是指“我单位”，自然人投标时“我方”是指“本人”。</w:t>
      </w:r>
    </w:p>
    <w:p w14:paraId="56F4522B">
      <w:pPr>
        <w:snapToGrid w:val="0"/>
        <w:spacing w:before="50" w:after="120" w:afterLines="50"/>
        <w:ind w:firstLine="480" w:firstLineChars="200"/>
        <w:jc w:val="left"/>
        <w:rPr>
          <w:rFonts w:hint="eastAsia" w:ascii="宋体" w:hAnsi="宋体"/>
          <w:sz w:val="24"/>
        </w:rPr>
        <w:sectPr>
          <w:footerReference r:id="rId8" w:type="first"/>
          <w:headerReference r:id="rId5" w:type="default"/>
          <w:footerReference r:id="rId6" w:type="default"/>
          <w:footerReference r:id="rId7" w:type="even"/>
          <w:pgSz w:w="11906" w:h="16838"/>
          <w:pgMar w:top="1134" w:right="1134" w:bottom="1134" w:left="1134" w:header="851" w:footer="567" w:gutter="0"/>
          <w:cols w:space="720" w:num="1"/>
          <w:titlePg/>
          <w:docGrid w:linePitch="312" w:charSpace="0"/>
        </w:sectPr>
      </w:pPr>
    </w:p>
    <w:p w14:paraId="76012917">
      <w:pPr>
        <w:rPr>
          <w:rFonts w:hint="eastAsia" w:ascii="宋体" w:hAnsi="宋体"/>
          <w:sz w:val="24"/>
        </w:rPr>
      </w:pPr>
    </w:p>
    <w:p w14:paraId="25923FA8">
      <w:pPr>
        <w:rPr>
          <w:rFonts w:hint="eastAsia" w:ascii="宋体" w:hAnsi="宋体"/>
          <w:b/>
          <w:sz w:val="24"/>
          <w:szCs w:val="20"/>
        </w:rPr>
      </w:pPr>
      <w:r>
        <w:rPr>
          <w:rFonts w:hint="eastAsia" w:ascii="宋体" w:hAnsi="宋体"/>
          <w:b/>
          <w:sz w:val="24"/>
        </w:rPr>
        <w:t>6.商务要求偏离表格式（注：按项目需求表具体项目修改）</w:t>
      </w:r>
    </w:p>
    <w:p w14:paraId="76A0E3DF">
      <w:pPr>
        <w:snapToGrid w:val="0"/>
        <w:spacing w:before="50"/>
        <w:jc w:val="left"/>
        <w:rPr>
          <w:rFonts w:hint="eastAsia" w:ascii="宋体" w:hAnsi="宋体"/>
          <w:sz w:val="24"/>
          <w:u w:val="single"/>
        </w:rPr>
      </w:pPr>
    </w:p>
    <w:tbl>
      <w:tblPr>
        <w:tblStyle w:val="2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5749F4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tcPr>
          <w:p w14:paraId="1552EC08">
            <w:pPr>
              <w:snapToGrid w:val="0"/>
              <w:spacing w:before="120" w:beforeLines="50"/>
              <w:jc w:val="center"/>
              <w:rPr>
                <w:rFonts w:hint="eastAsia" w:ascii="宋体" w:hAnsi="宋体"/>
                <w:sz w:val="24"/>
              </w:rPr>
            </w:pPr>
            <w:r>
              <w:rPr>
                <w:rFonts w:hint="eastAsia" w:ascii="宋体" w:hAnsi="宋体"/>
                <w:sz w:val="24"/>
              </w:rPr>
              <w:t>项目</w:t>
            </w:r>
          </w:p>
        </w:tc>
        <w:tc>
          <w:tcPr>
            <w:tcW w:w="3336" w:type="dxa"/>
            <w:tcBorders>
              <w:top w:val="single" w:color="auto" w:sz="4" w:space="0"/>
              <w:left w:val="single" w:color="auto" w:sz="4" w:space="0"/>
              <w:bottom w:val="single" w:color="auto" w:sz="4" w:space="0"/>
              <w:right w:val="single" w:color="auto" w:sz="4" w:space="0"/>
            </w:tcBorders>
          </w:tcPr>
          <w:p w14:paraId="2935B8DD">
            <w:pPr>
              <w:snapToGrid w:val="0"/>
              <w:spacing w:before="120" w:beforeLines="50"/>
              <w:jc w:val="center"/>
              <w:rPr>
                <w:rFonts w:hint="eastAsia" w:ascii="宋体" w:hAnsi="宋体"/>
                <w:sz w:val="24"/>
              </w:rPr>
            </w:pPr>
            <w:r>
              <w:rPr>
                <w:rFonts w:hint="eastAsia" w:ascii="宋体" w:hAnsi="宋体"/>
                <w:sz w:val="24"/>
              </w:rPr>
              <w:t>招标文件商务要求</w:t>
            </w:r>
          </w:p>
        </w:tc>
        <w:tc>
          <w:tcPr>
            <w:tcW w:w="1760" w:type="dxa"/>
            <w:tcBorders>
              <w:top w:val="single" w:color="auto" w:sz="4" w:space="0"/>
              <w:left w:val="single" w:color="auto" w:sz="4" w:space="0"/>
              <w:bottom w:val="single" w:color="auto" w:sz="4" w:space="0"/>
              <w:right w:val="single" w:color="auto" w:sz="4" w:space="0"/>
            </w:tcBorders>
          </w:tcPr>
          <w:p w14:paraId="0D01B47B">
            <w:pPr>
              <w:snapToGrid w:val="0"/>
              <w:spacing w:before="120" w:beforeLines="50"/>
              <w:jc w:val="center"/>
              <w:rPr>
                <w:rFonts w:hint="eastAsia" w:ascii="宋体" w:hAnsi="宋体"/>
                <w:sz w:val="24"/>
              </w:rPr>
            </w:pPr>
            <w:r>
              <w:rPr>
                <w:rFonts w:hint="eastAsia" w:ascii="宋体" w:hAnsi="宋体"/>
                <w:sz w:val="24"/>
              </w:rPr>
              <w:t>投标人的承诺</w:t>
            </w:r>
          </w:p>
        </w:tc>
        <w:tc>
          <w:tcPr>
            <w:tcW w:w="2035" w:type="dxa"/>
            <w:tcBorders>
              <w:top w:val="single" w:color="auto" w:sz="4" w:space="0"/>
              <w:left w:val="single" w:color="auto" w:sz="4" w:space="0"/>
              <w:bottom w:val="single" w:color="auto" w:sz="4" w:space="0"/>
              <w:right w:val="single" w:color="auto" w:sz="4" w:space="0"/>
            </w:tcBorders>
          </w:tcPr>
          <w:p w14:paraId="15757D05">
            <w:pPr>
              <w:snapToGrid w:val="0"/>
              <w:spacing w:before="120" w:beforeLines="50"/>
              <w:jc w:val="center"/>
              <w:rPr>
                <w:rFonts w:hint="eastAsia" w:ascii="宋体" w:hAnsi="宋体"/>
                <w:sz w:val="24"/>
              </w:rPr>
            </w:pPr>
            <w:r>
              <w:rPr>
                <w:rFonts w:hint="eastAsia" w:ascii="宋体" w:hAnsi="宋体"/>
                <w:sz w:val="24"/>
              </w:rPr>
              <w:t>偏离说明</w:t>
            </w:r>
          </w:p>
        </w:tc>
      </w:tr>
      <w:tr w14:paraId="78BABF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vAlign w:val="center"/>
          </w:tcPr>
          <w:p w14:paraId="4B2FB167">
            <w:pPr>
              <w:jc w:val="center"/>
              <w:rPr>
                <w:rFonts w:hint="eastAsia" w:ascii="宋体" w:hAnsi="宋体"/>
                <w:sz w:val="24"/>
              </w:rPr>
            </w:pPr>
          </w:p>
        </w:tc>
        <w:tc>
          <w:tcPr>
            <w:tcW w:w="3336" w:type="dxa"/>
            <w:tcBorders>
              <w:top w:val="single" w:color="auto" w:sz="4" w:space="0"/>
              <w:left w:val="single" w:color="auto" w:sz="4" w:space="0"/>
              <w:bottom w:val="single" w:color="auto" w:sz="4" w:space="0"/>
              <w:right w:val="single" w:color="auto" w:sz="4" w:space="0"/>
            </w:tcBorders>
          </w:tcPr>
          <w:p w14:paraId="7FB5A9A9">
            <w:pPr>
              <w:snapToGrid w:val="0"/>
              <w:spacing w:before="120" w:beforeLines="50"/>
              <w:jc w:val="center"/>
              <w:rPr>
                <w:rFonts w:hint="eastAsia" w:ascii="宋体" w:hAnsi="宋体"/>
                <w:sz w:val="24"/>
              </w:rPr>
            </w:pPr>
          </w:p>
        </w:tc>
        <w:tc>
          <w:tcPr>
            <w:tcW w:w="1760" w:type="dxa"/>
            <w:tcBorders>
              <w:top w:val="single" w:color="auto" w:sz="4" w:space="0"/>
              <w:left w:val="single" w:color="auto" w:sz="4" w:space="0"/>
              <w:bottom w:val="single" w:color="auto" w:sz="4" w:space="0"/>
              <w:right w:val="single" w:color="auto" w:sz="4" w:space="0"/>
            </w:tcBorders>
          </w:tcPr>
          <w:p w14:paraId="773AB226">
            <w:pPr>
              <w:snapToGrid w:val="0"/>
              <w:spacing w:before="120" w:beforeLines="50"/>
              <w:jc w:val="center"/>
              <w:rPr>
                <w:rFonts w:hint="eastAsia" w:ascii="宋体" w:hAnsi="宋体"/>
                <w:sz w:val="24"/>
              </w:rPr>
            </w:pPr>
          </w:p>
        </w:tc>
        <w:tc>
          <w:tcPr>
            <w:tcW w:w="2035" w:type="dxa"/>
            <w:tcBorders>
              <w:top w:val="single" w:color="auto" w:sz="4" w:space="0"/>
              <w:left w:val="single" w:color="auto" w:sz="4" w:space="0"/>
              <w:bottom w:val="single" w:color="auto" w:sz="4" w:space="0"/>
              <w:right w:val="single" w:color="auto" w:sz="4" w:space="0"/>
            </w:tcBorders>
          </w:tcPr>
          <w:p w14:paraId="21D16274">
            <w:pPr>
              <w:snapToGrid w:val="0"/>
              <w:spacing w:before="120" w:beforeLines="50"/>
              <w:jc w:val="center"/>
              <w:rPr>
                <w:rFonts w:hint="eastAsia" w:ascii="宋体" w:hAnsi="宋体"/>
                <w:sz w:val="24"/>
              </w:rPr>
            </w:pPr>
          </w:p>
        </w:tc>
      </w:tr>
      <w:tr w14:paraId="1A6F7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vAlign w:val="center"/>
          </w:tcPr>
          <w:p w14:paraId="2F4BB6EA">
            <w:pPr>
              <w:jc w:val="center"/>
              <w:rPr>
                <w:rFonts w:hint="eastAsia" w:ascii="宋体" w:hAnsi="宋体"/>
                <w:sz w:val="24"/>
              </w:rPr>
            </w:pPr>
          </w:p>
        </w:tc>
        <w:tc>
          <w:tcPr>
            <w:tcW w:w="3336" w:type="dxa"/>
            <w:tcBorders>
              <w:top w:val="single" w:color="auto" w:sz="4" w:space="0"/>
              <w:left w:val="single" w:color="auto" w:sz="4" w:space="0"/>
              <w:bottom w:val="single" w:color="auto" w:sz="4" w:space="0"/>
              <w:right w:val="single" w:color="auto" w:sz="4" w:space="0"/>
            </w:tcBorders>
          </w:tcPr>
          <w:p w14:paraId="06B4F2F9">
            <w:pPr>
              <w:snapToGrid w:val="0"/>
              <w:spacing w:before="120" w:beforeLines="50"/>
              <w:rPr>
                <w:rFonts w:hint="eastAsia" w:ascii="宋体" w:hAnsi="宋体"/>
                <w:sz w:val="24"/>
                <w:u w:val="single"/>
              </w:rPr>
            </w:pPr>
          </w:p>
        </w:tc>
        <w:tc>
          <w:tcPr>
            <w:tcW w:w="1760" w:type="dxa"/>
            <w:tcBorders>
              <w:top w:val="single" w:color="auto" w:sz="4" w:space="0"/>
              <w:left w:val="single" w:color="auto" w:sz="4" w:space="0"/>
              <w:bottom w:val="single" w:color="auto" w:sz="4" w:space="0"/>
              <w:right w:val="single" w:color="auto" w:sz="4" w:space="0"/>
            </w:tcBorders>
          </w:tcPr>
          <w:p w14:paraId="66D9E444">
            <w:pPr>
              <w:snapToGrid w:val="0"/>
              <w:spacing w:before="120" w:beforeLines="50"/>
              <w:ind w:left="43"/>
              <w:jc w:val="center"/>
              <w:rPr>
                <w:rFonts w:hint="eastAsia" w:ascii="宋体" w:hAnsi="宋体"/>
                <w:sz w:val="24"/>
              </w:rPr>
            </w:pPr>
          </w:p>
        </w:tc>
        <w:tc>
          <w:tcPr>
            <w:tcW w:w="2035" w:type="dxa"/>
            <w:tcBorders>
              <w:top w:val="single" w:color="auto" w:sz="4" w:space="0"/>
              <w:left w:val="single" w:color="auto" w:sz="4" w:space="0"/>
              <w:bottom w:val="single" w:color="auto" w:sz="4" w:space="0"/>
              <w:right w:val="single" w:color="auto" w:sz="4" w:space="0"/>
            </w:tcBorders>
          </w:tcPr>
          <w:p w14:paraId="5016EC2E">
            <w:pPr>
              <w:snapToGrid w:val="0"/>
              <w:spacing w:before="120" w:beforeLines="50"/>
              <w:ind w:left="43"/>
              <w:jc w:val="center"/>
              <w:rPr>
                <w:rFonts w:hint="eastAsia" w:ascii="宋体" w:hAnsi="宋体"/>
                <w:sz w:val="24"/>
              </w:rPr>
            </w:pPr>
          </w:p>
        </w:tc>
      </w:tr>
      <w:tr w14:paraId="75D74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tcPr>
          <w:p w14:paraId="40DA2F1D">
            <w:pPr>
              <w:snapToGrid w:val="0"/>
              <w:spacing w:before="120" w:beforeLines="50"/>
              <w:jc w:val="center"/>
              <w:rPr>
                <w:rFonts w:hint="eastAsia" w:ascii="宋体" w:hAnsi="宋体"/>
                <w:sz w:val="24"/>
              </w:rPr>
            </w:pPr>
            <w:r>
              <w:rPr>
                <w:rFonts w:hint="eastAsia" w:ascii="宋体" w:hAnsi="宋体"/>
                <w:sz w:val="24"/>
              </w:rPr>
              <w:t>…</w:t>
            </w:r>
          </w:p>
        </w:tc>
        <w:tc>
          <w:tcPr>
            <w:tcW w:w="3336" w:type="dxa"/>
            <w:tcBorders>
              <w:top w:val="single" w:color="auto" w:sz="4" w:space="0"/>
              <w:left w:val="single" w:color="auto" w:sz="4" w:space="0"/>
              <w:bottom w:val="single" w:color="auto" w:sz="4" w:space="0"/>
              <w:right w:val="single" w:color="auto" w:sz="4" w:space="0"/>
            </w:tcBorders>
          </w:tcPr>
          <w:p w14:paraId="0D4E3139">
            <w:pPr>
              <w:snapToGrid w:val="0"/>
              <w:spacing w:before="120" w:beforeLines="50"/>
              <w:jc w:val="center"/>
              <w:rPr>
                <w:rFonts w:hint="eastAsia" w:ascii="宋体" w:hAnsi="宋体"/>
                <w:sz w:val="24"/>
              </w:rPr>
            </w:pPr>
          </w:p>
        </w:tc>
        <w:tc>
          <w:tcPr>
            <w:tcW w:w="1760" w:type="dxa"/>
            <w:tcBorders>
              <w:top w:val="single" w:color="auto" w:sz="4" w:space="0"/>
              <w:left w:val="single" w:color="auto" w:sz="4" w:space="0"/>
              <w:bottom w:val="single" w:color="auto" w:sz="4" w:space="0"/>
              <w:right w:val="single" w:color="auto" w:sz="4" w:space="0"/>
            </w:tcBorders>
          </w:tcPr>
          <w:p w14:paraId="0BC30857">
            <w:pPr>
              <w:snapToGrid w:val="0"/>
              <w:spacing w:before="120" w:beforeLines="50"/>
              <w:jc w:val="center"/>
              <w:rPr>
                <w:rFonts w:hint="eastAsia" w:ascii="宋体" w:hAnsi="宋体"/>
                <w:sz w:val="24"/>
              </w:rPr>
            </w:pPr>
          </w:p>
        </w:tc>
        <w:tc>
          <w:tcPr>
            <w:tcW w:w="2035" w:type="dxa"/>
            <w:tcBorders>
              <w:top w:val="single" w:color="auto" w:sz="4" w:space="0"/>
              <w:left w:val="single" w:color="auto" w:sz="4" w:space="0"/>
              <w:bottom w:val="single" w:color="auto" w:sz="4" w:space="0"/>
              <w:right w:val="single" w:color="auto" w:sz="4" w:space="0"/>
            </w:tcBorders>
          </w:tcPr>
          <w:p w14:paraId="5423A0A9">
            <w:pPr>
              <w:snapToGrid w:val="0"/>
              <w:spacing w:before="120" w:beforeLines="50"/>
              <w:jc w:val="center"/>
              <w:rPr>
                <w:rFonts w:hint="eastAsia" w:ascii="宋体" w:hAnsi="宋体"/>
                <w:sz w:val="24"/>
              </w:rPr>
            </w:pPr>
          </w:p>
        </w:tc>
      </w:tr>
    </w:tbl>
    <w:p w14:paraId="602243D0">
      <w:pPr>
        <w:pStyle w:val="13"/>
        <w:rPr>
          <w:rFonts w:hint="eastAsia" w:ascii="宋体" w:hAnsi="宋体"/>
        </w:rPr>
      </w:pPr>
      <w:r>
        <w:rPr>
          <w:rFonts w:hint="eastAsia" w:ascii="宋体" w:hAnsi="宋体"/>
        </w:rPr>
        <w:t>注：</w:t>
      </w:r>
    </w:p>
    <w:p w14:paraId="1D906133">
      <w:pPr>
        <w:pStyle w:val="15"/>
        <w:spacing w:line="520" w:lineRule="exact"/>
        <w:ind w:firstLine="0" w:firstLineChars="0"/>
        <w:rPr>
          <w:rFonts w:hint="eastAsia" w:hAnsi="仿宋_GB2312" w:cs="仿宋_GB2312"/>
          <w:szCs w:val="32"/>
        </w:rPr>
      </w:pPr>
      <w:r>
        <w:rPr>
          <w:rFonts w:hint="eastAsia" w:ascii="宋体" w:hAnsi="宋体" w:eastAsia="宋体"/>
          <w:sz w:val="24"/>
          <w:szCs w:val="24"/>
        </w:rPr>
        <w:t>1.</w:t>
      </w:r>
      <w:r>
        <w:rPr>
          <w:rFonts w:hint="eastAsia"/>
        </w:rPr>
        <w:t xml:space="preserve"> </w:t>
      </w:r>
      <w:r>
        <w:rPr>
          <w:rFonts w:hint="eastAsia" w:ascii="宋体" w:hAnsi="宋体" w:eastAsia="宋体"/>
          <w:sz w:val="24"/>
          <w:szCs w:val="24"/>
        </w:rPr>
        <w:t>说明：应对照招标文件“第二章 采购需求”中的商务要求逐条作明确的投标响应，并作出偏离说明。</w:t>
      </w:r>
    </w:p>
    <w:p w14:paraId="46EDA4D0">
      <w:pPr>
        <w:pStyle w:val="13"/>
        <w:rPr>
          <w:rFonts w:hint="eastAsia" w:ascii="宋体" w:hAnsi="宋体"/>
          <w:b w:val="0"/>
          <w:bCs w:val="0"/>
        </w:rPr>
      </w:pPr>
      <w:r>
        <w:rPr>
          <w:rFonts w:ascii="宋体" w:hAnsi="宋体"/>
          <w:b w:val="0"/>
          <w:bCs w:val="0"/>
        </w:rPr>
        <w:t>2.</w:t>
      </w:r>
      <w:r>
        <w:rPr>
          <w:rFonts w:hint="eastAsia" w:ascii="宋体" w:hAnsi="宋体"/>
          <w:b w:val="0"/>
          <w:bCs w:val="0"/>
        </w:rPr>
        <w:t>投标人应根据自身的承诺，对照招标文件要求在“偏离说明”中注明“</w:t>
      </w:r>
      <w:r>
        <w:rPr>
          <w:rFonts w:hint="eastAsia" w:ascii="宋体" w:hAnsi="宋体"/>
        </w:rPr>
        <w:t>正偏离</w:t>
      </w:r>
      <w:r>
        <w:rPr>
          <w:rFonts w:hint="eastAsia" w:ascii="宋体" w:hAnsi="宋体"/>
          <w:b w:val="0"/>
          <w:bCs w:val="0"/>
        </w:rPr>
        <w:t>”、“</w:t>
      </w:r>
      <w:r>
        <w:rPr>
          <w:rFonts w:hint="eastAsia" w:ascii="宋体" w:hAnsi="宋体"/>
        </w:rPr>
        <w:t>负偏离</w:t>
      </w:r>
      <w:r>
        <w:rPr>
          <w:rFonts w:hint="eastAsia" w:ascii="宋体" w:hAnsi="宋体"/>
          <w:b w:val="0"/>
          <w:bCs w:val="0"/>
        </w:rPr>
        <w:t>”或者“</w:t>
      </w:r>
      <w:r>
        <w:rPr>
          <w:rFonts w:hint="eastAsia" w:ascii="宋体" w:hAnsi="宋体"/>
        </w:rPr>
        <w:t>无偏离</w:t>
      </w:r>
      <w:r>
        <w:rPr>
          <w:rFonts w:hint="eastAsia" w:ascii="宋体" w:hAnsi="宋体"/>
          <w:b w:val="0"/>
          <w:bCs w:val="0"/>
        </w:rPr>
        <w:t>”。既不属于“</w:t>
      </w:r>
      <w:r>
        <w:rPr>
          <w:rFonts w:hint="eastAsia" w:ascii="宋体" w:hAnsi="宋体"/>
        </w:rPr>
        <w:t>正偏离</w:t>
      </w:r>
      <w:r>
        <w:rPr>
          <w:rFonts w:hint="eastAsia" w:ascii="宋体" w:hAnsi="宋体"/>
          <w:b w:val="0"/>
          <w:bCs w:val="0"/>
        </w:rPr>
        <w:t>”也不属于“</w:t>
      </w:r>
      <w:r>
        <w:rPr>
          <w:rFonts w:hint="eastAsia" w:ascii="宋体" w:hAnsi="宋体"/>
        </w:rPr>
        <w:t>负偏离</w:t>
      </w:r>
      <w:r>
        <w:rPr>
          <w:rFonts w:hint="eastAsia" w:ascii="宋体" w:hAnsi="宋体"/>
          <w:b w:val="0"/>
          <w:bCs w:val="0"/>
        </w:rPr>
        <w:t>”即为“</w:t>
      </w:r>
      <w:r>
        <w:rPr>
          <w:rFonts w:hint="eastAsia" w:ascii="宋体" w:hAnsi="宋体"/>
        </w:rPr>
        <w:t>无偏离</w:t>
      </w:r>
      <w:r>
        <w:rPr>
          <w:rFonts w:hint="eastAsia" w:ascii="宋体" w:hAnsi="宋体"/>
          <w:b w:val="0"/>
          <w:bCs w:val="0"/>
        </w:rPr>
        <w:t>”。</w:t>
      </w:r>
    </w:p>
    <w:p w14:paraId="25D89DC0">
      <w:pPr>
        <w:snapToGrid w:val="0"/>
        <w:spacing w:before="50" w:after="50"/>
        <w:rPr>
          <w:rFonts w:hint="eastAsia" w:ascii="宋体" w:hAnsi="宋体"/>
          <w:sz w:val="24"/>
        </w:rPr>
      </w:pPr>
    </w:p>
    <w:p w14:paraId="02288E98">
      <w:pPr>
        <w:snapToGrid w:val="0"/>
        <w:spacing w:before="50" w:after="50"/>
        <w:rPr>
          <w:rFonts w:hint="eastAsia"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w:t>
      </w:r>
      <w:r>
        <w:rPr>
          <w:rFonts w:hint="eastAsia" w:ascii="宋体" w:hAnsi="宋体"/>
          <w:spacing w:val="20"/>
          <w:sz w:val="24"/>
          <w:u w:val="single"/>
        </w:rPr>
        <w:t xml:space="preserve">        </w:t>
      </w:r>
    </w:p>
    <w:p w14:paraId="68F30767">
      <w:pPr>
        <w:snapToGrid w:val="0"/>
        <w:spacing w:before="120" w:beforeLines="50"/>
        <w:rPr>
          <w:rFonts w:hint="eastAsia" w:ascii="宋体" w:hAnsi="宋体"/>
          <w:spacing w:val="20"/>
          <w:sz w:val="24"/>
        </w:rPr>
      </w:pPr>
      <w:r>
        <w:rPr>
          <w:rFonts w:hint="eastAsia" w:ascii="宋体" w:hAnsi="宋体"/>
          <w:spacing w:val="20"/>
          <w:sz w:val="24"/>
        </w:rPr>
        <w:t>投标人盖公章：</w:t>
      </w:r>
      <w:r>
        <w:rPr>
          <w:rFonts w:hint="eastAsia" w:ascii="宋体" w:hAnsi="宋体"/>
          <w:spacing w:val="20"/>
          <w:sz w:val="24"/>
          <w:u w:val="single"/>
        </w:rPr>
        <w:t xml:space="preserve">            </w:t>
      </w:r>
      <w:r>
        <w:rPr>
          <w:rFonts w:hint="eastAsia" w:ascii="宋体" w:hAnsi="宋体"/>
          <w:spacing w:val="20"/>
          <w:sz w:val="24"/>
        </w:rPr>
        <w:t xml:space="preserve">   </w:t>
      </w:r>
    </w:p>
    <w:p w14:paraId="4E6FDE60">
      <w:pPr>
        <w:snapToGrid w:val="0"/>
        <w:spacing w:before="120" w:beforeLines="50"/>
        <w:rPr>
          <w:rFonts w:hint="eastAsia"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p>
    <w:p w14:paraId="34B2DF32">
      <w:pPr>
        <w:snapToGrid w:val="0"/>
        <w:spacing w:before="120" w:beforeLines="50"/>
        <w:rPr>
          <w:rFonts w:hint="eastAsia" w:ascii="宋体" w:hAnsi="宋体"/>
          <w:sz w:val="24"/>
          <w:szCs w:val="20"/>
        </w:rPr>
      </w:pPr>
    </w:p>
    <w:p w14:paraId="4D293E3B">
      <w:pPr>
        <w:snapToGrid w:val="0"/>
        <w:spacing w:before="120" w:beforeLines="50" w:after="50"/>
        <w:jc w:val="left"/>
        <w:rPr>
          <w:rFonts w:hint="eastAsia" w:ascii="宋体" w:hAnsi="宋体"/>
          <w:sz w:val="24"/>
          <w:szCs w:val="20"/>
        </w:rPr>
      </w:pPr>
    </w:p>
    <w:p w14:paraId="424538B2">
      <w:pPr>
        <w:snapToGrid w:val="0"/>
        <w:spacing w:before="120" w:beforeLines="50" w:after="50"/>
        <w:jc w:val="left"/>
        <w:rPr>
          <w:rFonts w:hint="eastAsia" w:ascii="宋体" w:hAnsi="宋体"/>
          <w:b/>
          <w:sz w:val="24"/>
        </w:rPr>
      </w:pPr>
      <w:r>
        <w:rPr>
          <w:rFonts w:ascii="宋体" w:hAnsi="宋体"/>
          <w:sz w:val="24"/>
          <w:szCs w:val="20"/>
        </w:rPr>
        <w:br w:type="page"/>
      </w:r>
      <w:r>
        <w:rPr>
          <w:rFonts w:hint="eastAsia" w:ascii="宋体" w:hAnsi="宋体"/>
          <w:b/>
          <w:sz w:val="24"/>
        </w:rPr>
        <w:t>7.投标人业绩证明材料</w:t>
      </w:r>
    </w:p>
    <w:p w14:paraId="749CE7A4">
      <w:pPr>
        <w:pStyle w:val="23"/>
        <w:snapToGrid w:val="0"/>
        <w:ind w:left="480" w:hanging="480"/>
        <w:rPr>
          <w:rFonts w:hint="eastAsia" w:ascii="宋体" w:hAnsi="宋体"/>
          <w:sz w:val="24"/>
        </w:rPr>
      </w:pPr>
    </w:p>
    <w:p w14:paraId="426F7CC2">
      <w:pPr>
        <w:pStyle w:val="23"/>
        <w:snapToGrid w:val="0"/>
        <w:ind w:left="480" w:hanging="480"/>
        <w:rPr>
          <w:rFonts w:hint="eastAsia" w:ascii="宋体" w:hAnsi="宋体"/>
          <w:sz w:val="24"/>
        </w:rPr>
      </w:pPr>
      <w:r>
        <w:rPr>
          <w:rFonts w:hint="eastAsia" w:ascii="宋体" w:hAnsi="宋体"/>
          <w:sz w:val="24"/>
        </w:rPr>
        <w:t xml:space="preserve">投标人业绩情况一览表格式： </w:t>
      </w:r>
    </w:p>
    <w:tbl>
      <w:tblPr>
        <w:tblStyle w:val="2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368E0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4A11F3D2">
            <w:pPr>
              <w:snapToGrid w:val="0"/>
              <w:spacing w:line="240" w:lineRule="exact"/>
              <w:jc w:val="center"/>
              <w:rPr>
                <w:rFonts w:hint="eastAsia" w:ascii="宋体" w:hAnsi="宋体"/>
                <w:sz w:val="24"/>
              </w:rPr>
            </w:pPr>
            <w:r>
              <w:rPr>
                <w:rFonts w:hint="eastAsia" w:ascii="宋体" w:hAnsi="宋体"/>
                <w:sz w:val="24"/>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2DC394DC">
            <w:pPr>
              <w:snapToGrid w:val="0"/>
              <w:spacing w:line="240" w:lineRule="exact"/>
              <w:jc w:val="center"/>
              <w:rPr>
                <w:rFonts w:hint="eastAsia" w:ascii="宋体" w:hAnsi="宋体"/>
                <w:sz w:val="24"/>
              </w:rPr>
            </w:pPr>
            <w:r>
              <w:rPr>
                <w:rFonts w:hint="eastAsia" w:ascii="宋体" w:hAnsi="宋体"/>
                <w:sz w:val="24"/>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43328008">
            <w:pPr>
              <w:snapToGrid w:val="0"/>
              <w:spacing w:line="240" w:lineRule="exact"/>
              <w:jc w:val="center"/>
              <w:rPr>
                <w:rFonts w:hint="eastAsia" w:ascii="宋体" w:hAnsi="宋体"/>
                <w:sz w:val="24"/>
              </w:rPr>
            </w:pPr>
            <w:r>
              <w:rPr>
                <w:rFonts w:hint="eastAsia" w:ascii="宋体" w:hAnsi="宋体"/>
                <w:sz w:val="24"/>
              </w:rPr>
              <w:t>合同金额</w:t>
            </w:r>
          </w:p>
          <w:p w14:paraId="03669105">
            <w:pPr>
              <w:snapToGrid w:val="0"/>
              <w:spacing w:line="240" w:lineRule="exact"/>
              <w:jc w:val="center"/>
              <w:rPr>
                <w:rFonts w:hint="eastAsia" w:ascii="宋体" w:hAnsi="宋体"/>
                <w:sz w:val="24"/>
              </w:rPr>
            </w:pPr>
            <w:r>
              <w:rPr>
                <w:rFonts w:hint="eastAsia" w:ascii="宋体" w:hAnsi="宋体"/>
                <w:sz w:val="24"/>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10D625B1">
            <w:pPr>
              <w:snapToGrid w:val="0"/>
              <w:spacing w:line="240" w:lineRule="exact"/>
              <w:jc w:val="center"/>
              <w:rPr>
                <w:rFonts w:hint="eastAsia" w:ascii="宋体" w:hAnsi="宋体"/>
                <w:sz w:val="24"/>
              </w:rPr>
            </w:pPr>
            <w:r>
              <w:rPr>
                <w:rFonts w:hint="eastAsia" w:ascii="宋体" w:hAnsi="宋体"/>
                <w:sz w:val="24"/>
              </w:rPr>
              <w:t>采购人联系人及</w:t>
            </w:r>
          </w:p>
          <w:p w14:paraId="0270A59C">
            <w:pPr>
              <w:snapToGrid w:val="0"/>
              <w:spacing w:line="240" w:lineRule="exact"/>
              <w:jc w:val="center"/>
              <w:rPr>
                <w:rFonts w:hint="eastAsia" w:ascii="宋体" w:hAnsi="宋体"/>
                <w:sz w:val="24"/>
              </w:rPr>
            </w:pPr>
            <w:r>
              <w:rPr>
                <w:rFonts w:hint="eastAsia" w:ascii="宋体" w:hAnsi="宋体"/>
                <w:sz w:val="24"/>
              </w:rPr>
              <w:t>联系电话</w:t>
            </w:r>
          </w:p>
        </w:tc>
      </w:tr>
      <w:tr w14:paraId="0C5741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02DE03AC">
            <w:pPr>
              <w:jc w:val="left"/>
              <w:rPr>
                <w:rFonts w:hint="eastAsia" w:ascii="宋体" w:hAnsi="宋体"/>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1A3F8280">
            <w:pPr>
              <w:jc w:val="left"/>
              <w:rPr>
                <w:rFonts w:hint="eastAsia" w:ascii="宋体" w:hAnsi="宋体"/>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117E3801">
            <w:pPr>
              <w:jc w:val="left"/>
              <w:rPr>
                <w:rFonts w:hint="eastAsia" w:ascii="宋体" w:hAnsi="宋体"/>
                <w:sz w:val="24"/>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32373E21">
            <w:pPr>
              <w:jc w:val="left"/>
              <w:rPr>
                <w:rFonts w:hint="eastAsia" w:ascii="宋体" w:hAnsi="宋体"/>
                <w:sz w:val="24"/>
              </w:rPr>
            </w:pPr>
          </w:p>
        </w:tc>
      </w:tr>
      <w:tr w14:paraId="7DB3AF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0A7B3FC1">
            <w:pPr>
              <w:snapToGrid w:val="0"/>
              <w:spacing w:line="24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35498E0E">
            <w:pPr>
              <w:snapToGrid w:val="0"/>
              <w:spacing w:line="24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61DB78BD">
            <w:pPr>
              <w:snapToGrid w:val="0"/>
              <w:spacing w:line="240" w:lineRule="exact"/>
              <w:jc w:val="left"/>
              <w:rPr>
                <w:rFonts w:hint="eastAsia"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3BB3D9B4">
            <w:pPr>
              <w:snapToGrid w:val="0"/>
              <w:spacing w:line="240" w:lineRule="exact"/>
              <w:jc w:val="left"/>
              <w:rPr>
                <w:rFonts w:hint="eastAsia" w:ascii="宋体" w:hAnsi="宋体"/>
                <w:sz w:val="24"/>
              </w:rPr>
            </w:pPr>
          </w:p>
        </w:tc>
      </w:tr>
      <w:tr w14:paraId="24C00E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7163646E">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0D10BB7D">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55F550B3">
            <w:pPr>
              <w:snapToGrid w:val="0"/>
              <w:spacing w:before="50" w:after="120" w:afterLines="50" w:line="400" w:lineRule="exact"/>
              <w:jc w:val="left"/>
              <w:rPr>
                <w:rFonts w:hint="eastAsia"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3F25B5E6">
            <w:pPr>
              <w:snapToGrid w:val="0"/>
              <w:spacing w:before="50" w:after="120" w:afterLines="50" w:line="400" w:lineRule="exact"/>
              <w:jc w:val="left"/>
              <w:rPr>
                <w:rFonts w:hint="eastAsia" w:ascii="宋体" w:hAnsi="宋体"/>
                <w:sz w:val="24"/>
              </w:rPr>
            </w:pPr>
          </w:p>
        </w:tc>
      </w:tr>
      <w:tr w14:paraId="3F0C55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76F34558">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6DB83914">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4F7294B3">
            <w:pPr>
              <w:snapToGrid w:val="0"/>
              <w:spacing w:before="50" w:after="120" w:afterLines="50" w:line="400" w:lineRule="exact"/>
              <w:jc w:val="left"/>
              <w:rPr>
                <w:rFonts w:hint="eastAsia"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79BF682C">
            <w:pPr>
              <w:snapToGrid w:val="0"/>
              <w:spacing w:before="50" w:after="120" w:afterLines="50" w:line="400" w:lineRule="exact"/>
              <w:jc w:val="left"/>
              <w:rPr>
                <w:rFonts w:hint="eastAsia" w:ascii="宋体" w:hAnsi="宋体"/>
                <w:sz w:val="24"/>
              </w:rPr>
            </w:pPr>
          </w:p>
        </w:tc>
      </w:tr>
      <w:tr w14:paraId="6E6A0A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57321603">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37834828">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427402EB">
            <w:pPr>
              <w:snapToGrid w:val="0"/>
              <w:spacing w:before="50" w:after="120" w:afterLines="50" w:line="400" w:lineRule="exact"/>
              <w:jc w:val="left"/>
              <w:rPr>
                <w:rFonts w:hint="eastAsia"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77A0C9C9">
            <w:pPr>
              <w:snapToGrid w:val="0"/>
              <w:spacing w:before="50" w:after="120" w:afterLines="50" w:line="400" w:lineRule="exact"/>
              <w:jc w:val="left"/>
              <w:rPr>
                <w:rFonts w:hint="eastAsia" w:ascii="宋体" w:hAnsi="宋体"/>
                <w:sz w:val="24"/>
              </w:rPr>
            </w:pPr>
          </w:p>
        </w:tc>
      </w:tr>
      <w:tr w14:paraId="705A0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752B1C6C">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11EE4FC0">
            <w:pPr>
              <w:snapToGrid w:val="0"/>
              <w:spacing w:before="50" w:after="120" w:afterLines="50" w:line="400" w:lineRule="exact"/>
              <w:jc w:val="left"/>
              <w:rPr>
                <w:rFonts w:hint="eastAsia" w:ascii="宋体" w:hAnsi="宋体"/>
                <w:sz w:val="24"/>
              </w:rPr>
            </w:pPr>
          </w:p>
        </w:tc>
        <w:tc>
          <w:tcPr>
            <w:tcW w:w="1038" w:type="pct"/>
            <w:tcBorders>
              <w:top w:val="single" w:color="auto" w:sz="4" w:space="0"/>
              <w:left w:val="single" w:color="auto" w:sz="4" w:space="0"/>
              <w:bottom w:val="single" w:color="auto" w:sz="4" w:space="0"/>
              <w:right w:val="single" w:color="auto" w:sz="4" w:space="0"/>
            </w:tcBorders>
          </w:tcPr>
          <w:p w14:paraId="7E763D9B">
            <w:pPr>
              <w:snapToGrid w:val="0"/>
              <w:spacing w:before="50" w:after="120" w:afterLines="50" w:line="400" w:lineRule="exact"/>
              <w:jc w:val="left"/>
              <w:rPr>
                <w:rFonts w:hint="eastAsia" w:ascii="宋体" w:hAnsi="宋体"/>
                <w:sz w:val="24"/>
              </w:rPr>
            </w:pPr>
          </w:p>
        </w:tc>
        <w:tc>
          <w:tcPr>
            <w:tcW w:w="1674" w:type="pct"/>
            <w:tcBorders>
              <w:top w:val="single" w:color="auto" w:sz="4" w:space="0"/>
              <w:left w:val="single" w:color="auto" w:sz="4" w:space="0"/>
              <w:bottom w:val="single" w:color="auto" w:sz="4" w:space="0"/>
              <w:right w:val="single" w:color="auto" w:sz="4" w:space="0"/>
            </w:tcBorders>
          </w:tcPr>
          <w:p w14:paraId="192660BE">
            <w:pPr>
              <w:snapToGrid w:val="0"/>
              <w:spacing w:before="50" w:after="120" w:afterLines="50" w:line="400" w:lineRule="exact"/>
              <w:jc w:val="left"/>
              <w:rPr>
                <w:rFonts w:hint="eastAsia" w:ascii="宋体" w:hAnsi="宋体"/>
                <w:sz w:val="24"/>
              </w:rPr>
            </w:pPr>
          </w:p>
        </w:tc>
      </w:tr>
    </w:tbl>
    <w:p w14:paraId="4A05D784">
      <w:pPr>
        <w:pStyle w:val="11"/>
        <w:spacing w:before="0" w:after="0" w:line="360" w:lineRule="auto"/>
        <w:contextualSpacing/>
        <w:rPr>
          <w:rFonts w:hint="eastAsia" w:ascii="宋体" w:hAnsi="宋体" w:eastAsia="宋体"/>
          <w:sz w:val="24"/>
          <w:szCs w:val="24"/>
        </w:rPr>
      </w:pPr>
    </w:p>
    <w:p w14:paraId="5D29C196">
      <w:pPr>
        <w:pStyle w:val="11"/>
        <w:spacing w:before="0" w:after="0" w:line="360" w:lineRule="auto"/>
        <w:contextualSpacing/>
        <w:rPr>
          <w:rFonts w:hint="eastAsia" w:ascii="宋体" w:hAnsi="宋体" w:eastAsia="宋体"/>
          <w:sz w:val="24"/>
          <w:szCs w:val="24"/>
        </w:rPr>
      </w:pPr>
      <w:r>
        <w:rPr>
          <w:rFonts w:hint="eastAsia" w:ascii="宋体" w:hAnsi="宋体" w:eastAsia="宋体"/>
          <w:sz w:val="24"/>
          <w:szCs w:val="24"/>
        </w:rPr>
        <w:t>注：</w:t>
      </w:r>
      <w:r>
        <w:rPr>
          <w:rFonts w:hint="eastAsia" w:ascii="宋体" w:hAnsi="宋体"/>
          <w:sz w:val="24"/>
        </w:rPr>
        <w:t>投标人根据评标标准具体要求附业绩证明材料。</w:t>
      </w:r>
    </w:p>
    <w:p w14:paraId="25F48125">
      <w:pPr>
        <w:pStyle w:val="11"/>
        <w:spacing w:before="0" w:after="0" w:line="360" w:lineRule="auto"/>
        <w:contextualSpacing/>
        <w:jc w:val="left"/>
        <w:rPr>
          <w:rFonts w:hint="eastAsia" w:ascii="宋体" w:hAnsi="宋体" w:eastAsia="宋体"/>
          <w:sz w:val="24"/>
          <w:szCs w:val="24"/>
          <w:u w:val="single"/>
        </w:rPr>
      </w:pPr>
      <w:r>
        <w:rPr>
          <w:rFonts w:hint="eastAsia" w:ascii="宋体" w:hAnsi="宋体" w:eastAsia="宋体"/>
          <w:sz w:val="24"/>
          <w:szCs w:val="24"/>
        </w:rPr>
        <w:t>法定代表人或者委托代理人（签字）：</w:t>
      </w:r>
      <w:r>
        <w:rPr>
          <w:rFonts w:hint="eastAsia" w:ascii="宋体" w:hAnsi="宋体" w:eastAsia="宋体"/>
          <w:sz w:val="24"/>
          <w:szCs w:val="24"/>
          <w:u w:val="single"/>
        </w:rPr>
        <w:t>　　　　　</w:t>
      </w:r>
    </w:p>
    <w:p w14:paraId="300B2044">
      <w:pPr>
        <w:spacing w:line="360" w:lineRule="auto"/>
        <w:ind w:right="480"/>
        <w:contextualSpacing/>
        <w:jc w:val="left"/>
        <w:rPr>
          <w:rFonts w:hint="eastAsia" w:ascii="宋体" w:hAnsi="宋体"/>
          <w:sz w:val="24"/>
          <w:szCs w:val="20"/>
        </w:rPr>
      </w:pPr>
      <w:r>
        <w:rPr>
          <w:rFonts w:hint="eastAsia" w:ascii="宋体" w:hAnsi="宋体" w:cs="Arial"/>
          <w:sz w:val="24"/>
        </w:rPr>
        <w:t xml:space="preserve">投标人（盖公章）： </w:t>
      </w:r>
      <w:r>
        <w:rPr>
          <w:rFonts w:hint="eastAsia" w:ascii="宋体" w:hAnsi="宋体"/>
          <w:sz w:val="24"/>
          <w:u w:val="single"/>
        </w:rPr>
        <w:t xml:space="preserve">                </w:t>
      </w:r>
      <w:r>
        <w:rPr>
          <w:rFonts w:hint="eastAsia" w:ascii="宋体" w:hAnsi="宋体"/>
          <w:sz w:val="24"/>
        </w:rPr>
        <w:t xml:space="preserve">                                                              年    月    日</w:t>
      </w:r>
    </w:p>
    <w:p w14:paraId="35E1908B">
      <w:pPr>
        <w:snapToGrid w:val="0"/>
        <w:spacing w:before="50"/>
        <w:ind w:firstLine="480" w:firstLineChars="200"/>
        <w:jc w:val="left"/>
        <w:rPr>
          <w:rFonts w:hint="eastAsia" w:ascii="宋体" w:hAnsi="宋体"/>
          <w:sz w:val="24"/>
          <w:szCs w:val="20"/>
        </w:rPr>
      </w:pPr>
    </w:p>
    <w:p w14:paraId="2972F50C">
      <w:pPr>
        <w:snapToGrid w:val="0"/>
        <w:spacing w:before="50"/>
        <w:jc w:val="left"/>
        <w:rPr>
          <w:rFonts w:hint="eastAsia" w:ascii="宋体" w:hAnsi="宋体"/>
          <w:sz w:val="24"/>
        </w:rPr>
      </w:pPr>
    </w:p>
    <w:p w14:paraId="3A2F8AF3">
      <w:pPr>
        <w:snapToGrid w:val="0"/>
        <w:spacing w:before="120" w:beforeLines="50"/>
        <w:rPr>
          <w:rFonts w:hint="eastAsia" w:ascii="宋体" w:hAnsi="宋体"/>
          <w:sz w:val="24"/>
          <w:szCs w:val="20"/>
        </w:rPr>
        <w:sectPr>
          <w:pgSz w:w="11906" w:h="16838"/>
          <w:pgMar w:top="1440" w:right="1797" w:bottom="1440" w:left="1797" w:header="851" w:footer="992" w:gutter="0"/>
          <w:cols w:space="720" w:num="1"/>
          <w:docGrid w:linePitch="312" w:charSpace="0"/>
        </w:sectPr>
      </w:pPr>
    </w:p>
    <w:p w14:paraId="4CF271F4">
      <w:pPr>
        <w:rPr>
          <w:b/>
          <w:sz w:val="28"/>
          <w:szCs w:val="28"/>
        </w:rPr>
      </w:pPr>
      <w:r>
        <w:rPr>
          <w:rFonts w:hint="eastAsia"/>
          <w:b/>
          <w:sz w:val="28"/>
          <w:szCs w:val="28"/>
        </w:rPr>
        <w:t>四、技术文件格式</w:t>
      </w:r>
    </w:p>
    <w:p w14:paraId="0C0A8A24">
      <w:pPr>
        <w:snapToGrid w:val="0"/>
        <w:spacing w:before="120" w:beforeLines="50" w:after="50"/>
        <w:ind w:left="142"/>
        <w:jc w:val="left"/>
        <w:rPr>
          <w:rFonts w:hint="eastAsia" w:ascii="宋体" w:hAnsi="宋体"/>
          <w:b/>
          <w:sz w:val="24"/>
        </w:rPr>
      </w:pPr>
      <w:r>
        <w:rPr>
          <w:rFonts w:hint="eastAsia" w:ascii="宋体" w:hAnsi="宋体"/>
          <w:b/>
          <w:sz w:val="24"/>
        </w:rPr>
        <w:t xml:space="preserve">1. 技术文件封面格式： </w:t>
      </w:r>
    </w:p>
    <w:p w14:paraId="0B623B28">
      <w:pPr>
        <w:snapToGrid w:val="0"/>
        <w:spacing w:before="120" w:beforeLines="50" w:after="50"/>
        <w:rPr>
          <w:rFonts w:hint="eastAsia" w:ascii="宋体" w:hAnsi="宋体"/>
          <w:b/>
          <w:bCs/>
          <w:sz w:val="32"/>
          <w:szCs w:val="20"/>
        </w:rPr>
      </w:pPr>
      <w:r>
        <w:rPr>
          <w:rFonts w:hint="eastAsia" w:ascii="宋体" w:hAnsi="宋体"/>
          <w:sz w:val="24"/>
        </w:rPr>
        <w:t xml:space="preserve">                                                   </w:t>
      </w:r>
    </w:p>
    <w:p w14:paraId="52842A39">
      <w:pPr>
        <w:snapToGrid w:val="0"/>
        <w:spacing w:before="120" w:beforeLines="50" w:after="50"/>
        <w:rPr>
          <w:rFonts w:hint="eastAsia" w:ascii="宋体" w:hAnsi="宋体"/>
          <w:sz w:val="24"/>
          <w:szCs w:val="20"/>
        </w:rPr>
      </w:pPr>
    </w:p>
    <w:p w14:paraId="3354AB7E">
      <w:pPr>
        <w:snapToGrid w:val="0"/>
        <w:spacing w:before="120" w:beforeLines="50" w:after="50"/>
        <w:rPr>
          <w:rFonts w:hint="eastAsia" w:ascii="宋体" w:hAnsi="宋体"/>
          <w:sz w:val="24"/>
          <w:szCs w:val="20"/>
        </w:rPr>
      </w:pPr>
    </w:p>
    <w:p w14:paraId="5243D1FF">
      <w:pPr>
        <w:snapToGrid w:val="0"/>
        <w:spacing w:before="120" w:beforeLines="50" w:after="50"/>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投  标  文  件</w:t>
      </w:r>
    </w:p>
    <w:p w14:paraId="0EDBF995">
      <w:pPr>
        <w:snapToGrid w:val="0"/>
        <w:spacing w:before="120" w:beforeLines="50" w:after="50"/>
        <w:rPr>
          <w:rFonts w:hint="eastAsia" w:ascii="宋体" w:hAnsi="宋体"/>
          <w:sz w:val="24"/>
          <w:szCs w:val="20"/>
        </w:rPr>
      </w:pPr>
    </w:p>
    <w:p w14:paraId="280289B8">
      <w:pPr>
        <w:snapToGrid w:val="0"/>
        <w:spacing w:before="120" w:beforeLines="50" w:after="50"/>
        <w:rPr>
          <w:rFonts w:hint="eastAsia" w:ascii="宋体" w:hAnsi="宋体"/>
          <w:sz w:val="24"/>
          <w:szCs w:val="20"/>
        </w:rPr>
      </w:pPr>
    </w:p>
    <w:p w14:paraId="046A215A">
      <w:pPr>
        <w:snapToGrid w:val="0"/>
        <w:spacing w:before="120" w:beforeLines="50" w:after="50"/>
        <w:jc w:val="center"/>
        <w:rPr>
          <w:rFonts w:hint="eastAsia" w:ascii="宋体" w:hAnsi="宋体"/>
          <w:b/>
          <w:bCs/>
          <w:sz w:val="32"/>
          <w:szCs w:val="32"/>
        </w:rPr>
      </w:pPr>
      <w:r>
        <w:rPr>
          <w:rFonts w:hint="eastAsia" w:ascii="宋体" w:hAnsi="宋体"/>
          <w:b/>
          <w:bCs/>
          <w:sz w:val="32"/>
          <w:szCs w:val="32"/>
        </w:rPr>
        <w:t>技  术  文  件</w:t>
      </w:r>
    </w:p>
    <w:p w14:paraId="768E3470">
      <w:pPr>
        <w:snapToGrid w:val="0"/>
        <w:spacing w:before="120" w:beforeLines="50" w:after="50"/>
        <w:rPr>
          <w:rFonts w:hint="eastAsia" w:ascii="宋体" w:hAnsi="宋体"/>
          <w:bCs/>
          <w:sz w:val="24"/>
          <w:szCs w:val="20"/>
        </w:rPr>
      </w:pPr>
    </w:p>
    <w:p w14:paraId="487E961D">
      <w:pPr>
        <w:snapToGrid w:val="0"/>
        <w:spacing w:before="120" w:beforeLines="50" w:after="50"/>
        <w:rPr>
          <w:rFonts w:hint="eastAsia" w:ascii="宋体" w:hAnsi="宋体"/>
          <w:bCs/>
          <w:sz w:val="24"/>
          <w:szCs w:val="20"/>
        </w:rPr>
      </w:pPr>
    </w:p>
    <w:p w14:paraId="3B519FE4">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 xml:space="preserve">项目名称： </w:t>
      </w:r>
    </w:p>
    <w:p w14:paraId="456FC100">
      <w:pPr>
        <w:snapToGrid w:val="0"/>
        <w:spacing w:before="120" w:beforeLines="50" w:after="50" w:line="400" w:lineRule="exact"/>
        <w:ind w:firstLine="360" w:firstLineChars="150"/>
        <w:rPr>
          <w:rFonts w:hint="eastAsia" w:ascii="宋体" w:hAnsi="宋体"/>
          <w:bCs/>
          <w:sz w:val="24"/>
          <w:szCs w:val="20"/>
        </w:rPr>
      </w:pPr>
    </w:p>
    <w:p w14:paraId="6B4BE84D">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 xml:space="preserve">项目编号： </w:t>
      </w:r>
    </w:p>
    <w:p w14:paraId="5A1BC0DE">
      <w:pPr>
        <w:snapToGrid w:val="0"/>
        <w:spacing w:before="120" w:beforeLines="50" w:after="50" w:line="400" w:lineRule="exact"/>
        <w:rPr>
          <w:rFonts w:hint="eastAsia" w:ascii="宋体" w:hAnsi="宋体"/>
          <w:bCs/>
          <w:sz w:val="24"/>
        </w:rPr>
      </w:pPr>
    </w:p>
    <w:p w14:paraId="75C2D7E4">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投标人名称：</w:t>
      </w:r>
    </w:p>
    <w:p w14:paraId="4EE13E76">
      <w:pPr>
        <w:snapToGrid w:val="0"/>
        <w:spacing w:before="120" w:beforeLines="50" w:after="50" w:line="400" w:lineRule="exact"/>
        <w:ind w:firstLine="360" w:firstLineChars="150"/>
        <w:rPr>
          <w:rFonts w:hint="eastAsia" w:ascii="宋体" w:hAnsi="宋体"/>
          <w:bCs/>
          <w:sz w:val="24"/>
        </w:rPr>
      </w:pPr>
    </w:p>
    <w:p w14:paraId="32261FCB">
      <w:pPr>
        <w:snapToGrid w:val="0"/>
        <w:spacing w:before="120" w:beforeLines="50" w:after="50" w:line="400" w:lineRule="exact"/>
        <w:ind w:firstLine="360" w:firstLineChars="150"/>
        <w:rPr>
          <w:rFonts w:hint="eastAsia" w:ascii="宋体" w:hAnsi="宋体"/>
          <w:bCs/>
          <w:sz w:val="24"/>
        </w:rPr>
      </w:pPr>
      <w:r>
        <w:rPr>
          <w:rFonts w:hint="eastAsia" w:ascii="宋体" w:hAnsi="宋体"/>
          <w:bCs/>
          <w:sz w:val="24"/>
        </w:rPr>
        <w:t>投标人地址：</w:t>
      </w:r>
    </w:p>
    <w:p w14:paraId="7B9E69F0">
      <w:pPr>
        <w:snapToGrid w:val="0"/>
        <w:spacing w:before="120" w:beforeLines="50" w:after="50" w:line="400" w:lineRule="exact"/>
        <w:ind w:firstLine="360" w:firstLineChars="150"/>
        <w:rPr>
          <w:rFonts w:hint="eastAsia" w:ascii="宋体" w:hAnsi="宋体"/>
          <w:bCs/>
          <w:sz w:val="24"/>
        </w:rPr>
      </w:pPr>
    </w:p>
    <w:p w14:paraId="07530910">
      <w:pPr>
        <w:snapToGrid w:val="0"/>
        <w:spacing w:before="120" w:beforeLines="50" w:after="50"/>
        <w:ind w:firstLine="645"/>
        <w:jc w:val="center"/>
        <w:rPr>
          <w:rFonts w:hint="eastAsia" w:ascii="宋体" w:hAnsi="宋体"/>
          <w:sz w:val="24"/>
        </w:rPr>
      </w:pPr>
      <w:r>
        <w:rPr>
          <w:rFonts w:hint="eastAsia" w:ascii="宋体" w:hAnsi="宋体"/>
          <w:sz w:val="24"/>
        </w:rPr>
        <w:t xml:space="preserve">               </w:t>
      </w:r>
    </w:p>
    <w:p w14:paraId="178F5B72">
      <w:pPr>
        <w:snapToGrid w:val="0"/>
        <w:spacing w:before="120" w:beforeLines="50" w:after="50"/>
        <w:ind w:firstLine="645"/>
        <w:jc w:val="center"/>
        <w:rPr>
          <w:rFonts w:hint="eastAsia" w:ascii="宋体" w:hAnsi="宋体"/>
          <w:sz w:val="24"/>
        </w:rPr>
      </w:pPr>
    </w:p>
    <w:p w14:paraId="71B3D377">
      <w:pPr>
        <w:snapToGrid w:val="0"/>
        <w:spacing w:before="120" w:beforeLines="50" w:after="50"/>
        <w:ind w:firstLine="645"/>
        <w:jc w:val="center"/>
        <w:rPr>
          <w:rFonts w:hint="eastAsia" w:ascii="宋体" w:hAnsi="宋体"/>
          <w:sz w:val="24"/>
        </w:rPr>
      </w:pPr>
      <w:r>
        <w:rPr>
          <w:rFonts w:hint="eastAsia" w:ascii="宋体" w:hAnsi="宋体"/>
          <w:sz w:val="24"/>
        </w:rPr>
        <w:t>年    月    日</w:t>
      </w:r>
    </w:p>
    <w:p w14:paraId="1AC47F22">
      <w:pPr>
        <w:snapToGrid w:val="0"/>
        <w:spacing w:before="120" w:beforeLines="50" w:after="50"/>
        <w:ind w:firstLine="645"/>
        <w:jc w:val="center"/>
        <w:rPr>
          <w:rFonts w:hint="eastAsia" w:ascii="宋体" w:hAnsi="宋体"/>
          <w:sz w:val="24"/>
          <w:szCs w:val="20"/>
        </w:rPr>
      </w:pPr>
    </w:p>
    <w:p w14:paraId="7F4DFB69">
      <w:pPr>
        <w:snapToGrid w:val="0"/>
        <w:spacing w:before="120" w:beforeLines="50" w:after="50"/>
        <w:ind w:left="142"/>
        <w:jc w:val="left"/>
        <w:rPr>
          <w:rFonts w:hint="eastAsia" w:ascii="宋体" w:hAnsi="宋体"/>
          <w:b/>
          <w:bCs/>
          <w:sz w:val="24"/>
        </w:rPr>
      </w:pPr>
      <w:r>
        <w:rPr>
          <w:rFonts w:ascii="宋体" w:hAnsi="宋体"/>
          <w:b/>
          <w:bCs/>
          <w:sz w:val="24"/>
        </w:rPr>
        <w:br w:type="page"/>
      </w:r>
      <w:r>
        <w:rPr>
          <w:rFonts w:hint="eastAsia" w:ascii="宋体" w:hAnsi="宋体"/>
          <w:b/>
          <w:bCs/>
          <w:sz w:val="24"/>
        </w:rPr>
        <w:t>2.技术文件目录</w:t>
      </w:r>
    </w:p>
    <w:p w14:paraId="6DB2F6F5">
      <w:pPr>
        <w:snapToGrid w:val="0"/>
        <w:spacing w:before="50" w:after="120" w:afterLines="50" w:line="360" w:lineRule="auto"/>
        <w:ind w:firstLine="480" w:firstLineChars="200"/>
        <w:jc w:val="left"/>
        <w:rPr>
          <w:rFonts w:hint="eastAsia" w:ascii="宋体" w:hAnsi="宋体"/>
          <w:sz w:val="24"/>
        </w:rPr>
      </w:pPr>
      <w:r>
        <w:rPr>
          <w:rFonts w:hint="eastAsia" w:ascii="宋体" w:hAnsi="宋体"/>
          <w:sz w:val="24"/>
        </w:rPr>
        <w:t>根据招标文件规定及投标人提供的材料自行编写目录。</w:t>
      </w:r>
    </w:p>
    <w:p w14:paraId="05B9131D">
      <w:pPr>
        <w:spacing w:line="360" w:lineRule="auto"/>
        <w:contextualSpacing/>
        <w:rPr>
          <w:rFonts w:hint="eastAsia" w:ascii="宋体" w:hAnsi="宋体"/>
          <w:sz w:val="24"/>
          <w:szCs w:val="20"/>
        </w:rPr>
      </w:pPr>
      <w:r>
        <w:rPr>
          <w:rFonts w:ascii="宋体" w:hAnsi="宋体"/>
          <w:b/>
          <w:sz w:val="24"/>
        </w:rPr>
        <w:br w:type="page"/>
      </w:r>
    </w:p>
    <w:p w14:paraId="281EE7A0">
      <w:pPr>
        <w:snapToGrid w:val="0"/>
        <w:spacing w:before="50" w:after="120" w:afterLines="50"/>
        <w:jc w:val="left"/>
        <w:rPr>
          <w:rFonts w:hint="eastAsia" w:ascii="宋体" w:hAnsi="宋体"/>
          <w:sz w:val="24"/>
          <w:szCs w:val="20"/>
        </w:rPr>
      </w:pPr>
    </w:p>
    <w:p w14:paraId="44A89F6B">
      <w:pPr>
        <w:snapToGrid w:val="0"/>
        <w:spacing w:before="50" w:after="120" w:afterLines="50"/>
        <w:jc w:val="left"/>
        <w:rPr>
          <w:rFonts w:hint="eastAsia" w:ascii="宋体" w:hAnsi="宋体"/>
          <w:sz w:val="24"/>
          <w:szCs w:val="20"/>
        </w:rPr>
      </w:pPr>
    </w:p>
    <w:p w14:paraId="13F8B1DA">
      <w:pPr>
        <w:snapToGrid w:val="0"/>
        <w:spacing w:before="120" w:beforeLines="50" w:after="50"/>
        <w:jc w:val="left"/>
        <w:rPr>
          <w:rFonts w:hint="eastAsia" w:ascii="宋体" w:hAnsi="宋体"/>
          <w:b/>
          <w:sz w:val="24"/>
        </w:rPr>
      </w:pPr>
      <w:r>
        <w:rPr>
          <w:rFonts w:hint="eastAsia" w:ascii="宋体" w:hAnsi="宋体"/>
          <w:b/>
          <w:sz w:val="24"/>
        </w:rPr>
        <w:t>3. 技术要求偏离表格式</w:t>
      </w:r>
    </w:p>
    <w:p w14:paraId="46CBB3D7">
      <w:pPr>
        <w:snapToGrid w:val="0"/>
        <w:spacing w:before="120" w:beforeLines="50" w:after="50"/>
        <w:ind w:left="142"/>
        <w:jc w:val="left"/>
        <w:rPr>
          <w:rFonts w:hint="eastAsia" w:ascii="宋体" w:hAnsi="宋体"/>
          <w:b/>
          <w:sz w:val="24"/>
        </w:rPr>
      </w:pPr>
    </w:p>
    <w:p w14:paraId="0FBF0910">
      <w:pPr>
        <w:snapToGrid w:val="0"/>
        <w:spacing w:before="120" w:beforeLines="50" w:after="50"/>
        <w:ind w:left="142"/>
        <w:jc w:val="center"/>
        <w:rPr>
          <w:rFonts w:hint="eastAsia" w:ascii="宋体" w:hAnsi="宋体"/>
          <w:b/>
          <w:sz w:val="32"/>
          <w:szCs w:val="32"/>
        </w:rPr>
      </w:pPr>
      <w:r>
        <w:rPr>
          <w:rFonts w:hint="eastAsia" w:ascii="宋体" w:hAnsi="宋体"/>
          <w:b/>
          <w:sz w:val="32"/>
          <w:szCs w:val="32"/>
        </w:rPr>
        <w:t>技术要求偏离表</w:t>
      </w:r>
    </w:p>
    <w:tbl>
      <w:tblPr>
        <w:tblStyle w:val="2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A4B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2ECB6901">
            <w:pPr>
              <w:pStyle w:val="17"/>
              <w:spacing w:line="400" w:lineRule="exact"/>
              <w:jc w:val="center"/>
              <w:rPr>
                <w:rFonts w:hint="eastAsia" w:hAnsi="宋体" w:cs="Courier New"/>
                <w:kern w:val="2"/>
                <w:sz w:val="24"/>
                <w:szCs w:val="24"/>
              </w:rPr>
            </w:pPr>
            <w:r>
              <w:rPr>
                <w:rFonts w:hint="eastAsia" w:hAnsi="宋体" w:cs="Courier New"/>
                <w:kern w:val="2"/>
                <w:sz w:val="24"/>
                <w:szCs w:val="24"/>
              </w:rPr>
              <w:t>项号</w:t>
            </w:r>
          </w:p>
        </w:tc>
        <w:tc>
          <w:tcPr>
            <w:tcW w:w="2143" w:type="dxa"/>
            <w:vAlign w:val="center"/>
          </w:tcPr>
          <w:p w14:paraId="4C881C10">
            <w:pPr>
              <w:pStyle w:val="17"/>
              <w:spacing w:line="400" w:lineRule="exact"/>
              <w:jc w:val="center"/>
              <w:rPr>
                <w:rFonts w:hint="eastAsia" w:hAnsi="宋体" w:cs="Courier New"/>
                <w:kern w:val="2"/>
                <w:sz w:val="24"/>
                <w:szCs w:val="24"/>
              </w:rPr>
            </w:pPr>
            <w:r>
              <w:rPr>
                <w:rFonts w:hint="eastAsia" w:hAnsi="宋体" w:cs="Courier New"/>
                <w:kern w:val="2"/>
                <w:sz w:val="24"/>
                <w:szCs w:val="24"/>
              </w:rPr>
              <w:t>标的的名称</w:t>
            </w:r>
          </w:p>
        </w:tc>
        <w:tc>
          <w:tcPr>
            <w:tcW w:w="1834" w:type="dxa"/>
            <w:vAlign w:val="center"/>
          </w:tcPr>
          <w:p w14:paraId="1CA95D58">
            <w:pPr>
              <w:pStyle w:val="17"/>
              <w:spacing w:line="400" w:lineRule="exact"/>
              <w:jc w:val="center"/>
              <w:rPr>
                <w:rFonts w:hint="eastAsia" w:hAnsi="宋体" w:cs="Courier New"/>
                <w:kern w:val="2"/>
                <w:sz w:val="24"/>
                <w:szCs w:val="24"/>
              </w:rPr>
            </w:pPr>
            <w:r>
              <w:rPr>
                <w:rFonts w:hint="eastAsia" w:hAnsi="宋体" w:cs="Courier New"/>
                <w:kern w:val="2"/>
                <w:sz w:val="24"/>
                <w:szCs w:val="24"/>
              </w:rPr>
              <w:t>技术要求</w:t>
            </w:r>
          </w:p>
        </w:tc>
        <w:tc>
          <w:tcPr>
            <w:tcW w:w="2181" w:type="dxa"/>
            <w:vAlign w:val="center"/>
          </w:tcPr>
          <w:p w14:paraId="286EB00B">
            <w:pPr>
              <w:pStyle w:val="17"/>
              <w:spacing w:line="400" w:lineRule="exact"/>
              <w:jc w:val="center"/>
              <w:rPr>
                <w:rFonts w:hint="eastAsia" w:hAnsi="宋体" w:cs="Courier New"/>
                <w:kern w:val="2"/>
                <w:sz w:val="24"/>
                <w:szCs w:val="24"/>
              </w:rPr>
            </w:pPr>
            <w:r>
              <w:rPr>
                <w:rFonts w:hint="eastAsia" w:hAnsi="宋体" w:cs="Courier New"/>
                <w:kern w:val="2"/>
                <w:sz w:val="24"/>
                <w:szCs w:val="24"/>
              </w:rPr>
              <w:t>投标响应</w:t>
            </w:r>
          </w:p>
        </w:tc>
        <w:tc>
          <w:tcPr>
            <w:tcW w:w="1934" w:type="dxa"/>
            <w:vAlign w:val="center"/>
          </w:tcPr>
          <w:p w14:paraId="39645CE1">
            <w:pPr>
              <w:pStyle w:val="17"/>
              <w:spacing w:line="400" w:lineRule="exact"/>
              <w:jc w:val="center"/>
              <w:rPr>
                <w:rFonts w:hint="eastAsia" w:hAnsi="宋体" w:cs="Courier New"/>
                <w:kern w:val="2"/>
                <w:sz w:val="24"/>
                <w:szCs w:val="24"/>
              </w:rPr>
            </w:pPr>
            <w:r>
              <w:rPr>
                <w:rFonts w:hint="eastAsia" w:hAnsi="宋体" w:cs="Courier New"/>
                <w:kern w:val="2"/>
                <w:sz w:val="24"/>
                <w:szCs w:val="24"/>
              </w:rPr>
              <w:t>偏离说明</w:t>
            </w:r>
          </w:p>
        </w:tc>
      </w:tr>
      <w:tr w14:paraId="1032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F54B390">
            <w:pPr>
              <w:pStyle w:val="17"/>
              <w:spacing w:line="600" w:lineRule="exact"/>
              <w:jc w:val="center"/>
              <w:rPr>
                <w:rFonts w:hint="eastAsia" w:hAnsi="宋体" w:cs="Courier New"/>
                <w:kern w:val="2"/>
                <w:sz w:val="24"/>
                <w:szCs w:val="24"/>
              </w:rPr>
            </w:pPr>
          </w:p>
        </w:tc>
        <w:tc>
          <w:tcPr>
            <w:tcW w:w="2143" w:type="dxa"/>
            <w:vAlign w:val="center"/>
          </w:tcPr>
          <w:p w14:paraId="5F79577A">
            <w:pPr>
              <w:pStyle w:val="17"/>
              <w:spacing w:line="600" w:lineRule="exact"/>
              <w:jc w:val="center"/>
              <w:rPr>
                <w:rFonts w:hint="eastAsia" w:hAnsi="宋体" w:cs="Courier New"/>
                <w:kern w:val="2"/>
                <w:sz w:val="24"/>
                <w:szCs w:val="24"/>
              </w:rPr>
            </w:pPr>
          </w:p>
        </w:tc>
        <w:tc>
          <w:tcPr>
            <w:tcW w:w="1834" w:type="dxa"/>
            <w:vAlign w:val="center"/>
          </w:tcPr>
          <w:p w14:paraId="4D1DDE0D">
            <w:pPr>
              <w:pStyle w:val="17"/>
              <w:spacing w:line="600" w:lineRule="exact"/>
              <w:jc w:val="center"/>
              <w:rPr>
                <w:rFonts w:hint="eastAsia" w:hAnsi="宋体" w:cs="Courier New"/>
                <w:kern w:val="2"/>
                <w:sz w:val="24"/>
                <w:szCs w:val="24"/>
              </w:rPr>
            </w:pPr>
          </w:p>
        </w:tc>
        <w:tc>
          <w:tcPr>
            <w:tcW w:w="2181" w:type="dxa"/>
            <w:vAlign w:val="center"/>
          </w:tcPr>
          <w:p w14:paraId="0DDC86CC">
            <w:pPr>
              <w:pStyle w:val="17"/>
              <w:spacing w:line="600" w:lineRule="exact"/>
              <w:jc w:val="center"/>
              <w:rPr>
                <w:rFonts w:hint="eastAsia" w:hAnsi="宋体" w:cs="Courier New"/>
                <w:kern w:val="2"/>
                <w:sz w:val="24"/>
                <w:szCs w:val="24"/>
              </w:rPr>
            </w:pPr>
          </w:p>
        </w:tc>
        <w:tc>
          <w:tcPr>
            <w:tcW w:w="1934" w:type="dxa"/>
            <w:vAlign w:val="center"/>
          </w:tcPr>
          <w:p w14:paraId="602BED11">
            <w:pPr>
              <w:pStyle w:val="17"/>
              <w:spacing w:line="600" w:lineRule="exact"/>
              <w:jc w:val="center"/>
              <w:rPr>
                <w:rFonts w:hint="eastAsia" w:hAnsi="宋体" w:cs="Courier New"/>
                <w:kern w:val="2"/>
                <w:sz w:val="24"/>
                <w:szCs w:val="24"/>
              </w:rPr>
            </w:pPr>
          </w:p>
        </w:tc>
      </w:tr>
      <w:tr w14:paraId="1FAE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C288F28">
            <w:pPr>
              <w:pStyle w:val="17"/>
              <w:spacing w:line="600" w:lineRule="exact"/>
              <w:rPr>
                <w:rFonts w:hint="eastAsia" w:hAnsi="宋体" w:cs="Courier New"/>
                <w:kern w:val="2"/>
                <w:sz w:val="24"/>
                <w:szCs w:val="24"/>
              </w:rPr>
            </w:pPr>
          </w:p>
        </w:tc>
        <w:tc>
          <w:tcPr>
            <w:tcW w:w="2143" w:type="dxa"/>
          </w:tcPr>
          <w:p w14:paraId="3B08EBE4">
            <w:pPr>
              <w:pStyle w:val="17"/>
              <w:spacing w:line="600" w:lineRule="exact"/>
              <w:rPr>
                <w:rFonts w:hint="eastAsia" w:hAnsi="宋体" w:cs="Courier New"/>
                <w:kern w:val="2"/>
                <w:sz w:val="24"/>
                <w:szCs w:val="24"/>
              </w:rPr>
            </w:pPr>
          </w:p>
        </w:tc>
        <w:tc>
          <w:tcPr>
            <w:tcW w:w="1834" w:type="dxa"/>
          </w:tcPr>
          <w:p w14:paraId="604E5521">
            <w:pPr>
              <w:pStyle w:val="17"/>
              <w:spacing w:line="600" w:lineRule="exact"/>
              <w:rPr>
                <w:rFonts w:hint="eastAsia" w:hAnsi="宋体" w:cs="Courier New"/>
                <w:kern w:val="2"/>
                <w:sz w:val="24"/>
                <w:szCs w:val="24"/>
              </w:rPr>
            </w:pPr>
          </w:p>
        </w:tc>
        <w:tc>
          <w:tcPr>
            <w:tcW w:w="2181" w:type="dxa"/>
          </w:tcPr>
          <w:p w14:paraId="3824C1E2">
            <w:pPr>
              <w:pStyle w:val="17"/>
              <w:spacing w:line="600" w:lineRule="exact"/>
              <w:rPr>
                <w:rFonts w:hint="eastAsia" w:hAnsi="宋体" w:cs="Courier New"/>
                <w:kern w:val="2"/>
                <w:sz w:val="24"/>
                <w:szCs w:val="24"/>
              </w:rPr>
            </w:pPr>
          </w:p>
        </w:tc>
        <w:tc>
          <w:tcPr>
            <w:tcW w:w="1934" w:type="dxa"/>
          </w:tcPr>
          <w:p w14:paraId="752ECE58">
            <w:pPr>
              <w:pStyle w:val="17"/>
              <w:spacing w:line="600" w:lineRule="exact"/>
              <w:rPr>
                <w:rFonts w:hint="eastAsia" w:hAnsi="宋体" w:cs="Courier New"/>
                <w:kern w:val="2"/>
                <w:sz w:val="24"/>
                <w:szCs w:val="24"/>
              </w:rPr>
            </w:pPr>
          </w:p>
        </w:tc>
      </w:tr>
      <w:tr w14:paraId="3F67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76A44DF">
            <w:pPr>
              <w:pStyle w:val="17"/>
              <w:spacing w:line="600" w:lineRule="exact"/>
              <w:rPr>
                <w:rFonts w:hint="eastAsia" w:hAnsi="宋体" w:cs="Courier New"/>
                <w:kern w:val="2"/>
                <w:sz w:val="24"/>
                <w:szCs w:val="24"/>
              </w:rPr>
            </w:pPr>
          </w:p>
        </w:tc>
        <w:tc>
          <w:tcPr>
            <w:tcW w:w="2143" w:type="dxa"/>
          </w:tcPr>
          <w:p w14:paraId="62E0DA34">
            <w:pPr>
              <w:pStyle w:val="17"/>
              <w:spacing w:line="600" w:lineRule="exact"/>
              <w:rPr>
                <w:rFonts w:hint="eastAsia" w:hAnsi="宋体" w:cs="Courier New"/>
                <w:kern w:val="2"/>
                <w:sz w:val="24"/>
                <w:szCs w:val="24"/>
              </w:rPr>
            </w:pPr>
          </w:p>
        </w:tc>
        <w:tc>
          <w:tcPr>
            <w:tcW w:w="1834" w:type="dxa"/>
          </w:tcPr>
          <w:p w14:paraId="671FE9C2">
            <w:pPr>
              <w:pStyle w:val="17"/>
              <w:spacing w:line="600" w:lineRule="exact"/>
              <w:rPr>
                <w:rFonts w:hint="eastAsia" w:hAnsi="宋体" w:cs="Courier New"/>
                <w:kern w:val="2"/>
                <w:sz w:val="24"/>
                <w:szCs w:val="24"/>
              </w:rPr>
            </w:pPr>
          </w:p>
        </w:tc>
        <w:tc>
          <w:tcPr>
            <w:tcW w:w="2181" w:type="dxa"/>
          </w:tcPr>
          <w:p w14:paraId="4E57B4C2">
            <w:pPr>
              <w:pStyle w:val="17"/>
              <w:spacing w:line="600" w:lineRule="exact"/>
              <w:rPr>
                <w:rFonts w:hint="eastAsia" w:hAnsi="宋体" w:cs="Courier New"/>
                <w:kern w:val="2"/>
                <w:sz w:val="24"/>
                <w:szCs w:val="24"/>
              </w:rPr>
            </w:pPr>
          </w:p>
        </w:tc>
        <w:tc>
          <w:tcPr>
            <w:tcW w:w="1934" w:type="dxa"/>
          </w:tcPr>
          <w:p w14:paraId="15BE44EE">
            <w:pPr>
              <w:pStyle w:val="17"/>
              <w:spacing w:line="600" w:lineRule="exact"/>
              <w:rPr>
                <w:rFonts w:hint="eastAsia" w:hAnsi="宋体" w:cs="Courier New"/>
                <w:kern w:val="2"/>
                <w:sz w:val="24"/>
                <w:szCs w:val="24"/>
              </w:rPr>
            </w:pPr>
          </w:p>
        </w:tc>
      </w:tr>
      <w:tr w14:paraId="5BCD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12D8A17">
            <w:pPr>
              <w:pStyle w:val="17"/>
              <w:spacing w:line="600" w:lineRule="exact"/>
              <w:rPr>
                <w:rFonts w:hint="eastAsia" w:hAnsi="宋体" w:cs="Courier New"/>
                <w:kern w:val="2"/>
                <w:sz w:val="24"/>
                <w:szCs w:val="24"/>
              </w:rPr>
            </w:pPr>
          </w:p>
        </w:tc>
        <w:tc>
          <w:tcPr>
            <w:tcW w:w="2143" w:type="dxa"/>
          </w:tcPr>
          <w:p w14:paraId="7B17765C">
            <w:pPr>
              <w:pStyle w:val="17"/>
              <w:spacing w:line="600" w:lineRule="exact"/>
              <w:rPr>
                <w:rFonts w:hint="eastAsia" w:hAnsi="宋体" w:cs="Courier New"/>
                <w:kern w:val="2"/>
                <w:sz w:val="24"/>
                <w:szCs w:val="24"/>
              </w:rPr>
            </w:pPr>
          </w:p>
        </w:tc>
        <w:tc>
          <w:tcPr>
            <w:tcW w:w="1834" w:type="dxa"/>
          </w:tcPr>
          <w:p w14:paraId="4E2497BD">
            <w:pPr>
              <w:pStyle w:val="17"/>
              <w:spacing w:line="600" w:lineRule="exact"/>
              <w:rPr>
                <w:rFonts w:hint="eastAsia" w:hAnsi="宋体" w:cs="Courier New"/>
                <w:kern w:val="2"/>
                <w:sz w:val="24"/>
                <w:szCs w:val="24"/>
              </w:rPr>
            </w:pPr>
          </w:p>
        </w:tc>
        <w:tc>
          <w:tcPr>
            <w:tcW w:w="2181" w:type="dxa"/>
          </w:tcPr>
          <w:p w14:paraId="6CDE1249">
            <w:pPr>
              <w:pStyle w:val="17"/>
              <w:spacing w:line="600" w:lineRule="exact"/>
              <w:rPr>
                <w:rFonts w:hint="eastAsia" w:hAnsi="宋体" w:cs="Courier New"/>
                <w:kern w:val="2"/>
                <w:sz w:val="24"/>
                <w:szCs w:val="24"/>
              </w:rPr>
            </w:pPr>
          </w:p>
        </w:tc>
        <w:tc>
          <w:tcPr>
            <w:tcW w:w="1934" w:type="dxa"/>
          </w:tcPr>
          <w:p w14:paraId="1E70788D">
            <w:pPr>
              <w:pStyle w:val="17"/>
              <w:spacing w:line="600" w:lineRule="exact"/>
              <w:rPr>
                <w:rFonts w:hint="eastAsia" w:hAnsi="宋体" w:cs="Courier New"/>
                <w:kern w:val="2"/>
                <w:sz w:val="24"/>
                <w:szCs w:val="24"/>
              </w:rPr>
            </w:pPr>
          </w:p>
        </w:tc>
      </w:tr>
      <w:tr w14:paraId="0538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5D23E09">
            <w:pPr>
              <w:pStyle w:val="17"/>
              <w:spacing w:line="600" w:lineRule="exact"/>
              <w:rPr>
                <w:rFonts w:hint="eastAsia" w:hAnsi="宋体" w:cs="Courier New"/>
                <w:kern w:val="2"/>
                <w:sz w:val="24"/>
                <w:szCs w:val="24"/>
              </w:rPr>
            </w:pPr>
          </w:p>
        </w:tc>
        <w:tc>
          <w:tcPr>
            <w:tcW w:w="2143" w:type="dxa"/>
          </w:tcPr>
          <w:p w14:paraId="1DA2E71E">
            <w:pPr>
              <w:pStyle w:val="17"/>
              <w:spacing w:line="600" w:lineRule="exact"/>
              <w:rPr>
                <w:rFonts w:hint="eastAsia" w:hAnsi="宋体" w:cs="Courier New"/>
                <w:kern w:val="2"/>
                <w:sz w:val="24"/>
                <w:szCs w:val="24"/>
              </w:rPr>
            </w:pPr>
          </w:p>
        </w:tc>
        <w:tc>
          <w:tcPr>
            <w:tcW w:w="1834" w:type="dxa"/>
          </w:tcPr>
          <w:p w14:paraId="0D892984">
            <w:pPr>
              <w:pStyle w:val="17"/>
              <w:spacing w:line="600" w:lineRule="exact"/>
              <w:rPr>
                <w:rFonts w:hint="eastAsia" w:hAnsi="宋体" w:cs="Courier New"/>
                <w:kern w:val="2"/>
                <w:sz w:val="24"/>
                <w:szCs w:val="24"/>
              </w:rPr>
            </w:pPr>
          </w:p>
        </w:tc>
        <w:tc>
          <w:tcPr>
            <w:tcW w:w="2181" w:type="dxa"/>
          </w:tcPr>
          <w:p w14:paraId="620A6898">
            <w:pPr>
              <w:pStyle w:val="17"/>
              <w:spacing w:line="600" w:lineRule="exact"/>
              <w:rPr>
                <w:rFonts w:hint="eastAsia" w:hAnsi="宋体" w:cs="Courier New"/>
                <w:kern w:val="2"/>
                <w:sz w:val="24"/>
                <w:szCs w:val="24"/>
              </w:rPr>
            </w:pPr>
          </w:p>
        </w:tc>
        <w:tc>
          <w:tcPr>
            <w:tcW w:w="1934" w:type="dxa"/>
          </w:tcPr>
          <w:p w14:paraId="445B7F89">
            <w:pPr>
              <w:pStyle w:val="17"/>
              <w:spacing w:line="600" w:lineRule="exact"/>
              <w:rPr>
                <w:rFonts w:hint="eastAsia" w:hAnsi="宋体" w:cs="Courier New"/>
                <w:kern w:val="2"/>
                <w:sz w:val="24"/>
                <w:szCs w:val="24"/>
              </w:rPr>
            </w:pPr>
          </w:p>
        </w:tc>
      </w:tr>
      <w:tr w14:paraId="0FBA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5DF33D9">
            <w:pPr>
              <w:pStyle w:val="17"/>
              <w:spacing w:line="600" w:lineRule="exact"/>
              <w:rPr>
                <w:rFonts w:hint="eastAsia" w:hAnsi="宋体" w:cs="Courier New"/>
                <w:kern w:val="2"/>
                <w:sz w:val="24"/>
                <w:szCs w:val="24"/>
              </w:rPr>
            </w:pPr>
          </w:p>
        </w:tc>
        <w:tc>
          <w:tcPr>
            <w:tcW w:w="2143" w:type="dxa"/>
          </w:tcPr>
          <w:p w14:paraId="3ED4FDB9">
            <w:pPr>
              <w:pStyle w:val="17"/>
              <w:spacing w:line="600" w:lineRule="exact"/>
              <w:rPr>
                <w:rFonts w:hint="eastAsia" w:hAnsi="宋体" w:cs="Courier New"/>
                <w:kern w:val="2"/>
                <w:sz w:val="24"/>
                <w:szCs w:val="24"/>
              </w:rPr>
            </w:pPr>
          </w:p>
        </w:tc>
        <w:tc>
          <w:tcPr>
            <w:tcW w:w="1834" w:type="dxa"/>
          </w:tcPr>
          <w:p w14:paraId="0C167FA5">
            <w:pPr>
              <w:pStyle w:val="17"/>
              <w:spacing w:line="600" w:lineRule="exact"/>
              <w:rPr>
                <w:rFonts w:hint="eastAsia" w:hAnsi="宋体" w:cs="Courier New"/>
                <w:kern w:val="2"/>
                <w:sz w:val="24"/>
                <w:szCs w:val="24"/>
              </w:rPr>
            </w:pPr>
          </w:p>
        </w:tc>
        <w:tc>
          <w:tcPr>
            <w:tcW w:w="2181" w:type="dxa"/>
          </w:tcPr>
          <w:p w14:paraId="562BA3D3">
            <w:pPr>
              <w:pStyle w:val="17"/>
              <w:spacing w:line="600" w:lineRule="exact"/>
              <w:rPr>
                <w:rFonts w:hint="eastAsia" w:hAnsi="宋体" w:cs="Courier New"/>
                <w:kern w:val="2"/>
                <w:sz w:val="24"/>
                <w:szCs w:val="24"/>
              </w:rPr>
            </w:pPr>
          </w:p>
        </w:tc>
        <w:tc>
          <w:tcPr>
            <w:tcW w:w="1934" w:type="dxa"/>
          </w:tcPr>
          <w:p w14:paraId="6338A90C">
            <w:pPr>
              <w:pStyle w:val="17"/>
              <w:spacing w:line="600" w:lineRule="exact"/>
              <w:rPr>
                <w:rFonts w:hint="eastAsia" w:hAnsi="宋体" w:cs="Courier New"/>
                <w:kern w:val="2"/>
                <w:sz w:val="24"/>
                <w:szCs w:val="24"/>
              </w:rPr>
            </w:pPr>
          </w:p>
        </w:tc>
      </w:tr>
    </w:tbl>
    <w:p w14:paraId="7040CA34">
      <w:pPr>
        <w:pStyle w:val="13"/>
        <w:rPr>
          <w:rFonts w:hint="eastAsia" w:ascii="宋体" w:hAnsi="宋体"/>
        </w:rPr>
      </w:pPr>
      <w:r>
        <w:rPr>
          <w:rFonts w:hint="eastAsia" w:ascii="宋体" w:hAnsi="宋体"/>
        </w:rPr>
        <w:t>注：</w:t>
      </w:r>
    </w:p>
    <w:p w14:paraId="009A27A1">
      <w:pPr>
        <w:pStyle w:val="15"/>
        <w:spacing w:line="360" w:lineRule="auto"/>
        <w:ind w:firstLine="0" w:firstLineChars="0"/>
        <w:rPr>
          <w:rFonts w:hint="eastAsia" w:hAnsi="仿宋_GB2312" w:cs="仿宋_GB2312"/>
          <w:szCs w:val="32"/>
        </w:rPr>
      </w:pPr>
      <w:r>
        <w:rPr>
          <w:rFonts w:hint="eastAsia" w:ascii="宋体" w:hAnsi="宋体" w:eastAsia="宋体"/>
          <w:sz w:val="24"/>
          <w:szCs w:val="24"/>
        </w:rPr>
        <w:t>1. 说明：应对照招标文件“第二章 采购需求”中的“技术要求”逐条作明确的投标响应，并作出偏离说明。</w:t>
      </w:r>
    </w:p>
    <w:p w14:paraId="34EEECFB">
      <w:pPr>
        <w:pStyle w:val="13"/>
        <w:spacing w:line="360" w:lineRule="auto"/>
        <w:rPr>
          <w:rFonts w:hint="eastAsia" w:ascii="宋体" w:hAnsi="宋体"/>
          <w:b w:val="0"/>
          <w:bCs w:val="0"/>
        </w:rPr>
      </w:pPr>
      <w:r>
        <w:rPr>
          <w:rFonts w:ascii="宋体" w:hAnsi="宋体"/>
          <w:b w:val="0"/>
          <w:bCs w:val="0"/>
        </w:rPr>
        <w:t>2.</w:t>
      </w:r>
      <w:r>
        <w:rPr>
          <w:rFonts w:hint="eastAsia" w:ascii="宋体" w:hAnsi="宋体"/>
          <w:b w:val="0"/>
          <w:bCs w:val="0"/>
        </w:rPr>
        <w:t>投标人根据投标货物的性能指标，对照招标文件技术要求，在“偏离说明”中注明“</w:t>
      </w:r>
      <w:r>
        <w:rPr>
          <w:rFonts w:hint="eastAsia" w:ascii="宋体" w:hAnsi="宋体"/>
        </w:rPr>
        <w:t>正偏离</w:t>
      </w:r>
      <w:r>
        <w:rPr>
          <w:rFonts w:hint="eastAsia" w:ascii="宋体" w:hAnsi="宋体"/>
          <w:b w:val="0"/>
          <w:bCs w:val="0"/>
        </w:rPr>
        <w:t>”、“</w:t>
      </w:r>
      <w:r>
        <w:rPr>
          <w:rFonts w:hint="eastAsia" w:ascii="宋体" w:hAnsi="宋体"/>
        </w:rPr>
        <w:t>负偏离</w:t>
      </w:r>
      <w:r>
        <w:rPr>
          <w:rFonts w:hint="eastAsia" w:ascii="宋体" w:hAnsi="宋体"/>
          <w:b w:val="0"/>
          <w:bCs w:val="0"/>
        </w:rPr>
        <w:t>”或者“</w:t>
      </w:r>
      <w:r>
        <w:rPr>
          <w:rFonts w:hint="eastAsia" w:ascii="宋体" w:hAnsi="宋体"/>
        </w:rPr>
        <w:t>无偏离</w:t>
      </w:r>
      <w:r>
        <w:rPr>
          <w:rFonts w:hint="eastAsia" w:ascii="宋体" w:hAnsi="宋体"/>
          <w:b w:val="0"/>
          <w:bCs w:val="0"/>
        </w:rPr>
        <w:t>”。既不属于“</w:t>
      </w:r>
      <w:r>
        <w:rPr>
          <w:rFonts w:hint="eastAsia" w:ascii="宋体" w:hAnsi="宋体"/>
        </w:rPr>
        <w:t>正偏离</w:t>
      </w:r>
      <w:r>
        <w:rPr>
          <w:rFonts w:hint="eastAsia" w:ascii="宋体" w:hAnsi="宋体"/>
          <w:b w:val="0"/>
          <w:bCs w:val="0"/>
        </w:rPr>
        <w:t>”也不属于“</w:t>
      </w:r>
      <w:r>
        <w:rPr>
          <w:rFonts w:hint="eastAsia" w:ascii="宋体" w:hAnsi="宋体"/>
        </w:rPr>
        <w:t>负偏离</w:t>
      </w:r>
      <w:r>
        <w:rPr>
          <w:rFonts w:hint="eastAsia" w:ascii="宋体" w:hAnsi="宋体"/>
          <w:b w:val="0"/>
          <w:bCs w:val="0"/>
        </w:rPr>
        <w:t>”即为“</w:t>
      </w:r>
      <w:r>
        <w:rPr>
          <w:rFonts w:hint="eastAsia" w:ascii="宋体" w:hAnsi="宋体"/>
        </w:rPr>
        <w:t>无偏离</w:t>
      </w:r>
      <w:r>
        <w:rPr>
          <w:rFonts w:hint="eastAsia" w:ascii="宋体" w:hAnsi="宋体"/>
          <w:b w:val="0"/>
          <w:bCs w:val="0"/>
        </w:rPr>
        <w:t>”。</w:t>
      </w:r>
    </w:p>
    <w:p w14:paraId="4D063A71">
      <w:pPr>
        <w:pStyle w:val="15"/>
        <w:spacing w:line="360" w:lineRule="auto"/>
        <w:ind w:firstLine="0" w:firstLineChars="0"/>
        <w:rPr>
          <w:rFonts w:hint="eastAsia" w:ascii="宋体" w:hAnsi="宋体" w:eastAsia="宋体"/>
          <w:sz w:val="24"/>
          <w:szCs w:val="24"/>
        </w:rPr>
      </w:pPr>
      <w:r>
        <w:rPr>
          <w:rFonts w:hint="eastAsia" w:ascii="宋体" w:hAnsi="宋体" w:eastAsia="宋体"/>
          <w:sz w:val="24"/>
          <w:szCs w:val="24"/>
        </w:rPr>
        <w:t>3.投标人认为其投标响应有正偏离的，请在技术要求偏离表中列明，且在投标文件中提供投标产品的彩页或</w:t>
      </w:r>
      <w:r>
        <w:rPr>
          <w:rFonts w:ascii="宋体" w:hAnsi="宋体" w:eastAsia="宋体"/>
          <w:sz w:val="24"/>
          <w:szCs w:val="24"/>
        </w:rPr>
        <w:t>国家认可的有资质的第三方检测机构出具的检测报告复印件</w:t>
      </w:r>
      <w:r>
        <w:rPr>
          <w:rFonts w:hint="eastAsia" w:ascii="宋体" w:hAnsi="宋体" w:eastAsia="宋体"/>
          <w:sz w:val="24"/>
          <w:szCs w:val="24"/>
        </w:rPr>
        <w:t>或产品生产厂家出具的技术参数说明证明作为佐证，以上佐证材料均需加盖生产厂家或代理商（附生产厂家授权资料）公章。</w:t>
      </w:r>
    </w:p>
    <w:p w14:paraId="02FCDD8E">
      <w:pPr>
        <w:pStyle w:val="15"/>
        <w:spacing w:line="360" w:lineRule="auto"/>
        <w:ind w:firstLine="0" w:firstLineChars="0"/>
        <w:rPr>
          <w:rFonts w:hint="eastAsia" w:ascii="宋体" w:hAnsi="宋体" w:eastAsia="宋体"/>
          <w:sz w:val="24"/>
          <w:szCs w:val="24"/>
        </w:rPr>
      </w:pPr>
      <w:r>
        <w:rPr>
          <w:rFonts w:hint="eastAsia" w:ascii="宋体" w:hAnsi="宋体" w:eastAsia="宋体"/>
          <w:sz w:val="24"/>
          <w:szCs w:val="24"/>
        </w:rPr>
        <w:t>4</w:t>
      </w:r>
      <w:r>
        <w:rPr>
          <w:rFonts w:ascii="宋体" w:hAnsi="宋体" w:eastAsia="宋体"/>
          <w:sz w:val="24"/>
          <w:szCs w:val="24"/>
        </w:rPr>
        <w:t>.</w:t>
      </w:r>
      <w:r>
        <w:rPr>
          <w:rFonts w:hint="eastAsia" w:ascii="宋体" w:hAnsi="宋体" w:eastAsia="宋体"/>
          <w:sz w:val="24"/>
          <w:szCs w:val="24"/>
        </w:rPr>
        <w:t xml:space="preserve"> 如技术要求偏离表中的投标响应与佐证材料不一致的，以佐证材料为准。</w:t>
      </w:r>
    </w:p>
    <w:p w14:paraId="39CC39F2">
      <w:pPr>
        <w:snapToGrid w:val="0"/>
        <w:spacing w:before="50" w:after="50" w:line="360" w:lineRule="auto"/>
        <w:rPr>
          <w:rFonts w:hint="eastAsia" w:ascii="宋体" w:hAnsi="宋体"/>
          <w:sz w:val="24"/>
        </w:rPr>
      </w:pPr>
    </w:p>
    <w:p w14:paraId="6AD7DCF2">
      <w:pPr>
        <w:snapToGrid w:val="0"/>
        <w:spacing w:before="50" w:after="50" w:line="360" w:lineRule="auto"/>
        <w:rPr>
          <w:rFonts w:hint="eastAsia" w:ascii="宋体" w:hAnsi="宋体"/>
          <w:spacing w:val="20"/>
          <w:sz w:val="24"/>
          <w:u w:val="single"/>
        </w:rPr>
      </w:pPr>
      <w:r>
        <w:rPr>
          <w:rFonts w:hint="eastAsia" w:ascii="宋体" w:hAnsi="宋体"/>
          <w:sz w:val="24"/>
        </w:rPr>
        <w:t>法定代表人或者委托代理人</w:t>
      </w:r>
      <w:r>
        <w:rPr>
          <w:rFonts w:hint="eastAsia" w:ascii="宋体" w:hAnsi="宋体"/>
          <w:spacing w:val="20"/>
          <w:sz w:val="24"/>
        </w:rPr>
        <w:t>（签字）：</w:t>
      </w:r>
      <w:r>
        <w:rPr>
          <w:rFonts w:hint="eastAsia" w:ascii="宋体" w:hAnsi="宋体"/>
          <w:spacing w:val="20"/>
          <w:sz w:val="24"/>
          <w:u w:val="single"/>
        </w:rPr>
        <w:t xml:space="preserve">        </w:t>
      </w:r>
    </w:p>
    <w:p w14:paraId="76440D32">
      <w:pPr>
        <w:snapToGrid w:val="0"/>
        <w:spacing w:before="50" w:after="50" w:line="360" w:lineRule="auto"/>
        <w:rPr>
          <w:rFonts w:hint="eastAsia" w:ascii="宋体" w:hAnsi="宋体"/>
          <w:spacing w:val="20"/>
          <w:sz w:val="24"/>
        </w:rPr>
      </w:pPr>
      <w:r>
        <w:rPr>
          <w:rFonts w:hint="eastAsia" w:ascii="宋体" w:hAnsi="宋体"/>
          <w:spacing w:val="20"/>
          <w:sz w:val="24"/>
        </w:rPr>
        <w:t>投标人（盖公章）：</w:t>
      </w:r>
      <w:r>
        <w:rPr>
          <w:rFonts w:hint="eastAsia" w:ascii="宋体" w:hAnsi="宋体"/>
          <w:spacing w:val="20"/>
          <w:sz w:val="24"/>
          <w:u w:val="single"/>
        </w:rPr>
        <w:t xml:space="preserve">            </w:t>
      </w:r>
      <w:r>
        <w:rPr>
          <w:rFonts w:hint="eastAsia" w:ascii="宋体" w:hAnsi="宋体"/>
          <w:spacing w:val="20"/>
          <w:sz w:val="24"/>
        </w:rPr>
        <w:t xml:space="preserve">             </w:t>
      </w:r>
    </w:p>
    <w:p w14:paraId="2BBB3CEA">
      <w:pPr>
        <w:snapToGrid w:val="0"/>
        <w:spacing w:before="50" w:after="50" w:line="360" w:lineRule="auto"/>
        <w:rPr>
          <w:rFonts w:hint="eastAsia" w:ascii="宋体" w:hAnsi="宋体"/>
          <w:spacing w:val="20"/>
          <w:sz w:val="24"/>
          <w:u w:val="single"/>
        </w:rPr>
      </w:pPr>
      <w:r>
        <w:rPr>
          <w:rFonts w:hint="eastAsia" w:ascii="宋体" w:hAnsi="宋体"/>
          <w:spacing w:val="20"/>
          <w:sz w:val="24"/>
        </w:rPr>
        <w:t xml:space="preserve"> 日 期：</w:t>
      </w:r>
      <w:r>
        <w:rPr>
          <w:rFonts w:hint="eastAsia" w:ascii="宋体" w:hAnsi="宋体"/>
          <w:spacing w:val="20"/>
          <w:sz w:val="24"/>
          <w:u w:val="single"/>
        </w:rPr>
        <w:t xml:space="preserve">        </w:t>
      </w:r>
    </w:p>
    <w:p w14:paraId="491C9953">
      <w:pPr>
        <w:snapToGrid w:val="0"/>
        <w:spacing w:before="50" w:after="50" w:line="360" w:lineRule="auto"/>
        <w:rPr>
          <w:rFonts w:hint="eastAsia" w:ascii="宋体" w:hAnsi="宋体"/>
          <w:sz w:val="24"/>
          <w:szCs w:val="20"/>
        </w:rPr>
      </w:pPr>
    </w:p>
    <w:p w14:paraId="6932E775">
      <w:pPr>
        <w:snapToGrid w:val="0"/>
        <w:spacing w:before="120" w:beforeLines="50" w:after="50"/>
        <w:ind w:firstLine="241" w:firstLineChars="100"/>
        <w:jc w:val="left"/>
        <w:rPr>
          <w:rFonts w:hint="eastAsia" w:ascii="宋体" w:hAnsi="宋体"/>
          <w:b/>
          <w:sz w:val="24"/>
        </w:rPr>
      </w:pPr>
      <w:r>
        <w:rPr>
          <w:rFonts w:hint="eastAsia" w:ascii="宋体" w:hAnsi="宋体"/>
          <w:b/>
          <w:sz w:val="24"/>
        </w:rPr>
        <w:t>4. 项目实施人员一览表格式</w:t>
      </w:r>
    </w:p>
    <w:p w14:paraId="60E65954">
      <w:pPr>
        <w:snapToGrid w:val="0"/>
        <w:spacing w:before="120" w:beforeLines="50" w:after="50"/>
        <w:ind w:left="142"/>
        <w:jc w:val="left"/>
        <w:rPr>
          <w:rFonts w:hint="eastAsia" w:ascii="宋体" w:hAnsi="宋体"/>
          <w:b/>
          <w:sz w:val="24"/>
        </w:rPr>
      </w:pPr>
    </w:p>
    <w:p w14:paraId="7FFDE5F2">
      <w:pPr>
        <w:snapToGrid w:val="0"/>
        <w:spacing w:before="120" w:beforeLines="50" w:after="50"/>
        <w:ind w:left="142"/>
        <w:jc w:val="center"/>
        <w:rPr>
          <w:rFonts w:hint="eastAsia" w:ascii="宋体" w:hAnsi="宋体"/>
          <w:b/>
          <w:sz w:val="32"/>
          <w:szCs w:val="32"/>
        </w:rPr>
      </w:pPr>
      <w:r>
        <w:rPr>
          <w:rFonts w:hint="eastAsia" w:ascii="宋体" w:hAnsi="宋体"/>
          <w:b/>
          <w:sz w:val="32"/>
          <w:szCs w:val="32"/>
        </w:rPr>
        <w:t>项目实施人员一览表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0DBA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6B6D79">
            <w:pPr>
              <w:snapToGrid w:val="0"/>
              <w:spacing w:before="50" w:after="120" w:afterLines="50"/>
              <w:jc w:val="center"/>
              <w:rPr>
                <w:rFonts w:hint="eastAsia" w:ascii="宋体" w:hAnsi="宋体"/>
                <w:sz w:val="24"/>
                <w:szCs w:val="20"/>
              </w:rPr>
            </w:pPr>
            <w:r>
              <w:rPr>
                <w:rFonts w:hint="eastAsia" w:ascii="宋体" w:hAnsi="宋体"/>
                <w:sz w:val="24"/>
                <w:szCs w:val="20"/>
              </w:rPr>
              <w:t>姓名</w:t>
            </w:r>
          </w:p>
        </w:tc>
        <w:tc>
          <w:tcPr>
            <w:tcW w:w="709" w:type="dxa"/>
            <w:vAlign w:val="center"/>
          </w:tcPr>
          <w:p w14:paraId="16539ED7">
            <w:pPr>
              <w:snapToGrid w:val="0"/>
              <w:spacing w:before="50" w:after="120" w:afterLines="50"/>
              <w:jc w:val="center"/>
              <w:rPr>
                <w:rFonts w:hint="eastAsia" w:ascii="宋体" w:hAnsi="宋体"/>
                <w:sz w:val="24"/>
                <w:szCs w:val="20"/>
              </w:rPr>
            </w:pPr>
            <w:r>
              <w:rPr>
                <w:rFonts w:hint="eastAsia" w:ascii="宋体" w:hAnsi="宋体"/>
                <w:sz w:val="24"/>
                <w:szCs w:val="20"/>
              </w:rPr>
              <w:t>职务</w:t>
            </w:r>
          </w:p>
        </w:tc>
        <w:tc>
          <w:tcPr>
            <w:tcW w:w="1701" w:type="dxa"/>
            <w:vAlign w:val="center"/>
          </w:tcPr>
          <w:p w14:paraId="21015674">
            <w:pPr>
              <w:snapToGrid w:val="0"/>
              <w:spacing w:before="50" w:after="120" w:afterLines="50"/>
              <w:jc w:val="center"/>
              <w:rPr>
                <w:rFonts w:hint="eastAsia" w:ascii="宋体" w:hAnsi="宋体"/>
                <w:sz w:val="24"/>
                <w:szCs w:val="20"/>
              </w:rPr>
            </w:pPr>
            <w:r>
              <w:rPr>
                <w:rFonts w:hint="eastAsia" w:ascii="宋体" w:hAnsi="宋体"/>
                <w:sz w:val="24"/>
                <w:szCs w:val="20"/>
              </w:rPr>
              <w:t>专业技术资格（职称）或者职业资格或者执业资格证或者其他证书</w:t>
            </w:r>
          </w:p>
        </w:tc>
        <w:tc>
          <w:tcPr>
            <w:tcW w:w="1420" w:type="dxa"/>
            <w:vAlign w:val="center"/>
          </w:tcPr>
          <w:p w14:paraId="4B5E6A65">
            <w:pPr>
              <w:snapToGrid w:val="0"/>
              <w:spacing w:before="50" w:after="120" w:afterLines="50"/>
              <w:jc w:val="center"/>
              <w:rPr>
                <w:rFonts w:hint="eastAsia" w:ascii="宋体" w:hAnsi="宋体"/>
                <w:sz w:val="24"/>
                <w:szCs w:val="20"/>
              </w:rPr>
            </w:pPr>
            <w:r>
              <w:rPr>
                <w:rFonts w:hint="eastAsia" w:ascii="宋体" w:hAnsi="宋体"/>
                <w:sz w:val="24"/>
                <w:szCs w:val="20"/>
              </w:rPr>
              <w:t>证书编号</w:t>
            </w:r>
          </w:p>
        </w:tc>
        <w:tc>
          <w:tcPr>
            <w:tcW w:w="1698" w:type="dxa"/>
            <w:vAlign w:val="center"/>
          </w:tcPr>
          <w:p w14:paraId="00247EC2">
            <w:pPr>
              <w:snapToGrid w:val="0"/>
              <w:spacing w:before="50" w:after="120" w:afterLines="50"/>
              <w:jc w:val="center"/>
              <w:rPr>
                <w:rFonts w:hint="eastAsia" w:ascii="宋体" w:hAnsi="宋体"/>
                <w:sz w:val="24"/>
                <w:szCs w:val="20"/>
              </w:rPr>
            </w:pPr>
            <w:r>
              <w:rPr>
                <w:rFonts w:hint="eastAsia" w:ascii="宋体" w:hAnsi="宋体"/>
                <w:sz w:val="24"/>
                <w:szCs w:val="20"/>
              </w:rPr>
              <w:t>参加本单位</w:t>
            </w:r>
          </w:p>
          <w:p w14:paraId="131F98B1">
            <w:pPr>
              <w:snapToGrid w:val="0"/>
              <w:spacing w:before="50" w:after="120" w:afterLines="50"/>
              <w:jc w:val="center"/>
              <w:rPr>
                <w:rFonts w:hint="eastAsia" w:ascii="宋体" w:hAnsi="宋体"/>
                <w:sz w:val="24"/>
                <w:szCs w:val="20"/>
              </w:rPr>
            </w:pPr>
            <w:r>
              <w:rPr>
                <w:rFonts w:hint="eastAsia" w:ascii="宋体" w:hAnsi="宋体"/>
                <w:sz w:val="24"/>
                <w:szCs w:val="20"/>
              </w:rPr>
              <w:t>工作时间</w:t>
            </w:r>
          </w:p>
        </w:tc>
        <w:tc>
          <w:tcPr>
            <w:tcW w:w="1843" w:type="dxa"/>
            <w:vAlign w:val="center"/>
          </w:tcPr>
          <w:p w14:paraId="3E318B54">
            <w:pPr>
              <w:snapToGrid w:val="0"/>
              <w:spacing w:before="50" w:after="120" w:afterLines="50"/>
              <w:jc w:val="center"/>
              <w:rPr>
                <w:rFonts w:hint="eastAsia" w:ascii="宋体" w:hAnsi="宋体"/>
                <w:sz w:val="24"/>
                <w:szCs w:val="20"/>
              </w:rPr>
            </w:pPr>
            <w:r>
              <w:rPr>
                <w:rFonts w:hint="eastAsia" w:ascii="宋体" w:hAnsi="宋体"/>
                <w:sz w:val="24"/>
                <w:szCs w:val="20"/>
              </w:rPr>
              <w:t>劳动合同编号</w:t>
            </w:r>
          </w:p>
        </w:tc>
      </w:tr>
      <w:tr w14:paraId="55D3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812090E">
            <w:pPr>
              <w:snapToGrid w:val="0"/>
              <w:spacing w:before="50" w:after="120" w:afterLines="50"/>
              <w:jc w:val="center"/>
              <w:rPr>
                <w:rFonts w:hint="eastAsia" w:ascii="宋体" w:hAnsi="宋体"/>
                <w:sz w:val="24"/>
                <w:szCs w:val="20"/>
              </w:rPr>
            </w:pPr>
          </w:p>
        </w:tc>
        <w:tc>
          <w:tcPr>
            <w:tcW w:w="709" w:type="dxa"/>
            <w:vAlign w:val="center"/>
          </w:tcPr>
          <w:p w14:paraId="46F24A22">
            <w:pPr>
              <w:snapToGrid w:val="0"/>
              <w:spacing w:before="50" w:after="120" w:afterLines="50"/>
              <w:jc w:val="center"/>
              <w:rPr>
                <w:rFonts w:hint="eastAsia" w:ascii="宋体" w:hAnsi="宋体"/>
                <w:sz w:val="24"/>
                <w:szCs w:val="20"/>
              </w:rPr>
            </w:pPr>
          </w:p>
        </w:tc>
        <w:tc>
          <w:tcPr>
            <w:tcW w:w="1701" w:type="dxa"/>
            <w:vAlign w:val="center"/>
          </w:tcPr>
          <w:p w14:paraId="5812D158">
            <w:pPr>
              <w:snapToGrid w:val="0"/>
              <w:spacing w:before="50" w:after="120" w:afterLines="50"/>
              <w:jc w:val="center"/>
              <w:rPr>
                <w:rFonts w:hint="eastAsia" w:ascii="宋体" w:hAnsi="宋体"/>
                <w:sz w:val="24"/>
                <w:szCs w:val="20"/>
              </w:rPr>
            </w:pPr>
          </w:p>
        </w:tc>
        <w:tc>
          <w:tcPr>
            <w:tcW w:w="1420" w:type="dxa"/>
            <w:vAlign w:val="center"/>
          </w:tcPr>
          <w:p w14:paraId="64F5F263">
            <w:pPr>
              <w:snapToGrid w:val="0"/>
              <w:spacing w:before="50" w:after="120" w:afterLines="50"/>
              <w:jc w:val="center"/>
              <w:rPr>
                <w:rFonts w:hint="eastAsia" w:ascii="宋体" w:hAnsi="宋体"/>
                <w:sz w:val="24"/>
                <w:szCs w:val="20"/>
              </w:rPr>
            </w:pPr>
          </w:p>
        </w:tc>
        <w:tc>
          <w:tcPr>
            <w:tcW w:w="1698" w:type="dxa"/>
            <w:vAlign w:val="center"/>
          </w:tcPr>
          <w:p w14:paraId="4A609C80">
            <w:pPr>
              <w:snapToGrid w:val="0"/>
              <w:spacing w:before="50" w:after="120" w:afterLines="50"/>
              <w:jc w:val="center"/>
              <w:rPr>
                <w:rFonts w:hint="eastAsia" w:ascii="宋体" w:hAnsi="宋体"/>
                <w:sz w:val="24"/>
                <w:szCs w:val="20"/>
              </w:rPr>
            </w:pPr>
          </w:p>
        </w:tc>
        <w:tc>
          <w:tcPr>
            <w:tcW w:w="1843" w:type="dxa"/>
            <w:vAlign w:val="center"/>
          </w:tcPr>
          <w:p w14:paraId="7760C0D9">
            <w:pPr>
              <w:snapToGrid w:val="0"/>
              <w:spacing w:before="50" w:after="120" w:afterLines="50"/>
              <w:jc w:val="center"/>
              <w:rPr>
                <w:rFonts w:hint="eastAsia" w:ascii="宋体" w:hAnsi="宋体"/>
                <w:sz w:val="24"/>
                <w:szCs w:val="20"/>
              </w:rPr>
            </w:pPr>
          </w:p>
        </w:tc>
      </w:tr>
      <w:tr w14:paraId="34F3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5BE7400">
            <w:pPr>
              <w:snapToGrid w:val="0"/>
              <w:spacing w:before="50" w:after="120" w:afterLines="50"/>
              <w:jc w:val="center"/>
              <w:rPr>
                <w:rFonts w:hint="eastAsia" w:ascii="宋体" w:hAnsi="宋体"/>
                <w:sz w:val="24"/>
                <w:szCs w:val="20"/>
              </w:rPr>
            </w:pPr>
          </w:p>
        </w:tc>
        <w:tc>
          <w:tcPr>
            <w:tcW w:w="709" w:type="dxa"/>
            <w:vAlign w:val="center"/>
          </w:tcPr>
          <w:p w14:paraId="1674EB09">
            <w:pPr>
              <w:snapToGrid w:val="0"/>
              <w:spacing w:before="50" w:after="120" w:afterLines="50"/>
              <w:jc w:val="center"/>
              <w:rPr>
                <w:rFonts w:hint="eastAsia" w:ascii="宋体" w:hAnsi="宋体"/>
                <w:sz w:val="24"/>
                <w:szCs w:val="20"/>
              </w:rPr>
            </w:pPr>
          </w:p>
        </w:tc>
        <w:tc>
          <w:tcPr>
            <w:tcW w:w="1701" w:type="dxa"/>
            <w:vAlign w:val="center"/>
          </w:tcPr>
          <w:p w14:paraId="1E69733E">
            <w:pPr>
              <w:snapToGrid w:val="0"/>
              <w:spacing w:before="50" w:after="120" w:afterLines="50"/>
              <w:jc w:val="center"/>
              <w:rPr>
                <w:rFonts w:hint="eastAsia" w:ascii="宋体" w:hAnsi="宋体"/>
                <w:sz w:val="24"/>
                <w:szCs w:val="20"/>
              </w:rPr>
            </w:pPr>
          </w:p>
        </w:tc>
        <w:tc>
          <w:tcPr>
            <w:tcW w:w="1420" w:type="dxa"/>
            <w:vAlign w:val="center"/>
          </w:tcPr>
          <w:p w14:paraId="4E76C320">
            <w:pPr>
              <w:snapToGrid w:val="0"/>
              <w:spacing w:before="50" w:after="120" w:afterLines="50"/>
              <w:jc w:val="center"/>
              <w:rPr>
                <w:rFonts w:hint="eastAsia" w:ascii="宋体" w:hAnsi="宋体"/>
                <w:sz w:val="24"/>
                <w:szCs w:val="20"/>
              </w:rPr>
            </w:pPr>
          </w:p>
        </w:tc>
        <w:tc>
          <w:tcPr>
            <w:tcW w:w="1698" w:type="dxa"/>
            <w:vAlign w:val="center"/>
          </w:tcPr>
          <w:p w14:paraId="3D2885E8">
            <w:pPr>
              <w:snapToGrid w:val="0"/>
              <w:spacing w:before="50" w:after="120" w:afterLines="50"/>
              <w:jc w:val="center"/>
              <w:rPr>
                <w:rFonts w:hint="eastAsia" w:ascii="宋体" w:hAnsi="宋体"/>
                <w:sz w:val="24"/>
                <w:szCs w:val="20"/>
              </w:rPr>
            </w:pPr>
          </w:p>
        </w:tc>
        <w:tc>
          <w:tcPr>
            <w:tcW w:w="1843" w:type="dxa"/>
            <w:vAlign w:val="center"/>
          </w:tcPr>
          <w:p w14:paraId="56A5E29B">
            <w:pPr>
              <w:snapToGrid w:val="0"/>
              <w:spacing w:before="50" w:after="120" w:afterLines="50"/>
              <w:jc w:val="center"/>
              <w:rPr>
                <w:rFonts w:hint="eastAsia" w:ascii="宋体" w:hAnsi="宋体"/>
                <w:sz w:val="24"/>
                <w:szCs w:val="20"/>
              </w:rPr>
            </w:pPr>
          </w:p>
        </w:tc>
      </w:tr>
      <w:tr w14:paraId="72F6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2D91B78">
            <w:pPr>
              <w:snapToGrid w:val="0"/>
              <w:spacing w:before="50" w:after="120" w:afterLines="50"/>
              <w:jc w:val="center"/>
              <w:rPr>
                <w:rFonts w:hint="eastAsia" w:ascii="宋体" w:hAnsi="宋体"/>
                <w:sz w:val="24"/>
                <w:szCs w:val="20"/>
              </w:rPr>
            </w:pPr>
          </w:p>
        </w:tc>
        <w:tc>
          <w:tcPr>
            <w:tcW w:w="709" w:type="dxa"/>
            <w:vAlign w:val="center"/>
          </w:tcPr>
          <w:p w14:paraId="0DFFCD59">
            <w:pPr>
              <w:snapToGrid w:val="0"/>
              <w:spacing w:before="50" w:after="120" w:afterLines="50"/>
              <w:jc w:val="center"/>
              <w:rPr>
                <w:rFonts w:hint="eastAsia" w:ascii="宋体" w:hAnsi="宋体"/>
                <w:sz w:val="24"/>
                <w:szCs w:val="20"/>
              </w:rPr>
            </w:pPr>
          </w:p>
        </w:tc>
        <w:tc>
          <w:tcPr>
            <w:tcW w:w="1701" w:type="dxa"/>
            <w:vAlign w:val="center"/>
          </w:tcPr>
          <w:p w14:paraId="29758176">
            <w:pPr>
              <w:snapToGrid w:val="0"/>
              <w:spacing w:before="50" w:after="120" w:afterLines="50"/>
              <w:jc w:val="center"/>
              <w:rPr>
                <w:rFonts w:hint="eastAsia" w:ascii="宋体" w:hAnsi="宋体"/>
                <w:sz w:val="24"/>
                <w:szCs w:val="20"/>
              </w:rPr>
            </w:pPr>
          </w:p>
        </w:tc>
        <w:tc>
          <w:tcPr>
            <w:tcW w:w="1420" w:type="dxa"/>
            <w:vAlign w:val="center"/>
          </w:tcPr>
          <w:p w14:paraId="1BF45334">
            <w:pPr>
              <w:snapToGrid w:val="0"/>
              <w:spacing w:before="50" w:after="120" w:afterLines="50"/>
              <w:jc w:val="center"/>
              <w:rPr>
                <w:rFonts w:hint="eastAsia" w:ascii="宋体" w:hAnsi="宋体"/>
                <w:sz w:val="24"/>
                <w:szCs w:val="20"/>
              </w:rPr>
            </w:pPr>
          </w:p>
        </w:tc>
        <w:tc>
          <w:tcPr>
            <w:tcW w:w="1698" w:type="dxa"/>
            <w:vAlign w:val="center"/>
          </w:tcPr>
          <w:p w14:paraId="0728A25F">
            <w:pPr>
              <w:snapToGrid w:val="0"/>
              <w:spacing w:before="50" w:after="120" w:afterLines="50"/>
              <w:jc w:val="center"/>
              <w:rPr>
                <w:rFonts w:hint="eastAsia" w:ascii="宋体" w:hAnsi="宋体"/>
                <w:sz w:val="24"/>
                <w:szCs w:val="20"/>
              </w:rPr>
            </w:pPr>
          </w:p>
        </w:tc>
        <w:tc>
          <w:tcPr>
            <w:tcW w:w="1843" w:type="dxa"/>
            <w:vAlign w:val="center"/>
          </w:tcPr>
          <w:p w14:paraId="3CE9DDFE">
            <w:pPr>
              <w:snapToGrid w:val="0"/>
              <w:spacing w:before="50" w:after="120" w:afterLines="50"/>
              <w:jc w:val="center"/>
              <w:rPr>
                <w:rFonts w:hint="eastAsia" w:ascii="宋体" w:hAnsi="宋体"/>
                <w:sz w:val="24"/>
                <w:szCs w:val="20"/>
              </w:rPr>
            </w:pPr>
          </w:p>
        </w:tc>
      </w:tr>
    </w:tbl>
    <w:p w14:paraId="6BB75E53">
      <w:pPr>
        <w:snapToGrid w:val="0"/>
        <w:spacing w:before="50" w:after="120" w:afterLines="50"/>
        <w:jc w:val="left"/>
        <w:rPr>
          <w:rFonts w:hint="eastAsia" w:ascii="宋体" w:hAnsi="宋体"/>
          <w:sz w:val="24"/>
          <w:szCs w:val="20"/>
        </w:rPr>
      </w:pPr>
    </w:p>
    <w:p w14:paraId="74AA7BAD">
      <w:pPr>
        <w:spacing w:line="360" w:lineRule="auto"/>
        <w:contextualSpacing/>
        <w:jc w:val="left"/>
        <w:rPr>
          <w:rFonts w:hint="eastAsia" w:ascii="宋体" w:hAnsi="宋体"/>
          <w:sz w:val="24"/>
          <w:szCs w:val="20"/>
        </w:rPr>
      </w:pPr>
      <w:r>
        <w:rPr>
          <w:rFonts w:hint="eastAsia" w:ascii="宋体" w:hAnsi="宋体"/>
          <w:sz w:val="24"/>
          <w:szCs w:val="20"/>
        </w:rPr>
        <w:t>注：</w:t>
      </w:r>
    </w:p>
    <w:p w14:paraId="4B57A0D8">
      <w:pPr>
        <w:spacing w:line="360" w:lineRule="auto"/>
        <w:contextualSpacing/>
        <w:jc w:val="left"/>
        <w:rPr>
          <w:rFonts w:hint="eastAsia" w:ascii="宋体" w:hAnsi="宋体"/>
          <w:sz w:val="24"/>
          <w:szCs w:val="20"/>
        </w:rPr>
      </w:pPr>
      <w:r>
        <w:rPr>
          <w:rFonts w:hint="eastAsia" w:ascii="宋体" w:hAnsi="宋体"/>
          <w:sz w:val="24"/>
          <w:szCs w:val="20"/>
        </w:rPr>
        <w:t>1</w:t>
      </w:r>
      <w:r>
        <w:rPr>
          <w:rFonts w:ascii="宋体" w:hAnsi="宋体"/>
          <w:sz w:val="24"/>
          <w:szCs w:val="20"/>
        </w:rPr>
        <w:t>.</w:t>
      </w:r>
      <w:r>
        <w:rPr>
          <w:rFonts w:hint="eastAsia" w:ascii="宋体" w:hAnsi="宋体"/>
          <w:sz w:val="24"/>
          <w:szCs w:val="20"/>
        </w:rPr>
        <w:t>在填写时，如本表格不适合投标单位的实际情况，可根据本表格式自行制表填写。</w:t>
      </w:r>
    </w:p>
    <w:p w14:paraId="7BC26830">
      <w:pPr>
        <w:spacing w:line="360" w:lineRule="auto"/>
        <w:contextualSpacing/>
        <w:jc w:val="left"/>
        <w:rPr>
          <w:rFonts w:hint="eastAsia" w:ascii="宋体" w:hAnsi="宋体"/>
          <w:sz w:val="24"/>
          <w:szCs w:val="20"/>
        </w:rPr>
      </w:pPr>
      <w:r>
        <w:rPr>
          <w:rFonts w:ascii="宋体" w:hAnsi="宋体"/>
          <w:sz w:val="24"/>
          <w:szCs w:val="20"/>
        </w:rPr>
        <w:t>2.</w:t>
      </w:r>
      <w:r>
        <w:rPr>
          <w:rFonts w:hint="eastAsia" w:ascii="宋体" w:hAnsi="宋体"/>
          <w:sz w:val="24"/>
          <w:szCs w:val="20"/>
        </w:rPr>
        <w:t>投标人应当附本表所列证书的复印件并加盖投标人公章。</w:t>
      </w:r>
    </w:p>
    <w:p w14:paraId="6C2404F4">
      <w:pPr>
        <w:spacing w:line="360" w:lineRule="auto"/>
        <w:contextualSpacing/>
        <w:rPr>
          <w:rFonts w:hint="eastAsia" w:ascii="宋体" w:hAnsi="宋体"/>
          <w:spacing w:val="20"/>
          <w:sz w:val="24"/>
          <w:szCs w:val="20"/>
          <w:u w:val="single"/>
        </w:rPr>
      </w:pPr>
      <w:r>
        <w:rPr>
          <w:rFonts w:hint="eastAsia" w:ascii="宋体" w:hAnsi="宋体"/>
          <w:sz w:val="24"/>
        </w:rPr>
        <w:t>法定代表人或者委托代理人</w:t>
      </w:r>
      <w:r>
        <w:rPr>
          <w:rFonts w:hint="eastAsia" w:ascii="宋体" w:hAnsi="宋体"/>
          <w:spacing w:val="20"/>
          <w:sz w:val="24"/>
        </w:rPr>
        <w:t>（签字）：</w:t>
      </w:r>
      <w:r>
        <w:rPr>
          <w:rFonts w:hint="eastAsia" w:ascii="宋体" w:hAnsi="宋体"/>
          <w:spacing w:val="20"/>
          <w:sz w:val="24"/>
          <w:u w:val="single"/>
        </w:rPr>
        <w:t xml:space="preserve">        </w:t>
      </w:r>
    </w:p>
    <w:p w14:paraId="3CDEE6DF">
      <w:pPr>
        <w:spacing w:line="360" w:lineRule="auto"/>
        <w:contextualSpacing/>
        <w:jc w:val="left"/>
        <w:rPr>
          <w:rFonts w:hint="eastAsia" w:ascii="宋体" w:hAnsi="宋体"/>
          <w:spacing w:val="20"/>
          <w:sz w:val="24"/>
        </w:rPr>
      </w:pPr>
      <w:r>
        <w:rPr>
          <w:rFonts w:hint="eastAsia" w:ascii="宋体" w:hAnsi="宋体"/>
          <w:spacing w:val="20"/>
          <w:sz w:val="24"/>
        </w:rPr>
        <w:t>投标人（盖公章）：</w:t>
      </w:r>
      <w:r>
        <w:rPr>
          <w:rFonts w:hint="eastAsia" w:ascii="宋体" w:hAnsi="宋体"/>
          <w:spacing w:val="20"/>
          <w:sz w:val="24"/>
          <w:u w:val="single"/>
        </w:rPr>
        <w:t xml:space="preserve">            </w:t>
      </w:r>
      <w:r>
        <w:rPr>
          <w:rFonts w:hint="eastAsia" w:ascii="宋体" w:hAnsi="宋体"/>
          <w:spacing w:val="20"/>
          <w:sz w:val="24"/>
        </w:rPr>
        <w:t xml:space="preserve">            </w:t>
      </w:r>
    </w:p>
    <w:p w14:paraId="4E4BD7F2">
      <w:pPr>
        <w:spacing w:line="360" w:lineRule="auto"/>
        <w:contextualSpacing/>
        <w:jc w:val="left"/>
        <w:rPr>
          <w:rFonts w:hint="eastAsia" w:ascii="宋体" w:hAnsi="宋体"/>
          <w:sz w:val="24"/>
          <w:szCs w:val="20"/>
        </w:rPr>
      </w:pPr>
      <w:r>
        <w:rPr>
          <w:rFonts w:hint="eastAsia" w:ascii="宋体" w:hAnsi="宋体"/>
          <w:spacing w:val="20"/>
          <w:sz w:val="24"/>
        </w:rPr>
        <w:t xml:space="preserve">  日 期：</w:t>
      </w:r>
      <w:r>
        <w:rPr>
          <w:rFonts w:hint="eastAsia" w:ascii="宋体" w:hAnsi="宋体"/>
          <w:spacing w:val="20"/>
          <w:sz w:val="24"/>
          <w:u w:val="single"/>
        </w:rPr>
        <w:t xml:space="preserve">         </w:t>
      </w:r>
    </w:p>
    <w:p w14:paraId="4EA83E13">
      <w:pPr>
        <w:snapToGrid w:val="0"/>
        <w:spacing w:before="50" w:after="120" w:afterLines="50"/>
        <w:jc w:val="left"/>
        <w:rPr>
          <w:rFonts w:hint="eastAsia" w:ascii="宋体" w:hAnsi="宋体"/>
          <w:sz w:val="24"/>
          <w:szCs w:val="20"/>
        </w:rPr>
      </w:pPr>
    </w:p>
    <w:p w14:paraId="27622C9B">
      <w:pPr>
        <w:snapToGrid w:val="0"/>
        <w:spacing w:before="120" w:beforeLines="50" w:after="50"/>
        <w:jc w:val="left"/>
        <w:rPr>
          <w:rFonts w:hint="eastAsia" w:ascii="宋体" w:hAnsi="宋体"/>
          <w:sz w:val="24"/>
          <w:szCs w:val="20"/>
        </w:rPr>
      </w:pPr>
      <w:r>
        <w:rPr>
          <w:rFonts w:hint="eastAsia" w:ascii="宋体" w:hAnsi="宋体"/>
          <w:spacing w:val="20"/>
          <w:sz w:val="24"/>
          <w:u w:val="single"/>
        </w:rPr>
        <w:t xml:space="preserve"> </w:t>
      </w:r>
    </w:p>
    <w:p w14:paraId="7C55F7A5">
      <w:pPr>
        <w:snapToGrid w:val="0"/>
        <w:spacing w:before="50" w:after="120" w:afterLines="50"/>
        <w:jc w:val="left"/>
        <w:rPr>
          <w:rFonts w:hint="eastAsia" w:ascii="宋体" w:hAnsi="宋体"/>
          <w:sz w:val="24"/>
          <w:szCs w:val="20"/>
        </w:rPr>
      </w:pPr>
    </w:p>
    <w:p w14:paraId="090A5DC5">
      <w:pPr>
        <w:rPr>
          <w:b/>
          <w:sz w:val="28"/>
          <w:szCs w:val="28"/>
        </w:rPr>
      </w:pPr>
      <w:r>
        <w:rPr>
          <w:rFonts w:ascii="宋体" w:hAnsi="宋体"/>
          <w:b/>
          <w:bCs/>
          <w:sz w:val="24"/>
        </w:rPr>
        <w:br w:type="page"/>
      </w:r>
      <w:r>
        <w:rPr>
          <w:rFonts w:hint="eastAsia"/>
          <w:b/>
          <w:sz w:val="28"/>
          <w:szCs w:val="28"/>
        </w:rPr>
        <w:t>五、其他文书、文件格式</w:t>
      </w:r>
    </w:p>
    <w:p w14:paraId="6DBC0689">
      <w:pPr>
        <w:snapToGrid w:val="0"/>
        <w:spacing w:before="120" w:beforeLines="50" w:after="50"/>
        <w:ind w:left="142"/>
        <w:jc w:val="left"/>
        <w:rPr>
          <w:rFonts w:hint="eastAsia" w:ascii="宋体" w:hAnsi="宋体"/>
          <w:b/>
          <w:spacing w:val="20"/>
          <w:sz w:val="24"/>
        </w:rPr>
      </w:pPr>
      <w:r>
        <w:rPr>
          <w:rFonts w:hint="eastAsia" w:ascii="宋体" w:hAnsi="宋体"/>
          <w:b/>
          <w:spacing w:val="20"/>
          <w:sz w:val="24"/>
        </w:rPr>
        <w:t>1.联合投标协议书格式</w:t>
      </w:r>
    </w:p>
    <w:p w14:paraId="6153A9E8">
      <w:pPr>
        <w:snapToGrid w:val="0"/>
        <w:spacing w:before="120" w:beforeLines="50" w:after="50"/>
        <w:ind w:left="142"/>
        <w:jc w:val="left"/>
        <w:rPr>
          <w:rFonts w:hint="eastAsia" w:ascii="宋体" w:hAnsi="宋体"/>
          <w:b/>
          <w:spacing w:val="20"/>
          <w:sz w:val="24"/>
        </w:rPr>
      </w:pPr>
    </w:p>
    <w:p w14:paraId="61AA1819">
      <w:pPr>
        <w:pStyle w:val="7"/>
        <w:overflowPunct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联合体协议书</w:t>
      </w:r>
    </w:p>
    <w:p w14:paraId="556B69B9">
      <w:pPr>
        <w:pStyle w:val="7"/>
        <w:overflowPunct w:val="0"/>
        <w:rPr>
          <w:rFonts w:hint="eastAsia" w:ascii="宋体" w:hAnsi="宋体"/>
          <w:sz w:val="24"/>
        </w:rPr>
      </w:pPr>
    </w:p>
    <w:p w14:paraId="14C3B49A">
      <w:pPr>
        <w:pStyle w:val="7"/>
        <w:overflowPunct w:val="0"/>
        <w:spacing w:line="360" w:lineRule="auto"/>
        <w:contextualSpacing/>
        <w:rPr>
          <w:rFonts w:hint="eastAsia" w:ascii="宋体" w:hAnsi="宋体"/>
          <w:sz w:val="24"/>
        </w:rPr>
      </w:pPr>
      <w:r>
        <w:rPr>
          <w:rFonts w:ascii="宋体" w:hAnsi="宋体"/>
          <w:sz w:val="24"/>
          <w:u w:val="single"/>
        </w:rPr>
        <w:t xml:space="preserve"> </w:t>
      </w:r>
      <w:r>
        <w:rPr>
          <w:rFonts w:ascii="宋体" w:hAnsi="宋体"/>
          <w:sz w:val="24"/>
          <w:u w:val="single"/>
        </w:rPr>
        <w:tab/>
      </w:r>
      <w:r>
        <w:rPr>
          <w:rFonts w:hint="eastAsia" w:ascii="宋体" w:hAnsi="宋体"/>
          <w:sz w:val="24"/>
        </w:rPr>
        <w:t>（所有成员单位名称）自愿组成</w:t>
      </w:r>
      <w:r>
        <w:rPr>
          <w:rFonts w:ascii="宋体" w:hAnsi="宋体"/>
          <w:sz w:val="24"/>
          <w:u w:val="single"/>
        </w:rPr>
        <w:t xml:space="preserve"> </w:t>
      </w:r>
      <w:r>
        <w:rPr>
          <w:rFonts w:ascii="宋体" w:hAnsi="宋体"/>
          <w:sz w:val="24"/>
          <w:u w:val="single"/>
        </w:rPr>
        <w:tab/>
      </w:r>
      <w:r>
        <w:rPr>
          <w:rFonts w:hint="eastAsia" w:ascii="宋体" w:hAnsi="宋体"/>
          <w:sz w:val="24"/>
        </w:rPr>
        <w:t>（联合体名称）联合体，共同参加</w:t>
      </w:r>
      <w:r>
        <w:rPr>
          <w:rFonts w:ascii="宋体" w:hAnsi="宋体"/>
          <w:sz w:val="24"/>
          <w:u w:val="single"/>
        </w:rPr>
        <w:t xml:space="preserve"> </w:t>
      </w:r>
      <w:r>
        <w:rPr>
          <w:rFonts w:ascii="宋体" w:hAnsi="宋体"/>
          <w:sz w:val="24"/>
          <w:u w:val="single"/>
        </w:rPr>
        <w:tab/>
      </w:r>
      <w:r>
        <w:rPr>
          <w:rFonts w:hint="eastAsia" w:ascii="宋体" w:hAnsi="宋体"/>
          <w:sz w:val="24"/>
          <w:u w:val="single"/>
        </w:rPr>
        <w:t>（项</w:t>
      </w:r>
      <w:r>
        <w:rPr>
          <w:rFonts w:hint="eastAsia" w:ascii="宋体" w:hAnsi="宋体"/>
          <w:sz w:val="24"/>
        </w:rPr>
        <w:t>目名称）采购招标项目投标。现就联合体投标事宜订立如下协议。</w:t>
      </w:r>
    </w:p>
    <w:p w14:paraId="32F43BFB">
      <w:pPr>
        <w:pStyle w:val="7"/>
        <w:overflowPunct w:val="0"/>
        <w:spacing w:line="360" w:lineRule="auto"/>
        <w:ind w:firstLineChars="175"/>
        <w:contextualSpacing/>
        <w:rPr>
          <w:rFonts w:hint="eastAsia" w:ascii="宋体" w:hAnsi="宋体"/>
          <w:sz w:val="24"/>
        </w:rPr>
      </w:pPr>
      <w:r>
        <w:rPr>
          <w:rFonts w:ascii="宋体" w:hAnsi="宋体"/>
          <w:sz w:val="24"/>
        </w:rPr>
        <w:t xml:space="preserve">1.  </w:t>
      </w:r>
      <w:r>
        <w:rPr>
          <w:rFonts w:ascii="宋体" w:hAnsi="宋体"/>
          <w:sz w:val="24"/>
          <w:u w:val="single"/>
        </w:rPr>
        <w:t xml:space="preserve"> </w:t>
      </w:r>
      <w:r>
        <w:rPr>
          <w:rFonts w:ascii="宋体" w:hAnsi="宋体"/>
          <w:sz w:val="24"/>
          <w:u w:val="single"/>
        </w:rPr>
        <w:tab/>
      </w:r>
      <w:r>
        <w:rPr>
          <w:rFonts w:hint="eastAsia" w:ascii="宋体" w:hAnsi="宋体"/>
          <w:sz w:val="24"/>
        </w:rPr>
        <w:t>（某成员单位名称）为</w:t>
      </w:r>
      <w:r>
        <w:rPr>
          <w:rFonts w:ascii="宋体" w:hAnsi="宋体"/>
          <w:sz w:val="24"/>
          <w:u w:val="single"/>
        </w:rPr>
        <w:t xml:space="preserve"> </w:t>
      </w:r>
      <w:r>
        <w:rPr>
          <w:rFonts w:ascii="宋体" w:hAnsi="宋体"/>
          <w:sz w:val="24"/>
          <w:u w:val="single"/>
        </w:rPr>
        <w:tab/>
      </w:r>
      <w:r>
        <w:rPr>
          <w:rFonts w:hint="eastAsia" w:ascii="宋体" w:hAnsi="宋体"/>
          <w:sz w:val="24"/>
        </w:rPr>
        <w:t>（联合体名称）牵头人。</w:t>
      </w:r>
    </w:p>
    <w:p w14:paraId="5EADE353">
      <w:pPr>
        <w:pStyle w:val="7"/>
        <w:overflowPunct w:val="0"/>
        <w:spacing w:line="360" w:lineRule="auto"/>
        <w:ind w:firstLineChars="175"/>
        <w:contextualSpacing/>
        <w:rPr>
          <w:rFonts w:hint="eastAsia" w:ascii="宋体" w:hAnsi="宋体"/>
          <w:sz w:val="24"/>
        </w:rPr>
      </w:pPr>
      <w:r>
        <w:rPr>
          <w:rFonts w:ascii="宋体" w:hAnsi="宋体"/>
          <w:sz w:val="24"/>
        </w:rPr>
        <w:t>2.</w:t>
      </w:r>
      <w:r>
        <w:rPr>
          <w:rFonts w:hint="eastAsia" w:ascii="宋体" w:hAnsi="宋体"/>
          <w:sz w:val="24"/>
        </w:rPr>
        <w:t>联合体各成员授权牵头人代表联合体参加投标活动，签署文件及对文件的盖章，提交和接收相关的资料、</w:t>
      </w:r>
      <w:r>
        <w:rPr>
          <w:rFonts w:ascii="宋体" w:hAnsi="宋体"/>
          <w:sz w:val="24"/>
        </w:rPr>
        <w:t xml:space="preserve"> </w:t>
      </w:r>
      <w:r>
        <w:rPr>
          <w:rFonts w:hint="eastAsia" w:ascii="宋体" w:hAnsi="宋体"/>
          <w:sz w:val="24"/>
        </w:rPr>
        <w:t>信息及指示，进行合同谈判活动，负责合同实施阶段的组织和协调工作，以及处理与本招标项</w:t>
      </w:r>
      <w:r>
        <w:rPr>
          <w:rFonts w:ascii="宋体" w:hAnsi="宋体"/>
          <w:sz w:val="24"/>
        </w:rPr>
        <w:t xml:space="preserve"> </w:t>
      </w:r>
      <w:r>
        <w:rPr>
          <w:rFonts w:hint="eastAsia" w:ascii="宋体" w:hAnsi="宋体"/>
          <w:sz w:val="24"/>
        </w:rPr>
        <w:t>目有关的一切事宜。</w:t>
      </w:r>
    </w:p>
    <w:p w14:paraId="4FF6CA82">
      <w:pPr>
        <w:pStyle w:val="7"/>
        <w:overflowPunct w:val="0"/>
        <w:spacing w:line="360" w:lineRule="auto"/>
        <w:ind w:firstLineChars="175"/>
        <w:contextualSpacing/>
        <w:rPr>
          <w:rFonts w:hint="eastAsia" w:ascii="宋体" w:hAnsi="宋体"/>
          <w:sz w:val="24"/>
        </w:rPr>
      </w:pPr>
      <w:r>
        <w:rPr>
          <w:rFonts w:ascii="宋体" w:hAnsi="宋体"/>
          <w:sz w:val="24"/>
        </w:rPr>
        <w:t>3.</w:t>
      </w:r>
      <w:r>
        <w:rPr>
          <w:rFonts w:hint="eastAsia" w:ascii="宋体" w:hAnsi="宋体"/>
          <w:sz w:val="24"/>
        </w:rPr>
        <w:t>联合体牵头人在本项目中签署和盖章的一切文件和处理的一切事宜，联合体各成员均予以承认。</w:t>
      </w:r>
      <w:r>
        <w:rPr>
          <w:rFonts w:ascii="宋体" w:hAnsi="宋体"/>
          <w:sz w:val="24"/>
        </w:rPr>
        <w:t xml:space="preserve"> </w:t>
      </w:r>
      <w:r>
        <w:rPr>
          <w:rFonts w:hint="eastAsia" w:ascii="宋体" w:hAnsi="宋体"/>
          <w:sz w:val="24"/>
        </w:rPr>
        <w:t>联合体各成员将严格按照招标文件、投标文件和合同的要求全面履行义务，并向招标人承担连带责任。</w:t>
      </w:r>
    </w:p>
    <w:p w14:paraId="49C3B185">
      <w:pPr>
        <w:pStyle w:val="7"/>
        <w:overflowPunct w:val="0"/>
        <w:spacing w:line="360" w:lineRule="auto"/>
        <w:ind w:firstLineChars="175"/>
        <w:contextualSpacing/>
        <w:rPr>
          <w:rFonts w:hint="eastAsia" w:ascii="宋体" w:hAnsi="宋体"/>
          <w:sz w:val="24"/>
        </w:rPr>
      </w:pPr>
      <w:r>
        <w:rPr>
          <w:rFonts w:ascii="宋体" w:hAnsi="宋体"/>
          <w:sz w:val="24"/>
        </w:rPr>
        <w:t>4.</w:t>
      </w:r>
      <w:r>
        <w:rPr>
          <w:rFonts w:hint="eastAsia" w:ascii="宋体" w:hAnsi="宋体"/>
          <w:sz w:val="24"/>
        </w:rPr>
        <w:t>联合体各成员单位内部的职责分工如下：</w:t>
      </w:r>
      <w:r>
        <w:rPr>
          <w:rFonts w:ascii="宋体" w:hAnsi="宋体"/>
          <w:sz w:val="24"/>
          <w:u w:val="single"/>
        </w:rPr>
        <w:t xml:space="preserve"> </w:t>
      </w:r>
      <w:r>
        <w:rPr>
          <w:rFonts w:ascii="宋体" w:hAnsi="宋体"/>
          <w:sz w:val="24"/>
          <w:u w:val="single"/>
        </w:rPr>
        <w:tab/>
      </w:r>
      <w:r>
        <w:rPr>
          <w:rFonts w:hint="eastAsia" w:ascii="宋体" w:hAnsi="宋体"/>
          <w:sz w:val="24"/>
        </w:rPr>
        <w:t>。</w:t>
      </w:r>
    </w:p>
    <w:p w14:paraId="737E226A">
      <w:pPr>
        <w:pStyle w:val="7"/>
        <w:overflowPunct w:val="0"/>
        <w:spacing w:line="360" w:lineRule="auto"/>
        <w:ind w:firstLineChars="175"/>
        <w:contextualSpacing/>
        <w:rPr>
          <w:rFonts w:hint="eastAsia" w:ascii="宋体" w:hAnsi="宋体"/>
          <w:sz w:val="24"/>
        </w:rPr>
      </w:pPr>
      <w:r>
        <w:rPr>
          <w:rFonts w:ascii="宋体" w:hAnsi="宋体"/>
          <w:sz w:val="24"/>
        </w:rPr>
        <w:t>5.</w:t>
      </w:r>
      <w:r>
        <w:rPr>
          <w:rFonts w:hint="eastAsia" w:ascii="宋体" w:hAnsi="宋体"/>
          <w:sz w:val="24"/>
        </w:rPr>
        <w:t>本协议书自所有成员单位法定代表人或者其委托代理人签字或者盖公章之日起生效，合同履行完毕后自动失效。</w:t>
      </w:r>
    </w:p>
    <w:p w14:paraId="48FB3A50">
      <w:pPr>
        <w:pStyle w:val="7"/>
        <w:overflowPunct w:val="0"/>
        <w:spacing w:line="360" w:lineRule="auto"/>
        <w:ind w:firstLineChars="175"/>
        <w:contextualSpacing/>
        <w:rPr>
          <w:rFonts w:hint="eastAsia" w:ascii="宋体" w:hAnsi="宋体"/>
          <w:sz w:val="24"/>
        </w:rPr>
      </w:pPr>
      <w:r>
        <w:rPr>
          <w:rFonts w:ascii="宋体" w:hAnsi="宋体"/>
          <w:sz w:val="24"/>
        </w:rPr>
        <w:t>6.</w:t>
      </w:r>
      <w:r>
        <w:rPr>
          <w:rFonts w:hint="eastAsia" w:ascii="宋体" w:hAnsi="宋体"/>
          <w:sz w:val="24"/>
        </w:rPr>
        <w:t>本协议书一式</w:t>
      </w:r>
      <w:r>
        <w:rPr>
          <w:rFonts w:ascii="宋体" w:hAnsi="宋体"/>
          <w:sz w:val="24"/>
          <w:u w:val="single"/>
        </w:rPr>
        <w:t xml:space="preserve"> </w:t>
      </w:r>
      <w:r>
        <w:rPr>
          <w:rFonts w:ascii="宋体" w:hAnsi="宋体"/>
          <w:sz w:val="24"/>
          <w:u w:val="single"/>
        </w:rPr>
        <w:tab/>
      </w:r>
      <w:r>
        <w:rPr>
          <w:rFonts w:hint="eastAsia" w:ascii="宋体" w:hAnsi="宋体"/>
          <w:sz w:val="24"/>
        </w:rPr>
        <w:t>份，联合体成员和招标人各执一份。</w:t>
      </w:r>
    </w:p>
    <w:p w14:paraId="68F8E800">
      <w:pPr>
        <w:pStyle w:val="7"/>
        <w:overflowPunct w:val="0"/>
        <w:spacing w:line="360" w:lineRule="auto"/>
        <w:ind w:firstLineChars="175"/>
        <w:contextualSpacing/>
        <w:rPr>
          <w:rFonts w:hint="eastAsia" w:ascii="宋体" w:hAnsi="宋体"/>
          <w:sz w:val="24"/>
        </w:rPr>
      </w:pPr>
      <w:r>
        <w:rPr>
          <w:rFonts w:hint="eastAsia" w:ascii="宋体" w:hAnsi="宋体"/>
          <w:sz w:val="24"/>
        </w:rPr>
        <w:t>注：本协议书由法定代表人签字的，应附法定代表人身份证明；由委托代理人签字的，应附授权委托书。</w:t>
      </w:r>
    </w:p>
    <w:p w14:paraId="2FE93925">
      <w:pPr>
        <w:pStyle w:val="7"/>
        <w:overflowPunct w:val="0"/>
        <w:spacing w:line="360" w:lineRule="auto"/>
        <w:ind w:firstLineChars="175"/>
        <w:contextualSpacing/>
        <w:rPr>
          <w:rFonts w:hint="eastAsia" w:ascii="宋体" w:hAnsi="宋体"/>
          <w:sz w:val="24"/>
        </w:rPr>
      </w:pPr>
    </w:p>
    <w:p w14:paraId="2141FE8F">
      <w:pPr>
        <w:pStyle w:val="7"/>
        <w:overflowPunct w:val="0"/>
        <w:spacing w:line="360" w:lineRule="auto"/>
        <w:ind w:firstLineChars="175"/>
        <w:contextualSpacing/>
        <w:rPr>
          <w:rFonts w:hint="eastAsia" w:ascii="宋体" w:hAnsi="宋体"/>
          <w:sz w:val="24"/>
        </w:rPr>
      </w:pPr>
      <w:r>
        <w:rPr>
          <w:rFonts w:hint="eastAsia" w:ascii="宋体" w:hAnsi="宋体"/>
          <w:sz w:val="24"/>
        </w:rPr>
        <w:t>联合体牵头人名称（盖公章）：</w:t>
      </w:r>
    </w:p>
    <w:p w14:paraId="7BCF7DAD">
      <w:pPr>
        <w:pStyle w:val="7"/>
        <w:overflowPunct w:val="0"/>
        <w:spacing w:line="360" w:lineRule="auto"/>
        <w:ind w:firstLineChars="175"/>
        <w:contextualSpacing/>
        <w:rPr>
          <w:rFonts w:hint="eastAsia" w:ascii="宋体" w:hAnsi="宋体"/>
          <w:sz w:val="24"/>
        </w:rPr>
      </w:pPr>
      <w:r>
        <w:rPr>
          <w:rFonts w:hint="eastAsia" w:ascii="宋体" w:hAnsi="宋体"/>
          <w:sz w:val="24"/>
        </w:rPr>
        <w:t>法定代表人或者其委托代理人：</w:t>
      </w:r>
      <w:r>
        <w:rPr>
          <w:rFonts w:ascii="宋体" w:hAnsi="宋体"/>
          <w:sz w:val="24"/>
        </w:rPr>
        <w:t xml:space="preserve"> </w:t>
      </w:r>
      <w:r>
        <w:rPr>
          <w:rFonts w:ascii="宋体" w:hAnsi="宋体"/>
          <w:sz w:val="24"/>
        </w:rPr>
        <w:tab/>
      </w:r>
      <w:r>
        <w:rPr>
          <w:rFonts w:hint="eastAsia" w:ascii="宋体" w:hAnsi="宋体"/>
          <w:sz w:val="24"/>
        </w:rPr>
        <w:t>（签字）</w:t>
      </w:r>
    </w:p>
    <w:p w14:paraId="62154BDC">
      <w:pPr>
        <w:pStyle w:val="7"/>
        <w:overflowPunct w:val="0"/>
        <w:spacing w:line="360" w:lineRule="auto"/>
        <w:ind w:firstLineChars="175"/>
        <w:contextualSpacing/>
        <w:rPr>
          <w:rFonts w:hint="eastAsia" w:ascii="宋体" w:hAnsi="宋体"/>
          <w:sz w:val="24"/>
        </w:rPr>
      </w:pPr>
    </w:p>
    <w:p w14:paraId="660C140E">
      <w:pPr>
        <w:pStyle w:val="7"/>
        <w:overflowPunct w:val="0"/>
        <w:spacing w:line="360" w:lineRule="auto"/>
        <w:ind w:firstLineChars="175"/>
        <w:contextualSpacing/>
        <w:rPr>
          <w:rFonts w:hint="eastAsia" w:ascii="宋体" w:hAnsi="宋体"/>
          <w:sz w:val="24"/>
        </w:rPr>
      </w:pPr>
      <w:r>
        <w:rPr>
          <w:rFonts w:hint="eastAsia" w:ascii="宋体" w:hAnsi="宋体"/>
          <w:sz w:val="24"/>
        </w:rPr>
        <w:t>联合体成员名称（盖公章）：</w:t>
      </w:r>
    </w:p>
    <w:p w14:paraId="786A54D1">
      <w:pPr>
        <w:pStyle w:val="7"/>
        <w:overflowPunct w:val="0"/>
        <w:spacing w:line="360" w:lineRule="auto"/>
        <w:ind w:firstLineChars="175"/>
        <w:contextualSpacing/>
        <w:rPr>
          <w:rFonts w:hint="eastAsia" w:ascii="宋体" w:hAnsi="宋体"/>
          <w:sz w:val="24"/>
        </w:rPr>
      </w:pPr>
      <w:r>
        <w:rPr>
          <w:rFonts w:hint="eastAsia" w:ascii="宋体" w:hAnsi="宋体"/>
          <w:sz w:val="24"/>
        </w:rPr>
        <w:t>法定代表人或者其委托代理人：</w:t>
      </w:r>
      <w:r>
        <w:rPr>
          <w:rFonts w:ascii="宋体" w:hAnsi="宋体"/>
          <w:sz w:val="24"/>
        </w:rPr>
        <w:t xml:space="preserve"> </w:t>
      </w:r>
      <w:r>
        <w:rPr>
          <w:rFonts w:ascii="宋体" w:hAnsi="宋体"/>
          <w:sz w:val="24"/>
        </w:rPr>
        <w:tab/>
      </w:r>
      <w:r>
        <w:rPr>
          <w:rFonts w:hint="eastAsia" w:ascii="宋体" w:hAnsi="宋体"/>
          <w:sz w:val="24"/>
        </w:rPr>
        <w:t>（签字）</w:t>
      </w:r>
    </w:p>
    <w:p w14:paraId="2244E02C">
      <w:pPr>
        <w:pStyle w:val="7"/>
        <w:overflowPunct w:val="0"/>
        <w:spacing w:line="360" w:lineRule="auto"/>
        <w:ind w:firstLineChars="175"/>
        <w:contextualSpacing/>
        <w:rPr>
          <w:rFonts w:hint="eastAsia" w:ascii="宋体" w:hAnsi="宋体"/>
          <w:sz w:val="24"/>
        </w:rPr>
      </w:pPr>
      <w:r>
        <w:rPr>
          <w:rFonts w:ascii="宋体" w:hAnsi="宋体"/>
          <w:sz w:val="24"/>
        </w:rPr>
        <w:t>……</w:t>
      </w:r>
    </w:p>
    <w:p w14:paraId="4758B068">
      <w:pPr>
        <w:pStyle w:val="7"/>
        <w:overflowPunct w:val="0"/>
        <w:spacing w:line="360" w:lineRule="auto"/>
        <w:ind w:firstLineChars="175"/>
        <w:contextualSpacing/>
        <w:rPr>
          <w:rFonts w:hint="eastAsia" w:ascii="宋体" w:hAnsi="宋体"/>
          <w:sz w:val="24"/>
        </w:rPr>
      </w:pPr>
    </w:p>
    <w:p w14:paraId="30745701">
      <w:pPr>
        <w:pStyle w:val="7"/>
        <w:overflowPunct w:val="0"/>
        <w:spacing w:line="360" w:lineRule="auto"/>
        <w:ind w:firstLineChars="175"/>
        <w:contextualSpacing/>
        <w:jc w:val="right"/>
        <w:rPr>
          <w:rFonts w:hint="eastAsia" w:ascii="宋体" w:hAnsi="宋体"/>
          <w:sz w:val="24"/>
        </w:rPr>
      </w:pPr>
      <w:r>
        <w:rPr>
          <w:rFonts w:ascii="宋体" w:hAnsi="宋体"/>
          <w:sz w:val="24"/>
        </w:rPr>
        <w:t xml:space="preserve"> </w:t>
      </w:r>
      <w:r>
        <w:rPr>
          <w:rFonts w:ascii="宋体" w:hAnsi="宋体"/>
          <w:sz w:val="24"/>
        </w:rPr>
        <w:tab/>
      </w:r>
      <w:r>
        <w:rPr>
          <w:rFonts w:hint="eastAsia" w:ascii="宋体" w:hAnsi="宋体"/>
          <w:sz w:val="24"/>
        </w:rPr>
        <w:t>年</w:t>
      </w:r>
      <w:r>
        <w:rPr>
          <w:rFonts w:ascii="宋体" w:hAnsi="宋体"/>
          <w:sz w:val="24"/>
        </w:rPr>
        <w:t xml:space="preserve"> </w:t>
      </w:r>
      <w:r>
        <w:rPr>
          <w:rFonts w:ascii="宋体" w:hAnsi="宋体"/>
          <w:sz w:val="24"/>
        </w:rPr>
        <w:tab/>
      </w:r>
      <w:r>
        <w:rPr>
          <w:rFonts w:hint="eastAsia" w:ascii="宋体" w:hAnsi="宋体"/>
          <w:sz w:val="24"/>
        </w:rPr>
        <w:t>月</w:t>
      </w:r>
      <w:r>
        <w:rPr>
          <w:rFonts w:ascii="宋体" w:hAnsi="宋体"/>
          <w:sz w:val="24"/>
        </w:rPr>
        <w:t xml:space="preserve"> </w:t>
      </w:r>
      <w:r>
        <w:rPr>
          <w:rFonts w:ascii="宋体" w:hAnsi="宋体"/>
          <w:sz w:val="24"/>
        </w:rPr>
        <w:tab/>
      </w:r>
      <w:r>
        <w:rPr>
          <w:rFonts w:hint="eastAsia" w:ascii="宋体" w:hAnsi="宋体"/>
          <w:sz w:val="24"/>
        </w:rPr>
        <w:t>日</w:t>
      </w:r>
    </w:p>
    <w:p w14:paraId="7A3A974E">
      <w:pPr>
        <w:pStyle w:val="7"/>
        <w:overflowPunct w:val="0"/>
        <w:spacing w:line="360" w:lineRule="auto"/>
        <w:ind w:firstLineChars="175"/>
        <w:contextualSpacing/>
        <w:jc w:val="right"/>
        <w:rPr>
          <w:rFonts w:hint="eastAsia" w:ascii="宋体" w:hAnsi="宋体"/>
          <w:sz w:val="24"/>
        </w:rPr>
      </w:pPr>
    </w:p>
    <w:p w14:paraId="34CB724A">
      <w:pPr>
        <w:snapToGrid w:val="0"/>
        <w:spacing w:before="120" w:beforeLines="50" w:after="50"/>
        <w:jc w:val="left"/>
      </w:pPr>
      <w:r>
        <w:rPr>
          <w:rFonts w:hint="eastAsia" w:ascii="宋体" w:hAnsi="宋体"/>
          <w:b/>
          <w:sz w:val="24"/>
        </w:rPr>
        <w:t xml:space="preserve"> 2.中小企业声明函格式</w:t>
      </w:r>
    </w:p>
    <w:p w14:paraId="7BEC4A89"/>
    <w:p w14:paraId="32F458D0">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中小企业声明函（货物）</w:t>
      </w:r>
    </w:p>
    <w:p w14:paraId="630004E4">
      <w:pPr>
        <w:spacing w:before="2" w:line="500" w:lineRule="exact"/>
        <w:rPr>
          <w:rFonts w:hint="eastAsia" w:ascii="宋体" w:hAnsi="宋体" w:cs="宋体"/>
          <w:b/>
          <w:bCs/>
          <w:sz w:val="27"/>
          <w:szCs w:val="27"/>
        </w:rPr>
      </w:pPr>
    </w:p>
    <w:p w14:paraId="12C89D29">
      <w:pPr>
        <w:pStyle w:val="14"/>
        <w:spacing w:line="360" w:lineRule="auto"/>
        <w:ind w:left="-426" w:leftChars="-203" w:right="142" w:firstLine="480" w:firstLineChars="200"/>
        <w:contextualSpacing/>
        <w:rPr>
          <w:rFonts w:hint="eastAsia" w:ascii="宋体" w:hAnsi="宋体"/>
          <w:kern w:val="24"/>
        </w:rPr>
      </w:pPr>
      <w:r>
        <w:rPr>
          <w:rFonts w:ascii="宋体" w:hAnsi="宋体"/>
          <w:kern w:val="24"/>
        </w:rPr>
        <w:t>本公司郑重声明，根据《政府采购促进中小企业发展管理办法》（财库﹝2020﹞46号）的规定，本公司参加</w:t>
      </w:r>
      <w:r>
        <w:rPr>
          <w:rFonts w:ascii="宋体" w:hAnsi="宋体"/>
          <w:kern w:val="24"/>
          <w:u w:val="single"/>
        </w:rPr>
        <w:t>（单位名称）</w:t>
      </w:r>
      <w:r>
        <w:rPr>
          <w:rFonts w:ascii="宋体" w:hAnsi="宋体"/>
          <w:kern w:val="24"/>
        </w:rPr>
        <w:t>的</w:t>
      </w:r>
      <w:r>
        <w:rPr>
          <w:rFonts w:ascii="宋体" w:hAnsi="宋体"/>
          <w:kern w:val="24"/>
          <w:u w:val="single"/>
        </w:rPr>
        <w:t>（项目名称）</w:t>
      </w:r>
      <w:r>
        <w:rPr>
          <w:rFonts w:ascii="宋体" w:hAnsi="宋体"/>
          <w:kern w:val="24"/>
        </w:rPr>
        <w:t>采购活动，提供的货物全部由符合政策要求的中小企业制造。相关企业（含联合体中的中小企业、签订分包意向协议的中小企业）的具体情况如下：</w:t>
      </w:r>
    </w:p>
    <w:p w14:paraId="3541EAD0">
      <w:pPr>
        <w:tabs>
          <w:tab w:val="left" w:pos="1384"/>
          <w:tab w:val="left" w:pos="4562"/>
          <w:tab w:val="left" w:pos="6803"/>
        </w:tabs>
        <w:spacing w:line="360" w:lineRule="auto"/>
        <w:ind w:left="-426" w:right="-58" w:firstLine="655"/>
        <w:contextualSpacing/>
        <w:rPr>
          <w:rFonts w:hint="eastAsia" w:ascii="宋体" w:hAnsi="宋体"/>
          <w:kern w:val="24"/>
          <w:sz w:val="24"/>
        </w:rPr>
      </w:pPr>
      <w:r>
        <w:rPr>
          <w:rFonts w:ascii="宋体" w:hAnsi="宋体"/>
          <w:kern w:val="24"/>
          <w:sz w:val="24"/>
        </w:rPr>
        <w:t>1.</w:t>
      </w:r>
      <w:r>
        <w:rPr>
          <w:rFonts w:ascii="宋体" w:hAnsi="宋体"/>
          <w:kern w:val="24"/>
          <w:sz w:val="24"/>
          <w:u w:val="single"/>
        </w:rPr>
        <w:t>（标的名称）</w:t>
      </w:r>
      <w:r>
        <w:rPr>
          <w:rFonts w:ascii="宋体" w:hAnsi="宋体"/>
          <w:kern w:val="24"/>
          <w:sz w:val="24"/>
        </w:rPr>
        <w:t>，属于</w:t>
      </w:r>
      <w:r>
        <w:rPr>
          <w:rFonts w:ascii="宋体" w:hAnsi="宋体"/>
          <w:kern w:val="24"/>
          <w:sz w:val="24"/>
          <w:u w:val="single"/>
        </w:rPr>
        <w:t>（</w:t>
      </w:r>
      <w:r>
        <w:rPr>
          <w:rFonts w:hint="eastAsia" w:ascii="宋体" w:hAnsi="宋体"/>
          <w:kern w:val="24"/>
          <w:sz w:val="24"/>
          <w:u w:val="single"/>
        </w:rPr>
        <w:t xml:space="preserve">   </w:t>
      </w:r>
      <w:r>
        <w:rPr>
          <w:rFonts w:ascii="宋体" w:hAnsi="宋体"/>
          <w:kern w:val="24"/>
          <w:sz w:val="24"/>
          <w:u w:val="single"/>
        </w:rPr>
        <w:t>）</w:t>
      </w:r>
      <w:r>
        <w:rPr>
          <w:rFonts w:ascii="宋体" w:hAnsi="宋体"/>
          <w:kern w:val="24"/>
          <w:sz w:val="24"/>
        </w:rPr>
        <w:t>行业；</w:t>
      </w:r>
      <w:r>
        <w:rPr>
          <w:rFonts w:hint="eastAsia" w:ascii="宋体" w:hAnsi="宋体" w:cs="宋体"/>
          <w:sz w:val="24"/>
        </w:rPr>
        <w:t>货物制造商（或服务提供商）</w:t>
      </w:r>
      <w:r>
        <w:rPr>
          <w:rFonts w:ascii="宋体" w:hAnsi="宋体"/>
          <w:kern w:val="24"/>
          <w:sz w:val="24"/>
        </w:rPr>
        <w:t>为</w:t>
      </w:r>
      <w:r>
        <w:rPr>
          <w:rFonts w:ascii="宋体" w:hAnsi="宋体"/>
          <w:kern w:val="24"/>
          <w:sz w:val="24"/>
          <w:u w:val="single"/>
        </w:rPr>
        <w:t>（企业名称）</w:t>
      </w:r>
      <w:r>
        <w:rPr>
          <w:rFonts w:ascii="宋体" w:hAnsi="宋体"/>
          <w:kern w:val="24"/>
          <w:sz w:val="24"/>
        </w:rPr>
        <w:t>，从业人员</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人，营业收入为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万元，资产总额为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万元，属于</w:t>
      </w:r>
      <w:r>
        <w:rPr>
          <w:rFonts w:ascii="宋体" w:hAnsi="宋体"/>
          <w:kern w:val="24"/>
          <w:sz w:val="24"/>
          <w:u w:val="single"/>
        </w:rPr>
        <w:t>（中型企业、小型企业、微型企业）</w:t>
      </w:r>
      <w:r>
        <w:rPr>
          <w:rFonts w:ascii="宋体" w:hAnsi="宋体"/>
          <w:kern w:val="24"/>
          <w:sz w:val="24"/>
        </w:rPr>
        <w:t>；</w:t>
      </w:r>
    </w:p>
    <w:p w14:paraId="3CD9FAE4">
      <w:pPr>
        <w:tabs>
          <w:tab w:val="left" w:pos="1065"/>
          <w:tab w:val="left" w:pos="6477"/>
        </w:tabs>
        <w:spacing w:line="360" w:lineRule="auto"/>
        <w:ind w:left="-426" w:right="-58" w:firstLine="655"/>
        <w:contextualSpacing/>
        <w:rPr>
          <w:rFonts w:hint="eastAsia" w:ascii="宋体" w:hAnsi="宋体"/>
          <w:kern w:val="24"/>
          <w:sz w:val="24"/>
        </w:rPr>
      </w:pPr>
      <w:r>
        <w:rPr>
          <w:rFonts w:ascii="宋体" w:hAnsi="宋体"/>
          <w:kern w:val="24"/>
          <w:sz w:val="24"/>
        </w:rPr>
        <w:t>2.</w:t>
      </w:r>
      <w:r>
        <w:rPr>
          <w:rFonts w:ascii="宋体" w:hAnsi="宋体"/>
          <w:kern w:val="24"/>
          <w:sz w:val="24"/>
          <w:u w:val="single"/>
        </w:rPr>
        <w:t>（标的名称）</w:t>
      </w:r>
      <w:r>
        <w:rPr>
          <w:rFonts w:ascii="宋体" w:hAnsi="宋体"/>
          <w:kern w:val="24"/>
          <w:sz w:val="24"/>
        </w:rPr>
        <w:t>，属于</w:t>
      </w:r>
      <w:r>
        <w:rPr>
          <w:rFonts w:ascii="宋体" w:hAnsi="宋体"/>
          <w:kern w:val="24"/>
          <w:sz w:val="24"/>
          <w:u w:val="single"/>
        </w:rPr>
        <w:t>（</w:t>
      </w:r>
      <w:r>
        <w:rPr>
          <w:rFonts w:hint="eastAsia" w:ascii="宋体" w:hAnsi="宋体"/>
          <w:kern w:val="24"/>
          <w:sz w:val="24"/>
          <w:u w:val="single"/>
        </w:rPr>
        <w:t xml:space="preserve">   </w:t>
      </w:r>
      <w:r>
        <w:rPr>
          <w:rFonts w:ascii="宋体" w:hAnsi="宋体"/>
          <w:kern w:val="24"/>
          <w:sz w:val="24"/>
          <w:u w:val="single"/>
        </w:rPr>
        <w:t>）</w:t>
      </w:r>
      <w:r>
        <w:rPr>
          <w:rFonts w:ascii="宋体" w:hAnsi="宋体"/>
          <w:kern w:val="24"/>
          <w:sz w:val="24"/>
        </w:rPr>
        <w:t>行业；</w:t>
      </w:r>
      <w:r>
        <w:rPr>
          <w:rFonts w:hint="eastAsia" w:ascii="宋体" w:hAnsi="宋体" w:cs="宋体"/>
          <w:sz w:val="24"/>
        </w:rPr>
        <w:t>货物制造商（或服务提供商）</w:t>
      </w:r>
      <w:r>
        <w:rPr>
          <w:rFonts w:ascii="宋体" w:hAnsi="宋体"/>
          <w:kern w:val="24"/>
          <w:sz w:val="24"/>
        </w:rPr>
        <w:t>为</w:t>
      </w:r>
      <w:r>
        <w:rPr>
          <w:rFonts w:ascii="宋体" w:hAnsi="宋体"/>
          <w:kern w:val="24"/>
          <w:sz w:val="24"/>
          <w:u w:val="single"/>
        </w:rPr>
        <w:t>（企业名称）</w:t>
      </w:r>
      <w:r>
        <w:rPr>
          <w:rFonts w:ascii="宋体" w:hAnsi="宋体"/>
          <w:kern w:val="24"/>
          <w:sz w:val="24"/>
        </w:rPr>
        <w:t>，从业人员</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人，营业收入为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万元，资产总额为</w:t>
      </w:r>
      <w:r>
        <w:rPr>
          <w:rFonts w:hint="eastAsia" w:ascii="宋体" w:hAnsi="宋体"/>
          <w:kern w:val="24"/>
          <w:sz w:val="24"/>
          <w:u w:val="single"/>
        </w:rPr>
        <w:t xml:space="preserve"> </w:t>
      </w:r>
      <w:r>
        <w:rPr>
          <w:rFonts w:ascii="宋体" w:hAnsi="宋体"/>
          <w:kern w:val="24"/>
          <w:sz w:val="24"/>
          <w:u w:val="single"/>
        </w:rPr>
        <w:t xml:space="preserve">     </w:t>
      </w:r>
      <w:r>
        <w:rPr>
          <w:rFonts w:ascii="宋体" w:hAnsi="宋体"/>
          <w:kern w:val="24"/>
          <w:sz w:val="24"/>
        </w:rPr>
        <w:t>万元，属于</w:t>
      </w:r>
      <w:r>
        <w:rPr>
          <w:rFonts w:ascii="宋体" w:hAnsi="宋体"/>
          <w:kern w:val="24"/>
          <w:sz w:val="24"/>
          <w:u w:val="single"/>
        </w:rPr>
        <w:t>（中型企业、小型企业、微型企业）</w:t>
      </w:r>
      <w:r>
        <w:rPr>
          <w:rFonts w:ascii="宋体" w:hAnsi="宋体"/>
          <w:kern w:val="24"/>
          <w:sz w:val="24"/>
        </w:rPr>
        <w:t>；</w:t>
      </w:r>
    </w:p>
    <w:p w14:paraId="117AC1B1">
      <w:pPr>
        <w:pStyle w:val="14"/>
        <w:spacing w:line="360" w:lineRule="auto"/>
        <w:ind w:left="142" w:right="142"/>
        <w:contextualSpacing/>
        <w:rPr>
          <w:rFonts w:hint="eastAsia" w:ascii="宋体" w:hAnsi="宋体"/>
          <w:kern w:val="24"/>
        </w:rPr>
      </w:pPr>
      <w:r>
        <w:rPr>
          <w:rFonts w:ascii="宋体" w:hAnsi="宋体"/>
          <w:kern w:val="24"/>
        </w:rPr>
        <w:t xml:space="preserve">…… </w:t>
      </w:r>
    </w:p>
    <w:p w14:paraId="2D655401">
      <w:pPr>
        <w:pStyle w:val="14"/>
        <w:spacing w:line="360" w:lineRule="auto"/>
        <w:ind w:left="-405" w:leftChars="-193" w:right="142" w:firstLine="453" w:firstLineChars="189"/>
        <w:contextualSpacing/>
        <w:rPr>
          <w:rFonts w:hint="eastAsia" w:ascii="宋体" w:hAnsi="宋体"/>
          <w:kern w:val="24"/>
        </w:rPr>
      </w:pPr>
      <w:r>
        <w:rPr>
          <w:rFonts w:ascii="宋体" w:hAnsi="宋体"/>
          <w:kern w:val="24"/>
        </w:rPr>
        <w:t>以上企业，不属于大企业的分支机构，不存在控股股东为大企业的情形，也不存在与大企业的负责人为同一人的情形。</w:t>
      </w:r>
    </w:p>
    <w:p w14:paraId="235486C0">
      <w:pPr>
        <w:pStyle w:val="14"/>
        <w:spacing w:line="360" w:lineRule="auto"/>
        <w:ind w:left="-426" w:right="142" w:firstLine="567"/>
        <w:contextualSpacing/>
        <w:rPr>
          <w:rFonts w:hint="eastAsia" w:ascii="宋体" w:hAnsi="宋体"/>
          <w:kern w:val="24"/>
        </w:rPr>
      </w:pPr>
      <w:r>
        <w:rPr>
          <w:rFonts w:ascii="宋体" w:hAnsi="宋体"/>
          <w:kern w:val="24"/>
        </w:rPr>
        <w:t>本企业对上述声明内容的真实性负责。如有虚假，将依法承担相应责任。</w:t>
      </w:r>
    </w:p>
    <w:p w14:paraId="7CC24C29">
      <w:pPr>
        <w:pStyle w:val="14"/>
        <w:spacing w:line="360" w:lineRule="auto"/>
        <w:ind w:left="3960" w:right="1808"/>
        <w:contextualSpacing/>
        <w:rPr>
          <w:rFonts w:hint="eastAsia" w:ascii="宋体" w:hAnsi="宋体"/>
          <w:kern w:val="24"/>
        </w:rPr>
      </w:pPr>
    </w:p>
    <w:p w14:paraId="44F0CDFC">
      <w:pPr>
        <w:pStyle w:val="14"/>
        <w:spacing w:line="360" w:lineRule="auto"/>
        <w:ind w:left="3960" w:right="1808"/>
        <w:contextualSpacing/>
        <w:rPr>
          <w:rFonts w:hint="eastAsia" w:ascii="宋体" w:hAnsi="宋体"/>
          <w:kern w:val="24"/>
        </w:rPr>
      </w:pPr>
      <w:r>
        <w:rPr>
          <w:rFonts w:ascii="宋体" w:hAnsi="宋体"/>
          <w:kern w:val="24"/>
        </w:rPr>
        <w:t xml:space="preserve">企业名称（章）： </w:t>
      </w:r>
    </w:p>
    <w:p w14:paraId="651B1795">
      <w:pPr>
        <w:pStyle w:val="14"/>
        <w:spacing w:line="360" w:lineRule="auto"/>
        <w:ind w:left="3960" w:right="1808"/>
        <w:contextualSpacing/>
        <w:rPr>
          <w:rFonts w:hint="eastAsia" w:ascii="宋体" w:hAnsi="宋体"/>
          <w:kern w:val="24"/>
        </w:rPr>
      </w:pPr>
      <w:r>
        <w:rPr>
          <w:rFonts w:ascii="宋体" w:hAnsi="宋体"/>
          <w:kern w:val="24"/>
        </w:rPr>
        <w:t>日</w:t>
      </w:r>
      <w:r>
        <w:rPr>
          <w:rFonts w:hint="eastAsia" w:ascii="宋体" w:hAnsi="宋体"/>
          <w:kern w:val="24"/>
        </w:rPr>
        <w:t xml:space="preserve"> </w:t>
      </w:r>
      <w:r>
        <w:rPr>
          <w:rFonts w:ascii="宋体" w:hAnsi="宋体"/>
          <w:kern w:val="24"/>
        </w:rPr>
        <w:t>期：</w:t>
      </w:r>
    </w:p>
    <w:p w14:paraId="5B64A391">
      <w:pPr>
        <w:pStyle w:val="14"/>
        <w:spacing w:line="360" w:lineRule="auto"/>
        <w:ind w:left="3960" w:right="1808"/>
        <w:contextualSpacing/>
        <w:rPr>
          <w:rFonts w:hint="eastAsia" w:ascii="宋体" w:hAnsi="宋体"/>
          <w:kern w:val="24"/>
        </w:rPr>
      </w:pPr>
    </w:p>
    <w:p w14:paraId="3EE3D5DB">
      <w:pPr>
        <w:pStyle w:val="14"/>
        <w:spacing w:line="360" w:lineRule="auto"/>
        <w:ind w:left="3960" w:right="1808"/>
        <w:contextualSpacing/>
        <w:rPr>
          <w:rFonts w:hint="eastAsia" w:ascii="宋体" w:hAnsi="宋体"/>
          <w:kern w:val="24"/>
        </w:rPr>
      </w:pPr>
    </w:p>
    <w:p w14:paraId="459006C7">
      <w:pPr>
        <w:pStyle w:val="14"/>
        <w:spacing w:line="360" w:lineRule="auto"/>
        <w:ind w:left="-426" w:right="142" w:firstLine="567"/>
        <w:contextualSpacing/>
        <w:rPr>
          <w:rFonts w:hint="eastAsia" w:ascii="宋体" w:hAnsi="宋体"/>
          <w:kern w:val="24"/>
        </w:rPr>
      </w:pPr>
      <w:r>
        <w:rPr>
          <w:rFonts w:hint="eastAsia" w:ascii="宋体" w:hAnsi="宋体"/>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4160E06D">
      <w:pPr>
        <w:snapToGrid w:val="0"/>
        <w:spacing w:before="120" w:beforeLines="50" w:after="50"/>
        <w:ind w:left="142"/>
        <w:jc w:val="left"/>
        <w:rPr>
          <w:rFonts w:hint="eastAsia" w:ascii="宋体" w:hAnsi="宋体"/>
          <w:b/>
          <w:sz w:val="24"/>
        </w:rPr>
      </w:pPr>
    </w:p>
    <w:p w14:paraId="3C8E9129">
      <w:pPr>
        <w:pStyle w:val="17"/>
        <w:jc w:val="left"/>
        <w:rPr>
          <w:rFonts w:hint="eastAsia" w:ascii="Arial Unicode MS" w:hAnsi="Arial Unicode MS" w:eastAsia="Arial Unicode MS" w:cs="Arial Unicode MS"/>
          <w:sz w:val="32"/>
          <w:szCs w:val="32"/>
        </w:rPr>
      </w:pPr>
      <w:r>
        <w:rPr>
          <w:rFonts w:ascii="Arial Unicode MS" w:hAnsi="Arial Unicode MS" w:eastAsia="Arial Unicode MS" w:cs="Arial Unicode MS"/>
          <w:sz w:val="32"/>
          <w:szCs w:val="32"/>
        </w:rPr>
        <w:br w:type="page"/>
      </w:r>
      <w:r>
        <w:rPr>
          <w:rFonts w:hint="eastAsia" w:ascii="Arial Unicode MS" w:hAnsi="Arial Unicode MS" w:eastAsia="Arial Unicode MS" w:cs="Arial Unicode MS"/>
          <w:sz w:val="32"/>
          <w:szCs w:val="32"/>
        </w:rPr>
        <w:t>附：</w:t>
      </w:r>
    </w:p>
    <w:p w14:paraId="4463AA63">
      <w:pPr>
        <w:jc w:val="center"/>
        <w:rPr>
          <w:rFonts w:hint="eastAsia" w:ascii="宋体" w:hAnsi="宋体" w:cs="Arial Unicode MS"/>
          <w:sz w:val="44"/>
          <w:szCs w:val="44"/>
        </w:rPr>
      </w:pPr>
      <w:r>
        <w:rPr>
          <w:rFonts w:hint="eastAsia" w:ascii="宋体" w:hAnsi="宋体" w:cs="Arial Unicode MS"/>
          <w:sz w:val="44"/>
          <w:szCs w:val="44"/>
        </w:rPr>
        <w:t>中小微企业划型标准</w:t>
      </w:r>
    </w:p>
    <w:p w14:paraId="3E8C5F4C">
      <w:pPr>
        <w:ind w:left="1871"/>
        <w:rPr>
          <w:rFonts w:hint="eastAsia" w:ascii="宋体" w:hAnsi="宋体" w:cs="Arial Unicode MS"/>
          <w:szCs w:val="21"/>
        </w:rPr>
      </w:pPr>
    </w:p>
    <w:tbl>
      <w:tblPr>
        <w:tblStyle w:val="26"/>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4B743D4C">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2A30BD74">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2AE0D2A0">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0DFD028B">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14:paraId="3E574DBC">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14:paraId="364E0AD3">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14:paraId="6B021F36">
            <w:pPr>
              <w:widowControl/>
              <w:jc w:val="left"/>
              <w:rPr>
                <w:rFonts w:hint="eastAsia" w:ascii="仿宋_GB2312" w:hAnsi="仿宋" w:eastAsia="仿宋_GB2312" w:cs="宋体"/>
                <w:b/>
                <w:kern w:val="0"/>
                <w:sz w:val="24"/>
              </w:rPr>
            </w:pPr>
            <w:r>
              <w:rPr>
                <w:rFonts w:hint="eastAsia" w:ascii="仿宋_GB2312" w:hAnsi="仿宋" w:eastAsia="仿宋_GB2312" w:cs="宋体"/>
                <w:b/>
                <w:kern w:val="0"/>
                <w:sz w:val="24"/>
              </w:rPr>
              <w:t>微型</w:t>
            </w:r>
          </w:p>
        </w:tc>
      </w:tr>
      <w:tr w14:paraId="72770B15">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45606EFD">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14:paraId="1F8ECCB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4500BB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4DDDCAF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440" w:type="dxa"/>
            <w:tcBorders>
              <w:top w:val="nil"/>
              <w:left w:val="nil"/>
              <w:bottom w:val="single" w:color="auto" w:sz="4" w:space="0"/>
              <w:right w:val="single" w:color="auto" w:sz="4" w:space="0"/>
            </w:tcBorders>
            <w:vAlign w:val="center"/>
          </w:tcPr>
          <w:p w14:paraId="50C01FA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925" w:type="dxa"/>
            <w:tcBorders>
              <w:top w:val="nil"/>
              <w:left w:val="nil"/>
              <w:bottom w:val="single" w:color="auto" w:sz="4" w:space="0"/>
              <w:right w:val="single" w:color="auto" w:sz="4" w:space="0"/>
            </w:tcBorders>
            <w:vAlign w:val="center"/>
          </w:tcPr>
          <w:p w14:paraId="758B0CC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43ACF8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BF11326">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384" w:type="dxa"/>
            <w:tcBorders>
              <w:top w:val="nil"/>
              <w:left w:val="nil"/>
              <w:bottom w:val="single" w:color="auto" w:sz="4" w:space="0"/>
              <w:right w:val="single" w:color="auto" w:sz="4" w:space="0"/>
            </w:tcBorders>
            <w:vAlign w:val="center"/>
          </w:tcPr>
          <w:p w14:paraId="4A786FA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095FFAC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4224D5C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40" w:type="dxa"/>
            <w:tcBorders>
              <w:top w:val="nil"/>
              <w:left w:val="nil"/>
              <w:bottom w:val="single" w:color="auto" w:sz="4" w:space="0"/>
              <w:right w:val="single" w:color="auto" w:sz="4" w:space="0"/>
            </w:tcBorders>
            <w:vAlign w:val="center"/>
          </w:tcPr>
          <w:p w14:paraId="1A2AD8B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925" w:type="dxa"/>
            <w:tcBorders>
              <w:top w:val="nil"/>
              <w:left w:val="nil"/>
              <w:bottom w:val="single" w:color="auto" w:sz="4" w:space="0"/>
              <w:right w:val="single" w:color="auto" w:sz="4" w:space="0"/>
            </w:tcBorders>
            <w:vAlign w:val="center"/>
          </w:tcPr>
          <w:p w14:paraId="78C8A3A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725B964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F374455">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26453AC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8EC021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2117F4A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440" w:type="dxa"/>
            <w:tcBorders>
              <w:top w:val="nil"/>
              <w:left w:val="nil"/>
              <w:bottom w:val="single" w:color="auto" w:sz="4" w:space="0"/>
              <w:right w:val="single" w:color="auto" w:sz="4" w:space="0"/>
            </w:tcBorders>
            <w:vAlign w:val="center"/>
          </w:tcPr>
          <w:p w14:paraId="2F10B60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925" w:type="dxa"/>
            <w:tcBorders>
              <w:top w:val="nil"/>
              <w:left w:val="nil"/>
              <w:bottom w:val="single" w:color="auto" w:sz="4" w:space="0"/>
              <w:right w:val="single" w:color="auto" w:sz="4" w:space="0"/>
            </w:tcBorders>
            <w:vAlign w:val="center"/>
          </w:tcPr>
          <w:p w14:paraId="2F23255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797053C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EA0F351">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384" w:type="dxa"/>
            <w:tcBorders>
              <w:top w:val="nil"/>
              <w:left w:val="nil"/>
              <w:bottom w:val="single" w:color="auto" w:sz="4" w:space="0"/>
              <w:right w:val="single" w:color="auto" w:sz="4" w:space="0"/>
            </w:tcBorders>
            <w:vAlign w:val="center"/>
          </w:tcPr>
          <w:p w14:paraId="3FA335E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7356CF3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6457EF4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440" w:type="dxa"/>
            <w:tcBorders>
              <w:top w:val="nil"/>
              <w:left w:val="nil"/>
              <w:bottom w:val="single" w:color="auto" w:sz="4" w:space="0"/>
              <w:right w:val="single" w:color="auto" w:sz="4" w:space="0"/>
            </w:tcBorders>
            <w:vAlign w:val="center"/>
          </w:tcPr>
          <w:p w14:paraId="1C828A1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925" w:type="dxa"/>
            <w:tcBorders>
              <w:top w:val="nil"/>
              <w:left w:val="nil"/>
              <w:bottom w:val="single" w:color="auto" w:sz="4" w:space="0"/>
              <w:right w:val="single" w:color="auto" w:sz="4" w:space="0"/>
            </w:tcBorders>
            <w:vAlign w:val="center"/>
          </w:tcPr>
          <w:p w14:paraId="56F7BF3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741CC5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54C256E">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3544E94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2FB5BCA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6A13428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440" w:type="dxa"/>
            <w:tcBorders>
              <w:top w:val="nil"/>
              <w:left w:val="nil"/>
              <w:bottom w:val="single" w:color="auto" w:sz="4" w:space="0"/>
              <w:right w:val="single" w:color="auto" w:sz="4" w:space="0"/>
            </w:tcBorders>
            <w:vAlign w:val="center"/>
          </w:tcPr>
          <w:p w14:paraId="7FEC62D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925" w:type="dxa"/>
            <w:tcBorders>
              <w:top w:val="nil"/>
              <w:left w:val="nil"/>
              <w:bottom w:val="single" w:color="auto" w:sz="4" w:space="0"/>
              <w:right w:val="single" w:color="auto" w:sz="4" w:space="0"/>
            </w:tcBorders>
            <w:vAlign w:val="center"/>
          </w:tcPr>
          <w:p w14:paraId="2A9A14C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545CFD1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EDE2930">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384" w:type="dxa"/>
            <w:tcBorders>
              <w:top w:val="nil"/>
              <w:left w:val="nil"/>
              <w:bottom w:val="single" w:color="auto" w:sz="4" w:space="0"/>
              <w:right w:val="single" w:color="auto" w:sz="4" w:space="0"/>
            </w:tcBorders>
            <w:vAlign w:val="center"/>
          </w:tcPr>
          <w:p w14:paraId="7BDEE1E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308CBE4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226D34C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440" w:type="dxa"/>
            <w:tcBorders>
              <w:top w:val="nil"/>
              <w:left w:val="nil"/>
              <w:bottom w:val="single" w:color="auto" w:sz="4" w:space="0"/>
              <w:right w:val="single" w:color="auto" w:sz="4" w:space="0"/>
            </w:tcBorders>
            <w:vAlign w:val="center"/>
          </w:tcPr>
          <w:p w14:paraId="528DFDC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925" w:type="dxa"/>
            <w:tcBorders>
              <w:top w:val="nil"/>
              <w:left w:val="nil"/>
              <w:bottom w:val="single" w:color="auto" w:sz="4" w:space="0"/>
              <w:right w:val="single" w:color="auto" w:sz="4" w:space="0"/>
            </w:tcBorders>
            <w:vAlign w:val="center"/>
          </w:tcPr>
          <w:p w14:paraId="2C4E569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7071F8F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E66C044">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16EAA0C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227F03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1136CDE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440" w:type="dxa"/>
            <w:tcBorders>
              <w:top w:val="nil"/>
              <w:left w:val="nil"/>
              <w:bottom w:val="single" w:color="auto" w:sz="4" w:space="0"/>
              <w:right w:val="single" w:color="auto" w:sz="4" w:space="0"/>
            </w:tcBorders>
            <w:vAlign w:val="center"/>
          </w:tcPr>
          <w:p w14:paraId="7E86475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925" w:type="dxa"/>
            <w:tcBorders>
              <w:top w:val="nil"/>
              <w:left w:val="nil"/>
              <w:bottom w:val="single" w:color="auto" w:sz="4" w:space="0"/>
              <w:right w:val="single" w:color="auto" w:sz="4" w:space="0"/>
            </w:tcBorders>
            <w:vAlign w:val="center"/>
          </w:tcPr>
          <w:p w14:paraId="006CFEA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2879026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F686987">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384" w:type="dxa"/>
            <w:tcBorders>
              <w:top w:val="nil"/>
              <w:left w:val="nil"/>
              <w:bottom w:val="single" w:color="auto" w:sz="4" w:space="0"/>
              <w:right w:val="single" w:color="auto" w:sz="4" w:space="0"/>
            </w:tcBorders>
            <w:vAlign w:val="center"/>
          </w:tcPr>
          <w:p w14:paraId="43A550F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381FBCF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34A03FA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440" w:type="dxa"/>
            <w:tcBorders>
              <w:top w:val="nil"/>
              <w:left w:val="nil"/>
              <w:bottom w:val="single" w:color="auto" w:sz="4" w:space="0"/>
              <w:right w:val="single" w:color="auto" w:sz="4" w:space="0"/>
            </w:tcBorders>
            <w:vAlign w:val="center"/>
          </w:tcPr>
          <w:p w14:paraId="02B66B7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925" w:type="dxa"/>
            <w:tcBorders>
              <w:top w:val="nil"/>
              <w:left w:val="nil"/>
              <w:bottom w:val="single" w:color="auto" w:sz="4" w:space="0"/>
              <w:right w:val="single" w:color="auto" w:sz="4" w:space="0"/>
            </w:tcBorders>
            <w:vAlign w:val="center"/>
          </w:tcPr>
          <w:p w14:paraId="2B459BD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1D851D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55E95E4">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58A92F8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D9251B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2155F8B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440" w:type="dxa"/>
            <w:tcBorders>
              <w:top w:val="nil"/>
              <w:left w:val="nil"/>
              <w:bottom w:val="single" w:color="auto" w:sz="4" w:space="0"/>
              <w:right w:val="single" w:color="auto" w:sz="4" w:space="0"/>
            </w:tcBorders>
            <w:vAlign w:val="center"/>
          </w:tcPr>
          <w:p w14:paraId="7A32EAC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925" w:type="dxa"/>
            <w:tcBorders>
              <w:top w:val="nil"/>
              <w:left w:val="nil"/>
              <w:bottom w:val="single" w:color="auto" w:sz="4" w:space="0"/>
              <w:right w:val="single" w:color="auto" w:sz="4" w:space="0"/>
            </w:tcBorders>
            <w:vAlign w:val="center"/>
          </w:tcPr>
          <w:p w14:paraId="0E65C8E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7914F38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2C90A8A">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14:paraId="45A60AC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0DF93CE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2DA343D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40" w:type="dxa"/>
            <w:tcBorders>
              <w:top w:val="nil"/>
              <w:left w:val="nil"/>
              <w:bottom w:val="single" w:color="auto" w:sz="4" w:space="0"/>
              <w:right w:val="single" w:color="auto" w:sz="4" w:space="0"/>
            </w:tcBorders>
            <w:vAlign w:val="center"/>
          </w:tcPr>
          <w:p w14:paraId="6B6F411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925" w:type="dxa"/>
            <w:tcBorders>
              <w:top w:val="nil"/>
              <w:left w:val="nil"/>
              <w:bottom w:val="single" w:color="auto" w:sz="4" w:space="0"/>
              <w:right w:val="single" w:color="auto" w:sz="4" w:space="0"/>
            </w:tcBorders>
            <w:vAlign w:val="center"/>
          </w:tcPr>
          <w:p w14:paraId="2621C87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320CD2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3CF112E">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29D2DFD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19E2E61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30A110A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440" w:type="dxa"/>
            <w:tcBorders>
              <w:top w:val="nil"/>
              <w:left w:val="nil"/>
              <w:bottom w:val="single" w:color="auto" w:sz="4" w:space="0"/>
              <w:right w:val="single" w:color="auto" w:sz="4" w:space="0"/>
            </w:tcBorders>
            <w:vAlign w:val="center"/>
          </w:tcPr>
          <w:p w14:paraId="2E081DB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925" w:type="dxa"/>
            <w:tcBorders>
              <w:top w:val="nil"/>
              <w:left w:val="nil"/>
              <w:bottom w:val="single" w:color="auto" w:sz="4" w:space="0"/>
              <w:right w:val="single" w:color="auto" w:sz="4" w:space="0"/>
            </w:tcBorders>
            <w:vAlign w:val="center"/>
          </w:tcPr>
          <w:p w14:paraId="08691A4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56924D1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C6A80EB">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384" w:type="dxa"/>
            <w:tcBorders>
              <w:top w:val="nil"/>
              <w:left w:val="nil"/>
              <w:bottom w:val="single" w:color="auto" w:sz="4" w:space="0"/>
              <w:right w:val="single" w:color="auto" w:sz="4" w:space="0"/>
            </w:tcBorders>
            <w:vAlign w:val="center"/>
          </w:tcPr>
          <w:p w14:paraId="7CE0A2F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0D8D7A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29D5767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440" w:type="dxa"/>
            <w:tcBorders>
              <w:top w:val="nil"/>
              <w:left w:val="nil"/>
              <w:bottom w:val="single" w:color="auto" w:sz="4" w:space="0"/>
              <w:right w:val="single" w:color="auto" w:sz="4" w:space="0"/>
            </w:tcBorders>
            <w:vAlign w:val="center"/>
          </w:tcPr>
          <w:p w14:paraId="7D2D619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925" w:type="dxa"/>
            <w:tcBorders>
              <w:top w:val="nil"/>
              <w:left w:val="nil"/>
              <w:bottom w:val="single" w:color="auto" w:sz="4" w:space="0"/>
              <w:right w:val="single" w:color="auto" w:sz="4" w:space="0"/>
            </w:tcBorders>
            <w:vAlign w:val="center"/>
          </w:tcPr>
          <w:p w14:paraId="5105622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3D2A0B2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5A4B25D">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5A5B846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03F375D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2DFC1D0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440" w:type="dxa"/>
            <w:tcBorders>
              <w:top w:val="nil"/>
              <w:left w:val="nil"/>
              <w:bottom w:val="single" w:color="auto" w:sz="4" w:space="0"/>
              <w:right w:val="single" w:color="auto" w:sz="4" w:space="0"/>
            </w:tcBorders>
            <w:vAlign w:val="center"/>
          </w:tcPr>
          <w:p w14:paraId="3BF1AB2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925" w:type="dxa"/>
            <w:tcBorders>
              <w:top w:val="nil"/>
              <w:left w:val="nil"/>
              <w:bottom w:val="single" w:color="auto" w:sz="4" w:space="0"/>
              <w:right w:val="single" w:color="auto" w:sz="4" w:space="0"/>
            </w:tcBorders>
            <w:vAlign w:val="center"/>
          </w:tcPr>
          <w:p w14:paraId="413F86F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0B2066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0FB7579">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384" w:type="dxa"/>
            <w:tcBorders>
              <w:top w:val="nil"/>
              <w:left w:val="nil"/>
              <w:bottom w:val="single" w:color="auto" w:sz="4" w:space="0"/>
              <w:right w:val="single" w:color="auto" w:sz="4" w:space="0"/>
            </w:tcBorders>
            <w:vAlign w:val="center"/>
          </w:tcPr>
          <w:p w14:paraId="19D6584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4F068EC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499FB44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40" w:type="dxa"/>
            <w:tcBorders>
              <w:top w:val="nil"/>
              <w:left w:val="nil"/>
              <w:bottom w:val="single" w:color="auto" w:sz="4" w:space="0"/>
              <w:right w:val="single" w:color="auto" w:sz="4" w:space="0"/>
            </w:tcBorders>
            <w:vAlign w:val="center"/>
          </w:tcPr>
          <w:p w14:paraId="0ED478D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925" w:type="dxa"/>
            <w:tcBorders>
              <w:top w:val="nil"/>
              <w:left w:val="nil"/>
              <w:bottom w:val="single" w:color="auto" w:sz="4" w:space="0"/>
              <w:right w:val="single" w:color="auto" w:sz="4" w:space="0"/>
            </w:tcBorders>
            <w:vAlign w:val="center"/>
          </w:tcPr>
          <w:p w14:paraId="082C908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61A3882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8AD6CF3">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7039689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656E392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509468C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440" w:type="dxa"/>
            <w:tcBorders>
              <w:top w:val="nil"/>
              <w:left w:val="nil"/>
              <w:bottom w:val="single" w:color="auto" w:sz="4" w:space="0"/>
              <w:right w:val="single" w:color="auto" w:sz="4" w:space="0"/>
            </w:tcBorders>
            <w:vAlign w:val="center"/>
          </w:tcPr>
          <w:p w14:paraId="6883CC8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925" w:type="dxa"/>
            <w:tcBorders>
              <w:top w:val="nil"/>
              <w:left w:val="nil"/>
              <w:bottom w:val="single" w:color="auto" w:sz="4" w:space="0"/>
              <w:right w:val="single" w:color="auto" w:sz="4" w:space="0"/>
            </w:tcBorders>
            <w:vAlign w:val="center"/>
          </w:tcPr>
          <w:p w14:paraId="2349CF5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D0B75C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9AB3AAD">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384" w:type="dxa"/>
            <w:tcBorders>
              <w:top w:val="nil"/>
              <w:left w:val="nil"/>
              <w:bottom w:val="single" w:color="auto" w:sz="4" w:space="0"/>
              <w:right w:val="single" w:color="auto" w:sz="4" w:space="0"/>
            </w:tcBorders>
            <w:vAlign w:val="center"/>
          </w:tcPr>
          <w:p w14:paraId="18F6D80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0C9CAC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6874E60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40" w:type="dxa"/>
            <w:tcBorders>
              <w:top w:val="nil"/>
              <w:left w:val="nil"/>
              <w:bottom w:val="single" w:color="auto" w:sz="4" w:space="0"/>
              <w:right w:val="single" w:color="auto" w:sz="4" w:space="0"/>
            </w:tcBorders>
            <w:vAlign w:val="center"/>
          </w:tcPr>
          <w:p w14:paraId="67AA253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925" w:type="dxa"/>
            <w:tcBorders>
              <w:top w:val="nil"/>
              <w:left w:val="nil"/>
              <w:bottom w:val="single" w:color="auto" w:sz="4" w:space="0"/>
              <w:right w:val="single" w:color="auto" w:sz="4" w:space="0"/>
            </w:tcBorders>
            <w:vAlign w:val="center"/>
          </w:tcPr>
          <w:p w14:paraId="0562741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D89FAE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BB2700B">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77812F8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320976E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3024727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440" w:type="dxa"/>
            <w:tcBorders>
              <w:top w:val="nil"/>
              <w:left w:val="nil"/>
              <w:bottom w:val="single" w:color="auto" w:sz="4" w:space="0"/>
              <w:right w:val="single" w:color="auto" w:sz="4" w:space="0"/>
            </w:tcBorders>
            <w:vAlign w:val="center"/>
          </w:tcPr>
          <w:p w14:paraId="0148D9B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925" w:type="dxa"/>
            <w:tcBorders>
              <w:top w:val="nil"/>
              <w:left w:val="nil"/>
              <w:bottom w:val="single" w:color="auto" w:sz="4" w:space="0"/>
              <w:right w:val="single" w:color="auto" w:sz="4" w:space="0"/>
            </w:tcBorders>
            <w:vAlign w:val="center"/>
          </w:tcPr>
          <w:p w14:paraId="62D4ECB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050A47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16B4DBA">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384" w:type="dxa"/>
            <w:tcBorders>
              <w:top w:val="nil"/>
              <w:left w:val="nil"/>
              <w:bottom w:val="single" w:color="auto" w:sz="4" w:space="0"/>
              <w:right w:val="single" w:color="auto" w:sz="4" w:space="0"/>
            </w:tcBorders>
            <w:vAlign w:val="center"/>
          </w:tcPr>
          <w:p w14:paraId="1C91C24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1ED79C6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5097D72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40" w:type="dxa"/>
            <w:tcBorders>
              <w:top w:val="nil"/>
              <w:left w:val="nil"/>
              <w:bottom w:val="single" w:color="auto" w:sz="4" w:space="0"/>
              <w:right w:val="single" w:color="auto" w:sz="4" w:space="0"/>
            </w:tcBorders>
            <w:vAlign w:val="center"/>
          </w:tcPr>
          <w:p w14:paraId="6C252AA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925" w:type="dxa"/>
            <w:tcBorders>
              <w:top w:val="nil"/>
              <w:left w:val="nil"/>
              <w:bottom w:val="single" w:color="auto" w:sz="4" w:space="0"/>
              <w:right w:val="single" w:color="auto" w:sz="4" w:space="0"/>
            </w:tcBorders>
            <w:vAlign w:val="center"/>
          </w:tcPr>
          <w:p w14:paraId="68E18FA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262715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0C1C51E">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44B3D49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1F02DC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3619F61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440" w:type="dxa"/>
            <w:tcBorders>
              <w:top w:val="nil"/>
              <w:left w:val="nil"/>
              <w:bottom w:val="single" w:color="auto" w:sz="4" w:space="0"/>
              <w:right w:val="single" w:color="auto" w:sz="4" w:space="0"/>
            </w:tcBorders>
            <w:vAlign w:val="center"/>
          </w:tcPr>
          <w:p w14:paraId="1D031B1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925" w:type="dxa"/>
            <w:tcBorders>
              <w:top w:val="nil"/>
              <w:left w:val="nil"/>
              <w:bottom w:val="single" w:color="auto" w:sz="4" w:space="0"/>
              <w:right w:val="single" w:color="auto" w:sz="4" w:space="0"/>
            </w:tcBorders>
            <w:vAlign w:val="center"/>
          </w:tcPr>
          <w:p w14:paraId="1B33EEF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F501FB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5A3C026">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14:paraId="760F309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3FC8194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7A7F6FF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440" w:type="dxa"/>
            <w:tcBorders>
              <w:top w:val="nil"/>
              <w:left w:val="nil"/>
              <w:bottom w:val="single" w:color="auto" w:sz="4" w:space="0"/>
              <w:right w:val="single" w:color="auto" w:sz="4" w:space="0"/>
            </w:tcBorders>
            <w:vAlign w:val="center"/>
          </w:tcPr>
          <w:p w14:paraId="05F7648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925" w:type="dxa"/>
            <w:tcBorders>
              <w:top w:val="nil"/>
              <w:left w:val="nil"/>
              <w:bottom w:val="single" w:color="auto" w:sz="4" w:space="0"/>
              <w:right w:val="single" w:color="auto" w:sz="4" w:space="0"/>
            </w:tcBorders>
            <w:vAlign w:val="center"/>
          </w:tcPr>
          <w:p w14:paraId="7ED7291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6DE411E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FDE5B1E">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705A765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97B161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620C320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440" w:type="dxa"/>
            <w:tcBorders>
              <w:top w:val="nil"/>
              <w:left w:val="nil"/>
              <w:bottom w:val="single" w:color="auto" w:sz="4" w:space="0"/>
              <w:right w:val="single" w:color="auto" w:sz="4" w:space="0"/>
            </w:tcBorders>
            <w:vAlign w:val="center"/>
          </w:tcPr>
          <w:p w14:paraId="08E7E1B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925" w:type="dxa"/>
            <w:tcBorders>
              <w:top w:val="nil"/>
              <w:left w:val="nil"/>
              <w:bottom w:val="single" w:color="auto" w:sz="4" w:space="0"/>
              <w:right w:val="single" w:color="auto" w:sz="4" w:space="0"/>
            </w:tcBorders>
            <w:vAlign w:val="center"/>
          </w:tcPr>
          <w:p w14:paraId="42CA81D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55E2B5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190EF30">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1034FDE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BFD24E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197D0B7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40" w:type="dxa"/>
            <w:tcBorders>
              <w:top w:val="nil"/>
              <w:left w:val="nil"/>
              <w:bottom w:val="single" w:color="auto" w:sz="4" w:space="0"/>
              <w:right w:val="single" w:color="auto" w:sz="4" w:space="0"/>
            </w:tcBorders>
            <w:vAlign w:val="center"/>
          </w:tcPr>
          <w:p w14:paraId="6D2E408D">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925" w:type="dxa"/>
            <w:tcBorders>
              <w:top w:val="nil"/>
              <w:left w:val="nil"/>
              <w:bottom w:val="single" w:color="auto" w:sz="4" w:space="0"/>
              <w:right w:val="single" w:color="auto" w:sz="4" w:space="0"/>
            </w:tcBorders>
            <w:vAlign w:val="center"/>
          </w:tcPr>
          <w:p w14:paraId="226F5D6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9A735D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8B10E3C">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2B7BC9A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46F495F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3029ED5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440" w:type="dxa"/>
            <w:tcBorders>
              <w:top w:val="nil"/>
              <w:left w:val="nil"/>
              <w:bottom w:val="single" w:color="auto" w:sz="4" w:space="0"/>
              <w:right w:val="single" w:color="auto" w:sz="4" w:space="0"/>
            </w:tcBorders>
            <w:vAlign w:val="center"/>
          </w:tcPr>
          <w:p w14:paraId="5382D67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925" w:type="dxa"/>
            <w:tcBorders>
              <w:top w:val="nil"/>
              <w:left w:val="nil"/>
              <w:bottom w:val="single" w:color="auto" w:sz="4" w:space="0"/>
              <w:right w:val="single" w:color="auto" w:sz="4" w:space="0"/>
            </w:tcBorders>
            <w:vAlign w:val="center"/>
          </w:tcPr>
          <w:p w14:paraId="5D6A14A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712334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EC86307">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588BBDB0">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03F8E0F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7DDBC11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440" w:type="dxa"/>
            <w:tcBorders>
              <w:top w:val="nil"/>
              <w:left w:val="nil"/>
              <w:bottom w:val="single" w:color="auto" w:sz="4" w:space="0"/>
              <w:right w:val="single" w:color="auto" w:sz="4" w:space="0"/>
            </w:tcBorders>
            <w:vAlign w:val="center"/>
          </w:tcPr>
          <w:p w14:paraId="728A98B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925" w:type="dxa"/>
            <w:tcBorders>
              <w:top w:val="nil"/>
              <w:left w:val="nil"/>
              <w:bottom w:val="single" w:color="auto" w:sz="4" w:space="0"/>
              <w:right w:val="single" w:color="auto" w:sz="4" w:space="0"/>
            </w:tcBorders>
            <w:vAlign w:val="center"/>
          </w:tcPr>
          <w:p w14:paraId="4A129CB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2420E24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0450F3E">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14669412">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3E4B222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6369DAB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440" w:type="dxa"/>
            <w:tcBorders>
              <w:top w:val="nil"/>
              <w:left w:val="nil"/>
              <w:bottom w:val="single" w:color="auto" w:sz="4" w:space="0"/>
              <w:right w:val="single" w:color="auto" w:sz="4" w:space="0"/>
            </w:tcBorders>
            <w:vAlign w:val="center"/>
          </w:tcPr>
          <w:p w14:paraId="6EF80F7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925" w:type="dxa"/>
            <w:tcBorders>
              <w:top w:val="nil"/>
              <w:left w:val="nil"/>
              <w:bottom w:val="single" w:color="auto" w:sz="4" w:space="0"/>
              <w:right w:val="single" w:color="auto" w:sz="4" w:space="0"/>
            </w:tcBorders>
            <w:vAlign w:val="center"/>
          </w:tcPr>
          <w:p w14:paraId="3D77486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64CD048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C963968">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14:paraId="4A24FC4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07F03F0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26AE278A">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440" w:type="dxa"/>
            <w:tcBorders>
              <w:top w:val="nil"/>
              <w:left w:val="nil"/>
              <w:bottom w:val="single" w:color="auto" w:sz="4" w:space="0"/>
              <w:right w:val="single" w:color="auto" w:sz="4" w:space="0"/>
            </w:tcBorders>
            <w:vAlign w:val="center"/>
          </w:tcPr>
          <w:p w14:paraId="022F9D9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925" w:type="dxa"/>
            <w:tcBorders>
              <w:top w:val="nil"/>
              <w:left w:val="nil"/>
              <w:bottom w:val="single" w:color="auto" w:sz="4" w:space="0"/>
              <w:right w:val="single" w:color="auto" w:sz="4" w:space="0"/>
            </w:tcBorders>
            <w:vAlign w:val="center"/>
          </w:tcPr>
          <w:p w14:paraId="77BE90F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1AB06C8B">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8340FC1">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704D2EF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913" w:type="dxa"/>
            <w:tcBorders>
              <w:top w:val="nil"/>
              <w:left w:val="nil"/>
              <w:bottom w:val="single" w:color="auto" w:sz="4" w:space="0"/>
              <w:right w:val="single" w:color="auto" w:sz="4" w:space="0"/>
            </w:tcBorders>
            <w:vAlign w:val="center"/>
          </w:tcPr>
          <w:p w14:paraId="5C106B83">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7CF96511">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440" w:type="dxa"/>
            <w:tcBorders>
              <w:top w:val="nil"/>
              <w:left w:val="nil"/>
              <w:bottom w:val="single" w:color="auto" w:sz="4" w:space="0"/>
              <w:right w:val="single" w:color="auto" w:sz="4" w:space="0"/>
            </w:tcBorders>
            <w:vAlign w:val="center"/>
          </w:tcPr>
          <w:p w14:paraId="06A72D4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925" w:type="dxa"/>
            <w:tcBorders>
              <w:top w:val="nil"/>
              <w:left w:val="nil"/>
              <w:bottom w:val="single" w:color="auto" w:sz="4" w:space="0"/>
              <w:right w:val="single" w:color="auto" w:sz="4" w:space="0"/>
            </w:tcBorders>
            <w:vAlign w:val="center"/>
          </w:tcPr>
          <w:p w14:paraId="56807FB7">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618B2AD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D40DAE5">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3C1A918E">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624ED2E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04FE758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40" w:type="dxa"/>
            <w:tcBorders>
              <w:top w:val="nil"/>
              <w:left w:val="nil"/>
              <w:bottom w:val="single" w:color="auto" w:sz="4" w:space="0"/>
              <w:right w:val="single" w:color="auto" w:sz="4" w:space="0"/>
            </w:tcBorders>
            <w:vAlign w:val="center"/>
          </w:tcPr>
          <w:p w14:paraId="30EEEAE6">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925" w:type="dxa"/>
            <w:tcBorders>
              <w:top w:val="nil"/>
              <w:left w:val="nil"/>
              <w:bottom w:val="single" w:color="auto" w:sz="4" w:space="0"/>
              <w:right w:val="single" w:color="auto" w:sz="4" w:space="0"/>
            </w:tcBorders>
            <w:vAlign w:val="center"/>
          </w:tcPr>
          <w:p w14:paraId="58B637E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94B48E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2F6CA4D">
            <w:pPr>
              <w:widowControl/>
              <w:jc w:val="left"/>
              <w:rPr>
                <w:rFonts w:hint="eastAsia" w:ascii="仿宋_GB2312" w:hAnsi="仿宋" w:eastAsia="仿宋_GB2312" w:cs="宋体"/>
                <w:b/>
                <w:bCs/>
                <w:kern w:val="0"/>
                <w:sz w:val="18"/>
                <w:szCs w:val="18"/>
              </w:rPr>
            </w:pPr>
          </w:p>
        </w:tc>
        <w:tc>
          <w:tcPr>
            <w:tcW w:w="1384" w:type="dxa"/>
            <w:tcBorders>
              <w:top w:val="nil"/>
              <w:left w:val="nil"/>
              <w:bottom w:val="single" w:color="auto" w:sz="4" w:space="0"/>
              <w:right w:val="single" w:color="auto" w:sz="4" w:space="0"/>
            </w:tcBorders>
            <w:vAlign w:val="center"/>
          </w:tcPr>
          <w:p w14:paraId="40BBCA2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913" w:type="dxa"/>
            <w:tcBorders>
              <w:top w:val="nil"/>
              <w:left w:val="nil"/>
              <w:bottom w:val="single" w:color="auto" w:sz="4" w:space="0"/>
              <w:right w:val="single" w:color="auto" w:sz="4" w:space="0"/>
            </w:tcBorders>
            <w:vAlign w:val="center"/>
          </w:tcPr>
          <w:p w14:paraId="7F4746BB">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620" w:type="dxa"/>
            <w:tcBorders>
              <w:top w:val="nil"/>
              <w:left w:val="nil"/>
              <w:bottom w:val="single" w:color="auto" w:sz="4" w:space="0"/>
              <w:right w:val="single" w:color="auto" w:sz="4" w:space="0"/>
            </w:tcBorders>
            <w:vAlign w:val="center"/>
          </w:tcPr>
          <w:p w14:paraId="6C716AD8">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440" w:type="dxa"/>
            <w:tcBorders>
              <w:top w:val="nil"/>
              <w:left w:val="nil"/>
              <w:bottom w:val="single" w:color="auto" w:sz="4" w:space="0"/>
              <w:right w:val="single" w:color="auto" w:sz="4" w:space="0"/>
            </w:tcBorders>
            <w:vAlign w:val="center"/>
          </w:tcPr>
          <w:p w14:paraId="561CC47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925" w:type="dxa"/>
            <w:tcBorders>
              <w:top w:val="nil"/>
              <w:left w:val="nil"/>
              <w:bottom w:val="single" w:color="auto" w:sz="4" w:space="0"/>
              <w:right w:val="single" w:color="auto" w:sz="4" w:space="0"/>
            </w:tcBorders>
            <w:vAlign w:val="center"/>
          </w:tcPr>
          <w:p w14:paraId="28AB28DC">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418ABBB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68389C9C">
            <w:pPr>
              <w:widowControl/>
              <w:jc w:val="center"/>
              <w:rPr>
                <w:rFonts w:hint="eastAsia"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5EDCEC94">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913" w:type="dxa"/>
            <w:tcBorders>
              <w:top w:val="nil"/>
              <w:left w:val="nil"/>
              <w:bottom w:val="single" w:color="auto" w:sz="4" w:space="0"/>
              <w:right w:val="single" w:color="auto" w:sz="4" w:space="0"/>
            </w:tcBorders>
            <w:vAlign w:val="center"/>
          </w:tcPr>
          <w:p w14:paraId="5C6CD6C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620" w:type="dxa"/>
            <w:tcBorders>
              <w:top w:val="nil"/>
              <w:left w:val="nil"/>
              <w:bottom w:val="single" w:color="auto" w:sz="4" w:space="0"/>
              <w:right w:val="single" w:color="auto" w:sz="4" w:space="0"/>
            </w:tcBorders>
            <w:vAlign w:val="center"/>
          </w:tcPr>
          <w:p w14:paraId="5678C1DF">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440" w:type="dxa"/>
            <w:tcBorders>
              <w:top w:val="nil"/>
              <w:left w:val="nil"/>
              <w:bottom w:val="single" w:color="auto" w:sz="4" w:space="0"/>
              <w:right w:val="single" w:color="auto" w:sz="4" w:space="0"/>
            </w:tcBorders>
            <w:vAlign w:val="center"/>
          </w:tcPr>
          <w:p w14:paraId="71B27495">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925" w:type="dxa"/>
            <w:tcBorders>
              <w:top w:val="nil"/>
              <w:left w:val="nil"/>
              <w:bottom w:val="single" w:color="auto" w:sz="4" w:space="0"/>
              <w:right w:val="single" w:color="auto" w:sz="4" w:space="0"/>
            </w:tcBorders>
            <w:vAlign w:val="center"/>
          </w:tcPr>
          <w:p w14:paraId="662F5989">
            <w:pPr>
              <w:widowControl/>
              <w:jc w:val="left"/>
              <w:rPr>
                <w:rFonts w:hint="eastAsia"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024FC78E">
      <w:pPr>
        <w:spacing w:line="360" w:lineRule="auto"/>
        <w:ind w:firstLine="525" w:firstLineChars="250"/>
        <w:rPr>
          <w:rFonts w:hint="eastAsia" w:ascii="仿宋_GB2312" w:hAnsi="仿宋" w:eastAsia="仿宋_GB2312"/>
          <w:szCs w:val="21"/>
        </w:rPr>
      </w:pPr>
    </w:p>
    <w:p w14:paraId="49A739EC">
      <w:pPr>
        <w:spacing w:line="360" w:lineRule="auto"/>
        <w:ind w:firstLine="525" w:firstLineChars="250"/>
        <w:rPr>
          <w:rFonts w:hint="eastAsia"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2F65FA70">
      <w:pPr>
        <w:snapToGrid w:val="0"/>
        <w:spacing w:before="120" w:beforeLines="50" w:after="50"/>
        <w:ind w:left="142"/>
        <w:jc w:val="left"/>
        <w:rPr>
          <w:rFonts w:hint="eastAsia" w:ascii="宋体" w:hAnsi="宋体"/>
          <w:b/>
          <w:sz w:val="24"/>
        </w:rPr>
      </w:pPr>
    </w:p>
    <w:p w14:paraId="76457426">
      <w:pPr>
        <w:snapToGrid w:val="0"/>
        <w:spacing w:before="120" w:beforeLines="50" w:after="50"/>
        <w:ind w:left="142"/>
        <w:jc w:val="left"/>
        <w:rPr>
          <w:rFonts w:hint="eastAsia" w:ascii="宋体" w:hAnsi="宋体"/>
          <w:b/>
          <w:sz w:val="24"/>
        </w:rPr>
      </w:pPr>
    </w:p>
    <w:p w14:paraId="6185D15C">
      <w:pPr>
        <w:snapToGrid w:val="0"/>
        <w:spacing w:before="120" w:beforeLines="50" w:after="50"/>
        <w:ind w:left="142"/>
        <w:jc w:val="left"/>
        <w:rPr>
          <w:rFonts w:hint="eastAsia" w:ascii="宋体" w:hAnsi="宋体"/>
          <w:b/>
          <w:sz w:val="24"/>
        </w:rPr>
      </w:pPr>
      <w:r>
        <w:rPr>
          <w:rFonts w:ascii="宋体" w:hAnsi="宋体"/>
          <w:b/>
          <w:sz w:val="24"/>
        </w:rPr>
        <w:br w:type="page"/>
      </w:r>
      <w:r>
        <w:rPr>
          <w:rFonts w:hint="eastAsia" w:ascii="宋体" w:hAnsi="宋体"/>
          <w:b/>
          <w:sz w:val="24"/>
        </w:rPr>
        <w:t>3.残疾人福利性单位声明函格式</w:t>
      </w:r>
    </w:p>
    <w:p w14:paraId="65BDA47D">
      <w:pPr>
        <w:spacing w:line="588" w:lineRule="exact"/>
        <w:jc w:val="center"/>
        <w:rPr>
          <w:rFonts w:ascii="仿宋_GB2312" w:eastAsia="仿宋_GB2312"/>
          <w:b/>
          <w:spacing w:val="6"/>
          <w:sz w:val="32"/>
          <w:szCs w:val="32"/>
        </w:rPr>
      </w:pPr>
    </w:p>
    <w:p w14:paraId="375C4918">
      <w:pPr>
        <w:spacing w:line="588" w:lineRule="exact"/>
        <w:jc w:val="center"/>
        <w:rPr>
          <w:rFonts w:hint="eastAsia" w:ascii="方正小标宋简体" w:hAnsi="方正小标宋简体" w:eastAsia="方正小标宋简体" w:cs="方正小标宋简体"/>
          <w:bCs/>
          <w:spacing w:val="6"/>
          <w:sz w:val="44"/>
          <w:szCs w:val="44"/>
        </w:rPr>
      </w:pPr>
      <w:r>
        <w:rPr>
          <w:rFonts w:hint="eastAsia" w:ascii="方正小标宋简体" w:hAnsi="方正小标宋简体" w:eastAsia="方正小标宋简体" w:cs="方正小标宋简体"/>
          <w:bCs/>
          <w:spacing w:val="6"/>
          <w:sz w:val="44"/>
          <w:szCs w:val="44"/>
        </w:rPr>
        <w:t>残疾人福利性单位声明函</w:t>
      </w:r>
    </w:p>
    <w:p w14:paraId="6A6CF6F5">
      <w:pPr>
        <w:spacing w:line="360" w:lineRule="auto"/>
        <w:contextualSpacing/>
        <w:rPr>
          <w:rFonts w:ascii="仿宋_GB2312" w:eastAsia="仿宋_GB2312"/>
          <w:bCs/>
          <w:spacing w:val="6"/>
          <w:sz w:val="30"/>
          <w:szCs w:val="30"/>
        </w:rPr>
      </w:pPr>
    </w:p>
    <w:p w14:paraId="714AFBA7">
      <w:pPr>
        <w:spacing w:line="360" w:lineRule="auto"/>
        <w:ind w:firstLine="504" w:firstLineChars="200"/>
        <w:contextualSpacing/>
        <w:rPr>
          <w:rFonts w:hint="eastAsia"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w:t>
      </w:r>
      <w:r>
        <w:rPr>
          <w:rFonts w:hint="eastAsia" w:ascii="宋体" w:hAnsi="宋体"/>
          <w:sz w:val="24"/>
        </w:rPr>
        <w:t>〔2017〕 141</w:t>
      </w:r>
      <w:r>
        <w:rPr>
          <w:rFonts w:hint="eastAsia" w:ascii="宋体" w:hAnsi="宋体"/>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宋体" w:hAnsi="宋体"/>
          <w:spacing w:val="-6"/>
          <w:sz w:val="24"/>
        </w:rPr>
        <w:t>疾人福利性单位制造的货物（不包括使用非残疾人福利性单位注册商标的货物）。</w:t>
      </w:r>
    </w:p>
    <w:p w14:paraId="64A53006">
      <w:pPr>
        <w:spacing w:line="360" w:lineRule="auto"/>
        <w:ind w:firstLine="504" w:firstLineChars="200"/>
        <w:contextualSpacing/>
        <w:rPr>
          <w:rFonts w:hint="eastAsia" w:ascii="宋体" w:hAnsi="宋体"/>
          <w:spacing w:val="6"/>
          <w:sz w:val="24"/>
        </w:rPr>
      </w:pPr>
      <w:r>
        <w:rPr>
          <w:rFonts w:hint="eastAsia" w:ascii="宋体" w:hAnsi="宋体"/>
          <w:spacing w:val="6"/>
          <w:sz w:val="24"/>
        </w:rPr>
        <w:t>本单位对上述声明的真实性负责。如有虚假，将依法承担相应责任。</w:t>
      </w:r>
    </w:p>
    <w:p w14:paraId="303047D9">
      <w:pPr>
        <w:spacing w:line="360" w:lineRule="auto"/>
        <w:ind w:firstLine="504" w:firstLineChars="200"/>
        <w:contextualSpacing/>
        <w:rPr>
          <w:rFonts w:hint="eastAsia" w:ascii="宋体" w:hAnsi="宋体"/>
          <w:spacing w:val="6"/>
          <w:sz w:val="24"/>
        </w:rPr>
      </w:pPr>
    </w:p>
    <w:p w14:paraId="4741185D">
      <w:pPr>
        <w:spacing w:line="360" w:lineRule="auto"/>
        <w:ind w:firstLine="504" w:firstLineChars="200"/>
        <w:contextualSpacing/>
        <w:rPr>
          <w:rFonts w:hint="eastAsia" w:ascii="宋体" w:hAnsi="宋体"/>
          <w:spacing w:val="6"/>
          <w:sz w:val="24"/>
        </w:rPr>
      </w:pPr>
    </w:p>
    <w:p w14:paraId="27507B08">
      <w:pPr>
        <w:tabs>
          <w:tab w:val="left" w:pos="4860"/>
        </w:tabs>
        <w:spacing w:line="360" w:lineRule="auto"/>
        <w:ind w:right="1560" w:firstLine="504" w:firstLineChars="200"/>
        <w:contextualSpacing/>
        <w:jc w:val="center"/>
        <w:rPr>
          <w:rFonts w:hint="eastAsia" w:ascii="宋体" w:hAnsi="宋体"/>
          <w:spacing w:val="6"/>
          <w:sz w:val="24"/>
        </w:rPr>
      </w:pPr>
      <w:r>
        <w:rPr>
          <w:rFonts w:hint="eastAsia" w:ascii="宋体" w:hAnsi="宋体"/>
          <w:spacing w:val="6"/>
          <w:sz w:val="24"/>
        </w:rPr>
        <w:t>单位名称（盖公章）：</w:t>
      </w:r>
    </w:p>
    <w:p w14:paraId="558CB42D">
      <w:pPr>
        <w:tabs>
          <w:tab w:val="left" w:pos="4860"/>
        </w:tabs>
        <w:spacing w:line="360" w:lineRule="auto"/>
        <w:ind w:right="1560" w:firstLine="504" w:firstLineChars="200"/>
        <w:contextualSpacing/>
        <w:jc w:val="center"/>
        <w:rPr>
          <w:rFonts w:hint="eastAsia" w:ascii="宋体" w:hAnsi="宋体"/>
          <w:spacing w:val="6"/>
          <w:sz w:val="24"/>
        </w:rPr>
      </w:pPr>
      <w:r>
        <w:rPr>
          <w:rFonts w:hint="eastAsia" w:ascii="宋体" w:hAnsi="宋体"/>
          <w:spacing w:val="6"/>
          <w:sz w:val="24"/>
        </w:rPr>
        <w:t>日  期：</w:t>
      </w:r>
    </w:p>
    <w:p w14:paraId="11E90D20">
      <w:pPr>
        <w:spacing w:line="360" w:lineRule="auto"/>
        <w:contextualSpacing/>
        <w:rPr>
          <w:rFonts w:hint="eastAsia" w:ascii="宋体" w:hAnsi="宋体"/>
          <w:sz w:val="24"/>
        </w:rPr>
      </w:pPr>
    </w:p>
    <w:p w14:paraId="34A931E2">
      <w:pPr>
        <w:spacing w:line="360" w:lineRule="auto"/>
        <w:contextualSpacing/>
        <w:rPr>
          <w:rFonts w:hint="eastAsia" w:ascii="宋体" w:hAnsi="宋体"/>
          <w:sz w:val="24"/>
        </w:rPr>
      </w:pPr>
    </w:p>
    <w:p w14:paraId="59EB79DA">
      <w:pPr>
        <w:spacing w:line="360" w:lineRule="auto"/>
        <w:contextualSpacing/>
        <w:rPr>
          <w:rFonts w:hint="eastAsia" w:ascii="宋体" w:hAnsi="宋体"/>
          <w:sz w:val="24"/>
        </w:rPr>
      </w:pPr>
    </w:p>
    <w:p w14:paraId="39AE765D">
      <w:pPr>
        <w:spacing w:line="360" w:lineRule="auto"/>
        <w:contextualSpacing/>
        <w:rPr>
          <w:rFonts w:hint="eastAsia" w:ascii="宋体" w:hAnsi="宋体"/>
          <w:sz w:val="24"/>
        </w:rPr>
      </w:pPr>
      <w:r>
        <w:rPr>
          <w:rFonts w:hint="eastAsia" w:ascii="宋体" w:hAnsi="宋体"/>
          <w:sz w:val="24"/>
        </w:rPr>
        <w:t>注：请根据自己的真实情况出具《残疾人福利性单位声明函》。依法享受中小企业优惠政策的，采购人或者采购代理机构在公告中标结果时，同时公告其《残疾人福利性单位声明函》，接受社会监督。</w:t>
      </w:r>
    </w:p>
    <w:p w14:paraId="74FFA347">
      <w:pPr>
        <w:spacing w:line="360" w:lineRule="auto"/>
        <w:jc w:val="left"/>
        <w:rPr>
          <w:rFonts w:hint="eastAsia" w:ascii="宋体" w:hAnsi="宋体"/>
          <w:sz w:val="24"/>
        </w:rPr>
      </w:pPr>
      <w:r>
        <w:rPr>
          <w:rFonts w:ascii="宋体" w:hAnsi="宋体"/>
          <w:sz w:val="24"/>
        </w:rPr>
        <w:br w:type="page"/>
      </w:r>
      <w:r>
        <w:rPr>
          <w:rFonts w:hint="eastAsia" w:ascii="宋体" w:hAnsi="宋体"/>
          <w:b/>
          <w:sz w:val="24"/>
        </w:rPr>
        <w:t>4.质疑函格式</w:t>
      </w:r>
    </w:p>
    <w:p w14:paraId="0E27BE4D">
      <w:pPr>
        <w:spacing w:line="36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质疑函</w:t>
      </w:r>
    </w:p>
    <w:p w14:paraId="25BC4BD8">
      <w:pPr>
        <w:pStyle w:val="17"/>
        <w:snapToGrid w:val="0"/>
        <w:spacing w:line="360" w:lineRule="auto"/>
        <w:ind w:firstLine="482" w:firstLineChars="200"/>
        <w:rPr>
          <w:rFonts w:hint="eastAsia" w:hAnsi="宋体"/>
          <w:b/>
          <w:bCs/>
          <w:sz w:val="24"/>
          <w:szCs w:val="24"/>
        </w:rPr>
      </w:pPr>
      <w:r>
        <w:rPr>
          <w:rFonts w:hint="eastAsia" w:hAnsi="宋体"/>
          <w:b/>
          <w:bCs/>
          <w:sz w:val="24"/>
          <w:szCs w:val="24"/>
        </w:rPr>
        <w:t>一、质疑供应商基本信息：</w:t>
      </w:r>
    </w:p>
    <w:p w14:paraId="43B655F7">
      <w:pPr>
        <w:pStyle w:val="17"/>
        <w:snapToGrid w:val="0"/>
        <w:spacing w:line="360" w:lineRule="auto"/>
        <w:ind w:firstLine="480" w:firstLineChars="200"/>
        <w:rPr>
          <w:rFonts w:hint="eastAsia"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450CBCEC">
      <w:pPr>
        <w:pStyle w:val="17"/>
        <w:snapToGrid w:val="0"/>
        <w:spacing w:line="360" w:lineRule="auto"/>
        <w:ind w:firstLine="480" w:firstLineChars="200"/>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14B87B8F">
      <w:pPr>
        <w:pStyle w:val="17"/>
        <w:snapToGrid w:val="0"/>
        <w:spacing w:line="360" w:lineRule="auto"/>
        <w:ind w:firstLine="480" w:firstLineChars="200"/>
        <w:rPr>
          <w:rFonts w:hint="eastAsia"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0468DDEA">
      <w:pPr>
        <w:pStyle w:val="17"/>
        <w:snapToGrid w:val="0"/>
        <w:spacing w:line="360" w:lineRule="auto"/>
        <w:ind w:firstLine="480" w:firstLineChars="200"/>
        <w:rPr>
          <w:rFonts w:hint="eastAsia"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46161FFE">
      <w:pPr>
        <w:pStyle w:val="17"/>
        <w:snapToGrid w:val="0"/>
        <w:spacing w:line="360" w:lineRule="auto"/>
        <w:ind w:firstLine="480" w:firstLineChars="200"/>
        <w:rPr>
          <w:rFonts w:hint="eastAsia"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59D61FC6">
      <w:pPr>
        <w:pStyle w:val="17"/>
        <w:snapToGrid w:val="0"/>
        <w:spacing w:line="360" w:lineRule="auto"/>
        <w:ind w:firstLine="480" w:firstLineChars="200"/>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068DDA3B">
      <w:pPr>
        <w:pStyle w:val="17"/>
        <w:snapToGrid w:val="0"/>
        <w:spacing w:line="360" w:lineRule="auto"/>
        <w:ind w:firstLine="482" w:firstLineChars="200"/>
        <w:rPr>
          <w:rFonts w:hint="eastAsia" w:hAnsi="宋体"/>
          <w:b/>
          <w:bCs/>
          <w:sz w:val="24"/>
          <w:szCs w:val="24"/>
        </w:rPr>
      </w:pPr>
      <w:r>
        <w:rPr>
          <w:rFonts w:hint="eastAsia" w:hAnsi="宋体"/>
          <w:b/>
          <w:bCs/>
          <w:sz w:val="24"/>
          <w:szCs w:val="24"/>
        </w:rPr>
        <w:t>二、质疑项目基本情况：</w:t>
      </w:r>
    </w:p>
    <w:p w14:paraId="0AF9C11C">
      <w:pPr>
        <w:pStyle w:val="17"/>
        <w:spacing w:line="360" w:lineRule="auto"/>
        <w:ind w:left="25" w:leftChars="12" w:firstLine="472" w:firstLineChars="197"/>
        <w:rPr>
          <w:rFonts w:hint="eastAsia"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14:paraId="2A720113">
      <w:pPr>
        <w:pStyle w:val="17"/>
        <w:spacing w:line="360" w:lineRule="auto"/>
        <w:ind w:left="25" w:leftChars="12" w:firstLine="472" w:firstLineChars="197"/>
        <w:rPr>
          <w:rFonts w:hint="eastAsia"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14:paraId="72A00EB1">
      <w:pPr>
        <w:pStyle w:val="17"/>
        <w:spacing w:line="360" w:lineRule="auto"/>
        <w:ind w:left="25" w:leftChars="12" w:firstLine="472" w:firstLineChars="197"/>
        <w:rPr>
          <w:rFonts w:hint="eastAsia" w:hAnsi="宋体"/>
          <w:sz w:val="24"/>
          <w:szCs w:val="24"/>
        </w:rPr>
      </w:pPr>
      <w:r>
        <w:rPr>
          <w:rFonts w:hint="eastAsia" w:hAnsi="宋体"/>
          <w:sz w:val="24"/>
          <w:szCs w:val="24"/>
        </w:rPr>
        <w:t>采购人名称：</w:t>
      </w:r>
      <w:r>
        <w:rPr>
          <w:rFonts w:hint="eastAsia" w:hAnsi="宋体"/>
          <w:bCs/>
          <w:sz w:val="24"/>
          <w:szCs w:val="24"/>
          <w:u w:val="single"/>
        </w:rPr>
        <w:t xml:space="preserve">                                         </w:t>
      </w:r>
    </w:p>
    <w:p w14:paraId="01607F83">
      <w:pPr>
        <w:pStyle w:val="17"/>
        <w:spacing w:line="360" w:lineRule="auto"/>
        <w:ind w:left="25" w:leftChars="12" w:firstLine="472" w:firstLineChars="197"/>
        <w:rPr>
          <w:rFonts w:hint="eastAsia" w:hAnsi="宋体"/>
          <w:sz w:val="24"/>
          <w:szCs w:val="24"/>
        </w:rPr>
      </w:pPr>
      <w:r>
        <w:rPr>
          <w:rFonts w:hint="eastAsia" w:hAnsi="宋体"/>
          <w:sz w:val="24"/>
          <w:szCs w:val="24"/>
        </w:rPr>
        <w:t>质疑事项：</w:t>
      </w:r>
    </w:p>
    <w:p w14:paraId="6E086495">
      <w:pPr>
        <w:pStyle w:val="17"/>
        <w:spacing w:line="360" w:lineRule="auto"/>
        <w:ind w:left="25" w:leftChars="12" w:firstLine="352" w:firstLineChars="147"/>
        <w:rPr>
          <w:rFonts w:hint="eastAsia" w:hAnsi="宋体"/>
          <w:sz w:val="24"/>
          <w:szCs w:val="24"/>
        </w:rPr>
      </w:pPr>
      <w:r>
        <w:rPr>
          <w:rFonts w:hint="eastAsia" w:hAnsi="宋体"/>
          <w:sz w:val="24"/>
          <w:szCs w:val="24"/>
        </w:rPr>
        <w:t>□招标文件   招标文件获取日期：</w:t>
      </w:r>
      <w:r>
        <w:rPr>
          <w:rFonts w:hint="eastAsia" w:hAnsi="宋体"/>
          <w:bCs/>
          <w:sz w:val="24"/>
          <w:szCs w:val="24"/>
          <w:u w:val="single"/>
        </w:rPr>
        <w:t xml:space="preserve">                                   </w:t>
      </w:r>
    </w:p>
    <w:p w14:paraId="53079779">
      <w:pPr>
        <w:pStyle w:val="17"/>
        <w:spacing w:line="360" w:lineRule="auto"/>
        <w:ind w:left="25" w:leftChars="12" w:firstLine="352" w:firstLineChars="147"/>
        <w:rPr>
          <w:rFonts w:hint="eastAsia" w:hAnsi="宋体"/>
          <w:sz w:val="24"/>
          <w:szCs w:val="24"/>
        </w:rPr>
      </w:pPr>
      <w:r>
        <w:rPr>
          <w:rFonts w:hint="eastAsia" w:hAnsi="宋体"/>
          <w:sz w:val="24"/>
          <w:szCs w:val="24"/>
        </w:rPr>
        <w:t xml:space="preserve">□采购过程   </w:t>
      </w:r>
    </w:p>
    <w:p w14:paraId="654ADF30">
      <w:pPr>
        <w:pStyle w:val="17"/>
        <w:spacing w:line="360" w:lineRule="auto"/>
        <w:ind w:left="25" w:leftChars="12" w:firstLine="352" w:firstLineChars="147"/>
        <w:rPr>
          <w:rFonts w:hint="eastAsia" w:hAnsi="宋体"/>
          <w:bCs/>
          <w:sz w:val="24"/>
          <w:szCs w:val="24"/>
          <w:u w:val="single"/>
        </w:rPr>
      </w:pPr>
      <w:r>
        <w:rPr>
          <w:rFonts w:hint="eastAsia" w:hAnsi="宋体"/>
          <w:sz w:val="24"/>
          <w:szCs w:val="24"/>
        </w:rPr>
        <w:t xml:space="preserve">□中标结果   </w:t>
      </w:r>
    </w:p>
    <w:p w14:paraId="0461134D">
      <w:pPr>
        <w:pStyle w:val="17"/>
        <w:spacing w:line="360" w:lineRule="auto"/>
        <w:ind w:left="25" w:leftChars="12" w:firstLine="472" w:firstLineChars="196"/>
        <w:rPr>
          <w:rFonts w:hint="eastAsia" w:hAnsi="宋体"/>
          <w:b/>
          <w:sz w:val="24"/>
          <w:szCs w:val="24"/>
        </w:rPr>
      </w:pPr>
      <w:r>
        <w:rPr>
          <w:rFonts w:hint="eastAsia" w:hAnsi="宋体"/>
          <w:b/>
          <w:sz w:val="24"/>
          <w:szCs w:val="24"/>
        </w:rPr>
        <w:t>三、质疑事项具体内容</w:t>
      </w:r>
    </w:p>
    <w:p w14:paraId="1B2E22CD">
      <w:pPr>
        <w:pStyle w:val="17"/>
        <w:spacing w:line="360" w:lineRule="auto"/>
        <w:ind w:left="25" w:leftChars="12" w:firstLine="472" w:firstLineChars="197"/>
        <w:rPr>
          <w:rFonts w:hint="eastAsia" w:hAnsi="宋体"/>
          <w:sz w:val="24"/>
          <w:szCs w:val="24"/>
        </w:rPr>
      </w:pPr>
      <w:r>
        <w:rPr>
          <w:rFonts w:hint="eastAsia" w:hAnsi="宋体"/>
          <w:sz w:val="24"/>
          <w:szCs w:val="24"/>
        </w:rPr>
        <w:t>质疑事项1：</w:t>
      </w:r>
      <w:r>
        <w:rPr>
          <w:rFonts w:hint="eastAsia" w:hAnsi="宋体"/>
          <w:bCs/>
          <w:sz w:val="24"/>
          <w:szCs w:val="24"/>
          <w:u w:val="single"/>
        </w:rPr>
        <w:t xml:space="preserve">                                                                    </w:t>
      </w:r>
    </w:p>
    <w:p w14:paraId="53F9E44B">
      <w:pPr>
        <w:pStyle w:val="17"/>
        <w:spacing w:line="360" w:lineRule="auto"/>
        <w:ind w:left="25" w:leftChars="12" w:firstLine="472" w:firstLineChars="197"/>
        <w:rPr>
          <w:rFonts w:hint="eastAsia" w:hAnsi="宋体"/>
          <w:sz w:val="24"/>
          <w:szCs w:val="24"/>
        </w:rPr>
      </w:pPr>
      <w:r>
        <w:rPr>
          <w:rFonts w:hint="eastAsia" w:hAnsi="宋体"/>
          <w:sz w:val="24"/>
          <w:szCs w:val="24"/>
        </w:rPr>
        <w:t>事实依据：</w:t>
      </w:r>
      <w:r>
        <w:rPr>
          <w:rFonts w:hint="eastAsia" w:hAnsi="宋体"/>
          <w:bCs/>
          <w:sz w:val="24"/>
          <w:szCs w:val="24"/>
          <w:u w:val="single"/>
        </w:rPr>
        <w:t xml:space="preserve">                                                                      </w:t>
      </w:r>
    </w:p>
    <w:p w14:paraId="34B7F893">
      <w:pPr>
        <w:pStyle w:val="17"/>
        <w:spacing w:line="360" w:lineRule="auto"/>
        <w:ind w:left="25" w:leftChars="12" w:firstLine="472" w:firstLineChars="197"/>
        <w:rPr>
          <w:rFonts w:hint="eastAsia"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10C7E563">
      <w:pPr>
        <w:pStyle w:val="17"/>
        <w:spacing w:line="360" w:lineRule="auto"/>
        <w:ind w:left="25" w:leftChars="12" w:firstLine="472" w:firstLineChars="197"/>
        <w:rPr>
          <w:rFonts w:hint="eastAsia" w:hAnsi="宋体"/>
          <w:sz w:val="24"/>
          <w:szCs w:val="24"/>
        </w:rPr>
      </w:pPr>
      <w:r>
        <w:rPr>
          <w:rFonts w:hint="eastAsia" w:hAnsi="宋体"/>
          <w:sz w:val="24"/>
          <w:szCs w:val="24"/>
        </w:rPr>
        <w:t>质疑事项2</w:t>
      </w:r>
    </w:p>
    <w:p w14:paraId="5FB7D377">
      <w:pPr>
        <w:pStyle w:val="17"/>
        <w:spacing w:line="360" w:lineRule="auto"/>
        <w:ind w:left="25" w:leftChars="12" w:firstLine="472" w:firstLineChars="197"/>
        <w:rPr>
          <w:rFonts w:hint="eastAsia" w:hAnsi="宋体"/>
          <w:sz w:val="24"/>
          <w:szCs w:val="24"/>
        </w:rPr>
      </w:pPr>
      <w:r>
        <w:rPr>
          <w:rFonts w:hAnsi="宋体"/>
          <w:sz w:val="24"/>
          <w:szCs w:val="24"/>
        </w:rPr>
        <w:t>……</w:t>
      </w:r>
    </w:p>
    <w:p w14:paraId="2A386788">
      <w:pPr>
        <w:pStyle w:val="17"/>
        <w:spacing w:line="360" w:lineRule="auto"/>
        <w:ind w:left="25" w:leftChars="12" w:firstLine="472" w:firstLineChars="197"/>
        <w:rPr>
          <w:rFonts w:hint="eastAsia" w:hAnsi="宋体"/>
          <w:sz w:val="24"/>
          <w:szCs w:val="24"/>
        </w:rPr>
      </w:pPr>
      <w:r>
        <w:rPr>
          <w:rFonts w:hint="eastAsia" w:hAnsi="宋体"/>
          <w:sz w:val="24"/>
          <w:szCs w:val="24"/>
        </w:rPr>
        <w:t>四、与质疑事项相关的质疑请求：</w:t>
      </w:r>
    </w:p>
    <w:p w14:paraId="50E88414">
      <w:pPr>
        <w:pStyle w:val="17"/>
        <w:spacing w:line="360" w:lineRule="auto"/>
        <w:ind w:left="25" w:leftChars="12" w:firstLine="472" w:firstLineChars="197"/>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031FCB89">
      <w:pPr>
        <w:pStyle w:val="17"/>
        <w:spacing w:line="360" w:lineRule="auto"/>
        <w:ind w:left="25" w:leftChars="12" w:firstLine="352" w:firstLineChars="147"/>
        <w:rPr>
          <w:rFonts w:hint="eastAsia" w:hAnsi="宋体"/>
          <w:sz w:val="24"/>
          <w:szCs w:val="24"/>
        </w:rPr>
      </w:pPr>
    </w:p>
    <w:p w14:paraId="75CFF931">
      <w:pPr>
        <w:pStyle w:val="17"/>
        <w:spacing w:line="360" w:lineRule="auto"/>
        <w:ind w:left="25" w:leftChars="12" w:firstLine="472" w:firstLineChars="197"/>
        <w:rPr>
          <w:rFonts w:hint="eastAsia" w:hAnsi="宋体"/>
          <w:sz w:val="24"/>
          <w:szCs w:val="24"/>
        </w:rPr>
      </w:pPr>
      <w:r>
        <w:rPr>
          <w:rFonts w:hint="eastAsia" w:hAnsi="宋体"/>
          <w:sz w:val="24"/>
          <w:szCs w:val="24"/>
        </w:rPr>
        <w:t>签字（签章）：                                       公章：</w:t>
      </w:r>
    </w:p>
    <w:p w14:paraId="4697D65F">
      <w:pPr>
        <w:pStyle w:val="17"/>
        <w:spacing w:line="360" w:lineRule="auto"/>
        <w:ind w:left="25" w:leftChars="12" w:firstLine="352" w:firstLineChars="147"/>
        <w:rPr>
          <w:rFonts w:hint="eastAsia" w:hAnsi="宋体"/>
          <w:sz w:val="24"/>
          <w:szCs w:val="24"/>
        </w:rPr>
      </w:pPr>
    </w:p>
    <w:p w14:paraId="4A07D7F2">
      <w:pPr>
        <w:pStyle w:val="17"/>
        <w:spacing w:line="360" w:lineRule="auto"/>
        <w:ind w:left="25" w:leftChars="12" w:firstLine="472" w:firstLineChars="197"/>
        <w:rPr>
          <w:rFonts w:hint="eastAsia" w:hAnsi="宋体"/>
          <w:sz w:val="24"/>
          <w:szCs w:val="24"/>
        </w:rPr>
      </w:pPr>
      <w:r>
        <w:rPr>
          <w:rFonts w:hint="eastAsia" w:hAnsi="宋体"/>
          <w:sz w:val="24"/>
          <w:szCs w:val="24"/>
        </w:rPr>
        <w:t>日期：</w:t>
      </w:r>
    </w:p>
    <w:p w14:paraId="29F44C29">
      <w:pPr>
        <w:pStyle w:val="17"/>
        <w:snapToGrid w:val="0"/>
        <w:spacing w:line="360" w:lineRule="auto"/>
        <w:rPr>
          <w:rFonts w:hint="eastAsia" w:hAnsi="宋体"/>
          <w:b/>
          <w:sz w:val="24"/>
          <w:szCs w:val="24"/>
        </w:rPr>
      </w:pPr>
    </w:p>
    <w:p w14:paraId="1C1A944B">
      <w:pPr>
        <w:pStyle w:val="17"/>
        <w:snapToGrid w:val="0"/>
        <w:spacing w:line="360" w:lineRule="auto"/>
        <w:rPr>
          <w:rFonts w:hint="eastAsia" w:hAnsi="宋体"/>
          <w:b/>
          <w:sz w:val="24"/>
          <w:szCs w:val="24"/>
        </w:rPr>
      </w:pPr>
      <w:r>
        <w:rPr>
          <w:rFonts w:hint="eastAsia" w:hAnsi="宋体"/>
          <w:b/>
          <w:sz w:val="24"/>
          <w:szCs w:val="24"/>
        </w:rPr>
        <w:t>说明：</w:t>
      </w:r>
    </w:p>
    <w:p w14:paraId="42B7BB17">
      <w:pPr>
        <w:pStyle w:val="17"/>
        <w:spacing w:line="360" w:lineRule="auto"/>
        <w:ind w:left="25" w:leftChars="12" w:firstLine="354" w:firstLineChars="147"/>
        <w:rPr>
          <w:rFonts w:hint="eastAsia"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1D9143E3">
      <w:pPr>
        <w:pStyle w:val="17"/>
        <w:spacing w:line="360" w:lineRule="auto"/>
        <w:ind w:left="25" w:leftChars="12" w:firstLine="354" w:firstLineChars="147"/>
        <w:rPr>
          <w:rFonts w:hint="eastAsia"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8E62FD5">
      <w:pPr>
        <w:pStyle w:val="17"/>
        <w:spacing w:line="360" w:lineRule="auto"/>
        <w:ind w:left="25" w:leftChars="12" w:firstLine="354" w:firstLineChars="147"/>
        <w:rPr>
          <w:rFonts w:hint="eastAsia" w:hAnsi="宋体"/>
          <w:b/>
          <w:sz w:val="24"/>
          <w:szCs w:val="24"/>
        </w:rPr>
      </w:pPr>
      <w:r>
        <w:rPr>
          <w:rFonts w:hint="eastAsia" w:hAnsi="宋体"/>
          <w:b/>
          <w:sz w:val="24"/>
          <w:szCs w:val="24"/>
        </w:rPr>
        <w:t>3.质疑函的质疑事项应具体、明确，并有必要的事实依据和法律依据。</w:t>
      </w:r>
    </w:p>
    <w:p w14:paraId="61C5EC72">
      <w:pPr>
        <w:pStyle w:val="17"/>
        <w:spacing w:line="360" w:lineRule="auto"/>
        <w:ind w:left="25" w:leftChars="12" w:firstLine="354" w:firstLineChars="147"/>
        <w:rPr>
          <w:rFonts w:hint="eastAsia" w:hAnsi="宋体"/>
          <w:b/>
          <w:sz w:val="24"/>
          <w:szCs w:val="24"/>
        </w:rPr>
      </w:pPr>
      <w:r>
        <w:rPr>
          <w:rFonts w:hint="eastAsia" w:hAnsi="宋体"/>
          <w:b/>
          <w:sz w:val="24"/>
          <w:szCs w:val="24"/>
        </w:rPr>
        <w:t>4.质疑函的质疑请求应与质疑事项相关。</w:t>
      </w:r>
    </w:p>
    <w:p w14:paraId="010CCB1A">
      <w:pPr>
        <w:pStyle w:val="17"/>
        <w:spacing w:line="360" w:lineRule="auto"/>
        <w:ind w:left="25" w:leftChars="12" w:firstLine="354" w:firstLineChars="147"/>
        <w:rPr>
          <w:rFonts w:hint="eastAsia" w:hAnsi="宋体"/>
          <w:b/>
        </w:rPr>
      </w:pPr>
      <w:r>
        <w:rPr>
          <w:rFonts w:hint="eastAsia" w:hAnsi="宋体"/>
          <w:b/>
          <w:sz w:val="24"/>
          <w:szCs w:val="24"/>
        </w:rPr>
        <w:t>5.质疑供应商为法人或者其他组织的，质疑函应由法定代表人、主要负责人，或者其授权代表签字或者盖章，并加盖公章。</w:t>
      </w:r>
    </w:p>
    <w:p w14:paraId="62D85752">
      <w:pPr>
        <w:pStyle w:val="17"/>
        <w:snapToGrid w:val="0"/>
        <w:rPr>
          <w:b/>
          <w:sz w:val="24"/>
          <w:szCs w:val="24"/>
        </w:rPr>
      </w:pPr>
    </w:p>
    <w:p w14:paraId="209ACB72">
      <w:pPr>
        <w:spacing w:line="360" w:lineRule="auto"/>
        <w:jc w:val="left"/>
        <w:rPr>
          <w:rFonts w:hint="eastAsia" w:ascii="宋体" w:hAnsi="宋体"/>
          <w:b/>
          <w:bCs/>
          <w:sz w:val="32"/>
          <w:szCs w:val="32"/>
        </w:rPr>
      </w:pPr>
      <w:r>
        <w:rPr>
          <w:rFonts w:eastAsia="隶书"/>
          <w:sz w:val="44"/>
        </w:rPr>
        <w:br w:type="page"/>
      </w:r>
      <w:r>
        <w:rPr>
          <w:rFonts w:hint="eastAsia" w:ascii="宋体" w:hAnsi="宋体"/>
          <w:b/>
          <w:sz w:val="24"/>
        </w:rPr>
        <w:t>5.投诉书格式</w:t>
      </w:r>
    </w:p>
    <w:p w14:paraId="6D7B8D82">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投诉书</w:t>
      </w:r>
    </w:p>
    <w:p w14:paraId="37F09DCD">
      <w:pPr>
        <w:pStyle w:val="17"/>
        <w:snapToGrid w:val="0"/>
        <w:spacing w:line="440" w:lineRule="exact"/>
        <w:ind w:firstLine="482" w:firstLineChars="200"/>
        <w:rPr>
          <w:rFonts w:hint="eastAsia" w:hAnsi="宋体"/>
          <w:b/>
          <w:bCs/>
          <w:sz w:val="24"/>
          <w:szCs w:val="24"/>
        </w:rPr>
      </w:pPr>
    </w:p>
    <w:p w14:paraId="24E298C4">
      <w:pPr>
        <w:pStyle w:val="17"/>
        <w:snapToGrid w:val="0"/>
        <w:spacing w:line="440" w:lineRule="exact"/>
        <w:ind w:firstLine="482" w:firstLineChars="200"/>
        <w:rPr>
          <w:rFonts w:hint="eastAsia" w:hAnsi="宋体"/>
          <w:b/>
          <w:bCs/>
          <w:sz w:val="24"/>
          <w:szCs w:val="24"/>
        </w:rPr>
      </w:pPr>
      <w:r>
        <w:rPr>
          <w:rFonts w:hint="eastAsia" w:hAnsi="宋体"/>
          <w:b/>
          <w:bCs/>
          <w:sz w:val="24"/>
          <w:szCs w:val="24"/>
        </w:rPr>
        <w:t>一、投诉相关主体基本情况：</w:t>
      </w:r>
    </w:p>
    <w:p w14:paraId="240B6222">
      <w:pPr>
        <w:pStyle w:val="17"/>
        <w:snapToGrid w:val="0"/>
        <w:spacing w:line="440" w:lineRule="exact"/>
        <w:ind w:firstLine="480" w:firstLineChars="200"/>
        <w:jc w:val="left"/>
        <w:rPr>
          <w:rFonts w:hint="eastAsia" w:hAnsi="宋体"/>
          <w:bCs/>
          <w:sz w:val="24"/>
          <w:szCs w:val="24"/>
          <w:u w:val="single"/>
        </w:rPr>
      </w:pPr>
      <w:r>
        <w:rPr>
          <w:rFonts w:hint="eastAsia" w:hAnsi="宋体"/>
          <w:bCs/>
          <w:sz w:val="24"/>
          <w:szCs w:val="24"/>
        </w:rPr>
        <w:t>投标人：</w:t>
      </w:r>
      <w:r>
        <w:rPr>
          <w:rFonts w:hint="eastAsia" w:hAnsi="宋体"/>
          <w:bCs/>
          <w:sz w:val="24"/>
          <w:szCs w:val="24"/>
          <w:u w:val="single"/>
        </w:rPr>
        <w:t xml:space="preserve">                                                                        </w:t>
      </w:r>
      <w:r>
        <w:rPr>
          <w:rFonts w:hint="eastAsia" w:hAnsi="宋体"/>
          <w:bCs/>
          <w:sz w:val="24"/>
          <w:szCs w:val="24"/>
        </w:rPr>
        <w:t xml:space="preserve">                 </w:t>
      </w:r>
    </w:p>
    <w:p w14:paraId="63C07E67">
      <w:pPr>
        <w:pStyle w:val="17"/>
        <w:snapToGrid w:val="0"/>
        <w:spacing w:line="440" w:lineRule="exact"/>
        <w:ind w:firstLine="480" w:firstLineChars="200"/>
        <w:jc w:val="left"/>
        <w:rPr>
          <w:rFonts w:hint="eastAsia"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6ABE1D44">
      <w:pPr>
        <w:pStyle w:val="17"/>
        <w:snapToGrid w:val="0"/>
        <w:spacing w:line="440" w:lineRule="exact"/>
        <w:ind w:firstLine="480" w:firstLineChars="200"/>
        <w:jc w:val="left"/>
        <w:rPr>
          <w:rFonts w:hint="eastAsia"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1A75B078">
      <w:pPr>
        <w:pStyle w:val="17"/>
        <w:snapToGrid w:val="0"/>
        <w:spacing w:line="440" w:lineRule="exact"/>
        <w:ind w:firstLine="480" w:firstLineChars="200"/>
        <w:jc w:val="left"/>
        <w:rPr>
          <w:rFonts w:hint="eastAsia"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14:paraId="2FFF9B40">
      <w:pPr>
        <w:pStyle w:val="17"/>
        <w:snapToGrid w:val="0"/>
        <w:spacing w:line="440" w:lineRule="exact"/>
        <w:ind w:firstLine="480" w:firstLineChars="200"/>
        <w:jc w:val="left"/>
        <w:rPr>
          <w:rFonts w:hint="eastAsia"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7BF3ADCE">
      <w:pPr>
        <w:pStyle w:val="17"/>
        <w:snapToGrid w:val="0"/>
        <w:spacing w:line="440" w:lineRule="exact"/>
        <w:ind w:firstLine="480" w:firstLineChars="200"/>
        <w:jc w:val="left"/>
        <w:rPr>
          <w:rFonts w:hint="eastAsia"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14:paraId="4E5FA395">
      <w:pPr>
        <w:pStyle w:val="17"/>
        <w:snapToGrid w:val="0"/>
        <w:spacing w:line="440" w:lineRule="exact"/>
        <w:ind w:firstLine="480" w:firstLineChars="200"/>
        <w:jc w:val="left"/>
        <w:rPr>
          <w:rFonts w:hint="eastAsia"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46136CC3">
      <w:pPr>
        <w:pStyle w:val="17"/>
        <w:snapToGrid w:val="0"/>
        <w:spacing w:line="440" w:lineRule="exact"/>
        <w:ind w:firstLine="480" w:firstLineChars="200"/>
        <w:jc w:val="left"/>
        <w:rPr>
          <w:rFonts w:hint="eastAsia" w:hAnsi="宋体"/>
          <w:bCs/>
          <w:sz w:val="24"/>
          <w:szCs w:val="24"/>
        </w:rPr>
      </w:pPr>
      <w:r>
        <w:rPr>
          <w:rFonts w:hint="eastAsia" w:hAnsi="宋体"/>
          <w:bCs/>
          <w:sz w:val="24"/>
          <w:szCs w:val="24"/>
        </w:rPr>
        <w:t>被投诉人1：</w:t>
      </w:r>
    </w:p>
    <w:p w14:paraId="72404250">
      <w:pPr>
        <w:pStyle w:val="17"/>
        <w:snapToGrid w:val="0"/>
        <w:spacing w:line="440" w:lineRule="exact"/>
        <w:ind w:firstLine="480" w:firstLineChars="200"/>
        <w:jc w:val="left"/>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263CF039">
      <w:pPr>
        <w:pStyle w:val="17"/>
        <w:snapToGrid w:val="0"/>
        <w:spacing w:line="440" w:lineRule="exact"/>
        <w:ind w:firstLine="480" w:firstLineChars="200"/>
        <w:jc w:val="left"/>
        <w:rPr>
          <w:rFonts w:hint="eastAsia"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14:paraId="0AD8899C">
      <w:pPr>
        <w:pStyle w:val="17"/>
        <w:snapToGrid w:val="0"/>
        <w:spacing w:line="440" w:lineRule="exact"/>
        <w:ind w:firstLine="480" w:firstLineChars="200"/>
        <w:jc w:val="left"/>
        <w:rPr>
          <w:rFonts w:hint="eastAsia"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14:paraId="3023E36A">
      <w:pPr>
        <w:pStyle w:val="17"/>
        <w:snapToGrid w:val="0"/>
        <w:spacing w:line="440" w:lineRule="exact"/>
        <w:ind w:firstLine="480" w:firstLineChars="200"/>
        <w:jc w:val="left"/>
        <w:rPr>
          <w:rFonts w:hint="eastAsia" w:hAnsi="宋体"/>
          <w:bCs/>
          <w:sz w:val="24"/>
          <w:szCs w:val="24"/>
        </w:rPr>
      </w:pPr>
      <w:r>
        <w:rPr>
          <w:rFonts w:hint="eastAsia" w:hAnsi="宋体"/>
          <w:bCs/>
          <w:sz w:val="24"/>
          <w:szCs w:val="24"/>
        </w:rPr>
        <w:t>被投诉人2：</w:t>
      </w:r>
    </w:p>
    <w:p w14:paraId="6BD826C2">
      <w:pPr>
        <w:pStyle w:val="17"/>
        <w:snapToGrid w:val="0"/>
        <w:spacing w:line="440" w:lineRule="exact"/>
        <w:ind w:firstLine="480" w:firstLineChars="200"/>
        <w:jc w:val="left"/>
        <w:rPr>
          <w:rFonts w:hint="eastAsia" w:hAnsi="宋体"/>
          <w:bCs/>
          <w:sz w:val="24"/>
          <w:szCs w:val="24"/>
        </w:rPr>
      </w:pPr>
      <w:r>
        <w:rPr>
          <w:rFonts w:hAnsi="宋体"/>
          <w:bCs/>
          <w:sz w:val="24"/>
          <w:szCs w:val="24"/>
        </w:rPr>
        <w:t>……</w:t>
      </w:r>
    </w:p>
    <w:p w14:paraId="5E53C4BB">
      <w:pPr>
        <w:pStyle w:val="17"/>
        <w:snapToGrid w:val="0"/>
        <w:spacing w:line="440" w:lineRule="exact"/>
        <w:ind w:firstLine="480" w:firstLineChars="200"/>
        <w:jc w:val="left"/>
        <w:rPr>
          <w:rFonts w:hint="eastAsia"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4EAF1545">
      <w:pPr>
        <w:pStyle w:val="17"/>
        <w:snapToGrid w:val="0"/>
        <w:spacing w:line="440" w:lineRule="exact"/>
        <w:ind w:firstLine="480" w:firstLineChars="200"/>
        <w:jc w:val="left"/>
        <w:rPr>
          <w:rFonts w:hint="eastAsia"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14:paraId="2DCFE204">
      <w:pPr>
        <w:pStyle w:val="17"/>
        <w:snapToGrid w:val="0"/>
        <w:spacing w:line="440" w:lineRule="exact"/>
        <w:ind w:firstLine="480" w:firstLineChars="200"/>
        <w:jc w:val="left"/>
        <w:rPr>
          <w:rFonts w:hint="eastAsia"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14:paraId="1B1E8727">
      <w:pPr>
        <w:pStyle w:val="17"/>
        <w:snapToGrid w:val="0"/>
        <w:spacing w:line="440" w:lineRule="exact"/>
        <w:ind w:firstLine="482" w:firstLineChars="200"/>
        <w:rPr>
          <w:rFonts w:hint="eastAsia" w:hAnsi="宋体"/>
          <w:b/>
          <w:bCs/>
          <w:sz w:val="24"/>
          <w:szCs w:val="24"/>
        </w:rPr>
      </w:pPr>
      <w:r>
        <w:rPr>
          <w:rFonts w:hint="eastAsia" w:hAnsi="宋体"/>
          <w:b/>
          <w:bCs/>
          <w:sz w:val="24"/>
          <w:szCs w:val="24"/>
        </w:rPr>
        <w:t>二、投诉项目基本情况：</w:t>
      </w:r>
    </w:p>
    <w:p w14:paraId="7D339285">
      <w:pPr>
        <w:pStyle w:val="17"/>
        <w:spacing w:line="440" w:lineRule="exact"/>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14:paraId="3E88F0BA">
      <w:pPr>
        <w:pStyle w:val="17"/>
        <w:spacing w:line="440" w:lineRule="exact"/>
        <w:ind w:left="25" w:leftChars="12" w:firstLine="472" w:firstLineChars="197"/>
        <w:rPr>
          <w:rFonts w:hint="eastAsia"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14:paraId="2687E584">
      <w:pPr>
        <w:pStyle w:val="17"/>
        <w:spacing w:line="440" w:lineRule="exact"/>
        <w:ind w:left="25" w:leftChars="12" w:firstLine="472" w:firstLineChars="197"/>
        <w:rPr>
          <w:rFonts w:hint="eastAsia"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14:paraId="467CB98B">
      <w:pPr>
        <w:pStyle w:val="17"/>
        <w:spacing w:line="440" w:lineRule="exact"/>
        <w:ind w:left="25" w:leftChars="12" w:firstLine="472" w:firstLineChars="197"/>
        <w:rPr>
          <w:rFonts w:hint="eastAsia"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14:paraId="39E6D300">
      <w:pPr>
        <w:pStyle w:val="17"/>
        <w:spacing w:line="440" w:lineRule="exact"/>
        <w:ind w:left="25" w:leftChars="12" w:firstLine="472" w:firstLineChars="197"/>
        <w:rPr>
          <w:rFonts w:hint="eastAsia" w:hAnsi="宋体"/>
          <w:bCs/>
          <w:sz w:val="24"/>
          <w:szCs w:val="24"/>
          <w:u w:val="single"/>
        </w:rPr>
      </w:pPr>
      <w:r>
        <w:rPr>
          <w:rFonts w:hint="eastAsia" w:hAnsi="宋体"/>
          <w:bCs/>
          <w:sz w:val="24"/>
          <w:szCs w:val="24"/>
        </w:rPr>
        <w:t>招标文件公告：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6739881B">
      <w:pPr>
        <w:pStyle w:val="17"/>
        <w:spacing w:line="440" w:lineRule="exact"/>
        <w:ind w:left="25" w:leftChars="12" w:firstLine="472" w:firstLineChars="197"/>
        <w:rPr>
          <w:rFonts w:hint="eastAsia"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25275D3C">
      <w:pPr>
        <w:pStyle w:val="17"/>
        <w:spacing w:line="440" w:lineRule="exact"/>
        <w:ind w:left="25" w:leftChars="12" w:firstLine="472" w:firstLineChars="196"/>
        <w:rPr>
          <w:rFonts w:hint="eastAsia" w:hAnsi="宋体"/>
          <w:b/>
          <w:sz w:val="24"/>
          <w:szCs w:val="24"/>
        </w:rPr>
      </w:pPr>
      <w:r>
        <w:rPr>
          <w:rFonts w:hint="eastAsia" w:hAnsi="宋体"/>
          <w:b/>
          <w:sz w:val="24"/>
          <w:szCs w:val="24"/>
        </w:rPr>
        <w:t>三、质疑基本情况</w:t>
      </w:r>
    </w:p>
    <w:p w14:paraId="72309013">
      <w:pPr>
        <w:pStyle w:val="17"/>
        <w:spacing w:line="440" w:lineRule="exact"/>
        <w:ind w:left="25" w:leftChars="12" w:firstLine="480" w:firstLineChars="200"/>
        <w:rPr>
          <w:rFonts w:hint="eastAsia"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4C141B78">
      <w:pPr>
        <w:pStyle w:val="17"/>
        <w:spacing w:line="440" w:lineRule="exact"/>
        <w:ind w:firstLine="241"/>
        <w:rPr>
          <w:rFonts w:hint="eastAsia"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3A6E9A18">
      <w:pPr>
        <w:pStyle w:val="17"/>
        <w:spacing w:line="440" w:lineRule="exact"/>
        <w:ind w:firstLine="241"/>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401A59D8">
      <w:pPr>
        <w:pStyle w:val="17"/>
        <w:spacing w:line="440" w:lineRule="exact"/>
        <w:ind w:firstLine="480" w:firstLineChars="200"/>
        <w:rPr>
          <w:rFonts w:hint="eastAsia"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4DF5861D">
      <w:pPr>
        <w:pStyle w:val="17"/>
        <w:spacing w:line="440" w:lineRule="exact"/>
        <w:ind w:left="25" w:leftChars="12" w:firstLine="472" w:firstLineChars="196"/>
        <w:rPr>
          <w:rFonts w:hint="eastAsia" w:hAnsi="宋体"/>
          <w:b/>
          <w:sz w:val="24"/>
          <w:szCs w:val="24"/>
        </w:rPr>
      </w:pPr>
      <w:r>
        <w:rPr>
          <w:rFonts w:hint="eastAsia" w:hAnsi="宋体"/>
          <w:b/>
          <w:sz w:val="24"/>
          <w:szCs w:val="24"/>
        </w:rPr>
        <w:t>四、投诉事项具体内容</w:t>
      </w:r>
    </w:p>
    <w:p w14:paraId="5F26EDC9">
      <w:pPr>
        <w:pStyle w:val="17"/>
        <w:spacing w:line="440" w:lineRule="exact"/>
        <w:ind w:left="25" w:leftChars="12" w:firstLine="472" w:firstLineChars="197"/>
        <w:rPr>
          <w:rFonts w:hint="eastAsia"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737D1D65">
      <w:pPr>
        <w:pStyle w:val="17"/>
        <w:spacing w:line="440" w:lineRule="exact"/>
        <w:ind w:firstLine="480" w:firstLineChars="200"/>
        <w:rPr>
          <w:rFonts w:hint="eastAsia"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21DDA2AE">
      <w:pPr>
        <w:pStyle w:val="17"/>
        <w:spacing w:line="440" w:lineRule="exact"/>
        <w:ind w:left="25" w:leftChars="12" w:firstLine="472" w:firstLineChars="197"/>
        <w:rPr>
          <w:rFonts w:hint="eastAsia" w:hAnsi="宋体"/>
          <w:sz w:val="24"/>
          <w:szCs w:val="24"/>
        </w:rPr>
      </w:pPr>
      <w:r>
        <w:rPr>
          <w:rFonts w:hint="eastAsia" w:hAnsi="宋体"/>
          <w:bCs/>
          <w:sz w:val="24"/>
          <w:szCs w:val="24"/>
          <w:u w:val="single"/>
        </w:rPr>
        <w:t xml:space="preserve">                                                                                        </w:t>
      </w:r>
    </w:p>
    <w:p w14:paraId="4EB6B1C5">
      <w:pPr>
        <w:pStyle w:val="17"/>
        <w:spacing w:line="440" w:lineRule="exact"/>
        <w:ind w:firstLine="480" w:firstLineChars="200"/>
        <w:rPr>
          <w:rFonts w:hint="eastAsia"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51CEB41F">
      <w:pPr>
        <w:pStyle w:val="17"/>
        <w:spacing w:line="440" w:lineRule="exact"/>
        <w:ind w:left="25" w:leftChars="12" w:firstLine="352" w:firstLineChars="147"/>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01E0F623">
      <w:pPr>
        <w:pStyle w:val="17"/>
        <w:spacing w:line="440" w:lineRule="exact"/>
        <w:ind w:left="25" w:leftChars="12" w:firstLine="472" w:firstLineChars="197"/>
        <w:rPr>
          <w:rFonts w:hint="eastAsia"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2E4F4D45">
      <w:pPr>
        <w:pStyle w:val="17"/>
        <w:spacing w:line="440" w:lineRule="exact"/>
        <w:ind w:left="25" w:leftChars="12" w:firstLine="472" w:firstLineChars="197"/>
        <w:rPr>
          <w:rFonts w:hint="eastAsia" w:hAnsi="宋体"/>
          <w:bCs/>
          <w:sz w:val="24"/>
          <w:szCs w:val="24"/>
        </w:rPr>
      </w:pPr>
      <w:r>
        <w:rPr>
          <w:rFonts w:hAnsi="宋体"/>
          <w:bCs/>
          <w:sz w:val="24"/>
          <w:szCs w:val="24"/>
        </w:rPr>
        <w:t>……</w:t>
      </w:r>
    </w:p>
    <w:p w14:paraId="33541E85">
      <w:pPr>
        <w:pStyle w:val="17"/>
        <w:spacing w:line="440" w:lineRule="exact"/>
        <w:ind w:left="25" w:leftChars="12" w:firstLine="472" w:firstLineChars="196"/>
        <w:rPr>
          <w:rFonts w:hint="eastAsia" w:hAnsi="宋体"/>
          <w:b/>
          <w:sz w:val="24"/>
          <w:szCs w:val="24"/>
        </w:rPr>
      </w:pPr>
      <w:r>
        <w:rPr>
          <w:rFonts w:hint="eastAsia" w:hAnsi="宋体"/>
          <w:b/>
          <w:sz w:val="24"/>
          <w:szCs w:val="24"/>
        </w:rPr>
        <w:t>五、与投诉事项相关的投诉请求：</w:t>
      </w:r>
    </w:p>
    <w:p w14:paraId="3D23A59D">
      <w:pPr>
        <w:pStyle w:val="17"/>
        <w:spacing w:line="440" w:lineRule="exact"/>
        <w:ind w:left="25" w:leftChars="12" w:firstLine="472" w:firstLineChars="197"/>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1B9554F3">
      <w:pPr>
        <w:pStyle w:val="17"/>
        <w:spacing w:line="440" w:lineRule="exact"/>
        <w:ind w:left="25" w:leftChars="12" w:firstLine="352" w:firstLineChars="147"/>
        <w:rPr>
          <w:rFonts w:hint="eastAsia" w:hAnsi="宋体"/>
          <w:sz w:val="24"/>
          <w:szCs w:val="24"/>
        </w:rPr>
      </w:pPr>
    </w:p>
    <w:p w14:paraId="4AE8AABE">
      <w:pPr>
        <w:pStyle w:val="17"/>
        <w:spacing w:line="440" w:lineRule="exact"/>
        <w:ind w:left="25" w:leftChars="12" w:firstLine="472" w:firstLineChars="197"/>
        <w:rPr>
          <w:rFonts w:hint="eastAsia" w:hAnsi="宋体"/>
          <w:sz w:val="24"/>
          <w:szCs w:val="24"/>
        </w:rPr>
      </w:pPr>
      <w:r>
        <w:rPr>
          <w:rFonts w:hint="eastAsia" w:hAnsi="宋体"/>
          <w:sz w:val="24"/>
          <w:szCs w:val="24"/>
        </w:rPr>
        <w:t>签字（签章）：                                       公章：</w:t>
      </w:r>
    </w:p>
    <w:p w14:paraId="5AEB2B44">
      <w:pPr>
        <w:pStyle w:val="17"/>
        <w:spacing w:line="440" w:lineRule="exact"/>
        <w:ind w:left="25" w:leftChars="12" w:firstLine="352" w:firstLineChars="147"/>
        <w:rPr>
          <w:rFonts w:hint="eastAsia" w:hAnsi="宋体"/>
          <w:sz w:val="24"/>
          <w:szCs w:val="24"/>
        </w:rPr>
      </w:pPr>
    </w:p>
    <w:p w14:paraId="0AE7AD4B">
      <w:pPr>
        <w:pStyle w:val="17"/>
        <w:spacing w:line="440" w:lineRule="exact"/>
        <w:ind w:left="25" w:leftChars="12" w:firstLine="472" w:firstLineChars="197"/>
        <w:rPr>
          <w:rFonts w:hint="eastAsia" w:hAnsi="宋体"/>
          <w:sz w:val="24"/>
          <w:szCs w:val="24"/>
        </w:rPr>
      </w:pPr>
      <w:r>
        <w:rPr>
          <w:rFonts w:hint="eastAsia" w:hAnsi="宋体"/>
          <w:sz w:val="24"/>
          <w:szCs w:val="24"/>
        </w:rPr>
        <w:t>日期：</w:t>
      </w:r>
    </w:p>
    <w:p w14:paraId="74EFC4B3">
      <w:pPr>
        <w:pStyle w:val="17"/>
        <w:spacing w:line="440" w:lineRule="exact"/>
        <w:ind w:left="25" w:leftChars="12" w:firstLine="472" w:firstLineChars="197"/>
        <w:rPr>
          <w:rFonts w:hint="eastAsia" w:hAnsi="宋体"/>
          <w:sz w:val="24"/>
          <w:szCs w:val="24"/>
        </w:rPr>
      </w:pPr>
      <w:r>
        <w:rPr>
          <w:rFonts w:hint="eastAsia" w:hAnsi="宋体"/>
          <w:bCs/>
          <w:sz w:val="24"/>
          <w:szCs w:val="24"/>
        </w:rPr>
        <w:t xml:space="preserve">                                                                              </w:t>
      </w:r>
    </w:p>
    <w:p w14:paraId="2D59F88C">
      <w:pPr>
        <w:pStyle w:val="17"/>
        <w:snapToGrid w:val="0"/>
        <w:spacing w:line="440" w:lineRule="exact"/>
        <w:rPr>
          <w:rFonts w:hint="eastAsia" w:hAnsi="宋体"/>
          <w:b/>
          <w:sz w:val="24"/>
          <w:szCs w:val="24"/>
        </w:rPr>
      </w:pPr>
      <w:r>
        <w:rPr>
          <w:rFonts w:hint="eastAsia" w:hAnsi="宋体"/>
          <w:b/>
          <w:sz w:val="24"/>
          <w:szCs w:val="24"/>
        </w:rPr>
        <w:t>说明：</w:t>
      </w:r>
    </w:p>
    <w:p w14:paraId="6FA0CD87">
      <w:pPr>
        <w:pStyle w:val="17"/>
        <w:spacing w:line="440" w:lineRule="exact"/>
        <w:ind w:left="25" w:leftChars="12" w:firstLine="354" w:firstLineChars="147"/>
        <w:rPr>
          <w:rFonts w:hint="eastAsia"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06F99681">
      <w:pPr>
        <w:pStyle w:val="17"/>
        <w:spacing w:line="440" w:lineRule="exact"/>
        <w:ind w:left="25" w:leftChars="12" w:firstLine="354" w:firstLineChars="147"/>
        <w:rPr>
          <w:rFonts w:hint="eastAsia"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00F7A0D">
      <w:pPr>
        <w:pStyle w:val="17"/>
        <w:spacing w:line="440" w:lineRule="exact"/>
        <w:ind w:left="25" w:leftChars="12" w:firstLine="354" w:firstLineChars="147"/>
        <w:rPr>
          <w:rFonts w:hint="eastAsia" w:hAnsi="宋体"/>
          <w:b/>
          <w:sz w:val="24"/>
          <w:szCs w:val="24"/>
        </w:rPr>
      </w:pPr>
      <w:r>
        <w:rPr>
          <w:rFonts w:hint="eastAsia" w:hAnsi="宋体"/>
          <w:b/>
          <w:sz w:val="24"/>
          <w:szCs w:val="24"/>
        </w:rPr>
        <w:t>3.投诉书应简要列明质疑事项，质疑函、质疑答复等作为附件材料提供。</w:t>
      </w:r>
    </w:p>
    <w:p w14:paraId="5CCA1E7C">
      <w:pPr>
        <w:pStyle w:val="17"/>
        <w:spacing w:line="440" w:lineRule="exact"/>
        <w:ind w:left="25" w:leftChars="12" w:firstLine="354" w:firstLineChars="147"/>
        <w:rPr>
          <w:rFonts w:hint="eastAsia" w:hAnsi="宋体"/>
          <w:b/>
          <w:sz w:val="24"/>
          <w:szCs w:val="24"/>
        </w:rPr>
      </w:pPr>
      <w:r>
        <w:rPr>
          <w:rFonts w:hint="eastAsia" w:hAnsi="宋体"/>
          <w:b/>
          <w:sz w:val="24"/>
          <w:szCs w:val="24"/>
        </w:rPr>
        <w:t>4.投诉书的投诉事项应具体、明确，并有必要的事实依据和法律依据。</w:t>
      </w:r>
    </w:p>
    <w:p w14:paraId="51006C1D">
      <w:pPr>
        <w:pStyle w:val="17"/>
        <w:spacing w:line="440" w:lineRule="exact"/>
        <w:ind w:left="25" w:leftChars="12" w:firstLine="354" w:firstLineChars="147"/>
        <w:rPr>
          <w:rFonts w:hint="eastAsia" w:hAnsi="宋体"/>
          <w:b/>
          <w:sz w:val="24"/>
          <w:szCs w:val="24"/>
        </w:rPr>
      </w:pPr>
      <w:r>
        <w:rPr>
          <w:rFonts w:hint="eastAsia" w:hAnsi="宋体"/>
          <w:b/>
          <w:sz w:val="24"/>
          <w:szCs w:val="24"/>
        </w:rPr>
        <w:t>5.投诉书的投诉请求应与投诉事项相关。</w:t>
      </w:r>
    </w:p>
    <w:p w14:paraId="1840720C">
      <w:pPr>
        <w:pStyle w:val="17"/>
        <w:spacing w:line="440" w:lineRule="exact"/>
        <w:ind w:left="25" w:leftChars="12" w:firstLine="354" w:firstLineChars="147"/>
        <w:rPr>
          <w:rFonts w:hint="eastAsia" w:hAnsi="宋体"/>
          <w:b/>
        </w:rPr>
      </w:pPr>
      <w:r>
        <w:rPr>
          <w:rFonts w:hint="eastAsia" w:hAnsi="宋体"/>
          <w:b/>
          <w:sz w:val="24"/>
          <w:szCs w:val="24"/>
        </w:rPr>
        <w:t>6.投诉人为法人或者其他组织的，投诉书应由法定代表人、主要负责人，或者其授权代表签字或者盖章，并加盖公章。</w:t>
      </w:r>
    </w:p>
    <w:p w14:paraId="7B640435"/>
    <w:sectPr>
      <w:footerReference r:id="rId12" w:type="first"/>
      <w:headerReference r:id="rId9" w:type="default"/>
      <w:footerReference r:id="rId10" w:type="default"/>
      <w:footerReference r:id="rId11"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E49D5">
    <w:pPr>
      <w:pStyle w:val="20"/>
      <w:jc w:val="center"/>
      <w:rPr>
        <w:caps/>
      </w:rPr>
    </w:pPr>
    <w:r>
      <w:rPr>
        <w:caps/>
      </w:rPr>
      <w:fldChar w:fldCharType="begin"/>
    </w:r>
    <w:r>
      <w:rPr>
        <w:caps/>
      </w:rPr>
      <w:instrText xml:space="preserve">PAGE   \* MERGEFORMAT</w:instrText>
    </w:r>
    <w:r>
      <w:rPr>
        <w:caps/>
      </w:rPr>
      <w:fldChar w:fldCharType="separate"/>
    </w:r>
    <w:r>
      <w:rPr>
        <w:caps/>
        <w:lang w:val="zh-CN"/>
      </w:rPr>
      <w:t>2</w:t>
    </w:r>
    <w:r>
      <w:rPr>
        <w:caps/>
      </w:rPr>
      <w:fldChar w:fldCharType="end"/>
    </w:r>
  </w:p>
  <w:p w14:paraId="6CC34FE9">
    <w:pPr>
      <w:pStyle w:val="20"/>
      <w:tabs>
        <w:tab w:val="center" w:pos="4693"/>
        <w:tab w:val="left" w:pos="5067"/>
        <w:tab w:val="clear" w:pos="4153"/>
        <w:tab w:val="clear" w:pos="8306"/>
      </w:tabs>
      <w:ind w:right="360"/>
      <w:rPr>
        <w:rStyle w:val="2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A7AB8">
    <w:pPr>
      <w:pStyle w:val="20"/>
      <w:framePr w:wrap="around" w:vAnchor="text" w:hAnchor="margin" w:xAlign="center" w:y="1"/>
      <w:rPr>
        <w:rStyle w:val="29"/>
      </w:rPr>
    </w:pPr>
    <w:r>
      <w:fldChar w:fldCharType="begin"/>
    </w:r>
    <w:r>
      <w:rPr>
        <w:rStyle w:val="29"/>
      </w:rPr>
      <w:instrText xml:space="preserve">PAGE  </w:instrText>
    </w:r>
    <w:r>
      <w:fldChar w:fldCharType="end"/>
    </w:r>
  </w:p>
  <w:p w14:paraId="1182D17E">
    <w:pPr>
      <w:pStyle w:val="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EE538">
    <w:pPr>
      <w:pStyle w:val="20"/>
      <w:jc w:val="center"/>
      <w:rPr>
        <w:caps/>
      </w:rPr>
    </w:pPr>
    <w:r>
      <w:rPr>
        <w:caps/>
      </w:rPr>
      <w:fldChar w:fldCharType="begin"/>
    </w:r>
    <w:r>
      <w:rPr>
        <w:caps/>
      </w:rPr>
      <w:instrText xml:space="preserve">PAGE   \* MERGEFORMAT</w:instrText>
    </w:r>
    <w:r>
      <w:rPr>
        <w:caps/>
      </w:rPr>
      <w:fldChar w:fldCharType="separate"/>
    </w:r>
    <w:r>
      <w:rPr>
        <w:caps/>
        <w:lang w:val="zh-CN"/>
      </w:rPr>
      <w:t>2</w:t>
    </w:r>
    <w:r>
      <w:rPr>
        <w:caps/>
      </w:rPr>
      <w:fldChar w:fldCharType="end"/>
    </w:r>
  </w:p>
  <w:p w14:paraId="32AC5782">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3188F">
    <w:pPr>
      <w:pStyle w:val="20"/>
      <w:framePr w:wrap="around" w:vAnchor="text" w:hAnchor="margin" w:xAlign="center" w:y="1"/>
      <w:rPr>
        <w:rStyle w:val="29"/>
      </w:rPr>
    </w:pPr>
    <w:r>
      <w:fldChar w:fldCharType="begin"/>
    </w:r>
    <w:r>
      <w:rPr>
        <w:rStyle w:val="29"/>
      </w:rPr>
      <w:instrText xml:space="preserve">PAGE  </w:instrText>
    </w:r>
    <w:r>
      <w:fldChar w:fldCharType="separate"/>
    </w:r>
    <w:r>
      <w:rPr>
        <w:rStyle w:val="29"/>
      </w:rPr>
      <w:t>90</w:t>
    </w:r>
    <w:r>
      <w:fldChar w:fldCharType="end"/>
    </w:r>
  </w:p>
  <w:p w14:paraId="2B01CF50">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3D654">
    <w:pPr>
      <w:pStyle w:val="20"/>
      <w:jc w:val="center"/>
      <w:rPr>
        <w:caps/>
        <w:color w:val="5B9BD5" w:themeColor="accent1"/>
      </w:rPr>
    </w:pPr>
    <w:r>
      <w:rPr>
        <w:caps/>
        <w:color w:val="5B9BD5" w:themeColor="accent1"/>
      </w:rPr>
      <w:fldChar w:fldCharType="begin"/>
    </w:r>
    <w:r>
      <w:rPr>
        <w:caps/>
        <w:color w:val="5B9BD5" w:themeColor="accent1"/>
      </w:rPr>
      <w:instrText xml:space="preserve">PAGE   \* MERGEFORMAT</w:instrText>
    </w:r>
    <w:r>
      <w:rPr>
        <w:caps/>
        <w:color w:val="5B9BD5" w:themeColor="accent1"/>
      </w:rPr>
      <w:fldChar w:fldCharType="separate"/>
    </w:r>
    <w:r>
      <w:rPr>
        <w:caps/>
        <w:color w:val="5B9BD5" w:themeColor="accent1"/>
        <w:lang w:val="zh-CN"/>
      </w:rPr>
      <w:t>2</w:t>
    </w:r>
    <w:r>
      <w:rPr>
        <w:caps/>
        <w:color w:val="5B9BD5" w:themeColor="accent1"/>
      </w:rPr>
      <w:fldChar w:fldCharType="end"/>
    </w:r>
  </w:p>
  <w:p w14:paraId="4FF21F71">
    <w:pPr>
      <w:pStyle w:val="20"/>
      <w:ind w:right="36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F1C79">
    <w:pPr>
      <w:pStyle w:val="20"/>
      <w:jc w:val="center"/>
      <w:rPr>
        <w:caps/>
        <w:color w:val="5B9BD5" w:themeColor="accent1"/>
      </w:rPr>
    </w:pPr>
    <w:r>
      <w:rPr>
        <w:caps/>
        <w:color w:val="5B9BD5" w:themeColor="accent1"/>
      </w:rPr>
      <w:fldChar w:fldCharType="begin"/>
    </w:r>
    <w:r>
      <w:rPr>
        <w:caps/>
        <w:color w:val="5B9BD5" w:themeColor="accent1"/>
      </w:rPr>
      <w:instrText xml:space="preserve">PAGE   \* MERGEFORMAT</w:instrText>
    </w:r>
    <w:r>
      <w:rPr>
        <w:caps/>
        <w:color w:val="5B9BD5" w:themeColor="accent1"/>
      </w:rPr>
      <w:fldChar w:fldCharType="separate"/>
    </w:r>
    <w:r>
      <w:rPr>
        <w:caps/>
        <w:color w:val="5B9BD5" w:themeColor="accent1"/>
        <w:lang w:val="zh-CN"/>
      </w:rPr>
      <w:t>2</w:t>
    </w:r>
    <w:r>
      <w:rPr>
        <w:caps/>
        <w:color w:val="5B9BD5" w:themeColor="accent1"/>
      </w:rPr>
      <w:fldChar w:fldCharType="end"/>
    </w:r>
  </w:p>
  <w:p w14:paraId="7D540E51">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B5990">
    <w:pPr>
      <w:pStyle w:val="20"/>
      <w:framePr w:wrap="around" w:vAnchor="text" w:hAnchor="margin" w:xAlign="center" w:y="1"/>
      <w:rPr>
        <w:rStyle w:val="29"/>
      </w:rPr>
    </w:pPr>
    <w:r>
      <w:fldChar w:fldCharType="begin"/>
    </w:r>
    <w:r>
      <w:rPr>
        <w:rStyle w:val="29"/>
      </w:rPr>
      <w:instrText xml:space="preserve">PAGE  </w:instrText>
    </w:r>
    <w:r>
      <w:fldChar w:fldCharType="separate"/>
    </w:r>
    <w:r>
      <w:rPr>
        <w:rStyle w:val="29"/>
      </w:rPr>
      <w:t>114</w:t>
    </w:r>
    <w:r>
      <w:fldChar w:fldCharType="end"/>
    </w:r>
  </w:p>
  <w:p w14:paraId="0FF7B0E0">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8C55F">
    <w:pPr>
      <w:pStyle w:val="20"/>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77A7B">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CD116">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F7EA08"/>
    <w:multiLevelType w:val="singleLevel"/>
    <w:tmpl w:val="CFF7EA08"/>
    <w:lvl w:ilvl="0" w:tentative="0">
      <w:start w:val="2"/>
      <w:numFmt w:val="decimal"/>
      <w:lvlText w:val="%1."/>
      <w:lvlJc w:val="left"/>
      <w:pPr>
        <w:tabs>
          <w:tab w:val="left" w:pos="312"/>
        </w:tabs>
        <w:ind w:left="840" w:firstLine="0"/>
      </w:pPr>
    </w:lvl>
  </w:abstractNum>
  <w:abstractNum w:abstractNumId="1">
    <w:nsid w:val="DCB5CBB0"/>
    <w:multiLevelType w:val="singleLevel"/>
    <w:tmpl w:val="DCB5CBB0"/>
    <w:lvl w:ilvl="0" w:tentative="0">
      <w:start w:val="2"/>
      <w:numFmt w:val="chineseCounting"/>
      <w:suff w:val="nothing"/>
      <w:lvlText w:val="%1、"/>
      <w:lvlJc w:val="left"/>
      <w:rPr>
        <w:rFonts w:hint="eastAsia"/>
        <w:sz w:val="24"/>
        <w:szCs w:val="24"/>
      </w:rPr>
    </w:lvl>
  </w:abstractNum>
  <w:abstractNum w:abstractNumId="2">
    <w:nsid w:val="E2830A65"/>
    <w:multiLevelType w:val="singleLevel"/>
    <w:tmpl w:val="E2830A65"/>
    <w:lvl w:ilvl="0" w:tentative="0">
      <w:start w:val="2"/>
      <w:numFmt w:val="chineseCounting"/>
      <w:suff w:val="space"/>
      <w:lvlText w:val="第%1章"/>
      <w:lvlJc w:val="left"/>
      <w:rPr>
        <w:rFonts w:hint="eastAsia"/>
      </w:rPr>
    </w:lvl>
  </w:abstractNum>
  <w:abstractNum w:abstractNumId="3">
    <w:nsid w:val="21D3649F"/>
    <w:multiLevelType w:val="singleLevel"/>
    <w:tmpl w:val="21D3649F"/>
    <w:lvl w:ilvl="0" w:tentative="0">
      <w:start w:val="1"/>
      <w:numFmt w:val="decimal"/>
      <w:suff w:val="nothing"/>
      <w:lvlText w:val="%1、"/>
      <w:lvlJc w:val="left"/>
    </w:lvl>
  </w:abstractNum>
  <w:abstractNum w:abstractNumId="4">
    <w:nsid w:val="2C516D1C"/>
    <w:multiLevelType w:val="multilevel"/>
    <w:tmpl w:val="2C516D1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3D331F84"/>
    <w:multiLevelType w:val="multilevel"/>
    <w:tmpl w:val="3D331F84"/>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7">
    <w:nsid w:val="4C601917"/>
    <w:multiLevelType w:val="singleLevel"/>
    <w:tmpl w:val="4C601917"/>
    <w:lvl w:ilvl="0" w:tentative="0">
      <w:start w:val="1"/>
      <w:numFmt w:val="decimal"/>
      <w:suff w:val="nothing"/>
      <w:lvlText w:val="（%1）"/>
      <w:lvlJc w:val="left"/>
      <w:pPr>
        <w:ind w:left="-2"/>
      </w:pPr>
    </w:lvl>
  </w:abstractNum>
  <w:abstractNum w:abstractNumId="8">
    <w:nsid w:val="5FABD14B"/>
    <w:multiLevelType w:val="singleLevel"/>
    <w:tmpl w:val="5FABD14B"/>
    <w:lvl w:ilvl="0" w:tentative="0">
      <w:start w:val="1"/>
      <w:numFmt w:val="decimal"/>
      <w:suff w:val="nothing"/>
      <w:lvlText w:val="（%1）"/>
      <w:lvlJc w:val="left"/>
    </w:lvl>
  </w:abstractNum>
  <w:abstractNum w:abstractNumId="9">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1"/>
  </w:num>
  <w:num w:numId="3">
    <w:abstractNumId w:val="2"/>
  </w:num>
  <w:num w:numId="4">
    <w:abstractNumId w:val="4"/>
  </w:num>
  <w:num w:numId="5">
    <w:abstractNumId w:val="6"/>
  </w:num>
  <w:num w:numId="6">
    <w:abstractNumId w:val="3"/>
  </w:num>
  <w:num w:numId="7">
    <w:abstractNumId w:val="7"/>
  </w:num>
  <w:num w:numId="8">
    <w:abstractNumId w:val="8"/>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dit="forms" w:enforcement="1" w:cryptProviderType="rsaFull" w:cryptAlgorithmClass="hash" w:cryptAlgorithmType="typeAny" w:cryptAlgorithmSid="4" w:cryptSpinCount="0" w:hash="3msFhMXc2cslxSoNN8xUFZWDyfs=" w:salt="JhXOwbA0slQ+FaX4gTYCXA=="/>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UxNGVlZDQzODA4YjhhNGQ5YTE4ZDEwNjg0NWQ4Y2EifQ=="/>
  </w:docVars>
  <w:rsids>
    <w:rsidRoot w:val="00A8681C"/>
    <w:rsid w:val="000051CC"/>
    <w:rsid w:val="00006241"/>
    <w:rsid w:val="00045463"/>
    <w:rsid w:val="00072C34"/>
    <w:rsid w:val="00083C10"/>
    <w:rsid w:val="00090F30"/>
    <w:rsid w:val="000B73CD"/>
    <w:rsid w:val="001734EB"/>
    <w:rsid w:val="00180E47"/>
    <w:rsid w:val="001915C0"/>
    <w:rsid w:val="0021192D"/>
    <w:rsid w:val="00250558"/>
    <w:rsid w:val="00257F10"/>
    <w:rsid w:val="00270BE1"/>
    <w:rsid w:val="002827F5"/>
    <w:rsid w:val="00292C8F"/>
    <w:rsid w:val="002F59A6"/>
    <w:rsid w:val="002F620E"/>
    <w:rsid w:val="002F718C"/>
    <w:rsid w:val="00305907"/>
    <w:rsid w:val="00326FC9"/>
    <w:rsid w:val="00355D38"/>
    <w:rsid w:val="00360438"/>
    <w:rsid w:val="0037599C"/>
    <w:rsid w:val="00385A4D"/>
    <w:rsid w:val="003A51CD"/>
    <w:rsid w:val="003D4372"/>
    <w:rsid w:val="003E2287"/>
    <w:rsid w:val="003F144F"/>
    <w:rsid w:val="003F615B"/>
    <w:rsid w:val="00441C81"/>
    <w:rsid w:val="00452B56"/>
    <w:rsid w:val="004554A1"/>
    <w:rsid w:val="004555E6"/>
    <w:rsid w:val="004C6AD2"/>
    <w:rsid w:val="004E30F1"/>
    <w:rsid w:val="004E3B9B"/>
    <w:rsid w:val="00503F6A"/>
    <w:rsid w:val="005110AB"/>
    <w:rsid w:val="00512DF7"/>
    <w:rsid w:val="0054184E"/>
    <w:rsid w:val="005431D8"/>
    <w:rsid w:val="0055666B"/>
    <w:rsid w:val="00595486"/>
    <w:rsid w:val="00597DD4"/>
    <w:rsid w:val="005A024A"/>
    <w:rsid w:val="005A53CC"/>
    <w:rsid w:val="00641781"/>
    <w:rsid w:val="006459B6"/>
    <w:rsid w:val="00663883"/>
    <w:rsid w:val="006867EE"/>
    <w:rsid w:val="006A1F35"/>
    <w:rsid w:val="0072723E"/>
    <w:rsid w:val="00775AAC"/>
    <w:rsid w:val="00793F28"/>
    <w:rsid w:val="007A0D1A"/>
    <w:rsid w:val="007B659C"/>
    <w:rsid w:val="007D79CE"/>
    <w:rsid w:val="00855D53"/>
    <w:rsid w:val="008669E8"/>
    <w:rsid w:val="008B71A0"/>
    <w:rsid w:val="008C673C"/>
    <w:rsid w:val="008D799D"/>
    <w:rsid w:val="008E7B95"/>
    <w:rsid w:val="00975930"/>
    <w:rsid w:val="00984117"/>
    <w:rsid w:val="009A6521"/>
    <w:rsid w:val="009B0F6F"/>
    <w:rsid w:val="009C212D"/>
    <w:rsid w:val="009C5B2E"/>
    <w:rsid w:val="009D4E5C"/>
    <w:rsid w:val="009E38E5"/>
    <w:rsid w:val="009E69C4"/>
    <w:rsid w:val="009F1EE6"/>
    <w:rsid w:val="00A443D6"/>
    <w:rsid w:val="00A8681C"/>
    <w:rsid w:val="00A91B44"/>
    <w:rsid w:val="00AA7403"/>
    <w:rsid w:val="00AB76DB"/>
    <w:rsid w:val="00AE30B0"/>
    <w:rsid w:val="00B05929"/>
    <w:rsid w:val="00B0706D"/>
    <w:rsid w:val="00B214D5"/>
    <w:rsid w:val="00B21DFA"/>
    <w:rsid w:val="00BA32C3"/>
    <w:rsid w:val="00BA780C"/>
    <w:rsid w:val="00BC5BF0"/>
    <w:rsid w:val="00C04EBC"/>
    <w:rsid w:val="00C23797"/>
    <w:rsid w:val="00C26C3C"/>
    <w:rsid w:val="00CC17A9"/>
    <w:rsid w:val="00CE7464"/>
    <w:rsid w:val="00CF1CE2"/>
    <w:rsid w:val="00D00F93"/>
    <w:rsid w:val="00D03D70"/>
    <w:rsid w:val="00D277D7"/>
    <w:rsid w:val="00D31B90"/>
    <w:rsid w:val="00D4721A"/>
    <w:rsid w:val="00D554B2"/>
    <w:rsid w:val="00D711CD"/>
    <w:rsid w:val="00D83508"/>
    <w:rsid w:val="00DA6AC7"/>
    <w:rsid w:val="00DC7AF5"/>
    <w:rsid w:val="00E04FB3"/>
    <w:rsid w:val="00E10690"/>
    <w:rsid w:val="00E20D76"/>
    <w:rsid w:val="00E544ED"/>
    <w:rsid w:val="00E65D36"/>
    <w:rsid w:val="00E92CAF"/>
    <w:rsid w:val="00EA3D35"/>
    <w:rsid w:val="00EB4D74"/>
    <w:rsid w:val="00F17D6F"/>
    <w:rsid w:val="00F37376"/>
    <w:rsid w:val="00F62AF1"/>
    <w:rsid w:val="00F75179"/>
    <w:rsid w:val="00F95C3D"/>
    <w:rsid w:val="00FA050E"/>
    <w:rsid w:val="00FA07A3"/>
    <w:rsid w:val="00FA3743"/>
    <w:rsid w:val="00FD7CF0"/>
    <w:rsid w:val="00FD7E72"/>
    <w:rsid w:val="00FE028A"/>
    <w:rsid w:val="00FE0D00"/>
    <w:rsid w:val="00FE39DC"/>
    <w:rsid w:val="01281B77"/>
    <w:rsid w:val="012952DE"/>
    <w:rsid w:val="012C2953"/>
    <w:rsid w:val="0169552B"/>
    <w:rsid w:val="01864095"/>
    <w:rsid w:val="01B00587"/>
    <w:rsid w:val="01C006DA"/>
    <w:rsid w:val="01C1456A"/>
    <w:rsid w:val="0210620E"/>
    <w:rsid w:val="02140D77"/>
    <w:rsid w:val="02610CD5"/>
    <w:rsid w:val="02656420"/>
    <w:rsid w:val="028B17FE"/>
    <w:rsid w:val="02A233C6"/>
    <w:rsid w:val="02EC2156"/>
    <w:rsid w:val="02FA0B41"/>
    <w:rsid w:val="035A582B"/>
    <w:rsid w:val="035E4919"/>
    <w:rsid w:val="037203C5"/>
    <w:rsid w:val="03B94246"/>
    <w:rsid w:val="03C30C20"/>
    <w:rsid w:val="040D2FF2"/>
    <w:rsid w:val="042B714B"/>
    <w:rsid w:val="04453213"/>
    <w:rsid w:val="0479622F"/>
    <w:rsid w:val="04CD61FB"/>
    <w:rsid w:val="04EA225C"/>
    <w:rsid w:val="05BE78F1"/>
    <w:rsid w:val="05C07B0D"/>
    <w:rsid w:val="05E35962"/>
    <w:rsid w:val="06506FF6"/>
    <w:rsid w:val="06C57F9D"/>
    <w:rsid w:val="06FD5623"/>
    <w:rsid w:val="074E06DE"/>
    <w:rsid w:val="074E71A4"/>
    <w:rsid w:val="08183C31"/>
    <w:rsid w:val="082617B1"/>
    <w:rsid w:val="08740522"/>
    <w:rsid w:val="08934557"/>
    <w:rsid w:val="089B1397"/>
    <w:rsid w:val="092F5890"/>
    <w:rsid w:val="093C1F26"/>
    <w:rsid w:val="09415207"/>
    <w:rsid w:val="09664528"/>
    <w:rsid w:val="09683BE0"/>
    <w:rsid w:val="09BC5743"/>
    <w:rsid w:val="09EB2C7F"/>
    <w:rsid w:val="0A2E773B"/>
    <w:rsid w:val="0A4E3E1F"/>
    <w:rsid w:val="0A6446F6"/>
    <w:rsid w:val="0AEE6ECB"/>
    <w:rsid w:val="0B471443"/>
    <w:rsid w:val="0BC9708C"/>
    <w:rsid w:val="0C160BE7"/>
    <w:rsid w:val="0C822614"/>
    <w:rsid w:val="0CF74077"/>
    <w:rsid w:val="0D4947F0"/>
    <w:rsid w:val="0DB67492"/>
    <w:rsid w:val="0DE40111"/>
    <w:rsid w:val="0DF12070"/>
    <w:rsid w:val="0E271ABA"/>
    <w:rsid w:val="0E2F75A2"/>
    <w:rsid w:val="0EC8358F"/>
    <w:rsid w:val="0EDB7766"/>
    <w:rsid w:val="0F046CBD"/>
    <w:rsid w:val="0F160523"/>
    <w:rsid w:val="0F3266B3"/>
    <w:rsid w:val="0F4471CE"/>
    <w:rsid w:val="0F576BEE"/>
    <w:rsid w:val="0F73799F"/>
    <w:rsid w:val="0F8552F5"/>
    <w:rsid w:val="0FB26719"/>
    <w:rsid w:val="0FFE0185"/>
    <w:rsid w:val="10046849"/>
    <w:rsid w:val="10291C1E"/>
    <w:rsid w:val="105552F6"/>
    <w:rsid w:val="107264BE"/>
    <w:rsid w:val="10901CF5"/>
    <w:rsid w:val="10943662"/>
    <w:rsid w:val="109B7549"/>
    <w:rsid w:val="113F222E"/>
    <w:rsid w:val="11BD1A1E"/>
    <w:rsid w:val="121D1664"/>
    <w:rsid w:val="12257719"/>
    <w:rsid w:val="12B045E4"/>
    <w:rsid w:val="12CD1ABC"/>
    <w:rsid w:val="12EB0137"/>
    <w:rsid w:val="13076D7C"/>
    <w:rsid w:val="13385187"/>
    <w:rsid w:val="13D4798A"/>
    <w:rsid w:val="14726477"/>
    <w:rsid w:val="14CD7B51"/>
    <w:rsid w:val="14DF5D99"/>
    <w:rsid w:val="14F275B8"/>
    <w:rsid w:val="15065B4D"/>
    <w:rsid w:val="158C5316"/>
    <w:rsid w:val="15B825AF"/>
    <w:rsid w:val="160C3F81"/>
    <w:rsid w:val="16777B5D"/>
    <w:rsid w:val="16D8108A"/>
    <w:rsid w:val="172D48D7"/>
    <w:rsid w:val="173F5FDD"/>
    <w:rsid w:val="18001FEB"/>
    <w:rsid w:val="182E104A"/>
    <w:rsid w:val="18952734"/>
    <w:rsid w:val="193854D9"/>
    <w:rsid w:val="19E80F89"/>
    <w:rsid w:val="1A156D84"/>
    <w:rsid w:val="1A38012B"/>
    <w:rsid w:val="1AD611BB"/>
    <w:rsid w:val="1AFB401F"/>
    <w:rsid w:val="1B6B6EC9"/>
    <w:rsid w:val="1B917DE7"/>
    <w:rsid w:val="1BAA0BEC"/>
    <w:rsid w:val="1BD6378F"/>
    <w:rsid w:val="1C5F37EA"/>
    <w:rsid w:val="1CD2327B"/>
    <w:rsid w:val="1CEC0D90"/>
    <w:rsid w:val="1CF87735"/>
    <w:rsid w:val="1D056E13"/>
    <w:rsid w:val="1D184EF4"/>
    <w:rsid w:val="1D6E430A"/>
    <w:rsid w:val="1D7B2840"/>
    <w:rsid w:val="1D917777"/>
    <w:rsid w:val="1DEF7EC1"/>
    <w:rsid w:val="1E5903C3"/>
    <w:rsid w:val="1E99236E"/>
    <w:rsid w:val="1EEC32CA"/>
    <w:rsid w:val="1F1B4BF6"/>
    <w:rsid w:val="1F4B18BC"/>
    <w:rsid w:val="1F562B6B"/>
    <w:rsid w:val="1F7076AA"/>
    <w:rsid w:val="1FCB23E9"/>
    <w:rsid w:val="20127DA0"/>
    <w:rsid w:val="201A430D"/>
    <w:rsid w:val="202056BF"/>
    <w:rsid w:val="208A6A69"/>
    <w:rsid w:val="20950F81"/>
    <w:rsid w:val="20B322F1"/>
    <w:rsid w:val="21801A41"/>
    <w:rsid w:val="21AD3205"/>
    <w:rsid w:val="226D707F"/>
    <w:rsid w:val="22855306"/>
    <w:rsid w:val="233042E4"/>
    <w:rsid w:val="23AE6B60"/>
    <w:rsid w:val="23BC5DEE"/>
    <w:rsid w:val="23F10CC8"/>
    <w:rsid w:val="24540A05"/>
    <w:rsid w:val="24B10EA9"/>
    <w:rsid w:val="24B86128"/>
    <w:rsid w:val="24CE7EC7"/>
    <w:rsid w:val="24F86524"/>
    <w:rsid w:val="24FF6CC4"/>
    <w:rsid w:val="25045369"/>
    <w:rsid w:val="25056E93"/>
    <w:rsid w:val="25140E84"/>
    <w:rsid w:val="25441108"/>
    <w:rsid w:val="25CE60D9"/>
    <w:rsid w:val="2613734F"/>
    <w:rsid w:val="262516E3"/>
    <w:rsid w:val="263E35BA"/>
    <w:rsid w:val="268F2F81"/>
    <w:rsid w:val="269D21DB"/>
    <w:rsid w:val="26C009EF"/>
    <w:rsid w:val="27110BE0"/>
    <w:rsid w:val="271F45EB"/>
    <w:rsid w:val="272D23FD"/>
    <w:rsid w:val="273D7C77"/>
    <w:rsid w:val="276A4CC7"/>
    <w:rsid w:val="27930786"/>
    <w:rsid w:val="279E7AE4"/>
    <w:rsid w:val="28754330"/>
    <w:rsid w:val="28EC1886"/>
    <w:rsid w:val="293828A4"/>
    <w:rsid w:val="294837F2"/>
    <w:rsid w:val="2959155B"/>
    <w:rsid w:val="29C81FA7"/>
    <w:rsid w:val="2A005F31"/>
    <w:rsid w:val="2AC0284D"/>
    <w:rsid w:val="2B672E44"/>
    <w:rsid w:val="2B6A165E"/>
    <w:rsid w:val="2B910073"/>
    <w:rsid w:val="2BD92719"/>
    <w:rsid w:val="2BE76212"/>
    <w:rsid w:val="2C0A0E8C"/>
    <w:rsid w:val="2C770676"/>
    <w:rsid w:val="2C923702"/>
    <w:rsid w:val="2CA62D0A"/>
    <w:rsid w:val="2CAD4841"/>
    <w:rsid w:val="2CB6751C"/>
    <w:rsid w:val="2CE0464B"/>
    <w:rsid w:val="2D2D34D0"/>
    <w:rsid w:val="2DCC151B"/>
    <w:rsid w:val="2E073C7C"/>
    <w:rsid w:val="2EB80031"/>
    <w:rsid w:val="2EDC6EB7"/>
    <w:rsid w:val="2EF7124C"/>
    <w:rsid w:val="2F6E294B"/>
    <w:rsid w:val="2F785CC3"/>
    <w:rsid w:val="2FC434F1"/>
    <w:rsid w:val="2FDD5F3B"/>
    <w:rsid w:val="2FE51435"/>
    <w:rsid w:val="2FED22F6"/>
    <w:rsid w:val="2FF26266"/>
    <w:rsid w:val="2FFE2FB2"/>
    <w:rsid w:val="30355113"/>
    <w:rsid w:val="309B33C4"/>
    <w:rsid w:val="30FE22C7"/>
    <w:rsid w:val="31121AE5"/>
    <w:rsid w:val="31341444"/>
    <w:rsid w:val="313F372D"/>
    <w:rsid w:val="315301E3"/>
    <w:rsid w:val="316606C9"/>
    <w:rsid w:val="31E63907"/>
    <w:rsid w:val="325E252A"/>
    <w:rsid w:val="325F6C92"/>
    <w:rsid w:val="33263FCB"/>
    <w:rsid w:val="33E2226C"/>
    <w:rsid w:val="34090B0A"/>
    <w:rsid w:val="34277862"/>
    <w:rsid w:val="344F0F7A"/>
    <w:rsid w:val="34B1049E"/>
    <w:rsid w:val="34B24F54"/>
    <w:rsid w:val="34DA0A32"/>
    <w:rsid w:val="3511718E"/>
    <w:rsid w:val="357716E7"/>
    <w:rsid w:val="35773495"/>
    <w:rsid w:val="35A77BBB"/>
    <w:rsid w:val="35F1149A"/>
    <w:rsid w:val="368340BC"/>
    <w:rsid w:val="36854D5E"/>
    <w:rsid w:val="36993545"/>
    <w:rsid w:val="36DA5A31"/>
    <w:rsid w:val="376F504C"/>
    <w:rsid w:val="37985E93"/>
    <w:rsid w:val="37BB77CD"/>
    <w:rsid w:val="37DE37E1"/>
    <w:rsid w:val="37FE4F06"/>
    <w:rsid w:val="38084878"/>
    <w:rsid w:val="38443DFC"/>
    <w:rsid w:val="38575800"/>
    <w:rsid w:val="387F7482"/>
    <w:rsid w:val="389E1675"/>
    <w:rsid w:val="38E35C8E"/>
    <w:rsid w:val="38F13BDA"/>
    <w:rsid w:val="3922196A"/>
    <w:rsid w:val="393C3C61"/>
    <w:rsid w:val="394A2C6F"/>
    <w:rsid w:val="399B02E5"/>
    <w:rsid w:val="39BB7D0D"/>
    <w:rsid w:val="39F1510E"/>
    <w:rsid w:val="3A06128C"/>
    <w:rsid w:val="3A30455A"/>
    <w:rsid w:val="3A7C7347"/>
    <w:rsid w:val="3A8C79E3"/>
    <w:rsid w:val="3AC81399"/>
    <w:rsid w:val="3AE23BB3"/>
    <w:rsid w:val="3AE33CE2"/>
    <w:rsid w:val="3B133982"/>
    <w:rsid w:val="3B2543B2"/>
    <w:rsid w:val="3B7D4A2F"/>
    <w:rsid w:val="3BE960C7"/>
    <w:rsid w:val="3C0161AE"/>
    <w:rsid w:val="3C0D0D5D"/>
    <w:rsid w:val="3C622294"/>
    <w:rsid w:val="3C962331"/>
    <w:rsid w:val="3CD431B6"/>
    <w:rsid w:val="3CE95A09"/>
    <w:rsid w:val="3CFD11BE"/>
    <w:rsid w:val="3D146FB9"/>
    <w:rsid w:val="3D51281E"/>
    <w:rsid w:val="3D5333CC"/>
    <w:rsid w:val="3DB72EFD"/>
    <w:rsid w:val="3DC65F30"/>
    <w:rsid w:val="3E175815"/>
    <w:rsid w:val="3E3318C3"/>
    <w:rsid w:val="3E562683"/>
    <w:rsid w:val="3EAC216D"/>
    <w:rsid w:val="3EB06882"/>
    <w:rsid w:val="3EFC3778"/>
    <w:rsid w:val="3F0857D9"/>
    <w:rsid w:val="3F4425A2"/>
    <w:rsid w:val="3FF01F22"/>
    <w:rsid w:val="3FFA53EF"/>
    <w:rsid w:val="403617CB"/>
    <w:rsid w:val="40386699"/>
    <w:rsid w:val="40612D9E"/>
    <w:rsid w:val="407B38EC"/>
    <w:rsid w:val="40916C46"/>
    <w:rsid w:val="40B23850"/>
    <w:rsid w:val="40D00E25"/>
    <w:rsid w:val="41456493"/>
    <w:rsid w:val="41562FB5"/>
    <w:rsid w:val="41655D6D"/>
    <w:rsid w:val="416F3BBA"/>
    <w:rsid w:val="41B620F3"/>
    <w:rsid w:val="41F8595E"/>
    <w:rsid w:val="42E3761B"/>
    <w:rsid w:val="43695F14"/>
    <w:rsid w:val="44055508"/>
    <w:rsid w:val="44873B83"/>
    <w:rsid w:val="44A616A1"/>
    <w:rsid w:val="44B00772"/>
    <w:rsid w:val="44B22807"/>
    <w:rsid w:val="45634846"/>
    <w:rsid w:val="45AD0F6E"/>
    <w:rsid w:val="45C51FFB"/>
    <w:rsid w:val="45CB519C"/>
    <w:rsid w:val="45E0509B"/>
    <w:rsid w:val="46340F2E"/>
    <w:rsid w:val="46933C70"/>
    <w:rsid w:val="46C44060"/>
    <w:rsid w:val="46D62523"/>
    <w:rsid w:val="474D5B58"/>
    <w:rsid w:val="47605A10"/>
    <w:rsid w:val="47C36A5A"/>
    <w:rsid w:val="48335754"/>
    <w:rsid w:val="48376243"/>
    <w:rsid w:val="48BA0949"/>
    <w:rsid w:val="49575660"/>
    <w:rsid w:val="49B501BF"/>
    <w:rsid w:val="49F43484"/>
    <w:rsid w:val="4A0D26C2"/>
    <w:rsid w:val="4A391895"/>
    <w:rsid w:val="4AF8077D"/>
    <w:rsid w:val="4B5C51AF"/>
    <w:rsid w:val="4C0C65B1"/>
    <w:rsid w:val="4C7E1155"/>
    <w:rsid w:val="4CF3417B"/>
    <w:rsid w:val="4CFB66F1"/>
    <w:rsid w:val="4D46030D"/>
    <w:rsid w:val="4D6D5D59"/>
    <w:rsid w:val="4DBE5CAD"/>
    <w:rsid w:val="4DD21759"/>
    <w:rsid w:val="4E167AE4"/>
    <w:rsid w:val="4F38383D"/>
    <w:rsid w:val="4F610FE6"/>
    <w:rsid w:val="4FB23935"/>
    <w:rsid w:val="50025973"/>
    <w:rsid w:val="50131BB5"/>
    <w:rsid w:val="504F33D0"/>
    <w:rsid w:val="507840EB"/>
    <w:rsid w:val="514E4B86"/>
    <w:rsid w:val="51762E69"/>
    <w:rsid w:val="52501907"/>
    <w:rsid w:val="525F7493"/>
    <w:rsid w:val="52635075"/>
    <w:rsid w:val="526B2514"/>
    <w:rsid w:val="52754DA9"/>
    <w:rsid w:val="53795B2E"/>
    <w:rsid w:val="53DB6E8D"/>
    <w:rsid w:val="540D6952"/>
    <w:rsid w:val="5429164F"/>
    <w:rsid w:val="54A43723"/>
    <w:rsid w:val="54AA0D3A"/>
    <w:rsid w:val="54B75204"/>
    <w:rsid w:val="54D23AF9"/>
    <w:rsid w:val="5521635A"/>
    <w:rsid w:val="55513B57"/>
    <w:rsid w:val="55A1100F"/>
    <w:rsid w:val="55D02010"/>
    <w:rsid w:val="55DD0C9B"/>
    <w:rsid w:val="55F34962"/>
    <w:rsid w:val="563D7A24"/>
    <w:rsid w:val="56625644"/>
    <w:rsid w:val="570A0C3F"/>
    <w:rsid w:val="57476D14"/>
    <w:rsid w:val="578801D7"/>
    <w:rsid w:val="57A537C4"/>
    <w:rsid w:val="57B74DD8"/>
    <w:rsid w:val="57EB7D66"/>
    <w:rsid w:val="58156CAE"/>
    <w:rsid w:val="58CD3249"/>
    <w:rsid w:val="58ED4BF9"/>
    <w:rsid w:val="593D188F"/>
    <w:rsid w:val="59964C1F"/>
    <w:rsid w:val="59D16D68"/>
    <w:rsid w:val="59D34A34"/>
    <w:rsid w:val="5A5B4884"/>
    <w:rsid w:val="5AEF2A60"/>
    <w:rsid w:val="5B866767"/>
    <w:rsid w:val="5B89775C"/>
    <w:rsid w:val="5BBB26C9"/>
    <w:rsid w:val="5BBF1536"/>
    <w:rsid w:val="5BD448EE"/>
    <w:rsid w:val="5BE076FE"/>
    <w:rsid w:val="5C7B1E37"/>
    <w:rsid w:val="5CD3143C"/>
    <w:rsid w:val="5D013C0F"/>
    <w:rsid w:val="5D2D075A"/>
    <w:rsid w:val="5D485594"/>
    <w:rsid w:val="5DEF61CF"/>
    <w:rsid w:val="5E167440"/>
    <w:rsid w:val="5E282CCF"/>
    <w:rsid w:val="5E5A23AB"/>
    <w:rsid w:val="5F772E66"/>
    <w:rsid w:val="5FAC7531"/>
    <w:rsid w:val="5FB05E2D"/>
    <w:rsid w:val="606E6033"/>
    <w:rsid w:val="60824919"/>
    <w:rsid w:val="60B44C56"/>
    <w:rsid w:val="61457F32"/>
    <w:rsid w:val="61785574"/>
    <w:rsid w:val="61C96B52"/>
    <w:rsid w:val="61FB68F1"/>
    <w:rsid w:val="620A1069"/>
    <w:rsid w:val="62261C1B"/>
    <w:rsid w:val="628463D3"/>
    <w:rsid w:val="62A91DA4"/>
    <w:rsid w:val="62E13F61"/>
    <w:rsid w:val="62EC4256"/>
    <w:rsid w:val="637636F5"/>
    <w:rsid w:val="63D95197"/>
    <w:rsid w:val="63DC3656"/>
    <w:rsid w:val="643E022A"/>
    <w:rsid w:val="64550B9A"/>
    <w:rsid w:val="64627242"/>
    <w:rsid w:val="6472739A"/>
    <w:rsid w:val="648C0BFA"/>
    <w:rsid w:val="64DE67DD"/>
    <w:rsid w:val="6564195A"/>
    <w:rsid w:val="657A24F0"/>
    <w:rsid w:val="65BD5DA5"/>
    <w:rsid w:val="66067D9A"/>
    <w:rsid w:val="663D188F"/>
    <w:rsid w:val="66424F6D"/>
    <w:rsid w:val="66432D9C"/>
    <w:rsid w:val="66434E23"/>
    <w:rsid w:val="66546D57"/>
    <w:rsid w:val="6768528D"/>
    <w:rsid w:val="676D1753"/>
    <w:rsid w:val="6783434D"/>
    <w:rsid w:val="67956AD3"/>
    <w:rsid w:val="67F32768"/>
    <w:rsid w:val="67F76FB8"/>
    <w:rsid w:val="68000198"/>
    <w:rsid w:val="68062014"/>
    <w:rsid w:val="68184196"/>
    <w:rsid w:val="685968A7"/>
    <w:rsid w:val="690F736F"/>
    <w:rsid w:val="694F7CAA"/>
    <w:rsid w:val="69E07C56"/>
    <w:rsid w:val="69E94032"/>
    <w:rsid w:val="6A1467A3"/>
    <w:rsid w:val="6A21404D"/>
    <w:rsid w:val="6A2A593C"/>
    <w:rsid w:val="6A8C7F52"/>
    <w:rsid w:val="6AA64D90"/>
    <w:rsid w:val="6B082DB8"/>
    <w:rsid w:val="6B0D224E"/>
    <w:rsid w:val="6B2354D0"/>
    <w:rsid w:val="6BA07176"/>
    <w:rsid w:val="6BA80023"/>
    <w:rsid w:val="6BC0488C"/>
    <w:rsid w:val="6C2568BC"/>
    <w:rsid w:val="6C6770B8"/>
    <w:rsid w:val="6C8B412C"/>
    <w:rsid w:val="6C9F2CF6"/>
    <w:rsid w:val="6CEB7E0F"/>
    <w:rsid w:val="6D121934"/>
    <w:rsid w:val="6D1A40E4"/>
    <w:rsid w:val="6D271A0A"/>
    <w:rsid w:val="6D5609F0"/>
    <w:rsid w:val="6D580CDC"/>
    <w:rsid w:val="6D6B4986"/>
    <w:rsid w:val="6D8307B0"/>
    <w:rsid w:val="6DCF4F15"/>
    <w:rsid w:val="6E212EFD"/>
    <w:rsid w:val="6F1E741F"/>
    <w:rsid w:val="6F2623D0"/>
    <w:rsid w:val="6FB10853"/>
    <w:rsid w:val="6FBD596D"/>
    <w:rsid w:val="6FFA61EA"/>
    <w:rsid w:val="70004827"/>
    <w:rsid w:val="70271038"/>
    <w:rsid w:val="705E4DCC"/>
    <w:rsid w:val="707430C1"/>
    <w:rsid w:val="70951D72"/>
    <w:rsid w:val="70A628A5"/>
    <w:rsid w:val="70D37E2A"/>
    <w:rsid w:val="718B55F7"/>
    <w:rsid w:val="71B06291"/>
    <w:rsid w:val="71CC159E"/>
    <w:rsid w:val="71D1496D"/>
    <w:rsid w:val="71D44AAD"/>
    <w:rsid w:val="71D67C5B"/>
    <w:rsid w:val="71FE729A"/>
    <w:rsid w:val="72223BDF"/>
    <w:rsid w:val="72565B9F"/>
    <w:rsid w:val="72C83D89"/>
    <w:rsid w:val="72F849A0"/>
    <w:rsid w:val="73535761"/>
    <w:rsid w:val="73577E87"/>
    <w:rsid w:val="73B40E35"/>
    <w:rsid w:val="73DF6CE9"/>
    <w:rsid w:val="740C03AE"/>
    <w:rsid w:val="741C19F7"/>
    <w:rsid w:val="7437028D"/>
    <w:rsid w:val="7464515E"/>
    <w:rsid w:val="746740F9"/>
    <w:rsid w:val="7483518C"/>
    <w:rsid w:val="74BB05CF"/>
    <w:rsid w:val="74E51DAC"/>
    <w:rsid w:val="75046CCD"/>
    <w:rsid w:val="750C6455"/>
    <w:rsid w:val="759D778D"/>
    <w:rsid w:val="75B56629"/>
    <w:rsid w:val="75E65661"/>
    <w:rsid w:val="76067D18"/>
    <w:rsid w:val="76121C95"/>
    <w:rsid w:val="761B75CE"/>
    <w:rsid w:val="763B583E"/>
    <w:rsid w:val="768B7F38"/>
    <w:rsid w:val="76C63BDA"/>
    <w:rsid w:val="770B6B66"/>
    <w:rsid w:val="7817324A"/>
    <w:rsid w:val="78526E6F"/>
    <w:rsid w:val="785E618A"/>
    <w:rsid w:val="78DE7501"/>
    <w:rsid w:val="79357D88"/>
    <w:rsid w:val="79501600"/>
    <w:rsid w:val="798A119E"/>
    <w:rsid w:val="79974728"/>
    <w:rsid w:val="79B778D1"/>
    <w:rsid w:val="79D55FA9"/>
    <w:rsid w:val="79FB77B2"/>
    <w:rsid w:val="7A4A0863"/>
    <w:rsid w:val="7A86745F"/>
    <w:rsid w:val="7AAD3A5C"/>
    <w:rsid w:val="7B540D1F"/>
    <w:rsid w:val="7B893F18"/>
    <w:rsid w:val="7BB5399C"/>
    <w:rsid w:val="7C592EFE"/>
    <w:rsid w:val="7C663460"/>
    <w:rsid w:val="7CC7434C"/>
    <w:rsid w:val="7D151E92"/>
    <w:rsid w:val="7D3F20B7"/>
    <w:rsid w:val="7D6945EB"/>
    <w:rsid w:val="7D741635"/>
    <w:rsid w:val="7D851DEF"/>
    <w:rsid w:val="7D9D2EC1"/>
    <w:rsid w:val="7DB22BDF"/>
    <w:rsid w:val="7E410A8F"/>
    <w:rsid w:val="7ECB1729"/>
    <w:rsid w:val="7FA52CFB"/>
    <w:rsid w:val="7FD76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37"/>
    <w:autoRedefine/>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35"/>
    <w:autoRedefine/>
    <w:unhideWhenUsed/>
    <w:qFormat/>
    <w:uiPriority w:val="9"/>
    <w:pPr>
      <w:keepNext/>
      <w:keepLines/>
      <w:spacing w:before="40"/>
      <w:outlineLvl w:val="3"/>
    </w:pPr>
    <w:rPr>
      <w:rFonts w:asciiTheme="majorHAnsi" w:hAnsiTheme="majorHAnsi" w:eastAsiaTheme="majorEastAsia" w:cstheme="majorBidi"/>
      <w:i/>
      <w:iCs/>
      <w:color w:val="2E75B5" w:themeColor="accent1" w:themeShade="BF"/>
    </w:rPr>
  </w:style>
  <w:style w:type="paragraph" w:styleId="6">
    <w:name w:val="heading 5"/>
    <w:basedOn w:val="1"/>
    <w:next w:val="7"/>
    <w:link w:val="48"/>
    <w:autoRedefine/>
    <w:qFormat/>
    <w:uiPriority w:val="9"/>
    <w:pPr>
      <w:keepNext/>
      <w:keepLines/>
      <w:numPr>
        <w:ilvl w:val="4"/>
        <w:numId w:val="1"/>
      </w:numPr>
      <w:spacing w:before="280" w:after="290" w:line="376" w:lineRule="auto"/>
      <w:outlineLvl w:val="4"/>
    </w:pPr>
    <w:rPr>
      <w:b/>
      <w:sz w:val="28"/>
    </w:rPr>
  </w:style>
  <w:style w:type="paragraph" w:styleId="8">
    <w:name w:val="heading 6"/>
    <w:basedOn w:val="1"/>
    <w:next w:val="1"/>
    <w:link w:val="38"/>
    <w:autoRedefine/>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paragraph" w:styleId="9">
    <w:name w:val="heading 7"/>
    <w:basedOn w:val="1"/>
    <w:next w:val="1"/>
    <w:link w:val="39"/>
    <w:autoRedefine/>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99"/>
    <w:pPr>
      <w:ind w:firstLine="420"/>
    </w:pPr>
    <w:rPr>
      <w:szCs w:val="20"/>
    </w:rPr>
  </w:style>
  <w:style w:type="paragraph" w:styleId="10">
    <w:name w:val="index 8"/>
    <w:basedOn w:val="1"/>
    <w:next w:val="1"/>
    <w:autoRedefine/>
    <w:qFormat/>
    <w:uiPriority w:val="0"/>
    <w:pPr>
      <w:ind w:left="2940"/>
    </w:pPr>
  </w:style>
  <w:style w:type="paragraph" w:styleId="11">
    <w:name w:val="caption"/>
    <w:basedOn w:val="1"/>
    <w:next w:val="1"/>
    <w:autoRedefine/>
    <w:qFormat/>
    <w:uiPriority w:val="0"/>
    <w:pPr>
      <w:spacing w:before="152" w:after="160"/>
    </w:pPr>
    <w:rPr>
      <w:rFonts w:ascii="Arial" w:hAnsi="Arial" w:eastAsia="黑体" w:cs="Arial"/>
      <w:sz w:val="20"/>
      <w:szCs w:val="20"/>
    </w:rPr>
  </w:style>
  <w:style w:type="paragraph" w:styleId="12">
    <w:name w:val="annotation text"/>
    <w:basedOn w:val="1"/>
    <w:link w:val="59"/>
    <w:autoRedefine/>
    <w:unhideWhenUsed/>
    <w:qFormat/>
    <w:uiPriority w:val="0"/>
    <w:pPr>
      <w:jc w:val="left"/>
    </w:pPr>
  </w:style>
  <w:style w:type="paragraph" w:styleId="13">
    <w:name w:val="Body Text 3"/>
    <w:basedOn w:val="1"/>
    <w:autoRedefine/>
    <w:qFormat/>
    <w:uiPriority w:val="0"/>
    <w:pPr>
      <w:spacing w:line="500" w:lineRule="exact"/>
    </w:pPr>
    <w:rPr>
      <w:b/>
      <w:bCs/>
      <w:kern w:val="0"/>
      <w:sz w:val="24"/>
    </w:rPr>
  </w:style>
  <w:style w:type="paragraph" w:styleId="14">
    <w:name w:val="Body Text"/>
    <w:basedOn w:val="1"/>
    <w:next w:val="1"/>
    <w:link w:val="57"/>
    <w:autoRedefine/>
    <w:qFormat/>
    <w:uiPriority w:val="99"/>
    <w:pPr>
      <w:spacing w:line="380" w:lineRule="exact"/>
    </w:pPr>
    <w:rPr>
      <w:kern w:val="0"/>
      <w:sz w:val="24"/>
    </w:rPr>
  </w:style>
  <w:style w:type="paragraph" w:styleId="15">
    <w:name w:val="Body Text Indent"/>
    <w:basedOn w:val="1"/>
    <w:next w:val="16"/>
    <w:link w:val="53"/>
    <w:autoRedefine/>
    <w:qFormat/>
    <w:uiPriority w:val="99"/>
    <w:pPr>
      <w:ind w:firstLine="830" w:firstLineChars="352"/>
    </w:pPr>
    <w:rPr>
      <w:rFonts w:ascii="仿宋_GB2312" w:eastAsia="仿宋_GB2312"/>
      <w:kern w:val="0"/>
      <w:sz w:val="32"/>
      <w:szCs w:val="20"/>
    </w:rPr>
  </w:style>
  <w:style w:type="paragraph" w:styleId="16">
    <w:name w:val="envelope return"/>
    <w:basedOn w:val="1"/>
    <w:autoRedefine/>
    <w:qFormat/>
    <w:uiPriority w:val="99"/>
    <w:rPr>
      <w:rFonts w:ascii="Arial" w:hAnsi="Arial" w:cs="Arial"/>
      <w:kern w:val="1"/>
    </w:rPr>
  </w:style>
  <w:style w:type="paragraph" w:styleId="17">
    <w:name w:val="Plain Text"/>
    <w:basedOn w:val="1"/>
    <w:next w:val="18"/>
    <w:link w:val="58"/>
    <w:autoRedefine/>
    <w:qFormat/>
    <w:uiPriority w:val="0"/>
    <w:rPr>
      <w:rFonts w:ascii="宋体" w:hAnsi="Courier New"/>
      <w:kern w:val="0"/>
      <w:sz w:val="20"/>
      <w:szCs w:val="21"/>
    </w:rPr>
  </w:style>
  <w:style w:type="paragraph" w:styleId="18">
    <w:name w:val="Date"/>
    <w:basedOn w:val="1"/>
    <w:next w:val="1"/>
    <w:autoRedefine/>
    <w:qFormat/>
    <w:uiPriority w:val="0"/>
    <w:pPr>
      <w:ind w:left="100" w:leftChars="2500"/>
    </w:pPr>
    <w:rPr>
      <w:rFonts w:ascii="宋体" w:hAnsi="Courier New"/>
      <w:kern w:val="0"/>
      <w:sz w:val="20"/>
      <w:szCs w:val="21"/>
    </w:rPr>
  </w:style>
  <w:style w:type="paragraph" w:styleId="19">
    <w:name w:val="Balloon Text"/>
    <w:basedOn w:val="1"/>
    <w:link w:val="34"/>
    <w:autoRedefine/>
    <w:qFormat/>
    <w:uiPriority w:val="0"/>
    <w:rPr>
      <w:sz w:val="18"/>
      <w:szCs w:val="18"/>
    </w:rPr>
  </w:style>
  <w:style w:type="paragraph" w:styleId="20">
    <w:name w:val="footer"/>
    <w:basedOn w:val="1"/>
    <w:link w:val="41"/>
    <w:autoRedefine/>
    <w:unhideWhenUsed/>
    <w:qFormat/>
    <w:uiPriority w:val="99"/>
    <w:pPr>
      <w:tabs>
        <w:tab w:val="center" w:pos="4153"/>
        <w:tab w:val="right" w:pos="8306"/>
      </w:tabs>
      <w:snapToGrid w:val="0"/>
      <w:jc w:val="left"/>
    </w:pPr>
    <w:rPr>
      <w:kern w:val="0"/>
      <w:sz w:val="18"/>
      <w:szCs w:val="18"/>
    </w:rPr>
  </w:style>
  <w:style w:type="paragraph" w:styleId="21">
    <w:name w:val="header"/>
    <w:basedOn w:val="1"/>
    <w:link w:val="40"/>
    <w:autoRedefine/>
    <w:unhideWhenUsed/>
    <w:qFormat/>
    <w:uiPriority w:val="99"/>
    <w:pPr>
      <w:pBdr>
        <w:bottom w:val="single" w:color="auto" w:sz="6" w:space="1"/>
      </w:pBdr>
      <w:tabs>
        <w:tab w:val="center" w:pos="0"/>
        <w:tab w:val="left" w:pos="8306"/>
      </w:tabs>
      <w:snapToGrid w:val="0"/>
      <w:jc w:val="center"/>
    </w:pPr>
    <w:rPr>
      <w:sz w:val="18"/>
      <w:szCs w:val="18"/>
    </w:rPr>
  </w:style>
  <w:style w:type="paragraph" w:styleId="22">
    <w:name w:val="toc 1"/>
    <w:basedOn w:val="1"/>
    <w:next w:val="1"/>
    <w:autoRedefine/>
    <w:qFormat/>
    <w:uiPriority w:val="39"/>
    <w:pPr>
      <w:tabs>
        <w:tab w:val="right" w:leader="dot" w:pos="8398"/>
      </w:tabs>
      <w:spacing w:before="120" w:after="120"/>
      <w:ind w:firstLine="240" w:firstLineChars="100"/>
      <w:jc w:val="left"/>
    </w:pPr>
    <w:rPr>
      <w:rFonts w:ascii="宋体" w:hAnsi="宋体"/>
      <w:b/>
      <w:bCs/>
      <w:caps/>
      <w:sz w:val="24"/>
    </w:rPr>
  </w:style>
  <w:style w:type="paragraph" w:styleId="23">
    <w:name w:val="List"/>
    <w:basedOn w:val="1"/>
    <w:autoRedefine/>
    <w:qFormat/>
    <w:uiPriority w:val="0"/>
    <w:pPr>
      <w:ind w:left="200" w:hanging="200" w:hangingChars="200"/>
    </w:pPr>
    <w:rPr>
      <w:sz w:val="28"/>
    </w:rPr>
  </w:style>
  <w:style w:type="paragraph" w:styleId="24">
    <w:name w:val="annotation subject"/>
    <w:basedOn w:val="12"/>
    <w:next w:val="12"/>
    <w:link w:val="60"/>
    <w:autoRedefine/>
    <w:qFormat/>
    <w:uiPriority w:val="0"/>
    <w:rPr>
      <w:b/>
      <w:bCs/>
    </w:rPr>
  </w:style>
  <w:style w:type="paragraph" w:styleId="25">
    <w:name w:val="Body Text First Indent 2"/>
    <w:basedOn w:val="15"/>
    <w:link w:val="54"/>
    <w:autoRedefine/>
    <w:qFormat/>
    <w:uiPriority w:val="99"/>
    <w:pPr>
      <w:ind w:firstLine="420" w:firstLineChars="200"/>
    </w:pPr>
  </w:style>
  <w:style w:type="table" w:styleId="27">
    <w:name w:val="Table Grid"/>
    <w:basedOn w:val="2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autoRedefine/>
    <w:qFormat/>
    <w:uiPriority w:val="0"/>
  </w:style>
  <w:style w:type="character" w:styleId="30">
    <w:name w:val="Hyperlink"/>
    <w:autoRedefine/>
    <w:qFormat/>
    <w:uiPriority w:val="99"/>
    <w:rPr>
      <w:color w:val="000000"/>
      <w:u w:val="none"/>
    </w:rPr>
  </w:style>
  <w:style w:type="character" w:styleId="31">
    <w:name w:val="annotation reference"/>
    <w:basedOn w:val="28"/>
    <w:autoRedefine/>
    <w:qFormat/>
    <w:uiPriority w:val="0"/>
    <w:rPr>
      <w:sz w:val="21"/>
      <w:szCs w:val="21"/>
    </w:rPr>
  </w:style>
  <w:style w:type="paragraph" w:customStyle="1" w:styleId="32">
    <w:name w:val="表格文字"/>
    <w:basedOn w:val="1"/>
    <w:autoRedefine/>
    <w:qFormat/>
    <w:uiPriority w:val="0"/>
    <w:pPr>
      <w:jc w:val="left"/>
    </w:pPr>
    <w:rPr>
      <w:bCs/>
      <w:spacing w:val="10"/>
      <w:kern w:val="0"/>
      <w:sz w:val="24"/>
      <w:szCs w:val="20"/>
    </w:rPr>
  </w:style>
  <w:style w:type="paragraph" w:styleId="33">
    <w:name w:val="List Paragraph"/>
    <w:basedOn w:val="1"/>
    <w:link w:val="56"/>
    <w:autoRedefine/>
    <w:qFormat/>
    <w:uiPriority w:val="34"/>
    <w:pPr>
      <w:ind w:firstLine="420" w:firstLineChars="200"/>
    </w:pPr>
  </w:style>
  <w:style w:type="character" w:customStyle="1" w:styleId="34">
    <w:name w:val="批注框文本 字符"/>
    <w:basedOn w:val="28"/>
    <w:link w:val="19"/>
    <w:autoRedefine/>
    <w:qFormat/>
    <w:uiPriority w:val="0"/>
    <w:rPr>
      <w:kern w:val="2"/>
      <w:sz w:val="18"/>
      <w:szCs w:val="18"/>
    </w:rPr>
  </w:style>
  <w:style w:type="character" w:customStyle="1" w:styleId="35">
    <w:name w:val="标题 4 字符"/>
    <w:basedOn w:val="28"/>
    <w:link w:val="5"/>
    <w:autoRedefine/>
    <w:qFormat/>
    <w:uiPriority w:val="9"/>
    <w:rPr>
      <w:rFonts w:asciiTheme="majorHAnsi" w:hAnsiTheme="majorHAnsi" w:eastAsiaTheme="majorEastAsia" w:cstheme="majorBidi"/>
      <w:i/>
      <w:iCs/>
      <w:color w:val="2E75B5" w:themeColor="accent1" w:themeShade="BF"/>
      <w:kern w:val="2"/>
      <w:sz w:val="21"/>
      <w:szCs w:val="24"/>
      <w:lang w:val="en-US"/>
    </w:rPr>
  </w:style>
  <w:style w:type="paragraph" w:customStyle="1" w:styleId="36">
    <w:name w:val="Default"/>
    <w:next w:val="1"/>
    <w:autoRedefine/>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37">
    <w:name w:val="标题 3 字符"/>
    <w:link w:val="4"/>
    <w:autoRedefine/>
    <w:qFormat/>
    <w:uiPriority w:val="0"/>
    <w:rPr>
      <w:b/>
      <w:bCs/>
      <w:sz w:val="32"/>
      <w:szCs w:val="32"/>
      <w:lang w:val="en-US"/>
    </w:rPr>
  </w:style>
  <w:style w:type="character" w:customStyle="1" w:styleId="38">
    <w:name w:val="标题 6 字符"/>
    <w:basedOn w:val="28"/>
    <w:link w:val="8"/>
    <w:autoRedefine/>
    <w:semiHidden/>
    <w:qFormat/>
    <w:uiPriority w:val="9"/>
    <w:rPr>
      <w:rFonts w:asciiTheme="majorHAnsi" w:hAnsiTheme="majorHAnsi" w:eastAsiaTheme="majorEastAsia" w:cstheme="majorBidi"/>
      <w:b/>
      <w:bCs/>
      <w:kern w:val="2"/>
      <w:sz w:val="24"/>
      <w:szCs w:val="24"/>
      <w:lang w:val="en-US"/>
    </w:rPr>
  </w:style>
  <w:style w:type="character" w:customStyle="1" w:styleId="39">
    <w:name w:val="标题 7 字符"/>
    <w:basedOn w:val="28"/>
    <w:link w:val="9"/>
    <w:autoRedefine/>
    <w:semiHidden/>
    <w:qFormat/>
    <w:uiPriority w:val="9"/>
    <w:rPr>
      <w:rFonts w:asciiTheme="minorHAnsi" w:hAnsiTheme="minorHAnsi" w:eastAsiaTheme="minorEastAsia" w:cstheme="minorBidi"/>
      <w:b/>
      <w:bCs/>
      <w:kern w:val="2"/>
      <w:sz w:val="24"/>
      <w:szCs w:val="24"/>
      <w:lang w:val="en-US"/>
    </w:rPr>
  </w:style>
  <w:style w:type="character" w:customStyle="1" w:styleId="40">
    <w:name w:val="页眉 字符"/>
    <w:basedOn w:val="28"/>
    <w:link w:val="21"/>
    <w:autoRedefine/>
    <w:qFormat/>
    <w:uiPriority w:val="99"/>
    <w:rPr>
      <w:kern w:val="2"/>
      <w:sz w:val="18"/>
      <w:szCs w:val="18"/>
      <w:lang w:val="en-US"/>
    </w:rPr>
  </w:style>
  <w:style w:type="character" w:customStyle="1" w:styleId="41">
    <w:name w:val="页脚 字符"/>
    <w:basedOn w:val="28"/>
    <w:link w:val="20"/>
    <w:autoRedefine/>
    <w:qFormat/>
    <w:uiPriority w:val="99"/>
    <w:rPr>
      <w:sz w:val="18"/>
      <w:szCs w:val="18"/>
      <w:lang w:val="en-US"/>
    </w:rPr>
  </w:style>
  <w:style w:type="character" w:customStyle="1" w:styleId="42">
    <w:name w:val="标题 1 字符"/>
    <w:basedOn w:val="28"/>
    <w:link w:val="2"/>
    <w:autoRedefine/>
    <w:qFormat/>
    <w:uiPriority w:val="0"/>
    <w:rPr>
      <w:b/>
      <w:bCs/>
      <w:kern w:val="44"/>
      <w:sz w:val="44"/>
      <w:szCs w:val="44"/>
      <w:lang w:val="en-US"/>
    </w:rPr>
  </w:style>
  <w:style w:type="character" w:customStyle="1" w:styleId="43">
    <w:name w:val="标题 2 字符"/>
    <w:basedOn w:val="28"/>
    <w:link w:val="3"/>
    <w:autoRedefine/>
    <w:qFormat/>
    <w:uiPriority w:val="0"/>
    <w:rPr>
      <w:rFonts w:ascii="Arial" w:hAnsi="Arial" w:eastAsia="黑体"/>
      <w:b/>
      <w:bCs/>
      <w:sz w:val="32"/>
      <w:szCs w:val="32"/>
      <w:lang w:val="en-US"/>
    </w:rPr>
  </w:style>
  <w:style w:type="paragraph" w:customStyle="1" w:styleId="44">
    <w:name w:val="样式 正文缩进 + 首行缩进:  2 字符"/>
    <w:basedOn w:val="7"/>
    <w:link w:val="45"/>
    <w:autoRedefine/>
    <w:qFormat/>
    <w:uiPriority w:val="0"/>
    <w:pPr>
      <w:spacing w:line="360" w:lineRule="auto"/>
      <w:ind w:firstLine="200" w:firstLineChars="200"/>
    </w:pPr>
    <w:rPr>
      <w:sz w:val="24"/>
    </w:rPr>
  </w:style>
  <w:style w:type="character" w:customStyle="1" w:styleId="45">
    <w:name w:val="样式 正文缩进 + 首行缩进:  2 字符 Char"/>
    <w:link w:val="44"/>
    <w:autoRedefine/>
    <w:qFormat/>
    <w:uiPriority w:val="0"/>
    <w:rPr>
      <w:kern w:val="2"/>
      <w:sz w:val="24"/>
      <w:lang w:val="en-US"/>
    </w:rPr>
  </w:style>
  <w:style w:type="paragraph" w:customStyle="1" w:styleId="46">
    <w:name w:val="正文样式"/>
    <w:basedOn w:val="1"/>
    <w:link w:val="47"/>
    <w:autoRedefine/>
    <w:qFormat/>
    <w:uiPriority w:val="0"/>
    <w:pPr>
      <w:spacing w:line="360" w:lineRule="auto"/>
      <w:ind w:firstLine="480" w:firstLineChars="200"/>
    </w:pPr>
    <w:rPr>
      <w:rFonts w:ascii="Calibri" w:hAnsi="Calibri" w:cs="Calibri"/>
      <w:sz w:val="24"/>
      <w:szCs w:val="22"/>
    </w:rPr>
  </w:style>
  <w:style w:type="character" w:customStyle="1" w:styleId="47">
    <w:name w:val="正文样式 Char"/>
    <w:link w:val="46"/>
    <w:autoRedefine/>
    <w:qFormat/>
    <w:uiPriority w:val="0"/>
    <w:rPr>
      <w:rFonts w:ascii="Calibri" w:hAnsi="Calibri" w:cs="Calibri"/>
      <w:kern w:val="2"/>
      <w:sz w:val="24"/>
      <w:szCs w:val="22"/>
      <w:lang w:val="en-US"/>
    </w:rPr>
  </w:style>
  <w:style w:type="character" w:customStyle="1" w:styleId="48">
    <w:name w:val="标题 5 字符"/>
    <w:basedOn w:val="28"/>
    <w:link w:val="6"/>
    <w:autoRedefine/>
    <w:qFormat/>
    <w:uiPriority w:val="9"/>
    <w:rPr>
      <w:b/>
      <w:kern w:val="2"/>
      <w:sz w:val="28"/>
      <w:szCs w:val="24"/>
      <w:lang w:val="en-US"/>
    </w:rPr>
  </w:style>
  <w:style w:type="character" w:customStyle="1" w:styleId="49">
    <w:name w:val="style41"/>
    <w:autoRedefine/>
    <w:qFormat/>
    <w:uiPriority w:val="0"/>
    <w:rPr>
      <w:color w:val="000000"/>
    </w:rPr>
  </w:style>
  <w:style w:type="paragraph" w:customStyle="1" w:styleId="50">
    <w:name w:val="目录 10"/>
    <w:basedOn w:val="15"/>
    <w:next w:val="25"/>
    <w:link w:val="51"/>
    <w:autoRedefine/>
    <w:qFormat/>
    <w:uiPriority w:val="0"/>
    <w:pPr>
      <w:spacing w:after="120"/>
      <w:ind w:left="420" w:leftChars="200" w:firstLine="420" w:firstLineChars="200"/>
    </w:pPr>
    <w:rPr>
      <w:rFonts w:asciiTheme="minorHAnsi" w:hAnsiTheme="minorHAnsi" w:eastAsiaTheme="minorEastAsia" w:cstheme="minorBidi"/>
      <w:kern w:val="2"/>
      <w:sz w:val="21"/>
      <w:szCs w:val="24"/>
    </w:rPr>
  </w:style>
  <w:style w:type="character" w:customStyle="1" w:styleId="51">
    <w:name w:val="正文首行缩进 2 Char"/>
    <w:link w:val="50"/>
    <w:autoRedefine/>
    <w:qFormat/>
    <w:uiPriority w:val="0"/>
    <w:rPr>
      <w:rFonts w:asciiTheme="minorHAnsi" w:hAnsiTheme="minorHAnsi" w:eastAsiaTheme="minorEastAsia" w:cstheme="minorBidi"/>
      <w:kern w:val="2"/>
      <w:sz w:val="21"/>
      <w:szCs w:val="24"/>
      <w:lang w:val="en-US"/>
    </w:rPr>
  </w:style>
  <w:style w:type="paragraph" w:customStyle="1" w:styleId="52">
    <w:name w:val="列出段落3"/>
    <w:basedOn w:val="1"/>
    <w:autoRedefine/>
    <w:qFormat/>
    <w:uiPriority w:val="99"/>
    <w:pPr>
      <w:ind w:firstLine="420" w:firstLineChars="200"/>
    </w:pPr>
    <w:rPr>
      <w:szCs w:val="20"/>
    </w:rPr>
  </w:style>
  <w:style w:type="character" w:customStyle="1" w:styleId="53">
    <w:name w:val="正文文本缩进 字符"/>
    <w:basedOn w:val="28"/>
    <w:link w:val="15"/>
    <w:autoRedefine/>
    <w:qFormat/>
    <w:uiPriority w:val="99"/>
    <w:rPr>
      <w:rFonts w:ascii="仿宋_GB2312" w:eastAsia="仿宋_GB2312"/>
      <w:sz w:val="32"/>
      <w:lang w:val="en-US"/>
    </w:rPr>
  </w:style>
  <w:style w:type="character" w:customStyle="1" w:styleId="54">
    <w:name w:val="正文文本首行缩进 2 字符"/>
    <w:basedOn w:val="53"/>
    <w:link w:val="25"/>
    <w:autoRedefine/>
    <w:qFormat/>
    <w:uiPriority w:val="99"/>
    <w:rPr>
      <w:rFonts w:ascii="仿宋_GB2312" w:eastAsia="仿宋_GB2312"/>
      <w:sz w:val="32"/>
      <w:lang w:val="en-US"/>
    </w:rPr>
  </w:style>
  <w:style w:type="paragraph" w:customStyle="1" w:styleId="55">
    <w:name w:val="列出段落111"/>
    <w:basedOn w:val="1"/>
    <w:autoRedefine/>
    <w:qFormat/>
    <w:uiPriority w:val="34"/>
    <w:pPr>
      <w:ind w:firstLine="420" w:firstLineChars="200"/>
    </w:pPr>
    <w:rPr>
      <w:rFonts w:asciiTheme="minorHAnsi" w:hAnsiTheme="minorHAnsi" w:cstheme="minorBidi"/>
      <w:sz w:val="24"/>
      <w:szCs w:val="22"/>
    </w:rPr>
  </w:style>
  <w:style w:type="character" w:customStyle="1" w:styleId="56">
    <w:name w:val="列表段落 字符"/>
    <w:link w:val="33"/>
    <w:autoRedefine/>
    <w:qFormat/>
    <w:locked/>
    <w:uiPriority w:val="34"/>
    <w:rPr>
      <w:kern w:val="2"/>
      <w:sz w:val="21"/>
      <w:szCs w:val="24"/>
      <w:lang w:val="en-US"/>
    </w:rPr>
  </w:style>
  <w:style w:type="character" w:customStyle="1" w:styleId="57">
    <w:name w:val="正文文本 字符"/>
    <w:basedOn w:val="28"/>
    <w:link w:val="14"/>
    <w:autoRedefine/>
    <w:qFormat/>
    <w:uiPriority w:val="99"/>
    <w:rPr>
      <w:sz w:val="24"/>
      <w:szCs w:val="24"/>
      <w:lang w:val="en-US"/>
    </w:rPr>
  </w:style>
  <w:style w:type="character" w:customStyle="1" w:styleId="58">
    <w:name w:val="纯文本 字符"/>
    <w:link w:val="17"/>
    <w:autoRedefine/>
    <w:qFormat/>
    <w:uiPriority w:val="0"/>
    <w:rPr>
      <w:rFonts w:ascii="宋体" w:hAnsi="Courier New"/>
      <w:szCs w:val="21"/>
      <w:lang w:val="en-US"/>
    </w:rPr>
  </w:style>
  <w:style w:type="character" w:customStyle="1" w:styleId="59">
    <w:name w:val="批注文字 字符"/>
    <w:basedOn w:val="28"/>
    <w:link w:val="12"/>
    <w:autoRedefine/>
    <w:qFormat/>
    <w:uiPriority w:val="0"/>
    <w:rPr>
      <w:kern w:val="2"/>
      <w:sz w:val="21"/>
      <w:szCs w:val="24"/>
    </w:rPr>
  </w:style>
  <w:style w:type="character" w:customStyle="1" w:styleId="60">
    <w:name w:val="批注主题 字符"/>
    <w:basedOn w:val="59"/>
    <w:link w:val="24"/>
    <w:autoRedefine/>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143</Pages>
  <Words>359</Words>
  <Characters>474</Characters>
  <Lines>803</Lines>
  <Paragraphs>226</Paragraphs>
  <TotalTime>27</TotalTime>
  <ScaleCrop>false</ScaleCrop>
  <LinksUpToDate>false</LinksUpToDate>
  <CharactersWithSpaces>502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2022-10-31T13:52:00Z</dcterms:created>
  <dc:creator>Administrator</dc:creator>
  <cp:lastModifiedBy>科文招标林海</cp:lastModifiedBy>
  <cp:lastPrinted>2024-02-21T00:09:00Z</cp:lastPrinted>
  <dcterms:modified xsi:type="dcterms:W3CDTF">2025-04-12T03:22:14Z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FC0EB959137246998AE2FC7047B9A9EF</vt:lpwstr>
  </property>
  <property fmtid="{D5CDD505-2E9C-101B-9397-08002B2CF9AE}" pid="4" name="KSOTemplateDocerSaveRecord">
    <vt:lpwstr>eyJoZGlkIjoiYzUxNGVlZDQzODA4YjhhNGQ5YTE4ZDEwNjg0NWQ4Y2EiLCJ1c2VySWQiOiIzNjg3ODg0MDUifQ==</vt:lpwstr>
  </property>
</Properties>
</file>