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F1721">
      <w:pPr>
        <w:pStyle w:val="2"/>
        <w:spacing w:line="440" w:lineRule="exact"/>
        <w:jc w:val="center"/>
        <w:rPr>
          <w:rFonts w:hint="eastAsia"/>
          <w:color w:val="auto"/>
          <w:sz w:val="36"/>
          <w:szCs w:val="36"/>
          <w:highlight w:val="none"/>
        </w:rPr>
      </w:pPr>
      <w:r>
        <w:rPr>
          <w:rFonts w:hint="eastAsia"/>
          <w:color w:val="auto"/>
          <w:sz w:val="36"/>
          <w:szCs w:val="36"/>
          <w:highlight w:val="none"/>
        </w:rPr>
        <w:t>采购需求</w:t>
      </w:r>
    </w:p>
    <w:p w14:paraId="0E919B4E">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511BC065">
      <w:pPr>
        <w:spacing w:line="340" w:lineRule="exact"/>
        <w:ind w:firstLine="420" w:firstLineChars="200"/>
        <w:jc w:val="left"/>
        <w:rPr>
          <w:rFonts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p>
    <w:p w14:paraId="5A193E17">
      <w:pPr>
        <w:spacing w:line="3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390656C8">
      <w:pPr>
        <w:spacing w:line="34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2.“实质性要求”是指采购需求中带“▲”的条款或者不能负偏离的条款或者已经指明不满足按响应文件作无效处理的条款。</w:t>
      </w:r>
    </w:p>
    <w:p w14:paraId="2AA08B97">
      <w:pPr>
        <w:spacing w:line="34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3.采购需求中出现的品牌、型号或者生产</w:t>
      </w:r>
      <w:r>
        <w:rPr>
          <w:rFonts w:hint="eastAsia" w:ascii="宋体" w:hAnsi="宋体" w:cs="宋体"/>
          <w:color w:val="auto"/>
          <w:szCs w:val="21"/>
          <w:highlight w:val="none"/>
          <w:lang w:eastAsia="zh-CN"/>
        </w:rPr>
        <w:t>服务商</w:t>
      </w:r>
      <w:r>
        <w:rPr>
          <w:rFonts w:hint="eastAsia" w:ascii="宋体" w:hAnsi="宋体" w:cs="宋体"/>
          <w:color w:val="auto"/>
          <w:szCs w:val="21"/>
          <w:highlight w:val="none"/>
        </w:rPr>
        <w:t>仅起参考作用，不属于指定品牌、型号或者生产</w:t>
      </w:r>
      <w:r>
        <w:rPr>
          <w:rFonts w:hint="eastAsia" w:ascii="宋体" w:hAnsi="宋体" w:cs="宋体"/>
          <w:color w:val="auto"/>
          <w:szCs w:val="21"/>
          <w:highlight w:val="none"/>
          <w:lang w:eastAsia="zh-CN"/>
        </w:rPr>
        <w:t>服务商</w:t>
      </w:r>
      <w:r>
        <w:rPr>
          <w:rFonts w:hint="eastAsia" w:ascii="宋体" w:hAnsi="宋体" w:cs="宋体"/>
          <w:color w:val="auto"/>
          <w:szCs w:val="21"/>
          <w:highlight w:val="none"/>
        </w:rPr>
        <w:t>的情形。</w:t>
      </w:r>
      <w:r>
        <w:rPr>
          <w:rFonts w:hint="eastAsia" w:ascii="宋体" w:hAnsi="宋体" w:cs="宋体"/>
          <w:color w:val="auto"/>
          <w:szCs w:val="21"/>
          <w:highlight w:val="none"/>
          <w:lang w:eastAsia="zh-CN"/>
        </w:rPr>
        <w:t>服务商</w:t>
      </w:r>
      <w:r>
        <w:rPr>
          <w:rFonts w:hint="eastAsia" w:ascii="宋体" w:hAnsi="宋体" w:cs="宋体"/>
          <w:color w:val="auto"/>
          <w:szCs w:val="21"/>
          <w:highlight w:val="none"/>
        </w:rPr>
        <w:t>可参照或者选用其他相当的品牌、型号或者生产</w:t>
      </w:r>
      <w:r>
        <w:rPr>
          <w:rFonts w:hint="eastAsia" w:ascii="宋体" w:hAnsi="宋体" w:cs="宋体"/>
          <w:color w:val="auto"/>
          <w:szCs w:val="21"/>
          <w:highlight w:val="none"/>
          <w:lang w:eastAsia="zh-CN"/>
        </w:rPr>
        <w:t>服务商</w:t>
      </w:r>
      <w:r>
        <w:rPr>
          <w:rFonts w:hint="eastAsia" w:ascii="宋体" w:hAnsi="宋体" w:cs="宋体"/>
          <w:color w:val="auto"/>
          <w:szCs w:val="21"/>
          <w:highlight w:val="none"/>
        </w:rPr>
        <w:t>替代。</w:t>
      </w:r>
    </w:p>
    <w:p w14:paraId="3A8062E9">
      <w:pPr>
        <w:spacing w:line="320" w:lineRule="exact"/>
        <w:ind w:firstLine="424" w:firstLineChars="202"/>
        <w:jc w:val="left"/>
        <w:rPr>
          <w:rFonts w:hint="eastAsia"/>
          <w:color w:val="auto"/>
          <w:highlight w:val="none"/>
        </w:rPr>
      </w:pPr>
      <w:r>
        <w:rPr>
          <w:rFonts w:hint="eastAsia" w:ascii="宋体" w:hAnsi="宋体" w:cs="宋体"/>
          <w:color w:val="auto"/>
          <w:szCs w:val="21"/>
          <w:highlight w:val="none"/>
        </w:rPr>
        <w:t>4.</w:t>
      </w:r>
      <w:r>
        <w:rPr>
          <w:rFonts w:hint="eastAsia"/>
          <w:color w:val="auto"/>
          <w:highlight w:val="none"/>
          <w:lang w:eastAsia="zh-CN"/>
        </w:rPr>
        <w:t>服务商</w:t>
      </w:r>
      <w:r>
        <w:rPr>
          <w:rFonts w:hint="eastAsia"/>
          <w:color w:val="auto"/>
          <w:highlight w:val="none"/>
        </w:rPr>
        <w:t>必须自行为其竞标产品侵犯他人的知识产权或者专利成果的行为承担相应法律责任。</w:t>
      </w:r>
    </w:p>
    <w:p w14:paraId="58BC4FDE">
      <w:pPr>
        <w:spacing w:line="320" w:lineRule="exact"/>
        <w:ind w:firstLine="424" w:firstLineChars="202"/>
        <w:jc w:val="left"/>
        <w:rPr>
          <w:rFonts w:hint="eastAsia"/>
          <w:color w:val="auto"/>
          <w:highlight w:val="none"/>
        </w:rPr>
      </w:pPr>
    </w:p>
    <w:tbl>
      <w:tblPr>
        <w:tblStyle w:val="7"/>
        <w:tblW w:w="9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323"/>
        <w:gridCol w:w="5"/>
        <w:gridCol w:w="1035"/>
        <w:gridCol w:w="915"/>
        <w:gridCol w:w="5609"/>
      </w:tblGrid>
      <w:tr w14:paraId="29CA2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noWrap w:val="0"/>
            <w:vAlign w:val="center"/>
          </w:tcPr>
          <w:p w14:paraId="073C4409">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328" w:type="dxa"/>
            <w:gridSpan w:val="2"/>
            <w:noWrap w:val="0"/>
            <w:vAlign w:val="center"/>
          </w:tcPr>
          <w:p w14:paraId="62245E69">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1035" w:type="dxa"/>
            <w:noWrap w:val="0"/>
            <w:vAlign w:val="top"/>
          </w:tcPr>
          <w:p w14:paraId="79C597D3">
            <w:pPr>
              <w:tabs>
                <w:tab w:val="left" w:pos="180"/>
                <w:tab w:val="left" w:pos="1620"/>
              </w:tabs>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数量及</w:t>
            </w:r>
          </w:p>
          <w:p w14:paraId="4A3C45E0">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915" w:type="dxa"/>
            <w:noWrap w:val="0"/>
            <w:vAlign w:val="center"/>
          </w:tcPr>
          <w:p w14:paraId="09F18221">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s="Arial"/>
                <w:color w:val="auto"/>
                <w:szCs w:val="21"/>
                <w:highlight w:val="none"/>
              </w:rPr>
              <w:t>所属行业</w:t>
            </w:r>
          </w:p>
        </w:tc>
        <w:tc>
          <w:tcPr>
            <w:tcW w:w="5609" w:type="dxa"/>
            <w:noWrap w:val="0"/>
            <w:vAlign w:val="center"/>
          </w:tcPr>
          <w:p w14:paraId="34544C2F">
            <w:pPr>
              <w:tabs>
                <w:tab w:val="left" w:pos="180"/>
                <w:tab w:val="left" w:pos="1620"/>
              </w:tabs>
              <w:spacing w:line="320" w:lineRule="exact"/>
              <w:jc w:val="center"/>
              <w:rPr>
                <w:rFonts w:hint="eastAsia" w:ascii="宋体" w:hAnsi="宋体" w:cs="宋体"/>
                <w:color w:val="auto"/>
                <w:szCs w:val="21"/>
                <w:highlight w:val="none"/>
              </w:rPr>
            </w:pPr>
            <w:r>
              <w:rPr>
                <w:rFonts w:hint="eastAsia" w:ascii="宋体" w:hAnsi="宋体"/>
                <w:color w:val="auto"/>
                <w:szCs w:val="21"/>
                <w:highlight w:val="none"/>
              </w:rPr>
              <w:t>技术要求</w:t>
            </w:r>
          </w:p>
        </w:tc>
      </w:tr>
      <w:tr w14:paraId="40487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68" w:type="dxa"/>
            <w:noWrap w:val="0"/>
            <w:vAlign w:val="center"/>
          </w:tcPr>
          <w:p w14:paraId="1ECA6649">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328" w:type="dxa"/>
            <w:gridSpan w:val="2"/>
            <w:noWrap w:val="0"/>
            <w:vAlign w:val="center"/>
          </w:tcPr>
          <w:p w14:paraId="03A57DB1">
            <w:pPr>
              <w:tabs>
                <w:tab w:val="left" w:pos="180"/>
                <w:tab w:val="left" w:pos="1620"/>
              </w:tabs>
              <w:spacing w:line="360" w:lineRule="auto"/>
              <w:jc w:val="center"/>
              <w:rPr>
                <w:rFonts w:hint="eastAsia" w:ascii="宋体" w:hAnsi="宋体" w:cs="宋体"/>
                <w:color w:val="auto"/>
                <w:szCs w:val="21"/>
                <w:highlight w:val="none"/>
              </w:rPr>
            </w:pPr>
            <w:bookmarkStart w:id="0" w:name="PO_3000001866_PM002_2"/>
            <w:r>
              <w:rPr>
                <w:rFonts w:hint="eastAsia" w:ascii="宋体" w:hAnsi="宋体" w:cs="宋体"/>
                <w:color w:val="auto"/>
                <w:szCs w:val="21"/>
                <w:highlight w:val="none"/>
              </w:rPr>
              <w:t>防城港市自然资源局土地评估</w:t>
            </w:r>
            <w:bookmarkEnd w:id="0"/>
            <w:r>
              <w:rPr>
                <w:rFonts w:hint="eastAsia" w:ascii="宋体" w:hAnsi="宋体" w:cs="宋体"/>
                <w:color w:val="auto"/>
                <w:szCs w:val="21"/>
                <w:highlight w:val="none"/>
              </w:rPr>
              <w:t>服务工作项目</w:t>
            </w:r>
          </w:p>
        </w:tc>
        <w:tc>
          <w:tcPr>
            <w:tcW w:w="1035" w:type="dxa"/>
            <w:noWrap w:val="0"/>
            <w:vAlign w:val="center"/>
          </w:tcPr>
          <w:p w14:paraId="382AB311">
            <w:pPr>
              <w:pStyle w:val="3"/>
              <w:spacing w:line="360" w:lineRule="auto"/>
              <w:jc w:val="both"/>
              <w:rPr>
                <w:rFonts w:hint="default" w:ascii="宋体" w:hAnsi="宋体" w:cs="Arial"/>
                <w:color w:val="auto"/>
                <w:szCs w:val="21"/>
                <w:highlight w:val="none"/>
                <w:lang w:val="en-US" w:eastAsia="zh-CN"/>
              </w:rPr>
            </w:pPr>
            <w:r>
              <w:rPr>
                <w:rFonts w:hint="eastAsia" w:ascii="宋体" w:hAnsi="宋体" w:cs="Arial"/>
                <w:color w:val="auto"/>
                <w:szCs w:val="21"/>
                <w:highlight w:val="none"/>
                <w:lang w:val="en-US" w:eastAsia="zh-CN"/>
              </w:rPr>
              <w:t>1项</w:t>
            </w:r>
          </w:p>
        </w:tc>
        <w:tc>
          <w:tcPr>
            <w:tcW w:w="915" w:type="dxa"/>
            <w:noWrap w:val="0"/>
            <w:vAlign w:val="center"/>
          </w:tcPr>
          <w:p w14:paraId="12ED0932">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其他未列明行业</w:t>
            </w:r>
          </w:p>
        </w:tc>
        <w:tc>
          <w:tcPr>
            <w:tcW w:w="5609" w:type="dxa"/>
            <w:noWrap w:val="0"/>
            <w:vAlign w:val="center"/>
          </w:tcPr>
          <w:p w14:paraId="0ACC0199">
            <w:pPr>
              <w:tabs>
                <w:tab w:val="left" w:pos="180"/>
                <w:tab w:val="left" w:pos="1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、服务内容</w:t>
            </w:r>
          </w:p>
          <w:p w14:paraId="26DCBFA2">
            <w:pPr>
              <w:tabs>
                <w:tab w:val="left" w:pos="180"/>
                <w:tab w:val="left" w:pos="1620"/>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A分段：片区一；B分段：</w:t>
            </w:r>
            <w:r>
              <w:rPr>
                <w:rFonts w:hint="eastAsia" w:ascii="宋体" w:hAnsi="宋体" w:eastAsia="宋体" w:cs="宋体"/>
                <w:color w:val="auto"/>
                <w:szCs w:val="21"/>
                <w:highlight w:val="none"/>
                <w:lang w:eastAsia="zh-CN"/>
              </w:rPr>
              <w:t>片</w:t>
            </w:r>
            <w:r>
              <w:rPr>
                <w:rFonts w:hint="eastAsia" w:ascii="宋体" w:hAnsi="宋体" w:eastAsia="宋体" w:cs="宋体"/>
                <w:color w:val="auto"/>
                <w:szCs w:val="21"/>
                <w:highlight w:val="none"/>
              </w:rPr>
              <w:t>区二；C分段：片区三；D分段：片区四；E分段：片区五（具体划分范围详见附图）共五个片区范围内“招拍挂”出让土地、协议出让土地、划拨土地补办出让、调整土地使用条件、个人住宅用地、土地置换、土地作价出资、土地收回（收购）等评估业务以及委托人委托协助开展的其他相关评估业务工作。</w:t>
            </w:r>
          </w:p>
          <w:p w14:paraId="356D75FF">
            <w:pPr>
              <w:numPr>
                <w:ilvl w:val="0"/>
                <w:numId w:val="1"/>
              </w:numPr>
              <w:tabs>
                <w:tab w:val="left" w:pos="180"/>
                <w:tab w:val="left" w:pos="1620"/>
              </w:tabs>
              <w:spacing w:line="360" w:lineRule="auto"/>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服务技术背景要求</w:t>
            </w:r>
          </w:p>
          <w:p w14:paraId="740EF402">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1.全面理解、掌握防城港市历次城市土地定级估价工作成果，并能够在估价实务中熟练、正确地加以运用，重点要求掌握以下内容：</w:t>
            </w:r>
          </w:p>
          <w:p w14:paraId="792C3D2E">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(1)历次城市基准地价的价格内涵；</w:t>
            </w:r>
          </w:p>
          <w:p w14:paraId="304005BF">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(2)历次城市土地定级估价工作的概况及特点（含工作开展时期、技术路线、定级估价方式、地价表现形式、成果特点、城市地价水平分析、重点区域地价变迁历程等方面）；</w:t>
            </w:r>
          </w:p>
          <w:p w14:paraId="4EED672C">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(3)历次城市土地定级估价成果的具体应用（含基准地价修正体系运用特点、修正公式、各用途基准地价在应用中须注意的具体技术细节等）。</w:t>
            </w:r>
          </w:p>
          <w:p w14:paraId="37FB8B0C">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2.能够全面掌握并熟练运用国家有关补缴地价的政策或规定,重点要求掌握以下内容：</w:t>
            </w:r>
          </w:p>
          <w:p w14:paraId="6860F365">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(1)需补交土地出让价款的业务类型；</w:t>
            </w:r>
          </w:p>
          <w:p w14:paraId="2E2C014D">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(2)补地价土地估价基准日确定原则和方法；</w:t>
            </w:r>
          </w:p>
          <w:p w14:paraId="681CA55C">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(3)补地价土地估价需引用的价格标准确定原则和方法；</w:t>
            </w:r>
          </w:p>
          <w:p w14:paraId="17F544D7">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(4)补地价土地估价所需了解、掌握的估价依据；</w:t>
            </w:r>
          </w:p>
          <w:p w14:paraId="1690BFEC">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(5)补地价土地估价大体计算公式。</w:t>
            </w:r>
          </w:p>
          <w:p w14:paraId="02B203EC">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3.了解防城港市城市地价管理的有关政策及制度规定，重点要求掌握以下内容：</w:t>
            </w:r>
          </w:p>
          <w:p w14:paraId="7C10CFF3">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(1)涉及政府土地出让地价确定的估价业务类型；</w:t>
            </w:r>
          </w:p>
          <w:p w14:paraId="6AC03703">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(2)政府土地出让地价确定的审批办法及工作流程。</w:t>
            </w:r>
          </w:p>
          <w:p w14:paraId="69097419">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4.了解防城港市土地市场情况。</w:t>
            </w:r>
          </w:p>
          <w:p w14:paraId="0A070E0A">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5.国内注册（指按国家有关规定要求注册的），具备独立法人资格，并根据《国土资源部关于开展土地估价机构备案工作的通知》（国土资规〔2017〕6号）和《广西壮族自治区国土资源厅办公室关于转发开展土地估价机构备案工作的通知》（桂国土资办〔2017〕431号）的要求，通过广西壮族自治区国土资源厅备案，取得广西壮族自治区国土资源厅颁发的备案公函和广西土地估价师协会核发的《土地评估机构备案登记证书》的，从事土地评估业务资质的供应商。</w:t>
            </w:r>
          </w:p>
          <w:p w14:paraId="59395622">
            <w:pPr>
              <w:numPr>
                <w:ilvl w:val="0"/>
                <w:numId w:val="0"/>
              </w:numPr>
              <w:tabs>
                <w:tab w:val="left" w:pos="180"/>
                <w:tab w:val="left" w:pos="1620"/>
              </w:tabs>
              <w:spacing w:line="360" w:lineRule="auto"/>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三、服务具体技术工作要求</w:t>
            </w:r>
          </w:p>
          <w:p w14:paraId="2CB58B87">
            <w:pPr>
              <w:numPr>
                <w:ilvl w:val="0"/>
                <w:numId w:val="0"/>
              </w:numPr>
              <w:tabs>
                <w:tab w:val="left" w:pos="180"/>
                <w:tab w:val="left" w:pos="1620"/>
              </w:tabs>
              <w:spacing w:line="360" w:lineRule="auto"/>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1.估价依据</w:t>
            </w:r>
          </w:p>
          <w:p w14:paraId="24959B38">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(1)估价过程中引用的政策或技术文件依据要准确，且要与方法运用过程的描述相对应一致；</w:t>
            </w:r>
          </w:p>
          <w:p w14:paraId="303921FA">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(2)估价过程中采用的参数、指标或案例真实可靠，并需提供相关的资料调查记录和分析测算过程；</w:t>
            </w:r>
          </w:p>
          <w:p w14:paraId="0450B6F5">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2.技术方法的运用</w:t>
            </w:r>
          </w:p>
          <w:p w14:paraId="658FE541">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以《国有建设用地使用权出让地价评估技术规范》（国土资厅发〔2018〕4号）为标准；</w:t>
            </w:r>
          </w:p>
          <w:p w14:paraId="3A61A13A">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(1)基准地价系数修正法：土地级别、区片、区段及价格引用正确，修正系数引用正确，计算公式引用正确；</w:t>
            </w:r>
          </w:p>
          <w:p w14:paraId="476FAB86">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(2)收益还原法：收益调查资料来源可靠、数量充足（分析样点资料数量三至五个），成本费用扣除项目合理，还原利率确定正确（要求提供分析过程），估价对象个别因素对价格的影响要进行合理分析；</w:t>
            </w:r>
          </w:p>
          <w:p w14:paraId="5A2D7BD9">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剩余法（假设开发法）：预期收益确定调查资料来源可靠、数量充足（分析样点资料数量三至五个），建安成本费用构成要逐一列出并注明依据，利润率确定合理（要求提供分析过程），其它扣除项目确定合理并符合本地实际情况；</w:t>
            </w:r>
          </w:p>
          <w:p w14:paraId="3445EC52">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(4)成本逼近法：土地取得费确定依据充分，土地开发费调查资料来源可靠、数据准确，还原利率确定正确（要求提供分析过程），估价对象个别因素对价格的影响要进行合理分析；</w:t>
            </w:r>
          </w:p>
          <w:p w14:paraId="4C578320">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(5)市场比较法：优先选取近三年与估价对象区位、用途、规模相近的正常交易实例（非特殊场景交易），比较案例不少于3个；建立区域因素（如商服、交通）、个别因素（如容积率、形状）、时间因素等修正体系，修正系数需有市场数据支撑；单案例修正幅度不得超过±30%，多案例间最高与最低价差≤40%，超限时需替换案例或说明样本不足的权重调整依据，并在报告中明确披露案例筛选逻辑及价格校验过程。</w:t>
            </w:r>
          </w:p>
          <w:p w14:paraId="5CFBB5B3">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如国家或自治区有新的政策文件要求，按新文件的标准执行。</w:t>
            </w:r>
          </w:p>
          <w:p w14:paraId="416BD86F">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3.估价结果的确定</w:t>
            </w:r>
          </w:p>
          <w:p w14:paraId="7D2B7558">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(1)对各方法的运用要进行分析评价，说明方法测算结果之间差异存在的原因；</w:t>
            </w:r>
          </w:p>
          <w:p w14:paraId="67F24EEB">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(2)以加权平均方式确定估价结果的要进行必要的分析说明；</w:t>
            </w:r>
          </w:p>
          <w:p w14:paraId="7A0ED7CB">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(3)对估价结果与估价对象所在区域类似交易样点或已完成评估案例在价格确定合理性等方面的对比分析。</w:t>
            </w:r>
          </w:p>
          <w:p w14:paraId="731CF753">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bCs/>
                <w:color w:val="auto"/>
                <w:szCs w:val="21"/>
                <w:highlight w:val="none"/>
                <w:lang w:val="en-US" w:eastAsia="zh-CN"/>
              </w:rPr>
              <w:t>四、项目服务相关要求。</w:t>
            </w:r>
            <w:r>
              <w:rPr>
                <w:rFonts w:hint="eastAsia" w:ascii="宋体" w:hAnsi="宋体" w:eastAsia="宋体" w:cs="宋体"/>
                <w:b w:val="0"/>
                <w:bCs w:val="0"/>
                <w:color w:val="auto"/>
                <w:szCs w:val="21"/>
                <w:highlight w:val="none"/>
                <w:lang w:val="en-US" w:eastAsia="zh-CN"/>
              </w:rPr>
              <w:t>投标时请提供项目实施方案、保障措施、案例估价报告等。具体要求如下：</w:t>
            </w:r>
          </w:p>
          <w:p w14:paraId="0C6AB8FB">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1、能够提出为做好本项目制定实施方案，包括工作措施、工作方法、质量保障措施、人员安排、工作步骤、工作进度安排、质量保证、工作纪律等，请一并提供。</w:t>
            </w:r>
          </w:p>
          <w:p w14:paraId="59EE1DFE">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2、能够就如何做好土地出让涉及配建设施评估提出有效方案及相关服务，方案能结合防城港市土地市场交易情况进行分析，有明确的评估思路、评估方法和步骤以及相关服务等。请一并提供。</w:t>
            </w:r>
          </w:p>
          <w:p w14:paraId="7687C68F">
            <w:pPr>
              <w:numPr>
                <w:ilvl w:val="0"/>
                <w:numId w:val="0"/>
              </w:numPr>
              <w:tabs>
                <w:tab w:val="left" w:pos="180"/>
                <w:tab w:val="left" w:pos="1620"/>
              </w:tabs>
              <w:spacing w:line="360" w:lineRule="auto"/>
              <w:jc w:val="left"/>
              <w:rPr>
                <w:rFonts w:hint="eastAsia" w:ascii="宋体" w:hAnsi="宋体" w:eastAsia="宋体" w:cs="宋体"/>
                <w:b/>
                <w:bCs/>
                <w:color w:val="auto"/>
                <w:szCs w:val="21"/>
                <w:highlight w:val="none"/>
                <w:lang w:val="en-US" w:eastAsia="zh-CN"/>
              </w:rPr>
            </w:pPr>
            <w:r>
              <w:rPr>
                <w:rFonts w:hint="eastAsia" w:ascii="宋体" w:hAnsi="宋体" w:eastAsia="宋体" w:cs="宋体"/>
                <w:b w:val="0"/>
                <w:bCs w:val="0"/>
                <w:color w:val="auto"/>
                <w:szCs w:val="21"/>
                <w:highlight w:val="none"/>
                <w:lang w:val="en-US" w:eastAsia="zh-CN"/>
              </w:rPr>
              <w:t>3、能根据提供的案例，进行分析评估，出具估价报告及估价技术报告，出具的估价报告及估价技术报告符合土地估价规程和地价评估规范的要求。请一并提供。</w:t>
            </w:r>
          </w:p>
          <w:p w14:paraId="4F19F15A">
            <w:pPr>
              <w:numPr>
                <w:ilvl w:val="0"/>
                <w:numId w:val="0"/>
              </w:numPr>
              <w:tabs>
                <w:tab w:val="left" w:pos="180"/>
                <w:tab w:val="left" w:pos="1620"/>
              </w:tabs>
              <w:spacing w:line="360" w:lineRule="auto"/>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五、其他要求</w:t>
            </w:r>
          </w:p>
          <w:p w14:paraId="0029E020">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除特殊情况外，在收到采购人《委托评估通知函》后，三个工作日内提交一份《土地估价技术报告》送审稿，如采购人地价审核小组对所提交的《土地估价技术报告》审核不合格的，受托机构必须重新评估，并不得额外收费。</w:t>
            </w:r>
          </w:p>
          <w:p w14:paraId="7582006A">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采购人委托进行测算的项目无需出具正式报告的，不应收取评估费；采购人委托进行评估的招标拍卖挂牌项目，以评估价为基础加防城港市规定计提的资金设定出让起始价，经公告因无人报名报价而流挂、流拍、终止的，本次评估费用不予支付。</w:t>
            </w:r>
          </w:p>
          <w:p w14:paraId="6316437B">
            <w:pPr>
              <w:tabs>
                <w:tab w:val="left" w:pos="180"/>
                <w:tab w:val="left" w:pos="1620"/>
              </w:tabs>
              <w:spacing w:line="360" w:lineRule="auto"/>
              <w:jc w:val="left"/>
              <w:rPr>
                <w:rFonts w:ascii="宋体" w:hAnsi="宋体" w:cs="宋体"/>
                <w:color w:val="auto"/>
                <w:szCs w:val="21"/>
                <w:highlight w:val="none"/>
              </w:rPr>
            </w:pPr>
            <w:r>
              <w:rPr>
                <w:rFonts w:hint="eastAsia" w:ascii="宋体" w:hAnsi="宋体" w:cs="宋体"/>
                <w:color w:val="auto"/>
                <w:szCs w:val="21"/>
                <w:highlight w:val="none"/>
              </w:rPr>
              <w:t>3、采购人委托进行评估的土地置换、分割、合并、延长年限、改变规划指标等及多个事项同时办理的项目，需按规定提交调整前后的技术、估价报告等全套资料，采购人只支付调整后的评估费用。</w:t>
            </w:r>
          </w:p>
          <w:p w14:paraId="2CC2C9EC">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default" w:ascii="宋体" w:hAnsi="宋体" w:eastAsia="宋体" w:cs="宋体"/>
                <w:b w:val="0"/>
                <w:bCs w:val="0"/>
                <w:color w:val="auto"/>
                <w:szCs w:val="21"/>
                <w:highlight w:val="none"/>
                <w:lang w:val="en" w:eastAsia="zh-CN"/>
              </w:rPr>
              <w:t>4</w:t>
            </w:r>
            <w:r>
              <w:rPr>
                <w:rFonts w:hint="eastAsia" w:ascii="宋体" w:hAnsi="宋体" w:eastAsia="宋体" w:cs="宋体"/>
                <w:b w:val="0"/>
                <w:bCs w:val="0"/>
                <w:color w:val="auto"/>
                <w:szCs w:val="21"/>
                <w:highlight w:val="none"/>
                <w:lang w:val="en-US" w:eastAsia="zh-CN"/>
              </w:rPr>
              <w:t>、根据采购人的需求及通知，按时限要求提交《土地估价报告》和《土地估价技术报告》。</w:t>
            </w:r>
          </w:p>
          <w:p w14:paraId="61CE24B7">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default" w:ascii="宋体" w:hAnsi="宋体" w:eastAsia="宋体" w:cs="宋体"/>
                <w:b w:val="0"/>
                <w:bCs w:val="0"/>
                <w:color w:val="auto"/>
                <w:szCs w:val="21"/>
                <w:highlight w:val="none"/>
                <w:lang w:val="en" w:eastAsia="zh-CN"/>
              </w:rPr>
              <w:t>5</w:t>
            </w:r>
            <w:r>
              <w:rPr>
                <w:rFonts w:hint="eastAsia" w:ascii="宋体" w:hAnsi="宋体" w:eastAsia="宋体" w:cs="宋体"/>
                <w:b w:val="0"/>
                <w:bCs w:val="0"/>
                <w:color w:val="auto"/>
                <w:szCs w:val="21"/>
                <w:highlight w:val="none"/>
                <w:lang w:val="en-US" w:eastAsia="zh-CN"/>
              </w:rPr>
              <w:t>、安排至少5名估价师专职负责采购人委托的评估业务。</w:t>
            </w:r>
          </w:p>
          <w:p w14:paraId="4E003896">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default" w:ascii="宋体" w:hAnsi="宋体" w:eastAsia="宋体" w:cs="宋体"/>
                <w:b w:val="0"/>
                <w:bCs w:val="0"/>
                <w:color w:val="auto"/>
                <w:szCs w:val="21"/>
                <w:highlight w:val="none"/>
                <w:lang w:val="en" w:eastAsia="zh-CN"/>
              </w:rPr>
              <w:t>6</w:t>
            </w:r>
            <w:r>
              <w:rPr>
                <w:rFonts w:hint="eastAsia" w:ascii="宋体" w:hAnsi="宋体" w:eastAsia="宋体" w:cs="宋体"/>
                <w:b w:val="0"/>
                <w:bCs w:val="0"/>
                <w:color w:val="auto"/>
                <w:szCs w:val="21"/>
                <w:highlight w:val="none"/>
                <w:lang w:val="en-US" w:eastAsia="zh-CN"/>
              </w:rPr>
              <w:t>、每个季度开展市场调查工作，并形成市场调查报告提交给采购人。调查报告应包括土地交易情况、土地取得费、建安成本费用、利润率等内容。</w:t>
            </w:r>
          </w:p>
          <w:p w14:paraId="6B95F2AA">
            <w:pPr>
              <w:numPr>
                <w:ilvl w:val="0"/>
                <w:numId w:val="0"/>
              </w:numPr>
              <w:tabs>
                <w:tab w:val="left" w:pos="180"/>
                <w:tab w:val="left" w:pos="1620"/>
              </w:tabs>
              <w:spacing w:line="360" w:lineRule="auto"/>
              <w:jc w:val="left"/>
              <w:rPr>
                <w:rFonts w:hint="eastAsia" w:ascii="宋体" w:hAnsi="宋体" w:eastAsia="宋体" w:cs="宋体"/>
                <w:b w:val="0"/>
                <w:bCs w:val="0"/>
                <w:color w:val="auto"/>
                <w:szCs w:val="21"/>
                <w:highlight w:val="none"/>
                <w:lang w:val="en-US" w:eastAsia="zh-CN"/>
              </w:rPr>
            </w:pPr>
            <w:r>
              <w:rPr>
                <w:rFonts w:hint="default" w:ascii="宋体" w:hAnsi="宋体" w:eastAsia="宋体" w:cs="宋体"/>
                <w:b w:val="0"/>
                <w:bCs w:val="0"/>
                <w:color w:val="auto"/>
                <w:szCs w:val="21"/>
                <w:highlight w:val="none"/>
                <w:lang w:val="en" w:eastAsia="zh-CN"/>
              </w:rPr>
              <w:t>7</w:t>
            </w:r>
            <w:r>
              <w:rPr>
                <w:rFonts w:hint="eastAsia" w:ascii="宋体" w:hAnsi="宋体" w:eastAsia="宋体" w:cs="宋体"/>
                <w:b w:val="0"/>
                <w:bCs w:val="0"/>
                <w:color w:val="auto"/>
                <w:szCs w:val="21"/>
                <w:highlight w:val="none"/>
                <w:lang w:val="en-US" w:eastAsia="zh-CN"/>
              </w:rPr>
              <w:t>、采购人结合工作需要对地价评估工作进行管理的，受托机构应遵守管理制度要求。</w:t>
            </w:r>
          </w:p>
          <w:p w14:paraId="7F11C1B6">
            <w:pPr>
              <w:numPr>
                <w:ilvl w:val="0"/>
                <w:numId w:val="0"/>
              </w:numPr>
              <w:tabs>
                <w:tab w:val="left" w:pos="180"/>
                <w:tab w:val="left" w:pos="1620"/>
              </w:tabs>
              <w:spacing w:line="360" w:lineRule="auto"/>
              <w:jc w:val="left"/>
              <w:rPr>
                <w:rFonts w:hint="default" w:ascii="宋体" w:hAnsi="宋体" w:eastAsia="宋体" w:cs="宋体"/>
                <w:b w:val="0"/>
                <w:bCs w:val="0"/>
                <w:color w:val="auto"/>
                <w:szCs w:val="21"/>
                <w:highlight w:val="none"/>
                <w:lang w:val="en-US" w:eastAsia="zh-CN"/>
              </w:rPr>
            </w:pPr>
            <w:r>
              <w:rPr>
                <w:rFonts w:hint="eastAsia" w:ascii="宋体" w:hAnsi="宋体" w:cs="宋体"/>
                <w:color w:val="auto"/>
                <w:szCs w:val="21"/>
                <w:highlight w:val="none"/>
              </w:rPr>
              <w:t>8、</w:t>
            </w:r>
            <w:r>
              <w:rPr>
                <w:rFonts w:hint="eastAsia" w:ascii="宋体" w:hAnsi="宋体" w:cs="宋体"/>
                <w:color w:val="auto"/>
                <w:szCs w:val="21"/>
                <w:highlight w:val="none"/>
                <w:lang w:eastAsia="zh-CN"/>
              </w:rPr>
              <w:t>相关</w:t>
            </w:r>
            <w:r>
              <w:rPr>
                <w:rFonts w:hint="eastAsia" w:ascii="宋体" w:hAnsi="宋体" w:cs="宋体"/>
                <w:color w:val="auto"/>
                <w:szCs w:val="21"/>
                <w:highlight w:val="none"/>
              </w:rPr>
              <w:t>保密</w:t>
            </w:r>
            <w:r>
              <w:rPr>
                <w:rFonts w:hint="eastAsia" w:ascii="宋体" w:hAnsi="宋体" w:cs="宋体"/>
                <w:color w:val="auto"/>
                <w:szCs w:val="21"/>
                <w:highlight w:val="none"/>
                <w:lang w:eastAsia="zh-CN"/>
              </w:rPr>
              <w:t>要求</w:t>
            </w:r>
            <w:r>
              <w:rPr>
                <w:rFonts w:hint="eastAsia" w:ascii="宋体" w:hAnsi="宋体" w:cs="宋体"/>
                <w:color w:val="auto"/>
                <w:szCs w:val="21"/>
                <w:highlight w:val="none"/>
              </w:rPr>
              <w:t>按国家、自治区、我市的相关规定执行。</w:t>
            </w:r>
          </w:p>
        </w:tc>
      </w:tr>
      <w:tr w14:paraId="34DA6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top"/>
          </w:tcPr>
          <w:p w14:paraId="1D42BFDA">
            <w:pPr>
              <w:spacing w:line="360" w:lineRule="auto"/>
              <w:rPr>
                <w:rFonts w:ascii="宋体" w:hAnsi="宋体"/>
                <w:b/>
                <w:bCs/>
                <w:color w:val="auto"/>
                <w:szCs w:val="21"/>
                <w:highlight w:val="none"/>
              </w:rPr>
            </w:pPr>
            <w:r>
              <w:rPr>
                <w:rFonts w:hint="eastAsia" w:ascii="宋体" w:hAnsi="宋体"/>
                <w:b/>
                <w:color w:val="auto"/>
                <w:szCs w:val="21"/>
                <w:highlight w:val="none"/>
              </w:rPr>
              <w:t>一</w:t>
            </w:r>
            <w:r>
              <w:rPr>
                <w:rFonts w:hint="eastAsia" w:ascii="宋体" w:hAnsi="宋体"/>
                <w:b/>
                <w:bCs w:val="0"/>
                <w:color w:val="auto"/>
                <w:szCs w:val="21"/>
                <w:highlight w:val="none"/>
              </w:rPr>
              <w:t>、商务要求</w:t>
            </w:r>
          </w:p>
        </w:tc>
      </w:tr>
      <w:tr w14:paraId="7EF21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11B223E">
            <w:pPr>
              <w:spacing w:line="360" w:lineRule="auto"/>
              <w:jc w:val="center"/>
              <w:rPr>
                <w:rFonts w:ascii="宋体" w:hAnsi="宋体"/>
                <w:b/>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交付（实施）的时间（期限）和地点（范围）</w:t>
            </w:r>
          </w:p>
        </w:tc>
        <w:tc>
          <w:tcPr>
            <w:tcW w:w="7564" w:type="dxa"/>
            <w:gridSpan w:val="4"/>
            <w:tcBorders>
              <w:top w:val="single" w:color="auto" w:sz="4" w:space="0"/>
              <w:left w:val="single" w:color="auto" w:sz="4" w:space="0"/>
              <w:bottom w:val="single" w:color="auto" w:sz="4" w:space="0"/>
              <w:right w:val="single" w:color="auto" w:sz="4" w:space="0"/>
            </w:tcBorders>
            <w:noWrap w:val="0"/>
            <w:vAlign w:val="center"/>
          </w:tcPr>
          <w:p w14:paraId="43AB06D5">
            <w:pPr>
              <w:spacing w:line="400" w:lineRule="exact"/>
              <w:ind w:left="315" w:hanging="315" w:hangingChars="150"/>
              <w:rPr>
                <w:rFonts w:hint="eastAsia" w:ascii="宋体" w:hAnsi="宋体" w:eastAsia="宋体" w:cs="Times New Roman"/>
                <w:color w:val="auto"/>
                <w:szCs w:val="21"/>
                <w:highlight w:val="none"/>
              </w:rPr>
            </w:pPr>
            <w:r>
              <w:rPr>
                <w:rFonts w:hint="eastAsia" w:ascii="宋体" w:hAnsi="宋体"/>
                <w:color w:val="auto"/>
                <w:szCs w:val="21"/>
                <w:highlight w:val="none"/>
              </w:rPr>
              <w:t>1、</w:t>
            </w:r>
            <w:r>
              <w:rPr>
                <w:rFonts w:hint="eastAsia" w:ascii="宋体" w:hAnsi="宋体" w:eastAsia="宋体" w:cs="Times New Roman"/>
                <w:color w:val="auto"/>
                <w:szCs w:val="21"/>
                <w:highlight w:val="none"/>
                <w:lang w:eastAsia="zh-CN"/>
              </w:rPr>
              <w:t>服务</w:t>
            </w:r>
            <w:r>
              <w:rPr>
                <w:rFonts w:hint="eastAsia" w:ascii="宋体" w:hAnsi="宋体" w:eastAsia="宋体" w:cs="Times New Roman"/>
                <w:color w:val="auto"/>
                <w:szCs w:val="21"/>
                <w:highlight w:val="none"/>
              </w:rPr>
              <w:t>时间：自签订合同之日起2年。</w:t>
            </w:r>
          </w:p>
          <w:p w14:paraId="1F90FA2E">
            <w:pPr>
              <w:spacing w:line="400" w:lineRule="exact"/>
              <w:ind w:left="315" w:hanging="315" w:hangingChars="150"/>
              <w:rPr>
                <w:rFonts w:ascii="宋体" w:hAnsi="宋体"/>
                <w:b/>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服务</w:t>
            </w:r>
            <w:r>
              <w:rPr>
                <w:rFonts w:hint="eastAsia" w:ascii="宋体" w:hAnsi="宋体" w:eastAsia="宋体" w:cs="Times New Roman"/>
                <w:color w:val="auto"/>
                <w:szCs w:val="21"/>
                <w:highlight w:val="none"/>
              </w:rPr>
              <w:t>地点：广西防城港市采购人指定地点。</w:t>
            </w:r>
          </w:p>
        </w:tc>
      </w:tr>
      <w:tr w14:paraId="6C0CD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5FA3AF4C">
            <w:pPr>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eastAsia="zh-CN"/>
              </w:rPr>
              <w:t>合同签订时间</w:t>
            </w:r>
          </w:p>
        </w:tc>
        <w:tc>
          <w:tcPr>
            <w:tcW w:w="7564" w:type="dxa"/>
            <w:gridSpan w:val="4"/>
            <w:tcBorders>
              <w:top w:val="single" w:color="auto" w:sz="4" w:space="0"/>
              <w:left w:val="single" w:color="auto" w:sz="4" w:space="0"/>
              <w:bottom w:val="single" w:color="auto" w:sz="4" w:space="0"/>
              <w:right w:val="single" w:color="auto" w:sz="4" w:space="0"/>
            </w:tcBorders>
            <w:noWrap w:val="0"/>
            <w:vAlign w:val="center"/>
          </w:tcPr>
          <w:p w14:paraId="1781D548">
            <w:pPr>
              <w:spacing w:line="360" w:lineRule="auto"/>
              <w:rPr>
                <w:rFonts w:hint="eastAsia" w:ascii="宋体" w:hAnsi="宋体"/>
                <w:color w:val="auto"/>
                <w:szCs w:val="21"/>
                <w:highlight w:val="none"/>
              </w:rPr>
            </w:pPr>
            <w:r>
              <w:rPr>
                <w:rFonts w:hint="eastAsia" w:ascii="宋体" w:hAnsi="宋体"/>
                <w:color w:val="auto"/>
                <w:szCs w:val="21"/>
                <w:highlight w:val="none"/>
              </w:rPr>
              <w:t>自</w:t>
            </w:r>
            <w:r>
              <w:rPr>
                <w:rFonts w:hint="eastAsia" w:ascii="宋体" w:hAnsi="宋体"/>
                <w:color w:val="auto"/>
                <w:szCs w:val="21"/>
                <w:highlight w:val="none"/>
                <w:lang w:eastAsia="zh-CN"/>
              </w:rPr>
              <w:t>成交</w:t>
            </w:r>
            <w:r>
              <w:rPr>
                <w:rFonts w:hint="eastAsia" w:ascii="宋体" w:hAnsi="宋体"/>
                <w:color w:val="auto"/>
                <w:szCs w:val="21"/>
                <w:highlight w:val="none"/>
              </w:rPr>
              <w:t>通知书发出之日起25日内</w:t>
            </w:r>
          </w:p>
        </w:tc>
      </w:tr>
      <w:tr w14:paraId="13616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5FBD39F3">
            <w:pPr>
              <w:spacing w:line="360" w:lineRule="auto"/>
              <w:jc w:val="center"/>
              <w:rPr>
                <w:rFonts w:ascii="宋体" w:hAnsi="宋体"/>
                <w:b/>
                <w:color w:val="auto"/>
                <w:szCs w:val="21"/>
                <w:highlight w:val="none"/>
              </w:rPr>
            </w:pPr>
            <w:r>
              <w:rPr>
                <w:rFonts w:hint="eastAsia" w:ascii="宋体" w:hAnsi="宋体"/>
                <w:color w:val="auto"/>
                <w:szCs w:val="21"/>
                <w:highlight w:val="none"/>
              </w:rPr>
              <w:t>▲付款条件（进度和方式）</w:t>
            </w:r>
          </w:p>
        </w:tc>
        <w:tc>
          <w:tcPr>
            <w:tcW w:w="7564" w:type="dxa"/>
            <w:gridSpan w:val="4"/>
            <w:tcBorders>
              <w:top w:val="single" w:color="auto" w:sz="4" w:space="0"/>
              <w:left w:val="single" w:color="auto" w:sz="4" w:space="0"/>
              <w:bottom w:val="single" w:color="auto" w:sz="4" w:space="0"/>
              <w:right w:val="single" w:color="auto" w:sz="4" w:space="0"/>
            </w:tcBorders>
            <w:noWrap w:val="0"/>
            <w:vAlign w:val="center"/>
          </w:tcPr>
          <w:p w14:paraId="2B857426">
            <w:pPr>
              <w:spacing w:line="360" w:lineRule="auto"/>
              <w:rPr>
                <w:rFonts w:hint="eastAsia" w:ascii="宋体" w:hAnsi="宋体" w:eastAsia="宋体"/>
                <w:b/>
                <w:color w:val="auto"/>
                <w:szCs w:val="21"/>
                <w:highlight w:val="none"/>
                <w:lang w:eastAsia="zh-CN"/>
              </w:rPr>
            </w:pPr>
            <w:r>
              <w:rPr>
                <w:rFonts w:hint="eastAsia" w:ascii="宋体" w:hAnsi="宋体"/>
                <w:b w:val="0"/>
                <w:bCs/>
                <w:color w:val="auto"/>
                <w:szCs w:val="21"/>
                <w:highlight w:val="none"/>
                <w:lang w:eastAsia="zh-CN"/>
              </w:rPr>
              <w:t>本项目无预付款，供应商根据采购人审查确定的最终取值价格，核算评估服务费后，出具评估服务收费通知单，采购人审核确定后在30天内向市财政局申请支付款项。</w:t>
            </w:r>
          </w:p>
        </w:tc>
      </w:tr>
      <w:tr w14:paraId="22589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363DDD34">
            <w:pPr>
              <w:spacing w:line="360" w:lineRule="auto"/>
              <w:jc w:val="center"/>
              <w:rPr>
                <w:rFonts w:ascii="宋体" w:hAnsi="宋体"/>
                <w:b/>
                <w:color w:val="auto"/>
                <w:szCs w:val="21"/>
                <w:highlight w:val="none"/>
              </w:rPr>
            </w:pPr>
            <w:r>
              <w:rPr>
                <w:rFonts w:hint="eastAsia" w:ascii="宋体" w:hAnsi="宋体"/>
                <w:color w:val="auto"/>
                <w:szCs w:val="21"/>
                <w:highlight w:val="none"/>
              </w:rPr>
              <w:t>▲</w:t>
            </w:r>
            <w:r>
              <w:rPr>
                <w:rFonts w:hint="eastAsia" w:ascii="宋体" w:hAnsi="宋体" w:eastAsia="宋体" w:cs="Times New Roman"/>
                <w:color w:val="auto"/>
                <w:szCs w:val="21"/>
                <w:highlight w:val="none"/>
              </w:rPr>
              <w:t>质保期：</w:t>
            </w:r>
          </w:p>
        </w:tc>
        <w:tc>
          <w:tcPr>
            <w:tcW w:w="7564" w:type="dxa"/>
            <w:gridSpan w:val="4"/>
            <w:tcBorders>
              <w:top w:val="single" w:color="auto" w:sz="4" w:space="0"/>
              <w:left w:val="single" w:color="auto" w:sz="4" w:space="0"/>
              <w:bottom w:val="single" w:color="auto" w:sz="4" w:space="0"/>
              <w:right w:val="single" w:color="auto" w:sz="4" w:space="0"/>
            </w:tcBorders>
            <w:noWrap w:val="0"/>
            <w:vAlign w:val="center"/>
          </w:tcPr>
          <w:p w14:paraId="4E0F4167">
            <w:pPr>
              <w:spacing w:line="360" w:lineRule="auto"/>
              <w:rPr>
                <w:rFonts w:ascii="宋体" w:hAnsi="宋体"/>
                <w:b/>
                <w:color w:val="auto"/>
                <w:szCs w:val="21"/>
                <w:highlight w:val="none"/>
              </w:rPr>
            </w:pPr>
            <w:r>
              <w:rPr>
                <w:rFonts w:hint="eastAsia" w:ascii="宋体" w:hAnsi="宋体" w:eastAsia="宋体" w:cs="Times New Roman"/>
                <w:color w:val="auto"/>
                <w:szCs w:val="21"/>
                <w:highlight w:val="none"/>
              </w:rPr>
              <w:t>6个月（自服务成果交付并验收合格之日起计）</w:t>
            </w:r>
          </w:p>
        </w:tc>
      </w:tr>
      <w:tr w14:paraId="2F611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B3BC4F7">
            <w:pPr>
              <w:spacing w:line="360" w:lineRule="auto"/>
              <w:jc w:val="center"/>
              <w:rPr>
                <w:rFonts w:hint="eastAsia" w:ascii="宋体" w:hAnsi="宋体"/>
                <w:color w:val="auto"/>
                <w:szCs w:val="21"/>
                <w:highlight w:val="none"/>
              </w:rPr>
            </w:pPr>
            <w:r>
              <w:rPr>
                <w:rFonts w:hint="eastAsia" w:ascii="宋体" w:hAnsi="宋体"/>
                <w:color w:val="auto"/>
                <w:szCs w:val="21"/>
                <w:highlight w:val="none"/>
              </w:rPr>
              <w:t>▲其他要求</w:t>
            </w:r>
          </w:p>
        </w:tc>
        <w:tc>
          <w:tcPr>
            <w:tcW w:w="7564" w:type="dxa"/>
            <w:gridSpan w:val="4"/>
            <w:tcBorders>
              <w:top w:val="single" w:color="auto" w:sz="4" w:space="0"/>
              <w:left w:val="single" w:color="auto" w:sz="4" w:space="0"/>
              <w:bottom w:val="single" w:color="auto" w:sz="4" w:space="0"/>
              <w:right w:val="single" w:color="auto" w:sz="4" w:space="0"/>
            </w:tcBorders>
            <w:noWrap w:val="0"/>
            <w:vAlign w:val="center"/>
          </w:tcPr>
          <w:p w14:paraId="3023B00E">
            <w:pPr>
              <w:spacing w:line="360" w:lineRule="auto"/>
              <w:rPr>
                <w:rFonts w:hint="eastAsia" w:ascii="宋体" w:hAnsi="宋体"/>
                <w:color w:val="auto"/>
                <w:highlight w:val="none"/>
              </w:rPr>
            </w:pPr>
            <w:r>
              <w:rPr>
                <w:rFonts w:hint="eastAsia" w:ascii="宋体" w:hAnsi="宋体"/>
                <w:color w:val="auto"/>
                <w:highlight w:val="none"/>
              </w:rPr>
              <w:t>1、报价必须含以下部分，包括：</w:t>
            </w:r>
          </w:p>
          <w:p w14:paraId="11578C38">
            <w:pPr>
              <w:spacing w:line="360" w:lineRule="auto"/>
              <w:rPr>
                <w:rFonts w:hint="eastAsia" w:ascii="宋体" w:hAnsi="宋体"/>
                <w:color w:val="auto"/>
                <w:highlight w:val="none"/>
              </w:rPr>
            </w:pPr>
            <w:r>
              <w:rPr>
                <w:rFonts w:hint="eastAsia" w:ascii="宋体" w:hAnsi="宋体"/>
                <w:color w:val="auto"/>
                <w:highlight w:val="none"/>
              </w:rPr>
              <w:t>（1）服务的价格；</w:t>
            </w:r>
          </w:p>
          <w:p w14:paraId="068086AD">
            <w:pPr>
              <w:spacing w:line="360" w:lineRule="auto"/>
              <w:rPr>
                <w:rFonts w:hint="eastAsia" w:ascii="宋体" w:hAnsi="宋体"/>
                <w:color w:val="auto"/>
                <w:highlight w:val="none"/>
              </w:rPr>
            </w:pPr>
            <w:r>
              <w:rPr>
                <w:rFonts w:hint="eastAsia" w:ascii="宋体" w:hAnsi="宋体"/>
                <w:color w:val="auto"/>
                <w:highlight w:val="none"/>
              </w:rPr>
              <w:t>（2）技术支持、售后服务。</w:t>
            </w:r>
          </w:p>
          <w:p w14:paraId="3CCA9BB0">
            <w:pPr>
              <w:spacing w:line="360" w:lineRule="auto"/>
              <w:rPr>
                <w:rFonts w:hint="eastAsia" w:ascii="宋体" w:hAnsi="宋体"/>
                <w:color w:val="auto"/>
                <w:highlight w:val="none"/>
              </w:rPr>
            </w:pPr>
            <w:r>
              <w:rPr>
                <w:rFonts w:hint="eastAsia" w:ascii="宋体" w:hAnsi="宋体"/>
                <w:color w:val="auto"/>
                <w:highlight w:val="none"/>
              </w:rPr>
              <w:t>2、报价要求：</w:t>
            </w:r>
          </w:p>
          <w:p w14:paraId="1D472CA0">
            <w:pPr>
              <w:spacing w:line="360" w:lineRule="auto"/>
              <w:rPr>
                <w:rFonts w:hint="eastAsia" w:ascii="宋体" w:hAnsi="宋体"/>
                <w:color w:val="auto"/>
                <w:highlight w:val="none"/>
              </w:rPr>
            </w:pPr>
            <w:r>
              <w:rPr>
                <w:rFonts w:hint="eastAsia" w:ascii="宋体" w:hAnsi="宋体"/>
                <w:color w:val="auto"/>
                <w:highlight w:val="none"/>
              </w:rPr>
              <w:t>（1）报价方式：本项目采取唯一的</w:t>
            </w:r>
            <w:r>
              <w:rPr>
                <w:rFonts w:hint="eastAsia" w:ascii="宋体" w:hAnsi="宋体"/>
                <w:color w:val="auto"/>
                <w:highlight w:val="none"/>
                <w:lang w:val="en-US" w:eastAsia="zh-CN"/>
              </w:rPr>
              <w:t>投标费率</w:t>
            </w:r>
            <w:r>
              <w:rPr>
                <w:rFonts w:hint="eastAsia" w:ascii="宋体" w:hAnsi="宋体"/>
                <w:color w:val="auto"/>
                <w:highlight w:val="none"/>
              </w:rPr>
              <w:t>进行报价的方式，由</w:t>
            </w:r>
            <w:r>
              <w:rPr>
                <w:rFonts w:hint="eastAsia" w:ascii="宋体" w:hAnsi="宋体"/>
                <w:color w:val="auto"/>
                <w:highlight w:val="none"/>
                <w:lang w:eastAsia="zh-CN"/>
              </w:rPr>
              <w:t>服务商</w:t>
            </w:r>
            <w:r>
              <w:rPr>
                <w:rFonts w:hint="eastAsia" w:ascii="宋体" w:hAnsi="宋体"/>
                <w:color w:val="auto"/>
                <w:highlight w:val="none"/>
              </w:rPr>
              <w:t>根据市场价格及自我承受能力按</w:t>
            </w:r>
            <w:r>
              <w:rPr>
                <w:rFonts w:hint="eastAsia" w:ascii="宋体" w:hAnsi="宋体"/>
                <w:color w:val="auto"/>
                <w:highlight w:val="none"/>
                <w:lang w:val="en-US" w:eastAsia="zh-CN"/>
              </w:rPr>
              <w:t>投标费率</w:t>
            </w:r>
            <w:r>
              <w:rPr>
                <w:rFonts w:hint="eastAsia" w:ascii="宋体" w:hAnsi="宋体"/>
                <w:color w:val="auto"/>
                <w:highlight w:val="none"/>
              </w:rPr>
              <w:t xml:space="preserve">进行报价，报价费率参照《自治区物价局关于加强房地产中介服务收费管理问题的通知（桂价房字[1999]086号）》宗地价格评估收费标准的不超过60%作为评估收费价格范围。本项目投标报价的有效范围： </w:t>
            </w:r>
            <w:r>
              <w:rPr>
                <w:rFonts w:hint="eastAsia" w:ascii="宋体" w:hAnsi="宋体"/>
                <w:color w:val="auto"/>
                <w:highlight w:val="none"/>
                <w:lang w:val="en-US" w:eastAsia="zh-CN"/>
              </w:rPr>
              <w:t>5</w:t>
            </w:r>
            <w:r>
              <w:rPr>
                <w:rFonts w:hint="eastAsia" w:ascii="宋体" w:hAnsi="宋体"/>
                <w:color w:val="auto"/>
                <w:highlight w:val="none"/>
              </w:rPr>
              <w:t>0%≤</w:t>
            </w:r>
            <w:r>
              <w:rPr>
                <w:rFonts w:hint="eastAsia" w:ascii="宋体" w:hAnsi="宋体"/>
                <w:color w:val="auto"/>
                <w:highlight w:val="none"/>
                <w:lang w:val="en-US" w:eastAsia="zh-CN"/>
              </w:rPr>
              <w:t>投标费率＜10</w:t>
            </w:r>
            <w:r>
              <w:rPr>
                <w:rFonts w:hint="eastAsia" w:ascii="宋体" w:hAnsi="宋体"/>
                <w:color w:val="auto"/>
                <w:highlight w:val="none"/>
              </w:rPr>
              <w:t>0%。</w:t>
            </w:r>
          </w:p>
          <w:p w14:paraId="3EFA324E">
            <w:pPr>
              <w:spacing w:line="360" w:lineRule="auto"/>
              <w:rPr>
                <w:rFonts w:hint="eastAsia" w:ascii="宋体" w:hAnsi="宋体"/>
                <w:color w:val="auto"/>
                <w:highlight w:val="none"/>
              </w:rPr>
            </w:pPr>
            <w:r>
              <w:rPr>
                <w:rFonts w:hint="eastAsia" w:ascii="宋体" w:hAnsi="宋体"/>
                <w:color w:val="auto"/>
                <w:highlight w:val="none"/>
              </w:rPr>
              <w:t>3、供应商承接的每个宗地（项目）土地评估服务收费核算标准，分为以下两种情形：</w:t>
            </w:r>
          </w:p>
          <w:p w14:paraId="3E70E111">
            <w:pPr>
              <w:spacing w:line="360" w:lineRule="auto"/>
              <w:rPr>
                <w:rFonts w:hint="eastAsia" w:ascii="宋体" w:hAnsi="宋体"/>
                <w:color w:val="auto"/>
                <w:highlight w:val="none"/>
              </w:rPr>
            </w:pPr>
            <w:r>
              <w:rPr>
                <w:rFonts w:hint="eastAsia" w:ascii="宋体" w:hAnsi="宋体"/>
                <w:color w:val="auto"/>
                <w:highlight w:val="none"/>
              </w:rPr>
              <w:t>评估价格被采用的，每宗地（项目）评估服务费用参照桂价房字[1999]86号文的宗地价格评估收费标准，再依据宗地（项目）的中标费率来确定（即每宗地（项目）评估服务费=评估土地价格总额参照桂价房字[1999]86号文累进计费率核算收费总额×中标供应商</w:t>
            </w:r>
            <w:r>
              <w:rPr>
                <w:rFonts w:hint="eastAsia" w:ascii="宋体" w:hAnsi="宋体"/>
                <w:color w:val="auto"/>
                <w:highlight w:val="none"/>
                <w:lang w:val="en-US" w:eastAsia="zh-CN"/>
              </w:rPr>
              <w:t>投标费率</w:t>
            </w:r>
            <w:r>
              <w:rPr>
                <w:rFonts w:hint="eastAsia" w:ascii="宋体" w:hAnsi="宋体"/>
                <w:color w:val="auto"/>
                <w:highlight w:val="none"/>
              </w:rPr>
              <w:t>）；单宗地折算后评估服务费低于500元的按最低500元支付。</w:t>
            </w:r>
          </w:p>
          <w:p w14:paraId="2E04A99A">
            <w:pPr>
              <w:spacing w:line="360" w:lineRule="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供应商在合同期内如未能通过每年省级以上(含省级)土地估价师协会土地评估机构备案的或者评估报告经省级以上(含省级)国土部门抽查评议不合格的，或者评估报告经采购人或采购人委托第三方机构进行综合评定发现重大问题的，采购人有权与中标供应商解除合同不再委托其开展评估工作。</w:t>
            </w:r>
          </w:p>
          <w:p w14:paraId="38A934BD">
            <w:pPr>
              <w:spacing w:line="360" w:lineRule="auto"/>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、如中标供应商在服务期限内出现有行贿受贿等不良行为（全国范围内的服务项目），经采购人发现，立即解除合同，并追究相关责任。</w:t>
            </w:r>
          </w:p>
          <w:p w14:paraId="6CCAD664">
            <w:pPr>
              <w:spacing w:line="360" w:lineRule="auto"/>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、保密要求：供应商须严格遵守采购人保密制度要求，在项目开展过程中，对本项目所有项目信息以及接触到数据予以保密，未经采购人书面允许，不得以任何形式向第三方透露本项目的任何内容。</w:t>
            </w:r>
          </w:p>
          <w:p w14:paraId="3C80E835">
            <w:pPr>
              <w:spacing w:line="360" w:lineRule="auto"/>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、本项目投标时</w:t>
            </w:r>
            <w:r>
              <w:rPr>
                <w:rFonts w:hint="eastAsia" w:ascii="宋体" w:hAnsi="宋体"/>
                <w:color w:val="auto"/>
                <w:highlight w:val="none"/>
                <w:lang w:eastAsia="zh-CN"/>
              </w:rPr>
              <w:t>服务商</w:t>
            </w:r>
            <w:r>
              <w:rPr>
                <w:rFonts w:hint="eastAsia" w:ascii="宋体" w:hAnsi="宋体"/>
                <w:color w:val="auto"/>
                <w:highlight w:val="none"/>
              </w:rPr>
              <w:t>如已通过质量管理体系认证、获得相关行业行政主管部门或相关行业协会或人民政府颁发的奖项、承担过类似项目业绩，请提供相关证明材料。（如有请提供相关材料）</w:t>
            </w:r>
          </w:p>
          <w:p w14:paraId="3E4020AC">
            <w:pPr>
              <w:spacing w:line="360" w:lineRule="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、本项目合同文本中的条款如与项目需求不一致的，以采购文件项目需求表、中标供应商响应条款为准。</w:t>
            </w:r>
          </w:p>
          <w:p w14:paraId="5B724F7E">
            <w:pPr>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9、中标后采购人的下属机构</w:t>
            </w:r>
            <w:r>
              <w:rPr>
                <w:rFonts w:hint="eastAsia" w:ascii="宋体" w:hAnsi="宋体"/>
                <w:color w:val="auto"/>
                <w:highlight w:val="none"/>
                <w:u w:val="single"/>
                <w:lang w:val="en-US" w:eastAsia="zh-CN"/>
              </w:rPr>
              <w:t>防城港市港口区自然资源局</w:t>
            </w:r>
            <w:r>
              <w:rPr>
                <w:rFonts w:hint="eastAsia" w:ascii="宋体" w:hAnsi="宋体"/>
                <w:color w:val="auto"/>
                <w:highlight w:val="none"/>
                <w:u w:val="none"/>
                <w:lang w:val="en-US" w:eastAsia="zh-CN"/>
              </w:rPr>
              <w:t>和</w:t>
            </w:r>
            <w:r>
              <w:rPr>
                <w:rFonts w:hint="eastAsia" w:ascii="宋体" w:hAnsi="宋体"/>
                <w:color w:val="auto"/>
                <w:highlight w:val="none"/>
                <w:u w:val="single"/>
                <w:lang w:val="en-US" w:eastAsia="zh-CN"/>
              </w:rPr>
              <w:t>防城港市防城区自然资源局</w:t>
            </w:r>
            <w:r>
              <w:rPr>
                <w:rFonts w:hint="eastAsia" w:ascii="宋体" w:hAnsi="宋体"/>
                <w:color w:val="auto"/>
                <w:highlight w:val="none"/>
                <w:lang w:val="en-US" w:eastAsia="zh-CN"/>
              </w:rPr>
              <w:t>均有权委托中标人开展土地评估服务。</w:t>
            </w:r>
          </w:p>
        </w:tc>
      </w:tr>
      <w:tr w14:paraId="56E90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71FAFAA4">
            <w:pPr>
              <w:spacing w:line="360" w:lineRule="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采购人的特殊要求及说明</w:t>
            </w:r>
          </w:p>
        </w:tc>
        <w:tc>
          <w:tcPr>
            <w:tcW w:w="7564" w:type="dxa"/>
            <w:gridSpan w:val="4"/>
            <w:tcBorders>
              <w:top w:val="single" w:color="auto" w:sz="4" w:space="0"/>
              <w:left w:val="single" w:color="auto" w:sz="4" w:space="0"/>
              <w:bottom w:val="single" w:color="auto" w:sz="4" w:space="0"/>
              <w:right w:val="single" w:color="auto" w:sz="4" w:space="0"/>
            </w:tcBorders>
            <w:noWrap w:val="0"/>
            <w:vAlign w:val="center"/>
          </w:tcPr>
          <w:p w14:paraId="022990BF">
            <w:pPr>
              <w:spacing w:line="360" w:lineRule="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lang w:eastAsia="zh-CN"/>
              </w:rPr>
              <w:t>成交</w:t>
            </w:r>
            <w:r>
              <w:rPr>
                <w:rFonts w:hint="eastAsia" w:ascii="宋体" w:hAnsi="宋体" w:eastAsia="宋体" w:cs="Times New Roman"/>
                <w:b w:val="0"/>
                <w:bCs/>
                <w:color w:val="auto"/>
                <w:szCs w:val="21"/>
                <w:highlight w:val="none"/>
              </w:rPr>
              <w:t>供应商的数量：</w:t>
            </w:r>
            <w:r>
              <w:rPr>
                <w:rFonts w:hint="eastAsia" w:ascii="宋体" w:hAnsi="宋体" w:eastAsia="宋体" w:cs="Times New Roman"/>
                <w:b w:val="0"/>
                <w:bCs/>
                <w:color w:val="auto"/>
                <w:szCs w:val="21"/>
                <w:highlight w:val="none"/>
                <w:lang w:val="en-US" w:eastAsia="zh-CN"/>
              </w:rPr>
              <w:t>5</w:t>
            </w:r>
            <w:r>
              <w:rPr>
                <w:rFonts w:hint="eastAsia" w:ascii="宋体" w:hAnsi="宋体" w:eastAsia="宋体" w:cs="Times New Roman"/>
                <w:b w:val="0"/>
                <w:bCs/>
                <w:color w:val="auto"/>
                <w:szCs w:val="21"/>
                <w:highlight w:val="none"/>
              </w:rPr>
              <w:t>家。</w:t>
            </w:r>
          </w:p>
        </w:tc>
      </w:tr>
    </w:tbl>
    <w:p w14:paraId="75B5D661">
      <w:pPr>
        <w:pStyle w:val="6"/>
        <w:tabs>
          <w:tab w:val="left" w:pos="0"/>
        </w:tabs>
        <w:rPr>
          <w:rFonts w:hint="eastAsia" w:ascii="宋体" w:hAnsi="宋体" w:eastAsia="宋体" w:cs="宋体"/>
          <w:color w:val="auto"/>
          <w:sz w:val="32"/>
          <w:szCs w:val="32"/>
          <w:highlight w:val="none"/>
        </w:rPr>
      </w:pPr>
    </w:p>
    <w:p w14:paraId="6553DDAA">
      <w:pPr>
        <w:pStyle w:val="6"/>
        <w:tabs>
          <w:tab w:val="left" w:pos="0"/>
        </w:tabs>
        <w:rPr>
          <w:rFonts w:hint="eastAsia" w:ascii="宋体" w:hAnsi="宋体" w:eastAsia="宋体" w:cs="宋体"/>
          <w:color w:val="auto"/>
          <w:sz w:val="32"/>
          <w:szCs w:val="32"/>
          <w:highlight w:val="none"/>
        </w:rPr>
      </w:pPr>
    </w:p>
    <w:p w14:paraId="1933B101">
      <w:pPr>
        <w:pStyle w:val="6"/>
        <w:tabs>
          <w:tab w:val="left" w:pos="0"/>
        </w:tabs>
        <w:rPr>
          <w:rFonts w:hint="eastAsia" w:ascii="宋体" w:hAnsi="宋体" w:eastAsia="宋体" w:cs="宋体"/>
          <w:color w:val="auto"/>
          <w:sz w:val="32"/>
          <w:szCs w:val="32"/>
          <w:highlight w:val="none"/>
        </w:rPr>
      </w:pPr>
    </w:p>
    <w:p w14:paraId="1FD03449">
      <w:pPr>
        <w:pStyle w:val="6"/>
        <w:tabs>
          <w:tab w:val="left" w:pos="0"/>
        </w:tabs>
        <w:rPr>
          <w:rFonts w:hint="eastAsia" w:ascii="宋体" w:hAnsi="宋体" w:eastAsia="宋体" w:cs="宋体"/>
          <w:color w:val="auto"/>
          <w:sz w:val="32"/>
          <w:szCs w:val="32"/>
          <w:highlight w:val="none"/>
        </w:rPr>
      </w:pPr>
    </w:p>
    <w:p w14:paraId="366C8D86">
      <w:pPr>
        <w:pStyle w:val="6"/>
        <w:tabs>
          <w:tab w:val="left" w:pos="0"/>
        </w:tabs>
        <w:rPr>
          <w:rFonts w:hint="eastAsia" w:ascii="宋体" w:hAnsi="宋体" w:eastAsia="宋体" w:cs="宋体"/>
          <w:color w:val="auto"/>
          <w:sz w:val="32"/>
          <w:szCs w:val="32"/>
          <w:highlight w:val="none"/>
        </w:rPr>
      </w:pPr>
    </w:p>
    <w:p w14:paraId="6DFD8209">
      <w:pPr>
        <w:pStyle w:val="6"/>
        <w:tabs>
          <w:tab w:val="left" w:pos="0"/>
        </w:tabs>
        <w:rPr>
          <w:rFonts w:hint="eastAsia" w:ascii="宋体" w:hAnsi="宋体" w:eastAsia="宋体" w:cs="宋体"/>
          <w:color w:val="auto"/>
          <w:sz w:val="32"/>
          <w:szCs w:val="32"/>
          <w:highlight w:val="none"/>
        </w:rPr>
      </w:pPr>
      <w:bookmarkStart w:id="1" w:name="_GoBack"/>
      <w:bookmarkEnd w:id="1"/>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594FFC67">
      <w:pPr>
        <w:pStyle w:val="6"/>
        <w:tabs>
          <w:tab w:val="left" w:pos="0"/>
        </w:tabs>
        <w:rPr>
          <w:rFonts w:hint="eastAsia" w:ascii="宋体" w:hAnsi="宋体" w:eastAsia="宋体" w:cs="宋体"/>
          <w:color w:val="auto"/>
          <w:sz w:val="32"/>
          <w:szCs w:val="32"/>
          <w:highlight w:val="none"/>
          <w:lang w:eastAsia="zh-CN"/>
        </w:rPr>
      </w:pPr>
    </w:p>
    <w:p w14:paraId="08EAF11D">
      <w:r>
        <w:rPr>
          <w:rFonts w:hint="eastAsia" w:eastAsia="宋体"/>
          <w:color w:val="auto"/>
          <w:highlight w:val="none"/>
          <w:lang w:eastAsia="zh-CN"/>
        </w:rPr>
        <w:drawing>
          <wp:inline distT="0" distB="0" distL="114300" distR="114300">
            <wp:extent cx="5915025" cy="6162675"/>
            <wp:effectExtent l="0" t="0" r="9525" b="9525"/>
            <wp:docPr id="1" name="图片 1" descr="[[({CJ(B$`NG7K}JV}@_Y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J(B$`NG7K}JV}@_YM8"/>
                    <pic:cNvPicPr>
                      <a:picLocks noChangeAspect="1"/>
                    </pic:cNvPicPr>
                  </pic:nvPicPr>
                  <pic:blipFill>
                    <a:blip r:embed="rId4"/>
                    <a:stretch>
                      <a:fillRect/>
                    </a:stretch>
                  </pic:blipFill>
                  <pic:spPr>
                    <a:xfrm>
                      <a:off x="0" y="0"/>
                      <a:ext cx="5915025" cy="616267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6B8BB"/>
    <w:multiLevelType w:val="singleLevel"/>
    <w:tmpl w:val="5756B8B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71556"/>
    <w:rsid w:val="63671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Indent"/>
    <w:basedOn w:val="1"/>
    <w:next w:val="5"/>
    <w:qFormat/>
    <w:uiPriority w:val="0"/>
    <w:pPr>
      <w:ind w:firstLine="830" w:firstLineChars="352"/>
    </w:pPr>
    <w:rPr>
      <w:rFonts w:ascii="仿宋_GB2312" w:eastAsia="仿宋_GB2312"/>
      <w:kern w:val="0"/>
      <w:sz w:val="32"/>
      <w:szCs w:val="20"/>
    </w:rPr>
  </w:style>
  <w:style w:type="paragraph" w:styleId="5">
    <w:name w:val="envelope return"/>
    <w:basedOn w:val="1"/>
    <w:qFormat/>
    <w:uiPriority w:val="0"/>
    <w:pPr>
      <w:snapToGrid w:val="0"/>
    </w:pPr>
    <w:rPr>
      <w:rFonts w:ascii="Arial" w:hAnsi="Arial"/>
    </w:rPr>
  </w:style>
  <w:style w:type="paragraph" w:styleId="6">
    <w:name w:val="Body Text First Indent 2"/>
    <w:basedOn w:val="4"/>
    <w:qFormat/>
    <w:uiPriority w:val="0"/>
    <w:pPr>
      <w:ind w:firstLine="420" w:firstLineChars="200"/>
    </w:pPr>
    <w:rPr>
      <w:rFonts w:ascii="方正仿宋简体" w:eastAsia="方正仿宋简体"/>
      <w:color w:val="000000"/>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2025-03-27T02:06:00Z</dcterms:created>
  <dc:creator>灬D君 ˇ </dc:creator>
  <cp:lastModifiedBy>灬D君 ˇ </cp:lastModifiedBy>
  <dcterms:modified xsi:type="dcterms:W3CDTF">2025-03-27T02:06:52Z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2AB6FA98B8954FCDB1A8B3BE81C1E7C2_11</vt:lpwstr>
  </property>
  <property fmtid="{D5CDD505-2E9C-101B-9397-08002B2CF9AE}" pid="4" name="KSOTemplateDocerSaveRecord">
    <vt:lpwstr>eyJoZGlkIjoiNzg1ZjBjMTI5OWI1NDViYTQ2YmM2M2FjYTIyYThiM2MiLCJ1c2VySWQiOiIyNjU5MTA4NzQifQ==</vt:lpwstr>
  </property>
</Properties>
</file>