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仿宋_GB2312" w:asciiTheme="minorEastAsia" w:hAnsiTheme="minorEastAsia" w:eastAsiaTheme="minorEastAsia"/>
          <w:b/>
          <w:color w:val="auto"/>
          <w:sz w:val="24"/>
          <w:highlight w:val="none"/>
        </w:rPr>
      </w:pPr>
    </w:p>
    <w:p>
      <w:pPr>
        <w:spacing w:line="360" w:lineRule="auto"/>
        <w:jc w:val="center"/>
        <w:rPr>
          <w:rFonts w:cs="仿宋_GB2312" w:asciiTheme="minorEastAsia" w:hAnsiTheme="minorEastAsia" w:eastAsiaTheme="minorEastAsia"/>
          <w:b/>
          <w:color w:val="auto"/>
          <w:sz w:val="24"/>
          <w:highlight w:val="none"/>
        </w:rPr>
      </w:pPr>
    </w:p>
    <w:p>
      <w:pPr>
        <w:adjustRightInd/>
        <w:spacing w:line="360" w:lineRule="auto"/>
        <w:jc w:val="center"/>
        <w:rPr>
          <w:rFonts w:cs="仿宋_GB2312" w:asciiTheme="minorEastAsia" w:hAnsiTheme="minorEastAsia" w:eastAsiaTheme="minorEastAsia"/>
          <w:b/>
          <w:color w:val="auto"/>
          <w:sz w:val="44"/>
          <w:szCs w:val="44"/>
          <w:highlight w:val="none"/>
        </w:rPr>
      </w:pPr>
    </w:p>
    <w:p>
      <w:pPr>
        <w:adjustRightInd/>
        <w:spacing w:line="360" w:lineRule="auto"/>
        <w:jc w:val="center"/>
        <w:rPr>
          <w:rFonts w:cs="仿宋_GB2312" w:asciiTheme="minorEastAsia" w:hAnsiTheme="minorEastAsia" w:eastAsiaTheme="minorEastAsia"/>
          <w:b/>
          <w:color w:val="auto"/>
          <w:sz w:val="44"/>
          <w:szCs w:val="44"/>
          <w:highlight w:val="none"/>
        </w:rPr>
      </w:pPr>
    </w:p>
    <w:p>
      <w:pPr>
        <w:adjustRightInd/>
        <w:spacing w:line="360" w:lineRule="auto"/>
        <w:jc w:val="cente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44"/>
          <w:szCs w:val="44"/>
          <w:highlight w:val="none"/>
          <w:lang w:eastAsia="zh-CN"/>
        </w:rPr>
        <w:t>北海职业学院电子信息产教联合体教学资产采购及安装项目</w:t>
      </w:r>
    </w:p>
    <w:p>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竞争性谈判</w:t>
      </w:r>
      <w:r>
        <w:rPr>
          <w:rFonts w:hint="eastAsia" w:cs="仿宋_GB2312" w:asciiTheme="minorEastAsia" w:hAnsiTheme="minorEastAsia" w:eastAsiaTheme="minorEastAsia"/>
          <w:b/>
          <w:color w:val="auto"/>
          <w:sz w:val="72"/>
          <w:szCs w:val="72"/>
          <w:highlight w:val="none"/>
        </w:rPr>
        <w:t>文件</w:t>
      </w:r>
    </w:p>
    <w:p>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pPr>
        <w:snapToGrid w:val="0"/>
        <w:spacing w:line="360" w:lineRule="auto"/>
        <w:jc w:val="center"/>
        <w:rPr>
          <w:rFonts w:cs="仿宋_GB2312" w:asciiTheme="minorEastAsia" w:hAnsiTheme="minorEastAsia" w:eastAsiaTheme="minorEastAsia"/>
          <w:color w:val="auto"/>
          <w:sz w:val="30"/>
          <w:szCs w:val="30"/>
          <w:highlight w:val="none"/>
        </w:rPr>
      </w:pPr>
    </w:p>
    <w:p>
      <w:pPr>
        <w:snapToGrid w:val="0"/>
        <w:spacing w:line="360" w:lineRule="auto"/>
        <w:jc w:val="center"/>
        <w:rPr>
          <w:rFonts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color w:val="auto"/>
          <w:sz w:val="30"/>
          <w:szCs w:val="30"/>
          <w:highlight w:val="none"/>
        </w:rPr>
        <w:t>项目编号:（</w:t>
      </w:r>
      <w:r>
        <w:rPr>
          <w:rFonts w:hint="eastAsia" w:cs="仿宋_GB2312" w:asciiTheme="minorEastAsia" w:hAnsiTheme="minorEastAsia" w:eastAsiaTheme="minorEastAsia"/>
          <w:color w:val="auto"/>
          <w:sz w:val="30"/>
          <w:szCs w:val="30"/>
          <w:highlight w:val="none"/>
          <w:lang w:eastAsia="zh-CN"/>
        </w:rPr>
        <w:t>BHZC2025-J1-990315-CGZX</w:t>
      </w:r>
      <w:r>
        <w:rPr>
          <w:rFonts w:hint="eastAsia" w:cs="仿宋_GB2312" w:asciiTheme="minorEastAsia" w:hAnsiTheme="minorEastAsia" w:eastAsiaTheme="minorEastAsia"/>
          <w:color w:val="auto"/>
          <w:sz w:val="30"/>
          <w:szCs w:val="30"/>
          <w:highlight w:val="none"/>
        </w:rPr>
        <w:t>）</w:t>
      </w:r>
    </w:p>
    <w:p>
      <w:pPr>
        <w:adjustRightInd/>
        <w:spacing w:line="360" w:lineRule="auto"/>
        <w:rPr>
          <w:rFonts w:cs="仿宋_GB2312" w:asciiTheme="minorEastAsia" w:hAnsiTheme="minorEastAsia" w:eastAsiaTheme="minorEastAsia"/>
          <w:color w:val="auto"/>
          <w:sz w:val="28"/>
          <w:szCs w:val="20"/>
          <w:highlight w:val="none"/>
        </w:rPr>
      </w:pPr>
    </w:p>
    <w:p>
      <w:pPr>
        <w:spacing w:line="360" w:lineRule="auto"/>
        <w:jc w:val="center"/>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color w:val="auto"/>
          <w:sz w:val="24"/>
          <w:highlight w:val="none"/>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pPr>
        <w:snapToGrid w:val="0"/>
        <w:spacing w:line="360" w:lineRule="auto"/>
        <w:jc w:val="center"/>
        <w:rPr>
          <w:rFonts w:cs="仿宋_GB2312" w:asciiTheme="minorEastAsia" w:hAnsiTheme="minorEastAsia" w:eastAsiaTheme="minorEastAsia"/>
          <w:color w:val="auto"/>
          <w:sz w:val="32"/>
          <w:szCs w:val="32"/>
          <w:highlight w:val="none"/>
        </w:rPr>
      </w:pPr>
    </w:p>
    <w:p>
      <w:pPr>
        <w:snapToGrid w:val="0"/>
        <w:spacing w:line="360" w:lineRule="auto"/>
        <w:jc w:val="center"/>
        <w:rPr>
          <w:rFonts w:hint="eastAsia" w:cs="仿宋_GB2312" w:asciiTheme="minorEastAsia" w:hAnsiTheme="minorEastAsia" w:eastAsiaTheme="minorEastAsia"/>
          <w:color w:val="auto"/>
          <w:sz w:val="32"/>
          <w:szCs w:val="32"/>
          <w:highlight w:val="none"/>
          <w:lang w:eastAsia="zh-CN"/>
        </w:rPr>
      </w:pPr>
      <w:r>
        <w:rPr>
          <w:rFonts w:hint="eastAsia" w:ascii="宋体" w:hAnsi="宋体" w:cs="宋体" w:eastAsiaTheme="minorEastAsia"/>
          <w:color w:val="auto"/>
          <w:sz w:val="32"/>
          <w:szCs w:val="32"/>
          <w:highlight w:val="none"/>
          <w:lang w:eastAsia="zh-CN"/>
        </w:rPr>
        <w:t>北海职业学院</w:t>
      </w:r>
    </w:p>
    <w:p>
      <w:pPr>
        <w:spacing w:line="360" w:lineRule="auto"/>
        <w:jc w:val="center"/>
        <w:rPr>
          <w:rFonts w:hint="eastAsia" w:cs="仿宋_GB2312" w:asciiTheme="minorEastAsia" w:hAnsiTheme="minorEastAsia" w:eastAsiaTheme="minorEastAsia"/>
          <w:bCs/>
          <w:color w:val="auto"/>
          <w:sz w:val="32"/>
          <w:szCs w:val="32"/>
          <w:highlight w:val="none"/>
          <w:lang w:eastAsia="zh-CN"/>
        </w:rPr>
      </w:pPr>
      <w:r>
        <w:rPr>
          <w:rFonts w:hint="eastAsia" w:ascii="宋体" w:hAnsi="宋体" w:cs="宋体" w:eastAsiaTheme="minorEastAsia"/>
          <w:bCs/>
          <w:color w:val="auto"/>
          <w:sz w:val="32"/>
          <w:szCs w:val="32"/>
          <w:highlight w:val="none"/>
          <w:lang w:eastAsia="zh-CN"/>
        </w:rPr>
        <w:t>北海市政府采购中心</w:t>
      </w:r>
    </w:p>
    <w:p>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二五年</w:t>
      </w:r>
      <w:r>
        <w:rPr>
          <w:rFonts w:hint="eastAsia" w:cs="仿宋_GB2312" w:asciiTheme="minorEastAsia" w:hAnsiTheme="minorEastAsia" w:eastAsiaTheme="minorEastAsia"/>
          <w:bCs/>
          <w:color w:val="auto"/>
          <w:sz w:val="32"/>
          <w:szCs w:val="32"/>
          <w:highlight w:val="none"/>
          <w:lang w:val="en-US" w:eastAsia="zh-CN"/>
        </w:rPr>
        <w:t>十一</w:t>
      </w:r>
      <w:r>
        <w:rPr>
          <w:rFonts w:hint="eastAsia" w:cs="仿宋_GB2312" w:asciiTheme="minorEastAsia" w:hAnsiTheme="minorEastAsia" w:eastAsiaTheme="minorEastAsia"/>
          <w:bCs/>
          <w:color w:val="auto"/>
          <w:sz w:val="32"/>
          <w:szCs w:val="32"/>
          <w:highlight w:val="none"/>
        </w:rPr>
        <w:t>月</w:t>
      </w:r>
      <w:r>
        <w:rPr>
          <w:rFonts w:hint="eastAsia" w:cs="仿宋_GB2312" w:asciiTheme="minorEastAsia" w:hAnsiTheme="minorEastAsia" w:eastAsiaTheme="minorEastAsia"/>
          <w:bCs/>
          <w:color w:val="auto"/>
          <w:sz w:val="32"/>
          <w:szCs w:val="32"/>
          <w:highlight w:val="none"/>
          <w:lang w:val="en-US" w:eastAsia="zh-CN"/>
        </w:rPr>
        <w:t>二十四</w:t>
      </w:r>
      <w:r>
        <w:rPr>
          <w:rFonts w:hint="eastAsia" w:cs="仿宋_GB2312" w:asciiTheme="minorEastAsia" w:hAnsiTheme="minorEastAsia" w:eastAsiaTheme="minorEastAsia"/>
          <w:bCs/>
          <w:color w:val="auto"/>
          <w:sz w:val="32"/>
          <w:szCs w:val="32"/>
          <w:highlight w:val="none"/>
        </w:rPr>
        <w:t>日</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0" w:name="_Hlt67893495"/>
      <w:bookmarkEnd w:id="0"/>
    </w:p>
    <w:p>
      <w:pPr>
        <w:tabs>
          <w:tab w:val="left" w:pos="2268"/>
        </w:tabs>
        <w:spacing w:line="360" w:lineRule="auto"/>
        <w:jc w:val="center"/>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pPr>
        <w:spacing w:line="360" w:lineRule="auto"/>
        <w:rPr>
          <w:rFonts w:cs="仿宋_GB2312" w:asciiTheme="minorEastAsia" w:hAnsiTheme="minorEastAsia" w:eastAsiaTheme="minorEastAsia"/>
          <w:color w:val="auto"/>
          <w:sz w:val="32"/>
          <w:szCs w:val="32"/>
          <w:highlight w:val="none"/>
        </w:rPr>
      </w:pP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bookmarkStart w:id="1" w:name="_Hlt91233176"/>
      <w:bookmarkEnd w:id="1"/>
      <w:bookmarkStart w:id="2"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TOC \o "1-1" \h \z \u </w:instrText>
      </w:r>
      <w:r>
        <w:rPr>
          <w:rFonts w:cs="仿宋_GB2312"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"_Toc181265281"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第一部分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采购公告</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_Toc181265281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"_Toc181265282"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第二部分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竞争性谈判流程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_Toc181265282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7</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"_Toc181265283"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第三部分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供应商须知</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_Toc181265283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11</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"_Toc181265284"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第四部分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_Toc181265284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30</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"_Toc181265285"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第五部分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评定标准</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_Toc181265285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38</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"_Toc181265286"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第六部分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_Toc181265286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46</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0"/>
        <w:tabs>
          <w:tab w:val="right" w:leader="dot" w:pos="9060"/>
        </w:tabs>
        <w:spacing w:line="360" w:lineRule="auto"/>
        <w:rPr>
          <w:rFonts w:hint="eastAsia" w:asciiTheme="minorEastAsia" w:hAnsiTheme="minorEastAsia" w:eastAsiaTheme="minorEastAsia"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"_Toc181265287"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第七部分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6</w:t>
      </w:r>
      <w:r>
        <w:rPr>
          <w:rFonts w:hint="eastAsia"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lang w:val="en-US" w:eastAsia="zh-CN"/>
        </w:rPr>
        <w:t>4</w:t>
      </w: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"_Toc181265288"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第八部分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最后报价格式</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_Toc181265288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86</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spacing w:line="360" w:lineRule="auto"/>
        <w:ind w:firstLine="732"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3" w:name="第一部分"/>
      <w:r>
        <w:rPr>
          <w:rFonts w:hint="eastAsia" w:cs="仿宋_GB2312" w:asciiTheme="minorEastAsia" w:hAnsiTheme="minorEastAsia" w:eastAsiaTheme="minorEastAsia"/>
          <w:b/>
          <w:color w:val="auto"/>
          <w:sz w:val="36"/>
          <w:szCs w:val="36"/>
          <w:highlight w:val="none"/>
        </w:rPr>
        <w:br w:type="page"/>
      </w:r>
      <w:bookmarkEnd w:id="2"/>
      <w:bookmarkEnd w:id="3"/>
      <w:bookmarkStart w:id="4" w:name="_Hlt74649545"/>
      <w:bookmarkEnd w:id="4"/>
      <w:bookmarkStart w:id="5" w:name="_Hlt74729822"/>
      <w:bookmarkEnd w:id="5"/>
      <w:bookmarkStart w:id="6" w:name="_Hlt74728647"/>
      <w:bookmarkEnd w:id="6"/>
      <w:bookmarkStart w:id="7" w:name="_Hlt74707423"/>
      <w:bookmarkEnd w:id="7"/>
      <w:bookmarkStart w:id="8" w:name="_Toc181265281"/>
      <w:bookmarkStart w:id="9" w:name="第二部分"/>
      <w:bookmarkStart w:id="10" w:name="_Toc91899870"/>
      <w:bookmarkStart w:id="11" w:name="_Toc91899871"/>
      <w:r>
        <w:rPr>
          <w:rFonts w:hint="eastAsia" w:cs="仿宋_GB2312" w:asciiTheme="minorEastAsia" w:hAnsiTheme="minorEastAsia" w:eastAsiaTheme="minorEastAsia"/>
          <w:b/>
          <w:color w:val="auto"/>
          <w:sz w:val="36"/>
          <w:szCs w:val="20"/>
          <w:highlight w:val="none"/>
        </w:rPr>
        <w:t xml:space="preserve">第一部分  </w:t>
      </w:r>
      <w:bookmarkEnd w:id="8"/>
      <w:r>
        <w:rPr>
          <w:rFonts w:hint="eastAsia" w:cs="仿宋_GB2312" w:asciiTheme="minorEastAsia" w:hAnsiTheme="minorEastAsia" w:eastAsiaTheme="minorEastAsia"/>
          <w:b/>
          <w:color w:val="auto"/>
          <w:sz w:val="36"/>
          <w:szCs w:val="36"/>
          <w:highlight w:val="none"/>
        </w:rPr>
        <w:t>采购公告</w:t>
      </w:r>
    </w:p>
    <w:p>
      <w:pPr>
        <w:adjustRightInd/>
        <w:jc w:val="center"/>
        <w:rPr>
          <w:rFonts w:cs="仿宋_GB2312" w:asciiTheme="minorEastAsia" w:hAnsiTheme="minorEastAsia" w:eastAsiaTheme="minorEastAsia"/>
          <w:b/>
          <w:color w:val="auto"/>
          <w:sz w:val="36"/>
          <w:szCs w:val="20"/>
          <w:highlight w:val="none"/>
        </w:rPr>
      </w:pPr>
      <w:bookmarkStart w:id="12" w:name="OLE_LINK1"/>
      <w:bookmarkStart w:id="13" w:name="OLE_LINK101"/>
      <w:r>
        <w:rPr>
          <w:rFonts w:hint="eastAsia" w:cs="仿宋_GB2312" w:asciiTheme="minorEastAsia" w:hAnsiTheme="minorEastAsia" w:eastAsiaTheme="minorEastAsia"/>
          <w:b/>
          <w:color w:val="auto"/>
          <w:sz w:val="36"/>
          <w:szCs w:val="20"/>
          <w:highlight w:val="none"/>
        </w:rPr>
        <w:t>北海市政府采购中心关于</w:t>
      </w:r>
      <w:bookmarkStart w:id="14" w:name="OLE_LINK91"/>
      <w:bookmarkStart w:id="15" w:name="OLE_LINK92"/>
      <w:r>
        <w:rPr>
          <w:rFonts w:hint="eastAsia" w:cs="仿宋_GB2312" w:asciiTheme="minorEastAsia" w:hAnsiTheme="minorEastAsia" w:eastAsiaTheme="minorEastAsia"/>
          <w:b/>
          <w:color w:val="auto"/>
          <w:sz w:val="36"/>
          <w:szCs w:val="20"/>
          <w:highlight w:val="none"/>
          <w:lang w:eastAsia="zh-CN"/>
        </w:rPr>
        <w:t>北海职业学院北海职业学院电子信息产教联合体教学资产采购及安装项目</w:t>
      </w:r>
      <w:r>
        <w:rPr>
          <w:rFonts w:hint="eastAsia" w:cs="仿宋_GB2312" w:asciiTheme="minorEastAsia" w:hAnsiTheme="minorEastAsia" w:eastAsiaTheme="minorEastAsia"/>
          <w:b/>
          <w:color w:val="auto"/>
          <w:sz w:val="36"/>
          <w:szCs w:val="20"/>
          <w:highlight w:val="none"/>
        </w:rPr>
        <w:t>(</w:t>
      </w:r>
      <w:r>
        <w:rPr>
          <w:rFonts w:hint="eastAsia" w:cs="仿宋_GB2312" w:asciiTheme="minorEastAsia" w:hAnsiTheme="minorEastAsia" w:eastAsiaTheme="minorEastAsia"/>
          <w:b/>
          <w:color w:val="auto"/>
          <w:sz w:val="36"/>
          <w:szCs w:val="20"/>
          <w:highlight w:val="none"/>
          <w:lang w:eastAsia="zh-CN"/>
        </w:rPr>
        <w:t>BHZC2025-J1-990315-CGZX</w:t>
      </w:r>
      <w:r>
        <w:rPr>
          <w:rFonts w:hint="eastAsia" w:cs="仿宋_GB2312" w:asciiTheme="minorEastAsia" w:hAnsiTheme="minorEastAsia" w:eastAsiaTheme="minorEastAsia"/>
          <w:b/>
          <w:color w:val="auto"/>
          <w:sz w:val="36"/>
          <w:szCs w:val="20"/>
          <w:highlight w:val="none"/>
        </w:rPr>
        <w:t>)</w:t>
      </w:r>
      <w:bookmarkEnd w:id="14"/>
      <w:bookmarkEnd w:id="15"/>
      <w:r>
        <w:rPr>
          <w:rFonts w:hint="eastAsia" w:cs="仿宋_GB2312" w:asciiTheme="minorEastAsia" w:hAnsiTheme="minorEastAsia" w:eastAsiaTheme="minorEastAsia"/>
          <w:b/>
          <w:color w:val="auto"/>
          <w:sz w:val="36"/>
          <w:szCs w:val="20"/>
          <w:highlight w:val="none"/>
        </w:rPr>
        <w:t>竞争性谈判采购公告</w:t>
      </w:r>
    </w:p>
    <w:p>
      <w:pPr>
        <w:spacing w:line="360" w:lineRule="auto"/>
        <w:rPr>
          <w:rFonts w:asciiTheme="minorEastAsia" w:hAnsiTheme="minorEastAsia" w:eastAsiaTheme="minorEastAsia"/>
          <w:color w:val="auto"/>
          <w:szCs w:val="21"/>
          <w:highlight w:val="none"/>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北海职业学院电子信息产教联合体教学资产采购及安装项目</w:t>
      </w:r>
      <w:r>
        <w:rPr>
          <w:rFonts w:hint="eastAsia" w:ascii="宋体" w:hAnsi="宋体" w:cs="宋体"/>
          <w:color w:val="auto"/>
          <w:sz w:val="24"/>
          <w:highlight w:val="none"/>
        </w:rPr>
        <w:t>采购项目的潜在供应商应在广西政府采购云平台（</w:t>
      </w:r>
      <w:r>
        <w:rPr>
          <w:rFonts w:ascii="宋体" w:hAnsi="宋体" w:cs="宋体"/>
          <w:color w:val="auto"/>
          <w:sz w:val="24"/>
          <w:highlight w:val="none"/>
        </w:rPr>
        <w:t>网址：</w:t>
      </w:r>
      <w:r>
        <w:rPr>
          <w:rFonts w:ascii="宋体" w:hAnsi="宋体" w:cs="宋体"/>
          <w:color w:val="auto"/>
          <w:sz w:val="24"/>
          <w:highlight w:val="none"/>
        </w:rPr>
        <w:fldChar w:fldCharType="begin"/>
      </w:r>
      <w:r>
        <w:rPr>
          <w:rFonts w:ascii="宋体" w:hAnsi="宋体" w:cs="宋体"/>
          <w:color w:val="auto"/>
          <w:sz w:val="24"/>
          <w:highlight w:val="none"/>
        </w:rPr>
        <w:instrText xml:space="preserve"> HYPERLINK "http://www.gcy.zfcg.gxzf.gov.cn）获取采购文件，并于2025年" </w:instrText>
      </w:r>
      <w:r>
        <w:rPr>
          <w:rFonts w:ascii="宋体" w:hAnsi="宋体" w:cs="宋体"/>
          <w:color w:val="auto"/>
          <w:sz w:val="24"/>
          <w:highlight w:val="none"/>
        </w:rPr>
        <w:fldChar w:fldCharType="separate"/>
      </w:r>
      <w:r>
        <w:rPr>
          <w:rStyle w:val="68"/>
          <w:rFonts w:ascii="宋体" w:hAnsi="宋体" w:cs="宋体"/>
          <w:color w:val="auto"/>
          <w:sz w:val="24"/>
          <w:highlight w:val="none"/>
        </w:rPr>
        <w:t>http://www.gcy.zfcg.gxzf.gov.cn</w:t>
      </w:r>
      <w:r>
        <w:rPr>
          <w:rFonts w:hint="eastAsia" w:ascii="宋体" w:hAnsi="宋体" w:cs="宋体"/>
          <w:color w:val="auto"/>
          <w:sz w:val="24"/>
          <w:highlight w:val="none"/>
          <w:lang w:eastAsia="zh-CN"/>
        </w:rPr>
        <w:t>）获取采购文件，并于</w:t>
      </w:r>
      <w:r>
        <w:rPr>
          <w:rStyle w:val="68"/>
          <w:rFonts w:hint="eastAsia" w:ascii="宋体" w:hAnsi="宋体" w:cs="宋体"/>
          <w:color w:val="auto"/>
          <w:sz w:val="24"/>
          <w:highlight w:val="none"/>
        </w:rPr>
        <w:t>2025年</w:t>
      </w:r>
      <w:r>
        <w:rPr>
          <w:rFonts w:ascii="宋体" w:hAnsi="宋体" w:cs="宋体"/>
          <w:color w:val="auto"/>
          <w:sz w:val="24"/>
          <w:highlight w:val="none"/>
        </w:rPr>
        <w:fldChar w:fldCharType="end"/>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28</w:t>
      </w:r>
      <w:r>
        <w:rPr>
          <w:rFonts w:hint="eastAsia" w:ascii="宋体" w:hAnsi="宋体" w:cs="宋体"/>
          <w:color w:val="auto"/>
          <w:sz w:val="24"/>
          <w:highlight w:val="none"/>
        </w:rPr>
        <w:t>日09:00</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pPr>
        <w:spacing w:line="360" w:lineRule="auto"/>
        <w:rPr>
          <w:rFonts w:ascii="宋体" w:hAnsi="宋体" w:cs="宋体"/>
          <w:color w:val="auto"/>
          <w:sz w:val="24"/>
          <w:highlight w:val="none"/>
        </w:rPr>
      </w:pPr>
    </w:p>
    <w:p>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一、项目基本情况</w:t>
      </w:r>
    </w:p>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BHZC2025-J1-990315-CGZX</w:t>
      </w:r>
    </w:p>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项目名称：</w:t>
      </w:r>
      <w:bookmarkStart w:id="16" w:name="OLE_LINK20"/>
      <w:bookmarkStart w:id="17" w:name="OLE_LINK47"/>
      <w:bookmarkStart w:id="18" w:name="OLE_LINK18"/>
      <w:bookmarkStart w:id="19" w:name="OLE_LINK19"/>
      <w:r>
        <w:rPr>
          <w:rFonts w:hint="eastAsia" w:ascii="宋体" w:hAnsi="宋体" w:cs="宋体"/>
          <w:color w:val="auto"/>
          <w:kern w:val="0"/>
          <w:sz w:val="24"/>
          <w:highlight w:val="none"/>
          <w:lang w:eastAsia="zh-CN"/>
        </w:rPr>
        <w:t>北海职业学院电子信息产教联合体教学资产采购及安装项目</w:t>
      </w:r>
    </w:p>
    <w:bookmarkEnd w:id="16"/>
    <w:bookmarkEnd w:id="17"/>
    <w:bookmarkEnd w:id="18"/>
    <w:bookmarkEnd w:id="19"/>
    <w:p>
      <w:pPr>
        <w:tabs>
          <w:tab w:val="left" w:pos="9639"/>
          <w:tab w:val="left" w:pos="9746"/>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采购方式：竞争性谈判 </w:t>
      </w:r>
    </w:p>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预算金额（元）：</w:t>
      </w:r>
      <w:r>
        <w:rPr>
          <w:rFonts w:hint="eastAsia" w:ascii="宋体" w:hAnsi="宋体" w:cs="宋体"/>
          <w:color w:val="auto"/>
          <w:kern w:val="0"/>
          <w:sz w:val="24"/>
          <w:highlight w:val="none"/>
          <w:lang w:eastAsia="zh-CN"/>
        </w:rPr>
        <w:t>627,840.00</w:t>
      </w:r>
    </w:p>
    <w:p>
      <w:pPr>
        <w:tabs>
          <w:tab w:val="left" w:pos="9639"/>
          <w:tab w:val="left" w:pos="9746"/>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采购需求：</w:t>
      </w:r>
    </w:p>
    <w:p>
      <w:pPr>
        <w:spacing w:line="360" w:lineRule="auto"/>
        <w:ind w:firstLine="482" w:firstLineChars="200"/>
        <w:jc w:val="left"/>
        <w:rPr>
          <w:rFonts w:ascii="宋体" w:hAnsi="宋体" w:cs="宋体"/>
          <w:b/>
          <w:color w:val="auto"/>
          <w:sz w:val="24"/>
          <w:highlight w:val="none"/>
        </w:rPr>
      </w:pPr>
    </w:p>
    <w:p>
      <w:pPr>
        <w:spacing w:line="360" w:lineRule="auto"/>
        <w:ind w:firstLine="480" w:firstLineChars="200"/>
        <w:jc w:val="left"/>
        <w:rPr>
          <w:rFonts w:hint="eastAsia" w:ascii="宋体" w:hAnsi="宋体" w:eastAsia="宋体" w:cs="宋体"/>
          <w:b/>
          <w:color w:val="auto"/>
          <w:sz w:val="24"/>
          <w:highlight w:val="none"/>
          <w:lang w:eastAsia="zh-CN"/>
        </w:rPr>
      </w:pPr>
      <w:r>
        <w:rPr>
          <w:rFonts w:hint="eastAsia" w:ascii="宋体" w:hAnsi="宋体" w:cs="宋体"/>
          <w:color w:val="auto"/>
          <w:kern w:val="0"/>
          <w:sz w:val="24"/>
          <w:highlight w:val="none"/>
        </w:rPr>
        <w:t>标项名称:</w:t>
      </w:r>
      <w:r>
        <w:rPr>
          <w:rFonts w:hint="eastAsia" w:ascii="宋体" w:hAnsi="宋体" w:cs="宋体"/>
          <w:color w:val="auto"/>
          <w:kern w:val="0"/>
          <w:sz w:val="24"/>
          <w:highlight w:val="none"/>
          <w:lang w:eastAsia="zh-CN"/>
        </w:rPr>
        <w:t>北海职业学院电子信息产教联合体教学资产采购及安装项目</w:t>
      </w:r>
    </w:p>
    <w:p>
      <w:pPr>
        <w:spacing w:line="360" w:lineRule="auto"/>
        <w:ind w:left="479" w:leftChars="228"/>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rPr>
        <w:t>数量:1批</w:t>
      </w:r>
      <w:r>
        <w:rPr>
          <w:rFonts w:hint="eastAsia" w:ascii="宋体" w:hAnsi="宋体" w:cs="宋体"/>
          <w:color w:val="auto"/>
          <w:sz w:val="24"/>
          <w:highlight w:val="none"/>
        </w:rPr>
        <w:br w:type="textWrapping"/>
      </w:r>
      <w:r>
        <w:rPr>
          <w:rFonts w:hint="eastAsia" w:ascii="宋体" w:hAnsi="宋体" w:cs="宋体"/>
          <w:color w:val="auto"/>
          <w:sz w:val="24"/>
          <w:highlight w:val="none"/>
        </w:rPr>
        <w:t>预算金额（元）：</w:t>
      </w:r>
      <w:r>
        <w:rPr>
          <w:rFonts w:hint="eastAsia" w:ascii="宋体" w:hAnsi="宋体" w:cs="宋体"/>
          <w:color w:val="auto"/>
          <w:kern w:val="0"/>
          <w:sz w:val="24"/>
          <w:highlight w:val="none"/>
          <w:lang w:eastAsia="zh-CN"/>
        </w:rPr>
        <w:t>627,840.00</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简要规格描述或项目基本概况介绍、用途：</w:t>
      </w:r>
      <w:bookmarkStart w:id="20" w:name="OLE_LINK107"/>
      <w:bookmarkStart w:id="21" w:name="OLE_LINK108"/>
      <w:bookmarkStart w:id="22" w:name="OLE_LINK109"/>
      <w:bookmarkStart w:id="23" w:name="OLE_LINK30"/>
      <w:r>
        <w:rPr>
          <w:rFonts w:hint="eastAsia" w:ascii="宋体" w:hAnsi="宋体" w:cs="宋体"/>
          <w:color w:val="auto"/>
          <w:sz w:val="24"/>
          <w:highlight w:val="none"/>
          <w:lang w:eastAsia="zh-CN"/>
        </w:rPr>
        <w:t>采购</w:t>
      </w:r>
      <w:bookmarkEnd w:id="20"/>
      <w:bookmarkEnd w:id="21"/>
      <w:bookmarkEnd w:id="22"/>
      <w:r>
        <w:rPr>
          <w:rFonts w:hint="eastAsia" w:ascii="宋体" w:hAnsi="宋体" w:cs="宋体"/>
          <w:color w:val="auto"/>
          <w:sz w:val="24"/>
          <w:highlight w:val="none"/>
          <w:lang w:eastAsia="zh-CN"/>
        </w:rPr>
        <w:t>台式电脑、学生桌、触控一体机、立柜式空调等</w:t>
      </w:r>
      <w:r>
        <w:rPr>
          <w:rFonts w:hint="eastAsia" w:ascii="宋体" w:hAnsi="宋体" w:cs="宋体"/>
          <w:color w:val="auto"/>
          <w:sz w:val="24"/>
          <w:highlight w:val="none"/>
        </w:rPr>
        <w:t>，如需进一步了解，详见谈判文件。</w:t>
      </w:r>
    </w:p>
    <w:bookmarkEnd w:id="23"/>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bookmarkStart w:id="24" w:name="OLE_LINK41"/>
      <w:bookmarkStart w:id="25" w:name="OLE_LINK42"/>
      <w:bookmarkStart w:id="26" w:name="OLE_LINK53"/>
      <w:r>
        <w:rPr>
          <w:rFonts w:hint="eastAsia" w:ascii="宋体" w:hAnsi="宋体" w:cs="宋体"/>
          <w:color w:val="auto"/>
          <w:sz w:val="24"/>
          <w:highlight w:val="none"/>
        </w:rPr>
        <w:t>最高限价（元）：</w:t>
      </w:r>
      <w:r>
        <w:rPr>
          <w:rFonts w:hint="eastAsia" w:ascii="宋体" w:hAnsi="宋体" w:cs="宋体"/>
          <w:color w:val="auto"/>
          <w:kern w:val="0"/>
          <w:sz w:val="24"/>
          <w:highlight w:val="none"/>
          <w:lang w:eastAsia="zh-CN"/>
        </w:rPr>
        <w:t>627,840.00</w:t>
      </w:r>
    </w:p>
    <w:bookmarkEnd w:id="24"/>
    <w:bookmarkEnd w:id="25"/>
    <w:bookmarkEnd w:id="26"/>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合同履约期限：</w:t>
      </w:r>
      <w:bookmarkStart w:id="27" w:name="OLE_LINK61"/>
      <w:bookmarkStart w:id="28" w:name="OLE_LINK54"/>
      <w:r>
        <w:rPr>
          <w:rFonts w:hint="eastAsia" w:ascii="宋体" w:hAnsi="宋体" w:cs="宋体"/>
          <w:color w:val="auto"/>
          <w:sz w:val="24"/>
          <w:highlight w:val="none"/>
          <w:lang w:eastAsia="zh-CN"/>
        </w:rPr>
        <w:t>签订合同后</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个日历日</w:t>
      </w:r>
      <w:r>
        <w:rPr>
          <w:rFonts w:hint="eastAsia" w:ascii="宋体" w:hAnsi="宋体" w:cs="宋体"/>
          <w:color w:val="auto"/>
          <w:sz w:val="24"/>
          <w:highlight w:val="none"/>
        </w:rPr>
        <w:t>。</w:t>
      </w:r>
      <w:bookmarkEnd w:id="27"/>
      <w:bookmarkEnd w:id="28"/>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本标项（否）接受联合体投标</w:t>
      </w:r>
    </w:p>
    <w:p>
      <w:pPr>
        <w:spacing w:line="360" w:lineRule="auto"/>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备注：</w:t>
      </w:r>
    </w:p>
    <w:p>
      <w:pPr>
        <w:widowControl/>
        <w:numPr>
          <w:ilvl w:val="0"/>
          <w:numId w:val="7"/>
        </w:numPr>
        <w:spacing w:before="204" w:after="204" w:line="360" w:lineRule="auto"/>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申请人的资格要求：</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bookmarkStart w:id="29" w:name="OLE_LINK80"/>
      <w:bookmarkStart w:id="30" w:name="OLE_LINK79"/>
      <w:r>
        <w:rPr>
          <w:rFonts w:hint="eastAsia" w:ascii="宋体" w:hAnsi="宋体" w:cs="宋体"/>
          <w:color w:val="auto"/>
          <w:szCs w:val="21"/>
          <w:highlight w:val="none"/>
        </w:rPr>
        <w:t>无</w:t>
      </w:r>
      <w:r>
        <w:rPr>
          <w:rFonts w:ascii="宋体" w:hAnsi="宋体" w:cs="宋体"/>
          <w:color w:val="auto"/>
          <w:sz w:val="24"/>
          <w:highlight w:val="none"/>
        </w:rPr>
        <w:t>；</w:t>
      </w:r>
      <w:bookmarkEnd w:id="29"/>
      <w:bookmarkEnd w:id="30"/>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ascii="宋体" w:hAnsi="宋体" w:cs="宋体"/>
          <w:color w:val="auto"/>
          <w:sz w:val="24"/>
          <w:highlight w:val="none"/>
        </w:rPr>
        <w:t>分标1：</w:t>
      </w:r>
      <w:r>
        <w:rPr>
          <w:rFonts w:hint="eastAsia" w:ascii="宋体" w:hAnsi="宋体" w:cs="宋体"/>
          <w:color w:val="auto"/>
          <w:sz w:val="24"/>
          <w:highlight w:val="none"/>
        </w:rPr>
        <w:t>无。</w:t>
      </w:r>
    </w:p>
    <w:p>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三、获取采购文件</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时间：2025年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日至2025年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日，每天上午00:00至12:00，下午12:00至23:59（北京时间，法定节假日除外）</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地点（网址）：</w:t>
      </w:r>
      <w:bookmarkStart w:id="31" w:name="OLE_LINK81"/>
      <w:bookmarkStart w:id="32" w:name="OLE_LINK82"/>
      <w:r>
        <w:rPr>
          <w:rFonts w:hint="eastAsia" w:ascii="宋体" w:hAnsi="宋体" w:cs="宋体"/>
          <w:color w:val="auto"/>
          <w:sz w:val="24"/>
          <w:highlight w:val="none"/>
        </w:rPr>
        <w:t>广西政府采购云平台（网址：http://www.gcy.zfcg.gxzf.gov.cn）</w:t>
      </w:r>
      <w:bookmarkEnd w:id="31"/>
      <w:bookmarkEnd w:id="32"/>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方式：</w:t>
      </w:r>
      <w:bookmarkStart w:id="33" w:name="OLE_LINK83"/>
      <w:bookmarkStart w:id="34" w:name="OLE_LINK84"/>
      <w:r>
        <w:rPr>
          <w:rFonts w:hint="eastAsia" w:ascii="宋体" w:hAnsi="宋体" w:cs="宋体"/>
          <w:color w:val="auto"/>
          <w:sz w:val="24"/>
          <w:highlight w:val="none"/>
        </w:rPr>
        <w:t>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w:t>
      </w:r>
      <w:bookmarkEnd w:id="33"/>
      <w:bookmarkEnd w:id="34"/>
      <w:r>
        <w:rPr>
          <w:rFonts w:hint="eastAsia" w:ascii="宋体" w:hAnsi="宋体" w:cs="宋体"/>
          <w:color w:val="auto"/>
          <w:sz w:val="24"/>
          <w:highlight w:val="none"/>
        </w:rPr>
        <w:t>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售价（元）：0</w:t>
      </w:r>
    </w:p>
    <w:p>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四、响应文件提交</w:t>
      </w:r>
      <w:r>
        <w:rPr>
          <w:rFonts w:hint="eastAsia" w:ascii="宋体" w:hAnsi="宋体" w:cs="宋体"/>
          <w:color w:val="auto"/>
          <w:kern w:val="0"/>
          <w:sz w:val="24"/>
          <w:highlight w:val="none"/>
          <w:lang w:bidi="ar"/>
        </w:rPr>
        <w:t>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截止时间：2025年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28</w:t>
      </w:r>
      <w:r>
        <w:rPr>
          <w:rFonts w:hint="eastAsia" w:ascii="宋体" w:hAnsi="宋体" w:cs="宋体"/>
          <w:color w:val="auto"/>
          <w:sz w:val="24"/>
          <w:highlight w:val="none"/>
        </w:rPr>
        <w:t>日09:00（北京时间）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w:t>
      </w:r>
      <w:bookmarkStart w:id="35" w:name="OLE_LINK67"/>
      <w:bookmarkStart w:id="36" w:name="OLE_LINK68"/>
      <w:bookmarkStart w:id="37" w:name="OLE_LINK85"/>
      <w:r>
        <w:rPr>
          <w:rFonts w:hint="eastAsia" w:ascii="宋体" w:hAnsi="宋体" w:cs="宋体"/>
          <w:color w:val="auto"/>
          <w:sz w:val="24"/>
          <w:highlight w:val="none"/>
        </w:rPr>
        <w:t>通过广西政府采购云平台实行在线谈判响应。</w:t>
      </w:r>
      <w:bookmarkEnd w:id="35"/>
      <w:bookmarkEnd w:id="36"/>
      <w:bookmarkEnd w:id="37"/>
    </w:p>
    <w:p>
      <w:pPr>
        <w:spacing w:line="360" w:lineRule="auto"/>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五、响应文件开启</w:t>
      </w:r>
      <w:r>
        <w:rPr>
          <w:rFonts w:hint="eastAsia" w:ascii="宋体" w:hAnsi="宋体" w:cs="宋体"/>
          <w:color w:val="auto"/>
          <w:kern w:val="0"/>
          <w:sz w:val="24"/>
          <w:highlight w:val="none"/>
          <w:lang w:bidi="ar"/>
        </w:rPr>
        <w:t> </w:t>
      </w:r>
    </w:p>
    <w:p>
      <w:pPr>
        <w:widowControl/>
        <w:spacing w:before="60" w:after="60" w:line="36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开启时间：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28</w:t>
      </w:r>
      <w:r>
        <w:rPr>
          <w:rFonts w:hint="eastAsia" w:ascii="宋体" w:hAnsi="宋体" w:cs="宋体"/>
          <w:color w:val="auto"/>
          <w:sz w:val="24"/>
          <w:highlight w:val="none"/>
        </w:rPr>
        <w:t>日09:00（北京时间）</w:t>
      </w:r>
      <w:r>
        <w:rPr>
          <w:rFonts w:hint="eastAsia" w:ascii="宋体" w:hAnsi="宋体" w:cs="宋体"/>
          <w:color w:val="auto"/>
          <w:kern w:val="0"/>
          <w:sz w:val="24"/>
          <w:highlight w:val="none"/>
          <w:lang w:bidi="ar"/>
        </w:rPr>
        <w:t>。</w:t>
      </w:r>
    </w:p>
    <w:p>
      <w:pPr>
        <w:widowControl/>
        <w:spacing w:before="60" w:after="60" w:line="36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地点：</w:t>
      </w:r>
      <w:bookmarkStart w:id="38" w:name="OLE_LINK65"/>
      <w:bookmarkStart w:id="39" w:name="OLE_LINK66"/>
      <w:r>
        <w:rPr>
          <w:rFonts w:hint="eastAsia" w:ascii="宋体" w:hAnsi="宋体" w:cs="宋体"/>
          <w:color w:val="auto"/>
          <w:kern w:val="0"/>
          <w:sz w:val="24"/>
          <w:highlight w:val="none"/>
          <w:lang w:bidi="ar"/>
        </w:rPr>
        <w:t>通过</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lang w:bidi="ar"/>
        </w:rPr>
        <w:t>实行在线解密开启。</w:t>
      </w:r>
      <w:bookmarkEnd w:id="38"/>
      <w:bookmarkEnd w:id="39"/>
    </w:p>
    <w:p>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六、公告期限</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自本公告发布之日起3个工作日。</w:t>
      </w:r>
    </w:p>
    <w:p>
      <w:pPr>
        <w:spacing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七、其他补充事宜</w:t>
      </w:r>
      <w:r>
        <w:rPr>
          <w:rFonts w:hint="eastAsia" w:ascii="宋体" w:hAnsi="宋体" w:cs="宋体"/>
          <w:color w:val="auto"/>
          <w:kern w:val="0"/>
          <w:sz w:val="24"/>
          <w:highlight w:val="none"/>
          <w:lang w:bidi="ar"/>
        </w:rPr>
        <w:t> </w:t>
      </w:r>
    </w:p>
    <w:p>
      <w:pPr>
        <w:spacing w:line="360" w:lineRule="auto"/>
        <w:ind w:firstLine="480" w:firstLineChars="200"/>
        <w:rPr>
          <w:rFonts w:ascii="宋体" w:hAnsi="宋体" w:cs="宋体"/>
          <w:color w:val="auto"/>
          <w:sz w:val="24"/>
          <w:highlight w:val="none"/>
        </w:rPr>
      </w:pPr>
      <w:bookmarkStart w:id="40" w:name="OLE_LINK58"/>
      <w:bookmarkStart w:id="41" w:name="OLE_LINK133"/>
      <w:bookmarkStart w:id="42" w:name="OLE_LINK59"/>
      <w:bookmarkStart w:id="43" w:name="OLE_LINK134"/>
      <w:bookmarkStart w:id="44" w:name="OLE_LINK135"/>
      <w:bookmarkStart w:id="45" w:name="OLE_LINK158"/>
      <w:r>
        <w:rPr>
          <w:rFonts w:hint="eastAsia" w:ascii="宋体" w:hAnsi="宋体" w:cs="宋体"/>
          <w:color w:val="auto"/>
          <w:sz w:val="24"/>
          <w:highlight w:val="none"/>
        </w:rPr>
        <w:t>1.本项目不收取谈判保证金。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w:t>
      </w:r>
      <w:bookmarkStart w:id="46" w:name="OLE_LINK98"/>
      <w:bookmarkStart w:id="47" w:name="OLE_LINK97"/>
      <w:r>
        <w:rPr>
          <w:rFonts w:hint="eastAsia" w:ascii="宋体" w:hAnsi="宋体" w:cs="宋体"/>
          <w:color w:val="auto"/>
          <w:sz w:val="24"/>
          <w:highlight w:val="none"/>
        </w:rPr>
        <w:t>（1）支持采用本国产品：政府采购应当采购本国产品，确需采购进口产品的，实行审核管理。优先采购向我国企业转让技术、与我国企业签订消化吸收再创新方案的供应商的进口产品。</w:t>
      </w:r>
      <w:bookmarkEnd w:id="46"/>
      <w:bookmarkEnd w:id="47"/>
      <w:r>
        <w:rPr>
          <w:rFonts w:hint="eastAsia" w:ascii="宋体" w:hAnsi="宋体" w:cs="宋体"/>
          <w:color w:val="auto"/>
          <w:sz w:val="24"/>
          <w:highlight w:val="none"/>
        </w:rPr>
        <w:t>（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w:t>
      </w:r>
      <w:bookmarkStart w:id="48" w:name="OLE_LINK96"/>
      <w:bookmarkStart w:id="49" w:name="OLE_LINK95"/>
      <w:r>
        <w:rPr>
          <w:rFonts w:hint="eastAsia" w:ascii="宋体" w:hAnsi="宋体" w:cs="宋体"/>
          <w:color w:val="auto"/>
          <w:sz w:val="24"/>
          <w:highlight w:val="none"/>
        </w:rPr>
        <w:t>（6）平等对待内外资企业和符合条件的破产重整企业。</w:t>
      </w:r>
      <w:bookmarkEnd w:id="48"/>
      <w:bookmarkEnd w:id="49"/>
    </w:p>
    <w:p>
      <w:pPr>
        <w:spacing w:line="360" w:lineRule="auto"/>
        <w:ind w:firstLine="480" w:firstLineChars="200"/>
        <w:rPr>
          <w:color w:val="auto"/>
          <w:highlight w:val="none"/>
        </w:rPr>
      </w:pPr>
      <w:bookmarkStart w:id="50" w:name="OLE_LINK106"/>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bookmarkEnd w:id="50"/>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w:t>
      </w:r>
      <w:bookmarkStart w:id="51" w:name="OLE_LINK123"/>
      <w:bookmarkStart w:id="52" w:name="OLE_LINK124"/>
      <w:bookmarkStart w:id="53" w:name="OLE_LINK33"/>
      <w:bookmarkStart w:id="54" w:name="OLE_LINK32"/>
      <w:r>
        <w:rPr>
          <w:rFonts w:hint="eastAsia" w:ascii="宋体" w:hAnsi="宋体"/>
          <w:color w:val="auto"/>
          <w:sz w:val="24"/>
          <w:highlight w:val="none"/>
        </w:rPr>
        <w:t>中国政府采购网、广西政府采购网、北海市政府采购监管网、全国公共资源交易平台（广西•北海）、北海市人民政府网-北海市政府采购中心网站</w:t>
      </w:r>
      <w:bookmarkEnd w:id="51"/>
      <w:bookmarkEnd w:id="52"/>
      <w:bookmarkEnd w:id="53"/>
      <w:bookmarkEnd w:id="54"/>
      <w:r>
        <w:rPr>
          <w:rFonts w:hint="eastAsia" w:ascii="宋体" w:hAnsi="宋体" w:cs="宋体"/>
          <w:color w:val="auto"/>
          <w:sz w:val="24"/>
          <w:highlight w:val="none"/>
        </w:rPr>
        <w:t>。</w:t>
      </w:r>
    </w:p>
    <w:p>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谈判响应（电子投标），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CA证书申请操作指南下载地址（网上申请方式见网址：</w:t>
      </w:r>
      <w:bookmarkStart w:id="55" w:name="OLE_LINK110"/>
      <w:bookmarkStart w:id="56" w:name="OLE_LINK111"/>
      <w:r>
        <w:rPr>
          <w:rFonts w:hint="eastAsia" w:ascii="宋体" w:hAnsi="宋体" w:cs="宋体"/>
          <w:color w:val="auto"/>
          <w:sz w:val="24"/>
          <w:highlight w:val="none"/>
        </w:rPr>
        <w:t>http://www.ccgp-guangxi.gov.cn/luban/detail?parentId=66479&amp;articleId=pSO9fZ16UrkQX4GkrKyqiA==&amp;utm=luban.luban-PC-38919.1085-pc-wsg-guangxi-secondPage-front.1.2e18f760d69611ed8f2cc9701088ccbf</w:t>
      </w:r>
      <w:bookmarkEnd w:id="55"/>
      <w:bookmarkEnd w:id="56"/>
      <w:r>
        <w:rPr>
          <w:rFonts w:hint="eastAsia" w:ascii="宋体" w:hAnsi="宋体" w:cs="宋体"/>
          <w:color w:val="auto"/>
          <w:sz w:val="24"/>
          <w:highlight w:val="none"/>
        </w:rPr>
        <w:t>）（广西政府采购网）或（现场办理：</w:t>
      </w:r>
      <w:bookmarkStart w:id="57" w:name="OLE_LINK112"/>
      <w:bookmarkStart w:id="58" w:name="OLE_LINK113"/>
      <w:r>
        <w:rPr>
          <w:rFonts w:hint="eastAsia" w:ascii="宋体" w:hAnsi="宋体" w:cs="宋体"/>
          <w:color w:val="auto"/>
          <w:sz w:val="24"/>
          <w:highlight w:val="none"/>
        </w:rPr>
        <w:t>https://www.gxca.com.cn/detail/detail?articleId=1546808615271264258&amp;classifyId=1546335737551556610&amp;pid=1546335679795990530</w:t>
      </w:r>
      <w:bookmarkEnd w:id="57"/>
      <w:bookmarkEnd w:id="58"/>
      <w:r>
        <w:rPr>
          <w:rFonts w:hint="eastAsia" w:ascii="宋体" w:hAnsi="宋体" w:cs="宋体"/>
          <w:color w:val="auto"/>
          <w:sz w:val="24"/>
          <w:highlight w:val="none"/>
        </w:rPr>
        <w:t>（广西壮族自治区数字证书认证中心）。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7.本项目为北海市推动解决政府采购异常低价试点项目。</w:t>
      </w:r>
      <w:bookmarkEnd w:id="40"/>
      <w:bookmarkEnd w:id="41"/>
      <w:bookmarkEnd w:id="42"/>
      <w:bookmarkEnd w:id="43"/>
      <w:bookmarkEnd w:id="44"/>
      <w:bookmarkEnd w:id="45"/>
    </w:p>
    <w:p>
      <w:pPr>
        <w:spacing w:line="360" w:lineRule="auto"/>
        <w:ind w:firstLine="482" w:firstLineChars="200"/>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八、凡对本次谈判提出询问，请按以下方式联系</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1.采购人信息</w:t>
      </w:r>
    </w:p>
    <w:p>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北海职业学院</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广西北海市西藏路48号</w:t>
      </w:r>
      <w:r>
        <w:rPr>
          <w:rFonts w:hint="eastAsia" w:ascii="宋体" w:hAnsi="宋体" w:cs="宋体"/>
          <w:color w:val="auto"/>
          <w:sz w:val="24"/>
          <w:highlight w:val="none"/>
        </w:rPr>
        <w:t xml:space="preserve">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项目联系人：苫晓梦</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项目联系方式：0779-3902121</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名    称：北海市政府采购中心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w:t>
      </w:r>
      <w:bookmarkStart w:id="59" w:name="OLE_LINK63"/>
      <w:bookmarkStart w:id="60" w:name="OLE_LINK62"/>
      <w:r>
        <w:rPr>
          <w:rFonts w:hint="eastAsia" w:ascii="宋体" w:hAnsi="宋体" w:cs="宋体"/>
          <w:color w:val="auto"/>
          <w:sz w:val="24"/>
          <w:highlight w:val="none"/>
        </w:rPr>
        <w:t>北海市海城区陈文村北路7号市直机关第三办公区2号楼一层</w:t>
      </w:r>
      <w:bookmarkEnd w:id="59"/>
      <w:bookmarkEnd w:id="60"/>
      <w:r>
        <w:rPr>
          <w:rFonts w:hint="eastAsia" w:ascii="宋体" w:hAnsi="宋体" w:cs="宋体"/>
          <w:color w:val="auto"/>
          <w:sz w:val="24"/>
          <w:highlight w:val="none"/>
        </w:rPr>
        <w:t xml:space="preserve">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欧呈东</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项目联系方式(询问)：0779-3071101 </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若对项目采购电子交易系统操作有疑问，可登录广西政府采购云平台，点击右侧咨询小采，获取采小蜜智能服务管家帮助，或拨打广西政府采购云平台服务热线95763获取热线服务帮助。</w:t>
      </w:r>
    </w:p>
    <w:bookmarkEnd w:id="12"/>
    <w:bookmarkEnd w:id="13"/>
    <w:p>
      <w:pPr>
        <w:pStyle w:val="31"/>
        <w:spacing w:line="360" w:lineRule="auto"/>
        <w:ind w:firstLine="480" w:firstLineChars="200"/>
        <w:rPr>
          <w:rFonts w:cs="仿宋_GB2312" w:asciiTheme="minorEastAsia" w:hAnsiTheme="minorEastAsia" w:eastAsiaTheme="minorEastAsia"/>
          <w:color w:val="auto"/>
          <w:sz w:val="24"/>
          <w:szCs w:val="24"/>
          <w:highlight w:val="none"/>
        </w:rPr>
      </w:pPr>
    </w:p>
    <w:p>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61" w:name="_Toc181265282"/>
      <w:r>
        <w:rPr>
          <w:rFonts w:hint="eastAsia" w:cs="仿宋_GB2312" w:asciiTheme="minorEastAsia" w:hAnsiTheme="minorEastAsia" w:eastAsiaTheme="minorEastAsia"/>
          <w:b/>
          <w:color w:val="auto"/>
          <w:sz w:val="36"/>
          <w:szCs w:val="20"/>
          <w:highlight w:val="none"/>
        </w:rPr>
        <w:t>第二部分  竞争性谈判流程</w:t>
      </w:r>
      <w:bookmarkEnd w:id="61"/>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pPr>
        <w:pStyle w:val="392"/>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由采购人、采购代理机构在省级以上人民政府财政部门指定的政府采购信息发布媒体上发布谈判公告，邀请符合相应资格条件的供应商参与竞争性谈判采购活动。</w:t>
      </w:r>
    </w:p>
    <w:p>
      <w:pPr>
        <w:pStyle w:val="392"/>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由采购人、采购代理机构从省级以上财政部门建立的供应商库中随机抽取不少于3家符合相应资格条件的供应商参与竞争性谈判采购活动。</w:t>
      </w:r>
    </w:p>
    <w:p>
      <w:pPr>
        <w:pStyle w:val="392"/>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1.2供应商获取谈判文件。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1.4发布更正（延期）公告，澄清或修改谈判文件（如果有）。</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1.5供应商按谈判文件要求编制响应文件。</w:t>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3.谈判与评审</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3.1谈判小组签到。</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3.2采购代理机构宣布有关纪律以及谈判、评审工作程序。</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3.3谈判小组审查确认谈判文件。谈判文件内容违反国家有关强制性规定的，谈判小组应当停止评审并向采购代理机构说明情况。</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3.4谈判小组对供应商的资格进行审查。</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3.5谈判小组审查响应文件。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3.6对于未实质性响应谈判文件的响应文件由谈判小组认定响应无效，并告知该供应商。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3.11谈判小组按照下列方式确定提交最后报价的供应商，有特殊规定的从其规定：</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依法及时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pPr>
        <w:pStyle w:val="392"/>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6.竞争性谈判流程图</w:t>
      </w:r>
    </w:p>
    <w:p>
      <w:pPr>
        <w:pStyle w:val="392"/>
        <w:spacing w:before="0"/>
        <w:ind w:firstLine="0" w:firstLineChars="0"/>
        <w:rPr>
          <w:rFonts w:asciiTheme="minorEastAsia" w:hAnsiTheme="minorEastAsia" w:eastAsiaTheme="minorEastAsia"/>
          <w:b/>
          <w:color w:val="auto"/>
          <w:highlight w:val="none"/>
        </w:rPr>
      </w:pPr>
    </w:p>
    <w:p>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最后报价评审</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最后报价评审</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62" w:name="_Toc181265283"/>
      <w:r>
        <w:rPr>
          <w:rFonts w:hint="eastAsia" w:cs="仿宋_GB2312" w:asciiTheme="minorEastAsia" w:hAnsiTheme="minorEastAsia" w:eastAsiaTheme="minorEastAsia"/>
          <w:b/>
          <w:color w:val="auto"/>
          <w:sz w:val="36"/>
          <w:szCs w:val="20"/>
          <w:highlight w:val="none"/>
        </w:rPr>
        <w:t>第三部分</w:t>
      </w:r>
      <w:bookmarkEnd w:id="9"/>
      <w:r>
        <w:rPr>
          <w:rFonts w:hint="eastAsia" w:cs="仿宋_GB2312" w:asciiTheme="minorEastAsia" w:hAnsiTheme="minorEastAsia" w:eastAsiaTheme="minorEastAsia"/>
          <w:b/>
          <w:color w:val="auto"/>
          <w:sz w:val="36"/>
          <w:szCs w:val="20"/>
          <w:highlight w:val="none"/>
        </w:rPr>
        <w:t xml:space="preserve">  供应商须知</w:t>
      </w:r>
      <w:bookmarkEnd w:id="10"/>
      <w:bookmarkEnd w:id="62"/>
    </w:p>
    <w:p>
      <w:pPr>
        <w:adjustRightInd/>
        <w:spacing w:line="360" w:lineRule="auto"/>
        <w:jc w:val="center"/>
        <w:outlineLvl w:val="1"/>
        <w:rPr>
          <w:rFonts w:ascii="宋体" w:hAnsi="宋体" w:cs="仿宋_GB2312"/>
          <w:b/>
          <w:color w:val="auto"/>
          <w:sz w:val="36"/>
          <w:szCs w:val="20"/>
          <w:highlight w:val="none"/>
        </w:rPr>
      </w:pPr>
      <w:r>
        <w:rPr>
          <w:rFonts w:hint="eastAsia" w:ascii="宋体" w:hAnsi="宋体" w:cs="仿宋_GB2312"/>
          <w:b/>
          <w:color w:val="auto"/>
          <w:sz w:val="36"/>
          <w:szCs w:val="20"/>
          <w:highlight w:val="none"/>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台式电脑（含显示器）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采购标的及其对应的中小企业划分标准所属行业</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bookmarkStart w:id="63" w:name="OLE_LINK77"/>
            <w:r>
              <w:rPr>
                <w:rFonts w:hint="eastAsia" w:ascii="宋体" w:hAnsi="宋体" w:cs="宋体"/>
                <w:color w:val="auto"/>
                <w:kern w:val="0"/>
                <w:sz w:val="24"/>
                <w:highlight w:val="none"/>
                <w:u w:val="single"/>
              </w:rPr>
              <w:t>采购需求所列的各项货物</w:t>
            </w:r>
            <w:bookmarkEnd w:id="63"/>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工业</w:t>
            </w:r>
            <w:r>
              <w:rPr>
                <w:rFonts w:hint="eastAsia" w:ascii="宋体" w:hAnsi="宋体" w:cs="宋体"/>
                <w:color w:val="auto"/>
                <w:kern w:val="0"/>
                <w:sz w:val="24"/>
                <w:highlight w:val="none"/>
              </w:rPr>
              <w:t>行业；</w:t>
            </w:r>
          </w:p>
          <w:p>
            <w:pPr>
              <w:keepNext/>
              <w:keepLines/>
              <w:tabs>
                <w:tab w:val="left" w:pos="432"/>
              </w:tabs>
              <w:spacing w:before="260" w:after="260" w:line="416" w:lineRule="auto"/>
              <w:ind w:left="432"/>
              <w:outlineLvl w:val="1"/>
              <w:rPr>
                <w:rFonts w:ascii="宋体" w:hAnsi="宋体" w:cs="宋体" w:eastAsiaTheme="majorEastAsia"/>
                <w:color w:val="auto"/>
                <w:kern w:val="0"/>
                <w:sz w:val="24"/>
                <w:highlight w:val="none"/>
                <w:lang w:eastAsia="en-US"/>
              </w:rPr>
            </w:pPr>
            <w:r>
              <w:rPr>
                <w:rFonts w:hint="eastAsia" w:ascii="宋体" w:hAnsi="宋体" w:cs="宋体" w:eastAsiaTheme="majorEastAsia"/>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51329843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4805018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96896613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p>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07780508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7123741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0136147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190916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7405526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B要求提供，</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评审标准</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203106568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4861695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。请供应商在上述时间内提供样品并按规定位置安装完毕。超过截止时间的，采购人或采购代理机构将不予接收，并将清场并封闭样品现场。</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2056903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79996009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B组织。</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（1）在评审时安排每个供应商进行方案讲解演示。每个供应商时间不超过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分钟，讲解次序以响应文件解密时间先后次序为准，讲解演示人员不超过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，讲解演示所用电脑等设备由供应商自备。现场讲解演示人员进场时提供讲解人员名单（加盖公章或授权代表签名）及身份证明，否则不得讲解演示。</w:t>
            </w:r>
          </w:p>
          <w:p>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1"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供应商应当提供的资格、资信证明文件</w:t>
            </w:r>
          </w:p>
        </w:tc>
        <w:tc>
          <w:tcPr>
            <w:tcW w:w="6520"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（1）资格证明文件：见谈判文件第三部分 六。</w:t>
            </w:r>
          </w:p>
          <w:p>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供应商未提供有效的资格证明文件的，视为供应商不具备谈判文件中规定的资格要求，响应无效。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jc w:val="left"/>
              <w:rPr>
                <w:rFonts w:ascii="宋体" w:hAnsi="宋体" w:cs="宋体"/>
                <w:color w:val="auto"/>
                <w:sz w:val="24"/>
                <w:highlight w:val="none"/>
              </w:rPr>
            </w:pPr>
          </w:p>
        </w:tc>
        <w:tc>
          <w:tcPr>
            <w:tcW w:w="1843" w:type="dxa"/>
            <w:vMerge w:val="continue"/>
            <w:tcBorders>
              <w:top w:val="single" w:color="000000" w:sz="8" w:space="0"/>
              <w:left w:val="single" w:color="auto" w:sz="4" w:space="0"/>
              <w:bottom w:val="single" w:color="000000" w:sz="8" w:space="0"/>
              <w:right w:val="single" w:color="000000" w:sz="8" w:space="0"/>
            </w:tcBorders>
            <w:vAlign w:val="center"/>
          </w:tcPr>
          <w:p>
            <w:pPr>
              <w:widowControl/>
              <w:adjustRightInd/>
              <w:jc w:val="left"/>
              <w:rPr>
                <w:rFonts w:ascii="宋体" w:hAnsi="宋体" w:cs="宋体"/>
                <w:b/>
                <w:color w:val="auto"/>
                <w:sz w:val="24"/>
                <w:highlight w:val="none"/>
              </w:rPr>
            </w:pPr>
          </w:p>
        </w:tc>
        <w:tc>
          <w:tcPr>
            <w:tcW w:w="6520"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（2）资信证明文件：根据谈判文件采购需求等有关要求提供。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最后报价要求</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有关本项目实施所需的所有费用（含税费）均计入最后报价。《最后报价</w:t>
            </w:r>
            <w:r>
              <w:rPr>
                <w:rFonts w:hint="eastAsia" w:ascii="宋体" w:hAnsi="宋体" w:cs="宋体"/>
                <w:color w:val="auto"/>
                <w:sz w:val="24"/>
                <w:highlight w:val="none"/>
              </w:rPr>
              <w:t>一览表（报价表）</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是最后报价的唯一载体</w:t>
            </w:r>
            <w:r>
              <w:rPr>
                <w:rFonts w:hint="eastAsia" w:ascii="宋体" w:hAnsi="宋体" w:cs="宋体"/>
                <w:color w:val="auto"/>
                <w:kern w:val="0"/>
                <w:sz w:val="24"/>
                <w:highlight w:val="none"/>
                <w:lang w:val="zh-CN"/>
              </w:rPr>
              <w:t>。谈判文件中价格全部采用人民币报价。谈判文件未列明，而供应商认为必需的费用也需列入报价。</w:t>
            </w:r>
            <w:r>
              <w:rPr>
                <w:rFonts w:hint="eastAsia" w:ascii="宋体" w:hAnsi="宋体" w:cs="宋体"/>
                <w:b/>
                <w:color w:val="auto"/>
                <w:kern w:val="0"/>
                <w:sz w:val="24"/>
                <w:highlight w:val="none"/>
                <w:lang w:val="zh-CN"/>
              </w:rPr>
              <w:t>提醒：验收时检测费用由采购人承担，不包含在最后报价中。</w:t>
            </w:r>
          </w:p>
          <w:p>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最后报价出现下列情形的，响应无效：</w:t>
            </w:r>
          </w:p>
          <w:p>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响应文件出现不是唯一的、有选择性的最后报价的；</w:t>
            </w:r>
          </w:p>
          <w:p>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最后报价超过谈判文件中规定的预算金额或者最高限价的;</w:t>
            </w:r>
          </w:p>
          <w:p>
            <w:pPr>
              <w:snapToGrid w:val="0"/>
              <w:spacing w:line="360" w:lineRule="auto"/>
              <w:ind w:firstLine="482" w:firstLineChars="200"/>
              <w:jc w:val="left"/>
              <w:rPr>
                <w:rFonts w:ascii="宋体" w:hAnsi="宋体" w:cs="宋体"/>
                <w:b/>
                <w:color w:val="auto"/>
                <w:kern w:val="0"/>
                <w:sz w:val="24"/>
                <w:highlight w:val="none"/>
                <w:lang w:val="zh-CN"/>
              </w:rPr>
            </w:pPr>
            <w:bookmarkStart w:id="64" w:name="OLE_LINK48"/>
            <w:bookmarkStart w:id="65" w:name="OLE_LINK50"/>
            <w:r>
              <w:rPr>
                <w:rFonts w:hint="eastAsia" w:ascii="宋体" w:hAnsi="宋体" w:cs="宋体"/>
                <w:b/>
                <w:color w:val="auto"/>
                <w:kern w:val="0"/>
                <w:sz w:val="24"/>
                <w:highlight w:val="none"/>
                <w:lang w:val="zh-CN"/>
              </w:rPr>
              <w:t>报价属于采购文件规定的异常低价情形之一，且</w:t>
            </w:r>
            <w:bookmarkEnd w:id="64"/>
            <w:bookmarkEnd w:id="65"/>
            <w:r>
              <w:rPr>
                <w:rFonts w:hint="eastAsia" w:ascii="宋体" w:hAnsi="宋体" w:cs="宋体"/>
                <w:b/>
                <w:color w:val="auto"/>
                <w:kern w:val="0"/>
                <w:sz w:val="24"/>
                <w:highlight w:val="none"/>
                <w:lang w:val="zh-CN"/>
              </w:rPr>
              <w:t>未能按要求提供书面说明或者提交相关证明材料证明其报价合理性的;</w:t>
            </w:r>
          </w:p>
          <w:p>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供应商对根据修正原则修正后的报价不确认的</w:t>
            </w:r>
            <w:r>
              <w:rPr>
                <w:rFonts w:hint="eastAsia" w:ascii="宋体" w:hAnsi="宋体" w:cs="宋体"/>
                <w:b/>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bottom w:val="nil"/>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bottom w:val="nil"/>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520" w:type="dxa"/>
            <w:tcBorders>
              <w:top w:val="single" w:color="000000" w:sz="8" w:space="0"/>
              <w:left w:val="single" w:color="000000" w:sz="2" w:space="0"/>
              <w:bottom w:val="nil"/>
              <w:right w:val="single" w:color="000000" w:sz="8" w:space="0"/>
            </w:tcBorders>
            <w:vAlign w:val="center"/>
          </w:tcPr>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34"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备份响应文件送达地点和签收人员 </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0530469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pPr>
              <w:spacing w:line="360" w:lineRule="auto"/>
              <w:rPr>
                <w:rFonts w:ascii="宋体" w:hAnsi="宋体" w:cs="宋体"/>
                <w:color w:val="auto"/>
                <w:kern w:val="28"/>
                <w:sz w:val="24"/>
                <w:szCs w:val="20"/>
                <w:highlight w:val="none"/>
              </w:rPr>
            </w:pPr>
            <w:sdt>
              <w:sdtPr>
                <w:rPr>
                  <w:rFonts w:hint="eastAsia" w:ascii="宋体" w:hAnsi="宋体" w:cs="宋体"/>
                  <w:color w:val="auto"/>
                  <w:kern w:val="0"/>
                  <w:sz w:val="24"/>
                  <w:szCs w:val="20"/>
                  <w:highlight w:val="none"/>
                </w:rPr>
                <w:id w:val="-926416851"/>
                <w14:checkbox>
                  <w14:checked w14:val="0"/>
                  <w14:checkedState w14:val="00FE" w14:font="Wingdings"/>
                  <w14:uncheckedState w14:val="2610" w14:font="MS Gothic"/>
                </w14:checkbox>
              </w:sdtPr>
              <w:sdtEndPr>
                <w:rPr>
                  <w:rFonts w:hint="eastAsia" w:ascii="宋体" w:hAnsi="宋体" w:cs="宋体"/>
                  <w:color w:val="auto"/>
                  <w:kern w:val="0"/>
                  <w:sz w:val="24"/>
                  <w:szCs w:val="20"/>
                  <w:highlight w:val="none"/>
                </w:rPr>
              </w:sdtEndPr>
              <w:sdtContent>
                <w:r>
                  <w:rPr>
                    <w:rFonts w:hint="eastAsia" w:ascii="MS Mincho" w:hAnsi="MS Mincho" w:eastAsia="MS Mincho" w:cs="MS Mincho"/>
                    <w:color w:val="auto"/>
                    <w:kern w:val="0"/>
                    <w:sz w:val="24"/>
                    <w:szCs w:val="20"/>
                    <w:highlight w:val="none"/>
                  </w:rPr>
                  <w:t>☐</w:t>
                </w:r>
              </w:sdtContent>
            </w:sdt>
            <w:r>
              <w:rPr>
                <w:rFonts w:hint="eastAsia" w:ascii="宋体" w:hAnsi="宋体" w:cs="宋体"/>
                <w:color w:val="auto"/>
                <w:kern w:val="0"/>
                <w:sz w:val="24"/>
                <w:szCs w:val="20"/>
                <w:highlight w:val="none"/>
              </w:rPr>
              <w:t>B</w:t>
            </w:r>
            <w:r>
              <w:rPr>
                <w:rFonts w:hint="eastAsia" w:ascii="宋体" w:hAnsi="宋体" w:cs="宋体"/>
                <w:color w:val="auto"/>
                <w:sz w:val="24"/>
                <w:szCs w:val="20"/>
                <w:highlight w:val="none"/>
              </w:rPr>
              <w:t>接受</w:t>
            </w:r>
            <w:r>
              <w:rPr>
                <w:rFonts w:hint="eastAsia" w:ascii="宋体" w:hAnsi="宋体" w:cs="宋体"/>
                <w:color w:val="auto"/>
                <w:kern w:val="0"/>
                <w:sz w:val="24"/>
                <w:szCs w:val="20"/>
                <w:highlight w:val="none"/>
              </w:rPr>
              <w:t>：</w:t>
            </w:r>
            <w:r>
              <w:rPr>
                <w:rFonts w:hint="eastAsia" w:ascii="宋体" w:hAnsi="宋体" w:cs="宋体"/>
                <w:color w:val="auto"/>
                <w:kern w:val="28"/>
                <w:sz w:val="24"/>
                <w:szCs w:val="20"/>
                <w:highlight w:val="none"/>
              </w:rPr>
              <w:t>备份响应文件送达地点：</w:t>
            </w:r>
            <w:r>
              <w:rPr>
                <w:rFonts w:hint="eastAsia" w:ascii="宋体" w:hAnsi="宋体" w:cs="宋体"/>
                <w:color w:val="auto"/>
                <w:sz w:val="24"/>
                <w:szCs w:val="20"/>
                <w:highlight w:val="none"/>
                <w:u w:val="single"/>
              </w:rPr>
              <w:t xml:space="preserve">         </w:t>
            </w:r>
            <w:r>
              <w:rPr>
                <w:rFonts w:hint="eastAsia" w:ascii="宋体" w:hAnsi="宋体" w:cs="宋体"/>
                <w:color w:val="auto"/>
                <w:kern w:val="28"/>
                <w:sz w:val="24"/>
                <w:szCs w:val="20"/>
                <w:highlight w:val="none"/>
              </w:rPr>
              <w:t>；备份响应文件签收人员联系电话：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r>
              <w:rPr>
                <w:rFonts w:hint="eastAsia" w:ascii="宋体" w:hAnsi="宋体" w:cs="宋体"/>
                <w:b/>
                <w:color w:val="auto"/>
                <w:sz w:val="24"/>
                <w:szCs w:val="20"/>
                <w:highlight w:val="none"/>
              </w:rPr>
              <w:t>采购人、采购代理机构不强制或变相强制供应商提交备份响应文件。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特别说明</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w:t>
            </w:r>
            <w:r>
              <w:rPr>
                <w:rFonts w:hint="eastAsia" w:hAnsi="宋体" w:cs="宋体"/>
                <w:color w:val="auto"/>
                <w:kern w:val="28"/>
                <w:sz w:val="24"/>
                <w:highlight w:val="none"/>
              </w:rPr>
              <w:t>响应</w:t>
            </w:r>
            <w:r>
              <w:rPr>
                <w:rFonts w:hint="eastAsia" w:ascii="宋体" w:hAnsi="宋体" w:cs="宋体"/>
                <w:snapToGrid w:val="0"/>
                <w:color w:val="auto"/>
                <w:kern w:val="28"/>
                <w:sz w:val="24"/>
                <w:highlight w:val="none"/>
              </w:rPr>
              <w:t>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top w:val="single" w:color="auto" w:sz="4" w:space="0"/>
              <w:left w:val="single" w:color="000000" w:sz="8" w:space="0"/>
              <w:bottom w:val="single" w:color="auto" w:sz="4" w:space="0"/>
              <w:right w:val="single" w:color="000000" w:sz="2" w:space="0"/>
            </w:tcBorders>
            <w:vAlign w:val="center"/>
          </w:tcPr>
          <w:p>
            <w:pPr>
              <w:widowControl/>
              <w:adjustRightInd/>
              <w:jc w:val="left"/>
              <w:rPr>
                <w:rFonts w:ascii="宋体" w:hAnsi="宋体" w:cs="宋体"/>
                <w:color w:val="auto"/>
                <w:sz w:val="24"/>
                <w:highlight w:val="none"/>
              </w:rPr>
            </w:pPr>
          </w:p>
        </w:tc>
        <w:tc>
          <w:tcPr>
            <w:tcW w:w="1843" w:type="dxa"/>
            <w:vMerge w:val="continue"/>
            <w:tcBorders>
              <w:top w:val="single" w:color="000000" w:sz="8" w:space="0"/>
              <w:left w:val="single" w:color="000000" w:sz="2" w:space="0"/>
              <w:bottom w:val="single" w:color="auto" w:sz="4" w:space="0"/>
              <w:right w:val="single" w:color="000000" w:sz="8" w:space="0"/>
            </w:tcBorders>
            <w:vAlign w:val="center"/>
          </w:tcPr>
          <w:p>
            <w:pPr>
              <w:widowControl/>
              <w:adjustRightInd/>
              <w:jc w:val="left"/>
              <w:rPr>
                <w:rFonts w:ascii="宋体" w:hAnsi="宋体" w:cs="宋体"/>
                <w:b/>
                <w:color w:val="auto"/>
                <w:sz w:val="24"/>
                <w:highlight w:val="none"/>
              </w:rPr>
            </w:pPr>
          </w:p>
        </w:tc>
        <w:tc>
          <w:tcPr>
            <w:tcW w:w="6520"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color w:val="auto"/>
                <w:kern w:val="28"/>
                <w:sz w:val="24"/>
                <w:highlight w:val="none"/>
              </w:rPr>
            </w:pPr>
            <w:sdt>
              <w:sdtPr>
                <w:rPr>
                  <w:rFonts w:hint="eastAsia" w:ascii="宋体" w:hAnsi="宋体" w:cs="Arial"/>
                  <w:color w:val="auto"/>
                  <w:kern w:val="0"/>
                  <w:sz w:val="24"/>
                  <w:highlight w:val="none"/>
                </w:rPr>
                <w:id w:val="320470398"/>
                <w14:checkbox>
                  <w14:checked w14:val="0"/>
                  <w14:checkedState w14:val="00FE" w14:font="Wingdings"/>
                  <w14:uncheckedState w14:val="2610" w14:font="MS Gothic"/>
                </w14:checkbox>
              </w:sdtPr>
              <w:sdtEndPr>
                <w:rPr>
                  <w:rFonts w:hint="eastAsia" w:ascii="宋体" w:hAnsi="宋体" w:cs="Arial"/>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联合体响应的，联合体各方均需按谈判文件第五部分评审标准要求提供资信证明文件，否则视为不符合相关要求。</w:t>
            </w:r>
          </w:p>
          <w:p>
            <w:pPr>
              <w:spacing w:line="360" w:lineRule="auto"/>
              <w:rPr>
                <w:rFonts w:ascii="宋体" w:hAnsi="宋体" w:cs="宋体"/>
                <w:snapToGrid w:val="0"/>
                <w:color w:val="auto"/>
                <w:kern w:val="28"/>
                <w:sz w:val="24"/>
                <w:highlight w:val="none"/>
              </w:rPr>
            </w:pPr>
            <w:sdt>
              <w:sdtPr>
                <w:rPr>
                  <w:rFonts w:hint="eastAsia" w:ascii="宋体" w:hAnsi="宋体" w:cs="Arial"/>
                  <w:color w:val="auto"/>
                  <w:kern w:val="0"/>
                  <w:sz w:val="24"/>
                  <w:highlight w:val="none"/>
                </w:rPr>
                <w:id w:val="1023673503"/>
                <w14:checkbox>
                  <w14:checked w14:val="0"/>
                  <w14:checkedState w14:val="00FE" w14:font="Wingdings"/>
                  <w14:uncheckedState w14:val="2610" w14:font="MS Gothic"/>
                </w14:checkbox>
              </w:sdtPr>
              <w:sdtEndPr>
                <w:rPr>
                  <w:rFonts w:hint="eastAsia" w:ascii="宋体" w:hAnsi="宋体" w:cs="Arial"/>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联合体响应的，联合体中有一方或者联合体成员根据分工按谈判文件第五部分评审标准要求提供资信证明文件的，视为符合了相关要求。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color w:val="auto"/>
                <w:kern w:val="0"/>
                <w:sz w:val="24"/>
                <w:highlight w:val="none"/>
              </w:rPr>
            </w:pPr>
            <w:r>
              <w:rPr>
                <w:rFonts w:hint="eastAsia" w:ascii="宋体" w:hAnsi="宋体" w:cs="Arial"/>
                <w:color w:val="auto"/>
                <w:kern w:val="0"/>
                <w:sz w:val="24"/>
                <w:highlight w:val="none"/>
              </w:rPr>
              <w:t>本谈判文件解释权属采购人及代理机构。</w:t>
            </w:r>
          </w:p>
        </w:tc>
      </w:tr>
    </w:tbl>
    <w:p>
      <w:pPr>
        <w:snapToGrid w:val="0"/>
        <w:jc w:val="center"/>
        <w:rPr>
          <w:rFonts w:ascii="宋体" w:hAnsi="宋体" w:cs="仿宋_GB2312"/>
          <w:b/>
          <w:color w:val="auto"/>
          <w:sz w:val="32"/>
          <w:szCs w:val="20"/>
          <w:highlight w:val="none"/>
        </w:rPr>
      </w:pPr>
    </w:p>
    <w:p>
      <w:pPr>
        <w:adjustRightInd/>
        <w:spacing w:line="360" w:lineRule="auto"/>
        <w:ind w:firstLine="3845" w:firstLineChars="1197"/>
        <w:outlineLvl w:val="1"/>
        <w:rPr>
          <w:rFonts w:ascii="宋体" w:hAnsi="宋体" w:cs="仿宋_GB2312"/>
          <w:b/>
          <w:color w:val="auto"/>
          <w:sz w:val="32"/>
          <w:szCs w:val="20"/>
          <w:highlight w:val="none"/>
        </w:rPr>
      </w:pPr>
      <w:r>
        <w:rPr>
          <w:rFonts w:hint="eastAsia" w:ascii="宋体" w:hAnsi="宋体" w:cs="仿宋_GB2312"/>
          <w:b/>
          <w:color w:val="auto"/>
          <w:sz w:val="32"/>
          <w:szCs w:val="20"/>
          <w:highlight w:val="none"/>
        </w:rPr>
        <w:t>二、总则</w:t>
      </w:r>
    </w:p>
    <w:p>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本谈判文件适用于该项目的邀请、响应、开启响应文件、信用信息查询、资格性审查、评审、成交、合同、验收等行为（法律、法规另有规定的，从其规定）。</w:t>
      </w:r>
    </w:p>
    <w:p>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“采购人”系指谈判邀请公告中载明的本项目的采购人。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“采购代理机构”系指谈判邀请公告中载明的本项目的采购代理机构。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“供应商”系指响应谈判、参加本次竞争的法人、其他组织或自然人。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pPr>
        <w:spacing w:line="360" w:lineRule="auto"/>
        <w:ind w:firstLine="480" w:firstLineChars="200"/>
        <w:rPr>
          <w:color w:val="auto"/>
          <w:highlight w:val="none"/>
        </w:rPr>
      </w:pPr>
      <w:r>
        <w:rPr>
          <w:rFonts w:hint="eastAsia" w:asciiTheme="minorEastAsia" w:hAnsiTheme="minorEastAsia" w:eastAsiaTheme="minorEastAsia"/>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“※”系指谈判过程中可能实质性变动的内容，</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诺的响应有效期少于谈判文件中载明的谈判有效期的，响应无效。</w:t>
      </w:r>
    </w:p>
    <w:p>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拒绝延长谈判有效期的供应商不得再参与该项目后续采购活动。</w:t>
      </w:r>
    </w:p>
    <w:p>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pPr>
        <w:pStyle w:val="31"/>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pPr>
        <w:spacing w:line="360" w:lineRule="auto"/>
        <w:jc w:val="center"/>
        <w:rPr>
          <w:rFonts w:cs="仿宋_GB2312" w:asciiTheme="minorEastAsia" w:hAnsiTheme="minorEastAsia" w:eastAsiaTheme="minorEastAsia"/>
          <w:b/>
          <w:color w:val="auto"/>
          <w:sz w:val="24"/>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1"/>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1"/>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pPr>
        <w:pStyle w:val="631"/>
        <w:rPr>
          <w:color w:val="auto"/>
          <w:highlight w:val="none"/>
        </w:rPr>
      </w:pPr>
      <w:r>
        <w:rPr>
          <w:rFonts w:hint="eastAsia" w:cs="宋体"/>
          <w:color w:val="auto"/>
          <w:highlight w:val="none"/>
        </w:rPr>
        <w:t>平等对待符合条件的破产重整企业，切实保障企业公平竞争，平等维护企业的合法利益。</w:t>
      </w:r>
    </w:p>
    <w:p>
      <w:pPr>
        <w:spacing w:line="360" w:lineRule="auto"/>
        <w:ind w:firstLine="480" w:firstLineChars="200"/>
        <w:rPr>
          <w:rFonts w:asciiTheme="minorEastAsia" w:hAnsiTheme="minorEastAsia" w:eastAsiaTheme="minorEastAsia"/>
          <w:color w:val="auto"/>
          <w:sz w:val="24"/>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pStyle w:val="631"/>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color w:val="auto"/>
          <w:highlight w:val="none"/>
        </w:rPr>
      </w:pPr>
      <w:r>
        <w:rPr>
          <w:rFonts w:hint="eastAsia"/>
          <w:color w:val="auto"/>
          <w:highlight w:val="none"/>
        </w:rPr>
        <w:t xml:space="preserve">询问联系部门：北海市政府采购中心采购一科        联系电话：0779-3071101      </w:t>
      </w:r>
      <w:r>
        <w:rPr>
          <w:rFonts w:hint="eastAsia"/>
          <w:color w:val="auto"/>
          <w:highlight w:val="none"/>
          <w:lang w:val="en-US" w:eastAsia="zh-CN"/>
        </w:rPr>
        <w:t xml:space="preserve"> </w:t>
      </w:r>
      <w:r>
        <w:rPr>
          <w:rFonts w:hint="eastAsia"/>
          <w:color w:val="auto"/>
          <w:highlight w:val="none"/>
        </w:rPr>
        <w:t>地址：北海市海城区陈文村北路7号市直机关第三办公区</w:t>
      </w:r>
    </w:p>
    <w:p>
      <w:pPr>
        <w:pStyle w:val="631"/>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color w:val="auto"/>
          <w:highlight w:val="none"/>
        </w:rPr>
      </w:pPr>
      <w:r>
        <w:rPr>
          <w:rFonts w:hint="eastAsia"/>
          <w:color w:val="auto"/>
          <w:highlight w:val="none"/>
        </w:rPr>
        <w:t>质疑联系部门：北海市政府采购中心监督科          联系电话：</w:t>
      </w:r>
      <w:r>
        <w:rPr>
          <w:color w:val="auto"/>
          <w:highlight w:val="none"/>
        </w:rPr>
        <w:t>0779-3960826</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地址：北海市海城区陈文村北路7号市直机关第三办公区</w:t>
      </w:r>
    </w:p>
    <w:p>
      <w:pPr>
        <w:pStyle w:val="631"/>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color w:val="auto"/>
          <w:highlight w:val="none"/>
        </w:rPr>
      </w:pPr>
      <w:r>
        <w:rPr>
          <w:rFonts w:hint="eastAsia"/>
          <w:color w:val="auto"/>
          <w:highlight w:val="none"/>
        </w:rPr>
        <w:t>投诉联系部门：</w:t>
      </w:r>
      <w:r>
        <w:rPr>
          <w:rFonts w:hint="eastAsia"/>
          <w:color w:val="auto"/>
          <w:highlight w:val="none"/>
          <w:lang w:val="zh-CN"/>
        </w:rPr>
        <w:t>北海市财政局</w:t>
      </w:r>
      <w:r>
        <w:rPr>
          <w:rFonts w:hint="eastAsia"/>
          <w:color w:val="auto"/>
          <w:highlight w:val="none"/>
          <w:lang w:val="en-US" w:eastAsia="zh-CN"/>
        </w:rPr>
        <w:t xml:space="preserve">                       </w:t>
      </w:r>
      <w:r>
        <w:rPr>
          <w:rFonts w:hint="eastAsia"/>
          <w:color w:val="auto"/>
          <w:highlight w:val="none"/>
          <w:lang w:val="zh-CN"/>
        </w:rPr>
        <w:t>联系电话：0779-306397</w:t>
      </w:r>
      <w:r>
        <w:rPr>
          <w:rFonts w:hint="eastAsia"/>
          <w:color w:val="auto"/>
          <w:highlight w:val="none"/>
          <w:lang w:val="en-US" w:eastAsia="zh-CN"/>
        </w:rPr>
        <w:t xml:space="preserve">5         </w:t>
      </w:r>
      <w:r>
        <w:rPr>
          <w:rFonts w:hint="eastAsia"/>
          <w:color w:val="auto"/>
          <w:highlight w:val="none"/>
          <w:lang w:val="zh-CN"/>
        </w:rPr>
        <w:t>地址：北海市海城区北部湾西路19号</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pPr>
        <w:pStyle w:val="31"/>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5"/>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pPr>
        <w:pStyle w:val="31"/>
        <w:spacing w:line="360" w:lineRule="auto"/>
        <w:ind w:firstLine="482" w:firstLineChars="200"/>
        <w:rPr>
          <w:rFonts w:asciiTheme="minorEastAsia" w:hAnsiTheme="minorEastAsia" w:eastAsiaTheme="minorEastAsia"/>
          <w:b/>
          <w:color w:val="auto"/>
          <w:sz w:val="24"/>
          <w:highlight w:val="none"/>
        </w:rPr>
      </w:pPr>
    </w:p>
    <w:p>
      <w:pPr>
        <w:pStyle w:val="31"/>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3.2.1根据采购人与采购代理机构签订的采购委托协议，质疑答复责任主体如下：</w:t>
      </w:r>
    </w:p>
    <w:p>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对采购文件中特定资格条件、采购需求提出的质疑</w:t>
            </w:r>
          </w:p>
        </w:tc>
        <w:tc>
          <w:tcPr>
            <w:tcW w:w="2232" w:type="dxa"/>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1"/>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1"/>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pPr>
        <w:pStyle w:val="31"/>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3.3.2供应商提交的质疑函需一式三份。供应商为自然人的，应当由本人签字；供应商为法人或者其他组织的，应当由法定代表人、主要负责人，或者其授权代表签字或者盖章，并加盖公章。</w:t>
      </w:r>
    </w:p>
    <w:p>
      <w:pPr>
        <w:pStyle w:val="31"/>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pPr>
        <w:pStyle w:val="31"/>
        <w:spacing w:line="360" w:lineRule="auto"/>
        <w:ind w:firstLine="482" w:firstLineChars="200"/>
        <w:rPr>
          <w:rFonts w:asciiTheme="minorEastAsia" w:hAnsiTheme="minorEastAsia" w:eastAsiaTheme="minorEastAsia"/>
          <w:b/>
          <w:color w:val="auto"/>
          <w:sz w:val="24"/>
          <w:highlight w:val="none"/>
        </w:rPr>
      </w:pP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五、谈判文件构成、修改、解释</w:t>
      </w:r>
    </w:p>
    <w:p>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1．谈判文件的构成</w:t>
      </w:r>
    </w:p>
    <w:p>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谈判文件包括下列文件及附件</w:t>
      </w:r>
    </w:p>
    <w:p>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采购公告</w:t>
      </w:r>
    </w:p>
    <w:p>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竞争性谈判流程</w:t>
      </w:r>
    </w:p>
    <w:p>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评定标准</w:t>
      </w:r>
    </w:p>
    <w:p>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澄清或者修改的内容为谈判文件的组成部分</w:t>
      </w:r>
      <w:r>
        <w:rPr>
          <w:rFonts w:hint="eastAsia" w:cs="仿宋_GB2312" w:asciiTheme="minorEastAsia" w:hAnsiTheme="minorEastAsia" w:eastAsiaTheme="minorEastAsia"/>
          <w:color w:val="auto"/>
          <w:sz w:val="24"/>
          <w:highlight w:val="none"/>
        </w:rPr>
        <w:t>。</w:t>
      </w:r>
    </w:p>
    <w:p>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谈判文件的</w:t>
      </w:r>
      <w:r>
        <w:rPr>
          <w:rFonts w:hint="eastAsia" w:cs="仿宋_GB2312" w:asciiTheme="minorEastAsia" w:hAnsiTheme="minorEastAsia" w:eastAsiaTheme="minorEastAsia"/>
          <w:b/>
          <w:color w:val="auto"/>
          <w:sz w:val="24"/>
          <w:szCs w:val="24"/>
          <w:highlight w:val="none"/>
        </w:rPr>
        <w:t>澄清、修改</w:t>
      </w:r>
    </w:p>
    <w:p>
      <w:pPr>
        <w:pStyle w:val="392"/>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2.1已获取谈判文件的潜在供应商，若有问题需要澄清，应于提交首次响应文件截止时间前，以书面形式向采购代理机构提出。</w:t>
      </w:r>
    </w:p>
    <w:p>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响应文件截止时间和响应文件开启时间。该澄清或者修改的内容为谈判文件的组成部分。</w:t>
      </w:r>
    </w:p>
    <w:p>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通知所有获取谈判文件的供应商；不足3个工作日的，采购人、采购代理机构应当顺延提交首次响应文件截止时间。</w:t>
      </w:r>
    </w:p>
    <w:p>
      <w:pPr>
        <w:pStyle w:val="392"/>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响应文件未按谈判文件的澄清、修改的内容编制，又不符合实质性要求的，响应无效。</w:t>
      </w:r>
    </w:p>
    <w:p>
      <w:pPr>
        <w:pStyle w:val="22"/>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响应文件应当包括以下主要内容（标注“</w:t>
      </w: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”为实质性要求，供应商必须提供，否则谈判无效。相关格式见谈判文件第七部分）：</w:t>
      </w:r>
    </w:p>
    <w:p>
      <w:pPr>
        <w:pStyle w:val="31"/>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（1）响应函</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pPr>
        <w:pStyle w:val="31"/>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A、</w:t>
      </w:r>
      <w:bookmarkStart w:id="66" w:name="OLE_LINK3"/>
      <w:r>
        <w:rPr>
          <w:rFonts w:hint="eastAsia" w:cs="宋体" w:asciiTheme="minorEastAsia" w:hAnsiTheme="minorEastAsia" w:eastAsiaTheme="minorEastAsia"/>
          <w:color w:val="auto"/>
          <w:sz w:val="24"/>
          <w:highlight w:val="none"/>
        </w:rPr>
        <w:t>符合参加政府采购活动应当具备的一般条件的承诺函</w:t>
      </w:r>
      <w:bookmarkEnd w:id="66"/>
      <w:r>
        <w:rPr>
          <w:rFonts w:hint="eastAsia" w:cs="宋体"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pPr>
        <w:pStyle w:val="31"/>
        <w:spacing w:line="360" w:lineRule="auto"/>
        <w:ind w:firstLine="480" w:firstLineChars="200"/>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（如果有)；</w:t>
      </w:r>
    </w:p>
    <w:p>
      <w:pPr>
        <w:pStyle w:val="31"/>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D、符合特定资格条件的有关证明材料（如果有）。</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pPr>
        <w:pStyle w:val="31"/>
        <w:spacing w:line="360" w:lineRule="auto"/>
        <w:ind w:firstLine="422" w:firstLineChars="200"/>
        <w:rPr>
          <w:rFonts w:asciiTheme="minorEastAsia" w:hAnsiTheme="minorEastAsia" w:eastAsiaTheme="minorEastAsia"/>
          <w:color w:val="auto"/>
          <w:sz w:val="24"/>
          <w:highlight w:val="none"/>
        </w:rPr>
      </w:pPr>
      <w:bookmarkStart w:id="67" w:name="OLE_LINK2"/>
      <w:r>
        <w:rPr>
          <w:rFonts w:hint="eastAsia" w:asciiTheme="minorEastAsia" w:hAnsiTheme="minorEastAsia" w:eastAsiaTheme="minorEastAsia"/>
          <w:b/>
          <w:color w:val="auto"/>
          <w:highlight w:val="none"/>
        </w:rPr>
        <w:t>▲</w:t>
      </w:r>
      <w:bookmarkEnd w:id="67"/>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pPr>
        <w:pStyle w:val="31"/>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hint="eastAsia" w:cs="仿宋_GB2312" w:asciiTheme="minorEastAsia" w:hAnsiTheme="minorEastAsia" w:eastAsiaTheme="minorEastAsia"/>
          <w:color w:val="auto"/>
          <w:kern w:val="0"/>
          <w:sz w:val="24"/>
          <w:highlight w:val="none"/>
          <w:lang w:val="zh-CN"/>
        </w:rPr>
        <w:t>；</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（5）所有资信文件</w:t>
      </w:r>
      <w:r>
        <w:rPr>
          <w:rFonts w:hint="eastAsia" w:cs="宋体" w:asciiTheme="minorEastAsia" w:hAnsiTheme="minorEastAsia" w:eastAsiaTheme="minorEastAsia"/>
          <w:color w:val="auto"/>
          <w:kern w:val="0"/>
          <w:sz w:val="24"/>
          <w:highlight w:val="none"/>
        </w:rPr>
        <w:t>（如果有）；</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（7）</w:t>
      </w:r>
      <w:r>
        <w:rPr>
          <w:rFonts w:hint="eastAsia" w:asciiTheme="minorEastAsia" w:hAnsiTheme="minorEastAsia" w:eastAsiaTheme="minorEastAsia"/>
          <w:color w:val="auto"/>
          <w:kern w:val="0"/>
          <w:sz w:val="24"/>
          <w:highlight w:val="none"/>
          <w:lang w:val="zh-CN"/>
        </w:rPr>
        <w:t>关于对谈判文件中有关条款的拒绝声明 (如果有)</w:t>
      </w:r>
      <w:r>
        <w:rPr>
          <w:rFonts w:hint="eastAsia" w:asciiTheme="minorEastAsia" w:hAnsiTheme="minorEastAsia" w:eastAsiaTheme="minorEastAsia"/>
          <w:color w:val="auto"/>
          <w:sz w:val="24"/>
          <w:highlight w:val="none"/>
          <w:lang w:val="zh-CN"/>
        </w:rPr>
        <w:t xml:space="preserve"> ；</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kern w:val="0"/>
          <w:sz w:val="24"/>
          <w:highlight w:val="none"/>
          <w:lang w:val="zh-CN"/>
        </w:rPr>
        <w:t>认为需要的其他商务文件或说明 (如果有) ；</w:t>
      </w:r>
    </w:p>
    <w:p>
      <w:pPr>
        <w:pStyle w:val="31"/>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kern w:val="0"/>
          <w:sz w:val="24"/>
          <w:highlight w:val="none"/>
          <w:lang w:val="zh-CN"/>
        </w:rPr>
        <w:t>（9）</w:t>
      </w:r>
      <w:r>
        <w:rPr>
          <w:rFonts w:hint="eastAsia" w:asciiTheme="minorEastAsia" w:hAnsiTheme="minorEastAsia" w:eastAsiaTheme="minorEastAsia"/>
          <w:color w:val="auto"/>
          <w:sz w:val="24"/>
          <w:highlight w:val="none"/>
          <w:lang w:val="zh-CN"/>
        </w:rPr>
        <w:t>技术解决方案。</w:t>
      </w:r>
      <w:bookmarkStart w:id="68" w:name="OLE_LINK4"/>
      <w:r>
        <w:rPr>
          <w:rFonts w:hint="eastAsia" w:asciiTheme="minorEastAsia" w:hAnsiTheme="minorEastAsia" w:eastAsiaTheme="minorEastAsia"/>
          <w:color w:val="auto"/>
          <w:sz w:val="24"/>
          <w:highlight w:val="none"/>
          <w:lang w:val="zh-CN"/>
        </w:rPr>
        <w:t>可以是</w:t>
      </w:r>
      <w:bookmarkEnd w:id="68"/>
      <w:r>
        <w:rPr>
          <w:rFonts w:hint="eastAsia" w:asciiTheme="minorEastAsia" w:hAnsiTheme="minorEastAsia" w:eastAsiaTheme="minorEastAsia"/>
          <w:color w:val="auto"/>
          <w:sz w:val="24"/>
          <w:highlight w:val="none"/>
          <w:lang w:val="zh-CN"/>
        </w:rPr>
        <w:t>针对本项目的完整技术解决方案和实施方案；详细阐述项目方案的实现思路及关键技术；符合本项目对当前和未来发展的要求；以及对功能设计和实施计划的建议；</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（10）组织实施方案。</w:t>
      </w:r>
      <w:r>
        <w:rPr>
          <w:rFonts w:hint="eastAsia" w:asciiTheme="minorEastAsia" w:hAnsiTheme="minorEastAsia" w:eastAsiaTheme="minorEastAsia"/>
          <w:color w:val="auto"/>
          <w:sz w:val="24"/>
          <w:highlight w:val="none"/>
          <w:lang w:val="zh-CN"/>
        </w:rPr>
        <w:t>可以是</w:t>
      </w:r>
      <w:r>
        <w:rPr>
          <w:rFonts w:hint="eastAsia" w:asciiTheme="minorEastAsia" w:hAnsiTheme="minorEastAsia" w:eastAsiaTheme="minorEastAsia"/>
          <w:color w:val="auto"/>
          <w:kern w:val="0"/>
          <w:sz w:val="24"/>
          <w:highlight w:val="none"/>
          <w:lang w:val="zh-CN"/>
        </w:rPr>
        <w:t>本项目详细工作实施组织方案，包括(但不限于)以下内容：组织机构、工作时间进度表、工作程序和步骤、管理和协调方法、关键步骤的思路和要点；</w:t>
      </w:r>
    </w:p>
    <w:p>
      <w:pPr>
        <w:pStyle w:val="31"/>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11）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（12）项目小组人员名单。每个专</w:t>
      </w:r>
      <w:bookmarkStart w:id="109" w:name="_GoBack"/>
      <w:bookmarkEnd w:id="109"/>
      <w:r>
        <w:rPr>
          <w:rFonts w:hint="eastAsia" w:asciiTheme="minorEastAsia" w:hAnsiTheme="minorEastAsia" w:eastAsiaTheme="minorEastAsia"/>
          <w:color w:val="auto"/>
          <w:kern w:val="0"/>
          <w:sz w:val="24"/>
          <w:highlight w:val="none"/>
          <w:lang w:val="zh-CN"/>
        </w:rPr>
        <w:t>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highlight w:val="none"/>
          <w:lang w:val="zh-CN"/>
        </w:rPr>
        <w:t>资质情况等</w:t>
      </w:r>
      <w:r>
        <w:rPr>
          <w:rFonts w:hint="eastAsia" w:asciiTheme="minorEastAsia" w:hAnsiTheme="minorEastAsia" w:eastAsiaTheme="minorEastAsia"/>
          <w:color w:val="auto"/>
          <w:kern w:val="0"/>
          <w:sz w:val="24"/>
          <w:highlight w:val="none"/>
          <w:lang w:val="zh-CN"/>
        </w:rPr>
        <w:t>；</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（13）优惠条件及特殊承诺；</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（14）</w:t>
      </w:r>
      <w:r>
        <w:rPr>
          <w:rFonts w:hint="eastAsia" w:cs="仿宋_GB2312" w:asciiTheme="minorEastAsia" w:hAnsiTheme="minorEastAsia" w:eastAsiaTheme="minorEastAsia"/>
          <w:color w:val="auto"/>
          <w:kern w:val="0"/>
          <w:sz w:val="24"/>
          <w:highlight w:val="none"/>
          <w:lang w:val="zh-CN"/>
        </w:rPr>
        <w:t>培训计划（如果有）；</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rPr>
        <w:t>（15）随机特殊工具和</w:t>
      </w:r>
      <w:r>
        <w:rPr>
          <w:rFonts w:hint="eastAsia" w:asciiTheme="minorEastAsia" w:hAnsiTheme="minorEastAsia" w:eastAsiaTheme="minorEastAsia"/>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1"/>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pPr>
        <w:pStyle w:val="31"/>
        <w:spacing w:line="360" w:lineRule="auto"/>
        <w:ind w:firstLine="527" w:firstLineChars="25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hint="eastAsia" w:cs="仿宋_GB2312" w:asciiTheme="minorEastAsia" w:hAnsiTheme="minorEastAsia" w:eastAsiaTheme="minorEastAsia"/>
          <w:color w:val="auto"/>
          <w:kern w:val="0"/>
          <w:sz w:val="24"/>
          <w:highlight w:val="none"/>
          <w:lang w:val="zh-CN"/>
        </w:rPr>
        <w:t>政府采购供应商廉洁自律承诺书。</w:t>
      </w:r>
    </w:p>
    <w:p>
      <w:pPr>
        <w:pStyle w:val="31"/>
        <w:spacing w:line="360" w:lineRule="auto"/>
        <w:ind w:firstLine="527" w:firstLineChars="25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w:t>
      </w:r>
      <w:r>
        <w:rPr>
          <w:rFonts w:hint="eastAsia" w:cs="仿宋_GB2312" w:asciiTheme="minorEastAsia" w:hAnsiTheme="minorEastAsia" w:eastAsiaTheme="minorEastAsia"/>
          <w:color w:val="auto"/>
          <w:kern w:val="0"/>
          <w:sz w:val="24"/>
          <w:highlight w:val="none"/>
          <w:lang w:val="zh-CN"/>
        </w:rPr>
        <w:t>承诺函；</w:t>
      </w:r>
    </w:p>
    <w:p>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w:t>
      </w:r>
      <w:bookmarkStart w:id="69" w:name="OLE_LINK118"/>
      <w:bookmarkStart w:id="70" w:name="OLE_LINK119"/>
      <w:r>
        <w:rPr>
          <w:rFonts w:hint="eastAsia" w:asciiTheme="minorEastAsia" w:hAnsiTheme="minorEastAsia" w:eastAsiaTheme="minorEastAsia"/>
          <w:color w:val="auto"/>
          <w:sz w:val="24"/>
          <w:szCs w:val="24"/>
          <w:highlight w:val="none"/>
        </w:rPr>
        <w:t>商务、服务（技术）响应、偏离情况说明表</w:t>
      </w:r>
      <w:bookmarkEnd w:id="69"/>
      <w:bookmarkEnd w:id="70"/>
      <w:r>
        <w:rPr>
          <w:rFonts w:hint="eastAsia" w:asciiTheme="minorEastAsia" w:hAnsiTheme="minorEastAsia" w:eastAsiaTheme="minorEastAsia"/>
          <w:color w:val="auto"/>
          <w:sz w:val="24"/>
          <w:szCs w:val="24"/>
          <w:highlight w:val="none"/>
        </w:rPr>
        <w:t>；</w:t>
      </w:r>
    </w:p>
    <w:p>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▲（20）初始报价表。</w:t>
      </w:r>
    </w:p>
    <w:p>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3.1各供应商在编制响应文件时请按照谈判文件第七部分规定的格式进行，混乱的编排导致响应文件被误读或谈判小组查找不到有效文件是供应商的风险。</w:t>
      </w:r>
    </w:p>
    <w:p>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pPr>
        <w:pStyle w:val="392"/>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3.4响应文件按照谈判文件第七部分格式要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供应商的响应文件未按照谈判文件要求签署、盖章的，其响应无效</w:t>
      </w:r>
      <w:r>
        <w:rPr>
          <w:rFonts w:hint="eastAsia" w:cs="仿宋_GB2312" w:asciiTheme="minorEastAsia" w:hAnsiTheme="minorEastAsia" w:eastAsiaTheme="minorEastAsia"/>
          <w:color w:val="auto"/>
          <w:szCs w:val="24"/>
          <w:highlight w:val="none"/>
        </w:rPr>
        <w:t>。</w:t>
      </w:r>
    </w:p>
    <w:p>
      <w:pPr>
        <w:pStyle w:val="392"/>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pPr>
        <w:pStyle w:val="392"/>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3.6谈判文件对响应文件签署、盖章的要求适用于电子签名、CA签章以及谈判文件明确允许的其他方式。</w:t>
      </w:r>
    </w:p>
    <w:p>
      <w:pPr>
        <w:pStyle w:val="31"/>
        <w:spacing w:line="360" w:lineRule="auto"/>
        <w:ind w:firstLine="480" w:firstLineChars="200"/>
        <w:rPr>
          <w:rFonts w:cs="仿宋_GB2312" w:asciiTheme="minorEastAsia" w:hAnsiTheme="minorEastAsia" w:eastAsiaTheme="minorEastAsia"/>
          <w:color w:val="auto"/>
          <w:sz w:val="24"/>
          <w:szCs w:val="24"/>
          <w:highlight w:val="none"/>
        </w:rPr>
      </w:pP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pPr>
        <w:pStyle w:val="392"/>
        <w:spacing w:before="0"/>
        <w:ind w:firstLine="0" w:firstLineChars="0"/>
        <w:rPr>
          <w:rFonts w:cs="仿宋_GB2312" w:asciiTheme="minorEastAsia" w:hAnsiTheme="minorEastAsia" w:eastAsiaTheme="minorEastAsia"/>
          <w:b/>
          <w:color w:val="auto"/>
          <w:szCs w:val="24"/>
          <w:highlight w:val="none"/>
        </w:rPr>
      </w:pP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pPr>
        <w:pStyle w:val="392"/>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在提交“最后报价”后，供应商不能退出谈判。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pPr>
        <w:pStyle w:val="31"/>
        <w:spacing w:line="360" w:lineRule="auto"/>
        <w:rPr>
          <w:rFonts w:hint="eastAsia" w:cs="仿宋_GB2312" w:asciiTheme="minorEastAsia" w:hAnsiTheme="minorEastAsia" w:eastAsiaTheme="minorEastAsia"/>
          <w:b/>
          <w:color w:val="auto"/>
          <w:sz w:val="24"/>
          <w:szCs w:val="24"/>
          <w:highlight w:val="none"/>
          <w:lang w:eastAsia="zh-CN"/>
        </w:rPr>
      </w:pPr>
      <w:r>
        <w:rPr>
          <w:rFonts w:hint="eastAsia" w:cs="仿宋_GB2312" w:asciiTheme="minorEastAsia" w:hAnsiTheme="minorEastAsia" w:eastAsiaTheme="minorEastAsia"/>
          <w:b/>
          <w:color w:val="auto"/>
          <w:sz w:val="24"/>
          <w:szCs w:val="24"/>
          <w:highlight w:val="none"/>
        </w:rPr>
        <w:t>2.备份响应文件</w:t>
      </w:r>
      <w:r>
        <w:rPr>
          <w:rFonts w:hint="eastAsia" w:cs="仿宋_GB2312" w:asciiTheme="minorEastAsia" w:hAnsiTheme="minorEastAsia" w:eastAsiaTheme="minorEastAsia"/>
          <w:b/>
          <w:color w:val="auto"/>
          <w:sz w:val="24"/>
          <w:szCs w:val="24"/>
          <w:highlight w:val="none"/>
          <w:lang w:eastAsia="zh-CN"/>
        </w:rPr>
        <w:t>（本项目不接收）</w:t>
      </w:r>
    </w:p>
    <w:p>
      <w:pPr>
        <w:spacing w:line="360" w:lineRule="auto"/>
        <w:rPr>
          <w:rFonts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谈判保证金（本项目不收取谈判保证金）</w:t>
      </w: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pPr>
        <w:pStyle w:val="31"/>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1"/>
        <w:spacing w:line="360" w:lineRule="auto"/>
        <w:rPr>
          <w:rFonts w:cs="仿宋_GB2312" w:asciiTheme="minorEastAsia" w:hAnsiTheme="minorEastAsia" w:eastAsiaTheme="minorEastAsia"/>
          <w:b/>
          <w:color w:val="auto"/>
          <w:sz w:val="24"/>
          <w:szCs w:val="24"/>
          <w:highlight w:val="none"/>
        </w:rPr>
      </w:pPr>
    </w:p>
    <w:p>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pPr>
        <w:pStyle w:val="31"/>
        <w:snapToGrid w:val="0"/>
        <w:spacing w:line="360" w:lineRule="auto"/>
        <w:ind w:firstLine="422" w:firstLineChars="200"/>
        <w:rPr>
          <w:rFonts w:cs="仿宋_GB2312" w:asciiTheme="minorEastAsia" w:hAnsiTheme="minorEastAsia" w:eastAsiaTheme="minorEastAsia"/>
          <w:color w:val="auto"/>
          <w:sz w:val="24"/>
          <w:szCs w:val="24"/>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color w:val="auto"/>
          <w:sz w:val="24"/>
          <w:szCs w:val="24"/>
          <w:highlight w:val="none"/>
        </w:rPr>
        <w:t>1.1最后报价一览表；</w:t>
      </w:r>
    </w:p>
    <w:p>
      <w:pPr>
        <w:pStyle w:val="31"/>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pPr>
        <w:pStyle w:val="392"/>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1. 评审要求：</w:t>
      </w:r>
      <w:r>
        <w:rPr>
          <w:rFonts w:hint="eastAsia" w:cs="仿宋_GB2312" w:asciiTheme="minorEastAsia" w:hAnsiTheme="minorEastAsia" w:eastAsiaTheme="minorEastAsia"/>
          <w:color w:val="auto"/>
          <w:highlight w:val="none"/>
        </w:rPr>
        <w:t>详见谈判文件第五部分“评定标准”。</w:t>
      </w:r>
    </w:p>
    <w:p>
      <w:pPr>
        <w:adjustRightInd/>
        <w:spacing w:line="360" w:lineRule="auto"/>
        <w:jc w:val="center"/>
        <w:rPr>
          <w:rFonts w:cs="仿宋_GB2312" w:asciiTheme="minorEastAsia" w:hAnsiTheme="minorEastAsia" w:eastAsiaTheme="minorEastAsia"/>
          <w:color w:val="auto"/>
          <w:sz w:val="24"/>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71" w:name="_Hlk101184471"/>
      <w:r>
        <w:rPr>
          <w:rFonts w:hint="eastAsia" w:cs="宋体" w:asciiTheme="minorEastAsia" w:hAnsiTheme="minorEastAsia" w:eastAsiaTheme="minorEastAsia"/>
          <w:color w:val="auto"/>
          <w:sz w:val="24"/>
          <w:highlight w:val="none"/>
        </w:rPr>
        <w:t>评审专家抽取规则、</w:t>
      </w:r>
      <w:bookmarkEnd w:id="71"/>
      <w:r>
        <w:rPr>
          <w:rFonts w:hint="eastAsia" w:cs="宋体" w:asciiTheme="minorEastAsia" w:hAnsiTheme="minorEastAsia" w:eastAsiaTheme="minorEastAsia"/>
          <w:color w:val="auto"/>
          <w:sz w:val="24"/>
          <w:highlight w:val="none"/>
        </w:rPr>
        <w:t>未成交情况说明、成交公告期限以及评审专家名单、成交供应商和未成交供应商的</w:t>
      </w:r>
      <w:r>
        <w:rPr>
          <w:rFonts w:hint="eastAsia" w:ascii="宋体" w:hAnsi="宋体" w:cs="宋体"/>
          <w:color w:val="auto"/>
          <w:sz w:val="24"/>
          <w:highlight w:val="none"/>
        </w:rPr>
        <w:t>评审报价</w:t>
      </w:r>
      <w:r>
        <w:rPr>
          <w:rFonts w:hint="eastAsia" w:cs="宋体" w:asciiTheme="minorEastAsia" w:hAnsiTheme="minorEastAsia" w:eastAsiaTheme="minorEastAsia"/>
          <w:color w:val="auto"/>
          <w:sz w:val="24"/>
          <w:highlight w:val="none"/>
        </w:rPr>
        <w:t>及排名。</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pPr>
        <w:snapToGrid w:val="0"/>
        <w:spacing w:line="360" w:lineRule="auto"/>
        <w:jc w:val="center"/>
        <w:rPr>
          <w:rFonts w:cs="仿宋_GB2312" w:asciiTheme="minorEastAsia" w:hAnsiTheme="minorEastAsia" w:eastAsiaTheme="minorEastAsia"/>
          <w:b/>
          <w:color w:val="auto"/>
          <w:sz w:val="36"/>
          <w:szCs w:val="36"/>
          <w:highlight w:val="none"/>
        </w:rPr>
      </w:pPr>
    </w:p>
    <w:p>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2"/>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pPr>
        <w:pStyle w:val="392"/>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谈判文件、响应文件等内容通过政府采购电子交易平台在线签订，自动备案。</w:t>
      </w:r>
    </w:p>
    <w:p>
      <w:pPr>
        <w:pStyle w:val="392"/>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pPr>
        <w:pStyle w:val="631"/>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pPr>
              <w:snapToGrid w:val="0"/>
              <w:spacing w:line="360" w:lineRule="auto"/>
              <w:jc w:val="left"/>
              <w:rPr>
                <w:rFonts w:ascii="宋体" w:hAnsi="宋体"/>
                <w:color w:val="auto"/>
                <w:kern w:val="0"/>
                <w:sz w:val="24"/>
                <w:szCs w:val="20"/>
                <w:highlight w:val="none"/>
              </w:rPr>
            </w:pPr>
          </w:p>
        </w:tc>
        <w:tc>
          <w:tcPr>
            <w:tcW w:w="993" w:type="dxa"/>
            <w:vAlign w:val="center"/>
          </w:tcPr>
          <w:p>
            <w:pPr>
              <w:snapToGrid w:val="0"/>
              <w:spacing w:line="360" w:lineRule="auto"/>
              <w:jc w:val="center"/>
              <w:rPr>
                <w:rFonts w:ascii="宋体" w:hAnsi="宋体"/>
                <w:color w:val="auto"/>
                <w:kern w:val="0"/>
                <w:sz w:val="24"/>
                <w:szCs w:val="20"/>
                <w:highlight w:val="none"/>
              </w:rPr>
            </w:pPr>
          </w:p>
        </w:tc>
        <w:tc>
          <w:tcPr>
            <w:tcW w:w="850" w:type="dxa"/>
            <w:vAlign w:val="center"/>
          </w:tcPr>
          <w:p>
            <w:pPr>
              <w:snapToGrid w:val="0"/>
              <w:spacing w:line="360" w:lineRule="auto"/>
              <w:jc w:val="center"/>
              <w:rPr>
                <w:rFonts w:ascii="宋体" w:hAnsi="宋体"/>
                <w:color w:val="auto"/>
                <w:kern w:val="0"/>
                <w:sz w:val="24"/>
                <w:szCs w:val="20"/>
                <w:highlight w:val="none"/>
              </w:rPr>
            </w:pP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pPr>
        <w:pStyle w:val="631"/>
        <w:rPr>
          <w:color w:val="auto"/>
          <w:highlight w:val="none"/>
        </w:rPr>
      </w:pPr>
      <w:r>
        <w:rPr>
          <w:rFonts w:hint="eastAsia"/>
          <w:color w:val="auto"/>
          <w:highlight w:val="none"/>
        </w:rPr>
        <w:t>注：表中联系电话、授信金额、授信期限、最低利率等信息可能动态更新，仅供参考，具体以办理时相关银行公布的为准。</w:t>
      </w:r>
    </w:p>
    <w:p>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ascii="宋体" w:hAnsi="宋体" w:cs="宋体"/>
          <w:color w:val="auto"/>
          <w:kern w:val="0"/>
          <w:sz w:val="24"/>
          <w:highlight w:val="none"/>
        </w:rPr>
      </w:pPr>
      <w:r>
        <w:rPr>
          <w:rFonts w:hint="eastAsia" w:asciiTheme="minorEastAsia" w:hAnsiTheme="minorEastAsia" w:eastAsiaTheme="minorEastAsia"/>
          <w:b/>
          <w:color w:val="auto"/>
          <w:sz w:val="24"/>
          <w:highlight w:val="none"/>
        </w:rPr>
        <w:t>3．履约保证金：</w:t>
      </w:r>
      <w:r>
        <w:rPr>
          <w:rFonts w:hint="eastAsia" w:ascii="宋体" w:hAnsi="宋体" w:cs="宋体"/>
          <w:b/>
          <w:color w:val="auto"/>
          <w:kern w:val="0"/>
          <w:sz w:val="24"/>
          <w:highlight w:val="none"/>
        </w:rPr>
        <w:t>本项目不收取履约保证金。成交供应商未按合同约定履行合同义务，给采购人造成损失的，按实际损失进行赔偿。</w:t>
      </w:r>
    </w:p>
    <w:p>
      <w:pPr>
        <w:pStyle w:val="631"/>
        <w:keepNext w:val="0"/>
        <w:keepLines w:val="0"/>
        <w:pageBreakBefore w:val="0"/>
        <w:widowControl w:val="0"/>
        <w:kinsoku/>
        <w:wordWrap/>
        <w:overflowPunct/>
        <w:topLinePunct w:val="0"/>
        <w:autoSpaceDE/>
        <w:autoSpaceDN/>
        <w:bidi w:val="0"/>
        <w:spacing w:line="360" w:lineRule="auto"/>
        <w:textAlignment w:val="auto"/>
        <w:rPr>
          <w:rFonts w:hint="eastAsia" w:eastAsia="宋体"/>
          <w:color w:val="auto"/>
          <w:highlight w:val="none"/>
          <w:lang w:eastAsia="zh-CN"/>
        </w:rPr>
      </w:pPr>
      <w:r>
        <w:rPr>
          <w:b/>
          <w:bCs/>
          <w:color w:val="auto"/>
          <w:highlight w:val="none"/>
        </w:rPr>
        <w:t>4.</w:t>
      </w:r>
      <w:r>
        <w:rPr>
          <w:rFonts w:hint="eastAsia"/>
          <w:b/>
          <w:bCs/>
          <w:color w:val="auto"/>
          <w:highlight w:val="none"/>
        </w:rPr>
        <w:t>预付款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Times New Roman"/>
          <w:color w:val="auto"/>
          <w:kern w:val="0"/>
          <w:sz w:val="24"/>
          <w:szCs w:val="20"/>
          <w:highlight w:val="none"/>
          <w:lang w:val="en-US" w:eastAsia="zh-CN" w:bidi="ar-SA"/>
        </w:rPr>
      </w:pPr>
      <w:r>
        <w:rPr>
          <w:rFonts w:hint="eastAsia" w:ascii="宋体" w:hAnsi="宋体" w:eastAsia="宋体" w:cs="Times New Roman"/>
          <w:color w:val="auto"/>
          <w:kern w:val="0"/>
          <w:sz w:val="24"/>
          <w:szCs w:val="20"/>
          <w:highlight w:val="none"/>
          <w:lang w:val="en-US" w:eastAsia="zh-CN" w:bidi="ar-SA"/>
        </w:rPr>
        <w:t>4.1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cs="仿宋_GB2312" w:asciiTheme="minorEastAsia" w:hAnsiTheme="minorEastAsia" w:eastAsiaTheme="minorEastAsia"/>
          <w:b/>
          <w:color w:val="auto"/>
          <w:sz w:val="36"/>
          <w:szCs w:val="36"/>
          <w:highlight w:val="none"/>
        </w:rPr>
      </w:pPr>
      <w:r>
        <w:rPr>
          <w:rFonts w:hint="eastAsia" w:ascii="宋体" w:hAnsi="宋体" w:eastAsia="宋体" w:cs="Times New Roman"/>
          <w:color w:val="auto"/>
          <w:kern w:val="0"/>
          <w:sz w:val="24"/>
          <w:szCs w:val="20"/>
          <w:highlight w:val="none"/>
          <w:lang w:val="en-US" w:eastAsia="zh-CN" w:bidi="ar-SA"/>
        </w:rPr>
        <w:t>4.2供应商可登录广西政府采购云平台前台大厅选择金融服务 - 【保函保险服务】出具预付款保函，具体步骤：选择产品—填写供应商信息—选择中标项目—确认信息—等待保险/保函受理—确认保单—支付保费—成功出单。广西政府采购云平台金融专线400-903-9583。</w:t>
      </w:r>
    </w:p>
    <w:p>
      <w:pPr>
        <w:pStyle w:val="71"/>
        <w:rPr>
          <w:color w:val="auto"/>
          <w:highlight w:val="none"/>
        </w:rPr>
      </w:pPr>
    </w:p>
    <w:p>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pPr>
        <w:pStyle w:val="23"/>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72" w:name="_Hlt75236290"/>
      <w:bookmarkEnd w:id="72"/>
      <w:bookmarkStart w:id="73" w:name="_Hlt74707468"/>
      <w:bookmarkEnd w:id="73"/>
      <w:bookmarkStart w:id="74" w:name="_Hlt74729768"/>
      <w:bookmarkEnd w:id="74"/>
      <w:bookmarkStart w:id="75" w:name="_Hlt68057669"/>
      <w:bookmarkEnd w:id="75"/>
      <w:bookmarkStart w:id="76" w:name="_Hlt68072990"/>
      <w:bookmarkEnd w:id="76"/>
      <w:bookmarkStart w:id="77" w:name="_Hlt75236011"/>
      <w:bookmarkEnd w:id="77"/>
      <w:bookmarkStart w:id="78" w:name="_Hlt74730295"/>
      <w:bookmarkEnd w:id="78"/>
      <w:bookmarkStart w:id="79" w:name="_Hlt74714665"/>
      <w:bookmarkEnd w:id="79"/>
      <w:bookmarkStart w:id="80" w:name="_Hlt75236101"/>
      <w:bookmarkEnd w:id="80"/>
      <w:bookmarkStart w:id="81" w:name="第三部分"/>
      <w:bookmarkStart w:id="82" w:name="_Toc164416483"/>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pPr>
        <w:pStyle w:val="23"/>
        <w:spacing w:line="360" w:lineRule="auto"/>
        <w:ind w:firstLine="0" w:firstLineChars="0"/>
        <w:rPr>
          <w:rFonts w:cs="宋体"/>
          <w:b/>
          <w:color w:val="auto"/>
          <w:highlight w:val="none"/>
        </w:rPr>
      </w:pPr>
      <w:r>
        <w:rPr>
          <w:rFonts w:hint="eastAsia" w:cs="宋体"/>
          <w:b/>
          <w:color w:val="auto"/>
          <w:highlight w:val="none"/>
          <w:lang w:eastAsia="zh-CN"/>
        </w:rPr>
        <w:t>本项目</w:t>
      </w:r>
      <w:r>
        <w:rPr>
          <w:rFonts w:hint="eastAsia" w:cs="宋体"/>
          <w:b/>
          <w:color w:val="auto"/>
          <w:highlight w:val="none"/>
        </w:rPr>
        <w:t>不收取</w:t>
      </w:r>
      <w:r>
        <w:rPr>
          <w:rFonts w:hint="eastAsia" w:cs="宋体"/>
          <w:b/>
          <w:color w:val="auto"/>
          <w:highlight w:val="none"/>
          <w:lang w:eastAsia="zh-CN"/>
        </w:rPr>
        <w:t>招标代理服务费</w:t>
      </w:r>
      <w:r>
        <w:rPr>
          <w:rFonts w:hint="eastAsia" w:cs="宋体"/>
          <w:b/>
          <w:color w:val="auto"/>
          <w:highlight w:val="none"/>
        </w:rPr>
        <w:t>。</w:t>
      </w:r>
    </w:p>
    <w:p>
      <w:pPr>
        <w:snapToGrid w:val="0"/>
        <w:spacing w:line="360" w:lineRule="auto"/>
        <w:ind w:firstLine="723" w:firstLineChars="200"/>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83" w:name="_Toc181265284"/>
      <w:r>
        <w:rPr>
          <w:rFonts w:hint="eastAsia" w:cs="仿宋_GB2312" w:asciiTheme="minorEastAsia" w:hAnsiTheme="minorEastAsia" w:eastAsiaTheme="minorEastAsia"/>
          <w:b/>
          <w:color w:val="auto"/>
          <w:sz w:val="36"/>
          <w:szCs w:val="36"/>
          <w:highlight w:val="none"/>
        </w:rPr>
        <w:t>第四部分  采购需求</w:t>
      </w:r>
      <w:bookmarkEnd w:id="83"/>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说明：</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1.下表中的品牌型号、技术参数仅起参考作用，供应商可选用其他品牌型号替代，但这些替代的产品要实质上相当于或优于参考品牌型号及其技术参数性能（配置）要求。</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2.本项目一览表中参考品牌型号及技术参数性能（配置）不明确或有误的，或供应商选用其他品牌型号替代的，请以详细、正确的品牌型号、技术参数性能配置填写报价表和技术规格偏离表。供应商须根据技术参数及性能配置要求提供对应的技术响应偏离表。</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谈判响应产品必须满足文件的相关规定。谈判时须提供国家确定的认证机构出具的、处于有效期之内的有效的节能产品认证证书复印件并加盖供应商公章，不提供视为无效谈判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4.谈判响应产品属于《市场监管总局关于发布强制性产品认证目录描述与界定表的公告》（2023年第36号 ）规定的《强制性产品认证目录》及《强制性产品认证目录描述与界定表（2023年修订）》规定范围内的，</w:t>
      </w:r>
      <w:r>
        <w:rPr>
          <w:rFonts w:hint="eastAsia" w:ascii="宋体" w:hAnsi="宋体" w:cs="宋体"/>
          <w:bCs/>
          <w:color w:val="auto"/>
          <w:sz w:val="24"/>
          <w:highlight w:val="none"/>
          <w:lang w:eastAsia="zh-CN"/>
        </w:rPr>
        <w:t>谈判时</w:t>
      </w:r>
      <w:r>
        <w:rPr>
          <w:rFonts w:hint="eastAsia" w:ascii="宋体" w:hAnsi="宋体" w:cs="宋体"/>
          <w:bCs/>
          <w:color w:val="auto"/>
          <w:sz w:val="24"/>
          <w:highlight w:val="none"/>
        </w:rPr>
        <w:t>供应商应提供该产品相关的强制性产品认证证书，不提供视为无效投标处理。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5.谈判响应产品属于《国务院关于调整完善工业产品生产许可证管理目录的决定》（国发〔2024〕11号）规定的《实施工业产品生产许可证管理的产品目录》规定范围内的，</w:t>
      </w:r>
      <w:r>
        <w:rPr>
          <w:rFonts w:hint="eastAsia" w:ascii="宋体" w:hAnsi="宋体" w:cs="宋体"/>
          <w:bCs/>
          <w:color w:val="auto"/>
          <w:sz w:val="24"/>
          <w:highlight w:val="none"/>
          <w:lang w:eastAsia="zh-CN"/>
        </w:rPr>
        <w:t>谈判时</w:t>
      </w:r>
      <w:r>
        <w:rPr>
          <w:rFonts w:hint="eastAsia" w:ascii="宋体" w:hAnsi="宋体" w:cs="宋体"/>
          <w:bCs/>
          <w:color w:val="auto"/>
          <w:sz w:val="24"/>
          <w:highlight w:val="none"/>
        </w:rPr>
        <w:t>供应商应提供该产品相关的工业产品生产许可证证书，不提供视为无效投标处理。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6.</w:t>
      </w:r>
      <w:bookmarkStart w:id="84" w:name="OLE_LINK60"/>
      <w:r>
        <w:rPr>
          <w:rFonts w:hint="eastAsia" w:ascii="宋体" w:hAnsi="宋体" w:cs="宋体"/>
          <w:bCs/>
          <w:color w:val="auto"/>
          <w:sz w:val="24"/>
          <w:highlight w:val="none"/>
        </w:rPr>
        <w:t>本项目的</w:t>
      </w:r>
      <w:bookmarkStart w:id="85" w:name="OLE_LINK114"/>
      <w:bookmarkStart w:id="86" w:name="OLE_LINK115"/>
      <w:r>
        <w:rPr>
          <w:rFonts w:hint="eastAsia" w:ascii="宋体" w:hAnsi="宋体" w:cs="宋体"/>
          <w:bCs/>
          <w:color w:val="auto"/>
          <w:sz w:val="24"/>
          <w:highlight w:val="none"/>
        </w:rPr>
        <w:t>预算金额</w:t>
      </w:r>
      <w:bookmarkEnd w:id="85"/>
      <w:bookmarkEnd w:id="86"/>
      <w:r>
        <w:rPr>
          <w:rFonts w:hint="eastAsia" w:ascii="宋体" w:hAnsi="宋体" w:cs="宋体"/>
          <w:bCs/>
          <w:color w:val="auto"/>
          <w:sz w:val="24"/>
          <w:highlight w:val="none"/>
        </w:rPr>
        <w:t>为（人民币）：</w:t>
      </w:r>
      <w:r>
        <w:rPr>
          <w:rFonts w:hint="eastAsia" w:ascii="宋体" w:hAnsi="宋体" w:cs="宋体"/>
          <w:bCs/>
          <w:color w:val="auto"/>
          <w:sz w:val="24"/>
          <w:highlight w:val="none"/>
          <w:u w:val="single"/>
          <w:lang w:eastAsia="zh-CN"/>
        </w:rPr>
        <w:t>627,840.00</w:t>
      </w:r>
      <w:r>
        <w:rPr>
          <w:rFonts w:hint="eastAsia" w:ascii="宋体" w:hAnsi="宋体" w:cs="宋体"/>
          <w:bCs/>
          <w:color w:val="auto"/>
          <w:sz w:val="24"/>
          <w:highlight w:val="none"/>
        </w:rPr>
        <w:t>元，报价超过预算金额的谈判无效。</w:t>
      </w:r>
      <w:bookmarkEnd w:id="84"/>
      <w:r>
        <w:rPr>
          <w:rFonts w:hint="eastAsia" w:ascii="宋体" w:hAnsi="宋体" w:cs="宋体"/>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7. 根据《关于印发中小企业划型标准规定的通知》（工信部联企业〔2011〕300号）规定的划分标准，本项目采购所有标的对应的中小企业划分标准所属行业为</w:t>
      </w:r>
      <w:r>
        <w:rPr>
          <w:rFonts w:hint="eastAsia" w:ascii="宋体" w:hAnsi="宋体" w:cs="宋体"/>
          <w:bCs/>
          <w:color w:val="auto"/>
          <w:sz w:val="24"/>
          <w:highlight w:val="none"/>
          <w:u w:val="single"/>
        </w:rPr>
        <w:t>工业</w:t>
      </w:r>
      <w:r>
        <w:rPr>
          <w:rFonts w:hint="eastAsia" w:ascii="宋体" w:hAnsi="宋体" w:cs="宋体"/>
          <w:bCs/>
          <w:color w:val="auto"/>
          <w:sz w:val="24"/>
          <w:highlight w:val="none"/>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8.本项目的</w:t>
      </w:r>
      <w:r>
        <w:rPr>
          <w:rFonts w:hint="eastAsia" w:ascii="宋体" w:hAnsi="宋体" w:cs="宋体"/>
          <w:b/>
          <w:bCs/>
          <w:color w:val="auto"/>
          <w:sz w:val="24"/>
          <w:highlight w:val="none"/>
        </w:rPr>
        <w:t>核心产品</w:t>
      </w:r>
      <w:r>
        <w:rPr>
          <w:rFonts w:hint="eastAsia" w:ascii="宋体" w:hAnsi="宋体" w:cs="宋体"/>
          <w:bCs/>
          <w:color w:val="auto"/>
          <w:sz w:val="24"/>
          <w:highlight w:val="none"/>
        </w:rPr>
        <w:t>为下表的：</w:t>
      </w:r>
      <w:bookmarkStart w:id="87" w:name="OLE_LINK22"/>
      <w:bookmarkStart w:id="88" w:name="OLE_LINK21"/>
      <w:r>
        <w:rPr>
          <w:rFonts w:hint="eastAsia" w:ascii="宋体" w:hAnsi="宋体" w:cs="宋体"/>
          <w:bCs/>
          <w:color w:val="auto"/>
          <w:sz w:val="24"/>
          <w:highlight w:val="none"/>
          <w:lang w:val="en-US" w:eastAsia="zh-CN"/>
        </w:rPr>
        <w:t>台式电脑（含显示器）</w:t>
      </w:r>
      <w:r>
        <w:rPr>
          <w:rFonts w:hint="eastAsia" w:ascii="宋体" w:hAnsi="宋体" w:cs="宋体"/>
          <w:bCs/>
          <w:color w:val="auto"/>
          <w:sz w:val="24"/>
          <w:highlight w:val="none"/>
        </w:rPr>
        <w:t>。</w:t>
      </w:r>
      <w:bookmarkEnd w:id="87"/>
      <w:bookmarkEnd w:id="88"/>
      <w:r>
        <w:rPr>
          <w:rFonts w:hint="eastAsia" w:ascii="宋体" w:hAnsi="宋体" w:cs="宋体"/>
          <w:bCs/>
          <w:color w:val="auto"/>
          <w:sz w:val="24"/>
          <w:highlight w:val="none"/>
        </w:rPr>
        <w:t>非单一产品采购项目中，多家谈判供应商提供的核心产品品牌相同的，视为提供相同品牌产品。</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color w:val="auto"/>
          <w:highlight w:val="none"/>
        </w:rPr>
        <w:sectPr>
          <w:headerReference r:id="rId4" w:type="first"/>
          <w:footerReference r:id="rId6" w:type="first"/>
          <w:headerReference r:id="rId3" w:type="default"/>
          <w:footerReference r:id="rId5" w:type="default"/>
          <w:pgSz w:w="11906" w:h="16838"/>
          <w:pgMar w:top="1247" w:right="1134" w:bottom="1276" w:left="1134" w:header="850" w:footer="1020" w:gutter="0"/>
          <w:cols w:space="720" w:num="1"/>
          <w:titlePg/>
          <w:docGrid w:linePitch="312" w:charSpace="0"/>
        </w:sectPr>
      </w:pPr>
      <w:r>
        <w:rPr>
          <w:rFonts w:hint="eastAsia" w:ascii="宋体" w:hAnsi="宋体" w:cs="宋体"/>
          <w:bCs/>
          <w:color w:val="auto"/>
          <w:sz w:val="24"/>
          <w:highlight w:val="none"/>
        </w:rPr>
        <w:t>9. “</w:t>
      </w:r>
      <w:bookmarkStart w:id="89" w:name="OLE_LINK8"/>
      <w:r>
        <w:rPr>
          <w:rFonts w:hint="eastAsia" w:ascii="宋体" w:hAnsi="宋体" w:cs="宋体"/>
          <w:bCs/>
          <w:color w:val="auto"/>
          <w:sz w:val="24"/>
          <w:highlight w:val="none"/>
        </w:rPr>
        <w:t>▲</w:t>
      </w:r>
      <w:bookmarkEnd w:id="89"/>
      <w:r>
        <w:rPr>
          <w:rFonts w:hint="eastAsia" w:ascii="宋体" w:hAnsi="宋体" w:cs="宋体"/>
          <w:bCs/>
          <w:color w:val="auto"/>
          <w:sz w:val="24"/>
          <w:highlight w:val="none"/>
        </w:rPr>
        <w:t>” 系指实质性要求条款， “※”系指谈判过程中可能实质性变动的内容（如有）。 采购需求一览表中标注“▲”的详细技术参数及配备要求、商务要求必须响应满足或优于，否则谈判无效。</w:t>
      </w:r>
    </w:p>
    <w:p>
      <w:pPr>
        <w:rPr>
          <w:rFonts w:hint="eastAsia"/>
          <w:color w:val="auto"/>
          <w:highlight w:val="none"/>
        </w:rPr>
      </w:pPr>
    </w:p>
    <w:tbl>
      <w:tblPr>
        <w:tblStyle w:val="6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446"/>
        <w:gridCol w:w="722"/>
        <w:gridCol w:w="696"/>
        <w:gridCol w:w="1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000" w:type="pct"/>
            <w:gridSpan w:val="5"/>
            <w:shd w:val="clear" w:color="000000" w:fill="FFFFFF"/>
            <w:vAlign w:val="center"/>
          </w:tcPr>
          <w:p>
            <w:pPr>
              <w:widowControl/>
              <w:adjustRightInd/>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技术参数要求表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80" w:type="pct"/>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序号</w:t>
            </w:r>
          </w:p>
        </w:tc>
        <w:tc>
          <w:tcPr>
            <w:tcW w:w="501" w:type="pct"/>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名称</w:t>
            </w:r>
          </w:p>
        </w:tc>
        <w:tc>
          <w:tcPr>
            <w:tcW w:w="250" w:type="pct"/>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单位</w:t>
            </w:r>
          </w:p>
        </w:tc>
        <w:tc>
          <w:tcPr>
            <w:tcW w:w="241" w:type="pct"/>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数量</w:t>
            </w:r>
          </w:p>
        </w:tc>
        <w:tc>
          <w:tcPr>
            <w:tcW w:w="3825" w:type="pct"/>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台式电脑（含显示器）</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49</w:t>
            </w:r>
          </w:p>
        </w:tc>
        <w:tc>
          <w:tcPr>
            <w:tcW w:w="3825" w:type="pct"/>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一、硬件配置：</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▲1.CPU不低于Intel I7-13700处理器（或AMD同等性能处理器）。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▲2.内存不低于16G。</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▲3.硬盘：不小于1TB的 固态硬盘。</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5.主板：B760或以上， 最高支持128GB内存，集成HD Audio，支持5.1声道和8声道音频接口。</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6.USB接口：≥10个USB，其中≥4个USB 3.2；VGA+HDMI+DP接口， RJ45接口*1，耳麦二合一插孔*1，主板(2个PCI-e x 1 , 1个PCI-e x 16)。</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7.电源&amp;机箱：≥400W高效电源(原厂)。</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▲8.显示器：≥23.8英寸屏。分辨率不低于1920*1080，具有VGA+HDMI双接口，配有HDMI线。</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9.刷新率120Hz，亮度≥250流明度</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10.操作系统：出厂预装正版windows操作系统。</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二、整机质量服务要求</w:t>
            </w:r>
          </w:p>
          <w:p>
            <w:pPr>
              <w:keepNext w:val="0"/>
              <w:keepLines w:val="0"/>
              <w:widowControl/>
              <w:suppressLineNumbers w:val="0"/>
              <w:jc w:val="left"/>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▲1.免费服务周期（含换件和维修）不小于3年（须原厂官网可查实际质保时间，否则不予验收)。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千兆路由器</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825" w:type="pct"/>
            <w:shd w:val="clear" w:color="000000" w:fill="FFFFFF"/>
            <w:vAlign w:val="center"/>
          </w:tcPr>
          <w:p>
            <w:pPr>
              <w:keepNext w:val="0"/>
              <w:keepLines w:val="0"/>
              <w:widowControl/>
              <w:suppressLineNumbers w:val="0"/>
              <w:jc w:val="left"/>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3200M双频全千兆Wi-Fi6无线路由器，外置天线设计，企业级芯片方案，千兆宽带接入能力，双核A53架构CPU，支持硬件NAT，推荐带机60台终端，无线:双频3202Mbps:;有线:1WAN+3LAN共4个千兆网口，支持最新802.11ax标准</w:t>
            </w:r>
            <w:r>
              <w:rPr>
                <w:rFonts w:hint="eastAsia" w:ascii="宋体" w:hAnsi="宋体" w:cs="宋体"/>
                <w:i w:val="0"/>
                <w:iCs w:val="0"/>
                <w:color w:val="auto"/>
                <w:kern w:val="0"/>
                <w:sz w:val="20"/>
                <w:szCs w:val="20"/>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千兆交换机</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825" w:type="pct"/>
            <w:shd w:val="clear" w:color="000000" w:fill="FFFFFF"/>
            <w:vAlign w:val="center"/>
          </w:tcPr>
          <w:p>
            <w:pPr>
              <w:keepNext w:val="0"/>
              <w:keepLines w:val="0"/>
              <w:widowControl/>
              <w:suppressLineNumbers w:val="0"/>
              <w:jc w:val="left"/>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产品类型：千兆以太网交换机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应用层级：二层,传输速率：10/100/1000Mbps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交换方式：存储-转发，背板带宽 48Gbps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端口结构：非模块化，端口数量：24个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端口描述：24个传输速率10/100/1000Mbps的RJ45口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传输模式：全双工/半双工自适应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千兆交换机</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825" w:type="pct"/>
            <w:shd w:val="clear" w:color="000000" w:fill="FFFFFF"/>
            <w:vAlign w:val="center"/>
          </w:tcPr>
          <w:p>
            <w:pPr>
              <w:keepNext w:val="0"/>
              <w:keepLines w:val="0"/>
              <w:widowControl/>
              <w:suppressLineNumbers w:val="0"/>
              <w:jc w:val="left"/>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产品类型：千兆以太网交换机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应用层级：二层,传输速率：10/100/1000Mbps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交换方式：存储-转发，背板带宽 48Gbps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端口结构：非模块化，端口数量：12个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端口描述：12个传输速率10/100/1000Mbps的RJ45口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传输模式：全双工/半双工自适应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教师桌</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张</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825" w:type="pct"/>
            <w:shd w:val="clear" w:color="000000" w:fill="FFFFFF"/>
            <w:vAlign w:val="center"/>
          </w:tcPr>
          <w:p>
            <w:pPr>
              <w:keepNext w:val="0"/>
              <w:keepLines w:val="0"/>
              <w:widowControl/>
              <w:suppressLineNumbers w:val="0"/>
              <w:jc w:val="left"/>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规格：长为140CM，宽为70CM，高为74CM；主台面为鸭嘴斜边防火板，背贴平衡板；其它为灰白色喷涂钢脚及钢档板。颜色及纹理按照设计图样式。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双人位学生桌</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张</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24</w:t>
            </w:r>
          </w:p>
        </w:tc>
        <w:tc>
          <w:tcPr>
            <w:tcW w:w="3825" w:type="pct"/>
            <w:shd w:val="clear" w:color="000000" w:fill="FFFFFF"/>
            <w:vAlign w:val="center"/>
          </w:tcPr>
          <w:p>
            <w:pPr>
              <w:keepNext w:val="0"/>
              <w:keepLines w:val="0"/>
              <w:widowControl/>
              <w:suppressLineNumbers w:val="0"/>
              <w:jc w:val="both"/>
              <w:textAlignment w:val="top"/>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规格：长为150CM，宽为60CM，高为75CM；桌面有穿线空设计，带锁隐藏式主机箱，机箱穿孔钢板，有效用于主机散热。主台面为加厚环保密度板，加厚碳钢钢架。蓝色。</w:t>
            </w:r>
            <w:r>
              <w:rPr>
                <w:rFonts w:hint="eastAsia" w:ascii="宋体" w:hAnsi="宋体" w:eastAsia="宋体" w:cs="宋体"/>
                <w:i w:val="0"/>
                <w:iCs w:val="0"/>
                <w:color w:val="auto"/>
                <w:kern w:val="0"/>
                <w:sz w:val="20"/>
                <w:szCs w:val="20"/>
                <w:highlight w:val="none"/>
                <w:u w:val="none"/>
                <w:bdr w:val="single" w:color="000000" w:sz="4" w:space="0"/>
                <w:lang w:val="en-US" w:eastAsia="zh-CN" w:bidi="ar"/>
              </w:rPr>
              <w:drawing>
                <wp:inline distT="0" distB="0" distL="114300" distR="114300">
                  <wp:extent cx="783590" cy="790575"/>
                  <wp:effectExtent l="0" t="0" r="16510" b="9525"/>
                  <wp:docPr id="23" name="图片_1"/>
                  <wp:cNvGraphicFramePr/>
                  <a:graphic xmlns:a="http://schemas.openxmlformats.org/drawingml/2006/main">
                    <a:graphicData uri="http://schemas.openxmlformats.org/drawingml/2006/picture">
                      <pic:pic xmlns:pic="http://schemas.openxmlformats.org/drawingml/2006/picture">
                        <pic:nvPicPr>
                          <pic:cNvPr id="23" name="图片_1"/>
                          <pic:cNvPicPr/>
                        </pic:nvPicPr>
                        <pic:blipFill>
                          <a:blip r:embed="rId21"/>
                          <a:stretch>
                            <a:fillRect/>
                          </a:stretch>
                        </pic:blipFill>
                        <pic:spPr>
                          <a:xfrm>
                            <a:off x="0" y="0"/>
                            <a:ext cx="783590" cy="7905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橡木方凳</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张</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49</w:t>
            </w:r>
          </w:p>
        </w:tc>
        <w:tc>
          <w:tcPr>
            <w:tcW w:w="3825" w:type="pct"/>
            <w:shd w:val="clear" w:color="000000" w:fill="FFFFFF"/>
            <w:vAlign w:val="center"/>
          </w:tcPr>
          <w:p>
            <w:pPr>
              <w:keepNext w:val="0"/>
              <w:keepLines w:val="0"/>
              <w:widowControl/>
              <w:suppressLineNumbers w:val="0"/>
              <w:jc w:val="left"/>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升级加固款木质大方凳，凳面尺寸33cm*25cm*2cm，凳子高度45cm，凳脚及横柱粗4cm*4cm。方凳材质: 橡胶木，风格: 现代中式；颜色分类: 原木色。其他要求：大方条横柱入榫，凳面和凳框用螺丝加固，全凳上环保清漆。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音箱</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对</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825" w:type="pct"/>
            <w:shd w:val="clear" w:color="000000" w:fill="FFFFFF"/>
            <w:vAlign w:val="center"/>
          </w:tcPr>
          <w:p>
            <w:pPr>
              <w:keepNext w:val="0"/>
              <w:keepLines w:val="0"/>
              <w:widowControl/>
              <w:suppressLineNumbers w:val="0"/>
              <w:jc w:val="left"/>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2.0有源壁挂 输出功率：15W+15W  输入接口：AUX RCA 6.5MM 话筒喇叭单元：1.5英寸 高音4英寸中低音毛重：4.4公斤 输入电压：220V/50Hz 额度功率：30W 高音单元：1.5英寸 低音单元：4.0英寸输入端口：AUX RCA 频响范围：20Hz-20KHz 输入阻抗：4 欧 失真度：≤1% 信噪比重量：≥85dB 产品尺寸：15*17*24厘米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麦克风</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对</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825" w:type="pct"/>
            <w:shd w:val="clear" w:color="000000" w:fill="FFFFFF"/>
            <w:vAlign w:val="center"/>
          </w:tcPr>
          <w:p>
            <w:pPr>
              <w:keepNext w:val="0"/>
              <w:keepLines w:val="0"/>
              <w:widowControl/>
              <w:suppressLineNumbers w:val="0"/>
              <w:jc w:val="left"/>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55CM咪杆+5米6.5插头话筒线 360°任意角度调节麦克风位置,灵敏拾音 智能降噪 人声保真 抗噪抗干扰 适应场合：演讲辩论、会议室、培训授课、电脑语音 换能方式：电容式 指向性：超心型指向 灵敏度：-40DB(+/-2DB) 频率响应：40HZ-16HZ 输出阻抗：200Ω 拾音距离：50CM 供电方式：外接电源、电池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机柜</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825" w:type="pct"/>
            <w:shd w:val="clear" w:color="000000" w:fill="FFFFFF"/>
            <w:vAlign w:val="center"/>
          </w:tcPr>
          <w:p>
            <w:pPr>
              <w:keepNext w:val="0"/>
              <w:keepLines w:val="0"/>
              <w:widowControl/>
              <w:suppressLineNumbers w:val="0"/>
              <w:jc w:val="left"/>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1、19寸32U机柜；宽600，深600，高1610MM，容量32U符合ANSI/EIA RS-310-D、IEC297-2、DIN41494；PART1、DIN41494;PART7、GB/T3047.2-92；兼容ETSI标准。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2、5MM厚单开钢化玻璃前门（前门边带蓝色装饰条）；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单开钣金后门；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前后门免焊加强筋结构；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前后门配高级典雅锁；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承载:静载800KG(带支架)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防护等级:IP20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3、主要材料:方孔条与安装梁：耐指纹敷铝锌板,镀铝锌板材质方孔条与安装梁,设备安装时自动等电位,无锐边方孔条,在安装维护中不割伤手.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其余：SPCC优质冷轧板；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厚度：方孔条 2.0mm；安装梁 1.5mm；其余 1.2mm。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表面处理:方孔条、安装横梁：镀铝锌板 ；其余：脱脂、硅烷化处理 、静电喷塑。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4、机柜安装：19”安装，方孔条可调节深度，前后共4根。为便于安装，方孔条上有U制标识。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5、每台机柜配一条环保-10A输入输出PDU，含线八位万能插座PDU，功率2500W。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6、配件：每柜一块固定层板（每块可承重60KG），每柜配两组散热风扇内嵌式（噪声小于60分贝，无安装板振动声）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触控智能一体机</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套</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825" w:type="pct"/>
            <w:shd w:val="clear" w:color="000000" w:fill="FFFFFF"/>
            <w:vAlign w:val="top"/>
          </w:tcPr>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86寸 触控一体机 智慧黑板多媒体教学 安卓加 win10 i58G256 ；内存容量8G+256G；屏幕尺寸86英寸；面板IPS；接口类型USB3.0、USB2.0；功率 (w)75</w:t>
            </w:r>
          </w:p>
          <w:p>
            <w:pPr>
              <w:keepNext w:val="0"/>
              <w:keepLines w:val="0"/>
              <w:widowControl/>
              <w:suppressLineNumbers w:val="0"/>
              <w:jc w:val="left"/>
              <w:textAlignment w:val="top"/>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bdr w:val="single" w:color="000000" w:sz="4" w:space="0"/>
                <w:lang w:val="en-US" w:eastAsia="zh-CN" w:bidi="ar"/>
              </w:rPr>
              <w:drawing>
                <wp:inline distT="0" distB="0" distL="114300" distR="114300">
                  <wp:extent cx="3686810" cy="1104265"/>
                  <wp:effectExtent l="0" t="0" r="8890" b="635"/>
                  <wp:docPr id="24" name="图片_1_SpCnt_1"/>
                  <wp:cNvGraphicFramePr/>
                  <a:graphic xmlns:a="http://schemas.openxmlformats.org/drawingml/2006/main">
                    <a:graphicData uri="http://schemas.openxmlformats.org/drawingml/2006/picture">
                      <pic:pic xmlns:pic="http://schemas.openxmlformats.org/drawingml/2006/picture">
                        <pic:nvPicPr>
                          <pic:cNvPr id="24" name="图片_1_SpCnt_1"/>
                          <pic:cNvPicPr/>
                        </pic:nvPicPr>
                        <pic:blipFill>
                          <a:blip r:embed="rId22"/>
                          <a:stretch>
                            <a:fillRect/>
                          </a:stretch>
                        </pic:blipFill>
                        <pic:spPr>
                          <a:xfrm>
                            <a:off x="0" y="0"/>
                            <a:ext cx="3686810" cy="11042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综合布线</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套</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825" w:type="pct"/>
            <w:shd w:val="clear" w:color="000000" w:fill="FFFFFF"/>
            <w:vAlign w:val="center"/>
          </w:tcPr>
          <w:p>
            <w:pPr>
              <w:keepNext w:val="0"/>
              <w:keepLines w:val="0"/>
              <w:widowControl/>
              <w:suppressLineNumbers w:val="0"/>
              <w:jc w:val="left"/>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根据现场定制，详见附件1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立柜式空调</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825" w:type="pct"/>
            <w:shd w:val="clear" w:color="000000" w:fill="FFFFFF"/>
            <w:vAlign w:val="center"/>
          </w:tcPr>
          <w:p>
            <w:pPr>
              <w:keepNext w:val="0"/>
              <w:keepLines w:val="0"/>
              <w:widowControl/>
              <w:suppressLineNumbers w:val="0"/>
              <w:jc w:val="left"/>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大3匹定频冷柜机，能效等级：1，能效比3.12，制冷量：7350W；制冷功率：2170W；适用面积：32-48㎡；循环风量：12100m3/h。连接管：4（米），电源380V。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实物投影仪</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825" w:type="pct"/>
            <w:shd w:val="clear" w:color="000000" w:fill="FFFFFF"/>
            <w:vAlign w:val="top"/>
          </w:tcPr>
          <w:p>
            <w:pPr>
              <w:keepNext w:val="0"/>
              <w:keepLines w:val="0"/>
              <w:widowControl/>
              <w:suppressLineNumbers w:val="0"/>
              <w:jc w:val="left"/>
              <w:textAlignment w:val="top"/>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800万像素HDMI+VGA+USB接口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LED大屏幕</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825" w:type="pct"/>
            <w:shd w:val="clear" w:color="000000" w:fill="FFFFFF"/>
            <w:vAlign w:val="top"/>
          </w:tcPr>
          <w:p>
            <w:pPr>
              <w:keepNext w:val="0"/>
              <w:keepLines w:val="0"/>
              <w:widowControl/>
              <w:suppressLineNumbers w:val="0"/>
              <w:jc w:val="left"/>
              <w:textAlignment w:val="top"/>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全彩led会议室无缝拼接屏，像素结构SMD1212三合一LED,4.16米宽*2.56米高，高刷新率，支持24小时开机，超广视角，屏体寿命10W小时以上。安装钢结构，配电柜&gt;=10KW，模组尺寸（MM)320*160*16.6,模组电压5V。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台式电脑（含显示器）</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825" w:type="pct"/>
            <w:shd w:val="clear" w:color="000000" w:fill="FFFFFF"/>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一、硬件配置：</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▲1.CPU不低于Intel I7-13700处理器（或AMD同等性能处理器）。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▲2.内存不低于16G。</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▲3.硬盘：不小于1TB的 固态硬盘。</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5.主板：B760或以上， 最高支持128GB内存，集成HD Audio，支持5.1声道和8声道音频接口。</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6.USB接口：≥10个USB，其中≥4个USB 3.2；VGA+HDMI+DP接口， RJ45接口*1，耳麦二合一插孔*1，主板(2个PCI-e x 1 , 1个PCI-e x 16)。</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7.电源&amp;机箱：≥400W高效电源(原厂)。</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▲8.显示器：≥23.8英寸屏。分辨率不低于1920*1080，具有VGA+HDMI双接口，配有HDMI线。</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9.刷新率120Hz，亮度≥250流明度</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10.操作系统：出厂预装正版windows操作系统。</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二、整机质量服务要求</w:t>
            </w:r>
          </w:p>
          <w:p>
            <w:pPr>
              <w:keepNext w:val="0"/>
              <w:keepLines w:val="0"/>
              <w:widowControl/>
              <w:suppressLineNumbers w:val="0"/>
              <w:jc w:val="left"/>
              <w:textAlignment w:val="top"/>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▲1.免费服务周期（含换件和维修）不小于3年（须原厂官网可查实际质保时间，否则不予验收)。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板式六边型实验桌</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套</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3825" w:type="pct"/>
            <w:shd w:val="clear" w:color="000000" w:fill="FFFFFF"/>
            <w:vAlign w:val="top"/>
          </w:tcPr>
          <w:p>
            <w:pPr>
              <w:keepNext w:val="0"/>
              <w:keepLines w:val="0"/>
              <w:widowControl/>
              <w:suppressLineNumbers w:val="0"/>
              <w:jc w:val="left"/>
              <w:textAlignment w:val="top"/>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木质六边形桌(高800MM，六角边长875MM，对角线1750MM），颜色：天蓝色。桌子中心带6个工位的电源盘插，下方带有抽屉储物功能；配6张加固款木质大方凳(长330*宽250*高500mm），凳面高30mm,大方条横柱入榫，凳面和凳框用螺丝加固。颜色：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教师电脑台</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套</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825" w:type="pct"/>
            <w:shd w:val="clear" w:color="000000" w:fill="FFFFFF"/>
            <w:vAlign w:val="top"/>
          </w:tcPr>
          <w:p>
            <w:pPr>
              <w:keepNext w:val="0"/>
              <w:keepLines w:val="0"/>
              <w:widowControl/>
              <w:suppressLineNumbers w:val="0"/>
              <w:jc w:val="left"/>
              <w:textAlignment w:val="top"/>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多媒体讲台钢制多功能教学老师讲台，木面款，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尺寸：1200*780*1000mm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实物投影仪</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825" w:type="pct"/>
            <w:shd w:val="clear" w:color="000000" w:fill="FFFFFF"/>
            <w:vAlign w:val="top"/>
          </w:tcPr>
          <w:p>
            <w:pPr>
              <w:keepNext w:val="0"/>
              <w:keepLines w:val="0"/>
              <w:widowControl/>
              <w:suppressLineNumbers w:val="0"/>
              <w:jc w:val="left"/>
              <w:textAlignment w:val="top"/>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800万像素HDMI+VGA+USB接口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立柜式空调</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3825" w:type="pct"/>
            <w:shd w:val="clear" w:color="000000" w:fill="FFFFFF"/>
            <w:vAlign w:val="top"/>
          </w:tcPr>
          <w:p>
            <w:pPr>
              <w:keepNext w:val="0"/>
              <w:keepLines w:val="0"/>
              <w:widowControl/>
              <w:suppressLineNumbers w:val="0"/>
              <w:jc w:val="left"/>
              <w:textAlignment w:val="top"/>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大3匹定频冷柜机，能效等级：1，能效比3.12，制冷量：7350W；制冷功率：2170W；适用面积：32-48㎡；循环风量：12100m3/h。连接管：4（米），电源380V。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21</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高清宣传屏一体机</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825" w:type="pct"/>
            <w:shd w:val="clear" w:color="000000" w:fill="FFFFFF"/>
            <w:vAlign w:val="top"/>
          </w:tcPr>
          <w:p>
            <w:pPr>
              <w:keepNext w:val="0"/>
              <w:keepLines w:val="0"/>
              <w:widowControl/>
              <w:suppressLineNumbers w:val="0"/>
              <w:jc w:val="left"/>
              <w:textAlignment w:val="top"/>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非触摸屏、65英寸、高清画质、手机控制、远程发布、定时开关、支持内网外网链接、支持多种文件格式、U盘播放。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 w:type="pct"/>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22</w:t>
            </w:r>
          </w:p>
        </w:tc>
        <w:tc>
          <w:tcPr>
            <w:tcW w:w="50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综合布线</w:t>
            </w:r>
          </w:p>
        </w:tc>
        <w:tc>
          <w:tcPr>
            <w:tcW w:w="250"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套</w:t>
            </w:r>
          </w:p>
        </w:tc>
        <w:tc>
          <w:tcPr>
            <w:tcW w:w="241" w:type="pct"/>
            <w:shd w:val="clear" w:color="000000" w:fill="FFFFFF"/>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825" w:type="pct"/>
            <w:shd w:val="clear" w:color="000000" w:fill="FFFFFF"/>
            <w:vAlign w:val="center"/>
          </w:tcPr>
          <w:p>
            <w:pPr>
              <w:keepNext w:val="0"/>
              <w:keepLines w:val="0"/>
              <w:widowControl/>
              <w:suppressLineNumbers w:val="0"/>
              <w:jc w:val="left"/>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根据现场定制，详见附件2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000" w:type="pct"/>
            <w:gridSpan w:val="5"/>
            <w:shd w:val="clear" w:color="000000" w:fill="FFFFFF"/>
            <w:vAlign w:val="center"/>
          </w:tcPr>
          <w:p>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b/>
                <w:color w:val="auto"/>
                <w:kern w:val="0"/>
                <w:sz w:val="21"/>
                <w:szCs w:val="21"/>
                <w:highlight w:val="none"/>
                <w:lang w:val="en-US" w:eastAsia="zh-CN"/>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74" w:type="pct"/>
            <w:gridSpan w:val="4"/>
            <w:shd w:val="clear" w:color="000000" w:fill="FFFFFF"/>
            <w:vAlign w:val="center"/>
          </w:tcPr>
          <w:p>
            <w:pPr>
              <w:adjustRightInd/>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交货时间及地点</w:t>
            </w:r>
          </w:p>
        </w:tc>
        <w:tc>
          <w:tcPr>
            <w:tcW w:w="3825" w:type="pct"/>
            <w:shd w:val="clear" w:color="000000" w:fill="FFFFFF"/>
            <w:vAlign w:val="center"/>
          </w:tcPr>
          <w:p>
            <w:pPr>
              <w:keepNext w:val="0"/>
              <w:keepLines w:val="0"/>
              <w:pageBreakBefore w:val="0"/>
              <w:kinsoku/>
              <w:wordWrap/>
              <w:overflowPunct/>
              <w:topLinePunct w:val="0"/>
              <w:bidi w:val="0"/>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签订合同后</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个工作历日。北海职业学院指定地点。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2" w:hRule="atLeast"/>
        </w:trPr>
        <w:tc>
          <w:tcPr>
            <w:tcW w:w="1174" w:type="pct"/>
            <w:gridSpan w:val="4"/>
            <w:shd w:val="clear" w:color="000000" w:fill="FFFFFF"/>
            <w:vAlign w:val="center"/>
          </w:tcPr>
          <w:p>
            <w:pPr>
              <w:adjustRightInd/>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质保期</w:t>
            </w:r>
          </w:p>
        </w:tc>
        <w:tc>
          <w:tcPr>
            <w:tcW w:w="382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保修及服务要求：</w:t>
            </w:r>
          </w:p>
          <w:p>
            <w:pPr>
              <w:keepNext w:val="0"/>
              <w:keepLines w:val="0"/>
              <w:pageBreakBefore w:val="0"/>
              <w:kinsoku/>
              <w:wordWrap/>
              <w:overflowPunct/>
              <w:topLinePunct w:val="0"/>
              <w:autoSpaceDE/>
              <w:autoSpaceDN/>
              <w:bidi w:val="0"/>
              <w:snapToGrid/>
              <w:spacing w:line="360" w:lineRule="auto"/>
              <w:ind w:firstLine="420" w:firstLineChars="20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（1）免费送货上门、免费上门安装调试、免费培训、免费技术支持。</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负责免费培训使用人员和维护人员，内容包括设备及软件系统操作、日常维护，确保熟练掌握全部功能为止。</w:t>
            </w:r>
          </w:p>
          <w:p>
            <w:pPr>
              <w:keepNext w:val="0"/>
              <w:keepLines w:val="0"/>
              <w:pageBreakBefore w:val="0"/>
              <w:kinsoku/>
              <w:wordWrap/>
              <w:overflowPunct/>
              <w:topLinePunct w:val="0"/>
              <w:autoSpaceDE/>
              <w:autoSpaceDN/>
              <w:bidi w:val="0"/>
              <w:snapToGrid/>
              <w:spacing w:line="360" w:lineRule="auto"/>
              <w:ind w:firstLine="420" w:firstLineChars="20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（2）故障响应时间：接到故障通知后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应在20分钟内电话服务应答，24小时内到现场维护响应，并提供7*24小时免费电话维护服务；</w:t>
            </w:r>
          </w:p>
          <w:p>
            <w:pPr>
              <w:keepNext w:val="0"/>
              <w:keepLines w:val="0"/>
              <w:pageBreakBefore w:val="0"/>
              <w:kinsoku/>
              <w:wordWrap/>
              <w:overflowPunct/>
              <w:topLinePunct w:val="0"/>
              <w:autoSpaceDE/>
              <w:autoSpaceDN/>
              <w:bidi w:val="0"/>
              <w:snapToGrid/>
              <w:spacing w:line="360" w:lineRule="auto"/>
              <w:ind w:firstLine="420" w:firstLineChars="20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（3）货物验收合格后须按国家有关规定和要求(如无国家规定和要求的，按承诺和厂方“三包”规定)提供质保，质保期验收合格之日起不少于2年(分项有特别要求的按照分项的要求进行)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质保期内因货物本身缺陷造成各种故障应由供应商提供免费技术服务和维修，若采购需求中有质保要求，以采购需求为准； </w:t>
            </w:r>
          </w:p>
          <w:p>
            <w:pPr>
              <w:keepNext w:val="0"/>
              <w:keepLines w:val="0"/>
              <w:pageBreakBefore w:val="0"/>
              <w:kinsoku/>
              <w:wordWrap/>
              <w:overflowPunct/>
              <w:topLinePunct w:val="0"/>
              <w:autoSpaceDE/>
              <w:autoSpaceDN/>
              <w:bidi w:val="0"/>
              <w:snapToGrid/>
              <w:spacing w:line="360" w:lineRule="auto"/>
              <w:ind w:firstLine="420" w:firstLineChars="20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（4）维修时限：在保修期内，接到故障通知后2天内完成维修或更换服务，超过保修期的，接到故障通知3天内完成维修或更换服务。</w:t>
            </w:r>
          </w:p>
          <w:p>
            <w:pPr>
              <w:keepNext w:val="0"/>
              <w:keepLines w:val="0"/>
              <w:pageBreakBefore w:val="0"/>
              <w:kinsoku/>
              <w:wordWrap/>
              <w:overflowPunct/>
              <w:topLinePunct w:val="0"/>
              <w:autoSpaceDE/>
              <w:autoSpaceDN/>
              <w:bidi w:val="0"/>
              <w:snapToGrid/>
              <w:spacing w:line="360" w:lineRule="auto"/>
              <w:ind w:firstLine="420" w:firstLineChars="20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货物质保期内非人为因素出现的质量问题，须按国家有关规定和要求(如无国家规定和要求的，按承诺和厂方“三包”规定)立即进行免费维修、免费更换有缺陷的零部件，甚至免费更换新货物，因人为因素出现的故障不在免费保修范围内，但中标供应商也要积极帮助采购人修理，并提供优惠价格和服务；质保期外发生的损坏，负责货物的终身维修，修理和换件按成本费收取，不再收取其他费用；如果需要更换配件的，所更换的配件应当为原供货产品品牌、类型相一致或者是同等档次的替代品，后者需征得用户方管理人员同意；若采购人发现产品存在制造上的缺陷，投标人应负责采取补救措施，若该缺陷导致产品存在安全隐患或不能使用的，投标人应负责免费更换整件产品。</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 xml:space="preserve">应定期进行回访。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1174" w:type="pct"/>
            <w:gridSpan w:val="4"/>
            <w:shd w:val="clear" w:color="000000" w:fill="FFFFFF"/>
            <w:vAlign w:val="center"/>
          </w:tcPr>
          <w:p>
            <w:pPr>
              <w:adjustRightInd/>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质量要求</w:t>
            </w:r>
          </w:p>
        </w:tc>
        <w:tc>
          <w:tcPr>
            <w:tcW w:w="3825" w:type="pct"/>
            <w:shd w:val="clear" w:color="000000" w:fill="FFFFFF"/>
            <w:vAlign w:val="center"/>
          </w:tcPr>
          <w:p>
            <w:pPr>
              <w:keepNext w:val="0"/>
              <w:keepLines w:val="0"/>
              <w:pageBreakBefore w:val="0"/>
              <w:kinsoku/>
              <w:wordWrap/>
              <w:overflowPunct/>
              <w:topLinePunct w:val="0"/>
              <w:bidi w:val="0"/>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1、供应商应承诺所提供的设备（产品）为具备合法渠道未使用过的全新产品。 所有产品、辅件、材料要求无瑕疵和缺陷，质量为合格产品，同时有明确的生产厂商或制造厂商信息。</w:t>
            </w:r>
          </w:p>
          <w:p>
            <w:pPr>
              <w:keepNext w:val="0"/>
              <w:keepLines w:val="0"/>
              <w:pageBreakBefore w:val="0"/>
              <w:kinsoku/>
              <w:wordWrap/>
              <w:overflowPunct/>
              <w:topLinePunct w:val="0"/>
              <w:bidi w:val="0"/>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 供应商应保证所提供货物、 服务在使用时不会侵犯任何第三方的专利权、商标权、工业设计权等知识产权及其他合法权利，且所有权、处分权等没有受到任何限制。供应商必须自行为其投标产品侵犯他人的知识产权或者专利成果的行为承担相应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174" w:type="pct"/>
            <w:gridSpan w:val="4"/>
            <w:shd w:val="clear" w:color="000000" w:fill="FFFFFF"/>
            <w:vAlign w:val="center"/>
          </w:tcPr>
          <w:p>
            <w:pPr>
              <w:adjustRightInd/>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售后服务要求</w:t>
            </w:r>
          </w:p>
        </w:tc>
        <w:tc>
          <w:tcPr>
            <w:tcW w:w="3825" w:type="pct"/>
            <w:shd w:val="clear" w:color="000000" w:fill="FFFFFF"/>
            <w:vAlign w:val="center"/>
          </w:tcPr>
          <w:p>
            <w:pPr>
              <w:keepNext w:val="0"/>
              <w:keepLines w:val="0"/>
              <w:pageBreakBefore w:val="0"/>
              <w:kinsoku/>
              <w:wordWrap/>
              <w:overflowPunct/>
              <w:topLinePunct w:val="0"/>
              <w:bidi w:val="0"/>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1、按国家有关产品“三包”规定执行“三包”；</w:t>
            </w:r>
          </w:p>
          <w:p>
            <w:pPr>
              <w:keepNext w:val="0"/>
              <w:keepLines w:val="0"/>
              <w:pageBreakBefore w:val="0"/>
              <w:kinsoku/>
              <w:wordWrap/>
              <w:overflowPunct/>
              <w:topLinePunct w:val="0"/>
              <w:bidi w:val="0"/>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2、免费送货上门，免费安装调试合格，派出技术人员到达现场负责设备安装调试，直至正常使用；</w:t>
            </w:r>
          </w:p>
          <w:p>
            <w:pPr>
              <w:keepNext w:val="0"/>
              <w:keepLines w:val="0"/>
              <w:pageBreakBefore w:val="0"/>
              <w:kinsoku/>
              <w:wordWrap/>
              <w:overflowPunct/>
              <w:topLinePunct w:val="0"/>
              <w:bidi w:val="0"/>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3、接到故障通知后 1 小时内作出有效响应，24小时内到达现场提供服务（保修期内免费服务），提供终身维护和保养服务。对于未能解决的问题和故障应提供可行的升级方案，并提供周转设备或更换设备；</w:t>
            </w:r>
          </w:p>
          <w:p>
            <w:pPr>
              <w:keepNext w:val="0"/>
              <w:keepLines w:val="0"/>
              <w:pageBreakBefore w:val="0"/>
              <w:kinsoku/>
              <w:wordWrap/>
              <w:overflowPunct/>
              <w:topLinePunct w:val="0"/>
              <w:bidi w:val="0"/>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4、免费在采购人指定地点培训技术员，保证熟练掌握用户设备的使用方法、维护方法、保养注意事项等内容。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74" w:type="pct"/>
            <w:gridSpan w:val="4"/>
            <w:shd w:val="clear" w:color="000000" w:fill="FFFFFF"/>
            <w:vAlign w:val="center"/>
          </w:tcPr>
          <w:p>
            <w:pPr>
              <w:widowControl/>
              <w:adjustRightInd/>
              <w:spacing w:line="42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付款时间和方式</w:t>
            </w:r>
          </w:p>
        </w:tc>
        <w:tc>
          <w:tcPr>
            <w:tcW w:w="3825" w:type="pct"/>
            <w:shd w:val="clear" w:color="000000" w:fill="FFFFFF"/>
            <w:vAlign w:val="center"/>
          </w:tcPr>
          <w:p>
            <w:pPr>
              <w:keepNext w:val="0"/>
              <w:keepLines w:val="0"/>
              <w:pageBreakBefore w:val="0"/>
              <w:widowControl/>
              <w:kinsoku/>
              <w:wordWrap/>
              <w:overflowPunct/>
              <w:topLinePunct w:val="0"/>
              <w:bidi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自签订合同后(待财政资金到位后)7个日历日内支付合同价款50%预付款，剩余50%合同价款于所有设备验收合格后，(待财政资金到位后),中标人开具合法合规发票，采购人自收到发票后30个日历日内按政府采购程序办理付款手续，本项目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1174" w:type="pct"/>
            <w:gridSpan w:val="4"/>
            <w:shd w:val="clear" w:color="000000" w:fill="FFFFFF"/>
            <w:vAlign w:val="center"/>
          </w:tcPr>
          <w:p>
            <w:pPr>
              <w:widowControl/>
              <w:adjustRightInd/>
              <w:spacing w:line="42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报价要求</w:t>
            </w:r>
          </w:p>
        </w:tc>
        <w:tc>
          <w:tcPr>
            <w:tcW w:w="3825" w:type="pct"/>
            <w:shd w:val="clear" w:color="000000" w:fill="FFFFFF"/>
            <w:vAlign w:val="center"/>
          </w:tcPr>
          <w:p>
            <w:pPr>
              <w:keepNext w:val="0"/>
              <w:keepLines w:val="0"/>
              <w:pageBreakBefore w:val="0"/>
              <w:widowControl/>
              <w:kinsoku/>
              <w:wordWrap/>
              <w:overflowPunct/>
              <w:topLinePunct w:val="0"/>
              <w:bidi w:val="0"/>
              <w:snapToGri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报价必须含以下部分，包括：</w:t>
            </w:r>
          </w:p>
          <w:p>
            <w:pPr>
              <w:keepNext w:val="0"/>
              <w:keepLines w:val="0"/>
              <w:pageBreakBefore w:val="0"/>
              <w:widowControl/>
              <w:kinsoku/>
              <w:wordWrap/>
              <w:overflowPunct/>
              <w:topLinePunct w:val="0"/>
              <w:bidi w:val="0"/>
              <w:snapToGri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（1）货物及标准附件、备品备件、专用工具的价格；</w:t>
            </w:r>
          </w:p>
          <w:p>
            <w:pPr>
              <w:keepNext w:val="0"/>
              <w:keepLines w:val="0"/>
              <w:pageBreakBefore w:val="0"/>
              <w:widowControl/>
              <w:kinsoku/>
              <w:wordWrap/>
              <w:overflowPunct/>
              <w:topLinePunct w:val="0"/>
              <w:bidi w:val="0"/>
              <w:snapToGri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（2）运输、安装、调试、培训、技术支持、售后服务等费用；</w:t>
            </w:r>
          </w:p>
          <w:p>
            <w:pPr>
              <w:keepNext w:val="0"/>
              <w:keepLines w:val="0"/>
              <w:pageBreakBefore w:val="0"/>
              <w:widowControl/>
              <w:kinsoku/>
              <w:wordWrap/>
              <w:overflowPunct/>
              <w:topLinePunct w:val="0"/>
              <w:bidi w:val="0"/>
              <w:snapToGri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（3）必要的保险费用和各项税费；</w:t>
            </w:r>
          </w:p>
          <w:p>
            <w:pPr>
              <w:keepNext w:val="0"/>
              <w:keepLines w:val="0"/>
              <w:pageBreakBefore w:val="0"/>
              <w:widowControl/>
              <w:kinsoku/>
              <w:wordWrap/>
              <w:overflowPunct/>
              <w:topLinePunct w:val="0"/>
              <w:bidi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（4）必要的基础环境改造费用。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174" w:type="pct"/>
            <w:gridSpan w:val="4"/>
            <w:shd w:val="clear" w:color="000000" w:fill="FFFFFF"/>
            <w:vAlign w:val="center"/>
          </w:tcPr>
          <w:p>
            <w:pPr>
              <w:widowControl/>
              <w:adjustRightInd/>
              <w:spacing w:line="42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保修和服务要求</w:t>
            </w:r>
          </w:p>
        </w:tc>
        <w:tc>
          <w:tcPr>
            <w:tcW w:w="3825" w:type="pct"/>
            <w:shd w:val="clear" w:color="000000" w:fill="FFFFFF"/>
            <w:vAlign w:val="center"/>
          </w:tcPr>
          <w:p>
            <w:pPr>
              <w:pStyle w:val="22"/>
              <w:keepNext w:val="0"/>
              <w:keepLines w:val="0"/>
              <w:pageBreakBefore w:val="0"/>
              <w:kinsoku/>
              <w:wordWrap/>
              <w:overflowPunct/>
              <w:topLinePunct w:val="0"/>
              <w:bidi w:val="0"/>
              <w:spacing w:line="360" w:lineRule="auto"/>
              <w:ind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（一）服务要求：</w:t>
            </w:r>
          </w:p>
          <w:p>
            <w:pPr>
              <w:pStyle w:val="22"/>
              <w:keepNext w:val="0"/>
              <w:keepLines w:val="0"/>
              <w:pageBreakBefore w:val="0"/>
              <w:kinsoku/>
              <w:wordWrap/>
              <w:overflowPunct/>
              <w:topLinePunct w:val="0"/>
              <w:bidi w:val="0"/>
              <w:spacing w:line="360" w:lineRule="auto"/>
              <w:ind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1、供应商提供电话、电子邮件、远程连接等多种形式服务；</w:t>
            </w:r>
          </w:p>
          <w:p>
            <w:pPr>
              <w:pStyle w:val="22"/>
              <w:keepNext w:val="0"/>
              <w:keepLines w:val="0"/>
              <w:pageBreakBefore w:val="0"/>
              <w:kinsoku/>
              <w:wordWrap/>
              <w:overflowPunct/>
              <w:topLinePunct w:val="0"/>
              <w:bidi w:val="0"/>
              <w:spacing w:line="360" w:lineRule="auto"/>
              <w:ind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2、服务周期内提供产品的维修、换件和升级服务。提供上门升级部件/软件与扩容的增值服务。维修、更换零件、工时费、差旅费等均由供应商承担，且不限维修次数‌。</w:t>
            </w:r>
          </w:p>
          <w:p>
            <w:pPr>
              <w:pStyle w:val="22"/>
              <w:keepNext w:val="0"/>
              <w:keepLines w:val="0"/>
              <w:pageBreakBefore w:val="0"/>
              <w:kinsoku/>
              <w:wordWrap/>
              <w:overflowPunct/>
              <w:topLinePunct w:val="0"/>
              <w:bidi w:val="0"/>
              <w:spacing w:line="360" w:lineRule="auto"/>
              <w:ind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3、设备停产后应继续提供质量保障服务（含备品备件）；</w:t>
            </w:r>
          </w:p>
          <w:p>
            <w:pPr>
              <w:pStyle w:val="22"/>
              <w:keepNext w:val="0"/>
              <w:keepLines w:val="0"/>
              <w:pageBreakBefore w:val="0"/>
              <w:kinsoku/>
              <w:wordWrap/>
              <w:overflowPunct/>
              <w:topLinePunct w:val="0"/>
              <w:bidi w:val="0"/>
              <w:spacing w:line="360" w:lineRule="auto"/>
              <w:ind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4、‌预防性维护‌：提供常规保养服务，每年至少一次，以减少设备故障，延长使用寿命‌。</w:t>
            </w:r>
          </w:p>
          <w:p>
            <w:pPr>
              <w:pStyle w:val="22"/>
              <w:keepNext w:val="0"/>
              <w:keepLines w:val="0"/>
              <w:pageBreakBefore w:val="0"/>
              <w:kinsoku/>
              <w:wordWrap/>
              <w:overflowPunct/>
              <w:topLinePunct w:val="0"/>
              <w:bidi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rPr>
              <w:t>5、产品部件保障：产品主要部件，提供</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rPr>
              <w:t>年的备件服务能力（自购买之日起），或提供可兼容原设备的升级换代产品。</w:t>
            </w:r>
          </w:p>
        </w:tc>
      </w:tr>
    </w:tbl>
    <w:p>
      <w:pPr>
        <w:pStyle w:val="2"/>
        <w:numPr>
          <w:ilvl w:val="0"/>
          <w:numId w:val="0"/>
        </w:numPr>
        <w:ind w:left="432"/>
        <w:rPr>
          <w:rFonts w:hint="eastAsia" w:ascii="宋体" w:hAnsi="宋体" w:eastAsia="宋体" w:cs="宋体"/>
          <w:color w:val="auto"/>
          <w:sz w:val="21"/>
          <w:szCs w:val="21"/>
          <w:highlight w:val="none"/>
          <w:lang w:val="en-US"/>
        </w:rPr>
      </w:pPr>
    </w:p>
    <w:p>
      <w:pPr>
        <w:spacing w:line="300" w:lineRule="exact"/>
        <w:ind w:firstLine="480" w:firstLineChars="200"/>
        <w:rPr>
          <w:rFonts w:ascii="宋体" w:hAnsi="宋体" w:cs="宋体"/>
          <w:bCs/>
          <w:color w:val="auto"/>
          <w:sz w:val="24"/>
          <w:highlight w:val="none"/>
        </w:rPr>
      </w:pPr>
    </w:p>
    <w:p>
      <w:pPr>
        <w:rPr>
          <w:color w:val="auto"/>
          <w:highlight w:val="none"/>
        </w:rPr>
      </w:pPr>
    </w:p>
    <w:p>
      <w:pPr>
        <w:pStyle w:val="2"/>
        <w:numPr>
          <w:ilvl w:val="0"/>
          <w:numId w:val="0"/>
        </w:numPr>
        <w:ind w:left="432"/>
        <w:rPr>
          <w:color w:val="auto"/>
          <w:highlight w:val="none"/>
          <w:lang w:val="en-US"/>
        </w:rPr>
        <w:sectPr>
          <w:pgSz w:w="16838" w:h="11906" w:orient="landscape"/>
          <w:pgMar w:top="1134" w:right="1247" w:bottom="1134" w:left="1276" w:header="850" w:footer="1020" w:gutter="0"/>
          <w:cols w:space="720" w:num="1"/>
          <w:titlePg/>
          <w:docGrid w:linePitch="312" w:charSpace="0"/>
        </w:sectPr>
      </w:pPr>
    </w:p>
    <w:tbl>
      <w:tblPr>
        <w:tblStyle w:val="6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1705"/>
        <w:gridCol w:w="5447"/>
        <w:gridCol w:w="897"/>
        <w:gridCol w:w="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000" w:type="pct"/>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附件1 北海职业学院7栋201室综合布线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序号</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商品名称</w:t>
            </w:r>
          </w:p>
        </w:tc>
        <w:tc>
          <w:tcPr>
            <w:tcW w:w="2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详细技术参数及配置要求</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6类全铜网线</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导体材料:无氧圆铜导体直径:0.57+0.002线规:23AWG绝缘材料:HDPE</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绝缘颜色:白-蓝/蓝，白-橙/橙，白-绿/绿，白-棕/棕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护套材料:PVC LSZH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电缆外径:6.3±0.3MM</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箱</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黄腊管</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以无碱玻璃纤维编织而成，并涂以聚氯乙烯树脂经塑化而成的电气绝缘漆管。本管具有良好的柔软性、弹性、绝缘性和耐化学性。黄腊管适用于电机、电器、仪表、无线电等装置的布线绝缘和机械保护</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空开关</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USB摆设品/装饰品 颜色:蓝色 线长:1米 尺寸(长×宽×高):320*540*120毫</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空开盒</w:t>
            </w:r>
          </w:p>
        </w:tc>
        <w:tc>
          <w:tcPr>
            <w:tcW w:w="2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Style w:val="636"/>
                <w:color w:val="auto"/>
                <w:highlight w:val="none"/>
                <w:lang w:val="en-US" w:eastAsia="zh-CN" w:bidi="ar"/>
              </w:rPr>
              <w:t>占用的模数也是4-8个模数，即宽度为</w:t>
            </w:r>
            <w:r>
              <w:rPr>
                <w:rStyle w:val="627"/>
                <w:rFonts w:eastAsia="宋体"/>
                <w:color w:val="auto"/>
                <w:highlight w:val="none"/>
                <w:lang w:val="en-US" w:eastAsia="zh-CN" w:bidi="ar"/>
              </w:rPr>
              <w:t>36</w:t>
            </w:r>
            <w:r>
              <w:rPr>
                <w:rStyle w:val="636"/>
                <w:color w:val="auto"/>
                <w:highlight w:val="none"/>
                <w:lang w:val="en-US" w:eastAsia="zh-CN" w:bidi="ar"/>
              </w:rPr>
              <w:t>毫</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插座</w:t>
            </w:r>
          </w:p>
        </w:tc>
        <w:tc>
          <w:tcPr>
            <w:tcW w:w="276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时尚白、阻燃绝缘PC</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10A86*86*24.0mm</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电源线</w:t>
            </w:r>
          </w:p>
        </w:tc>
        <w:tc>
          <w:tcPr>
            <w:tcW w:w="2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RV电线纯铜国标多股软线4平方</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电源线</w:t>
            </w:r>
          </w:p>
        </w:tc>
        <w:tc>
          <w:tcPr>
            <w:tcW w:w="2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RV电线纯铜国标多股软线2.5平方</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地线</w:t>
            </w:r>
          </w:p>
        </w:tc>
        <w:tc>
          <w:tcPr>
            <w:tcW w:w="2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1.5平方毫米，导体直径是1.38mm；</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不锈钢</w:t>
            </w:r>
          </w:p>
        </w:tc>
        <w:tc>
          <w:tcPr>
            <w:tcW w:w="2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定制+割地砖</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线槽</w:t>
            </w:r>
          </w:p>
        </w:tc>
        <w:tc>
          <w:tcPr>
            <w:tcW w:w="2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联塑PVC27mm</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线材</w:t>
            </w:r>
          </w:p>
        </w:tc>
        <w:tc>
          <w:tcPr>
            <w:tcW w:w="2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线扣等</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bl>
    <w:p>
      <w:pPr>
        <w:rPr>
          <w:color w:val="auto"/>
          <w:highlight w:val="none"/>
        </w:rPr>
      </w:pPr>
    </w:p>
    <w:p>
      <w:pPr>
        <w:pStyle w:val="2"/>
        <w:numPr>
          <w:ilvl w:val="0"/>
          <w:numId w:val="0"/>
        </w:numPr>
        <w:ind w:leftChars="0"/>
        <w:rPr>
          <w:color w:val="auto"/>
          <w:highlight w:val="none"/>
          <w:lang w:val="en-US"/>
        </w:rPr>
        <w:sectPr>
          <w:pgSz w:w="11906" w:h="16838"/>
          <w:pgMar w:top="1247" w:right="1134" w:bottom="1276" w:left="1134" w:header="850" w:footer="1020" w:gutter="0"/>
          <w:cols w:space="720" w:num="1"/>
          <w:titlePg/>
          <w:docGrid w:linePitch="312" w:charSpace="0"/>
        </w:sectPr>
      </w:pPr>
    </w:p>
    <w:tbl>
      <w:tblPr>
        <w:tblStyle w:val="60"/>
        <w:tblpPr w:leftFromText="180" w:rightFromText="180" w:vertAnchor="text" w:horzAnchor="page" w:tblpX="1296" w:tblpY="335"/>
        <w:tblOverlap w:val="never"/>
        <w:tblW w:w="95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2"/>
        <w:gridCol w:w="6859"/>
        <w:gridCol w:w="859"/>
        <w:gridCol w:w="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586"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bookmarkStart w:id="90" w:name="_Toc181265285"/>
            <w:r>
              <w:rPr>
                <w:rFonts w:hint="eastAsia" w:ascii="宋体" w:hAnsi="宋体" w:eastAsia="宋体" w:cs="宋体"/>
                <w:b/>
                <w:bCs/>
                <w:i w:val="0"/>
                <w:iCs w:val="0"/>
                <w:color w:val="auto"/>
                <w:kern w:val="0"/>
                <w:sz w:val="32"/>
                <w:szCs w:val="32"/>
                <w:highlight w:val="none"/>
                <w:u w:val="none"/>
                <w:lang w:val="en-US" w:eastAsia="zh-CN" w:bidi="ar"/>
              </w:rPr>
              <w:t>附件2 北海职业学院7栋205室综合布线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序号</w:t>
            </w:r>
          </w:p>
        </w:tc>
        <w:tc>
          <w:tcPr>
            <w:tcW w:w="6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详细技术参数及配置要求</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以无碱玻璃纤维编织而成，并涂以聚氯乙烯树脂经塑化而成的电气绝缘漆管。本管具有良好的柔软性、弹性、绝缘性和耐化学性。黄腊管适用于电机、电器、仪表、无线电等装置的布线绝缘和机械保护</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颜色:蓝色 线长:1米 尺寸(长×宽×高):320*540*120毫</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占用的模数也是4-8个模数，即宽度为36毫</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85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时尚白、阻燃绝缘PC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10A86*86*24.0mm</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RV电线纯铜国标多股软线4平方</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RV电线纯铜国标多股软线2.5平方</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RV电线纯铜国标多股软线1.5平方</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定制+割地砖</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平方</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6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联塑PVC27mm</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线扣等</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批</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bl>
    <w:p>
      <w:pPr>
        <w:adjustRightInd/>
        <w:spacing w:line="360" w:lineRule="auto"/>
        <w:jc w:val="center"/>
        <w:outlineLvl w:val="0"/>
        <w:rPr>
          <w:rFonts w:hint="eastAsia" w:cs="仿宋_GB2312" w:asciiTheme="minorEastAsia" w:hAnsiTheme="minorEastAsia" w:eastAsiaTheme="minorEastAsia"/>
          <w:b/>
          <w:color w:val="auto"/>
          <w:sz w:val="36"/>
          <w:szCs w:val="36"/>
          <w:highlight w:val="none"/>
        </w:rPr>
        <w:sectPr>
          <w:pgSz w:w="11906" w:h="16838"/>
          <w:pgMar w:top="1247" w:right="1134" w:bottom="1276" w:left="1134" w:header="850" w:footer="1020" w:gutter="0"/>
          <w:cols w:space="720" w:num="1"/>
          <w:titlePg/>
          <w:docGrid w:linePitch="312" w:charSpace="0"/>
        </w:sectPr>
      </w:pPr>
    </w:p>
    <w:p>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81"/>
      <w:bookmarkEnd w:id="82"/>
      <w:bookmarkStart w:id="91" w:name="第四部分"/>
      <w:r>
        <w:rPr>
          <w:rFonts w:hint="eastAsia" w:cs="仿宋_GB2312" w:asciiTheme="minorEastAsia" w:hAnsiTheme="minorEastAsia" w:eastAsiaTheme="minorEastAsia"/>
          <w:b/>
          <w:color w:val="auto"/>
          <w:sz w:val="36"/>
          <w:szCs w:val="36"/>
          <w:highlight w:val="none"/>
        </w:rPr>
        <w:t>评定标准</w:t>
      </w:r>
      <w:bookmarkEnd w:id="90"/>
    </w:p>
    <w:p>
      <w:pPr>
        <w:adjustRightInd/>
        <w:spacing w:line="360" w:lineRule="auto"/>
        <w:ind w:firstLine="482" w:firstLineChars="200"/>
        <w:rPr>
          <w:rFonts w:cs="Arial" w:asciiTheme="minorEastAsia" w:hAnsiTheme="minorEastAsia" w:eastAsiaTheme="minorEastAsia"/>
          <w:b/>
          <w:color w:val="auto"/>
          <w:kern w:val="0"/>
          <w:sz w:val="24"/>
          <w:highlight w:val="none"/>
        </w:rPr>
      </w:pPr>
    </w:p>
    <w:p>
      <w:pPr>
        <w:pStyle w:val="392"/>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pPr>
        <w:adjustRightInd/>
        <w:spacing w:line="360" w:lineRule="auto"/>
        <w:rPr>
          <w:rFonts w:cs="Arial" w:asciiTheme="minorEastAsia" w:hAnsiTheme="minorEastAsia" w:eastAsiaTheme="minorEastAsia"/>
          <w:color w:val="auto"/>
          <w:kern w:val="0"/>
          <w:sz w:val="24"/>
          <w:highlight w:val="none"/>
        </w:rPr>
      </w:pPr>
    </w:p>
    <w:p>
      <w:pPr>
        <w:pStyle w:val="631"/>
        <w:rPr>
          <w:color w:val="auto"/>
          <w:highlight w:val="none"/>
        </w:rPr>
      </w:pPr>
    </w:p>
    <w:p>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二、谈判小组的组成</w:t>
      </w:r>
    </w:p>
    <w:p>
      <w:pPr>
        <w:pStyle w:val="392"/>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1.谈判小组的组成。</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达到公开招标数额标准的货物采购项目，竞争性谈判小组应当由5人以上单数组成。</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2.谈判小组的组成人员的回避。</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在政府采购活动中，谈判小组的组成人员与供应商有下列利害关系之一的，应当回避：</w:t>
      </w:r>
    </w:p>
    <w:p>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pPr>
        <w:pStyle w:val="392"/>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pPr>
        <w:pStyle w:val="392"/>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三、谈判小组的职责</w:t>
      </w:r>
    </w:p>
    <w:p>
      <w:pPr>
        <w:pStyle w:val="392"/>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1.谈判小组负责具体评审事务，并独立履行下列职责：</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1.2审查、评价响应文件是否符合谈判文件的商务、技术等实质性要求；</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1.4谈判小组集中与单一供应商分别进行谈判；</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1.5谈判小组根据谈判文件和谈判情况实质性变动采购需求中的技术、服务要求以及合同草案条款，并确定提交最后报价的供应商；</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1.6根据谈判文件确定的评定标准对提交最后报价的供应商的响应文件和最后报价进行评定；</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1.9法律、法规、规章、谈判文件等规定的其它事项。</w:t>
      </w:r>
    </w:p>
    <w:p>
      <w:pPr>
        <w:pStyle w:val="392"/>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2.谈判小组及其成员不得有下列行为：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2.4在评审过程中擅离职守，影响评审程序正常进行的；</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2.5记录、复制或者带走任何评审资料；</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2.6其他不遵守评审纪律的行为。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谈判小组成员有2.1-2.4行为之一的，其评审意见无效，并不得获取评审劳务报酬和报销异地评审差旅费。</w:t>
      </w:r>
    </w:p>
    <w:p>
      <w:pPr>
        <w:pStyle w:val="392"/>
        <w:spacing w:before="0"/>
        <w:ind w:firstLine="0" w:firstLineChars="0"/>
        <w:rPr>
          <w:rFonts w:asciiTheme="minorEastAsia" w:hAnsiTheme="minorEastAsia" w:eastAsiaTheme="minorEastAsia"/>
          <w:b/>
          <w:color w:val="auto"/>
          <w:highlight w:val="none"/>
        </w:rPr>
      </w:pPr>
    </w:p>
    <w:p>
      <w:pPr>
        <w:pStyle w:val="392"/>
        <w:spacing w:before="0"/>
        <w:ind w:firstLine="0" w:firstLineChars="0"/>
        <w:jc w:val="center"/>
        <w:outlineLvl w:val="1"/>
        <w:rPr>
          <w:rFonts w:cs="仿宋_GB2312" w:asciiTheme="minorEastAsia" w:hAnsiTheme="minorEastAsia" w:eastAsiaTheme="minorEastAsia"/>
          <w:b/>
          <w:color w:val="auto"/>
          <w:sz w:val="32"/>
          <w:highlight w:val="none"/>
        </w:rPr>
      </w:pPr>
    </w:p>
    <w:p>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pPr>
        <w:pStyle w:val="392"/>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详见谈判文件“第二部分 竞争性谈判流程”。</w:t>
      </w:r>
    </w:p>
    <w:p>
      <w:pPr>
        <w:pStyle w:val="392"/>
        <w:spacing w:before="0"/>
        <w:ind w:firstLine="0" w:firstLineChars="0"/>
        <w:rPr>
          <w:rFonts w:asciiTheme="minorEastAsia" w:hAnsiTheme="minorEastAsia" w:eastAsiaTheme="minorEastAsia"/>
          <w:b/>
          <w:color w:val="auto"/>
          <w:highlight w:val="none"/>
        </w:rPr>
      </w:pPr>
    </w:p>
    <w:p>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pPr>
        <w:pStyle w:val="23"/>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3.3供应商不具备谈判文件中规定的资格要求的（供应商未提供有效的资格证明文件的，视为供应商不具备谈判文件中规定的资格要求）；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3.4如以联合体形式参加政府采购活动的，联合协议不符合谈判文件规定的联合协议要求的；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3.5响应文件未按谈判文件的澄清、修改的内容编制，又不符合实质性要求的；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3.8响应文件未按照谈判文件要求签署、盖章的；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3.11响应文件中承诺的响应有效期少于谈判文件中载明的响应有效期的；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3.12供应商所投内容不符合谈判文件中实质性要求的；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pPr>
        <w:spacing w:line="360" w:lineRule="auto"/>
        <w:ind w:firstLine="482" w:firstLineChars="200"/>
        <w:rPr>
          <w:rFonts w:ascii="宋体" w:hAnsi="宋体" w:cs="宋体"/>
          <w:color w:val="auto"/>
          <w:kern w:val="0"/>
          <w:sz w:val="24"/>
          <w:highlight w:val="none"/>
        </w:rPr>
      </w:pPr>
      <w:r>
        <w:rPr>
          <w:rFonts w:hint="eastAsia" w:asciiTheme="minorEastAsia" w:hAnsiTheme="minorEastAsia" w:eastAsiaTheme="minorEastAsia"/>
          <w:b/>
          <w:color w:val="auto"/>
          <w:sz w:val="24"/>
          <w:highlight w:val="none"/>
        </w:rPr>
        <w:t>3.19</w:t>
      </w:r>
      <w:r>
        <w:rPr>
          <w:rFonts w:hint="eastAsia" w:ascii="宋体" w:hAnsi="宋体" w:cs="宋体"/>
          <w:color w:val="auto"/>
          <w:kern w:val="0"/>
          <w:sz w:val="24"/>
          <w:highlight w:val="none"/>
        </w:rPr>
        <w:t>参与同一个采购包（标段）的供应商存在下列情形之一且无法合理解释的，其投标（响应）文件无效：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（1）不同供应商的电子投标（响应）文件上传计算机的网卡MAC地址或硬盘序列号等硬件信息相同的；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（2）上传的电子投标（响应）文件若出现使用本项目其他投标（响应）供应商的数字证书加密的，或者加盖本项目其他投标（响应）供应商的电子印章的；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（3）不同供应商的投标（响应）文件的内容存在3处（含）以上错误一致的；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（4）不同供应商联系人为同一人或不同联系人的联系电话一致的。</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3.20供应商仅提交备份响应文件，没有在电子交易平台传输提交响应文件的，响应无效；</w:t>
      </w:r>
    </w:p>
    <w:p>
      <w:pPr>
        <w:pStyle w:val="392"/>
        <w:spacing w:before="0"/>
        <w:ind w:firstLine="482"/>
        <w:rPr>
          <w:rFonts w:ascii="宋体" w:hAnsi="宋体" w:cs="宋体"/>
          <w:color w:val="auto"/>
          <w:kern w:val="0"/>
          <w:szCs w:val="24"/>
          <w:highlight w:val="none"/>
        </w:rPr>
      </w:pPr>
      <w:r>
        <w:rPr>
          <w:rFonts w:hint="eastAsia" w:asciiTheme="minorEastAsia" w:hAnsiTheme="minorEastAsia" w:eastAsiaTheme="minorEastAsia"/>
          <w:b/>
          <w:color w:val="auto"/>
          <w:highlight w:val="none"/>
        </w:rPr>
        <w:t>3.21</w:t>
      </w:r>
      <w:r>
        <w:rPr>
          <w:rFonts w:hint="eastAsia" w:ascii="宋体" w:hAnsi="宋体" w:cs="宋体"/>
          <w:color w:val="auto"/>
          <w:kern w:val="0"/>
          <w:szCs w:val="24"/>
          <w:highlight w:val="none"/>
        </w:rPr>
        <w:t>谈判小组认为供应商的报价明显低于其他通过符合性审查供应商的报价，有可能影响产品质量或者不能诚信履约的，应当要求其在合理的时间内提供书面说明，必要时提交相关证明材料;供应商不能证明其报价合理性的，谈判小组应当将其作为无效谈判处理。</w:t>
      </w:r>
    </w:p>
    <w:p>
      <w:pPr>
        <w:snapToGrid w:val="0"/>
        <w:spacing w:line="360" w:lineRule="auto"/>
        <w:ind w:firstLine="480" w:firstLineChars="200"/>
        <w:jc w:val="left"/>
        <w:rPr>
          <w:rFonts w:ascii="宋体" w:hAnsi="宋体" w:cs="宋体"/>
          <w:color w:val="auto"/>
          <w:kern w:val="0"/>
          <w:sz w:val="24"/>
          <w:highlight w:val="none"/>
        </w:rPr>
      </w:pPr>
      <w:bookmarkStart w:id="92" w:name="OLE_LINK126"/>
      <w:bookmarkStart w:id="93" w:name="OLE_LINK127"/>
      <w:r>
        <w:rPr>
          <w:rFonts w:hint="eastAsia" w:ascii="宋体" w:hAnsi="宋体" w:cs="宋体"/>
          <w:color w:val="auto"/>
          <w:kern w:val="0"/>
          <w:sz w:val="24"/>
          <w:highlight w:val="none"/>
        </w:rPr>
        <w:t xml:space="preserve">3.21.1根据《北海市财政局关于开展推动解决政府采购异常低价问题试点工作的通知》（北财采〔2025〕25 号）规定，试点项目评审中出现下列情形之一的，谈判小组应当启动异常低价投标（响应）审查程序: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（1）投标（响应）报价低于全部通过符合性审查供应商投标（响应）报价平均值 50%的，即投标（响应）报价&lt;全部通过符合性审查供应商投标（响应）报价平均值×50%；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（2）投标（响应）报价低于通过符合性审查且报价次低供应商投标（响应）报价 50%的，即投标（响应）报价&lt;通过符合性审查且报价次低供应商投标（响应）报价×50%；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（3）投标（响应）报价低于采购项目最高限价 45%的，即投标（响应）报价&lt;采购项目最高限价×45%；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（4）其他谈判小组认为供应商报价过低，有可能影响产品质量或者不能诚信履约的情形。 </w:t>
      </w:r>
    </w:p>
    <w:bookmarkEnd w:id="92"/>
    <w:bookmarkEnd w:id="93"/>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3.21.2审查工作流程。谈判小组严格按照评审现场说明、综合评估研判和出具处理结果三个步骤开展审查流程。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评审现场说明。谈判小组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（2）综合评估研判。谈判小组应当结合同类产品在主要电商平台的价格、该行业当地薪资水平等情况，依据专业经验对报价合理性进行判断。对异常低价存在争议的，应当按照少数服从多数的原则作出结论。 </w:t>
      </w:r>
    </w:p>
    <w:p>
      <w:pPr>
        <w:spacing w:line="360" w:lineRule="auto"/>
        <w:ind w:firstLine="480" w:firstLineChars="200"/>
        <w:rPr>
          <w:rFonts w:asciiTheme="minorEastAsia" w:hAnsiTheme="minorEastAsia" w:eastAsiaTheme="minorEastAsia"/>
          <w:b/>
          <w:color w:val="auto"/>
          <w:sz w:val="24"/>
          <w:highlight w:val="none"/>
        </w:rPr>
      </w:pPr>
      <w:r>
        <w:rPr>
          <w:rFonts w:hint="eastAsia" w:ascii="宋体" w:hAnsi="宋体" w:cs="宋体"/>
          <w:color w:val="auto"/>
          <w:kern w:val="0"/>
          <w:sz w:val="24"/>
          <w:highlight w:val="none"/>
        </w:rPr>
        <w:t>（3）出具处理结果。如果投标（响应）供应商不提供书面说明、证明材料，或者提供的书面说明、证明材料不能证明其报价合理性的，应当将其作为无效投标（响应）处理。审查相关情况应当在评审报告中记录。</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3.22法律、法规、规章（适用本市的）及省级以上规范性文件（适用本市的）规定的其他无效情形。</w:t>
      </w:r>
    </w:p>
    <w:p>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出现下列情形之一的，采购代理机构应当终止竞争性谈判采购活动，通过电子交易平台发布项目终止公告并说明原因，重新开展采购活动：</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（1）因情况变化，不再符合规定的竞争性谈判采购方式适用情形的；</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（3）在采购过程中符合竞争要求的供应商或者报价未超过采购预算的供应商不足3家的，但《政府采购非招标采购方式管理办法》第二十七条第二款规定的情形除外。</w:t>
      </w:r>
    </w:p>
    <w:p>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采购代理机构有权对谈判小组各成员的评审情况和评审意见进行合理性和合规性审查</w:t>
      </w:r>
      <w:r>
        <w:rPr>
          <w:rFonts w:hint="eastAsia" w:cs="仿宋_GB2312" w:asciiTheme="minorEastAsia" w:hAnsiTheme="minorEastAsia" w:eastAsiaTheme="minorEastAsia"/>
          <w:color w:val="auto"/>
          <w:sz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pPr>
        <w:pStyle w:val="392"/>
        <w:spacing w:before="0"/>
        <w:ind w:firstLine="0" w:firstLineChars="0"/>
        <w:rPr>
          <w:rFonts w:cs="仿宋_GB2312" w:asciiTheme="minorEastAsia" w:hAnsiTheme="minorEastAsia" w:eastAsiaTheme="minorEastAsia"/>
          <w:b/>
          <w:color w:val="auto"/>
          <w:highlight w:val="none"/>
        </w:rPr>
      </w:pPr>
    </w:p>
    <w:p>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spacing w:line="360" w:lineRule="auto"/>
        <w:jc w:val="center"/>
        <w:outlineLvl w:val="0"/>
        <w:rPr>
          <w:rFonts w:cs="仿宋_GB2312" w:asciiTheme="minorEastAsia" w:hAnsiTheme="minorEastAsia" w:eastAsiaTheme="minorEastAsia"/>
          <w:b/>
          <w:color w:val="auto"/>
          <w:sz w:val="36"/>
          <w:szCs w:val="36"/>
          <w:highlight w:val="none"/>
        </w:rPr>
      </w:pPr>
      <w:bookmarkStart w:id="94" w:name="_Toc181265286"/>
      <w:r>
        <w:rPr>
          <w:rFonts w:hint="eastAsia" w:cs="仿宋_GB2312" w:asciiTheme="minorEastAsia" w:hAnsiTheme="minorEastAsia" w:eastAsiaTheme="minorEastAsia"/>
          <w:b/>
          <w:color w:val="auto"/>
          <w:sz w:val="36"/>
          <w:szCs w:val="36"/>
          <w:highlight w:val="none"/>
        </w:rPr>
        <w:t>第六部分</w:t>
      </w:r>
      <w:bookmarkEnd w:id="91"/>
      <w:r>
        <w:rPr>
          <w:rFonts w:hint="eastAsia" w:cs="仿宋_GB2312" w:asciiTheme="minorEastAsia" w:hAnsiTheme="minorEastAsia" w:eastAsiaTheme="minorEastAsia"/>
          <w:b/>
          <w:color w:val="auto"/>
          <w:sz w:val="36"/>
          <w:szCs w:val="36"/>
          <w:highlight w:val="none"/>
        </w:rPr>
        <w:t xml:space="preserve">  拟签订的合同文本</w:t>
      </w:r>
      <w:bookmarkEnd w:id="94"/>
    </w:p>
    <w:p>
      <w:pPr>
        <w:spacing w:line="480" w:lineRule="auto"/>
        <w:jc w:val="center"/>
        <w:rPr>
          <w:rFonts w:ascii="宋体" w:hAnsi="宋体" w:cs="宋体"/>
          <w:b/>
          <w:color w:val="auto"/>
          <w:sz w:val="24"/>
          <w:highlight w:val="none"/>
        </w:rPr>
      </w:pPr>
      <w:bookmarkStart w:id="95" w:name="第五部分"/>
      <w:bookmarkStart w:id="96" w:name="_Toc86217003"/>
    </w:p>
    <w:p>
      <w:pPr>
        <w:adjustRightInd/>
        <w:spacing w:line="600" w:lineRule="exact"/>
        <w:ind w:firstLine="1044"/>
        <w:rPr>
          <w:rFonts w:ascii="宋体" w:hAnsi="宋体" w:cs="宋体"/>
          <w:b/>
          <w:color w:val="auto"/>
          <w:kern w:val="0"/>
          <w:sz w:val="52"/>
          <w:szCs w:val="52"/>
          <w:highlight w:val="none"/>
        </w:rPr>
      </w:pPr>
    </w:p>
    <w:p>
      <w:pPr>
        <w:adjustRightInd/>
        <w:jc w:val="center"/>
        <w:rPr>
          <w:rFonts w:ascii="宋体" w:hAnsi="宋体" w:cs="宋体"/>
          <w:b/>
          <w:bCs/>
          <w:color w:val="auto"/>
          <w:spacing w:val="-20"/>
          <w:kern w:val="44"/>
          <w:sz w:val="48"/>
          <w:szCs w:val="48"/>
          <w:highlight w:val="none"/>
        </w:rPr>
      </w:pPr>
      <w:bookmarkStart w:id="97" w:name="_Toc3995"/>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pPr>
        <w:adjustRightInd/>
        <w:jc w:val="center"/>
        <w:rPr>
          <w:rFonts w:ascii="宋体" w:hAnsi="宋体" w:cs="宋体"/>
          <w:b/>
          <w:bCs/>
          <w:color w:val="auto"/>
          <w:spacing w:val="-20"/>
          <w:kern w:val="44"/>
          <w:sz w:val="36"/>
          <w:szCs w:val="36"/>
          <w:highlight w:val="none"/>
        </w:rPr>
      </w:pPr>
    </w:p>
    <w:p>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pPr>
        <w:adjustRightInd/>
        <w:rPr>
          <w:rFonts w:ascii="宋体" w:hAnsi="宋体" w:cs="宋体"/>
          <w:b/>
          <w:bCs/>
          <w:color w:val="auto"/>
          <w:spacing w:val="-20"/>
          <w:kern w:val="44"/>
          <w:sz w:val="40"/>
          <w:szCs w:val="40"/>
          <w:highlight w:val="none"/>
        </w:rPr>
      </w:pPr>
    </w:p>
    <w:p>
      <w:pPr>
        <w:adjustRightInd/>
        <w:rPr>
          <w:rFonts w:ascii="宋体" w:hAnsi="宋体" w:cs="宋体"/>
          <w:b/>
          <w:bCs/>
          <w:color w:val="auto"/>
          <w:spacing w:val="-20"/>
          <w:kern w:val="44"/>
          <w:sz w:val="40"/>
          <w:szCs w:val="40"/>
          <w:highlight w:val="none"/>
        </w:rPr>
      </w:pPr>
    </w:p>
    <w:p>
      <w:pPr>
        <w:adjustRightInd/>
        <w:rPr>
          <w:rFonts w:ascii="宋体" w:hAnsi="宋体" w:cs="宋体"/>
          <w:b/>
          <w:bCs/>
          <w:color w:val="auto"/>
          <w:spacing w:val="-20"/>
          <w:kern w:val="44"/>
          <w:sz w:val="40"/>
          <w:szCs w:val="40"/>
          <w:highlight w:val="none"/>
        </w:rPr>
      </w:pPr>
    </w:p>
    <w:p>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pPr>
        <w:adjustRightInd/>
        <w:rPr>
          <w:color w:val="auto"/>
          <w:highlight w:val="none"/>
        </w:rPr>
      </w:pPr>
    </w:p>
    <w:p>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bookmarkEnd w:id="97"/>
      <w:r>
        <w:rPr>
          <w:rFonts w:hint="eastAsia" w:ascii="黑体" w:hAnsi="黑体" w:eastAsia="黑体"/>
          <w:color w:val="auto"/>
          <w:sz w:val="28"/>
          <w:szCs w:val="28"/>
          <w:highlight w:val="none"/>
        </w:rPr>
        <w:t>第一节 政府采购合同协议书</w:t>
      </w:r>
    </w:p>
    <w:p>
      <w:pPr>
        <w:pStyle w:val="631"/>
        <w:rPr>
          <w:color w:val="auto"/>
          <w:highlight w:val="none"/>
        </w:rPr>
      </w:pPr>
    </w:p>
    <w:p>
      <w:pPr>
        <w:pStyle w:val="631"/>
        <w:ind w:firstLine="0"/>
        <w:rPr>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（采购人、受采购人委托签订合同的单位或采购文件约定的合同甲方）</w:t>
      </w:r>
    </w:p>
    <w:p>
      <w:pPr>
        <w:pStyle w:val="631"/>
        <w:ind w:firstLine="0"/>
        <w:rPr>
          <w:color w:val="auto"/>
          <w:highlight w:val="none"/>
        </w:rPr>
      </w:pPr>
      <w:r>
        <w:rPr>
          <w:rFonts w:hint="eastAsia"/>
          <w:color w:val="auto"/>
          <w:highlight w:val="none"/>
        </w:rPr>
        <w:t>乙方1（全称）：</w:t>
      </w:r>
      <w:r>
        <w:rPr>
          <w:rFonts w:hint="eastAsia"/>
          <w:color w:val="auto"/>
          <w:highlight w:val="none"/>
          <w:u w:val="single"/>
        </w:rPr>
        <w:t xml:space="preserve">                       </w:t>
      </w:r>
      <w:r>
        <w:rPr>
          <w:rFonts w:hint="eastAsia"/>
          <w:color w:val="auto"/>
          <w:highlight w:val="none"/>
        </w:rPr>
        <w:t>（供应商）</w:t>
      </w:r>
    </w:p>
    <w:p>
      <w:pPr>
        <w:pStyle w:val="631"/>
        <w:ind w:firstLine="0"/>
        <w:rPr>
          <w:color w:val="auto"/>
          <w:highlight w:val="none"/>
        </w:rPr>
      </w:pPr>
      <w:r>
        <w:rPr>
          <w:rFonts w:hint="eastAsia"/>
          <w:color w:val="auto"/>
          <w:highlight w:val="none"/>
        </w:rPr>
        <w:t>乙方2（全称）：</w:t>
      </w:r>
      <w:r>
        <w:rPr>
          <w:rFonts w:hint="eastAsia"/>
          <w:color w:val="auto"/>
          <w:highlight w:val="none"/>
          <w:u w:val="single"/>
        </w:rPr>
        <w:t xml:space="preserve">                        </w:t>
      </w:r>
      <w:r>
        <w:rPr>
          <w:rFonts w:hint="eastAsia"/>
          <w:color w:val="auto"/>
          <w:highlight w:val="none"/>
        </w:rPr>
        <w:t>（联合体成员供应商或其他合同主体）（如有）</w:t>
      </w:r>
    </w:p>
    <w:p>
      <w:pPr>
        <w:pStyle w:val="631"/>
        <w:ind w:firstLine="0"/>
        <w:rPr>
          <w:color w:val="auto"/>
          <w:highlight w:val="none"/>
        </w:rPr>
      </w:pPr>
      <w:r>
        <w:rPr>
          <w:rFonts w:hint="eastAsia"/>
          <w:color w:val="auto"/>
          <w:highlight w:val="none"/>
        </w:rPr>
        <w:t>乙方3（全称）：</w:t>
      </w:r>
      <w:r>
        <w:rPr>
          <w:rFonts w:hint="eastAsia"/>
          <w:color w:val="auto"/>
          <w:highlight w:val="none"/>
          <w:u w:val="single"/>
        </w:rPr>
        <w:t xml:space="preserve">                         </w:t>
      </w:r>
      <w:r>
        <w:rPr>
          <w:rFonts w:hint="eastAsia"/>
          <w:color w:val="auto"/>
          <w:highlight w:val="none"/>
        </w:rPr>
        <w:t>（联合体成员供应商或其他合同主体）（如有）</w:t>
      </w:r>
    </w:p>
    <w:p>
      <w:pPr>
        <w:adjustRightInd/>
        <w:spacing w:line="400" w:lineRule="exact"/>
        <w:rPr>
          <w:color w:val="auto"/>
          <w:highlight w:val="none"/>
        </w:rPr>
      </w:pPr>
    </w:p>
    <w:p>
      <w:pPr>
        <w:pStyle w:val="631"/>
        <w:ind w:firstLine="480" w:firstLineChars="200"/>
        <w:rPr>
          <w:color w:val="auto"/>
          <w:highlight w:val="none"/>
        </w:rPr>
      </w:pPr>
      <w:r>
        <w:rPr>
          <w:rFonts w:hint="eastAsia"/>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pStyle w:val="631"/>
        <w:ind w:firstLine="0"/>
        <w:rPr>
          <w:b/>
          <w:color w:val="auto"/>
          <w:highlight w:val="none"/>
        </w:rPr>
      </w:pPr>
      <w:r>
        <w:rPr>
          <w:rFonts w:hint="eastAsia"/>
          <w:b/>
          <w:color w:val="auto"/>
          <w:highlight w:val="none"/>
        </w:rPr>
        <w:t>1.项目信息</w:t>
      </w:r>
    </w:p>
    <w:p>
      <w:pPr>
        <w:pStyle w:val="631"/>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rPr>
        <w:t xml:space="preserve">                                          </w:t>
      </w:r>
    </w:p>
    <w:p>
      <w:pPr>
        <w:pStyle w:val="631"/>
        <w:ind w:firstLine="1080" w:firstLineChars="450"/>
        <w:rPr>
          <w:color w:val="auto"/>
          <w:highlight w:val="none"/>
        </w:rPr>
      </w:pPr>
      <w:r>
        <w:rPr>
          <w:rFonts w:hint="eastAsia"/>
          <w:color w:val="auto"/>
          <w:highlight w:val="none"/>
        </w:rPr>
        <w:t>采购项目编号：</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（2）采购计划编号：</w:t>
      </w:r>
      <w:r>
        <w:rPr>
          <w:rFonts w:hint="eastAsia"/>
          <w:color w:val="auto"/>
          <w:highlight w:val="none"/>
          <w:u w:val="single"/>
        </w:rPr>
        <w:t xml:space="preserve">                                          </w:t>
      </w:r>
      <w:r>
        <w:rPr>
          <w:rFonts w:hint="eastAsia"/>
          <w:color w:val="auto"/>
          <w:highlight w:val="none"/>
        </w:rPr>
        <w:t xml:space="preserve"> </w:t>
      </w:r>
    </w:p>
    <w:p>
      <w:pPr>
        <w:pStyle w:val="631"/>
        <w:ind w:firstLine="480" w:firstLineChars="200"/>
        <w:rPr>
          <w:color w:val="auto"/>
          <w:highlight w:val="none"/>
        </w:rPr>
      </w:pPr>
      <w:r>
        <w:rPr>
          <w:rFonts w:hint="eastAsia"/>
          <w:color w:val="auto"/>
          <w:highlight w:val="none"/>
        </w:rPr>
        <w:t>（3）项目内容：</w:t>
      </w:r>
    </w:p>
    <w:p>
      <w:pPr>
        <w:pStyle w:val="631"/>
        <w:ind w:firstLine="480" w:firstLineChars="200"/>
        <w:rPr>
          <w:color w:val="auto"/>
          <w:highlight w:val="none"/>
        </w:rPr>
      </w:pPr>
      <w:r>
        <w:rPr>
          <w:rFonts w:hint="eastAsia"/>
          <w:color w:val="auto"/>
          <w:highlight w:val="none"/>
        </w:rPr>
        <w:t xml:space="preserve">     采购标的及数量（台/套</w:t>
      </w:r>
      <w:r>
        <w:rPr>
          <w:rFonts w:hint="eastAsia"/>
          <w:color w:val="auto"/>
          <w:highlight w:val="none"/>
          <w:lang w:val="en"/>
        </w:rPr>
        <w:t>/个/架/组等</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pPr>
        <w:pStyle w:val="631"/>
        <w:ind w:firstLine="480" w:firstLineChars="200"/>
        <w:rPr>
          <w:rFonts w:cs="宋体"/>
          <w:color w:val="auto"/>
          <w:highlight w:val="none"/>
          <w:lang w:val="en"/>
        </w:rPr>
      </w:pPr>
      <w:r>
        <w:rPr>
          <w:rFonts w:hint="eastAsia"/>
          <w:color w:val="auto"/>
          <w:highlight w:val="none"/>
        </w:rPr>
        <w:t xml:space="preserve">     </w:t>
      </w:r>
      <w:r>
        <w:rPr>
          <w:rFonts w:hint="eastAsia" w:cs="宋体"/>
          <w:color w:val="auto"/>
          <w:highlight w:val="none"/>
        </w:rPr>
        <w:t>品牌：</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lang w:val="en"/>
        </w:rPr>
        <w:t xml:space="preserve">     </w:t>
      </w:r>
      <w:r>
        <w:rPr>
          <w:rFonts w:hint="eastAsia" w:cs="宋体"/>
          <w:color w:val="auto"/>
          <w:highlight w:val="none"/>
        </w:rPr>
        <w:t>规格型号：</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p>
    <w:p>
      <w:pPr>
        <w:pStyle w:val="631"/>
        <w:ind w:firstLine="480" w:firstLineChars="200"/>
        <w:rPr>
          <w:color w:val="auto"/>
          <w:highlight w:val="none"/>
          <w:u w:val="single"/>
        </w:rPr>
      </w:pPr>
      <w:r>
        <w:rPr>
          <w:rFonts w:hint="eastAsia"/>
          <w:color w:val="auto"/>
          <w:highlight w:val="none"/>
        </w:rPr>
        <w:t>采购标的的技术要求、商务要求具体见附件。</w:t>
      </w:r>
    </w:p>
    <w:p>
      <w:pPr>
        <w:pStyle w:val="631"/>
        <w:ind w:firstLine="480" w:firstLineChars="200"/>
        <w:rPr>
          <w:rFonts w:cs="宋体"/>
          <w:color w:val="auto"/>
          <w:highlight w:val="none"/>
        </w:rPr>
      </w:pPr>
      <w:r>
        <w:rPr>
          <w:rFonts w:hint="eastAsia" w:cs="宋体"/>
          <w:color w:val="auto"/>
          <w:highlight w:val="none"/>
        </w:rPr>
        <w:t>①涉及信息类产品，请填写该产品关键部件的品牌、型号：</w:t>
      </w:r>
    </w:p>
    <w:p>
      <w:pPr>
        <w:pStyle w:val="631"/>
        <w:ind w:firstLine="480" w:firstLineChars="200"/>
        <w:rPr>
          <w:rFonts w:cs="宋体"/>
          <w:color w:val="auto"/>
          <w:highlight w:val="none"/>
          <w:u w:val="single"/>
        </w:rPr>
      </w:pPr>
      <w:r>
        <w:rPr>
          <w:rFonts w:hint="eastAsia" w:cs="宋体"/>
          <w:color w:val="auto"/>
          <w:highlight w:val="none"/>
        </w:rPr>
        <w:t xml:space="preserve">     标的名称：</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pPr>
        <w:pStyle w:val="631"/>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pPr>
        <w:pStyle w:val="631"/>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pPr>
        <w:pStyle w:val="631"/>
        <w:ind w:firstLine="480" w:firstLineChars="200"/>
        <w:rPr>
          <w:rFonts w:cs="宋体"/>
          <w:color w:val="auto"/>
          <w:highlight w:val="none"/>
        </w:rPr>
      </w:pPr>
      <w:r>
        <w:rPr>
          <w:rFonts w:hint="eastAsia" w:cs="宋体"/>
          <w:color w:val="auto"/>
          <w:highlight w:val="none"/>
        </w:rPr>
        <w:t>②涉及车辆采购，请填写是否属于新能源汽车：</w:t>
      </w:r>
    </w:p>
    <w:p>
      <w:pPr>
        <w:pStyle w:val="631"/>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数量：</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r>
        <w:rPr>
          <w:rFonts w:hint="eastAsia" w:cs="宋体"/>
          <w:color w:val="auto"/>
          <w:highlight w:val="none"/>
        </w:rPr>
        <w:t xml:space="preserve"> </w:t>
      </w:r>
    </w:p>
    <w:p>
      <w:pPr>
        <w:pStyle w:val="631"/>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否</w:t>
      </w:r>
    </w:p>
    <w:p>
      <w:pPr>
        <w:pStyle w:val="631"/>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w:t>
      </w:r>
      <w:r>
        <w:rPr>
          <w:rFonts w:cs="宋体"/>
          <w:color w:val="auto"/>
          <w:highlight w:val="none"/>
        </w:rPr>
        <w:sym w:font="Wingdings" w:char="F0A8"/>
      </w:r>
      <w:r>
        <w:rPr>
          <w:rFonts w:hint="eastAsia" w:cs="宋体"/>
          <w:color w:val="auto"/>
          <w:highlight w:val="none"/>
        </w:rPr>
        <w:t xml:space="preserve">政府集中采购  </w:t>
      </w:r>
      <w:r>
        <w:rPr>
          <w:rFonts w:cs="宋体"/>
          <w:color w:val="auto"/>
          <w:highlight w:val="none"/>
        </w:rPr>
        <w:sym w:font="Wingdings" w:char="F0A8"/>
      </w:r>
      <w:r>
        <w:rPr>
          <w:rFonts w:hint="eastAsia" w:cs="宋体"/>
          <w:color w:val="auto"/>
          <w:highlight w:val="none"/>
        </w:rPr>
        <w:t xml:space="preserve">部门集中采购  </w:t>
      </w:r>
      <w:r>
        <w:rPr>
          <w:rFonts w:cs="宋体"/>
          <w:color w:val="auto"/>
          <w:highlight w:val="none"/>
        </w:rPr>
        <w:sym w:font="Wingdings" w:char="F0A8"/>
      </w:r>
      <w:r>
        <w:rPr>
          <w:rFonts w:hint="eastAsia" w:cs="宋体"/>
          <w:color w:val="auto"/>
          <w:highlight w:val="none"/>
        </w:rPr>
        <w:t>分散采购</w:t>
      </w:r>
    </w:p>
    <w:p>
      <w:pPr>
        <w:pStyle w:val="631"/>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cs="宋体"/>
          <w:color w:val="auto"/>
          <w:highlight w:val="none"/>
        </w:rPr>
        <w:sym w:font="Wingdings" w:char="F0A8"/>
      </w:r>
      <w:r>
        <w:rPr>
          <w:rFonts w:hint="eastAsia" w:cs="宋体"/>
          <w:color w:val="auto"/>
          <w:highlight w:val="none"/>
        </w:rPr>
        <w:t xml:space="preserve">公开招标 </w:t>
      </w:r>
      <w:r>
        <w:rPr>
          <w:rFonts w:cs="宋体"/>
          <w:color w:val="auto"/>
          <w:highlight w:val="none"/>
        </w:rPr>
        <w:sym w:font="Wingdings" w:char="F0A8"/>
      </w:r>
      <w:r>
        <w:rPr>
          <w:rFonts w:hint="eastAsia" w:cs="宋体"/>
          <w:color w:val="auto"/>
          <w:highlight w:val="none"/>
        </w:rPr>
        <w:t xml:space="preserve">邀请招标 </w:t>
      </w:r>
      <w:r>
        <w:rPr>
          <w:rFonts w:cs="宋体"/>
          <w:color w:val="auto"/>
          <w:highlight w:val="none"/>
        </w:rPr>
        <w:sym w:font="Wingdings" w:char="F0A8"/>
      </w:r>
      <w:r>
        <w:rPr>
          <w:rFonts w:hint="eastAsia" w:cs="宋体"/>
          <w:color w:val="auto"/>
          <w:highlight w:val="none"/>
        </w:rPr>
        <w:t xml:space="preserve">竞争性谈判 </w:t>
      </w:r>
      <w:r>
        <w:rPr>
          <w:rFonts w:cs="宋体"/>
          <w:color w:val="auto"/>
          <w:highlight w:val="none"/>
        </w:rPr>
        <w:sym w:font="Wingdings" w:char="F0A8"/>
      </w:r>
      <w:r>
        <w:rPr>
          <w:rFonts w:hint="eastAsia" w:cs="宋体"/>
          <w:color w:val="auto"/>
          <w:highlight w:val="none"/>
        </w:rPr>
        <w:t>竞争性磋商</w:t>
      </w:r>
    </w:p>
    <w:p>
      <w:pPr>
        <w:pStyle w:val="631"/>
        <w:ind w:firstLine="440" w:firstLineChars="200"/>
        <w:rPr>
          <w:rFonts w:cs="宋体"/>
          <w:color w:val="auto"/>
          <w:highlight w:val="none"/>
          <w:u w:val="single"/>
        </w:rPr>
      </w:pPr>
      <w:r>
        <w:rPr>
          <w:rFonts w:hint="eastAsia" w:eastAsia="华文楷体" w:cs="宋体"/>
          <w:color w:val="auto"/>
          <w:sz w:val="22"/>
          <w:highlight w:val="none"/>
        </w:rPr>
        <w:t xml:space="preserve">                     </w:t>
      </w:r>
      <w:r>
        <w:rPr>
          <w:rFonts w:cs="宋体"/>
          <w:color w:val="auto"/>
          <w:highlight w:val="none"/>
        </w:rPr>
        <w:sym w:font="Wingdings" w:char="F0A8"/>
      </w:r>
      <w:r>
        <w:rPr>
          <w:rFonts w:hint="eastAsia" w:cs="宋体"/>
          <w:color w:val="auto"/>
          <w:highlight w:val="none"/>
        </w:rPr>
        <w:t xml:space="preserve">询价 </w:t>
      </w:r>
      <w:r>
        <w:rPr>
          <w:rFonts w:cs="宋体"/>
          <w:color w:val="auto"/>
          <w:highlight w:val="none"/>
        </w:rPr>
        <w:sym w:font="Wingdings" w:char="F0A8"/>
      </w:r>
      <w:r>
        <w:rPr>
          <w:rFonts w:hint="eastAsia" w:cs="宋体"/>
          <w:color w:val="auto"/>
          <w:highlight w:val="none"/>
        </w:rPr>
        <w:t xml:space="preserve">单一来源 </w:t>
      </w:r>
      <w:r>
        <w:rPr>
          <w:rFonts w:cs="宋体"/>
          <w:color w:val="auto"/>
          <w:highlight w:val="none"/>
        </w:rPr>
        <w:sym w:font="Wingdings" w:char="F0A8"/>
      </w:r>
      <w:r>
        <w:rPr>
          <w:rFonts w:hint="eastAsia" w:cs="宋体"/>
          <w:color w:val="auto"/>
          <w:highlight w:val="none"/>
        </w:rPr>
        <w:t xml:space="preserve">框架协议 </w:t>
      </w:r>
      <w:r>
        <w:rPr>
          <w:rFonts w:cs="宋体"/>
          <w:color w:val="auto"/>
          <w:highlight w:val="none"/>
        </w:rPr>
        <w:sym w:font="Wingdings" w:char="F0A8"/>
      </w:r>
      <w:r>
        <w:rPr>
          <w:rFonts w:hint="eastAsia" w:cs="宋体"/>
          <w:color w:val="auto"/>
          <w:highlight w:val="none"/>
        </w:rPr>
        <w:t>其他：</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（注：在框架协议采购的第二阶段，可选择使用该合同文本）</w:t>
      </w:r>
    </w:p>
    <w:p>
      <w:pPr>
        <w:pStyle w:val="631"/>
        <w:ind w:firstLine="440" w:firstLineChars="200"/>
        <w:rPr>
          <w:color w:val="auto"/>
          <w:highlight w:val="none"/>
        </w:rPr>
      </w:pPr>
      <w:r>
        <w:rPr>
          <w:rFonts w:hint="eastAsia" w:eastAsia="华文楷体" w:cs="华文楷体"/>
          <w:color w:val="auto"/>
          <w:sz w:val="22"/>
          <w:highlight w:val="none"/>
        </w:rPr>
        <w:t>（</w:t>
      </w:r>
      <w:r>
        <w:rPr>
          <w:rFonts w:hint="eastAsia" w:eastAsia="华文楷体" w:cs="华文楷体"/>
          <w:color w:val="auto"/>
          <w:sz w:val="22"/>
          <w:highlight w:val="none"/>
          <w:lang w:val="en"/>
        </w:rPr>
        <w:t>6</w:t>
      </w:r>
      <w:r>
        <w:rPr>
          <w:rFonts w:hint="eastAsia" w:eastAsia="华文楷体" w:cs="华文楷体"/>
          <w:color w:val="auto"/>
          <w:sz w:val="22"/>
          <w:highlight w:val="none"/>
        </w:rPr>
        <w:t>）</w:t>
      </w:r>
      <w:r>
        <w:rPr>
          <w:rFonts w:hint="eastAsia"/>
          <w:color w:val="auto"/>
          <w:highlight w:val="none"/>
        </w:rPr>
        <w:t>中标（成交）采购标的制造商是否为中小企业：</w:t>
      </w: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否</w:t>
      </w:r>
    </w:p>
    <w:p>
      <w:pPr>
        <w:pStyle w:val="631"/>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color w:val="auto"/>
          <w:highlight w:val="none"/>
          <w:u w:val="single"/>
        </w:rPr>
      </w:pPr>
      <w:r>
        <w:rPr>
          <w:rFonts w:hint="eastAsia"/>
          <w:color w:val="auto"/>
          <w:highlight w:val="none"/>
        </w:rPr>
        <w:t>分包主要内容：</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分包供应商/制造商名称（如供应商和制造商不同，请分别填写）：</w:t>
      </w:r>
    </w:p>
    <w:p>
      <w:pPr>
        <w:pStyle w:val="631"/>
        <w:ind w:firstLine="480" w:firstLineChars="200"/>
        <w:rPr>
          <w:color w:val="auto"/>
          <w:highlight w:val="none"/>
          <w:u w:val="single"/>
        </w:rPr>
      </w:pPr>
      <w:r>
        <w:rPr>
          <w:rFonts w:hint="eastAsia"/>
          <w:color w:val="auto"/>
          <w:highlight w:val="none"/>
        </w:rPr>
        <w:t xml:space="preserve"> </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分包供应商/制造商类型（如果供应商和制造商不同，只填写制造商类型）：</w:t>
      </w:r>
    </w:p>
    <w:p>
      <w:pPr>
        <w:pStyle w:val="631"/>
        <w:ind w:firstLine="480" w:firstLineChars="200"/>
        <w:rPr>
          <w:iCs/>
          <w:color w:val="auto"/>
          <w:highlight w:val="none"/>
        </w:rPr>
      </w:pPr>
      <w:r>
        <w:rPr>
          <w:iCs/>
          <w:color w:val="auto"/>
          <w:highlight w:val="none"/>
        </w:rPr>
        <w:sym w:font="Wingdings" w:char="F0A8"/>
      </w:r>
      <w:r>
        <w:rPr>
          <w:rFonts w:hint="eastAsia"/>
          <w:iCs/>
          <w:color w:val="auto"/>
          <w:highlight w:val="none"/>
        </w:rPr>
        <w:t xml:space="preserve">大型企业  </w:t>
      </w:r>
      <w:r>
        <w:rPr>
          <w:iCs/>
          <w:color w:val="auto"/>
          <w:highlight w:val="none"/>
        </w:rPr>
        <w:sym w:font="Wingdings" w:char="F0A8"/>
      </w:r>
      <w:r>
        <w:rPr>
          <w:rFonts w:hint="eastAsia"/>
          <w:iCs/>
          <w:color w:val="auto"/>
          <w:highlight w:val="none"/>
        </w:rPr>
        <w:t xml:space="preserve">中型企业  </w:t>
      </w:r>
      <w:r>
        <w:rPr>
          <w:iCs/>
          <w:color w:val="auto"/>
          <w:highlight w:val="none"/>
        </w:rPr>
        <w:sym w:font="Wingdings" w:char="F0A8"/>
      </w:r>
      <w:r>
        <w:rPr>
          <w:rFonts w:hint="eastAsia"/>
          <w:iCs/>
          <w:color w:val="auto"/>
          <w:highlight w:val="none"/>
        </w:rPr>
        <w:t xml:space="preserve">小微型企业  </w:t>
      </w:r>
    </w:p>
    <w:p>
      <w:pPr>
        <w:pStyle w:val="631"/>
        <w:ind w:firstLine="480" w:firstLineChars="200"/>
        <w:rPr>
          <w:rFonts w:eastAsia="华文楷体"/>
          <w:color w:val="auto"/>
          <w:highlight w:val="none"/>
        </w:rPr>
      </w:pPr>
      <w:r>
        <w:rPr>
          <w:iCs/>
          <w:color w:val="auto"/>
          <w:highlight w:val="none"/>
        </w:rPr>
        <w:sym w:font="Wingdings" w:char="F0A8"/>
      </w:r>
      <w:r>
        <w:rPr>
          <w:rFonts w:hint="eastAsia"/>
          <w:iCs/>
          <w:color w:val="auto"/>
          <w:highlight w:val="none"/>
        </w:rPr>
        <w:t xml:space="preserve">残疾人福利性单位 </w:t>
      </w:r>
      <w:r>
        <w:rPr>
          <w:iCs/>
          <w:color w:val="auto"/>
          <w:highlight w:val="none"/>
        </w:rPr>
        <w:sym w:font="Wingdings" w:char="F0A8"/>
      </w:r>
      <w:r>
        <w:rPr>
          <w:rFonts w:hint="eastAsia"/>
          <w:iCs/>
          <w:color w:val="auto"/>
          <w:highlight w:val="none"/>
        </w:rPr>
        <w:t xml:space="preserve">监狱企业 </w:t>
      </w:r>
      <w:r>
        <w:rPr>
          <w:iCs/>
          <w:color w:val="auto"/>
          <w:highlight w:val="none"/>
        </w:rPr>
        <w:sym w:font="Wingdings" w:char="F0A8"/>
      </w:r>
      <w:r>
        <w:rPr>
          <w:rFonts w:hint="eastAsia"/>
          <w:iCs/>
          <w:color w:val="auto"/>
          <w:highlight w:val="none"/>
        </w:rPr>
        <w:t>其他</w:t>
      </w:r>
    </w:p>
    <w:p>
      <w:pPr>
        <w:pStyle w:val="631"/>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pPr>
        <w:pStyle w:val="631"/>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pPr>
        <w:pStyle w:val="631"/>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p>
    <w:p>
      <w:pPr>
        <w:pStyle w:val="631"/>
        <w:ind w:firstLine="480" w:firstLineChars="200"/>
        <w:rPr>
          <w:rFonts w:cs="宋体"/>
          <w:color w:val="auto"/>
          <w:highlight w:val="none"/>
          <w:u w:val="singl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p>
    <w:p>
      <w:pPr>
        <w:pStyle w:val="631"/>
        <w:ind w:firstLine="480" w:firstLineChars="200"/>
        <w:rPr>
          <w:color w:val="auto"/>
          <w:highlight w:val="none"/>
        </w:rPr>
      </w:pPr>
      <w:r>
        <w:rPr>
          <w:rFonts w:hint="eastAsia" w:cs="宋体"/>
          <w:color w:val="auto"/>
          <w:highlight w:val="none"/>
        </w:rPr>
        <w:t xml:space="preserve">        国别：</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规格型号：</w:t>
      </w:r>
      <w:r>
        <w:rPr>
          <w:rFonts w:hint="eastAsia" w:cs="宋体"/>
          <w:color w:val="auto"/>
          <w:highlight w:val="none"/>
          <w:u w:val="single"/>
        </w:rPr>
        <w:t xml:space="preserve">        </w:t>
      </w:r>
      <w:r>
        <w:rPr>
          <w:rFonts w:hint="eastAsia"/>
          <w:color w:val="auto"/>
          <w:highlight w:val="none"/>
        </w:rPr>
        <w:t xml:space="preserve">      </w:t>
      </w:r>
    </w:p>
    <w:p>
      <w:pPr>
        <w:pStyle w:val="631"/>
        <w:ind w:firstLine="480" w:firstLineChars="200"/>
        <w:rPr>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p>
    <w:p>
      <w:pPr>
        <w:pStyle w:val="631"/>
        <w:ind w:firstLine="480" w:firstLineChars="200"/>
        <w:rPr>
          <w:iCs/>
          <w:color w:val="auto"/>
          <w:highlight w:val="none"/>
        </w:rPr>
      </w:pPr>
      <w:r>
        <w:rPr>
          <w:color w:val="auto"/>
          <w:highlight w:val="none"/>
        </w:rPr>
        <w:sym w:font="Wingdings" w:char="F0A8"/>
      </w:r>
      <w:r>
        <w:rPr>
          <w:rFonts w:hint="eastAsia"/>
          <w:color w:val="auto"/>
          <w:highlight w:val="none"/>
        </w:rPr>
        <w:t>是，《节能产品政府采购品目清单》的底级品目名称：</w:t>
      </w:r>
      <w:r>
        <w:rPr>
          <w:rFonts w:hint="eastAsia"/>
          <w:color w:val="auto"/>
          <w:highlight w:val="none"/>
          <w:u w:val="single"/>
        </w:rPr>
        <w:t xml:space="preserve">         </w:t>
      </w:r>
      <w:r>
        <w:rPr>
          <w:rFonts w:hint="eastAsia"/>
          <w:iCs/>
          <w:color w:val="auto"/>
          <w:highlight w:val="none"/>
        </w:rPr>
        <w:t xml:space="preserve">     </w:t>
      </w:r>
    </w:p>
    <w:p>
      <w:pPr>
        <w:pStyle w:val="631"/>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631"/>
        <w:ind w:firstLine="480" w:firstLineChars="200"/>
        <w:rPr>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是否涉及环境标志产品：</w:t>
      </w:r>
    </w:p>
    <w:p>
      <w:pPr>
        <w:pStyle w:val="631"/>
        <w:ind w:firstLine="480" w:firstLineChars="200"/>
        <w:rPr>
          <w:color w:val="auto"/>
          <w:highlight w:val="none"/>
        </w:rPr>
      </w:pPr>
      <w:r>
        <w:rPr>
          <w:color w:val="auto"/>
          <w:highlight w:val="none"/>
        </w:rPr>
        <w:sym w:font="Wingdings" w:char="F0A8"/>
      </w:r>
      <w:r>
        <w:rPr>
          <w:rFonts w:hint="eastAsia"/>
          <w:color w:val="auto"/>
          <w:highlight w:val="none"/>
        </w:rPr>
        <w:t>是，《环境标志产品政府采购品目清单》的底级品目名称：</w:t>
      </w:r>
      <w:r>
        <w:rPr>
          <w:rFonts w:hint="eastAsia"/>
          <w:color w:val="auto"/>
          <w:highlight w:val="none"/>
          <w:u w:val="single"/>
        </w:rPr>
        <w:t xml:space="preserve">         </w:t>
      </w:r>
      <w:r>
        <w:rPr>
          <w:rFonts w:hint="eastAsia"/>
          <w:iCs/>
          <w:color w:val="auto"/>
          <w:highlight w:val="none"/>
        </w:rPr>
        <w:t xml:space="preserve"> </w:t>
      </w:r>
    </w:p>
    <w:p>
      <w:pPr>
        <w:pStyle w:val="631"/>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631"/>
        <w:ind w:firstLine="480" w:firstLineChars="200"/>
        <w:rPr>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 xml:space="preserve">是否涉及绿色产品： </w:t>
      </w:r>
    </w:p>
    <w:p>
      <w:pPr>
        <w:pStyle w:val="631"/>
        <w:ind w:firstLine="480" w:firstLineChars="200"/>
        <w:rPr>
          <w:rFonts w:cs="华文楷体"/>
          <w:color w:val="auto"/>
          <w:sz w:val="22"/>
          <w:highlight w:val="none"/>
          <w:u w:val="single"/>
        </w:rPr>
      </w:pPr>
      <w:r>
        <w:rPr>
          <w:color w:val="auto"/>
          <w:highlight w:val="none"/>
        </w:rPr>
        <w:sym w:font="Wingdings" w:char="F0A8"/>
      </w:r>
      <w:r>
        <w:rPr>
          <w:rFonts w:hint="eastAsia"/>
          <w:color w:val="auto"/>
          <w:highlight w:val="none"/>
        </w:rPr>
        <w:t>是，绿色产品政府采购相关政策确定的底级品目名称：</w:t>
      </w:r>
      <w:r>
        <w:rPr>
          <w:rFonts w:hint="eastAsia" w:cs="华文楷体"/>
          <w:color w:val="auto"/>
          <w:sz w:val="22"/>
          <w:highlight w:val="none"/>
          <w:u w:val="single"/>
        </w:rPr>
        <w:t xml:space="preserve">         </w:t>
      </w:r>
    </w:p>
    <w:p>
      <w:pPr>
        <w:pStyle w:val="631"/>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631"/>
        <w:ind w:firstLine="480" w:firstLineChars="200"/>
        <w:rPr>
          <w:rFonts w:eastAsia="华文楷体" w:cs="华文楷体"/>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（1</w:t>
      </w:r>
      <w:r>
        <w:rPr>
          <w:rFonts w:hint="eastAsia"/>
          <w:color w:val="auto"/>
          <w:highlight w:val="none"/>
          <w:lang w:val="en"/>
        </w:rPr>
        <w:t>1</w:t>
      </w:r>
      <w:r>
        <w:rPr>
          <w:rFonts w:hint="eastAsia"/>
          <w:color w:val="auto"/>
          <w:highlight w:val="none"/>
        </w:rPr>
        <w:t>）涉及商品包装和快递包装的，是否参考《商品包装政府采购需求标准（试行）》、《快递包装政府采购需求标准（试行）》明确产品及相关快递服务的具体包装要求：</w:t>
      </w:r>
    </w:p>
    <w:p>
      <w:pPr>
        <w:pStyle w:val="631"/>
        <w:ind w:firstLine="480" w:firstLineChars="200"/>
        <w:rPr>
          <w:color w:val="auto"/>
          <w:highlight w:val="none"/>
        </w:rPr>
      </w:pP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 xml:space="preserve">否      </w:t>
      </w:r>
      <w:r>
        <w:rPr>
          <w:color w:val="auto"/>
          <w:highlight w:val="none"/>
        </w:rPr>
        <w:sym w:font="Wingdings" w:char="F0A8"/>
      </w:r>
      <w:r>
        <w:rPr>
          <w:rFonts w:hint="eastAsia"/>
          <w:color w:val="auto"/>
          <w:highlight w:val="none"/>
        </w:rPr>
        <w:t>不涉及</w:t>
      </w:r>
    </w:p>
    <w:p>
      <w:pPr>
        <w:pStyle w:val="631"/>
        <w:ind w:firstLineChars="200"/>
        <w:rPr>
          <w:b/>
          <w:color w:val="auto"/>
          <w:highlight w:val="none"/>
        </w:rPr>
      </w:pPr>
      <w:r>
        <w:rPr>
          <w:rFonts w:hint="eastAsia"/>
          <w:b/>
          <w:color w:val="auto"/>
          <w:highlight w:val="none"/>
        </w:rPr>
        <w:t>2.合同金额</w:t>
      </w:r>
    </w:p>
    <w:p>
      <w:pPr>
        <w:pStyle w:val="631"/>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pPr>
        <w:pStyle w:val="631"/>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 xml:space="preserve">     分包金额（如有）小写：</w:t>
      </w:r>
      <w:r>
        <w:rPr>
          <w:rFonts w:hint="eastAsia"/>
          <w:color w:val="auto"/>
          <w:highlight w:val="none"/>
          <w:u w:val="single"/>
        </w:rPr>
        <w:t xml:space="preserve">                   </w:t>
      </w:r>
    </w:p>
    <w:p>
      <w:pPr>
        <w:pStyle w:val="631"/>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 xml:space="preserve">    （注：固定单价合同应填写单价和最高限价）</w:t>
      </w:r>
    </w:p>
    <w:p>
      <w:pPr>
        <w:pStyle w:val="631"/>
        <w:ind w:firstLine="480" w:firstLineChars="200"/>
        <w:rPr>
          <w:color w:val="auto"/>
          <w:highlight w:val="none"/>
        </w:rPr>
      </w:pPr>
      <w:r>
        <w:rPr>
          <w:rFonts w:hint="eastAsia"/>
          <w:color w:val="auto"/>
          <w:highlight w:val="none"/>
        </w:rPr>
        <w:t>（2）合同定价方式（采用组合定价方式的，可以勾选多项）：</w:t>
      </w:r>
    </w:p>
    <w:p>
      <w:pPr>
        <w:pStyle w:val="631"/>
        <w:ind w:firstLine="480" w:firstLineChars="200"/>
        <w:rPr>
          <w:color w:val="auto"/>
          <w:highlight w:val="none"/>
        </w:rPr>
      </w:pPr>
      <w:r>
        <w:rPr>
          <w:iCs/>
          <w:color w:val="auto"/>
          <w:highlight w:val="none"/>
        </w:rPr>
        <w:sym w:font="Wingdings" w:char="F0A8"/>
      </w:r>
      <w:r>
        <w:rPr>
          <w:rFonts w:hint="eastAsia"/>
          <w:iCs/>
          <w:color w:val="auto"/>
          <w:highlight w:val="none"/>
        </w:rPr>
        <w:t xml:space="preserve">固定总价 </w:t>
      </w:r>
      <w:r>
        <w:rPr>
          <w:iCs/>
          <w:color w:val="auto"/>
          <w:highlight w:val="none"/>
        </w:rPr>
        <w:sym w:font="Wingdings" w:char="F0FE"/>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（3）付款方式（按项目实际勾选填写）：</w:t>
      </w:r>
    </w:p>
    <w:p>
      <w:pPr>
        <w:pStyle w:val="631"/>
        <w:ind w:firstLine="480" w:firstLineChars="200"/>
        <w:rPr>
          <w:color w:val="auto"/>
          <w:highlight w:val="none"/>
          <w:u w:val="single"/>
        </w:rPr>
      </w:pPr>
      <w:r>
        <w:rPr>
          <w:color w:val="auto"/>
          <w:highlight w:val="none"/>
        </w:rPr>
        <w:sym w:font="Wingdings" w:char="F0A8"/>
      </w:r>
      <w:r>
        <w:rPr>
          <w:rFonts w:hint="eastAsia"/>
          <w:color w:val="auto"/>
          <w:highlight w:val="none"/>
        </w:rPr>
        <w:t>全额付款：</w:t>
      </w:r>
      <w:r>
        <w:rPr>
          <w:rFonts w:hint="eastAsia"/>
          <w:color w:val="auto"/>
          <w:highlight w:val="none"/>
          <w:u w:val="single"/>
        </w:rPr>
        <w:t xml:space="preserve">     （应明确一次性支付合同款项的条件）                    </w:t>
      </w:r>
    </w:p>
    <w:p>
      <w:pPr>
        <w:pStyle w:val="631"/>
        <w:ind w:firstLine="480" w:firstLineChars="200"/>
        <w:rPr>
          <w:color w:val="auto"/>
          <w:highlight w:val="none"/>
        </w:rPr>
      </w:pPr>
      <w:r>
        <w:rPr>
          <w:color w:val="auto"/>
          <w:highlight w:val="none"/>
        </w:rPr>
        <w:sym w:font="Wingdings" w:char="F0A8"/>
      </w:r>
      <w:r>
        <w:rPr>
          <w:rFonts w:hint="eastAsia"/>
          <w:color w:val="auto"/>
          <w:highlight w:val="none"/>
        </w:rPr>
        <w:t>分期付款：</w:t>
      </w:r>
      <w:r>
        <w:rPr>
          <w:rFonts w:hint="eastAsia"/>
          <w:color w:val="auto"/>
          <w:highlight w:val="none"/>
          <w:u w:val="single"/>
        </w:rPr>
        <w:t xml:space="preserve">  （应明确分期支付合同款项的各期比例和支付条件，各期支付条件应与分期履约验收情况挂钩） </w:t>
      </w:r>
      <w:r>
        <w:rPr>
          <w:rFonts w:hint="eastAsia"/>
          <w:color w:val="auto"/>
          <w:highlight w:val="none"/>
        </w:rPr>
        <w:t>，其中涉及预付款的：</w:t>
      </w:r>
      <w:r>
        <w:rPr>
          <w:rFonts w:hint="eastAsia"/>
          <w:color w:val="auto"/>
          <w:highlight w:val="none"/>
          <w:u w:val="single"/>
        </w:rPr>
        <w:t xml:space="preserve"> （应明确预付款的支付比例和支付条件） </w:t>
      </w:r>
    </w:p>
    <w:p>
      <w:pPr>
        <w:pStyle w:val="631"/>
        <w:ind w:firstLine="480" w:firstLineChars="200"/>
        <w:rPr>
          <w:color w:val="auto"/>
          <w:highlight w:val="none"/>
          <w:u w:val="single"/>
        </w:rPr>
      </w:pPr>
      <w:r>
        <w:rPr>
          <w:color w:val="auto"/>
          <w:highlight w:val="none"/>
        </w:rPr>
        <w:sym w:font="Wingdings" w:char="F0A8"/>
      </w:r>
      <w:r>
        <w:rPr>
          <w:rFonts w:hint="eastAsia"/>
          <w:color w:val="auto"/>
          <w:highlight w:val="none"/>
        </w:rPr>
        <w:t>成本补偿：</w:t>
      </w:r>
      <w:r>
        <w:rPr>
          <w:rFonts w:hint="eastAsia"/>
          <w:color w:val="auto"/>
          <w:highlight w:val="none"/>
          <w:u w:val="single"/>
        </w:rPr>
        <w:t xml:space="preserve">      （应明确按照成本补偿方式的支付方式和支付条件）   </w:t>
      </w:r>
    </w:p>
    <w:p>
      <w:pPr>
        <w:pStyle w:val="631"/>
        <w:ind w:firstLine="480" w:firstLineChars="200"/>
        <w:rPr>
          <w:color w:val="auto"/>
          <w:highlight w:val="none"/>
        </w:rPr>
      </w:pPr>
      <w:r>
        <w:rPr>
          <w:color w:val="auto"/>
          <w:highlight w:val="none"/>
        </w:rPr>
        <w:sym w:font="Wingdings" w:char="F0A8"/>
      </w:r>
      <w:r>
        <w:rPr>
          <w:rFonts w:hint="eastAsia"/>
          <w:color w:val="auto"/>
          <w:highlight w:val="none"/>
        </w:rPr>
        <w:t>绩效激励：</w:t>
      </w:r>
      <w:r>
        <w:rPr>
          <w:rFonts w:hint="eastAsia"/>
          <w:color w:val="auto"/>
          <w:highlight w:val="none"/>
          <w:u w:val="single"/>
        </w:rPr>
        <w:t xml:space="preserve">      （应明确按照绩效激励方式的支付方式和支付条件）   </w:t>
      </w:r>
    </w:p>
    <w:p>
      <w:pPr>
        <w:pStyle w:val="631"/>
        <w:ind w:firstLineChars="200"/>
        <w:rPr>
          <w:b/>
          <w:color w:val="auto"/>
          <w:highlight w:val="none"/>
          <w:u w:val="single"/>
        </w:rPr>
      </w:pPr>
      <w:r>
        <w:rPr>
          <w:rFonts w:hint="eastAsia"/>
          <w:b/>
          <w:color w:val="auto"/>
          <w:highlight w:val="none"/>
        </w:rPr>
        <w:t>3.合同履行</w:t>
      </w:r>
    </w:p>
    <w:p>
      <w:pPr>
        <w:pStyle w:val="631"/>
        <w:ind w:firstLine="480" w:firstLineChars="200"/>
        <w:rPr>
          <w:rFonts w:cs="宋体"/>
          <w:color w:val="auto"/>
          <w:highlight w:val="none"/>
        </w:rPr>
      </w:pPr>
      <w:r>
        <w:rPr>
          <w:rFonts w:hint="eastAsia" w:cs="宋体"/>
          <w:color w:val="auto"/>
          <w:highlight w:val="none"/>
        </w:rPr>
        <w:t>（1）起始日期：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日，完成日期：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pPr>
        <w:pStyle w:val="631"/>
        <w:ind w:firstLine="480" w:firstLineChars="200"/>
        <w:rPr>
          <w:rFonts w:cs="宋体"/>
          <w:color w:val="auto"/>
          <w:highlight w:val="none"/>
          <w:u w:val="single"/>
        </w:rPr>
      </w:pPr>
      <w:r>
        <w:rPr>
          <w:rFonts w:hint="eastAsia" w:cs="宋体"/>
          <w:color w:val="auto"/>
          <w:highlight w:val="none"/>
        </w:rPr>
        <w:t>（2）履约地点</w:t>
      </w:r>
      <w:r>
        <w:rPr>
          <w:rFonts w:hint="eastAsia" w:cs="宋体"/>
          <w:bCs/>
          <w:color w:val="auto"/>
          <w:highlight w:val="none"/>
        </w:rPr>
        <w:t>：</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F0A8"/>
      </w:r>
      <w:r>
        <w:rPr>
          <w:rFonts w:hint="eastAsia" w:cs="宋体"/>
          <w:color w:val="auto"/>
          <w:highlight w:val="none"/>
        </w:rPr>
        <w:t>否</w:t>
      </w:r>
    </w:p>
    <w:p>
      <w:pPr>
        <w:pStyle w:val="631"/>
        <w:ind w:firstLine="480" w:firstLineChars="200"/>
        <w:rPr>
          <w:rFonts w:cs="宋体"/>
          <w:color w:val="auto"/>
          <w:highlight w:val="none"/>
        </w:rPr>
      </w:pPr>
      <w:r>
        <w:rPr>
          <w:rFonts w:hint="eastAsia" w:cs="宋体"/>
          <w:color w:val="auto"/>
          <w:highlight w:val="none"/>
        </w:rPr>
        <w:t>收取履约保证金形式：</w:t>
      </w:r>
      <w:r>
        <w:rPr>
          <w:rFonts w:hint="eastAsia" w:cs="宋体"/>
          <w:bCs/>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收取履约保证金金额：</w:t>
      </w:r>
      <w:r>
        <w:rPr>
          <w:rFonts w:hint="eastAsia" w:cs="宋体"/>
          <w:bCs/>
          <w:color w:val="auto"/>
          <w:highlight w:val="none"/>
          <w:u w:val="single"/>
        </w:rPr>
        <w:t xml:space="preserve">                            </w:t>
      </w:r>
    </w:p>
    <w:p>
      <w:pPr>
        <w:pStyle w:val="631"/>
        <w:ind w:firstLine="480" w:firstLineChars="200"/>
        <w:rPr>
          <w:rFonts w:cs="宋体"/>
          <w:color w:val="auto"/>
          <w:highlight w:val="none"/>
        </w:rPr>
      </w:pPr>
      <w:r>
        <w:rPr>
          <w:rFonts w:hint="eastAsia" w:cs="宋体"/>
          <w:bCs/>
          <w:color w:val="auto"/>
          <w:highlight w:val="none"/>
        </w:rPr>
        <w:t>履约担保期限：</w:t>
      </w:r>
      <w:r>
        <w:rPr>
          <w:rFonts w:hint="eastAsia" w:cs="宋体"/>
          <w:bCs/>
          <w:color w:val="auto"/>
          <w:highlight w:val="none"/>
          <w:u w:val="single"/>
        </w:rPr>
        <w:t xml:space="preserve">                                  </w:t>
      </w:r>
    </w:p>
    <w:p>
      <w:pPr>
        <w:pStyle w:val="631"/>
        <w:ind w:firstLine="480" w:firstLineChars="200"/>
        <w:rPr>
          <w:rFonts w:cs="宋体"/>
          <w:bCs/>
          <w:color w:val="auto"/>
          <w:highlight w:val="none"/>
        </w:rPr>
      </w:pPr>
      <w:r>
        <w:rPr>
          <w:rFonts w:hint="eastAsia" w:cs="宋体"/>
          <w:bCs/>
          <w:color w:val="auto"/>
          <w:highlight w:val="none"/>
        </w:rPr>
        <w:t>（4）分期履行要求：</w:t>
      </w:r>
      <w:r>
        <w:rPr>
          <w:rFonts w:hint="eastAsia" w:cs="宋体"/>
          <w:bCs/>
          <w:color w:val="auto"/>
          <w:highlight w:val="none"/>
          <w:u w:val="single"/>
        </w:rPr>
        <w:t xml:space="preserve">                                                        </w:t>
      </w:r>
    </w:p>
    <w:p>
      <w:pPr>
        <w:pStyle w:val="631"/>
        <w:ind w:firstLine="480" w:firstLineChars="200"/>
        <w:rPr>
          <w:rFonts w:cs="宋体"/>
          <w:color w:val="auto"/>
          <w:highlight w:val="none"/>
          <w:u w:val="single"/>
        </w:rPr>
      </w:pPr>
      <w:r>
        <w:rPr>
          <w:rFonts w:hint="eastAsia" w:cs="宋体"/>
          <w:bCs/>
          <w:color w:val="auto"/>
          <w:highlight w:val="none"/>
        </w:rPr>
        <w:t>（5）风险处置措施和替代方案：</w:t>
      </w:r>
      <w:r>
        <w:rPr>
          <w:rFonts w:hint="eastAsia" w:cs="宋体"/>
          <w:color w:val="auto"/>
          <w:highlight w:val="none"/>
          <w:u w:val="single"/>
        </w:rPr>
        <w:t xml:space="preserve">                                                               </w:t>
      </w:r>
    </w:p>
    <w:p>
      <w:pPr>
        <w:pStyle w:val="631"/>
        <w:ind w:firstLineChars="200"/>
        <w:rPr>
          <w:b/>
          <w:color w:val="auto"/>
          <w:highlight w:val="none"/>
        </w:rPr>
      </w:pPr>
      <w:r>
        <w:rPr>
          <w:rFonts w:hint="eastAsia"/>
          <w:b/>
          <w:color w:val="auto"/>
          <w:highlight w:val="none"/>
        </w:rPr>
        <w:t>4.合同验收</w:t>
      </w:r>
    </w:p>
    <w:p>
      <w:pPr>
        <w:pStyle w:val="631"/>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F0A8"/>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pPr>
        <w:pStyle w:val="631"/>
        <w:ind w:firstLine="480" w:firstLineChars="200"/>
        <w:rPr>
          <w:bCs/>
          <w:color w:val="auto"/>
          <w:highlight w:val="none"/>
        </w:rPr>
      </w:pPr>
      <w:r>
        <w:rPr>
          <w:rFonts w:hint="eastAsia"/>
          <w:bCs/>
          <w:color w:val="auto"/>
          <w:highlight w:val="none"/>
        </w:rPr>
        <w:t>验收主体：</w:t>
      </w:r>
      <w:r>
        <w:rPr>
          <w:rFonts w:hint="eastAsia"/>
          <w:bCs/>
          <w:color w:val="auto"/>
          <w:highlight w:val="none"/>
          <w:u w:val="single"/>
        </w:rPr>
        <w:t xml:space="preserve">                  </w:t>
      </w:r>
    </w:p>
    <w:p>
      <w:pPr>
        <w:pStyle w:val="631"/>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pPr>
        <w:pStyle w:val="631"/>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p>
    <w:p>
      <w:pPr>
        <w:pStyle w:val="631"/>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rPr>
        <w:t xml:space="preserve">（计划于何时验收/供应商提出验收申请之日起   日内组织验收） </w:t>
      </w:r>
    </w:p>
    <w:p>
      <w:pPr>
        <w:pStyle w:val="631"/>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pPr>
        <w:pStyle w:val="631"/>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pPr>
        <w:pStyle w:val="631"/>
        <w:ind w:firstLine="480" w:firstLineChars="200"/>
        <w:rPr>
          <w:bCs/>
          <w:color w:val="auto"/>
          <w:highlight w:val="none"/>
        </w:rPr>
      </w:pPr>
      <w:r>
        <w:rPr>
          <w:rFonts w:hint="eastAsia"/>
          <w:bCs/>
          <w:color w:val="auto"/>
          <w:highlight w:val="none"/>
        </w:rPr>
        <w:t>（4）履约验收程序：</w:t>
      </w:r>
      <w:r>
        <w:rPr>
          <w:rFonts w:hint="eastAsia"/>
          <w:bCs/>
          <w:color w:val="auto"/>
          <w:highlight w:val="none"/>
          <w:u w:val="single"/>
        </w:rPr>
        <w:t xml:space="preserve">                                         </w:t>
      </w:r>
    </w:p>
    <w:p>
      <w:pPr>
        <w:pStyle w:val="631"/>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（应当包括每一项技术和商务要求的履约情况，特别是落实政府采购扶持中小企业，支持绿色发展和乡村振兴等政策情况）                                      </w:t>
      </w:r>
    </w:p>
    <w:p>
      <w:pPr>
        <w:pStyle w:val="631"/>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rPr>
        <w:t xml:space="preserve">                                         </w:t>
      </w:r>
    </w:p>
    <w:p>
      <w:pPr>
        <w:pStyle w:val="631"/>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F0A8"/>
      </w:r>
      <w:r>
        <w:rPr>
          <w:rFonts w:hint="eastAsia" w:cs="宋体"/>
          <w:bCs/>
          <w:color w:val="auto"/>
          <w:highlight w:val="none"/>
        </w:rPr>
        <w:t>否</w:t>
      </w:r>
    </w:p>
    <w:p>
      <w:pPr>
        <w:pStyle w:val="631"/>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（产权过户登记等）          </w:t>
      </w:r>
    </w:p>
    <w:p>
      <w:pPr>
        <w:pStyle w:val="631"/>
        <w:ind w:firstLineChars="200"/>
        <w:rPr>
          <w:b/>
          <w:color w:val="auto"/>
          <w:highlight w:val="none"/>
        </w:rPr>
      </w:pPr>
      <w:r>
        <w:rPr>
          <w:rFonts w:hint="eastAsia"/>
          <w:b/>
          <w:color w:val="auto"/>
          <w:highlight w:val="none"/>
        </w:rPr>
        <w:t>5.组成合同的文件</w:t>
      </w:r>
    </w:p>
    <w:p>
      <w:pPr>
        <w:pStyle w:val="631"/>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pPr>
        <w:pStyle w:val="631"/>
        <w:ind w:firstLine="480" w:firstLineChars="200"/>
        <w:rPr>
          <w:color w:val="auto"/>
          <w:highlight w:val="none"/>
        </w:rPr>
      </w:pPr>
      <w:r>
        <w:rPr>
          <w:rFonts w:hint="eastAsia"/>
          <w:color w:val="auto"/>
          <w:highlight w:val="none"/>
        </w:rPr>
        <w:t>（1）政府采购合同协议书及其变更、补充协议</w:t>
      </w:r>
    </w:p>
    <w:p>
      <w:pPr>
        <w:pStyle w:val="631"/>
        <w:ind w:firstLine="480" w:firstLineChars="200"/>
        <w:rPr>
          <w:color w:val="auto"/>
          <w:highlight w:val="none"/>
        </w:rPr>
      </w:pPr>
      <w:r>
        <w:rPr>
          <w:rFonts w:hint="eastAsia"/>
          <w:color w:val="auto"/>
          <w:highlight w:val="none"/>
        </w:rPr>
        <w:t>（2）政府采购合同专用条款</w:t>
      </w:r>
    </w:p>
    <w:p>
      <w:pPr>
        <w:pStyle w:val="631"/>
        <w:ind w:firstLine="480" w:firstLineChars="200"/>
        <w:rPr>
          <w:color w:val="auto"/>
          <w:highlight w:val="none"/>
        </w:rPr>
      </w:pPr>
      <w:r>
        <w:rPr>
          <w:rFonts w:hint="eastAsia"/>
          <w:color w:val="auto"/>
          <w:highlight w:val="none"/>
        </w:rPr>
        <w:t>（3）政府采购合同通用条款</w:t>
      </w:r>
    </w:p>
    <w:p>
      <w:pPr>
        <w:pStyle w:val="631"/>
        <w:ind w:firstLine="480" w:firstLineChars="200"/>
        <w:rPr>
          <w:color w:val="auto"/>
          <w:highlight w:val="none"/>
        </w:rPr>
      </w:pPr>
      <w:r>
        <w:rPr>
          <w:rFonts w:hint="eastAsia"/>
          <w:color w:val="auto"/>
          <w:highlight w:val="none"/>
        </w:rPr>
        <w:t>（4）中标（成交）通知书</w:t>
      </w:r>
    </w:p>
    <w:p>
      <w:pPr>
        <w:pStyle w:val="631"/>
        <w:ind w:firstLine="480" w:firstLineChars="200"/>
        <w:rPr>
          <w:color w:val="auto"/>
          <w:highlight w:val="none"/>
        </w:rPr>
      </w:pPr>
      <w:r>
        <w:rPr>
          <w:rFonts w:hint="eastAsia"/>
          <w:color w:val="auto"/>
          <w:highlight w:val="none"/>
        </w:rPr>
        <w:t>（5）投标（响应）文件</w:t>
      </w:r>
    </w:p>
    <w:p>
      <w:pPr>
        <w:pStyle w:val="631"/>
        <w:ind w:firstLine="480" w:firstLineChars="200"/>
        <w:rPr>
          <w:color w:val="auto"/>
          <w:highlight w:val="none"/>
        </w:rPr>
      </w:pPr>
      <w:r>
        <w:rPr>
          <w:rFonts w:hint="eastAsia"/>
          <w:color w:val="auto"/>
          <w:highlight w:val="none"/>
        </w:rPr>
        <w:t>（6）采购文件</w:t>
      </w:r>
    </w:p>
    <w:p>
      <w:pPr>
        <w:pStyle w:val="631"/>
        <w:ind w:firstLine="480" w:firstLineChars="200"/>
        <w:rPr>
          <w:color w:val="auto"/>
          <w:highlight w:val="none"/>
        </w:rPr>
      </w:pPr>
      <w:r>
        <w:rPr>
          <w:rFonts w:hint="eastAsia"/>
          <w:color w:val="auto"/>
          <w:highlight w:val="none"/>
        </w:rPr>
        <w:t>（7）有关技术文件，图纸</w:t>
      </w:r>
    </w:p>
    <w:p>
      <w:pPr>
        <w:pStyle w:val="631"/>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pPr>
        <w:pStyle w:val="631"/>
        <w:ind w:firstLineChars="200"/>
        <w:rPr>
          <w:b/>
          <w:color w:val="auto"/>
          <w:highlight w:val="none"/>
        </w:rPr>
      </w:pPr>
      <w:r>
        <w:rPr>
          <w:rFonts w:hint="eastAsia"/>
          <w:b/>
          <w:color w:val="auto"/>
          <w:highlight w:val="none"/>
        </w:rPr>
        <w:t>6.合同生效</w:t>
      </w:r>
    </w:p>
    <w:p>
      <w:pPr>
        <w:pStyle w:val="631"/>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rPr>
        <w:t>生效。</w:t>
      </w:r>
    </w:p>
    <w:p>
      <w:pPr>
        <w:pStyle w:val="631"/>
        <w:ind w:firstLineChars="200"/>
        <w:rPr>
          <w:b/>
          <w:color w:val="auto"/>
          <w:highlight w:val="none"/>
        </w:rPr>
      </w:pPr>
      <w:r>
        <w:rPr>
          <w:rFonts w:hint="eastAsia"/>
          <w:b/>
          <w:color w:val="auto"/>
          <w:highlight w:val="none"/>
        </w:rPr>
        <w:t>7.合同份数</w:t>
      </w:r>
    </w:p>
    <w:p>
      <w:pPr>
        <w:pStyle w:val="631"/>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rPr>
        <w:t>份，均具有同等法律效力。</w:t>
      </w:r>
    </w:p>
    <w:p>
      <w:pPr>
        <w:pStyle w:val="631"/>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pStyle w:val="631"/>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附件：具体标的及其技术要求和商务要求、联合协议、分包意向协议等。</w:t>
      </w:r>
    </w:p>
    <w:p>
      <w:pPr>
        <w:pStyle w:val="631"/>
        <w:rPr>
          <w:color w:val="auto"/>
          <w:highlight w:val="none"/>
        </w:rPr>
      </w:pPr>
    </w:p>
    <w:p>
      <w:pPr>
        <w:pStyle w:val="631"/>
        <w:rPr>
          <w:color w:val="auto"/>
          <w:szCs w:val="21"/>
          <w:highlight w:val="none"/>
        </w:rPr>
      </w:pPr>
      <w:r>
        <w:rPr>
          <w:color w:val="auto"/>
          <w:highlight w:val="none"/>
          <w:lang w:val="en"/>
        </w:rPr>
        <w:t xml:space="preserve">   </w:t>
      </w:r>
    </w:p>
    <w:p>
      <w:pPr>
        <w:adjustRightInd/>
        <w:rPr>
          <w:color w:val="auto"/>
          <w:highlight w:val="none"/>
        </w:rPr>
      </w:pPr>
      <w:r>
        <w:rPr>
          <w:color w:val="auto"/>
          <w:highlight w:val="none"/>
        </w:rPr>
        <w:br w:type="page"/>
      </w:r>
    </w:p>
    <w:p>
      <w:pPr>
        <w:adjustRightInd/>
        <w:ind w:firstLine="420" w:firstLineChars="200"/>
        <w:rPr>
          <w:color w:val="auto"/>
          <w:szCs w:val="21"/>
          <w:highlight w:val="none"/>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9"/>
        <w:gridCol w:w="2288"/>
        <w:gridCol w:w="244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98" w:name="_Toc27624"/>
      <w:r>
        <w:rPr>
          <w:rFonts w:hint="eastAsia" w:ascii="黑体" w:hAnsi="黑体" w:eastAsia="黑体"/>
          <w:color w:val="auto"/>
          <w:sz w:val="28"/>
          <w:szCs w:val="28"/>
          <w:highlight w:val="none"/>
        </w:rPr>
        <w:t>第二节 政府采购合同通用条款</w:t>
      </w:r>
      <w:bookmarkEnd w:id="98"/>
    </w:p>
    <w:p>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99"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99"/>
      <w:r>
        <w:rPr>
          <w:rFonts w:hint="eastAsia" w:ascii="宋体" w:hAnsi="宋体"/>
          <w:color w:val="auto"/>
          <w:sz w:val="24"/>
          <w:highlight w:val="none"/>
        </w:rPr>
        <w:t>。</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100" w:name="_Toc20313"/>
      <w:r>
        <w:rPr>
          <w:rFonts w:hint="eastAsia" w:ascii="黑体" w:hAnsi="华文中宋" w:eastAsia="黑体"/>
          <w:color w:val="auto"/>
          <w:sz w:val="24"/>
          <w:highlight w:val="none"/>
        </w:rPr>
        <w:br w:type="page"/>
      </w:r>
    </w:p>
    <w:p>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100"/>
    </w:p>
    <w:tbl>
      <w:tblPr>
        <w:tblStyle w:val="60"/>
        <w:tblW w:w="9653"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630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6304" w:type="dxa"/>
            <w:tcBorders>
              <w:top w:val="double" w:color="auto" w:sz="4"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6304"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6304"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6304"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6304"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6304"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6304"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pPr>
              <w:widowControl/>
              <w:adjustRightInd/>
              <w:spacing w:line="360" w:lineRule="auto"/>
              <w:jc w:val="left"/>
              <w:rPr>
                <w:rFonts w:ascii="宋体" w:hAnsi="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6304"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6304"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6304"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6304" w:type="dxa"/>
            <w:tcBorders>
              <w:top w:val="single" w:color="auto" w:sz="6" w:space="0"/>
              <w:left w:val="single" w:color="auto" w:sz="6" w:space="0"/>
              <w:bottom w:val="single" w:color="auto" w:sz="6" w:space="0"/>
              <w:right w:val="double" w:color="auto" w:sz="4" w:space="0"/>
            </w:tcBorders>
            <w:vAlign w:val="center"/>
          </w:tcPr>
          <w:p>
            <w:pPr>
              <w:autoSpaceDE w:val="0"/>
              <w:autoSpaceDN w:val="0"/>
              <w:snapToGrid w:val="0"/>
              <w:spacing w:line="360" w:lineRule="auto"/>
              <w:ind w:firstLine="480" w:firstLineChars="200"/>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6304"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6304"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6304"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6304"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6304"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6304"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6304"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6304"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6304"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6304"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6304"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6304" w:type="dxa"/>
            <w:tcBorders>
              <w:top w:val="single" w:color="auto" w:sz="6" w:space="0"/>
              <w:left w:val="single" w:color="auto" w:sz="2" w:space="0"/>
              <w:bottom w:val="single" w:color="auto" w:sz="2"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6304" w:type="dxa"/>
            <w:tcBorders>
              <w:top w:val="single" w:color="auto" w:sz="2" w:space="0"/>
              <w:left w:val="single" w:color="auto" w:sz="2" w:space="0"/>
              <w:bottom w:val="single" w:color="auto" w:sz="6" w:space="0"/>
              <w:right w:val="double" w:color="auto" w:sz="4" w:space="0"/>
            </w:tcBorders>
            <w:vAlign w:val="center"/>
          </w:tcPr>
          <w:p>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种方式解决：</w:t>
            </w:r>
          </w:p>
          <w:p>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6304" w:type="dxa"/>
            <w:tcBorders>
              <w:top w:val="single" w:color="auto" w:sz="6" w:space="0"/>
              <w:left w:val="single" w:color="auto" w:sz="6" w:space="0"/>
              <w:bottom w:val="double" w:color="auto" w:sz="4" w:space="0"/>
              <w:right w:val="double" w:color="auto" w:sz="4" w:space="0"/>
            </w:tcBorders>
            <w:vAlign w:val="center"/>
          </w:tcPr>
          <w:p>
            <w:pPr>
              <w:snapToGrid w:val="0"/>
              <w:spacing w:line="360" w:lineRule="auto"/>
              <w:jc w:val="left"/>
              <w:rPr>
                <w:rFonts w:ascii="宋体" w:hAnsi="宋体"/>
                <w:color w:val="auto"/>
                <w:sz w:val="24"/>
                <w:highlight w:val="none"/>
              </w:rPr>
            </w:pPr>
          </w:p>
        </w:tc>
      </w:tr>
    </w:tbl>
    <w:p>
      <w:pPr>
        <w:adjustRightInd/>
        <w:rPr>
          <w:color w:val="auto"/>
          <w:highlight w:val="none"/>
        </w:rPr>
      </w:pPr>
    </w:p>
    <w:p>
      <w:pPr>
        <w:adjustRightInd/>
        <w:rPr>
          <w:color w:val="auto"/>
          <w:highlight w:val="none"/>
        </w:rPr>
      </w:pPr>
    </w:p>
    <w:p>
      <w:pPr>
        <w:pStyle w:val="631"/>
        <w:rPr>
          <w:color w:val="auto"/>
          <w:highlight w:val="none"/>
        </w:rPr>
      </w:pPr>
    </w:p>
    <w:p>
      <w:pPr>
        <w:spacing w:line="360" w:lineRule="auto"/>
        <w:ind w:firstLine="562" w:firstLineChars="200"/>
        <w:jc w:val="center"/>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p>
    <w:p>
      <w:pPr>
        <w:spacing w:line="360" w:lineRule="auto"/>
        <w:ind w:firstLine="562" w:firstLineChars="200"/>
        <w:jc w:val="center"/>
        <w:rPr>
          <w:rFonts w:asciiTheme="minorEastAsia" w:hAnsiTheme="minorEastAsia" w:eastAsiaTheme="minorEastAsia"/>
          <w:b/>
          <w:color w:val="auto"/>
          <w:sz w:val="28"/>
          <w:szCs w:val="28"/>
          <w:highlight w:val="none"/>
        </w:rPr>
      </w:pPr>
    </w:p>
    <w:p>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101" w:name="_Toc181265287"/>
      <w:r>
        <w:rPr>
          <w:rFonts w:hint="eastAsia" w:cs="仿宋_GB2312" w:asciiTheme="minorEastAsia" w:hAnsiTheme="minorEastAsia" w:eastAsiaTheme="minorEastAsia"/>
          <w:b/>
          <w:color w:val="auto"/>
          <w:sz w:val="36"/>
          <w:szCs w:val="20"/>
          <w:highlight w:val="none"/>
        </w:rPr>
        <w:t>第七部分</w:t>
      </w:r>
      <w:bookmarkEnd w:id="95"/>
      <w:r>
        <w:rPr>
          <w:rFonts w:hint="eastAsia" w:cs="仿宋_GB2312" w:asciiTheme="minorEastAsia" w:hAnsiTheme="minorEastAsia" w:eastAsiaTheme="minorEastAsia"/>
          <w:b/>
          <w:color w:val="auto"/>
          <w:sz w:val="36"/>
          <w:szCs w:val="20"/>
          <w:highlight w:val="none"/>
        </w:rPr>
        <w:t xml:space="preserve">  </w:t>
      </w:r>
      <w:bookmarkEnd w:id="96"/>
      <w:r>
        <w:rPr>
          <w:rFonts w:hint="eastAsia" w:cs="仿宋_GB2312" w:asciiTheme="minorEastAsia" w:hAnsiTheme="minorEastAsia" w:eastAsiaTheme="minorEastAsia"/>
          <w:b/>
          <w:color w:val="auto"/>
          <w:sz w:val="36"/>
          <w:szCs w:val="20"/>
          <w:highlight w:val="none"/>
        </w:rPr>
        <w:t>应提交的有关格式范例</w:t>
      </w:r>
      <w:bookmarkEnd w:id="101"/>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pPr>
        <w:spacing w:line="360" w:lineRule="auto"/>
        <w:ind w:firstLine="480" w:firstLineChars="200"/>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▲（3）授权委托书或法定代表人（单位负责人、自然人本人）身份证明</w:t>
      </w:r>
      <w:r>
        <w:rPr>
          <w:rFonts w:hint="eastAsia" w:cs="宋体"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rPr>
        <w:t>（页码）</w:t>
      </w:r>
    </w:p>
    <w:p>
      <w:pPr>
        <w:snapToGrid w:val="0"/>
        <w:spacing w:line="360" w:lineRule="auto"/>
        <w:ind w:left="479" w:leftChars="228"/>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sz w:val="24"/>
          <w:highlight w:val="none"/>
        </w:rPr>
        <w:t>（页码）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（5）所有资信文件（复印件）…………………………………………………（页码）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关于对谈判文件中有关条款的拒绝声明……………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（8）认为需要的其他商务文件或说明…………………………………………（页码）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（9）技术解决方案…………………………………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（10</w:t>
      </w:r>
      <w:r>
        <w:rPr>
          <w:rFonts w:cs="仿宋_GB2312" w:asciiTheme="minorEastAsia" w:hAnsiTheme="minorEastAsia" w:eastAsiaTheme="minorEastAsia"/>
          <w:color w:val="auto"/>
          <w:kern w:val="0"/>
          <w:sz w:val="24"/>
          <w:highlight w:val="none"/>
        </w:rPr>
        <w:t>）组织实施方案………………………………………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2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w:t>
      </w:r>
      <w:r>
        <w:rPr>
          <w:rFonts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rPr>
        <w:t>1</w:t>
      </w:r>
      <w:r>
        <w:rPr>
          <w:rFonts w:cs="仿宋_GB2312" w:asciiTheme="minorEastAsia" w:hAnsiTheme="minorEastAsia" w:eastAsiaTheme="minorEastAsia"/>
          <w:color w:val="auto"/>
          <w:kern w:val="0"/>
          <w:sz w:val="24"/>
          <w:highlight w:val="none"/>
        </w:rPr>
        <w:t>）售后服务方案……………………………………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（12</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（13）</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（14）</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（15）</w:t>
      </w:r>
      <w:r>
        <w:rPr>
          <w:rFonts w:hint="eastAsia" w:cs="仿宋_GB2312" w:asciiTheme="minorEastAsia" w:hAnsiTheme="minorEastAsia" w:eastAsiaTheme="minorEastAsia"/>
          <w:color w:val="auto"/>
          <w:sz w:val="24"/>
          <w:highlight w:val="none"/>
        </w:rPr>
        <w:t>随机特殊工具和备品备件清单</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（16）</w:t>
      </w:r>
      <w:r>
        <w:rPr>
          <w:rFonts w:hint="eastAsia" w:cs="仿宋_GB2312" w:asciiTheme="minorEastAsia" w:hAnsiTheme="minorEastAsia" w:eastAsiaTheme="minorEastAsia"/>
          <w:color w:val="auto"/>
          <w:kern w:val="0"/>
          <w:sz w:val="24"/>
          <w:highlight w:val="none"/>
          <w:lang w:val="zh-CN"/>
        </w:rPr>
        <w:t>认为需要的其他技术文件或说明…………………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tabs>
          <w:tab w:val="left" w:pos="0"/>
        </w:tabs>
        <w:autoSpaceDE w:val="0"/>
        <w:autoSpaceDN w:val="0"/>
        <w:spacing w:line="360" w:lineRule="auto"/>
        <w:ind w:firstLine="525" w:firstLineChars="2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（17）</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pPr>
        <w:pStyle w:val="631"/>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▲（18）</w:t>
      </w:r>
      <w:r>
        <w:rPr>
          <w:rFonts w:hint="eastAsia" w:cs="仿宋_GB2312" w:asciiTheme="minorEastAsia" w:hAnsiTheme="minorEastAsia" w:eastAsiaTheme="minorEastAsia"/>
          <w:color w:val="auto"/>
          <w:highlight w:val="none"/>
          <w:lang w:val="zh-CN"/>
        </w:rPr>
        <w:t>承诺函……………………………………………………………………</w:t>
      </w:r>
      <w:r>
        <w:rPr>
          <w:rFonts w:hint="eastAsia" w:cs="仿宋_GB2312" w:asciiTheme="minorEastAsia" w:hAnsiTheme="minorEastAsia" w:eastAsiaTheme="minorEastAsia"/>
          <w:color w:val="auto"/>
          <w:highlight w:val="none"/>
        </w:rPr>
        <w:t>（页码）</w:t>
      </w:r>
    </w:p>
    <w:p>
      <w:pPr>
        <w:pStyle w:val="631"/>
        <w:rPr>
          <w:color w:val="auto"/>
          <w:highlight w:val="none"/>
        </w:rPr>
      </w:pPr>
      <w:r>
        <w:rPr>
          <w:rFonts w:hint="eastAsia" w:cs="仿宋_GB2312" w:asciiTheme="minorEastAsia" w:hAnsiTheme="minorEastAsia" w:eastAsiaTheme="minorEastAsia"/>
          <w:color w:val="auto"/>
          <w:highlight w:val="none"/>
        </w:rPr>
        <w:t>▲</w:t>
      </w:r>
      <w:r>
        <w:rPr>
          <w:rFonts w:hint="eastAsia"/>
          <w:color w:val="auto"/>
          <w:highlight w:val="none"/>
        </w:rPr>
        <w:t>（19）商务、服务（技术）响应、偏离情况说明表…………………………（页码）</w:t>
      </w:r>
    </w:p>
    <w:p>
      <w:pPr>
        <w:pStyle w:val="631"/>
        <w:rPr>
          <w:color w:val="auto"/>
          <w:highlight w:val="none"/>
        </w:rPr>
      </w:pPr>
      <w:r>
        <w:rPr>
          <w:rFonts w:hint="eastAsia" w:cs="仿宋_GB2312" w:asciiTheme="minorEastAsia" w:hAnsiTheme="minorEastAsia" w:eastAsiaTheme="minorEastAsia"/>
          <w:color w:val="auto"/>
          <w:szCs w:val="24"/>
          <w:highlight w:val="none"/>
          <w:lang w:val="zh-CN"/>
        </w:rPr>
        <w:t>▲</w:t>
      </w:r>
      <w:r>
        <w:rPr>
          <w:rFonts w:hint="eastAsia"/>
          <w:color w:val="auto"/>
          <w:highlight w:val="none"/>
        </w:rPr>
        <w:t>（20）初始报价表………………………………………………………………（页码）</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注：以上目录是编制供应商响应文件的基本格式要求，各供应商可根据自身情况进一步细化。标注“▲”为实质性要求，供应商必须提供，否则谈判无效。</w:t>
      </w: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pPr>
        <w:pStyle w:val="104"/>
        <w:numPr>
          <w:ilvl w:val="0"/>
          <w:numId w:val="8"/>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谈判文件中</w:t>
      </w:r>
      <w:r>
        <w:rPr>
          <w:rFonts w:hint="eastAsia" w:cs="仿宋_GB2312" w:asciiTheme="minorEastAsia" w:hAnsiTheme="minorEastAsia" w:eastAsiaTheme="minorEastAsia"/>
          <w:color w:val="auto"/>
          <w:sz w:val="24"/>
          <w:highlight w:val="none"/>
        </w:rPr>
        <w:t>规定的全部响应文件。</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我方承诺除响应文件列出的偏离外，我方响应谈判文件的全部要求。</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保证遵守谈判文件中的其他有关规定。</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我方已详细阅读全部谈判文件，包括谈判文件“更正（延期）公告”（如果有）、参考资料及有关附件，确认无误。</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7.3按照谈判文件要求提交履约保证金；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pPr>
        <w:numPr>
          <w:ilvl w:val="0"/>
          <w:numId w:val="8"/>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autoSpaceDE w:val="0"/>
        <w:autoSpaceDN w:val="0"/>
        <w:spacing w:line="360" w:lineRule="auto"/>
        <w:rPr>
          <w:rFonts w:cs="仿宋_GB2312" w:asciiTheme="minorEastAsia" w:hAnsiTheme="minorEastAsia" w:eastAsiaTheme="minorEastAsia"/>
          <w:color w:val="auto"/>
          <w:kern w:val="0"/>
          <w:sz w:val="24"/>
          <w:highlight w:val="none"/>
        </w:rPr>
      </w:pPr>
    </w:p>
    <w:p>
      <w:pPr>
        <w:pStyle w:val="114"/>
        <w:keepNext w:val="0"/>
        <w:pageBreakBefore w:val="0"/>
        <w:tabs>
          <w:tab w:val="clear" w:pos="720"/>
        </w:tabs>
        <w:jc w:val="both"/>
        <w:outlineLvl w:val="9"/>
        <w:rPr>
          <w:rFonts w:cs="仿宋_GB2312" w:asciiTheme="minorEastAsia" w:hAnsiTheme="minorEastAsia" w:eastAsiaTheme="minorEastAsia"/>
          <w:color w:val="auto"/>
          <w:sz w:val="24"/>
          <w:szCs w:val="24"/>
          <w:highlight w:val="none"/>
        </w:rPr>
      </w:pPr>
    </w:p>
    <w:p>
      <w:pPr>
        <w:spacing w:line="360" w:lineRule="auto"/>
        <w:rPr>
          <w:rFonts w:cs="仿宋_GB2312" w:asciiTheme="minorEastAsia" w:hAnsiTheme="minorEastAsia" w:eastAsiaTheme="minorEastAsia"/>
          <w:color w:val="auto"/>
          <w:sz w:val="18"/>
          <w:szCs w:val="18"/>
          <w:highlight w:val="none"/>
        </w:rPr>
      </w:pPr>
    </w:p>
    <w:p>
      <w:pPr>
        <w:spacing w:line="360" w:lineRule="auto"/>
        <w:rPr>
          <w:rFonts w:cs="仿宋_GB2312" w:asciiTheme="minorEastAsia" w:hAnsiTheme="minorEastAsia" w:eastAsiaTheme="minorEastAsia"/>
          <w:color w:val="auto"/>
          <w:sz w:val="18"/>
          <w:szCs w:val="18"/>
          <w:highlight w:val="none"/>
        </w:rPr>
      </w:pPr>
    </w:p>
    <w:p>
      <w:pPr>
        <w:widowControl/>
        <w:adjustRightInd/>
        <w:jc w:val="left"/>
        <w:rPr>
          <w:rFonts w:cs="仿宋_GB2312" w:asciiTheme="minorEastAsia" w:hAnsiTheme="minorEastAsia" w:eastAsiaTheme="minorEastAsia"/>
          <w:b/>
          <w:color w:val="auto"/>
          <w:kern w:val="0"/>
          <w:sz w:val="32"/>
          <w:szCs w:val="32"/>
          <w:highlight w:val="none"/>
        </w:rPr>
      </w:pPr>
      <w:r>
        <w:rPr>
          <w:rFonts w:cs="仿宋_GB2312" w:asciiTheme="minorEastAsia" w:hAnsiTheme="minorEastAsia" w:eastAsiaTheme="minorEastAsia"/>
          <w:b/>
          <w:color w:val="auto"/>
          <w:kern w:val="0"/>
          <w:sz w:val="32"/>
          <w:szCs w:val="32"/>
          <w:highlight w:val="none"/>
        </w:rPr>
        <w:br w:type="page"/>
      </w:r>
    </w:p>
    <w:p>
      <w:pPr>
        <w:widowControl/>
        <w:tabs>
          <w:tab w:val="left" w:pos="1200"/>
        </w:tabs>
        <w:adjustRightInd/>
        <w:ind w:left="840"/>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二、资格文件</w:t>
      </w:r>
    </w:p>
    <w:p>
      <w:pPr>
        <w:pStyle w:val="104"/>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pPr>
        <w:snapToGrid w:val="0"/>
        <w:spacing w:line="360" w:lineRule="auto"/>
        <w:ind w:right="480"/>
        <w:jc w:val="center"/>
        <w:rPr>
          <w:rFonts w:ascii="宋体" w:hAnsi="宋体" w:cs="宋体"/>
          <w:color w:val="auto"/>
          <w:sz w:val="24"/>
          <w:highlight w:val="none"/>
        </w:rPr>
      </w:pPr>
    </w:p>
    <w:p>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pPr>
        <w:snapToGrid w:val="0"/>
        <w:spacing w:line="360" w:lineRule="auto"/>
        <w:rPr>
          <w:rFonts w:ascii="宋体" w:hAnsi="宋体" w:cs="宋体"/>
          <w:color w:val="auto"/>
          <w:sz w:val="24"/>
          <w:highlight w:val="none"/>
        </w:rPr>
      </w:pP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pPr>
        <w:snapToGrid w:val="0"/>
        <w:spacing w:line="360" w:lineRule="auto"/>
        <w:ind w:right="48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right="480"/>
        <w:rPr>
          <w:rFonts w:ascii="宋体" w:hAnsi="宋体" w:cs="宋体"/>
          <w:color w:val="auto"/>
          <w:sz w:val="24"/>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授权代表根据谈判文件规定及采购内容而对采购人、采购代理机构所作的任何合法承诺，包括书面澄清及相应等均对联合体各方产生约束力。</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谈判的，联合协议约定小微企业的合同份额占到合同总金额30%以上的，对联合体报价按评审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w:t>
      </w:r>
      <w:r>
        <w:rPr>
          <w:rFonts w:hint="eastAsia" w:ascii="宋体" w:hAnsi="宋体" w:cs="宋体"/>
          <w:b/>
          <w:color w:val="auto"/>
          <w:kern w:val="0"/>
          <w:sz w:val="24"/>
          <w:highlight w:val="none"/>
          <w:lang w:val="zh-CN"/>
        </w:rPr>
        <w:t>谈判</w:t>
      </w:r>
      <w:r>
        <w:rPr>
          <w:rFonts w:hint="eastAsia" w:ascii="宋体" w:hAnsi="宋体" w:cs="宋体"/>
          <w:b/>
          <w:bCs/>
          <w:color w:val="auto"/>
          <w:sz w:val="24"/>
          <w:highlight w:val="none"/>
        </w:rPr>
        <w:t>文件第一部分邀请公告申请人的资格要求中规定的联合协议中中小企业、小微企业合同金额应当达到的比例要求填写。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630"/>
          <w:color w:val="auto"/>
          <w:highlight w:val="none"/>
        </w:rPr>
      </w:pPr>
      <w:r>
        <w:rPr>
          <w:rStyle w:val="630"/>
          <w:rFonts w:hint="eastAsia"/>
          <w:color w:val="auto"/>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Style w:val="630"/>
          <w:rFonts w:hint="eastAsia"/>
          <w:color w:val="auto"/>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snapToGrid w:val="0"/>
        <w:spacing w:line="360" w:lineRule="auto"/>
        <w:ind w:right="480"/>
        <w:jc w:val="center"/>
        <w:rPr>
          <w:rFonts w:cs="仿宋_GB2312" w:asciiTheme="minorEastAsia" w:hAnsiTheme="minorEastAsia" w:eastAsiaTheme="minorEastAsia"/>
          <w:b/>
          <w:color w:val="auto"/>
          <w:sz w:val="32"/>
          <w:szCs w:val="32"/>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谈判文件第一部分竞争性谈判邀请公告中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.专门面向中小企业，货物全部由符合政策要求的中小企业（或小微企业）制造的，提供相应的中小企业声明函（附件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pPr>
        <w:widowControl/>
        <w:spacing w:line="360" w:lineRule="auto"/>
        <w:ind w:firstLine="480"/>
        <w:jc w:val="left"/>
        <w:rPr>
          <w:rFonts w:cs="宋体" w:asciiTheme="minorEastAsia" w:hAnsiTheme="minorEastAsia" w:eastAsiaTheme="minorEastAsia"/>
          <w:color w:val="auto"/>
          <w:sz w:val="24"/>
          <w:highlight w:val="none"/>
        </w:rPr>
      </w:pPr>
    </w:p>
    <w:p>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（由供应商根据“谈判文件第一部分”中“合格的供应商应具备的特定资格要求”编制；如果本项目没有设置特定资格条件，则不需要提供）</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p>
    <w:p>
      <w:pPr>
        <w:snapToGrid w:val="0"/>
        <w:spacing w:line="360" w:lineRule="auto"/>
        <w:rPr>
          <w:rFonts w:cs="仿宋_GB2312" w:asciiTheme="minorEastAsia" w:hAnsiTheme="minorEastAsia" w:eastAsiaTheme="minorEastAsia"/>
          <w:color w:val="auto"/>
          <w:kern w:val="0"/>
          <w:sz w:val="24"/>
          <w:highlight w:val="none"/>
          <w:lang w:val="zh-CN"/>
        </w:rPr>
      </w:pPr>
    </w:p>
    <w:p>
      <w:pPr>
        <w:snapToGrid w:val="0"/>
        <w:spacing w:line="360" w:lineRule="auto"/>
        <w:rPr>
          <w:rFonts w:cs="仿宋_GB2312" w:asciiTheme="minorEastAsia" w:hAnsiTheme="minorEastAsia" w:eastAsiaTheme="minorEastAsia"/>
          <w:color w:val="auto"/>
          <w:kern w:val="0"/>
          <w:sz w:val="24"/>
          <w:highlight w:val="none"/>
          <w:lang w:val="zh-CN"/>
        </w:rPr>
      </w:pPr>
    </w:p>
    <w:p>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pgSz w:w="11906" w:h="16838"/>
          <w:pgMar w:top="1247" w:right="1134" w:bottom="1276" w:left="1134" w:header="850" w:footer="1020" w:gutter="0"/>
          <w:cols w:space="720" w:num="1"/>
          <w:titlePg/>
          <w:docGrid w:linePitch="312" w:charSpace="0"/>
        </w:sectPr>
      </w:pPr>
    </w:p>
    <w:p>
      <w:pPr>
        <w:jc w:val="center"/>
        <w:rPr>
          <w:rFonts w:ascii="宋体" w:hAnsi="宋体" w:cs="宋体"/>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w:t>
      </w:r>
      <w:r>
        <w:rPr>
          <w:rFonts w:hint="eastAsia" w:ascii="宋体" w:hAnsi="宋体" w:cs="宋体"/>
          <w:b/>
          <w:color w:val="auto"/>
          <w:kern w:val="0"/>
          <w:sz w:val="32"/>
          <w:szCs w:val="32"/>
          <w:highlight w:val="none"/>
          <w:lang w:val="zh-CN"/>
        </w:rPr>
        <w:t>授权委托书或法定代表人（单位负责人、自然人本人）身份证明</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授权委托书（适用于非联合体谈判）</w:t>
      </w:r>
      <w:r>
        <w:rPr>
          <w:rFonts w:hint="eastAsia" w:ascii="宋体" w:hAnsi="宋体" w:cs="宋体"/>
          <w:color w:val="auto"/>
          <w:highlight w:val="none"/>
        </w:rPr>
        <w:t xml:space="preserve">                               </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谈判供应商名称（公章）：</w:t>
      </w:r>
    </w:p>
    <w:p>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adjustRightInd/>
        <w:spacing w:line="360" w:lineRule="auto"/>
        <w:rPr>
          <w:rFonts w:ascii="宋体" w:hAnsi="宋体"/>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8" w:type="first"/>
          <w:footerReference r:id="rId10" w:type="first"/>
          <w:headerReference r:id="rId7" w:type="default"/>
          <w:footerReference r:id="rId9"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授权委托书（适用于联合体谈判）</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olor w:val="auto"/>
          <w:sz w:val="24"/>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jc w:val="left"/>
        <w:rPr>
          <w:rFonts w:ascii="宋体" w:hAnsi="宋体"/>
          <w:color w:val="auto"/>
          <w:kern w:val="0"/>
          <w:sz w:val="24"/>
          <w:szCs w:val="20"/>
          <w:highlight w:val="none"/>
        </w:rPr>
      </w:pPr>
      <w:r>
        <w:rPr>
          <w:rFonts w:hint="eastAsia" w:ascii="宋体" w:hAnsi="宋体"/>
          <w:color w:val="auto"/>
          <w:kern w:val="0"/>
          <w:sz w:val="24"/>
          <w:szCs w:val="20"/>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adjustRightInd/>
        <w:spacing w:line="360" w:lineRule="auto"/>
        <w:rPr>
          <w:rFonts w:ascii="宋体" w:hAnsi="宋体"/>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委托代理人和联合体牵头单位法定代表人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12" w:type="first"/>
          <w:footerReference r:id="rId14" w:type="first"/>
          <w:headerReference r:id="rId11" w:type="default"/>
          <w:footerReference r:id="rId13"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的身份证明（适用于法定代表人、单位负责人或者自然人本人代表谈判供应商参加谈判）</w:t>
      </w:r>
    </w:p>
    <w:p>
      <w:pPr>
        <w:adjustRightInd/>
        <w:spacing w:line="360" w:lineRule="auto"/>
        <w:rPr>
          <w:rFonts w:ascii="宋体" w:hAnsi="宋体" w:cs="宋体"/>
          <w:bCs/>
          <w:color w:val="auto"/>
          <w:sz w:val="24"/>
          <w:szCs w:val="21"/>
          <w:highlight w:val="none"/>
        </w:rPr>
      </w:pPr>
    </w:p>
    <w:p>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pPr>
        <w:snapToGrid w:val="0"/>
        <w:spacing w:line="276" w:lineRule="auto"/>
        <w:ind w:firstLine="960" w:firstLineChars="400"/>
        <w:rPr>
          <w:rFonts w:ascii="宋体" w:hAnsi="宋体"/>
          <w:color w:val="auto"/>
          <w:sz w:val="24"/>
          <w:highlight w:val="none"/>
          <w:u w:val="single"/>
        </w:rPr>
      </w:pPr>
    </w:p>
    <w:p>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pPr>
        <w:snapToGrid w:val="0"/>
        <w:spacing w:line="276" w:lineRule="auto"/>
        <w:rPr>
          <w:rFonts w:ascii="宋体" w:hAnsi="宋体"/>
          <w:color w:val="auto"/>
          <w:sz w:val="24"/>
          <w:highlight w:val="none"/>
        </w:rPr>
      </w:pPr>
    </w:p>
    <w:p>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pPr>
        <w:snapToGrid w:val="0"/>
        <w:spacing w:line="276" w:lineRule="auto"/>
        <w:rPr>
          <w:rFonts w:ascii="宋体" w:hAnsi="宋体"/>
          <w:color w:val="auto"/>
          <w:sz w:val="24"/>
          <w:highlight w:val="none"/>
        </w:rPr>
      </w:pPr>
    </w:p>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sz w:val="24"/>
          <w:highlight w:val="none"/>
        </w:rPr>
        <w:t>谈判供应商名称</w:t>
      </w:r>
      <w:r>
        <w:rPr>
          <w:rFonts w:hint="eastAsia" w:ascii="宋体" w:hAnsi="宋体" w:cs="宋体"/>
          <w:color w:val="auto"/>
          <w:kern w:val="0"/>
          <w:sz w:val="24"/>
          <w:highlight w:val="none"/>
          <w:lang w:val="zh-CN"/>
        </w:rPr>
        <w:t xml:space="preserve">(公章)：                              </w:t>
      </w:r>
    </w:p>
    <w:p>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pPr>
        <w:adjustRightInd/>
        <w:spacing w:line="360" w:lineRule="auto"/>
        <w:rPr>
          <w:rFonts w:ascii="宋体" w:hAnsi="宋体" w:cs="宋体"/>
          <w:bCs/>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pPr>
        <w:widowControl/>
        <w:spacing w:line="360" w:lineRule="auto"/>
        <w:ind w:firstLine="120" w:firstLineChars="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pPr>
        <w:pStyle w:val="631"/>
        <w:rPr>
          <w:color w:val="auto"/>
          <w:highlight w:val="none"/>
        </w:rPr>
      </w:pPr>
      <w:r>
        <w:rPr>
          <w:rFonts w:hint="eastAsia"/>
          <w:color w:val="auto"/>
          <w:highlight w:val="none"/>
        </w:rPr>
        <w:t>……</w:t>
      </w:r>
    </w:p>
    <w:p>
      <w:pPr>
        <w:ind w:firstLine="30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审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102"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要求合同分包形式参加的项目或采购包，供应商按谈判文件第一部分邀请公告申请人的资格要求中规定的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102"/>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pPr>
        <w:snapToGrid w:val="0"/>
        <w:spacing w:line="360" w:lineRule="auto"/>
        <w:ind w:firstLine="576"/>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pPr>
        <w:snapToGrid w:val="0"/>
        <w:spacing w:line="360" w:lineRule="auto"/>
        <w:ind w:left="6358" w:leftChars="342" w:hanging="5640" w:hangingChars="235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w:t>
      </w:r>
    </w:p>
    <w:p>
      <w:pPr>
        <w:snapToGrid w:val="0"/>
        <w:spacing w:line="360" w:lineRule="auto"/>
        <w:ind w:left="5743" w:leftChars="2392" w:hanging="720" w:hangingChars="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谈判供应商名称(公章)：</w:t>
      </w:r>
    </w:p>
    <w:p>
      <w:pPr>
        <w:wordWrap w:val="0"/>
        <w:snapToGrid w:val="0"/>
        <w:spacing w:line="360" w:lineRule="auto"/>
        <w:ind w:firstLine="5040" w:firstLineChars="2100"/>
        <w:rPr>
          <w:rStyle w:val="630"/>
          <w:color w:val="auto"/>
          <w:highlight w:val="none"/>
        </w:rPr>
      </w:pPr>
      <w:r>
        <w:rPr>
          <w:rStyle w:val="630"/>
          <w:rFonts w:hint="eastAsia"/>
          <w:color w:val="auto"/>
          <w:highlight w:val="none"/>
        </w:rPr>
        <w:t>法定代表人（负责人） (签名)：</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分包供应商名称(公章)：</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pacing w:line="360" w:lineRule="auto"/>
        <w:jc w:val="center"/>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、所有资信文件（复印件）</w:t>
      </w: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spacing w:line="360" w:lineRule="auto"/>
        <w:jc w:val="center"/>
        <w:rPr>
          <w:rFonts w:cs="仿宋_GB2312" w:asciiTheme="minorEastAsia" w:hAnsiTheme="minorEastAsia" w:eastAsiaTheme="minorEastAsia"/>
          <w:b/>
          <w:color w:val="auto"/>
          <w:sz w:val="30"/>
          <w:szCs w:val="30"/>
          <w:highlight w:val="none"/>
        </w:rPr>
      </w:pPr>
    </w:p>
    <w:p>
      <w:pPr>
        <w:snapToGrid w:val="0"/>
        <w:spacing w:line="360" w:lineRule="auto"/>
        <w:ind w:firstLine="5160" w:firstLineChars="215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pPr>
        <w:spacing w:line="360" w:lineRule="auto"/>
        <w:jc w:val="center"/>
        <w:rPr>
          <w:rFonts w:cs="仿宋_GB2312" w:asciiTheme="minorEastAsia" w:hAnsiTheme="minorEastAsia" w:eastAsiaTheme="minorEastAsia"/>
          <w:b/>
          <w:color w:val="auto"/>
          <w:kern w:val="0"/>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投资</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注：供应商可按上述的格式自行编制，须随表提交相应的合同复印件和用户单位验收证明并注明所在文件页码。</w:t>
      </w:r>
    </w:p>
    <w:p>
      <w:pPr>
        <w:autoSpaceDE w:val="0"/>
        <w:autoSpaceDN w:val="0"/>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七、关于</w:t>
      </w:r>
      <w:r>
        <w:rPr>
          <w:rFonts w:hint="eastAsia" w:cs="仿宋_GB2312" w:asciiTheme="minorEastAsia" w:hAnsiTheme="minorEastAsia" w:eastAsiaTheme="minorEastAsia"/>
          <w:b/>
          <w:color w:val="auto"/>
          <w:kern w:val="0"/>
          <w:sz w:val="32"/>
          <w:szCs w:val="32"/>
          <w:highlight w:val="none"/>
          <w:lang w:val="zh-CN"/>
        </w:rPr>
        <w:t>对谈判文件中有关条款的拒绝声明</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法定代表人（负责人）或委托代理人(签名)：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八、认为需要的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jc w:val="center"/>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rPr>
          <w:rFonts w:cs="仿宋_GB2312" w:asciiTheme="minorEastAsia" w:hAnsiTheme="minorEastAsia" w:eastAsiaTheme="minorEastAsia"/>
          <w:b/>
          <w:bCs/>
          <w:color w:val="auto"/>
          <w:kern w:val="0"/>
          <w:sz w:val="24"/>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highlight w:val="none"/>
        </w:rPr>
        <w:br w:type="page"/>
      </w: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九、技术解决方案</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pPr>
        <w:snapToGrid w:val="0"/>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ind w:firstLine="1333" w:firstLineChars="4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w:t>
      </w: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 </w:t>
      </w:r>
    </w:p>
    <w:p>
      <w:pPr>
        <w:spacing w:line="360" w:lineRule="auto"/>
        <w:ind w:firstLine="1000" w:firstLineChars="3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w:t>
      </w:r>
    </w:p>
    <w:p>
      <w:pPr>
        <w:autoSpaceDE w:val="0"/>
        <w:autoSpaceDN w:val="0"/>
        <w:spacing w:line="360" w:lineRule="auto"/>
        <w:rPr>
          <w:rFonts w:cs="仿宋_GB2312" w:asciiTheme="minorEastAsia" w:hAnsiTheme="minorEastAsia" w:eastAsiaTheme="minorEastAsia"/>
          <w:b/>
          <w:color w:val="auto"/>
          <w:kern w:val="0"/>
          <w:sz w:val="28"/>
          <w:szCs w:val="28"/>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十、组织实施方案</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附表:项目实施进度计划表</w:t>
      </w:r>
      <w:r>
        <w:rPr>
          <w:rFonts w:hint="eastAsia" w:cs="仿宋_GB2312" w:asciiTheme="minorEastAsia" w:hAnsiTheme="minorEastAsia" w:eastAsiaTheme="minorEastAsia"/>
          <w:b/>
          <w:color w:val="auto"/>
          <w:sz w:val="24"/>
          <w:highlight w:val="none"/>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内容</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7</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9</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11</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12</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13</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14</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15</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注：供应商可按上述时间表的格式自行编制切合实际的具体时间表。</w:t>
      </w: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十一、售后服务方案</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根据采购需求及谈判文件要求编制）</w:t>
      </w: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十二、项目小组人员名单</w:t>
      </w:r>
    </w:p>
    <w:p>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响应截止时间近3年业绩及承担的主要工作情况，曾担任项目经理的项目应列明细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bl>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注：供应商可按上述的格式自行编制，须随表提交相应的证书复印件并注明所在响应文件页码。</w:t>
      </w: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附表C:本项目的项目经理和小组人员交纳社保记录情况表</w:t>
      </w:r>
      <w:r>
        <w:rPr>
          <w:rFonts w:hint="eastAsia" w:cs="仿宋_GB2312" w:asciiTheme="minorEastAsia" w:hAnsiTheme="minorEastAsia" w:eastAsiaTheme="minorEastAsia"/>
          <w:color w:val="auto"/>
          <w:sz w:val="24"/>
          <w:highlight w:val="none"/>
        </w:rPr>
        <w:t>（以社保局缴纳凭证作附件）</w:t>
      </w: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十三</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24"/>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十四、</w:t>
      </w:r>
      <w:r>
        <w:rPr>
          <w:rFonts w:hint="eastAsia" w:cs="仿宋_GB2312" w:asciiTheme="minorEastAsia" w:hAnsiTheme="minorEastAsia" w:eastAsiaTheme="minorEastAsia"/>
          <w:b/>
          <w:color w:val="auto"/>
          <w:kern w:val="0"/>
          <w:sz w:val="32"/>
          <w:szCs w:val="32"/>
          <w:highlight w:val="none"/>
          <w:lang w:val="zh-CN"/>
        </w:rPr>
        <w:t>培训计划</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keepNext/>
        <w:autoSpaceDE w:val="0"/>
        <w:autoSpaceDN w:val="0"/>
        <w:spacing w:line="360" w:lineRule="auto"/>
        <w:ind w:firstLine="477"/>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注解:A</w:t>
      </w:r>
      <w:r>
        <w:rPr>
          <w:rFonts w:hint="eastAsia" w:cs="仿宋_GB2312" w:asciiTheme="minorEastAsia" w:hAnsiTheme="minorEastAsia" w:eastAsiaTheme="minorEastAsia"/>
          <w:color w:val="auto"/>
          <w:sz w:val="24"/>
          <w:highlight w:val="none"/>
        </w:rPr>
        <w:tab/>
      </w:r>
      <w:r>
        <w:rPr>
          <w:rFonts w:hint="eastAsia" w:cs="仿宋_GB2312" w:asciiTheme="minorEastAsia" w:hAnsiTheme="minorEastAsia" w:eastAsiaTheme="minorEastAsia"/>
          <w:color w:val="auto"/>
          <w:sz w:val="24"/>
          <w:highlight w:val="none"/>
        </w:rPr>
        <w:t>课程清单按时间顺序排列，并提供以下详细资料：</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课程概要</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课程目的</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教学方式</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先决条件</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教材目录</w:t>
      </w:r>
    </w:p>
    <w:p>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B  按照附表A提供授课教师的简历</w:t>
      </w:r>
    </w:p>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pPr>
              <w:pStyle w:val="31"/>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pPr>
              <w:pStyle w:val="31"/>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pPr>
              <w:pStyle w:val="31"/>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pPr>
              <w:pStyle w:val="31"/>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pPr>
              <w:pStyle w:val="31"/>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rPr>
                <w:rFonts w:cs="仿宋_GB2312" w:asciiTheme="minorEastAsia" w:hAnsiTheme="minorEastAsia" w:eastAsiaTheme="minorEastAsia"/>
                <w:color w:val="auto"/>
                <w:sz w:val="24"/>
                <w:highlight w:val="none"/>
              </w:rPr>
            </w:pPr>
          </w:p>
        </w:tc>
        <w:tc>
          <w:tcPr>
            <w:tcW w:w="1900" w:type="dxa"/>
          </w:tcPr>
          <w:p>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pPr>
              <w:pStyle w:val="31"/>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pPr>
              <w:pStyle w:val="31"/>
              <w:spacing w:line="360" w:lineRule="auto"/>
              <w:jc w:val="center"/>
              <w:rPr>
                <w:rFonts w:cs="仿宋_GB2312" w:asciiTheme="minorEastAsia" w:hAnsiTheme="minorEastAsia" w:eastAsiaTheme="minorEastAsia"/>
                <w:color w:val="auto"/>
                <w:sz w:val="24"/>
                <w:highlight w:val="none"/>
              </w:rPr>
            </w:pPr>
          </w:p>
        </w:tc>
      </w:tr>
    </w:tbl>
    <w:p>
      <w:pPr>
        <w:spacing w:line="360" w:lineRule="auto"/>
        <w:ind w:firstLine="470" w:firstLineChars="196"/>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pPr>
        <w:spacing w:line="360" w:lineRule="auto"/>
        <w:ind w:firstLine="480" w:firstLineChars="200"/>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十六、认为需求的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highlight w:val="none"/>
        </w:rPr>
      </w:pPr>
    </w:p>
    <w:p>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p>
    <w:p>
      <w:pPr>
        <w:widowControl/>
        <w:adjustRightInd/>
        <w:jc w:val="left"/>
        <w:rPr>
          <w:rFonts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十七、</w:t>
      </w:r>
      <w:r>
        <w:rPr>
          <w:rFonts w:hint="eastAsia" w:cs="宋体" w:asciiTheme="minorEastAsia" w:hAnsiTheme="minorEastAsia" w:eastAsiaTheme="minorEastAsia"/>
          <w:b/>
          <w:color w:val="auto"/>
          <w:kern w:val="0"/>
          <w:sz w:val="32"/>
          <w:szCs w:val="32"/>
          <w:highlight w:val="none"/>
          <w:lang w:val="zh-CN"/>
        </w:rPr>
        <w:t>政府采购供应商廉洁自律承诺书</w:t>
      </w:r>
    </w:p>
    <w:p>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 xml:space="preserve">：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十八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pPr>
        <w:widowControl/>
        <w:adjustRightInd/>
        <w:ind w:firstLine="640" w:firstLineChars="200"/>
        <w:jc w:val="left"/>
        <w:rPr>
          <w:rFonts w:ascii="宋体" w:hAnsi="宋体" w:cs="宋体"/>
          <w:color w:val="auto"/>
          <w:kern w:val="0"/>
          <w:sz w:val="32"/>
          <w:szCs w:val="21"/>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我方作为本次采购项目的谈判供应商，根据谈判文件要求，现郑重承诺如下：</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二、参加本次谈判采购活动，不存在与单位负责人为同一人或者存在直接控股、管理关系的其他供应商参与同一合同项下的政府采购活动的行为。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四、参加本次谈判采购活动，不存在和其他供应商在同一合同项下的采购项目中，同时委托同一个自然人、同一家庭的人员、同一单位的人员作为代理人的行为。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八、参加本次谈判采购活动，我方完全同意谈判文件第三部分关于“谈判费用”、“合同分包”、“合同转包”、“履约保证金”的实质性要求，并承诺严格按照谈判文件要求履行。</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color w:val="auto"/>
          <w:kern w:val="0"/>
          <w:sz w:val="24"/>
          <w:highlight w:val="none"/>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pacing w:line="360" w:lineRule="auto"/>
        <w:jc w:val="center"/>
        <w:rPr>
          <w:rFonts w:cs="仿宋_GB2312" w:asciiTheme="minorEastAsia" w:hAnsiTheme="minorEastAsia" w:eastAsiaTheme="minorEastAsia"/>
          <w:b/>
          <w:color w:val="auto"/>
          <w:sz w:val="36"/>
          <w:szCs w:val="36"/>
          <w:highlight w:val="none"/>
        </w:rPr>
      </w:pPr>
    </w:p>
    <w:p>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jc w:val="center"/>
        <w:rPr>
          <w:rFonts w:ascii="宋体" w:hAnsi="宋体" w:cs="宋体"/>
          <w:b/>
          <w:bCs/>
          <w:color w:val="auto"/>
          <w:sz w:val="32"/>
          <w:szCs w:val="32"/>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十九</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商务、服务（技术）响应、偏离情况说明表</w:t>
      </w:r>
    </w:p>
    <w:p>
      <w:pPr>
        <w:snapToGrid w:val="0"/>
        <w:spacing w:line="400" w:lineRule="exact"/>
        <w:ind w:firstLine="420" w:firstLineChars="200"/>
        <w:rPr>
          <w:rFonts w:asciiTheme="minorEastAsia" w:hAnsiTheme="minorEastAsia" w:eastAsiaTheme="minorEastAsia"/>
          <w:color w:val="auto"/>
          <w:szCs w:val="21"/>
          <w:highlight w:val="none"/>
        </w:rPr>
      </w:pPr>
    </w:p>
    <w:p>
      <w:pPr>
        <w:snapToGrid w:val="0"/>
        <w:spacing w:line="40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p>
    <w:p>
      <w:pPr>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项目编号:   </w:t>
      </w:r>
    </w:p>
    <w:p>
      <w:pPr>
        <w:pStyle w:val="71"/>
        <w:snapToGrid w:val="0"/>
        <w:spacing w:after="120" w:line="400" w:lineRule="exact"/>
        <w:ind w:firstLine="480" w:firstLineChars="200"/>
        <w:rPr>
          <w:rFonts w:asciiTheme="minorEastAsia" w:hAnsiTheme="minorEastAsia" w:eastAsiaTheme="minorEastAsia"/>
          <w:color w:val="auto"/>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bl>
    <w:p>
      <w:pPr>
        <w:snapToGrid w:val="0"/>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说明：1.应写明谈判文件对商务与服务技术要求的响应和偏离情况</w:t>
      </w:r>
      <w:r>
        <w:rPr>
          <w:rFonts w:hint="eastAsia" w:asciiTheme="minorEastAsia" w:hAnsiTheme="minorEastAsia" w:eastAsiaTheme="minorEastAsia"/>
          <w:bCs/>
          <w:color w:val="auto"/>
          <w:sz w:val="24"/>
          <w:highlight w:val="none"/>
        </w:rPr>
        <w:t>；</w:t>
      </w:r>
    </w:p>
    <w:p>
      <w:pPr>
        <w:snapToGrid w:val="0"/>
        <w:spacing w:line="400" w:lineRule="exact"/>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2.应对照谈判文件“第四部分  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pPr>
        <w:snapToGrid w:val="0"/>
        <w:spacing w:line="400" w:lineRule="exact"/>
        <w:rPr>
          <w:rFonts w:cs="Courier New" w:asciiTheme="minorEastAsia" w:hAnsiTheme="minorEastAsia" w:eastAsiaTheme="minorEastAsia"/>
          <w:color w:val="auto"/>
          <w:sz w:val="24"/>
          <w:highlight w:val="none"/>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cs="仿宋_GB2312" w:asciiTheme="minorEastAsia" w:hAnsiTheme="minorEastAsia" w:eastAsiaTheme="minorEastAsia"/>
          <w:b/>
          <w:color w:val="auto"/>
          <w:sz w:val="36"/>
          <w:szCs w:val="36"/>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二十</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初始报价表</w:t>
      </w:r>
    </w:p>
    <w:p>
      <w:pPr>
        <w:pStyle w:val="631"/>
        <w:jc w:val="center"/>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（初始报价表格式参照第八部分  最后报价格式）</w:t>
      </w:r>
    </w:p>
    <w:p>
      <w:pPr>
        <w:snapToGrid w:val="0"/>
        <w:spacing w:line="400" w:lineRule="exact"/>
        <w:ind w:firstLine="420" w:firstLineChars="200"/>
        <w:rPr>
          <w:rFonts w:asciiTheme="minorEastAsia" w:hAnsiTheme="minorEastAsia" w:eastAsiaTheme="minorEastAsia"/>
          <w:color w:val="auto"/>
          <w:szCs w:val="21"/>
          <w:highlight w:val="none"/>
        </w:rPr>
      </w:pPr>
    </w:p>
    <w:p>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16" w:type="first"/>
          <w:footerReference r:id="rId19" w:type="first"/>
          <w:headerReference r:id="rId15" w:type="default"/>
          <w:footerReference r:id="rId17" w:type="default"/>
          <w:footerReference r:id="rId18" w:type="even"/>
          <w:pgSz w:w="11906" w:h="16838"/>
          <w:pgMar w:top="779" w:right="1418" w:bottom="468" w:left="1418" w:header="851" w:footer="992" w:gutter="0"/>
          <w:cols w:space="720" w:num="1"/>
          <w:titlePg/>
          <w:docGrid w:linePitch="312" w:charSpace="0"/>
        </w:sectPr>
      </w:pPr>
    </w:p>
    <w:p>
      <w:pPr>
        <w:pStyle w:val="392"/>
        <w:ind w:firstLine="0" w:firstLineChars="0"/>
        <w:jc w:val="center"/>
        <w:outlineLvl w:val="0"/>
        <w:rPr>
          <w:rFonts w:cs="仿宋_GB2312" w:asciiTheme="minorEastAsia" w:hAnsiTheme="minorEastAsia" w:eastAsiaTheme="minorEastAsia"/>
          <w:b/>
          <w:color w:val="auto"/>
          <w:sz w:val="36"/>
          <w:szCs w:val="36"/>
          <w:highlight w:val="none"/>
        </w:rPr>
      </w:pPr>
      <w:bookmarkStart w:id="103" w:name="_Toc181265288"/>
      <w:r>
        <w:rPr>
          <w:rFonts w:hint="eastAsia" w:cs="仿宋_GB2312" w:asciiTheme="minorEastAsia" w:hAnsiTheme="minorEastAsia" w:eastAsiaTheme="minorEastAsia"/>
          <w:b/>
          <w:color w:val="auto"/>
          <w:sz w:val="36"/>
          <w:szCs w:val="36"/>
          <w:highlight w:val="none"/>
        </w:rPr>
        <w:t>第八部分  最后报价格式</w:t>
      </w:r>
      <w:bookmarkEnd w:id="103"/>
    </w:p>
    <w:p>
      <w:pPr>
        <w:pStyle w:val="631"/>
        <w:jc w:val="center"/>
        <w:rPr>
          <w:rFonts w:cs="仿宋_GB2312" w:asciiTheme="minorEastAsia" w:hAnsiTheme="minorEastAsia" w:eastAsiaTheme="minorEastAsia"/>
          <w:color w:val="auto"/>
          <w:highlight w:val="none"/>
          <w:lang w:val="zh-CN"/>
        </w:rPr>
      </w:pPr>
      <w:r>
        <w:rPr>
          <w:rFonts w:hint="eastAsia" w:asciiTheme="minorEastAsia" w:hAnsiTheme="minorEastAsia" w:eastAsiaTheme="minorEastAsia"/>
          <w:b/>
          <w:color w:val="auto"/>
          <w:sz w:val="32"/>
          <w:szCs w:val="32"/>
          <w:highlight w:val="none"/>
        </w:rPr>
        <w:t>（一）</w:t>
      </w:r>
      <w:r>
        <w:rPr>
          <w:rFonts w:hint="eastAsia"/>
          <w:b/>
          <w:color w:val="auto"/>
          <w:sz w:val="32"/>
          <w:szCs w:val="32"/>
          <w:highlight w:val="none"/>
        </w:rPr>
        <w:t>报价一览表（货物类）</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pPr>
        <w:pStyle w:val="631"/>
        <w:jc w:val="center"/>
        <w:rPr>
          <w:b/>
          <w:color w:val="auto"/>
          <w:sz w:val="32"/>
          <w:szCs w:val="32"/>
          <w:highlight w:val="none"/>
        </w:rPr>
      </w:pPr>
      <w:r>
        <w:rPr>
          <w:rFonts w:hint="eastAsia" w:cs="仿宋_GB2312" w:asciiTheme="minorEastAsia" w:hAnsiTheme="minorEastAsia" w:eastAsiaTheme="minorEastAsia"/>
          <w:b/>
          <w:color w:val="auto"/>
          <w:highlight w:val="none"/>
          <w:lang w:val="zh-CN"/>
        </w:rPr>
        <w:t>报价一览表(单位均为人民币元)</w:t>
      </w:r>
    </w:p>
    <w:tbl>
      <w:tblPr>
        <w:tblStyle w:val="60"/>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谈判报价（小写）</w:t>
            </w:r>
          </w:p>
        </w:tc>
        <w:tc>
          <w:tcPr>
            <w:tcW w:w="7655" w:type="dxa"/>
            <w:gridSpan w:val="4"/>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谈判报价（大写）</w:t>
            </w:r>
          </w:p>
        </w:tc>
        <w:tc>
          <w:tcPr>
            <w:tcW w:w="7655" w:type="dxa"/>
            <w:gridSpan w:val="4"/>
            <w:vAlign w:val="center"/>
          </w:tcPr>
          <w:p>
            <w:pPr>
              <w:spacing w:line="360" w:lineRule="auto"/>
              <w:jc w:val="center"/>
              <w:rPr>
                <w:rFonts w:ascii="宋体" w:hAnsi="宋体" w:cs="宋体"/>
                <w:color w:val="auto"/>
                <w:sz w:val="24"/>
                <w:highlight w:val="none"/>
              </w:rPr>
            </w:pPr>
          </w:p>
        </w:tc>
      </w:tr>
    </w:tbl>
    <w:p>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w:t>
      </w:r>
      <w:r>
        <w:rPr>
          <w:rFonts w:hint="eastAsia" w:ascii="宋体" w:hAnsi="宋体" w:cs="宋体"/>
          <w:color w:val="auto"/>
          <w:kern w:val="0"/>
          <w:sz w:val="24"/>
          <w:highlight w:val="none"/>
          <w:lang w:val="zh-CN"/>
        </w:rPr>
        <w:t>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响应文件含有采购人不能接受的附加条件，投标无效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宋体" w:asciiTheme="minorEastAsia" w:hAnsiTheme="minorEastAsia" w:eastAsiaTheme="minorEastAsia"/>
          <w:b/>
          <w:color w:val="auto"/>
          <w:kern w:val="0"/>
          <w:sz w:val="24"/>
          <w:highlight w:val="none"/>
          <w:lang w:val="zh-CN"/>
        </w:rPr>
        <w:t>最后报价一览表</w:t>
      </w:r>
      <w:r>
        <w:rPr>
          <w:rFonts w:hint="eastAsia" w:ascii="宋体" w:hAnsi="宋体" w:cs="宋体"/>
          <w:b/>
          <w:color w:val="auto"/>
          <w:kern w:val="0"/>
          <w:sz w:val="24"/>
          <w:highlight w:val="none"/>
          <w:lang w:val="zh-CN"/>
        </w:rPr>
        <w:t>》名称栏中，</w:t>
      </w:r>
      <w:r>
        <w:rPr>
          <w:rFonts w:hint="eastAsia" w:cs="宋体" w:asciiTheme="minorEastAsia" w:hAnsiTheme="minorEastAsia" w:eastAsiaTheme="minorEastAsia"/>
          <w:b/>
          <w:color w:val="auto"/>
          <w:kern w:val="0"/>
          <w:sz w:val="24"/>
          <w:highlight w:val="none"/>
          <w:lang w:val="zh-CN"/>
        </w:rPr>
        <w:t>供应商</w:t>
      </w:r>
      <w:r>
        <w:rPr>
          <w:rFonts w:hint="eastAsia" w:ascii="宋体" w:hAnsi="宋体" w:cs="宋体"/>
          <w:b/>
          <w:color w:val="auto"/>
          <w:kern w:val="0"/>
          <w:sz w:val="24"/>
          <w:highlight w:val="none"/>
          <w:lang w:val="zh-CN"/>
        </w:rPr>
        <w:t>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3、特别提示：采购代理机构将对项目名称和项目编号，成交供应商名称、地址和中标金额，主要中标标的名称、品牌（如果有）、规格型号、数量、单价等予以公示。</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符合谈判文件中列明的可享受中小企业扶持政策的供应商，请填写中小企业声明函。注：供应商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5、本项目为北海市推动解决政府采购异常低价试点项目，供应商报价属于谈判文件规定异常低价情形之一的，应按谈判小组要求在规定时间内提供书面证明及必要的证明材料，否则谈判无效。</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cs="仿宋_GB2312" w:asciiTheme="minorEastAsia" w:hAnsiTheme="minorEastAsia" w:eastAsiaTheme="minorEastAsia"/>
          <w:color w:val="auto"/>
          <w:kern w:val="0"/>
          <w:sz w:val="24"/>
          <w:highlight w:val="none"/>
          <w:lang w:val="zh-CN"/>
        </w:rPr>
        <w:t>如有多轮报价，则每轮报价</w:t>
      </w:r>
      <w:r>
        <w:rPr>
          <w:rFonts w:hint="eastAsia" w:cs="宋体" w:asciiTheme="minorEastAsia" w:hAnsiTheme="minorEastAsia" w:eastAsiaTheme="minorEastAsia"/>
          <w:color w:val="auto"/>
          <w:kern w:val="0"/>
          <w:sz w:val="24"/>
          <w:highlight w:val="none"/>
          <w:lang w:val="zh-CN"/>
        </w:rPr>
        <w:t>供应商均</w:t>
      </w:r>
      <w:r>
        <w:rPr>
          <w:rFonts w:hint="eastAsia" w:ascii="宋体" w:hAnsi="宋体" w:cs="宋体"/>
          <w:color w:val="auto"/>
          <w:kern w:val="0"/>
          <w:sz w:val="24"/>
          <w:highlight w:val="none"/>
          <w:lang w:val="zh-CN"/>
        </w:rPr>
        <w:t>需按本表格式填写</w:t>
      </w:r>
      <w:r>
        <w:rPr>
          <w:rFonts w:cs="仿宋_GB2312" w:asciiTheme="minorEastAsia" w:hAnsiTheme="minorEastAsia" w:eastAsiaTheme="minorEastAsia"/>
          <w:color w:val="auto"/>
          <w:kern w:val="0"/>
          <w:sz w:val="24"/>
          <w:highlight w:val="none"/>
          <w:lang w:val="zh-CN"/>
        </w:rPr>
        <w:t>。</w:t>
      </w:r>
    </w:p>
    <w:p>
      <w:pPr>
        <w:pStyle w:val="2"/>
        <w:numPr>
          <w:ilvl w:val="0"/>
          <w:numId w:val="0"/>
        </w:numPr>
        <w:ind w:left="432"/>
        <w:rPr>
          <w:color w:val="auto"/>
          <w:highlight w:val="none"/>
        </w:rPr>
      </w:pPr>
    </w:p>
    <w:p>
      <w:pPr>
        <w:snapToGrid w:val="0"/>
        <w:spacing w:line="360" w:lineRule="auto"/>
        <w:ind w:firstLine="480" w:firstLineChars="200"/>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leftChars="1" w:firstLine="9360" w:firstLineChars="39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9720" w:firstLineChars="405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firstLine="5160" w:firstLineChars="215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ind w:firstLine="482" w:firstLineChars="200"/>
        <w:rPr>
          <w:rFonts w:ascii="宋体" w:hAnsi="宋体" w:cs="宋体"/>
          <w:b/>
          <w:color w:val="auto"/>
          <w:kern w:val="0"/>
          <w:sz w:val="24"/>
          <w:highlight w:val="none"/>
        </w:rPr>
      </w:pPr>
    </w:p>
    <w:p>
      <w:pPr>
        <w:pStyle w:val="2"/>
        <w:rPr>
          <w:color w:val="auto"/>
          <w:highlight w:val="none"/>
        </w:rPr>
        <w:sectPr>
          <w:pgSz w:w="16838" w:h="11906" w:orient="landscape"/>
          <w:pgMar w:top="1418" w:right="471" w:bottom="1418" w:left="777" w:header="851" w:footer="992" w:gutter="0"/>
          <w:cols w:space="720" w:num="1"/>
          <w:titlePg/>
          <w:docGrid w:linePitch="312" w:charSpace="0"/>
        </w:sectPr>
      </w:pPr>
    </w:p>
    <w:p>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104" w:name="_Toc465665161"/>
      <w:r>
        <w:rPr>
          <w:rFonts w:hint="eastAsia" w:asciiTheme="minorEastAsia" w:hAnsiTheme="minorEastAsia" w:eastAsiaTheme="minorEastAsia"/>
          <w:b/>
          <w:color w:val="auto"/>
          <w:sz w:val="32"/>
          <w:szCs w:val="32"/>
          <w:highlight w:val="none"/>
        </w:rPr>
        <w:t>（如果有）</w:t>
      </w:r>
    </w:p>
    <w:p>
      <w:pPr>
        <w:widowControl/>
        <w:spacing w:line="360" w:lineRule="auto"/>
        <w:ind w:firstLine="120" w:firstLineChars="50"/>
        <w:jc w:val="left"/>
        <w:rPr>
          <w:rFonts w:cs="宋体" w:asciiTheme="minorEastAsia" w:hAnsiTheme="minorEastAsia" w:eastAsiaTheme="minorEastAsia"/>
          <w:b/>
          <w:color w:val="auto"/>
          <w:sz w:val="24"/>
          <w:highlight w:val="none"/>
        </w:rPr>
      </w:pPr>
    </w:p>
    <w:p>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pPr>
        <w:widowControl/>
        <w:adjustRightInd/>
        <w:jc w:val="center"/>
        <w:rPr>
          <w:rFonts w:cs="仿宋_GB2312" w:asciiTheme="minorEastAsia" w:hAnsiTheme="minorEastAsia" w:eastAsiaTheme="minorEastAsia"/>
          <w:color w:val="auto"/>
          <w:sz w:val="24"/>
          <w:highlight w:val="none"/>
        </w:rPr>
      </w:pPr>
    </w:p>
    <w:p>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pPr>
        <w:pStyle w:val="631"/>
        <w:rPr>
          <w:color w:val="auto"/>
          <w:highlight w:val="none"/>
        </w:rPr>
      </w:pPr>
      <w:r>
        <w:rPr>
          <w:rFonts w:hint="eastAsia"/>
          <w:color w:val="auto"/>
          <w:highlight w:val="none"/>
        </w:rPr>
        <w:t>附件</w:t>
      </w:r>
      <w:bookmarkEnd w:id="104"/>
    </w:p>
    <w:p>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pPr>
        <w:spacing w:line="360" w:lineRule="auto"/>
        <w:jc w:val="center"/>
        <w:rPr>
          <w:rFonts w:cs="仿宋_GB2312" w:asciiTheme="minorEastAsia" w:hAnsiTheme="minorEastAsia" w:eastAsiaTheme="minorEastAsia"/>
          <w:b/>
          <w:color w:val="auto"/>
          <w:sz w:val="24"/>
          <w:highlight w:val="none"/>
        </w:rPr>
      </w:pPr>
    </w:p>
    <w:p>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pPr>
        <w:rPr>
          <w:rFonts w:cs="仿宋_GB2312" w:asciiTheme="minorEastAsia" w:hAnsiTheme="minorEastAsia" w:eastAsiaTheme="minorEastAsia"/>
          <w:b/>
          <w:color w:val="auto"/>
          <w:sz w:val="24"/>
          <w:highlight w:val="none"/>
        </w:rPr>
      </w:pPr>
    </w:p>
    <w:p>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pPr>
        <w:spacing w:line="360" w:lineRule="auto"/>
        <w:rPr>
          <w:rFonts w:asciiTheme="minorEastAsia" w:hAnsiTheme="minorEastAsia" w:eastAsiaTheme="minorEastAsia"/>
          <w:b/>
          <w:color w:val="auto"/>
          <w:spacing w:val="6"/>
          <w:sz w:val="32"/>
          <w:szCs w:val="32"/>
          <w:highlight w:val="none"/>
        </w:rPr>
      </w:pPr>
    </w:p>
    <w:p>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pPr>
        <w:spacing w:line="360" w:lineRule="auto"/>
        <w:rPr>
          <w:rFonts w:asciiTheme="minorEastAsia" w:hAnsiTheme="minorEastAsia" w:eastAsiaTheme="minorEastAsia"/>
          <w:b/>
          <w:color w:val="auto"/>
          <w:spacing w:val="6"/>
          <w:sz w:val="30"/>
          <w:szCs w:val="30"/>
          <w:highlight w:val="none"/>
        </w:rPr>
      </w:pPr>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pPr>
        <w:spacing w:line="360" w:lineRule="auto"/>
        <w:ind w:firstLine="480" w:firstLineChars="200"/>
        <w:rPr>
          <w:rFonts w:cs="仿宋_GB2312" w:asciiTheme="minorEastAsia" w:hAnsiTheme="minorEastAsia" w:eastAsiaTheme="minorEastAsia"/>
          <w:color w:val="auto"/>
          <w:sz w:val="24"/>
          <w:highlight w:val="none"/>
        </w:rPr>
      </w:pPr>
    </w:p>
    <w:p>
      <w:pPr>
        <w:spacing w:line="360" w:lineRule="auto"/>
        <w:ind w:firstLine="480" w:firstLineChars="200"/>
        <w:rPr>
          <w:rFonts w:cs="仿宋_GB2312" w:asciiTheme="minorEastAsia" w:hAnsiTheme="minorEastAsia" w:eastAsiaTheme="minorEastAsia"/>
          <w:color w:val="auto"/>
          <w:sz w:val="24"/>
          <w:highlight w:val="none"/>
        </w:rPr>
      </w:pPr>
    </w:p>
    <w:p>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sz w:val="24"/>
          <w:highlight w:val="none"/>
        </w:rPr>
        <w:t>：</w:t>
      </w:r>
    </w:p>
    <w:p>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pPr>
        <w:spacing w:line="360" w:lineRule="auto"/>
        <w:ind w:firstLine="480" w:firstLineChars="200"/>
        <w:rPr>
          <w:rFonts w:cs="仿宋_GB2312" w:asciiTheme="minorEastAsia" w:hAnsiTheme="minorEastAsia" w:eastAsiaTheme="minorEastAsia"/>
          <w:color w:val="auto"/>
          <w:sz w:val="24"/>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pPr>
        <w:spacing w:line="360" w:lineRule="auto"/>
        <w:jc w:val="left"/>
        <w:rPr>
          <w:rFonts w:cs="仿宋_GB2312" w:asciiTheme="minorEastAsia" w:hAnsiTheme="minorEastAsia" w:eastAsiaTheme="minorEastAsia"/>
          <w:b/>
          <w:color w:val="auto"/>
          <w:sz w:val="24"/>
          <w:highlight w:val="none"/>
        </w:rPr>
      </w:pPr>
    </w:p>
    <w:p>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pPr>
        <w:autoSpaceDE w:val="0"/>
        <w:autoSpaceDN w:val="0"/>
        <w:jc w:val="center"/>
        <w:rPr>
          <w:rFonts w:asciiTheme="minorEastAsia" w:hAnsiTheme="minorEastAsia" w:eastAsiaTheme="minorEastAsia"/>
          <w:b/>
          <w:bCs/>
          <w:color w:val="auto"/>
          <w:sz w:val="32"/>
          <w:szCs w:val="32"/>
          <w:highlight w:val="none"/>
        </w:rPr>
      </w:pPr>
    </w:p>
    <w:p>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pPr>
        <w:snapToGrid w:val="0"/>
        <w:spacing w:line="360" w:lineRule="auto"/>
        <w:jc w:val="center"/>
        <w:rPr>
          <w:rFonts w:cs="仿宋_GB2312" w:asciiTheme="minorEastAsia" w:hAnsiTheme="minorEastAsia" w:eastAsiaTheme="minorEastAsia"/>
          <w:b/>
          <w:color w:val="auto"/>
          <w:sz w:val="24"/>
          <w:highlight w:val="none"/>
        </w:rPr>
      </w:pPr>
    </w:p>
    <w:p>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napToGrid w:val="0"/>
        <w:spacing w:line="360" w:lineRule="auto"/>
        <w:ind w:firstLine="5160" w:firstLineChars="2150"/>
        <w:rPr>
          <w:rFonts w:ascii="宋体" w:hAnsi="宋体" w:cs="宋体"/>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cs="仿宋_GB2312" w:asciiTheme="minorEastAsia" w:hAnsiTheme="minorEastAsia" w:eastAsiaTheme="minorEastAsia"/>
          <w:b/>
          <w:color w:val="auto"/>
          <w:sz w:val="24"/>
          <w:highlight w:val="none"/>
        </w:rPr>
      </w:pPr>
    </w:p>
    <w:p>
      <w:pPr>
        <w:spacing w:line="360" w:lineRule="auto"/>
        <w:ind w:firstLine="482" w:firstLineChars="200"/>
        <w:rPr>
          <w:rFonts w:cs="仿宋_GB2312" w:asciiTheme="minorEastAsia" w:hAnsiTheme="minorEastAsia" w:eastAsiaTheme="minorEastAsia"/>
          <w:b/>
          <w:color w:val="auto"/>
          <w:sz w:val="24"/>
          <w:highlight w:val="none"/>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华文楷体">
    <w:altName w:val="楷体_GB2312"/>
    <w:panose1 w:val="02010600040101010101"/>
    <w:charset w:val="86"/>
    <w:family w:val="auto"/>
    <w:pitch w:val="default"/>
    <w:sig w:usb0="00000000" w:usb1="00000000" w:usb2="00000010" w:usb3="00000000" w:csb0="0004009F" w:csb1="00000000"/>
  </w:font>
  <w:font w:name="PMingLiU">
    <w:panose1 w:val="02020500000000000000"/>
    <w:charset w:val="88"/>
    <w:family w:val="auto"/>
    <w:pitch w:val="default"/>
    <w:sig w:usb0="A00002FF" w:usb1="28CFFCFA" w:usb2="00000016" w:usb3="00000000" w:csb0="00100001"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hint="eastAsia" w:ascii="仿宋" w:hAnsi="仿宋" w:eastAsia="仿宋" w:cs="仿宋"/>
        <w:b w:val="0"/>
        <w:bCs w:val="0"/>
      </w:rPr>
    </w:pPr>
    <w:r>
      <w:rPr>
        <w:rFonts w:hint="eastAsia" w:ascii="仿宋" w:hAnsi="仿宋" w:eastAsia="仿宋" w:cs="仿宋"/>
        <w:b w:val="0"/>
        <w:bCs w:val="0"/>
        <w:kern w:val="0"/>
      </w:rPr>
      <w:t xml:space="preserve">第 </w:t>
    </w:r>
    <w:r>
      <w:rPr>
        <w:rFonts w:hint="eastAsia" w:ascii="仿宋" w:hAnsi="仿宋" w:eastAsia="仿宋" w:cs="仿宋"/>
        <w:b w:val="0"/>
        <w:bCs w:val="0"/>
        <w:kern w:val="0"/>
      </w:rPr>
      <w:fldChar w:fldCharType="begin"/>
    </w:r>
    <w:r>
      <w:rPr>
        <w:rFonts w:hint="eastAsia" w:ascii="仿宋" w:hAnsi="仿宋" w:eastAsia="仿宋" w:cs="仿宋"/>
        <w:b w:val="0"/>
        <w:bCs w:val="0"/>
        <w:kern w:val="0"/>
      </w:rPr>
      <w:instrText xml:space="preserve"> PAGE </w:instrText>
    </w:r>
    <w:r>
      <w:rPr>
        <w:rFonts w:hint="eastAsia" w:ascii="仿宋" w:hAnsi="仿宋" w:eastAsia="仿宋" w:cs="仿宋"/>
        <w:b w:val="0"/>
        <w:bCs w:val="0"/>
        <w:kern w:val="0"/>
      </w:rPr>
      <w:fldChar w:fldCharType="separate"/>
    </w:r>
    <w:r>
      <w:rPr>
        <w:rFonts w:hint="eastAsia" w:ascii="仿宋" w:hAnsi="仿宋" w:eastAsia="仿宋" w:cs="仿宋"/>
        <w:b w:val="0"/>
        <w:bCs w:val="0"/>
        <w:kern w:val="0"/>
      </w:rPr>
      <w:t>38</w:t>
    </w:r>
    <w:r>
      <w:rPr>
        <w:rFonts w:hint="eastAsia" w:ascii="仿宋" w:hAnsi="仿宋" w:eastAsia="仿宋" w:cs="仿宋"/>
        <w:b w:val="0"/>
        <w:bCs w:val="0"/>
        <w:kern w:val="0"/>
      </w:rPr>
      <w:fldChar w:fldCharType="end"/>
    </w:r>
    <w:r>
      <w:rPr>
        <w:rFonts w:hint="eastAsia" w:ascii="仿宋" w:hAnsi="仿宋" w:eastAsia="仿宋" w:cs="仿宋"/>
        <w:b w:val="0"/>
        <w:bCs w:val="0"/>
        <w:kern w:val="0"/>
      </w:rPr>
      <w:t xml:space="preserve"> 页 共 </w:t>
    </w:r>
    <w:r>
      <w:rPr>
        <w:rFonts w:hint="eastAsia" w:ascii="仿宋" w:hAnsi="仿宋" w:eastAsia="仿宋" w:cs="仿宋"/>
        <w:b w:val="0"/>
        <w:bCs w:val="0"/>
        <w:kern w:val="0"/>
      </w:rPr>
      <w:fldChar w:fldCharType="begin"/>
    </w:r>
    <w:r>
      <w:rPr>
        <w:rFonts w:hint="eastAsia" w:ascii="仿宋" w:hAnsi="仿宋" w:eastAsia="仿宋" w:cs="仿宋"/>
        <w:b w:val="0"/>
        <w:bCs w:val="0"/>
        <w:kern w:val="0"/>
      </w:rPr>
      <w:instrText xml:space="preserve"> NUMPAGES </w:instrText>
    </w:r>
    <w:r>
      <w:rPr>
        <w:rFonts w:hint="eastAsia" w:ascii="仿宋" w:hAnsi="仿宋" w:eastAsia="仿宋" w:cs="仿宋"/>
        <w:b w:val="0"/>
        <w:bCs w:val="0"/>
        <w:kern w:val="0"/>
      </w:rPr>
      <w:fldChar w:fldCharType="separate"/>
    </w:r>
    <w:r>
      <w:rPr>
        <w:rFonts w:hint="eastAsia" w:ascii="仿宋" w:hAnsi="仿宋" w:eastAsia="仿宋" w:cs="仿宋"/>
        <w:b w:val="0"/>
        <w:bCs w:val="0"/>
        <w:kern w:val="0"/>
      </w:rPr>
      <w:t>91</w:t>
    </w:r>
    <w:r>
      <w:rPr>
        <w:rFonts w:hint="eastAsia" w:ascii="仿宋" w:hAnsi="仿宋" w:eastAsia="仿宋" w:cs="仿宋"/>
        <w:b w:val="0"/>
        <w:bCs w:val="0"/>
        <w:kern w:val="0"/>
      </w:rPr>
      <w:fldChar w:fldCharType="end"/>
    </w:r>
    <w:r>
      <w:rPr>
        <w:rFonts w:hint="eastAsia" w:ascii="仿宋" w:hAnsi="仿宋" w:eastAsia="仿宋" w:cs="仿宋"/>
        <w:b w:val="0"/>
        <w:bCs w:val="0"/>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hint="eastAsia" w:ascii="宋体" w:hAnsi="宋体" w:eastAsia="宋体" w:cs="宋体"/>
      </w:rPr>
    </w:pPr>
    <w:r>
      <w:rPr>
        <w:rFonts w:hint="eastAsia" w:ascii="宋体" w:hAnsi="宋体" w:eastAsia="宋体" w:cs="宋体"/>
        <w:kern w:val="0"/>
      </w:rPr>
      <w:t xml:space="preserve">第 </w:t>
    </w:r>
    <w:r>
      <w:rPr>
        <w:rFonts w:hint="eastAsia" w:ascii="宋体" w:hAnsi="宋体" w:eastAsia="宋体" w:cs="宋体"/>
        <w:kern w:val="0"/>
      </w:rPr>
      <w:fldChar w:fldCharType="begin"/>
    </w:r>
    <w:r>
      <w:rPr>
        <w:rFonts w:hint="eastAsia" w:ascii="宋体" w:hAnsi="宋体" w:eastAsia="宋体" w:cs="宋体"/>
        <w:kern w:val="0"/>
      </w:rPr>
      <w:instrText xml:space="preserve"> PAGE </w:instrText>
    </w:r>
    <w:r>
      <w:rPr>
        <w:rFonts w:hint="eastAsia" w:ascii="宋体" w:hAnsi="宋体" w:eastAsia="宋体" w:cs="宋体"/>
        <w:kern w:val="0"/>
      </w:rPr>
      <w:fldChar w:fldCharType="separate"/>
    </w:r>
    <w:r>
      <w:rPr>
        <w:rFonts w:hint="eastAsia" w:ascii="宋体" w:hAnsi="宋体" w:eastAsia="宋体" w:cs="宋体"/>
        <w:kern w:val="0"/>
      </w:rPr>
      <w:t>1</w:t>
    </w:r>
    <w:r>
      <w:rPr>
        <w:rFonts w:hint="eastAsia" w:ascii="宋体" w:hAnsi="宋体" w:eastAsia="宋体" w:cs="宋体"/>
        <w:kern w:val="0"/>
      </w:rPr>
      <w:fldChar w:fldCharType="end"/>
    </w:r>
    <w:r>
      <w:rPr>
        <w:rFonts w:hint="eastAsia" w:ascii="宋体" w:hAnsi="宋体" w:eastAsia="宋体" w:cs="宋体"/>
        <w:kern w:val="0"/>
      </w:rPr>
      <w:t xml:space="preserve"> 页 共 </w:t>
    </w:r>
    <w:r>
      <w:rPr>
        <w:rFonts w:hint="eastAsia" w:ascii="宋体" w:hAnsi="宋体" w:eastAsia="宋体" w:cs="宋体"/>
        <w:kern w:val="0"/>
      </w:rPr>
      <w:fldChar w:fldCharType="begin"/>
    </w:r>
    <w:r>
      <w:rPr>
        <w:rFonts w:hint="eastAsia" w:ascii="宋体" w:hAnsi="宋体" w:eastAsia="宋体" w:cs="宋体"/>
        <w:kern w:val="0"/>
      </w:rPr>
      <w:instrText xml:space="preserve"> NUMPAGES </w:instrText>
    </w:r>
    <w:r>
      <w:rPr>
        <w:rFonts w:hint="eastAsia" w:ascii="宋体" w:hAnsi="宋体" w:eastAsia="宋体" w:cs="宋体"/>
        <w:kern w:val="0"/>
      </w:rPr>
      <w:fldChar w:fldCharType="separate"/>
    </w:r>
    <w:r>
      <w:rPr>
        <w:rFonts w:hint="eastAsia" w:ascii="宋体" w:hAnsi="宋体" w:eastAsia="宋体" w:cs="宋体"/>
        <w:kern w:val="0"/>
      </w:rPr>
      <w:t>4</w:t>
    </w:r>
    <w:r>
      <w:rPr>
        <w:rFonts w:hint="eastAsia" w:ascii="宋体" w:hAnsi="宋体" w:eastAsia="宋体" w:cs="宋体"/>
        <w:kern w:val="0"/>
      </w:rPr>
      <w:fldChar w:fldCharType="end"/>
    </w:r>
    <w:r>
      <w:rPr>
        <w:rFonts w:hint="eastAsia" w:ascii="宋体" w:hAnsi="宋体" w:eastAsia="宋体" w:cs="宋体"/>
        <w:kern w:val="0"/>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hint="eastAsia" w:ascii="宋体" w:hAnsi="宋体" w:eastAsia="宋体" w:cs="宋体"/>
        <w:szCs w:val="24"/>
      </w:rPr>
    </w:pPr>
    <w:r>
      <w:rPr>
        <w:rFonts w:hint="eastAsia" w:ascii="宋体" w:hAnsi="宋体" w:eastAsia="宋体" w:cs="宋体"/>
        <w:kern w:val="0"/>
        <w:szCs w:val="21"/>
      </w:rPr>
      <w:t xml:space="preserve">第 </w:t>
    </w: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PAGE </w:instrText>
    </w:r>
    <w:r>
      <w:rPr>
        <w:rFonts w:hint="eastAsia" w:ascii="宋体" w:hAnsi="宋体" w:eastAsia="宋体" w:cs="宋体"/>
        <w:kern w:val="0"/>
        <w:szCs w:val="21"/>
      </w:rPr>
      <w:fldChar w:fldCharType="separate"/>
    </w:r>
    <w:r>
      <w:rPr>
        <w:rFonts w:hint="eastAsia" w:ascii="宋体" w:hAnsi="宋体" w:eastAsia="宋体" w:cs="宋体"/>
        <w:kern w:val="0"/>
        <w:szCs w:val="21"/>
      </w:rPr>
      <w:t>91</w:t>
    </w:r>
    <w:r>
      <w:rPr>
        <w:rFonts w:hint="eastAsia" w:ascii="宋体" w:hAnsi="宋体" w:eastAsia="宋体" w:cs="宋体"/>
        <w:kern w:val="0"/>
        <w:szCs w:val="21"/>
      </w:rPr>
      <w:fldChar w:fldCharType="end"/>
    </w:r>
    <w:r>
      <w:rPr>
        <w:rFonts w:hint="eastAsia" w:ascii="宋体" w:hAnsi="宋体" w:eastAsia="宋体" w:cs="宋体"/>
        <w:kern w:val="0"/>
        <w:szCs w:val="21"/>
      </w:rPr>
      <w:t xml:space="preserve"> 页 共 </w:t>
    </w: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NUMPAGES </w:instrText>
    </w:r>
    <w:r>
      <w:rPr>
        <w:rFonts w:hint="eastAsia" w:ascii="宋体" w:hAnsi="宋体" w:eastAsia="宋体" w:cs="宋体"/>
        <w:kern w:val="0"/>
        <w:szCs w:val="21"/>
      </w:rPr>
      <w:fldChar w:fldCharType="separate"/>
    </w:r>
    <w:r>
      <w:rPr>
        <w:rFonts w:hint="eastAsia" w:ascii="宋体" w:hAnsi="宋体" w:eastAsia="宋体" w:cs="宋体"/>
        <w:kern w:val="0"/>
        <w:szCs w:val="21"/>
      </w:rPr>
      <w:t>91</w:t>
    </w:r>
    <w:r>
      <w:rPr>
        <w:rFonts w:hint="eastAsia" w:ascii="宋体" w:hAnsi="宋体" w:eastAsia="宋体" w:cs="宋体"/>
        <w:kern w:val="0"/>
        <w:szCs w:val="21"/>
      </w:rPr>
      <w:fldChar w:fldCharType="end"/>
    </w:r>
    <w:r>
      <w:rPr>
        <w:rFonts w:hint="eastAsia" w:ascii="宋体" w:hAnsi="宋体" w:eastAsia="宋体" w:cs="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64"/>
      </w:rPr>
    </w:pPr>
    <w:r>
      <w:fldChar w:fldCharType="begin"/>
    </w:r>
    <w:r>
      <w:rPr>
        <w:rStyle w:val="64"/>
      </w:rPr>
      <w:instrText xml:space="preserve">PAGE  </w:instrText>
    </w:r>
    <w:r>
      <w:fldChar w:fldCharType="end"/>
    </w:r>
  </w:p>
  <w:p>
    <w:pPr>
      <w:pStyle w:val="3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bookmarkStart w:id="105" w:name="_Toc164085800"/>
    <w:bookmarkStart w:id="106" w:name="_Toc131845147"/>
    <w:bookmarkStart w:id="107" w:name="_Toc36110187"/>
    <w:bookmarkStart w:id="108" w:name="_Toc91899912"/>
    <w:r>
      <w:rPr>
        <w:rFonts w:hint="eastAsia" w:ascii="仿宋_GB2312" w:eastAsia="仿宋_GB2312"/>
        <w:kern w:val="0"/>
        <w:szCs w:val="21"/>
      </w:rPr>
      <w:t xml:space="preserve"> 页</w:t>
    </w:r>
    <w:bookmarkEnd w:id="105"/>
    <w:bookmarkEnd w:id="106"/>
    <w:bookmarkEnd w:id="107"/>
    <w:bookmarkEnd w:id="108"/>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firstLineChars="100"/>
      <w:jc w:val="both"/>
      <w:rPr>
        <w:rFonts w:hint="eastAsia" w:ascii="宋体" w:hAnsi="宋体" w:eastAsia="宋体" w:cs="宋体"/>
        <w:b w:val="0"/>
        <w:sz w:val="18"/>
        <w:u w:val="single"/>
      </w:rPr>
    </w:pPr>
    <w:r>
      <w:rPr>
        <w:rFonts w:hint="eastAsia" w:ascii="宋体" w:hAnsi="宋体" w:eastAsia="宋体" w:cs="宋体"/>
        <w:b w:val="0"/>
        <w:i/>
        <w:sz w:val="18"/>
        <w:u w:val="single"/>
      </w:rPr>
      <w:t xml:space="preserve">                                                               </w:t>
    </w:r>
    <w:r>
      <w:rPr>
        <w:rFonts w:hint="eastAsia" w:ascii="宋体" w:hAnsi="宋体" w:eastAsia="宋体" w:cs="宋体"/>
        <w:b w:val="0"/>
        <w:i/>
        <w:sz w:val="18"/>
        <w:u w:val="single"/>
        <w:lang w:val="en-US" w:eastAsia="zh-CN"/>
      </w:rPr>
      <w:t xml:space="preserve">      </w:t>
    </w:r>
    <w:r>
      <w:rPr>
        <w:rFonts w:hint="eastAsia" w:ascii="宋体" w:hAnsi="宋体" w:eastAsia="宋体" w:cs="宋体"/>
        <w:b w:val="0"/>
        <w:i/>
        <w:sz w:val="18"/>
        <w:u w:val="single"/>
      </w:rPr>
      <w:t xml:space="preserve">      </w:t>
    </w:r>
    <w:r>
      <w:rPr>
        <w:rFonts w:hint="eastAsia" w:ascii="仿宋" w:hAnsi="仿宋" w:eastAsia="仿宋" w:cs="仿宋"/>
        <w:b w:val="0"/>
        <w:sz w:val="18"/>
        <w:u w:val="single"/>
      </w:rPr>
      <w:t xml:space="preserve"> </w:t>
    </w:r>
    <w:r>
      <w:rPr>
        <w:rFonts w:hint="eastAsia" w:ascii="宋体" w:hAnsi="宋体" w:eastAsia="宋体" w:cs="宋体"/>
        <w:b w:val="0"/>
        <w:sz w:val="18"/>
        <w:szCs w:val="18"/>
        <w:u w:val="single"/>
      </w:rPr>
      <w:t>北海市政府采购竞争性谈判文件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r>
      <w:rPr>
        <w:rFonts w:hint="eastAsia" w:eastAsia="仿宋_GB2312"/>
      </w:rPr>
      <w:t>北海市政府采购竞争性谈判文件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t></w:t>
    </w:r>
    <w:r>
      <w:rPr>
        <w:rFonts w:hint="eastAsia"/>
      </w:rPr>
      <w:t xml:space="preserve">         </w:t>
    </w:r>
  </w:p>
  <w:p>
    <w:pPr>
      <w:pStyle w:val="38"/>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pPr>
    <w:r>
      <w:t></w:t>
    </w:r>
    <w:r>
      <w:rPr>
        <w:rFonts w:hint="eastAsia"/>
      </w:rPr>
      <w:t xml:space="preserve">         </w:t>
    </w:r>
  </w:p>
  <w:p>
    <w:pPr>
      <w:pStyle w:val="38"/>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hint="eastAsia" w:ascii="宋体" w:hAnsi="宋体" w:eastAsia="宋体" w:cs="宋体"/>
      </w:rPr>
    </w:pPr>
    <w:r>
      <w:rPr>
        <w:rFonts w:hint="eastAsia" w:ascii="宋体" w:hAnsi="宋体" w:eastAsia="宋体" w:cs="宋体"/>
        <w:iCs/>
      </w:rPr>
      <w:t>北海市政府采购竞争性谈判文件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r>
      <w:rPr>
        <w:rFonts w:hint="eastAsia" w:eastAsia="仿宋_GB2312"/>
        <w:iCs/>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453E54C8"/>
    <w:multiLevelType w:val="singleLevel"/>
    <w:tmpl w:val="453E54C8"/>
    <w:lvl w:ilvl="0" w:tentative="0">
      <w:start w:val="2"/>
      <w:numFmt w:val="chineseCounting"/>
      <w:suff w:val="nothing"/>
      <w:lvlText w:val="%1、"/>
      <w:lvlJc w:val="left"/>
      <w:rPr>
        <w:rFonts w:hint="eastAsia"/>
      </w:r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7"/>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6EC0"/>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351"/>
    <w:rsid w:val="00044F48"/>
    <w:rsid w:val="0004651A"/>
    <w:rsid w:val="00047F35"/>
    <w:rsid w:val="00050656"/>
    <w:rsid w:val="00051B54"/>
    <w:rsid w:val="00054D39"/>
    <w:rsid w:val="0005501B"/>
    <w:rsid w:val="000554C7"/>
    <w:rsid w:val="00055A61"/>
    <w:rsid w:val="00056118"/>
    <w:rsid w:val="00057708"/>
    <w:rsid w:val="000578A3"/>
    <w:rsid w:val="00057A1F"/>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0C0"/>
    <w:rsid w:val="00074528"/>
    <w:rsid w:val="00074B1F"/>
    <w:rsid w:val="00075D0E"/>
    <w:rsid w:val="00075F6A"/>
    <w:rsid w:val="000763F3"/>
    <w:rsid w:val="000768B4"/>
    <w:rsid w:val="00077607"/>
    <w:rsid w:val="00077756"/>
    <w:rsid w:val="000802C0"/>
    <w:rsid w:val="00080970"/>
    <w:rsid w:val="000839FB"/>
    <w:rsid w:val="00083DDA"/>
    <w:rsid w:val="0008580E"/>
    <w:rsid w:val="00085A0E"/>
    <w:rsid w:val="00086F8A"/>
    <w:rsid w:val="000904F6"/>
    <w:rsid w:val="00090D4C"/>
    <w:rsid w:val="00090ED8"/>
    <w:rsid w:val="0009145F"/>
    <w:rsid w:val="00091B4E"/>
    <w:rsid w:val="00091D89"/>
    <w:rsid w:val="00092FE9"/>
    <w:rsid w:val="00094342"/>
    <w:rsid w:val="00094A21"/>
    <w:rsid w:val="000960BA"/>
    <w:rsid w:val="0009662A"/>
    <w:rsid w:val="000A1A52"/>
    <w:rsid w:val="000A1F98"/>
    <w:rsid w:val="000A23CE"/>
    <w:rsid w:val="000A49BB"/>
    <w:rsid w:val="000A4C67"/>
    <w:rsid w:val="000A5674"/>
    <w:rsid w:val="000A5A46"/>
    <w:rsid w:val="000A76EA"/>
    <w:rsid w:val="000B0E04"/>
    <w:rsid w:val="000B2E25"/>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3DB"/>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206"/>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1C92"/>
    <w:rsid w:val="00172077"/>
    <w:rsid w:val="001721CF"/>
    <w:rsid w:val="001728FD"/>
    <w:rsid w:val="00172A27"/>
    <w:rsid w:val="00172F02"/>
    <w:rsid w:val="001735D7"/>
    <w:rsid w:val="00173631"/>
    <w:rsid w:val="0017372D"/>
    <w:rsid w:val="00173E59"/>
    <w:rsid w:val="00176BC8"/>
    <w:rsid w:val="00180244"/>
    <w:rsid w:val="00180A47"/>
    <w:rsid w:val="00180E46"/>
    <w:rsid w:val="00181272"/>
    <w:rsid w:val="001823B6"/>
    <w:rsid w:val="001827B7"/>
    <w:rsid w:val="001827EF"/>
    <w:rsid w:val="00182982"/>
    <w:rsid w:val="00182D68"/>
    <w:rsid w:val="0018397E"/>
    <w:rsid w:val="00183BA7"/>
    <w:rsid w:val="00184387"/>
    <w:rsid w:val="001857B3"/>
    <w:rsid w:val="00186D20"/>
    <w:rsid w:val="00187243"/>
    <w:rsid w:val="001878FE"/>
    <w:rsid w:val="00187C29"/>
    <w:rsid w:val="00187F55"/>
    <w:rsid w:val="00190942"/>
    <w:rsid w:val="00191459"/>
    <w:rsid w:val="0019174E"/>
    <w:rsid w:val="00191EF8"/>
    <w:rsid w:val="00192690"/>
    <w:rsid w:val="00192D7E"/>
    <w:rsid w:val="00193B94"/>
    <w:rsid w:val="001940A7"/>
    <w:rsid w:val="00194BB1"/>
    <w:rsid w:val="00195070"/>
    <w:rsid w:val="00195D82"/>
    <w:rsid w:val="0019602C"/>
    <w:rsid w:val="0019608A"/>
    <w:rsid w:val="001A07F8"/>
    <w:rsid w:val="001A1D48"/>
    <w:rsid w:val="001A1F0E"/>
    <w:rsid w:val="001A1F2D"/>
    <w:rsid w:val="001A468D"/>
    <w:rsid w:val="001A473A"/>
    <w:rsid w:val="001A4996"/>
    <w:rsid w:val="001A5785"/>
    <w:rsid w:val="001A66A6"/>
    <w:rsid w:val="001A6BBB"/>
    <w:rsid w:val="001A6FEA"/>
    <w:rsid w:val="001A79A2"/>
    <w:rsid w:val="001B13BF"/>
    <w:rsid w:val="001B16F5"/>
    <w:rsid w:val="001B1992"/>
    <w:rsid w:val="001B1BD9"/>
    <w:rsid w:val="001B1C1F"/>
    <w:rsid w:val="001B219B"/>
    <w:rsid w:val="001B2703"/>
    <w:rsid w:val="001B2ABD"/>
    <w:rsid w:val="001B3AB0"/>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23BD"/>
    <w:rsid w:val="001C31F5"/>
    <w:rsid w:val="001C44BC"/>
    <w:rsid w:val="001C471B"/>
    <w:rsid w:val="001C5885"/>
    <w:rsid w:val="001C6698"/>
    <w:rsid w:val="001D0AAC"/>
    <w:rsid w:val="001D1353"/>
    <w:rsid w:val="001D1D55"/>
    <w:rsid w:val="001D21EF"/>
    <w:rsid w:val="001D330D"/>
    <w:rsid w:val="001D4AD3"/>
    <w:rsid w:val="001D5A94"/>
    <w:rsid w:val="001E07DA"/>
    <w:rsid w:val="001E1ABC"/>
    <w:rsid w:val="001E43FB"/>
    <w:rsid w:val="001E59FB"/>
    <w:rsid w:val="001E63F8"/>
    <w:rsid w:val="001E787E"/>
    <w:rsid w:val="001E78CC"/>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973"/>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4F11"/>
    <w:rsid w:val="002751CA"/>
    <w:rsid w:val="0027544D"/>
    <w:rsid w:val="002754C0"/>
    <w:rsid w:val="00275C7D"/>
    <w:rsid w:val="002778AB"/>
    <w:rsid w:val="002802A5"/>
    <w:rsid w:val="0028166B"/>
    <w:rsid w:val="00281BCB"/>
    <w:rsid w:val="00282CA4"/>
    <w:rsid w:val="00283B06"/>
    <w:rsid w:val="0028583E"/>
    <w:rsid w:val="00285FF3"/>
    <w:rsid w:val="0028744E"/>
    <w:rsid w:val="0028766A"/>
    <w:rsid w:val="00287936"/>
    <w:rsid w:val="00287BEE"/>
    <w:rsid w:val="002903C5"/>
    <w:rsid w:val="00290A99"/>
    <w:rsid w:val="00290EAF"/>
    <w:rsid w:val="0029159A"/>
    <w:rsid w:val="00292AA1"/>
    <w:rsid w:val="0029499D"/>
    <w:rsid w:val="00294A13"/>
    <w:rsid w:val="00295073"/>
    <w:rsid w:val="00295DC3"/>
    <w:rsid w:val="0029704D"/>
    <w:rsid w:val="002979C5"/>
    <w:rsid w:val="00297AF5"/>
    <w:rsid w:val="002A01C6"/>
    <w:rsid w:val="002A02D6"/>
    <w:rsid w:val="002A07C4"/>
    <w:rsid w:val="002A0921"/>
    <w:rsid w:val="002A108E"/>
    <w:rsid w:val="002A123D"/>
    <w:rsid w:val="002A2001"/>
    <w:rsid w:val="002A30AD"/>
    <w:rsid w:val="002A43B6"/>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2F92"/>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4C8"/>
    <w:rsid w:val="002E7EE5"/>
    <w:rsid w:val="002E7EFF"/>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007"/>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2EB"/>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6709"/>
    <w:rsid w:val="00377B26"/>
    <w:rsid w:val="003800B2"/>
    <w:rsid w:val="00381014"/>
    <w:rsid w:val="00381F60"/>
    <w:rsid w:val="00382F6C"/>
    <w:rsid w:val="00383AB0"/>
    <w:rsid w:val="00384814"/>
    <w:rsid w:val="00384C0A"/>
    <w:rsid w:val="00385B16"/>
    <w:rsid w:val="00385B65"/>
    <w:rsid w:val="0038637D"/>
    <w:rsid w:val="00386522"/>
    <w:rsid w:val="00386C07"/>
    <w:rsid w:val="00386F58"/>
    <w:rsid w:val="0038700D"/>
    <w:rsid w:val="0038701B"/>
    <w:rsid w:val="003871A7"/>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10D"/>
    <w:rsid w:val="003D03D6"/>
    <w:rsid w:val="003D04C3"/>
    <w:rsid w:val="003D14C8"/>
    <w:rsid w:val="003D1517"/>
    <w:rsid w:val="003D2DA0"/>
    <w:rsid w:val="003D34C3"/>
    <w:rsid w:val="003D5681"/>
    <w:rsid w:val="003D5ADB"/>
    <w:rsid w:val="003D5E55"/>
    <w:rsid w:val="003D62A2"/>
    <w:rsid w:val="003D663E"/>
    <w:rsid w:val="003D6793"/>
    <w:rsid w:val="003D6B03"/>
    <w:rsid w:val="003D7012"/>
    <w:rsid w:val="003D75D8"/>
    <w:rsid w:val="003E0746"/>
    <w:rsid w:val="003E0E7C"/>
    <w:rsid w:val="003E2E25"/>
    <w:rsid w:val="003E336A"/>
    <w:rsid w:val="003E35A8"/>
    <w:rsid w:val="003E3F84"/>
    <w:rsid w:val="003E3FB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5515"/>
    <w:rsid w:val="004357B1"/>
    <w:rsid w:val="00436CCE"/>
    <w:rsid w:val="004379BB"/>
    <w:rsid w:val="00440262"/>
    <w:rsid w:val="00440814"/>
    <w:rsid w:val="00440844"/>
    <w:rsid w:val="004439F0"/>
    <w:rsid w:val="00443EDE"/>
    <w:rsid w:val="0044739A"/>
    <w:rsid w:val="004475F7"/>
    <w:rsid w:val="00447DFB"/>
    <w:rsid w:val="00450B22"/>
    <w:rsid w:val="00452AB8"/>
    <w:rsid w:val="004533CE"/>
    <w:rsid w:val="004543AB"/>
    <w:rsid w:val="00455F71"/>
    <w:rsid w:val="00456272"/>
    <w:rsid w:val="00457CF7"/>
    <w:rsid w:val="00457D37"/>
    <w:rsid w:val="00457ED4"/>
    <w:rsid w:val="00460CB8"/>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1BC4"/>
    <w:rsid w:val="00482101"/>
    <w:rsid w:val="00482288"/>
    <w:rsid w:val="00483984"/>
    <w:rsid w:val="00483BC7"/>
    <w:rsid w:val="00483CF0"/>
    <w:rsid w:val="00484D4D"/>
    <w:rsid w:val="004855D9"/>
    <w:rsid w:val="0048664F"/>
    <w:rsid w:val="004868AD"/>
    <w:rsid w:val="00486D00"/>
    <w:rsid w:val="00487DD9"/>
    <w:rsid w:val="00487FE1"/>
    <w:rsid w:val="004906AE"/>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5D1E"/>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3B25"/>
    <w:rsid w:val="004D557D"/>
    <w:rsid w:val="004D6F29"/>
    <w:rsid w:val="004D7974"/>
    <w:rsid w:val="004D7F9C"/>
    <w:rsid w:val="004D7FF2"/>
    <w:rsid w:val="004E1D6F"/>
    <w:rsid w:val="004E1F19"/>
    <w:rsid w:val="004E2E35"/>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28B0"/>
    <w:rsid w:val="005335A2"/>
    <w:rsid w:val="00533DEC"/>
    <w:rsid w:val="005363D3"/>
    <w:rsid w:val="00536B03"/>
    <w:rsid w:val="00537328"/>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035"/>
    <w:rsid w:val="00546BF8"/>
    <w:rsid w:val="00550B7E"/>
    <w:rsid w:val="00551B96"/>
    <w:rsid w:val="00551EE7"/>
    <w:rsid w:val="005524ED"/>
    <w:rsid w:val="00554C03"/>
    <w:rsid w:val="005550F9"/>
    <w:rsid w:val="0055525C"/>
    <w:rsid w:val="00555286"/>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1F6"/>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99E"/>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5CCA"/>
    <w:rsid w:val="005B61F4"/>
    <w:rsid w:val="005B667A"/>
    <w:rsid w:val="005B6FA1"/>
    <w:rsid w:val="005C0372"/>
    <w:rsid w:val="005C039B"/>
    <w:rsid w:val="005C059F"/>
    <w:rsid w:val="005C07CE"/>
    <w:rsid w:val="005C0B8F"/>
    <w:rsid w:val="005C12DE"/>
    <w:rsid w:val="005C2294"/>
    <w:rsid w:val="005C3344"/>
    <w:rsid w:val="005C4C71"/>
    <w:rsid w:val="005C4E4D"/>
    <w:rsid w:val="005C5692"/>
    <w:rsid w:val="005C5A97"/>
    <w:rsid w:val="005C679D"/>
    <w:rsid w:val="005C6D5D"/>
    <w:rsid w:val="005D01C3"/>
    <w:rsid w:val="005D1D15"/>
    <w:rsid w:val="005D2578"/>
    <w:rsid w:val="005D266D"/>
    <w:rsid w:val="005D3327"/>
    <w:rsid w:val="005D5BCF"/>
    <w:rsid w:val="005D6D84"/>
    <w:rsid w:val="005D70A1"/>
    <w:rsid w:val="005D79F2"/>
    <w:rsid w:val="005E0988"/>
    <w:rsid w:val="005E09CA"/>
    <w:rsid w:val="005E4336"/>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4F14"/>
    <w:rsid w:val="00625008"/>
    <w:rsid w:val="00625EAC"/>
    <w:rsid w:val="00626930"/>
    <w:rsid w:val="00626BAC"/>
    <w:rsid w:val="00626F04"/>
    <w:rsid w:val="00626F92"/>
    <w:rsid w:val="006271C3"/>
    <w:rsid w:val="0063001E"/>
    <w:rsid w:val="00630527"/>
    <w:rsid w:val="00630D58"/>
    <w:rsid w:val="00631005"/>
    <w:rsid w:val="00631D09"/>
    <w:rsid w:val="00632727"/>
    <w:rsid w:val="00633EF3"/>
    <w:rsid w:val="00634894"/>
    <w:rsid w:val="0063551C"/>
    <w:rsid w:val="00635B73"/>
    <w:rsid w:val="006368A8"/>
    <w:rsid w:val="00636CC7"/>
    <w:rsid w:val="00637016"/>
    <w:rsid w:val="00637F27"/>
    <w:rsid w:val="00643F89"/>
    <w:rsid w:val="006448D9"/>
    <w:rsid w:val="00644BED"/>
    <w:rsid w:val="00644E2E"/>
    <w:rsid w:val="00645CB4"/>
    <w:rsid w:val="00646BDC"/>
    <w:rsid w:val="00647DE9"/>
    <w:rsid w:val="00651F59"/>
    <w:rsid w:val="00652CF5"/>
    <w:rsid w:val="0065343E"/>
    <w:rsid w:val="00653C7C"/>
    <w:rsid w:val="006540B1"/>
    <w:rsid w:val="006558CD"/>
    <w:rsid w:val="006565A1"/>
    <w:rsid w:val="00656CD4"/>
    <w:rsid w:val="00656D49"/>
    <w:rsid w:val="00656E4D"/>
    <w:rsid w:val="006576BA"/>
    <w:rsid w:val="0066057F"/>
    <w:rsid w:val="0066099B"/>
    <w:rsid w:val="00662401"/>
    <w:rsid w:val="00662D3D"/>
    <w:rsid w:val="00662F1F"/>
    <w:rsid w:val="0066408F"/>
    <w:rsid w:val="00664DB5"/>
    <w:rsid w:val="006657DE"/>
    <w:rsid w:val="00665D4B"/>
    <w:rsid w:val="006673B9"/>
    <w:rsid w:val="0066790C"/>
    <w:rsid w:val="006700F1"/>
    <w:rsid w:val="006720BC"/>
    <w:rsid w:val="00672D0F"/>
    <w:rsid w:val="00673989"/>
    <w:rsid w:val="00673B64"/>
    <w:rsid w:val="00673FC1"/>
    <w:rsid w:val="00675430"/>
    <w:rsid w:val="00675749"/>
    <w:rsid w:val="0067601F"/>
    <w:rsid w:val="00676F15"/>
    <w:rsid w:val="00677213"/>
    <w:rsid w:val="00677382"/>
    <w:rsid w:val="0067772D"/>
    <w:rsid w:val="00680714"/>
    <w:rsid w:val="0068071D"/>
    <w:rsid w:val="00680C6B"/>
    <w:rsid w:val="00681936"/>
    <w:rsid w:val="00683068"/>
    <w:rsid w:val="00683DAD"/>
    <w:rsid w:val="0068443C"/>
    <w:rsid w:val="00684727"/>
    <w:rsid w:val="00684963"/>
    <w:rsid w:val="00684F04"/>
    <w:rsid w:val="00685033"/>
    <w:rsid w:val="00685BBC"/>
    <w:rsid w:val="00685D65"/>
    <w:rsid w:val="00686686"/>
    <w:rsid w:val="00687031"/>
    <w:rsid w:val="0068790B"/>
    <w:rsid w:val="00687AF2"/>
    <w:rsid w:val="00687DA2"/>
    <w:rsid w:val="00687E87"/>
    <w:rsid w:val="006901AC"/>
    <w:rsid w:val="0069063A"/>
    <w:rsid w:val="00691890"/>
    <w:rsid w:val="006945A1"/>
    <w:rsid w:val="00694982"/>
    <w:rsid w:val="00695EAC"/>
    <w:rsid w:val="00696584"/>
    <w:rsid w:val="00697062"/>
    <w:rsid w:val="006971F8"/>
    <w:rsid w:val="00697D5F"/>
    <w:rsid w:val="006A060C"/>
    <w:rsid w:val="006A150D"/>
    <w:rsid w:val="006A1526"/>
    <w:rsid w:val="006A3207"/>
    <w:rsid w:val="006A39D0"/>
    <w:rsid w:val="006A4321"/>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2B19"/>
    <w:rsid w:val="006C2D01"/>
    <w:rsid w:val="006C3EFE"/>
    <w:rsid w:val="006C4618"/>
    <w:rsid w:val="006C5D5D"/>
    <w:rsid w:val="006C6303"/>
    <w:rsid w:val="006C6D6B"/>
    <w:rsid w:val="006C6EBD"/>
    <w:rsid w:val="006D0681"/>
    <w:rsid w:val="006D0906"/>
    <w:rsid w:val="006D0A80"/>
    <w:rsid w:val="006D2874"/>
    <w:rsid w:val="006D312B"/>
    <w:rsid w:val="006D43C1"/>
    <w:rsid w:val="006D4F68"/>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55F"/>
    <w:rsid w:val="007069AE"/>
    <w:rsid w:val="00706C89"/>
    <w:rsid w:val="0070761C"/>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D3F"/>
    <w:rsid w:val="00721FC3"/>
    <w:rsid w:val="00722A86"/>
    <w:rsid w:val="00722C69"/>
    <w:rsid w:val="0072388C"/>
    <w:rsid w:val="00724260"/>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4BAD"/>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6C3"/>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46A2"/>
    <w:rsid w:val="007C660F"/>
    <w:rsid w:val="007C69AE"/>
    <w:rsid w:val="007C72A9"/>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29FA"/>
    <w:rsid w:val="007E404E"/>
    <w:rsid w:val="007E4EB3"/>
    <w:rsid w:val="007E50B4"/>
    <w:rsid w:val="007E54B8"/>
    <w:rsid w:val="007E54DB"/>
    <w:rsid w:val="007E6B25"/>
    <w:rsid w:val="007E6F55"/>
    <w:rsid w:val="007E7BF9"/>
    <w:rsid w:val="007E7DC1"/>
    <w:rsid w:val="007E7DEA"/>
    <w:rsid w:val="007F0A65"/>
    <w:rsid w:val="007F2B4B"/>
    <w:rsid w:val="007F2C38"/>
    <w:rsid w:val="007F30C6"/>
    <w:rsid w:val="007F3240"/>
    <w:rsid w:val="007F3651"/>
    <w:rsid w:val="007F3752"/>
    <w:rsid w:val="007F4318"/>
    <w:rsid w:val="007F45CF"/>
    <w:rsid w:val="007F47DA"/>
    <w:rsid w:val="007F4E52"/>
    <w:rsid w:val="007F4F84"/>
    <w:rsid w:val="007F55A4"/>
    <w:rsid w:val="007F661E"/>
    <w:rsid w:val="007F6D6B"/>
    <w:rsid w:val="007F74DA"/>
    <w:rsid w:val="007F75BB"/>
    <w:rsid w:val="00800766"/>
    <w:rsid w:val="00800871"/>
    <w:rsid w:val="00800971"/>
    <w:rsid w:val="00801338"/>
    <w:rsid w:val="00801D90"/>
    <w:rsid w:val="008023C4"/>
    <w:rsid w:val="0080348B"/>
    <w:rsid w:val="00803EB0"/>
    <w:rsid w:val="008052CE"/>
    <w:rsid w:val="008052DB"/>
    <w:rsid w:val="0080705B"/>
    <w:rsid w:val="0081000F"/>
    <w:rsid w:val="0081264E"/>
    <w:rsid w:val="00812A1A"/>
    <w:rsid w:val="00812DFF"/>
    <w:rsid w:val="008133C2"/>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C24"/>
    <w:rsid w:val="00875E14"/>
    <w:rsid w:val="0087677E"/>
    <w:rsid w:val="0087712C"/>
    <w:rsid w:val="00877C5D"/>
    <w:rsid w:val="00877CB6"/>
    <w:rsid w:val="0088093C"/>
    <w:rsid w:val="00882474"/>
    <w:rsid w:val="008824DF"/>
    <w:rsid w:val="008830EA"/>
    <w:rsid w:val="00884371"/>
    <w:rsid w:val="00884D47"/>
    <w:rsid w:val="00887392"/>
    <w:rsid w:val="00890C40"/>
    <w:rsid w:val="008911F7"/>
    <w:rsid w:val="00893385"/>
    <w:rsid w:val="00893F41"/>
    <w:rsid w:val="00894BBD"/>
    <w:rsid w:val="00894C79"/>
    <w:rsid w:val="0089558A"/>
    <w:rsid w:val="008972B6"/>
    <w:rsid w:val="008977E1"/>
    <w:rsid w:val="008A0115"/>
    <w:rsid w:val="008A0D66"/>
    <w:rsid w:val="008A2F5A"/>
    <w:rsid w:val="008A47CE"/>
    <w:rsid w:val="008A5CBF"/>
    <w:rsid w:val="008A6BAE"/>
    <w:rsid w:val="008A7350"/>
    <w:rsid w:val="008A742A"/>
    <w:rsid w:val="008B00ED"/>
    <w:rsid w:val="008B16E6"/>
    <w:rsid w:val="008B2042"/>
    <w:rsid w:val="008B25F1"/>
    <w:rsid w:val="008B3737"/>
    <w:rsid w:val="008B3F4B"/>
    <w:rsid w:val="008B69B8"/>
    <w:rsid w:val="008B7912"/>
    <w:rsid w:val="008C0133"/>
    <w:rsid w:val="008C0335"/>
    <w:rsid w:val="008C094A"/>
    <w:rsid w:val="008C1077"/>
    <w:rsid w:val="008C1570"/>
    <w:rsid w:val="008C2059"/>
    <w:rsid w:val="008C2FA6"/>
    <w:rsid w:val="008C4C92"/>
    <w:rsid w:val="008C58E7"/>
    <w:rsid w:val="008C65F4"/>
    <w:rsid w:val="008C7368"/>
    <w:rsid w:val="008C7C81"/>
    <w:rsid w:val="008D0E65"/>
    <w:rsid w:val="008D13A3"/>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60A5"/>
    <w:rsid w:val="008E757F"/>
    <w:rsid w:val="008E7EAE"/>
    <w:rsid w:val="008F22D1"/>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4015D"/>
    <w:rsid w:val="00941828"/>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A8A"/>
    <w:rsid w:val="009B3D38"/>
    <w:rsid w:val="009B7505"/>
    <w:rsid w:val="009B7D45"/>
    <w:rsid w:val="009C0020"/>
    <w:rsid w:val="009C04DC"/>
    <w:rsid w:val="009C0F48"/>
    <w:rsid w:val="009C19FC"/>
    <w:rsid w:val="009C27F7"/>
    <w:rsid w:val="009C3BC4"/>
    <w:rsid w:val="009C424E"/>
    <w:rsid w:val="009C4708"/>
    <w:rsid w:val="009C47A3"/>
    <w:rsid w:val="009C4870"/>
    <w:rsid w:val="009C4C4E"/>
    <w:rsid w:val="009C4D37"/>
    <w:rsid w:val="009C574C"/>
    <w:rsid w:val="009C5753"/>
    <w:rsid w:val="009C620F"/>
    <w:rsid w:val="009C62A1"/>
    <w:rsid w:val="009C6F22"/>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2BB"/>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3A7"/>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5986"/>
    <w:rsid w:val="00A662F5"/>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67A"/>
    <w:rsid w:val="00A84F27"/>
    <w:rsid w:val="00A8519C"/>
    <w:rsid w:val="00A8733A"/>
    <w:rsid w:val="00A8783F"/>
    <w:rsid w:val="00A87D2E"/>
    <w:rsid w:val="00A90A83"/>
    <w:rsid w:val="00A90B66"/>
    <w:rsid w:val="00A91D4B"/>
    <w:rsid w:val="00A920B2"/>
    <w:rsid w:val="00A92A96"/>
    <w:rsid w:val="00A92AF0"/>
    <w:rsid w:val="00A92C0E"/>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2E6E"/>
    <w:rsid w:val="00AC4094"/>
    <w:rsid w:val="00AC42B6"/>
    <w:rsid w:val="00AC4AB7"/>
    <w:rsid w:val="00AC60EC"/>
    <w:rsid w:val="00AC6CD9"/>
    <w:rsid w:val="00AD1A98"/>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16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1705"/>
    <w:rsid w:val="00B4280F"/>
    <w:rsid w:val="00B43381"/>
    <w:rsid w:val="00B448BF"/>
    <w:rsid w:val="00B45F9F"/>
    <w:rsid w:val="00B4627C"/>
    <w:rsid w:val="00B46793"/>
    <w:rsid w:val="00B46953"/>
    <w:rsid w:val="00B46A7F"/>
    <w:rsid w:val="00B47A59"/>
    <w:rsid w:val="00B50EF6"/>
    <w:rsid w:val="00B514BB"/>
    <w:rsid w:val="00B51520"/>
    <w:rsid w:val="00B5169E"/>
    <w:rsid w:val="00B517C2"/>
    <w:rsid w:val="00B518CE"/>
    <w:rsid w:val="00B52234"/>
    <w:rsid w:val="00B53623"/>
    <w:rsid w:val="00B536F5"/>
    <w:rsid w:val="00B53E98"/>
    <w:rsid w:val="00B547A9"/>
    <w:rsid w:val="00B54D79"/>
    <w:rsid w:val="00B5634D"/>
    <w:rsid w:val="00B56ECA"/>
    <w:rsid w:val="00B57093"/>
    <w:rsid w:val="00B60613"/>
    <w:rsid w:val="00B616E6"/>
    <w:rsid w:val="00B630F2"/>
    <w:rsid w:val="00B63E7A"/>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574A"/>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6BEC"/>
    <w:rsid w:val="00BB7D2E"/>
    <w:rsid w:val="00BB7EC0"/>
    <w:rsid w:val="00BC0A5A"/>
    <w:rsid w:val="00BC0B2F"/>
    <w:rsid w:val="00BC0E64"/>
    <w:rsid w:val="00BC0F07"/>
    <w:rsid w:val="00BC0FC8"/>
    <w:rsid w:val="00BC25D1"/>
    <w:rsid w:val="00BC2C54"/>
    <w:rsid w:val="00BC3BCB"/>
    <w:rsid w:val="00BC427C"/>
    <w:rsid w:val="00BC428A"/>
    <w:rsid w:val="00BC4C40"/>
    <w:rsid w:val="00BC5BAD"/>
    <w:rsid w:val="00BC6A05"/>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DD4"/>
    <w:rsid w:val="00BD7E5F"/>
    <w:rsid w:val="00BD7F95"/>
    <w:rsid w:val="00BE0C55"/>
    <w:rsid w:val="00BE11A2"/>
    <w:rsid w:val="00BE246C"/>
    <w:rsid w:val="00BE2657"/>
    <w:rsid w:val="00BE2CA1"/>
    <w:rsid w:val="00BE37AE"/>
    <w:rsid w:val="00BE73C3"/>
    <w:rsid w:val="00BE7B29"/>
    <w:rsid w:val="00BF03C0"/>
    <w:rsid w:val="00BF0EF4"/>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10EC"/>
    <w:rsid w:val="00C122BA"/>
    <w:rsid w:val="00C12770"/>
    <w:rsid w:val="00C12D43"/>
    <w:rsid w:val="00C12ECB"/>
    <w:rsid w:val="00C14ABD"/>
    <w:rsid w:val="00C151E0"/>
    <w:rsid w:val="00C1677E"/>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23D3"/>
    <w:rsid w:val="00C332D4"/>
    <w:rsid w:val="00C33E51"/>
    <w:rsid w:val="00C34848"/>
    <w:rsid w:val="00C349B4"/>
    <w:rsid w:val="00C34C47"/>
    <w:rsid w:val="00C35A80"/>
    <w:rsid w:val="00C368F9"/>
    <w:rsid w:val="00C37411"/>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3A43"/>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76E41"/>
    <w:rsid w:val="00C81716"/>
    <w:rsid w:val="00C82795"/>
    <w:rsid w:val="00C82AAA"/>
    <w:rsid w:val="00C832CB"/>
    <w:rsid w:val="00C84085"/>
    <w:rsid w:val="00C865B3"/>
    <w:rsid w:val="00C86964"/>
    <w:rsid w:val="00C8779E"/>
    <w:rsid w:val="00C87850"/>
    <w:rsid w:val="00C878B2"/>
    <w:rsid w:val="00C87BD0"/>
    <w:rsid w:val="00C90B95"/>
    <w:rsid w:val="00C90CA9"/>
    <w:rsid w:val="00C92819"/>
    <w:rsid w:val="00C9354F"/>
    <w:rsid w:val="00C93B40"/>
    <w:rsid w:val="00C93D48"/>
    <w:rsid w:val="00C93DB5"/>
    <w:rsid w:val="00C95C6C"/>
    <w:rsid w:val="00C97DD7"/>
    <w:rsid w:val="00C97EF9"/>
    <w:rsid w:val="00CA0492"/>
    <w:rsid w:val="00CA0A04"/>
    <w:rsid w:val="00CA3CAB"/>
    <w:rsid w:val="00CA6A2E"/>
    <w:rsid w:val="00CA7C19"/>
    <w:rsid w:val="00CB01DF"/>
    <w:rsid w:val="00CB52A4"/>
    <w:rsid w:val="00CB537C"/>
    <w:rsid w:val="00CB55CD"/>
    <w:rsid w:val="00CB5778"/>
    <w:rsid w:val="00CB6156"/>
    <w:rsid w:val="00CB6675"/>
    <w:rsid w:val="00CC03A0"/>
    <w:rsid w:val="00CC0915"/>
    <w:rsid w:val="00CC0CFC"/>
    <w:rsid w:val="00CC1AF5"/>
    <w:rsid w:val="00CC1B74"/>
    <w:rsid w:val="00CC2EB0"/>
    <w:rsid w:val="00CC2F38"/>
    <w:rsid w:val="00CC44F5"/>
    <w:rsid w:val="00CC5640"/>
    <w:rsid w:val="00CC5F95"/>
    <w:rsid w:val="00CC6A19"/>
    <w:rsid w:val="00CD0159"/>
    <w:rsid w:val="00CD1255"/>
    <w:rsid w:val="00CD1484"/>
    <w:rsid w:val="00CD1892"/>
    <w:rsid w:val="00CD1D00"/>
    <w:rsid w:val="00CD26B8"/>
    <w:rsid w:val="00CD2A82"/>
    <w:rsid w:val="00CD32C2"/>
    <w:rsid w:val="00CD347C"/>
    <w:rsid w:val="00CD3BE0"/>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2CF"/>
    <w:rsid w:val="00CF0AF0"/>
    <w:rsid w:val="00CF0E98"/>
    <w:rsid w:val="00CF1834"/>
    <w:rsid w:val="00CF1A68"/>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184"/>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54D2"/>
    <w:rsid w:val="00D5064C"/>
    <w:rsid w:val="00D5098E"/>
    <w:rsid w:val="00D51B02"/>
    <w:rsid w:val="00D534BC"/>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53F"/>
    <w:rsid w:val="00D71ABC"/>
    <w:rsid w:val="00D72175"/>
    <w:rsid w:val="00D72454"/>
    <w:rsid w:val="00D72A5B"/>
    <w:rsid w:val="00D73F06"/>
    <w:rsid w:val="00D74160"/>
    <w:rsid w:val="00D74247"/>
    <w:rsid w:val="00D749EA"/>
    <w:rsid w:val="00D753A9"/>
    <w:rsid w:val="00D75E10"/>
    <w:rsid w:val="00D76045"/>
    <w:rsid w:val="00D7682B"/>
    <w:rsid w:val="00D804C0"/>
    <w:rsid w:val="00D804C5"/>
    <w:rsid w:val="00D81146"/>
    <w:rsid w:val="00D81A28"/>
    <w:rsid w:val="00D82AB8"/>
    <w:rsid w:val="00D82B00"/>
    <w:rsid w:val="00D82BE4"/>
    <w:rsid w:val="00D82E05"/>
    <w:rsid w:val="00D82F67"/>
    <w:rsid w:val="00D83A05"/>
    <w:rsid w:val="00D83C0D"/>
    <w:rsid w:val="00D85B55"/>
    <w:rsid w:val="00D8650D"/>
    <w:rsid w:val="00D869C1"/>
    <w:rsid w:val="00D86EC6"/>
    <w:rsid w:val="00D87418"/>
    <w:rsid w:val="00D87460"/>
    <w:rsid w:val="00D87FE6"/>
    <w:rsid w:val="00D907BA"/>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56EE"/>
    <w:rsid w:val="00DC6747"/>
    <w:rsid w:val="00DC6AF3"/>
    <w:rsid w:val="00DC740D"/>
    <w:rsid w:val="00DC7608"/>
    <w:rsid w:val="00DC761D"/>
    <w:rsid w:val="00DC761E"/>
    <w:rsid w:val="00DC7CFC"/>
    <w:rsid w:val="00DD0090"/>
    <w:rsid w:val="00DD1FC0"/>
    <w:rsid w:val="00DD2C42"/>
    <w:rsid w:val="00DD2CD0"/>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3D37"/>
    <w:rsid w:val="00E041AA"/>
    <w:rsid w:val="00E0479F"/>
    <w:rsid w:val="00E04D6A"/>
    <w:rsid w:val="00E06100"/>
    <w:rsid w:val="00E06E97"/>
    <w:rsid w:val="00E07767"/>
    <w:rsid w:val="00E10DD1"/>
    <w:rsid w:val="00E11502"/>
    <w:rsid w:val="00E11D4D"/>
    <w:rsid w:val="00E1254C"/>
    <w:rsid w:val="00E12BDF"/>
    <w:rsid w:val="00E13326"/>
    <w:rsid w:val="00E14961"/>
    <w:rsid w:val="00E14D76"/>
    <w:rsid w:val="00E17156"/>
    <w:rsid w:val="00E1768C"/>
    <w:rsid w:val="00E20CE7"/>
    <w:rsid w:val="00E217B1"/>
    <w:rsid w:val="00E222FA"/>
    <w:rsid w:val="00E24A62"/>
    <w:rsid w:val="00E24F52"/>
    <w:rsid w:val="00E279B2"/>
    <w:rsid w:val="00E30BD5"/>
    <w:rsid w:val="00E31143"/>
    <w:rsid w:val="00E31812"/>
    <w:rsid w:val="00E330A7"/>
    <w:rsid w:val="00E33954"/>
    <w:rsid w:val="00E3533E"/>
    <w:rsid w:val="00E35A45"/>
    <w:rsid w:val="00E36719"/>
    <w:rsid w:val="00E37C85"/>
    <w:rsid w:val="00E43006"/>
    <w:rsid w:val="00E43551"/>
    <w:rsid w:val="00E4399E"/>
    <w:rsid w:val="00E50809"/>
    <w:rsid w:val="00E50F0A"/>
    <w:rsid w:val="00E510CF"/>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1D98"/>
    <w:rsid w:val="00E728E2"/>
    <w:rsid w:val="00E74976"/>
    <w:rsid w:val="00E74CD6"/>
    <w:rsid w:val="00E75667"/>
    <w:rsid w:val="00E756D3"/>
    <w:rsid w:val="00E76633"/>
    <w:rsid w:val="00E769CC"/>
    <w:rsid w:val="00E77E88"/>
    <w:rsid w:val="00E80AF8"/>
    <w:rsid w:val="00E827BB"/>
    <w:rsid w:val="00E82D24"/>
    <w:rsid w:val="00E8308F"/>
    <w:rsid w:val="00E8317B"/>
    <w:rsid w:val="00E8357D"/>
    <w:rsid w:val="00E84C04"/>
    <w:rsid w:val="00E84E4F"/>
    <w:rsid w:val="00E851DD"/>
    <w:rsid w:val="00E856A2"/>
    <w:rsid w:val="00E85AD2"/>
    <w:rsid w:val="00E86749"/>
    <w:rsid w:val="00E9036E"/>
    <w:rsid w:val="00E917B6"/>
    <w:rsid w:val="00E92292"/>
    <w:rsid w:val="00E92D0B"/>
    <w:rsid w:val="00E93195"/>
    <w:rsid w:val="00E93F21"/>
    <w:rsid w:val="00E9411C"/>
    <w:rsid w:val="00E9443F"/>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59A"/>
    <w:rsid w:val="00EB3CE6"/>
    <w:rsid w:val="00EB3E92"/>
    <w:rsid w:val="00EB68E6"/>
    <w:rsid w:val="00EB69AB"/>
    <w:rsid w:val="00EB6D1C"/>
    <w:rsid w:val="00EB7B67"/>
    <w:rsid w:val="00EC328C"/>
    <w:rsid w:val="00EC339A"/>
    <w:rsid w:val="00EC3BEC"/>
    <w:rsid w:val="00EC3F73"/>
    <w:rsid w:val="00EC5241"/>
    <w:rsid w:val="00EC594C"/>
    <w:rsid w:val="00EC5C7B"/>
    <w:rsid w:val="00EC66AA"/>
    <w:rsid w:val="00EC6B8F"/>
    <w:rsid w:val="00EC6E90"/>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0EB8"/>
    <w:rsid w:val="00F11353"/>
    <w:rsid w:val="00F129F4"/>
    <w:rsid w:val="00F14CD1"/>
    <w:rsid w:val="00F15115"/>
    <w:rsid w:val="00F15D8C"/>
    <w:rsid w:val="00F16244"/>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2B3"/>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262"/>
    <w:rsid w:val="00F61606"/>
    <w:rsid w:val="00F62BD1"/>
    <w:rsid w:val="00F62CA8"/>
    <w:rsid w:val="00F63BF4"/>
    <w:rsid w:val="00F63C60"/>
    <w:rsid w:val="00F64991"/>
    <w:rsid w:val="00F65BA9"/>
    <w:rsid w:val="00F6630F"/>
    <w:rsid w:val="00F67E81"/>
    <w:rsid w:val="00F7062D"/>
    <w:rsid w:val="00F7096D"/>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3F97"/>
    <w:rsid w:val="00FA4117"/>
    <w:rsid w:val="00FA672F"/>
    <w:rsid w:val="00FA7792"/>
    <w:rsid w:val="00FA7B61"/>
    <w:rsid w:val="00FB11FA"/>
    <w:rsid w:val="00FB18F8"/>
    <w:rsid w:val="00FB2F8E"/>
    <w:rsid w:val="00FB33F8"/>
    <w:rsid w:val="00FB39B0"/>
    <w:rsid w:val="00FB5183"/>
    <w:rsid w:val="00FB5A71"/>
    <w:rsid w:val="00FB6DF2"/>
    <w:rsid w:val="00FB754C"/>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2312723"/>
    <w:rsid w:val="02DA0C0E"/>
    <w:rsid w:val="03DD35E4"/>
    <w:rsid w:val="065A6178"/>
    <w:rsid w:val="075562B7"/>
    <w:rsid w:val="07F6164B"/>
    <w:rsid w:val="087A1B7A"/>
    <w:rsid w:val="08C67E39"/>
    <w:rsid w:val="096B2097"/>
    <w:rsid w:val="097C779A"/>
    <w:rsid w:val="0A5B7E63"/>
    <w:rsid w:val="0C87121B"/>
    <w:rsid w:val="0DF702FE"/>
    <w:rsid w:val="0E3F698B"/>
    <w:rsid w:val="0F21508F"/>
    <w:rsid w:val="0F816ACD"/>
    <w:rsid w:val="0FB94501"/>
    <w:rsid w:val="10B047CF"/>
    <w:rsid w:val="10FC16EA"/>
    <w:rsid w:val="118963A1"/>
    <w:rsid w:val="127723A9"/>
    <w:rsid w:val="13072A44"/>
    <w:rsid w:val="145044FA"/>
    <w:rsid w:val="186742B0"/>
    <w:rsid w:val="1B2A271F"/>
    <w:rsid w:val="1B890139"/>
    <w:rsid w:val="1BAA3472"/>
    <w:rsid w:val="1C2B773B"/>
    <w:rsid w:val="1D1F329D"/>
    <w:rsid w:val="1D266CE1"/>
    <w:rsid w:val="1D3963AF"/>
    <w:rsid w:val="1E714A66"/>
    <w:rsid w:val="1FE868A9"/>
    <w:rsid w:val="211E26D6"/>
    <w:rsid w:val="21283D08"/>
    <w:rsid w:val="25B440B3"/>
    <w:rsid w:val="2AA1365A"/>
    <w:rsid w:val="2C5B0DBF"/>
    <w:rsid w:val="2D677483"/>
    <w:rsid w:val="2DD15014"/>
    <w:rsid w:val="2F673055"/>
    <w:rsid w:val="2FD25781"/>
    <w:rsid w:val="319C6071"/>
    <w:rsid w:val="31D55A35"/>
    <w:rsid w:val="321D6829"/>
    <w:rsid w:val="321E6DE1"/>
    <w:rsid w:val="32DB72BE"/>
    <w:rsid w:val="342E63AB"/>
    <w:rsid w:val="345D260B"/>
    <w:rsid w:val="365302AE"/>
    <w:rsid w:val="37786CCC"/>
    <w:rsid w:val="37F142D2"/>
    <w:rsid w:val="39685A7B"/>
    <w:rsid w:val="39A13F14"/>
    <w:rsid w:val="3A867DF3"/>
    <w:rsid w:val="3C5F759A"/>
    <w:rsid w:val="3D5C78D4"/>
    <w:rsid w:val="3FFF72A6"/>
    <w:rsid w:val="41612A0A"/>
    <w:rsid w:val="42865B6B"/>
    <w:rsid w:val="42AD0145"/>
    <w:rsid w:val="42E1381E"/>
    <w:rsid w:val="43FB717C"/>
    <w:rsid w:val="44C91539"/>
    <w:rsid w:val="451E447A"/>
    <w:rsid w:val="45345B76"/>
    <w:rsid w:val="467502F9"/>
    <w:rsid w:val="47307808"/>
    <w:rsid w:val="486F747C"/>
    <w:rsid w:val="48E86C85"/>
    <w:rsid w:val="4923504F"/>
    <w:rsid w:val="4D0222B8"/>
    <w:rsid w:val="4D861CF6"/>
    <w:rsid w:val="51A0432A"/>
    <w:rsid w:val="527140E5"/>
    <w:rsid w:val="5292508F"/>
    <w:rsid w:val="52A96B6F"/>
    <w:rsid w:val="547861B5"/>
    <w:rsid w:val="550764A4"/>
    <w:rsid w:val="551926E0"/>
    <w:rsid w:val="561279B9"/>
    <w:rsid w:val="56515F3B"/>
    <w:rsid w:val="566A00A0"/>
    <w:rsid w:val="572B71CA"/>
    <w:rsid w:val="57E958DA"/>
    <w:rsid w:val="58AE4F0C"/>
    <w:rsid w:val="5A2A7C7B"/>
    <w:rsid w:val="5BC114A0"/>
    <w:rsid w:val="5C80234E"/>
    <w:rsid w:val="5DE44F4A"/>
    <w:rsid w:val="5E261785"/>
    <w:rsid w:val="5FA01CA8"/>
    <w:rsid w:val="5FCC5339"/>
    <w:rsid w:val="5FE70807"/>
    <w:rsid w:val="60E53485"/>
    <w:rsid w:val="61054A27"/>
    <w:rsid w:val="611D2366"/>
    <w:rsid w:val="62706852"/>
    <w:rsid w:val="62885958"/>
    <w:rsid w:val="64CE2EAA"/>
    <w:rsid w:val="662E75B1"/>
    <w:rsid w:val="66342C2E"/>
    <w:rsid w:val="663E784C"/>
    <w:rsid w:val="685867EC"/>
    <w:rsid w:val="6E1424B0"/>
    <w:rsid w:val="6E8E12EF"/>
    <w:rsid w:val="6EDD7A0F"/>
    <w:rsid w:val="6F347925"/>
    <w:rsid w:val="6FE41DF2"/>
    <w:rsid w:val="71D43752"/>
    <w:rsid w:val="72995164"/>
    <w:rsid w:val="73DD6243"/>
    <w:rsid w:val="749C4185"/>
    <w:rsid w:val="75DA2C18"/>
    <w:rsid w:val="775319EF"/>
    <w:rsid w:val="7767426C"/>
    <w:rsid w:val="790F1C77"/>
    <w:rsid w:val="795E608C"/>
    <w:rsid w:val="79D862C7"/>
    <w:rsid w:val="7A67303B"/>
    <w:rsid w:val="7AAB1D04"/>
    <w:rsid w:val="7ABA4368"/>
    <w:rsid w:val="7B257FFD"/>
    <w:rsid w:val="7C2B1DA5"/>
    <w:rsid w:val="7C76157D"/>
    <w:rsid w:val="7DF4317E"/>
    <w:rsid w:val="7E64308B"/>
    <w:rsid w:val="7EA20E13"/>
    <w:rsid w:val="7FDD4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2"/>
    <w:qFormat/>
    <w:uiPriority w:val="99"/>
    <w:pPr>
      <w:jc w:val="left"/>
    </w:pPr>
  </w:style>
  <w:style w:type="paragraph" w:styleId="20">
    <w:name w:val="Salutation"/>
    <w:basedOn w:val="1"/>
    <w:next w:val="1"/>
    <w:link w:val="480"/>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link w:val="510"/>
    <w:qFormat/>
    <w:uiPriority w:val="0"/>
    <w:pPr>
      <w:autoSpaceDE w:val="0"/>
      <w:autoSpaceDN w:val="0"/>
      <w:spacing w:line="360" w:lineRule="auto"/>
    </w:pPr>
    <w:rPr>
      <w:rFonts w:ascii="宋体"/>
      <w:sz w:val="24"/>
      <w:szCs w:val="21"/>
      <w:lang w:val="zh-CN"/>
    </w:rPr>
  </w:style>
  <w:style w:type="paragraph" w:styleId="23">
    <w:name w:val="Body Text Indent"/>
    <w:basedOn w:val="1"/>
    <w:link w:val="473"/>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7"/>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6">
    <w:name w:val="Balloon Text"/>
    <w:basedOn w:val="1"/>
    <w:link w:val="613"/>
    <w:semiHidden/>
    <w:qFormat/>
    <w:uiPriority w:val="0"/>
    <w:rPr>
      <w:sz w:val="18"/>
      <w:szCs w:val="18"/>
    </w:rPr>
  </w:style>
  <w:style w:type="paragraph" w:styleId="37">
    <w:name w:val="footer"/>
    <w:basedOn w:val="1"/>
    <w:link w:val="634"/>
    <w:qFormat/>
    <w:uiPriority w:val="99"/>
    <w:pPr>
      <w:tabs>
        <w:tab w:val="center" w:pos="4153"/>
        <w:tab w:val="right" w:pos="8306"/>
      </w:tabs>
      <w:snapToGrid w:val="0"/>
      <w:jc w:val="left"/>
    </w:pPr>
    <w:rPr>
      <w:sz w:val="18"/>
      <w:szCs w:val="18"/>
    </w:rPr>
  </w:style>
  <w:style w:type="paragraph" w:styleId="38">
    <w:name w:val="header"/>
    <w:basedOn w:val="1"/>
    <w:link w:val="635"/>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3"/>
    <w:qFormat/>
    <w:uiPriority w:val="0"/>
    <w:pPr>
      <w:ind w:firstLine="420"/>
    </w:pPr>
    <w:rPr>
      <w:szCs w:val="20"/>
    </w:rPr>
  </w:style>
  <w:style w:type="paragraph" w:styleId="59">
    <w:name w:val="Body Text First Indent 2"/>
    <w:basedOn w:val="23"/>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2"/>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71"/>
    <w:next w:val="71"/>
    <w:qFormat/>
    <w:uiPriority w:val="0"/>
    <w:pPr>
      <w:spacing w:after="68"/>
    </w:pPr>
    <w:rPr>
      <w:rFonts w:ascii="FHLHE E+ Futura Bk" w:eastAsia="FHLHE E+ Futura Bk" w:cs="Times New Roman"/>
      <w:color w:val="auto"/>
    </w:rPr>
  </w:style>
  <w:style w:type="paragraph" w:customStyle="1" w:styleId="99">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5"/>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71"/>
    <w:next w:val="71"/>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2"/>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2"/>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90"/>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2"/>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3"/>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8"/>
    <w:qFormat/>
    <w:uiPriority w:val="0"/>
    <w:rPr>
      <w:b/>
      <w:bCs/>
      <w:kern w:val="2"/>
      <w:sz w:val="24"/>
      <w:szCs w:val="24"/>
    </w:rPr>
  </w:style>
  <w:style w:type="character" w:customStyle="1" w:styleId="480">
    <w:name w:val="称呼 Char"/>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5"/>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3"/>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4"/>
    <w:qFormat/>
    <w:uiPriority w:val="0"/>
    <w:rPr>
      <w:rFonts w:ascii="宋体"/>
      <w:kern w:val="2"/>
      <w:sz w:val="24"/>
      <w:szCs w:val="21"/>
      <w:lang w:val="zh-CN"/>
    </w:rPr>
  </w:style>
  <w:style w:type="character" w:customStyle="1" w:styleId="597">
    <w:name w:val="标题 4 Char"/>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6"/>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71"/>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4">
    <w:name w:val="页脚 Char2"/>
    <w:link w:val="37"/>
    <w:qFormat/>
    <w:locked/>
    <w:uiPriority w:val="99"/>
    <w:rPr>
      <w:kern w:val="2"/>
      <w:sz w:val="18"/>
      <w:szCs w:val="18"/>
    </w:rPr>
  </w:style>
  <w:style w:type="character" w:customStyle="1" w:styleId="635">
    <w:name w:val="页眉 Char2"/>
    <w:link w:val="38"/>
    <w:qFormat/>
    <w:uiPriority w:val="99"/>
    <w:rPr>
      <w:kern w:val="2"/>
      <w:sz w:val="18"/>
      <w:szCs w:val="18"/>
    </w:rPr>
  </w:style>
  <w:style w:type="character" w:customStyle="1" w:styleId="636">
    <w:name w:val="font41"/>
    <w:basedOn w:val="62"/>
    <w:qFormat/>
    <w:uiPriority w:val="0"/>
    <w:rPr>
      <w:rFonts w:hint="eastAsia" w:ascii="宋体" w:hAnsi="宋体" w:eastAsia="宋体" w:cs="宋体"/>
      <w:color w:val="333333"/>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3745C-9827-4EE0-82DB-CEA8E6FD0A3D}">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91</Pages>
  <Words>8695</Words>
  <Characters>49563</Characters>
  <Lines>413</Lines>
  <Paragraphs>116</Paragraphs>
  <TotalTime>6</TotalTime>
  <ScaleCrop>false</ScaleCrop>
  <LinksUpToDate>false</LinksUpToDate>
  <CharactersWithSpaces>58142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wwwww</cp:lastModifiedBy>
  <cp:lastPrinted>2025-11-24T02:13:14Z</cp:lastPrinted>
  <dcterms:modified xsi:type="dcterms:W3CDTF">2025-11-24T08:09:00Z</dcterms:modified>
  <dc:title>北海市政府采购中心</dc:title>
  <cp:revision>1316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D1AD6BE9DD8C4E74B1422D179BEB696F</vt:lpwstr>
  </property>
</Properties>
</file>