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eastAsiaTheme="minorEastAsia"/>
          <w:b/>
          <w:color w:val="auto"/>
          <w:sz w:val="24"/>
        </w:rPr>
      </w:pPr>
    </w:p>
    <w:p>
      <w:pPr>
        <w:spacing w:line="360" w:lineRule="auto"/>
        <w:jc w:val="center"/>
        <w:rPr>
          <w:rFonts w:cs="仿宋_GB2312" w:asciiTheme="minorEastAsia" w:hAnsiTheme="minorEastAsia" w:eastAsiaTheme="minorEastAsia"/>
          <w:b/>
          <w:color w:val="auto"/>
          <w:sz w:val="24"/>
        </w:rPr>
      </w:pPr>
    </w:p>
    <w:p>
      <w:pPr>
        <w:adjustRightInd/>
        <w:spacing w:line="360" w:lineRule="auto"/>
        <w:jc w:val="center"/>
        <w:rPr>
          <w:rFonts w:cs="仿宋_GB2312" w:asciiTheme="minorEastAsia" w:hAnsiTheme="minorEastAsia" w:eastAsiaTheme="minorEastAsia"/>
          <w:b/>
          <w:color w:val="auto"/>
          <w:sz w:val="44"/>
          <w:szCs w:val="44"/>
        </w:rPr>
      </w:pPr>
    </w:p>
    <w:p>
      <w:pPr>
        <w:adjustRightInd/>
        <w:spacing w:line="360" w:lineRule="auto"/>
        <w:jc w:val="center"/>
        <w:rPr>
          <w:rFonts w:cs="仿宋_GB2312" w:asciiTheme="minorEastAsia" w:hAnsiTheme="minorEastAsia" w:eastAsiaTheme="minorEastAsia"/>
          <w:b/>
          <w:color w:val="auto"/>
          <w:sz w:val="44"/>
          <w:szCs w:val="44"/>
        </w:rPr>
      </w:pPr>
    </w:p>
    <w:p>
      <w:pPr>
        <w:adjustRightInd/>
        <w:spacing w:line="360" w:lineRule="auto"/>
        <w:jc w:val="center"/>
        <w:rPr>
          <w:rFonts w:hint="eastAsia" w:cs="仿宋_GB2312" w:asciiTheme="minorEastAsia" w:hAnsiTheme="minorEastAsia" w:eastAsiaTheme="minorEastAsia"/>
          <w:b/>
          <w:color w:val="auto"/>
          <w:sz w:val="44"/>
          <w:szCs w:val="44"/>
          <w:lang w:eastAsia="zh-CN"/>
        </w:rPr>
      </w:pPr>
      <w:r>
        <w:rPr>
          <w:rFonts w:hint="eastAsia" w:cs="仿宋_GB2312" w:asciiTheme="minorEastAsia" w:hAnsiTheme="minorEastAsia" w:eastAsiaTheme="minorEastAsia"/>
          <w:b/>
          <w:color w:val="auto"/>
          <w:sz w:val="44"/>
          <w:szCs w:val="44"/>
          <w:lang w:eastAsia="zh-CN"/>
        </w:rPr>
        <w:t>2025年第二批义务教育薄弱环节改善与能力提升补助资金项目设备采购（伙房设备、计算机）</w:t>
      </w:r>
    </w:p>
    <w:p>
      <w:pPr>
        <w:adjustRightInd/>
        <w:spacing w:line="360" w:lineRule="auto"/>
        <w:jc w:val="center"/>
        <w:rPr>
          <w:rFonts w:cs="仿宋_GB2312" w:asciiTheme="minorEastAsia" w:hAnsiTheme="minorEastAsia" w:eastAsiaTheme="minorEastAsia"/>
          <w:b/>
          <w:color w:val="auto"/>
          <w:sz w:val="72"/>
          <w:szCs w:val="72"/>
        </w:rPr>
      </w:pPr>
      <w:r>
        <w:rPr>
          <w:rFonts w:hint="eastAsia" w:cs="仿宋_GB2312" w:asciiTheme="minorEastAsia" w:hAnsiTheme="minorEastAsia" w:eastAsiaTheme="minorEastAsia"/>
          <w:b/>
          <w:bCs/>
          <w:color w:val="auto"/>
          <w:w w:val="95"/>
          <w:sz w:val="72"/>
          <w:szCs w:val="72"/>
          <w:lang w:val="zh-CN"/>
        </w:rPr>
        <w:t>竞争性谈判</w:t>
      </w:r>
      <w:r>
        <w:rPr>
          <w:rFonts w:hint="eastAsia" w:cs="仿宋_GB2312" w:asciiTheme="minorEastAsia" w:hAnsiTheme="minorEastAsia" w:eastAsiaTheme="minorEastAsia"/>
          <w:b/>
          <w:color w:val="auto"/>
          <w:sz w:val="72"/>
          <w:szCs w:val="72"/>
        </w:rPr>
        <w:t>文件</w:t>
      </w:r>
    </w:p>
    <w:p>
      <w:pPr>
        <w:adjustRightInd/>
        <w:spacing w:line="360" w:lineRule="auto"/>
        <w:jc w:val="center"/>
        <w:rPr>
          <w:rFonts w:cs="仿宋_GB2312" w:asciiTheme="minorEastAsia" w:hAnsiTheme="minorEastAsia" w:eastAsiaTheme="minorEastAsia"/>
          <w:b/>
          <w:color w:val="auto"/>
          <w:sz w:val="44"/>
          <w:szCs w:val="44"/>
        </w:rPr>
      </w:pPr>
      <w:r>
        <w:rPr>
          <w:rFonts w:hint="eastAsia" w:cs="仿宋_GB2312" w:asciiTheme="minorEastAsia" w:hAnsiTheme="minorEastAsia" w:eastAsiaTheme="minorEastAsia"/>
          <w:b/>
          <w:color w:val="auto"/>
          <w:sz w:val="44"/>
          <w:szCs w:val="44"/>
        </w:rPr>
        <w:t>（电子交易）</w:t>
      </w:r>
    </w:p>
    <w:p>
      <w:pPr>
        <w:snapToGrid w:val="0"/>
        <w:spacing w:line="360" w:lineRule="auto"/>
        <w:jc w:val="center"/>
        <w:rPr>
          <w:rFonts w:cs="仿宋_GB2312" w:asciiTheme="minorEastAsia" w:hAnsiTheme="minorEastAsia" w:eastAsiaTheme="minorEastAsia"/>
          <w:color w:val="auto"/>
          <w:sz w:val="30"/>
          <w:szCs w:val="30"/>
        </w:rPr>
      </w:pPr>
    </w:p>
    <w:p>
      <w:pPr>
        <w:snapToGrid w:val="0"/>
        <w:spacing w:line="360" w:lineRule="auto"/>
        <w:jc w:val="center"/>
        <w:rPr>
          <w:rFonts w:cs="仿宋_GB2312" w:asciiTheme="minorEastAsia" w:hAnsiTheme="minorEastAsia" w:eastAsiaTheme="minorEastAsia"/>
          <w:color w:val="auto"/>
          <w:sz w:val="30"/>
          <w:szCs w:val="30"/>
        </w:rPr>
      </w:pPr>
      <w:r>
        <w:rPr>
          <w:rFonts w:hint="eastAsia" w:cs="仿宋_GB2312" w:asciiTheme="minorEastAsia" w:hAnsiTheme="minorEastAsia" w:eastAsiaTheme="minorEastAsia"/>
          <w:color w:val="auto"/>
          <w:sz w:val="30"/>
          <w:szCs w:val="30"/>
        </w:rPr>
        <w:t>项目编号:（</w:t>
      </w:r>
      <w:r>
        <w:rPr>
          <w:rFonts w:hint="eastAsia" w:cs="仿宋_GB2312" w:asciiTheme="minorEastAsia" w:hAnsiTheme="minorEastAsia" w:eastAsiaTheme="minorEastAsia"/>
          <w:color w:val="auto"/>
          <w:sz w:val="30"/>
          <w:szCs w:val="30"/>
          <w:lang w:eastAsia="zh-CN"/>
        </w:rPr>
        <w:t>BHZC2025-J1-210200-CGZX</w:t>
      </w:r>
      <w:r>
        <w:rPr>
          <w:rFonts w:hint="eastAsia" w:cs="仿宋_GB2312" w:asciiTheme="minorEastAsia" w:hAnsiTheme="minorEastAsia" w:eastAsiaTheme="minorEastAsia"/>
          <w:color w:val="auto"/>
          <w:sz w:val="30"/>
          <w:szCs w:val="30"/>
        </w:rPr>
        <w:t>）</w:t>
      </w:r>
    </w:p>
    <w:p>
      <w:pPr>
        <w:adjustRightInd/>
        <w:spacing w:line="360" w:lineRule="auto"/>
        <w:rPr>
          <w:rFonts w:cs="仿宋_GB2312" w:asciiTheme="minorEastAsia" w:hAnsiTheme="minorEastAsia" w:eastAsiaTheme="minorEastAsia"/>
          <w:color w:val="auto"/>
          <w:sz w:val="28"/>
          <w:szCs w:val="20"/>
        </w:rPr>
      </w:pPr>
    </w:p>
    <w:p>
      <w:pPr>
        <w:spacing w:line="360" w:lineRule="auto"/>
        <w:jc w:val="center"/>
        <w:rPr>
          <w:rFonts w:cs="仿宋_GB2312" w:asciiTheme="minorEastAsia" w:hAnsiTheme="minorEastAsia" w:eastAsiaTheme="minorEastAsia"/>
          <w:color w:val="auto"/>
          <w:sz w:val="24"/>
        </w:rPr>
      </w:pPr>
    </w:p>
    <w:p>
      <w:pPr>
        <w:spacing w:line="360" w:lineRule="auto"/>
        <w:jc w:val="center"/>
        <w:rPr>
          <w:rFonts w:cs="仿宋_GB2312" w:asciiTheme="minorEastAsia" w:hAnsiTheme="minorEastAsia" w:eastAsiaTheme="minorEastAsia"/>
          <w:color w:val="auto"/>
          <w:sz w:val="24"/>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pPr>
        <w:pStyle w:val="182"/>
        <w:widowControl w:val="0"/>
        <w:spacing w:before="0" w:beforeAutospacing="0" w:after="0" w:afterAutospacing="0" w:line="360" w:lineRule="auto"/>
        <w:textAlignment w:val="auto"/>
        <w:rPr>
          <w:rFonts w:hint="default" w:cs="仿宋_GB2312" w:asciiTheme="minorEastAsia" w:hAnsiTheme="minorEastAsia" w:eastAsiaTheme="minorEastAsia"/>
          <w:color w:val="auto"/>
          <w:kern w:val="2"/>
        </w:rPr>
      </w:pPr>
    </w:p>
    <w:p>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sz w:val="24"/>
        </w:rPr>
        <w:t xml:space="preserve">                                      </w:t>
      </w:r>
    </w:p>
    <w:p>
      <w:pPr>
        <w:snapToGrid w:val="0"/>
        <w:spacing w:line="360" w:lineRule="auto"/>
        <w:jc w:val="center"/>
        <w:rPr>
          <w:rFonts w:cs="仿宋_GB2312" w:asciiTheme="minorEastAsia" w:hAnsiTheme="minorEastAsia" w:eastAsiaTheme="minorEastAsia"/>
          <w:color w:val="auto"/>
          <w:sz w:val="32"/>
          <w:szCs w:val="32"/>
        </w:rPr>
      </w:pPr>
    </w:p>
    <w:p>
      <w:pPr>
        <w:snapToGrid w:val="0"/>
        <w:spacing w:line="360" w:lineRule="auto"/>
        <w:jc w:val="center"/>
        <w:rPr>
          <w:rFonts w:hint="eastAsia" w:cs="仿宋_GB2312" w:asciiTheme="minorEastAsia" w:hAnsiTheme="minorEastAsia" w:eastAsiaTheme="minorEastAsia"/>
          <w:color w:val="auto"/>
          <w:sz w:val="32"/>
          <w:szCs w:val="32"/>
          <w:lang w:eastAsia="zh-CN"/>
        </w:rPr>
      </w:pPr>
      <w:r>
        <w:rPr>
          <w:rFonts w:hint="eastAsia" w:ascii="宋体" w:hAnsi="宋体" w:cs="宋体" w:eastAsiaTheme="minorEastAsia"/>
          <w:color w:val="auto"/>
          <w:sz w:val="32"/>
          <w:szCs w:val="32"/>
          <w:lang w:eastAsia="zh-CN"/>
        </w:rPr>
        <w:t>合浦县教育局</w:t>
      </w:r>
    </w:p>
    <w:p>
      <w:pPr>
        <w:spacing w:line="360" w:lineRule="auto"/>
        <w:jc w:val="center"/>
        <w:rPr>
          <w:rFonts w:hint="eastAsia" w:cs="仿宋_GB2312" w:asciiTheme="minorEastAsia" w:hAnsiTheme="minorEastAsia" w:eastAsiaTheme="minorEastAsia"/>
          <w:bCs/>
          <w:color w:val="auto"/>
          <w:sz w:val="32"/>
          <w:szCs w:val="32"/>
          <w:lang w:eastAsia="zh-CN"/>
        </w:rPr>
      </w:pPr>
      <w:r>
        <w:rPr>
          <w:rFonts w:hint="eastAsia" w:ascii="宋体" w:hAnsi="宋体" w:cs="宋体" w:eastAsiaTheme="minorEastAsia"/>
          <w:bCs/>
          <w:color w:val="auto"/>
          <w:sz w:val="32"/>
          <w:szCs w:val="32"/>
          <w:lang w:eastAsia="zh-CN"/>
        </w:rPr>
        <w:t>北海市政府采购中心</w:t>
      </w:r>
    </w:p>
    <w:p>
      <w:pPr>
        <w:snapToGrid w:val="0"/>
        <w:spacing w:line="360" w:lineRule="auto"/>
        <w:jc w:val="center"/>
        <w:rPr>
          <w:rFonts w:cs="仿宋_GB2312" w:asciiTheme="minorEastAsia" w:hAnsiTheme="minorEastAsia" w:eastAsiaTheme="minorEastAsia"/>
          <w:bCs/>
          <w:color w:val="auto"/>
          <w:sz w:val="32"/>
          <w:szCs w:val="32"/>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二五年</w:t>
      </w:r>
      <w:r>
        <w:rPr>
          <w:rFonts w:hint="eastAsia" w:cs="仿宋_GB2312" w:asciiTheme="minorEastAsia" w:hAnsiTheme="minorEastAsia" w:eastAsiaTheme="minorEastAsia"/>
          <w:bCs/>
          <w:color w:val="auto"/>
          <w:sz w:val="32"/>
          <w:szCs w:val="32"/>
          <w:highlight w:val="none"/>
          <w:lang w:val="en-US" w:eastAsia="zh-CN"/>
        </w:rPr>
        <w:t>十一</w:t>
      </w:r>
      <w:r>
        <w:rPr>
          <w:rFonts w:hint="eastAsia" w:cs="仿宋_GB2312" w:asciiTheme="minorEastAsia" w:hAnsiTheme="minorEastAsia" w:eastAsiaTheme="minorEastAsia"/>
          <w:bCs/>
          <w:color w:val="auto"/>
          <w:sz w:val="32"/>
          <w:szCs w:val="32"/>
          <w:highlight w:val="none"/>
        </w:rPr>
        <w:t>月</w:t>
      </w:r>
      <w:r>
        <w:rPr>
          <w:rFonts w:hint="eastAsia" w:cs="仿宋_GB2312" w:asciiTheme="minorEastAsia" w:hAnsiTheme="minorEastAsia" w:eastAsiaTheme="minorEastAsia"/>
          <w:bCs/>
          <w:color w:val="auto"/>
          <w:sz w:val="32"/>
          <w:szCs w:val="32"/>
          <w:highlight w:val="none"/>
          <w:lang w:val="en-US" w:eastAsia="zh-CN"/>
        </w:rPr>
        <w:t>十九</w:t>
      </w:r>
      <w:r>
        <w:rPr>
          <w:rFonts w:hint="eastAsia" w:cs="仿宋_GB2312" w:asciiTheme="minorEastAsia" w:hAnsiTheme="minorEastAsia" w:eastAsiaTheme="minorEastAsia"/>
          <w:bCs/>
          <w:color w:val="auto"/>
          <w:sz w:val="32"/>
          <w:szCs w:val="32"/>
          <w:highlight w:val="none"/>
        </w:rPr>
        <w:t>日</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br w:type="page"/>
      </w:r>
      <w:bookmarkStart w:id="0" w:name="_Hlt67893495"/>
      <w:bookmarkEnd w:id="0"/>
    </w:p>
    <w:p>
      <w:pPr>
        <w:tabs>
          <w:tab w:val="left" w:pos="2268"/>
        </w:tabs>
        <w:spacing w:line="360" w:lineRule="auto"/>
        <w:jc w:val="center"/>
        <w:rPr>
          <w:rFonts w:cs="仿宋_GB2312" w:asciiTheme="minorEastAsia" w:hAnsiTheme="minorEastAsia" w:eastAsiaTheme="minorEastAsia"/>
          <w:color w:val="auto"/>
          <w:sz w:val="24"/>
        </w:rPr>
      </w:pPr>
    </w:p>
    <w:p>
      <w:pPr>
        <w:spacing w:line="360" w:lineRule="auto"/>
        <w:jc w:val="center"/>
        <w:rPr>
          <w:rFonts w:cs="仿宋_GB2312" w:asciiTheme="minorEastAsia" w:hAnsiTheme="minorEastAsia" w:eastAsiaTheme="minorEastAsia"/>
          <w:b/>
          <w:color w:val="auto"/>
          <w:sz w:val="48"/>
          <w:szCs w:val="48"/>
        </w:rPr>
      </w:pPr>
      <w:r>
        <w:rPr>
          <w:rFonts w:hint="eastAsia" w:cs="仿宋_GB2312" w:asciiTheme="minorEastAsia" w:hAnsiTheme="minorEastAsia" w:eastAsiaTheme="minorEastAsia"/>
          <w:b/>
          <w:color w:val="auto"/>
          <w:sz w:val="48"/>
          <w:szCs w:val="48"/>
        </w:rPr>
        <w:t>目  录</w:t>
      </w:r>
    </w:p>
    <w:p>
      <w:pPr>
        <w:spacing w:line="360" w:lineRule="auto"/>
        <w:rPr>
          <w:rFonts w:cs="仿宋_GB2312" w:asciiTheme="minorEastAsia" w:hAnsiTheme="minorEastAsia" w:eastAsiaTheme="minorEastAsia"/>
          <w:color w:val="auto"/>
          <w:sz w:val="32"/>
          <w:szCs w:val="32"/>
        </w:rPr>
      </w:pPr>
    </w:p>
    <w:p>
      <w:pPr>
        <w:pStyle w:val="40"/>
        <w:tabs>
          <w:tab w:val="right" w:leader="dot" w:pos="9060"/>
        </w:tabs>
        <w:spacing w:line="360" w:lineRule="auto"/>
        <w:rPr>
          <w:rFonts w:asciiTheme="minorEastAsia" w:hAnsiTheme="minorEastAsia" w:eastAsiaTheme="minorEastAsia" w:cstheme="minorBidi"/>
          <w:color w:val="auto"/>
          <w:sz w:val="32"/>
          <w:szCs w:val="32"/>
        </w:rPr>
      </w:pPr>
      <w:bookmarkStart w:id="1" w:name="_Hlt91233176"/>
      <w:bookmarkEnd w:id="1"/>
      <w:bookmarkStart w:id="2" w:name="_Toc91899869"/>
      <w:r>
        <w:rPr>
          <w:rFonts w:cs="仿宋_GB2312" w:asciiTheme="minorEastAsia" w:hAnsiTheme="minorEastAsia" w:eastAsiaTheme="minorEastAsia"/>
          <w:color w:val="auto"/>
          <w:sz w:val="32"/>
          <w:szCs w:val="32"/>
        </w:rPr>
        <w:fldChar w:fldCharType="begin"/>
      </w:r>
      <w:r>
        <w:rPr>
          <w:rFonts w:cs="仿宋_GB2312" w:asciiTheme="minorEastAsia" w:hAnsiTheme="minorEastAsia" w:eastAsiaTheme="minorEastAsia"/>
          <w:color w:val="auto"/>
          <w:sz w:val="32"/>
          <w:szCs w:val="32"/>
        </w:rPr>
        <w:instrText xml:space="preserve"> TOC \o "1-1" \h \z \u </w:instrText>
      </w:r>
      <w:r>
        <w:rPr>
          <w:rFonts w:cs="仿宋_GB2312" w:asciiTheme="minorEastAsia" w:hAnsiTheme="minorEastAsia" w:eastAsiaTheme="minorEastAsia"/>
          <w:color w:val="auto"/>
          <w:sz w:val="32"/>
          <w:szCs w:val="32"/>
        </w:rPr>
        <w:fldChar w:fldCharType="separate"/>
      </w:r>
      <w:r>
        <w:rPr>
          <w:color w:val="auto"/>
        </w:rPr>
        <w:fldChar w:fldCharType="begin"/>
      </w:r>
      <w:r>
        <w:rPr>
          <w:color w:val="auto"/>
        </w:rPr>
        <w:instrText xml:space="preserve"> HYPERLINK \l "_Toc181265281" </w:instrText>
      </w:r>
      <w:r>
        <w:rPr>
          <w:color w:val="auto"/>
        </w:rPr>
        <w:fldChar w:fldCharType="separate"/>
      </w:r>
      <w:r>
        <w:rPr>
          <w:rStyle w:val="68"/>
          <w:rFonts w:hint="eastAsia" w:cs="仿宋_GB2312" w:asciiTheme="minorEastAsia" w:hAnsiTheme="minorEastAsia" w:eastAsiaTheme="minorEastAsia"/>
          <w:color w:val="auto"/>
          <w:sz w:val="32"/>
          <w:szCs w:val="32"/>
        </w:rPr>
        <w:t>第一部分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采购公告</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_Toc181265281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"_Toc181265282" </w:instrText>
      </w:r>
      <w:r>
        <w:rPr>
          <w:color w:val="auto"/>
        </w:rPr>
        <w:fldChar w:fldCharType="separate"/>
      </w:r>
      <w:r>
        <w:rPr>
          <w:rStyle w:val="68"/>
          <w:rFonts w:hint="eastAsia" w:cs="仿宋_GB2312" w:asciiTheme="minorEastAsia" w:hAnsiTheme="minorEastAsia" w:eastAsiaTheme="minorEastAsia"/>
          <w:color w:val="auto"/>
          <w:sz w:val="32"/>
          <w:szCs w:val="32"/>
        </w:rPr>
        <w:t>第二部分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竞争性谈判流程</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_Toc181265282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7</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"_Toc181265283" </w:instrText>
      </w:r>
      <w:r>
        <w:rPr>
          <w:color w:val="auto"/>
        </w:rPr>
        <w:fldChar w:fldCharType="separate"/>
      </w:r>
      <w:r>
        <w:rPr>
          <w:rStyle w:val="68"/>
          <w:rFonts w:hint="eastAsia" w:cs="仿宋_GB2312" w:asciiTheme="minorEastAsia" w:hAnsiTheme="minorEastAsia" w:eastAsiaTheme="minorEastAsia"/>
          <w:color w:val="auto"/>
          <w:sz w:val="32"/>
          <w:szCs w:val="32"/>
        </w:rPr>
        <w:t>第三部分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供应商须知</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_Toc181265283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11</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"_Toc181265284" </w:instrText>
      </w:r>
      <w:r>
        <w:rPr>
          <w:color w:val="auto"/>
        </w:rPr>
        <w:fldChar w:fldCharType="separate"/>
      </w:r>
      <w:r>
        <w:rPr>
          <w:rStyle w:val="68"/>
          <w:rFonts w:hint="eastAsia" w:cs="仿宋_GB2312" w:asciiTheme="minorEastAsia" w:hAnsiTheme="minorEastAsia" w:eastAsiaTheme="minorEastAsia"/>
          <w:color w:val="auto"/>
          <w:sz w:val="32"/>
          <w:szCs w:val="32"/>
        </w:rPr>
        <w:t>第四部分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采购需求</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_Toc181265284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31</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"_Toc181265285" </w:instrText>
      </w:r>
      <w:r>
        <w:rPr>
          <w:color w:val="auto"/>
        </w:rPr>
        <w:fldChar w:fldCharType="separate"/>
      </w:r>
      <w:r>
        <w:rPr>
          <w:rStyle w:val="68"/>
          <w:rFonts w:hint="eastAsia" w:cs="仿宋_GB2312" w:asciiTheme="minorEastAsia" w:hAnsiTheme="minorEastAsia" w:eastAsiaTheme="minorEastAsia"/>
          <w:color w:val="auto"/>
          <w:sz w:val="32"/>
          <w:szCs w:val="32"/>
        </w:rPr>
        <w:t>第五部分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评定标准</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_Toc181265285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57</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"_Toc181265286" </w:instrText>
      </w:r>
      <w:r>
        <w:rPr>
          <w:color w:val="auto"/>
        </w:rPr>
        <w:fldChar w:fldCharType="separate"/>
      </w:r>
      <w:r>
        <w:rPr>
          <w:rStyle w:val="68"/>
          <w:rFonts w:hint="eastAsia" w:cs="仿宋_GB2312" w:asciiTheme="minorEastAsia" w:hAnsiTheme="minorEastAsia" w:eastAsiaTheme="minorEastAsia"/>
          <w:color w:val="auto"/>
          <w:sz w:val="32"/>
          <w:szCs w:val="32"/>
        </w:rPr>
        <w:t>第六部分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拟签订的合同文本</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_Toc181265286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64</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pPr>
        <w:pStyle w:val="40"/>
        <w:tabs>
          <w:tab w:val="right" w:leader="dot" w:pos="9060"/>
        </w:tabs>
        <w:spacing w:line="360" w:lineRule="auto"/>
        <w:rPr>
          <w:rFonts w:hint="eastAsia" w:asciiTheme="minorEastAsia" w:hAnsiTheme="minorEastAsia" w:eastAsiaTheme="minorEastAsia" w:cstheme="minorBidi"/>
          <w:color w:val="auto"/>
          <w:sz w:val="32"/>
          <w:szCs w:val="32"/>
          <w:lang w:val="en-US" w:eastAsia="zh-CN"/>
        </w:rPr>
      </w:pPr>
      <w:r>
        <w:rPr>
          <w:color w:val="auto"/>
        </w:rPr>
        <w:fldChar w:fldCharType="begin"/>
      </w:r>
      <w:r>
        <w:rPr>
          <w:color w:val="auto"/>
        </w:rPr>
        <w:instrText xml:space="preserve"> HYPERLINK \l "_Toc181265287" </w:instrText>
      </w:r>
      <w:r>
        <w:rPr>
          <w:color w:val="auto"/>
        </w:rPr>
        <w:fldChar w:fldCharType="separate"/>
      </w:r>
      <w:r>
        <w:rPr>
          <w:rStyle w:val="68"/>
          <w:rFonts w:hint="eastAsia" w:cs="仿宋_GB2312" w:asciiTheme="minorEastAsia" w:hAnsiTheme="minorEastAsia" w:eastAsiaTheme="minorEastAsia"/>
          <w:color w:val="auto"/>
          <w:sz w:val="32"/>
          <w:szCs w:val="32"/>
        </w:rPr>
        <w:t>第七部分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应提交的有关格式范例</w:t>
      </w:r>
      <w:r>
        <w:rPr>
          <w:rFonts w:asciiTheme="minorEastAsia" w:hAnsiTheme="minorEastAsia" w:eastAsiaTheme="minorEastAsia"/>
          <w:color w:val="auto"/>
          <w:sz w:val="32"/>
          <w:szCs w:val="32"/>
        </w:rPr>
        <w:tab/>
      </w:r>
      <w:r>
        <w:rPr>
          <w:rFonts w:hint="eastAsia" w:asciiTheme="minorEastAsia" w:hAnsiTheme="minorEastAsia" w:eastAsiaTheme="minorEastAsia"/>
          <w:color w:val="auto"/>
          <w:sz w:val="32"/>
          <w:szCs w:val="32"/>
          <w:lang w:val="en-US" w:eastAsia="zh-CN"/>
        </w:rPr>
        <w:t>8</w:t>
      </w:r>
      <w:r>
        <w:rPr>
          <w:rFonts w:hint="eastAsia" w:asciiTheme="minorEastAsia" w:hAnsiTheme="minorEastAsia" w:eastAsiaTheme="minorEastAsia"/>
          <w:color w:val="auto"/>
          <w:sz w:val="32"/>
          <w:szCs w:val="32"/>
        </w:rPr>
        <w:fldChar w:fldCharType="end"/>
      </w:r>
      <w:r>
        <w:rPr>
          <w:rFonts w:hint="eastAsia" w:asciiTheme="minorEastAsia" w:hAnsiTheme="minorEastAsia" w:eastAsiaTheme="minorEastAsia"/>
          <w:color w:val="auto"/>
          <w:sz w:val="32"/>
          <w:szCs w:val="32"/>
          <w:lang w:val="en-US" w:eastAsia="zh-CN"/>
        </w:rPr>
        <w:t>1</w:t>
      </w:r>
    </w:p>
    <w:p>
      <w:pPr>
        <w:pStyle w:val="40"/>
        <w:tabs>
          <w:tab w:val="right" w:leader="dot" w:pos="9060"/>
        </w:tabs>
        <w:spacing w:line="360" w:lineRule="auto"/>
        <w:rPr>
          <w:rFonts w:asciiTheme="minorEastAsia" w:hAnsiTheme="minorEastAsia" w:eastAsiaTheme="minorEastAsia" w:cstheme="minorBidi"/>
          <w:color w:val="auto"/>
          <w:sz w:val="32"/>
          <w:szCs w:val="32"/>
        </w:rPr>
      </w:pPr>
      <w:r>
        <w:rPr>
          <w:color w:val="auto"/>
        </w:rPr>
        <w:fldChar w:fldCharType="begin"/>
      </w:r>
      <w:r>
        <w:rPr>
          <w:color w:val="auto"/>
        </w:rPr>
        <w:instrText xml:space="preserve"> HYPERLINK \l "_Toc181265288" </w:instrText>
      </w:r>
      <w:r>
        <w:rPr>
          <w:color w:val="auto"/>
        </w:rPr>
        <w:fldChar w:fldCharType="separate"/>
      </w:r>
      <w:r>
        <w:rPr>
          <w:rStyle w:val="68"/>
          <w:rFonts w:hint="eastAsia" w:cs="仿宋_GB2312" w:asciiTheme="minorEastAsia" w:hAnsiTheme="minorEastAsia" w:eastAsiaTheme="minorEastAsia"/>
          <w:color w:val="auto"/>
          <w:sz w:val="32"/>
          <w:szCs w:val="32"/>
        </w:rPr>
        <w:t>第八部分</w:t>
      </w:r>
      <w:r>
        <w:rPr>
          <w:rStyle w:val="68"/>
          <w:rFonts w:cs="仿宋_GB2312" w:asciiTheme="minorEastAsia" w:hAnsiTheme="minorEastAsia" w:eastAsiaTheme="minorEastAsia"/>
          <w:color w:val="auto"/>
          <w:sz w:val="32"/>
          <w:szCs w:val="32"/>
        </w:rPr>
        <w:t xml:space="preserve">  </w:t>
      </w:r>
      <w:r>
        <w:rPr>
          <w:rStyle w:val="68"/>
          <w:rFonts w:hint="eastAsia" w:cs="仿宋_GB2312" w:asciiTheme="minorEastAsia" w:hAnsiTheme="minorEastAsia" w:eastAsiaTheme="minorEastAsia"/>
          <w:color w:val="auto"/>
          <w:sz w:val="32"/>
          <w:szCs w:val="32"/>
        </w:rPr>
        <w:t>最后报价格式</w:t>
      </w:r>
      <w:r>
        <w:rPr>
          <w:rFonts w:asciiTheme="minorEastAsia" w:hAnsiTheme="minorEastAsia" w:eastAsiaTheme="minorEastAsia"/>
          <w:color w:val="auto"/>
          <w:sz w:val="32"/>
          <w:szCs w:val="32"/>
        </w:rPr>
        <w:tab/>
      </w:r>
      <w:r>
        <w:rPr>
          <w:rFonts w:asciiTheme="minorEastAsia" w:hAnsiTheme="minorEastAsia" w:eastAsiaTheme="minorEastAsia"/>
          <w:color w:val="auto"/>
          <w:sz w:val="32"/>
          <w:szCs w:val="32"/>
        </w:rPr>
        <w:fldChar w:fldCharType="begin"/>
      </w:r>
      <w:r>
        <w:rPr>
          <w:rFonts w:asciiTheme="minorEastAsia" w:hAnsiTheme="minorEastAsia" w:eastAsiaTheme="minorEastAsia"/>
          <w:color w:val="auto"/>
          <w:sz w:val="32"/>
          <w:szCs w:val="32"/>
        </w:rPr>
        <w:instrText xml:space="preserve"> PAGEREF _Toc181265288 \h </w:instrText>
      </w:r>
      <w:r>
        <w:rPr>
          <w:rFonts w:asciiTheme="minorEastAsia" w:hAnsiTheme="minorEastAsia" w:eastAsiaTheme="minorEastAsia"/>
          <w:color w:val="auto"/>
          <w:sz w:val="32"/>
          <w:szCs w:val="32"/>
        </w:rPr>
        <w:fldChar w:fldCharType="separate"/>
      </w:r>
      <w:r>
        <w:rPr>
          <w:rFonts w:asciiTheme="minorEastAsia" w:hAnsiTheme="minorEastAsia" w:eastAsiaTheme="minorEastAsia"/>
          <w:color w:val="auto"/>
          <w:sz w:val="32"/>
          <w:szCs w:val="32"/>
        </w:rPr>
        <w:t>104</w:t>
      </w:r>
      <w:r>
        <w:rPr>
          <w:rFonts w:asciiTheme="minorEastAsia" w:hAnsiTheme="minorEastAsia" w:eastAsiaTheme="minorEastAsia"/>
          <w:color w:val="auto"/>
          <w:sz w:val="32"/>
          <w:szCs w:val="32"/>
        </w:rPr>
        <w:fldChar w:fldCharType="end"/>
      </w:r>
      <w:r>
        <w:rPr>
          <w:rFonts w:asciiTheme="minorEastAsia" w:hAnsiTheme="minorEastAsia" w:eastAsiaTheme="minorEastAsia"/>
          <w:color w:val="auto"/>
          <w:sz w:val="32"/>
          <w:szCs w:val="32"/>
        </w:rPr>
        <w:fldChar w:fldCharType="end"/>
      </w:r>
    </w:p>
    <w:p>
      <w:pPr>
        <w:spacing w:line="360" w:lineRule="auto"/>
        <w:ind w:firstLine="732" w:firstLineChars="229"/>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32"/>
          <w:szCs w:val="32"/>
        </w:rPr>
        <w:fldChar w:fldCharType="end"/>
      </w: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ind w:firstLine="549" w:firstLineChars="229"/>
        <w:rPr>
          <w:rFonts w:cs="仿宋_GB2312" w:asciiTheme="minorEastAsia" w:hAnsiTheme="minorEastAsia" w:eastAsiaTheme="minorEastAsia"/>
          <w:color w:val="auto"/>
          <w:sz w:val="24"/>
        </w:rPr>
      </w:pPr>
    </w:p>
    <w:p>
      <w:pPr>
        <w:spacing w:line="360" w:lineRule="auto"/>
        <w:rPr>
          <w:rFonts w:cs="仿宋_GB2312" w:asciiTheme="minorEastAsia" w:hAnsiTheme="minorEastAsia" w:eastAsiaTheme="minorEastAsia"/>
          <w:color w:val="auto"/>
          <w:sz w:val="24"/>
        </w:rPr>
      </w:pPr>
    </w:p>
    <w:p>
      <w:pPr>
        <w:adjustRightInd/>
        <w:spacing w:line="360" w:lineRule="auto"/>
        <w:jc w:val="center"/>
        <w:outlineLvl w:val="0"/>
        <w:rPr>
          <w:rFonts w:cs="仿宋_GB2312" w:asciiTheme="minorEastAsia" w:hAnsiTheme="minorEastAsia" w:eastAsiaTheme="minorEastAsia"/>
          <w:b/>
          <w:color w:val="auto"/>
          <w:sz w:val="36"/>
          <w:szCs w:val="20"/>
        </w:rPr>
      </w:pPr>
      <w:bookmarkStart w:id="3" w:name="第一部分"/>
      <w:r>
        <w:rPr>
          <w:rFonts w:hint="eastAsia" w:cs="仿宋_GB2312" w:asciiTheme="minorEastAsia" w:hAnsiTheme="minorEastAsia" w:eastAsiaTheme="minorEastAsia"/>
          <w:b/>
          <w:color w:val="auto"/>
          <w:sz w:val="36"/>
          <w:szCs w:val="36"/>
        </w:rPr>
        <w:br w:type="page"/>
      </w:r>
      <w:bookmarkEnd w:id="2"/>
      <w:bookmarkEnd w:id="3"/>
      <w:bookmarkStart w:id="4" w:name="_Hlt74729822"/>
      <w:bookmarkEnd w:id="4"/>
      <w:bookmarkStart w:id="5" w:name="_Hlt74728647"/>
      <w:bookmarkEnd w:id="5"/>
      <w:bookmarkStart w:id="6" w:name="_Hlt74649545"/>
      <w:bookmarkEnd w:id="6"/>
      <w:bookmarkStart w:id="7" w:name="_Hlt74707423"/>
      <w:bookmarkEnd w:id="7"/>
      <w:bookmarkStart w:id="8" w:name="_Toc181265281"/>
      <w:bookmarkStart w:id="9" w:name="第二部分"/>
      <w:bookmarkStart w:id="10" w:name="_Toc91899870"/>
      <w:bookmarkStart w:id="11" w:name="_Toc91899871"/>
      <w:r>
        <w:rPr>
          <w:rFonts w:hint="eastAsia" w:cs="仿宋_GB2312" w:asciiTheme="minorEastAsia" w:hAnsiTheme="minorEastAsia" w:eastAsiaTheme="minorEastAsia"/>
          <w:b/>
          <w:color w:val="auto"/>
          <w:sz w:val="36"/>
          <w:szCs w:val="20"/>
        </w:rPr>
        <w:t xml:space="preserve">第一部分  </w:t>
      </w:r>
      <w:bookmarkEnd w:id="8"/>
      <w:r>
        <w:rPr>
          <w:rFonts w:hint="eastAsia" w:cs="仿宋_GB2312" w:asciiTheme="minorEastAsia" w:hAnsiTheme="minorEastAsia" w:eastAsiaTheme="minorEastAsia"/>
          <w:b/>
          <w:color w:val="auto"/>
          <w:sz w:val="36"/>
          <w:szCs w:val="36"/>
        </w:rPr>
        <w:t>采购公告</w:t>
      </w:r>
    </w:p>
    <w:p>
      <w:pPr>
        <w:adjustRightInd/>
        <w:jc w:val="center"/>
        <w:rPr>
          <w:rFonts w:cs="仿宋_GB2312" w:asciiTheme="minorEastAsia" w:hAnsiTheme="minorEastAsia" w:eastAsiaTheme="minorEastAsia"/>
          <w:b/>
          <w:color w:val="auto"/>
          <w:sz w:val="36"/>
          <w:szCs w:val="20"/>
        </w:rPr>
      </w:pPr>
      <w:bookmarkStart w:id="12" w:name="OLE_LINK1"/>
      <w:bookmarkStart w:id="13" w:name="OLE_LINK101"/>
      <w:r>
        <w:rPr>
          <w:rFonts w:hint="eastAsia" w:cs="仿宋_GB2312" w:asciiTheme="minorEastAsia" w:hAnsiTheme="minorEastAsia" w:eastAsiaTheme="minorEastAsia"/>
          <w:b/>
          <w:color w:val="auto"/>
          <w:sz w:val="36"/>
          <w:szCs w:val="20"/>
        </w:rPr>
        <w:t>北海市政府采购中心关于</w:t>
      </w:r>
      <w:bookmarkStart w:id="14" w:name="OLE_LINK90"/>
      <w:bookmarkStart w:id="15" w:name="OLE_LINK49"/>
      <w:bookmarkStart w:id="16" w:name="OLE_LINK72"/>
      <w:r>
        <w:rPr>
          <w:rFonts w:hint="eastAsia" w:cs="仿宋_GB2312" w:asciiTheme="minorEastAsia" w:hAnsiTheme="minorEastAsia" w:eastAsiaTheme="minorEastAsia"/>
          <w:b/>
          <w:color w:val="auto"/>
          <w:sz w:val="36"/>
          <w:szCs w:val="20"/>
        </w:rPr>
        <w:t>合浦县教育局</w:t>
      </w:r>
      <w:bookmarkEnd w:id="14"/>
      <w:bookmarkEnd w:id="15"/>
      <w:bookmarkEnd w:id="16"/>
      <w:bookmarkStart w:id="17" w:name="OLE_LINK91"/>
      <w:bookmarkStart w:id="18" w:name="OLE_LINK92"/>
      <w:r>
        <w:rPr>
          <w:rFonts w:hint="eastAsia" w:cs="仿宋_GB2312" w:asciiTheme="minorEastAsia" w:hAnsiTheme="minorEastAsia" w:eastAsiaTheme="minorEastAsia"/>
          <w:b/>
          <w:color w:val="auto"/>
          <w:sz w:val="36"/>
          <w:szCs w:val="20"/>
          <w:lang w:eastAsia="zh-CN"/>
        </w:rPr>
        <w:t>2025年第二批义务教育薄弱环节改善与能力提升补助资金项目设备采购（伙房设备、计算机）</w:t>
      </w:r>
      <w:r>
        <w:rPr>
          <w:rFonts w:hint="eastAsia" w:cs="仿宋_GB2312" w:asciiTheme="minorEastAsia" w:hAnsiTheme="minorEastAsia" w:eastAsiaTheme="minorEastAsia"/>
          <w:b/>
          <w:color w:val="auto"/>
          <w:sz w:val="36"/>
          <w:szCs w:val="20"/>
        </w:rPr>
        <w:t>(</w:t>
      </w:r>
      <w:r>
        <w:rPr>
          <w:rFonts w:hint="eastAsia" w:cs="仿宋_GB2312" w:asciiTheme="minorEastAsia" w:hAnsiTheme="minorEastAsia" w:eastAsiaTheme="minorEastAsia"/>
          <w:b/>
          <w:color w:val="auto"/>
          <w:sz w:val="36"/>
          <w:szCs w:val="20"/>
          <w:lang w:eastAsia="zh-CN"/>
        </w:rPr>
        <w:t>BHZC2025-J1-210200-CGZX</w:t>
      </w:r>
      <w:r>
        <w:rPr>
          <w:rFonts w:hint="eastAsia" w:cs="仿宋_GB2312" w:asciiTheme="minorEastAsia" w:hAnsiTheme="minorEastAsia" w:eastAsiaTheme="minorEastAsia"/>
          <w:b/>
          <w:color w:val="auto"/>
          <w:sz w:val="36"/>
          <w:szCs w:val="20"/>
        </w:rPr>
        <w:t>)</w:t>
      </w:r>
      <w:bookmarkEnd w:id="17"/>
      <w:bookmarkEnd w:id="18"/>
      <w:r>
        <w:rPr>
          <w:rFonts w:hint="eastAsia" w:cs="仿宋_GB2312" w:asciiTheme="minorEastAsia" w:hAnsiTheme="minorEastAsia" w:eastAsiaTheme="minorEastAsia"/>
          <w:b/>
          <w:color w:val="auto"/>
          <w:sz w:val="36"/>
          <w:szCs w:val="20"/>
        </w:rPr>
        <w:t>竞争性谈判采购公告</w:t>
      </w:r>
    </w:p>
    <w:p>
      <w:pPr>
        <w:spacing w:line="360" w:lineRule="auto"/>
        <w:rPr>
          <w:rFonts w:asciiTheme="minorEastAsia" w:hAnsiTheme="minorEastAsia" w:eastAsiaTheme="minorEastAsia"/>
          <w:color w:val="auto"/>
          <w:szCs w:val="21"/>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r>
        <w:rPr>
          <w:rFonts w:hint="eastAsia" w:ascii="宋体" w:hAnsi="宋体" w:cs="宋体"/>
          <w:color w:val="auto"/>
          <w:sz w:val="24"/>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rPr>
      </w:pPr>
      <w:r>
        <w:rPr>
          <w:rFonts w:hint="eastAsia" w:ascii="宋体" w:hAnsi="宋体" w:cs="宋体"/>
          <w:color w:val="auto"/>
          <w:sz w:val="24"/>
          <w:lang w:eastAsia="zh-CN"/>
        </w:rPr>
        <w:t>2025年第二批义务教育薄弱环节改善与能力提升补助资金项目设备采购（伙房设备、计算机）</w:t>
      </w:r>
      <w:r>
        <w:rPr>
          <w:rFonts w:hint="eastAsia" w:ascii="宋体" w:hAnsi="宋体" w:cs="宋体"/>
          <w:color w:val="auto"/>
          <w:sz w:val="24"/>
        </w:rPr>
        <w:t>采购项目的潜在供应商应在广西政府采购云平台（</w:t>
      </w:r>
      <w:r>
        <w:rPr>
          <w:rFonts w:ascii="宋体" w:hAnsi="宋体" w:cs="宋体"/>
          <w:color w:val="auto"/>
          <w:sz w:val="24"/>
        </w:rPr>
        <w:t>网址：</w:t>
      </w:r>
      <w:r>
        <w:rPr>
          <w:rFonts w:ascii="宋体" w:hAnsi="宋体" w:cs="宋体"/>
          <w:color w:val="auto"/>
          <w:sz w:val="24"/>
        </w:rPr>
        <w:fldChar w:fldCharType="begin"/>
      </w:r>
      <w:r>
        <w:rPr>
          <w:rFonts w:ascii="宋体" w:hAnsi="宋体" w:cs="宋体"/>
          <w:color w:val="auto"/>
          <w:sz w:val="24"/>
        </w:rPr>
        <w:instrText xml:space="preserve"> HYPERLINK "http://www.gcy.zfcg.gxzf.gov.cn）获取采购文件，并于2025年" </w:instrText>
      </w:r>
      <w:r>
        <w:rPr>
          <w:rFonts w:ascii="宋体" w:hAnsi="宋体" w:cs="宋体"/>
          <w:color w:val="auto"/>
          <w:sz w:val="24"/>
        </w:rPr>
        <w:fldChar w:fldCharType="separate"/>
      </w:r>
      <w:r>
        <w:rPr>
          <w:rStyle w:val="68"/>
          <w:rFonts w:ascii="宋体" w:hAnsi="宋体" w:cs="宋体"/>
          <w:color w:val="auto"/>
          <w:sz w:val="24"/>
        </w:rPr>
        <w:t>http://www.gcy.zfcg.gxzf.gov.cn</w:t>
      </w:r>
      <w:r>
        <w:rPr>
          <w:rFonts w:hint="eastAsia" w:ascii="宋体" w:hAnsi="宋体" w:cs="宋体"/>
          <w:color w:val="auto"/>
          <w:sz w:val="24"/>
          <w:lang w:eastAsia="zh-CN"/>
        </w:rPr>
        <w:t>）获取采购文件，并于</w:t>
      </w:r>
      <w:r>
        <w:rPr>
          <w:rStyle w:val="68"/>
          <w:rFonts w:hint="eastAsia" w:ascii="宋体" w:hAnsi="宋体" w:cs="宋体"/>
          <w:color w:val="auto"/>
          <w:sz w:val="24"/>
        </w:rPr>
        <w:t>2025年</w:t>
      </w:r>
      <w:r>
        <w:rPr>
          <w:rFonts w:ascii="宋体" w:hAnsi="宋体" w:cs="宋体"/>
          <w:color w:val="auto"/>
          <w:sz w:val="24"/>
        </w:rPr>
        <w:fldChar w:fldCharType="end"/>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25</w:t>
      </w:r>
      <w:r>
        <w:rPr>
          <w:rFonts w:hint="eastAsia" w:ascii="宋体" w:hAnsi="宋体" w:cs="宋体"/>
          <w:color w:val="auto"/>
          <w:sz w:val="24"/>
        </w:rPr>
        <w:t>日09:00</w:t>
      </w:r>
      <w:r>
        <w:rPr>
          <w:rFonts w:hint="eastAsia" w:ascii="宋体" w:hAnsi="宋体" w:cs="宋体"/>
          <w:bCs/>
          <w:color w:val="auto"/>
          <w:sz w:val="24"/>
        </w:rPr>
        <w:t>（北京时间）前提交响应文件</w:t>
      </w:r>
      <w:r>
        <w:rPr>
          <w:rFonts w:hint="eastAsia" w:ascii="宋体" w:hAnsi="宋体" w:cs="宋体"/>
          <w:color w:val="auto"/>
          <w:sz w:val="24"/>
        </w:rPr>
        <w:t>。</w:t>
      </w:r>
    </w:p>
    <w:p>
      <w:pPr>
        <w:spacing w:line="360" w:lineRule="auto"/>
        <w:rPr>
          <w:rFonts w:ascii="宋体" w:hAnsi="宋体" w:cs="宋体"/>
          <w:color w:val="auto"/>
          <w:sz w:val="24"/>
        </w:rPr>
      </w:pPr>
    </w:p>
    <w:p>
      <w:pPr>
        <w:spacing w:line="360" w:lineRule="auto"/>
        <w:jc w:val="left"/>
        <w:rPr>
          <w:rFonts w:ascii="宋体" w:hAnsi="宋体" w:cs="宋体"/>
          <w:b/>
          <w:color w:val="auto"/>
          <w:sz w:val="24"/>
        </w:rPr>
      </w:pPr>
      <w:r>
        <w:rPr>
          <w:rFonts w:hint="eastAsia" w:ascii="宋体" w:hAnsi="宋体" w:cs="宋体"/>
          <w:b/>
          <w:color w:val="auto"/>
          <w:sz w:val="24"/>
        </w:rPr>
        <w:t>一、项目基本情况</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lang w:eastAsia="zh-CN"/>
        </w:rPr>
      </w:pPr>
      <w:r>
        <w:rPr>
          <w:rFonts w:hint="eastAsia" w:ascii="宋体" w:hAnsi="宋体" w:cs="宋体"/>
          <w:color w:val="auto"/>
          <w:kern w:val="0"/>
          <w:sz w:val="24"/>
        </w:rPr>
        <w:t>项目编号：</w:t>
      </w:r>
      <w:r>
        <w:rPr>
          <w:rFonts w:hint="eastAsia" w:ascii="宋体" w:hAnsi="宋体" w:cs="宋体"/>
          <w:color w:val="auto"/>
          <w:kern w:val="0"/>
          <w:sz w:val="24"/>
          <w:lang w:eastAsia="zh-CN"/>
        </w:rPr>
        <w:t>BHZC2025-J1-210200-CGZX</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lang w:eastAsia="zh-CN"/>
        </w:rPr>
      </w:pPr>
      <w:r>
        <w:rPr>
          <w:rFonts w:hint="eastAsia" w:ascii="宋体" w:hAnsi="宋体" w:cs="宋体"/>
          <w:color w:val="auto"/>
          <w:kern w:val="0"/>
          <w:sz w:val="24"/>
        </w:rPr>
        <w:t>项目名称：</w:t>
      </w:r>
      <w:bookmarkStart w:id="19" w:name="OLE_LINK20"/>
      <w:bookmarkStart w:id="20" w:name="OLE_LINK47"/>
      <w:bookmarkStart w:id="21" w:name="OLE_LINK18"/>
      <w:bookmarkStart w:id="22" w:name="OLE_LINK19"/>
      <w:r>
        <w:rPr>
          <w:rFonts w:hint="eastAsia" w:ascii="宋体" w:hAnsi="宋体" w:cs="宋体"/>
          <w:color w:val="auto"/>
          <w:kern w:val="0"/>
          <w:sz w:val="24"/>
          <w:lang w:eastAsia="zh-CN"/>
        </w:rPr>
        <w:t>2025年第二批义务教育薄弱环节改善与能力提升补助资金项目设备采购（伙房设备、计算机）</w:t>
      </w:r>
    </w:p>
    <w:bookmarkEnd w:id="19"/>
    <w:bookmarkEnd w:id="20"/>
    <w:bookmarkEnd w:id="21"/>
    <w:bookmarkEnd w:id="22"/>
    <w:p>
      <w:pPr>
        <w:tabs>
          <w:tab w:val="left" w:pos="9639"/>
          <w:tab w:val="left" w:pos="9746"/>
        </w:tabs>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采购方式：竞争性谈判 </w:t>
      </w:r>
    </w:p>
    <w:p>
      <w:pPr>
        <w:tabs>
          <w:tab w:val="left" w:pos="9639"/>
          <w:tab w:val="left" w:pos="9746"/>
        </w:tabs>
        <w:snapToGrid w:val="0"/>
        <w:spacing w:line="360" w:lineRule="auto"/>
        <w:ind w:firstLine="480" w:firstLineChars="200"/>
        <w:rPr>
          <w:rFonts w:hint="eastAsia" w:ascii="宋体" w:hAnsi="宋体" w:eastAsia="宋体" w:cs="宋体"/>
          <w:color w:val="auto"/>
          <w:kern w:val="0"/>
          <w:sz w:val="24"/>
          <w:lang w:eastAsia="zh-CN"/>
        </w:rPr>
      </w:pPr>
      <w:r>
        <w:rPr>
          <w:rFonts w:hint="eastAsia" w:ascii="宋体" w:hAnsi="宋体" w:cs="宋体"/>
          <w:color w:val="auto"/>
          <w:kern w:val="0"/>
          <w:sz w:val="24"/>
        </w:rPr>
        <w:t>预算金额（元）：</w:t>
      </w:r>
      <w:r>
        <w:rPr>
          <w:rFonts w:hint="eastAsia" w:ascii="宋体" w:hAnsi="宋体" w:cs="宋体"/>
          <w:color w:val="auto"/>
          <w:kern w:val="0"/>
          <w:sz w:val="24"/>
          <w:lang w:eastAsia="zh-CN"/>
        </w:rPr>
        <w:t>1,050,000.00</w:t>
      </w:r>
    </w:p>
    <w:p>
      <w:pPr>
        <w:tabs>
          <w:tab w:val="left" w:pos="9639"/>
          <w:tab w:val="left" w:pos="9746"/>
        </w:tabs>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采购需求：</w:t>
      </w:r>
    </w:p>
    <w:p>
      <w:pPr>
        <w:spacing w:line="360" w:lineRule="auto"/>
        <w:ind w:firstLine="482" w:firstLineChars="200"/>
        <w:jc w:val="left"/>
        <w:rPr>
          <w:rFonts w:ascii="宋体" w:hAnsi="宋体" w:cs="宋体"/>
          <w:b/>
          <w:color w:val="auto"/>
          <w:sz w:val="24"/>
        </w:rPr>
      </w:pPr>
    </w:p>
    <w:p>
      <w:pPr>
        <w:spacing w:line="360" w:lineRule="auto"/>
        <w:ind w:firstLine="480" w:firstLineChars="200"/>
        <w:jc w:val="left"/>
        <w:rPr>
          <w:rFonts w:hint="eastAsia" w:ascii="宋体" w:hAnsi="宋体" w:eastAsia="宋体" w:cs="宋体"/>
          <w:b/>
          <w:color w:val="auto"/>
          <w:sz w:val="24"/>
          <w:lang w:eastAsia="zh-CN"/>
        </w:rPr>
      </w:pPr>
      <w:r>
        <w:rPr>
          <w:rFonts w:hint="eastAsia" w:ascii="宋体" w:hAnsi="宋体" w:cs="宋体"/>
          <w:color w:val="auto"/>
          <w:kern w:val="0"/>
          <w:sz w:val="24"/>
        </w:rPr>
        <w:t>标项名称:</w:t>
      </w:r>
      <w:r>
        <w:rPr>
          <w:rFonts w:hint="eastAsia" w:ascii="宋体" w:hAnsi="宋体" w:cs="宋体"/>
          <w:color w:val="auto"/>
          <w:kern w:val="0"/>
          <w:sz w:val="24"/>
          <w:lang w:eastAsia="zh-CN"/>
        </w:rPr>
        <w:t>2025年第二批义务教育薄弱环节改善与能力提升补助资金项目设备采购（伙房设备、计算机）</w:t>
      </w:r>
    </w:p>
    <w:p>
      <w:pPr>
        <w:spacing w:line="360" w:lineRule="auto"/>
        <w:ind w:left="479" w:leftChars="228"/>
        <w:rPr>
          <w:rFonts w:hint="eastAsia" w:ascii="宋体" w:hAnsi="宋体" w:eastAsia="宋体" w:cs="宋体"/>
          <w:color w:val="auto"/>
          <w:kern w:val="0"/>
          <w:sz w:val="24"/>
          <w:lang w:eastAsia="zh-CN"/>
        </w:rPr>
      </w:pPr>
      <w:r>
        <w:rPr>
          <w:rFonts w:hint="eastAsia" w:ascii="宋体" w:hAnsi="宋体" w:cs="宋体"/>
          <w:color w:val="auto"/>
          <w:sz w:val="24"/>
        </w:rPr>
        <w:t>数量:1批</w:t>
      </w:r>
      <w:r>
        <w:rPr>
          <w:rFonts w:hint="eastAsia" w:ascii="宋体" w:hAnsi="宋体" w:cs="宋体"/>
          <w:color w:val="auto"/>
          <w:sz w:val="24"/>
        </w:rPr>
        <w:br w:type="textWrapping"/>
      </w:r>
      <w:r>
        <w:rPr>
          <w:rFonts w:hint="eastAsia" w:ascii="宋体" w:hAnsi="宋体" w:cs="宋体"/>
          <w:color w:val="auto"/>
          <w:sz w:val="24"/>
        </w:rPr>
        <w:t>预算金额（元）：</w:t>
      </w:r>
      <w:r>
        <w:rPr>
          <w:rFonts w:hint="eastAsia" w:ascii="宋体" w:hAnsi="宋体" w:cs="宋体"/>
          <w:color w:val="auto"/>
          <w:kern w:val="0"/>
          <w:sz w:val="24"/>
          <w:lang w:eastAsia="zh-CN"/>
        </w:rPr>
        <w:t>1,050,000.00</w:t>
      </w:r>
    </w:p>
    <w:p>
      <w:pPr>
        <w:spacing w:line="360" w:lineRule="auto"/>
        <w:ind w:firstLine="480" w:firstLineChars="200"/>
        <w:rPr>
          <w:rFonts w:ascii="宋体" w:hAnsi="宋体" w:cs="宋体"/>
          <w:color w:val="auto"/>
          <w:sz w:val="24"/>
        </w:rPr>
      </w:pPr>
      <w:r>
        <w:rPr>
          <w:rFonts w:hint="eastAsia" w:ascii="宋体" w:hAnsi="宋体" w:cs="宋体"/>
          <w:color w:val="auto"/>
          <w:sz w:val="24"/>
        </w:rPr>
        <w:t>简要规格描述或项目基本概况介绍、用途：</w:t>
      </w:r>
      <w:bookmarkStart w:id="23" w:name="OLE_LINK107"/>
      <w:bookmarkStart w:id="24" w:name="OLE_LINK108"/>
      <w:bookmarkStart w:id="25" w:name="OLE_LINK109"/>
      <w:bookmarkStart w:id="26" w:name="OLE_LINK30"/>
      <w:r>
        <w:rPr>
          <w:rFonts w:hint="eastAsia" w:ascii="宋体" w:hAnsi="宋体" w:cs="宋体"/>
          <w:color w:val="auto"/>
          <w:sz w:val="24"/>
          <w:lang w:eastAsia="zh-CN"/>
        </w:rPr>
        <w:t>采购</w:t>
      </w:r>
      <w:r>
        <w:rPr>
          <w:rFonts w:hint="eastAsia" w:ascii="宋体" w:hAnsi="宋体" w:cs="宋体"/>
          <w:color w:val="auto"/>
          <w:sz w:val="24"/>
          <w:lang w:val="en-US" w:eastAsia="zh-CN"/>
        </w:rPr>
        <w:t>多媒体电子教室教学系统、学生控制终端</w:t>
      </w:r>
      <w:bookmarkEnd w:id="23"/>
      <w:bookmarkEnd w:id="24"/>
      <w:bookmarkEnd w:id="25"/>
      <w:r>
        <w:rPr>
          <w:rFonts w:hint="eastAsia" w:ascii="宋体" w:hAnsi="宋体" w:cs="宋体"/>
          <w:color w:val="auto"/>
          <w:sz w:val="24"/>
        </w:rPr>
        <w:t>、</w:t>
      </w:r>
      <w:r>
        <w:rPr>
          <w:rFonts w:hint="eastAsia" w:ascii="宋体" w:hAnsi="宋体" w:cs="宋体"/>
          <w:color w:val="auto"/>
          <w:sz w:val="24"/>
          <w:lang w:val="en-US" w:eastAsia="zh-CN"/>
        </w:rPr>
        <w:t>教师控制终端</w:t>
      </w:r>
      <w:r>
        <w:rPr>
          <w:rFonts w:hint="eastAsia" w:ascii="宋体" w:hAnsi="宋体" w:cs="宋体"/>
          <w:color w:val="auto"/>
          <w:sz w:val="24"/>
        </w:rPr>
        <w:t>、</w:t>
      </w:r>
      <w:r>
        <w:rPr>
          <w:rFonts w:hint="eastAsia" w:ascii="宋体" w:hAnsi="宋体" w:cs="宋体"/>
          <w:color w:val="auto"/>
          <w:sz w:val="24"/>
          <w:lang w:val="en-US" w:eastAsia="zh-CN"/>
        </w:rPr>
        <w:t>教师电脑桌椅、80cm电炒锅+拼台、12盘蒸饭柜、三槽洗菜池（含架）等</w:t>
      </w:r>
      <w:r>
        <w:rPr>
          <w:rFonts w:hint="eastAsia" w:ascii="宋体" w:hAnsi="宋体" w:cs="宋体"/>
          <w:color w:val="auto"/>
          <w:sz w:val="24"/>
        </w:rPr>
        <w:t>，如需进一步了解，详见谈判文件。</w:t>
      </w:r>
    </w:p>
    <w:bookmarkEnd w:id="26"/>
    <w:p>
      <w:pPr>
        <w:tabs>
          <w:tab w:val="left" w:pos="9639"/>
          <w:tab w:val="left" w:pos="9746"/>
        </w:tabs>
        <w:snapToGrid w:val="0"/>
        <w:spacing w:line="360" w:lineRule="auto"/>
        <w:ind w:firstLine="480" w:firstLineChars="200"/>
        <w:rPr>
          <w:rFonts w:hint="eastAsia" w:ascii="宋体" w:hAnsi="宋体" w:eastAsia="宋体" w:cs="宋体"/>
          <w:color w:val="auto"/>
          <w:kern w:val="0"/>
          <w:sz w:val="24"/>
          <w:lang w:eastAsia="zh-CN"/>
        </w:rPr>
      </w:pPr>
      <w:bookmarkStart w:id="27" w:name="OLE_LINK41"/>
      <w:bookmarkStart w:id="28" w:name="OLE_LINK42"/>
      <w:bookmarkStart w:id="29" w:name="OLE_LINK53"/>
      <w:r>
        <w:rPr>
          <w:rFonts w:hint="eastAsia" w:ascii="宋体" w:hAnsi="宋体" w:cs="宋体"/>
          <w:color w:val="auto"/>
          <w:sz w:val="24"/>
        </w:rPr>
        <w:t>最高限价（元）：</w:t>
      </w:r>
      <w:r>
        <w:rPr>
          <w:rFonts w:hint="eastAsia" w:ascii="宋体" w:hAnsi="宋体" w:cs="宋体"/>
          <w:color w:val="auto"/>
          <w:kern w:val="0"/>
          <w:sz w:val="24"/>
          <w:lang w:eastAsia="zh-CN"/>
        </w:rPr>
        <w:t>1,050,000.00</w:t>
      </w:r>
    </w:p>
    <w:bookmarkEnd w:id="27"/>
    <w:bookmarkEnd w:id="28"/>
    <w:bookmarkEnd w:id="29"/>
    <w:p>
      <w:pPr>
        <w:spacing w:line="360" w:lineRule="auto"/>
        <w:ind w:firstLine="480" w:firstLineChars="200"/>
        <w:rPr>
          <w:rFonts w:ascii="宋体" w:hAnsi="宋体" w:cs="宋体"/>
          <w:color w:val="auto"/>
          <w:sz w:val="24"/>
        </w:rPr>
      </w:pPr>
      <w:r>
        <w:rPr>
          <w:rFonts w:hint="eastAsia" w:ascii="宋体" w:hAnsi="宋体" w:cs="宋体"/>
          <w:color w:val="auto"/>
          <w:sz w:val="24"/>
        </w:rPr>
        <w:t>合同履约期限：</w:t>
      </w:r>
      <w:bookmarkStart w:id="30" w:name="OLE_LINK61"/>
      <w:bookmarkStart w:id="31" w:name="OLE_LINK54"/>
      <w:r>
        <w:rPr>
          <w:rFonts w:hint="eastAsia" w:ascii="宋体" w:hAnsi="宋体" w:cs="宋体"/>
          <w:color w:val="auto"/>
          <w:sz w:val="24"/>
        </w:rPr>
        <w:t>签订合同后</w:t>
      </w:r>
      <w:r>
        <w:rPr>
          <w:rFonts w:hint="eastAsia" w:ascii="宋体" w:hAnsi="宋体" w:cs="宋体"/>
          <w:color w:val="auto"/>
          <w:sz w:val="24"/>
          <w:lang w:val="en-US" w:eastAsia="zh-CN"/>
        </w:rPr>
        <w:t>30</w:t>
      </w:r>
      <w:r>
        <w:rPr>
          <w:rFonts w:hint="eastAsia" w:ascii="宋体" w:hAnsi="宋体" w:cs="宋体"/>
          <w:color w:val="auto"/>
          <w:sz w:val="24"/>
        </w:rPr>
        <w:t>个日历日</w:t>
      </w:r>
      <w:r>
        <w:rPr>
          <w:rFonts w:hint="eastAsia" w:ascii="宋体" w:hAnsi="宋体" w:cs="宋体"/>
          <w:color w:val="auto"/>
          <w:sz w:val="24"/>
          <w:lang w:val="en-US" w:eastAsia="zh-CN"/>
        </w:rPr>
        <w:t>内</w:t>
      </w:r>
      <w:r>
        <w:rPr>
          <w:rFonts w:hint="eastAsia" w:ascii="宋体" w:hAnsi="宋体" w:cs="宋体"/>
          <w:color w:val="auto"/>
          <w:sz w:val="24"/>
        </w:rPr>
        <w:t>，如因甲方及其他客观原因导致交付延期，不算作乙方违约，交付周期可视延期时间往后顺延。</w:t>
      </w:r>
      <w:bookmarkEnd w:id="30"/>
      <w:bookmarkEnd w:id="31"/>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本标项（否）接受联合体投标</w:t>
      </w:r>
    </w:p>
    <w:p>
      <w:pPr>
        <w:spacing w:line="360" w:lineRule="auto"/>
        <w:ind w:firstLine="480" w:firstLineChars="200"/>
        <w:jc w:val="left"/>
        <w:rPr>
          <w:rFonts w:ascii="宋体" w:hAnsi="宋体" w:cs="宋体"/>
          <w:b/>
          <w:color w:val="auto"/>
          <w:sz w:val="24"/>
        </w:rPr>
      </w:pPr>
      <w:r>
        <w:rPr>
          <w:rFonts w:hint="eastAsia" w:ascii="宋体" w:hAnsi="宋体" w:cs="宋体"/>
          <w:color w:val="auto"/>
          <w:sz w:val="24"/>
        </w:rPr>
        <w:t>备注：</w:t>
      </w:r>
    </w:p>
    <w:p>
      <w:pPr>
        <w:widowControl/>
        <w:numPr>
          <w:ilvl w:val="0"/>
          <w:numId w:val="7"/>
        </w:numPr>
        <w:spacing w:before="204" w:after="204" w:line="360" w:lineRule="auto"/>
        <w:rPr>
          <w:rFonts w:ascii="宋体" w:hAnsi="宋体" w:cs="宋体"/>
          <w:color w:val="auto"/>
          <w:kern w:val="0"/>
          <w:sz w:val="24"/>
          <w:lang w:bidi="ar"/>
        </w:rPr>
      </w:pPr>
      <w:r>
        <w:rPr>
          <w:rFonts w:hint="eastAsia" w:ascii="宋体" w:hAnsi="宋体" w:cs="宋体"/>
          <w:b/>
          <w:bCs/>
          <w:color w:val="auto"/>
          <w:kern w:val="0"/>
          <w:sz w:val="24"/>
          <w:lang w:bidi="ar"/>
        </w:rPr>
        <w:t>申请人的资格要求：</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1.满足《中华人民共和国政府采购法》第二十二条规定；</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2.落实政府采购政策需满足的资格要求：</w:t>
      </w:r>
      <w:r>
        <w:rPr>
          <w:rFonts w:ascii="宋体" w:hAnsi="宋体" w:cs="宋体"/>
          <w:color w:val="auto"/>
          <w:sz w:val="24"/>
        </w:rPr>
        <w:t>分标1：</w:t>
      </w:r>
      <w:bookmarkStart w:id="32" w:name="OLE_LINK79"/>
      <w:bookmarkStart w:id="33" w:name="OLE_LINK80"/>
      <w:r>
        <w:rPr>
          <w:rFonts w:hint="eastAsia" w:ascii="宋体" w:hAnsi="宋体" w:cs="宋体"/>
          <w:color w:val="auto"/>
          <w:szCs w:val="21"/>
        </w:rPr>
        <w:t>无</w:t>
      </w:r>
      <w:r>
        <w:rPr>
          <w:rFonts w:ascii="宋体" w:hAnsi="宋体" w:cs="宋体"/>
          <w:color w:val="auto"/>
          <w:sz w:val="24"/>
        </w:rPr>
        <w:t>；</w:t>
      </w:r>
      <w:bookmarkEnd w:id="32"/>
      <w:bookmarkEnd w:id="33"/>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3.本项目的特定资格要求：无。</w:t>
      </w:r>
    </w:p>
    <w:p>
      <w:pPr>
        <w:widowControl/>
        <w:spacing w:before="60" w:after="60" w:line="360" w:lineRule="auto"/>
        <w:jc w:val="left"/>
        <w:rPr>
          <w:rFonts w:ascii="宋体" w:hAnsi="宋体" w:cs="宋体"/>
          <w:color w:val="auto"/>
          <w:kern w:val="0"/>
          <w:sz w:val="24"/>
          <w:lang w:bidi="ar"/>
        </w:rPr>
      </w:pPr>
      <w:r>
        <w:rPr>
          <w:rFonts w:hint="eastAsia" w:ascii="宋体" w:hAnsi="宋体" w:cs="宋体"/>
          <w:b/>
          <w:bCs/>
          <w:color w:val="auto"/>
          <w:kern w:val="0"/>
          <w:sz w:val="24"/>
          <w:lang w:bidi="ar"/>
        </w:rPr>
        <w:t>三、获取采购文件</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时间：2025年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19</w:t>
      </w:r>
      <w:r>
        <w:rPr>
          <w:rFonts w:hint="eastAsia" w:ascii="宋体" w:hAnsi="宋体" w:cs="宋体"/>
          <w:color w:val="auto"/>
          <w:sz w:val="24"/>
        </w:rPr>
        <w:t>日至2025年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24</w:t>
      </w:r>
      <w:r>
        <w:rPr>
          <w:rFonts w:hint="eastAsia" w:ascii="宋体" w:hAnsi="宋体" w:cs="宋体"/>
          <w:color w:val="auto"/>
          <w:sz w:val="24"/>
        </w:rPr>
        <w:t>日，每天上午00:00至12:00，下午12:00至23:59（北京时间，法定节假日除外）</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地点（网址）：</w:t>
      </w:r>
      <w:bookmarkStart w:id="34" w:name="OLE_LINK81"/>
      <w:bookmarkStart w:id="35" w:name="OLE_LINK82"/>
      <w:r>
        <w:rPr>
          <w:rFonts w:hint="eastAsia" w:ascii="宋体" w:hAnsi="宋体" w:cs="宋体"/>
          <w:color w:val="auto"/>
          <w:sz w:val="24"/>
        </w:rPr>
        <w:t>广西政府采购云平台（网址：http://www.gcy.zfcg.gxzf.gov.cn）</w:t>
      </w:r>
      <w:bookmarkEnd w:id="34"/>
      <w:bookmarkEnd w:id="35"/>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方式：</w:t>
      </w:r>
      <w:bookmarkStart w:id="36" w:name="OLE_LINK83"/>
      <w:bookmarkStart w:id="37" w:name="OLE_LINK84"/>
      <w:r>
        <w:rPr>
          <w:rFonts w:hint="eastAsia" w:ascii="宋体" w:hAnsi="宋体" w:cs="宋体"/>
          <w:color w:val="auto"/>
          <w:sz w:val="24"/>
        </w:rPr>
        <w:t>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谈判文件申请并下载了竞争性谈判文件后才视作依法获取竞争性谈判文件（法律法规所指的供应商获取竞争性谈判文件时间以供应商完成获取竞争性谈判文件申请后下载竞争性谈判文件的时间为准）。</w:t>
      </w:r>
      <w:bookmarkEnd w:id="36"/>
      <w:bookmarkEnd w:id="37"/>
      <w:r>
        <w:rPr>
          <w:rFonts w:hint="eastAsia" w:ascii="宋体" w:hAnsi="宋体" w:cs="宋体"/>
          <w:color w:val="auto"/>
          <w:sz w:val="24"/>
        </w:rPr>
        <w:t> </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售价（元）：0</w:t>
      </w:r>
    </w:p>
    <w:p>
      <w:pPr>
        <w:widowControl/>
        <w:spacing w:before="60" w:after="60" w:line="360" w:lineRule="auto"/>
        <w:jc w:val="left"/>
        <w:rPr>
          <w:rFonts w:ascii="宋体" w:hAnsi="宋体" w:cs="宋体"/>
          <w:color w:val="auto"/>
          <w:kern w:val="0"/>
          <w:sz w:val="24"/>
          <w:lang w:bidi="ar"/>
        </w:rPr>
      </w:pPr>
      <w:r>
        <w:rPr>
          <w:rFonts w:hint="eastAsia" w:ascii="宋体" w:hAnsi="宋体" w:cs="宋体"/>
          <w:b/>
          <w:bCs/>
          <w:color w:val="auto"/>
          <w:kern w:val="0"/>
          <w:sz w:val="24"/>
          <w:lang w:bidi="ar"/>
        </w:rPr>
        <w:t>四、响应文件提交</w:t>
      </w:r>
      <w:r>
        <w:rPr>
          <w:rFonts w:hint="eastAsia" w:ascii="宋体" w:hAnsi="宋体" w:cs="宋体"/>
          <w:color w:val="auto"/>
          <w:kern w:val="0"/>
          <w:sz w:val="24"/>
          <w:lang w:bidi="ar"/>
        </w:rPr>
        <w:t> </w:t>
      </w:r>
    </w:p>
    <w:p>
      <w:pPr>
        <w:spacing w:line="360" w:lineRule="auto"/>
        <w:ind w:firstLine="480" w:firstLineChars="200"/>
        <w:rPr>
          <w:rFonts w:ascii="宋体" w:hAnsi="宋体" w:cs="宋体"/>
          <w:color w:val="auto"/>
          <w:sz w:val="24"/>
        </w:rPr>
      </w:pPr>
      <w:r>
        <w:rPr>
          <w:rFonts w:hint="eastAsia" w:ascii="宋体" w:hAnsi="宋体" w:cs="宋体"/>
          <w:color w:val="auto"/>
          <w:sz w:val="24"/>
        </w:rPr>
        <w:t>截止时间：2025年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25</w:t>
      </w:r>
      <w:r>
        <w:rPr>
          <w:rFonts w:hint="eastAsia" w:ascii="宋体" w:hAnsi="宋体" w:cs="宋体"/>
          <w:color w:val="auto"/>
          <w:sz w:val="24"/>
        </w:rPr>
        <w:t>日09:00（北京时间）</w:t>
      </w:r>
    </w:p>
    <w:p>
      <w:pPr>
        <w:spacing w:line="360" w:lineRule="auto"/>
        <w:ind w:firstLine="480" w:firstLineChars="200"/>
        <w:rPr>
          <w:rFonts w:ascii="宋体" w:hAnsi="宋体" w:cs="宋体"/>
          <w:color w:val="auto"/>
          <w:sz w:val="24"/>
        </w:rPr>
      </w:pPr>
      <w:r>
        <w:rPr>
          <w:rFonts w:hint="eastAsia" w:ascii="宋体" w:hAnsi="宋体" w:cs="宋体"/>
          <w:color w:val="auto"/>
          <w:sz w:val="24"/>
        </w:rPr>
        <w:t>地点：</w:t>
      </w:r>
      <w:bookmarkStart w:id="38" w:name="OLE_LINK67"/>
      <w:bookmarkStart w:id="39" w:name="OLE_LINK68"/>
      <w:bookmarkStart w:id="40" w:name="OLE_LINK85"/>
      <w:r>
        <w:rPr>
          <w:rFonts w:hint="eastAsia" w:ascii="宋体" w:hAnsi="宋体" w:cs="宋体"/>
          <w:color w:val="auto"/>
          <w:sz w:val="24"/>
        </w:rPr>
        <w:t>通过广西政府采购云平台实行在线谈判响应。</w:t>
      </w:r>
      <w:bookmarkEnd w:id="38"/>
      <w:bookmarkEnd w:id="39"/>
      <w:bookmarkEnd w:id="40"/>
    </w:p>
    <w:p>
      <w:pPr>
        <w:spacing w:line="360" w:lineRule="auto"/>
        <w:rPr>
          <w:rFonts w:ascii="宋体" w:hAnsi="宋体" w:cs="宋体"/>
          <w:color w:val="auto"/>
          <w:kern w:val="0"/>
          <w:sz w:val="24"/>
          <w:lang w:bidi="ar"/>
        </w:rPr>
      </w:pPr>
      <w:r>
        <w:rPr>
          <w:rFonts w:hint="eastAsia" w:ascii="宋体" w:hAnsi="宋体" w:cs="宋体"/>
          <w:b/>
          <w:bCs/>
          <w:color w:val="auto"/>
          <w:kern w:val="0"/>
          <w:sz w:val="24"/>
          <w:lang w:bidi="ar"/>
        </w:rPr>
        <w:t>五、响应文件开启</w:t>
      </w:r>
      <w:r>
        <w:rPr>
          <w:rFonts w:hint="eastAsia" w:ascii="宋体" w:hAnsi="宋体" w:cs="宋体"/>
          <w:color w:val="auto"/>
          <w:kern w:val="0"/>
          <w:sz w:val="24"/>
          <w:lang w:bidi="ar"/>
        </w:rPr>
        <w:t> </w:t>
      </w:r>
    </w:p>
    <w:p>
      <w:pPr>
        <w:widowControl/>
        <w:spacing w:before="60" w:after="60" w:line="360" w:lineRule="auto"/>
        <w:ind w:firstLine="480" w:firstLineChars="200"/>
        <w:jc w:val="left"/>
        <w:rPr>
          <w:rFonts w:ascii="宋体" w:hAnsi="宋体" w:cs="宋体"/>
          <w:color w:val="auto"/>
          <w:kern w:val="0"/>
          <w:sz w:val="24"/>
          <w:lang w:bidi="ar"/>
        </w:rPr>
      </w:pPr>
      <w:r>
        <w:rPr>
          <w:rFonts w:hint="eastAsia" w:ascii="宋体" w:hAnsi="宋体" w:cs="宋体"/>
          <w:color w:val="auto"/>
          <w:kern w:val="0"/>
          <w:sz w:val="24"/>
          <w:lang w:bidi="ar"/>
        </w:rPr>
        <w:t>开启时间：</w:t>
      </w:r>
      <w:r>
        <w:rPr>
          <w:rFonts w:hint="eastAsia" w:ascii="宋体" w:hAnsi="宋体" w:cs="宋体"/>
          <w:color w:val="auto"/>
          <w:sz w:val="24"/>
        </w:rPr>
        <w:t>2025年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25</w:t>
      </w:r>
      <w:r>
        <w:rPr>
          <w:rFonts w:hint="eastAsia" w:ascii="宋体" w:hAnsi="宋体" w:cs="宋体"/>
          <w:color w:val="auto"/>
          <w:sz w:val="24"/>
        </w:rPr>
        <w:t>日09:00（北京时间）</w:t>
      </w:r>
      <w:r>
        <w:rPr>
          <w:rFonts w:hint="eastAsia" w:ascii="宋体" w:hAnsi="宋体" w:cs="宋体"/>
          <w:color w:val="auto"/>
          <w:kern w:val="0"/>
          <w:sz w:val="24"/>
          <w:lang w:bidi="ar"/>
        </w:rPr>
        <w:t>。</w:t>
      </w:r>
    </w:p>
    <w:p>
      <w:pPr>
        <w:widowControl/>
        <w:spacing w:before="60" w:after="60" w:line="360" w:lineRule="auto"/>
        <w:ind w:firstLine="480" w:firstLineChars="200"/>
        <w:jc w:val="left"/>
        <w:rPr>
          <w:rFonts w:ascii="宋体" w:hAnsi="宋体" w:cs="宋体"/>
          <w:color w:val="auto"/>
          <w:kern w:val="0"/>
          <w:sz w:val="24"/>
          <w:lang w:bidi="ar"/>
        </w:rPr>
      </w:pPr>
      <w:r>
        <w:rPr>
          <w:rFonts w:hint="eastAsia" w:ascii="宋体" w:hAnsi="宋体" w:cs="宋体"/>
          <w:color w:val="auto"/>
          <w:kern w:val="0"/>
          <w:sz w:val="24"/>
          <w:lang w:bidi="ar"/>
        </w:rPr>
        <w:t>地点：</w:t>
      </w:r>
      <w:bookmarkStart w:id="41" w:name="OLE_LINK65"/>
      <w:bookmarkStart w:id="42" w:name="OLE_LINK66"/>
      <w:r>
        <w:rPr>
          <w:rFonts w:hint="eastAsia" w:ascii="宋体" w:hAnsi="宋体" w:cs="宋体"/>
          <w:color w:val="auto"/>
          <w:kern w:val="0"/>
          <w:sz w:val="24"/>
          <w:lang w:bidi="ar"/>
        </w:rPr>
        <w:t>通过</w:t>
      </w:r>
      <w:r>
        <w:rPr>
          <w:rFonts w:hint="eastAsia" w:ascii="宋体" w:hAnsi="宋体" w:cs="宋体"/>
          <w:color w:val="auto"/>
          <w:sz w:val="24"/>
        </w:rPr>
        <w:t>广西政府采购云平台</w:t>
      </w:r>
      <w:r>
        <w:rPr>
          <w:rFonts w:hint="eastAsia" w:ascii="宋体" w:hAnsi="宋体" w:cs="宋体"/>
          <w:color w:val="auto"/>
          <w:kern w:val="0"/>
          <w:sz w:val="24"/>
          <w:lang w:bidi="ar"/>
        </w:rPr>
        <w:t>实行在线解密开启。</w:t>
      </w:r>
      <w:bookmarkEnd w:id="41"/>
      <w:bookmarkEnd w:id="42"/>
    </w:p>
    <w:p>
      <w:pPr>
        <w:widowControl/>
        <w:spacing w:before="60" w:after="60" w:line="360" w:lineRule="auto"/>
        <w:jc w:val="left"/>
        <w:rPr>
          <w:rFonts w:ascii="宋体" w:hAnsi="宋体" w:cs="宋体"/>
          <w:color w:val="auto"/>
          <w:kern w:val="0"/>
          <w:sz w:val="24"/>
          <w:lang w:bidi="ar"/>
        </w:rPr>
      </w:pPr>
      <w:r>
        <w:rPr>
          <w:rFonts w:hint="eastAsia" w:ascii="宋体" w:hAnsi="宋体" w:cs="宋体"/>
          <w:b/>
          <w:bCs/>
          <w:color w:val="auto"/>
          <w:kern w:val="0"/>
          <w:sz w:val="24"/>
          <w:lang w:bidi="ar"/>
        </w:rPr>
        <w:t>六、公告期限</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自本公告发布之日起3个工作日。</w:t>
      </w:r>
    </w:p>
    <w:p>
      <w:pPr>
        <w:spacing w:line="360" w:lineRule="auto"/>
        <w:jc w:val="left"/>
        <w:rPr>
          <w:rFonts w:ascii="宋体" w:hAnsi="宋体" w:cs="宋体"/>
          <w:color w:val="auto"/>
          <w:kern w:val="0"/>
          <w:sz w:val="24"/>
          <w:lang w:bidi="ar"/>
        </w:rPr>
      </w:pPr>
      <w:r>
        <w:rPr>
          <w:rFonts w:hint="eastAsia" w:ascii="宋体" w:hAnsi="宋体" w:cs="宋体"/>
          <w:b/>
          <w:bCs/>
          <w:color w:val="auto"/>
          <w:kern w:val="0"/>
          <w:sz w:val="24"/>
          <w:lang w:bidi="ar"/>
        </w:rPr>
        <w:t>七、其他补充事宜</w:t>
      </w:r>
      <w:r>
        <w:rPr>
          <w:rFonts w:hint="eastAsia" w:ascii="宋体" w:hAnsi="宋体" w:cs="宋体"/>
          <w:color w:val="auto"/>
          <w:kern w:val="0"/>
          <w:sz w:val="24"/>
          <w:lang w:bidi="ar"/>
        </w:rPr>
        <w:t> </w:t>
      </w:r>
    </w:p>
    <w:p>
      <w:pPr>
        <w:spacing w:line="360" w:lineRule="auto"/>
        <w:ind w:firstLine="480" w:firstLineChars="200"/>
        <w:rPr>
          <w:rFonts w:ascii="宋体" w:hAnsi="宋体" w:cs="宋体"/>
          <w:color w:val="auto"/>
          <w:sz w:val="24"/>
        </w:rPr>
      </w:pPr>
      <w:bookmarkStart w:id="43" w:name="OLE_LINK58"/>
      <w:bookmarkStart w:id="44" w:name="OLE_LINK133"/>
      <w:bookmarkStart w:id="45" w:name="OLE_LINK59"/>
      <w:bookmarkStart w:id="46" w:name="OLE_LINK134"/>
      <w:bookmarkStart w:id="47" w:name="OLE_LINK135"/>
      <w:bookmarkStart w:id="48" w:name="OLE_LINK158"/>
      <w:r>
        <w:rPr>
          <w:rFonts w:hint="eastAsia" w:ascii="宋体" w:hAnsi="宋体" w:cs="宋体"/>
          <w:color w:val="auto"/>
          <w:sz w:val="24"/>
        </w:rPr>
        <w:t>1.本项目不收取谈判保证金。</w:t>
      </w:r>
    </w:p>
    <w:p>
      <w:pPr>
        <w:spacing w:line="360" w:lineRule="auto"/>
        <w:ind w:firstLine="480" w:firstLineChars="200"/>
        <w:rPr>
          <w:rFonts w:ascii="宋体" w:hAnsi="宋体" w:cs="宋体"/>
          <w:color w:val="auto"/>
          <w:sz w:val="24"/>
        </w:rPr>
      </w:pPr>
      <w:r>
        <w:rPr>
          <w:rFonts w:hint="eastAsia" w:ascii="宋体" w:hAnsi="宋体" w:cs="宋体"/>
          <w:color w:val="auto"/>
          <w:sz w:val="24"/>
        </w:rPr>
        <w:t>2.本项目需要落实的政府采购政策：</w:t>
      </w:r>
      <w:bookmarkStart w:id="49" w:name="OLE_LINK98"/>
      <w:bookmarkStart w:id="50" w:name="OLE_LINK97"/>
      <w:r>
        <w:rPr>
          <w:rFonts w:hint="eastAsia" w:ascii="宋体" w:hAnsi="宋体" w:cs="宋体"/>
          <w:color w:val="auto"/>
          <w:sz w:val="24"/>
        </w:rPr>
        <w:t>（1）支持采用本国产品：政府采购应当采购本国产品，确需采购进口产品的，实行审核管理。优先采购向我国企业转让技术、与我国企业签订消化吸收再创新方案的供应商的进口产品。</w:t>
      </w:r>
      <w:bookmarkEnd w:id="49"/>
      <w:bookmarkEnd w:id="50"/>
      <w:r>
        <w:rPr>
          <w:rFonts w:hint="eastAsia" w:ascii="宋体" w:hAnsi="宋体" w:cs="宋体"/>
          <w:color w:val="auto"/>
          <w:sz w:val="24"/>
        </w:rPr>
        <w:t>（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为首台套产品和“制造精品”的自主创新产品。</w:t>
      </w:r>
      <w:bookmarkStart w:id="51" w:name="OLE_LINK96"/>
      <w:bookmarkStart w:id="52" w:name="OLE_LINK95"/>
      <w:r>
        <w:rPr>
          <w:rFonts w:hint="eastAsia" w:ascii="宋体" w:hAnsi="宋体" w:cs="宋体"/>
          <w:color w:val="auto"/>
          <w:sz w:val="24"/>
        </w:rPr>
        <w:t>（6）平等对待内外资企业和符合条件的破产重整企业。</w:t>
      </w:r>
      <w:bookmarkEnd w:id="51"/>
      <w:bookmarkEnd w:id="52"/>
    </w:p>
    <w:p>
      <w:pPr>
        <w:spacing w:line="360" w:lineRule="auto"/>
        <w:ind w:firstLine="480" w:firstLineChars="200"/>
        <w:rPr>
          <w:color w:val="auto"/>
        </w:rPr>
      </w:pPr>
      <w:bookmarkStart w:id="53" w:name="OLE_LINK106"/>
      <w:r>
        <w:rPr>
          <w:rFonts w:hint="eastAsia" w:ascii="宋体" w:hAnsi="宋体" w:cs="宋体"/>
          <w:snapToGrid w:val="0"/>
          <w:color w:val="auto"/>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政采贷：操作路径：登录广西政府采购云平台-金融服务中心-【融资服务】，可在热门申请中选择产品直接申请。</w:t>
      </w:r>
    </w:p>
    <w:bookmarkEnd w:id="53"/>
    <w:p>
      <w:pPr>
        <w:spacing w:line="360" w:lineRule="auto"/>
        <w:ind w:firstLine="480" w:firstLineChars="200"/>
        <w:rPr>
          <w:rFonts w:ascii="宋体" w:hAnsi="宋体" w:cs="宋体"/>
          <w:color w:val="auto"/>
          <w:sz w:val="24"/>
        </w:rPr>
      </w:pPr>
      <w:r>
        <w:rPr>
          <w:rFonts w:hint="eastAsia" w:ascii="宋体" w:hAnsi="宋体" w:cs="宋体"/>
          <w:color w:val="auto"/>
          <w:sz w:val="24"/>
        </w:rPr>
        <w:t>4.网上公告媒体查询：</w:t>
      </w:r>
      <w:bookmarkStart w:id="54" w:name="OLE_LINK123"/>
      <w:bookmarkStart w:id="55" w:name="OLE_LINK124"/>
      <w:bookmarkStart w:id="56" w:name="OLE_LINK33"/>
      <w:bookmarkStart w:id="57" w:name="OLE_LINK32"/>
      <w:r>
        <w:rPr>
          <w:rFonts w:hint="eastAsia" w:ascii="宋体" w:hAnsi="宋体"/>
          <w:color w:val="auto"/>
          <w:sz w:val="24"/>
        </w:rPr>
        <w:t>中国政府采购网、广西政府采购网、北海市政府采购监管网、全国公共资源交易平台（广西•北海）、北海市人民政府网-北海市政府采购中心网站</w:t>
      </w:r>
      <w:bookmarkEnd w:id="54"/>
      <w:bookmarkEnd w:id="55"/>
      <w:bookmarkEnd w:id="56"/>
      <w:bookmarkEnd w:id="57"/>
      <w:r>
        <w:rPr>
          <w:rFonts w:hint="eastAsia" w:ascii="宋体" w:hAnsi="宋体" w:cs="宋体"/>
          <w:color w:val="auto"/>
          <w:sz w:val="24"/>
        </w:rPr>
        <w:t>。</w:t>
      </w:r>
    </w:p>
    <w:p>
      <w:pPr>
        <w:wordWrap w:val="0"/>
        <w:spacing w:line="360" w:lineRule="auto"/>
        <w:ind w:firstLine="480" w:firstLineChars="200"/>
        <w:rPr>
          <w:rFonts w:ascii="宋体" w:hAnsi="宋体" w:cs="宋体"/>
          <w:color w:val="auto"/>
          <w:sz w:val="24"/>
        </w:rPr>
      </w:pPr>
      <w:r>
        <w:rPr>
          <w:rFonts w:hint="eastAsia" w:ascii="宋体" w:hAnsi="宋体" w:cs="宋体"/>
          <w:color w:val="auto"/>
          <w:sz w:val="24"/>
        </w:rPr>
        <w:t>5.本项目通过广西政府采购云平台实行在线谈判响应（电子投标），为确保网上操作合法、有效和安全，谈判供应商应当在谈判截止时间前完成在“广西政府采购云平台”的身份认证，确保在电子谈判过程中能够对相关数据电文进行加密和使用电子签章。使用“广西政府采购云平台电子交易客户端”需要提前申领CA数字证书，CA证书申请操作指南下载地址（网上申请方式见网址：</w:t>
      </w:r>
      <w:bookmarkStart w:id="58" w:name="OLE_LINK110"/>
      <w:bookmarkStart w:id="59" w:name="OLE_LINK111"/>
      <w:r>
        <w:rPr>
          <w:rFonts w:hint="eastAsia" w:ascii="宋体" w:hAnsi="宋体" w:cs="宋体"/>
          <w:color w:val="auto"/>
          <w:sz w:val="24"/>
        </w:rPr>
        <w:t>http://www.ccgp-guangxi.gov.cn/luban/detail?parentId=66479&amp;articleId=pSO9fZ16UrkQX4GkrKyqiA==&amp;utm=luban.luban-PC-38919.1085-pc-wsg-guangxi-secondPage-front.1.2e18f760d69611ed8f2cc9701088ccbf</w:t>
      </w:r>
      <w:bookmarkEnd w:id="58"/>
      <w:bookmarkEnd w:id="59"/>
      <w:r>
        <w:rPr>
          <w:rFonts w:hint="eastAsia" w:ascii="宋体" w:hAnsi="宋体" w:cs="宋体"/>
          <w:color w:val="auto"/>
          <w:sz w:val="24"/>
        </w:rPr>
        <w:t>）（广西政府采购网）或（现场办理：</w:t>
      </w:r>
      <w:bookmarkStart w:id="60" w:name="OLE_LINK112"/>
      <w:bookmarkStart w:id="61" w:name="OLE_LINK113"/>
      <w:r>
        <w:rPr>
          <w:rFonts w:hint="eastAsia" w:ascii="宋体" w:hAnsi="宋体" w:cs="宋体"/>
          <w:color w:val="auto"/>
          <w:sz w:val="24"/>
        </w:rPr>
        <w:t>https://www.gxca.com.cn/detail/detail?articleId=1546808615271264258&amp;classifyId=1546335737551556610&amp;pid=1546335679795990530</w:t>
      </w:r>
      <w:bookmarkEnd w:id="60"/>
      <w:bookmarkEnd w:id="61"/>
      <w:r>
        <w:rPr>
          <w:rFonts w:hint="eastAsia" w:ascii="宋体" w:hAnsi="宋体" w:cs="宋体"/>
          <w:color w:val="auto"/>
          <w:sz w:val="24"/>
        </w:rPr>
        <w:t>（广西壮族自治区数字证书认证中心）。</w:t>
      </w:r>
    </w:p>
    <w:p>
      <w:pPr>
        <w:spacing w:line="360" w:lineRule="auto"/>
        <w:ind w:firstLine="480" w:firstLineChars="200"/>
        <w:rPr>
          <w:rFonts w:ascii="宋体" w:hAnsi="宋体" w:cs="宋体"/>
          <w:color w:val="auto"/>
          <w:sz w:val="24"/>
        </w:rPr>
      </w:pPr>
      <w:r>
        <w:rPr>
          <w:rFonts w:hint="eastAsia" w:ascii="宋体" w:hAnsi="宋体" w:cs="宋体"/>
          <w:color w:val="auto"/>
          <w:sz w:val="24"/>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spacing w:line="360" w:lineRule="auto"/>
        <w:ind w:firstLine="480" w:firstLineChars="200"/>
        <w:rPr>
          <w:rFonts w:ascii="宋体" w:hAnsi="宋体" w:cs="宋体"/>
          <w:color w:val="auto"/>
          <w:sz w:val="24"/>
        </w:rPr>
      </w:pPr>
      <w:r>
        <w:rPr>
          <w:rFonts w:hint="eastAsia" w:ascii="宋体" w:hAnsi="宋体" w:cs="宋体"/>
          <w:color w:val="auto"/>
          <w:sz w:val="24"/>
        </w:rPr>
        <w:t>7.本项目为北海市推动解决政府采购异常低价试点项目。</w:t>
      </w:r>
      <w:bookmarkEnd w:id="43"/>
      <w:bookmarkEnd w:id="44"/>
      <w:bookmarkEnd w:id="45"/>
      <w:bookmarkEnd w:id="46"/>
      <w:bookmarkEnd w:id="47"/>
      <w:bookmarkEnd w:id="48"/>
    </w:p>
    <w:p>
      <w:pPr>
        <w:spacing w:line="360" w:lineRule="auto"/>
        <w:ind w:firstLine="482" w:firstLineChars="200"/>
        <w:rPr>
          <w:rFonts w:ascii="宋体" w:hAnsi="宋体" w:cs="宋体"/>
          <w:color w:val="auto"/>
          <w:kern w:val="0"/>
          <w:sz w:val="24"/>
          <w:lang w:bidi="ar"/>
        </w:rPr>
      </w:pPr>
      <w:r>
        <w:rPr>
          <w:rFonts w:hint="eastAsia" w:ascii="宋体" w:hAnsi="宋体" w:cs="宋体"/>
          <w:b/>
          <w:bCs/>
          <w:color w:val="auto"/>
          <w:kern w:val="0"/>
          <w:sz w:val="24"/>
          <w:lang w:bidi="ar"/>
        </w:rPr>
        <w:t>八、凡对本次谈判提出询问，请按以下方式联系</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1.采购人信息</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名    称：合浦县教育局</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地    址：合浦县廉州镇小北镇44号 </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项目联系人：马小军</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项目联系方式：0779-7293139</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2.采购代理机构信息            </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名    称：北海市政府采购中心             </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地    址：</w:t>
      </w:r>
      <w:bookmarkStart w:id="62" w:name="OLE_LINK63"/>
      <w:bookmarkStart w:id="63" w:name="OLE_LINK62"/>
      <w:r>
        <w:rPr>
          <w:rFonts w:hint="eastAsia" w:ascii="宋体" w:hAnsi="宋体" w:cs="宋体"/>
          <w:color w:val="auto"/>
          <w:sz w:val="24"/>
        </w:rPr>
        <w:t>北海市海城区陈文村北路7号市直机关第三办公区2号楼一层</w:t>
      </w:r>
      <w:bookmarkEnd w:id="62"/>
      <w:bookmarkEnd w:id="63"/>
      <w:r>
        <w:rPr>
          <w:rFonts w:hint="eastAsia" w:ascii="宋体" w:hAnsi="宋体" w:cs="宋体"/>
          <w:color w:val="auto"/>
          <w:sz w:val="24"/>
        </w:rPr>
        <w:t xml:space="preserve">              </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项目联系人(询问)：</w:t>
      </w:r>
      <w:r>
        <w:rPr>
          <w:rFonts w:hint="eastAsia" w:ascii="宋体" w:hAnsi="宋体" w:cs="宋体"/>
          <w:color w:val="auto"/>
          <w:sz w:val="24"/>
          <w:lang w:eastAsia="zh-CN"/>
        </w:rPr>
        <w:t>欧呈东</w:t>
      </w:r>
      <w:r>
        <w:rPr>
          <w:rFonts w:hint="eastAsia" w:ascii="宋体" w:hAnsi="宋体" w:cs="宋体"/>
          <w:color w:val="auto"/>
          <w:sz w:val="24"/>
        </w:rPr>
        <w:t xml:space="preserve">           </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项目联系方式(询问)：0779-3071101 </w:t>
      </w:r>
    </w:p>
    <w:p>
      <w:pPr>
        <w:spacing w:line="360" w:lineRule="auto"/>
        <w:ind w:firstLine="480" w:firstLineChars="200"/>
        <w:rPr>
          <w:rFonts w:ascii="宋体" w:hAnsi="宋体" w:cs="宋体"/>
          <w:color w:val="auto"/>
          <w:sz w:val="24"/>
        </w:rPr>
      </w:pPr>
    </w:p>
    <w:p>
      <w:pPr>
        <w:spacing w:line="360" w:lineRule="auto"/>
        <w:ind w:firstLine="480" w:firstLineChars="200"/>
        <w:rPr>
          <w:rFonts w:ascii="宋体" w:hAnsi="宋体" w:cs="宋体"/>
          <w:color w:val="auto"/>
          <w:sz w:val="24"/>
        </w:rPr>
      </w:pPr>
      <w:r>
        <w:rPr>
          <w:rFonts w:hint="eastAsia" w:ascii="宋体" w:hAnsi="宋体" w:cs="宋体"/>
          <w:color w:val="auto"/>
          <w:sz w:val="24"/>
        </w:rPr>
        <w:t>若对项目采购电子交易系统操作有疑问，可登录广西政府采购云平台，点击右侧咨询小采，获取采小蜜智能服务管家帮助，或拨打广西政府采购云平台服务热线95763获取热线服务帮助。</w:t>
      </w:r>
    </w:p>
    <w:bookmarkEnd w:id="12"/>
    <w:bookmarkEnd w:id="13"/>
    <w:p>
      <w:pPr>
        <w:pStyle w:val="31"/>
        <w:spacing w:line="360" w:lineRule="auto"/>
        <w:ind w:firstLine="480" w:firstLineChars="200"/>
        <w:rPr>
          <w:rFonts w:cs="仿宋_GB2312" w:asciiTheme="minorEastAsia" w:hAnsiTheme="minorEastAsia" w:eastAsiaTheme="minorEastAsia"/>
          <w:color w:val="auto"/>
          <w:sz w:val="24"/>
          <w:szCs w:val="24"/>
        </w:rPr>
      </w:pPr>
    </w:p>
    <w:p>
      <w:pPr>
        <w:adjustRightInd/>
        <w:spacing w:line="360" w:lineRule="auto"/>
        <w:jc w:val="center"/>
        <w:rPr>
          <w:rFonts w:cs="仿宋_GB2312" w:asciiTheme="minorEastAsia" w:hAnsiTheme="minorEastAsia" w:eastAsiaTheme="minorEastAsia"/>
          <w:b/>
          <w:color w:val="auto"/>
          <w:sz w:val="36"/>
          <w:szCs w:val="20"/>
        </w:rPr>
      </w:pPr>
      <w:r>
        <w:rPr>
          <w:rFonts w:hint="eastAsia" w:cs="仿宋_GB2312" w:asciiTheme="minorEastAsia" w:hAnsiTheme="minorEastAsia" w:eastAsiaTheme="minorEastAsia"/>
          <w:b/>
          <w:color w:val="auto"/>
          <w:sz w:val="36"/>
          <w:szCs w:val="20"/>
        </w:rPr>
        <w:br w:type="page"/>
      </w:r>
    </w:p>
    <w:p>
      <w:pPr>
        <w:adjustRightInd/>
        <w:spacing w:line="360" w:lineRule="auto"/>
        <w:jc w:val="center"/>
        <w:outlineLvl w:val="0"/>
        <w:rPr>
          <w:rFonts w:cs="仿宋_GB2312" w:asciiTheme="minorEastAsia" w:hAnsiTheme="minorEastAsia" w:eastAsiaTheme="minorEastAsia"/>
          <w:b/>
          <w:color w:val="auto"/>
          <w:sz w:val="32"/>
          <w:szCs w:val="20"/>
        </w:rPr>
      </w:pPr>
      <w:bookmarkStart w:id="64" w:name="_Toc181265282"/>
      <w:r>
        <w:rPr>
          <w:rFonts w:hint="eastAsia" w:cs="仿宋_GB2312" w:asciiTheme="minorEastAsia" w:hAnsiTheme="minorEastAsia" w:eastAsiaTheme="minorEastAsia"/>
          <w:b/>
          <w:color w:val="auto"/>
          <w:sz w:val="36"/>
          <w:szCs w:val="20"/>
        </w:rPr>
        <w:t>第二部分  竞争性谈判流程</w:t>
      </w:r>
      <w:bookmarkEnd w:id="64"/>
    </w:p>
    <w:p>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szCs w:val="24"/>
        </w:rPr>
        <w:t>1.征集供应商</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1.1邀请供应商。</w:t>
      </w:r>
    </w:p>
    <w:p>
      <w:pPr>
        <w:pStyle w:val="392"/>
        <w:spacing w:before="0"/>
        <w:ind w:firstLine="480"/>
        <w:rPr>
          <w:rFonts w:asciiTheme="minorEastAsia" w:hAnsiTheme="minorEastAsia" w:eastAsiaTheme="minorEastAsia"/>
          <w:color w:val="auto"/>
          <w:szCs w:val="24"/>
        </w:rPr>
      </w:pPr>
      <w:r>
        <w:rPr>
          <w:rFonts w:hint="eastAsia" w:ascii="宋体" w:hAnsi="宋体" w:cs="宋体"/>
          <w:color w:val="auto"/>
          <w:kern w:val="0"/>
        </w:rPr>
        <w:sym w:font="Wingdings" w:char="F0FE"/>
      </w:r>
      <w:r>
        <w:rPr>
          <w:rFonts w:hint="eastAsia" w:asciiTheme="minorEastAsia" w:hAnsiTheme="minorEastAsia" w:eastAsiaTheme="minorEastAsia"/>
          <w:b/>
          <w:color w:val="auto"/>
          <w:szCs w:val="24"/>
        </w:rPr>
        <w:t>采用公告方式邀请供应商的，</w:t>
      </w:r>
      <w:r>
        <w:rPr>
          <w:rFonts w:hint="eastAsia" w:asciiTheme="minorEastAsia" w:hAnsiTheme="minorEastAsia" w:eastAsiaTheme="minorEastAsia"/>
          <w:color w:val="auto"/>
          <w:szCs w:val="24"/>
        </w:rPr>
        <w:t>由采购人、采购代理机构在省级以上人民政府财政部门指定的政府采购信息发布媒体上发布谈判公告，邀请符合相应资格条件的供应商参与竞争性谈判采购活动。</w:t>
      </w:r>
    </w:p>
    <w:p>
      <w:pPr>
        <w:pStyle w:val="392"/>
        <w:spacing w:before="0"/>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□采用随机抽取方式邀请供应商的，</w:t>
      </w:r>
      <w:r>
        <w:rPr>
          <w:rFonts w:hint="eastAsia" w:asciiTheme="minorEastAsia" w:hAnsiTheme="minorEastAsia" w:eastAsiaTheme="minorEastAsia"/>
          <w:color w:val="auto"/>
          <w:szCs w:val="24"/>
        </w:rPr>
        <w:t>由采购人、采购代理机构从省级以上财政部门建立的供应商库中随机抽取不少于3家符合相应资格条件的供应商参与竞争性谈判采购活动。</w:t>
      </w:r>
    </w:p>
    <w:p>
      <w:pPr>
        <w:pStyle w:val="392"/>
        <w:spacing w:before="0"/>
        <w:ind w:firstLine="482"/>
        <w:rPr>
          <w:rFonts w:asciiTheme="minorEastAsia" w:hAnsiTheme="minorEastAsia" w:eastAsiaTheme="minorEastAsia"/>
          <w:color w:val="auto"/>
          <w:szCs w:val="24"/>
        </w:rPr>
      </w:pPr>
      <w:r>
        <w:rPr>
          <w:rFonts w:hint="eastAsia" w:asciiTheme="minorEastAsia" w:hAnsiTheme="minorEastAsia" w:eastAsiaTheme="minorEastAsia"/>
          <w:b/>
          <w:color w:val="auto"/>
          <w:szCs w:val="24"/>
        </w:rPr>
        <w:t>□采用书面推荐方式邀请供应商的，</w:t>
      </w:r>
      <w:r>
        <w:rPr>
          <w:rFonts w:hint="eastAsia" w:asciiTheme="minorEastAsia" w:hAnsiTheme="minorEastAsia" w:eastAsiaTheme="minorEastAsia"/>
          <w:color w:val="auto"/>
          <w:szCs w:val="24"/>
        </w:rPr>
        <w:t>由采购人和评审专家分别书面推荐不少于3家符合相应资格条件的供应商参与竞争性谈判采购活动。采取采购人和评审专家书面推荐方式选择供应商的，采购人和评审专家应当各自出具书面推荐意见。采购人推荐供应商的比例不得高于推荐供应商总数的50%。</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1.2供应商获取谈判文件。</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1.3组织现场考察或召开答疑会（如果有）。</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1.4发布更正（延期）公告，澄清或修改谈判文件（如果有）。</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1.5供应商按谈判文件要求编制响应文件。</w:t>
      </w:r>
    </w:p>
    <w:p>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2.响应文件开启与信用信息查询</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2.1供应商依据“提交响应文件的截止时间与地点”通过广西政府采购云平台在线提交响应文件。供应商在提交响应文件的截止时间前，可以补充、修改或撤回响应文件。</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2.2</w:t>
      </w:r>
      <w:r>
        <w:rPr>
          <w:rFonts w:hint="eastAsia" w:cs="Arial" w:asciiTheme="minorEastAsia" w:hAnsiTheme="minorEastAsia" w:eastAsiaTheme="minorEastAsia"/>
          <w:color w:val="auto"/>
          <w:kern w:val="0"/>
          <w:szCs w:val="24"/>
        </w:rPr>
        <w:t>采购人或者采购代理机构将通过“信用中国”网站(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)和中国政府采购网(www.ccgp.gov.cn)渠道查询供应商响应截止时间当日的信用记录。</w:t>
      </w:r>
    </w:p>
    <w:p>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3.谈判与评审</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3.1谈判小组签到。</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3.2采购代理机构宣布有关纪律以及谈判、评审工作程序。</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3.3谈判小组审查确认谈判文件。谈判文件内容违反国家有关强制性规定的，谈判小组应当停止评审并向采购代理机构说明情况。</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3.4谈判小组对供应商的资格进行审查。</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3.5谈判小组审查响应文件。</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3.6对于未实质性响应谈判文件的响应文件由谈判小组认定响应无效，并告知该供应商。</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3.7供应商根据谈判小组要求对响应文件中含义不明确、同类问题表述不一致或者有明显文字和计算错误的内容等作出必要的澄清、说明或者更正。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3.8谈判小组与符合要求的供应商进行谈判。谈判小组所有成员按照响应文件解密次序集中与单一供应商分别进行谈判，并给予所有参加谈判的供应商平等的谈判机会。谈判过程中，谈判小组可以根据谈判情况调整轮次。谈判时由采购代理机构或谈判小组利用广西政府采购云平台发起谈判邀请，供应商通过广西政府采购云平台“在线评审室”进行远程视频谈判。供应商使用CA数字证书登录广西政府采购云平台——收到视频评审邀请——点击“视频评审”进入“视频评审系统”——开始远程谈判活动。</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3.9经谈判确定谈判文件的变动情况。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3.10供应商应当按照谈判文件的变动情况和谈判小组的要求重新提交响应文件，并由其法定代表人或授权代表签字或者加盖公章。由授权代表签字的，应当附法定代表人授权书。供应商为自然人的，应当由本人签字并附身份证明。签字或者加盖公章可以使用电子签名（如果有）。已提交响应文件的供应商，在提交最后报价之前，可以根据谈判情况退出谈判。如供应商未按谈判小组的要求在规定的时间内提交最后报价的，视为退出谈判。</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3.11谈判小组按照下列方式确定提交最后报价的供应商，有特殊规定的从其规定：</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谈判文件能够详细列明采购标的的技术、服务要求的，谈判结束后，谈判小组应当要求所有继续参加谈判的供应商在规定时间内提交最后报价，提交最后报价的供应商不得少于3家。符合《政府采购非招标采购方式管理办法》（财政部令第74号）第二十七条第二款规定情形的，提交最后报价的供应商可以为2家。</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3.12确定进入最后报价的供应商在规定时间内提交最后报价。</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3.13谈判小组应当从质量和服务均能满足采购文件实质性响应要求的供应商中，按照最后报价由低到高的顺序提出3名以上成交候选人，并编写评审报告。多家供应商提供相同品牌产品（单一产品采购项目中的该产品或者非单一产品采购项目的核心产品）且通过资格审查、符合性审查的不同供应商参加同一合同项下谈判的，按一家供应商计算，评审后报价最低的同品牌供应商获得成交人推荐资格；报价相同的，由采购人或者采购人委托谈判小组按照谈判文件规定的方式确定一个供应商获得成交人推荐资格，谈判文件未规定的采取随机抽取方式确定，其他同品牌供应商不作为成交候选人。</w:t>
      </w:r>
    </w:p>
    <w:p>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4. 成交</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4.1</w:t>
      </w:r>
      <w:r>
        <w:rPr>
          <w:rFonts w:hint="eastAsia" w:ascii="宋体" w:hAnsi="宋体" w:cs="宋体"/>
          <w:color w:val="auto"/>
          <w:szCs w:val="24"/>
        </w:rPr>
        <w:t>政府采购</w:t>
      </w:r>
      <w:r>
        <w:rPr>
          <w:rFonts w:hint="eastAsia" w:ascii="宋体" w:hAnsi="宋体" w:cs="宋体"/>
          <w:color w:val="auto"/>
          <w:szCs w:val="24"/>
          <w:highlight w:val="none"/>
        </w:rPr>
        <w:t>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采购代理机构应当依法及时将评审报告送采购人确认。采购人应当在收到评审报告后5个工作日内，从评审报告提出的成交候选人中，根据质量和服务均能满足采购文件实质性响应</w:t>
      </w:r>
      <w:r>
        <w:rPr>
          <w:rFonts w:hint="eastAsia" w:asciiTheme="minorEastAsia" w:hAnsiTheme="minorEastAsia" w:eastAsiaTheme="minorEastAsia"/>
          <w:color w:val="auto"/>
          <w:szCs w:val="24"/>
        </w:rPr>
        <w:t>要求且最后报价最低的原则确定成交供应商，也可以书面授权谈判小组直接确定成交供应商。采购人逾期未确定成交供应商且不提出异议的，视为确定评审报告提出的最后报价最低的供应商为成交供应商。</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4.2采购代理机构在收到采购人对评审报告的确认意见和对成交供应商的确定结果后，应当在2个工作日内，在中国政府采购网、广西政府采购网上公告成交结果，同时向成交供应商发出成交通知书，并将谈判文件随成交结果同时公告。</w:t>
      </w:r>
    </w:p>
    <w:p>
      <w:pPr>
        <w:pStyle w:val="392"/>
        <w:spacing w:before="0"/>
        <w:ind w:firstLine="0" w:firstLineChars="0"/>
        <w:rPr>
          <w:rFonts w:cs="宋体" w:asciiTheme="minorEastAsia" w:hAnsiTheme="minorEastAsia" w:eastAsiaTheme="minorEastAsia"/>
          <w:color w:val="auto"/>
          <w:kern w:val="0"/>
          <w:szCs w:val="21"/>
        </w:rPr>
      </w:pPr>
      <w:r>
        <w:rPr>
          <w:rFonts w:hint="eastAsia" w:asciiTheme="minorEastAsia" w:hAnsiTheme="minorEastAsia" w:eastAsiaTheme="minorEastAsia"/>
          <w:b/>
          <w:color w:val="auto"/>
        </w:rPr>
        <w:t>5.合同及履约验收</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asciiTheme="minorEastAsia" w:hAnsiTheme="minorEastAsia" w:eastAsiaTheme="minorEastAsia"/>
          <w:color w:val="auto"/>
          <w:sz w:val="24"/>
        </w:rPr>
      </w:pPr>
      <w:r>
        <w:rPr>
          <w:rFonts w:hint="eastAsia" w:asciiTheme="minorEastAsia" w:hAnsiTheme="minorEastAsia" w:eastAsiaTheme="minorEastAsia"/>
          <w:color w:val="auto"/>
          <w:sz w:val="24"/>
        </w:rPr>
        <w:t>5.2成交供应商按照政策要求及合同约定缴纳履约保证金（如有）。</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5.3合同履约。</w:t>
      </w:r>
    </w:p>
    <w:p>
      <w:pPr>
        <w:pStyle w:val="392"/>
        <w:spacing w:before="0"/>
        <w:ind w:firstLine="480"/>
        <w:rPr>
          <w:rFonts w:asciiTheme="minorEastAsia" w:hAnsiTheme="minorEastAsia" w:eastAsiaTheme="minorEastAsia"/>
          <w:color w:val="auto"/>
          <w:szCs w:val="24"/>
        </w:rPr>
      </w:pPr>
      <w:r>
        <w:rPr>
          <w:rFonts w:hint="eastAsia" w:asciiTheme="minorEastAsia" w:hAnsiTheme="minorEastAsia" w:eastAsiaTheme="minorEastAsia"/>
          <w:color w:val="auto"/>
          <w:szCs w:val="24"/>
        </w:rPr>
        <w:t>5.4采购人组织验收。</w:t>
      </w:r>
    </w:p>
    <w:p>
      <w:pPr>
        <w:widowControl/>
        <w:adjustRightInd/>
        <w:jc w:val="left"/>
        <w:rPr>
          <w:rFonts w:asciiTheme="minorEastAsia" w:hAnsiTheme="minorEastAsia" w:eastAsiaTheme="minorEastAsia"/>
          <w:b/>
          <w:color w:val="auto"/>
          <w:sz w:val="24"/>
          <w:szCs w:val="20"/>
        </w:rPr>
      </w:pPr>
      <w:r>
        <w:rPr>
          <w:rFonts w:hint="eastAsia" w:asciiTheme="minorEastAsia" w:hAnsiTheme="minorEastAsia" w:eastAsiaTheme="minorEastAsia"/>
          <w:b/>
          <w:color w:val="auto"/>
        </w:rPr>
        <w:br w:type="page"/>
      </w:r>
    </w:p>
    <w:p>
      <w:pPr>
        <w:pStyle w:val="392"/>
        <w:spacing w:before="0"/>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6.竞争性谈判流程图</w:t>
      </w:r>
    </w:p>
    <w:p>
      <w:pPr>
        <w:pStyle w:val="392"/>
        <w:spacing w:before="0"/>
        <w:ind w:firstLine="0" w:firstLineChars="0"/>
        <w:rPr>
          <w:rFonts w:asciiTheme="minorEastAsia" w:hAnsiTheme="minorEastAsia" w:eastAsiaTheme="minorEastAsia"/>
          <w:b/>
          <w:color w:val="auto"/>
        </w:rPr>
      </w:pPr>
    </w:p>
    <w:p>
      <w:pPr>
        <w:widowControl/>
        <w:adjustRightInd/>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p>
    <w:p>
      <w:pPr>
        <w:widowControl/>
        <w:adjustRightInd/>
        <w:jc w:val="left"/>
        <w:rPr>
          <w:rFonts w:cs="仿宋_GB2312" w:asciiTheme="minorEastAsia" w:hAnsiTheme="minorEastAsia" w:eastAsiaTheme="minorEastAsia"/>
          <w:b/>
          <w:color w:val="auto"/>
          <w:sz w:val="36"/>
          <w:szCs w:val="20"/>
        </w:rPr>
      </w:pP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最后报价评审</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最后报价评审</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谈判</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编制谈判文件</w:t>
                      </w: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rPr>
        <w:br w:type="page"/>
      </w:r>
    </w:p>
    <w:p>
      <w:pPr>
        <w:adjustRightInd/>
        <w:spacing w:line="360" w:lineRule="auto"/>
        <w:jc w:val="center"/>
        <w:outlineLvl w:val="0"/>
        <w:rPr>
          <w:rFonts w:cs="仿宋_GB2312" w:asciiTheme="minorEastAsia" w:hAnsiTheme="minorEastAsia" w:eastAsiaTheme="minorEastAsia"/>
          <w:b/>
          <w:color w:val="auto"/>
          <w:sz w:val="36"/>
          <w:szCs w:val="20"/>
        </w:rPr>
      </w:pPr>
      <w:bookmarkStart w:id="65" w:name="_Toc181265283"/>
      <w:r>
        <w:rPr>
          <w:rFonts w:hint="eastAsia" w:cs="仿宋_GB2312" w:asciiTheme="minorEastAsia" w:hAnsiTheme="minorEastAsia" w:eastAsiaTheme="minorEastAsia"/>
          <w:b/>
          <w:color w:val="auto"/>
          <w:sz w:val="36"/>
          <w:szCs w:val="20"/>
        </w:rPr>
        <w:t>第三部分</w:t>
      </w:r>
      <w:bookmarkEnd w:id="9"/>
      <w:r>
        <w:rPr>
          <w:rFonts w:hint="eastAsia" w:cs="仿宋_GB2312" w:asciiTheme="minorEastAsia" w:hAnsiTheme="minorEastAsia" w:eastAsiaTheme="minorEastAsia"/>
          <w:b/>
          <w:color w:val="auto"/>
          <w:sz w:val="36"/>
          <w:szCs w:val="20"/>
        </w:rPr>
        <w:t xml:space="preserve">  供应商须知</w:t>
      </w:r>
      <w:bookmarkEnd w:id="10"/>
      <w:bookmarkEnd w:id="65"/>
    </w:p>
    <w:p>
      <w:pPr>
        <w:adjustRightInd/>
        <w:spacing w:line="360" w:lineRule="auto"/>
        <w:jc w:val="center"/>
        <w:outlineLvl w:val="1"/>
        <w:rPr>
          <w:rFonts w:ascii="宋体" w:hAnsi="宋体" w:cs="仿宋_GB2312"/>
          <w:b/>
          <w:color w:val="auto"/>
          <w:sz w:val="36"/>
          <w:szCs w:val="20"/>
        </w:rPr>
      </w:pPr>
      <w:r>
        <w:rPr>
          <w:rFonts w:hint="eastAsia" w:ascii="宋体" w:hAnsi="宋体" w:cs="仿宋_GB2312"/>
          <w:b/>
          <w:color w:val="auto"/>
          <w:sz w:val="36"/>
          <w:szCs w:val="20"/>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事项</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项目属性与核心产品</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货物类，单一产品或</w:t>
            </w:r>
            <w:r>
              <w:rPr>
                <w:rFonts w:hint="eastAsia" w:ascii="宋体" w:hAnsi="宋体" w:cs="宋体"/>
                <w:color w:val="auto"/>
                <w:kern w:val="0"/>
                <w:sz w:val="24"/>
                <w:highlight w:val="none"/>
              </w:rPr>
              <w:t>核心产品为：</w:t>
            </w:r>
            <w:r>
              <w:rPr>
                <w:rFonts w:hint="eastAsia" w:ascii="宋体" w:hAnsi="宋体" w:cs="宋体"/>
                <w:color w:val="auto"/>
                <w:sz w:val="24"/>
                <w:highlight w:val="none"/>
                <w:u w:val="single"/>
              </w:rPr>
              <w:t xml:space="preserve"> 学生控制终端 </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ascii="宋体" w:hAnsi="宋体" w:cs="宋体"/>
                <w:b/>
                <w:color w:val="auto"/>
                <w:kern w:val="0"/>
                <w:sz w:val="24"/>
              </w:rPr>
            </w:pPr>
            <w:r>
              <w:rPr>
                <w:rFonts w:hint="eastAsia" w:ascii="宋体" w:hAnsi="宋体" w:cs="宋体"/>
                <w:b/>
                <w:color w:val="auto"/>
                <w:kern w:val="0"/>
                <w:sz w:val="24"/>
              </w:rPr>
              <w:t>采购标的及其对应的中小企业划分标准所属行业</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kern w:val="0"/>
                <w:sz w:val="24"/>
              </w:rPr>
            </w:pPr>
            <w:r>
              <w:rPr>
                <w:rFonts w:hint="eastAsia" w:ascii="宋体" w:hAnsi="宋体" w:cs="宋体"/>
                <w:color w:val="auto"/>
                <w:kern w:val="0"/>
                <w:sz w:val="24"/>
              </w:rPr>
              <w:t>（1）标的：</w:t>
            </w:r>
            <w:bookmarkStart w:id="66" w:name="OLE_LINK77"/>
            <w:r>
              <w:rPr>
                <w:rFonts w:hint="eastAsia" w:ascii="宋体" w:hAnsi="宋体" w:cs="宋体"/>
                <w:color w:val="auto"/>
                <w:kern w:val="0"/>
                <w:sz w:val="24"/>
                <w:u w:val="single"/>
              </w:rPr>
              <w:t>采购需求所列的各项货物</w:t>
            </w:r>
            <w:bookmarkEnd w:id="66"/>
            <w:r>
              <w:rPr>
                <w:rFonts w:hint="eastAsia" w:ascii="宋体" w:hAnsi="宋体" w:cs="宋体"/>
                <w:color w:val="auto"/>
                <w:kern w:val="0"/>
                <w:sz w:val="24"/>
              </w:rPr>
              <w:t>，属于</w:t>
            </w:r>
            <w:r>
              <w:rPr>
                <w:rFonts w:hint="eastAsia" w:ascii="宋体" w:hAnsi="宋体" w:cs="宋体"/>
                <w:color w:val="auto"/>
                <w:kern w:val="0"/>
                <w:sz w:val="24"/>
                <w:u w:val="single"/>
              </w:rPr>
              <w:t>工业</w:t>
            </w:r>
            <w:r>
              <w:rPr>
                <w:rFonts w:hint="eastAsia" w:ascii="宋体" w:hAnsi="宋体" w:cs="宋体"/>
                <w:color w:val="auto"/>
                <w:kern w:val="0"/>
                <w:sz w:val="24"/>
              </w:rPr>
              <w:t>行业；</w:t>
            </w:r>
          </w:p>
          <w:p>
            <w:pPr>
              <w:keepNext/>
              <w:keepLines/>
              <w:tabs>
                <w:tab w:val="left" w:pos="432"/>
              </w:tabs>
              <w:spacing w:before="260" w:after="260" w:line="416" w:lineRule="auto"/>
              <w:ind w:left="432"/>
              <w:outlineLvl w:val="1"/>
              <w:rPr>
                <w:rFonts w:ascii="宋体" w:hAnsi="宋体" w:cs="宋体" w:eastAsiaTheme="majorEastAsia"/>
                <w:color w:val="auto"/>
                <w:kern w:val="0"/>
                <w:sz w:val="24"/>
                <w:lang w:eastAsia="en-US"/>
              </w:rPr>
            </w:pPr>
            <w:r>
              <w:rPr>
                <w:rFonts w:hint="eastAsia" w:ascii="宋体" w:hAnsi="宋体" w:cs="宋体" w:eastAsiaTheme="majorEastAsia"/>
                <w:color w:val="auto"/>
                <w:kern w:val="0"/>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0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是否允许采购进口产品</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kern w:val="0"/>
                <w:sz w:val="24"/>
              </w:rPr>
            </w:pPr>
            <w:sdt>
              <w:sdtPr>
                <w:rPr>
                  <w:rFonts w:hint="eastAsia" w:ascii="宋体" w:hAnsi="宋体" w:cs="宋体"/>
                  <w:color w:val="auto"/>
                  <w:kern w:val="0"/>
                  <w:sz w:val="24"/>
                </w:rPr>
                <w:id w:val="-1513298430"/>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宋体" w:hAnsi="宋体" w:cs="宋体"/>
                    <w:color w:val="auto"/>
                    <w:kern w:val="0"/>
                    <w:sz w:val="24"/>
                  </w:rPr>
                  <w:sym w:font="Wingdings" w:char="F0FE"/>
                </w:r>
              </w:sdtContent>
            </w:sdt>
            <w:r>
              <w:rPr>
                <w:rFonts w:hint="eastAsia" w:ascii="宋体" w:hAnsi="宋体" w:cs="宋体"/>
                <w:color w:val="auto"/>
                <w:kern w:val="0"/>
                <w:sz w:val="24"/>
              </w:rPr>
              <w:t>本项目不允许采购进口产品。</w:t>
            </w:r>
          </w:p>
          <w:p>
            <w:pPr>
              <w:spacing w:line="360" w:lineRule="auto"/>
              <w:rPr>
                <w:rFonts w:ascii="宋体" w:hAnsi="宋体" w:cs="宋体"/>
                <w:color w:val="auto"/>
              </w:rPr>
            </w:pPr>
            <w:sdt>
              <w:sdtPr>
                <w:rPr>
                  <w:rFonts w:hint="eastAsia" w:ascii="宋体" w:hAnsi="宋体" w:cs="宋体"/>
                  <w:color w:val="auto"/>
                  <w:kern w:val="0"/>
                  <w:sz w:val="24"/>
                </w:rPr>
                <w:id w:val="1480501869"/>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可以就</w:t>
            </w:r>
            <w:r>
              <w:rPr>
                <w:rFonts w:hint="eastAsia" w:ascii="宋体" w:hAnsi="宋体" w:cs="宋体"/>
                <w:color w:val="auto"/>
                <w:sz w:val="24"/>
                <w:u w:val="single"/>
              </w:rPr>
              <w:t xml:space="preserve">    </w:t>
            </w:r>
            <w:r>
              <w:rPr>
                <w:rFonts w:hint="eastAsia" w:ascii="宋体" w:hAnsi="宋体" w:cs="宋体"/>
                <w:color w:val="auto"/>
                <w:kern w:val="0"/>
                <w:sz w:val="24"/>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47"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ascii="宋体" w:hAnsi="宋体" w:cs="宋体"/>
                <w:b/>
                <w:color w:val="auto"/>
                <w:sz w:val="24"/>
              </w:rPr>
            </w:pPr>
            <w:r>
              <w:rPr>
                <w:rFonts w:hint="eastAsia" w:ascii="宋体" w:hAnsi="宋体" w:cs="宋体"/>
                <w:b/>
                <w:color w:val="auto"/>
                <w:sz w:val="24"/>
              </w:rPr>
              <w:t>分包</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sz w:val="24"/>
              </w:rPr>
            </w:pPr>
            <w:sdt>
              <w:sdtPr>
                <w:rPr>
                  <w:rFonts w:hint="eastAsia" w:ascii="宋体" w:hAnsi="宋体" w:cs="宋体"/>
                  <w:color w:val="auto"/>
                  <w:kern w:val="0"/>
                  <w:sz w:val="24"/>
                </w:rPr>
                <w:id w:val="-1968966139"/>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 xml:space="preserve"> A</w:t>
            </w:r>
            <w:r>
              <w:rPr>
                <w:rFonts w:hint="eastAsia" w:ascii="宋体" w:hAnsi="宋体" w:cs="宋体"/>
                <w:color w:val="auto"/>
                <w:sz w:val="24"/>
              </w:rPr>
              <w:t>同意将非主体、非关键性的</w:t>
            </w:r>
            <w:r>
              <w:rPr>
                <w:rFonts w:hint="eastAsia" w:ascii="宋体" w:hAnsi="宋体" w:cs="宋体"/>
                <w:color w:val="auto"/>
                <w:sz w:val="24"/>
                <w:u w:val="single"/>
              </w:rPr>
              <w:t xml:space="preserve">             </w:t>
            </w:r>
            <w:r>
              <w:rPr>
                <w:rFonts w:hint="eastAsia" w:ascii="宋体" w:hAnsi="宋体" w:cs="宋体"/>
                <w:color w:val="auto"/>
                <w:sz w:val="24"/>
              </w:rPr>
              <w:t>工作分包。</w:t>
            </w:r>
          </w:p>
          <w:p>
            <w:pPr>
              <w:spacing w:line="360" w:lineRule="auto"/>
              <w:rPr>
                <w:rFonts w:ascii="宋体" w:hAnsi="宋体" w:cs="宋体"/>
                <w:color w:val="auto"/>
                <w:sz w:val="24"/>
              </w:rPr>
            </w:pPr>
            <w:sdt>
              <w:sdtPr>
                <w:rPr>
                  <w:rFonts w:hint="eastAsia" w:ascii="宋体" w:hAnsi="宋体" w:cs="宋体"/>
                  <w:color w:val="auto"/>
                  <w:kern w:val="0"/>
                  <w:sz w:val="24"/>
                </w:rPr>
                <w:id w:val="-2077805082"/>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宋体" w:hAnsi="宋体" w:cs="宋体"/>
                    <w:color w:val="auto"/>
                    <w:kern w:val="0"/>
                    <w:sz w:val="24"/>
                  </w:rPr>
                  <w:sym w:font="Wingdings" w:char="F0FE"/>
                </w:r>
              </w:sdtContent>
            </w:sdt>
            <w:r>
              <w:rPr>
                <w:rFonts w:hint="eastAsia" w:ascii="宋体" w:hAnsi="宋体" w:cs="宋体"/>
                <w:color w:val="auto"/>
                <w:kern w:val="0"/>
                <w:sz w:val="24"/>
              </w:rPr>
              <w:t xml:space="preserve"> B</w:t>
            </w:r>
            <w:r>
              <w:rPr>
                <w:rFonts w:hint="eastAsia" w:ascii="宋体" w:hAnsi="宋体" w:cs="宋体"/>
                <w:color w:val="auto"/>
                <w:sz w:val="24"/>
              </w:rPr>
              <w:t>不同意分包。</w:t>
            </w:r>
          </w:p>
          <w:p>
            <w:pPr>
              <w:spacing w:line="360" w:lineRule="auto"/>
              <w:rPr>
                <w:rFonts w:ascii="宋体" w:hAnsi="宋体" w:cs="宋体"/>
                <w:color w:val="auto"/>
                <w:sz w:val="24"/>
              </w:rPr>
            </w:pPr>
            <w:r>
              <w:rPr>
                <w:rFonts w:hint="eastAsia" w:ascii="宋体" w:hAnsi="宋体" w:cs="宋体"/>
                <w:color w:val="auto"/>
                <w:sz w:val="24"/>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24"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开标前答疑会或现场考察</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71237414"/>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不组织。</w:t>
            </w:r>
          </w:p>
          <w:p>
            <w:pPr>
              <w:spacing w:line="360" w:lineRule="auto"/>
              <w:rPr>
                <w:rFonts w:ascii="宋体" w:hAnsi="宋体" w:cs="宋体"/>
                <w:color w:val="auto"/>
                <w:sz w:val="24"/>
                <w:szCs w:val="20"/>
              </w:rPr>
            </w:pPr>
            <w:sdt>
              <w:sdtPr>
                <w:rPr>
                  <w:rFonts w:hint="eastAsia" w:ascii="宋体" w:hAnsi="宋体" w:cs="宋体"/>
                  <w:color w:val="auto"/>
                  <w:kern w:val="0"/>
                  <w:sz w:val="24"/>
                </w:rPr>
                <w:id w:val="-901361477"/>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B组织，</w:t>
            </w:r>
            <w:r>
              <w:rPr>
                <w:rFonts w:hint="eastAsia" w:ascii="宋体" w:hAnsi="宋体" w:cs="宋体"/>
                <w:color w:val="auto"/>
                <w:sz w:val="24"/>
              </w:rPr>
              <w:t>时间：</w:t>
            </w:r>
            <w:r>
              <w:rPr>
                <w:rFonts w:hint="eastAsia" w:ascii="宋体" w:hAnsi="宋体" w:cs="宋体"/>
                <w:color w:val="auto"/>
                <w:sz w:val="24"/>
                <w:u w:val="single"/>
              </w:rPr>
              <w:t xml:space="preserve">      </w:t>
            </w:r>
            <w:r>
              <w:rPr>
                <w:rFonts w:hint="eastAsia" w:ascii="宋体" w:hAnsi="宋体" w:cs="宋体"/>
                <w:color w:val="auto"/>
                <w:sz w:val="24"/>
              </w:rPr>
              <w:t>,地点：</w:t>
            </w:r>
            <w:r>
              <w:rPr>
                <w:rFonts w:hint="eastAsia" w:ascii="宋体" w:hAnsi="宋体" w:cs="宋体"/>
                <w:color w:val="auto"/>
                <w:sz w:val="24"/>
                <w:u w:val="single"/>
              </w:rPr>
              <w:t xml:space="preserve">      </w:t>
            </w:r>
            <w:r>
              <w:rPr>
                <w:rFonts w:hint="eastAsia" w:ascii="宋体" w:hAnsi="宋体" w:cs="宋体"/>
                <w:color w:val="auto"/>
                <w:sz w:val="24"/>
              </w:rPr>
              <w:t>，联系人：</w:t>
            </w:r>
            <w:r>
              <w:rPr>
                <w:rFonts w:hint="eastAsia" w:ascii="宋体" w:hAnsi="宋体" w:cs="宋体"/>
                <w:color w:val="auto"/>
                <w:sz w:val="24"/>
                <w:u w:val="single"/>
              </w:rPr>
              <w:t xml:space="preserve">      </w:t>
            </w:r>
            <w:r>
              <w:rPr>
                <w:rFonts w:hint="eastAsia" w:ascii="宋体" w:hAnsi="宋体" w:cs="宋体"/>
                <w:color w:val="auto"/>
                <w:sz w:val="24"/>
              </w:rPr>
              <w:t>，联系方式：</w:t>
            </w:r>
            <w:r>
              <w:rPr>
                <w:rFonts w:hint="eastAsia" w:ascii="宋体" w:hAnsi="宋体" w:cs="宋体"/>
                <w:color w:val="auto"/>
                <w:sz w:val="24"/>
                <w:u w:val="single"/>
              </w:rPr>
              <w:t xml:space="preserve">      </w:t>
            </w:r>
            <w:r>
              <w:rPr>
                <w:rFonts w:hint="eastAsia" w:ascii="宋体" w:hAnsi="宋体" w:cs="宋体"/>
                <w:color w:val="auto"/>
                <w:sz w:val="24"/>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样品提供</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185190916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不要求提供。</w:t>
            </w:r>
          </w:p>
          <w:p>
            <w:pPr>
              <w:spacing w:line="360" w:lineRule="auto"/>
              <w:rPr>
                <w:rFonts w:ascii="宋体" w:hAnsi="宋体" w:cs="宋体"/>
                <w:color w:val="auto"/>
                <w:kern w:val="0"/>
                <w:sz w:val="24"/>
              </w:rPr>
            </w:pPr>
            <w:sdt>
              <w:sdtPr>
                <w:rPr>
                  <w:rFonts w:hint="eastAsia" w:ascii="宋体" w:hAnsi="宋体" w:cs="宋体"/>
                  <w:color w:val="auto"/>
                  <w:kern w:val="0"/>
                  <w:sz w:val="24"/>
                </w:rPr>
                <w:id w:val="-1740552632"/>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B要求提供，</w:t>
            </w:r>
          </w:p>
          <w:p>
            <w:pPr>
              <w:spacing w:line="360" w:lineRule="auto"/>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snapToGrid w:val="0"/>
                <w:color w:val="auto"/>
                <w:kern w:val="28"/>
                <w:sz w:val="24"/>
              </w:rPr>
              <w:t>样品：</w:t>
            </w:r>
            <w:r>
              <w:rPr>
                <w:rFonts w:hint="eastAsia" w:ascii="宋体" w:hAnsi="宋体" w:cs="宋体"/>
                <w:color w:val="auto"/>
                <w:sz w:val="24"/>
                <w:u w:val="single"/>
              </w:rPr>
              <w:t xml:space="preserve">    </w:t>
            </w:r>
            <w:r>
              <w:rPr>
                <w:rFonts w:hint="eastAsia" w:ascii="宋体" w:hAnsi="宋体" w:cs="宋体"/>
                <w:color w:val="auto"/>
                <w:kern w:val="0"/>
                <w:sz w:val="24"/>
              </w:rPr>
              <w:t>；</w:t>
            </w:r>
          </w:p>
          <w:p>
            <w:pPr>
              <w:spacing w:line="360" w:lineRule="auto"/>
              <w:rPr>
                <w:rFonts w:ascii="宋体" w:hAnsi="宋体" w:cs="宋体"/>
                <w:color w:val="auto"/>
                <w:kern w:val="0"/>
                <w:sz w:val="24"/>
              </w:rPr>
            </w:pPr>
            <w:r>
              <w:rPr>
                <w:rFonts w:hint="eastAsia" w:ascii="宋体" w:hAnsi="宋体" w:cs="宋体"/>
                <w:color w:val="auto"/>
                <w:kern w:val="0"/>
                <w:sz w:val="24"/>
              </w:rPr>
              <w:t>（2）</w:t>
            </w:r>
            <w:r>
              <w:rPr>
                <w:rFonts w:hint="eastAsia" w:ascii="宋体" w:hAnsi="宋体" w:cs="宋体"/>
                <w:snapToGrid w:val="0"/>
                <w:color w:val="auto"/>
                <w:kern w:val="28"/>
                <w:sz w:val="24"/>
              </w:rPr>
              <w:t>样品制作的标准和要求：</w:t>
            </w:r>
            <w:r>
              <w:rPr>
                <w:rFonts w:hint="eastAsia" w:ascii="宋体" w:hAnsi="宋体" w:cs="宋体"/>
                <w:color w:val="auto"/>
                <w:sz w:val="24"/>
                <w:u w:val="single"/>
              </w:rPr>
              <w:t xml:space="preserve">    </w:t>
            </w:r>
            <w:r>
              <w:rPr>
                <w:rFonts w:hint="eastAsia" w:ascii="宋体" w:hAnsi="宋体" w:cs="宋体"/>
                <w:color w:val="auto"/>
                <w:kern w:val="0"/>
                <w:sz w:val="24"/>
              </w:rPr>
              <w:t>；</w:t>
            </w:r>
          </w:p>
          <w:p>
            <w:pPr>
              <w:spacing w:line="360" w:lineRule="auto"/>
              <w:rPr>
                <w:rFonts w:ascii="宋体" w:hAnsi="宋体" w:cs="宋体"/>
                <w:color w:val="auto"/>
                <w:kern w:val="0"/>
                <w:sz w:val="24"/>
              </w:rPr>
            </w:pPr>
            <w:r>
              <w:rPr>
                <w:rFonts w:hint="eastAsia" w:ascii="宋体" w:hAnsi="宋体" w:cs="宋体"/>
                <w:color w:val="auto"/>
                <w:kern w:val="0"/>
                <w:sz w:val="24"/>
              </w:rPr>
              <w:t>（3）样品的评审方法以及评审标准</w:t>
            </w:r>
            <w:r>
              <w:rPr>
                <w:rFonts w:hint="eastAsia" w:ascii="宋体" w:hAnsi="宋体" w:cs="宋体"/>
                <w:snapToGrid w:val="0"/>
                <w:color w:val="auto"/>
                <w:kern w:val="28"/>
                <w:sz w:val="24"/>
              </w:rPr>
              <w:t>：详见</w:t>
            </w:r>
            <w:r>
              <w:rPr>
                <w:rFonts w:hint="eastAsia" w:ascii="宋体" w:hAnsi="宋体" w:cs="宋体"/>
                <w:color w:val="auto"/>
                <w:sz w:val="24"/>
                <w:u w:val="single"/>
              </w:rPr>
              <w:t>评审标准</w:t>
            </w:r>
            <w:r>
              <w:rPr>
                <w:rFonts w:hint="eastAsia" w:ascii="宋体" w:hAnsi="宋体" w:cs="宋体"/>
                <w:color w:val="auto"/>
                <w:kern w:val="0"/>
                <w:sz w:val="24"/>
              </w:rPr>
              <w:t>；</w:t>
            </w:r>
          </w:p>
          <w:p>
            <w:pPr>
              <w:spacing w:line="360" w:lineRule="auto"/>
              <w:rPr>
                <w:rFonts w:ascii="宋体" w:hAnsi="宋体" w:cs="宋体"/>
                <w:color w:val="auto"/>
                <w:kern w:val="0"/>
                <w:sz w:val="24"/>
              </w:rPr>
            </w:pPr>
            <w:r>
              <w:rPr>
                <w:rFonts w:hint="eastAsia" w:ascii="宋体" w:hAnsi="宋体" w:cs="宋体"/>
                <w:color w:val="auto"/>
                <w:kern w:val="0"/>
                <w:sz w:val="24"/>
              </w:rPr>
              <w:t>（4）是否需要随样品提交检测报告：</w:t>
            </w:r>
            <w:sdt>
              <w:sdtPr>
                <w:rPr>
                  <w:rFonts w:hint="eastAsia" w:ascii="宋体" w:hAnsi="宋体" w:cs="宋体"/>
                  <w:color w:val="auto"/>
                  <w:kern w:val="0"/>
                  <w:sz w:val="24"/>
                </w:rPr>
                <w:id w:val="2031065684"/>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否；</w:t>
            </w:r>
            <w:sdt>
              <w:sdtPr>
                <w:rPr>
                  <w:rFonts w:hint="eastAsia" w:ascii="宋体" w:hAnsi="宋体" w:cs="宋体"/>
                  <w:color w:val="auto"/>
                  <w:kern w:val="0"/>
                  <w:sz w:val="24"/>
                </w:rPr>
                <w:id w:val="-486169569"/>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是，检测机构的要求</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；检测内容</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kern w:val="0"/>
                <w:sz w:val="24"/>
              </w:rPr>
              <w:t>。</w:t>
            </w:r>
          </w:p>
          <w:p>
            <w:pPr>
              <w:spacing w:line="360" w:lineRule="auto"/>
              <w:rPr>
                <w:rFonts w:ascii="宋体" w:hAnsi="宋体" w:cs="宋体"/>
                <w:color w:val="auto"/>
                <w:sz w:val="24"/>
              </w:rPr>
            </w:pPr>
            <w:r>
              <w:rPr>
                <w:rFonts w:hint="eastAsia" w:ascii="宋体" w:hAnsi="宋体" w:cs="宋体"/>
                <w:color w:val="auto"/>
                <w:sz w:val="24"/>
              </w:rPr>
              <w:t>（5）提供样品的时间：</w:t>
            </w:r>
            <w:r>
              <w:rPr>
                <w:rFonts w:hint="eastAsia" w:ascii="宋体" w:hAnsi="宋体" w:cs="宋体"/>
                <w:color w:val="auto"/>
                <w:sz w:val="24"/>
                <w:u w:val="single"/>
              </w:rPr>
              <w:t xml:space="preserve">    </w:t>
            </w:r>
            <w:r>
              <w:rPr>
                <w:rFonts w:hint="eastAsia" w:ascii="宋体" w:hAnsi="宋体" w:cs="宋体"/>
                <w:color w:val="auto"/>
                <w:kern w:val="0"/>
                <w:sz w:val="24"/>
              </w:rPr>
              <w:t>；地点：</w:t>
            </w:r>
            <w:r>
              <w:rPr>
                <w:rFonts w:hint="eastAsia" w:ascii="宋体" w:hAnsi="宋体" w:cs="宋体"/>
                <w:color w:val="auto"/>
                <w:sz w:val="24"/>
                <w:u w:val="single"/>
              </w:rPr>
              <w:t xml:space="preserve">    </w:t>
            </w:r>
            <w:r>
              <w:rPr>
                <w:rFonts w:hint="eastAsia" w:ascii="宋体" w:hAnsi="宋体" w:cs="宋体"/>
                <w:color w:val="auto"/>
                <w:kern w:val="0"/>
                <w:sz w:val="24"/>
              </w:rPr>
              <w:t>；联系人</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28"/>
                <w:sz w:val="24"/>
              </w:rPr>
              <w:t>联系电话：</w:t>
            </w:r>
            <w:r>
              <w:rPr>
                <w:rFonts w:hint="eastAsia" w:ascii="宋体" w:hAnsi="宋体" w:cs="宋体"/>
                <w:color w:val="auto"/>
                <w:sz w:val="24"/>
                <w:u w:val="single"/>
              </w:rPr>
              <w:t xml:space="preserve">    </w:t>
            </w:r>
            <w:r>
              <w:rPr>
                <w:rFonts w:hint="eastAsia" w:ascii="宋体" w:hAnsi="宋体" w:cs="宋体"/>
                <w:color w:val="auto"/>
                <w:sz w:val="24"/>
              </w:rPr>
              <w:t>。请供应商在上述时间内提供样品并按规定位置安装完毕。超过截止时间的，采购人或采购代理机构将不予接收，并将清场并封闭样品现场。</w:t>
            </w:r>
          </w:p>
          <w:p>
            <w:pPr>
              <w:spacing w:line="360" w:lineRule="auto"/>
              <w:rPr>
                <w:rFonts w:ascii="宋体" w:hAnsi="宋体" w:cs="宋体"/>
                <w:color w:val="auto"/>
                <w:sz w:val="24"/>
              </w:rPr>
            </w:pPr>
            <w:r>
              <w:rPr>
                <w:rFonts w:hint="eastAsia" w:ascii="宋体" w:hAnsi="宋体" w:cs="宋体"/>
                <w:color w:val="auto"/>
                <w:sz w:val="24"/>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ascii="宋体" w:hAnsi="宋体" w:cs="宋体"/>
                <w:b/>
                <w:color w:val="auto"/>
                <w:sz w:val="24"/>
              </w:rPr>
            </w:pPr>
            <w:r>
              <w:rPr>
                <w:rFonts w:hint="eastAsia" w:ascii="宋体" w:hAnsi="宋体" w:cs="宋体"/>
                <w:color w:val="auto"/>
                <w:sz w:val="24"/>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Cs/>
                <w:color w:val="auto"/>
                <w:sz w:val="24"/>
              </w:rPr>
            </w:pPr>
            <w:r>
              <w:rPr>
                <w:rFonts w:hint="eastAsia" w:ascii="宋体" w:hAnsi="宋体" w:cs="宋体"/>
                <w:b/>
                <w:color w:val="auto"/>
                <w:sz w:val="24"/>
              </w:rPr>
              <w:t>方案讲解演示</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182056903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不组织。</w:t>
            </w:r>
          </w:p>
          <w:p>
            <w:pPr>
              <w:spacing w:line="360" w:lineRule="auto"/>
              <w:rPr>
                <w:rFonts w:ascii="宋体" w:hAnsi="宋体" w:cs="宋体"/>
                <w:color w:val="auto"/>
                <w:kern w:val="0"/>
                <w:sz w:val="24"/>
              </w:rPr>
            </w:pPr>
            <w:sdt>
              <w:sdtPr>
                <w:rPr>
                  <w:rFonts w:hint="eastAsia" w:ascii="宋体" w:hAnsi="宋体" w:cs="宋体"/>
                  <w:color w:val="auto"/>
                  <w:kern w:val="0"/>
                  <w:sz w:val="24"/>
                </w:rPr>
                <w:id w:val="1799960091"/>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color w:val="auto"/>
                <w:kern w:val="0"/>
                <w:sz w:val="24"/>
              </w:rPr>
              <w:t>B组织。</w:t>
            </w:r>
          </w:p>
          <w:p>
            <w:pPr>
              <w:snapToGrid w:val="0"/>
              <w:spacing w:line="360" w:lineRule="auto"/>
              <w:rPr>
                <w:rFonts w:ascii="宋体" w:hAnsi="宋体" w:cs="宋体"/>
                <w:color w:val="auto"/>
                <w:kern w:val="0"/>
                <w:sz w:val="24"/>
              </w:rPr>
            </w:pPr>
            <w:r>
              <w:rPr>
                <w:rFonts w:hint="eastAsia" w:ascii="宋体" w:hAnsi="宋体" w:cs="宋体"/>
                <w:color w:val="auto"/>
                <w:kern w:val="0"/>
                <w:sz w:val="24"/>
              </w:rPr>
              <w:t>（1）在评审时安排每个供应商进行方案讲解演示。每个供应商时间不超过</w:t>
            </w:r>
            <w:r>
              <w:rPr>
                <w:rFonts w:hint="eastAsia" w:ascii="宋体" w:hAnsi="宋体" w:cs="宋体"/>
                <w:color w:val="auto"/>
                <w:kern w:val="0"/>
                <w:sz w:val="24"/>
                <w:u w:val="single"/>
              </w:rPr>
              <w:t>20（编制时可根据项目情况进行调整）</w:t>
            </w:r>
            <w:r>
              <w:rPr>
                <w:rFonts w:hint="eastAsia" w:ascii="宋体" w:hAnsi="宋体" w:cs="宋体"/>
                <w:color w:val="auto"/>
                <w:kern w:val="0"/>
                <w:sz w:val="24"/>
              </w:rPr>
              <w:t>分钟，讲解次序以响应文件解密时间先后次序为准，讲解演示人员不超过</w:t>
            </w:r>
            <w:r>
              <w:rPr>
                <w:rFonts w:hint="eastAsia" w:ascii="宋体" w:hAnsi="宋体" w:cs="宋体"/>
                <w:color w:val="auto"/>
                <w:kern w:val="0"/>
                <w:sz w:val="24"/>
                <w:u w:val="single"/>
              </w:rPr>
              <w:t>3（编制时可根据项目情况进行调整）</w:t>
            </w:r>
            <w:r>
              <w:rPr>
                <w:rFonts w:hint="eastAsia" w:ascii="宋体" w:hAnsi="宋体" w:cs="宋体"/>
                <w:color w:val="auto"/>
                <w:kern w:val="0"/>
                <w:sz w:val="24"/>
              </w:rPr>
              <w:t>人。讲解演示结束后按要求解答评标委员会提问。</w:t>
            </w:r>
          </w:p>
          <w:p>
            <w:pPr>
              <w:snapToGrid w:val="0"/>
              <w:spacing w:line="360" w:lineRule="auto"/>
              <w:rPr>
                <w:rFonts w:ascii="宋体" w:hAnsi="宋体" w:cs="宋体"/>
                <w:color w:val="auto"/>
                <w:kern w:val="0"/>
                <w:sz w:val="24"/>
              </w:rPr>
            </w:pPr>
            <w:r>
              <w:rPr>
                <w:rFonts w:hint="eastAsia" w:ascii="宋体" w:hAnsi="宋体" w:cs="宋体"/>
                <w:color w:val="auto"/>
                <w:kern w:val="0"/>
                <w:sz w:val="24"/>
              </w:rPr>
              <w:t>（2）方案讲解演示可选择以下其中一种方式：</w:t>
            </w:r>
          </w:p>
          <w:p>
            <w:pPr>
              <w:snapToGrid w:val="0"/>
              <w:spacing w:line="360" w:lineRule="auto"/>
              <w:rPr>
                <w:rFonts w:ascii="宋体" w:hAnsi="宋体" w:cs="宋体"/>
                <w:color w:val="auto"/>
                <w:kern w:val="0"/>
                <w:sz w:val="24"/>
              </w:rPr>
            </w:pPr>
            <w:r>
              <w:rPr>
                <w:rFonts w:hint="eastAsia" w:ascii="宋体" w:hAnsi="宋体" w:cs="宋体"/>
                <w:color w:val="auto"/>
                <w:kern w:val="0"/>
                <w:sz w:val="24"/>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ascii="宋体" w:hAnsi="宋体" w:cs="宋体"/>
                <w:color w:val="auto"/>
                <w:kern w:val="0"/>
                <w:sz w:val="24"/>
              </w:rPr>
            </w:pPr>
            <w:r>
              <w:rPr>
                <w:rFonts w:hint="eastAsia" w:ascii="宋体" w:hAnsi="宋体" w:cs="宋体"/>
                <w:color w:val="auto"/>
                <w:kern w:val="0"/>
                <w:sz w:val="24"/>
              </w:rPr>
              <w:t>方式二：交易中心现场讲解演示。现场讲解地点为</w:t>
            </w:r>
            <w:r>
              <w:rPr>
                <w:rFonts w:hint="eastAsia" w:ascii="宋体" w:hAnsi="宋体" w:cs="宋体"/>
                <w:color w:val="auto"/>
                <w:sz w:val="24"/>
                <w:u w:val="single"/>
              </w:rPr>
              <w:t xml:space="preserve">    </w:t>
            </w:r>
            <w:r>
              <w:rPr>
                <w:rFonts w:hint="eastAsia" w:ascii="宋体" w:hAnsi="宋体" w:cs="宋体"/>
                <w:color w:val="auto"/>
                <w:kern w:val="0"/>
                <w:sz w:val="24"/>
              </w:rPr>
              <w:t>，讲解演示所用电脑等设备由供应商自备。现场讲解演示人员进场时提供讲解人员名单（加盖公章或授权代表签名）及身份证明，否则不得讲解演示。</w:t>
            </w:r>
          </w:p>
          <w:p>
            <w:pPr>
              <w:snapToGrid w:val="0"/>
              <w:spacing w:line="360" w:lineRule="auto"/>
              <w:rPr>
                <w:rFonts w:ascii="宋体" w:hAnsi="宋体" w:cs="宋体"/>
                <w:b/>
                <w:color w:val="auto"/>
                <w:kern w:val="0"/>
                <w:sz w:val="24"/>
                <w:lang w:val="zh-CN"/>
              </w:rPr>
            </w:pPr>
            <w:r>
              <w:rPr>
                <w:rFonts w:hint="eastAsia" w:ascii="宋体" w:hAnsi="宋体" w:cs="宋体"/>
                <w:color w:val="auto"/>
                <w:kern w:val="0"/>
                <w:sz w:val="24"/>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1" w:hRule="atLeast"/>
        </w:trPr>
        <w:tc>
          <w:tcPr>
            <w:tcW w:w="629"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8</w:t>
            </w:r>
          </w:p>
        </w:tc>
        <w:tc>
          <w:tcPr>
            <w:tcW w:w="1843" w:type="dxa"/>
            <w:vMerge w:val="restart"/>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供应商应当提供的资格、资信证明文件</w:t>
            </w:r>
          </w:p>
        </w:tc>
        <w:tc>
          <w:tcPr>
            <w:tcW w:w="6520"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color w:val="auto"/>
                <w:sz w:val="24"/>
              </w:rPr>
            </w:pPr>
            <w:r>
              <w:rPr>
                <w:rFonts w:hint="eastAsia" w:ascii="宋体" w:hAnsi="宋体" w:cs="宋体"/>
                <w:color w:val="auto"/>
                <w:sz w:val="24"/>
              </w:rPr>
              <w:t>（1）资格证明文件：见谈判文件第三部分 六。</w:t>
            </w:r>
          </w:p>
          <w:p>
            <w:pPr>
              <w:spacing w:line="360" w:lineRule="auto"/>
              <w:rPr>
                <w:rFonts w:ascii="宋体" w:hAnsi="宋体" w:cs="宋体"/>
                <w:snapToGrid w:val="0"/>
                <w:color w:val="auto"/>
                <w:kern w:val="0"/>
                <w:szCs w:val="21"/>
              </w:rPr>
            </w:pPr>
            <w:r>
              <w:rPr>
                <w:rFonts w:hint="eastAsia" w:ascii="宋体" w:hAnsi="宋体" w:cs="宋体"/>
                <w:color w:val="auto"/>
                <w:kern w:val="0"/>
                <w:sz w:val="24"/>
                <w:lang w:val="zh-CN"/>
              </w:rPr>
              <w:t>供应商未提供有效的资格证明文件的，视为供应商不具备谈判文件中规定的资格要求，响应无效。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780" w:hRule="atLeast"/>
        </w:trPr>
        <w:tc>
          <w:tcPr>
            <w:tcW w:w="62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jc w:val="left"/>
              <w:rPr>
                <w:rFonts w:ascii="宋体" w:hAnsi="宋体" w:cs="宋体"/>
                <w:color w:val="auto"/>
                <w:sz w:val="24"/>
              </w:rPr>
            </w:pPr>
          </w:p>
        </w:tc>
        <w:tc>
          <w:tcPr>
            <w:tcW w:w="1843" w:type="dxa"/>
            <w:vMerge w:val="continue"/>
            <w:tcBorders>
              <w:top w:val="single" w:color="000000" w:sz="8" w:space="0"/>
              <w:left w:val="single" w:color="auto" w:sz="4" w:space="0"/>
              <w:bottom w:val="single" w:color="000000" w:sz="8" w:space="0"/>
              <w:right w:val="single" w:color="000000" w:sz="8" w:space="0"/>
            </w:tcBorders>
            <w:vAlign w:val="center"/>
          </w:tcPr>
          <w:p>
            <w:pPr>
              <w:widowControl/>
              <w:adjustRightInd/>
              <w:jc w:val="left"/>
              <w:rPr>
                <w:rFonts w:ascii="宋体" w:hAnsi="宋体" w:cs="宋体"/>
                <w:b/>
                <w:color w:val="auto"/>
                <w:sz w:val="24"/>
              </w:rPr>
            </w:pPr>
          </w:p>
        </w:tc>
        <w:tc>
          <w:tcPr>
            <w:tcW w:w="6520"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r>
              <w:rPr>
                <w:rFonts w:hint="eastAsia" w:ascii="宋体" w:hAnsi="宋体" w:cs="宋体"/>
                <w:color w:val="auto"/>
                <w:sz w:val="24"/>
              </w:rPr>
              <w:t>（2）资信证明文件：根据谈判文件采购需求等有关要求提供。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节能产品、环境标志产品</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ascii="宋体" w:hAnsi="宋体" w:cs="宋体"/>
                <w:color w:val="auto"/>
              </w:rPr>
            </w:pPr>
            <w:r>
              <w:rPr>
                <w:rFonts w:hint="eastAsia" w:ascii="宋体" w:hAnsi="宋体" w:cs="宋体"/>
                <w:color w:val="auto"/>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最后报价要求</w:t>
            </w:r>
          </w:p>
        </w:tc>
        <w:tc>
          <w:tcPr>
            <w:tcW w:w="6520"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ascii="宋体" w:hAnsi="宋体" w:cs="宋体"/>
                <w:b/>
                <w:color w:val="auto"/>
                <w:kern w:val="0"/>
                <w:sz w:val="24"/>
                <w:lang w:val="zh-CN"/>
              </w:rPr>
            </w:pPr>
            <w:r>
              <w:rPr>
                <w:rFonts w:hint="eastAsia" w:ascii="宋体" w:hAnsi="宋体" w:cs="宋体"/>
                <w:color w:val="auto"/>
                <w:kern w:val="0"/>
                <w:sz w:val="24"/>
                <w:lang w:val="zh-CN"/>
              </w:rPr>
              <w:t>有关本项目实施所需的所有费用（含税费）均计入最后报价。《最后报价</w:t>
            </w:r>
            <w:r>
              <w:rPr>
                <w:rFonts w:hint="eastAsia" w:ascii="宋体" w:hAnsi="宋体" w:cs="宋体"/>
                <w:color w:val="auto"/>
                <w:sz w:val="24"/>
              </w:rPr>
              <w:t>一览表（报价表）</w:t>
            </w:r>
            <w:r>
              <w:rPr>
                <w:rFonts w:hint="eastAsia" w:ascii="宋体" w:hAnsi="宋体" w:cs="宋体"/>
                <w:color w:val="auto"/>
                <w:kern w:val="0"/>
                <w:sz w:val="24"/>
                <w:lang w:val="zh-CN"/>
              </w:rPr>
              <w:t>》</w:t>
            </w:r>
            <w:r>
              <w:rPr>
                <w:rFonts w:hint="eastAsia" w:ascii="宋体" w:hAnsi="宋体" w:cs="宋体"/>
                <w:color w:val="auto"/>
                <w:sz w:val="24"/>
              </w:rPr>
              <w:t>是最后报价的唯一载体</w:t>
            </w:r>
            <w:r>
              <w:rPr>
                <w:rFonts w:hint="eastAsia" w:ascii="宋体" w:hAnsi="宋体" w:cs="宋体"/>
                <w:color w:val="auto"/>
                <w:kern w:val="0"/>
                <w:sz w:val="24"/>
                <w:lang w:val="zh-CN"/>
              </w:rPr>
              <w:t>。谈判文件中价格全部采用人民币报价。谈判文件未列明，而供应商认为必需的费用也需列入报价。</w:t>
            </w:r>
            <w:r>
              <w:rPr>
                <w:rFonts w:hint="eastAsia" w:ascii="宋体" w:hAnsi="宋体" w:cs="宋体"/>
                <w:b/>
                <w:color w:val="auto"/>
                <w:kern w:val="0"/>
                <w:sz w:val="24"/>
                <w:lang w:val="zh-CN"/>
              </w:rPr>
              <w:t>提醒：验收时检测费用由采购人承担，不包含在最后报价中。</w:t>
            </w:r>
          </w:p>
          <w:p>
            <w:pPr>
              <w:snapToGrid w:val="0"/>
              <w:spacing w:line="360" w:lineRule="auto"/>
              <w:jc w:val="left"/>
              <w:rPr>
                <w:rFonts w:ascii="宋体" w:hAnsi="宋体" w:cs="宋体"/>
                <w:b/>
                <w:color w:val="auto"/>
                <w:kern w:val="0"/>
                <w:sz w:val="24"/>
                <w:lang w:val="zh-CN"/>
              </w:rPr>
            </w:pPr>
            <w:r>
              <w:rPr>
                <w:rFonts w:hint="eastAsia" w:ascii="宋体" w:hAnsi="宋体" w:cs="宋体"/>
                <w:b/>
                <w:color w:val="auto"/>
                <w:kern w:val="0"/>
                <w:sz w:val="24"/>
                <w:lang w:val="zh-CN"/>
              </w:rPr>
              <w:t>最后报价出现下列情形的，响应无效：</w:t>
            </w:r>
          </w:p>
          <w:p>
            <w:pPr>
              <w:snapToGrid w:val="0"/>
              <w:spacing w:line="360" w:lineRule="auto"/>
              <w:ind w:firstLine="482" w:firstLineChars="200"/>
              <w:jc w:val="left"/>
              <w:rPr>
                <w:rFonts w:ascii="宋体" w:hAnsi="宋体" w:cs="宋体"/>
                <w:b/>
                <w:color w:val="auto"/>
                <w:kern w:val="0"/>
                <w:sz w:val="24"/>
                <w:lang w:val="zh-CN"/>
              </w:rPr>
            </w:pPr>
            <w:r>
              <w:rPr>
                <w:rFonts w:hint="eastAsia" w:ascii="宋体" w:hAnsi="宋体" w:cs="宋体"/>
                <w:b/>
                <w:color w:val="auto"/>
                <w:kern w:val="0"/>
                <w:sz w:val="24"/>
                <w:lang w:val="zh-CN"/>
              </w:rPr>
              <w:t>响应文件出现不是唯一的、有选择性的最后报价的；</w:t>
            </w:r>
          </w:p>
          <w:p>
            <w:pPr>
              <w:snapToGrid w:val="0"/>
              <w:spacing w:line="360" w:lineRule="auto"/>
              <w:ind w:firstLine="482" w:firstLineChars="200"/>
              <w:jc w:val="left"/>
              <w:rPr>
                <w:rFonts w:ascii="宋体" w:hAnsi="宋体" w:cs="宋体"/>
                <w:b/>
                <w:color w:val="auto"/>
                <w:kern w:val="0"/>
                <w:sz w:val="24"/>
                <w:lang w:val="zh-CN"/>
              </w:rPr>
            </w:pPr>
            <w:r>
              <w:rPr>
                <w:rFonts w:hint="eastAsia" w:ascii="宋体" w:hAnsi="宋体" w:cs="宋体"/>
                <w:b/>
                <w:color w:val="auto"/>
                <w:kern w:val="0"/>
                <w:sz w:val="24"/>
                <w:lang w:val="zh-CN"/>
              </w:rPr>
              <w:t>最后报价超过谈判文件中规定的预算金额或者最高限价的;</w:t>
            </w:r>
          </w:p>
          <w:p>
            <w:pPr>
              <w:snapToGrid w:val="0"/>
              <w:spacing w:line="360" w:lineRule="auto"/>
              <w:ind w:firstLine="482" w:firstLineChars="200"/>
              <w:jc w:val="left"/>
              <w:rPr>
                <w:rFonts w:ascii="宋体" w:hAnsi="宋体" w:cs="宋体"/>
                <w:b/>
                <w:color w:val="auto"/>
                <w:kern w:val="0"/>
                <w:sz w:val="24"/>
                <w:lang w:val="zh-CN"/>
              </w:rPr>
            </w:pPr>
            <w:bookmarkStart w:id="67" w:name="OLE_LINK48"/>
            <w:bookmarkStart w:id="68" w:name="OLE_LINK50"/>
            <w:r>
              <w:rPr>
                <w:rFonts w:hint="eastAsia" w:ascii="宋体" w:hAnsi="宋体" w:cs="宋体"/>
                <w:b/>
                <w:color w:val="auto"/>
                <w:kern w:val="0"/>
                <w:sz w:val="24"/>
                <w:highlight w:val="yellow"/>
                <w:lang w:val="zh-CN"/>
              </w:rPr>
              <w:t>报价属于采购文件规定的异常低价情形之一，且</w:t>
            </w:r>
            <w:bookmarkEnd w:id="67"/>
            <w:bookmarkEnd w:id="68"/>
            <w:r>
              <w:rPr>
                <w:rFonts w:hint="eastAsia" w:ascii="宋体" w:hAnsi="宋体" w:cs="宋体"/>
                <w:b/>
                <w:color w:val="auto"/>
                <w:kern w:val="0"/>
                <w:sz w:val="24"/>
                <w:highlight w:val="yellow"/>
                <w:lang w:val="zh-CN"/>
              </w:rPr>
              <w:t>未能按要求提供书面说明或者提交相关证明材料证明其报价合理性的;</w:t>
            </w:r>
          </w:p>
          <w:p>
            <w:pPr>
              <w:spacing w:line="360" w:lineRule="auto"/>
              <w:ind w:firstLine="482" w:firstLineChars="200"/>
              <w:rPr>
                <w:rFonts w:ascii="宋体" w:hAnsi="宋体" w:cs="宋体"/>
                <w:color w:val="auto"/>
                <w:sz w:val="24"/>
              </w:rPr>
            </w:pPr>
            <w:r>
              <w:rPr>
                <w:rFonts w:hint="eastAsia" w:ascii="宋体" w:hAnsi="宋体" w:cs="宋体"/>
                <w:b/>
                <w:color w:val="auto"/>
                <w:kern w:val="0"/>
                <w:sz w:val="24"/>
              </w:rPr>
              <w:t>供应商对根据修正原则修正后的报价不确认的</w:t>
            </w:r>
            <w:r>
              <w:rPr>
                <w:rFonts w:hint="eastAsia" w:ascii="宋体" w:hAnsi="宋体" w:cs="宋体"/>
                <w:b/>
                <w:color w:val="auto"/>
                <w:sz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bottom w:val="nil"/>
              <w:right w:val="single" w:color="000000" w:sz="2"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11</w:t>
            </w:r>
          </w:p>
        </w:tc>
        <w:tc>
          <w:tcPr>
            <w:tcW w:w="1843" w:type="dxa"/>
            <w:tcBorders>
              <w:top w:val="single" w:color="000000" w:sz="8" w:space="0"/>
              <w:left w:val="single" w:color="000000" w:sz="2" w:space="0"/>
              <w:bottom w:val="nil"/>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中小企业信用融资</w:t>
            </w:r>
          </w:p>
        </w:tc>
        <w:tc>
          <w:tcPr>
            <w:tcW w:w="6520" w:type="dxa"/>
            <w:tcBorders>
              <w:top w:val="single" w:color="000000" w:sz="8" w:space="0"/>
              <w:left w:val="single" w:color="000000" w:sz="2" w:space="0"/>
              <w:bottom w:val="nil"/>
              <w:right w:val="single" w:color="000000" w:sz="8" w:space="0"/>
            </w:tcBorders>
            <w:vAlign w:val="center"/>
          </w:tcPr>
          <w:p>
            <w:pPr>
              <w:spacing w:line="360" w:lineRule="auto"/>
              <w:ind w:firstLine="480" w:firstLineChars="200"/>
              <w:rPr>
                <w:rFonts w:ascii="宋体" w:hAnsi="宋体" w:cs="宋体"/>
                <w:snapToGrid w:val="0"/>
                <w:color w:val="auto"/>
                <w:kern w:val="28"/>
                <w:sz w:val="24"/>
              </w:rPr>
            </w:pPr>
            <w:r>
              <w:rPr>
                <w:rFonts w:hint="eastAsia" w:ascii="宋体" w:hAnsi="宋体" w:cs="宋体"/>
                <w:snapToGrid w:val="0"/>
                <w:color w:val="auto"/>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ascii="宋体" w:hAnsi="宋体" w:cs="宋体"/>
                <w:color w:val="auto"/>
                <w:sz w:val="24"/>
              </w:rPr>
            </w:pPr>
            <w:r>
              <w:rPr>
                <w:rFonts w:hint="eastAsia" w:ascii="宋体" w:hAnsi="宋体" w:cs="宋体"/>
                <w:snapToGrid w:val="0"/>
                <w:color w:val="auto"/>
                <w:kern w:val="28"/>
                <w:sz w:val="24"/>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34" w:hRule="atLeast"/>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 xml:space="preserve">备份响应文件送达地点和签收人员 </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color w:val="auto"/>
                <w:sz w:val="24"/>
              </w:rPr>
            </w:pPr>
            <w:sdt>
              <w:sdtPr>
                <w:rPr>
                  <w:rFonts w:hint="eastAsia" w:ascii="宋体" w:hAnsi="宋体" w:cs="宋体"/>
                  <w:color w:val="auto"/>
                  <w:kern w:val="0"/>
                  <w:sz w:val="24"/>
                </w:rPr>
                <w:id w:val="205304699"/>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宋体" w:hAnsi="宋体" w:cs="宋体"/>
                    <w:color w:val="auto"/>
                    <w:kern w:val="0"/>
                    <w:sz w:val="24"/>
                  </w:rPr>
                  <w:sym w:font="Wingdings" w:char="F0FE"/>
                </w:r>
              </w:sdtContent>
            </w:sdt>
            <w:r>
              <w:rPr>
                <w:rFonts w:hint="eastAsia" w:ascii="宋体" w:hAnsi="宋体" w:cs="宋体"/>
                <w:color w:val="auto"/>
                <w:kern w:val="0"/>
                <w:sz w:val="24"/>
              </w:rPr>
              <w:t>A</w:t>
            </w:r>
            <w:r>
              <w:rPr>
                <w:rFonts w:hint="eastAsia" w:ascii="宋体" w:hAnsi="宋体" w:cs="宋体"/>
                <w:color w:val="auto"/>
                <w:sz w:val="24"/>
              </w:rPr>
              <w:t>不接受。</w:t>
            </w:r>
          </w:p>
          <w:p>
            <w:pPr>
              <w:spacing w:line="360" w:lineRule="auto"/>
              <w:rPr>
                <w:rFonts w:ascii="宋体" w:hAnsi="宋体" w:cs="宋体"/>
                <w:color w:val="auto"/>
                <w:kern w:val="28"/>
                <w:sz w:val="24"/>
                <w:szCs w:val="20"/>
              </w:rPr>
            </w:pPr>
            <w:sdt>
              <w:sdtPr>
                <w:rPr>
                  <w:rFonts w:hint="eastAsia" w:ascii="宋体" w:hAnsi="宋体" w:cs="宋体"/>
                  <w:color w:val="auto"/>
                  <w:kern w:val="0"/>
                  <w:sz w:val="24"/>
                  <w:szCs w:val="20"/>
                </w:rPr>
                <w:id w:val="-926416851"/>
                <w14:checkbox>
                  <w14:checked w14:val="0"/>
                  <w14:checkedState w14:val="00FE" w14:font="Wingdings"/>
                  <w14:uncheckedState w14:val="2610" w14:font="MS Gothic"/>
                </w14:checkbox>
              </w:sdtPr>
              <w:sdtEndPr>
                <w:rPr>
                  <w:rFonts w:hint="eastAsia" w:ascii="宋体" w:hAnsi="宋体" w:cs="宋体"/>
                  <w:color w:val="auto"/>
                  <w:kern w:val="0"/>
                  <w:sz w:val="24"/>
                  <w:szCs w:val="20"/>
                </w:rPr>
              </w:sdtEndPr>
              <w:sdtContent>
                <w:r>
                  <w:rPr>
                    <w:rFonts w:hint="eastAsia" w:ascii="MS Mincho" w:hAnsi="MS Mincho" w:eastAsia="MS Mincho" w:cs="MS Mincho"/>
                    <w:color w:val="auto"/>
                    <w:kern w:val="0"/>
                    <w:sz w:val="24"/>
                    <w:szCs w:val="20"/>
                  </w:rPr>
                  <w:t>☐</w:t>
                </w:r>
              </w:sdtContent>
            </w:sdt>
            <w:r>
              <w:rPr>
                <w:rFonts w:hint="eastAsia" w:ascii="宋体" w:hAnsi="宋体" w:cs="宋体"/>
                <w:color w:val="auto"/>
                <w:kern w:val="0"/>
                <w:sz w:val="24"/>
                <w:szCs w:val="20"/>
              </w:rPr>
              <w:t>B</w:t>
            </w:r>
            <w:r>
              <w:rPr>
                <w:rFonts w:hint="eastAsia" w:ascii="宋体" w:hAnsi="宋体" w:cs="宋体"/>
                <w:color w:val="auto"/>
                <w:sz w:val="24"/>
                <w:szCs w:val="20"/>
              </w:rPr>
              <w:t>接受</w:t>
            </w:r>
            <w:r>
              <w:rPr>
                <w:rFonts w:hint="eastAsia" w:ascii="宋体" w:hAnsi="宋体" w:cs="宋体"/>
                <w:color w:val="auto"/>
                <w:kern w:val="0"/>
                <w:sz w:val="24"/>
                <w:szCs w:val="20"/>
              </w:rPr>
              <w:t>：</w:t>
            </w:r>
            <w:r>
              <w:rPr>
                <w:rFonts w:hint="eastAsia" w:ascii="宋体" w:hAnsi="宋体" w:cs="宋体"/>
                <w:color w:val="auto"/>
                <w:kern w:val="28"/>
                <w:sz w:val="24"/>
                <w:szCs w:val="20"/>
              </w:rPr>
              <w:t>备份响应文件送达地点：</w:t>
            </w:r>
            <w:r>
              <w:rPr>
                <w:rFonts w:hint="eastAsia" w:ascii="宋体" w:hAnsi="宋体" w:cs="宋体"/>
                <w:color w:val="auto"/>
                <w:sz w:val="24"/>
                <w:szCs w:val="20"/>
                <w:u w:val="single"/>
              </w:rPr>
              <w:t xml:space="preserve">         </w:t>
            </w:r>
            <w:r>
              <w:rPr>
                <w:rFonts w:hint="eastAsia" w:ascii="宋体" w:hAnsi="宋体" w:cs="宋体"/>
                <w:color w:val="auto"/>
                <w:kern w:val="28"/>
                <w:sz w:val="24"/>
                <w:szCs w:val="20"/>
              </w:rPr>
              <w:t>；备份响应文件签收人员联系电话：</w:t>
            </w:r>
            <w:r>
              <w:rPr>
                <w:rFonts w:hint="eastAsia" w:ascii="宋体" w:hAnsi="宋体" w:cs="宋体"/>
                <w:color w:val="auto"/>
                <w:sz w:val="24"/>
                <w:szCs w:val="20"/>
                <w:u w:val="single"/>
              </w:rPr>
              <w:t xml:space="preserve">        </w:t>
            </w:r>
            <w:r>
              <w:rPr>
                <w:rFonts w:hint="eastAsia" w:ascii="宋体" w:hAnsi="宋体" w:cs="宋体"/>
                <w:color w:val="auto"/>
                <w:sz w:val="24"/>
                <w:szCs w:val="20"/>
              </w:rPr>
              <w:t>。</w:t>
            </w:r>
            <w:r>
              <w:rPr>
                <w:rFonts w:hint="eastAsia" w:ascii="宋体" w:hAnsi="宋体" w:cs="宋体"/>
                <w:b/>
                <w:color w:val="auto"/>
                <w:sz w:val="24"/>
                <w:szCs w:val="20"/>
              </w:rPr>
              <w:t>采购人、采购代理机构不强制或变相强制供应商提交备份响应文件。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13</w:t>
            </w:r>
          </w:p>
        </w:tc>
        <w:tc>
          <w:tcPr>
            <w:tcW w:w="1843" w:type="dxa"/>
            <w:vMerge w:val="restart"/>
            <w:tcBorders>
              <w:top w:val="single" w:color="000000" w:sz="8" w:space="0"/>
              <w:left w:val="single" w:color="000000" w:sz="2" w:space="0"/>
              <w:bottom w:val="single" w:color="auto" w:sz="4" w:space="0"/>
              <w:right w:val="single" w:color="000000" w:sz="8"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特别说明</w:t>
            </w:r>
          </w:p>
        </w:tc>
        <w:tc>
          <w:tcPr>
            <w:tcW w:w="6520"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cs="宋体"/>
                <w:snapToGrid w:val="0"/>
                <w:color w:val="auto"/>
                <w:kern w:val="28"/>
                <w:sz w:val="24"/>
              </w:rPr>
            </w:pPr>
            <w:r>
              <w:rPr>
                <w:rFonts w:hint="eastAsia" w:ascii="宋体" w:hAnsi="宋体" w:cs="宋体"/>
                <w:snapToGrid w:val="0"/>
                <w:color w:val="auto"/>
                <w:kern w:val="28"/>
                <w:sz w:val="24"/>
              </w:rPr>
              <w:t>联合体</w:t>
            </w:r>
            <w:r>
              <w:rPr>
                <w:rFonts w:hint="eastAsia" w:hAnsi="宋体" w:cs="宋体"/>
                <w:color w:val="auto"/>
                <w:kern w:val="28"/>
                <w:sz w:val="24"/>
              </w:rPr>
              <w:t>响应</w:t>
            </w:r>
            <w:r>
              <w:rPr>
                <w:rFonts w:hint="eastAsia" w:ascii="宋体" w:hAnsi="宋体" w:cs="宋体"/>
                <w:snapToGrid w:val="0"/>
                <w:color w:val="auto"/>
                <w:kern w:val="28"/>
                <w:sz w:val="24"/>
              </w:rPr>
              <w:t>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top w:val="single" w:color="auto" w:sz="4" w:space="0"/>
              <w:left w:val="single" w:color="000000" w:sz="8" w:space="0"/>
              <w:bottom w:val="single" w:color="auto" w:sz="4" w:space="0"/>
              <w:right w:val="single" w:color="000000" w:sz="2" w:space="0"/>
            </w:tcBorders>
            <w:vAlign w:val="center"/>
          </w:tcPr>
          <w:p>
            <w:pPr>
              <w:widowControl/>
              <w:adjustRightInd/>
              <w:jc w:val="left"/>
              <w:rPr>
                <w:rFonts w:ascii="宋体" w:hAnsi="宋体" w:cs="宋体"/>
                <w:color w:val="auto"/>
                <w:sz w:val="24"/>
              </w:rPr>
            </w:pPr>
          </w:p>
        </w:tc>
        <w:tc>
          <w:tcPr>
            <w:tcW w:w="1843" w:type="dxa"/>
            <w:vMerge w:val="continue"/>
            <w:tcBorders>
              <w:top w:val="single" w:color="000000" w:sz="8" w:space="0"/>
              <w:left w:val="single" w:color="000000" w:sz="2" w:space="0"/>
              <w:bottom w:val="single" w:color="auto" w:sz="4" w:space="0"/>
              <w:right w:val="single" w:color="000000" w:sz="8" w:space="0"/>
            </w:tcBorders>
            <w:vAlign w:val="center"/>
          </w:tcPr>
          <w:p>
            <w:pPr>
              <w:widowControl/>
              <w:adjustRightInd/>
              <w:jc w:val="left"/>
              <w:rPr>
                <w:rFonts w:ascii="宋体" w:hAnsi="宋体" w:cs="宋体"/>
                <w:b/>
                <w:color w:val="auto"/>
                <w:sz w:val="24"/>
              </w:rPr>
            </w:pPr>
          </w:p>
        </w:tc>
        <w:tc>
          <w:tcPr>
            <w:tcW w:w="6520"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ascii="宋体" w:hAnsi="宋体" w:cs="宋体"/>
                <w:snapToGrid w:val="0"/>
                <w:color w:val="auto"/>
                <w:kern w:val="28"/>
                <w:sz w:val="24"/>
              </w:rPr>
            </w:pPr>
            <w:sdt>
              <w:sdtPr>
                <w:rPr>
                  <w:rFonts w:hint="eastAsia" w:ascii="宋体" w:hAnsi="宋体" w:cs="Arial"/>
                  <w:color w:val="auto"/>
                  <w:kern w:val="0"/>
                  <w:sz w:val="24"/>
                </w:rPr>
                <w:id w:val="320470398"/>
                <w14:checkbox>
                  <w14:checked w14:val="0"/>
                  <w14:checkedState w14:val="00FE" w14:font="Wingdings"/>
                  <w14:uncheckedState w14:val="2610" w14:font="MS Gothic"/>
                </w14:checkbox>
              </w:sdtPr>
              <w:sdtEndPr>
                <w:rPr>
                  <w:rFonts w:hint="eastAsia" w:ascii="宋体" w:hAnsi="宋体" w:cs="Arial"/>
                  <w:color w:val="auto"/>
                  <w:kern w:val="0"/>
                  <w:sz w:val="24"/>
                </w:rPr>
              </w:sdtEndPr>
              <w:sdtContent>
                <w:r>
                  <w:rPr>
                    <w:rFonts w:hint="eastAsia" w:ascii="MS Gothic" w:hAnsi="MS Gothic" w:eastAsia="MS Gothic" w:cs="Arial"/>
                    <w:color w:val="auto"/>
                    <w:kern w:val="0"/>
                    <w:sz w:val="24"/>
                  </w:rPr>
                  <w:t>☐</w:t>
                </w:r>
              </w:sdtContent>
            </w:sdt>
            <w:r>
              <w:rPr>
                <w:rFonts w:hint="eastAsia" w:ascii="宋体" w:hAnsi="宋体" w:cs="宋体"/>
                <w:snapToGrid w:val="0"/>
                <w:color w:val="auto"/>
                <w:kern w:val="28"/>
                <w:sz w:val="24"/>
              </w:rPr>
              <w:t>联合体响应的，联合体各方均需按谈判文件第五部分评审标准要求提供资信证明文件，否则视为不符合相关要求。</w:t>
            </w:r>
          </w:p>
          <w:p>
            <w:pPr>
              <w:spacing w:line="360" w:lineRule="auto"/>
              <w:rPr>
                <w:rFonts w:ascii="宋体" w:hAnsi="宋体" w:cs="宋体"/>
                <w:snapToGrid w:val="0"/>
                <w:color w:val="auto"/>
                <w:kern w:val="28"/>
                <w:sz w:val="24"/>
              </w:rPr>
            </w:pPr>
            <w:sdt>
              <w:sdtPr>
                <w:rPr>
                  <w:rFonts w:hint="eastAsia" w:ascii="宋体" w:hAnsi="宋体" w:cs="Arial"/>
                  <w:color w:val="auto"/>
                  <w:kern w:val="0"/>
                  <w:sz w:val="24"/>
                </w:rPr>
                <w:id w:val="1023673503"/>
                <w14:checkbox>
                  <w14:checked w14:val="0"/>
                  <w14:checkedState w14:val="00FE" w14:font="Wingdings"/>
                  <w14:uncheckedState w14:val="2610" w14:font="MS Gothic"/>
                </w14:checkbox>
              </w:sdtPr>
              <w:sdtEndPr>
                <w:rPr>
                  <w:rFonts w:hint="eastAsia" w:ascii="宋体" w:hAnsi="宋体" w:cs="Arial"/>
                  <w:color w:val="auto"/>
                  <w:kern w:val="0"/>
                  <w:sz w:val="24"/>
                </w:rPr>
              </w:sdtEndPr>
              <w:sdtContent>
                <w:r>
                  <w:rPr>
                    <w:rFonts w:hint="eastAsia" w:ascii="MS Mincho" w:hAnsi="MS Mincho" w:eastAsia="MS Mincho" w:cs="MS Mincho"/>
                    <w:color w:val="auto"/>
                    <w:kern w:val="0"/>
                    <w:sz w:val="24"/>
                  </w:rPr>
                  <w:t>☐</w:t>
                </w:r>
              </w:sdtContent>
            </w:sdt>
            <w:r>
              <w:rPr>
                <w:rFonts w:hint="eastAsia" w:ascii="宋体" w:hAnsi="宋体" w:cs="宋体"/>
                <w:snapToGrid w:val="0"/>
                <w:color w:val="auto"/>
                <w:kern w:val="28"/>
                <w:sz w:val="24"/>
              </w:rPr>
              <w:t>联合体响应的，联合体中有一方或者联合体成员根据分工按谈判文件第五部分评审标准要求提供资信证明文件的，视为符合了相关要求。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宋体"/>
                <w:b/>
                <w:color w:val="auto"/>
                <w:sz w:val="24"/>
              </w:rPr>
            </w:pPr>
            <w:r>
              <w:rPr>
                <w:rFonts w:hint="eastAsia" w:ascii="宋体" w:hAnsi="宋体" w:cs="宋体"/>
                <w:b/>
                <w:color w:val="auto"/>
                <w:sz w:val="24"/>
              </w:rPr>
              <w:t>解释权</w:t>
            </w:r>
          </w:p>
        </w:tc>
        <w:tc>
          <w:tcPr>
            <w:tcW w:w="652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Arial"/>
                <w:color w:val="auto"/>
                <w:kern w:val="0"/>
                <w:sz w:val="24"/>
              </w:rPr>
            </w:pPr>
            <w:r>
              <w:rPr>
                <w:rFonts w:hint="eastAsia" w:ascii="宋体" w:hAnsi="宋体" w:cs="Arial"/>
                <w:color w:val="auto"/>
                <w:kern w:val="0"/>
                <w:sz w:val="24"/>
              </w:rPr>
              <w:t>本谈判文件解释权属采购人及代理机构。</w:t>
            </w:r>
          </w:p>
        </w:tc>
      </w:tr>
    </w:tbl>
    <w:p>
      <w:pPr>
        <w:snapToGrid w:val="0"/>
        <w:jc w:val="center"/>
        <w:rPr>
          <w:rFonts w:ascii="宋体" w:hAnsi="宋体" w:cs="仿宋_GB2312"/>
          <w:b/>
          <w:color w:val="auto"/>
          <w:sz w:val="32"/>
          <w:szCs w:val="20"/>
        </w:rPr>
      </w:pPr>
    </w:p>
    <w:p>
      <w:pPr>
        <w:adjustRightInd/>
        <w:spacing w:line="360" w:lineRule="auto"/>
        <w:ind w:firstLine="3845" w:firstLineChars="1197"/>
        <w:outlineLvl w:val="1"/>
        <w:rPr>
          <w:rFonts w:ascii="宋体" w:hAnsi="宋体" w:cs="仿宋_GB2312"/>
          <w:b/>
          <w:color w:val="auto"/>
          <w:sz w:val="32"/>
          <w:szCs w:val="20"/>
        </w:rPr>
      </w:pPr>
      <w:r>
        <w:rPr>
          <w:rFonts w:hint="eastAsia" w:ascii="宋体" w:hAnsi="宋体" w:cs="仿宋_GB2312"/>
          <w:b/>
          <w:color w:val="auto"/>
          <w:sz w:val="32"/>
          <w:szCs w:val="20"/>
        </w:rPr>
        <w:t>二、总则</w:t>
      </w:r>
    </w:p>
    <w:p>
      <w:pPr>
        <w:snapToGrid w:val="0"/>
        <w:spacing w:line="360" w:lineRule="auto"/>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1. 适用范围</w:t>
      </w:r>
    </w:p>
    <w:p>
      <w:pPr>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本谈判文件适用于该项目的邀请、响应、开启响应文件、信用信息查询、资格性审查、评审、成交、合同、验收等行为（法律、法规另有规定的，从其规定）。</w:t>
      </w:r>
    </w:p>
    <w:p>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2.定义</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 “采购人”系指谈判邀请公告中载明的本项目的采购人。</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 “采购代理机构”系指谈判邀请公告中载明的本项目的采购代理机构。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 “供应商”系指响应谈判、参加本次竞争的法人、其他组织或自然人。</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 “</w:t>
      </w:r>
      <w:r>
        <w:rPr>
          <w:rFonts w:hint="eastAsia" w:ascii="宋体" w:hAnsi="宋体" w:cs="宋体"/>
          <w:color w:val="auto"/>
          <w:sz w:val="24"/>
        </w:rPr>
        <w:t>法定代表人（负责人）</w:t>
      </w:r>
      <w:r>
        <w:rPr>
          <w:rFonts w:hint="eastAsia" w:asciiTheme="minorEastAsia" w:hAnsiTheme="minorEastAsia" w:eastAsiaTheme="minorEastAsia"/>
          <w:color w:val="auto"/>
          <w:sz w:val="24"/>
        </w:rPr>
        <w:t>”系指法人企业的法定负责人，或其他组织为法律、行政法规规定代表单位行使职权的主要负责人，或自然人本人。</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 “成交人”系指经评审确定的成交供应商。</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2.6“响应文件”系指供应商提交的商务技术文件。供应商提交最后报价后，最后报价是供应商响应文件的有效组成部分。</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2.7“电子交易平台”系指本项目政府采购活动所依托的</w:t>
      </w:r>
      <w:r>
        <w:rPr>
          <w:rFonts w:hint="eastAsia" w:ascii="宋体" w:hAnsi="宋体" w:cs="宋体"/>
          <w:color w:val="auto"/>
          <w:sz w:val="24"/>
        </w:rPr>
        <w:t>广西政府采购云平台（https://www.gcy.zfcg.gxzf.gov.cn/）</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rPr>
        <w:t>4</w:t>
      </w:r>
      <w:r>
        <w:rPr>
          <w:rFonts w:hint="eastAsia" w:asciiTheme="minorEastAsia" w:hAnsiTheme="minorEastAsia" w:eastAsiaTheme="minorEastAsia"/>
          <w:color w:val="auto"/>
          <w:sz w:val="24"/>
        </w:rPr>
        <w:t>）。</w:t>
      </w:r>
    </w:p>
    <w:p>
      <w:pPr>
        <w:spacing w:line="360" w:lineRule="auto"/>
        <w:ind w:firstLine="480" w:firstLineChars="200"/>
        <w:rPr>
          <w:color w:val="auto"/>
        </w:rPr>
      </w:pPr>
      <w:r>
        <w:rPr>
          <w:rFonts w:hint="eastAsia" w:asciiTheme="minorEastAsia" w:hAnsiTheme="minorEastAsia" w:eastAsiaTheme="minorEastAsia"/>
          <w:color w:val="auto"/>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2.9 “书面形式”包括数据电文形式与纸质形式。数据电文形式与纸质形式的采购活动具有同等法律效力。</w:t>
      </w:r>
    </w:p>
    <w:p>
      <w:pPr>
        <w:snapToGrid w:val="0"/>
        <w:spacing w:line="360" w:lineRule="auto"/>
        <w:ind w:firstLine="480" w:firstLineChars="200"/>
        <w:jc w:val="left"/>
        <w:rPr>
          <w:rFonts w:asciiTheme="minorEastAsia" w:hAnsiTheme="minorEastAsia" w:eastAsiaTheme="minorEastAsia"/>
          <w:b/>
          <w:color w:val="auto"/>
          <w:sz w:val="24"/>
        </w:rPr>
      </w:pPr>
      <w:r>
        <w:rPr>
          <w:rFonts w:hint="eastAsia" w:asciiTheme="minorEastAsia" w:hAnsiTheme="minorEastAsia" w:eastAsiaTheme="minorEastAsia"/>
          <w:color w:val="auto"/>
          <w:sz w:val="24"/>
        </w:rPr>
        <w:t>2.10 “▲” 系指实质性要求条款， “※”系指谈判过程中可能实质性变动的内容，</w:t>
      </w:r>
      <w:r>
        <w:rPr>
          <w:rFonts w:hint="eastAsia" w:ascii="宋体" w:hAnsi="宋体" w:cs="宋体"/>
          <w:color w:val="auto"/>
          <w:kern w:val="0"/>
          <w:sz w:val="24"/>
        </w:rPr>
        <w:t>“</w:t>
      </w:r>
      <w:r>
        <w:rPr>
          <w:rFonts w:hint="eastAsia" w:ascii="宋体" w:hAnsi="宋体" w:cs="宋体"/>
          <w:color w:val="auto"/>
          <w:kern w:val="0"/>
          <w:sz w:val="24"/>
        </w:rPr>
        <w:sym w:font="Wingdings" w:char="F0FE"/>
      </w:r>
      <w:r>
        <w:rPr>
          <w:rFonts w:hint="eastAsia" w:ascii="宋体" w:hAnsi="宋体" w:cs="宋体"/>
          <w:color w:val="auto"/>
          <w:kern w:val="0"/>
          <w:sz w:val="24"/>
        </w:rPr>
        <w:t>”</w:t>
      </w:r>
      <w:r>
        <w:rPr>
          <w:rFonts w:hint="eastAsia" w:cs="宋体" w:asciiTheme="minorEastAsia" w:hAnsiTheme="minorEastAsia" w:eastAsiaTheme="minorEastAsia"/>
          <w:color w:val="auto"/>
          <w:sz w:val="24"/>
        </w:rPr>
        <w:t>系指适用本项目的要求，“□”系指不适用本项目的要求。</w:t>
      </w:r>
    </w:p>
    <w:p>
      <w:pPr>
        <w:adjustRightInd/>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3. 响应有效期</w:t>
      </w:r>
    </w:p>
    <w:p>
      <w:pPr>
        <w:spacing w:line="360" w:lineRule="auto"/>
        <w:ind w:firstLine="480" w:firstLineChars="200"/>
        <w:rPr>
          <w:rFonts w:cs="仿宋_GB2312" w:asciiTheme="minorEastAsia" w:hAnsiTheme="minorEastAsia" w:eastAsiaTheme="minorEastAsia"/>
          <w:b/>
          <w:color w:val="auto"/>
          <w:sz w:val="24"/>
          <w:szCs w:val="21"/>
        </w:rPr>
      </w:pPr>
      <w:r>
        <w:rPr>
          <w:rFonts w:hint="eastAsia" w:cs="仿宋_GB2312" w:asciiTheme="minorEastAsia" w:hAnsiTheme="minorEastAsia" w:eastAsiaTheme="minorEastAsia"/>
          <w:color w:val="auto"/>
          <w:sz w:val="24"/>
          <w:szCs w:val="20"/>
        </w:rPr>
        <w:t>▲3.1</w:t>
      </w:r>
      <w:r>
        <w:rPr>
          <w:rFonts w:hint="eastAsia" w:cs="仿宋_GB2312" w:asciiTheme="minorEastAsia" w:hAnsiTheme="minorEastAsia" w:eastAsiaTheme="minorEastAsia"/>
          <w:b/>
          <w:color w:val="auto"/>
          <w:sz w:val="24"/>
          <w:szCs w:val="20"/>
        </w:rPr>
        <w:t>响应有效期为从提交响应文件的截止之日起60天。供应商的响应文件中承</w:t>
      </w:r>
      <w:r>
        <w:rPr>
          <w:rFonts w:hint="eastAsia" w:cs="仿宋_GB2312" w:asciiTheme="minorEastAsia" w:hAnsiTheme="minorEastAsia" w:eastAsiaTheme="minorEastAsia"/>
          <w:b/>
          <w:color w:val="auto"/>
          <w:sz w:val="24"/>
          <w:szCs w:val="21"/>
        </w:rPr>
        <w:t>诺的响应有效期少于谈判文件中载明的谈判有效期的，响应无效。</w:t>
      </w:r>
    </w:p>
    <w:p>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3.2响应文件合格提交后，自响应截止日期起，在响应有效期内有效。</w:t>
      </w:r>
    </w:p>
    <w:p>
      <w:pPr>
        <w:pStyle w:val="392"/>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rPr>
        <w:t>拒绝延长谈判有效期的供应商不得再参与该项目后续采购活动。</w:t>
      </w:r>
    </w:p>
    <w:p>
      <w:pPr>
        <w:tabs>
          <w:tab w:val="left" w:pos="378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4．响应费用</w:t>
      </w:r>
    </w:p>
    <w:p>
      <w:pPr>
        <w:pStyle w:val="31"/>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供应商需自行承担涉及响应的一切费用</w:t>
      </w:r>
      <w:r>
        <w:rPr>
          <w:rFonts w:hint="eastAsia" w:asciiTheme="minorEastAsia" w:hAnsiTheme="minorEastAsia" w:eastAsiaTheme="minorEastAsia"/>
          <w:color w:val="auto"/>
          <w:sz w:val="24"/>
          <w:lang w:val="zh-CN"/>
        </w:rPr>
        <w:t>。</w:t>
      </w:r>
    </w:p>
    <w:p>
      <w:pPr>
        <w:spacing w:line="360" w:lineRule="auto"/>
        <w:jc w:val="center"/>
        <w:rPr>
          <w:rFonts w:cs="仿宋_GB2312" w:asciiTheme="minorEastAsia" w:hAnsiTheme="minorEastAsia" w:eastAsiaTheme="minorEastAsia"/>
          <w:b/>
          <w:color w:val="auto"/>
          <w:sz w:val="24"/>
        </w:rPr>
      </w:pP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三、需要落实的政府采购政策</w:t>
      </w:r>
    </w:p>
    <w:p>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1.是否允许采购进口产品要求</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rPr>
        <w:t>优先采购向我国企业转让技术、与我国企业签订消化吸收再创新方案的供应商的进口产品</w:t>
      </w:r>
      <w:r>
        <w:rPr>
          <w:rFonts w:hint="eastAsia" w:asciiTheme="minorEastAsia" w:hAnsiTheme="minorEastAsia" w:eastAsiaTheme="minorEastAsia"/>
          <w:color w:val="auto"/>
          <w:sz w:val="24"/>
        </w:rPr>
        <w:t>。</w:t>
      </w:r>
    </w:p>
    <w:p>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2.支持绿色发展</w:t>
      </w:r>
    </w:p>
    <w:p>
      <w:pPr>
        <w:spacing w:line="360" w:lineRule="auto"/>
        <w:ind w:firstLine="480" w:firstLineChars="200"/>
        <w:rPr>
          <w:rFonts w:cs="宋体" w:asciiTheme="minorEastAsia" w:hAnsiTheme="minorEastAsia" w:eastAsiaTheme="minorEastAsia"/>
          <w:b/>
          <w:color w:val="auto"/>
          <w:sz w:val="24"/>
        </w:rPr>
      </w:pPr>
      <w:r>
        <w:rPr>
          <w:rFonts w:hint="eastAsia" w:cs="宋体" w:asciiTheme="minorEastAsia" w:hAnsiTheme="minorEastAsia" w:eastAsiaTheme="minorEastAsia"/>
          <w:color w:val="auto"/>
          <w:sz w:val="24"/>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谈判文件要求提供相关产品认证证书。</w:t>
      </w:r>
      <w:r>
        <w:rPr>
          <w:rFonts w:hint="eastAsia" w:ascii="宋体" w:hAnsi="宋体" w:cs="宋体"/>
          <w:b/>
          <w:color w:val="auto"/>
          <w:sz w:val="24"/>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2.2</w:t>
      </w:r>
      <w:r>
        <w:rPr>
          <w:rFonts w:hint="eastAsia" w:ascii="宋体" w:hAnsi="宋体" w:cs="宋体"/>
          <w:color w:val="auto"/>
          <w:sz w:val="24"/>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rPr>
        <w:t>。</w:t>
      </w:r>
    </w:p>
    <w:p>
      <w:pPr>
        <w:spacing w:line="360" w:lineRule="auto"/>
        <w:ind w:firstLine="480" w:firstLineChars="200"/>
        <w:rPr>
          <w:rFonts w:ascii="宋体" w:hAnsi="宋体" w:cs="宋体"/>
          <w:color w:val="auto"/>
          <w:sz w:val="24"/>
        </w:rPr>
      </w:pPr>
      <w:r>
        <w:rPr>
          <w:rFonts w:hint="eastAsia" w:cs="宋体" w:asciiTheme="minorEastAsia" w:hAnsiTheme="minorEastAsia" w:eastAsiaTheme="minorEastAsia"/>
          <w:color w:val="auto"/>
          <w:sz w:val="24"/>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rPr>
        <w:t>鼓励采购单位优先采购秸秆环保板材等资源综合利用产品。鼓励采购单位优先采购绿色物流配送服务、提供新能源交通工具的租赁服务。</w:t>
      </w:r>
    </w:p>
    <w:p>
      <w:pPr>
        <w:spacing w:line="360" w:lineRule="auto"/>
        <w:ind w:firstLine="480" w:firstLineChars="200"/>
        <w:rPr>
          <w:rFonts w:ascii="宋体" w:hAnsi="宋体" w:cs="宋体"/>
          <w:color w:val="auto"/>
          <w:sz w:val="24"/>
        </w:rPr>
      </w:pPr>
      <w:r>
        <w:rPr>
          <w:rFonts w:ascii="宋体" w:hAnsi="宋体" w:cs="宋体"/>
          <w:color w:val="auto"/>
          <w:sz w:val="24"/>
        </w:rPr>
        <w:t xml:space="preserve">2.4 </w:t>
      </w:r>
      <w:r>
        <w:rPr>
          <w:rFonts w:hint="eastAsia" w:ascii="宋体" w:hAnsi="宋体" w:cs="宋体"/>
          <w:color w:val="auto"/>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pPr>
        <w:pStyle w:val="31"/>
        <w:spacing w:line="360" w:lineRule="auto"/>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3.支持中小企业发展。</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符合中小企业划分标准的个体工商户，在政府采购活动中视同中小企业。</w:t>
      </w:r>
    </w:p>
    <w:p>
      <w:pPr>
        <w:widowControl/>
        <w:spacing w:line="360" w:lineRule="auto"/>
        <w:ind w:firstLine="480" w:firstLineChars="200"/>
        <w:jc w:val="left"/>
        <w:rPr>
          <w:rFonts w:cs="宋体" w:asciiTheme="minorEastAsia" w:hAnsiTheme="minorEastAsia" w:eastAsiaTheme="minorEastAsia"/>
          <w:color w:val="auto"/>
          <w:kern w:val="0"/>
          <w:sz w:val="24"/>
        </w:rPr>
      </w:pPr>
      <w:r>
        <w:rPr>
          <w:rFonts w:cs="宋体" w:asciiTheme="minorEastAsia" w:hAnsiTheme="minorEastAsia" w:eastAsiaTheme="minorEastAsia"/>
          <w:bCs/>
          <w:color w:val="auto"/>
          <w:sz w:val="24"/>
        </w:rPr>
        <w:t>3.2</w:t>
      </w:r>
      <w:r>
        <w:rPr>
          <w:rFonts w:hint="eastAsia" w:cs="宋体" w:asciiTheme="minorEastAsia" w:hAnsiTheme="minorEastAsia" w:eastAsiaTheme="minorEastAsia"/>
          <w:color w:val="auto"/>
          <w:kern w:val="0"/>
          <w:sz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pPr>
        <w:widowControl/>
        <w:spacing w:line="360" w:lineRule="auto"/>
        <w:ind w:firstLine="480" w:firstLineChars="200"/>
        <w:jc w:val="left"/>
        <w:rPr>
          <w:rFonts w:cs="宋体"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rPr>
        <w:t>3</w:t>
      </w:r>
      <w:r>
        <w:rPr>
          <w:rFonts w:hint="eastAsia" w:cs="宋体" w:asciiTheme="minorEastAsia" w:hAnsiTheme="minorEastAsia" w:eastAsiaTheme="minorEastAsia"/>
          <w:color w:val="auto"/>
          <w:sz w:val="24"/>
        </w:rPr>
        <w:t>）的残疾人福利性单位视同小型、微型企业；</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3.6可享受中小企业扶持政策的供应商应按照谈判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3.7中小企业享受扶持政策获得政府采购合同的，小微企业不得将合同分包给大中型企业，中型企业不得将合同分包给大型企业。</w:t>
      </w:r>
    </w:p>
    <w:p>
      <w:pPr>
        <w:spacing w:line="360" w:lineRule="auto"/>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4.</w:t>
      </w:r>
      <w:r>
        <w:rPr>
          <w:rFonts w:hint="eastAsia" w:cs="宋体" w:asciiTheme="minorEastAsia" w:hAnsiTheme="minorEastAsia" w:eastAsiaTheme="minorEastAsia"/>
          <w:b/>
          <w:bCs/>
          <w:color w:val="auto"/>
          <w:sz w:val="24"/>
        </w:rPr>
        <w:t>支持创新发展</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4.1 采购人优先采购被认定为首台套产品和“制造精品”的自主创新产品。</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4.2首台套产品被纳入《首台套产品推广应用指导目录》之日起3年内，以及产品核心技术高于国内领先水平，并具有明晰自主知识产权的“制造精品”产品，自认定之日起2年内视同已具备相应销售业绩，参加政府采购活动时优先采购。</w:t>
      </w:r>
    </w:p>
    <w:p>
      <w:pPr>
        <w:spacing w:line="360" w:lineRule="auto"/>
        <w:rPr>
          <w:rFonts w:ascii="宋体" w:hAnsi="宋体" w:cs="宋体"/>
          <w:b/>
          <w:color w:val="auto"/>
          <w:sz w:val="24"/>
        </w:rPr>
      </w:pPr>
      <w:r>
        <w:rPr>
          <w:rFonts w:hint="eastAsia" w:cs="宋体" w:asciiTheme="minorEastAsia" w:hAnsiTheme="minorEastAsia" w:eastAsiaTheme="minorEastAsia"/>
          <w:b/>
          <w:color w:val="auto"/>
          <w:sz w:val="24"/>
        </w:rPr>
        <w:t>5.</w:t>
      </w:r>
      <w:r>
        <w:rPr>
          <w:rFonts w:hint="eastAsia" w:ascii="宋体" w:hAnsi="宋体" w:cs="宋体"/>
          <w:b/>
          <w:color w:val="auto"/>
          <w:sz w:val="24"/>
        </w:rPr>
        <w:t>平等对待内外资企业</w:t>
      </w:r>
    </w:p>
    <w:p>
      <w:pPr>
        <w:spacing w:line="360" w:lineRule="auto"/>
        <w:ind w:firstLine="480" w:firstLineChars="200"/>
        <w:rPr>
          <w:rFonts w:ascii="宋体" w:hAnsi="宋体" w:cs="宋体"/>
          <w:color w:val="auto"/>
          <w:sz w:val="24"/>
        </w:rPr>
      </w:pPr>
      <w:r>
        <w:rPr>
          <w:rFonts w:hint="eastAsia" w:ascii="宋体" w:hAnsi="宋体" w:cs="宋体"/>
          <w:color w:val="auto"/>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1"/>
        <w:ind w:firstLine="0"/>
        <w:rPr>
          <w:b/>
          <w:bCs/>
          <w:color w:val="auto"/>
        </w:rPr>
      </w:pPr>
      <w:r>
        <w:rPr>
          <w:rFonts w:hint="eastAsia" w:cs="宋体" w:asciiTheme="minorEastAsia" w:hAnsiTheme="minorEastAsia" w:eastAsiaTheme="minorEastAsia"/>
          <w:b/>
          <w:color w:val="auto"/>
        </w:rPr>
        <w:t>6.</w:t>
      </w:r>
      <w:r>
        <w:rPr>
          <w:rFonts w:hint="eastAsia"/>
          <w:b/>
          <w:color w:val="auto"/>
        </w:rPr>
        <w:t>平等对待符合条件的破产重整企业</w:t>
      </w:r>
    </w:p>
    <w:p>
      <w:pPr>
        <w:pStyle w:val="631"/>
        <w:rPr>
          <w:color w:val="auto"/>
        </w:rPr>
      </w:pPr>
      <w:r>
        <w:rPr>
          <w:rFonts w:hint="eastAsia" w:cs="宋体"/>
          <w:color w:val="auto"/>
        </w:rPr>
        <w:t>平等对待符合条件的破产重整企业，切实保障企业公平竞争，平等维护企业的合法利益。</w:t>
      </w:r>
    </w:p>
    <w:p>
      <w:pPr>
        <w:spacing w:line="360" w:lineRule="auto"/>
        <w:ind w:firstLine="480" w:firstLineChars="200"/>
        <w:rPr>
          <w:rFonts w:asciiTheme="minorEastAsia" w:hAnsiTheme="minorEastAsia" w:eastAsiaTheme="minorEastAsia"/>
          <w:color w:val="auto"/>
          <w:sz w:val="24"/>
        </w:rPr>
      </w:pP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四、询问、质疑与投诉</w:t>
      </w:r>
    </w:p>
    <w:p>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1.在线询问、质疑、投诉</w:t>
      </w:r>
    </w:p>
    <w:p>
      <w:pPr>
        <w:spacing w:line="360" w:lineRule="auto"/>
        <w:ind w:firstLine="480" w:firstLineChars="200"/>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pStyle w:val="631"/>
        <w:ind w:left="420" w:leftChars="200" w:firstLine="0"/>
        <w:rPr>
          <w:color w:val="auto"/>
        </w:rPr>
      </w:pPr>
      <w:r>
        <w:rPr>
          <w:rFonts w:hint="eastAsia"/>
          <w:color w:val="auto"/>
        </w:rPr>
        <w:t>询问联系部门：北海市政府采购中心采购一科        联系电话：0779-3071101      地址：北海市海城区陈文村北路7号市直机关第三办公区</w:t>
      </w:r>
    </w:p>
    <w:p>
      <w:pPr>
        <w:pStyle w:val="631"/>
        <w:ind w:left="420" w:leftChars="200" w:firstLine="0"/>
        <w:rPr>
          <w:color w:val="auto"/>
        </w:rPr>
      </w:pPr>
      <w:r>
        <w:rPr>
          <w:rFonts w:hint="eastAsia"/>
          <w:color w:val="auto"/>
        </w:rPr>
        <w:t>质疑联系部门：北海市政府采购中心监督科          联系电话：</w:t>
      </w:r>
      <w:r>
        <w:rPr>
          <w:color w:val="auto"/>
        </w:rPr>
        <w:t>0779-3960826</w:t>
      </w:r>
      <w:r>
        <w:rPr>
          <w:rFonts w:hint="eastAsia"/>
          <w:color w:val="auto"/>
        </w:rPr>
        <w:t xml:space="preserve">      地址：北海市海城区陈文村北路7号市直机关第三办公区</w:t>
      </w:r>
    </w:p>
    <w:p>
      <w:pPr>
        <w:pStyle w:val="631"/>
        <w:rPr>
          <w:color w:val="auto"/>
        </w:rPr>
      </w:pPr>
      <w:r>
        <w:rPr>
          <w:rFonts w:hint="eastAsia"/>
          <w:color w:val="auto"/>
        </w:rPr>
        <w:t>投诉联系部门：</w:t>
      </w:r>
      <w:bookmarkStart w:id="69" w:name="_Hlk212630267"/>
      <w:r>
        <w:rPr>
          <w:rFonts w:hint="eastAsia"/>
          <w:color w:val="auto"/>
        </w:rPr>
        <w:t>合浦县财政局</w:t>
      </w:r>
      <w:bookmarkEnd w:id="69"/>
      <w:r>
        <w:rPr>
          <w:rFonts w:hint="eastAsia"/>
          <w:color w:val="auto"/>
        </w:rPr>
        <w:t xml:space="preserve">        联系电话：</w:t>
      </w:r>
      <w:r>
        <w:rPr>
          <w:color w:val="auto"/>
        </w:rPr>
        <w:t>0779-7213187</w:t>
      </w:r>
      <w:r>
        <w:rPr>
          <w:rFonts w:hint="eastAsia"/>
          <w:color w:val="auto"/>
        </w:rPr>
        <w:t xml:space="preserve">    </w:t>
      </w:r>
    </w:p>
    <w:p>
      <w:pPr>
        <w:pStyle w:val="631"/>
        <w:ind w:firstLine="240" w:firstLineChars="100"/>
        <w:rPr>
          <w:color w:val="auto"/>
        </w:rPr>
      </w:pPr>
      <w:r>
        <w:rPr>
          <w:rFonts w:hint="eastAsia"/>
          <w:color w:val="auto"/>
        </w:rPr>
        <w:t xml:space="preserve">  地址：北海市合浦县廉州镇明园南路50号</w:t>
      </w:r>
    </w:p>
    <w:p>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供应商询问</w:t>
      </w:r>
    </w:p>
    <w:p>
      <w:pPr>
        <w:autoSpaceDE w:val="0"/>
        <w:autoSpaceDN w:val="0"/>
        <w:spacing w:line="360" w:lineRule="auto"/>
        <w:ind w:firstLine="480" w:firstLineChars="200"/>
        <w:jc w:val="lef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3. 供应商质疑</w:t>
      </w:r>
    </w:p>
    <w:p>
      <w:pPr>
        <w:pStyle w:val="31"/>
        <w:spacing w:line="360" w:lineRule="auto"/>
        <w:ind w:firstLine="482" w:firstLineChars="200"/>
        <w:rPr>
          <w:rFonts w:asciiTheme="minorEastAsia" w:hAnsiTheme="minorEastAsia" w:eastAsiaTheme="minorEastAsia"/>
          <w:b/>
          <w:color w:val="auto"/>
          <w:sz w:val="24"/>
        </w:rPr>
      </w:pPr>
      <w:r>
        <w:rPr>
          <w:rFonts w:hint="eastAsia" w:cs="微软雅黑" w:asciiTheme="minorEastAsia" w:hAnsiTheme="minorEastAsia" w:eastAsiaTheme="minorEastAsia"/>
          <w:b/>
          <w:color w:val="auto"/>
          <w:kern w:val="0"/>
          <w:sz w:val="24"/>
          <w:lang w:val="zh-CN"/>
        </w:rPr>
        <w:t>3</w:t>
      </w:r>
      <w:r>
        <w:rPr>
          <w:rFonts w:hint="eastAsia" w:asciiTheme="minorEastAsia" w:hAnsiTheme="minorEastAsia" w:eastAsiaTheme="minorEastAsia"/>
          <w:b/>
          <w:color w:val="auto"/>
          <w:sz w:val="24"/>
        </w:rPr>
        <w:t>.1质疑提出时效</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3.1.1提出质疑的供应商应当是参与所质疑项目采购活动的供应商。潜在供应商已依法获取其可质疑的采购文件的，可以对该文件提出质疑。</w:t>
      </w:r>
    </w:p>
    <w:p>
      <w:pPr>
        <w:pStyle w:val="31"/>
        <w:spacing w:line="360" w:lineRule="auto"/>
        <w:ind w:firstLine="480" w:firstLineChars="200"/>
        <w:rPr>
          <w:rFonts w:asciiTheme="minorEastAsia" w:hAnsiTheme="minorEastAsia" w:eastAsiaTheme="minorEastAsia"/>
          <w:color w:val="auto"/>
          <w:sz w:val="24"/>
        </w:rPr>
      </w:pPr>
      <w:r>
        <w:rPr>
          <w:rFonts w:hint="eastAsia" w:cs="微软雅黑" w:asciiTheme="minorEastAsia" w:hAnsiTheme="minorEastAsia" w:eastAsiaTheme="minorEastAsia"/>
          <w:color w:val="auto"/>
          <w:kern w:val="0"/>
          <w:sz w:val="24"/>
          <w:lang w:val="zh-CN"/>
        </w:rPr>
        <w:t>3</w:t>
      </w:r>
      <w:r>
        <w:rPr>
          <w:rFonts w:hint="eastAsia" w:asciiTheme="minorEastAsia" w:hAnsiTheme="minorEastAsia" w:eastAsiaTheme="minorEastAsia"/>
          <w:color w:val="auto"/>
          <w:sz w:val="24"/>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5"/>
        <w:spacing w:line="360" w:lineRule="auto"/>
        <w:ind w:firstLine="434" w:firstLineChars="181"/>
        <w:rPr>
          <w:rFonts w:asciiTheme="minorEastAsia" w:hAnsiTheme="minorEastAsia" w:eastAsiaTheme="minorEastAsia"/>
          <w:snapToGrid/>
          <w:color w:val="auto"/>
          <w:kern w:val="2"/>
          <w:sz w:val="24"/>
        </w:rPr>
      </w:pPr>
      <w:r>
        <w:rPr>
          <w:rFonts w:hint="eastAsia" w:asciiTheme="minorEastAsia" w:hAnsiTheme="minorEastAsia" w:eastAsiaTheme="minorEastAsia"/>
          <w:snapToGrid/>
          <w:color w:val="auto"/>
          <w:kern w:val="2"/>
          <w:sz w:val="24"/>
        </w:rPr>
        <w:t>3.1.2.1对采购文件提出质疑的，质疑期限为供应商获得采购文件之日或者采购文件公告期限届满之日起计算，采购文件在获取截止之日后获得的，应当自采购文件公告期限届满之日起计算。</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3.1.2.2对采购过程提出质疑的，质疑期限为各采购程序环节结束之日起计算。</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3.1.2.3对采购结果提出质疑的，质疑期限自采购结果公告期限届满之日起计算。</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3.1.2.4对同一采购程序环节的质疑，供应商须一次性提出。</w:t>
      </w:r>
    </w:p>
    <w:p>
      <w:pPr>
        <w:pStyle w:val="31"/>
        <w:spacing w:line="360" w:lineRule="auto"/>
        <w:ind w:firstLine="482" w:firstLineChars="200"/>
        <w:rPr>
          <w:rFonts w:asciiTheme="minorEastAsia" w:hAnsiTheme="minorEastAsia" w:eastAsiaTheme="minorEastAsia"/>
          <w:b/>
          <w:color w:val="auto"/>
          <w:sz w:val="24"/>
        </w:rPr>
      </w:pPr>
    </w:p>
    <w:p>
      <w:pPr>
        <w:pStyle w:val="31"/>
        <w:spacing w:line="360" w:lineRule="auto"/>
        <w:ind w:firstLine="482" w:firstLineChars="200"/>
        <w:rPr>
          <w:rFonts w:asciiTheme="minorEastAsia" w:hAnsiTheme="minorEastAsia" w:eastAsiaTheme="minorEastAsia"/>
          <w:color w:val="auto"/>
          <w:sz w:val="24"/>
        </w:rPr>
      </w:pPr>
      <w:r>
        <w:rPr>
          <w:rFonts w:hint="eastAsia" w:asciiTheme="minorEastAsia" w:hAnsiTheme="minorEastAsia" w:eastAsiaTheme="minorEastAsia"/>
          <w:b/>
          <w:color w:val="auto"/>
          <w:sz w:val="24"/>
        </w:rPr>
        <w:t>3.2质疑答复</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3.2.1根据采购人与采购代理机构签订的采购委托协议，质疑答复责任主体如下：</w:t>
      </w:r>
    </w:p>
    <w:p>
      <w:pPr>
        <w:widowControl/>
        <w:adjustRightInd/>
        <w:jc w:val="center"/>
        <w:rPr>
          <w:rFonts w:asciiTheme="minorEastAsia" w:hAnsiTheme="minorEastAsia" w:eastAsiaTheme="minorEastAsia"/>
          <w:b/>
          <w:color w:val="auto"/>
          <w:sz w:val="28"/>
          <w:szCs w:val="28"/>
        </w:rPr>
      </w:pPr>
      <w:r>
        <w:rPr>
          <w:rFonts w:hint="eastAsia" w:asciiTheme="minorEastAsia" w:hAnsiTheme="minorEastAsia" w:eastAsiaTheme="minorEastAsia"/>
          <w:b/>
          <w:color w:val="auto"/>
          <w:sz w:val="28"/>
          <w:szCs w:val="28"/>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质疑内容</w:t>
            </w:r>
          </w:p>
        </w:tc>
        <w:tc>
          <w:tcPr>
            <w:tcW w:w="2232" w:type="dxa"/>
            <w:vAlign w:val="center"/>
          </w:tcPr>
          <w:p>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对采购文件提出质疑</w:t>
            </w:r>
          </w:p>
        </w:tc>
        <w:tc>
          <w:tcPr>
            <w:tcW w:w="4536" w:type="dxa"/>
            <w:vAlign w:val="center"/>
          </w:tcPr>
          <w:p>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对采购文件中特定资格条件、采购需求提出的质疑</w:t>
            </w:r>
          </w:p>
        </w:tc>
        <w:tc>
          <w:tcPr>
            <w:tcW w:w="2232" w:type="dxa"/>
            <w:vAlign w:val="center"/>
          </w:tcPr>
          <w:p>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1"/>
              <w:spacing w:line="360" w:lineRule="auto"/>
              <w:jc w:val="center"/>
              <w:rPr>
                <w:rFonts w:asciiTheme="minorEastAsia" w:hAnsiTheme="minorEastAsia" w:eastAsiaTheme="minorEastAsia"/>
                <w:color w:val="auto"/>
                <w:sz w:val="24"/>
              </w:rPr>
            </w:pPr>
          </w:p>
        </w:tc>
        <w:tc>
          <w:tcPr>
            <w:tcW w:w="4536" w:type="dxa"/>
            <w:vAlign w:val="center"/>
          </w:tcPr>
          <w:p>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对采购文件中其他内容提出的质疑</w:t>
            </w:r>
          </w:p>
        </w:tc>
        <w:tc>
          <w:tcPr>
            <w:tcW w:w="2232" w:type="dxa"/>
            <w:vAlign w:val="center"/>
          </w:tcPr>
          <w:p>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对采购过程提出质疑</w:t>
            </w:r>
          </w:p>
        </w:tc>
        <w:tc>
          <w:tcPr>
            <w:tcW w:w="4536" w:type="dxa"/>
            <w:vAlign w:val="center"/>
          </w:tcPr>
          <w:p>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有关现场考察或开启响应文件前答疑会事项提出的质疑</w:t>
            </w:r>
          </w:p>
        </w:tc>
        <w:tc>
          <w:tcPr>
            <w:tcW w:w="2232" w:type="dxa"/>
            <w:vAlign w:val="center"/>
          </w:tcPr>
          <w:p>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1"/>
              <w:spacing w:line="360" w:lineRule="auto"/>
              <w:jc w:val="center"/>
              <w:rPr>
                <w:rFonts w:asciiTheme="minorEastAsia" w:hAnsiTheme="minorEastAsia" w:eastAsiaTheme="minorEastAsia"/>
                <w:color w:val="auto"/>
                <w:sz w:val="24"/>
              </w:rPr>
            </w:pPr>
          </w:p>
        </w:tc>
        <w:tc>
          <w:tcPr>
            <w:tcW w:w="4536" w:type="dxa"/>
            <w:vAlign w:val="center"/>
          </w:tcPr>
          <w:p>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对采购过程中其它事项提出的质疑</w:t>
            </w:r>
          </w:p>
        </w:tc>
        <w:tc>
          <w:tcPr>
            <w:tcW w:w="2232" w:type="dxa"/>
            <w:vAlign w:val="center"/>
          </w:tcPr>
          <w:p>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对采购结果提出质疑</w:t>
            </w:r>
          </w:p>
        </w:tc>
        <w:tc>
          <w:tcPr>
            <w:tcW w:w="4536" w:type="dxa"/>
            <w:vAlign w:val="center"/>
          </w:tcPr>
          <w:p>
            <w:pPr>
              <w:pStyle w:val="31"/>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对采购结果提出的质疑</w:t>
            </w:r>
          </w:p>
        </w:tc>
        <w:tc>
          <w:tcPr>
            <w:tcW w:w="2232" w:type="dxa"/>
            <w:vAlign w:val="center"/>
          </w:tcPr>
          <w:p>
            <w:pPr>
              <w:pStyle w:val="31"/>
              <w:spacing w:line="360" w:lineRule="auto"/>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采购代理机构</w:t>
            </w:r>
          </w:p>
        </w:tc>
      </w:tr>
    </w:tbl>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注：采购人或代理机构应当协助质疑答复责任主体及时答复供应商的书面质疑。</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 2.3询问或者质疑事项可能影响采购结果的，采购人应当暂停签订合同，已经签订合同的，应当中止履行合同。</w:t>
      </w:r>
    </w:p>
    <w:p>
      <w:pPr>
        <w:pStyle w:val="31"/>
        <w:spacing w:line="360" w:lineRule="auto"/>
        <w:ind w:firstLine="482" w:firstLineChars="200"/>
        <w:rPr>
          <w:rFonts w:asciiTheme="minorEastAsia" w:hAnsiTheme="minorEastAsia" w:eastAsiaTheme="minorEastAsia"/>
          <w:color w:val="auto"/>
          <w:sz w:val="24"/>
        </w:rPr>
      </w:pPr>
      <w:r>
        <w:rPr>
          <w:rFonts w:hint="eastAsia" w:cs="微软雅黑" w:asciiTheme="minorEastAsia" w:hAnsiTheme="minorEastAsia" w:eastAsiaTheme="minorEastAsia"/>
          <w:b/>
          <w:color w:val="auto"/>
          <w:kern w:val="0"/>
          <w:sz w:val="24"/>
          <w:lang w:val="zh-CN"/>
        </w:rPr>
        <w:t>3.3质疑函</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3.3.1供应商提出质疑应当提交质疑函和必要的证明材料。质疑函应当包括下列内容：</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3.3.1.1</w:t>
      </w:r>
      <w:r>
        <w:rPr>
          <w:rFonts w:hint="eastAsia" w:asciiTheme="minorEastAsia" w:hAnsiTheme="minorEastAsia" w:eastAsiaTheme="minorEastAsia"/>
          <w:color w:val="auto"/>
          <w:sz w:val="24"/>
          <w:szCs w:val="24"/>
        </w:rPr>
        <w:t>供应商的姓名或者名称、地址、邮编、联系人及联系电话；</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3.3.1.2</w:t>
      </w:r>
      <w:r>
        <w:rPr>
          <w:rFonts w:hint="eastAsia" w:asciiTheme="minorEastAsia" w:hAnsiTheme="minorEastAsia" w:eastAsiaTheme="minorEastAsia"/>
          <w:color w:val="auto"/>
          <w:sz w:val="24"/>
          <w:szCs w:val="24"/>
        </w:rPr>
        <w:t>质疑项目的名称、编号；</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3.3.1.3</w:t>
      </w:r>
      <w:r>
        <w:rPr>
          <w:rFonts w:hint="eastAsia" w:asciiTheme="minorEastAsia" w:hAnsiTheme="minorEastAsia" w:eastAsiaTheme="minorEastAsia"/>
          <w:color w:val="auto"/>
          <w:sz w:val="24"/>
          <w:szCs w:val="24"/>
        </w:rPr>
        <w:t>具体、明确的质疑事项和与质疑事项相关的请求；</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3.3.1.4</w:t>
      </w:r>
      <w:r>
        <w:rPr>
          <w:rFonts w:hint="eastAsia" w:asciiTheme="minorEastAsia" w:hAnsiTheme="minorEastAsia" w:eastAsiaTheme="minorEastAsia"/>
          <w:color w:val="auto"/>
          <w:sz w:val="24"/>
          <w:szCs w:val="24"/>
        </w:rPr>
        <w:t>事实依据；</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3.3.1.5</w:t>
      </w:r>
      <w:r>
        <w:rPr>
          <w:rFonts w:hint="eastAsia" w:asciiTheme="minorEastAsia" w:hAnsiTheme="minorEastAsia" w:eastAsiaTheme="minorEastAsia"/>
          <w:color w:val="auto"/>
          <w:sz w:val="24"/>
          <w:szCs w:val="24"/>
        </w:rPr>
        <w:t>必要的法律依据；</w:t>
      </w:r>
    </w:p>
    <w:p>
      <w:pPr>
        <w:pStyle w:val="31"/>
        <w:tabs>
          <w:tab w:val="left" w:pos="426"/>
          <w:tab w:val="left" w:pos="840"/>
        </w:tabs>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rPr>
        <w:t>3.3.1.6</w:t>
      </w:r>
      <w:r>
        <w:rPr>
          <w:rFonts w:hint="eastAsia" w:asciiTheme="minorEastAsia" w:hAnsiTheme="minorEastAsia" w:eastAsiaTheme="minorEastAsia"/>
          <w:color w:val="auto"/>
          <w:sz w:val="24"/>
          <w:szCs w:val="24"/>
        </w:rPr>
        <w:t>提出质疑的日期。</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3.3.2供应商提交的质疑函需一式三份。供应商为自然人的，应当由本人签字；供应商为法人或者其他组织的，应当由法定代表人、主要负责人，或者其授权代表签字或者盖章，并加盖公章。</w:t>
      </w:r>
    </w:p>
    <w:p>
      <w:pPr>
        <w:pStyle w:val="31"/>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质疑函范本及制作说明详见附件</w:t>
      </w:r>
      <w:r>
        <w:rPr>
          <w:rFonts w:asciiTheme="minorEastAsia" w:hAnsiTheme="minorEastAsia" w:eastAsiaTheme="minorEastAsia"/>
          <w:b/>
          <w:color w:val="auto"/>
          <w:sz w:val="24"/>
        </w:rPr>
        <w:t>1</w:t>
      </w:r>
      <w:r>
        <w:rPr>
          <w:rFonts w:hint="eastAsia" w:asciiTheme="minorEastAsia" w:hAnsiTheme="minorEastAsia" w:eastAsiaTheme="minorEastAsia"/>
          <w:b/>
          <w:color w:val="auto"/>
          <w:sz w:val="24"/>
        </w:rPr>
        <w:t>。</w:t>
      </w:r>
    </w:p>
    <w:p>
      <w:pPr>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4</w:t>
      </w:r>
      <w:r>
        <w:rPr>
          <w:rFonts w:asciiTheme="minorEastAsia" w:hAnsiTheme="minorEastAsia" w:eastAsiaTheme="minorEastAsia"/>
          <w:b/>
          <w:color w:val="auto"/>
          <w:sz w:val="24"/>
        </w:rPr>
        <w:t>.供应商投诉</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.1质疑供应商对采购人、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的答复不满意或者采购人、</w:t>
      </w:r>
      <w:r>
        <w:rPr>
          <w:rFonts w:hint="eastAsia" w:asciiTheme="minorEastAsia" w:hAnsiTheme="minorEastAsia" w:eastAsiaTheme="minorEastAsia"/>
          <w:color w:val="auto"/>
          <w:sz w:val="24"/>
        </w:rPr>
        <w:t>采购代理机构</w:t>
      </w:r>
      <w:r>
        <w:rPr>
          <w:rFonts w:asciiTheme="minorEastAsia" w:hAnsiTheme="minorEastAsia" w:eastAsiaTheme="minorEastAsia"/>
          <w:color w:val="auto"/>
          <w:sz w:val="24"/>
        </w:rPr>
        <w:t>未在规定的时间内</w:t>
      </w:r>
      <w:r>
        <w:rPr>
          <w:rFonts w:hint="eastAsia" w:asciiTheme="minorEastAsia" w:hAnsiTheme="minorEastAsia" w:eastAsiaTheme="minorEastAsia"/>
          <w:color w:val="auto"/>
          <w:sz w:val="24"/>
        </w:rPr>
        <w:t>作出答复的，可以在答复期满后十五个工作日内向同级政府采购监督管理部门提出投诉。</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.2供应</w:t>
      </w:r>
      <w:r>
        <w:rPr>
          <w:rFonts w:hint="eastAsia" w:asciiTheme="minorEastAsia" w:hAnsiTheme="minorEastAsia" w:eastAsiaTheme="minorEastAsia"/>
          <w:color w:val="auto"/>
          <w:sz w:val="24"/>
        </w:rPr>
        <w:t>商投诉的事项不得超出已质疑事项的范围，基于质疑答复内容提出的投诉事项除外。</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.3供应</w:t>
      </w:r>
      <w:r>
        <w:rPr>
          <w:rFonts w:hint="eastAsia" w:asciiTheme="minorEastAsia" w:hAnsiTheme="minorEastAsia" w:eastAsiaTheme="minorEastAsia"/>
          <w:color w:val="auto"/>
          <w:sz w:val="24"/>
        </w:rPr>
        <w:t>商投诉应当有明确的请求和必要的证明材料。</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4</w:t>
      </w:r>
      <w:r>
        <w:rPr>
          <w:rFonts w:asciiTheme="minorEastAsia" w:hAnsiTheme="minorEastAsia" w:eastAsiaTheme="minorEastAsia"/>
          <w:color w:val="auto"/>
          <w:sz w:val="24"/>
        </w:rPr>
        <w:t>.4以联合体形</w:t>
      </w:r>
      <w:r>
        <w:rPr>
          <w:rFonts w:hint="eastAsia" w:asciiTheme="minorEastAsia" w:hAnsiTheme="minorEastAsia" w:eastAsiaTheme="minorEastAsia"/>
          <w:color w:val="auto"/>
          <w:sz w:val="24"/>
        </w:rPr>
        <w:t>式参加政府采购活动的，其投诉应当由组成联合体的所有供应商共同提出。</w:t>
      </w:r>
    </w:p>
    <w:p>
      <w:pPr>
        <w:pStyle w:val="31"/>
        <w:spacing w:line="360" w:lineRule="auto"/>
        <w:ind w:firstLine="482" w:firstLineChars="200"/>
        <w:rPr>
          <w:rFonts w:asciiTheme="minorEastAsia" w:hAnsiTheme="minorEastAsia" w:eastAsiaTheme="minorEastAsia"/>
          <w:b/>
          <w:color w:val="auto"/>
          <w:sz w:val="24"/>
        </w:rPr>
      </w:pPr>
    </w:p>
    <w:p>
      <w:pPr>
        <w:adjustRightInd/>
        <w:spacing w:line="360" w:lineRule="auto"/>
        <w:jc w:val="center"/>
        <w:rPr>
          <w:rFonts w:cs="仿宋_GB2312" w:asciiTheme="minorEastAsia" w:hAnsiTheme="minorEastAsia" w:eastAsiaTheme="minorEastAsia"/>
          <w:b/>
          <w:color w:val="auto"/>
          <w:sz w:val="32"/>
          <w:szCs w:val="20"/>
        </w:rPr>
      </w:pP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五、谈判文件构成、修改、解释</w:t>
      </w:r>
    </w:p>
    <w:p>
      <w:pPr>
        <w:autoSpaceDE w:val="0"/>
        <w:autoSpaceDN w:val="0"/>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1．谈判文件的构成</w:t>
      </w:r>
    </w:p>
    <w:p>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1.1 谈判文件包括下列文件及附件</w:t>
      </w:r>
    </w:p>
    <w:p>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第一部分  采购公告</w:t>
      </w:r>
    </w:p>
    <w:p>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第二部分  竞争性谈判流程</w:t>
      </w:r>
    </w:p>
    <w:p>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第三部分  供应商须知</w:t>
      </w:r>
    </w:p>
    <w:p>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第四部分  采购需求</w:t>
      </w:r>
    </w:p>
    <w:p>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第五部分  评定标准</w:t>
      </w:r>
    </w:p>
    <w:p>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第六部分  拟签订的合同文本</w:t>
      </w:r>
    </w:p>
    <w:p>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第七部分  应提交的有关格式范例</w:t>
      </w:r>
    </w:p>
    <w:p>
      <w:pPr>
        <w:pStyle w:val="31"/>
        <w:tabs>
          <w:tab w:val="left" w:pos="840"/>
        </w:tabs>
        <w:spacing w:line="360" w:lineRule="auto"/>
        <w:ind w:left="1319"/>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第八部分  最后报价格式</w:t>
      </w:r>
    </w:p>
    <w:p>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1.2 </w:t>
      </w:r>
      <w:r>
        <w:rPr>
          <w:rFonts w:hint="eastAsia" w:asciiTheme="minorEastAsia" w:hAnsiTheme="minorEastAsia" w:eastAsiaTheme="minorEastAsia"/>
          <w:color w:val="auto"/>
          <w:sz w:val="24"/>
        </w:rPr>
        <w:t>与本项目有关的</w:t>
      </w:r>
      <w:r>
        <w:rPr>
          <w:rFonts w:hint="eastAsia" w:asciiTheme="minorEastAsia" w:hAnsiTheme="minorEastAsia" w:eastAsiaTheme="minorEastAsia"/>
          <w:bCs/>
          <w:color w:val="auto"/>
          <w:sz w:val="24"/>
        </w:rPr>
        <w:t>澄清或者修改的内容为谈判文件的组成部分</w:t>
      </w:r>
      <w:r>
        <w:rPr>
          <w:rFonts w:hint="eastAsia" w:cs="仿宋_GB2312" w:asciiTheme="minorEastAsia" w:hAnsiTheme="minorEastAsia" w:eastAsiaTheme="minorEastAsia"/>
          <w:color w:val="auto"/>
          <w:sz w:val="24"/>
        </w:rPr>
        <w:t>。</w:t>
      </w:r>
    </w:p>
    <w:p>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2. 谈判文件的</w:t>
      </w:r>
      <w:r>
        <w:rPr>
          <w:rFonts w:hint="eastAsia" w:cs="仿宋_GB2312" w:asciiTheme="minorEastAsia" w:hAnsiTheme="minorEastAsia" w:eastAsiaTheme="minorEastAsia"/>
          <w:b/>
          <w:color w:val="auto"/>
          <w:sz w:val="24"/>
          <w:szCs w:val="24"/>
        </w:rPr>
        <w:t>澄清、修改</w:t>
      </w:r>
    </w:p>
    <w:p>
      <w:pPr>
        <w:pStyle w:val="392"/>
        <w:snapToGrid w:val="0"/>
        <w:spacing w:before="0"/>
        <w:ind w:firstLine="48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2.1已获取谈判文件的潜在供应商，若有问题需要澄清，应于提交首次响应文件截止时间前，以书面形式向采购代理机构提出。</w:t>
      </w:r>
    </w:p>
    <w:p>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2.2</w:t>
      </w:r>
      <w:r>
        <w:rPr>
          <w:rFonts w:hint="eastAsia" w:cs="宋体" w:asciiTheme="minorEastAsia" w:hAnsiTheme="minorEastAsia" w:eastAsiaTheme="minorEastAsia"/>
          <w:color w:val="auto"/>
        </w:rPr>
        <w:t>采购代理机构对谈判文件进行澄清或修改的，将同时通过电子交易平台通知已获取谈判文件的供应商。依法应当公告的，将按规定公告，同时视情况延长</w:t>
      </w:r>
      <w:r>
        <w:rPr>
          <w:rFonts w:hint="eastAsia" w:asciiTheme="minorEastAsia" w:hAnsiTheme="minorEastAsia" w:eastAsiaTheme="minorEastAsia"/>
          <w:color w:val="auto"/>
        </w:rPr>
        <w:t>提交首次</w:t>
      </w:r>
      <w:r>
        <w:rPr>
          <w:rFonts w:hint="eastAsia" w:cs="宋体" w:asciiTheme="minorEastAsia" w:hAnsiTheme="minorEastAsia" w:eastAsiaTheme="minorEastAsia"/>
          <w:color w:val="auto"/>
        </w:rPr>
        <w:t>响应文件截止时间和响应文件开启时间。该澄清或者修改的内容为谈判文件的组成部分。</w:t>
      </w:r>
    </w:p>
    <w:p>
      <w:pPr>
        <w:pStyle w:val="392"/>
        <w:snapToGrid w:val="0"/>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2.3澄清或者修改的内容可能影响响应文件编制的，采购人、采购代理机构应当在提交首次响应文件截止时间至少3个工作日前，</w:t>
      </w:r>
      <w:r>
        <w:rPr>
          <w:rFonts w:hint="eastAsia" w:cs="宋体" w:asciiTheme="minorEastAsia" w:hAnsiTheme="minorEastAsia" w:eastAsiaTheme="minorEastAsia"/>
          <w:color w:val="auto"/>
        </w:rPr>
        <w:t>通过电子交易平台</w:t>
      </w:r>
      <w:r>
        <w:rPr>
          <w:rFonts w:hint="eastAsia" w:asciiTheme="minorEastAsia" w:hAnsiTheme="minorEastAsia" w:eastAsiaTheme="minorEastAsia"/>
          <w:color w:val="auto"/>
        </w:rPr>
        <w:t>通知所有获取谈判文件的供应商；不足3个工作日的，采购人、采购代理机构应当顺延提交首次响应文件截止时间。</w:t>
      </w:r>
    </w:p>
    <w:p>
      <w:pPr>
        <w:pStyle w:val="392"/>
        <w:snapToGrid w:val="0"/>
        <w:spacing w:before="0"/>
        <w:ind w:firstLine="482"/>
        <w:rPr>
          <w:rFonts w:asciiTheme="minorEastAsia" w:hAnsiTheme="minorEastAsia" w:eastAsiaTheme="minorEastAsia"/>
          <w:color w:val="auto"/>
        </w:rPr>
      </w:pP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szCs w:val="21"/>
        </w:rPr>
        <w:t>响应文件未按谈判文件的澄清、修改的内容编制，又不符合实质性要求的，响应无效。</w:t>
      </w:r>
    </w:p>
    <w:p>
      <w:pPr>
        <w:pStyle w:val="22"/>
        <w:rPr>
          <w:rFonts w:cs="仿宋_GB2312" w:asciiTheme="minorEastAsia" w:hAnsiTheme="minorEastAsia" w:eastAsiaTheme="minorEastAsia"/>
          <w:color w:val="auto"/>
          <w:sz w:val="18"/>
          <w:szCs w:val="18"/>
          <w:lang w:val="en-US"/>
        </w:rPr>
      </w:pPr>
      <w:r>
        <w:rPr>
          <w:rFonts w:hint="eastAsia" w:cs="仿宋_GB2312" w:asciiTheme="minorEastAsia" w:hAnsiTheme="minorEastAsia" w:eastAsiaTheme="minorEastAsia"/>
          <w:color w:val="auto"/>
          <w:szCs w:val="24"/>
          <w:lang w:val="en-US"/>
        </w:rPr>
        <w:t xml:space="preserve">    </w:t>
      </w: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六、响应文件的编制</w:t>
      </w:r>
    </w:p>
    <w:p>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响应文件的语言</w:t>
      </w:r>
    </w:p>
    <w:p>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响应文件及供应商与采购有关的来往通知、函件和文件均应使用中文。</w:t>
      </w:r>
    </w:p>
    <w:p>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2. 响应文件的组成</w:t>
      </w:r>
    </w:p>
    <w:p>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响应文件应当包括以下主要内容（标注“</w:t>
      </w:r>
      <w:r>
        <w:rPr>
          <w:rFonts w:hint="eastAsia" w:asciiTheme="minorEastAsia" w:hAnsiTheme="minorEastAsia" w:eastAsiaTheme="minorEastAsia"/>
          <w:b/>
          <w:color w:val="auto"/>
        </w:rPr>
        <w:t>▲</w:t>
      </w:r>
      <w:r>
        <w:rPr>
          <w:rFonts w:hint="eastAsia" w:asciiTheme="minorEastAsia" w:hAnsiTheme="minorEastAsia" w:eastAsiaTheme="minorEastAsia"/>
          <w:color w:val="auto"/>
          <w:sz w:val="24"/>
        </w:rPr>
        <w:t>”为实质性要求，供应商必须提供，否则谈判无效。相关格式见谈判文件第七部分）：</w:t>
      </w:r>
    </w:p>
    <w:p>
      <w:pPr>
        <w:pStyle w:val="31"/>
        <w:spacing w:line="360" w:lineRule="auto"/>
        <w:ind w:firstLine="422" w:firstLineChars="200"/>
        <w:rPr>
          <w:rFonts w:asciiTheme="minorEastAsia" w:hAnsiTheme="minorEastAsia" w:eastAsiaTheme="minorEastAsia"/>
          <w:color w:val="auto"/>
          <w:sz w:val="24"/>
        </w:rPr>
      </w:pPr>
      <w:r>
        <w:rPr>
          <w:rFonts w:hint="eastAsia" w:asciiTheme="minorEastAsia" w:hAnsiTheme="minorEastAsia" w:eastAsiaTheme="minorEastAsia"/>
          <w:b/>
          <w:color w:val="auto"/>
        </w:rPr>
        <w:t>▲</w:t>
      </w:r>
      <w:r>
        <w:rPr>
          <w:rFonts w:hint="eastAsia" w:asciiTheme="minorEastAsia" w:hAnsiTheme="minorEastAsia" w:eastAsiaTheme="minorEastAsia"/>
          <w:color w:val="auto"/>
          <w:sz w:val="24"/>
        </w:rPr>
        <w:t>（1）响应函</w:t>
      </w:r>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（2）资格文件</w:t>
      </w:r>
    </w:p>
    <w:p>
      <w:pPr>
        <w:pStyle w:val="31"/>
        <w:spacing w:line="360" w:lineRule="auto"/>
        <w:ind w:firstLine="42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rPr>
        <w:t>▲</w:t>
      </w:r>
      <w:r>
        <w:rPr>
          <w:rFonts w:hint="eastAsia" w:asciiTheme="minorEastAsia" w:hAnsiTheme="minorEastAsia" w:eastAsiaTheme="minorEastAsia"/>
          <w:color w:val="auto"/>
          <w:sz w:val="24"/>
        </w:rPr>
        <w:t>A、</w:t>
      </w:r>
      <w:r>
        <w:rPr>
          <w:rFonts w:hint="eastAsia" w:cs="宋体" w:asciiTheme="minorEastAsia" w:hAnsiTheme="minorEastAsia" w:eastAsiaTheme="minorEastAsia"/>
          <w:color w:val="auto"/>
          <w:sz w:val="24"/>
        </w:rPr>
        <w:t>符合参加政府采购活动应当具备的一般条件的承诺函（</w:t>
      </w:r>
      <w:r>
        <w:rPr>
          <w:rFonts w:hint="eastAsia" w:asciiTheme="minorEastAsia" w:hAnsiTheme="minorEastAsia" w:eastAsiaTheme="minorEastAsia"/>
          <w:color w:val="auto"/>
          <w:sz w:val="24"/>
        </w:rPr>
        <w:t>如以联合体形式参加政府采购活动的，</w:t>
      </w:r>
      <w:r>
        <w:rPr>
          <w:rFonts w:hint="eastAsia" w:cs="Arial" w:asciiTheme="minorEastAsia" w:hAnsiTheme="minorEastAsia" w:eastAsiaTheme="minorEastAsia"/>
          <w:color w:val="auto"/>
          <w:sz w:val="24"/>
        </w:rPr>
        <w:t>联合体各方均应提交该承诺函</w:t>
      </w:r>
      <w:r>
        <w:rPr>
          <w:rFonts w:hint="eastAsia" w:cs="宋体" w:asciiTheme="minorEastAsia" w:hAnsiTheme="minorEastAsia" w:eastAsiaTheme="minorEastAsia"/>
          <w:color w:val="auto"/>
          <w:sz w:val="24"/>
        </w:rPr>
        <w:t>）；</w:t>
      </w:r>
      <w:bookmarkStart w:id="111" w:name="_GoBack"/>
      <w:bookmarkEnd w:id="111"/>
    </w:p>
    <w:p>
      <w:pPr>
        <w:pStyle w:val="31"/>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B、</w:t>
      </w:r>
      <w:r>
        <w:rPr>
          <w:rFonts w:hint="eastAsia" w:cs="Arial" w:asciiTheme="minorEastAsia" w:hAnsiTheme="minorEastAsia" w:eastAsiaTheme="minorEastAsia"/>
          <w:color w:val="auto"/>
          <w:sz w:val="24"/>
        </w:rPr>
        <w:t>联合协议</w:t>
      </w:r>
      <w:r>
        <w:rPr>
          <w:rFonts w:hint="eastAsia" w:cs="仿宋_GB2312" w:asciiTheme="minorEastAsia" w:hAnsiTheme="minorEastAsia" w:eastAsiaTheme="minorEastAsia"/>
          <w:color w:val="auto"/>
          <w:sz w:val="24"/>
        </w:rPr>
        <w:t>（如果有）；</w:t>
      </w:r>
    </w:p>
    <w:p>
      <w:pPr>
        <w:pStyle w:val="31"/>
        <w:spacing w:line="360" w:lineRule="auto"/>
        <w:ind w:firstLine="480" w:firstLineChars="200"/>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C</w:t>
      </w:r>
      <w:r>
        <w:rPr>
          <w:rFonts w:hint="eastAsia" w:asciiTheme="minorEastAsia" w:hAnsiTheme="minorEastAsia" w:eastAsiaTheme="minorEastAsia"/>
          <w:color w:val="auto"/>
          <w:sz w:val="24"/>
        </w:rPr>
        <w:t>、</w:t>
      </w:r>
      <w:r>
        <w:rPr>
          <w:rFonts w:hint="eastAsia" w:cs="宋体" w:asciiTheme="minorEastAsia" w:hAnsiTheme="minorEastAsia" w:eastAsiaTheme="minorEastAsia"/>
          <w:color w:val="auto"/>
          <w:sz w:val="24"/>
        </w:rPr>
        <w:t>落实政府采购政策需满足的资格要求</w:t>
      </w:r>
      <w:r>
        <w:rPr>
          <w:rFonts w:hint="eastAsia" w:cs="宋体" w:asciiTheme="minorEastAsia" w:hAnsiTheme="minorEastAsia" w:eastAsiaTheme="minorEastAsia"/>
          <w:snapToGrid w:val="0"/>
          <w:color w:val="auto"/>
          <w:kern w:val="28"/>
          <w:sz w:val="24"/>
        </w:rPr>
        <w:t>（如果有)；</w:t>
      </w:r>
    </w:p>
    <w:p>
      <w:pPr>
        <w:pStyle w:val="31"/>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D、符合特定资格条件的有关证明材料（如果有）。</w:t>
      </w:r>
      <w:r>
        <w:rPr>
          <w:rFonts w:hint="eastAsia" w:cs="仿宋_GB2312" w:asciiTheme="minorEastAsia" w:hAnsiTheme="minorEastAsia" w:eastAsiaTheme="minorEastAsia"/>
          <w:color w:val="auto"/>
          <w:sz w:val="24"/>
        </w:rPr>
        <w:tab/>
      </w:r>
      <w:r>
        <w:rPr>
          <w:rFonts w:cs="仿宋_GB2312" w:asciiTheme="minorEastAsia" w:hAnsiTheme="minorEastAsia" w:eastAsiaTheme="minorEastAsia"/>
          <w:color w:val="auto"/>
          <w:sz w:val="24"/>
        </w:rPr>
        <w:t xml:space="preserve"> </w:t>
      </w:r>
    </w:p>
    <w:p>
      <w:pPr>
        <w:pStyle w:val="31"/>
        <w:spacing w:line="360" w:lineRule="auto"/>
        <w:ind w:firstLine="422" w:firstLineChars="200"/>
        <w:rPr>
          <w:rFonts w:asciiTheme="minorEastAsia" w:hAnsiTheme="minorEastAsia" w:eastAsiaTheme="minorEastAsia"/>
          <w:color w:val="auto"/>
          <w:sz w:val="24"/>
        </w:rPr>
      </w:pPr>
      <w:bookmarkStart w:id="70" w:name="OLE_LINK2"/>
      <w:r>
        <w:rPr>
          <w:rFonts w:hint="eastAsia" w:asciiTheme="minorEastAsia" w:hAnsiTheme="minorEastAsia" w:eastAsiaTheme="minorEastAsia"/>
          <w:b/>
          <w:color w:val="auto"/>
        </w:rPr>
        <w:t>▲</w:t>
      </w:r>
      <w:bookmarkEnd w:id="70"/>
      <w:r>
        <w:rPr>
          <w:rFonts w:hint="eastAsia" w:asciiTheme="minorEastAsia" w:hAnsiTheme="minorEastAsia" w:eastAsiaTheme="minorEastAsia"/>
          <w:color w:val="auto"/>
          <w:sz w:val="24"/>
        </w:rPr>
        <w:t>（3）</w:t>
      </w:r>
      <w:r>
        <w:rPr>
          <w:rFonts w:hint="eastAsia" w:hAnsi="宋体" w:cs="宋体"/>
          <w:color w:val="auto"/>
          <w:sz w:val="24"/>
        </w:rPr>
        <w:t>授权委托书或法定代表人（单位负责人、自然人本人）身份证明；</w:t>
      </w:r>
    </w:p>
    <w:p>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sz w:val="24"/>
          <w:szCs w:val="24"/>
        </w:rPr>
        <w:t>（4）</w:t>
      </w:r>
      <w:r>
        <w:rPr>
          <w:rFonts w:hint="eastAsia" w:cs="宋体" w:asciiTheme="minorEastAsia" w:hAnsiTheme="minorEastAsia" w:eastAsiaTheme="minorEastAsia"/>
          <w:color w:val="auto"/>
          <w:sz w:val="24"/>
        </w:rPr>
        <w:t>分包意向协议</w:t>
      </w:r>
      <w:r>
        <w:rPr>
          <w:rFonts w:hint="eastAsia" w:cs="宋体" w:asciiTheme="minorEastAsia" w:hAnsiTheme="minorEastAsia" w:eastAsiaTheme="minorEastAsia"/>
          <w:snapToGrid w:val="0"/>
          <w:color w:val="auto"/>
          <w:kern w:val="28"/>
          <w:sz w:val="24"/>
        </w:rPr>
        <w:t>（如果有)</w:t>
      </w:r>
      <w:r>
        <w:rPr>
          <w:rFonts w:hint="eastAsia" w:cs="仿宋_GB2312" w:asciiTheme="minorEastAsia" w:hAnsiTheme="minorEastAsia" w:eastAsiaTheme="minorEastAsia"/>
          <w:color w:val="auto"/>
          <w:kern w:val="0"/>
          <w:sz w:val="24"/>
          <w:lang w:val="zh-CN"/>
        </w:rPr>
        <w:t>；</w:t>
      </w:r>
    </w:p>
    <w:p>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（5）所有资信文件</w:t>
      </w:r>
      <w:r>
        <w:rPr>
          <w:rFonts w:hint="eastAsia" w:cs="宋体" w:asciiTheme="minorEastAsia" w:hAnsiTheme="minorEastAsia" w:eastAsiaTheme="minorEastAsia"/>
          <w:color w:val="auto"/>
          <w:kern w:val="0"/>
          <w:sz w:val="24"/>
        </w:rPr>
        <w:t>（如果有）；</w:t>
      </w:r>
    </w:p>
    <w:p>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cs="宋体" w:asciiTheme="minorEastAsia" w:hAnsiTheme="minorEastAsia" w:eastAsiaTheme="minorEastAsia"/>
          <w:color w:val="auto"/>
          <w:kern w:val="0"/>
          <w:sz w:val="24"/>
        </w:rPr>
        <w:t>（6）</w:t>
      </w:r>
      <w:r>
        <w:rPr>
          <w:rFonts w:hint="eastAsia" w:asciiTheme="minorEastAsia" w:hAnsiTheme="minorEastAsia" w:eastAsiaTheme="minorEastAsia"/>
          <w:color w:val="auto"/>
          <w:sz w:val="24"/>
        </w:rPr>
        <w:t>响应截止时间近三年以来供应商的主要业绩证明材料（如果有）（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snapToGrid w:val="0"/>
          <w:color w:val="auto"/>
          <w:sz w:val="24"/>
        </w:rPr>
        <w:t>（7）</w:t>
      </w:r>
      <w:r>
        <w:rPr>
          <w:rFonts w:hint="eastAsia" w:asciiTheme="minorEastAsia" w:hAnsiTheme="minorEastAsia" w:eastAsiaTheme="minorEastAsia"/>
          <w:color w:val="auto"/>
          <w:kern w:val="0"/>
          <w:sz w:val="24"/>
          <w:lang w:val="zh-CN"/>
        </w:rPr>
        <w:t>关于对谈判文件中有关条款的拒绝声明 (如果有)</w:t>
      </w:r>
      <w:r>
        <w:rPr>
          <w:rFonts w:hint="eastAsia" w:asciiTheme="minorEastAsia" w:hAnsiTheme="minorEastAsia" w:eastAsiaTheme="minorEastAsia"/>
          <w:color w:val="auto"/>
          <w:sz w:val="24"/>
          <w:lang w:val="zh-CN"/>
        </w:rPr>
        <w:t xml:space="preserve"> ；</w:t>
      </w:r>
    </w:p>
    <w:p>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（8）</w:t>
      </w:r>
      <w:r>
        <w:rPr>
          <w:rFonts w:hint="eastAsia" w:asciiTheme="minorEastAsia" w:hAnsiTheme="minorEastAsia" w:eastAsiaTheme="minorEastAsia"/>
          <w:color w:val="auto"/>
          <w:kern w:val="0"/>
          <w:sz w:val="24"/>
          <w:lang w:val="zh-CN"/>
        </w:rPr>
        <w:t>认为需要的其他商务文件或说明 (如果有) ；</w:t>
      </w:r>
    </w:p>
    <w:p>
      <w:pPr>
        <w:pStyle w:val="31"/>
        <w:spacing w:line="360" w:lineRule="auto"/>
        <w:ind w:firstLine="480" w:firstLineChars="20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color w:val="auto"/>
          <w:kern w:val="0"/>
          <w:sz w:val="24"/>
          <w:lang w:val="zh-CN"/>
        </w:rPr>
        <w:t>（9）</w:t>
      </w:r>
      <w:r>
        <w:rPr>
          <w:rFonts w:hint="eastAsia" w:asciiTheme="minorEastAsia" w:hAnsiTheme="minorEastAsia" w:eastAsiaTheme="minorEastAsia"/>
          <w:color w:val="auto"/>
          <w:sz w:val="24"/>
          <w:lang w:val="zh-CN"/>
        </w:rPr>
        <w:t>技术解决方案。针对本项目的完整技术解决方案和实施方案；详细阐述项目方案的实现思路及关键技术；符合本项目对当前和未来发展的要求；以及对功能设计和实施计划的建议；</w:t>
      </w:r>
    </w:p>
    <w:p>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（10）组织实施方案。本项目详细工作实施组织方案，包括(但不限于)以下内容：组织机构、工作时间进度表、工作程序和步骤、管理和协调方法、关键步骤的思路和要点；</w:t>
      </w:r>
    </w:p>
    <w:p>
      <w:pPr>
        <w:pStyle w:val="31"/>
        <w:spacing w:line="360" w:lineRule="auto"/>
        <w:ind w:firstLine="42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rPr>
        <w:t>▲</w:t>
      </w:r>
      <w:r>
        <w:rPr>
          <w:rFonts w:hint="eastAsia" w:asciiTheme="minorEastAsia" w:hAnsiTheme="minorEastAsia" w:eastAsiaTheme="minorEastAsia"/>
          <w:color w:val="auto"/>
          <w:kern w:val="0"/>
          <w:sz w:val="24"/>
          <w:lang w:val="zh-CN"/>
        </w:rPr>
        <w:t>（11）售后服务方案。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12）项目小组人员名单。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lang w:val="zh-CN"/>
        </w:rPr>
        <w:t>资质情况等</w:t>
      </w:r>
      <w:r>
        <w:rPr>
          <w:rFonts w:hint="eastAsia" w:asciiTheme="minorEastAsia" w:hAnsiTheme="minorEastAsia" w:eastAsiaTheme="minorEastAsia"/>
          <w:color w:val="auto"/>
          <w:kern w:val="0"/>
          <w:sz w:val="24"/>
          <w:lang w:val="zh-CN"/>
        </w:rPr>
        <w:t>；</w:t>
      </w:r>
    </w:p>
    <w:p>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lang w:val="zh-CN"/>
        </w:rPr>
        <w:t>（13）优惠条件及特殊承诺；</w:t>
      </w:r>
    </w:p>
    <w:p>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sz w:val="24"/>
        </w:rPr>
        <w:t>（14）</w:t>
      </w:r>
      <w:r>
        <w:rPr>
          <w:rFonts w:hint="eastAsia" w:cs="仿宋_GB2312" w:asciiTheme="minorEastAsia" w:hAnsiTheme="minorEastAsia" w:eastAsiaTheme="minorEastAsia"/>
          <w:color w:val="auto"/>
          <w:kern w:val="0"/>
          <w:sz w:val="24"/>
          <w:lang w:val="zh-CN"/>
        </w:rPr>
        <w:t>培训计划（如果有）；</w:t>
      </w:r>
    </w:p>
    <w:p>
      <w:pPr>
        <w:pStyle w:val="31"/>
        <w:spacing w:line="360" w:lineRule="auto"/>
        <w:ind w:firstLine="480"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color w:val="auto"/>
          <w:kern w:val="0"/>
          <w:sz w:val="24"/>
        </w:rPr>
        <w:t>（15）随机特殊工具和</w:t>
      </w:r>
      <w:r>
        <w:rPr>
          <w:rFonts w:hint="eastAsia" w:asciiTheme="minorEastAsia" w:hAnsiTheme="minorEastAsia" w:eastAsiaTheme="minorEastAsia"/>
          <w:color w:val="auto"/>
          <w:kern w:val="0"/>
          <w:sz w:val="24"/>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1"/>
        <w:spacing w:line="360" w:lineRule="auto"/>
        <w:ind w:firstLine="480" w:firstLineChars="200"/>
        <w:rPr>
          <w:rFonts w:cs="仿宋_GB2312" w:asciiTheme="minorEastAsia" w:hAnsiTheme="minorEastAsia" w:eastAsiaTheme="minorEastAsia"/>
          <w:color w:val="auto"/>
          <w:kern w:val="0"/>
          <w:sz w:val="24"/>
          <w:szCs w:val="24"/>
          <w:lang w:val="zh-CN"/>
        </w:rPr>
      </w:pP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6）</w:t>
      </w:r>
      <w:r>
        <w:rPr>
          <w:rFonts w:hint="eastAsia" w:cs="仿宋_GB2312" w:asciiTheme="minorEastAsia" w:hAnsiTheme="minorEastAsia" w:eastAsiaTheme="minorEastAsia"/>
          <w:color w:val="auto"/>
          <w:kern w:val="0"/>
          <w:sz w:val="24"/>
          <w:szCs w:val="24"/>
          <w:lang w:val="zh-CN"/>
        </w:rPr>
        <w:t>供应商认为需要的其他技术文件或说明（如果有）；</w:t>
      </w:r>
    </w:p>
    <w:p>
      <w:pPr>
        <w:pStyle w:val="31"/>
        <w:spacing w:line="360" w:lineRule="auto"/>
        <w:ind w:firstLine="527" w:firstLineChars="25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b/>
          <w:color w:val="auto"/>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7）</w:t>
      </w:r>
      <w:r>
        <w:rPr>
          <w:rFonts w:hint="eastAsia" w:cs="仿宋_GB2312" w:asciiTheme="minorEastAsia" w:hAnsiTheme="minorEastAsia" w:eastAsiaTheme="minorEastAsia"/>
          <w:color w:val="auto"/>
          <w:kern w:val="0"/>
          <w:sz w:val="24"/>
          <w:lang w:val="zh-CN"/>
        </w:rPr>
        <w:t>政府采购供应商廉洁自律承诺书。</w:t>
      </w:r>
    </w:p>
    <w:p>
      <w:pPr>
        <w:pStyle w:val="31"/>
        <w:spacing w:line="360" w:lineRule="auto"/>
        <w:ind w:firstLine="527" w:firstLineChars="250"/>
        <w:rPr>
          <w:rFonts w:cs="仿宋_GB2312" w:asciiTheme="minorEastAsia" w:hAnsiTheme="minorEastAsia" w:eastAsiaTheme="minorEastAsia"/>
          <w:color w:val="auto"/>
          <w:kern w:val="0"/>
          <w:sz w:val="24"/>
          <w:lang w:val="zh-CN"/>
        </w:rPr>
      </w:pPr>
      <w:r>
        <w:rPr>
          <w:rFonts w:hint="eastAsia" w:asciiTheme="minorEastAsia" w:hAnsiTheme="minorEastAsia" w:eastAsiaTheme="minorEastAsia"/>
          <w:b/>
          <w:color w:val="auto"/>
        </w:rPr>
        <w:t>▲</w:t>
      </w:r>
      <w:r>
        <w:rPr>
          <w:rFonts w:hint="eastAsia" w:asciiTheme="minorEastAsia" w:hAnsiTheme="minorEastAsia" w:eastAsiaTheme="minorEastAsia"/>
          <w:color w:val="auto"/>
          <w:sz w:val="24"/>
          <w:szCs w:val="24"/>
        </w:rPr>
        <w:t>（</w:t>
      </w:r>
      <w:r>
        <w:rPr>
          <w:rFonts w:asciiTheme="minorEastAsia" w:hAnsiTheme="minorEastAsia" w:eastAsiaTheme="minorEastAsia"/>
          <w:color w:val="auto"/>
          <w:sz w:val="24"/>
          <w:szCs w:val="24"/>
        </w:rPr>
        <w:t>1</w:t>
      </w:r>
      <w:r>
        <w:rPr>
          <w:rFonts w:hint="eastAsia" w:asciiTheme="minorEastAsia" w:hAnsiTheme="minorEastAsia" w:eastAsiaTheme="minorEastAsia"/>
          <w:color w:val="auto"/>
          <w:sz w:val="24"/>
          <w:szCs w:val="24"/>
        </w:rPr>
        <w:t>8）</w:t>
      </w:r>
      <w:r>
        <w:rPr>
          <w:rFonts w:hint="eastAsia" w:cs="仿宋_GB2312" w:asciiTheme="minorEastAsia" w:hAnsiTheme="minorEastAsia" w:eastAsiaTheme="minorEastAsia"/>
          <w:color w:val="auto"/>
          <w:kern w:val="0"/>
          <w:sz w:val="24"/>
          <w:lang w:val="zh-CN"/>
        </w:rPr>
        <w:t>承诺函；</w:t>
      </w:r>
    </w:p>
    <w:p>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▲（19）</w:t>
      </w:r>
      <w:bookmarkStart w:id="71" w:name="OLE_LINK118"/>
      <w:bookmarkStart w:id="72" w:name="OLE_LINK119"/>
      <w:r>
        <w:rPr>
          <w:rFonts w:hint="eastAsia" w:asciiTheme="minorEastAsia" w:hAnsiTheme="minorEastAsia" w:eastAsiaTheme="minorEastAsia"/>
          <w:color w:val="auto"/>
          <w:sz w:val="24"/>
          <w:szCs w:val="24"/>
        </w:rPr>
        <w:t>商务、服务（技术）响应、偏离情况说明表</w:t>
      </w:r>
      <w:bookmarkEnd w:id="71"/>
      <w:bookmarkEnd w:id="72"/>
      <w:r>
        <w:rPr>
          <w:rFonts w:hint="eastAsia" w:asciiTheme="minorEastAsia" w:hAnsiTheme="minorEastAsia" w:eastAsiaTheme="minorEastAsia"/>
          <w:color w:val="auto"/>
          <w:sz w:val="24"/>
          <w:szCs w:val="24"/>
        </w:rPr>
        <w:t>；</w:t>
      </w:r>
    </w:p>
    <w:p>
      <w:pPr>
        <w:pStyle w:val="31"/>
        <w:spacing w:line="360" w:lineRule="auto"/>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▲（20）初始报价表。</w:t>
      </w:r>
    </w:p>
    <w:p>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3. 响应文件的编制和签署</w:t>
      </w:r>
    </w:p>
    <w:p>
      <w:pPr>
        <w:spacing w:line="360" w:lineRule="auto"/>
        <w:ind w:firstLine="480" w:firstLineChars="200"/>
        <w:rPr>
          <w:rFonts w:cs="仿宋_GB2312" w:asciiTheme="minorEastAsia" w:hAnsiTheme="minorEastAsia" w:eastAsiaTheme="minorEastAsia"/>
          <w:b/>
          <w:color w:val="auto"/>
          <w:sz w:val="24"/>
        </w:rPr>
      </w:pPr>
      <w:r>
        <w:rPr>
          <w:rFonts w:hint="eastAsia" w:cs="仿宋_GB2312" w:asciiTheme="minorEastAsia" w:hAnsiTheme="minorEastAsia" w:eastAsiaTheme="minorEastAsia"/>
          <w:color w:val="auto"/>
          <w:kern w:val="0"/>
          <w:sz w:val="24"/>
          <w:lang w:val="zh-CN"/>
        </w:rPr>
        <w:t>3.1各供应商在编制响应文件时请按照谈判文件第七部分规定的格式进行，混乱的编排导致响应文件被误读或谈判小组查找不到有效文件是供应商的风险。</w:t>
      </w:r>
    </w:p>
    <w:p>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3.2供应商进行电子交易应安装客户端软件—“广西政府采购云平台电子交易客户端”，并按照谈判文件和电子交易平台的要求编制并加密响应文件。供应商未按规定加密的响应文件，电子交易平台将拒收并提示。</w:t>
      </w:r>
    </w:p>
    <w:p>
      <w:pPr>
        <w:spacing w:line="360" w:lineRule="auto"/>
        <w:ind w:firstLine="480" w:firstLineChars="20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3.3使用“广西政府采购云平台电子交易客户端”需要提前申领CA数字证书，申领流程请自行前往“</w:t>
      </w:r>
      <w:r>
        <w:rPr>
          <w:rFonts w:hint="eastAsia" w:ascii="宋体" w:hAnsi="宋体" w:cs="宋体"/>
          <w:color w:val="auto"/>
          <w:sz w:val="24"/>
        </w:rPr>
        <w:t>广西政府采购网（http://zfcg.gxzf.gov.cn/）—办事服务—下载专区</w:t>
      </w:r>
      <w:r>
        <w:rPr>
          <w:rFonts w:hint="eastAsia" w:ascii="宋体" w:hAnsi="宋体" w:cs="宋体"/>
          <w:color w:val="auto"/>
          <w:kern w:val="0"/>
          <w:sz w:val="24"/>
          <w:lang w:val="zh-CN"/>
        </w:rPr>
        <w:t>”进行查阅</w:t>
      </w:r>
    </w:p>
    <w:p>
      <w:pPr>
        <w:pStyle w:val="392"/>
        <w:snapToGrid w:val="0"/>
        <w:spacing w:before="0"/>
        <w:ind w:firstLine="480"/>
        <w:rPr>
          <w:rFonts w:cs="仿宋_GB2312" w:asciiTheme="minorEastAsia" w:hAnsiTheme="minorEastAsia" w:eastAsiaTheme="minorEastAsia"/>
          <w:b/>
          <w:color w:val="auto"/>
        </w:rPr>
      </w:pPr>
      <w:r>
        <w:rPr>
          <w:rFonts w:hint="eastAsia" w:cs="仿宋_GB2312" w:asciiTheme="minorEastAsia" w:hAnsiTheme="minorEastAsia" w:eastAsiaTheme="minorEastAsia"/>
          <w:color w:val="auto"/>
          <w:szCs w:val="24"/>
        </w:rPr>
        <w:t>3.4响应文件按照谈判文件第七部分格式要</w:t>
      </w:r>
      <w:r>
        <w:rPr>
          <w:rFonts w:hint="eastAsia" w:cs="仿宋_GB2312" w:asciiTheme="minorEastAsia" w:hAnsiTheme="minorEastAsia" w:eastAsiaTheme="minorEastAsia"/>
          <w:color w:val="auto"/>
        </w:rPr>
        <w:t>求进行签署、盖章。</w:t>
      </w:r>
      <w:r>
        <w:rPr>
          <w:rFonts w:hint="eastAsia" w:asciiTheme="minorEastAsia" w:hAnsiTheme="minorEastAsia" w:eastAsiaTheme="minorEastAsia"/>
          <w:b/>
          <w:color w:val="auto"/>
        </w:rPr>
        <w:t>▲</w:t>
      </w:r>
      <w:r>
        <w:rPr>
          <w:rFonts w:hint="eastAsia" w:cs="仿宋_GB2312" w:asciiTheme="minorEastAsia" w:hAnsiTheme="minorEastAsia" w:eastAsiaTheme="minorEastAsia"/>
          <w:b/>
          <w:color w:val="auto"/>
        </w:rPr>
        <w:t>供应商的响应文件未按照谈判文件要求签署、盖章的，其响应无效</w:t>
      </w:r>
      <w:r>
        <w:rPr>
          <w:rFonts w:hint="eastAsia" w:cs="仿宋_GB2312" w:asciiTheme="minorEastAsia" w:hAnsiTheme="minorEastAsia" w:eastAsiaTheme="minorEastAsia"/>
          <w:color w:val="auto"/>
          <w:szCs w:val="24"/>
        </w:rPr>
        <w:t>。</w:t>
      </w:r>
    </w:p>
    <w:p>
      <w:pPr>
        <w:pStyle w:val="392"/>
        <w:snapToGrid w:val="0"/>
        <w:spacing w:before="0"/>
        <w:ind w:firstLine="480"/>
        <w:rPr>
          <w:rFonts w:cs="宋体" w:asciiTheme="minorEastAsia" w:hAnsiTheme="minorEastAsia" w:eastAsiaTheme="minorEastAsia"/>
          <w:color w:val="auto"/>
        </w:rPr>
      </w:pPr>
      <w:r>
        <w:rPr>
          <w:rFonts w:hint="eastAsia" w:cs="仿宋_GB2312" w:asciiTheme="minorEastAsia" w:hAnsiTheme="minorEastAsia" w:eastAsiaTheme="minorEastAsia"/>
          <w:color w:val="auto"/>
          <w:szCs w:val="24"/>
        </w:rPr>
        <w:t>3.5为确保网上操作合法、有效和安全，供应商应当在响应截止时间前完成在“广西政府采购云平台”的身份认证，确保在电子交易过程中能够对相关数据电文进行加密和使用电子签名。</w:t>
      </w:r>
    </w:p>
    <w:p>
      <w:pPr>
        <w:pStyle w:val="392"/>
        <w:snapToGrid w:val="0"/>
        <w:spacing w:before="0"/>
        <w:ind w:firstLine="480"/>
        <w:rPr>
          <w:rFonts w:cs="宋体" w:asciiTheme="minorEastAsia" w:hAnsiTheme="minorEastAsia" w:eastAsiaTheme="minorEastAsia"/>
          <w:color w:val="auto"/>
          <w:szCs w:val="24"/>
        </w:rPr>
      </w:pPr>
      <w:r>
        <w:rPr>
          <w:rFonts w:hint="eastAsia" w:cs="宋体" w:asciiTheme="minorEastAsia" w:hAnsiTheme="minorEastAsia" w:eastAsiaTheme="minorEastAsia"/>
          <w:color w:val="auto"/>
        </w:rPr>
        <w:t>3.6谈判文件对响应文件签署、盖章的要求适用于电子签名、CA签章以及谈判文件明确允许的其他方式。</w:t>
      </w:r>
    </w:p>
    <w:p>
      <w:pPr>
        <w:pStyle w:val="31"/>
        <w:spacing w:line="360" w:lineRule="auto"/>
        <w:ind w:firstLine="480" w:firstLineChars="200"/>
        <w:rPr>
          <w:rFonts w:cs="仿宋_GB2312" w:asciiTheme="minorEastAsia" w:hAnsiTheme="minorEastAsia" w:eastAsiaTheme="minorEastAsia"/>
          <w:color w:val="auto"/>
          <w:sz w:val="24"/>
          <w:szCs w:val="24"/>
        </w:rPr>
      </w:pPr>
    </w:p>
    <w:p>
      <w:pPr>
        <w:adjustRightInd/>
        <w:spacing w:line="360" w:lineRule="auto"/>
        <w:jc w:val="center"/>
        <w:rPr>
          <w:rFonts w:cs="仿宋_GB2312" w:asciiTheme="minorEastAsia" w:hAnsiTheme="minorEastAsia" w:eastAsiaTheme="minorEastAsia"/>
          <w:b/>
          <w:color w:val="auto"/>
          <w:sz w:val="32"/>
          <w:szCs w:val="20"/>
        </w:rPr>
      </w:pP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七、</w:t>
      </w:r>
      <w:r>
        <w:rPr>
          <w:rFonts w:hint="eastAsia" w:asciiTheme="minorEastAsia" w:hAnsiTheme="minorEastAsia" w:eastAsiaTheme="minorEastAsia"/>
          <w:b/>
          <w:color w:val="auto"/>
          <w:sz w:val="32"/>
          <w:szCs w:val="32"/>
        </w:rPr>
        <w:t>响应</w:t>
      </w:r>
      <w:r>
        <w:rPr>
          <w:rFonts w:hint="eastAsia" w:cs="仿宋_GB2312" w:asciiTheme="minorEastAsia" w:hAnsiTheme="minorEastAsia" w:eastAsiaTheme="minorEastAsia"/>
          <w:b/>
          <w:color w:val="auto"/>
          <w:sz w:val="32"/>
          <w:szCs w:val="20"/>
        </w:rPr>
        <w:t>文件的提交和备份</w:t>
      </w:r>
    </w:p>
    <w:p>
      <w:pPr>
        <w:pStyle w:val="392"/>
        <w:spacing w:before="0"/>
        <w:ind w:firstLine="0" w:firstLineChars="0"/>
        <w:rPr>
          <w:rFonts w:cs="仿宋_GB2312" w:asciiTheme="minorEastAsia" w:hAnsiTheme="minorEastAsia" w:eastAsiaTheme="minorEastAsia"/>
          <w:b/>
          <w:color w:val="auto"/>
          <w:szCs w:val="24"/>
        </w:rPr>
      </w:pPr>
    </w:p>
    <w:p>
      <w:pPr>
        <w:pStyle w:val="392"/>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1.响应文件的提交、补充、修改、撤回</w:t>
      </w:r>
    </w:p>
    <w:p>
      <w:pPr>
        <w:pStyle w:val="392"/>
        <w:ind w:firstLine="480"/>
        <w:rPr>
          <w:rFonts w:cs="仿宋_GB2312" w:asciiTheme="minorEastAsia" w:hAnsiTheme="minorEastAsia" w:eastAsiaTheme="minorEastAsia"/>
          <w:color w:val="auto"/>
          <w:szCs w:val="24"/>
        </w:rPr>
      </w:pPr>
      <w:r>
        <w:rPr>
          <w:rFonts w:hint="eastAsia" w:cs="仿宋_GB2312" w:asciiTheme="minorEastAsia" w:hAnsiTheme="minorEastAsia" w:eastAsiaTheme="minorEastAsia"/>
          <w:color w:val="auto"/>
          <w:szCs w:val="24"/>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1.2 在响应截止时间以后，不能补充、修改响应文件。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1.3 在提交“最后报价”后，供应商不能退出谈判。</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1.5 采购代理机构可以视情况延长提交响应文件的截止时间。在上述情况下，采购代理机构与供应商以前在响应截止期方面的全部权利、责任和义务，将适用于延长至新的响应截止期。</w:t>
      </w:r>
    </w:p>
    <w:p>
      <w:pPr>
        <w:pStyle w:val="31"/>
        <w:spacing w:line="360" w:lineRule="auto"/>
        <w:rPr>
          <w:rFonts w:hint="eastAsia" w:cs="仿宋_GB2312" w:asciiTheme="minorEastAsia" w:hAnsiTheme="minorEastAsia" w:eastAsiaTheme="minorEastAsia"/>
          <w:b/>
          <w:color w:val="auto"/>
          <w:sz w:val="24"/>
          <w:szCs w:val="24"/>
          <w:highlight w:val="none"/>
          <w:lang w:eastAsia="zh-CN"/>
        </w:rPr>
      </w:pPr>
      <w:r>
        <w:rPr>
          <w:rFonts w:hint="eastAsia" w:cs="仿宋_GB2312" w:asciiTheme="minorEastAsia" w:hAnsiTheme="minorEastAsia" w:eastAsiaTheme="minorEastAsia"/>
          <w:b/>
          <w:color w:val="auto"/>
          <w:sz w:val="24"/>
          <w:szCs w:val="24"/>
          <w:highlight w:val="none"/>
        </w:rPr>
        <w:t>2.备份响应文件</w:t>
      </w:r>
      <w:r>
        <w:rPr>
          <w:rFonts w:hint="eastAsia" w:cs="仿宋_GB2312" w:asciiTheme="minorEastAsia" w:hAnsiTheme="minorEastAsia" w:eastAsiaTheme="minorEastAsia"/>
          <w:b/>
          <w:color w:val="auto"/>
          <w:sz w:val="24"/>
          <w:szCs w:val="24"/>
          <w:highlight w:val="none"/>
          <w:lang w:eastAsia="zh-CN"/>
        </w:rPr>
        <w:t>（本项目不接收）</w:t>
      </w:r>
    </w:p>
    <w:p>
      <w:pPr>
        <w:spacing w:line="360" w:lineRule="auto"/>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谈判保证金（本项目不收取谈判保证金）</w:t>
      </w:r>
    </w:p>
    <w:p>
      <w:pPr>
        <w:adjustRightInd/>
        <w:spacing w:line="360" w:lineRule="auto"/>
        <w:jc w:val="center"/>
        <w:rPr>
          <w:rFonts w:cs="仿宋_GB2312" w:asciiTheme="minorEastAsia" w:hAnsiTheme="minorEastAsia" w:eastAsiaTheme="minorEastAsia"/>
          <w:b/>
          <w:color w:val="auto"/>
          <w:sz w:val="32"/>
          <w:szCs w:val="20"/>
        </w:rPr>
      </w:pP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八、</w:t>
      </w:r>
      <w:r>
        <w:rPr>
          <w:rFonts w:hint="eastAsia" w:asciiTheme="minorEastAsia" w:hAnsiTheme="minorEastAsia" w:eastAsiaTheme="minorEastAsia"/>
          <w:b/>
          <w:color w:val="auto"/>
          <w:sz w:val="32"/>
          <w:szCs w:val="32"/>
        </w:rPr>
        <w:t>开启响应文件与信用信息查询</w:t>
      </w:r>
    </w:p>
    <w:p>
      <w:pPr>
        <w:pStyle w:val="31"/>
        <w:spacing w:line="360" w:lineRule="auto"/>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 开启响应文件</w:t>
      </w:r>
    </w:p>
    <w:p>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1.1 采购代理机构按照谈判文件规定的时间通过电子交易平台组织响应文件开启，所有供应商均应当准时在线参加。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rPr>
        <w:t>供应商数量不符合规定的，不得开启响应文件。</w:t>
      </w:r>
    </w:p>
    <w:p>
      <w:pPr>
        <w:pStyle w:val="31"/>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1.2开启响应文件时，电子交易平台按开启响应文件时间自动提取所有响应文件。采购代理机构依托电子交易平台发起开始解密指令，供应商按照平台提示和谈判文件的规定在半小时内完成在线解密。</w:t>
      </w:r>
    </w:p>
    <w:p>
      <w:pPr>
        <w:pStyle w:val="31"/>
        <w:spacing w:line="360" w:lineRule="auto"/>
        <w:ind w:firstLine="482" w:firstLineChars="200"/>
        <w:rPr>
          <w:rFonts w:cs="仿宋_GB2312" w:asciiTheme="minorEastAsia" w:hAnsiTheme="minorEastAsia" w:eastAsiaTheme="minorEastAsia"/>
          <w:b/>
          <w:color w:val="auto"/>
          <w:sz w:val="24"/>
          <w:szCs w:val="24"/>
        </w:rPr>
      </w:pPr>
      <w:r>
        <w:rPr>
          <w:rFonts w:hint="eastAsia" w:cs="仿宋_GB2312" w:asciiTheme="minorEastAsia" w:hAnsiTheme="minorEastAsia" w:eastAsiaTheme="minorEastAsia"/>
          <w:b/>
          <w:color w:val="auto"/>
          <w:sz w:val="24"/>
          <w:szCs w:val="24"/>
        </w:rPr>
        <w:t>1.3响应文件未在规定时间内成功解密的供应商，如提交了备份响应文件的，以备份响应文件作为依据，否则视为响应文件撤回。响应文件解密成功的供应商，其备份响应文件自动失效。</w:t>
      </w:r>
    </w:p>
    <w:p>
      <w:pPr>
        <w:pStyle w:val="392"/>
        <w:spacing w:before="0"/>
        <w:ind w:firstLine="0" w:firstLineChars="0"/>
        <w:rPr>
          <w:rFonts w:cs="仿宋_GB2312" w:asciiTheme="minorEastAsia" w:hAnsiTheme="minorEastAsia" w:eastAsiaTheme="minorEastAsia"/>
          <w:b/>
          <w:color w:val="auto"/>
          <w:szCs w:val="24"/>
        </w:rPr>
      </w:pPr>
      <w:r>
        <w:rPr>
          <w:rFonts w:hint="eastAsia" w:cs="仿宋_GB2312" w:asciiTheme="minorEastAsia" w:hAnsiTheme="minorEastAsia" w:eastAsiaTheme="minorEastAsia"/>
          <w:b/>
          <w:color w:val="auto"/>
          <w:szCs w:val="24"/>
        </w:rPr>
        <w:t>2.信用信息查询</w:t>
      </w:r>
    </w:p>
    <w:p>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2.1信用信息查询渠道及截止时间：采购人或采购代理机构将通过“信用中国”网站(</w:t>
      </w:r>
      <w:r>
        <w:rPr>
          <w:color w:val="auto"/>
        </w:rPr>
        <w:fldChar w:fldCharType="begin"/>
      </w:r>
      <w:r>
        <w:rPr>
          <w:color w:val="auto"/>
        </w:rPr>
        <w:instrText xml:space="preserve"> HYPERLINK "http://www.creditchina.gov.cn" </w:instrText>
      </w:r>
      <w:r>
        <w:rPr>
          <w:color w:val="auto"/>
        </w:rPr>
        <w:fldChar w:fldCharType="separate"/>
      </w:r>
      <w:r>
        <w:rPr>
          <w:rStyle w:val="68"/>
          <w:rFonts w:hint="eastAsia" w:asciiTheme="minorEastAsia" w:hAnsiTheme="minorEastAsia" w:eastAsiaTheme="minorEastAsia"/>
          <w:snapToGrid/>
          <w:color w:val="auto"/>
          <w:sz w:val="24"/>
          <w:szCs w:val="24"/>
        </w:rPr>
        <w:t>www.creditchina.gov.cn</w:t>
      </w:r>
      <w:r>
        <w:rPr>
          <w:rStyle w:val="68"/>
          <w:rFonts w:hint="eastAsia" w:asciiTheme="minorEastAsia" w:hAnsiTheme="minorEastAsia" w:eastAsiaTheme="minorEastAsia"/>
          <w:snapToGrid/>
          <w:color w:val="auto"/>
          <w:sz w:val="24"/>
          <w:szCs w:val="24"/>
        </w:rPr>
        <w:fldChar w:fldCharType="end"/>
      </w:r>
      <w:r>
        <w:rPr>
          <w:rFonts w:hint="eastAsia" w:cs="Arial" w:asciiTheme="minorEastAsia" w:hAnsiTheme="minorEastAsia" w:eastAsiaTheme="minorEastAsia"/>
          <w:color w:val="auto"/>
          <w:kern w:val="0"/>
          <w:szCs w:val="24"/>
        </w:rPr>
        <w:t>)、中国政府采购网(www.ccgp.gov.cn)渠道查询供应商响应截止时间前的信用记录。</w:t>
      </w:r>
    </w:p>
    <w:p>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2.2信用信息查询记录和证据留存的具体方式：现场查询的供应商的信用记录、查询结果经确认后存档。</w:t>
      </w:r>
    </w:p>
    <w:p>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2.3信用信息的使用规则：经查询列入失信被执行人名单、重大税收违法案件当事人名单、政府采购严重违法失信行为记录名单的供应商将被拒绝参与政府采购活动。</w:t>
      </w:r>
    </w:p>
    <w:p>
      <w:pPr>
        <w:pStyle w:val="392"/>
        <w:spacing w:before="0"/>
        <w:ind w:firstLine="480"/>
        <w:rPr>
          <w:rFonts w:cs="Arial" w:asciiTheme="minorEastAsia" w:hAnsiTheme="minorEastAsia" w:eastAsiaTheme="minorEastAsia"/>
          <w:color w:val="auto"/>
          <w:kern w:val="0"/>
          <w:szCs w:val="24"/>
        </w:rPr>
      </w:pPr>
      <w:r>
        <w:rPr>
          <w:rFonts w:hint="eastAsia" w:cs="Arial" w:asciiTheme="minorEastAsia" w:hAnsiTheme="minorEastAsia" w:eastAsiaTheme="minorEastAsia"/>
          <w:color w:val="auto"/>
          <w:kern w:val="0"/>
          <w:szCs w:val="24"/>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1"/>
        <w:spacing w:line="360" w:lineRule="auto"/>
        <w:rPr>
          <w:rFonts w:cs="仿宋_GB2312" w:asciiTheme="minorEastAsia" w:hAnsiTheme="minorEastAsia" w:eastAsiaTheme="minorEastAsia"/>
          <w:b/>
          <w:color w:val="auto"/>
          <w:sz w:val="24"/>
          <w:szCs w:val="24"/>
        </w:rPr>
      </w:pPr>
    </w:p>
    <w:p>
      <w:pPr>
        <w:adjustRightInd/>
        <w:spacing w:line="360" w:lineRule="auto"/>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九</w:t>
      </w:r>
      <w:r>
        <w:rPr>
          <w:rFonts w:hint="eastAsia" w:cs="仿宋_GB2312" w:asciiTheme="minorEastAsia" w:hAnsiTheme="minorEastAsia" w:eastAsiaTheme="minorEastAsia"/>
          <w:b/>
          <w:color w:val="auto"/>
          <w:sz w:val="32"/>
          <w:szCs w:val="20"/>
        </w:rPr>
        <w:t>、提交</w:t>
      </w:r>
      <w:r>
        <w:rPr>
          <w:rFonts w:hint="eastAsia" w:asciiTheme="minorEastAsia" w:hAnsiTheme="minorEastAsia" w:eastAsiaTheme="minorEastAsia"/>
          <w:b/>
          <w:color w:val="auto"/>
          <w:sz w:val="32"/>
          <w:szCs w:val="32"/>
        </w:rPr>
        <w:t>最后报价</w:t>
      </w:r>
    </w:p>
    <w:p>
      <w:pPr>
        <w:snapToGrid w:val="0"/>
        <w:spacing w:line="360" w:lineRule="auto"/>
        <w:rPr>
          <w:rFonts w:cs="仿宋_GB2312" w:asciiTheme="minorEastAsia" w:hAnsiTheme="minorEastAsia" w:eastAsiaTheme="minorEastAsia"/>
          <w:color w:val="auto"/>
          <w:sz w:val="24"/>
          <w:u w:val="single"/>
          <w:lang w:val="zh-CN"/>
        </w:rPr>
      </w:pPr>
      <w:r>
        <w:rPr>
          <w:rFonts w:hint="eastAsia" w:asciiTheme="minorEastAsia" w:hAnsiTheme="minorEastAsia" w:eastAsiaTheme="minorEastAsia"/>
          <w:b/>
          <w:color w:val="auto"/>
          <w:sz w:val="24"/>
        </w:rPr>
        <w:t>1.</w:t>
      </w:r>
      <w:r>
        <w:rPr>
          <w:rFonts w:hint="eastAsia" w:cs="仿宋_GB2312" w:asciiTheme="minorEastAsia" w:hAnsiTheme="minorEastAsia" w:eastAsiaTheme="minorEastAsia"/>
          <w:color w:val="auto"/>
          <w:sz w:val="24"/>
        </w:rPr>
        <w:t>供应商的</w:t>
      </w:r>
      <w:r>
        <w:rPr>
          <w:rFonts w:hint="eastAsia" w:cs="仿宋_GB2312" w:asciiTheme="minorEastAsia" w:hAnsiTheme="minorEastAsia" w:eastAsiaTheme="minorEastAsia"/>
          <w:b/>
          <w:color w:val="auto"/>
          <w:sz w:val="24"/>
        </w:rPr>
        <w:t>最后报价文件</w:t>
      </w:r>
      <w:r>
        <w:rPr>
          <w:rFonts w:hint="eastAsia" w:cs="仿宋_GB2312" w:asciiTheme="minorEastAsia" w:hAnsiTheme="minorEastAsia" w:eastAsiaTheme="minorEastAsia"/>
          <w:color w:val="auto"/>
          <w:sz w:val="24"/>
        </w:rPr>
        <w:t>应包括以下内容：</w:t>
      </w:r>
    </w:p>
    <w:p>
      <w:pPr>
        <w:pStyle w:val="31"/>
        <w:snapToGrid w:val="0"/>
        <w:spacing w:line="360" w:lineRule="auto"/>
        <w:ind w:firstLine="422" w:firstLineChars="200"/>
        <w:rPr>
          <w:rFonts w:cs="仿宋_GB2312" w:asciiTheme="minorEastAsia" w:hAnsiTheme="minorEastAsia" w:eastAsiaTheme="minorEastAsia"/>
          <w:color w:val="auto"/>
          <w:sz w:val="24"/>
          <w:szCs w:val="24"/>
        </w:rPr>
      </w:pPr>
      <w:r>
        <w:rPr>
          <w:rFonts w:hint="eastAsia" w:asciiTheme="minorEastAsia" w:hAnsiTheme="minorEastAsia" w:eastAsiaTheme="minorEastAsia"/>
          <w:b/>
          <w:color w:val="auto"/>
        </w:rPr>
        <w:t>▲</w:t>
      </w:r>
      <w:r>
        <w:rPr>
          <w:rFonts w:hint="eastAsia" w:cs="仿宋_GB2312" w:asciiTheme="minorEastAsia" w:hAnsiTheme="minorEastAsia" w:eastAsiaTheme="minorEastAsia"/>
          <w:color w:val="auto"/>
          <w:sz w:val="24"/>
          <w:szCs w:val="24"/>
        </w:rPr>
        <w:t>1.1最后报价一览表；</w:t>
      </w:r>
    </w:p>
    <w:p>
      <w:pPr>
        <w:pStyle w:val="31"/>
        <w:snapToGrid w:val="0"/>
        <w:spacing w:line="360" w:lineRule="auto"/>
        <w:ind w:firstLine="480" w:firstLineChars="200"/>
        <w:rPr>
          <w:rFonts w:cs="仿宋_GB2312" w:asciiTheme="minorEastAsia" w:hAnsiTheme="minorEastAsia" w:eastAsiaTheme="minorEastAsia"/>
          <w:color w:val="auto"/>
          <w:sz w:val="24"/>
          <w:szCs w:val="24"/>
        </w:rPr>
      </w:pPr>
      <w:r>
        <w:rPr>
          <w:rFonts w:hint="eastAsia" w:cs="仿宋_GB2312" w:asciiTheme="minorEastAsia" w:hAnsiTheme="minorEastAsia" w:eastAsiaTheme="minorEastAsia"/>
          <w:color w:val="auto"/>
          <w:sz w:val="24"/>
          <w:szCs w:val="24"/>
        </w:rPr>
        <w:t>1.2中小企业声明函（如果有）。</w:t>
      </w:r>
    </w:p>
    <w:p>
      <w:pPr>
        <w:adjustRightInd/>
        <w:spacing w:line="360" w:lineRule="auto"/>
        <w:jc w:val="center"/>
        <w:rPr>
          <w:rFonts w:cs="仿宋_GB2312" w:asciiTheme="minorEastAsia" w:hAnsiTheme="minorEastAsia" w:eastAsiaTheme="minorEastAsia"/>
          <w:b/>
          <w:color w:val="auto"/>
          <w:sz w:val="32"/>
          <w:szCs w:val="20"/>
        </w:rPr>
      </w:pPr>
    </w:p>
    <w:p>
      <w:pPr>
        <w:adjustRightInd/>
        <w:spacing w:line="360" w:lineRule="auto"/>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szCs w:val="20"/>
        </w:rPr>
        <w:t>十、</w:t>
      </w:r>
      <w:r>
        <w:rPr>
          <w:rFonts w:hint="eastAsia" w:asciiTheme="minorEastAsia" w:hAnsiTheme="minorEastAsia" w:eastAsiaTheme="minorEastAsia"/>
          <w:b/>
          <w:color w:val="auto"/>
          <w:sz w:val="32"/>
          <w:szCs w:val="32"/>
        </w:rPr>
        <w:t>评审</w:t>
      </w:r>
    </w:p>
    <w:p>
      <w:pPr>
        <w:pStyle w:val="392"/>
        <w:spacing w:before="0"/>
        <w:ind w:firstLine="0" w:firstLineChars="0"/>
        <w:rPr>
          <w:rFonts w:asciiTheme="minorEastAsia" w:hAnsiTheme="minorEastAsia" w:eastAsiaTheme="minorEastAsia"/>
          <w:color w:val="auto"/>
          <w:szCs w:val="24"/>
        </w:rPr>
      </w:pPr>
      <w:r>
        <w:rPr>
          <w:rFonts w:hint="eastAsia" w:cs="仿宋_GB2312" w:asciiTheme="minorEastAsia" w:hAnsiTheme="minorEastAsia" w:eastAsiaTheme="minorEastAsia"/>
          <w:b/>
          <w:color w:val="auto"/>
        </w:rPr>
        <w:t>1. 评审要求：</w:t>
      </w:r>
      <w:r>
        <w:rPr>
          <w:rFonts w:hint="eastAsia" w:cs="仿宋_GB2312" w:asciiTheme="minorEastAsia" w:hAnsiTheme="minorEastAsia" w:eastAsiaTheme="minorEastAsia"/>
          <w:color w:val="auto"/>
        </w:rPr>
        <w:t>详见谈判文件第五部分“评定标准”。</w:t>
      </w:r>
    </w:p>
    <w:p>
      <w:pPr>
        <w:adjustRightInd/>
        <w:spacing w:line="360" w:lineRule="auto"/>
        <w:jc w:val="center"/>
        <w:rPr>
          <w:rFonts w:cs="仿宋_GB2312" w:asciiTheme="minorEastAsia" w:hAnsiTheme="minorEastAsia" w:eastAsiaTheme="minorEastAsia"/>
          <w:color w:val="auto"/>
          <w:sz w:val="24"/>
        </w:rPr>
      </w:pPr>
    </w:p>
    <w:p>
      <w:pPr>
        <w:adjustRightInd/>
        <w:spacing w:line="360" w:lineRule="auto"/>
        <w:jc w:val="center"/>
        <w:outlineLvl w:val="1"/>
        <w:rPr>
          <w:rFonts w:cs="仿宋_GB2312" w:asciiTheme="minorEastAsia" w:hAnsiTheme="minorEastAsia" w:eastAsiaTheme="minorEastAsia"/>
          <w:b/>
          <w:color w:val="auto"/>
          <w:sz w:val="32"/>
          <w:szCs w:val="20"/>
        </w:rPr>
      </w:pPr>
      <w:r>
        <w:rPr>
          <w:rFonts w:hint="eastAsia" w:cs="仿宋_GB2312" w:asciiTheme="minorEastAsia" w:hAnsiTheme="minorEastAsia" w:eastAsiaTheme="minorEastAsia"/>
          <w:b/>
          <w:color w:val="auto"/>
          <w:sz w:val="32"/>
          <w:szCs w:val="20"/>
        </w:rPr>
        <w:t>十一、</w:t>
      </w:r>
      <w:r>
        <w:rPr>
          <w:rFonts w:hint="eastAsia" w:asciiTheme="minorEastAsia" w:hAnsiTheme="minorEastAsia" w:eastAsiaTheme="minorEastAsia"/>
          <w:b/>
          <w:color w:val="auto"/>
          <w:sz w:val="32"/>
          <w:szCs w:val="32"/>
        </w:rPr>
        <w:t>成交</w:t>
      </w:r>
    </w:p>
    <w:p>
      <w:pPr>
        <w:pStyle w:val="31"/>
        <w:spacing w:line="360" w:lineRule="auto"/>
        <w:rPr>
          <w:rFonts w:cs="仿宋_GB2312" w:asciiTheme="minorEastAsia" w:hAnsiTheme="minorEastAsia" w:eastAsiaTheme="minorEastAsia"/>
          <w:b/>
          <w:color w:val="auto"/>
          <w:sz w:val="24"/>
          <w:szCs w:val="24"/>
        </w:rPr>
      </w:pPr>
      <w:r>
        <w:rPr>
          <w:rFonts w:hint="eastAsia" w:asciiTheme="minorEastAsia" w:hAnsiTheme="minorEastAsia" w:eastAsiaTheme="minorEastAsia"/>
          <w:b/>
          <w:color w:val="auto"/>
          <w:sz w:val="24"/>
        </w:rPr>
        <w:t>1. 推荐成交候选供应商</w:t>
      </w:r>
    </w:p>
    <w:p>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谈判小组应当从质量和服务均能满足采购文件实质性响应要求的供应商中，按照最后报价由低到高的顺序提出3名以上成交候选人，并编写评审报告。最后报价均相同时，由谈判小组按照响应文件技术要求响应、商务要求响应优劣情况集体讨论确定排序，并按确定排序由优到劣的原则推荐成交候选人。</w:t>
      </w:r>
    </w:p>
    <w:p>
      <w:pPr>
        <w:pStyle w:val="31"/>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 确定成交供应商</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pPr>
        <w:tabs>
          <w:tab w:val="left" w:pos="0"/>
        </w:tabs>
        <w:spacing w:line="360" w:lineRule="auto"/>
        <w:rPr>
          <w:rFonts w:cs="Helvetica" w:asciiTheme="minorEastAsia" w:hAnsiTheme="minorEastAsia" w:eastAsiaTheme="minorEastAsia"/>
          <w:color w:val="auto"/>
          <w:kern w:val="0"/>
          <w:sz w:val="24"/>
        </w:rPr>
      </w:pPr>
      <w:r>
        <w:rPr>
          <w:rFonts w:hint="eastAsia" w:asciiTheme="minorEastAsia" w:hAnsiTheme="minorEastAsia" w:eastAsiaTheme="minorEastAsia"/>
          <w:b/>
          <w:color w:val="auto"/>
          <w:sz w:val="24"/>
        </w:rPr>
        <w:t>3．成交通知及成交结果公告</w:t>
      </w:r>
    </w:p>
    <w:p>
      <w:pPr>
        <w:spacing w:line="360" w:lineRule="auto"/>
        <w:ind w:firstLine="480" w:firstLineChars="200"/>
        <w:rPr>
          <w:rFonts w:ascii="宋体" w:hAnsi="宋体" w:cs="宋体"/>
          <w:color w:val="auto"/>
          <w:sz w:val="24"/>
        </w:rPr>
      </w:pPr>
      <w:r>
        <w:rPr>
          <w:rFonts w:hint="eastAsia" w:asciiTheme="minorEastAsia" w:hAnsiTheme="minorEastAsia" w:eastAsiaTheme="minorEastAsia"/>
          <w:color w:val="auto"/>
          <w:sz w:val="24"/>
          <w:szCs w:val="21"/>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rPr>
        <w:t>同时编制发布采购</w:t>
      </w:r>
      <w:r>
        <w:rPr>
          <w:rFonts w:hint="eastAsia" w:asciiTheme="minorEastAsia" w:hAnsiTheme="minorEastAsia" w:eastAsiaTheme="minorEastAsia"/>
          <w:color w:val="auto"/>
          <w:sz w:val="24"/>
          <w:szCs w:val="21"/>
        </w:rPr>
        <w:t>成交结果公告。</w:t>
      </w:r>
    </w:p>
    <w:p>
      <w:pPr>
        <w:spacing w:line="360" w:lineRule="auto"/>
        <w:ind w:firstLine="480" w:firstLineChars="200"/>
        <w:rPr>
          <w:rFonts w:asciiTheme="minorEastAsia" w:hAnsiTheme="minorEastAsia" w:eastAsiaTheme="minorEastAsia"/>
          <w:color w:val="auto"/>
          <w:sz w:val="24"/>
          <w:szCs w:val="21"/>
        </w:rPr>
      </w:pPr>
      <w:r>
        <w:rPr>
          <w:rFonts w:hint="eastAsia" w:ascii="宋体" w:hAnsi="宋体" w:cs="宋体"/>
          <w:color w:val="auto"/>
          <w:sz w:val="24"/>
        </w:rPr>
        <w:t>3.2</w:t>
      </w:r>
      <w:r>
        <w:rPr>
          <w:rFonts w:hint="eastAsia" w:asciiTheme="minorEastAsia" w:hAnsiTheme="minorEastAsia" w:eastAsiaTheme="minorEastAsia"/>
          <w:color w:val="auto"/>
          <w:sz w:val="24"/>
          <w:szCs w:val="21"/>
        </w:rPr>
        <w:t>成交</w:t>
      </w:r>
      <w:r>
        <w:rPr>
          <w:rFonts w:hint="eastAsia" w:cs="仿宋_GB2312" w:asciiTheme="minorEastAsia" w:hAnsiTheme="minorEastAsia" w:eastAsiaTheme="minorEastAsia"/>
          <w:color w:val="auto"/>
          <w:sz w:val="24"/>
        </w:rPr>
        <w:t>结果公告内容包括</w:t>
      </w:r>
      <w:r>
        <w:rPr>
          <w:rFonts w:hint="eastAsia" w:cs="宋体" w:asciiTheme="minorEastAsia" w:hAnsiTheme="minorEastAsia" w:eastAsiaTheme="minorEastAsia"/>
          <w:color w:val="auto"/>
          <w:sz w:val="24"/>
        </w:rPr>
        <w:t>采购人及其委托的采购代理机构的名称、地址、联系方式，项目名称和项目编号，成交人名称、地址和成交金额，主要成交标的的名称、规格型号、数量、单价、服务要求，</w:t>
      </w:r>
      <w:bookmarkStart w:id="73" w:name="_Hlk101184471"/>
      <w:r>
        <w:rPr>
          <w:rFonts w:hint="eastAsia" w:cs="宋体" w:asciiTheme="minorEastAsia" w:hAnsiTheme="minorEastAsia" w:eastAsiaTheme="minorEastAsia"/>
          <w:color w:val="auto"/>
          <w:sz w:val="24"/>
        </w:rPr>
        <w:t>评审专家抽取规则、</w:t>
      </w:r>
      <w:bookmarkEnd w:id="73"/>
      <w:r>
        <w:rPr>
          <w:rFonts w:hint="eastAsia" w:cs="宋体" w:asciiTheme="minorEastAsia" w:hAnsiTheme="minorEastAsia" w:eastAsiaTheme="minorEastAsia"/>
          <w:color w:val="auto"/>
          <w:sz w:val="24"/>
        </w:rPr>
        <w:t>未成交情况说明、成交公告期限以及评审专家名单、成交供应商和未成交供应商的</w:t>
      </w:r>
      <w:r>
        <w:rPr>
          <w:rFonts w:hint="eastAsia" w:ascii="宋体" w:hAnsi="宋体" w:cs="宋体"/>
          <w:color w:val="auto"/>
          <w:sz w:val="24"/>
        </w:rPr>
        <w:t>评审报价</w:t>
      </w:r>
      <w:r>
        <w:rPr>
          <w:rFonts w:hint="eastAsia" w:cs="宋体" w:asciiTheme="minorEastAsia" w:hAnsiTheme="minorEastAsia" w:eastAsiaTheme="minorEastAsia"/>
          <w:color w:val="auto"/>
          <w:sz w:val="24"/>
        </w:rPr>
        <w:t>及排名。</w:t>
      </w:r>
    </w:p>
    <w:p>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3.3公告期限为1个工作日。</w:t>
      </w:r>
    </w:p>
    <w:p>
      <w:pPr>
        <w:snapToGrid w:val="0"/>
        <w:spacing w:line="360" w:lineRule="auto"/>
        <w:jc w:val="center"/>
        <w:rPr>
          <w:rFonts w:cs="仿宋_GB2312" w:asciiTheme="minorEastAsia" w:hAnsiTheme="minorEastAsia" w:eastAsiaTheme="minorEastAsia"/>
          <w:b/>
          <w:color w:val="auto"/>
          <w:sz w:val="36"/>
          <w:szCs w:val="36"/>
        </w:rPr>
      </w:pPr>
    </w:p>
    <w:p>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十二、合同</w:t>
      </w:r>
    </w:p>
    <w:p>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1.合同主要条款：</w:t>
      </w:r>
      <w:r>
        <w:rPr>
          <w:rFonts w:hint="eastAsia" w:asciiTheme="minorEastAsia" w:hAnsiTheme="minorEastAsia" w:eastAsiaTheme="minorEastAsia"/>
          <w:color w:val="auto"/>
          <w:sz w:val="24"/>
        </w:rPr>
        <w:t>详见“第六部分拟签订的合同文本”。</w:t>
      </w:r>
    </w:p>
    <w:p>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2.合同的签订</w:t>
      </w:r>
    </w:p>
    <w:p>
      <w:pPr>
        <w:widowControl/>
        <w:shd w:val="clear" w:color="auto" w:fill="FFFFFF"/>
        <w:spacing w:line="360" w:lineRule="auto"/>
        <w:ind w:firstLine="480"/>
        <w:jc w:val="left"/>
        <w:rPr>
          <w:rFonts w:cs="宋体" w:asciiTheme="minorEastAsia" w:hAnsiTheme="minorEastAsia" w:eastAsiaTheme="minorEastAsia"/>
          <w:color w:val="auto"/>
          <w:kern w:val="0"/>
          <w:sz w:val="24"/>
        </w:rPr>
      </w:pPr>
      <w:r>
        <w:rPr>
          <w:rFonts w:hint="eastAsia" w:asciiTheme="minorEastAsia" w:hAnsiTheme="minorEastAsia" w:eastAsiaTheme="minorEastAsia"/>
          <w:color w:val="auto"/>
          <w:sz w:val="24"/>
        </w:rPr>
        <w:t>2.1</w:t>
      </w:r>
      <w:r>
        <w:rPr>
          <w:rFonts w:hint="eastAsia" w:ascii="宋体" w:hAnsi="宋体" w:cs="宋体"/>
          <w:color w:val="auto"/>
          <w:kern w:val="0"/>
          <w:sz w:val="24"/>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2"/>
        <w:snapToGrid w:val="0"/>
        <w:spacing w:before="0"/>
        <w:ind w:firstLine="480"/>
        <w:rPr>
          <w:rFonts w:cs="宋体" w:asciiTheme="minorEastAsia" w:hAnsiTheme="minorEastAsia" w:eastAsiaTheme="minorEastAsia"/>
          <w:color w:val="auto"/>
          <w:kern w:val="0"/>
        </w:rPr>
      </w:pPr>
      <w:r>
        <w:rPr>
          <w:rFonts w:hint="eastAsia" w:cs="宋体" w:asciiTheme="minorEastAsia" w:hAnsiTheme="minorEastAsia" w:eastAsiaTheme="minorEastAsia"/>
          <w:color w:val="auto"/>
          <w:kern w:val="0"/>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2.3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2.4成交供应商拒绝签订政府采购合同的，采购人可以按照《政府采购非招标采购方式管理办法》第三十六条第二款、第四十九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2.5如签订合同并生效后，供应商无故拒绝或延期，除按照合同条款处理外，列入不良行为记录一次，并给予通报。</w:t>
      </w:r>
    </w:p>
    <w:p>
      <w:pPr>
        <w:pStyle w:val="392"/>
        <w:snapToGrid w:val="0"/>
        <w:spacing w:before="0" w:after="120"/>
        <w:ind w:firstLine="480"/>
        <w:rPr>
          <w:rFonts w:cs="仿宋_GB2312" w:asciiTheme="minorEastAsia" w:hAnsiTheme="minorEastAsia" w:eastAsiaTheme="minorEastAsia"/>
          <w:color w:val="auto"/>
        </w:rPr>
      </w:pPr>
      <w:r>
        <w:rPr>
          <w:rFonts w:cs="仿宋_GB2312" w:asciiTheme="minorEastAsia" w:hAnsiTheme="minorEastAsia" w:eastAsiaTheme="minorEastAsia"/>
          <w:color w:val="auto"/>
        </w:rPr>
        <w:t>2.</w:t>
      </w:r>
      <w:r>
        <w:rPr>
          <w:rFonts w:hint="eastAsia" w:cs="仿宋_GB2312" w:asciiTheme="minorEastAsia" w:hAnsiTheme="minorEastAsia" w:eastAsiaTheme="minorEastAsia"/>
          <w:color w:val="auto"/>
        </w:rPr>
        <w:t>6</w:t>
      </w:r>
      <w:r>
        <w:rPr>
          <w:rFonts w:cs="仿宋_GB2312" w:asciiTheme="minorEastAsia" w:hAnsiTheme="minorEastAsia" w:eastAsiaTheme="minorEastAsia"/>
          <w:color w:val="auto"/>
        </w:rPr>
        <w:t>采购合同由采购人与</w:t>
      </w:r>
      <w:r>
        <w:rPr>
          <w:rFonts w:hint="eastAsia" w:cs="仿宋_GB2312" w:asciiTheme="minorEastAsia" w:hAnsiTheme="minorEastAsia" w:eastAsiaTheme="minorEastAsia"/>
          <w:color w:val="auto"/>
        </w:rPr>
        <w:t>成交</w:t>
      </w:r>
      <w:r>
        <w:rPr>
          <w:rFonts w:cs="仿宋_GB2312" w:asciiTheme="minorEastAsia" w:hAnsiTheme="minorEastAsia" w:eastAsiaTheme="minorEastAsia"/>
          <w:color w:val="auto"/>
        </w:rPr>
        <w:t>供应商根据</w:t>
      </w:r>
      <w:r>
        <w:rPr>
          <w:rFonts w:hint="eastAsia" w:cs="仿宋_GB2312" w:asciiTheme="minorEastAsia" w:hAnsiTheme="minorEastAsia" w:eastAsiaTheme="minorEastAsia"/>
          <w:color w:val="auto"/>
        </w:rPr>
        <w:t>谈判文件、响应文件等内容通过政府采购电子交易平台在线签订，自动备案。</w:t>
      </w:r>
    </w:p>
    <w:p>
      <w:pPr>
        <w:pStyle w:val="392"/>
        <w:snapToGrid w:val="0"/>
        <w:spacing w:before="0"/>
        <w:ind w:firstLine="480"/>
        <w:rPr>
          <w:rFonts w:ascii="宋体" w:hAnsi="宋体" w:cs="宋体"/>
          <w:color w:val="auto"/>
        </w:rPr>
      </w:pPr>
      <w:r>
        <w:rPr>
          <w:rFonts w:hint="eastAsia" w:ascii="宋体" w:hAnsi="宋体" w:cs="宋体"/>
          <w:color w:val="auto"/>
        </w:rPr>
        <w:t>2.7政采贷</w:t>
      </w:r>
    </w:p>
    <w:p>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（四）贷款发放。贷款金融机构根据贷款协议向供应商发放贷款。</w:t>
      </w:r>
    </w:p>
    <w:p>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（五）按期还款。供应商获得贷款后应自觉履行政府采购合同，合同履行完毕后，采购单位根据合同约定时间和账户信息，严格按照财政资金管理的相关规定，及时将资金支付到采购合同收款账户。</w:t>
      </w:r>
    </w:p>
    <w:p>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（六）业务终止。贷款偿清后，贷款金融机构或北海市小微企业融资担保有限公司及时办理应收账款质押注销登记，业务终止。</w:t>
      </w:r>
    </w:p>
    <w:p>
      <w:pPr>
        <w:snapToGrid w:val="0"/>
        <w:spacing w:line="360" w:lineRule="auto"/>
        <w:ind w:firstLine="480" w:firstLineChars="200"/>
        <w:rPr>
          <w:rFonts w:ascii="宋体" w:hAnsi="宋体" w:cs="宋体"/>
          <w:color w:val="auto"/>
          <w:sz w:val="24"/>
          <w:szCs w:val="20"/>
        </w:rPr>
      </w:pPr>
      <w:r>
        <w:rPr>
          <w:rFonts w:hint="eastAsia" w:ascii="宋体" w:hAnsi="宋体" w:cs="宋体"/>
          <w:color w:val="auto"/>
          <w:sz w:val="24"/>
          <w:szCs w:val="20"/>
        </w:rPr>
        <w:t>注：相关合作银行的具体操作流程详见北海市政府采购中心首页“政采贷”板块。</w:t>
      </w:r>
    </w:p>
    <w:p>
      <w:pPr>
        <w:pStyle w:val="631"/>
        <w:rPr>
          <w:color w:val="auto"/>
        </w:rPr>
      </w:pPr>
      <w:r>
        <w:rPr>
          <w:rFonts w:hint="eastAsia" w:cs="宋体"/>
          <w:color w:val="auto"/>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ascii="宋体" w:hAnsi="宋体" w:cs="宋体"/>
          <w:color w:val="auto"/>
          <w:sz w:val="24"/>
          <w:szCs w:val="20"/>
        </w:rPr>
      </w:pPr>
      <w:r>
        <w:rPr>
          <w:rFonts w:hint="eastAsia" w:ascii="宋体" w:hAnsi="宋体" w:cs="宋体"/>
          <w:color w:val="auto"/>
          <w:sz w:val="24"/>
          <w:szCs w:val="20"/>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（1）有贷款需求的供应商可以访问“广西政府采购云平台-金融服务-融资服务”栏目办理有关业务（链接：</w:t>
      </w:r>
      <w:r>
        <w:rPr>
          <w:color w:val="auto"/>
        </w:rPr>
        <w:fldChar w:fldCharType="begin"/>
      </w:r>
      <w:r>
        <w:rPr>
          <w:color w:val="auto"/>
        </w:rPr>
        <w:instrText xml:space="preserve"> HYPERLINK "https://jinrong.gcy.zfcg.gxzf.gov.cn/finance/loan/gx" </w:instrText>
      </w:r>
      <w:r>
        <w:rPr>
          <w:color w:val="auto"/>
        </w:rPr>
        <w:fldChar w:fldCharType="separate"/>
      </w:r>
      <w:r>
        <w:rPr>
          <w:rFonts w:ascii="宋体" w:hAnsi="宋体"/>
          <w:color w:val="auto"/>
          <w:kern w:val="0"/>
          <w:sz w:val="24"/>
          <w:szCs w:val="20"/>
        </w:rPr>
        <w:t>https://jinrong.gcy.zfcg.gxzf.gov.cn/finance/loan/gx</w:t>
      </w:r>
      <w:r>
        <w:rPr>
          <w:rFonts w:ascii="宋体" w:hAnsi="宋体"/>
          <w:color w:val="auto"/>
          <w:kern w:val="0"/>
          <w:sz w:val="24"/>
          <w:szCs w:val="20"/>
        </w:rPr>
        <w:fldChar w:fldCharType="end"/>
      </w:r>
      <w:r>
        <w:rPr>
          <w:rFonts w:hint="eastAsia" w:ascii="宋体" w:hAnsi="宋体"/>
          <w:color w:val="auto"/>
          <w:kern w:val="0"/>
          <w:sz w:val="24"/>
          <w:szCs w:val="20"/>
        </w:rPr>
        <w:t>）</w:t>
      </w:r>
    </w:p>
    <w:p>
      <w:pPr>
        <w:snapToGrid w:val="0"/>
        <w:spacing w:line="360" w:lineRule="auto"/>
        <w:ind w:firstLine="482"/>
        <w:jc w:val="left"/>
        <w:rPr>
          <w:rFonts w:ascii="宋体" w:hAnsi="宋体"/>
          <w:color w:val="auto"/>
          <w:kern w:val="0"/>
          <w:sz w:val="24"/>
          <w:szCs w:val="20"/>
        </w:rPr>
      </w:pPr>
      <w:r>
        <w:rPr>
          <w:rFonts w:hint="eastAsia" w:ascii="宋体" w:hAnsi="宋体"/>
          <w:color w:val="auto"/>
          <w:kern w:val="0"/>
          <w:sz w:val="24"/>
          <w:szCs w:val="20"/>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银行名称</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联系电话</w:t>
            </w:r>
          </w:p>
        </w:tc>
        <w:tc>
          <w:tcPr>
            <w:tcW w:w="1701"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最高授信金额</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最长授信期限</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最低利率</w:t>
            </w:r>
          </w:p>
        </w:tc>
        <w:tc>
          <w:tcPr>
            <w:tcW w:w="3366"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建设银行</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13077729988</w:t>
            </w:r>
          </w:p>
        </w:tc>
        <w:tc>
          <w:tcPr>
            <w:tcW w:w="1701"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最高3千万</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4%</w:t>
            </w: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中国银行</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0779-3997084</w:t>
            </w:r>
          </w:p>
        </w:tc>
        <w:tc>
          <w:tcPr>
            <w:tcW w:w="1701"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3年</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1.93%</w:t>
            </w: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兴业银行</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0779-3158330</w:t>
            </w:r>
          </w:p>
        </w:tc>
        <w:tc>
          <w:tcPr>
            <w:tcW w:w="1701"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最高1千万（单笔提款金额达合同金额70%）</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3.70%</w:t>
            </w: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工商银行</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0779-3050645</w:t>
            </w:r>
          </w:p>
        </w:tc>
        <w:tc>
          <w:tcPr>
            <w:tcW w:w="1701"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最高1千万且不超过合同金额70%</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货物类1年</w:t>
            </w:r>
          </w:p>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服务类3年</w:t>
            </w:r>
          </w:p>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工程类5年</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国民村镇银行</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0779-2668801</w:t>
            </w:r>
          </w:p>
        </w:tc>
        <w:tc>
          <w:tcPr>
            <w:tcW w:w="1701"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最高500万</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5年</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2.80%</w:t>
            </w: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桂林银行</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18577993959</w:t>
            </w:r>
          </w:p>
        </w:tc>
        <w:tc>
          <w:tcPr>
            <w:tcW w:w="1701"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最高1千万</w:t>
            </w:r>
          </w:p>
        </w:tc>
        <w:tc>
          <w:tcPr>
            <w:tcW w:w="993"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1年</w:t>
            </w:r>
          </w:p>
        </w:tc>
        <w:tc>
          <w:tcPr>
            <w:tcW w:w="850"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3.45%</w:t>
            </w: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中小微商务服务公司</w:t>
            </w:r>
          </w:p>
        </w:tc>
        <w:tc>
          <w:tcPr>
            <w:tcW w:w="1134" w:type="dxa"/>
            <w:vAlign w:val="center"/>
          </w:tcPr>
          <w:p>
            <w:pPr>
              <w:snapToGrid w:val="0"/>
              <w:spacing w:line="360" w:lineRule="auto"/>
              <w:jc w:val="center"/>
              <w:rPr>
                <w:rFonts w:ascii="宋体" w:hAnsi="宋体"/>
                <w:color w:val="auto"/>
                <w:kern w:val="0"/>
                <w:sz w:val="24"/>
                <w:szCs w:val="20"/>
              </w:rPr>
            </w:pPr>
            <w:r>
              <w:rPr>
                <w:rFonts w:hint="eastAsia" w:ascii="宋体" w:hAnsi="宋体"/>
                <w:color w:val="auto"/>
                <w:kern w:val="0"/>
                <w:sz w:val="24"/>
                <w:szCs w:val="20"/>
              </w:rPr>
              <w:t>19907799988</w:t>
            </w:r>
          </w:p>
        </w:tc>
        <w:tc>
          <w:tcPr>
            <w:tcW w:w="1701" w:type="dxa"/>
            <w:vAlign w:val="center"/>
          </w:tcPr>
          <w:p>
            <w:pPr>
              <w:snapToGrid w:val="0"/>
              <w:spacing w:line="360" w:lineRule="auto"/>
              <w:jc w:val="left"/>
              <w:rPr>
                <w:rFonts w:ascii="宋体" w:hAnsi="宋体"/>
                <w:color w:val="auto"/>
                <w:kern w:val="0"/>
                <w:sz w:val="24"/>
                <w:szCs w:val="20"/>
              </w:rPr>
            </w:pPr>
          </w:p>
        </w:tc>
        <w:tc>
          <w:tcPr>
            <w:tcW w:w="993" w:type="dxa"/>
            <w:vAlign w:val="center"/>
          </w:tcPr>
          <w:p>
            <w:pPr>
              <w:snapToGrid w:val="0"/>
              <w:spacing w:line="360" w:lineRule="auto"/>
              <w:jc w:val="center"/>
              <w:rPr>
                <w:rFonts w:ascii="宋体" w:hAnsi="宋体"/>
                <w:color w:val="auto"/>
                <w:kern w:val="0"/>
                <w:sz w:val="24"/>
                <w:szCs w:val="20"/>
              </w:rPr>
            </w:pPr>
          </w:p>
        </w:tc>
        <w:tc>
          <w:tcPr>
            <w:tcW w:w="850" w:type="dxa"/>
            <w:vAlign w:val="center"/>
          </w:tcPr>
          <w:p>
            <w:pPr>
              <w:snapToGrid w:val="0"/>
              <w:spacing w:line="360" w:lineRule="auto"/>
              <w:jc w:val="center"/>
              <w:rPr>
                <w:rFonts w:ascii="宋体" w:hAnsi="宋体"/>
                <w:color w:val="auto"/>
                <w:kern w:val="0"/>
                <w:sz w:val="24"/>
                <w:szCs w:val="20"/>
              </w:rPr>
            </w:pPr>
          </w:p>
        </w:tc>
        <w:tc>
          <w:tcPr>
            <w:tcW w:w="3366" w:type="dxa"/>
            <w:vAlign w:val="center"/>
          </w:tcPr>
          <w:p>
            <w:pPr>
              <w:snapToGrid w:val="0"/>
              <w:spacing w:line="360" w:lineRule="auto"/>
              <w:jc w:val="left"/>
              <w:rPr>
                <w:rFonts w:ascii="宋体" w:hAnsi="宋体"/>
                <w:color w:val="auto"/>
                <w:kern w:val="0"/>
                <w:sz w:val="24"/>
                <w:szCs w:val="20"/>
              </w:rPr>
            </w:pPr>
            <w:r>
              <w:rPr>
                <w:rFonts w:hint="eastAsia" w:ascii="宋体" w:hAnsi="宋体"/>
                <w:color w:val="auto"/>
                <w:kern w:val="0"/>
                <w:sz w:val="24"/>
                <w:szCs w:val="20"/>
              </w:rPr>
              <w:t>具体业务可电话咨询。</w:t>
            </w:r>
          </w:p>
        </w:tc>
      </w:tr>
    </w:tbl>
    <w:p>
      <w:pPr>
        <w:pStyle w:val="631"/>
        <w:rPr>
          <w:color w:val="auto"/>
        </w:rPr>
      </w:pPr>
      <w:r>
        <w:rPr>
          <w:rFonts w:hint="eastAsia"/>
          <w:color w:val="auto"/>
        </w:rPr>
        <w:t>注：表中联系电话、授信金额、授信期限、最低利率等信息可能动态更新，仅供参考，具体以办理时相关银行公布的为准。</w:t>
      </w:r>
    </w:p>
    <w:p>
      <w:pPr>
        <w:keepNext w:val="0"/>
        <w:keepLines w:val="0"/>
        <w:pageBreakBefore w:val="0"/>
        <w:widowControl w:val="0"/>
        <w:kinsoku/>
        <w:wordWrap/>
        <w:overflowPunct/>
        <w:topLinePunct w:val="0"/>
        <w:autoSpaceDE/>
        <w:autoSpaceDN/>
        <w:bidi w:val="0"/>
        <w:snapToGrid w:val="0"/>
        <w:spacing w:line="360" w:lineRule="auto"/>
        <w:ind w:firstLine="482" w:firstLineChars="200"/>
        <w:textAlignment w:val="auto"/>
        <w:rPr>
          <w:rFonts w:ascii="宋体" w:hAnsi="宋体" w:cs="宋体"/>
          <w:color w:val="auto"/>
          <w:kern w:val="0"/>
          <w:sz w:val="24"/>
        </w:rPr>
      </w:pPr>
      <w:r>
        <w:rPr>
          <w:rFonts w:hint="eastAsia" w:asciiTheme="minorEastAsia" w:hAnsiTheme="minorEastAsia" w:eastAsiaTheme="minorEastAsia"/>
          <w:b/>
          <w:color w:val="auto"/>
          <w:sz w:val="24"/>
        </w:rPr>
        <w:t>3．履约保证金：</w:t>
      </w:r>
      <w:r>
        <w:rPr>
          <w:rFonts w:hint="eastAsia" w:ascii="宋体" w:hAnsi="宋体" w:cs="宋体"/>
          <w:b/>
          <w:color w:val="auto"/>
          <w:kern w:val="0"/>
          <w:sz w:val="24"/>
        </w:rPr>
        <w:t>本项目不收取履约保证金。成交供应商未按合同约定履行合同义务，给采购人造成损失的，按实际损失进行赔偿。</w:t>
      </w:r>
    </w:p>
    <w:p>
      <w:pPr>
        <w:pStyle w:val="631"/>
        <w:keepNext w:val="0"/>
        <w:keepLines w:val="0"/>
        <w:pageBreakBefore w:val="0"/>
        <w:widowControl w:val="0"/>
        <w:kinsoku/>
        <w:wordWrap/>
        <w:overflowPunct/>
        <w:topLinePunct w:val="0"/>
        <w:autoSpaceDE/>
        <w:autoSpaceDN/>
        <w:bidi w:val="0"/>
        <w:spacing w:line="360" w:lineRule="auto"/>
        <w:textAlignment w:val="auto"/>
        <w:rPr>
          <w:rFonts w:hint="eastAsia" w:eastAsia="宋体"/>
          <w:color w:val="auto"/>
          <w:lang w:eastAsia="zh-CN"/>
        </w:rPr>
      </w:pPr>
      <w:r>
        <w:rPr>
          <w:b/>
          <w:bCs/>
          <w:color w:val="auto"/>
        </w:rPr>
        <w:t>4.</w:t>
      </w:r>
      <w:r>
        <w:rPr>
          <w:rFonts w:hint="eastAsia"/>
          <w:b/>
          <w:bCs/>
          <w:color w:val="auto"/>
        </w:rPr>
        <w:t>预付款</w:t>
      </w:r>
      <w:r>
        <w:rPr>
          <w:rFonts w:hint="eastAsia"/>
          <w:b/>
          <w:bCs/>
          <w:color w:val="auto"/>
          <w:lang w:eastAsia="zh-CN"/>
        </w:rPr>
        <w:t>（本项目无预付款）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Times New Roman"/>
          <w:color w:val="auto"/>
          <w:kern w:val="0"/>
          <w:sz w:val="24"/>
          <w:szCs w:val="20"/>
          <w:lang w:val="en-US" w:eastAsia="zh-CN" w:bidi="ar-SA"/>
        </w:rPr>
      </w:pPr>
      <w:r>
        <w:rPr>
          <w:rFonts w:hint="eastAsia" w:ascii="宋体" w:hAnsi="宋体" w:eastAsia="宋体" w:cs="Times New Roman"/>
          <w:color w:val="auto"/>
          <w:kern w:val="0"/>
          <w:sz w:val="24"/>
          <w:szCs w:val="20"/>
          <w:lang w:val="en-US" w:eastAsia="zh-CN" w:bidi="ar-SA"/>
        </w:rPr>
        <w:t>4.1采购单位应当在政府采购合同中约定预付款，对中小企业合同预付款比例原则上不低于合同金额的30％，不高于合同金额的50%；项目分年安排预算的，每年预付款比例不低于项目年度计划支付资金额的30％，不高于合同金额的50%；采购项目实施以人工投入为主的，可适当降低预付款比例，但不得低于10%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cs="仿宋_GB2312" w:asciiTheme="minorEastAsia" w:hAnsiTheme="minorEastAsia" w:eastAsiaTheme="minorEastAsia"/>
          <w:b/>
          <w:color w:val="auto"/>
          <w:sz w:val="36"/>
          <w:szCs w:val="36"/>
        </w:rPr>
      </w:pPr>
      <w:r>
        <w:rPr>
          <w:rFonts w:hint="eastAsia" w:ascii="宋体" w:hAnsi="宋体" w:eastAsia="宋体" w:cs="Times New Roman"/>
          <w:color w:val="auto"/>
          <w:kern w:val="0"/>
          <w:sz w:val="24"/>
          <w:szCs w:val="20"/>
          <w:lang w:val="en-US" w:eastAsia="zh-CN" w:bidi="ar-SA"/>
        </w:rPr>
        <w:t>4.2供应商可登录广西政府采购云平台前台大厅选择金融服务 - 【保函保险服务】出具预付款保函，具体步骤：选择产品—填写供应商信息—选择中标项目—确认信息—等待保险/保函受理—确认保单—支付保费—成功出单。广西政府采购云平台金融专线400-903-9583。</w:t>
      </w:r>
    </w:p>
    <w:p>
      <w:pPr>
        <w:pStyle w:val="71"/>
      </w:pPr>
    </w:p>
    <w:p>
      <w:pPr>
        <w:snapToGrid w:val="0"/>
        <w:spacing w:line="360" w:lineRule="auto"/>
        <w:jc w:val="center"/>
        <w:outlineLvl w:val="1"/>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十三、验收</w:t>
      </w:r>
    </w:p>
    <w:p>
      <w:pPr>
        <w:pStyle w:val="23"/>
        <w:spacing w:line="360" w:lineRule="auto"/>
        <w:ind w:firstLine="0" w:firstLineChars="0"/>
        <w:rPr>
          <w:rFonts w:asciiTheme="minorEastAsia" w:hAnsiTheme="minorEastAsia" w:eastAsiaTheme="minorEastAsia"/>
          <w:b/>
          <w:color w:val="auto"/>
        </w:rPr>
      </w:pPr>
      <w:r>
        <w:rPr>
          <w:rFonts w:hint="eastAsia" w:asciiTheme="minorEastAsia" w:hAnsiTheme="minorEastAsia" w:eastAsiaTheme="minorEastAsia"/>
          <w:b/>
          <w:color w:val="auto"/>
        </w:rPr>
        <w:t>1.验收</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cs="仿宋_GB2312" w:asciiTheme="minorEastAsia" w:hAnsiTheme="minorEastAsia" w:eastAsiaTheme="minorEastAsia"/>
          <w:b/>
          <w:color w:val="auto"/>
          <w:sz w:val="36"/>
          <w:szCs w:val="36"/>
        </w:rPr>
      </w:pPr>
    </w:p>
    <w:p>
      <w:pPr>
        <w:snapToGrid w:val="0"/>
        <w:spacing w:line="360" w:lineRule="auto"/>
        <w:jc w:val="center"/>
        <w:outlineLvl w:val="1"/>
        <w:rPr>
          <w:rFonts w:asciiTheme="minorEastAsia" w:hAnsiTheme="minorEastAsia" w:eastAsiaTheme="minorEastAsia"/>
          <w:b/>
          <w:color w:val="auto"/>
          <w:sz w:val="24"/>
        </w:rPr>
      </w:pPr>
      <w:r>
        <w:rPr>
          <w:rFonts w:hint="eastAsia" w:cs="仿宋_GB2312" w:asciiTheme="minorEastAsia" w:hAnsiTheme="minorEastAsia" w:eastAsiaTheme="minorEastAsia"/>
          <w:b/>
          <w:color w:val="auto"/>
          <w:sz w:val="36"/>
          <w:szCs w:val="36"/>
        </w:rPr>
        <w:t>十四、电子交易活动的中止</w:t>
      </w:r>
    </w:p>
    <w:p>
      <w:pPr>
        <w:tabs>
          <w:tab w:val="left" w:pos="0"/>
        </w:tabs>
        <w:spacing w:line="360" w:lineRule="auto"/>
        <w:rPr>
          <w:rFonts w:asciiTheme="minorEastAsia" w:hAnsiTheme="minorEastAsia" w:eastAsiaTheme="minorEastAsia"/>
          <w:b/>
          <w:color w:val="auto"/>
          <w:sz w:val="24"/>
        </w:rPr>
      </w:pPr>
      <w:r>
        <w:rPr>
          <w:rFonts w:hint="eastAsia" w:asciiTheme="minorEastAsia" w:hAnsiTheme="minorEastAsia" w:eastAsiaTheme="minorEastAsia"/>
          <w:b/>
          <w:color w:val="auto"/>
          <w:sz w:val="24"/>
        </w:rPr>
        <w:t>1. 电子交易活动的中止</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1.1电子交易平台发生故障而无法登录访问的； </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1.2电子交易平台应用或数据库出现错误，不能进行正常操作的；</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1.3电子交易平台发现严重安全漏洞，有潜在泄密危险的；</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 xml:space="preserve">1.4病毒发作导致不能进行正常操作的； </w:t>
      </w:r>
    </w:p>
    <w:p>
      <w:pPr>
        <w:tabs>
          <w:tab w:val="left" w:pos="0"/>
        </w:tabs>
        <w:spacing w:line="360" w:lineRule="auto"/>
        <w:ind w:firstLine="480"/>
        <w:rPr>
          <w:rFonts w:cs="Helvetica" w:asciiTheme="minorEastAsia" w:hAnsiTheme="minorEastAsia" w:eastAsiaTheme="minorEastAsia"/>
          <w:color w:val="auto"/>
          <w:kern w:val="0"/>
          <w:sz w:val="24"/>
        </w:rPr>
      </w:pPr>
      <w:r>
        <w:rPr>
          <w:rFonts w:hint="eastAsia" w:cs="Helvetica" w:asciiTheme="minorEastAsia" w:hAnsiTheme="minorEastAsia" w:eastAsiaTheme="minorEastAsia"/>
          <w:color w:val="auto"/>
          <w:kern w:val="0"/>
          <w:sz w:val="24"/>
        </w:rPr>
        <w:t>1.5其他无法保证电子交易的公平、公正和安全的情况。</w:t>
      </w:r>
    </w:p>
    <w:p>
      <w:pPr>
        <w:tabs>
          <w:tab w:val="left" w:pos="0"/>
        </w:tabs>
        <w:spacing w:line="360" w:lineRule="auto"/>
        <w:rPr>
          <w:rFonts w:cs="Helvetica" w:asciiTheme="minorEastAsia" w:hAnsiTheme="minorEastAsia" w:eastAsiaTheme="minorEastAsia"/>
          <w:color w:val="auto"/>
          <w:kern w:val="0"/>
          <w:sz w:val="24"/>
        </w:rPr>
      </w:pPr>
      <w:r>
        <w:rPr>
          <w:rFonts w:hint="eastAsia" w:cs="Helvetica" w:asciiTheme="minorEastAsia" w:hAnsiTheme="minorEastAsia" w:eastAsiaTheme="minorEastAsia"/>
          <w:b/>
          <w:color w:val="auto"/>
          <w:kern w:val="0"/>
          <w:sz w:val="24"/>
        </w:rPr>
        <w:t>2.</w:t>
      </w:r>
      <w:r>
        <w:rPr>
          <w:rFonts w:hint="eastAsia" w:cs="Helvetica" w:asciiTheme="minorEastAsia" w:hAnsiTheme="minorEastAsia" w:eastAsiaTheme="minorEastAsia"/>
          <w:color w:val="auto"/>
          <w:kern w:val="0"/>
          <w:sz w:val="24"/>
        </w:rPr>
        <w:t>出现以上情形，不影响采购公平、公正性的，采购组织机构可以待上述情形消除后继续组织电子交易活动，也可以决定某些环节以纸质形式进行；影响或可能影响采购公平、公正性的，应当重新采购。</w:t>
      </w:r>
      <w:bookmarkEnd w:id="11"/>
      <w:bookmarkStart w:id="74" w:name="_Hlt75236290"/>
      <w:bookmarkEnd w:id="74"/>
      <w:bookmarkStart w:id="75" w:name="_Hlt74707468"/>
      <w:bookmarkEnd w:id="75"/>
      <w:bookmarkStart w:id="76" w:name="_Hlt74729768"/>
      <w:bookmarkEnd w:id="76"/>
      <w:bookmarkStart w:id="77" w:name="_Hlt68057669"/>
      <w:bookmarkEnd w:id="77"/>
      <w:bookmarkStart w:id="78" w:name="_Hlt68072990"/>
      <w:bookmarkEnd w:id="78"/>
      <w:bookmarkStart w:id="79" w:name="_Hlt75236011"/>
      <w:bookmarkEnd w:id="79"/>
      <w:bookmarkStart w:id="80" w:name="_Hlt74730295"/>
      <w:bookmarkEnd w:id="80"/>
      <w:bookmarkStart w:id="81" w:name="_Hlt74714665"/>
      <w:bookmarkEnd w:id="81"/>
      <w:bookmarkStart w:id="82" w:name="_Hlt75236101"/>
      <w:bookmarkEnd w:id="82"/>
      <w:bookmarkStart w:id="83" w:name="第三部分"/>
      <w:bookmarkStart w:id="84" w:name="_Toc164416483"/>
    </w:p>
    <w:p>
      <w:pPr>
        <w:snapToGrid w:val="0"/>
        <w:spacing w:line="360" w:lineRule="auto"/>
        <w:ind w:left="120" w:leftChars="57" w:firstLine="482" w:firstLineChars="150"/>
        <w:jc w:val="center"/>
        <w:outlineLvl w:val="1"/>
        <w:rPr>
          <w:rFonts w:ascii="宋体" w:hAnsi="宋体" w:cs="宋体"/>
          <w:b/>
          <w:color w:val="auto"/>
          <w:sz w:val="32"/>
        </w:rPr>
      </w:pPr>
      <w:r>
        <w:rPr>
          <w:rFonts w:hint="eastAsia" w:ascii="宋体" w:hAnsi="宋体" w:cs="宋体"/>
          <w:b/>
          <w:color w:val="auto"/>
          <w:sz w:val="32"/>
        </w:rPr>
        <w:t>十五、代理费用的收取标准和方式</w:t>
      </w:r>
    </w:p>
    <w:p>
      <w:pPr>
        <w:pStyle w:val="23"/>
        <w:spacing w:line="360" w:lineRule="auto"/>
        <w:ind w:firstLine="0" w:firstLineChars="0"/>
        <w:rPr>
          <w:rFonts w:cs="宋体"/>
          <w:b/>
          <w:color w:val="auto"/>
        </w:rPr>
      </w:pPr>
      <w:r>
        <w:rPr>
          <w:rFonts w:hint="eastAsia" w:cs="宋体"/>
          <w:b/>
          <w:color w:val="auto"/>
          <w:lang w:eastAsia="zh-CN"/>
        </w:rPr>
        <w:t>本项目</w:t>
      </w:r>
      <w:r>
        <w:rPr>
          <w:rFonts w:hint="eastAsia" w:cs="宋体"/>
          <w:b/>
          <w:color w:val="auto"/>
        </w:rPr>
        <w:t>不收取</w:t>
      </w:r>
      <w:r>
        <w:rPr>
          <w:rFonts w:hint="eastAsia" w:cs="宋体"/>
          <w:b/>
          <w:color w:val="auto"/>
          <w:lang w:eastAsia="zh-CN"/>
        </w:rPr>
        <w:t>招标代理服务费</w:t>
      </w:r>
      <w:r>
        <w:rPr>
          <w:rFonts w:hint="eastAsia" w:cs="宋体"/>
          <w:b/>
          <w:color w:val="auto"/>
        </w:rPr>
        <w:t>。</w:t>
      </w:r>
    </w:p>
    <w:p>
      <w:pPr>
        <w:snapToGrid w:val="0"/>
        <w:spacing w:line="360" w:lineRule="auto"/>
        <w:ind w:firstLine="723" w:firstLineChars="200"/>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pPr>
        <w:adjustRightInd/>
        <w:spacing w:line="360" w:lineRule="auto"/>
        <w:jc w:val="center"/>
        <w:outlineLvl w:val="0"/>
        <w:rPr>
          <w:rFonts w:cs="仿宋_GB2312" w:asciiTheme="minorEastAsia" w:hAnsiTheme="minorEastAsia" w:eastAsiaTheme="minorEastAsia"/>
          <w:b/>
          <w:color w:val="auto"/>
          <w:sz w:val="36"/>
          <w:szCs w:val="36"/>
        </w:rPr>
      </w:pPr>
      <w:bookmarkStart w:id="85" w:name="_Toc181265284"/>
      <w:r>
        <w:rPr>
          <w:rFonts w:hint="eastAsia" w:cs="仿宋_GB2312" w:asciiTheme="minorEastAsia" w:hAnsiTheme="minorEastAsia" w:eastAsiaTheme="minorEastAsia"/>
          <w:b/>
          <w:color w:val="auto"/>
          <w:sz w:val="36"/>
          <w:szCs w:val="36"/>
        </w:rPr>
        <w:t>第四部分  采购需求</w:t>
      </w:r>
      <w:bookmarkEnd w:id="85"/>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rPr>
      </w:pPr>
      <w:r>
        <w:rPr>
          <w:rFonts w:hint="eastAsia" w:ascii="宋体" w:hAnsi="宋体" w:cs="宋体"/>
          <w:bCs/>
          <w:color w:val="auto"/>
          <w:sz w:val="24"/>
        </w:rPr>
        <w:t>说明：</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rPr>
      </w:pPr>
      <w:r>
        <w:rPr>
          <w:rFonts w:hint="eastAsia" w:ascii="宋体" w:hAnsi="宋体" w:cs="宋体"/>
          <w:bCs/>
          <w:color w:val="auto"/>
          <w:sz w:val="24"/>
        </w:rPr>
        <w:t>1.下表中的品牌型号、技术参数仅起参考作用，供应商可选用其他品牌型号替代，但这些替代的产品要实质上相当于或优于参考品牌型号及其技术参数性能（配置）要求。</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rPr>
      </w:pPr>
      <w:r>
        <w:rPr>
          <w:rFonts w:hint="eastAsia" w:ascii="宋体" w:hAnsi="宋体" w:cs="宋体"/>
          <w:bCs/>
          <w:color w:val="auto"/>
          <w:sz w:val="24"/>
        </w:rPr>
        <w:t>2.本项目一览表中参考品牌型号及技术参数性能（配置）不明确或有误的，或供应商选用其他品牌型号替代的，请以详细、正确的品牌型号、技术参数性能配置填写报价表和技术规格偏离表。供应商须根据技术参数及性能配置要求提供对应的技术响应偏离表。</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rPr>
      </w:pPr>
      <w:r>
        <w:rPr>
          <w:rFonts w:hint="eastAsia" w:ascii="宋体" w:hAnsi="宋体" w:cs="宋体"/>
          <w:bCs/>
          <w:color w:val="auto"/>
          <w:sz w:val="24"/>
        </w:rPr>
        <w:t>3.按财政部发展改革委生态环境部市场监管总局《关于调整优化节能产品、环境标志产品政府采购执行机制的通知》财库〔2019〕9号文件要求，如发布有政府采购节能产品品目清单中规定为政府强制采购的节能产品，（品目清单请从中国政府采购网www.ccgp.gov.cn查询），谈判响应产品必须满足文件的相关规定。谈判时须提供国家确定的认证机构出具的、处于有效期之内的有效的节能产品认证证书复印件并加盖供应商公章，不提供视为无效谈判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rPr>
      </w:pPr>
      <w:r>
        <w:rPr>
          <w:rFonts w:hint="eastAsia" w:ascii="宋体" w:hAnsi="宋体" w:cs="宋体"/>
          <w:bCs/>
          <w:color w:val="auto"/>
          <w:sz w:val="24"/>
        </w:rPr>
        <w:t>4.谈判响应产品属于《市场监管总局关于发布强制性产品认证目录描述与界定表的公告》（2023年第36号 ）规定的《强制性产品认证目录》及《强制性产品认证目录描述与界定表（2023年修订）》规定范围 内的，</w:t>
      </w:r>
      <w:r>
        <w:rPr>
          <w:rFonts w:hint="eastAsia" w:ascii="宋体" w:hAnsi="宋体" w:cs="宋体"/>
          <w:bCs/>
          <w:color w:val="auto"/>
          <w:sz w:val="24"/>
          <w:lang w:eastAsia="zh-CN"/>
        </w:rPr>
        <w:t>谈判时</w:t>
      </w:r>
      <w:r>
        <w:rPr>
          <w:rFonts w:hint="eastAsia" w:ascii="宋体" w:hAnsi="宋体" w:cs="宋体"/>
          <w:bCs/>
          <w:color w:val="auto"/>
          <w:sz w:val="24"/>
        </w:rPr>
        <w:t>供应商应提供该产品相关的强制性产品认证证书，不提供视为无效投标处理。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rPr>
      </w:pPr>
      <w:r>
        <w:rPr>
          <w:rFonts w:hint="eastAsia" w:ascii="宋体" w:hAnsi="宋体" w:cs="宋体"/>
          <w:bCs/>
          <w:color w:val="auto"/>
          <w:sz w:val="24"/>
        </w:rPr>
        <w:t>5.谈判响应产品属于《国务院关于调整完善工业产品生产许可证管理目录的决定》（国发〔2024〕11号）规定的《实施工业产品生产许可证管理的产品目录》规定范围内的，</w:t>
      </w:r>
      <w:r>
        <w:rPr>
          <w:rFonts w:hint="eastAsia" w:ascii="宋体" w:hAnsi="宋体" w:cs="宋体"/>
          <w:bCs/>
          <w:color w:val="auto"/>
          <w:sz w:val="24"/>
          <w:lang w:eastAsia="zh-CN"/>
        </w:rPr>
        <w:t>谈判时</w:t>
      </w:r>
      <w:r>
        <w:rPr>
          <w:rFonts w:hint="eastAsia" w:ascii="宋体" w:hAnsi="宋体" w:cs="宋体"/>
          <w:bCs/>
          <w:color w:val="auto"/>
          <w:sz w:val="24"/>
        </w:rPr>
        <w:t>供应商应提供该产品相关的工业产品生产许可证证书，不提供视为无效投标处理。</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6.</w:t>
      </w:r>
      <w:bookmarkStart w:id="86" w:name="OLE_LINK60"/>
      <w:r>
        <w:rPr>
          <w:rFonts w:hint="eastAsia" w:ascii="宋体" w:hAnsi="宋体" w:cs="宋体"/>
          <w:bCs/>
          <w:color w:val="auto"/>
          <w:sz w:val="24"/>
          <w:highlight w:val="none"/>
        </w:rPr>
        <w:t>本项目的</w:t>
      </w:r>
      <w:bookmarkStart w:id="87" w:name="OLE_LINK114"/>
      <w:bookmarkStart w:id="88" w:name="OLE_LINK115"/>
      <w:r>
        <w:rPr>
          <w:rFonts w:hint="eastAsia" w:ascii="宋体" w:hAnsi="宋体" w:cs="宋体"/>
          <w:bCs/>
          <w:color w:val="auto"/>
          <w:sz w:val="24"/>
          <w:highlight w:val="none"/>
        </w:rPr>
        <w:t>预算金额</w:t>
      </w:r>
      <w:bookmarkEnd w:id="87"/>
      <w:bookmarkEnd w:id="88"/>
      <w:r>
        <w:rPr>
          <w:rFonts w:hint="eastAsia" w:ascii="宋体" w:hAnsi="宋体" w:cs="宋体"/>
          <w:bCs/>
          <w:color w:val="auto"/>
          <w:sz w:val="24"/>
          <w:highlight w:val="none"/>
        </w:rPr>
        <w:t>为（人民币）：</w:t>
      </w:r>
      <w:r>
        <w:rPr>
          <w:rFonts w:hint="eastAsia" w:ascii="宋体" w:hAnsi="宋体" w:cs="宋体"/>
          <w:bCs/>
          <w:color w:val="auto"/>
          <w:sz w:val="24"/>
          <w:highlight w:val="none"/>
          <w:u w:val="single"/>
          <w:lang w:eastAsia="zh-CN"/>
        </w:rPr>
        <w:t>1,050,000.00</w:t>
      </w:r>
      <w:r>
        <w:rPr>
          <w:rFonts w:hint="eastAsia" w:ascii="宋体" w:hAnsi="宋体" w:cs="宋体"/>
          <w:bCs/>
          <w:color w:val="auto"/>
          <w:sz w:val="24"/>
          <w:highlight w:val="none"/>
        </w:rPr>
        <w:t>元，报价超过预算金额的谈判无效。</w:t>
      </w:r>
      <w:bookmarkEnd w:id="86"/>
      <w:r>
        <w:rPr>
          <w:rFonts w:hint="eastAsia" w:ascii="宋体" w:hAnsi="宋体" w:cs="宋体"/>
          <w:bCs/>
          <w:color w:val="auto"/>
          <w:sz w:val="24"/>
          <w:highlight w:val="none"/>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7. 根据《关于印发中小企业划型标准规定的通知》（工信部联企业〔2011〕300号）规定的划分标准，本项目采购所有标的对应的中小企业划分标准所属行业为</w:t>
      </w:r>
      <w:r>
        <w:rPr>
          <w:rFonts w:hint="eastAsia" w:ascii="宋体" w:hAnsi="宋体" w:cs="宋体"/>
          <w:bCs/>
          <w:color w:val="auto"/>
          <w:sz w:val="24"/>
          <w:highlight w:val="none"/>
          <w:u w:val="single"/>
        </w:rPr>
        <w:t>工业</w:t>
      </w:r>
      <w:r>
        <w:rPr>
          <w:rFonts w:hint="eastAsia" w:ascii="宋体" w:hAnsi="宋体" w:cs="宋体"/>
          <w:bCs/>
          <w:color w:val="auto"/>
          <w:sz w:val="24"/>
          <w:highlight w:val="none"/>
        </w:rPr>
        <w:t>。</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ascii="宋体" w:hAnsi="宋体" w:cs="宋体"/>
          <w:bCs/>
          <w:color w:val="auto"/>
          <w:sz w:val="24"/>
          <w:highlight w:val="none"/>
        </w:rPr>
      </w:pPr>
      <w:r>
        <w:rPr>
          <w:rFonts w:hint="eastAsia" w:ascii="宋体" w:hAnsi="宋体" w:cs="宋体"/>
          <w:bCs/>
          <w:color w:val="auto"/>
          <w:sz w:val="24"/>
          <w:highlight w:val="none"/>
        </w:rPr>
        <w:t>8.本项目的</w:t>
      </w:r>
      <w:r>
        <w:rPr>
          <w:rFonts w:hint="eastAsia" w:ascii="宋体" w:hAnsi="宋体" w:cs="宋体"/>
          <w:b/>
          <w:bCs/>
          <w:color w:val="auto"/>
          <w:sz w:val="24"/>
          <w:highlight w:val="none"/>
        </w:rPr>
        <w:t>核心产品</w:t>
      </w:r>
      <w:r>
        <w:rPr>
          <w:rFonts w:hint="eastAsia" w:ascii="宋体" w:hAnsi="宋体" w:cs="宋体"/>
          <w:bCs/>
          <w:color w:val="auto"/>
          <w:sz w:val="24"/>
          <w:highlight w:val="none"/>
        </w:rPr>
        <w:t>为下表的：</w:t>
      </w:r>
      <w:bookmarkStart w:id="89" w:name="OLE_LINK22"/>
      <w:bookmarkStart w:id="90" w:name="OLE_LINK21"/>
      <w:r>
        <w:rPr>
          <w:rFonts w:hint="eastAsia" w:ascii="宋体" w:hAnsi="宋体" w:cs="宋体"/>
          <w:bCs/>
          <w:color w:val="auto"/>
          <w:sz w:val="24"/>
          <w:highlight w:val="none"/>
        </w:rPr>
        <w:t>学生控制终端。</w:t>
      </w:r>
      <w:bookmarkEnd w:id="89"/>
      <w:bookmarkEnd w:id="90"/>
      <w:r>
        <w:rPr>
          <w:rFonts w:hint="eastAsia" w:ascii="宋体" w:hAnsi="宋体" w:cs="宋体"/>
          <w:bCs/>
          <w:color w:val="auto"/>
          <w:sz w:val="24"/>
          <w:highlight w:val="none"/>
        </w:rPr>
        <w:t>非单一产品采购项目中，多家谈判供应商提供的核心产品品牌相同的，视为提供相同品牌产品。</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cs="宋体"/>
          <w:bCs/>
          <w:color w:val="auto"/>
          <w:sz w:val="24"/>
        </w:rPr>
      </w:pPr>
      <w:r>
        <w:rPr>
          <w:rFonts w:hint="eastAsia" w:ascii="宋体" w:hAnsi="宋体" w:cs="宋体"/>
          <w:bCs/>
          <w:color w:val="auto"/>
          <w:sz w:val="24"/>
        </w:rPr>
        <w:t>9. “</w:t>
      </w:r>
      <w:bookmarkStart w:id="91" w:name="OLE_LINK8"/>
      <w:r>
        <w:rPr>
          <w:rFonts w:hint="eastAsia" w:ascii="宋体" w:hAnsi="宋体" w:cs="宋体"/>
          <w:bCs/>
          <w:color w:val="auto"/>
          <w:sz w:val="24"/>
        </w:rPr>
        <w:t>▲</w:t>
      </w:r>
      <w:bookmarkEnd w:id="91"/>
      <w:r>
        <w:rPr>
          <w:rFonts w:hint="eastAsia" w:ascii="宋体" w:hAnsi="宋体" w:cs="宋体"/>
          <w:bCs/>
          <w:color w:val="auto"/>
          <w:sz w:val="24"/>
        </w:rPr>
        <w:t>” 系指实质性要求条款， “※”系指谈判过程中可能实质性变动的内容（如有）。 采购需求一览表中标注“▲”的详细技术参数及配备要求、商务要求必须响应满足或优于，否则谈判无效。</w:t>
      </w:r>
    </w:p>
    <w:p>
      <w:pPr>
        <w:pStyle w:val="71"/>
        <w:rPr>
          <w:color w:val="auto"/>
        </w:rPr>
      </w:pPr>
    </w:p>
    <w:tbl>
      <w:tblPr>
        <w:tblStyle w:val="6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145"/>
        <w:gridCol w:w="682"/>
        <w:gridCol w:w="712"/>
        <w:gridCol w:w="6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639" w:type="dxa"/>
            <w:gridSpan w:val="5"/>
            <w:shd w:val="clear" w:color="000000" w:fill="FFFFFF"/>
            <w:vAlign w:val="center"/>
          </w:tcPr>
          <w:p>
            <w:pPr>
              <w:widowControl/>
              <w:adjustRightInd/>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技术参数要求表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421"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序号</w:t>
            </w:r>
          </w:p>
        </w:tc>
        <w:tc>
          <w:tcPr>
            <w:tcW w:w="1145"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名称</w:t>
            </w:r>
          </w:p>
        </w:tc>
        <w:tc>
          <w:tcPr>
            <w:tcW w:w="682"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单位</w:t>
            </w:r>
          </w:p>
        </w:tc>
        <w:tc>
          <w:tcPr>
            <w:tcW w:w="712"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数量</w:t>
            </w:r>
          </w:p>
        </w:tc>
        <w:tc>
          <w:tcPr>
            <w:tcW w:w="6679" w:type="dxa"/>
            <w:shd w:val="clear" w:color="000000" w:fill="FFFFFF"/>
            <w:vAlign w:val="center"/>
          </w:tcPr>
          <w:p>
            <w:pPr>
              <w:widowControl/>
              <w:adjustRightInd/>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多媒体电子教室教学系统</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▲1.登录方式多样性：支持账号/密码和手机微信扫码两种登录方式。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2.设备管理：可实现实时监控学生机画面、以及进行统一的教学管理，文件共享和回收。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3.人员管理：学校超级管理员可以添加教师和管理员的角色，添加之后管理员能够绑定设备和进行正常的授课工作，教师只能在终端应用软件进行授课操作。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4.教师云空间：支持老师自定义上传、存储文件内容。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支持上传的格式有：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文档：ppt、pptx、word、pdf;</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图片：bmp、png、jpg、jpeg、gif;</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音视频：mp3、wav、ogg、aac、mp4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5.教师广播：不需要借助任何外接设备，支持将教师机的画面以及声音广播给全班学生。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6.学生演示：支持老师将指定学生的屏幕画面广播给其他所有学生，同时老师也能看到该指定学生的屏幕图像。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▲7.下发课堂活动：在开启授课时支持教师发起不低于4种课堂活动，支持学生拖动答案进行作答，系统将自动判断是否正确。（</w:t>
            </w:r>
            <w:r>
              <w:rPr>
                <w:rFonts w:hint="eastAsia" w:ascii="宋体" w:hAnsi="宋体" w:cs="宋体"/>
                <w:i w:val="0"/>
                <w:iCs w:val="0"/>
                <w:color w:val="auto"/>
                <w:kern w:val="0"/>
                <w:sz w:val="21"/>
                <w:szCs w:val="21"/>
                <w:highlight w:val="none"/>
                <w:u w:val="none"/>
                <w:lang w:val="en-US" w:eastAsia="zh-CN" w:bidi="ar"/>
              </w:rPr>
              <w:t>谈判时</w:t>
            </w:r>
            <w:r>
              <w:rPr>
                <w:rFonts w:hint="eastAsia" w:ascii="宋体" w:hAnsi="宋体" w:eastAsia="宋体" w:cs="宋体"/>
                <w:i w:val="0"/>
                <w:iCs w:val="0"/>
                <w:color w:val="auto"/>
                <w:kern w:val="0"/>
                <w:sz w:val="21"/>
                <w:szCs w:val="21"/>
                <w:highlight w:val="none"/>
                <w:u w:val="none"/>
                <w:lang w:val="en-US" w:eastAsia="zh-CN" w:bidi="ar"/>
              </w:rPr>
              <w:t>须提供国家认可的第三方检测机构出具的关于该功能检测报告复印件）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▲8.课堂活动作答：支持学生在完成教师下发的课堂活动时，查看自己的排名、耗时以及答题情况。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9.学生未进入课堂通知：支持在管理后台录入学生名单后，教师选择授课班级，学生在开课后输入个人姓名即可完成班级点名签到，当未签到人数低于6人时会自动显示未进入课堂的学生名单。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10.切换课堂通知：当课堂通知大于或等于2条时，支持用户手动切换查看。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▲11.教学白板课件同步：支持同步教学白板软件的课件内容，支持按照大小、更新时间进行排序，支持按照按照文件类型进行筛选。（</w:t>
            </w:r>
            <w:r>
              <w:rPr>
                <w:rFonts w:hint="eastAsia" w:ascii="宋体" w:hAnsi="宋体" w:cs="宋体"/>
                <w:i w:val="0"/>
                <w:iCs w:val="0"/>
                <w:color w:val="auto"/>
                <w:kern w:val="0"/>
                <w:sz w:val="21"/>
                <w:szCs w:val="21"/>
                <w:highlight w:val="none"/>
                <w:u w:val="none"/>
                <w:lang w:val="en-US" w:eastAsia="zh-CN" w:bidi="ar"/>
              </w:rPr>
              <w:t>谈判时</w:t>
            </w:r>
            <w:r>
              <w:rPr>
                <w:rFonts w:hint="eastAsia" w:ascii="宋体" w:hAnsi="宋体" w:eastAsia="宋体" w:cs="宋体"/>
                <w:i w:val="0"/>
                <w:iCs w:val="0"/>
                <w:color w:val="auto"/>
                <w:kern w:val="0"/>
                <w:sz w:val="21"/>
                <w:szCs w:val="21"/>
                <w:highlight w:val="none"/>
                <w:u w:val="none"/>
                <w:lang w:val="en-US" w:eastAsia="zh-CN" w:bidi="ar"/>
              </w:rPr>
              <w:t>须提供国家认可的第三方检测机构出具的关于该功能检测报告复印件）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12.文件上传：支持上传“本地文件”到终端应用软件的教师云空间。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▲13.文件共享：支持教师把云空间的文件批量共享给指定的多个授课班级，资料被删除后文件仍可重新下载。支持教师把已共享的资料进行取消共享。（</w:t>
            </w:r>
            <w:r>
              <w:rPr>
                <w:rFonts w:hint="eastAsia" w:ascii="宋体" w:hAnsi="宋体" w:cs="宋体"/>
                <w:i w:val="0"/>
                <w:iCs w:val="0"/>
                <w:color w:val="auto"/>
                <w:kern w:val="0"/>
                <w:sz w:val="21"/>
                <w:szCs w:val="21"/>
                <w:highlight w:val="none"/>
                <w:u w:val="none"/>
                <w:lang w:val="en-US" w:eastAsia="zh-CN" w:bidi="ar"/>
              </w:rPr>
              <w:t>谈判时</w:t>
            </w:r>
            <w:r>
              <w:rPr>
                <w:rFonts w:hint="eastAsia" w:ascii="宋体" w:hAnsi="宋体" w:eastAsia="宋体" w:cs="宋体"/>
                <w:i w:val="0"/>
                <w:iCs w:val="0"/>
                <w:color w:val="auto"/>
                <w:kern w:val="0"/>
                <w:sz w:val="21"/>
                <w:szCs w:val="21"/>
                <w:highlight w:val="none"/>
                <w:u w:val="none"/>
                <w:lang w:val="en-US" w:eastAsia="zh-CN" w:bidi="ar"/>
              </w:rPr>
              <w:t>须提供国家认可的第三方检测机构出具的关于该功能检测报告复印件）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14.授课班级状态：当作业空间存在多个班级的时候，支持显示当前正在授课班级。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15.文件查看：当开启需输入姓名进入课堂功能时，系统支持按照班级学生的姓名归档查看学生提交的作业文件。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▲16.导入文件共享：支持教师直接把“我的文件”内容导入共享给班级学生。（</w:t>
            </w:r>
            <w:r>
              <w:rPr>
                <w:rFonts w:hint="eastAsia" w:ascii="宋体" w:hAnsi="宋体" w:cs="宋体"/>
                <w:i w:val="0"/>
                <w:iCs w:val="0"/>
                <w:color w:val="auto"/>
                <w:kern w:val="0"/>
                <w:sz w:val="21"/>
                <w:szCs w:val="21"/>
                <w:highlight w:val="none"/>
                <w:u w:val="none"/>
                <w:lang w:val="en-US" w:eastAsia="zh-CN" w:bidi="ar"/>
              </w:rPr>
              <w:t>谈判时</w:t>
            </w:r>
            <w:r>
              <w:rPr>
                <w:rFonts w:hint="eastAsia" w:ascii="宋体" w:hAnsi="宋体" w:eastAsia="宋体" w:cs="宋体"/>
                <w:i w:val="0"/>
                <w:iCs w:val="0"/>
                <w:color w:val="auto"/>
                <w:kern w:val="0"/>
                <w:sz w:val="21"/>
                <w:szCs w:val="21"/>
                <w:highlight w:val="none"/>
                <w:u w:val="none"/>
                <w:lang w:val="en-US" w:eastAsia="zh-CN" w:bidi="ar"/>
              </w:rPr>
              <w:t>须提供国家认可的第三方检测机构出具的关于该功能检测报告复印件）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17.黑屏管控：教师可以选定学生执行黑屏操作。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18.离线自动黑屏：支持教师统一配置授课是否开启离线黑屏。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学生控制终端</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110</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▲一、CPU规格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1.CPU内核≥  8  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2.主频≥  2.7 GHz；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3.末级缓存容量≥  8  MB；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4.CPU PCle通道总数≥  16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5.CPU线程≥  8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6.CPU基本功率≥  70  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7.CPU芯片应符合 GM/T 0008的相关规定，或芯片密码模块应符合 GB/T 37092或 GM/T 0028 的相关规定，通过商用密码检测机构检测并经商用密码认证机构认证合格；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8.符合安全可靠测评要求，通过中国信息安全测评中心和国家保密科技测评中心网站查看安全可靠测评结果。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▲二、内存规格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1.内存类型支持  DDR4/LPDDR4/LPDDR4X及以上内存类型；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2.内存条配置数量（板载内存不涉及.≥  1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3.内存读写速率≥  2666  MT/s；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4.内存总容量≥ 8  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5.单条内存容量≥  8  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▲三、主板规格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1.主板集成模块集成资源扩展模块、计算处理模块、音频扩展模块等，主板的互联拓扑可通过处理器或交换电路实现；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2.主板支持的 CPU和内存情况：≥8核8线程，主频≥2.7GHz，末级缓存≥2MB，内存≥双通道DDR4-2666，设计功耗≥70W，位宽≥64位；内存条数量≥1；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3.主板内置PCIe 插槽数量≥  2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4.内存扩展接口（板载内存不涉及.≥  2  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5.主板 USB支持瞬间过流保护功能；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6.支持防静电保护功能；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接口，应具备外接标准USB设备、显示器、音频设备等内外部设备能力；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8.特殊孔位及接口：接口工作电压 5V，最大过电流应不小于 3A，预留多功能导入装置板卡安装孔位，采用内置方式与主机一体化集成，容量不小于 145mm×125mm×16.5mm （长×宽×高.（±5mm.；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9.主板其他内置接口：供应商给出相关 SATA、M.2、USB 接口数量及占用状态；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10.单内存插槽最大可支持容量（板载内存不涉及.≥ 8GB；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11.内存插槽满配时提供的最高内存总容量≥16GB。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▲四、存储设备规格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1.固态盘数量：≥1 个；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2.固态存储容量：≥512GB；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3.固态存储形态：采用插卡或板载等形态，可选用符合M.2或2.5寸SATA或mSATA等标准的插卡形态；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4.存储设备其他参数要求：a)固态盘应符合SJ/T 11654相关规定；b)机械硬盘准备时间应不大于30s；侧面固定螺丝孔数量可为 4 孔或 6 孔；工作状态环境温度应满足5℃-55℃；其它参数应符合GB/T 12628相关规定。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▲五、显卡规格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1.显卡类型：集成显卡；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▲六、显示设备规格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1.显示屏屏占比≥  80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2.显示屏分辨率≥  1920x1080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3.显示屏尺寸≥  21.5 英寸；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4.显示屏屏幕比例：  16:9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5.显示器外观颜色： 黑色/白色/银色等商务色系等；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6.显示屏支持防蓝光模式，蓝光加权辐射亮度比应≤  0.0012  W/（·cd·sr.（瓦每坎特拉每球面度.可参照 SJ/T11841.2.2-2022标准；显示屏应支持低频闪≤  -35  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7.显示屏镜面反射率≤  10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8.显示屏刷新率≥  75  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9.显示屏位深≥  8  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10.显示屏色域≥  90%   DCI-P3；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11.显示屏色准△E ≤  4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12.显示屏响应时间≤  8  ms；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13.显示屏亮度≥  250  尼特；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14.显示屏亮度一致性≥  70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15.显示屏对比度≥  500：1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16.显示器接口应与显卡外接显示接口匹配；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17.显示器参数调节：提供 OSD 选单按钮用于调节色彩、模式等，支持色温、亮度、对比度调节；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18.显示屏其他参数应符合 SJ/T 11292 的相关规定。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▲七、外设规格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1.鼠标数量：≥1个；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2.键盘数量：≥1个；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3.键盘按键数目：104键；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4.键盘连接方式：有线；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5.键盘键程：2.3mm～4.0mm；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6.键盘按键压力：按键压力应在0.54N±0.14N；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7.有线键盘连接线：≥1.5米；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8.键盘颜色：黑色；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9.鼠标连接方式：有线；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10.有线鼠标连接线：≥1.5米；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11.鼠标DPI分辨率：800～1600；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12.鼠标颜色：黑色；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13.鼠标其他要求：其它参数应符合 GB/T 26245-2010 的相关规定；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▲八、网络设备规格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有线网卡数量：≥1；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▲九、外部接口规格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1.USB 接口数量：机箱前面板应提供不少于 3 个 USB 接口（含2 个 USB3.0 及以上接口），且支持在关机状态下对外供电；机箱后面板应提供不少于 4 个 USB 接口（含2个 USB3.0 及以上接口）；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2.视频接口数量：≥1；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3.音频接口数量：≥1；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▲十、整机基础规格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1.整机外观：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 产品表面不应有凹痕、划伤、裂缝、变形和污染等。表面涂层均匀，不应起泡、龟裂、脱落和磨损，金属零部件无锈蚀及其它机械损伤；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 产品表面说明功能的文字、符号、标志，应清晰、端正、牢固；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2.状态指示灯：在产品显著位置提供状态指示功能；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3.整机结构：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 机箱应符合 GB/T 4208-2017、GB/T 26246-2010的相关规定；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 产品内部结构应符合通用部件的安装需求；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 所有输入输出接口应符合相关国家或行业标准；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 产品零部件应紧固无松动，可插拔部件应可靠连接，开关、按钮和其它控制部件应灵活可靠，布局应方便使用；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 所有 I/O 连接器及需插接线缆的部位应预留采购人操作空间，方便插拔解锁与插拔线缆；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 可插拔板卡插槽部位应预留安装、拆卸或更换板卡空间；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 拆装可能接触到的金属剪口或金属尖角部位应做防划伤处理，以保证安全；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 整机内部走线应规整，固线结构和位置要合理可靠并做防割线处理，需便于理线和插拔操作，走线应不影响系统各主要部件组装和拆卸；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i) 如需通过孔走线，过线孔应做防割线处理；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j) 各插头位置和插拔方向应合理，应做到插拔无障碍设计，具备防呆设计，有效避免误操作；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k) 各主要部件拆装无障碍，使用常规工具拆装，无特殊拆装工具需求；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l) 各主要部件拆装步骤要少，各自拆装需避免相互干扰；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 对于整机或零部件外表面为高亮面的，应粘贴保护膜，保护膜需粘贴牢固，运输、组装等过程不易脱落，撕下无残留；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n) 其它要求应符合 GB/T 9813.1-2016 的相关规定；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4.机箱防护要求：机箱符合 GB/T 4208-2017 中 IP20 防护要求；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5.整机噪音：产品工作在空闲状态下，产品的声功率级应不超过 4.5 Bel；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6.整机散热：在环境温度 25℃及处理器满载情况下，产品表面温度应符合如下要求：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 出风口在机箱后面板情况下，出风口温度不高于 55℃；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 可触及面温度不高于 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 显示器表面温度：显示屏不高于38℃，显示屏上下灯带位置温度（如涉及）不高于 40℃，出风口温度不高于 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7.整机能效限定值：产品能效限定值应达到 GB 28380-2012标准中能效等级 2 级及以上；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8.机身材质：金属；</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9.机身颜色：黑色；</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10.机箱尺寸容量：机箱体积应不大于 8L；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▲十一、CPU性能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1.CPU 物理核数：≥8；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2.CPU 主频：≥2.7GHz；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3.CPU线程数：≥8；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4.CPU 末级缓存容量：≥8MB；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5.CPU 支持的内存最高速率：≥2666MT/s；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▲十二、内存性能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1.内存读写速率：≥2666MT/s；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▲十三、显卡性能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1.显示分辨率：≥1920×1080；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2.显卡显示芯片核心频率：≥300MHz；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3.显存等效频率：≥1000MT/s；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4.显卡可支持多屏同时显示数量：显卡应支持 2 块屏幕同时显示，分辨率应不低于 1920×1080；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十四、显示设备性能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1.显示屏刷新率：≥75Hz；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2.显示屏位深：≥8位；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3.显示屏色域：≥99% sRGB；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4.显示屏色准：△E ≤ 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5.显示屏响应时间：≤8ms；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6.显示屏亮度：≥250尼特；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7.显示屏亮度一致性：≥70%；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8.显示屏对比度：≥500:1；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9.显示屏其他参数：其它参数应符合SJ/T 11292 的相关规定。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十五、网络设备性能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有线网卡速率：最高速率应不低于 1000Mbps，应支持10Mbps、100Mbps、1000Mbps 速率自适应；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▲十六、主板功能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1.内存扩展接口(板载内存不涉及)：≥2个；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2.主板 USB瞬间过流保护：支持有瞬间过流保护功能；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3.主板防静电保护：支持防静电保护功能；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4.I/O 接口功能：提供基于标准USB接口外设连接功能、基于音频输入输出接口的音频扩展功能、基于 PCIe 接口板卡扩展功能、基于HDMI或VGA或Type-C 或DVI或DP等接口外接显示器扩展功能、基于存储接口对产品进行增容功能等。产品I/O接口，应具备外接标准USB设备、显示器、音频设备等内外部设备能力；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▲十七、显卡功能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1.显卡外接显示接口：显卡至少支持 VGA、HDMI、DVI、DP、Type-C 中 1 种显示接口，并与显示器接口相匹配；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▲十八、显示设备功能：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1.显示器接口：显示器应与显卡外接显示接口匹配；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2.显示器支架：显示器应提供显示器支架；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3.显示器参数调节：a)提供OSD选单按钮用于调节色彩、模式等；b)支持色温、亮度、对比度调节。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▲十九、存储功能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1.存储功能：通过 SATA 固态存储/PCIe 固态存储/UFS 固态存储/SATA 硬磁盘等存储部件提供存储功能；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▲二十、网络设备功能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1.网络功能：a)支持网络连接、网络开启/关闭功能；b)支持访问网络和数据交换功能；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2.数据传输：支持数据传输能力，并提供数据流量和异常日志记录功能；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3.有线网卡接口类型：支持 RJ45 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4.网络设备拆装：网络设备支持物理拆装，包括无线网卡和蓝牙模块等；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▲二十一、外部接口功能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1.音频接口类型：支持 3.5mm 孔径 3 段式或 4 段式接口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2.视频接口类型：至少支持 VGA、HDMI、DVI、DP、Type-C中 1 种显示接口；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3.HDMI、DP、Type-C 显示接口要求：若提供 HDMI 或 DP 或 Type-C 作为显示接口，应支持音频和视频同步输出；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▲二十二、电源功能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电源适配器电线组件应符合 GB/T15934 的要求，可拆线的插头和连接器可以不做要求。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▲二十三、操作系统及软件功能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1.中文信息处理要求：符合GB18030的相关规定；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2.操作系统备份及还原功能：支持操作系统备份及还原功能；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3.固件备份还原能力：支持备份及还原固件的功能；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4.操作系统及驱动升级：支持通过网络、闪存盘等方式对操作系统、驱动进行升级；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5.固件升级：支持通过网络、闪存盘等方式对固件进行升级；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6.BIOS支持关闭通讯接口：支持BIOS关闭以太网及USB接口；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7.固件查看信息：支持查看固件版本、内存信息、主板信息、处理器信息和系统时间信息等功能；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8.固件设置启动顺序：支持设置启动顺序功能，并按照设置的启动顺序启动；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9.固件设置口令：支持设置口令、修改口令、验证口令功能；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10.固件设置网络引导：支持网络引导启动和关闭功能；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11.预装正版办公软件；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12.备授课平台：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1）教学平台为全校教师提供可扩展，易于学校管理，安全可靠的云存储空间，根据每名教师使用时长与教学资料制作频率提供可扩展升级至不小于200G的个人云空间。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2）PPT小工具：支持小组端进入PPT放映模式后提供批注、黑板、橡皮、撤销、批注分享等工具，满足学生小组研讨的使用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一键开课：教师可一键开课生成课程海报；学生扫描课程海报微信二维码即可加入直播课堂，无需额外安装APP。（谈判响应文件中须提供国家认可的第三方检测机构出具的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5）剪辑重录：支持按照课件页面片段剪辑和重录微课，支持一键上传至云端保存。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课程回放：课程结束后自动生成直播回放，报名课程的学生可反复学习；回放课程自动保存在云端，支持人工删除。（谈判响应文件中须提供国家认可的第三方检测机构出具的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7）发起集备：支持选择教案、课件、胶囊资源上传发起集备研讨，支持设置多重访问权限，通过手机号搜索即可邀请外校老师，可用于跨校教研场景。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课评课数据详情：全校听评课数据统一汇总，数据包含全校本月评课节数，本月评课次数，累计评课节数和累计评课次数，了解听评课教研活动的开展情况。支持按评课人数/评课平均分查看全校排行详细数据。（谈判响应文件中须提供国家认可的第三方检测机构出具的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13.机房云桌面管理平台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（一）系统设计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1）在配置管理平台使用终端设备时，支持多种身份识别方式。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2）支持通过账号登录、手机扫码登录、无账号访客登录。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3）支持断网使用，即在终端设备网络中断或管理平台连接中断时，正在操作的教学业务不受影响，依然可使用当前云桌面镜像继续开展业务，打开的程序也不会中断，保障业务连续性。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账号互通：在配置管理平台使用终端设备时，支持统一互通的用户身份认证服务，账号登录进入云桌面镜像后，打开教学白板软件、学生行为评价软件的教学应用工具时无需再次输入账号密码重复登录。（谈判响应时须提供国家认可的第三方检测机构出具的关于该功能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5）支持终端设备运行时无需运行独立的虚拟化系统，终端设备配置的IP与进入云桌面镜像后的IP能够保持一致，同一个终端无需使用多个IP，简化运维管理与网络规划复杂度。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6）支持在终端设备部署多个云桌面镜像切换使用，支持Windows、UOS、KylinOS、Ubuntu等桌面操作系统的云桌面镜像支持包括但不限于UOS、银河麒麟等符合安全可靠测评要求的操作系统使用。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7）支持在无法进入操作系统的情况下，快速恢复操作系统的使用，无需依赖网络、服务器、以及还原类软件。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8）支持包括Windows、统信、麒麟云桌面镜像，在对应云桌面镜像系统中查看设备的CPU型号、GPU型号、系统型号、BIOS版本等系统信息显示与终端物理设备一致。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配置传统模式，关闭传统模式时，终端启动默认进入云电脑系统，终端存在多个系统基础镜像时可以进行系统切换使用；开启传统模式时，终端启动默认进入系统基础镜像，与传统桌面使用一致；管理员可以对传统模式的开关进行管理，普通使用者可在桌面内临时重启到云电脑系统进行桌面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（二）管理平台设计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管理平台采用B/S架构，中文图形化操作界面；无需本地额外部署服务器等设备，通过浏览器打开即可运维管理云桌面终端设备，支持手机扫码登录/账号密码登录完成鉴权。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具备基于广域网统一纳管多分支机构云桌面的能力，支持三层网络、多校区等复杂网络环境安装。（谈判响应时须提供国家认可的第三方检测机构出具的关于该功能检测报告复印件，并加盖谈判供应商公章。）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 基于Web浏览器，提供用户统一登录认证功能，包括：手机号码注册、登录、忘记密码、扫码登录、账号管理功能。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4）支持PC终端设备与云桌面终端设备统一管理，支持在同一个设备分组中添加不同类型的PC和云桌面设备，并支持对选择的PC和云桌面设备的批量操作。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5）支持查看全部设备和分组下设备的运行状态，包括CPU、内存、磁盘的使用率，CPU温度，实时上下行网速与上下行网络流量。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6）硬件资产管理：收集平台中所有云桌面终端和PC终端的硬件配置与状态信息，包括终端名称、主板型号、CPU型号、内存容量、最近运行时间、硬盘信息等。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 支持终端发现，无需安装插件或程序，仅通过浏览器即可扫描局域网内可访问互联网的终端设备进行批量配置，包括关联学校、关联分组、设置名称、配置网络。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 支持增强终端发现，安装插件后通过浏览器即可扫描局域网内不可访问互联网的终端设备进行批量配置，包括关联学校、关联分组、设置名称、配置网络（谈判响应时须提供国家认可的第三方检测机构出具的关于该功能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9）支持远程管理终端设备，通过管理平台进行开机、关机、重启、还原、初始化、删除、配置更改、硬件信息查看、桌面运行状态查看等。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终端设备分组管理，支持按照楼栋、楼层、教室、小组等范围进行终端分组划分管理，支持在终端组中添加不同型号的终端设备，支持为终端组添加不同的云桌面镜像，统一管理多台终端；同时能够实现对独立分组中的教师终端分别进行配置和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11）支持终端设备分组管理，支持在终端组中添加不同型号的终端设备，支持为分组启用座位编号管理。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12）支持批量修改计算机名、IP地址；支持对使用Windows系统的终端，统一设置群组的计算机名，也支持单独设置群组内某一终端的计算机名。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支持终端批量配置，通过管理平台批量修改终端设备的所属组织（学校、校区）、设备名称、网络IP、上电自启BIOS配置、时间自动同步等设置，无需逐台配置。（谈判响应时须提供国家认可的第三方检测机构出具的关于该功能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14）支持日志信息管理，对终端、镜像等操作信息进行汇总，方便对常见问题的判断追查；支持保留桌面下发记录，包括终端名称，镜像名称，状态等信息。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单个终端可同时支持访客桌面和登录桌面两种使用方式，访客桌面开机无需账号直接进入桌面；登录桌面开机须输入账号密码进入桌面，便于个性化实验或教师办公使用；管理台可控制允许终端进入的桌面类型，包括仅使用访客桌面，仅使用登录桌面，混合登录三种方式；。（谈判响应时须提供国家认可的第三方检测机构出具的关于该功能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16）支持通过账号登录、手机扫码登录、无账号访客登录启动的云桌面镜像均可访问公共数据分区（D盘）。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17）支持终端云桌面系统升级，开启自动升级后，终端自动下载最新的终端版本并升级安装</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18）可由管理平台指定启动镜像且多个镜像系统环境可快速切换。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19）支持远程还原终端设备，在终端设备在云桌面镜像系统无法启动、系统异常时，可远程操作系统恢复；同时可选清空终端设备的公共数据分区（D盘）的数据。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20）支持配置终端设备的使用方式统一配置，可配置成开机自动启动云桌面镜像或进入云桌面系统。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支持配置终端设备使用鉴权方式统一配置，可配置成仅使用无账号登录、仅使用有账号登录、同时启用两种登录方式，支持同时配置不同登录方式的还原设置。（谈判响应时须提供国家认可的第三方检测机构出具的关于该功能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22）支持分别配置无账号登录、有账号登录方式的还原模式，开启还原后终端设备的云桌面镜像系统的使用记录与数据将不被保留。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23）支持策略生命周期管理，包括新建、删除、启用、停用。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24）支持设备计划关机，支持按照全部设备、指定分组、指定设备，设置终端关机操作，并可设置某时间单次执行或周期循环执行。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25）支持一键打开管理平台的帮助手册。</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26）提供组织管理员管理功能，包括：管理员添加、移除和转移，同时支持设置管理员的管理权限，包括：组织管理，系统管理员管理，角色权限，工作台配置，应用管理，区域语言和操作日志。</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27） 教职工管理：支持管理员手动添加教职工，教职工信息包括：教工号，姓名，手机号码，角色，管理范围；添加方式包括：Excel批量导入，批量复制，手动添加；支持导出，查询，删除教职工；教职工支持设置部门组织架构，支持多级组织架构，支持在组织架构节点上导入用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14.应用软件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1）登录方式多样性：支持帐号/密码和手机微信扫码两种登录方式。用户首次登录时绑定微信ID与帐号的对应关系，绑定后可通过微信扫码登录，无需再次输入帐号/密码。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2）终端关联设备：设备通过微信扫码可绑定学校的设备管理系统，能设置当前设备类型与归属用户。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3）设备详情：能查看当前设备的硬件信息和和系统信息。可查看的硬件信息包CPU、主板、显卡、硬盘、显示器、网卡、声卡。可查看的系统信息包括操作系统、系统激活状态、连接ID、SN号、MAC地址、内外网IP。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4）设备运行状态：能查看当前设备的内存、CPU、硬盘、系统盘、网速的实时占用状态信息。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5）整体描述：发送端软件发送文件至接收端软件。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6）文件条件：支持一次发送多个文件；可发送图片、视频、文档等类型的文件。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7）文件发送：可以从不同的文件夹拖动或选择文件至发送区；能查看待发送的文件列表，并可移除选择错误的文件。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8）快捷发送：支持拖动文件至发送区进行文件发送。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离线暂存：支持一次发送文件给多个接收端设备。接收端离线时文件能够暂存在云端，接收端设备在线后可进行自动下载。（谈判响应文件中需提供国家认可的第三方检测机构出具的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10）其他：支持查看发送进度；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个性接收夹：在接收端设备上能够创建自己独立的文件接收夹。可个性化定义文件的名称与图标颜色；接收到新文件时有提示新文件；（谈判响应文件中需提供国家认可的第三方检测机构出具的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12）文件列表：支接收端设备可查看当前已接收的文件列表，包括文件名称、接收时间、接收状态信息；可直接打开已下载的文件，能手动下载未下载或下载失败的文件；支持查看单个文件下载进度与总进度。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13）自动下载：支持接收端设备在线状态下可自动接收发送端设备发送的文件。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14）自动清理：支持自动清理超过14天的文件。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15）状态查看：支持展示电脑实时的数据信息，包括CPU、内存、系统盘、总存储、实时网速数据信息，离线的设备展示最后的数据信息。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17）编辑：用户可在任意路径节点创建文件夹，并且可以自定义文件夹名称；用户可以对上传的文件和文件夹进行重命名；支持用户对文件和文件夹进行移动和批量移动；支持用户删除文件和文件夹。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19）预览：能够在线预览图片、音视频、文档；支持预览的格式，包括，图片：BMP、GIF、JPE、JPEG、JPG、PNG；音频：WAV、MP3、OGG；视频：3GP、F4V、M4V、MKV、MP4、OGV、MOV；文档：DOC、DOCX、PDF、PPT、XLS、XLSX。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20）发送到班级：用户可在资料夹中把多个文件发送至接收端软件中，发送的文件不限格式，接收端软件自动下载该文件。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谈判响应文件中需提供国家认可的第三方检测机构出具的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22）最近使用课件：助手栏展示最近使用的前3条课件，点击课件支持在发送端软件内打开和编辑。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23）编辑：用户可自定义助手栏展示的内容，根据自己的需求能对内容进行移除、添加、移动位置，变更后数据会跟随当前登陆的账号，登录另一台电脑时会同步当前编辑的结果。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24）网站：支持用户主动添加网址，添加的网站会呈现在助手栏中，点击即可在发送端软件打开。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25）移动：用户能拖动助手栏到屏幕的任意位置，当用户拖动助手栏靠近屏幕边缘时会自动收到侧边；鼠标悬浮在侧边的时候，会弹出该助手栏，再次拖动助手栏会取消收起。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26）对话式生成：根据输入的文字生成文本，并通过类人类对话的形式表达，还支持根据上下文进行多轮连续对话。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27）写作：支持输入主题一键生成活动感想、发言稿、活动策划；支持选择生成的文字数量。（谈判响应文件中需提供国家认可的第三方检测机构出具的检测报告复印件，并加盖谈判供应商公章。）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28）评价：支持根据输入的学生姓名与评价维度生成评语。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29）提示词：支持进入百宝箱后默认展示3条提示词，一键问询AI问题。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30）生成编辑：支持对AI生成的内容复制或重新生成。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批量生成：支持批量生成学生的奖状，并可对奖状内容、奖励称号、颁奖人/单位、颁发日期、印章内容进行自定义编辑；支持选择生成的奖状模板。（谈判响应文件中需提供国家认可的第三方检测机构出具的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32）下载：支持将生成的奖状一键下载到本地。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34）录屏：支持对全屏/区域的屏幕内容、电脑的声音、麦克风声音、摄像头内容进行录制；支持切换录制的分辨率。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35）录制中：支持录制过程中进行画笔标注与擦除；支持中途暂停录制和继续录制。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36）录制结束：支持录制结束后进行文字快剪、视频编辑。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37）传屏：支持把发送端设备的屏幕同步到班班通设备；传屏成功后支持在班班通设备反向触控发送端设备。（谈判响应文件中需提供国家认可的第三方检测机构出具的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38）设备连接：支持通过连接码的方式与班班通设备建立传屏关系；支持自动发现附近的班班通设备，一键连接班班通设备。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39）指令下发：支持对单个电脑或批量设备下发关机与重启指令、移动分组、移除设备。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40）PDF格式转化：支持在线对PDF的文件进行转换格式，转换为XLSX、DOCX、PPT;转换后文件内容的排布与源PDF保持基本一致；支持对转换后的文件进行编辑，包括(编辑文本、编辑表格、编辑图片);转换后支持下载文件至电脑本地。（谈判响应文件中需提供国家认可的第三方检测机构出具的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图片转格式：支持对图片进行在线转换格式，图片原始格式为bmp、jpg、jpeg、png、tif、webp、heic;转换为jpg、png;转换后支持下载图片到电脑本地。（谈判响应文件中需提供国家认可的第三方检测机构出具的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42）提取文字：支持对图片进行在线文字识别；识别后支持对文字进行复制。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43）文字快剪：支持提取视频的声音并转换成文字，自动识别出语气词，用户可选择删除，支持手动删除文字从而达到剪辑的目的。（谈判响应文件中需提供国家认可的第三方检测机构出具的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谈判响应文件中需提供国家认可的第三方检测机构出具的检测报告复印件，并加盖谈判供应商公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45）退出关联：支持学校管理员可通过手机微信扫描接收端软件的二维码退出学校。退出后普通老师无法在该学校对该设备远程创建接收夹；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46）设备管理：支持查看当前学校的电脑列表，包括电脑在线状态、归属用户、操作系统、IP地址、上线时间与最后在线时间；支持对设备进行分组管理；支持通过设备名称与归属用户进行搜索。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47）设备信息：支持查看单个电脑的硬件信息与系统信息。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▲二十四、存储设备可靠性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1.固态存储寿命：TBW ≥80TB（条件：256GB 硬盘容量）；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2.机械硬盘寿命：通电时间≥5万小时；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▲二十五、显示设备可靠性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显示屏屏幕失效点符合 GB/T 9813.2 的要求。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▲二十六、外设可靠性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1.键盘按键寿命：≥1000 万次；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2.鼠标按键寿命：≥500 万次；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3.键盘鼠标线材寿命：键盘鼠标所用线材经±60°弯折不低于 3000 次，功能、外观完好；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4.风扇寿命：≥4 万小时；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▲二十七、整机可靠性要求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1.电磁兼容性要求的抗扰度：符合 GB/T 9254.2-2022 的规定；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2.环境条件要求的气候环境适应性：符合 GB/T 9813.1-2016 中规定；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3.环境条件要求的振动适应性：符合 GB/T 9813.1-2016 中规定；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4.环境条件要求的冲击适应性：符合 GB/T 9813.1-2016 中规定；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5.环境条件要求的碰撞适应性：符合 GB/T 9813.1 -2016中规定；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6.环境条件要求的运输包装件跌落适应性：符合 GB/T 9813.1-2016 中规定；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7.静音舒适性：考虑工作环境的静音舒适，要求设备的噪声声功率级≤3.03Bel，噪声声压级≤23.86dB；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8.MTBF测试：MTBF(m1)≥3万小时。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▲二十八、兼容要求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1.常用软件兼容：支持流式软件、版式软件、浏览器、邮件采购人端、解压软件、多媒体、图形图像处理等常用软件；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2.数据库兼容：兼容 3 个及以上厂商的数据库产品；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3.中间件兼容：兼容 3 个及以上厂商中间件产品；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4.平台软件兼容：兼容 3 个及以上厂商云计算及大数据平台。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▲二十九、包装及运输要求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标志、包装、运输和贮存：符合 GB/T 9813.1-2016 和商品包装政府采购需求标准的相关规定。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▲三十、服务要求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1.配置检查工具：供应商提供自检测试工具；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2.服务响应：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a)供应商服务周期内提供电话、电子邮件、远程连接等多种形式服务；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b)供应商服务周期内提供同城 4小时响应、异地 12小时 技术响应服务，2 个工作日解决问题，对于未能解决的问题和故障应提供可行的升级方案，并提供周转设备或更换设备；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c)建立全国技术服务体系和服务团体，符合专业服务体系标准要求，提供原厂中文服务；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d)服务周期内提供产品的维修、换件和升级服务；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3.服务周期：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 设备停产后应继续提供质量保障服务（含备品备件.，服务终止时间与最后一批设备交付时间间隔不低于6年；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 产品停止服务时间应提前 1 年告知；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 应明确产品发布日期；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4.预装操作系统：预装符合桌面操作系统政府采购需求标准的正版操作系统；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5.培训服务：供应商提供培训材料、产品手册、培训视频等培训相关内容；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6.典型问题解决手册：供应商提供典型问题解决说明文档或视频；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7.厂家升级软件与扩容服务：供应商提供上门升级部件/软件与扩容的增值服务；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8.整机质量服务要求：负责服务周期（含换件和维修）应不小于3年；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9.合格证书要求：供应商提供产品合格证；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10.开箱组装/使用指导要求：供应商提供开箱组装/使用指导；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11.驱动下载服务要求：供应商提供驱动光盘或下载方式；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12.兼容适配软件下载服务要求：供应商提供兼容适配软件下载渠道（光盘、网站）；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▲三十一、供应链合规性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 产品部件保障：供应商保障产品主要部件，提供 6 年的备件服务能力（自购买之日起.，或提供可兼容原设备的升级换代产品；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▲三十二、供应链质量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1.抗干扰性：当产品部件出现供应风险时，供应商应通知采购人并提供风险应对方案确保产品的服务保障；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2.供应能力证明：供应商承诺提供稳定的供应链，确保产品的部件在产品服务周期内稳定供货。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▲三十三、关键部件安全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关键部件安全要求：CPU安全可靠等级≥Ⅱ级， 操作系统安全可靠等级≥Ⅰ级，其他关键部件应当符合安全可靠测评要求；通过中国信息安全测评中心和国家保密科技测评中心网站查看安全可靠测评结果。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▲三十四、整机安全性要求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1.密码算法实现：CPU 芯片应符合 GM/T 0008-2012 的相关规定，或芯片密码模块应符合 GB/T 37092-2018或 GM/T 0028-2014 的相关规定；通过商用密码检测机构检测并经商用密码认证机构认证合格。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2.信息安全基本要求：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 产品应符合 GB/T 39276-2020 的 5.2 的规定；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 生产厂商应建立漏洞跟踪表，保证产品版本涉及到的漏洞(如驱动程序等)可查看；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 产品不得包含已知的恶意代码或漏洞，不存在未声明的指令、功能、接口；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3.固件安全启动：支持固件安全启动功能，固件启动过程中只有通过启动校验才能正常启动；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4.限用物质的限量要求：符合 GB/T 26572-2011 中规定；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三十五、其他要求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1.供货时，须提供由生产厂家针对本项目的有效供货证明及售后服务承诺书。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2.成交后要求有本地化服务。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教师控制终端</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▲1、处理器规格：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1）CPU内核≥  8  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2）主频≥  3.0  GHz；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3）末级缓存容量≥  16  MB；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4）CPU PCle通道总数≥  32；</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5）CPU线程≥  16；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6）CPU基本功率≥  65  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7）CPU芯片应符合 GM/T 0008的相关规定，或芯片密码模块应符合 GB/T 37092或 GM/T 0028 的相关规定，通过商用密码检测机构检测并经商用密码认证机构认证合格；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8）符合安全可靠测评要求，</w:t>
            </w:r>
            <w:r>
              <w:rPr>
                <w:rFonts w:hint="eastAsia" w:ascii="宋体" w:hAnsi="宋体" w:cs="宋体"/>
                <w:color w:val="auto"/>
                <w:kern w:val="0"/>
                <w:szCs w:val="21"/>
                <w:highlight w:val="none"/>
                <w:u w:val="none"/>
                <w:lang w:bidi="ar"/>
              </w:rPr>
              <w:t>通过中国信息安全测评中心和国家保密科技测评中心网站查看安全可靠测评结果。</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▲2、内存规格：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1）内存类型支持 DDR4及以上内存类型；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2）内存条配置数量（板载内存不涉及）≥  2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3）内存读写速率≥  3200  MT/s；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3）内存总容量≥  16 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4）单条内存容量≥  8  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▲3、主板规格：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1）主板集成模块集成资源扩展模块、计算处理模块、音频扩展模块等，主板的互联拓扑可通过处理器或交换电路实现；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2）主板支持的 CPU和内存情况：≥8核16线程，主频≥3.0GHz，末级缓存≥16M，内存≥双通道DDR4-3200，热设计功耗≤65W，位宽≥64位；内存条数量≥1；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3）主板内置PCIe 插槽数量≥  2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4）内存扩展接口（板载内存不涉及）≥  2  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5）主板 USB支持瞬间过流保护功能；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6）支持防静电保护功能；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7）I/O 接口功能：提供基于标准 USB 接口外设连接功能、基于音频输入输出接口的音频扩展功能、基于 PCIe 接口板卡扩展功能、基于 HDMI 或 VGA 或 Type-C 或 DVI 或 DP等接口外接显示器扩展功能、基于存储接口对产品进行增容功能等，产品I/O 接口，应具备外接标准 USB 设备、显示器、音频设备等内外部设备能力；</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8）特殊孔位及接口：接口工作电压 5V，最大过电流应不小于 3A，预留多功能导入装置板卡安装孔位，采用内置方式与主机一体化集成，容量不小于 145mm×125mm×16.5mm （长×宽×高）（±5mm）；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9）主板其他内置接口：≥4个SATA接口；≥M.2接口*1，≥USB接口*7，固态硬盘占用M.2接口*1，机械硬盘占用SATA接口*1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▲4、存储设备规格：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1.固态盘数量：≥1 个；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2.固态存储容量：≥256GB；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3.机械硬盘数量：≥1 个；</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4.机械硬盘总容量：≥1TB；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5.机械硬盘转速：≥5400rpm；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6.机械硬盘形态：2.5 英寸或 3.5 英寸等；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7.固态存储形态：采用插卡或板载等形态，可选用符合M.2或2.5寸SATA或mSATA等标准的插卡形态；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8.存储设备其他参数要求：a)固态盘应符合SJ/T 11654相关规定；b)机械硬盘准备时间应不大于30s；侧面固定螺丝孔数量可为 4 孔或 6 孔；工作状态环境温度应满足5℃-55℃；其它参数应符合GB/T 12628相关规定。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▲5、显卡规格：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1）显卡类型：独立显卡；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2）独立显卡显存≥ LPDDR4  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3）独立显卡显存位宽≥  64  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4）独立显卡显存容量≥  2 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5）独立显卡接口协议支持 PCIe 协议版本大于等于 3.0 的独立显卡接口协议；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6）显卡显示分辨率≥  1920*1080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7）显卡显示芯片核心频率≥  1350M   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8）显卡显存等效频率≥  3733  MT/s；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9）显卡可支持多屏同时显示数量≥  2  块屏且分辨率应不低于 1920×1080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10）显卡外接显示接口至少支持 VGA、HDMI、DVI、DP、Type-C 中 1 种显示接口，并与显示器接口相匹配。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▲6、显示设备规格：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1）显示屏屏占比≥  88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2）显示屏分辨率≥  1920x1080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3）显示屏尺寸≥  23  英寸；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4）显示屏屏幕比例：  16:9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5）显示器外观颜色：  黑色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6）显示屏支持防蓝光模式，蓝光加权辐射亮度比应≤  0.0010  W/（·cd·sr）（瓦每坎特拉每球面度）可参照 SJ/T11841.2.2-2022标准；显示屏应支持低频闪≤  -35  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7）显示屏镜面反射率≤  4.5 %；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8）显示屏刷新率≥ 100 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9）显示屏位深≥  8  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10）显示屏色域≥  99%   sRGB；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11）显示屏色准△E ≤  4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12）显示屏响应时间≤  7 ms；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13）显示屏亮度≥  300  尼特；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14）显示屏亮度一致性≥  75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15）显示屏对比度≥  1000：1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16）显示器接口应与显卡外接显示接口匹配；</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17）显示器应提供显示器支架；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18）显示器参数调节：提供 OSD 选单按钮用于调节色彩、模式等，支持色温、亮度、对比度调节；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19）显示屏其他参数应符合 SJ/T 11292 的相关规定。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▲7、外设规格：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1）鼠标数量≥  1  个（有线或无线）；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2）键盘数量≥  1  个（有线或无线）；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3）键盘按键数目  104   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4）键盘键程：2.3mm ~ 4.0mm，键盘按键压力应在 0.54 N±0.14N；</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5）有线键盘连接线≥  1.5  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6）键盘颜色：  黑色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7）鼠标 DPI分辨率≥  800~1600   DPI；</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8）鼠标颜色：  黑色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9）鼠标其他要求应符合 GB/T 26245 的相关规定；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10）键盘按键寿命≥  1000  万次；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11）鼠标按键寿命≥  500  万次；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12）键盘鼠标线材寿命键盘鼠标所用线材经±60°弯折不低于3000次，功能、外观完好；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13）风扇寿命≥  4  万小时。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▲8、网络设备规格：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1）有线网卡数量≥  1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2）有线网卡速率：最高速率应不低于 1000Mbps，应支持10Mbps、100Mbps、1000Mbps 速率自适应；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3）支持网络连接、网络开启/关闭功能；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4）支持访问网络和数据交换功能；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5）支持数据传输能力，并提供数据流量和异常日志记录功能；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 RJ45 接口≥  1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7）支持物理拆装，包括无线网卡和蓝牙模块等。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▲9、外部接口规格：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1）USB 接口数量机箱前面板应提供不少于  3  个USB 接口（含2个USB3.0 及以上接口）；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2）视频接口数量≥  2 ，视频接口类型至少支持 VGA、HDMI、DVI、DP、Type-C中 1 种显示接口，若提供 HDMI 或 DP或 Type-C作为显示接口，应支持音频和视频同步输出；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3）音频接口数量≥  5 ，音频接口类型支持 3.5mm孔径3段式或4段式接口。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▲10、整机基础规格：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整机外观：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1）产品表面不应有凹痕、划伤、裂缝、变形和污染等。表面涂层均匀，不应起泡、龟裂、脱落和磨损，金属零部件无锈蚀及其它机械损伤；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2）产品表面说明功能的文字、符号、标志，应清晰、端正、牢固；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3）状态指示灯：在产品显著位置提供状态指示功能，如运行状态，电源指示灯亮起则代表开机、电源指示灯熄灭则代表未开机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4）整机结构：</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 机箱符合 GB/T 4208、GB/T 26246的相关规定；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 产品内部结构符合通用部件的安装需求；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 所有输入输出接口符合相关国家或行业标准；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 产品零部件紧固无松动，可插拔部件可靠连接，开关、按钮和其它控制部件灵活可靠，布局方便使用；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e) 所有 I/O 连接器及需插接线缆的部位预留采购人操作空间，方便插拔解锁与插拔线缆；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f) 可插拔板卡插槽部位预留安装、拆卸或更换板卡空间；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g) 拆装可能接触到的金属剪口或金属尖角部位做防划伤处理，以保证安全；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h) 整机内部走线规整，固线结构和位置要合理可靠并做防割线处理，需便于理线和插拔操作，走线不影响系统各主要部件组装和拆卸；</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i) 如需通过孔走线，过线孔做防割线处理；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j) 各插头位置和插拔方向合理，做到插拔无障碍设计，具备防呆设计，有效避免误操作；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k) 各主要部件拆装无障碍，使用常规工具拆装，无特殊拆装工具需求；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l) 各主要部件拆装步骤要少，各自拆装需避免相互干扰；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m) 对于整机或零部件外表面为高亮面的，粘贴保护膜，保护膜需粘贴牢固，运输、组装等过程不易脱落，撕下无残留；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n) 其它要求符合 GB/T 9813.1 的相关规定；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5）机箱应符合 GB/T 4208 中 IP20 防护要求；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6）产品工作在空闲状态下，产品的声功率级应不超过 4.5 Bel；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7）整机散热在环境温度 25℃及处理器满载情况下，产品表面温度应符合如下要求：出风口在机箱后面板情况下，出风口温度不高于55℃；可触及面温度不高于45℃；显示器表面温度：显示屏不高于38℃，显示屏上下灯带位置温度（如涉及）不高于40℃，出风口温度不高于45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8）产品能效限定值应达到GB 28380-2012标准中能效等级 2 级及以上；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9）机身材质：塑料/金属等；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10）机身颜色：灰色/黑色等商务色系；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11）机箱尺寸容量：机箱体积应不大于 15L；</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▲11、电源：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1）功率≥200W；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2）电源适配器电线组件应符合GB/T15934的要求，可拆线的插头和连接器可以不做要求。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▲12、操作系统及软件功能：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1）中文信息处理要求：符合GB18030的相关规定；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2）操作系统备份及还原功能：支持操作系统备份及还原功能；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3）固件备份还原能力：支持备份及还原固件的功能；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4）操作系统及驱动升级：支持通过网络、闪存盘等方式对操作系统、驱动进行升级；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5）固件升级：支持通过网络、闪存盘等方式对固件进行升级；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6）BIOS支持关闭通讯接口：支持BIOS关闭以太网及USB接口；7）固件查看信息：支持查看固件版本、内存信息、主板信息、处理器信息和系统时间信息等功能；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8）固件设置启动顺序：支持设置启动顺序功能，并按照设置的启动顺序启动；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9）固件设置口令：支持设置口令、修改口令、验证口令功能；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10）固件设置网络引导：支持网络引导启动和关闭功能；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11）备授课平台：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1.教学平台为全校教师提供可扩展，易于学校管理，安全可靠的云存储空间，根据每名教师使用时长与教学资料制作频率提供可扩展升级至不小于200G的个人云空间。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2.PPT小工具：支持小组端进入PPT放映模式后提供批注、黑板、橡皮、撤销、批注分享等工具，满足学生小组研讨的使用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书写工具具备地图图示（如铁路、城墙、山峰、港口、机场等.笔迹，可直接进行图示标注；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4.一键开课：教师可一键开课生成课程海报；学生扫描课程海报微信二维码即可加入直播课堂，无需额外安装APP（谈判时须提供国家认可的第三方检测机构出具的关于该功能检测报告复印件）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5.剪辑重录：支持按照课件页面片段剪辑和重录微课，支持一键上传至云端保存。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6.课程回放：课程结束后自动生成直播回放，报名课程的学生可反复学习；回放课程自动保存在云端，支持人工删除。（谈判时须提供国家认可的第三方检测机构出具的关于该功能检测报告复印件）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7.发起集备：支持选择教案、课件、胶囊资源上传发起集备研讨，支持设置多重访问权限，通过手机号搜索即可邀请外校老师，可用于跨校教研场景。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听课评课数据详情：全校听评课数据统一汇总，数据包含全校本月评课节数，本月评课次数，累计评课节数和累计评课次数，了解听评课教研活动的开展情况。支持按评课人数/评课平均分查看全校排行详细数据。（谈判时须提供国家认可的第三方检测机构出具的关于该功能检测报告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12）应用软件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1.登录方式多样性：支持帐号/密码和手机微信扫码两种登录方式。用户首次登录时绑定微信ID与帐号的对应关系，绑定后可通过微信扫码登录，无需再次输入帐号/密码。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2.终端关联设备：设备通过微信扫码可绑定学校的设备管理系统，能设置当前设备类型与归属用户。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3.设备详情：能查看当前设备的硬件信息和和系统信息。可查看的硬件信息包CPU、主板、显卡、硬盘、显示器、网卡、声卡。可查看的系统信息包括操作系统、系统激活状态、连接ID、SN号、MAC地址、内外网IP。</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4.设备运行状态：能查看当前设备的内存、CPU、硬盘、系统盘、网速的实时占用状态信息。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5.整体描述：发送端软件发送文件至接收端软件。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6.文件条件：支持一次发送多个文件；可发送图片、视频、文档等类型的文件。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7.文件发送：可以从不同的文件夹拖动或选择文件至发送区；能查看待发送的文件列表，并可移除选择错误的文件。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8.快捷发送：支持拖动文件至发送区进行文件发送。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9.离线暂存：支持一次发送文件给多个接收端设备。接收端离线时文件能够暂存在云端，接收端设备在线后可进行自动下载。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10.其他：支持查看发送进度；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11.个性接收夹：在接收端设备上能够创建自己独立的文件接收夹。可个性化定义文件的名称与图标颜色；接收到新文件时有提示新文件；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12.文件列表：支接收端设备可查看当前已接收的文件列表，包括文件名称、接收时间、接收状态信息；可直接打开已下载的文件，能手动下载未下载或下载失败的文件；支持查看单个文件下载进度与总进度。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13.自动下载：支持接收端设备在线状态下可自动接收发送端设备发送的文件。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14.自动清理：支持自动清理超过14天的文件。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15.状态查看：支持展示电脑实时的数据信息，包括CPU、内存、系统盘、总存储、实时网速数据信息，离线的设备展示最后的数据信息。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查看：采用云端存储的方式，用户可在发送端软件查看上传的文件；查看方式支持列表视图和栅格视图，在列表视图中，会展示更新时间和大小。支持在列表或栅格视图中展示小预览图；支持对文件按照名称、更新时间、大小排序；支持对文件进行图片、音视频、文档筛选；上传的文件支持用户在手机的移动软件中查看；支持查看当前文件夹的路径，点击左上角的路径可直接跳转至目标文件夹；文件根据窗口的显示大小会进行适配，一列显示不同的数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17.编辑：用户可在任意路径节点创建文件夹，并且可以自定义文件夹名称；用户可以对上传的文件和文件夹进行重命名；支持用户对文件和文件夹进行移动和批量移动；支持用户删除文件和文件夹。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18.上传下载：用户可上传任意格式的文件至资料夹中，上传过程可以查看进度和取消上传；支持用户对文件进行下载，用户可自己设置下载地址，下载过程中会按照队列依次下载；下载过程中能查看进度与完成情况；支持取消正在下载的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19.预览：能够在线预览图片、音视频、文档；支持预览的格式，包括，图片：BMP、GIF、JPE、JPEG、JPG、PNG；音频：WAV、MP3、OGG；视频：3GP、F4V、M4V、MKV、MP4、OGV、MOV；文档：DOC、DOCX、PDF、PPT、XLS、XLSX。</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20.发送到班级：用户可在资料夹中把多个文件发送至接收端软件中，发送的文件不限格式，接收端软件自动下载该文件。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21.快捷打开：助手栏展示了用户添加的应用、网站和组件，点击后即可通过发送端软件打开。支持在发送端软件内打开备课、课件库、校本资源、集体备课、作业本、快传、设备；支持在发送端软件内切换、关闭标签；能对窗口进行最小化、最大化、关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22.最近使用课件：助手栏展示最近使用的前3条课件，点击课件支持在发送端软件内打开和编辑。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23.编辑：用户可自定义助手栏展示的内容，根据自己的需求能对内容进行移除、添加、移动位置，变更后数据会跟随当前登陆的账号，登录另一台电脑时会同步当前编辑的结果。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24.网站：支持用户主动添加网址，添加的网站会呈现在助手栏中，点击即可在发送端软件打开。</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25.移动：用户能拖动助手栏到屏幕的任意位置，当用户拖动助手栏靠近屏幕边缘时会自动收到侧边；鼠标悬浮在侧边的时候，会弹出该助手栏，再次拖动助手栏会取消收起。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26.对话式生成：根据输入的文字生成文本，并通过类人类对话的形式表达，还支持根据上下文进行多轮连续对话。</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27.写作：支持输入主题一键生成活动感想、发言稿、活动策划；支持选择生成的文字数量。（</w:t>
            </w:r>
            <w:r>
              <w:rPr>
                <w:rFonts w:hint="eastAsia" w:ascii="宋体" w:hAnsi="宋体" w:cs="宋体"/>
                <w:i w:val="0"/>
                <w:iCs w:val="0"/>
                <w:color w:val="auto"/>
                <w:kern w:val="0"/>
                <w:sz w:val="21"/>
                <w:szCs w:val="21"/>
                <w:highlight w:val="none"/>
                <w:u w:val="none"/>
                <w:lang w:val="en-US" w:eastAsia="zh-CN" w:bidi="ar"/>
              </w:rPr>
              <w:t>谈判时</w:t>
            </w:r>
            <w:r>
              <w:rPr>
                <w:rFonts w:hint="eastAsia" w:ascii="宋体" w:hAnsi="宋体" w:eastAsia="宋体" w:cs="宋体"/>
                <w:i w:val="0"/>
                <w:iCs w:val="0"/>
                <w:color w:val="auto"/>
                <w:kern w:val="0"/>
                <w:sz w:val="21"/>
                <w:szCs w:val="21"/>
                <w:highlight w:val="none"/>
                <w:u w:val="none"/>
                <w:lang w:val="en-US" w:eastAsia="zh-CN" w:bidi="ar"/>
              </w:rPr>
              <w:t>须提供国家认可的第三方检测机构出具的关于该功能检测报告复印件）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28.评价：支持根据输入的学生姓名与评价维度生成评语。</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29.提示词：支持进入百宝箱后默认展示3条提示词，一键问询AI问题。</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30.生成编辑：支持对AI生成的内容复制或重新生成。</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31.批量生成：支持批量生成学生的奖状，并可对奖状内容、奖励称号、颁奖人/单位、颁发日期、印章内容进行自定义编辑；支持选择生成的奖状模板。（</w:t>
            </w:r>
            <w:r>
              <w:rPr>
                <w:rFonts w:hint="eastAsia" w:ascii="宋体" w:hAnsi="宋体" w:cs="宋体"/>
                <w:i w:val="0"/>
                <w:iCs w:val="0"/>
                <w:color w:val="auto"/>
                <w:kern w:val="0"/>
                <w:sz w:val="21"/>
                <w:szCs w:val="21"/>
                <w:highlight w:val="none"/>
                <w:u w:val="none"/>
                <w:lang w:val="en-US" w:eastAsia="zh-CN" w:bidi="ar"/>
              </w:rPr>
              <w:t>谈判时</w:t>
            </w:r>
            <w:r>
              <w:rPr>
                <w:rFonts w:hint="eastAsia" w:ascii="宋体" w:hAnsi="宋体" w:eastAsia="宋体" w:cs="宋体"/>
                <w:i w:val="0"/>
                <w:iCs w:val="0"/>
                <w:color w:val="auto"/>
                <w:kern w:val="0"/>
                <w:sz w:val="21"/>
                <w:szCs w:val="21"/>
                <w:highlight w:val="none"/>
                <w:u w:val="none"/>
                <w:lang w:val="en-US" w:eastAsia="zh-CN" w:bidi="ar"/>
              </w:rPr>
              <w:t>须提供国家认可的第三方检测机构出具的关于该功能检测报告复印件）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32.下载：支持将生成的奖状一键下载到本地。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33.截屏：支持自定义框选屏幕的内容；截取的内容支持画笔标注，支持选择画笔粗细和画笔颜色；支持识别出截取的文字内容，并能对文字进行复制；支持保存截图到电脑本地；支持保存截图到剪切板，并能粘贴到目标位置；支持快捷键唤起截图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34.录屏：支持对全屏/区域的屏幕内容、电脑的声音、麦克风声音、摄像头内容进行录制；支持切换录制的分辨率。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35.录制中：支持录制过程中进行画笔标注与擦除；支持中途暂停录制和继续录制。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36.录制结束：支持录制结束后进行文字快剪、视频编辑。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37.传屏：支持把发送端设备的屏幕同步到班班通设备；传屏成功后支持在班班通设备反向触控发送端设备。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38.设备连接：支持通过连接码的方式与班班通设备建立传屏关系；支持自动发现附近的班班通设备，一键连接班班通设备。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39.指令下发：支持对单个电脑或批量设备下发关机与重启指令、移动分组、移除设备。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40.PDF格式转化：支持在线对PDF的文件进行转换格式，转换为XLSX、DOCX、PPT;转换后文件内容的排布与源PDF保持基本一致；支持对转换后的文件进行编辑，包括(编辑文本、编辑表格、编辑图片.;转换后支持下载文件至电脑本地。（</w:t>
            </w:r>
            <w:r>
              <w:rPr>
                <w:rFonts w:hint="eastAsia" w:ascii="宋体" w:hAnsi="宋体" w:cs="宋体"/>
                <w:i w:val="0"/>
                <w:iCs w:val="0"/>
                <w:color w:val="auto"/>
                <w:kern w:val="0"/>
                <w:sz w:val="21"/>
                <w:szCs w:val="21"/>
                <w:highlight w:val="none"/>
                <w:u w:val="none"/>
                <w:lang w:val="en-US" w:eastAsia="zh-CN" w:bidi="ar"/>
              </w:rPr>
              <w:t>谈判时</w:t>
            </w:r>
            <w:r>
              <w:rPr>
                <w:rFonts w:hint="eastAsia" w:ascii="宋体" w:hAnsi="宋体" w:eastAsia="宋体" w:cs="宋体"/>
                <w:i w:val="0"/>
                <w:iCs w:val="0"/>
                <w:color w:val="auto"/>
                <w:kern w:val="0"/>
                <w:sz w:val="21"/>
                <w:szCs w:val="21"/>
                <w:highlight w:val="none"/>
                <w:u w:val="none"/>
                <w:lang w:val="en-US" w:eastAsia="zh-CN" w:bidi="ar"/>
              </w:rPr>
              <w:t>须提供国家认可的第三方检测机构出具的关于该功能检测报告复印件）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41.图片转格式：支持对图片进行在线转换格式，图片原始格式为bmp、jpg、jpeg、png、tif、webp、heic;转换为jpg、png;转换后支持下载图片到电脑本地。（</w:t>
            </w:r>
            <w:r>
              <w:rPr>
                <w:rFonts w:hint="eastAsia" w:ascii="宋体" w:hAnsi="宋体" w:cs="宋体"/>
                <w:i w:val="0"/>
                <w:iCs w:val="0"/>
                <w:color w:val="auto"/>
                <w:kern w:val="0"/>
                <w:sz w:val="21"/>
                <w:szCs w:val="21"/>
                <w:highlight w:val="none"/>
                <w:u w:val="none"/>
                <w:lang w:val="en-US" w:eastAsia="zh-CN" w:bidi="ar"/>
              </w:rPr>
              <w:t>谈判时</w:t>
            </w:r>
            <w:r>
              <w:rPr>
                <w:rFonts w:hint="eastAsia" w:ascii="宋体" w:hAnsi="宋体" w:eastAsia="宋体" w:cs="宋体"/>
                <w:i w:val="0"/>
                <w:iCs w:val="0"/>
                <w:color w:val="auto"/>
                <w:kern w:val="0"/>
                <w:sz w:val="21"/>
                <w:szCs w:val="21"/>
                <w:highlight w:val="none"/>
                <w:u w:val="none"/>
                <w:lang w:val="en-US" w:eastAsia="zh-CN" w:bidi="ar"/>
              </w:rPr>
              <w:t>须提供国家认可的第三方检测机构出具的关于该功能检测报告复印件）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42.提取文字：支持对图片进行在线文字识别；识别后支持对文字进行复制。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43.文字快剪：支持提取视频的声音并转换成文字，自动识别出语气词，用户可选择删除，支持手动删除文字从而达到剪辑的目的。（</w:t>
            </w:r>
            <w:r>
              <w:rPr>
                <w:rFonts w:hint="eastAsia" w:ascii="宋体" w:hAnsi="宋体" w:cs="宋体"/>
                <w:i w:val="0"/>
                <w:iCs w:val="0"/>
                <w:color w:val="auto"/>
                <w:kern w:val="0"/>
                <w:sz w:val="21"/>
                <w:szCs w:val="21"/>
                <w:highlight w:val="none"/>
                <w:u w:val="none"/>
                <w:lang w:val="en-US" w:eastAsia="zh-CN" w:bidi="ar"/>
              </w:rPr>
              <w:t>谈判时</w:t>
            </w:r>
            <w:r>
              <w:rPr>
                <w:rFonts w:hint="eastAsia" w:ascii="宋体" w:hAnsi="宋体" w:eastAsia="宋体" w:cs="宋体"/>
                <w:i w:val="0"/>
                <w:iCs w:val="0"/>
                <w:color w:val="auto"/>
                <w:kern w:val="0"/>
                <w:sz w:val="21"/>
                <w:szCs w:val="21"/>
                <w:highlight w:val="none"/>
                <w:u w:val="none"/>
                <w:lang w:val="en-US" w:eastAsia="zh-CN" w:bidi="ar"/>
              </w:rPr>
              <w:t>须提供国家认可的第三方检测机构出具的关于该功能检测报告复印件）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44.远程关联：学校管理员可通过手机微信扫描接收端软件的二维码，选择学校并输入设备的名称，接收端软件即可完成关联学校；支持学校管理员修改已关联的设备名称。普通老师加入该学校后可在发送端软件中看到该设备并可远程创建接收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45.退出关联：支持学校管理员可通过手机微信扫描接收端软件的二维码退出学校。退出后普通老师无法在该学校对该设备远程创建接收夹；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46.设备管理：支持查看当前学校的电脑列表，包括电脑在线状态、归属用户、操作系统、IP地址、上线时间与最后在线时间；支持对设备进行分组管理；支持通过设备名称与归属用户进行搜索。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47.设备信息：支持查看单个电脑的硬件信息与系统信息。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▲13、服务要求：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1）配置检查工具：供应商提供自检测试工具；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2）服务响应：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a)供应商提供电话、电子邮件、远程连接等多种形式服务；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b)供应商提供同城4小时、异地12小时技术响应服务，2个工作日解决问题，对于未能解决的问题和故障应提供可行的升级方案，并提供周转设备或更换设备；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c)建立全国技术服务体系和服务团体，符合专业服务体系标准要求，提供原厂中文服务。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3）服务周期：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a)设备停产后应继续提供质量保障服务（含备品备件）；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b)产品停止服务时间应提前 1 年告知；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c)应明确产品发布日期；</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d)服务周期内提供产品的维修、换件和升级服务；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4）培训服务：供应商提供培训材料、产品手册、培训视频等培训相关内容；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5）典型问题解决手册：供应商提供典型问题解决说明文档或视频；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6）厂家升级软件与扩容服务：供应商提供上门升级部件/软件与扩容的增值服务；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7）厂家升级软件与扩容服务：供应商提供上门升级部件/软件与扩容的增值服务；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8）整机质量服务要求：服务周期（含换件和维修）≥3年；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9）供应商提供产品合格证；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10）供应商提供开箱组装/使用指导；</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11）供应商提供驱动光盘或下载方式；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12）供应商提供兼容适配软件下载渠道（光盘、网站）；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13）供应商保障产品主要部件，或提供可兼容原设备的升级换代产品；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14）当产品部件出现供应风险时，供应商应通知采购人并提供风险应对方案确保产品的服务保障；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15）供应商提供供应链稳定承诺书，确保产品的部件在产品服务周期内稳定供货。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▲14、安全要求：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1）信息安全基本要求：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a)产品应符合GB/T 39276的5.2的规定；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b) 生产厂商应建立漏洞跟踪表，保证产品版本涉及到的漏洞(如驱动程序等)可查看；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c)产品不得包含已知的恶意代码或漏洞，不存在未声明的指令、功能、接口；2）支持固件安全启动功能，固件启动过程中只有通过启动校验才能正常启动；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3）限用物质的限量要求符合 GB/T 26572 中规定。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15、其他要求：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1）环境条件要求的气候环境适应性、电磁兼容性要求的抗扰度、环境条件要求的振动适、环境条件要求的冲击适应性、环境条件要求的碰撞适应性、环境条件要求的运输包装件跌落适应性应性符合 GB/T 9813.1 中规定；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2）MTBF测试：MTBF(m1)≥  30  万小时；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3）常用软件兼容：支持流式软件、版式软件、浏览器、邮件采购人端、解压软件、多媒体、图形图像处理等常用软件；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4）数据库兼容：兼容3个及以上厂商的数据库产品；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5）中间件兼容：兼容3个及以上厂商中间件产品；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6）平台软件兼容：兼容3个及以上厂商云计算及大数据平台；</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7）标志、包装、运输和贮存：符合 GB/T 9813.1 和商品包装政府采购需求标准的相关规定。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多媒体桌面音箱</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匹配2.0多媒体桌面音箱一对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1.功率（W）：单声道 30W 以上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2.频响范围（Hz）：50Hz-20kHz</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3.信噪比（dB）：≥75dB</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4.接口类型：3.5mm 音频接口或USB接口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机柜</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1、尺寸约：高1000mm*宽600mm*深500mm</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2、钢化玻璃们，支持18U、钢面脱脂，酸洗，磷化，静电喷塑</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、材料：SPCC优质冷轧钢板制作</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、产品特点：方便快速安装，带落地滚轮。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教师电脑桌椅</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电脑桌：1张；</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规格：约</w:t>
            </w:r>
            <w:r>
              <w:rPr>
                <w:rFonts w:hint="eastAsia" w:ascii="宋体" w:hAnsi="宋体" w:cs="宋体"/>
                <w:i w:val="0"/>
                <w:iCs w:val="0"/>
                <w:color w:val="auto"/>
                <w:kern w:val="0"/>
                <w:sz w:val="21"/>
                <w:szCs w:val="21"/>
                <w:highlight w:val="none"/>
                <w:u w:val="none"/>
                <w:lang w:val="en-US" w:eastAsia="zh-CN" w:bidi="ar"/>
              </w:rPr>
              <w:t>长</w:t>
            </w:r>
            <w:r>
              <w:rPr>
                <w:rFonts w:hint="eastAsia" w:ascii="宋体" w:hAnsi="宋体" w:eastAsia="宋体" w:cs="宋体"/>
                <w:i w:val="0"/>
                <w:iCs w:val="0"/>
                <w:color w:val="auto"/>
                <w:kern w:val="0"/>
                <w:sz w:val="21"/>
                <w:szCs w:val="21"/>
                <w:highlight w:val="none"/>
                <w:u w:val="none"/>
                <w:lang w:val="en-US" w:eastAsia="zh-CN" w:bidi="ar"/>
              </w:rPr>
              <w:t>1400</w:t>
            </w:r>
            <w:r>
              <w:rPr>
                <w:rFonts w:hint="eastAsia" w:ascii="宋体" w:hAnsi="宋体" w:cs="宋体"/>
                <w:i w:val="0"/>
                <w:iCs w:val="0"/>
                <w:color w:val="auto"/>
                <w:kern w:val="0"/>
                <w:sz w:val="21"/>
                <w:szCs w:val="21"/>
                <w:highlight w:val="none"/>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宽</w:t>
            </w:r>
            <w:r>
              <w:rPr>
                <w:rFonts w:hint="eastAsia" w:ascii="宋体" w:hAnsi="宋体" w:eastAsia="宋体" w:cs="宋体"/>
                <w:i w:val="0"/>
                <w:iCs w:val="0"/>
                <w:color w:val="auto"/>
                <w:kern w:val="0"/>
                <w:sz w:val="21"/>
                <w:szCs w:val="21"/>
                <w:highlight w:val="none"/>
                <w:u w:val="none"/>
                <w:lang w:val="en-US" w:eastAsia="zh-CN" w:bidi="ar"/>
              </w:rPr>
              <w:t>600</w:t>
            </w:r>
            <w:r>
              <w:rPr>
                <w:rFonts w:hint="eastAsia" w:ascii="宋体" w:hAnsi="宋体" w:cs="宋体"/>
                <w:i w:val="0"/>
                <w:iCs w:val="0"/>
                <w:color w:val="auto"/>
                <w:kern w:val="0"/>
                <w:sz w:val="21"/>
                <w:szCs w:val="21"/>
                <w:highlight w:val="none"/>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cs="宋体"/>
                <w:i w:val="0"/>
                <w:iCs w:val="0"/>
                <w:color w:val="auto"/>
                <w:kern w:val="0"/>
                <w:sz w:val="21"/>
                <w:szCs w:val="21"/>
                <w:highlight w:val="none"/>
                <w:u w:val="none"/>
                <w:lang w:val="en-US" w:eastAsia="zh-CN" w:bidi="ar"/>
              </w:rPr>
              <w:t>高</w:t>
            </w:r>
            <w:r>
              <w:rPr>
                <w:rFonts w:hint="eastAsia" w:ascii="宋体" w:hAnsi="宋体" w:eastAsia="宋体" w:cs="宋体"/>
                <w:i w:val="0"/>
                <w:iCs w:val="0"/>
                <w:color w:val="auto"/>
                <w:kern w:val="0"/>
                <w:sz w:val="21"/>
                <w:szCs w:val="21"/>
                <w:highlight w:val="none"/>
                <w:u w:val="none"/>
                <w:lang w:val="en-US" w:eastAsia="zh-CN" w:bidi="ar"/>
              </w:rPr>
              <w:t>750</w:t>
            </w:r>
            <w:r>
              <w:rPr>
                <w:rFonts w:hint="eastAsia" w:ascii="宋体" w:hAnsi="宋体" w:cs="宋体"/>
                <w:i w:val="0"/>
                <w:iCs w:val="0"/>
                <w:color w:val="auto"/>
                <w:kern w:val="0"/>
                <w:sz w:val="21"/>
                <w:szCs w:val="21"/>
                <w:highlight w:val="none"/>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（±2mm）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面采用25mm厚优质密度板双面三聚氰饰面，其余板材采用15mm厚优质密度板双面三聚氰胺饰面，抗弯力强，不易变形；耐磨性强，承载能力强，绿色环保，也没有有害物质溢出。面板封边采用1.5mm厚3:1配料PVC经模具生产封边,其余采用1.0mm厚3:1配料PVC封边,所有封经高温全自动机器封边，经久耐用全自动热熔封边机封边，封边牢固、整洁、无毛刺，线条平直，接缝吻合。键盘托采用二节导轨，桌子主机位抽屉设计。</w:t>
            </w:r>
            <w:r>
              <w:rPr>
                <w:rFonts w:hint="eastAsia" w:ascii="宋体" w:hAnsi="宋体" w:eastAsia="宋体" w:cs="宋体"/>
                <w:i w:val="0"/>
                <w:iCs w:val="0"/>
                <w:color w:val="auto"/>
                <w:kern w:val="0"/>
                <w:sz w:val="21"/>
                <w:szCs w:val="21"/>
                <w:highlight w:val="none"/>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椅子要求：1</w:t>
            </w:r>
            <w:r>
              <w:rPr>
                <w:rFonts w:hint="eastAsia" w:ascii="宋体" w:hAnsi="宋体" w:cs="宋体"/>
                <w:i w:val="0"/>
                <w:iCs w:val="0"/>
                <w:color w:val="auto"/>
                <w:kern w:val="0"/>
                <w:sz w:val="21"/>
                <w:szCs w:val="21"/>
                <w:highlight w:val="none"/>
                <w:u w:val="none"/>
                <w:lang w:val="en-US" w:eastAsia="zh-CN" w:bidi="ar"/>
              </w:rPr>
              <w:t>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规格为：不小于长340</w:t>
            </w:r>
            <w:r>
              <w:rPr>
                <w:rFonts w:hint="eastAsia" w:ascii="宋体" w:hAnsi="宋体" w:cs="宋体"/>
                <w:i w:val="0"/>
                <w:iCs w:val="0"/>
                <w:color w:val="auto"/>
                <w:kern w:val="0"/>
                <w:sz w:val="21"/>
                <w:szCs w:val="21"/>
                <w:highlight w:val="none"/>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×宽300</w:t>
            </w:r>
            <w:r>
              <w:rPr>
                <w:rFonts w:hint="eastAsia" w:ascii="宋体" w:hAnsi="宋体" w:cs="宋体"/>
                <w:i w:val="0"/>
                <w:iCs w:val="0"/>
                <w:color w:val="auto"/>
                <w:kern w:val="0"/>
                <w:sz w:val="21"/>
                <w:szCs w:val="21"/>
                <w:highlight w:val="none"/>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×高420</w:t>
            </w:r>
            <w:r>
              <w:rPr>
                <w:rFonts w:hint="eastAsia" w:ascii="宋体" w:hAnsi="宋体" w:cs="宋体"/>
                <w:i w:val="0"/>
                <w:iCs w:val="0"/>
                <w:color w:val="auto"/>
                <w:kern w:val="0"/>
                <w:sz w:val="21"/>
                <w:szCs w:val="21"/>
                <w:highlight w:val="none"/>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钢架采用不小于25mm×25mm冷轧无缝钢管，管壁厚不低于1.2mm，钢管表面喷涂前经酸洗、磷化、除油、脱水、热固化喷塑；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面板采用优质中密度纤维板, 双贴面灰白色三聚氰胺板，板材厚度不小于25mm，不小于1.5mm厚pvc细麻型全自动机器封边。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学生桌椅</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56</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桌子：</w:t>
            </w:r>
            <w:r>
              <w:rPr>
                <w:rFonts w:hint="eastAsia" w:ascii="宋体" w:hAnsi="宋体" w:cs="宋体"/>
                <w:i w:val="0"/>
                <w:iCs w:val="0"/>
                <w:color w:val="auto"/>
                <w:kern w:val="0"/>
                <w:sz w:val="21"/>
                <w:szCs w:val="21"/>
                <w:highlight w:val="none"/>
                <w:u w:val="none"/>
                <w:lang w:val="en-US" w:eastAsia="zh-CN" w:bidi="ar"/>
              </w:rPr>
              <w:t>1张</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规格</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约长1400</w:t>
            </w:r>
            <w:r>
              <w:rPr>
                <w:rFonts w:hint="eastAsia" w:ascii="宋体" w:hAnsi="宋体" w:cs="宋体"/>
                <w:i w:val="0"/>
                <w:iCs w:val="0"/>
                <w:color w:val="auto"/>
                <w:kern w:val="0"/>
                <w:sz w:val="21"/>
                <w:szCs w:val="21"/>
                <w:highlight w:val="none"/>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×宽600</w:t>
            </w:r>
            <w:r>
              <w:rPr>
                <w:rFonts w:hint="eastAsia" w:ascii="宋体" w:hAnsi="宋体" w:cs="宋体"/>
                <w:i w:val="0"/>
                <w:iCs w:val="0"/>
                <w:color w:val="auto"/>
                <w:kern w:val="0"/>
                <w:sz w:val="21"/>
                <w:szCs w:val="21"/>
                <w:highlight w:val="none"/>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高750mm；全部板材采用15mm厚优质密度板双面三聚氰胺饰面，桌面四方加厚至25mm，面板封边采用1.5mm厚3:1配料PVC经模具生产封边,其余采用1.0mm厚3:1配料PVC封边,所有封经高温全自动机器封边，经久耐用，键盘托采用二节导轨，桌子整体结构采用连接板固定，桌子后方预留有走线槽，双键盘托双主机位设计。</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凳子：2</w:t>
            </w:r>
            <w:r>
              <w:rPr>
                <w:rFonts w:hint="eastAsia" w:ascii="宋体" w:hAnsi="宋体" w:cs="宋体"/>
                <w:i w:val="0"/>
                <w:iCs w:val="0"/>
                <w:color w:val="auto"/>
                <w:kern w:val="0"/>
                <w:sz w:val="21"/>
                <w:szCs w:val="21"/>
                <w:highlight w:val="none"/>
                <w:u w:val="none"/>
                <w:lang w:val="en-US" w:eastAsia="zh-CN" w:bidi="ar"/>
              </w:rPr>
              <w:t>张</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规格</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不小于长340</w:t>
            </w:r>
            <w:r>
              <w:rPr>
                <w:rFonts w:hint="eastAsia" w:ascii="宋体" w:hAnsi="宋体" w:cs="宋体"/>
                <w:i w:val="0"/>
                <w:iCs w:val="0"/>
                <w:color w:val="auto"/>
                <w:kern w:val="0"/>
                <w:sz w:val="21"/>
                <w:szCs w:val="21"/>
                <w:highlight w:val="none"/>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×宽300</w:t>
            </w:r>
            <w:r>
              <w:rPr>
                <w:rFonts w:hint="eastAsia" w:ascii="宋体" w:hAnsi="宋体" w:cs="宋体"/>
                <w:i w:val="0"/>
                <w:iCs w:val="0"/>
                <w:color w:val="auto"/>
                <w:kern w:val="0"/>
                <w:sz w:val="21"/>
                <w:szCs w:val="21"/>
                <w:highlight w:val="none"/>
                <w:u w:val="none"/>
                <w:lang w:val="en-US" w:eastAsia="zh-CN" w:bidi="ar"/>
              </w:rPr>
              <w:t>mm</w:t>
            </w:r>
            <w:r>
              <w:rPr>
                <w:rFonts w:hint="eastAsia" w:ascii="宋体" w:hAnsi="宋体" w:eastAsia="宋体" w:cs="宋体"/>
                <w:i w:val="0"/>
                <w:iCs w:val="0"/>
                <w:color w:val="auto"/>
                <w:kern w:val="0"/>
                <w:sz w:val="21"/>
                <w:szCs w:val="21"/>
                <w:highlight w:val="none"/>
                <w:u w:val="none"/>
                <w:lang w:val="en-US" w:eastAsia="zh-CN" w:bidi="ar"/>
              </w:rPr>
              <w:t>×高420mm；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钢架采用不小于25mm×25mm冷轧无缝钢管，管壁厚不低于1.2mm，钢管表面喷涂前经酸洗、磷化、除油、脱水、热固化喷塑；</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面板采用优质中密度纤维板, 双贴面灰白色三聚氰胺板，板材厚度不小于25mm，不小于1.5mm厚pvc细麻型全自动机器封边。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网络交换机</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提供24个10/100/1000Mbps自适应以太网端口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路由设备</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 1个10/100/1000Base-T WAN口，2个10/100/1000Base-T LAN 口以上，最大管理数量100台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施工材料</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批</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优质六类三件套千兆水晶头:金属接触点镀金、空气开关、电源插座、纯铜电源线：铜线的正常额定负载是所带负载峰值功率的2倍以上（峰值功率小于1000w，按照1000w计算）、抗踩踏铁皮线槽、钉子、胶布等一批满足本项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系统集成</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批</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计算机教室桌凳安装服务器部署安装；每台计算机（终端）及网络布设安装；过道耐压弧形走线槽等工程所需配件的安装调试；网络交换机、机柜、电源空开、网线、电源电缆、线槽、电源插排等布设安装；系统软件、教学应用软件、教学资源等安装调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2.所有货物到各个项目学校的运输、培训服务。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80cm电炒锅+拼台</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产品名称:电磁炒菜机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电压功率:380伏20千瓦，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外形尺寸:1000*1100*800+400mm，锅直径：80公分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1、外壳采用201#1.5厚不锈钢制作，侧板1.2mm厚，防护等级IP68</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2.IGBT 模块，</w:t>
            </w:r>
            <w:r>
              <w:rPr>
                <w:rFonts w:hint="eastAsia" w:ascii="宋体" w:hAnsi="宋体" w:cs="宋体"/>
                <w:i w:val="0"/>
                <w:iCs w:val="0"/>
                <w:color w:val="auto"/>
                <w:kern w:val="0"/>
                <w:sz w:val="21"/>
                <w:szCs w:val="21"/>
                <w:highlight w:val="none"/>
                <w:u w:val="none"/>
                <w:lang w:val="en-US" w:eastAsia="zh-CN" w:bidi="ar"/>
              </w:rPr>
              <w:t>安全可靠，</w:t>
            </w:r>
            <w:r>
              <w:rPr>
                <w:rFonts w:hint="eastAsia" w:ascii="宋体" w:hAnsi="宋体" w:eastAsia="宋体" w:cs="宋体"/>
                <w:i w:val="0"/>
                <w:iCs w:val="0"/>
                <w:color w:val="auto"/>
                <w:kern w:val="0"/>
                <w:sz w:val="21"/>
                <w:szCs w:val="21"/>
                <w:highlight w:val="none"/>
                <w:u w:val="none"/>
                <w:lang w:val="en-US" w:eastAsia="zh-CN" w:bidi="ar"/>
              </w:rPr>
              <w:t xml:space="preserve">持久且耐用；产品需要有CQC食品接触认证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3.全能防水、防油烟散热风扇，50000小时寿命保证；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4.320~420VAC宽电压设计，智能恒功率技术；</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5.工业级CPU，能智能识别及锁定锅具材质、高度，相位等参数的变化进行自适应调节，防止IGBT模块的过流、过压损坏；具有EMI滤波单元，能主动吸收电网的雷击浪涌产生的异常电压，防止核心器件高压击穿；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6.输入输出电流保护；纳秒相位跟踪、输出短路响应机制；数字锁相环引擎；动态谐振点跟踪；IGBT温度检测与极限电流保护。</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7.开机自检功能双重卸载性能保护设置，电路板采用全贴片工艺自动化生产多级防护三重立体防辐射外壳屏蔽。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功能动态显示屏带工作电压、档位指示、档位功率、电量统计显示、风机动态工作显示、中文故障显示(线盘异常、线盘超温、请放锅具、锅具超温、机芯超温、开关异常、电压异常)，方便判断故障、维修处理。</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 八档火力磁感应技术控制，无机械摩擦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电磁炉风机及显示屏需提供检测报告加盖</w:t>
            </w:r>
            <w:r>
              <w:rPr>
                <w:rFonts w:hint="eastAsia" w:ascii="宋体" w:hAnsi="宋体" w:cs="宋体"/>
                <w:i w:val="0"/>
                <w:iCs w:val="0"/>
                <w:color w:val="auto"/>
                <w:kern w:val="0"/>
                <w:sz w:val="21"/>
                <w:szCs w:val="21"/>
                <w:highlight w:val="none"/>
                <w:u w:val="none"/>
                <w:lang w:val="en-US" w:eastAsia="zh-CN" w:bidi="ar"/>
              </w:rPr>
              <w:t>供应商</w:t>
            </w:r>
            <w:r>
              <w:rPr>
                <w:rFonts w:hint="eastAsia" w:ascii="宋体" w:hAnsi="宋体" w:eastAsia="宋体" w:cs="宋体"/>
                <w:i w:val="0"/>
                <w:iCs w:val="0"/>
                <w:color w:val="auto"/>
                <w:kern w:val="0"/>
                <w:sz w:val="21"/>
                <w:szCs w:val="21"/>
                <w:highlight w:val="none"/>
                <w:u w:val="none"/>
                <w:lang w:val="en-US" w:eastAsia="zh-CN" w:bidi="ar"/>
              </w:rPr>
              <w:t>公章。</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电磁炉炒锅需提供检测报告加盖公章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12盘蒸饭柜</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12盘豪华版电蒸柜，380伏12千瓦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外形尺寸:690*590*1590mm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1.外壳采用201食品级不锈钢制作，坚固且耐用，柜身材质为1.2MM加厚，柜脚为承重万向轮；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2.内置蒸汽回流技术，360度循环使加热更均匀，内置导流技术，让蒸汽水不回流；</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3.4个蒸汽自动泄压口保障安全、蒸汽做到有序泄压，避免能量浪费；</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4.具有1.2公斤压力105度高温，可用于蒸米饭、蒸面食、蒸炖汤、蒸菜品、酿酒、杀菌、消毒等，适用范围更广；</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5.全自动微电脑监控，无需人看管，自动进水、缺水断电、防止干烧，多重自动保护，使用更安全更放心；</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6.蒸制时间和温度自动显示，可任意设定，蒸柜工作状态，一目了然；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7.配12个1.0加厚食品级不锈钢蒸盘；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三槽洗菜池（含架）</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尺寸180cm*60cm*80cm，采用304不锈钢面板0.7厚度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45升电钣锅</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37</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容量45L，电压220v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大吸力抽油烟机</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0.8厚度不锈钢板材，外形尺寸120cm*105cm，风机流量1000-2000，电压220v，功率：250W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二星级700升消毒柜</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1.功率：1.8kw；</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2.外形尺寸：1000*480*1730mm（公差+/-5mm）</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3.容积：≥680L；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4.消毒温度： 40-120℃可调，消毒星级：2星级；要求能对幽门螺杆菌ATCC43504/白色葡萄球菌8032/金黄色葡萄球菌ATCC6538等菌种杀灭率&gt;99.999%，提供正式检测报告。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5.材质：整体聚氨酯发泡，全无磁不锈钢板材，整体一体成型门；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5.消毒时间：时间可根据使用需求调整；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 xml:space="preserve">6.消毒方式：高温热风循环，隐藏式发热管耐燃性符合JB/T4088要求，发热管材质符合GB4806.7要求，提供检测报告； </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7.层架材质：全无磁不锈钢材料，五层，要求符合GB/T2423.3-2016恒定湿热要求；载重：≥25KG/层，提供检测报告；</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8.所有棱边、尖角需翻边压实，去毛刺，抛光打磨，无焊痕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四层置物架</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36</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100cm*500cm*155cm，承重50公斤，整体201不锈钢；厚度 0.6mm厚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四门冰箱</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容积600升，尺寸1000mm*600mm*1950mm</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单压缩机，功率320</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430带磁不锈钢</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电子温控，温度范围</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冷藏2</w:t>
            </w:r>
            <w:r>
              <w:rPr>
                <w:rFonts w:hint="eastAsia" w:ascii="宋体" w:hAnsi="宋体" w:cs="宋体"/>
                <w:i w:val="0"/>
                <w:iCs w:val="0"/>
                <w:color w:val="auto"/>
                <w:kern w:val="0"/>
                <w:sz w:val="21"/>
                <w:szCs w:val="21"/>
                <w:highlight w:val="none"/>
                <w:u w:val="none"/>
                <w:lang w:val="en-US" w:eastAsia="zh-CN" w:bidi="ar"/>
              </w:rPr>
              <w:t xml:space="preserve"> 至 </w:t>
            </w:r>
            <w:r>
              <w:rPr>
                <w:rFonts w:hint="eastAsia" w:ascii="宋体" w:hAnsi="宋体" w:eastAsia="宋体" w:cs="宋体"/>
                <w:i w:val="0"/>
                <w:iCs w:val="0"/>
                <w:color w:val="auto"/>
                <w:kern w:val="0"/>
                <w:sz w:val="21"/>
                <w:szCs w:val="21"/>
                <w:highlight w:val="none"/>
                <w:u w:val="none"/>
                <w:lang w:val="en-US" w:eastAsia="zh-CN" w:bidi="ar"/>
              </w:rPr>
              <w:t>8</w:t>
            </w:r>
            <w:r>
              <w:rPr>
                <w:rFonts w:hint="eastAsia" w:ascii="宋体" w:hAnsi="宋体" w:cs="宋体"/>
                <w:i w:val="0"/>
                <w:iCs w:val="0"/>
                <w:color w:val="auto"/>
                <w:kern w:val="0"/>
                <w:sz w:val="21"/>
                <w:szCs w:val="21"/>
                <w:highlight w:val="none"/>
                <w:u w:val="none"/>
                <w:lang w:val="en-US" w:eastAsia="zh-CN" w:bidi="ar"/>
              </w:rPr>
              <w:t xml:space="preserve"> 摄氏度</w:t>
            </w:r>
            <w:r>
              <w:rPr>
                <w:rFonts w:hint="eastAsia" w:ascii="宋体" w:hAnsi="宋体" w:eastAsia="宋体" w:cs="宋体"/>
                <w:i w:val="0"/>
                <w:iCs w:val="0"/>
                <w:color w:val="auto"/>
                <w:kern w:val="0"/>
                <w:sz w:val="21"/>
                <w:szCs w:val="21"/>
                <w:highlight w:val="none"/>
                <w:u w:val="none"/>
                <w:lang w:val="en-US" w:eastAsia="zh-CN" w:bidi="ar"/>
              </w:rPr>
              <w:t>，冷冻</w:t>
            </w:r>
            <w:r>
              <w:rPr>
                <w:rFonts w:hint="eastAsia" w:ascii="宋体" w:hAnsi="宋体" w:cs="宋体"/>
                <w:i w:val="0"/>
                <w:iCs w:val="0"/>
                <w:color w:val="auto"/>
                <w:kern w:val="0"/>
                <w:sz w:val="21"/>
                <w:szCs w:val="21"/>
                <w:highlight w:val="none"/>
                <w:u w:val="none"/>
                <w:lang w:val="en-US" w:eastAsia="zh-CN" w:bidi="ar"/>
              </w:rPr>
              <w:t xml:space="preserve"> -</w:t>
            </w: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 xml:space="preserve"> 至 -</w:t>
            </w:r>
            <w:r>
              <w:rPr>
                <w:rFonts w:hint="eastAsia" w:ascii="宋体" w:hAnsi="宋体" w:eastAsia="宋体" w:cs="宋体"/>
                <w:i w:val="0"/>
                <w:iCs w:val="0"/>
                <w:color w:val="auto"/>
                <w:kern w:val="0"/>
                <w:sz w:val="21"/>
                <w:szCs w:val="21"/>
                <w:highlight w:val="none"/>
                <w:u w:val="none"/>
                <w:lang w:val="en-US" w:eastAsia="zh-CN" w:bidi="ar"/>
              </w:rPr>
              <w:t>15</w:t>
            </w:r>
            <w:r>
              <w:rPr>
                <w:rFonts w:hint="eastAsia" w:ascii="宋体" w:hAnsi="宋体" w:cs="宋体"/>
                <w:i w:val="0"/>
                <w:iCs w:val="0"/>
                <w:color w:val="auto"/>
                <w:kern w:val="0"/>
                <w:sz w:val="21"/>
                <w:szCs w:val="21"/>
                <w:highlight w:val="none"/>
                <w:u w:val="none"/>
                <w:lang w:val="en-US" w:eastAsia="zh-CN" w:bidi="ar"/>
              </w:rPr>
              <w:t>摄氏度。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2" w:hRule="atLeast"/>
        </w:trPr>
        <w:tc>
          <w:tcPr>
            <w:tcW w:w="421"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1145"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留样冰箱</w:t>
            </w:r>
          </w:p>
        </w:tc>
        <w:tc>
          <w:tcPr>
            <w:tcW w:w="68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c>
          <w:tcPr>
            <w:tcW w:w="712"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28</w:t>
            </w:r>
          </w:p>
        </w:tc>
        <w:tc>
          <w:tcPr>
            <w:tcW w:w="6679" w:type="dxa"/>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容积：45L；电压(v)220；功率(w85；温度范围(0-10），自动蒸发冷凝水，层架数量（1）；外形尺寸(mm)405*440*552；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9639" w:type="dxa"/>
            <w:gridSpan w:val="5"/>
            <w:shd w:val="clear" w:color="auto" w:fill="FFFFFF"/>
            <w:tcMar>
              <w:top w:w="15" w:type="dxa"/>
              <w:left w:w="15" w:type="dxa"/>
              <w:right w:w="15" w:type="dxa"/>
            </w:tcMar>
            <w:vAlign w:val="center"/>
          </w:tcPr>
          <w:p>
            <w:pPr>
              <w:adjustRightInd/>
              <w:jc w:val="center"/>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rPr>
              <w:t>▲</w:t>
            </w:r>
            <w:r>
              <w:rPr>
                <w:rFonts w:hint="eastAsia" w:ascii="宋体" w:hAnsi="宋体" w:eastAsia="宋体" w:cs="宋体"/>
                <w:b/>
                <w:bCs/>
                <w:color w:val="auto"/>
                <w:kern w:val="0"/>
                <w:sz w:val="21"/>
                <w:szCs w:val="21"/>
                <w:highlight w:val="none"/>
                <w:lang w:bidi="ar"/>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0" w:hRule="atLeast"/>
        </w:trPr>
        <w:tc>
          <w:tcPr>
            <w:tcW w:w="9639" w:type="dxa"/>
            <w:gridSpan w:val="5"/>
            <w:shd w:val="clear" w:color="auto" w:fill="FFFFFF"/>
            <w:tcMar>
              <w:top w:w="15" w:type="dxa"/>
              <w:left w:w="15" w:type="dxa"/>
              <w:right w:w="15" w:type="dxa"/>
            </w:tcMar>
            <w:vAlign w:val="center"/>
          </w:tcPr>
          <w:p>
            <w:pPr>
              <w:widowControl/>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一、合同签订期：自中标通知书发出之日起25日内。</w:t>
            </w:r>
          </w:p>
          <w:p>
            <w:pPr>
              <w:widowControl/>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二、交货（交付）时间：签订合同后</w:t>
            </w:r>
            <w:r>
              <w:rPr>
                <w:rFonts w:hint="eastAsia" w:ascii="宋体" w:hAnsi="宋体" w:cs="宋体"/>
                <w:color w:val="auto"/>
                <w:kern w:val="0"/>
                <w:sz w:val="21"/>
                <w:szCs w:val="21"/>
                <w:highlight w:val="none"/>
                <w:lang w:val="en-US" w:eastAsia="zh-CN"/>
              </w:rPr>
              <w:t>30</w:t>
            </w:r>
            <w:r>
              <w:rPr>
                <w:rFonts w:hint="eastAsia" w:ascii="宋体" w:hAnsi="宋体" w:cs="宋体"/>
                <w:color w:val="auto"/>
                <w:kern w:val="0"/>
                <w:sz w:val="21"/>
                <w:szCs w:val="21"/>
                <w:highlight w:val="none"/>
              </w:rPr>
              <w:t>个日历日</w:t>
            </w:r>
            <w:r>
              <w:rPr>
                <w:rFonts w:hint="eastAsia" w:ascii="宋体" w:hAnsi="宋体" w:cs="宋体"/>
                <w:color w:val="auto"/>
                <w:kern w:val="0"/>
                <w:sz w:val="21"/>
                <w:szCs w:val="21"/>
                <w:highlight w:val="none"/>
                <w:lang w:val="en-US" w:eastAsia="zh-CN"/>
              </w:rPr>
              <w:t>内</w:t>
            </w:r>
            <w:r>
              <w:rPr>
                <w:rFonts w:hint="eastAsia" w:ascii="宋体" w:hAnsi="宋体" w:cs="宋体"/>
                <w:color w:val="auto"/>
                <w:kern w:val="0"/>
                <w:sz w:val="21"/>
                <w:szCs w:val="21"/>
                <w:highlight w:val="none"/>
              </w:rPr>
              <w:t>，如因甲方及其他客观原因导致交付延期，不算作乙方违约，交付周期可视延期时间往后顺延。</w:t>
            </w:r>
          </w:p>
          <w:p>
            <w:pPr>
              <w:widowControl/>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三、交货地点：合浦县石湾镇、白沙镇、常乐镇、公馆镇、曲樟乡等5镇中心小学，合浦县乌家中学，合浦县星岛湖镇总江初级中学。</w:t>
            </w:r>
          </w:p>
          <w:p>
            <w:pPr>
              <w:widowControl/>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四、付款时间和方式：</w:t>
            </w:r>
          </w:p>
          <w:p>
            <w:pPr>
              <w:widowControl/>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中标签订合同后30个日历日内预付中标合同金额的50％，项目验收合格后30个日历日内支付剩余中标合同金额50％。</w:t>
            </w:r>
          </w:p>
          <w:p>
            <w:pPr>
              <w:widowControl/>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五、质量要求：</w:t>
            </w:r>
          </w:p>
          <w:p>
            <w:pPr>
              <w:widowControl/>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1.货物必须是全新合格产品，产品质量符合国家相关标准及安全规范；</w:t>
            </w:r>
          </w:p>
          <w:p>
            <w:pPr>
              <w:widowControl/>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2.供应商须按国家有关规定实行“三包”，免费送货上门。提供现场免费安装、调试设备，进行操作试验，直至运行正常；</w:t>
            </w:r>
          </w:p>
          <w:p>
            <w:pPr>
              <w:widowControl/>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3.采购人对供应商所交货物依照采购文件上的技术规格要求和国家有关标准进行现场验收，性能达到技术要求的，给予签收。验收不合格的不予签收，后果由供应商负责。</w:t>
            </w:r>
          </w:p>
          <w:p>
            <w:pPr>
              <w:widowControl/>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六、售后服务要求：</w:t>
            </w:r>
          </w:p>
          <w:p>
            <w:pPr>
              <w:widowControl/>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送货上门、由技术人员现场安装、调试和技术指导，并在用户使用地培训操作人员掌握设备操作及日常维护。所供货物各项性能指标达到技术要求的，由供应商和采购人双方共同签字认可，现场验收；并提供设备完整技术资料，技术资料包括技术规格和指标，各部件型号和参数清单，操作使用说明手册和注意事项。设备到货后，供应商和采购单位应在现场进行清点。清点过程中如果发现因包装或运输不当引起的仪器外观或内部的损坏，供应商应承担所有责任。</w:t>
            </w:r>
          </w:p>
          <w:p>
            <w:pPr>
              <w:widowControl/>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2.维修响应：供应商在接到用户维修电话后同城4小时、异地12小时技术响应服务，2个工作日解决问题，若不能修复则应有合理应对方案。定期回访，对设备进行预防性维护指导。</w:t>
            </w:r>
          </w:p>
          <w:p>
            <w:pPr>
              <w:widowControl/>
              <w:adjustRightInd w:val="0"/>
              <w:snapToGrid w:val="0"/>
              <w:spacing w:line="360" w:lineRule="auto"/>
              <w:ind w:firstLine="420" w:firstLineChars="200"/>
              <w:jc w:val="left"/>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3.供应商除承担运输、安装、调试、验收与培训等义务外，还将为采购人提供技术支持，包括质保期外的修理及技术指导、配件供应等。 质量保证期：质保期不少于一年（若厂家质保期超过一年的，按厂家规定执行），质保期自双方代表在系统及设备安装调试后的验收证明文件上签字之日起计算，质保期内，按国家有关产品“三包”规定执行“三包”。</w:t>
            </w:r>
          </w:p>
          <w:p>
            <w:pPr>
              <w:widowControl/>
              <w:adjustRightInd w:val="0"/>
              <w:snapToGrid w:val="0"/>
              <w:spacing w:line="360" w:lineRule="auto"/>
              <w:ind w:firstLine="424" w:firstLineChars="202"/>
              <w:jc w:val="left"/>
              <w:rPr>
                <w:rFonts w:hint="default"/>
                <w:color w:val="auto"/>
                <w:sz w:val="21"/>
                <w:szCs w:val="21"/>
                <w:highlight w:val="none"/>
                <w:lang w:val="en-US"/>
              </w:rPr>
            </w:pPr>
            <w:r>
              <w:rPr>
                <w:rFonts w:hint="eastAsia" w:ascii="宋体" w:hAnsi="宋体" w:cs="宋体"/>
                <w:color w:val="auto"/>
                <w:kern w:val="0"/>
                <w:sz w:val="21"/>
                <w:szCs w:val="21"/>
                <w:highlight w:val="none"/>
              </w:rPr>
              <w:t>4.供应商应提供售后服务承诺书。</w:t>
            </w:r>
          </w:p>
        </w:tc>
      </w:tr>
    </w:tbl>
    <w:p>
      <w:pPr>
        <w:pStyle w:val="2"/>
        <w:numPr>
          <w:ilvl w:val="0"/>
          <w:numId w:val="0"/>
        </w:numPr>
        <w:ind w:left="432"/>
        <w:rPr>
          <w:color w:val="auto"/>
          <w:lang w:val="en-US"/>
        </w:rPr>
      </w:pPr>
    </w:p>
    <w:p>
      <w:pPr>
        <w:spacing w:line="300" w:lineRule="exact"/>
        <w:ind w:firstLine="480" w:firstLineChars="200"/>
        <w:rPr>
          <w:rFonts w:ascii="宋体" w:hAnsi="宋体" w:cs="宋体"/>
          <w:bCs/>
          <w:color w:val="auto"/>
          <w:sz w:val="24"/>
        </w:rPr>
      </w:pPr>
    </w:p>
    <w:p>
      <w:pPr>
        <w:rPr>
          <w:color w:val="auto"/>
        </w:rPr>
      </w:pPr>
    </w:p>
    <w:p>
      <w:pPr>
        <w:pStyle w:val="2"/>
        <w:numPr>
          <w:ilvl w:val="0"/>
          <w:numId w:val="0"/>
        </w:numPr>
        <w:ind w:left="432"/>
        <w:rPr>
          <w:color w:val="auto"/>
          <w:lang w:val="en-US"/>
        </w:rPr>
      </w:pPr>
    </w:p>
    <w:p>
      <w:pPr>
        <w:rPr>
          <w:color w:val="auto"/>
        </w:rPr>
      </w:pPr>
    </w:p>
    <w:p>
      <w:pPr>
        <w:widowControl/>
        <w:adjustRightInd/>
        <w:jc w:val="left"/>
        <w:rPr>
          <w:rFonts w:cs="仿宋_GB2312" w:asciiTheme="minorEastAsia" w:hAnsiTheme="minorEastAsia" w:eastAsiaTheme="minorEastAsia"/>
          <w:b/>
          <w:color w:val="auto"/>
          <w:sz w:val="36"/>
          <w:szCs w:val="36"/>
        </w:rPr>
      </w:pPr>
      <w:bookmarkStart w:id="92" w:name="_Toc181265285"/>
      <w:r>
        <w:rPr>
          <w:rFonts w:cs="仿宋_GB2312" w:asciiTheme="minorEastAsia" w:hAnsiTheme="minorEastAsia" w:eastAsiaTheme="minorEastAsia"/>
          <w:b/>
          <w:color w:val="auto"/>
          <w:sz w:val="36"/>
          <w:szCs w:val="36"/>
        </w:rPr>
        <w:br w:type="page"/>
      </w:r>
    </w:p>
    <w:p>
      <w:pPr>
        <w:adjustRightInd/>
        <w:spacing w:line="360" w:lineRule="auto"/>
        <w:jc w:val="center"/>
        <w:outlineLvl w:val="0"/>
        <w:rPr>
          <w:rFonts w:cs="仿宋_GB2312" w:asciiTheme="minorEastAsia" w:hAnsiTheme="minorEastAsia" w:eastAsiaTheme="minorEastAsia"/>
          <w:b/>
          <w:color w:val="auto"/>
          <w:sz w:val="36"/>
          <w:szCs w:val="36"/>
        </w:rPr>
      </w:pPr>
      <w:r>
        <w:rPr>
          <w:rFonts w:hint="eastAsia" w:cs="仿宋_GB2312" w:asciiTheme="minorEastAsia" w:hAnsiTheme="minorEastAsia" w:eastAsiaTheme="minorEastAsia"/>
          <w:b/>
          <w:color w:val="auto"/>
          <w:sz w:val="36"/>
          <w:szCs w:val="36"/>
        </w:rPr>
        <w:t xml:space="preserve">第五部分  </w:t>
      </w:r>
      <w:bookmarkEnd w:id="83"/>
      <w:bookmarkEnd w:id="84"/>
      <w:bookmarkStart w:id="93" w:name="第四部分"/>
      <w:r>
        <w:rPr>
          <w:rFonts w:hint="eastAsia" w:cs="仿宋_GB2312" w:asciiTheme="minorEastAsia" w:hAnsiTheme="minorEastAsia" w:eastAsiaTheme="minorEastAsia"/>
          <w:b/>
          <w:color w:val="auto"/>
          <w:sz w:val="36"/>
          <w:szCs w:val="36"/>
        </w:rPr>
        <w:t>评定标准</w:t>
      </w:r>
      <w:bookmarkEnd w:id="92"/>
    </w:p>
    <w:p>
      <w:pPr>
        <w:adjustRightInd/>
        <w:spacing w:line="360" w:lineRule="auto"/>
        <w:ind w:firstLine="482" w:firstLineChars="200"/>
        <w:rPr>
          <w:rFonts w:cs="Arial" w:asciiTheme="minorEastAsia" w:hAnsiTheme="minorEastAsia" w:eastAsiaTheme="minorEastAsia"/>
          <w:b/>
          <w:color w:val="auto"/>
          <w:kern w:val="0"/>
          <w:sz w:val="24"/>
        </w:rPr>
      </w:pPr>
    </w:p>
    <w:p>
      <w:pPr>
        <w:pStyle w:val="392"/>
        <w:spacing w:before="0"/>
        <w:ind w:firstLine="643"/>
        <w:jc w:val="center"/>
        <w:outlineLvl w:val="1"/>
        <w:rPr>
          <w:rFonts w:cs="仿宋_GB2312" w:asciiTheme="minorEastAsia" w:hAnsiTheme="minorEastAsia" w:eastAsiaTheme="minorEastAsia"/>
          <w:b/>
          <w:color w:val="auto"/>
        </w:rPr>
      </w:pPr>
      <w:r>
        <w:rPr>
          <w:rFonts w:hint="eastAsia" w:cs="仿宋_GB2312" w:asciiTheme="minorEastAsia" w:hAnsiTheme="minorEastAsia" w:eastAsiaTheme="minorEastAsia"/>
          <w:b/>
          <w:color w:val="auto"/>
          <w:sz w:val="32"/>
        </w:rPr>
        <w:t>一、评审方法</w:t>
      </w:r>
    </w:p>
    <w:p>
      <w:pPr>
        <w:adjustRightInd/>
        <w:spacing w:line="360" w:lineRule="auto"/>
        <w:rPr>
          <w:rFonts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1.谈判小组应当从质量和服务均能满足采购文件实质性响应要求的供应商中，按照最后报价由低到高的顺序提出3名以上成交候选人，并编写评审报告。对于未预留份额专门面向中小企业采购的政府采购项目，以及预留份额政府采购项目中的非预留部分标项，对符合《政府采购促进中小企业发展管理办法》规定的小型和微型企业的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报价给予6%的扣除，用扣除后的价格参加评审。对于专门面向中小企业采购的项目或者采购包，不再执行价格评审优惠的扶持政策。</w:t>
      </w:r>
    </w:p>
    <w:p>
      <w:pPr>
        <w:adjustRightInd/>
        <w:spacing w:line="360" w:lineRule="auto"/>
        <w:rPr>
          <w:rFonts w:cs="Arial" w:asciiTheme="minorEastAsia" w:hAnsiTheme="minorEastAsia" w:eastAsiaTheme="minorEastAsia"/>
          <w:color w:val="auto"/>
          <w:kern w:val="0"/>
          <w:sz w:val="24"/>
        </w:rPr>
      </w:pPr>
    </w:p>
    <w:p>
      <w:pPr>
        <w:pStyle w:val="631"/>
        <w:rPr>
          <w:color w:val="auto"/>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二、谈判小组的组成</w:t>
      </w:r>
    </w:p>
    <w:p>
      <w:pPr>
        <w:pStyle w:val="392"/>
        <w:spacing w:before="0"/>
        <w:ind w:firstLine="0" w:firstLineChars="0"/>
        <w:rPr>
          <w:rFonts w:cs="Arial" w:asciiTheme="minorEastAsia" w:hAnsiTheme="minorEastAsia" w:eastAsiaTheme="minorEastAsia"/>
          <w:b/>
          <w:color w:val="auto"/>
          <w:kern w:val="0"/>
        </w:rPr>
      </w:pPr>
      <w:r>
        <w:rPr>
          <w:rFonts w:hint="eastAsia" w:cs="Arial" w:asciiTheme="minorEastAsia" w:hAnsiTheme="minorEastAsia" w:eastAsiaTheme="minorEastAsia"/>
          <w:b/>
          <w:color w:val="auto"/>
          <w:kern w:val="0"/>
        </w:rPr>
        <w:t>1.谈判小组的组成。</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谈判小组由采购人代表和评审专家共3人以上单数组成，其中评审专家人数不得少于谈判小组成员总数的2/3。采购人代表不得以评审专家身份参加本部门或本单位采购项目的评审。采购代理机构人员不得参加本机构代理的采购项目的评审。</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达到公开招标数额标准的货物采购项目，竞争性谈判小组应当由5人以上单数组成。</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采用竞争性谈判采购的政府采购项目，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pPr>
        <w:snapToGrid w:val="0"/>
        <w:spacing w:line="360" w:lineRule="auto"/>
        <w:rPr>
          <w:rFonts w:cs="Arial" w:asciiTheme="minorEastAsia" w:hAnsiTheme="minorEastAsia" w:eastAsiaTheme="minorEastAsia"/>
          <w:b/>
          <w:color w:val="auto"/>
          <w:kern w:val="0"/>
          <w:sz w:val="24"/>
          <w:szCs w:val="20"/>
        </w:rPr>
      </w:pPr>
      <w:r>
        <w:rPr>
          <w:rFonts w:hint="eastAsia" w:cs="Arial" w:asciiTheme="minorEastAsia" w:hAnsiTheme="minorEastAsia" w:eastAsiaTheme="minorEastAsia"/>
          <w:b/>
          <w:color w:val="auto"/>
          <w:kern w:val="0"/>
          <w:sz w:val="24"/>
          <w:szCs w:val="20"/>
        </w:rPr>
        <w:t>2.谈判小组的组成人员的回避。</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在政府采购活动中，谈判小组的组成人员与供应商有下列利害关系之一的，应当回避：</w:t>
      </w:r>
    </w:p>
    <w:p>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2.1参加采购活动前3年内与供应商存在劳动关系；</w:t>
      </w:r>
    </w:p>
    <w:p>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2.2参加采购活动前3年内担任供应商的董事、监事；</w:t>
      </w:r>
    </w:p>
    <w:p>
      <w:pPr>
        <w:pStyle w:val="392"/>
        <w:spacing w:before="0"/>
        <w:ind w:firstLine="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　　2.3参加采购活动前3年内是供应商的控股股东或者实际控制人；</w:t>
      </w:r>
    </w:p>
    <w:p>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2.4与供应商的法定代表人或者负责人有夫妻、直系血亲、三代以内旁系血亲或者近姻亲关系；</w:t>
      </w:r>
    </w:p>
    <w:p>
      <w:pPr>
        <w:pStyle w:val="392"/>
        <w:spacing w:before="0"/>
        <w:ind w:firstLine="480" w:firstLineChars="0"/>
        <w:rPr>
          <w:rFonts w:cs="Arial" w:asciiTheme="minorEastAsia" w:hAnsiTheme="minorEastAsia" w:eastAsiaTheme="minorEastAsia"/>
          <w:color w:val="auto"/>
          <w:kern w:val="0"/>
        </w:rPr>
      </w:pPr>
      <w:r>
        <w:rPr>
          <w:rFonts w:hint="eastAsia" w:cs="Arial" w:asciiTheme="minorEastAsia" w:hAnsiTheme="minorEastAsia" w:eastAsiaTheme="minorEastAsia"/>
          <w:color w:val="auto"/>
          <w:kern w:val="0"/>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color w:val="auto"/>
          <w:sz w:val="32"/>
        </w:rPr>
      </w:pPr>
    </w:p>
    <w:p>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rPr>
        <w:t>三、谈判小组的职责</w:t>
      </w:r>
    </w:p>
    <w:p>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1.谈判小组负责具体评审事务，并独立履行下列职责：</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1.1</w:t>
      </w:r>
      <w:r>
        <w:rPr>
          <w:rFonts w:hint="eastAsia" w:asciiTheme="minorEastAsia" w:hAnsiTheme="minorEastAsia" w:eastAsiaTheme="minorEastAsia"/>
          <w:color w:val="auto"/>
          <w:szCs w:val="24"/>
        </w:rPr>
        <w:t>对供应商的资格进行审查；</w:t>
      </w:r>
      <w:r>
        <w:rPr>
          <w:rFonts w:hint="eastAsia" w:asciiTheme="minorEastAsia" w:hAnsiTheme="minorEastAsia" w:eastAsiaTheme="minorEastAsia"/>
          <w:color w:val="auto"/>
        </w:rPr>
        <w:t>对响应文件的有效性、完整性和响应程度进行审查；</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1.2审查、评价响应文件是否符合谈判文件的商务、技术等实质性要求；</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1.3要求供应商对响应文件有关事项作出澄清、说明或者更正；</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1.4谈判小组集中与单一供应商分别进行谈判；</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1.5谈判小组根据谈判文件和谈判情况实质性变动采购需求中的技术、服务要求以及合同草案条款，并确定提交最后报价的供应商；</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1.6根据谈判文件确定的评定标准对提交最后报价的供应商的响应文件和最后报价进行评定；</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1.7编制评审报告，确定成交候选人名单，以及根据采购人委托直接确定成交人；</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1.8向采购人、采购代理机构或者有关部门报告评审中发现的违法行为；</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1.9法律、法规、规章、谈判文件等规定的其它事项。</w:t>
      </w:r>
    </w:p>
    <w:p>
      <w:pPr>
        <w:pStyle w:val="392"/>
        <w:spacing w:before="0"/>
        <w:ind w:firstLine="0" w:firstLineChars="0"/>
        <w:rPr>
          <w:rFonts w:cs="Arial" w:asciiTheme="minorEastAsia" w:hAnsiTheme="minorEastAsia" w:eastAsiaTheme="minorEastAsia"/>
          <w:b/>
          <w:color w:val="auto"/>
          <w:kern w:val="0"/>
          <w:szCs w:val="24"/>
        </w:rPr>
      </w:pPr>
      <w:r>
        <w:rPr>
          <w:rFonts w:hint="eastAsia" w:cs="Arial" w:asciiTheme="minorEastAsia" w:hAnsiTheme="minorEastAsia" w:eastAsiaTheme="minorEastAsia"/>
          <w:b/>
          <w:color w:val="auto"/>
          <w:kern w:val="0"/>
          <w:szCs w:val="24"/>
        </w:rPr>
        <w:t>2.谈判小组及其成员不得有下列行为：</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2.1确定参与本项目至评审结束前私自接触供应商；</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 xml:space="preserve">2.2接受供应商提出的“超出响应文件的范围或者改变响应文件的实质性内容”的澄清、说明或者更正； </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2.3违反评审纪律发表倾向性意见或者征询采购人的倾向性意见；</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2.4在评审过程中擅离职守，影响评审程序正常进行的；</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2.5记录、复制或者带走任何评审资料；</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2.6其他不遵守评审纪律的行为。</w:t>
      </w:r>
    </w:p>
    <w:p>
      <w:pPr>
        <w:pStyle w:val="392"/>
        <w:spacing w:before="0"/>
        <w:ind w:firstLine="480"/>
        <w:rPr>
          <w:rFonts w:asciiTheme="minorEastAsia" w:hAnsiTheme="minorEastAsia" w:eastAsiaTheme="minorEastAsia"/>
          <w:color w:val="auto"/>
        </w:rPr>
      </w:pPr>
      <w:r>
        <w:rPr>
          <w:rFonts w:hint="eastAsia" w:asciiTheme="minorEastAsia" w:hAnsiTheme="minorEastAsia" w:eastAsiaTheme="minorEastAsia"/>
          <w:color w:val="auto"/>
        </w:rPr>
        <w:t>谈判小组成员有2.1-2.4行为之一的，其评审意见无效，并不得获取评审劳务报酬和报销异地评审差旅费。</w:t>
      </w:r>
    </w:p>
    <w:p>
      <w:pPr>
        <w:pStyle w:val="392"/>
        <w:spacing w:before="0"/>
        <w:ind w:firstLine="0" w:firstLineChars="0"/>
        <w:rPr>
          <w:rFonts w:asciiTheme="minorEastAsia" w:hAnsiTheme="minorEastAsia" w:eastAsiaTheme="minorEastAsia"/>
          <w:b/>
          <w:color w:val="auto"/>
        </w:rPr>
      </w:pPr>
    </w:p>
    <w:p>
      <w:pPr>
        <w:pStyle w:val="392"/>
        <w:spacing w:before="0"/>
        <w:ind w:firstLine="0" w:firstLineChars="0"/>
        <w:jc w:val="center"/>
        <w:outlineLvl w:val="1"/>
        <w:rPr>
          <w:rFonts w:cs="仿宋_GB2312" w:asciiTheme="minorEastAsia" w:hAnsiTheme="minorEastAsia" w:eastAsiaTheme="minorEastAsia"/>
          <w:b/>
          <w:color w:val="auto"/>
          <w:sz w:val="32"/>
        </w:rPr>
      </w:pPr>
    </w:p>
    <w:p>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四、评审程序</w:t>
      </w:r>
    </w:p>
    <w:p>
      <w:pPr>
        <w:pStyle w:val="392"/>
        <w:spacing w:before="0"/>
        <w:ind w:firstLine="472" w:firstLineChars="196"/>
        <w:rPr>
          <w:rFonts w:asciiTheme="minorEastAsia" w:hAnsiTheme="minorEastAsia" w:eastAsiaTheme="minorEastAsia"/>
          <w:b/>
          <w:color w:val="auto"/>
        </w:rPr>
      </w:pPr>
      <w:r>
        <w:rPr>
          <w:rFonts w:hint="eastAsia" w:asciiTheme="minorEastAsia" w:hAnsiTheme="minorEastAsia" w:eastAsiaTheme="minorEastAsia"/>
          <w:b/>
          <w:color w:val="auto"/>
        </w:rPr>
        <w:t>详见谈判文件“第二部分 竞争性谈判流程”。</w:t>
      </w:r>
    </w:p>
    <w:p>
      <w:pPr>
        <w:pStyle w:val="392"/>
        <w:spacing w:before="0"/>
        <w:ind w:firstLine="0" w:firstLineChars="0"/>
        <w:rPr>
          <w:rFonts w:asciiTheme="minorEastAsia" w:hAnsiTheme="minorEastAsia" w:eastAsiaTheme="minorEastAsia"/>
          <w:b/>
          <w:color w:val="auto"/>
        </w:rPr>
      </w:pPr>
    </w:p>
    <w:p>
      <w:pPr>
        <w:pStyle w:val="392"/>
        <w:spacing w:before="0"/>
        <w:ind w:firstLine="0" w:firstLineChars="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五、评审须知</w:t>
      </w:r>
    </w:p>
    <w:p>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szCs w:val="24"/>
        </w:rPr>
        <w:t>1. 响应文件的澄清</w:t>
      </w:r>
    </w:p>
    <w:p>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对于响应文件中含义不明确、同类问题表述不一致或者有明显文字和计算错误的内容需要供应商做出必要的澄清、说明或者补正的，谈判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2.最后报价的修正原则</w:t>
      </w:r>
    </w:p>
    <w:p>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谈判小组对响应文件的最后报价进行审核，对发现计算、书写等错误的，按以下原则进行修正：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2.2大写金额和小写金额不一致的，以大写金额为准;</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2.4总价金额与按单价汇总金额不一致的，以单价金额计算结果为准。</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2.5同时出现两种以上不一致的，按照前款规定的顺序修正。</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2.6以修正后的总价作为最后报价。</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Cs/>
          <w:color w:val="auto"/>
          <w:sz w:val="24"/>
        </w:rPr>
        <w:t>▲</w:t>
      </w:r>
      <w:r>
        <w:rPr>
          <w:rFonts w:hint="eastAsia" w:cs="仿宋_GB2312" w:asciiTheme="minorEastAsia" w:hAnsiTheme="minorEastAsia" w:eastAsiaTheme="minorEastAsia"/>
          <w:b/>
          <w:bCs/>
          <w:color w:val="auto"/>
          <w:sz w:val="24"/>
        </w:rPr>
        <w:t>供应商对根据修正原则修正后的最后报价不确认的，响应无效。</w:t>
      </w:r>
    </w:p>
    <w:p>
      <w:pPr>
        <w:pStyle w:val="392"/>
        <w:spacing w:before="0"/>
        <w:ind w:firstLine="0" w:firstLineChars="0"/>
        <w:rPr>
          <w:rFonts w:cs="仿宋_GB2312" w:asciiTheme="minorEastAsia" w:hAnsiTheme="minorEastAsia" w:eastAsiaTheme="minorEastAsia"/>
          <w:b/>
          <w:color w:val="auto"/>
          <w:szCs w:val="24"/>
        </w:rPr>
      </w:pPr>
      <w:r>
        <w:rPr>
          <w:rFonts w:hint="eastAsia" w:asciiTheme="minorEastAsia" w:hAnsiTheme="minorEastAsia" w:eastAsiaTheme="minorEastAsia"/>
          <w:b/>
          <w:color w:val="auto"/>
        </w:rPr>
        <w:t>3.</w:t>
      </w:r>
      <w:r>
        <w:rPr>
          <w:rFonts w:hint="eastAsia" w:asciiTheme="minorEastAsia" w:hAnsiTheme="minorEastAsia" w:eastAsiaTheme="minorEastAsia"/>
          <w:b/>
          <w:color w:val="auto"/>
          <w:spacing w:val="20"/>
        </w:rPr>
        <w:t>响应无效</w:t>
      </w:r>
    </w:p>
    <w:p>
      <w:pPr>
        <w:pStyle w:val="23"/>
        <w:spacing w:line="360" w:lineRule="auto"/>
        <w:ind w:firstLine="600" w:firstLineChars="250"/>
        <w:rPr>
          <w:rFonts w:asciiTheme="minorEastAsia" w:hAnsiTheme="minorEastAsia" w:eastAsiaTheme="minorEastAsia"/>
          <w:color w:val="auto"/>
          <w:szCs w:val="21"/>
        </w:rPr>
      </w:pPr>
      <w:r>
        <w:rPr>
          <w:rFonts w:hint="eastAsia" w:cs="仿宋_GB2312" w:asciiTheme="minorEastAsia" w:hAnsiTheme="minorEastAsia" w:eastAsiaTheme="minorEastAsia"/>
          <w:color w:val="auto"/>
          <w:szCs w:val="21"/>
        </w:rPr>
        <w:t>有下列情况之一的，响应无效</w:t>
      </w:r>
      <w:r>
        <w:rPr>
          <w:rFonts w:hint="eastAsia" w:asciiTheme="minorEastAsia" w:hAnsiTheme="minorEastAsia" w:eastAsiaTheme="minorEastAsia"/>
          <w:color w:val="auto"/>
          <w:szCs w:val="21"/>
        </w:rPr>
        <w:t>：</w:t>
      </w:r>
    </w:p>
    <w:p>
      <w:pPr>
        <w:spacing w:line="360" w:lineRule="auto"/>
        <w:ind w:firstLine="480" w:firstLineChars="200"/>
        <w:rPr>
          <w:rFonts w:cs="仿宋_GB2312" w:asciiTheme="minorEastAsia" w:hAnsiTheme="minorEastAsia" w:eastAsiaTheme="minorEastAsia"/>
          <w:color w:val="auto"/>
          <w:sz w:val="24"/>
          <w:szCs w:val="21"/>
        </w:rPr>
      </w:pPr>
      <w:r>
        <w:rPr>
          <w:rFonts w:hint="eastAsia" w:asciiTheme="minorEastAsia" w:hAnsiTheme="minorEastAsia" w:eastAsiaTheme="minorEastAsia"/>
          <w:color w:val="auto"/>
          <w:sz w:val="24"/>
        </w:rPr>
        <w:t>3.1</w:t>
      </w:r>
      <w:r>
        <w:rPr>
          <w:rFonts w:hint="eastAsia" w:cs="仿宋_GB2312" w:asciiTheme="minorEastAsia" w:hAnsiTheme="minorEastAsia" w:eastAsiaTheme="minorEastAsia"/>
          <w:color w:val="auto"/>
          <w:sz w:val="24"/>
          <w:szCs w:val="21"/>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3.3供应商不具备谈判文件中规定的资格要求的（供应商未提供有效的资格证明文件的，视为供应商不具备谈判文件中规定的资格要求）；</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3.4如以联合体形式参加政府采购活动的，联合协议不符合谈判文件规定的联合协议要求的；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3.5响应文件未按谈判文件的澄清、修改的内容编制，又不符合实质性要求的；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3.6响应文件组成漏项，内容不全或内容字迹模糊辨认不清的；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3.7响应文件中法人授权书所载内容与本项目内容有异的；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3.8响应文件未按照谈判文件要求签署、盖章的；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3.9</w:t>
      </w:r>
      <w:r>
        <w:rPr>
          <w:rFonts w:hint="eastAsia" w:ascii="宋体" w:hAnsi="宋体" w:cs="宋体"/>
          <w:color w:val="auto"/>
          <w:kern w:val="0"/>
          <w:sz w:val="24"/>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3.10响应文件含有采购人不能接受的附加条件的；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3.11响应文件中承诺的响应有效期少于谈判文件中载明的响应有效期的；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3.12供应商所投内容不符合谈判文件中实质性要求的；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3.13所提交的《最后报价一览表》中出现不是唯一的、有选择性的报价的;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3.14最后报价高于本项目采购预算或者最高限价的;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3.15《最后报价一览表》填写不完整或字迹不能辨认或有漏项的；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3.16供应商对根据修正原则修正后的最后报价不确认的；</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3.17供应商提供虚假材料响应的（包括但不限于以下情节）；</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3.17.1使用伪造、变造的许可证件；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3.17.2提供虚假的财务状况或者业绩；</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3.17.3提供虚假的项目负责人或者主要技术人员简历、劳动关系证明；</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3.17.4提供虚假的信用状况；</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3.17.5其他弄虚作假的行为。</w:t>
      </w:r>
    </w:p>
    <w:p>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3.18供应商有恶意串通、妨碍其他供应商的竞争行为、损害采购人或者其他供应商的合法权益情形的。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color w:val="auto"/>
          <w:sz w:val="24"/>
        </w:rPr>
      </w:pPr>
      <w:r>
        <w:rPr>
          <w:rFonts w:hint="eastAsia" w:asciiTheme="minorEastAsia" w:hAnsiTheme="minorEastAsia" w:eastAsiaTheme="minorEastAsia"/>
          <w:color w:val="auto"/>
          <w:sz w:val="24"/>
        </w:rPr>
        <w:t>有下列情形之一的，属于或视为恶意串通，其响应无效：</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3.18.2供应商按照采购人或者采购代理机构的授意撤换、修改投标文件或者响应文件；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3.18.3供应商之间协商报价、技术方案等投标文件或者响应文件的实质性内容；</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3.18.5供应商之间事先约定由某一特定供应商中标、成交；</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3.18.6供应商之间商定部分供应商放弃参加政府采购活动或者放弃中标、成交；</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3.18.8不同供应商的响应文件由同一单位或者个人编制；</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3.18.9不同供应商委托同一单位或者个人办理响应事宜；</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3.18.10不同供应商的响应文件载明的项目管理成员或者联系人员为同一人；</w:t>
      </w:r>
    </w:p>
    <w:p>
      <w:pPr>
        <w:spacing w:line="360" w:lineRule="auto"/>
        <w:ind w:firstLine="480" w:firstLineChars="20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3.18.11不同供应商的响应文件异常一致或者最后报价呈规律性差异。</w:t>
      </w:r>
    </w:p>
    <w:p>
      <w:pPr>
        <w:spacing w:line="360" w:lineRule="auto"/>
        <w:ind w:firstLine="482" w:firstLineChars="200"/>
        <w:rPr>
          <w:rFonts w:ascii="宋体" w:hAnsi="宋体" w:cs="宋体"/>
          <w:color w:val="auto"/>
          <w:kern w:val="0"/>
          <w:sz w:val="24"/>
          <w:highlight w:val="yellow"/>
        </w:rPr>
      </w:pPr>
      <w:r>
        <w:rPr>
          <w:rFonts w:hint="eastAsia" w:asciiTheme="minorEastAsia" w:hAnsiTheme="minorEastAsia" w:eastAsiaTheme="minorEastAsia"/>
          <w:b/>
          <w:color w:val="auto"/>
          <w:sz w:val="24"/>
        </w:rPr>
        <w:t>3.19</w:t>
      </w:r>
      <w:r>
        <w:rPr>
          <w:rFonts w:hint="eastAsia" w:ascii="宋体" w:hAnsi="宋体" w:cs="宋体"/>
          <w:color w:val="auto"/>
          <w:kern w:val="0"/>
          <w:sz w:val="24"/>
          <w:highlight w:val="yellow"/>
        </w:rPr>
        <w:t>参与同一个采购包（标段）的供应商存在下列情形之一且无法合理解释的，其投标（响应）文件无效：</w:t>
      </w:r>
    </w:p>
    <w:p>
      <w:pPr>
        <w:spacing w:line="360" w:lineRule="auto"/>
        <w:ind w:firstLine="480" w:firstLineChars="200"/>
        <w:rPr>
          <w:rFonts w:ascii="宋体" w:hAnsi="宋体" w:cs="宋体"/>
          <w:color w:val="auto"/>
          <w:kern w:val="0"/>
          <w:sz w:val="24"/>
          <w:highlight w:val="yellow"/>
        </w:rPr>
      </w:pPr>
      <w:r>
        <w:rPr>
          <w:rFonts w:hint="eastAsia" w:ascii="宋体" w:hAnsi="宋体" w:cs="宋体"/>
          <w:color w:val="auto"/>
          <w:kern w:val="0"/>
          <w:sz w:val="24"/>
          <w:highlight w:val="yellow"/>
        </w:rPr>
        <w:t>（1）不同供应商的电子投标（响应）文件上传计算机的网卡MAC地址或硬盘序列号等硬件信息相同的；</w:t>
      </w:r>
    </w:p>
    <w:p>
      <w:pPr>
        <w:spacing w:line="360" w:lineRule="auto"/>
        <w:ind w:firstLine="480" w:firstLineChars="200"/>
        <w:rPr>
          <w:rFonts w:ascii="宋体" w:hAnsi="宋体" w:cs="宋体"/>
          <w:color w:val="auto"/>
          <w:kern w:val="0"/>
          <w:sz w:val="24"/>
          <w:highlight w:val="yellow"/>
        </w:rPr>
      </w:pPr>
      <w:r>
        <w:rPr>
          <w:rFonts w:hint="eastAsia" w:ascii="宋体" w:hAnsi="宋体" w:cs="宋体"/>
          <w:color w:val="auto"/>
          <w:kern w:val="0"/>
          <w:sz w:val="24"/>
          <w:highlight w:val="yellow"/>
        </w:rPr>
        <w:t>（2）上传的电子投标（响应）文件若出现使用本项目其他投标（响应）供应商的数字证书加密的，或者加盖本项目其他投标（响应）供应商的电子印章的；</w:t>
      </w:r>
    </w:p>
    <w:p>
      <w:pPr>
        <w:spacing w:line="360" w:lineRule="auto"/>
        <w:ind w:firstLine="480" w:firstLineChars="200"/>
        <w:rPr>
          <w:rFonts w:ascii="宋体" w:hAnsi="宋体" w:cs="宋体"/>
          <w:color w:val="auto"/>
          <w:kern w:val="0"/>
          <w:sz w:val="24"/>
          <w:highlight w:val="yellow"/>
        </w:rPr>
      </w:pPr>
      <w:r>
        <w:rPr>
          <w:rFonts w:hint="eastAsia" w:ascii="宋体" w:hAnsi="宋体" w:cs="宋体"/>
          <w:color w:val="auto"/>
          <w:kern w:val="0"/>
          <w:sz w:val="24"/>
          <w:highlight w:val="yellow"/>
        </w:rPr>
        <w:t>（3）不同供应商的投标（响应）文件的内容存在3处（含）以上错误一致的；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highlight w:val="yellow"/>
        </w:rPr>
        <w:t>（4）不同供应商联系人为同一人或不同联系人的联系电话一致的。</w:t>
      </w:r>
    </w:p>
    <w:p>
      <w:pPr>
        <w:spacing w:line="360" w:lineRule="auto"/>
        <w:ind w:firstLine="482" w:firstLineChars="200"/>
        <w:rPr>
          <w:rFonts w:asciiTheme="minorEastAsia" w:hAnsiTheme="minorEastAsia" w:eastAsiaTheme="minorEastAsia"/>
          <w:b/>
          <w:color w:val="auto"/>
          <w:sz w:val="24"/>
        </w:rPr>
      </w:pPr>
      <w:r>
        <w:rPr>
          <w:rFonts w:hint="eastAsia" w:asciiTheme="minorEastAsia" w:hAnsiTheme="minorEastAsia" w:eastAsiaTheme="minorEastAsia"/>
          <w:b/>
          <w:color w:val="auto"/>
          <w:sz w:val="24"/>
        </w:rPr>
        <w:t>3.20供应商仅提交备份响应文件，没有在电子交易平台传输提交响应文件的，响应无效；</w:t>
      </w:r>
    </w:p>
    <w:p>
      <w:pPr>
        <w:pStyle w:val="392"/>
        <w:spacing w:before="0"/>
        <w:ind w:firstLine="482"/>
        <w:rPr>
          <w:rFonts w:ascii="宋体" w:hAnsi="宋体" w:cs="宋体"/>
          <w:color w:val="auto"/>
          <w:kern w:val="0"/>
          <w:szCs w:val="24"/>
          <w:highlight w:val="yellow"/>
        </w:rPr>
      </w:pPr>
      <w:r>
        <w:rPr>
          <w:rFonts w:hint="eastAsia" w:asciiTheme="minorEastAsia" w:hAnsiTheme="minorEastAsia" w:eastAsiaTheme="minorEastAsia"/>
          <w:b/>
          <w:color w:val="auto"/>
        </w:rPr>
        <w:t>3.21</w:t>
      </w:r>
      <w:r>
        <w:rPr>
          <w:rFonts w:hint="eastAsia" w:ascii="宋体" w:hAnsi="宋体" w:cs="宋体"/>
          <w:color w:val="auto"/>
          <w:kern w:val="0"/>
          <w:szCs w:val="24"/>
          <w:highlight w:val="yellow"/>
        </w:rPr>
        <w:t>谈判小组认为供应商的报价明显低于其他通过符合性审查供应商的报价，有可能影响产品质量或者不能诚信履约的，应当要求其在合理的时间内提供书面说明，必要时提交相关证明材料;供应商不能证明其报价合理性的，谈判小组应当将其作为无效谈判处理。</w:t>
      </w:r>
    </w:p>
    <w:p>
      <w:pPr>
        <w:snapToGrid w:val="0"/>
        <w:spacing w:line="360" w:lineRule="auto"/>
        <w:ind w:firstLine="480" w:firstLineChars="200"/>
        <w:jc w:val="left"/>
        <w:rPr>
          <w:rFonts w:ascii="宋体" w:hAnsi="宋体" w:cs="宋体"/>
          <w:color w:val="auto"/>
          <w:kern w:val="0"/>
          <w:sz w:val="24"/>
          <w:highlight w:val="yellow"/>
        </w:rPr>
      </w:pPr>
      <w:bookmarkStart w:id="94" w:name="OLE_LINK126"/>
      <w:bookmarkStart w:id="95" w:name="OLE_LINK127"/>
      <w:r>
        <w:rPr>
          <w:rFonts w:hint="eastAsia" w:ascii="宋体" w:hAnsi="宋体" w:cs="宋体"/>
          <w:color w:val="auto"/>
          <w:kern w:val="0"/>
          <w:sz w:val="24"/>
          <w:highlight w:val="yellow"/>
        </w:rPr>
        <w:t xml:space="preserve">3.21.1根据《北海市财政局关于开展推动解决政府采购异常低价问题试点工作的通知》（北财采〔2025〕25 号）规定，试点项目评审中出现下列情形之一的，谈判小组应当启动异常低价投标（响应）审查程序: </w:t>
      </w:r>
    </w:p>
    <w:p>
      <w:pPr>
        <w:snapToGrid w:val="0"/>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yellow"/>
        </w:rPr>
        <w:t xml:space="preserve">（1）投标（响应）报价低于全部通过符合性审查供应商投标（响应）报价平均值 50%的，即投标（响应）报价&lt;全部通过符合性审查供应商投标（响应）报价平均值×50%； </w:t>
      </w:r>
    </w:p>
    <w:p>
      <w:pPr>
        <w:snapToGrid w:val="0"/>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yellow"/>
        </w:rPr>
        <w:t xml:space="preserve">（2）投标（响应）报价低于通过符合性审查且报价次低供应商投标（响应）报价 50%的，即投标（响应）报价&lt;通过符合性审查且报价次低供应商投标（响应）报价×50%； </w:t>
      </w:r>
    </w:p>
    <w:p>
      <w:pPr>
        <w:snapToGrid w:val="0"/>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yellow"/>
        </w:rPr>
        <w:t xml:space="preserve">（3）投标（响应）报价低于采购项目最高限价 45%的，即投标（响应）报价&lt;采购项目最高限价×45%； </w:t>
      </w:r>
    </w:p>
    <w:p>
      <w:pPr>
        <w:snapToGrid w:val="0"/>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yellow"/>
        </w:rPr>
        <w:t xml:space="preserve">（4）其他谈判小组认为供应商报价过低，有可能影响产品质量或者不能诚信履约的情形。 </w:t>
      </w:r>
    </w:p>
    <w:bookmarkEnd w:id="94"/>
    <w:bookmarkEnd w:id="95"/>
    <w:p>
      <w:pPr>
        <w:snapToGrid w:val="0"/>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yellow"/>
        </w:rPr>
        <w:t xml:space="preserve">3.21.2审查工作流程。谈判小组严格按照评审现场说明、综合评估研判和出具处理结果三个步骤开展审查流程。 </w:t>
      </w:r>
    </w:p>
    <w:p>
      <w:pPr>
        <w:snapToGrid w:val="0"/>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yellow"/>
        </w:rPr>
        <w:t xml:space="preserve">（1）评审现场说明。谈判小组启动异常低价投标（响应）审查后，应当要求相关供应商在评审现场合理的时间内提供书面说明及必要的证明材料，对投标（响应）价格作出解释。书面说明、证明材料主要是项目具体成本测算等与报价合理性相关的说明、材料。 </w:t>
      </w:r>
    </w:p>
    <w:p>
      <w:pPr>
        <w:snapToGrid w:val="0"/>
        <w:spacing w:line="360" w:lineRule="auto"/>
        <w:ind w:firstLine="480" w:firstLineChars="200"/>
        <w:jc w:val="left"/>
        <w:rPr>
          <w:rFonts w:ascii="宋体" w:hAnsi="宋体" w:cs="宋体"/>
          <w:color w:val="auto"/>
          <w:kern w:val="0"/>
          <w:sz w:val="24"/>
          <w:highlight w:val="yellow"/>
        </w:rPr>
      </w:pPr>
      <w:r>
        <w:rPr>
          <w:rFonts w:hint="eastAsia" w:ascii="宋体" w:hAnsi="宋体" w:cs="宋体"/>
          <w:color w:val="auto"/>
          <w:kern w:val="0"/>
          <w:sz w:val="24"/>
          <w:highlight w:val="yellow"/>
        </w:rPr>
        <w:t xml:space="preserve">（2）综合评估研判。谈判小组应当结合同类产品在主要电商平台的价格、该行业当地薪资水平等情况，依据专业经验对报价合理性进行判断。对异常低价存在争议的，应当按照少数服从多数的原则作出结论。 </w:t>
      </w:r>
    </w:p>
    <w:p>
      <w:pPr>
        <w:spacing w:line="360" w:lineRule="auto"/>
        <w:ind w:firstLine="480" w:firstLineChars="200"/>
        <w:rPr>
          <w:rFonts w:asciiTheme="minorEastAsia" w:hAnsiTheme="minorEastAsia" w:eastAsiaTheme="minorEastAsia"/>
          <w:b/>
          <w:color w:val="auto"/>
          <w:sz w:val="24"/>
        </w:rPr>
      </w:pPr>
      <w:r>
        <w:rPr>
          <w:rFonts w:hint="eastAsia" w:ascii="宋体" w:hAnsi="宋体" w:cs="宋体"/>
          <w:color w:val="auto"/>
          <w:kern w:val="0"/>
          <w:sz w:val="24"/>
          <w:highlight w:val="yellow"/>
        </w:rPr>
        <w:t>（3）出具处理结果。如果投标（响应）供应商不提供书面说明、证明材料，或者提供的书面说明、证明材料不能证明其报价合理性的，应当将其作为无效投标（响应）处理。审查相关情况应当在评审报告中记录。</w:t>
      </w:r>
    </w:p>
    <w:p>
      <w:pPr>
        <w:spacing w:line="360" w:lineRule="auto"/>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3.22法律、法规、规章（适用本市的）及省级以上规范性文件（适用本市的）规定的其他无效情形。</w:t>
      </w:r>
    </w:p>
    <w:p>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4. 重新开展采购活动</w:t>
      </w:r>
    </w:p>
    <w:p>
      <w:pPr>
        <w:spacing w:line="360" w:lineRule="auto"/>
        <w:ind w:firstLine="407" w:firstLineChars="194"/>
        <w:rPr>
          <w:rFonts w:asciiTheme="minorEastAsia" w:hAnsiTheme="minorEastAsia" w:eastAsiaTheme="minorEastAsia"/>
          <w:color w:val="auto"/>
          <w:sz w:val="24"/>
          <w:szCs w:val="21"/>
        </w:rPr>
      </w:pPr>
      <w:r>
        <w:rPr>
          <w:rFonts w:hint="eastAsia" w:cs="Arial" w:asciiTheme="minorEastAsia" w:hAnsiTheme="minorEastAsia" w:eastAsiaTheme="minorEastAsia"/>
          <w:color w:val="auto"/>
          <w:szCs w:val="21"/>
        </w:rPr>
        <w:t xml:space="preserve"> </w:t>
      </w:r>
      <w:r>
        <w:rPr>
          <w:rFonts w:hint="eastAsia" w:asciiTheme="minorEastAsia" w:hAnsiTheme="minorEastAsia" w:eastAsiaTheme="minorEastAsia"/>
          <w:color w:val="auto"/>
          <w:sz w:val="24"/>
          <w:szCs w:val="21"/>
        </w:rPr>
        <w:t>出现下列情形之一的，采购代理机构应当终止竞争性谈判采购活动，通过电子交易平台发布项目终止公告并说明原因，重新开展采购活动：</w:t>
      </w:r>
    </w:p>
    <w:p>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（1）因情况变化，不再符合规定的竞争性谈判采购方式适用情形的；</w:t>
      </w:r>
    </w:p>
    <w:p>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（2）出现影响采购公正的违法、违规行为的；</w:t>
      </w:r>
    </w:p>
    <w:p>
      <w:pPr>
        <w:spacing w:line="360" w:lineRule="auto"/>
        <w:ind w:firstLine="480" w:firstLineChars="200"/>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（3）在采购过程中符合竞争要求的供应商或者报价未超过采购预算的供应商不足3家的，但《政府采购非招标采购方式管理办法》第二十七条第二款规定的情形除外。</w:t>
      </w:r>
    </w:p>
    <w:p>
      <w:pPr>
        <w:pStyle w:val="392"/>
        <w:spacing w:before="0"/>
        <w:ind w:firstLine="0" w:firstLineChars="0"/>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5. 终止采购活动</w:t>
      </w:r>
    </w:p>
    <w:p>
      <w:pPr>
        <w:spacing w:line="360" w:lineRule="auto"/>
        <w:ind w:firstLine="465" w:firstLineChars="194"/>
        <w:rPr>
          <w:rFonts w:asciiTheme="minorEastAsia" w:hAnsiTheme="minorEastAsia" w:eastAsiaTheme="minorEastAsia"/>
          <w:color w:val="auto"/>
          <w:sz w:val="24"/>
          <w:szCs w:val="21"/>
        </w:rPr>
      </w:pPr>
      <w:r>
        <w:rPr>
          <w:rFonts w:hint="eastAsia" w:asciiTheme="minorEastAsia" w:hAnsiTheme="minorEastAsia" w:eastAsiaTheme="minorEastAsia"/>
          <w:color w:val="auto"/>
          <w:sz w:val="24"/>
          <w:szCs w:val="21"/>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color w:val="auto"/>
          <w:sz w:val="24"/>
        </w:rPr>
      </w:pPr>
      <w:r>
        <w:rPr>
          <w:rFonts w:asciiTheme="minorEastAsia" w:hAnsiTheme="minorEastAsia" w:eastAsiaTheme="minorEastAsia"/>
          <w:b/>
          <w:color w:val="auto"/>
          <w:sz w:val="24"/>
        </w:rPr>
        <w:t xml:space="preserve">6. </w:t>
      </w:r>
      <w:r>
        <w:rPr>
          <w:rFonts w:hint="eastAsia" w:cs="仿宋_GB2312" w:asciiTheme="minorEastAsia" w:hAnsiTheme="minorEastAsia" w:eastAsiaTheme="minorEastAsia"/>
          <w:b/>
          <w:color w:val="auto"/>
          <w:sz w:val="24"/>
        </w:rPr>
        <w:t>采购代理机构有权对谈判小组各成员的评审情况和评审意见进行合理性和合规性审查</w:t>
      </w:r>
      <w:r>
        <w:rPr>
          <w:rFonts w:hint="eastAsia" w:cs="仿宋_GB2312" w:asciiTheme="minorEastAsia" w:hAnsiTheme="minorEastAsia" w:eastAsiaTheme="minorEastAsia"/>
          <w:color w:val="auto"/>
          <w:sz w:val="24"/>
        </w:rPr>
        <w:t>，如发现谈判小组成员的评审意见带有明显倾向性，或不按规定程序和标准评审，谈判小组成员应进行书面澄清和说明；谈判小组成员拒不接受采购代理机构审查的，采购代理机构将向同级政府采购监督管理部门报告并予以处理。</w:t>
      </w:r>
    </w:p>
    <w:p>
      <w:pPr>
        <w:pStyle w:val="392"/>
        <w:spacing w:before="0"/>
        <w:ind w:firstLine="0" w:firstLineChars="0"/>
        <w:rPr>
          <w:rFonts w:cs="仿宋_GB2312" w:asciiTheme="minorEastAsia" w:hAnsiTheme="minorEastAsia" w:eastAsiaTheme="minorEastAsia"/>
          <w:b/>
          <w:color w:val="auto"/>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rPr>
      </w:pPr>
      <w:r>
        <w:rPr>
          <w:rFonts w:hint="eastAsia" w:cs="仿宋_GB2312" w:asciiTheme="minorEastAsia" w:hAnsiTheme="minorEastAsia" w:eastAsiaTheme="minorEastAsia"/>
          <w:b/>
          <w:color w:val="auto"/>
          <w:sz w:val="32"/>
        </w:rPr>
        <w:t>六、评审过程的保密与录像</w:t>
      </w:r>
    </w:p>
    <w:p>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1.保密。</w:t>
      </w:r>
      <w:r>
        <w:rPr>
          <w:rFonts w:hint="eastAsia" w:cs="仿宋_GB2312" w:asciiTheme="minorEastAsia" w:hAnsiTheme="minorEastAsia" w:eastAsiaTheme="minorEastAsia"/>
          <w:color w:val="auto"/>
          <w:sz w:val="24"/>
        </w:rPr>
        <w:t>评审活动在严格保密的情况下进行。评审过程中凡是与响应文件评审和比较、成交人推荐等评审有关的情况，以及涉及国家秘密和商业秘密等信息，谈判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2.录音录像。</w:t>
      </w:r>
      <w:r>
        <w:rPr>
          <w:rFonts w:hint="eastAsia" w:cs="仿宋_GB2312" w:asciiTheme="minorEastAsia" w:hAnsiTheme="minorEastAsia" w:eastAsiaTheme="minorEastAsia"/>
          <w:color w:val="auto"/>
          <w:sz w:val="24"/>
        </w:rPr>
        <w:t>采购代理机构对评审工作现场进行全过程录音录像，录音录像资料作为采购项目文件随其他文件一并存档。</w:t>
      </w:r>
    </w:p>
    <w:p>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pPr>
        <w:spacing w:line="360" w:lineRule="auto"/>
        <w:jc w:val="center"/>
        <w:outlineLvl w:val="0"/>
        <w:rPr>
          <w:rFonts w:cs="仿宋_GB2312" w:asciiTheme="minorEastAsia" w:hAnsiTheme="minorEastAsia" w:eastAsiaTheme="minorEastAsia"/>
          <w:b/>
          <w:color w:val="auto"/>
          <w:sz w:val="36"/>
          <w:szCs w:val="36"/>
        </w:rPr>
      </w:pPr>
      <w:bookmarkStart w:id="96" w:name="_Toc181265286"/>
      <w:r>
        <w:rPr>
          <w:rFonts w:hint="eastAsia" w:cs="仿宋_GB2312" w:asciiTheme="minorEastAsia" w:hAnsiTheme="minorEastAsia" w:eastAsiaTheme="minorEastAsia"/>
          <w:b/>
          <w:color w:val="auto"/>
          <w:sz w:val="36"/>
          <w:szCs w:val="36"/>
        </w:rPr>
        <w:t>第六部分</w:t>
      </w:r>
      <w:bookmarkEnd w:id="93"/>
      <w:r>
        <w:rPr>
          <w:rFonts w:hint="eastAsia" w:cs="仿宋_GB2312" w:asciiTheme="minorEastAsia" w:hAnsiTheme="minorEastAsia" w:eastAsiaTheme="minorEastAsia"/>
          <w:b/>
          <w:color w:val="auto"/>
          <w:sz w:val="36"/>
          <w:szCs w:val="36"/>
        </w:rPr>
        <w:t xml:space="preserve">  拟签订的合同文本</w:t>
      </w:r>
      <w:bookmarkEnd w:id="96"/>
    </w:p>
    <w:p>
      <w:pPr>
        <w:spacing w:line="480" w:lineRule="auto"/>
        <w:jc w:val="center"/>
        <w:rPr>
          <w:rFonts w:ascii="宋体" w:hAnsi="宋体" w:cs="宋体"/>
          <w:b/>
          <w:color w:val="auto"/>
          <w:sz w:val="24"/>
        </w:rPr>
      </w:pPr>
      <w:bookmarkStart w:id="97" w:name="第五部分"/>
      <w:bookmarkStart w:id="98" w:name="_Toc86217003"/>
    </w:p>
    <w:p>
      <w:pPr>
        <w:adjustRightInd/>
        <w:spacing w:line="600" w:lineRule="exact"/>
        <w:ind w:firstLine="1044"/>
        <w:rPr>
          <w:rFonts w:ascii="宋体" w:hAnsi="宋体" w:cs="宋体"/>
          <w:b/>
          <w:color w:val="auto"/>
          <w:kern w:val="0"/>
          <w:sz w:val="52"/>
          <w:szCs w:val="52"/>
        </w:rPr>
      </w:pPr>
    </w:p>
    <w:p>
      <w:pPr>
        <w:adjustRightInd/>
        <w:jc w:val="center"/>
        <w:rPr>
          <w:rFonts w:ascii="宋体" w:hAnsi="宋体" w:cs="宋体"/>
          <w:b/>
          <w:bCs/>
          <w:color w:val="auto"/>
          <w:spacing w:val="-20"/>
          <w:kern w:val="44"/>
          <w:sz w:val="48"/>
          <w:szCs w:val="48"/>
        </w:rPr>
      </w:pPr>
      <w:bookmarkStart w:id="99" w:name="_Toc3995"/>
    </w:p>
    <w:p>
      <w:pPr>
        <w:adjustRightInd/>
        <w:jc w:val="center"/>
        <w:rPr>
          <w:rFonts w:ascii="宋体" w:hAnsi="宋体" w:cs="宋体"/>
          <w:b/>
          <w:bCs/>
          <w:color w:val="auto"/>
          <w:spacing w:val="-20"/>
          <w:kern w:val="44"/>
          <w:sz w:val="48"/>
          <w:szCs w:val="48"/>
        </w:rPr>
      </w:pPr>
    </w:p>
    <w:p>
      <w:pPr>
        <w:adjustRightInd/>
        <w:jc w:val="center"/>
        <w:rPr>
          <w:rFonts w:ascii="宋体" w:hAnsi="宋体" w:cs="宋体"/>
          <w:b/>
          <w:bCs/>
          <w:color w:val="auto"/>
          <w:spacing w:val="-20"/>
          <w:kern w:val="44"/>
          <w:sz w:val="48"/>
          <w:szCs w:val="48"/>
        </w:rPr>
      </w:pPr>
    </w:p>
    <w:p>
      <w:pPr>
        <w:adjustRightInd/>
        <w:jc w:val="center"/>
        <w:rPr>
          <w:rFonts w:ascii="宋体" w:hAnsi="宋体" w:cs="宋体"/>
          <w:b/>
          <w:bCs/>
          <w:color w:val="auto"/>
          <w:spacing w:val="-20"/>
          <w:kern w:val="44"/>
          <w:sz w:val="48"/>
          <w:szCs w:val="48"/>
        </w:rPr>
      </w:pPr>
    </w:p>
    <w:p>
      <w:pPr>
        <w:adjustRightInd/>
        <w:jc w:val="center"/>
        <w:rPr>
          <w:rFonts w:ascii="宋体" w:hAnsi="宋体" w:cs="宋体"/>
          <w:b/>
          <w:bCs/>
          <w:color w:val="auto"/>
          <w:spacing w:val="-20"/>
          <w:kern w:val="44"/>
          <w:sz w:val="48"/>
          <w:szCs w:val="48"/>
        </w:rPr>
      </w:pPr>
    </w:p>
    <w:p>
      <w:pPr>
        <w:adjustRightInd/>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北海市政府采购合同</w:t>
      </w:r>
    </w:p>
    <w:p>
      <w:pPr>
        <w:adjustRightInd/>
        <w:jc w:val="center"/>
        <w:rPr>
          <w:rFonts w:ascii="宋体" w:hAnsi="宋体" w:cs="宋体"/>
          <w:b/>
          <w:bCs/>
          <w:color w:val="auto"/>
          <w:spacing w:val="-20"/>
          <w:kern w:val="44"/>
          <w:sz w:val="36"/>
          <w:szCs w:val="36"/>
        </w:rPr>
      </w:pPr>
    </w:p>
    <w:p>
      <w:pPr>
        <w:adjustRightInd/>
        <w:jc w:val="center"/>
        <w:rPr>
          <w:rFonts w:ascii="宋体" w:hAnsi="宋体" w:cs="宋体"/>
          <w:b/>
          <w:bCs/>
          <w:color w:val="auto"/>
          <w:spacing w:val="-20"/>
          <w:kern w:val="44"/>
          <w:sz w:val="36"/>
          <w:szCs w:val="36"/>
        </w:rPr>
      </w:pPr>
      <w:r>
        <w:rPr>
          <w:rFonts w:hint="eastAsia" w:ascii="宋体" w:hAnsi="宋体" w:cs="宋体"/>
          <w:b/>
          <w:bCs/>
          <w:color w:val="auto"/>
          <w:spacing w:val="-20"/>
          <w:kern w:val="44"/>
          <w:sz w:val="36"/>
          <w:szCs w:val="36"/>
        </w:rPr>
        <w:t>（货物类）</w:t>
      </w:r>
    </w:p>
    <w:p>
      <w:pPr>
        <w:adjustRightInd/>
        <w:rPr>
          <w:rFonts w:ascii="宋体" w:hAnsi="宋体" w:cs="宋体"/>
          <w:b/>
          <w:bCs/>
          <w:color w:val="auto"/>
          <w:spacing w:val="-20"/>
          <w:kern w:val="44"/>
          <w:sz w:val="40"/>
          <w:szCs w:val="40"/>
        </w:rPr>
      </w:pPr>
    </w:p>
    <w:p>
      <w:pPr>
        <w:adjustRightInd/>
        <w:rPr>
          <w:rFonts w:ascii="宋体" w:hAnsi="宋体" w:cs="宋体"/>
          <w:b/>
          <w:bCs/>
          <w:color w:val="auto"/>
          <w:spacing w:val="-20"/>
          <w:kern w:val="44"/>
          <w:sz w:val="40"/>
          <w:szCs w:val="40"/>
        </w:rPr>
      </w:pPr>
    </w:p>
    <w:p>
      <w:pPr>
        <w:adjustRightInd/>
        <w:rPr>
          <w:rFonts w:ascii="宋体" w:hAnsi="宋体" w:cs="宋体"/>
          <w:b/>
          <w:bCs/>
          <w:color w:val="auto"/>
          <w:spacing w:val="-20"/>
          <w:kern w:val="44"/>
          <w:sz w:val="40"/>
          <w:szCs w:val="40"/>
        </w:rPr>
      </w:pPr>
    </w:p>
    <w:p>
      <w:pPr>
        <w:adjustRightInd/>
        <w:spacing w:line="360" w:lineRule="auto"/>
        <w:ind w:left="1680" w:leftChars="800"/>
        <w:rPr>
          <w:color w:val="auto"/>
          <w:sz w:val="32"/>
          <w:szCs w:val="32"/>
        </w:rPr>
      </w:pPr>
      <w:r>
        <w:rPr>
          <w:rFonts w:hint="eastAsia" w:ascii="宋体" w:hAnsi="宋体" w:cs="宋体"/>
          <w:color w:val="auto"/>
          <w:kern w:val="0"/>
          <w:sz w:val="32"/>
          <w:szCs w:val="32"/>
        </w:rPr>
        <w:t>项目名称：</w:t>
      </w:r>
      <w:r>
        <w:rPr>
          <w:color w:val="auto"/>
          <w:sz w:val="32"/>
          <w:szCs w:val="32"/>
          <w:u w:val="single"/>
        </w:rPr>
        <w:t xml:space="preserve">                             </w:t>
      </w:r>
    </w:p>
    <w:p>
      <w:pPr>
        <w:adjustRightInd/>
        <w:spacing w:line="360" w:lineRule="auto"/>
        <w:ind w:left="1680" w:leftChars="800"/>
        <w:rPr>
          <w:color w:val="auto"/>
          <w:sz w:val="32"/>
          <w:szCs w:val="32"/>
          <w:u w:val="single"/>
        </w:rPr>
      </w:pPr>
      <w:r>
        <w:rPr>
          <w:rFonts w:hint="eastAsia"/>
          <w:color w:val="auto"/>
          <w:sz w:val="32"/>
          <w:szCs w:val="32"/>
        </w:rPr>
        <w:t>合同编号：</w:t>
      </w:r>
      <w:r>
        <w:rPr>
          <w:color w:val="auto"/>
          <w:sz w:val="32"/>
          <w:szCs w:val="32"/>
          <w:u w:val="single"/>
        </w:rPr>
        <w:t xml:space="preserve">                             </w:t>
      </w:r>
    </w:p>
    <w:p>
      <w:pPr>
        <w:adjustRightInd/>
        <w:spacing w:line="360" w:lineRule="auto"/>
        <w:ind w:left="1680" w:leftChars="800"/>
        <w:rPr>
          <w:color w:val="auto"/>
          <w:sz w:val="32"/>
          <w:szCs w:val="32"/>
        </w:rPr>
      </w:pPr>
      <w:r>
        <w:rPr>
          <w:rFonts w:hint="eastAsia"/>
          <w:color w:val="auto"/>
          <w:sz w:val="32"/>
          <w:szCs w:val="32"/>
        </w:rPr>
        <w:t>甲</w:t>
      </w:r>
      <w:r>
        <w:rPr>
          <w:color w:val="auto"/>
          <w:sz w:val="32"/>
          <w:szCs w:val="32"/>
        </w:rPr>
        <w:t xml:space="preserve">    </w:t>
      </w:r>
      <w:r>
        <w:rPr>
          <w:rFonts w:hint="eastAsia"/>
          <w:color w:val="auto"/>
          <w:sz w:val="32"/>
          <w:szCs w:val="32"/>
        </w:rPr>
        <w:t>方：</w:t>
      </w:r>
      <w:r>
        <w:rPr>
          <w:color w:val="auto"/>
          <w:sz w:val="32"/>
          <w:szCs w:val="32"/>
          <w:u w:val="single"/>
        </w:rPr>
        <w:t xml:space="preserve">                             </w:t>
      </w:r>
    </w:p>
    <w:p>
      <w:pPr>
        <w:adjustRightInd/>
        <w:spacing w:line="360" w:lineRule="auto"/>
        <w:ind w:left="1680" w:leftChars="800"/>
        <w:rPr>
          <w:color w:val="auto"/>
          <w:sz w:val="32"/>
          <w:szCs w:val="32"/>
          <w:u w:val="single"/>
        </w:rPr>
      </w:pPr>
      <w:r>
        <w:rPr>
          <w:rFonts w:hint="eastAsia"/>
          <w:color w:val="auto"/>
          <w:sz w:val="32"/>
          <w:szCs w:val="32"/>
        </w:rPr>
        <w:t>乙</w:t>
      </w:r>
      <w:r>
        <w:rPr>
          <w:color w:val="auto"/>
          <w:sz w:val="32"/>
          <w:szCs w:val="32"/>
        </w:rPr>
        <w:t xml:space="preserve">    </w:t>
      </w:r>
      <w:r>
        <w:rPr>
          <w:rFonts w:hint="eastAsia"/>
          <w:color w:val="auto"/>
          <w:sz w:val="32"/>
          <w:szCs w:val="32"/>
        </w:rPr>
        <w:t>方：</w:t>
      </w:r>
      <w:r>
        <w:rPr>
          <w:color w:val="auto"/>
          <w:sz w:val="32"/>
          <w:szCs w:val="32"/>
          <w:u w:val="single"/>
        </w:rPr>
        <w:t xml:space="preserve">                             </w:t>
      </w:r>
    </w:p>
    <w:p>
      <w:pPr>
        <w:adjustRightInd/>
        <w:spacing w:line="360" w:lineRule="auto"/>
        <w:ind w:left="1680" w:leftChars="800"/>
        <w:rPr>
          <w:color w:val="auto"/>
          <w:sz w:val="32"/>
          <w:szCs w:val="32"/>
        </w:rPr>
      </w:pPr>
      <w:r>
        <w:rPr>
          <w:rFonts w:hint="eastAsia"/>
          <w:color w:val="auto"/>
          <w:sz w:val="32"/>
          <w:szCs w:val="32"/>
        </w:rPr>
        <w:t>签订时间：</w:t>
      </w:r>
      <w:r>
        <w:rPr>
          <w:color w:val="auto"/>
          <w:sz w:val="32"/>
          <w:szCs w:val="32"/>
          <w:u w:val="single"/>
        </w:rPr>
        <w:t xml:space="preserve">                             </w:t>
      </w:r>
    </w:p>
    <w:p>
      <w:pPr>
        <w:adjustRightInd/>
        <w:rPr>
          <w:color w:val="auto"/>
        </w:rPr>
      </w:pPr>
    </w:p>
    <w:p>
      <w:pPr>
        <w:adjustRightInd/>
        <w:jc w:val="center"/>
        <w:outlineLvl w:val="1"/>
        <w:rPr>
          <w:rFonts w:ascii="黑体" w:hAnsi="黑体" w:eastAsia="黑体"/>
          <w:color w:val="auto"/>
          <w:sz w:val="28"/>
          <w:szCs w:val="28"/>
        </w:rPr>
      </w:pPr>
      <w:r>
        <w:rPr>
          <w:rFonts w:eastAsia="黑体"/>
          <w:color w:val="auto"/>
          <w:sz w:val="44"/>
          <w:szCs w:val="44"/>
        </w:rPr>
        <w:br w:type="page"/>
      </w:r>
      <w:bookmarkEnd w:id="99"/>
      <w:r>
        <w:rPr>
          <w:rFonts w:hint="eastAsia" w:ascii="黑体" w:hAnsi="黑体" w:eastAsia="黑体"/>
          <w:color w:val="auto"/>
          <w:sz w:val="28"/>
          <w:szCs w:val="28"/>
        </w:rPr>
        <w:t>第一节 政府采购合同协议书</w:t>
      </w:r>
    </w:p>
    <w:p>
      <w:pPr>
        <w:pStyle w:val="631"/>
        <w:rPr>
          <w:color w:val="auto"/>
        </w:rPr>
      </w:pPr>
    </w:p>
    <w:p>
      <w:pPr>
        <w:pStyle w:val="631"/>
        <w:ind w:firstLine="0"/>
        <w:rPr>
          <w:color w:val="auto"/>
        </w:rPr>
      </w:pPr>
      <w:r>
        <w:rPr>
          <w:rFonts w:hint="eastAsia"/>
          <w:color w:val="auto"/>
        </w:rPr>
        <w:t>甲方（全称）：</w:t>
      </w:r>
      <w:r>
        <w:rPr>
          <w:rFonts w:hint="eastAsia"/>
          <w:color w:val="auto"/>
          <w:u w:val="single"/>
        </w:rPr>
        <w:t xml:space="preserve">                        </w:t>
      </w:r>
      <w:r>
        <w:rPr>
          <w:rFonts w:hint="eastAsia"/>
          <w:color w:val="auto"/>
        </w:rPr>
        <w:t>（采购人、受采购人委托签订合同的单位或采购文件约定的合同甲方）</w:t>
      </w:r>
    </w:p>
    <w:p>
      <w:pPr>
        <w:pStyle w:val="631"/>
        <w:ind w:firstLine="0"/>
        <w:rPr>
          <w:color w:val="auto"/>
        </w:rPr>
      </w:pPr>
      <w:r>
        <w:rPr>
          <w:rFonts w:hint="eastAsia"/>
          <w:color w:val="auto"/>
        </w:rPr>
        <w:t>乙方1（全称）：</w:t>
      </w:r>
      <w:r>
        <w:rPr>
          <w:rFonts w:hint="eastAsia"/>
          <w:color w:val="auto"/>
          <w:u w:val="single"/>
        </w:rPr>
        <w:t xml:space="preserve">                       </w:t>
      </w:r>
      <w:r>
        <w:rPr>
          <w:rFonts w:hint="eastAsia"/>
          <w:color w:val="auto"/>
        </w:rPr>
        <w:t>（供应商）</w:t>
      </w:r>
    </w:p>
    <w:p>
      <w:pPr>
        <w:pStyle w:val="631"/>
        <w:ind w:firstLine="0"/>
        <w:rPr>
          <w:color w:val="auto"/>
        </w:rPr>
      </w:pPr>
      <w:r>
        <w:rPr>
          <w:rFonts w:hint="eastAsia"/>
          <w:color w:val="auto"/>
        </w:rPr>
        <w:t>乙方2（全称）：</w:t>
      </w:r>
      <w:r>
        <w:rPr>
          <w:rFonts w:hint="eastAsia"/>
          <w:color w:val="auto"/>
          <w:u w:val="single"/>
        </w:rPr>
        <w:t xml:space="preserve">                        </w:t>
      </w:r>
      <w:r>
        <w:rPr>
          <w:rFonts w:hint="eastAsia"/>
          <w:color w:val="auto"/>
        </w:rPr>
        <w:t>（联合体成员供应商或其他合同主体）（如有）</w:t>
      </w:r>
    </w:p>
    <w:p>
      <w:pPr>
        <w:pStyle w:val="631"/>
        <w:ind w:firstLine="0"/>
        <w:rPr>
          <w:color w:val="auto"/>
        </w:rPr>
      </w:pPr>
      <w:r>
        <w:rPr>
          <w:rFonts w:hint="eastAsia"/>
          <w:color w:val="auto"/>
        </w:rPr>
        <w:t>乙方3（全称）：</w:t>
      </w:r>
      <w:r>
        <w:rPr>
          <w:rFonts w:hint="eastAsia"/>
          <w:color w:val="auto"/>
          <w:u w:val="single"/>
        </w:rPr>
        <w:t xml:space="preserve">                         </w:t>
      </w:r>
      <w:r>
        <w:rPr>
          <w:rFonts w:hint="eastAsia"/>
          <w:color w:val="auto"/>
        </w:rPr>
        <w:t>（联合体成员供应商或其他合同主体）（如有）</w:t>
      </w:r>
    </w:p>
    <w:p>
      <w:pPr>
        <w:adjustRightInd/>
        <w:spacing w:line="400" w:lineRule="exact"/>
        <w:rPr>
          <w:color w:val="auto"/>
        </w:rPr>
      </w:pPr>
    </w:p>
    <w:p>
      <w:pPr>
        <w:pStyle w:val="631"/>
        <w:ind w:firstLine="480" w:firstLineChars="200"/>
        <w:rPr>
          <w:color w:val="auto"/>
        </w:rPr>
      </w:pPr>
      <w:r>
        <w:rPr>
          <w:rFonts w:hint="eastAsia"/>
          <w:color w:val="auto"/>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pStyle w:val="631"/>
        <w:ind w:firstLine="0"/>
        <w:rPr>
          <w:b/>
          <w:color w:val="auto"/>
        </w:rPr>
      </w:pPr>
      <w:r>
        <w:rPr>
          <w:rFonts w:hint="eastAsia"/>
          <w:b/>
          <w:color w:val="auto"/>
        </w:rPr>
        <w:t>1.项目信息</w:t>
      </w:r>
    </w:p>
    <w:p>
      <w:pPr>
        <w:pStyle w:val="631"/>
        <w:ind w:firstLine="480" w:firstLineChars="200"/>
        <w:rPr>
          <w:color w:val="auto"/>
          <w:u w:val="single"/>
        </w:rPr>
      </w:pPr>
      <w:r>
        <w:rPr>
          <w:rFonts w:hint="eastAsia"/>
          <w:color w:val="auto"/>
        </w:rPr>
        <w:t>（1）采购项目名称：</w:t>
      </w:r>
      <w:r>
        <w:rPr>
          <w:rFonts w:hint="eastAsia"/>
          <w:color w:val="auto"/>
          <w:u w:val="single"/>
        </w:rPr>
        <w:t xml:space="preserve">                                          </w:t>
      </w:r>
    </w:p>
    <w:p>
      <w:pPr>
        <w:pStyle w:val="631"/>
        <w:ind w:firstLine="1080" w:firstLineChars="450"/>
        <w:rPr>
          <w:color w:val="auto"/>
        </w:rPr>
      </w:pPr>
      <w:r>
        <w:rPr>
          <w:rFonts w:hint="eastAsia"/>
          <w:color w:val="auto"/>
        </w:rPr>
        <w:t>采购项目编号：</w:t>
      </w:r>
      <w:r>
        <w:rPr>
          <w:rFonts w:hint="eastAsia"/>
          <w:color w:val="auto"/>
          <w:u w:val="single"/>
        </w:rPr>
        <w:t xml:space="preserve">                                          </w:t>
      </w:r>
    </w:p>
    <w:p>
      <w:pPr>
        <w:pStyle w:val="631"/>
        <w:ind w:firstLine="480" w:firstLineChars="200"/>
        <w:rPr>
          <w:color w:val="auto"/>
        </w:rPr>
      </w:pPr>
      <w:r>
        <w:rPr>
          <w:rFonts w:hint="eastAsia"/>
          <w:color w:val="auto"/>
        </w:rPr>
        <w:t>（2）采购计划编号：</w:t>
      </w:r>
      <w:r>
        <w:rPr>
          <w:rFonts w:hint="eastAsia"/>
          <w:color w:val="auto"/>
          <w:u w:val="single"/>
        </w:rPr>
        <w:t xml:space="preserve">                                          </w:t>
      </w:r>
      <w:r>
        <w:rPr>
          <w:rFonts w:hint="eastAsia"/>
          <w:color w:val="auto"/>
        </w:rPr>
        <w:t xml:space="preserve"> </w:t>
      </w:r>
    </w:p>
    <w:p>
      <w:pPr>
        <w:pStyle w:val="631"/>
        <w:ind w:firstLine="480" w:firstLineChars="200"/>
        <w:rPr>
          <w:color w:val="auto"/>
        </w:rPr>
      </w:pPr>
      <w:r>
        <w:rPr>
          <w:rFonts w:hint="eastAsia"/>
          <w:color w:val="auto"/>
        </w:rPr>
        <w:t>（3）项目内容：</w:t>
      </w:r>
    </w:p>
    <w:p>
      <w:pPr>
        <w:pStyle w:val="631"/>
        <w:ind w:firstLine="480" w:firstLineChars="200"/>
        <w:rPr>
          <w:color w:val="auto"/>
        </w:rPr>
      </w:pPr>
      <w:r>
        <w:rPr>
          <w:rFonts w:hint="eastAsia"/>
          <w:color w:val="auto"/>
        </w:rPr>
        <w:t xml:space="preserve">     采购标的及数量（台/套</w:t>
      </w:r>
      <w:r>
        <w:rPr>
          <w:rFonts w:hint="eastAsia"/>
          <w:color w:val="auto"/>
          <w:lang w:val="en"/>
        </w:rPr>
        <w:t>/个/架/组等</w:t>
      </w:r>
      <w:r>
        <w:rPr>
          <w:rFonts w:hint="eastAsia"/>
          <w:color w:val="auto"/>
        </w:rPr>
        <w:t>）：</w:t>
      </w:r>
      <w:r>
        <w:rPr>
          <w:rFonts w:hint="eastAsia"/>
          <w:color w:val="auto"/>
          <w:u w:val="single"/>
        </w:rPr>
        <w:t xml:space="preserve">               </w:t>
      </w:r>
      <w:r>
        <w:rPr>
          <w:rFonts w:hint="eastAsia"/>
          <w:color w:val="auto"/>
        </w:rPr>
        <w:t xml:space="preserve">   </w:t>
      </w:r>
    </w:p>
    <w:p>
      <w:pPr>
        <w:pStyle w:val="631"/>
        <w:ind w:firstLine="480" w:firstLineChars="200"/>
        <w:rPr>
          <w:rFonts w:cs="宋体"/>
          <w:color w:val="auto"/>
          <w:lang w:val="en"/>
        </w:rPr>
      </w:pPr>
      <w:r>
        <w:rPr>
          <w:rFonts w:hint="eastAsia"/>
          <w:color w:val="auto"/>
        </w:rPr>
        <w:t xml:space="preserve">     </w:t>
      </w:r>
      <w:r>
        <w:rPr>
          <w:rFonts w:hint="eastAsia" w:cs="宋体"/>
          <w:color w:val="auto"/>
        </w:rPr>
        <w:t>品牌：</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r>
        <w:rPr>
          <w:rFonts w:hint="eastAsia" w:cs="宋体"/>
          <w:color w:val="auto"/>
          <w:lang w:val="en"/>
        </w:rPr>
        <w:t xml:space="preserve">     </w:t>
      </w:r>
      <w:r>
        <w:rPr>
          <w:rFonts w:hint="eastAsia" w:cs="宋体"/>
          <w:color w:val="auto"/>
        </w:rPr>
        <w:t>规格型号：</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r>
        <w:rPr>
          <w:rFonts w:hint="eastAsia" w:cs="宋体"/>
          <w:color w:val="auto"/>
          <w:u w:val="single"/>
          <w:lang w:val="en"/>
        </w:rPr>
        <w:t xml:space="preserve">   </w:t>
      </w:r>
    </w:p>
    <w:p>
      <w:pPr>
        <w:pStyle w:val="631"/>
        <w:ind w:firstLine="480" w:firstLineChars="200"/>
        <w:rPr>
          <w:color w:val="auto"/>
          <w:u w:val="single"/>
        </w:rPr>
      </w:pPr>
      <w:r>
        <w:rPr>
          <w:rFonts w:hint="eastAsia"/>
          <w:color w:val="auto"/>
        </w:rPr>
        <w:t>采购标的的技术要求、商务要求具体见附件。</w:t>
      </w:r>
    </w:p>
    <w:p>
      <w:pPr>
        <w:pStyle w:val="631"/>
        <w:ind w:firstLine="480" w:firstLineChars="200"/>
        <w:rPr>
          <w:rFonts w:cs="宋体"/>
          <w:color w:val="auto"/>
        </w:rPr>
      </w:pPr>
      <w:r>
        <w:rPr>
          <w:rFonts w:hint="eastAsia" w:cs="宋体"/>
          <w:color w:val="auto"/>
        </w:rPr>
        <w:t>①涉及信息类产品，请填写该产品关键部件的品牌、型号：</w:t>
      </w:r>
    </w:p>
    <w:p>
      <w:pPr>
        <w:pStyle w:val="631"/>
        <w:ind w:firstLine="480" w:firstLineChars="200"/>
        <w:rPr>
          <w:rFonts w:cs="宋体"/>
          <w:color w:val="auto"/>
          <w:u w:val="single"/>
        </w:rPr>
      </w:pPr>
      <w:r>
        <w:rPr>
          <w:rFonts w:hint="eastAsia" w:cs="宋体"/>
          <w:color w:val="auto"/>
        </w:rPr>
        <w:t xml:space="preserve">     标的名称：</w:t>
      </w:r>
      <w:r>
        <w:rPr>
          <w:rFonts w:hint="eastAsia" w:cs="宋体"/>
          <w:color w:val="auto"/>
          <w:u w:val="single"/>
        </w:rPr>
        <w:t xml:space="preserve">      </w:t>
      </w:r>
      <w:r>
        <w:rPr>
          <w:rFonts w:hint="eastAsia" w:cs="宋体"/>
          <w:color w:val="auto"/>
          <w:u w:val="single"/>
          <w:lang w:val="en"/>
        </w:rPr>
        <w:t xml:space="preserve">               </w:t>
      </w:r>
      <w:r>
        <w:rPr>
          <w:rFonts w:hint="eastAsia" w:cs="宋体"/>
          <w:color w:val="auto"/>
          <w:u w:val="single"/>
        </w:rPr>
        <w:t xml:space="preserve">    </w:t>
      </w:r>
    </w:p>
    <w:p>
      <w:pPr>
        <w:pStyle w:val="631"/>
        <w:ind w:firstLine="480" w:firstLineChars="200"/>
        <w:rPr>
          <w:rFonts w:cs="宋体"/>
          <w:color w:val="auto"/>
        </w:rPr>
      </w:pPr>
      <w:r>
        <w:rPr>
          <w:rFonts w:hint="eastAsia" w:cs="宋体"/>
          <w:color w:val="auto"/>
        </w:rPr>
        <w:t xml:space="preserve">     关键部件：</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型号：</w:t>
      </w:r>
      <w:r>
        <w:rPr>
          <w:rFonts w:hint="eastAsia" w:cs="宋体"/>
          <w:color w:val="auto"/>
          <w:u w:val="single"/>
        </w:rPr>
        <w:t xml:space="preserve">       </w:t>
      </w:r>
      <w:r>
        <w:rPr>
          <w:rFonts w:hint="eastAsia" w:cs="宋体"/>
          <w:color w:val="auto"/>
        </w:rPr>
        <w:t xml:space="preserve"> </w:t>
      </w:r>
    </w:p>
    <w:p>
      <w:pPr>
        <w:pStyle w:val="631"/>
        <w:ind w:firstLine="480" w:firstLineChars="200"/>
        <w:rPr>
          <w:rFonts w:cs="宋体"/>
          <w:color w:val="auto"/>
        </w:rPr>
      </w:pPr>
      <w:r>
        <w:rPr>
          <w:rFonts w:hint="eastAsia" w:cs="宋体"/>
          <w:color w:val="auto"/>
        </w:rPr>
        <w:t xml:space="preserve">     关键部件：</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型号：</w:t>
      </w:r>
      <w:r>
        <w:rPr>
          <w:rFonts w:hint="eastAsia" w:cs="宋体"/>
          <w:color w:val="auto"/>
          <w:u w:val="single"/>
        </w:rPr>
        <w:t xml:space="preserve">       </w:t>
      </w:r>
      <w:r>
        <w:rPr>
          <w:rFonts w:hint="eastAsia" w:cs="宋体"/>
          <w:color w:val="auto"/>
        </w:rPr>
        <w:t xml:space="preserve"> </w:t>
      </w:r>
    </w:p>
    <w:p>
      <w:pPr>
        <w:pStyle w:val="631"/>
        <w:ind w:firstLine="480" w:firstLineChars="200"/>
        <w:rPr>
          <w:rFonts w:cs="宋体"/>
          <w:color w:val="auto"/>
        </w:rPr>
      </w:pPr>
      <w:r>
        <w:rPr>
          <w:rFonts w:hint="eastAsia" w:cs="宋体"/>
          <w:color w:val="auto"/>
        </w:rPr>
        <w:t xml:space="preserve">     关键部件：</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型号：</w:t>
      </w:r>
      <w:r>
        <w:rPr>
          <w:rFonts w:hint="eastAsia" w:cs="宋体"/>
          <w:color w:val="auto"/>
          <w:u w:val="single"/>
        </w:rPr>
        <w:t xml:space="preserve">       </w:t>
      </w:r>
    </w:p>
    <w:p>
      <w:pPr>
        <w:pStyle w:val="631"/>
        <w:ind w:firstLine="480" w:firstLineChars="200"/>
        <w:rPr>
          <w:rFonts w:cs="宋体"/>
          <w:color w:val="auto"/>
        </w:rPr>
      </w:pPr>
      <w:r>
        <w:rPr>
          <w:rFonts w:hint="eastAsia" w:cs="宋体"/>
          <w:color w:val="auto"/>
        </w:rPr>
        <w:t>（注：关键部件是指财政部会同有关部门发布的政府采购需求标准规定的需要通过国家有关部门指定的测评机构开展的安全可靠测评的软硬件，如CPU芯片、操作系统、数据库等。）</w:t>
      </w:r>
    </w:p>
    <w:p>
      <w:pPr>
        <w:pStyle w:val="631"/>
        <w:ind w:firstLine="480" w:firstLineChars="200"/>
        <w:rPr>
          <w:rFonts w:cs="宋体"/>
          <w:color w:val="auto"/>
        </w:rPr>
      </w:pPr>
      <w:r>
        <w:rPr>
          <w:rFonts w:hint="eastAsia" w:cs="宋体"/>
          <w:color w:val="auto"/>
        </w:rPr>
        <w:t>②涉及车辆采购，请填写是否属于新能源汽车：</w:t>
      </w:r>
    </w:p>
    <w:p>
      <w:pPr>
        <w:pStyle w:val="631"/>
        <w:ind w:firstLine="480" w:firstLineChars="200"/>
        <w:rPr>
          <w:rFonts w:cs="宋体"/>
          <w:color w:val="auto"/>
        </w:rPr>
      </w:pPr>
      <w:r>
        <w:rPr>
          <w:rFonts w:cs="宋体"/>
          <w:color w:val="auto"/>
        </w:rPr>
        <w:sym w:font="Wingdings" w:char="F0A8"/>
      </w:r>
      <w:r>
        <w:rPr>
          <w:rFonts w:hint="eastAsia" w:cs="宋体"/>
          <w:color w:val="auto"/>
        </w:rPr>
        <w:t>是，《政府采购品目分类目录》底级品目名称：</w:t>
      </w:r>
      <w:r>
        <w:rPr>
          <w:rFonts w:hint="eastAsia" w:cs="宋体"/>
          <w:color w:val="auto"/>
          <w:u w:val="single"/>
        </w:rPr>
        <w:t xml:space="preserve">     </w:t>
      </w:r>
      <w:r>
        <w:rPr>
          <w:rFonts w:hint="eastAsia" w:cs="宋体"/>
          <w:color w:val="auto"/>
        </w:rPr>
        <w:t xml:space="preserve"> 数量：</w:t>
      </w:r>
      <w:r>
        <w:rPr>
          <w:rFonts w:hint="eastAsia" w:cs="宋体"/>
          <w:color w:val="auto"/>
          <w:u w:val="single"/>
        </w:rPr>
        <w:t xml:space="preserve">    </w:t>
      </w:r>
      <w:r>
        <w:rPr>
          <w:rFonts w:hint="eastAsia" w:cs="宋体"/>
          <w:color w:val="auto"/>
        </w:rPr>
        <w:t xml:space="preserve"> 金额：</w:t>
      </w:r>
      <w:r>
        <w:rPr>
          <w:rFonts w:hint="eastAsia" w:cs="宋体"/>
          <w:color w:val="auto"/>
          <w:u w:val="single"/>
        </w:rPr>
        <w:t xml:space="preserve">     </w:t>
      </w:r>
      <w:r>
        <w:rPr>
          <w:rFonts w:hint="eastAsia" w:cs="宋体"/>
          <w:color w:val="auto"/>
        </w:rPr>
        <w:t xml:space="preserve"> </w:t>
      </w:r>
    </w:p>
    <w:p>
      <w:pPr>
        <w:pStyle w:val="631"/>
        <w:ind w:firstLine="480" w:firstLineChars="200"/>
        <w:rPr>
          <w:rFonts w:cs="宋体"/>
          <w:color w:val="auto"/>
        </w:rPr>
      </w:pPr>
      <w:r>
        <w:rPr>
          <w:rFonts w:cs="宋体"/>
          <w:color w:val="auto"/>
        </w:rPr>
        <w:sym w:font="Wingdings" w:char="F0A8"/>
      </w:r>
      <w:r>
        <w:rPr>
          <w:rFonts w:hint="eastAsia" w:cs="宋体"/>
          <w:color w:val="auto"/>
        </w:rPr>
        <w:t>否</w:t>
      </w:r>
    </w:p>
    <w:p>
      <w:pPr>
        <w:pStyle w:val="631"/>
        <w:ind w:firstLine="480" w:firstLineChars="200"/>
        <w:rPr>
          <w:rFonts w:cs="宋体"/>
          <w:color w:val="auto"/>
        </w:rPr>
      </w:pPr>
      <w:r>
        <w:rPr>
          <w:rFonts w:hint="eastAsia" w:cs="宋体"/>
          <w:color w:val="auto"/>
        </w:rPr>
        <w:t>（</w:t>
      </w:r>
      <w:r>
        <w:rPr>
          <w:rFonts w:hint="eastAsia" w:cs="宋体"/>
          <w:color w:val="auto"/>
          <w:lang w:val="en"/>
        </w:rPr>
        <w:t>4</w:t>
      </w:r>
      <w:r>
        <w:rPr>
          <w:rFonts w:hint="eastAsia" w:cs="宋体"/>
          <w:color w:val="auto"/>
        </w:rPr>
        <w:t>）政府采购组织形式：</w:t>
      </w:r>
      <w:r>
        <w:rPr>
          <w:rFonts w:cs="宋体"/>
          <w:color w:val="auto"/>
        </w:rPr>
        <w:sym w:font="Wingdings" w:char="F0A8"/>
      </w:r>
      <w:r>
        <w:rPr>
          <w:rFonts w:hint="eastAsia" w:cs="宋体"/>
          <w:color w:val="auto"/>
        </w:rPr>
        <w:t xml:space="preserve">政府集中采购  </w:t>
      </w:r>
      <w:r>
        <w:rPr>
          <w:rFonts w:cs="宋体"/>
          <w:color w:val="auto"/>
        </w:rPr>
        <w:sym w:font="Wingdings" w:char="F0A8"/>
      </w:r>
      <w:r>
        <w:rPr>
          <w:rFonts w:hint="eastAsia" w:cs="宋体"/>
          <w:color w:val="auto"/>
        </w:rPr>
        <w:t xml:space="preserve">部门集中采购  </w:t>
      </w:r>
      <w:r>
        <w:rPr>
          <w:rFonts w:cs="宋体"/>
          <w:color w:val="auto"/>
        </w:rPr>
        <w:sym w:font="Wingdings" w:char="F0A8"/>
      </w:r>
      <w:r>
        <w:rPr>
          <w:rFonts w:hint="eastAsia" w:cs="宋体"/>
          <w:color w:val="auto"/>
        </w:rPr>
        <w:t>分散采购</w:t>
      </w:r>
    </w:p>
    <w:p>
      <w:pPr>
        <w:pStyle w:val="631"/>
        <w:ind w:firstLine="480" w:firstLineChars="200"/>
        <w:rPr>
          <w:rFonts w:cs="宋体"/>
          <w:color w:val="auto"/>
        </w:rPr>
      </w:pPr>
      <w:r>
        <w:rPr>
          <w:rFonts w:hint="eastAsia" w:cs="宋体"/>
          <w:color w:val="auto"/>
        </w:rPr>
        <w:t>（</w:t>
      </w:r>
      <w:r>
        <w:rPr>
          <w:rFonts w:hint="eastAsia" w:cs="宋体"/>
          <w:color w:val="auto"/>
          <w:lang w:val="en"/>
        </w:rPr>
        <w:t>5</w:t>
      </w:r>
      <w:r>
        <w:rPr>
          <w:rFonts w:hint="eastAsia" w:cs="宋体"/>
          <w:color w:val="auto"/>
        </w:rPr>
        <w:t>）政府采购方式：</w:t>
      </w:r>
      <w:r>
        <w:rPr>
          <w:rFonts w:cs="宋体"/>
          <w:color w:val="auto"/>
        </w:rPr>
        <w:sym w:font="Wingdings" w:char="F0A8"/>
      </w:r>
      <w:r>
        <w:rPr>
          <w:rFonts w:hint="eastAsia" w:cs="宋体"/>
          <w:color w:val="auto"/>
        </w:rPr>
        <w:t xml:space="preserve">公开招标 </w:t>
      </w:r>
      <w:r>
        <w:rPr>
          <w:rFonts w:cs="宋体"/>
          <w:color w:val="auto"/>
        </w:rPr>
        <w:sym w:font="Wingdings" w:char="F0A8"/>
      </w:r>
      <w:r>
        <w:rPr>
          <w:rFonts w:hint="eastAsia" w:cs="宋体"/>
          <w:color w:val="auto"/>
        </w:rPr>
        <w:t xml:space="preserve">邀请招标 </w:t>
      </w:r>
      <w:r>
        <w:rPr>
          <w:rFonts w:cs="宋体"/>
          <w:color w:val="auto"/>
        </w:rPr>
        <w:sym w:font="Wingdings" w:char="F0A8"/>
      </w:r>
      <w:r>
        <w:rPr>
          <w:rFonts w:hint="eastAsia" w:cs="宋体"/>
          <w:color w:val="auto"/>
        </w:rPr>
        <w:t xml:space="preserve">竞争性谈判 </w:t>
      </w:r>
      <w:r>
        <w:rPr>
          <w:rFonts w:cs="宋体"/>
          <w:color w:val="auto"/>
        </w:rPr>
        <w:sym w:font="Wingdings" w:char="F0A8"/>
      </w:r>
      <w:r>
        <w:rPr>
          <w:rFonts w:hint="eastAsia" w:cs="宋体"/>
          <w:color w:val="auto"/>
        </w:rPr>
        <w:t>竞争性磋商</w:t>
      </w:r>
    </w:p>
    <w:p>
      <w:pPr>
        <w:pStyle w:val="631"/>
        <w:ind w:firstLine="440" w:firstLineChars="200"/>
        <w:rPr>
          <w:rFonts w:cs="宋体"/>
          <w:color w:val="auto"/>
          <w:u w:val="single"/>
        </w:rPr>
      </w:pPr>
      <w:r>
        <w:rPr>
          <w:rFonts w:hint="eastAsia" w:eastAsia="华文楷体" w:cs="宋体"/>
          <w:color w:val="auto"/>
          <w:sz w:val="22"/>
        </w:rPr>
        <w:t xml:space="preserve">                     </w:t>
      </w:r>
      <w:r>
        <w:rPr>
          <w:rFonts w:cs="宋体"/>
          <w:color w:val="auto"/>
        </w:rPr>
        <w:sym w:font="Wingdings" w:char="F0A8"/>
      </w:r>
      <w:r>
        <w:rPr>
          <w:rFonts w:hint="eastAsia" w:cs="宋体"/>
          <w:color w:val="auto"/>
        </w:rPr>
        <w:t xml:space="preserve">询价 </w:t>
      </w:r>
      <w:r>
        <w:rPr>
          <w:rFonts w:cs="宋体"/>
          <w:color w:val="auto"/>
        </w:rPr>
        <w:sym w:font="Wingdings" w:char="F0A8"/>
      </w:r>
      <w:r>
        <w:rPr>
          <w:rFonts w:hint="eastAsia" w:cs="宋体"/>
          <w:color w:val="auto"/>
        </w:rPr>
        <w:t xml:space="preserve">单一来源 </w:t>
      </w:r>
      <w:r>
        <w:rPr>
          <w:rFonts w:cs="宋体"/>
          <w:color w:val="auto"/>
        </w:rPr>
        <w:sym w:font="Wingdings" w:char="F0A8"/>
      </w:r>
      <w:r>
        <w:rPr>
          <w:rFonts w:hint="eastAsia" w:cs="宋体"/>
          <w:color w:val="auto"/>
        </w:rPr>
        <w:t xml:space="preserve">框架协议 </w:t>
      </w:r>
      <w:r>
        <w:rPr>
          <w:rFonts w:cs="宋体"/>
          <w:color w:val="auto"/>
        </w:rPr>
        <w:sym w:font="Wingdings" w:char="F0A8"/>
      </w:r>
      <w:r>
        <w:rPr>
          <w:rFonts w:hint="eastAsia" w:cs="宋体"/>
          <w:color w:val="auto"/>
        </w:rPr>
        <w:t>其他：</w:t>
      </w:r>
      <w:r>
        <w:rPr>
          <w:rFonts w:hint="eastAsia" w:cs="宋体"/>
          <w:color w:val="auto"/>
          <w:u w:val="single"/>
        </w:rPr>
        <w:t xml:space="preserve">          </w:t>
      </w:r>
    </w:p>
    <w:p>
      <w:pPr>
        <w:pStyle w:val="631"/>
        <w:ind w:firstLine="480" w:firstLineChars="200"/>
        <w:rPr>
          <w:rFonts w:cs="宋体"/>
          <w:color w:val="auto"/>
        </w:rPr>
      </w:pPr>
      <w:r>
        <w:rPr>
          <w:rFonts w:hint="eastAsia" w:cs="宋体"/>
          <w:color w:val="auto"/>
        </w:rPr>
        <w:t>（注：在框架协议采购的第二阶段，可选择使用该合同文本）</w:t>
      </w:r>
    </w:p>
    <w:p>
      <w:pPr>
        <w:pStyle w:val="631"/>
        <w:ind w:firstLine="440" w:firstLineChars="200"/>
        <w:rPr>
          <w:color w:val="auto"/>
        </w:rPr>
      </w:pPr>
      <w:r>
        <w:rPr>
          <w:rFonts w:hint="eastAsia" w:eastAsia="华文楷体" w:cs="华文楷体"/>
          <w:color w:val="auto"/>
          <w:sz w:val="22"/>
        </w:rPr>
        <w:t>（</w:t>
      </w:r>
      <w:r>
        <w:rPr>
          <w:rFonts w:hint="eastAsia" w:eastAsia="华文楷体" w:cs="华文楷体"/>
          <w:color w:val="auto"/>
          <w:sz w:val="22"/>
          <w:lang w:val="en"/>
        </w:rPr>
        <w:t>6</w:t>
      </w:r>
      <w:r>
        <w:rPr>
          <w:rFonts w:hint="eastAsia" w:eastAsia="华文楷体" w:cs="华文楷体"/>
          <w:color w:val="auto"/>
          <w:sz w:val="22"/>
        </w:rPr>
        <w:t>）</w:t>
      </w:r>
      <w:r>
        <w:rPr>
          <w:rFonts w:hint="eastAsia"/>
          <w:color w:val="auto"/>
        </w:rPr>
        <w:t>中标（成交）采购标的制造商是否为中小企业：</w:t>
      </w:r>
      <w:r>
        <w:rPr>
          <w:color w:val="auto"/>
        </w:rPr>
        <w:sym w:font="Wingdings" w:char="F0A8"/>
      </w:r>
      <w:r>
        <w:rPr>
          <w:rFonts w:hint="eastAsia"/>
          <w:color w:val="auto"/>
        </w:rPr>
        <w:t xml:space="preserve">是      </w:t>
      </w:r>
      <w:r>
        <w:rPr>
          <w:color w:val="auto"/>
        </w:rPr>
        <w:sym w:font="Wingdings" w:char="F0A8"/>
      </w:r>
      <w:r>
        <w:rPr>
          <w:rFonts w:hint="eastAsia"/>
          <w:color w:val="auto"/>
        </w:rPr>
        <w:t>否</w:t>
      </w:r>
    </w:p>
    <w:p>
      <w:pPr>
        <w:pStyle w:val="631"/>
        <w:ind w:firstLine="480" w:firstLineChars="200"/>
        <w:rPr>
          <w:iCs/>
          <w:color w:val="auto"/>
        </w:rPr>
      </w:pPr>
      <w:r>
        <w:rPr>
          <w:rFonts w:hint="eastAsia"/>
          <w:color w:val="auto"/>
        </w:rPr>
        <w:t>本合同是否为专门面向中小企业的采购合同（中小企业预留合同）：</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631"/>
        <w:ind w:firstLine="480" w:firstLineChars="200"/>
        <w:rPr>
          <w:iCs/>
          <w:color w:val="auto"/>
        </w:rPr>
      </w:pPr>
      <w:r>
        <w:rPr>
          <w:rFonts w:hint="eastAsia"/>
          <w:color w:val="auto"/>
        </w:rPr>
        <w:t>若本项目不专门面向中小企业采购，是否给予小微企业评审优惠：</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631"/>
        <w:ind w:firstLine="480" w:firstLineChars="200"/>
        <w:rPr>
          <w:iCs/>
          <w:color w:val="auto"/>
        </w:rPr>
      </w:pPr>
      <w:r>
        <w:rPr>
          <w:rFonts w:hint="eastAsia"/>
          <w:color w:val="auto"/>
        </w:rPr>
        <w:t>中标（成交）采购标的制造商是否为残疾人福利性单位：</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631"/>
        <w:ind w:firstLine="480" w:firstLineChars="200"/>
        <w:rPr>
          <w:color w:val="auto"/>
        </w:rPr>
      </w:pPr>
      <w:r>
        <w:rPr>
          <w:rFonts w:hint="eastAsia"/>
          <w:color w:val="auto"/>
        </w:rPr>
        <w:t>中标（成交）采购标的制造商是否为监狱企业：</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631"/>
        <w:ind w:firstLine="480" w:firstLineChars="200"/>
        <w:rPr>
          <w:color w:val="auto"/>
        </w:rPr>
      </w:pPr>
      <w:r>
        <w:rPr>
          <w:rFonts w:hint="eastAsia"/>
          <w:color w:val="auto"/>
        </w:rPr>
        <w:t>（</w:t>
      </w:r>
      <w:r>
        <w:rPr>
          <w:rFonts w:hint="eastAsia"/>
          <w:color w:val="auto"/>
          <w:lang w:val="en"/>
        </w:rPr>
        <w:t>7</w:t>
      </w:r>
      <w:r>
        <w:rPr>
          <w:rFonts w:hint="eastAsia"/>
          <w:color w:val="auto"/>
        </w:rPr>
        <w:t>）合同是否分包：</w:t>
      </w:r>
      <w:r>
        <w:rPr>
          <w:iCs/>
          <w:color w:val="auto"/>
        </w:rPr>
        <w:sym w:font="Wingdings" w:char="F0A8"/>
      </w:r>
      <w:r>
        <w:rPr>
          <w:rFonts w:hint="eastAsia"/>
          <w:iCs/>
          <w:color w:val="auto"/>
        </w:rPr>
        <w:t xml:space="preserve">是       </w:t>
      </w:r>
      <w:r>
        <w:rPr>
          <w:iCs/>
          <w:color w:val="auto"/>
        </w:rPr>
        <w:sym w:font="Wingdings" w:char="F0A8"/>
      </w:r>
      <w:r>
        <w:rPr>
          <w:rFonts w:hint="eastAsia"/>
          <w:iCs/>
          <w:color w:val="auto"/>
        </w:rPr>
        <w:t>否</w:t>
      </w:r>
    </w:p>
    <w:p>
      <w:pPr>
        <w:pStyle w:val="631"/>
        <w:ind w:firstLine="480" w:firstLineChars="200"/>
        <w:rPr>
          <w:color w:val="auto"/>
          <w:u w:val="single"/>
        </w:rPr>
      </w:pPr>
      <w:r>
        <w:rPr>
          <w:rFonts w:hint="eastAsia"/>
          <w:color w:val="auto"/>
        </w:rPr>
        <w:t>分包主要内容：</w:t>
      </w:r>
      <w:r>
        <w:rPr>
          <w:rFonts w:hint="eastAsia"/>
          <w:color w:val="auto"/>
          <w:u w:val="single"/>
        </w:rPr>
        <w:t xml:space="preserve">                                            </w:t>
      </w:r>
    </w:p>
    <w:p>
      <w:pPr>
        <w:pStyle w:val="631"/>
        <w:ind w:firstLine="480" w:firstLineChars="200"/>
        <w:rPr>
          <w:color w:val="auto"/>
        </w:rPr>
      </w:pPr>
      <w:r>
        <w:rPr>
          <w:rFonts w:hint="eastAsia"/>
          <w:color w:val="auto"/>
        </w:rPr>
        <w:t>分包供应商/制造商名称（如供应商和制造商不同，请分别填写）：</w:t>
      </w:r>
    </w:p>
    <w:p>
      <w:pPr>
        <w:pStyle w:val="631"/>
        <w:ind w:firstLine="480" w:firstLineChars="200"/>
        <w:rPr>
          <w:color w:val="auto"/>
          <w:u w:val="single"/>
        </w:rPr>
      </w:pPr>
      <w:r>
        <w:rPr>
          <w:rFonts w:hint="eastAsia"/>
          <w:color w:val="auto"/>
        </w:rPr>
        <w:t xml:space="preserve"> </w:t>
      </w:r>
      <w:r>
        <w:rPr>
          <w:rFonts w:hint="eastAsia"/>
          <w:color w:val="auto"/>
          <w:u w:val="single"/>
        </w:rPr>
        <w:t xml:space="preserve">                                                          </w:t>
      </w:r>
    </w:p>
    <w:p>
      <w:pPr>
        <w:pStyle w:val="631"/>
        <w:ind w:firstLine="480" w:firstLineChars="200"/>
        <w:rPr>
          <w:color w:val="auto"/>
        </w:rPr>
      </w:pPr>
      <w:r>
        <w:rPr>
          <w:rFonts w:hint="eastAsia"/>
          <w:color w:val="auto"/>
        </w:rPr>
        <w:t>分包供应商/制造商类型（如果供应商和制造商不同，只填写制造商类型）：</w:t>
      </w:r>
    </w:p>
    <w:p>
      <w:pPr>
        <w:pStyle w:val="631"/>
        <w:ind w:firstLine="480" w:firstLineChars="200"/>
        <w:rPr>
          <w:iCs/>
          <w:color w:val="auto"/>
        </w:rPr>
      </w:pPr>
      <w:r>
        <w:rPr>
          <w:iCs/>
          <w:color w:val="auto"/>
        </w:rPr>
        <w:sym w:font="Wingdings" w:char="F0A8"/>
      </w:r>
      <w:r>
        <w:rPr>
          <w:rFonts w:hint="eastAsia"/>
          <w:iCs/>
          <w:color w:val="auto"/>
        </w:rPr>
        <w:t xml:space="preserve">大型企业  </w:t>
      </w:r>
      <w:r>
        <w:rPr>
          <w:iCs/>
          <w:color w:val="auto"/>
        </w:rPr>
        <w:sym w:font="Wingdings" w:char="F0A8"/>
      </w:r>
      <w:r>
        <w:rPr>
          <w:rFonts w:hint="eastAsia"/>
          <w:iCs/>
          <w:color w:val="auto"/>
        </w:rPr>
        <w:t xml:space="preserve">中型企业  </w:t>
      </w:r>
      <w:r>
        <w:rPr>
          <w:iCs/>
          <w:color w:val="auto"/>
        </w:rPr>
        <w:sym w:font="Wingdings" w:char="F0A8"/>
      </w:r>
      <w:r>
        <w:rPr>
          <w:rFonts w:hint="eastAsia"/>
          <w:iCs/>
          <w:color w:val="auto"/>
        </w:rPr>
        <w:t xml:space="preserve">小微型企业  </w:t>
      </w:r>
    </w:p>
    <w:p>
      <w:pPr>
        <w:pStyle w:val="631"/>
        <w:ind w:firstLine="480" w:firstLineChars="200"/>
        <w:rPr>
          <w:rFonts w:eastAsia="华文楷体"/>
          <w:color w:val="auto"/>
        </w:rPr>
      </w:pPr>
      <w:r>
        <w:rPr>
          <w:iCs/>
          <w:color w:val="auto"/>
        </w:rPr>
        <w:sym w:font="Wingdings" w:char="F0A8"/>
      </w:r>
      <w:r>
        <w:rPr>
          <w:rFonts w:hint="eastAsia"/>
          <w:iCs/>
          <w:color w:val="auto"/>
        </w:rPr>
        <w:t xml:space="preserve">残疾人福利性单位 </w:t>
      </w:r>
      <w:r>
        <w:rPr>
          <w:iCs/>
          <w:color w:val="auto"/>
        </w:rPr>
        <w:sym w:font="Wingdings" w:char="F0A8"/>
      </w:r>
      <w:r>
        <w:rPr>
          <w:rFonts w:hint="eastAsia"/>
          <w:iCs/>
          <w:color w:val="auto"/>
        </w:rPr>
        <w:t xml:space="preserve">监狱企业 </w:t>
      </w:r>
      <w:r>
        <w:rPr>
          <w:iCs/>
          <w:color w:val="auto"/>
        </w:rPr>
        <w:sym w:font="Wingdings" w:char="F0A8"/>
      </w:r>
      <w:r>
        <w:rPr>
          <w:rFonts w:hint="eastAsia"/>
          <w:iCs/>
          <w:color w:val="auto"/>
        </w:rPr>
        <w:t>其他</w:t>
      </w:r>
    </w:p>
    <w:p>
      <w:pPr>
        <w:pStyle w:val="631"/>
        <w:ind w:firstLine="480" w:firstLineChars="200"/>
        <w:rPr>
          <w:rFonts w:cs="宋体"/>
          <w:iCs/>
          <w:color w:val="auto"/>
        </w:rPr>
      </w:pPr>
      <w:r>
        <w:rPr>
          <w:rFonts w:hint="eastAsia" w:cs="宋体"/>
          <w:color w:val="auto"/>
        </w:rPr>
        <w:t>（</w:t>
      </w:r>
      <w:r>
        <w:rPr>
          <w:rFonts w:hint="eastAsia" w:cs="宋体"/>
          <w:color w:val="auto"/>
          <w:lang w:val="en"/>
        </w:rPr>
        <w:t>8</w:t>
      </w:r>
      <w:r>
        <w:rPr>
          <w:rFonts w:hint="eastAsia" w:cs="宋体"/>
          <w:color w:val="auto"/>
        </w:rPr>
        <w:t>）中标（成交）供应商是否为外商投资企业：</w:t>
      </w:r>
      <w:r>
        <w:rPr>
          <w:rFonts w:cs="宋体"/>
          <w:iCs/>
          <w:color w:val="auto"/>
        </w:rPr>
        <w:sym w:font="Wingdings" w:char="F0A8"/>
      </w:r>
      <w:r>
        <w:rPr>
          <w:rFonts w:hint="eastAsia" w:cs="宋体"/>
          <w:iCs/>
          <w:color w:val="auto"/>
        </w:rPr>
        <w:t xml:space="preserve">是       </w:t>
      </w:r>
      <w:r>
        <w:rPr>
          <w:rFonts w:cs="宋体"/>
          <w:iCs/>
          <w:color w:val="auto"/>
        </w:rPr>
        <w:sym w:font="Wingdings" w:char="F0A8"/>
      </w:r>
      <w:r>
        <w:rPr>
          <w:rFonts w:hint="eastAsia" w:cs="宋体"/>
          <w:iCs/>
          <w:color w:val="auto"/>
        </w:rPr>
        <w:t>否</w:t>
      </w:r>
    </w:p>
    <w:p>
      <w:pPr>
        <w:pStyle w:val="631"/>
        <w:ind w:firstLine="480" w:firstLineChars="200"/>
        <w:rPr>
          <w:rFonts w:cs="宋体"/>
          <w:color w:val="auto"/>
          <w:u w:val="single"/>
        </w:rPr>
      </w:pPr>
      <w:r>
        <w:rPr>
          <w:rFonts w:hint="eastAsia" w:cs="宋体"/>
          <w:color w:val="auto"/>
        </w:rPr>
        <w:t xml:space="preserve">     外商投资企业类型：</w:t>
      </w:r>
      <w:r>
        <w:rPr>
          <w:rFonts w:cs="宋体"/>
          <w:iCs/>
          <w:color w:val="auto"/>
        </w:rPr>
        <w:sym w:font="Wingdings" w:char="F0A8"/>
      </w:r>
      <w:r>
        <w:rPr>
          <w:rFonts w:hint="eastAsia" w:cs="宋体"/>
          <w:color w:val="auto"/>
        </w:rPr>
        <w:t xml:space="preserve">全部由外国投资者投资  </w:t>
      </w:r>
      <w:r>
        <w:rPr>
          <w:rFonts w:cs="宋体"/>
          <w:iCs/>
          <w:color w:val="auto"/>
        </w:rPr>
        <w:sym w:font="Wingdings" w:char="F0A8"/>
      </w:r>
      <w:r>
        <w:rPr>
          <w:rFonts w:hint="eastAsia" w:cs="宋体"/>
          <w:iCs/>
          <w:color w:val="auto"/>
        </w:rPr>
        <w:t>部分由外国投资者投资</w:t>
      </w:r>
    </w:p>
    <w:p>
      <w:pPr>
        <w:pStyle w:val="631"/>
        <w:ind w:firstLine="480" w:firstLineChars="200"/>
        <w:rPr>
          <w:rFonts w:cs="宋体"/>
          <w:color w:val="auto"/>
        </w:rPr>
      </w:pPr>
      <w:r>
        <w:rPr>
          <w:rFonts w:hint="eastAsia" w:cs="宋体"/>
          <w:color w:val="auto"/>
        </w:rPr>
        <w:t>（</w:t>
      </w:r>
      <w:r>
        <w:rPr>
          <w:rFonts w:hint="eastAsia" w:cs="宋体"/>
          <w:color w:val="auto"/>
          <w:lang w:val="en"/>
        </w:rPr>
        <w:t>9</w:t>
      </w:r>
      <w:r>
        <w:rPr>
          <w:rFonts w:hint="eastAsia" w:cs="宋体"/>
          <w:color w:val="auto"/>
        </w:rPr>
        <w:t>）是否涉及进口产品：</w:t>
      </w:r>
    </w:p>
    <w:p>
      <w:pPr>
        <w:pStyle w:val="631"/>
        <w:ind w:firstLine="480" w:firstLineChars="200"/>
        <w:rPr>
          <w:rFonts w:cs="宋体"/>
          <w:color w:val="auto"/>
          <w:u w:val="single"/>
        </w:rPr>
      </w:pPr>
      <w:r>
        <w:rPr>
          <w:rFonts w:cs="宋体"/>
          <w:color w:val="auto"/>
        </w:rPr>
        <w:sym w:font="Wingdings" w:char="F0A8"/>
      </w:r>
      <w:r>
        <w:rPr>
          <w:rFonts w:hint="eastAsia" w:cs="宋体"/>
          <w:color w:val="auto"/>
        </w:rPr>
        <w:t>是，《政府采购品目分类目录》底级品目名称：</w:t>
      </w:r>
      <w:r>
        <w:rPr>
          <w:rFonts w:hint="eastAsia" w:cs="宋体"/>
          <w:color w:val="auto"/>
          <w:u w:val="single"/>
        </w:rPr>
        <w:t xml:space="preserve">         </w:t>
      </w:r>
      <w:r>
        <w:rPr>
          <w:rFonts w:hint="eastAsia" w:cs="宋体"/>
          <w:color w:val="auto"/>
        </w:rPr>
        <w:t xml:space="preserve"> 金额：</w:t>
      </w:r>
      <w:r>
        <w:rPr>
          <w:rFonts w:hint="eastAsia" w:cs="宋体"/>
          <w:color w:val="auto"/>
          <w:u w:val="single"/>
        </w:rPr>
        <w:t xml:space="preserve">        </w:t>
      </w:r>
    </w:p>
    <w:p>
      <w:pPr>
        <w:pStyle w:val="631"/>
        <w:ind w:firstLine="480" w:firstLineChars="200"/>
        <w:rPr>
          <w:color w:val="auto"/>
        </w:rPr>
      </w:pPr>
      <w:r>
        <w:rPr>
          <w:rFonts w:hint="eastAsia" w:cs="宋体"/>
          <w:color w:val="auto"/>
        </w:rPr>
        <w:t xml:space="preserve">        国别：</w:t>
      </w:r>
      <w:r>
        <w:rPr>
          <w:rFonts w:hint="eastAsia" w:cs="宋体"/>
          <w:color w:val="auto"/>
          <w:u w:val="single"/>
        </w:rPr>
        <w:t xml:space="preserve">        </w:t>
      </w:r>
      <w:r>
        <w:rPr>
          <w:rFonts w:hint="eastAsia" w:cs="宋体"/>
          <w:color w:val="auto"/>
        </w:rPr>
        <w:t xml:space="preserve"> 品牌：</w:t>
      </w:r>
      <w:r>
        <w:rPr>
          <w:rFonts w:hint="eastAsia" w:cs="宋体"/>
          <w:color w:val="auto"/>
          <w:u w:val="single"/>
        </w:rPr>
        <w:t xml:space="preserve">        </w:t>
      </w:r>
      <w:r>
        <w:rPr>
          <w:rFonts w:hint="eastAsia" w:cs="宋体"/>
          <w:color w:val="auto"/>
        </w:rPr>
        <w:t xml:space="preserve"> 规格型号：</w:t>
      </w:r>
      <w:r>
        <w:rPr>
          <w:rFonts w:hint="eastAsia" w:cs="宋体"/>
          <w:color w:val="auto"/>
          <w:u w:val="single"/>
        </w:rPr>
        <w:t xml:space="preserve">        </w:t>
      </w:r>
      <w:r>
        <w:rPr>
          <w:rFonts w:hint="eastAsia"/>
          <w:color w:val="auto"/>
        </w:rPr>
        <w:t xml:space="preserve">      </w:t>
      </w:r>
    </w:p>
    <w:p>
      <w:pPr>
        <w:pStyle w:val="631"/>
        <w:ind w:firstLine="480" w:firstLineChars="200"/>
        <w:rPr>
          <w:color w:val="auto"/>
        </w:rPr>
      </w:pPr>
      <w:r>
        <w:rPr>
          <w:color w:val="auto"/>
        </w:rPr>
        <w:sym w:font="Wingdings" w:char="F0A8"/>
      </w:r>
      <w:r>
        <w:rPr>
          <w:rFonts w:hint="eastAsia"/>
          <w:color w:val="auto"/>
        </w:rPr>
        <w:t>否</w:t>
      </w:r>
    </w:p>
    <w:p>
      <w:pPr>
        <w:pStyle w:val="631"/>
        <w:ind w:firstLine="480" w:firstLineChars="200"/>
        <w:rPr>
          <w:color w:val="auto"/>
        </w:rPr>
      </w:pPr>
      <w:r>
        <w:rPr>
          <w:rFonts w:hint="eastAsia"/>
          <w:color w:val="auto"/>
        </w:rPr>
        <w:t>（1</w:t>
      </w:r>
      <w:r>
        <w:rPr>
          <w:rFonts w:hint="eastAsia"/>
          <w:color w:val="auto"/>
          <w:lang w:val="en"/>
        </w:rPr>
        <w:t>0</w:t>
      </w:r>
      <w:r>
        <w:rPr>
          <w:rFonts w:hint="eastAsia"/>
          <w:color w:val="auto"/>
        </w:rPr>
        <w:t>）是否涉及节能产品：</w:t>
      </w:r>
    </w:p>
    <w:p>
      <w:pPr>
        <w:pStyle w:val="631"/>
        <w:ind w:firstLine="480" w:firstLineChars="200"/>
        <w:rPr>
          <w:iCs/>
          <w:color w:val="auto"/>
        </w:rPr>
      </w:pPr>
      <w:r>
        <w:rPr>
          <w:color w:val="auto"/>
        </w:rPr>
        <w:sym w:font="Wingdings" w:char="F0A8"/>
      </w:r>
      <w:r>
        <w:rPr>
          <w:rFonts w:hint="eastAsia"/>
          <w:color w:val="auto"/>
        </w:rPr>
        <w:t>是，《节能产品政府采购品目清单》的底级品目名称：</w:t>
      </w:r>
      <w:r>
        <w:rPr>
          <w:rFonts w:hint="eastAsia"/>
          <w:color w:val="auto"/>
          <w:u w:val="single"/>
        </w:rPr>
        <w:t xml:space="preserve">         </w:t>
      </w:r>
      <w:r>
        <w:rPr>
          <w:rFonts w:hint="eastAsia"/>
          <w:iCs/>
          <w:color w:val="auto"/>
        </w:rPr>
        <w:t xml:space="preserve">     </w:t>
      </w:r>
    </w:p>
    <w:p>
      <w:pPr>
        <w:pStyle w:val="631"/>
        <w:ind w:left="360" w:firstLine="480" w:firstLineChars="200"/>
        <w:rPr>
          <w:iCs/>
          <w:color w:val="auto"/>
        </w:rPr>
      </w:pPr>
      <w:r>
        <w:rPr>
          <w:iCs/>
          <w:color w:val="auto"/>
        </w:rPr>
        <w:sym w:font="Wingdings" w:char="F0A8"/>
      </w:r>
      <w:r>
        <w:rPr>
          <w:rFonts w:hint="eastAsia"/>
          <w:iCs/>
          <w:color w:val="auto"/>
        </w:rPr>
        <w:t xml:space="preserve">强制采购       </w:t>
      </w:r>
      <w:r>
        <w:rPr>
          <w:iCs/>
          <w:color w:val="auto"/>
        </w:rPr>
        <w:sym w:font="Wingdings" w:char="F0A8"/>
      </w:r>
      <w:r>
        <w:rPr>
          <w:rFonts w:hint="eastAsia"/>
          <w:iCs/>
          <w:color w:val="auto"/>
        </w:rPr>
        <w:t xml:space="preserve">优先采购    </w:t>
      </w:r>
    </w:p>
    <w:p>
      <w:pPr>
        <w:pStyle w:val="631"/>
        <w:ind w:firstLine="480" w:firstLineChars="200"/>
        <w:rPr>
          <w:color w:val="auto"/>
        </w:rPr>
      </w:pPr>
      <w:r>
        <w:rPr>
          <w:color w:val="auto"/>
        </w:rPr>
        <w:sym w:font="Wingdings" w:char="F0A8"/>
      </w:r>
      <w:r>
        <w:rPr>
          <w:rFonts w:hint="eastAsia"/>
          <w:color w:val="auto"/>
        </w:rPr>
        <w:t>否</w:t>
      </w:r>
    </w:p>
    <w:p>
      <w:pPr>
        <w:pStyle w:val="631"/>
        <w:ind w:firstLine="480" w:firstLineChars="200"/>
        <w:rPr>
          <w:color w:val="auto"/>
        </w:rPr>
      </w:pPr>
      <w:r>
        <w:rPr>
          <w:rFonts w:hint="eastAsia"/>
          <w:color w:val="auto"/>
        </w:rPr>
        <w:t>是否涉及环境标志产品：</w:t>
      </w:r>
    </w:p>
    <w:p>
      <w:pPr>
        <w:pStyle w:val="631"/>
        <w:ind w:firstLine="480" w:firstLineChars="200"/>
        <w:rPr>
          <w:color w:val="auto"/>
        </w:rPr>
      </w:pPr>
      <w:r>
        <w:rPr>
          <w:color w:val="auto"/>
        </w:rPr>
        <w:sym w:font="Wingdings" w:char="F0A8"/>
      </w:r>
      <w:r>
        <w:rPr>
          <w:rFonts w:hint="eastAsia"/>
          <w:color w:val="auto"/>
        </w:rPr>
        <w:t>是，《环境标志产品政府采购品目清单》的底级品目名称：</w:t>
      </w:r>
      <w:r>
        <w:rPr>
          <w:rFonts w:hint="eastAsia"/>
          <w:color w:val="auto"/>
          <w:u w:val="single"/>
        </w:rPr>
        <w:t xml:space="preserve">         </w:t>
      </w:r>
      <w:r>
        <w:rPr>
          <w:rFonts w:hint="eastAsia"/>
          <w:iCs/>
          <w:color w:val="auto"/>
        </w:rPr>
        <w:t xml:space="preserve"> </w:t>
      </w:r>
    </w:p>
    <w:p>
      <w:pPr>
        <w:pStyle w:val="631"/>
        <w:ind w:left="360" w:firstLine="480" w:firstLineChars="200"/>
        <w:rPr>
          <w:iCs/>
          <w:color w:val="auto"/>
        </w:rPr>
      </w:pPr>
      <w:r>
        <w:rPr>
          <w:iCs/>
          <w:color w:val="auto"/>
        </w:rPr>
        <w:sym w:font="Wingdings" w:char="F0A8"/>
      </w:r>
      <w:r>
        <w:rPr>
          <w:rFonts w:hint="eastAsia"/>
          <w:iCs/>
          <w:color w:val="auto"/>
        </w:rPr>
        <w:t xml:space="preserve">强制采购       </w:t>
      </w:r>
      <w:r>
        <w:rPr>
          <w:iCs/>
          <w:color w:val="auto"/>
        </w:rPr>
        <w:sym w:font="Wingdings" w:char="F0A8"/>
      </w:r>
      <w:r>
        <w:rPr>
          <w:rFonts w:hint="eastAsia"/>
          <w:iCs/>
          <w:color w:val="auto"/>
        </w:rPr>
        <w:t xml:space="preserve">优先采购    </w:t>
      </w:r>
    </w:p>
    <w:p>
      <w:pPr>
        <w:pStyle w:val="631"/>
        <w:ind w:firstLine="480" w:firstLineChars="200"/>
        <w:rPr>
          <w:color w:val="auto"/>
        </w:rPr>
      </w:pPr>
      <w:r>
        <w:rPr>
          <w:color w:val="auto"/>
        </w:rPr>
        <w:sym w:font="Wingdings" w:char="F0A8"/>
      </w:r>
      <w:r>
        <w:rPr>
          <w:rFonts w:hint="eastAsia"/>
          <w:color w:val="auto"/>
        </w:rPr>
        <w:t>否</w:t>
      </w:r>
    </w:p>
    <w:p>
      <w:pPr>
        <w:pStyle w:val="631"/>
        <w:ind w:firstLine="480" w:firstLineChars="200"/>
        <w:rPr>
          <w:color w:val="auto"/>
        </w:rPr>
      </w:pPr>
      <w:r>
        <w:rPr>
          <w:rFonts w:hint="eastAsia"/>
          <w:color w:val="auto"/>
        </w:rPr>
        <w:t xml:space="preserve">是否涉及绿色产品： </w:t>
      </w:r>
    </w:p>
    <w:p>
      <w:pPr>
        <w:pStyle w:val="631"/>
        <w:ind w:firstLine="480" w:firstLineChars="200"/>
        <w:rPr>
          <w:rFonts w:cs="华文楷体"/>
          <w:color w:val="auto"/>
          <w:sz w:val="22"/>
          <w:u w:val="single"/>
        </w:rPr>
      </w:pPr>
      <w:r>
        <w:rPr>
          <w:color w:val="auto"/>
        </w:rPr>
        <w:sym w:font="Wingdings" w:char="F0A8"/>
      </w:r>
      <w:r>
        <w:rPr>
          <w:rFonts w:hint="eastAsia"/>
          <w:color w:val="auto"/>
        </w:rPr>
        <w:t>是，绿色产品政府采购相关政策确定的底级品目名称：</w:t>
      </w:r>
      <w:r>
        <w:rPr>
          <w:rFonts w:hint="eastAsia" w:cs="华文楷体"/>
          <w:color w:val="auto"/>
          <w:sz w:val="22"/>
          <w:u w:val="single"/>
        </w:rPr>
        <w:t xml:space="preserve">         </w:t>
      </w:r>
    </w:p>
    <w:p>
      <w:pPr>
        <w:pStyle w:val="631"/>
        <w:ind w:left="360" w:firstLine="480" w:firstLineChars="200"/>
        <w:rPr>
          <w:iCs/>
          <w:color w:val="auto"/>
        </w:rPr>
      </w:pPr>
      <w:r>
        <w:rPr>
          <w:iCs/>
          <w:color w:val="auto"/>
        </w:rPr>
        <w:sym w:font="Wingdings" w:char="F0A8"/>
      </w:r>
      <w:r>
        <w:rPr>
          <w:rFonts w:hint="eastAsia"/>
          <w:iCs/>
          <w:color w:val="auto"/>
        </w:rPr>
        <w:t xml:space="preserve">强制采购       </w:t>
      </w:r>
      <w:r>
        <w:rPr>
          <w:iCs/>
          <w:color w:val="auto"/>
        </w:rPr>
        <w:sym w:font="Wingdings" w:char="F0A8"/>
      </w:r>
      <w:r>
        <w:rPr>
          <w:rFonts w:hint="eastAsia"/>
          <w:iCs/>
          <w:color w:val="auto"/>
        </w:rPr>
        <w:t xml:space="preserve">优先采购    </w:t>
      </w:r>
    </w:p>
    <w:p>
      <w:pPr>
        <w:pStyle w:val="631"/>
        <w:ind w:firstLine="480" w:firstLineChars="200"/>
        <w:rPr>
          <w:rFonts w:eastAsia="华文楷体" w:cs="华文楷体"/>
          <w:color w:val="auto"/>
        </w:rPr>
      </w:pPr>
      <w:r>
        <w:rPr>
          <w:color w:val="auto"/>
        </w:rPr>
        <w:sym w:font="Wingdings" w:char="F0A8"/>
      </w:r>
      <w:r>
        <w:rPr>
          <w:rFonts w:hint="eastAsia"/>
          <w:color w:val="auto"/>
        </w:rPr>
        <w:t>否</w:t>
      </w:r>
    </w:p>
    <w:p>
      <w:pPr>
        <w:pStyle w:val="631"/>
        <w:ind w:firstLine="480" w:firstLineChars="200"/>
        <w:rPr>
          <w:color w:val="auto"/>
        </w:rPr>
      </w:pPr>
      <w:r>
        <w:rPr>
          <w:rFonts w:hint="eastAsia"/>
          <w:color w:val="auto"/>
        </w:rPr>
        <w:t>（1</w:t>
      </w:r>
      <w:r>
        <w:rPr>
          <w:rFonts w:hint="eastAsia"/>
          <w:color w:val="auto"/>
          <w:lang w:val="en"/>
        </w:rPr>
        <w:t>1</w:t>
      </w:r>
      <w:r>
        <w:rPr>
          <w:rFonts w:hint="eastAsia"/>
          <w:color w:val="auto"/>
        </w:rPr>
        <w:t>）涉及商品包装和快递包装的，是否参考《商品包装政府采购需求标准（试行）》、《快递包装政府采购需求标准（试行）》明确产品及相关快递服务的具体包装要求：</w:t>
      </w:r>
    </w:p>
    <w:p>
      <w:pPr>
        <w:pStyle w:val="631"/>
        <w:ind w:firstLine="480" w:firstLineChars="200"/>
        <w:rPr>
          <w:color w:val="auto"/>
        </w:rPr>
      </w:pPr>
      <w:r>
        <w:rPr>
          <w:color w:val="auto"/>
        </w:rPr>
        <w:sym w:font="Wingdings" w:char="F0A8"/>
      </w:r>
      <w:r>
        <w:rPr>
          <w:rFonts w:hint="eastAsia"/>
          <w:color w:val="auto"/>
        </w:rPr>
        <w:t xml:space="preserve">是       </w:t>
      </w:r>
      <w:r>
        <w:rPr>
          <w:color w:val="auto"/>
        </w:rPr>
        <w:sym w:font="Wingdings" w:char="F0A8"/>
      </w:r>
      <w:r>
        <w:rPr>
          <w:rFonts w:hint="eastAsia"/>
          <w:color w:val="auto"/>
        </w:rPr>
        <w:t xml:space="preserve">否      </w:t>
      </w:r>
      <w:r>
        <w:rPr>
          <w:color w:val="auto"/>
        </w:rPr>
        <w:sym w:font="Wingdings" w:char="F0A8"/>
      </w:r>
      <w:r>
        <w:rPr>
          <w:rFonts w:hint="eastAsia"/>
          <w:color w:val="auto"/>
        </w:rPr>
        <w:t>不涉及</w:t>
      </w:r>
    </w:p>
    <w:p>
      <w:pPr>
        <w:pStyle w:val="631"/>
        <w:ind w:firstLineChars="200"/>
        <w:rPr>
          <w:b/>
          <w:color w:val="auto"/>
        </w:rPr>
      </w:pPr>
      <w:r>
        <w:rPr>
          <w:rFonts w:hint="eastAsia"/>
          <w:b/>
          <w:color w:val="auto"/>
        </w:rPr>
        <w:t>2.合同金额</w:t>
      </w:r>
    </w:p>
    <w:p>
      <w:pPr>
        <w:pStyle w:val="631"/>
        <w:ind w:firstLine="480" w:firstLineChars="200"/>
        <w:rPr>
          <w:color w:val="auto"/>
        </w:rPr>
      </w:pPr>
      <w:r>
        <w:rPr>
          <w:rFonts w:hint="eastAsia"/>
          <w:color w:val="auto"/>
        </w:rPr>
        <w:t>（1）合同金额小写：</w:t>
      </w:r>
      <w:r>
        <w:rPr>
          <w:rFonts w:hint="eastAsia"/>
          <w:color w:val="auto"/>
          <w:u w:val="single"/>
        </w:rPr>
        <w:t xml:space="preserve">                           </w:t>
      </w:r>
    </w:p>
    <w:p>
      <w:pPr>
        <w:pStyle w:val="631"/>
        <w:ind w:firstLine="480" w:firstLineChars="200"/>
        <w:rPr>
          <w:color w:val="auto"/>
          <w:u w:val="single"/>
        </w:rPr>
      </w:pPr>
      <w:r>
        <w:rPr>
          <w:rFonts w:hint="eastAsia"/>
          <w:color w:val="auto"/>
        </w:rPr>
        <w:t xml:space="preserve">             大写：</w:t>
      </w:r>
      <w:r>
        <w:rPr>
          <w:rFonts w:hint="eastAsia"/>
          <w:color w:val="auto"/>
          <w:u w:val="single"/>
        </w:rPr>
        <w:t xml:space="preserve">                           </w:t>
      </w:r>
    </w:p>
    <w:p>
      <w:pPr>
        <w:pStyle w:val="631"/>
        <w:ind w:firstLine="480" w:firstLineChars="200"/>
        <w:rPr>
          <w:color w:val="auto"/>
        </w:rPr>
      </w:pPr>
      <w:r>
        <w:rPr>
          <w:rFonts w:hint="eastAsia"/>
          <w:color w:val="auto"/>
        </w:rPr>
        <w:t xml:space="preserve">     分包金额（如有）小写：</w:t>
      </w:r>
      <w:r>
        <w:rPr>
          <w:rFonts w:hint="eastAsia"/>
          <w:color w:val="auto"/>
          <w:u w:val="single"/>
        </w:rPr>
        <w:t xml:space="preserve">                   </w:t>
      </w:r>
    </w:p>
    <w:p>
      <w:pPr>
        <w:pStyle w:val="631"/>
        <w:ind w:firstLine="480" w:firstLineChars="200"/>
        <w:rPr>
          <w:color w:val="auto"/>
          <w:u w:val="single"/>
        </w:rPr>
      </w:pPr>
      <w:r>
        <w:rPr>
          <w:rFonts w:hint="eastAsia"/>
          <w:color w:val="auto"/>
        </w:rPr>
        <w:t xml:space="preserve">                     大写：</w:t>
      </w:r>
      <w:r>
        <w:rPr>
          <w:rFonts w:hint="eastAsia"/>
          <w:color w:val="auto"/>
          <w:u w:val="single"/>
        </w:rPr>
        <w:t xml:space="preserve">                   </w:t>
      </w:r>
    </w:p>
    <w:p>
      <w:pPr>
        <w:pStyle w:val="631"/>
        <w:ind w:firstLine="480" w:firstLineChars="200"/>
        <w:rPr>
          <w:color w:val="auto"/>
        </w:rPr>
      </w:pPr>
      <w:r>
        <w:rPr>
          <w:rFonts w:hint="eastAsia"/>
          <w:color w:val="auto"/>
        </w:rPr>
        <w:t xml:space="preserve">    （注：固定单价合同应填写单价和最高限价）</w:t>
      </w:r>
    </w:p>
    <w:p>
      <w:pPr>
        <w:pStyle w:val="631"/>
        <w:ind w:firstLine="480" w:firstLineChars="200"/>
        <w:rPr>
          <w:color w:val="auto"/>
        </w:rPr>
      </w:pPr>
      <w:r>
        <w:rPr>
          <w:rFonts w:hint="eastAsia"/>
          <w:color w:val="auto"/>
        </w:rPr>
        <w:t>（2）合同定价方式（采用组合定价方式的，可以勾选多项）：</w:t>
      </w:r>
    </w:p>
    <w:p>
      <w:pPr>
        <w:pStyle w:val="631"/>
        <w:ind w:firstLine="480" w:firstLineChars="200"/>
        <w:rPr>
          <w:color w:val="auto"/>
        </w:rPr>
      </w:pPr>
      <w:r>
        <w:rPr>
          <w:iCs/>
          <w:color w:val="auto"/>
        </w:rPr>
        <w:sym w:font="Wingdings" w:char="F0A8"/>
      </w:r>
      <w:r>
        <w:rPr>
          <w:rFonts w:hint="eastAsia"/>
          <w:iCs/>
          <w:color w:val="auto"/>
        </w:rPr>
        <w:t xml:space="preserve">固定总价 </w:t>
      </w:r>
      <w:r>
        <w:rPr>
          <w:iCs/>
          <w:color w:val="auto"/>
        </w:rPr>
        <w:sym w:font="Wingdings" w:char="F0FE"/>
      </w:r>
      <w:r>
        <w:rPr>
          <w:rFonts w:hint="eastAsia"/>
          <w:iCs/>
          <w:color w:val="auto"/>
        </w:rPr>
        <w:t xml:space="preserve">固定单价 </w:t>
      </w:r>
      <w:r>
        <w:rPr>
          <w:iCs/>
          <w:color w:val="auto"/>
        </w:rPr>
        <w:sym w:font="Wingdings" w:char="F0A8"/>
      </w:r>
      <w:r>
        <w:rPr>
          <w:rFonts w:hint="eastAsia"/>
          <w:iCs/>
          <w:color w:val="auto"/>
        </w:rPr>
        <w:t xml:space="preserve">固定费率 </w:t>
      </w:r>
      <w:r>
        <w:rPr>
          <w:iCs/>
          <w:color w:val="auto"/>
        </w:rPr>
        <w:sym w:font="Wingdings" w:char="F0A8"/>
      </w:r>
      <w:r>
        <w:rPr>
          <w:rFonts w:hint="eastAsia"/>
          <w:iCs/>
          <w:color w:val="auto"/>
        </w:rPr>
        <w:t xml:space="preserve">成本补偿 </w:t>
      </w:r>
      <w:r>
        <w:rPr>
          <w:iCs/>
          <w:color w:val="auto"/>
        </w:rPr>
        <w:sym w:font="Wingdings" w:char="F0A8"/>
      </w:r>
      <w:r>
        <w:rPr>
          <w:rFonts w:hint="eastAsia"/>
          <w:iCs/>
          <w:color w:val="auto"/>
        </w:rPr>
        <w:t xml:space="preserve">绩效激励 </w:t>
      </w:r>
      <w:r>
        <w:rPr>
          <w:iCs/>
          <w:color w:val="auto"/>
        </w:rPr>
        <w:sym w:font="Wingdings" w:char="F0A8"/>
      </w:r>
      <w:r>
        <w:rPr>
          <w:rFonts w:hint="eastAsia"/>
          <w:iCs/>
          <w:color w:val="auto"/>
        </w:rPr>
        <w:t>其他</w:t>
      </w:r>
      <w:r>
        <w:rPr>
          <w:rFonts w:hint="eastAsia"/>
          <w:color w:val="auto"/>
          <w:u w:val="single"/>
        </w:rPr>
        <w:t xml:space="preserve">       </w:t>
      </w:r>
    </w:p>
    <w:p>
      <w:pPr>
        <w:pStyle w:val="631"/>
        <w:ind w:firstLine="480" w:firstLineChars="200"/>
        <w:rPr>
          <w:color w:val="auto"/>
        </w:rPr>
      </w:pPr>
      <w:r>
        <w:rPr>
          <w:rFonts w:hint="eastAsia"/>
          <w:color w:val="auto"/>
        </w:rPr>
        <w:t>（3）付款方式（按项目实际勾选填写）：</w:t>
      </w:r>
    </w:p>
    <w:p>
      <w:pPr>
        <w:pStyle w:val="631"/>
        <w:ind w:firstLine="480" w:firstLineChars="200"/>
        <w:rPr>
          <w:color w:val="auto"/>
          <w:u w:val="single"/>
        </w:rPr>
      </w:pPr>
      <w:r>
        <w:rPr>
          <w:color w:val="auto"/>
        </w:rPr>
        <w:sym w:font="Wingdings" w:char="F0A8"/>
      </w:r>
      <w:r>
        <w:rPr>
          <w:rFonts w:hint="eastAsia"/>
          <w:color w:val="auto"/>
        </w:rPr>
        <w:t>全额付款：</w:t>
      </w:r>
      <w:r>
        <w:rPr>
          <w:rFonts w:hint="eastAsia"/>
          <w:color w:val="auto"/>
          <w:u w:val="single"/>
        </w:rPr>
        <w:t xml:space="preserve">     （应明确一次性支付合同款项的条件）                    </w:t>
      </w:r>
    </w:p>
    <w:p>
      <w:pPr>
        <w:pStyle w:val="631"/>
        <w:ind w:firstLine="480" w:firstLineChars="200"/>
        <w:rPr>
          <w:color w:val="auto"/>
        </w:rPr>
      </w:pPr>
      <w:r>
        <w:rPr>
          <w:color w:val="auto"/>
        </w:rPr>
        <w:sym w:font="Wingdings" w:char="F0A8"/>
      </w:r>
      <w:r>
        <w:rPr>
          <w:rFonts w:hint="eastAsia"/>
          <w:color w:val="auto"/>
        </w:rPr>
        <w:t>分期付款：</w:t>
      </w:r>
      <w:r>
        <w:rPr>
          <w:rFonts w:hint="eastAsia"/>
          <w:color w:val="auto"/>
          <w:u w:val="single"/>
        </w:rPr>
        <w:t xml:space="preserve">  （应明确分期支付合同款项的各期比例和支付条件，各期支付条件应与分期履约验收情况挂钩） </w:t>
      </w:r>
      <w:r>
        <w:rPr>
          <w:rFonts w:hint="eastAsia"/>
          <w:color w:val="auto"/>
        </w:rPr>
        <w:t>，其中涉及预付款的：</w:t>
      </w:r>
      <w:r>
        <w:rPr>
          <w:rFonts w:hint="eastAsia"/>
          <w:color w:val="auto"/>
          <w:u w:val="single"/>
        </w:rPr>
        <w:t xml:space="preserve"> （应明确预付款的支付比例和支付条件） </w:t>
      </w:r>
    </w:p>
    <w:p>
      <w:pPr>
        <w:pStyle w:val="631"/>
        <w:ind w:firstLine="480" w:firstLineChars="200"/>
        <w:rPr>
          <w:color w:val="auto"/>
          <w:u w:val="single"/>
        </w:rPr>
      </w:pPr>
      <w:r>
        <w:rPr>
          <w:color w:val="auto"/>
        </w:rPr>
        <w:sym w:font="Wingdings" w:char="F0A8"/>
      </w:r>
      <w:r>
        <w:rPr>
          <w:rFonts w:hint="eastAsia"/>
          <w:color w:val="auto"/>
        </w:rPr>
        <w:t>成本补偿：</w:t>
      </w:r>
      <w:r>
        <w:rPr>
          <w:rFonts w:hint="eastAsia"/>
          <w:color w:val="auto"/>
          <w:u w:val="single"/>
        </w:rPr>
        <w:t xml:space="preserve">      （应明确按照成本补偿方式的支付方式和支付条件）   </w:t>
      </w:r>
    </w:p>
    <w:p>
      <w:pPr>
        <w:pStyle w:val="631"/>
        <w:ind w:firstLine="480" w:firstLineChars="200"/>
        <w:rPr>
          <w:color w:val="auto"/>
        </w:rPr>
      </w:pPr>
      <w:r>
        <w:rPr>
          <w:color w:val="auto"/>
        </w:rPr>
        <w:sym w:font="Wingdings" w:char="F0A8"/>
      </w:r>
      <w:r>
        <w:rPr>
          <w:rFonts w:hint="eastAsia"/>
          <w:color w:val="auto"/>
        </w:rPr>
        <w:t>绩效激励：</w:t>
      </w:r>
      <w:r>
        <w:rPr>
          <w:rFonts w:hint="eastAsia"/>
          <w:color w:val="auto"/>
          <w:u w:val="single"/>
        </w:rPr>
        <w:t xml:space="preserve">      （应明确按照绩效激励方式的支付方式和支付条件）   </w:t>
      </w:r>
    </w:p>
    <w:p>
      <w:pPr>
        <w:pStyle w:val="631"/>
        <w:ind w:firstLineChars="200"/>
        <w:rPr>
          <w:b/>
          <w:color w:val="auto"/>
          <w:u w:val="single"/>
        </w:rPr>
      </w:pPr>
      <w:r>
        <w:rPr>
          <w:rFonts w:hint="eastAsia"/>
          <w:b/>
          <w:color w:val="auto"/>
        </w:rPr>
        <w:t>3.合同履行</w:t>
      </w:r>
    </w:p>
    <w:p>
      <w:pPr>
        <w:pStyle w:val="631"/>
        <w:ind w:firstLine="480" w:firstLineChars="200"/>
        <w:rPr>
          <w:rFonts w:cs="宋体"/>
          <w:color w:val="auto"/>
        </w:rPr>
      </w:pPr>
      <w:r>
        <w:rPr>
          <w:rFonts w:hint="eastAsia" w:cs="宋体"/>
          <w:color w:val="auto"/>
        </w:rPr>
        <w:t>（1）起始日期：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日，完成日期：</w:t>
      </w:r>
      <w:r>
        <w:rPr>
          <w:rFonts w:hint="eastAsia" w:cs="宋体"/>
          <w:color w:val="auto"/>
          <w:u w:val="single"/>
        </w:rPr>
        <w:t xml:space="preserve">    </w:t>
      </w:r>
      <w:r>
        <w:rPr>
          <w:rFonts w:hint="eastAsia" w:cs="宋体"/>
          <w:color w:val="auto"/>
        </w:rPr>
        <w:t>年</w:t>
      </w:r>
      <w:r>
        <w:rPr>
          <w:rFonts w:hint="eastAsia" w:cs="宋体"/>
          <w:color w:val="auto"/>
          <w:u w:val="single"/>
        </w:rPr>
        <w:t xml:space="preserve">   </w:t>
      </w:r>
      <w:r>
        <w:rPr>
          <w:rFonts w:hint="eastAsia" w:cs="宋体"/>
          <w:color w:val="auto"/>
        </w:rPr>
        <w:t>月</w:t>
      </w:r>
      <w:r>
        <w:rPr>
          <w:rFonts w:hint="eastAsia" w:cs="宋体"/>
          <w:color w:val="auto"/>
          <w:u w:val="single"/>
        </w:rPr>
        <w:t xml:space="preserve">   </w:t>
      </w:r>
      <w:r>
        <w:rPr>
          <w:rFonts w:hint="eastAsia" w:cs="宋体"/>
          <w:color w:val="auto"/>
        </w:rPr>
        <w:t>日。</w:t>
      </w:r>
    </w:p>
    <w:p>
      <w:pPr>
        <w:pStyle w:val="631"/>
        <w:ind w:firstLine="480" w:firstLineChars="200"/>
        <w:rPr>
          <w:rFonts w:cs="宋体"/>
          <w:color w:val="auto"/>
          <w:u w:val="single"/>
        </w:rPr>
      </w:pPr>
      <w:r>
        <w:rPr>
          <w:rFonts w:hint="eastAsia" w:cs="宋体"/>
          <w:color w:val="auto"/>
        </w:rPr>
        <w:t>（2）履约地点</w:t>
      </w:r>
      <w:r>
        <w:rPr>
          <w:rFonts w:hint="eastAsia" w:cs="宋体"/>
          <w:bCs/>
          <w:color w:val="auto"/>
        </w:rPr>
        <w:t>：</w:t>
      </w:r>
      <w:r>
        <w:rPr>
          <w:rFonts w:hint="eastAsia" w:cs="宋体"/>
          <w:color w:val="auto"/>
          <w:u w:val="single"/>
        </w:rPr>
        <w:t xml:space="preserve">                             </w:t>
      </w:r>
    </w:p>
    <w:p>
      <w:pPr>
        <w:pStyle w:val="631"/>
        <w:ind w:firstLine="480" w:firstLineChars="200"/>
        <w:rPr>
          <w:rFonts w:cs="宋体"/>
          <w:color w:val="auto"/>
        </w:rPr>
      </w:pPr>
      <w:r>
        <w:rPr>
          <w:rFonts w:hint="eastAsia" w:cs="宋体"/>
          <w:bCs/>
          <w:color w:val="auto"/>
        </w:rPr>
        <w:t>（3）履约担保：</w:t>
      </w:r>
      <w:r>
        <w:rPr>
          <w:rFonts w:hint="eastAsia" w:cs="宋体"/>
          <w:color w:val="auto"/>
        </w:rPr>
        <w:t>是否收取履约保证金：</w:t>
      </w:r>
      <w:r>
        <w:rPr>
          <w:rFonts w:cs="宋体"/>
          <w:color w:val="auto"/>
        </w:rPr>
        <w:sym w:font="Wingdings" w:char="F0A8"/>
      </w:r>
      <w:r>
        <w:rPr>
          <w:rFonts w:hint="eastAsia" w:cs="宋体"/>
          <w:color w:val="auto"/>
        </w:rPr>
        <w:t xml:space="preserve">是    </w:t>
      </w:r>
      <w:r>
        <w:rPr>
          <w:rFonts w:cs="宋体"/>
          <w:color w:val="auto"/>
        </w:rPr>
        <w:sym w:font="Wingdings" w:char="F0A8"/>
      </w:r>
      <w:r>
        <w:rPr>
          <w:rFonts w:hint="eastAsia" w:cs="宋体"/>
          <w:color w:val="auto"/>
        </w:rPr>
        <w:t>否</w:t>
      </w:r>
    </w:p>
    <w:p>
      <w:pPr>
        <w:pStyle w:val="631"/>
        <w:ind w:firstLine="480" w:firstLineChars="200"/>
        <w:rPr>
          <w:rFonts w:cs="宋体"/>
          <w:color w:val="auto"/>
        </w:rPr>
      </w:pPr>
      <w:r>
        <w:rPr>
          <w:rFonts w:hint="eastAsia" w:cs="宋体"/>
          <w:color w:val="auto"/>
        </w:rPr>
        <w:t>收取履约保证金形式：</w:t>
      </w:r>
      <w:r>
        <w:rPr>
          <w:rFonts w:hint="eastAsia" w:cs="宋体"/>
          <w:bCs/>
          <w:color w:val="auto"/>
          <w:u w:val="single"/>
        </w:rPr>
        <w:t xml:space="preserve">                            </w:t>
      </w:r>
    </w:p>
    <w:p>
      <w:pPr>
        <w:pStyle w:val="631"/>
        <w:ind w:firstLine="480" w:firstLineChars="200"/>
        <w:rPr>
          <w:rFonts w:cs="宋体"/>
          <w:color w:val="auto"/>
        </w:rPr>
      </w:pPr>
      <w:r>
        <w:rPr>
          <w:rFonts w:hint="eastAsia" w:cs="宋体"/>
          <w:color w:val="auto"/>
        </w:rPr>
        <w:t>收取履约保证金金额：</w:t>
      </w:r>
      <w:r>
        <w:rPr>
          <w:rFonts w:hint="eastAsia" w:cs="宋体"/>
          <w:bCs/>
          <w:color w:val="auto"/>
          <w:u w:val="single"/>
        </w:rPr>
        <w:t xml:space="preserve">                            </w:t>
      </w:r>
    </w:p>
    <w:p>
      <w:pPr>
        <w:pStyle w:val="631"/>
        <w:ind w:firstLine="480" w:firstLineChars="200"/>
        <w:rPr>
          <w:rFonts w:cs="宋体"/>
          <w:color w:val="auto"/>
        </w:rPr>
      </w:pPr>
      <w:r>
        <w:rPr>
          <w:rFonts w:hint="eastAsia" w:cs="宋体"/>
          <w:bCs/>
          <w:color w:val="auto"/>
        </w:rPr>
        <w:t>履约担保期限：</w:t>
      </w:r>
      <w:r>
        <w:rPr>
          <w:rFonts w:hint="eastAsia" w:cs="宋体"/>
          <w:bCs/>
          <w:color w:val="auto"/>
          <w:u w:val="single"/>
        </w:rPr>
        <w:t xml:space="preserve">                                  </w:t>
      </w:r>
    </w:p>
    <w:p>
      <w:pPr>
        <w:pStyle w:val="631"/>
        <w:ind w:firstLine="480" w:firstLineChars="200"/>
        <w:rPr>
          <w:rFonts w:cs="宋体"/>
          <w:bCs/>
          <w:color w:val="auto"/>
        </w:rPr>
      </w:pPr>
      <w:r>
        <w:rPr>
          <w:rFonts w:hint="eastAsia" w:cs="宋体"/>
          <w:bCs/>
          <w:color w:val="auto"/>
        </w:rPr>
        <w:t>（4）分期履行要求：</w:t>
      </w:r>
      <w:r>
        <w:rPr>
          <w:rFonts w:hint="eastAsia" w:cs="宋体"/>
          <w:bCs/>
          <w:color w:val="auto"/>
          <w:u w:val="single"/>
        </w:rPr>
        <w:t xml:space="preserve">                                                        </w:t>
      </w:r>
    </w:p>
    <w:p>
      <w:pPr>
        <w:pStyle w:val="631"/>
        <w:ind w:firstLine="480" w:firstLineChars="200"/>
        <w:rPr>
          <w:rFonts w:cs="宋体"/>
          <w:color w:val="auto"/>
          <w:u w:val="single"/>
        </w:rPr>
      </w:pPr>
      <w:r>
        <w:rPr>
          <w:rFonts w:hint="eastAsia" w:cs="宋体"/>
          <w:bCs/>
          <w:color w:val="auto"/>
        </w:rPr>
        <w:t>（5）风险处置措施和替代方案：</w:t>
      </w:r>
      <w:r>
        <w:rPr>
          <w:rFonts w:hint="eastAsia" w:cs="宋体"/>
          <w:color w:val="auto"/>
          <w:u w:val="single"/>
        </w:rPr>
        <w:t xml:space="preserve">                                                               </w:t>
      </w:r>
    </w:p>
    <w:p>
      <w:pPr>
        <w:pStyle w:val="631"/>
        <w:ind w:firstLineChars="200"/>
        <w:rPr>
          <w:b/>
          <w:color w:val="auto"/>
        </w:rPr>
      </w:pPr>
      <w:r>
        <w:rPr>
          <w:rFonts w:hint="eastAsia"/>
          <w:b/>
          <w:color w:val="auto"/>
        </w:rPr>
        <w:t>4.合同验收</w:t>
      </w:r>
    </w:p>
    <w:p>
      <w:pPr>
        <w:pStyle w:val="631"/>
        <w:ind w:firstLine="480" w:firstLineChars="200"/>
        <w:rPr>
          <w:bCs/>
          <w:color w:val="auto"/>
        </w:rPr>
      </w:pPr>
      <w:r>
        <w:rPr>
          <w:rFonts w:hint="eastAsia"/>
          <w:bCs/>
          <w:color w:val="auto"/>
        </w:rPr>
        <w:t>验收组织方式：</w:t>
      </w:r>
      <w:r>
        <w:rPr>
          <w:rFonts w:cs="宋体"/>
          <w:color w:val="auto"/>
        </w:rPr>
        <w:sym w:font="Wingdings" w:char="F0A8"/>
      </w:r>
      <w:r>
        <w:rPr>
          <w:rFonts w:hint="eastAsia"/>
          <w:bCs/>
          <w:color w:val="auto"/>
        </w:rPr>
        <w:t xml:space="preserve">自行组织 </w:t>
      </w:r>
      <w:r>
        <w:rPr>
          <w:rFonts w:cs="宋体"/>
          <w:color w:val="auto"/>
        </w:rPr>
        <w:sym w:font="Wingdings" w:char="F0A8"/>
      </w:r>
      <w:r>
        <w:rPr>
          <w:rFonts w:hint="eastAsia"/>
          <w:bCs/>
          <w:color w:val="auto"/>
        </w:rPr>
        <w:t>委托第三方组织</w:t>
      </w:r>
    </w:p>
    <w:p>
      <w:pPr>
        <w:pStyle w:val="631"/>
        <w:ind w:firstLine="480" w:firstLineChars="200"/>
        <w:rPr>
          <w:bCs/>
          <w:color w:val="auto"/>
        </w:rPr>
      </w:pPr>
      <w:r>
        <w:rPr>
          <w:rFonts w:hint="eastAsia"/>
          <w:bCs/>
          <w:color w:val="auto"/>
        </w:rPr>
        <w:t>验收主体：</w:t>
      </w:r>
      <w:r>
        <w:rPr>
          <w:rFonts w:hint="eastAsia"/>
          <w:bCs/>
          <w:color w:val="auto"/>
          <w:u w:val="single"/>
        </w:rPr>
        <w:t xml:space="preserve">                  </w:t>
      </w:r>
    </w:p>
    <w:p>
      <w:pPr>
        <w:pStyle w:val="631"/>
        <w:ind w:firstLine="480" w:firstLineChars="200"/>
        <w:rPr>
          <w:bCs/>
          <w:color w:val="auto"/>
        </w:rPr>
      </w:pPr>
      <w:r>
        <w:rPr>
          <w:rFonts w:hint="eastAsia"/>
          <w:bCs/>
          <w:color w:val="auto"/>
        </w:rPr>
        <w:t>是否邀请本项目的其他供应商参加验收：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pPr>
        <w:pStyle w:val="631"/>
        <w:ind w:firstLine="480" w:firstLineChars="200"/>
        <w:rPr>
          <w:bCs/>
          <w:color w:val="auto"/>
        </w:rPr>
      </w:pPr>
      <w:r>
        <w:rPr>
          <w:rFonts w:hint="eastAsia"/>
          <w:bCs/>
          <w:color w:val="auto"/>
        </w:rPr>
        <w:t>是否邀请专家参加验收：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pPr>
        <w:pStyle w:val="631"/>
        <w:ind w:firstLine="480" w:firstLineChars="200"/>
        <w:rPr>
          <w:bCs/>
          <w:color w:val="auto"/>
        </w:rPr>
      </w:pPr>
      <w:r>
        <w:rPr>
          <w:rFonts w:hint="eastAsia"/>
          <w:bCs/>
          <w:color w:val="auto"/>
        </w:rPr>
        <w:t>是否邀请服务对象参加验收：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pPr>
        <w:pStyle w:val="631"/>
        <w:ind w:firstLine="480" w:firstLineChars="200"/>
        <w:rPr>
          <w:bCs/>
          <w:color w:val="auto"/>
        </w:rPr>
      </w:pPr>
      <w:r>
        <w:rPr>
          <w:rFonts w:hint="eastAsia"/>
          <w:bCs/>
          <w:color w:val="auto"/>
        </w:rPr>
        <w:t>是否邀请第三方检测机构参加验收：</w:t>
      </w:r>
      <w:r>
        <w:rPr>
          <w:rFonts w:cs="宋体"/>
          <w:color w:val="auto"/>
        </w:rPr>
        <w:sym w:font="Wingdings" w:char="F0A8"/>
      </w:r>
      <w:r>
        <w:rPr>
          <w:rFonts w:hint="eastAsia"/>
          <w:bCs/>
          <w:color w:val="auto"/>
        </w:rPr>
        <w:t xml:space="preserve">是  </w:t>
      </w:r>
      <w:r>
        <w:rPr>
          <w:rFonts w:cs="宋体"/>
          <w:color w:val="auto"/>
        </w:rPr>
        <w:sym w:font="Wingdings" w:char="F0A8"/>
      </w:r>
      <w:r>
        <w:rPr>
          <w:rFonts w:hint="eastAsia"/>
          <w:bCs/>
          <w:color w:val="auto"/>
        </w:rPr>
        <w:t>否</w:t>
      </w:r>
    </w:p>
    <w:p>
      <w:pPr>
        <w:pStyle w:val="631"/>
        <w:ind w:firstLine="480" w:firstLineChars="200"/>
        <w:rPr>
          <w:bCs/>
          <w:color w:val="auto"/>
        </w:rPr>
      </w:pPr>
      <w:r>
        <w:rPr>
          <w:rFonts w:hint="eastAsia"/>
          <w:bCs/>
          <w:color w:val="auto"/>
        </w:rPr>
        <w:t>是否进行抽查检测：</w:t>
      </w:r>
      <w:r>
        <w:rPr>
          <w:rFonts w:cs="宋体"/>
          <w:color w:val="auto"/>
        </w:rPr>
        <w:sym w:font="Wingdings" w:char="F0A8"/>
      </w:r>
      <w:r>
        <w:rPr>
          <w:rFonts w:hint="eastAsia"/>
          <w:bCs/>
          <w:color w:val="auto"/>
        </w:rPr>
        <w:t>是，抽查比例：</w:t>
      </w:r>
      <w:r>
        <w:rPr>
          <w:rFonts w:hint="eastAsia"/>
          <w:bCs/>
          <w:color w:val="auto"/>
          <w:u w:val="single"/>
        </w:rPr>
        <w:t xml:space="preserve">        </w:t>
      </w:r>
      <w:r>
        <w:rPr>
          <w:rFonts w:hint="eastAsia"/>
          <w:bCs/>
          <w:color w:val="auto"/>
        </w:rPr>
        <w:t xml:space="preserve"> </w:t>
      </w:r>
      <w:r>
        <w:rPr>
          <w:rFonts w:cs="宋体"/>
          <w:color w:val="auto"/>
        </w:rPr>
        <w:sym w:font="Wingdings" w:char="F0A8"/>
      </w:r>
      <w:r>
        <w:rPr>
          <w:rFonts w:hint="eastAsia"/>
          <w:bCs/>
          <w:color w:val="auto"/>
        </w:rPr>
        <w:t>否</w:t>
      </w:r>
    </w:p>
    <w:p>
      <w:pPr>
        <w:pStyle w:val="631"/>
        <w:ind w:firstLine="480" w:firstLineChars="200"/>
        <w:rPr>
          <w:bCs/>
          <w:color w:val="auto"/>
          <w:u w:val="single"/>
        </w:rPr>
      </w:pPr>
      <w:r>
        <w:rPr>
          <w:rFonts w:hint="eastAsia"/>
          <w:bCs/>
          <w:color w:val="auto"/>
        </w:rPr>
        <w:t>是否存在破坏性检测：</w:t>
      </w:r>
      <w:r>
        <w:rPr>
          <w:rFonts w:cs="宋体"/>
          <w:color w:val="auto"/>
        </w:rPr>
        <w:sym w:font="Wingdings" w:char="F0A8"/>
      </w:r>
      <w:r>
        <w:rPr>
          <w:rFonts w:hint="eastAsia"/>
          <w:bCs/>
          <w:color w:val="auto"/>
        </w:rPr>
        <w:t>是，</w:t>
      </w:r>
      <w:r>
        <w:rPr>
          <w:rFonts w:hint="eastAsia"/>
          <w:bCs/>
          <w:color w:val="auto"/>
          <w:u w:val="single"/>
        </w:rPr>
        <w:t>（应明确对被破坏的检测产品的处理方式）</w:t>
      </w:r>
    </w:p>
    <w:p>
      <w:pPr>
        <w:pStyle w:val="631"/>
        <w:ind w:firstLine="480" w:firstLineChars="200"/>
        <w:rPr>
          <w:bCs/>
          <w:color w:val="auto"/>
        </w:rPr>
      </w:pPr>
      <w:r>
        <w:rPr>
          <w:rFonts w:hint="eastAsia"/>
          <w:bCs/>
          <w:color w:val="auto"/>
        </w:rPr>
        <w:t xml:space="preserve">                    </w:t>
      </w:r>
      <w:r>
        <w:rPr>
          <w:rFonts w:cs="宋体"/>
          <w:color w:val="auto"/>
        </w:rPr>
        <w:sym w:font="Wingdings" w:char="F0A8"/>
      </w:r>
      <w:r>
        <w:rPr>
          <w:rFonts w:hint="eastAsia"/>
          <w:bCs/>
          <w:color w:val="auto"/>
        </w:rPr>
        <w:t>否</w:t>
      </w:r>
    </w:p>
    <w:p>
      <w:pPr>
        <w:pStyle w:val="631"/>
        <w:ind w:firstLine="480" w:firstLineChars="200"/>
        <w:rPr>
          <w:bCs/>
          <w:color w:val="auto"/>
          <w:u w:val="single"/>
        </w:rPr>
      </w:pPr>
      <w:r>
        <w:rPr>
          <w:rFonts w:hint="eastAsia"/>
          <w:bCs/>
          <w:color w:val="auto"/>
        </w:rPr>
        <w:t>验收组织的其他事项：</w:t>
      </w:r>
      <w:r>
        <w:rPr>
          <w:rFonts w:hint="eastAsia"/>
          <w:bCs/>
          <w:color w:val="auto"/>
          <w:u w:val="single"/>
        </w:rPr>
        <w:t xml:space="preserve">                </w:t>
      </w:r>
    </w:p>
    <w:p>
      <w:pPr>
        <w:pStyle w:val="631"/>
        <w:ind w:firstLine="480" w:firstLineChars="200"/>
        <w:rPr>
          <w:bCs/>
          <w:color w:val="auto"/>
          <w:u w:val="single"/>
        </w:rPr>
      </w:pPr>
      <w:r>
        <w:rPr>
          <w:rFonts w:hint="eastAsia"/>
          <w:bCs/>
          <w:color w:val="auto"/>
        </w:rPr>
        <w:t>（2）履约验收时间：</w:t>
      </w:r>
      <w:r>
        <w:rPr>
          <w:rFonts w:hint="eastAsia"/>
          <w:bCs/>
          <w:color w:val="auto"/>
          <w:u w:val="single"/>
        </w:rPr>
        <w:t xml:space="preserve">（计划于何时验收/供应商提出验收申请之日起   日内组织验收） </w:t>
      </w:r>
    </w:p>
    <w:p>
      <w:pPr>
        <w:pStyle w:val="631"/>
        <w:ind w:firstLine="480" w:firstLineChars="200"/>
        <w:rPr>
          <w:bCs/>
          <w:color w:val="auto"/>
        </w:rPr>
      </w:pPr>
      <w:r>
        <w:rPr>
          <w:rFonts w:hint="eastAsia"/>
          <w:bCs/>
          <w:color w:val="auto"/>
        </w:rPr>
        <w:t>（3）履约验收方式：</w:t>
      </w:r>
      <w:r>
        <w:rPr>
          <w:rFonts w:cs="宋体"/>
          <w:color w:val="auto"/>
        </w:rPr>
        <w:sym w:font="Wingdings" w:char="F0A8"/>
      </w:r>
      <w:r>
        <w:rPr>
          <w:rFonts w:hint="eastAsia"/>
          <w:bCs/>
          <w:color w:val="auto"/>
        </w:rPr>
        <w:t xml:space="preserve">一次性验收         </w:t>
      </w:r>
    </w:p>
    <w:p>
      <w:pPr>
        <w:pStyle w:val="631"/>
        <w:ind w:firstLine="480" w:firstLineChars="200"/>
        <w:rPr>
          <w:bCs/>
          <w:color w:val="auto"/>
        </w:rPr>
      </w:pPr>
      <w:r>
        <w:rPr>
          <w:rFonts w:hint="eastAsia"/>
          <w:bCs/>
          <w:color w:val="auto"/>
        </w:rPr>
        <w:t xml:space="preserve">                   </w:t>
      </w:r>
      <w:r>
        <w:rPr>
          <w:rFonts w:cs="宋体"/>
          <w:color w:val="auto"/>
        </w:rPr>
        <w:sym w:font="Wingdings" w:char="F0A8"/>
      </w:r>
      <w:r>
        <w:rPr>
          <w:rFonts w:hint="eastAsia"/>
          <w:bCs/>
          <w:color w:val="auto"/>
        </w:rPr>
        <w:t>分期/分项验收：</w:t>
      </w:r>
      <w:r>
        <w:rPr>
          <w:rFonts w:hint="eastAsia"/>
          <w:bCs/>
          <w:color w:val="auto"/>
          <w:u w:val="single"/>
        </w:rPr>
        <w:t xml:space="preserve"> （应明确分期</w:t>
      </w:r>
      <w:r>
        <w:rPr>
          <w:rFonts w:hint="eastAsia"/>
          <w:bCs/>
          <w:color w:val="auto"/>
          <w:u w:val="single"/>
          <w:lang w:val="en"/>
        </w:rPr>
        <w:t>/分项验收的工作安排</w:t>
      </w:r>
      <w:r>
        <w:rPr>
          <w:rFonts w:hint="eastAsia"/>
          <w:bCs/>
          <w:color w:val="auto"/>
          <w:u w:val="single"/>
        </w:rPr>
        <w:t xml:space="preserve">）  </w:t>
      </w:r>
    </w:p>
    <w:p>
      <w:pPr>
        <w:pStyle w:val="631"/>
        <w:ind w:firstLine="480" w:firstLineChars="200"/>
        <w:rPr>
          <w:bCs/>
          <w:color w:val="auto"/>
        </w:rPr>
      </w:pPr>
      <w:r>
        <w:rPr>
          <w:rFonts w:hint="eastAsia"/>
          <w:bCs/>
          <w:color w:val="auto"/>
        </w:rPr>
        <w:t>（4）履约验收程序：</w:t>
      </w:r>
      <w:r>
        <w:rPr>
          <w:rFonts w:hint="eastAsia"/>
          <w:bCs/>
          <w:color w:val="auto"/>
          <w:u w:val="single"/>
        </w:rPr>
        <w:t xml:space="preserve">                                         </w:t>
      </w:r>
    </w:p>
    <w:p>
      <w:pPr>
        <w:pStyle w:val="631"/>
        <w:ind w:firstLine="480" w:firstLineChars="200"/>
        <w:rPr>
          <w:bCs/>
          <w:color w:val="auto"/>
          <w:u w:val="single"/>
        </w:rPr>
      </w:pPr>
      <w:r>
        <w:rPr>
          <w:rFonts w:hint="eastAsia"/>
          <w:bCs/>
          <w:color w:val="auto"/>
        </w:rPr>
        <w:t>（5）履约验收的内容：</w:t>
      </w:r>
      <w:r>
        <w:rPr>
          <w:rFonts w:hint="eastAsia"/>
          <w:bCs/>
          <w:color w:val="auto"/>
          <w:u w:val="single"/>
        </w:rPr>
        <w:t xml:space="preserve"> （应当包括每一项技术和商务要求的履约情况，特别是落实政府采购扶持中小企业，支持绿色发展和乡村振兴等政策情况）                                      </w:t>
      </w:r>
    </w:p>
    <w:p>
      <w:pPr>
        <w:pStyle w:val="631"/>
        <w:ind w:firstLine="480" w:firstLineChars="200"/>
        <w:rPr>
          <w:bCs/>
          <w:color w:val="auto"/>
          <w:u w:val="single"/>
        </w:rPr>
      </w:pPr>
      <w:r>
        <w:rPr>
          <w:rFonts w:hint="eastAsia"/>
          <w:bCs/>
          <w:color w:val="auto"/>
        </w:rPr>
        <w:t>（6）履约验收标准：</w:t>
      </w:r>
      <w:r>
        <w:rPr>
          <w:rFonts w:hint="eastAsia"/>
          <w:bCs/>
          <w:color w:val="auto"/>
          <w:u w:val="single"/>
        </w:rPr>
        <w:t xml:space="preserve">                                         </w:t>
      </w:r>
    </w:p>
    <w:p>
      <w:pPr>
        <w:pStyle w:val="631"/>
        <w:ind w:firstLine="480" w:firstLineChars="200"/>
        <w:rPr>
          <w:rFonts w:cs="宋体"/>
          <w:color w:val="auto"/>
        </w:rPr>
      </w:pPr>
      <w:r>
        <w:rPr>
          <w:rFonts w:hint="eastAsia" w:cs="宋体"/>
          <w:bCs/>
          <w:color w:val="auto"/>
        </w:rPr>
        <w:t>（7）是否以采购活动中供应商提供的样品作为参考：</w:t>
      </w:r>
      <w:r>
        <w:rPr>
          <w:rFonts w:cs="宋体"/>
          <w:color w:val="auto"/>
        </w:rPr>
        <w:sym w:font="Wingdings" w:char="F0A8"/>
      </w:r>
      <w:r>
        <w:rPr>
          <w:rFonts w:hint="eastAsia" w:cs="宋体"/>
          <w:bCs/>
          <w:color w:val="auto"/>
        </w:rPr>
        <w:t xml:space="preserve">是  </w:t>
      </w:r>
      <w:r>
        <w:rPr>
          <w:rFonts w:cs="宋体"/>
          <w:color w:val="auto"/>
        </w:rPr>
        <w:sym w:font="Wingdings" w:char="F0A8"/>
      </w:r>
      <w:r>
        <w:rPr>
          <w:rFonts w:hint="eastAsia" w:cs="宋体"/>
          <w:bCs/>
          <w:color w:val="auto"/>
        </w:rPr>
        <w:t>否</w:t>
      </w:r>
    </w:p>
    <w:p>
      <w:pPr>
        <w:pStyle w:val="631"/>
        <w:ind w:firstLine="480" w:firstLineChars="200"/>
        <w:rPr>
          <w:rFonts w:cs="宋体"/>
          <w:bCs/>
          <w:color w:val="auto"/>
          <w:u w:val="single"/>
        </w:rPr>
      </w:pPr>
      <w:r>
        <w:rPr>
          <w:rFonts w:hint="eastAsia" w:cs="宋体"/>
          <w:bCs/>
          <w:color w:val="auto"/>
        </w:rPr>
        <w:t>（8）履约验收其他事项：</w:t>
      </w:r>
      <w:r>
        <w:rPr>
          <w:rFonts w:hint="eastAsia" w:cs="宋体"/>
          <w:bCs/>
          <w:color w:val="auto"/>
          <w:u w:val="single"/>
        </w:rPr>
        <w:t xml:space="preserve">      （产权过户登记等）          </w:t>
      </w:r>
    </w:p>
    <w:p>
      <w:pPr>
        <w:pStyle w:val="631"/>
        <w:ind w:firstLineChars="200"/>
        <w:rPr>
          <w:b/>
          <w:color w:val="auto"/>
        </w:rPr>
      </w:pPr>
      <w:r>
        <w:rPr>
          <w:rFonts w:hint="eastAsia"/>
          <w:b/>
          <w:color w:val="auto"/>
        </w:rPr>
        <w:t>5.组成合同的文件</w:t>
      </w:r>
    </w:p>
    <w:p>
      <w:pPr>
        <w:pStyle w:val="631"/>
        <w:ind w:firstLine="480" w:firstLineChars="200"/>
        <w:rPr>
          <w:color w:val="auto"/>
        </w:rPr>
      </w:pPr>
      <w:r>
        <w:rPr>
          <w:rFonts w:hint="eastAsia"/>
          <w:color w:val="auto"/>
        </w:rPr>
        <w:t>本协议书与下列文件一起构成合同文件，如下述文件之间有任何抵触、矛盾或歧义，应按以下顺序解释：</w:t>
      </w:r>
    </w:p>
    <w:p>
      <w:pPr>
        <w:pStyle w:val="631"/>
        <w:ind w:firstLine="480" w:firstLineChars="200"/>
        <w:rPr>
          <w:color w:val="auto"/>
        </w:rPr>
      </w:pPr>
      <w:r>
        <w:rPr>
          <w:rFonts w:hint="eastAsia"/>
          <w:color w:val="auto"/>
        </w:rPr>
        <w:t>（1）政府采购合同协议书及其变更、补充协议</w:t>
      </w:r>
    </w:p>
    <w:p>
      <w:pPr>
        <w:pStyle w:val="631"/>
        <w:ind w:firstLine="480" w:firstLineChars="200"/>
        <w:rPr>
          <w:color w:val="auto"/>
        </w:rPr>
      </w:pPr>
      <w:r>
        <w:rPr>
          <w:rFonts w:hint="eastAsia"/>
          <w:color w:val="auto"/>
        </w:rPr>
        <w:t>（2）政府采购合同专用条款</w:t>
      </w:r>
    </w:p>
    <w:p>
      <w:pPr>
        <w:pStyle w:val="631"/>
        <w:ind w:firstLine="480" w:firstLineChars="200"/>
        <w:rPr>
          <w:color w:val="auto"/>
        </w:rPr>
      </w:pPr>
      <w:r>
        <w:rPr>
          <w:rFonts w:hint="eastAsia"/>
          <w:color w:val="auto"/>
        </w:rPr>
        <w:t>（3）政府采购合同通用条款</w:t>
      </w:r>
    </w:p>
    <w:p>
      <w:pPr>
        <w:pStyle w:val="631"/>
        <w:ind w:firstLine="480" w:firstLineChars="200"/>
        <w:rPr>
          <w:color w:val="auto"/>
        </w:rPr>
      </w:pPr>
      <w:r>
        <w:rPr>
          <w:rFonts w:hint="eastAsia"/>
          <w:color w:val="auto"/>
        </w:rPr>
        <w:t>（4）中标（成交）通知书</w:t>
      </w:r>
    </w:p>
    <w:p>
      <w:pPr>
        <w:pStyle w:val="631"/>
        <w:ind w:firstLine="480" w:firstLineChars="200"/>
        <w:rPr>
          <w:color w:val="auto"/>
        </w:rPr>
      </w:pPr>
      <w:r>
        <w:rPr>
          <w:rFonts w:hint="eastAsia"/>
          <w:color w:val="auto"/>
        </w:rPr>
        <w:t>（5）投标（响应）文件</w:t>
      </w:r>
    </w:p>
    <w:p>
      <w:pPr>
        <w:pStyle w:val="631"/>
        <w:ind w:firstLine="480" w:firstLineChars="200"/>
        <w:rPr>
          <w:color w:val="auto"/>
        </w:rPr>
      </w:pPr>
      <w:r>
        <w:rPr>
          <w:rFonts w:hint="eastAsia"/>
          <w:color w:val="auto"/>
        </w:rPr>
        <w:t>（6）采购文件</w:t>
      </w:r>
    </w:p>
    <w:p>
      <w:pPr>
        <w:pStyle w:val="631"/>
        <w:ind w:firstLine="480" w:firstLineChars="200"/>
        <w:rPr>
          <w:color w:val="auto"/>
        </w:rPr>
      </w:pPr>
      <w:r>
        <w:rPr>
          <w:rFonts w:hint="eastAsia"/>
          <w:color w:val="auto"/>
        </w:rPr>
        <w:t>（7）有关技术文件，图纸</w:t>
      </w:r>
    </w:p>
    <w:p>
      <w:pPr>
        <w:pStyle w:val="631"/>
        <w:ind w:firstLine="480" w:firstLineChars="200"/>
        <w:rPr>
          <w:rFonts w:cs="宋体"/>
          <w:color w:val="auto"/>
        </w:rPr>
      </w:pPr>
      <w:r>
        <w:rPr>
          <w:rFonts w:hint="eastAsia" w:cs="宋体"/>
          <w:color w:val="auto"/>
        </w:rPr>
        <w:t>（8）国家法律、行政法规和规章制度规定或合同约定的作为合同组成部分的其他文件</w:t>
      </w:r>
    </w:p>
    <w:p>
      <w:pPr>
        <w:pStyle w:val="631"/>
        <w:ind w:firstLineChars="200"/>
        <w:rPr>
          <w:b/>
          <w:color w:val="auto"/>
        </w:rPr>
      </w:pPr>
      <w:r>
        <w:rPr>
          <w:rFonts w:hint="eastAsia"/>
          <w:b/>
          <w:color w:val="auto"/>
        </w:rPr>
        <w:t>6.合同生效</w:t>
      </w:r>
    </w:p>
    <w:p>
      <w:pPr>
        <w:pStyle w:val="631"/>
        <w:ind w:firstLine="480" w:firstLineChars="200"/>
        <w:rPr>
          <w:color w:val="auto"/>
        </w:rPr>
      </w:pPr>
      <w:r>
        <w:rPr>
          <w:rFonts w:hint="eastAsia"/>
          <w:color w:val="auto"/>
        </w:rPr>
        <w:t>本合同自</w:t>
      </w:r>
      <w:r>
        <w:rPr>
          <w:rFonts w:hint="eastAsia"/>
          <w:color w:val="auto"/>
          <w:u w:val="single"/>
        </w:rPr>
        <w:t xml:space="preserve">                             </w:t>
      </w:r>
      <w:r>
        <w:rPr>
          <w:rFonts w:hint="eastAsia"/>
          <w:color w:val="auto"/>
        </w:rPr>
        <w:t>生效。</w:t>
      </w:r>
    </w:p>
    <w:p>
      <w:pPr>
        <w:pStyle w:val="631"/>
        <w:ind w:firstLineChars="200"/>
        <w:rPr>
          <w:b/>
          <w:color w:val="auto"/>
        </w:rPr>
      </w:pPr>
      <w:r>
        <w:rPr>
          <w:rFonts w:hint="eastAsia"/>
          <w:b/>
          <w:color w:val="auto"/>
        </w:rPr>
        <w:t>7.合同份数</w:t>
      </w:r>
    </w:p>
    <w:p>
      <w:pPr>
        <w:pStyle w:val="631"/>
        <w:ind w:firstLine="480" w:firstLineChars="200"/>
        <w:rPr>
          <w:color w:val="auto"/>
        </w:rPr>
      </w:pPr>
      <w:r>
        <w:rPr>
          <w:rFonts w:hint="eastAsia"/>
          <w:color w:val="auto"/>
        </w:rPr>
        <w:t>本合同一式</w:t>
      </w:r>
      <w:r>
        <w:rPr>
          <w:rFonts w:hint="eastAsia"/>
          <w:color w:val="auto"/>
          <w:u w:val="single"/>
        </w:rPr>
        <w:t xml:space="preserve">    </w:t>
      </w:r>
      <w:r>
        <w:rPr>
          <w:rFonts w:hint="eastAsia"/>
          <w:color w:val="auto"/>
        </w:rPr>
        <w:t>份，甲方执</w:t>
      </w:r>
      <w:r>
        <w:rPr>
          <w:rFonts w:hint="eastAsia"/>
          <w:color w:val="auto"/>
          <w:u w:val="single"/>
        </w:rPr>
        <w:t xml:space="preserve">    </w:t>
      </w:r>
      <w:r>
        <w:rPr>
          <w:rFonts w:hint="eastAsia"/>
          <w:color w:val="auto"/>
        </w:rPr>
        <w:t>份，乙方执</w:t>
      </w:r>
      <w:r>
        <w:rPr>
          <w:rFonts w:hint="eastAsia"/>
          <w:color w:val="auto"/>
          <w:u w:val="single"/>
        </w:rPr>
        <w:t xml:space="preserve">    </w:t>
      </w:r>
      <w:r>
        <w:rPr>
          <w:rFonts w:hint="eastAsia"/>
          <w:color w:val="auto"/>
        </w:rPr>
        <w:t>份，均具有同等法律效力。</w:t>
      </w:r>
    </w:p>
    <w:p>
      <w:pPr>
        <w:pStyle w:val="631"/>
        <w:ind w:firstLine="480" w:firstLineChars="200"/>
        <w:rPr>
          <w:color w:val="auto"/>
        </w:rPr>
      </w:pPr>
      <w:r>
        <w:rPr>
          <w:rFonts w:hint="eastAsia"/>
          <w:color w:val="auto"/>
        </w:rPr>
        <w:t>合同订立时间：</w:t>
      </w:r>
      <w:r>
        <w:rPr>
          <w:rFonts w:hint="eastAsia"/>
          <w:color w:val="auto"/>
          <w:u w:val="single"/>
        </w:rPr>
        <w:t xml:space="preserve">         </w:t>
      </w:r>
      <w:r>
        <w:rPr>
          <w:rFonts w:hint="eastAsia"/>
          <w:color w:val="auto"/>
        </w:rPr>
        <w:t>年</w:t>
      </w:r>
      <w:r>
        <w:rPr>
          <w:rFonts w:hint="eastAsia"/>
          <w:color w:val="auto"/>
          <w:u w:val="single"/>
        </w:rPr>
        <w:t xml:space="preserve">      </w:t>
      </w:r>
      <w:r>
        <w:rPr>
          <w:rFonts w:hint="eastAsia"/>
          <w:color w:val="auto"/>
        </w:rPr>
        <w:t>月</w:t>
      </w:r>
      <w:r>
        <w:rPr>
          <w:rFonts w:hint="eastAsia"/>
          <w:color w:val="auto"/>
          <w:u w:val="single"/>
        </w:rPr>
        <w:t xml:space="preserve">      </w:t>
      </w:r>
      <w:r>
        <w:rPr>
          <w:rFonts w:hint="eastAsia"/>
          <w:color w:val="auto"/>
        </w:rPr>
        <w:t>日</w:t>
      </w:r>
    </w:p>
    <w:p>
      <w:pPr>
        <w:pStyle w:val="631"/>
        <w:ind w:firstLine="480" w:firstLineChars="200"/>
        <w:rPr>
          <w:color w:val="auto"/>
        </w:rPr>
      </w:pPr>
      <w:r>
        <w:rPr>
          <w:rFonts w:hint="eastAsia"/>
          <w:color w:val="auto"/>
        </w:rPr>
        <w:t>合同订立地点：</w:t>
      </w:r>
      <w:r>
        <w:rPr>
          <w:rFonts w:hint="eastAsia"/>
          <w:color w:val="auto"/>
          <w:u w:val="single"/>
        </w:rPr>
        <w:t xml:space="preserve">                           </w:t>
      </w:r>
    </w:p>
    <w:p>
      <w:pPr>
        <w:pStyle w:val="631"/>
        <w:ind w:firstLine="480" w:firstLineChars="200"/>
        <w:rPr>
          <w:color w:val="auto"/>
        </w:rPr>
      </w:pPr>
      <w:r>
        <w:rPr>
          <w:rFonts w:hint="eastAsia"/>
          <w:color w:val="auto"/>
        </w:rPr>
        <w:t>附件：具体标的及其技术要求和商务要求、联合协议、分包意向协议等。</w:t>
      </w:r>
    </w:p>
    <w:p>
      <w:pPr>
        <w:pStyle w:val="631"/>
        <w:rPr>
          <w:color w:val="auto"/>
        </w:rPr>
      </w:pPr>
    </w:p>
    <w:p>
      <w:pPr>
        <w:pStyle w:val="631"/>
        <w:rPr>
          <w:color w:val="auto"/>
          <w:szCs w:val="21"/>
        </w:rPr>
      </w:pPr>
      <w:r>
        <w:rPr>
          <w:color w:val="auto"/>
          <w:lang w:val="en"/>
        </w:rPr>
        <w:t xml:space="preserve">   </w:t>
      </w:r>
    </w:p>
    <w:p>
      <w:pPr>
        <w:adjustRightInd/>
        <w:rPr>
          <w:color w:val="auto"/>
        </w:rPr>
      </w:pPr>
      <w:r>
        <w:rPr>
          <w:color w:val="auto"/>
        </w:rPr>
        <w:br w:type="page"/>
      </w:r>
    </w:p>
    <w:p>
      <w:pPr>
        <w:adjustRightInd/>
        <w:ind w:firstLine="420" w:firstLineChars="200"/>
        <w:rPr>
          <w:color w:val="auto"/>
          <w:szCs w:val="21"/>
        </w:rPr>
      </w:pPr>
    </w:p>
    <w:tbl>
      <w:tblPr>
        <w:tblStyle w:val="6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6"/>
        <w:gridCol w:w="2789"/>
        <w:gridCol w:w="2288"/>
        <w:gridCol w:w="244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甲方（采购人</w:t>
            </w:r>
            <w:r>
              <w:rPr>
                <w:rFonts w:hint="eastAsia" w:ascii="宋体" w:hAnsi="宋体"/>
                <w:color w:val="auto"/>
                <w:sz w:val="24"/>
              </w:rPr>
              <w:t>、受采购人委托签订合同的单位或</w:t>
            </w:r>
            <w:r>
              <w:rPr>
                <w:rFonts w:hint="eastAsia" w:ascii="Calibri" w:hAnsi="Calibri"/>
                <w:color w:val="auto"/>
                <w:sz w:val="24"/>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法定代表人</w:t>
            </w:r>
          </w:p>
          <w:p>
            <w:pPr>
              <w:snapToGrid w:val="0"/>
              <w:spacing w:line="360" w:lineRule="auto"/>
              <w:ind w:firstLine="115" w:firstLineChars="48"/>
              <w:jc w:val="center"/>
              <w:rPr>
                <w:rFonts w:ascii="Calibri" w:hAnsi="Calibri"/>
                <w:color w:val="auto"/>
                <w:sz w:val="24"/>
              </w:rPr>
            </w:pPr>
            <w:r>
              <w:rPr>
                <w:rFonts w:hint="eastAsia" w:ascii="Calibri" w:hAnsi="Calibri"/>
                <w:color w:val="auto"/>
                <w:sz w:val="24"/>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法定代表人</w:t>
            </w:r>
          </w:p>
          <w:p>
            <w:pPr>
              <w:snapToGrid w:val="0"/>
              <w:spacing w:line="360" w:lineRule="auto"/>
              <w:jc w:val="center"/>
              <w:rPr>
                <w:rFonts w:ascii="Calibri" w:hAnsi="Calibri"/>
                <w:color w:val="auto"/>
                <w:sz w:val="24"/>
              </w:rPr>
            </w:pPr>
            <w:r>
              <w:rPr>
                <w:rFonts w:hint="eastAsia" w:ascii="Calibri" w:hAnsi="Calibri"/>
                <w:color w:val="auto"/>
                <w:sz w:val="24"/>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住</w:t>
            </w:r>
            <w:r>
              <w:rPr>
                <w:rFonts w:ascii="Calibri" w:hAnsi="Calibri"/>
                <w:color w:val="auto"/>
                <w:sz w:val="24"/>
              </w:rPr>
              <w:t xml:space="preserve">  </w:t>
            </w:r>
            <w:r>
              <w:rPr>
                <w:rFonts w:hint="eastAsia" w:ascii="Calibri" w:hAnsi="Calibri"/>
                <w:color w:val="auto"/>
                <w:sz w:val="24"/>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w:t>
            </w:r>
            <w:r>
              <w:rPr>
                <w:rFonts w:ascii="Calibri" w:hAnsi="Calibri"/>
                <w:color w:val="auto"/>
                <w:sz w:val="24"/>
              </w:rPr>
              <w:t xml:space="preserve"> </w:t>
            </w:r>
            <w:r>
              <w:rPr>
                <w:rFonts w:hint="eastAsia" w:ascii="Calibri" w:hAnsi="Calibri"/>
                <w:color w:val="auto"/>
                <w:sz w:val="24"/>
              </w:rPr>
              <w:t>系</w:t>
            </w:r>
            <w:r>
              <w:rPr>
                <w:rFonts w:ascii="Calibri" w:hAnsi="Calibri"/>
                <w:color w:val="auto"/>
                <w:sz w:val="24"/>
              </w:rPr>
              <w:t xml:space="preserve"> </w:t>
            </w:r>
            <w:r>
              <w:rPr>
                <w:rFonts w:hint="eastAsia" w:ascii="Calibri" w:hAnsi="Calibri"/>
                <w:color w:val="auto"/>
                <w:sz w:val="24"/>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rPr>
            </w:pPr>
            <w:r>
              <w:rPr>
                <w:rFonts w:hint="eastAsia" w:ascii="Calibri" w:hAnsi="Calibri"/>
                <w:color w:val="auto"/>
                <w:sz w:val="24"/>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rPr>
            </w:pPr>
            <w:r>
              <w:rPr>
                <w:rFonts w:hint="eastAsia" w:ascii="宋体" w:hAnsi="宋体"/>
                <w:color w:val="auto"/>
                <w:sz w:val="24"/>
              </w:rPr>
              <w:t>注：涉及联合体或其他合同主体的信息应按上表格式加列。</w:t>
            </w:r>
          </w:p>
        </w:tc>
      </w:tr>
    </w:tbl>
    <w:p>
      <w:pPr>
        <w:keepNext/>
        <w:keepLines/>
        <w:snapToGrid w:val="0"/>
        <w:spacing w:before="120" w:beforeLines="50" w:line="360" w:lineRule="auto"/>
        <w:jc w:val="center"/>
        <w:outlineLvl w:val="1"/>
        <w:rPr>
          <w:rFonts w:ascii="黑体" w:hAnsi="黑体" w:eastAsia="黑体"/>
          <w:b/>
          <w:bCs/>
          <w:color w:val="auto"/>
          <w:sz w:val="28"/>
          <w:szCs w:val="28"/>
        </w:rPr>
      </w:pPr>
      <w:r>
        <w:rPr>
          <w:rFonts w:hint="eastAsia" w:ascii="宋体" w:hAnsi="宋体"/>
          <w:b/>
          <w:bCs/>
          <w:color w:val="auto"/>
          <w:szCs w:val="21"/>
          <w:u w:val="single"/>
        </w:rPr>
        <w:br w:type="page"/>
      </w:r>
      <w:bookmarkStart w:id="100" w:name="_Toc27624"/>
      <w:r>
        <w:rPr>
          <w:rFonts w:hint="eastAsia" w:ascii="黑体" w:hAnsi="黑体" w:eastAsia="黑体"/>
          <w:color w:val="auto"/>
          <w:sz w:val="28"/>
          <w:szCs w:val="28"/>
        </w:rPr>
        <w:t>第二节 政府采购合同通用条款</w:t>
      </w:r>
      <w:bookmarkEnd w:id="100"/>
    </w:p>
    <w:p>
      <w:pPr>
        <w:tabs>
          <w:tab w:val="left" w:pos="8820"/>
          <w:tab w:val="left" w:pos="9345"/>
          <w:tab w:val="left" w:pos="9765"/>
        </w:tabs>
        <w:snapToGrid w:val="0"/>
        <w:spacing w:line="360" w:lineRule="auto"/>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1.1合同当事人</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（1）采购人（以下称甲方）是指使用财政性资金，通过政府采购方式向供应商购买货物及其相关服务的国家机关、事业单位、团体组织。</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（2）供应商（以下称乙方）是指参加政府采购活动并且中标（成交），向采购人提供合同约定的货物及其相关服务的法人、非法人组织或者自然人。</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（3）其他合同主体是指除采购人和供应商以外，</w:t>
      </w:r>
      <w:r>
        <w:rPr>
          <w:rFonts w:hint="eastAsia" w:ascii="宋体" w:hAnsi="宋体" w:cs="宋体"/>
          <w:bCs/>
          <w:color w:val="auto"/>
          <w:sz w:val="24"/>
        </w:rPr>
        <w:t>依法参与合同缔结或履行，享有权利、承担义务的合同当事人</w:t>
      </w:r>
      <w:r>
        <w:rPr>
          <w:rFonts w:hint="eastAsia" w:ascii="宋体" w:hAnsi="宋体"/>
          <w:color w:val="auto"/>
          <w:sz w:val="24"/>
        </w:rPr>
        <w:t>。</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1.2本合同下列术语应解释为：</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（1）“合同”系指</w:t>
      </w:r>
      <w:r>
        <w:rPr>
          <w:rFonts w:hint="eastAsia" w:ascii="宋体" w:hAnsi="宋体" w:cs="宋体"/>
          <w:bCs/>
          <w:color w:val="auto"/>
          <w:sz w:val="24"/>
        </w:rPr>
        <w:t>合同当事人意思表示达成一致的任何协议，包括签署的</w:t>
      </w:r>
      <w:r>
        <w:rPr>
          <w:rFonts w:hint="eastAsia" w:ascii="宋体" w:hAnsi="宋体"/>
          <w:color w:val="auto"/>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 w:val="24"/>
        </w:rPr>
        <w:t>国家法律、行政法规和规章制度规定或合同约定的作为合同组成部分的其他文件</w:t>
      </w:r>
      <w:r>
        <w:rPr>
          <w:rFonts w:hint="eastAsia" w:ascii="宋体" w:hAnsi="宋体"/>
          <w:color w:val="auto"/>
          <w:sz w:val="24"/>
        </w:rPr>
        <w:t>。</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（2）“合同价款”系指根据本合同规定乙方在全面履行合同义务后甲方应支付给乙方的价款。</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（3）“货物”系指乙方根据本合同规定须向甲方提供的各种形态和种类的物品，包括原材料、设备、产品（包括软件）及相关的其备品备件、工具、手册及</w:t>
      </w:r>
      <w:r>
        <w:rPr>
          <w:rFonts w:hint="eastAsia" w:ascii="宋体" w:hAnsi="宋体"/>
          <w:color w:val="auto"/>
          <w:sz w:val="24"/>
          <w:lang w:val="en"/>
        </w:rPr>
        <w:t>其他</w:t>
      </w:r>
      <w:r>
        <w:rPr>
          <w:rFonts w:hint="eastAsia" w:ascii="宋体" w:hAnsi="宋体"/>
          <w:color w:val="auto"/>
          <w:sz w:val="24"/>
        </w:rPr>
        <w:t>技术资料和材料等。</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（4）“相关服务”系指根据合同规定，乙方应提供的与货物有关的技术、管理和</w:t>
      </w:r>
      <w:r>
        <w:rPr>
          <w:rFonts w:hint="eastAsia" w:ascii="宋体" w:hAnsi="宋体"/>
          <w:color w:val="auto"/>
          <w:sz w:val="24"/>
          <w:lang w:val="en"/>
        </w:rPr>
        <w:t>其他</w:t>
      </w:r>
      <w:r>
        <w:rPr>
          <w:rFonts w:hint="eastAsia" w:ascii="宋体" w:hAnsi="宋体"/>
          <w:color w:val="auto"/>
          <w:sz w:val="24"/>
        </w:rPr>
        <w:t>服务，包括但不限于：管理和质量保证、运输、保险、检验、现场准备、安装、集成、调试、培训、维修、废弃处置、技术支持等以及合同中规定乙方应承担的</w:t>
      </w:r>
      <w:r>
        <w:rPr>
          <w:rFonts w:hint="eastAsia" w:ascii="宋体" w:hAnsi="宋体"/>
          <w:color w:val="auto"/>
          <w:sz w:val="24"/>
          <w:lang w:val="en"/>
        </w:rPr>
        <w:t>其他</w:t>
      </w:r>
      <w:r>
        <w:rPr>
          <w:rFonts w:hint="eastAsia" w:ascii="宋体" w:hAnsi="宋体"/>
          <w:color w:val="auto"/>
          <w:sz w:val="24"/>
        </w:rPr>
        <w:t>义务。</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（5）“分包”系指中标（成交）供应商按采购文件、投标（响应）文件的规定，根据分包意向协议，将中标（成交）项目中的部分履约内容，分给具有相应资质条件的供应商履行合同的行为。</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 w:val="24"/>
        </w:rPr>
        <w:t>政府采购合同专用条款</w:t>
      </w:r>
      <w:r>
        <w:rPr>
          <w:rFonts w:hint="eastAsia" w:ascii="宋体" w:hAnsi="宋体"/>
          <w:color w:val="auto"/>
          <w:sz w:val="24"/>
        </w:rPr>
        <w:t>】。</w:t>
      </w:r>
    </w:p>
    <w:p>
      <w:pPr>
        <w:tabs>
          <w:tab w:val="left" w:pos="570"/>
          <w:tab w:val="left" w:pos="9240"/>
          <w:tab w:val="left" w:pos="9555"/>
        </w:tabs>
        <w:snapToGrid w:val="0"/>
        <w:spacing w:line="360" w:lineRule="auto"/>
        <w:ind w:firstLine="480" w:firstLineChars="200"/>
        <w:jc w:val="left"/>
        <w:rPr>
          <w:rFonts w:ascii="宋体" w:hAnsi="宋体"/>
          <w:color w:val="auto"/>
          <w:sz w:val="24"/>
        </w:rPr>
      </w:pPr>
      <w:r>
        <w:rPr>
          <w:rFonts w:hint="eastAsia" w:ascii="宋体" w:hAnsi="宋体"/>
          <w:color w:val="auto"/>
          <w:sz w:val="24"/>
        </w:rPr>
        <w:t>（7）其他术语解释，见【</w:t>
      </w:r>
      <w:r>
        <w:rPr>
          <w:rFonts w:hint="eastAsia" w:ascii="宋体" w:hAnsi="宋体"/>
          <w:b/>
          <w:bCs/>
          <w:color w:val="auto"/>
          <w:sz w:val="24"/>
        </w:rPr>
        <w:t>政府采购合同专用条款</w:t>
      </w:r>
      <w:r>
        <w:rPr>
          <w:rFonts w:hint="eastAsia" w:ascii="宋体" w:hAnsi="宋体"/>
          <w:color w:val="auto"/>
          <w:sz w:val="24"/>
        </w:rPr>
        <w:t>】。</w:t>
      </w:r>
    </w:p>
    <w:p>
      <w:pPr>
        <w:tabs>
          <w:tab w:val="left" w:pos="8820"/>
          <w:tab w:val="left" w:pos="9345"/>
          <w:tab w:val="left" w:pos="9765"/>
        </w:tabs>
        <w:snapToGrid w:val="0"/>
        <w:spacing w:line="360" w:lineRule="auto"/>
        <w:jc w:val="left"/>
        <w:rPr>
          <w:rFonts w:ascii="宋体" w:hAnsi="宋体"/>
          <w:b/>
          <w:color w:val="auto"/>
          <w:sz w:val="24"/>
        </w:rPr>
      </w:pPr>
      <w:r>
        <w:rPr>
          <w:rFonts w:hint="eastAsia" w:ascii="宋体" w:hAnsi="宋体"/>
          <w:b/>
          <w:color w:val="auto"/>
          <w:sz w:val="24"/>
        </w:rPr>
        <w:t>2. 合同标的及金额</w:t>
      </w:r>
    </w:p>
    <w:p>
      <w:pPr>
        <w:autoSpaceDE w:val="0"/>
        <w:autoSpaceDN w:val="0"/>
        <w:snapToGrid w:val="0"/>
        <w:spacing w:line="360" w:lineRule="auto"/>
        <w:ind w:firstLine="480" w:firstLineChars="200"/>
        <w:jc w:val="left"/>
        <w:rPr>
          <w:rFonts w:ascii="宋体" w:hAnsi="宋体"/>
          <w:b/>
          <w:bCs/>
          <w:i/>
          <w:iCs/>
          <w:color w:val="auto"/>
          <w:sz w:val="24"/>
        </w:rPr>
      </w:pPr>
      <w:r>
        <w:rPr>
          <w:rFonts w:hint="eastAsia" w:ascii="宋体" w:hAnsi="宋体"/>
          <w:color w:val="auto"/>
          <w:sz w:val="24"/>
        </w:rPr>
        <w:t>2.1 合同标的及金额应与中标（成交）结果一致。乙方为履行本合同而发生的所有费用均应包含在合同价款中，甲方不再另行支付</w:t>
      </w:r>
      <w:r>
        <w:rPr>
          <w:rFonts w:hint="eastAsia" w:ascii="宋体" w:hAnsi="宋体"/>
          <w:color w:val="auto"/>
          <w:sz w:val="24"/>
          <w:lang w:val="en"/>
        </w:rPr>
        <w:t>其他</w:t>
      </w:r>
      <w:r>
        <w:rPr>
          <w:rFonts w:hint="eastAsia" w:ascii="宋体" w:hAnsi="宋体"/>
          <w:color w:val="auto"/>
          <w:sz w:val="24"/>
        </w:rPr>
        <w:t>任何费用。</w:t>
      </w:r>
    </w:p>
    <w:p>
      <w:pPr>
        <w:snapToGrid w:val="0"/>
        <w:spacing w:line="360" w:lineRule="auto"/>
        <w:jc w:val="left"/>
        <w:rPr>
          <w:rFonts w:ascii="宋体" w:hAnsi="宋体"/>
          <w:b/>
          <w:color w:val="auto"/>
          <w:sz w:val="24"/>
        </w:rPr>
      </w:pPr>
      <w:r>
        <w:rPr>
          <w:rFonts w:hint="eastAsia" w:ascii="宋体" w:hAnsi="宋体"/>
          <w:b/>
          <w:color w:val="auto"/>
          <w:sz w:val="24"/>
        </w:rPr>
        <w:t>3. 履行合同的时间、地点和方式</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3.1 </w:t>
      </w:r>
      <w:r>
        <w:rPr>
          <w:rFonts w:hint="eastAsia" w:ascii="宋体" w:hAnsi="宋体" w:cs="宋体"/>
          <w:color w:val="auto"/>
          <w:sz w:val="24"/>
        </w:rPr>
        <w:t>乙方应当在约定的时间、地点，按照约定方式履行合同。</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4. 甲方的权利和义务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4.1 签署合同后，甲方应确定项目负责人（或项目联系人），负责与本合同有关的事务。甲方有权对乙方的履约行为进行检查，并及时确认乙方提交的事项。甲方应当配合乙方完成相关项目实施工作。</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4.2 甲方有权要求乙方按时提交各阶段有关安排计划，并有权定期核对乙方提供货物数量、规格、质量等内容。甲方有权督促乙方工作并要求乙方更换不符合要求的货物。</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4.3 甲方有权要求乙方对缺陷部分予以修复，并按合同约定享有货物保修及其他合同约定的权利。</w:t>
      </w:r>
    </w:p>
    <w:p>
      <w:pPr>
        <w:adjustRightInd/>
        <w:snapToGrid w:val="0"/>
        <w:spacing w:line="360" w:lineRule="auto"/>
        <w:ind w:firstLine="480" w:firstLineChars="200"/>
        <w:rPr>
          <w:rFonts w:eastAsia="华文楷体"/>
          <w:color w:val="auto"/>
          <w:sz w:val="24"/>
        </w:rPr>
      </w:pPr>
      <w:r>
        <w:rPr>
          <w:rFonts w:hint="eastAsia" w:ascii="宋体" w:hAnsi="宋体"/>
          <w:color w:val="auto"/>
          <w:sz w:val="24"/>
        </w:rPr>
        <w:t>4.4 甲方应当按照合同约定及时对交付的货物进行验收，</w:t>
      </w:r>
      <w:r>
        <w:rPr>
          <w:rFonts w:hint="eastAsia" w:ascii="宋体" w:hAnsi="宋体" w:cs="宋体"/>
          <w:color w:val="auto"/>
          <w:sz w:val="24"/>
        </w:rPr>
        <w:t>未</w:t>
      </w:r>
      <w:r>
        <w:rPr>
          <w:rFonts w:hint="eastAsia" w:ascii="宋体" w:hAnsi="宋体"/>
          <w:color w:val="auto"/>
          <w:sz w:val="24"/>
        </w:rPr>
        <w:t>在</w:t>
      </w:r>
      <w:r>
        <w:rPr>
          <w:rFonts w:hint="eastAsia" w:ascii="宋体" w:hAnsi="宋体" w:cs="宋体"/>
          <w:b/>
          <w:bCs/>
          <w:color w:val="auto"/>
          <w:sz w:val="24"/>
        </w:rPr>
        <w:t>【政府采购合同专用条款】</w:t>
      </w:r>
      <w:r>
        <w:rPr>
          <w:rFonts w:hint="eastAsia" w:ascii="宋体" w:hAnsi="宋体" w:cs="宋体"/>
          <w:color w:val="auto"/>
          <w:sz w:val="24"/>
        </w:rPr>
        <w:t>约定的期限内对乙方履约提出任何异议或者向乙方作出任何说明的，</w:t>
      </w:r>
      <w:r>
        <w:rPr>
          <w:rFonts w:hint="eastAsia" w:ascii="宋体" w:hAnsi="宋体"/>
          <w:color w:val="auto"/>
          <w:sz w:val="24"/>
        </w:rPr>
        <w:t>视为验收通过。</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4.5 甲方应当根据合同约定及时向乙方支付合同价款，不得以内部人员变更、履行内部付款流程等为由，拒绝或迟延支付。</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4.6 国家法律法规规定及</w:t>
      </w:r>
      <w:r>
        <w:rPr>
          <w:rFonts w:hint="eastAsia" w:ascii="宋体" w:hAnsi="宋体" w:cs="宋体"/>
          <w:b/>
          <w:bCs/>
          <w:color w:val="auto"/>
          <w:sz w:val="24"/>
        </w:rPr>
        <w:t>【政府采购合同专用条款】</w:t>
      </w:r>
      <w:r>
        <w:rPr>
          <w:rFonts w:hint="eastAsia" w:ascii="宋体" w:hAnsi="宋体"/>
          <w:color w:val="auto"/>
          <w:sz w:val="24"/>
        </w:rPr>
        <w:t>约定应由甲方承担的其他义务和责任。</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5. 乙方的权利和义务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5.1 签署合同后，乙方应确定项目负责人（或项目联系人），负责与本合同有关的事务。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adjustRightInd/>
        <w:spacing w:line="360" w:lineRule="auto"/>
        <w:ind w:firstLine="422" w:firstLineChars="176"/>
        <w:rPr>
          <w:rFonts w:ascii="宋体" w:hAnsi="宋体" w:cs="宋体"/>
          <w:color w:val="auto"/>
          <w:sz w:val="24"/>
        </w:rPr>
      </w:pPr>
      <w:r>
        <w:rPr>
          <w:rFonts w:hint="eastAsia" w:ascii="宋体" w:hAnsi="宋体"/>
          <w:color w:val="auto"/>
          <w:sz w:val="24"/>
        </w:rPr>
        <w:t>5.3乙方有权</w:t>
      </w:r>
      <w:r>
        <w:rPr>
          <w:rFonts w:hint="eastAsia" w:ascii="宋体" w:hAnsi="宋体" w:cs="宋体"/>
          <w:color w:val="auto"/>
          <w:sz w:val="24"/>
        </w:rPr>
        <w:t>根据合同约定向甲方收取合同价款。</w:t>
      </w:r>
    </w:p>
    <w:p>
      <w:pPr>
        <w:adjustRightInd/>
        <w:spacing w:line="360" w:lineRule="auto"/>
        <w:ind w:firstLine="422" w:firstLineChars="176"/>
        <w:rPr>
          <w:rFonts w:ascii="宋体" w:hAnsi="宋体" w:cs="宋体"/>
          <w:color w:val="auto"/>
          <w:sz w:val="24"/>
        </w:rPr>
      </w:pPr>
      <w:r>
        <w:rPr>
          <w:rFonts w:hint="eastAsia" w:ascii="宋体" w:hAnsi="宋体"/>
          <w:color w:val="auto"/>
          <w:sz w:val="24"/>
        </w:rPr>
        <w:t>5.4</w:t>
      </w:r>
      <w:r>
        <w:rPr>
          <w:rFonts w:hint="eastAsia" w:ascii="宋体" w:hAnsi="宋体" w:cs="宋体"/>
          <w:color w:val="auto"/>
          <w:sz w:val="24"/>
        </w:rPr>
        <w:t>国家法律法规规定</w:t>
      </w:r>
      <w:r>
        <w:rPr>
          <w:rFonts w:hint="eastAsia" w:ascii="宋体" w:hAnsi="宋体"/>
          <w:color w:val="auto"/>
          <w:sz w:val="24"/>
        </w:rPr>
        <w:t>及</w:t>
      </w:r>
      <w:r>
        <w:rPr>
          <w:rFonts w:hint="eastAsia" w:ascii="宋体" w:hAnsi="宋体" w:cs="宋体"/>
          <w:b/>
          <w:bCs/>
          <w:color w:val="auto"/>
          <w:sz w:val="24"/>
        </w:rPr>
        <w:t>【政府采购合同专用条款】</w:t>
      </w:r>
      <w:r>
        <w:rPr>
          <w:rFonts w:hint="eastAsia" w:ascii="宋体" w:hAnsi="宋体" w:cs="宋体"/>
          <w:color w:val="auto"/>
          <w:sz w:val="24"/>
        </w:rPr>
        <w:t>约定应由乙方承担的其他义务和责任。</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6.合同履行</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6.1 甲乙双方应当按照</w:t>
      </w:r>
      <w:r>
        <w:rPr>
          <w:rFonts w:hint="eastAsia" w:ascii="宋体" w:hAnsi="宋体" w:cs="宋体"/>
          <w:b/>
          <w:bCs/>
          <w:color w:val="auto"/>
          <w:sz w:val="24"/>
        </w:rPr>
        <w:t>【政府采购合同专用条款】</w:t>
      </w:r>
      <w:r>
        <w:rPr>
          <w:rFonts w:hint="eastAsia" w:ascii="宋体" w:hAnsi="宋体"/>
          <w:color w:val="auto"/>
          <w:sz w:val="24"/>
        </w:rPr>
        <w:t>约定顺序履行合同义务；如果没有先后顺序的，应当同时履行。</w:t>
      </w:r>
    </w:p>
    <w:p>
      <w:pPr>
        <w:autoSpaceDE w:val="0"/>
        <w:autoSpaceDN w:val="0"/>
        <w:snapToGrid w:val="0"/>
        <w:spacing w:line="360" w:lineRule="auto"/>
        <w:ind w:firstLine="480" w:firstLineChars="200"/>
        <w:jc w:val="left"/>
        <w:rPr>
          <w:color w:val="auto"/>
          <w:sz w:val="24"/>
        </w:rPr>
      </w:pPr>
      <w:r>
        <w:rPr>
          <w:rFonts w:hint="eastAsia" w:ascii="宋体" w:hAnsi="宋体"/>
          <w:color w:val="auto"/>
          <w:sz w:val="24"/>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360" w:lineRule="auto"/>
        <w:jc w:val="left"/>
        <w:rPr>
          <w:rFonts w:ascii="宋体" w:hAnsi="宋体"/>
          <w:b/>
          <w:bCs/>
          <w:color w:val="auto"/>
          <w:sz w:val="24"/>
        </w:rPr>
      </w:pPr>
      <w:r>
        <w:rPr>
          <w:rFonts w:hint="eastAsia" w:ascii="宋体" w:hAnsi="宋体"/>
          <w:b/>
          <w:bCs/>
          <w:color w:val="auto"/>
          <w:sz w:val="24"/>
        </w:rPr>
        <w:t>7. 货物包装、运输、保险和交付要求</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7.1 本合同</w:t>
      </w:r>
      <w:r>
        <w:rPr>
          <w:rFonts w:hint="eastAsia" w:ascii="宋体" w:hAnsi="宋体"/>
          <w:bCs/>
          <w:color w:val="auto"/>
          <w:sz w:val="24"/>
        </w:rPr>
        <w:t>涉及商品包装、快递包装的，</w:t>
      </w:r>
      <w:r>
        <w:rPr>
          <w:rFonts w:hint="eastAsia" w:ascii="宋体" w:hAnsi="宋体"/>
          <w:color w:val="auto"/>
          <w:sz w:val="24"/>
        </w:rPr>
        <w:t>除</w:t>
      </w:r>
      <w:r>
        <w:rPr>
          <w:rFonts w:hint="eastAsia" w:ascii="宋体" w:hAnsi="宋体"/>
          <w:b/>
          <w:color w:val="auto"/>
          <w:sz w:val="24"/>
        </w:rPr>
        <w:t>【政府采购合同专用条款】</w:t>
      </w:r>
      <w:r>
        <w:rPr>
          <w:rFonts w:hint="eastAsia" w:ascii="宋体" w:hAnsi="宋体"/>
          <w:bCs/>
          <w:color w:val="auto"/>
          <w:sz w:val="24"/>
        </w:rPr>
        <w:t>另有约定外，</w:t>
      </w:r>
      <w:r>
        <w:rPr>
          <w:rFonts w:hint="eastAsia" w:ascii="宋体" w:hAnsi="宋体"/>
          <w:color w:val="auto"/>
          <w:sz w:val="24"/>
        </w:rPr>
        <w:t>包装应适应远距离运输、防潮、防震、防锈和防野蛮装卸等要求，确保货物安全无损地运抵</w:t>
      </w:r>
      <w:r>
        <w:rPr>
          <w:rFonts w:hint="eastAsia" w:ascii="宋体" w:hAnsi="宋体"/>
          <w:b/>
          <w:color w:val="auto"/>
          <w:sz w:val="24"/>
        </w:rPr>
        <w:t>【政府采购合同专用条款】</w:t>
      </w:r>
      <w:r>
        <w:rPr>
          <w:rFonts w:hint="eastAsia" w:ascii="宋体" w:hAnsi="宋体"/>
          <w:bCs/>
          <w:color w:val="auto"/>
          <w:sz w:val="24"/>
        </w:rPr>
        <w:t>约定的</w:t>
      </w:r>
      <w:r>
        <w:rPr>
          <w:rFonts w:hint="eastAsia" w:ascii="宋体" w:hAnsi="宋体"/>
          <w:color w:val="auto"/>
          <w:sz w:val="24"/>
        </w:rPr>
        <w:t>指定现场。</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7.2 除</w:t>
      </w:r>
      <w:r>
        <w:rPr>
          <w:rFonts w:hint="eastAsia" w:ascii="宋体" w:hAnsi="宋体"/>
          <w:b/>
          <w:color w:val="auto"/>
          <w:sz w:val="24"/>
        </w:rPr>
        <w:t>【政府采购合同专用条款】</w:t>
      </w:r>
      <w:r>
        <w:rPr>
          <w:rFonts w:hint="eastAsia" w:ascii="宋体" w:hAnsi="宋体"/>
          <w:bCs/>
          <w:color w:val="auto"/>
          <w:sz w:val="24"/>
        </w:rPr>
        <w:t>另有约定外，</w:t>
      </w:r>
      <w:r>
        <w:rPr>
          <w:rFonts w:hint="eastAsia" w:ascii="宋体" w:hAnsi="宋体"/>
          <w:color w:val="auto"/>
          <w:sz w:val="24"/>
        </w:rPr>
        <w:t>乙方负责办理将货物运抵本合同规定的交货地点，并装卸、交付至甲方的一切运输事项，相关费用应包含在合同价款中。</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7.3 货物保险要求按</w:t>
      </w:r>
      <w:r>
        <w:rPr>
          <w:rFonts w:hint="eastAsia" w:ascii="宋体" w:hAnsi="宋体"/>
          <w:b/>
          <w:color w:val="auto"/>
          <w:sz w:val="24"/>
        </w:rPr>
        <w:t>【政府采购合同专用条款】</w:t>
      </w:r>
      <w:r>
        <w:rPr>
          <w:rFonts w:hint="eastAsia" w:ascii="宋体" w:hAnsi="宋体"/>
          <w:bCs/>
          <w:color w:val="auto"/>
          <w:sz w:val="24"/>
        </w:rPr>
        <w:t>规定执行</w:t>
      </w:r>
      <w:r>
        <w:rPr>
          <w:rFonts w:hint="eastAsia" w:ascii="宋体" w:hAnsi="宋体"/>
          <w:color w:val="auto"/>
          <w:sz w:val="24"/>
        </w:rPr>
        <w:t>。</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7.5 </w:t>
      </w:r>
      <w:r>
        <w:rPr>
          <w:rFonts w:hint="eastAsia" w:ascii="宋体" w:hAnsi="宋体" w:cs="宋体"/>
          <w:color w:val="auto"/>
          <w:sz w:val="24"/>
        </w:rPr>
        <w:t>乙方在运输到达之前应提前通知甲方，并提示货物运输装卸的注意事项，甲方配合乙方做好货物的接收工作。</w:t>
      </w:r>
    </w:p>
    <w:p>
      <w:pPr>
        <w:widowControl/>
        <w:autoSpaceDE w:val="0"/>
        <w:autoSpaceDN w:val="0"/>
        <w:spacing w:line="360" w:lineRule="auto"/>
        <w:ind w:firstLine="480" w:firstLineChars="200"/>
        <w:jc w:val="left"/>
        <w:rPr>
          <w:rFonts w:ascii="华文楷体" w:hAnsi="华文楷体" w:eastAsia="华文楷体" w:cs="华文楷体"/>
          <w:color w:val="auto"/>
          <w:kern w:val="0"/>
          <w:sz w:val="24"/>
        </w:rPr>
      </w:pPr>
      <w:r>
        <w:rPr>
          <w:rFonts w:hint="eastAsia" w:ascii="宋体" w:hAnsi="宋体"/>
          <w:color w:val="auto"/>
          <w:sz w:val="24"/>
        </w:rPr>
        <w:t>7.6 如因包装、运输问题导致货物损毁、丢失或者品质下降，甲方有权要求降价、换货、拒收部分或整批货物，由此产生的费用和损失，均由乙方承担。</w:t>
      </w:r>
    </w:p>
    <w:p>
      <w:pPr>
        <w:snapToGrid w:val="0"/>
        <w:spacing w:line="360" w:lineRule="auto"/>
        <w:jc w:val="left"/>
        <w:rPr>
          <w:rFonts w:ascii="宋体" w:hAnsi="宋体"/>
          <w:b/>
          <w:color w:val="auto"/>
          <w:sz w:val="24"/>
        </w:rPr>
      </w:pPr>
      <w:r>
        <w:rPr>
          <w:rFonts w:hint="eastAsia" w:ascii="宋体" w:hAnsi="宋体"/>
          <w:b/>
          <w:color w:val="auto"/>
          <w:sz w:val="24"/>
        </w:rPr>
        <w:t>8. 质量标准和保证</w:t>
      </w:r>
    </w:p>
    <w:p>
      <w:pPr>
        <w:snapToGrid w:val="0"/>
        <w:spacing w:line="360" w:lineRule="auto"/>
        <w:ind w:firstLine="480" w:firstLineChars="200"/>
        <w:jc w:val="left"/>
        <w:rPr>
          <w:rFonts w:ascii="宋体" w:hAnsi="宋体" w:cs="Courier New"/>
          <w:b/>
          <w:color w:val="auto"/>
          <w:sz w:val="24"/>
        </w:rPr>
      </w:pPr>
      <w:r>
        <w:rPr>
          <w:rFonts w:hint="eastAsia" w:ascii="宋体" w:hAnsi="宋体" w:cs="Courier New"/>
          <w:color w:val="auto"/>
          <w:sz w:val="24"/>
        </w:rPr>
        <w:t>8.1 质量标准</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（1）本合同下提供的货物应符合合同</w:t>
      </w:r>
      <w:r>
        <w:rPr>
          <w:rFonts w:hint="eastAsia" w:ascii="宋体" w:hAnsi="宋体" w:cs="宋体"/>
          <w:color w:val="auto"/>
          <w:sz w:val="24"/>
        </w:rPr>
        <w:t>约定的品牌、规格型号、技术性能、配置、质量、数量等要求。</w:t>
      </w:r>
      <w:r>
        <w:rPr>
          <w:rFonts w:hint="eastAsia" w:ascii="宋体" w:hAnsi="宋体"/>
          <w:color w:val="auto"/>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snapToGrid w:val="0"/>
        <w:spacing w:line="360" w:lineRule="auto"/>
        <w:ind w:firstLine="480" w:firstLineChars="200"/>
        <w:jc w:val="left"/>
        <w:rPr>
          <w:rFonts w:ascii="宋体" w:hAnsi="宋体" w:cs="Courier New"/>
          <w:color w:val="auto"/>
          <w:sz w:val="24"/>
        </w:rPr>
      </w:pPr>
      <w:r>
        <w:rPr>
          <w:rFonts w:hint="eastAsia" w:ascii="宋体" w:hAnsi="宋体" w:cs="Courier New"/>
          <w:color w:val="auto"/>
          <w:sz w:val="24"/>
        </w:rPr>
        <w:t>（2）采用中华人民共和国法定计量单位。</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（3）乙方所提供的货物应符合国家有关安全、环保、卫生的规定。</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（4）乙方应向甲方提交所提供货物的技术文件，包括相应的中文技术文件，如：产品目录、图纸、操作手册、使用说明、维护手册或服务指南等。上述文件应包装好随货物一同发运。</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8.2 保证</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（1）乙方应保证提供的货物完全符合合同规定的质量、规格和性能要求。乙方应保证货物在正确安装、正常使用和保养条件下，</w:t>
      </w:r>
      <w:r>
        <w:rPr>
          <w:rFonts w:hint="eastAsia" w:ascii="宋体" w:hAnsi="宋体" w:cs="宋体"/>
          <w:color w:val="auto"/>
          <w:sz w:val="24"/>
        </w:rPr>
        <w:t>在其使用寿命期内具备合同约定的性能</w:t>
      </w:r>
      <w:r>
        <w:rPr>
          <w:rFonts w:hint="eastAsia" w:ascii="宋体" w:hAnsi="宋体"/>
          <w:color w:val="auto"/>
          <w:sz w:val="24"/>
        </w:rPr>
        <w:t>。存在质量保证期的，货物最终交付验收合格后在</w:t>
      </w:r>
      <w:r>
        <w:rPr>
          <w:rFonts w:hint="eastAsia" w:ascii="宋体" w:hAnsi="宋体"/>
          <w:b/>
          <w:color w:val="auto"/>
          <w:sz w:val="24"/>
        </w:rPr>
        <w:t>【政府采购合同专用条款】</w:t>
      </w:r>
      <w:r>
        <w:rPr>
          <w:rFonts w:hint="eastAsia" w:ascii="宋体" w:hAnsi="宋体"/>
          <w:color w:val="auto"/>
          <w:sz w:val="24"/>
        </w:rPr>
        <w:t>规定或乙方书面承诺（两者以较长的为准）的质量保证期内，本保证保持有效。</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（2）在质量保证期内所发现的缺陷，甲方应尽快以书面形式通知乙方。</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（3）乙方收到通知后，应在</w:t>
      </w:r>
      <w:r>
        <w:rPr>
          <w:rFonts w:hint="eastAsia" w:ascii="宋体" w:hAnsi="宋体"/>
          <w:b/>
          <w:color w:val="auto"/>
          <w:sz w:val="24"/>
        </w:rPr>
        <w:t>【政府采购合同专用条款】</w:t>
      </w:r>
      <w:r>
        <w:rPr>
          <w:rFonts w:hint="eastAsia" w:ascii="宋体" w:hAnsi="宋体"/>
          <w:color w:val="auto"/>
          <w:sz w:val="24"/>
        </w:rPr>
        <w:t>规定的响应时间内以合理的速度免费维修或更换有缺陷的货物或部件。</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360" w:lineRule="auto"/>
        <w:ind w:firstLine="480" w:firstLineChars="200"/>
        <w:jc w:val="left"/>
        <w:rPr>
          <w:color w:val="auto"/>
          <w:sz w:val="24"/>
        </w:rPr>
      </w:pPr>
      <w:r>
        <w:rPr>
          <w:rFonts w:hint="eastAsia" w:ascii="宋体" w:hAnsi="宋体"/>
          <w:color w:val="auto"/>
          <w:sz w:val="24"/>
        </w:rPr>
        <w:t>（5）乙方在约定的时间内未能弥补缺陷，甲方可采取必要的补救措施，但其风险和费用将由乙方承担，甲方根据合同约定对乙方行使的其他权利不受影响。</w:t>
      </w:r>
    </w:p>
    <w:p>
      <w:pPr>
        <w:snapToGrid w:val="0"/>
        <w:spacing w:line="360" w:lineRule="auto"/>
        <w:jc w:val="left"/>
        <w:rPr>
          <w:rFonts w:ascii="宋体" w:hAnsi="宋体"/>
          <w:b/>
          <w:bCs/>
          <w:color w:val="auto"/>
          <w:sz w:val="24"/>
        </w:rPr>
      </w:pPr>
      <w:r>
        <w:rPr>
          <w:rFonts w:hint="eastAsia" w:ascii="宋体" w:hAnsi="宋体"/>
          <w:b/>
          <w:bCs/>
          <w:color w:val="auto"/>
          <w:sz w:val="24"/>
        </w:rPr>
        <w:t>9. 权利瑕疵担保</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9.1 乙方保证对其出售的货物享有合法的权利。</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9.2 </w:t>
      </w:r>
      <w:r>
        <w:rPr>
          <w:rFonts w:hint="eastAsia" w:ascii="宋体" w:hAnsi="宋体" w:cs="宋体"/>
          <w:color w:val="auto"/>
          <w:sz w:val="24"/>
        </w:rPr>
        <w:t>乙方保证在交付的货物上不存在抵押权等担保物权。</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9.3 如甲方使用上述货物构成对第三人侵权的，则由乙方承担全部责任。</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10. 知识产权保护</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10.1 乙方对其所销售的货物应当享有知识产权或经权利人合法授权，保证没有侵犯任何第三人的知识产权等权利。</w:t>
      </w:r>
      <w:bookmarkStart w:id="101" w:name="_Hlk163047038"/>
      <w:r>
        <w:rPr>
          <w:rFonts w:hint="eastAsia" w:ascii="宋体" w:hAnsi="宋体" w:cs="宋体"/>
          <w:color w:val="auto"/>
          <w:sz w:val="24"/>
        </w:rPr>
        <w:t>因违反前述约定对第三人构成侵权的，应当由乙方向第三人承担法律责任；甲方依法向第三人赔偿后，有权向乙方追偿。甲方有其他损失的，乙方应当赔偿</w:t>
      </w:r>
      <w:bookmarkEnd w:id="101"/>
      <w:r>
        <w:rPr>
          <w:rFonts w:hint="eastAsia" w:ascii="宋体" w:hAnsi="宋体"/>
          <w:color w:val="auto"/>
          <w:sz w:val="24"/>
        </w:rPr>
        <w:t>。</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11. 保密义务</w:t>
      </w:r>
    </w:p>
    <w:p>
      <w:pPr>
        <w:autoSpaceDE w:val="0"/>
        <w:autoSpaceDN w:val="0"/>
        <w:snapToGrid w:val="0"/>
        <w:spacing w:line="360" w:lineRule="auto"/>
        <w:ind w:firstLine="480" w:firstLineChars="200"/>
        <w:jc w:val="left"/>
        <w:rPr>
          <w:rFonts w:ascii="宋体" w:hAnsi="宋体" w:cs="宋体"/>
          <w:color w:val="auto"/>
          <w:sz w:val="24"/>
        </w:rPr>
      </w:pPr>
      <w:r>
        <w:rPr>
          <w:rFonts w:hint="eastAsia" w:ascii="宋体" w:hAnsi="宋体" w:cs="宋体"/>
          <w:color w:val="auto"/>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 w:val="24"/>
        </w:rPr>
        <w:t>【政府采购合同专用条款】</w:t>
      </w:r>
      <w:r>
        <w:rPr>
          <w:rFonts w:hint="eastAsia" w:ascii="宋体" w:hAnsi="宋体" w:cs="宋体"/>
          <w:color w:val="auto"/>
          <w:sz w:val="24"/>
        </w:rPr>
        <w:t>中约定。</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12. 合同价款支付</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12.1 合同价款支付按照国库集中支付制度及财政管理相关规定执行。</w:t>
      </w:r>
    </w:p>
    <w:p>
      <w:pPr>
        <w:keepNext/>
        <w:keepLines/>
        <w:adjustRightInd/>
        <w:spacing w:line="360" w:lineRule="auto"/>
        <w:ind w:firstLine="480" w:firstLineChars="200"/>
        <w:rPr>
          <w:rFonts w:ascii="Arial" w:hAnsi="Arial"/>
          <w:b/>
          <w:bCs/>
          <w:color w:val="auto"/>
          <w:sz w:val="24"/>
        </w:rPr>
      </w:pPr>
      <w:r>
        <w:rPr>
          <w:rFonts w:hint="eastAsia" w:ascii="宋体" w:hAnsi="宋体"/>
          <w:color w:val="auto"/>
          <w:sz w:val="24"/>
        </w:rPr>
        <w:t>12.2 对于满足合同约定支付条件的，甲方原则上应当自收到发票后5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 w:val="24"/>
        </w:rPr>
        <w:t>政府采购合同专用条款</w:t>
      </w:r>
      <w:r>
        <w:rPr>
          <w:rFonts w:hint="eastAsia" w:ascii="宋体" w:hAnsi="宋体"/>
          <w:color w:val="auto"/>
          <w:sz w:val="24"/>
        </w:rPr>
        <w:t>】中约定。</w:t>
      </w:r>
    </w:p>
    <w:p>
      <w:pPr>
        <w:adjustRightInd/>
        <w:spacing w:line="360" w:lineRule="auto"/>
        <w:rPr>
          <w:rFonts w:ascii="宋体" w:hAnsi="宋体"/>
          <w:b/>
          <w:bCs/>
          <w:color w:val="auto"/>
          <w:sz w:val="24"/>
        </w:rPr>
      </w:pPr>
      <w:r>
        <w:rPr>
          <w:rFonts w:hint="eastAsia" w:ascii="宋体" w:hAnsi="宋体"/>
          <w:b/>
          <w:bCs/>
          <w:color w:val="auto"/>
          <w:sz w:val="24"/>
        </w:rPr>
        <w:t>13. 履约保证金</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13.1 </w:t>
      </w:r>
      <w:r>
        <w:rPr>
          <w:rFonts w:hint="eastAsia" w:ascii="宋体" w:hAnsi="宋体" w:cs="宋体"/>
          <w:color w:val="auto"/>
          <w:sz w:val="24"/>
        </w:rPr>
        <w:t>乙方应当以支票、汇票、本票或者金融机构、担保机构出具的保函等非现金形式提交。</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13.2 如果乙方出现</w:t>
      </w:r>
      <w:r>
        <w:rPr>
          <w:rFonts w:hint="eastAsia" w:ascii="宋体" w:hAnsi="宋体" w:cs="宋体"/>
          <w:b/>
          <w:bCs/>
          <w:color w:val="auto"/>
          <w:sz w:val="24"/>
        </w:rPr>
        <w:t>【政府采购合同专用条款】</w:t>
      </w:r>
      <w:r>
        <w:rPr>
          <w:rFonts w:hint="eastAsia" w:ascii="宋体" w:hAnsi="宋体" w:cs="宋体"/>
          <w:color w:val="auto"/>
          <w:sz w:val="24"/>
        </w:rPr>
        <w:t>约定情形的</w:t>
      </w:r>
      <w:r>
        <w:rPr>
          <w:rFonts w:hint="eastAsia" w:ascii="宋体" w:hAnsi="宋体"/>
          <w:color w:val="auto"/>
          <w:sz w:val="24"/>
        </w:rPr>
        <w:t>，履约保证金不予退还；如果乙方未能按合同约定全面履行义务，甲方有权从履约保证金中取得补偿或赔偿，且不影响甲方要求乙方承担合同约定的超过履约保证金的违约责任的权利。</w:t>
      </w:r>
    </w:p>
    <w:p>
      <w:pPr>
        <w:adjustRightInd/>
        <w:spacing w:line="360" w:lineRule="auto"/>
        <w:ind w:firstLine="420"/>
        <w:rPr>
          <w:color w:val="auto"/>
          <w:sz w:val="24"/>
        </w:rPr>
      </w:pPr>
      <w:r>
        <w:rPr>
          <w:rFonts w:hint="eastAsia" w:ascii="宋体" w:hAnsi="宋体"/>
          <w:color w:val="auto"/>
          <w:sz w:val="24"/>
        </w:rPr>
        <w:t>13.3 甲方在项目通过验收后按照</w:t>
      </w:r>
      <w:r>
        <w:rPr>
          <w:rFonts w:hint="eastAsia" w:ascii="宋体" w:hAnsi="宋体"/>
          <w:b/>
          <w:color w:val="auto"/>
          <w:sz w:val="24"/>
        </w:rPr>
        <w:t>【政府采购合同专用条款】</w:t>
      </w:r>
      <w:r>
        <w:rPr>
          <w:rFonts w:hint="eastAsia" w:ascii="宋体" w:hAnsi="宋体"/>
          <w:color w:val="auto"/>
          <w:sz w:val="24"/>
        </w:rPr>
        <w:t>规定的时间内将履约保证金退还乙方；逾期退还的，乙方可要求甲方支付违约金，违约金按照</w:t>
      </w:r>
      <w:r>
        <w:rPr>
          <w:rFonts w:hint="eastAsia" w:ascii="宋体" w:hAnsi="宋体"/>
          <w:b/>
          <w:color w:val="auto"/>
          <w:sz w:val="24"/>
        </w:rPr>
        <w:t>【政府采购合同专用条款】</w:t>
      </w:r>
      <w:r>
        <w:rPr>
          <w:rFonts w:hint="eastAsia" w:ascii="宋体" w:hAnsi="宋体"/>
          <w:color w:val="auto"/>
          <w:sz w:val="24"/>
        </w:rPr>
        <w:t>规定支付。</w:t>
      </w:r>
    </w:p>
    <w:p>
      <w:pPr>
        <w:autoSpaceDE w:val="0"/>
        <w:autoSpaceDN w:val="0"/>
        <w:snapToGrid w:val="0"/>
        <w:spacing w:line="360" w:lineRule="auto"/>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14.1 除项目不涉及或采购活动中明确约定无须承担外，乙方还应提供下列服务：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（1）货物的现场移动、安装、调试、启动监督及技术支持；</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（2）提供货物组装和维修所需的专用工具和辅助材料；</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（3）在</w:t>
      </w:r>
      <w:r>
        <w:rPr>
          <w:rFonts w:hint="eastAsia" w:ascii="宋体" w:hAnsi="宋体" w:cs="宋体"/>
          <w:b/>
          <w:bCs/>
          <w:color w:val="auto"/>
          <w:sz w:val="24"/>
        </w:rPr>
        <w:t>【政府采购合同专用条款】</w:t>
      </w:r>
      <w:r>
        <w:rPr>
          <w:rFonts w:hint="eastAsia" w:ascii="宋体" w:hAnsi="宋体"/>
          <w:color w:val="auto"/>
          <w:sz w:val="24"/>
        </w:rPr>
        <w:t>约定的期限内对所有的货物实施运行监督、维修，但前提条件是该服务并不能免除乙方在质量保证期内所承担的义务；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（4）在制造商所在地或指定现场就货物的安装、启动、运营、维护、废弃处置等对甲方操作人员进行培训</w:t>
      </w:r>
      <w:r>
        <w:rPr>
          <w:rFonts w:hint="eastAsia" w:ascii="宋体" w:hAnsi="宋体" w:cs="宋体"/>
          <w:color w:val="auto"/>
          <w:sz w:val="24"/>
        </w:rPr>
        <w:t>；</w:t>
      </w:r>
    </w:p>
    <w:p>
      <w:pPr>
        <w:widowControl/>
        <w:autoSpaceDE w:val="0"/>
        <w:autoSpaceDN w:val="0"/>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（5）依照法律、行政法规的规定或者按照</w:t>
      </w:r>
      <w:r>
        <w:rPr>
          <w:rFonts w:hint="eastAsia" w:ascii="宋体" w:hAnsi="宋体" w:cs="宋体"/>
          <w:b/>
          <w:bCs/>
          <w:color w:val="auto"/>
          <w:kern w:val="0"/>
          <w:sz w:val="24"/>
        </w:rPr>
        <w:t>【政府采购合同专用条款】</w:t>
      </w:r>
      <w:r>
        <w:rPr>
          <w:rFonts w:hint="eastAsia" w:ascii="宋体" w:hAnsi="宋体" w:cs="宋体"/>
          <w:color w:val="auto"/>
          <w:kern w:val="0"/>
          <w:sz w:val="24"/>
        </w:rPr>
        <w:t>约定，货物在有效使用年限届满后应予回收的，乙方负有自行或者委托第三人对货物予以回收的义务；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（6）</w:t>
      </w:r>
      <w:r>
        <w:rPr>
          <w:rFonts w:hint="eastAsia" w:ascii="宋体" w:hAnsi="宋体"/>
          <w:b/>
          <w:color w:val="auto"/>
          <w:sz w:val="24"/>
        </w:rPr>
        <w:t>【政府采购合同专用条款】</w:t>
      </w:r>
      <w:r>
        <w:rPr>
          <w:rFonts w:hint="eastAsia" w:ascii="宋体" w:hAnsi="宋体"/>
          <w:color w:val="auto"/>
          <w:sz w:val="24"/>
        </w:rPr>
        <w:t>规定由乙方提供的其他服务。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14.2 乙方提供的售后服务的费用已包含在合同价款中，甲方不再另行支付。</w:t>
      </w:r>
    </w:p>
    <w:p>
      <w:pPr>
        <w:snapToGrid w:val="0"/>
        <w:spacing w:line="360" w:lineRule="auto"/>
        <w:jc w:val="left"/>
        <w:rPr>
          <w:rFonts w:ascii="宋体" w:hAnsi="宋体"/>
          <w:b/>
          <w:bCs/>
          <w:color w:val="auto"/>
          <w:sz w:val="24"/>
        </w:rPr>
      </w:pPr>
      <w:r>
        <w:rPr>
          <w:rFonts w:hint="eastAsia" w:ascii="宋体" w:hAnsi="宋体"/>
          <w:b/>
          <w:bCs/>
          <w:color w:val="auto"/>
          <w:sz w:val="24"/>
        </w:rPr>
        <w:t>15. 违约责任</w:t>
      </w:r>
    </w:p>
    <w:p>
      <w:pPr>
        <w:snapToGrid w:val="0"/>
        <w:spacing w:line="360" w:lineRule="auto"/>
        <w:ind w:firstLine="480" w:firstLineChars="200"/>
        <w:jc w:val="left"/>
        <w:rPr>
          <w:rFonts w:ascii="宋体" w:hAnsi="宋体"/>
          <w:bCs/>
          <w:color w:val="auto"/>
          <w:sz w:val="24"/>
        </w:rPr>
      </w:pPr>
      <w:r>
        <w:rPr>
          <w:rFonts w:hint="eastAsia" w:ascii="宋体" w:hAnsi="宋体"/>
          <w:bCs/>
          <w:color w:val="auto"/>
          <w:sz w:val="24"/>
        </w:rPr>
        <w:t>15.1质量瑕疵的违约责任</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乙方提供的产品不符合合同约定的质量标准或存在产品质量缺陷，甲方有权要求乙方根据</w:t>
      </w:r>
      <w:r>
        <w:rPr>
          <w:rFonts w:hint="eastAsia" w:ascii="宋体" w:hAnsi="宋体"/>
          <w:b/>
          <w:color w:val="auto"/>
          <w:sz w:val="24"/>
        </w:rPr>
        <w:t>【政府采购合同专用条款】</w:t>
      </w:r>
      <w:r>
        <w:rPr>
          <w:rFonts w:hint="eastAsia" w:ascii="宋体" w:hAnsi="宋体"/>
          <w:bCs/>
          <w:color w:val="auto"/>
          <w:sz w:val="24"/>
        </w:rPr>
        <w:t>要求</w:t>
      </w:r>
      <w:r>
        <w:rPr>
          <w:rFonts w:hint="eastAsia" w:ascii="宋体" w:hAnsi="宋体"/>
          <w:color w:val="auto"/>
          <w:sz w:val="24"/>
        </w:rPr>
        <w:t>及时修理、重作、更换，并承担由此给甲方造成的损失。</w:t>
      </w:r>
    </w:p>
    <w:p>
      <w:pPr>
        <w:autoSpaceDE w:val="0"/>
        <w:autoSpaceDN w:val="0"/>
        <w:snapToGrid w:val="0"/>
        <w:spacing w:line="360" w:lineRule="auto"/>
        <w:ind w:firstLine="480" w:firstLineChars="200"/>
        <w:jc w:val="left"/>
        <w:rPr>
          <w:rFonts w:ascii="宋体" w:hAnsi="宋体"/>
          <w:bCs/>
          <w:color w:val="auto"/>
          <w:sz w:val="24"/>
        </w:rPr>
      </w:pPr>
      <w:r>
        <w:rPr>
          <w:rFonts w:hint="eastAsia" w:ascii="宋体" w:hAnsi="宋体"/>
          <w:bCs/>
          <w:color w:val="auto"/>
          <w:sz w:val="24"/>
        </w:rPr>
        <w:t>15.2 迟延交货的违约责任</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（2）如果乙方没有按照合同规定的时间交货和提供相关服务，甲方有权从货款中扣除误期赔偿费而不影响合同项下的其他补救方法，赔偿费按</w:t>
      </w:r>
      <w:r>
        <w:rPr>
          <w:rFonts w:hint="eastAsia" w:ascii="宋体" w:hAnsi="宋体"/>
          <w:b/>
          <w:color w:val="auto"/>
          <w:sz w:val="24"/>
        </w:rPr>
        <w:t>【政府采购合同专用条款】</w:t>
      </w:r>
      <w:r>
        <w:rPr>
          <w:rFonts w:hint="eastAsia" w:ascii="宋体" w:hAnsi="宋体"/>
          <w:color w:val="auto"/>
          <w:sz w:val="24"/>
        </w:rPr>
        <w:t>规定执行。如果涉及公共利益，且赔偿金额无法弥补公共利益损失，甲方可要求继续履行或者采取其他补救措施。</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15.3 迟延支付的违约责任</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甲方存在迟延支付乙方合同款项的，应当承担</w:t>
      </w:r>
      <w:r>
        <w:rPr>
          <w:rFonts w:hint="eastAsia" w:ascii="宋体" w:hAnsi="宋体"/>
          <w:b/>
          <w:bCs/>
          <w:color w:val="auto"/>
          <w:sz w:val="24"/>
        </w:rPr>
        <w:t>【政府采购合同专用条款】</w:t>
      </w:r>
      <w:r>
        <w:rPr>
          <w:rFonts w:hint="eastAsia" w:ascii="宋体" w:hAnsi="宋体"/>
          <w:color w:val="auto"/>
          <w:sz w:val="24"/>
        </w:rPr>
        <w:t>规定的逾期付款利息。</w:t>
      </w:r>
    </w:p>
    <w:p>
      <w:pPr>
        <w:snapToGrid w:val="0"/>
        <w:spacing w:line="360" w:lineRule="auto"/>
        <w:ind w:firstLine="480" w:firstLineChars="200"/>
        <w:jc w:val="left"/>
        <w:rPr>
          <w:rFonts w:ascii="宋体" w:hAnsi="宋体"/>
          <w:color w:val="auto"/>
          <w:sz w:val="24"/>
        </w:rPr>
      </w:pPr>
      <w:r>
        <w:rPr>
          <w:rFonts w:hint="eastAsia" w:ascii="宋体" w:hAnsi="宋体"/>
          <w:bCs/>
          <w:color w:val="auto"/>
          <w:sz w:val="24"/>
        </w:rPr>
        <w:t>15.4其他违约责任根据项目实际需要按</w:t>
      </w:r>
      <w:r>
        <w:rPr>
          <w:rFonts w:hint="eastAsia" w:ascii="宋体" w:hAnsi="宋体"/>
          <w:b/>
          <w:bCs/>
          <w:color w:val="auto"/>
          <w:sz w:val="24"/>
        </w:rPr>
        <w:t>【政府采购合同专用条款】</w:t>
      </w:r>
      <w:r>
        <w:rPr>
          <w:rFonts w:hint="eastAsia" w:ascii="宋体" w:hAnsi="宋体"/>
          <w:color w:val="auto"/>
          <w:sz w:val="24"/>
        </w:rPr>
        <w:t>规定执行。</w:t>
      </w:r>
    </w:p>
    <w:p>
      <w:pPr>
        <w:snapToGrid w:val="0"/>
        <w:spacing w:line="360" w:lineRule="auto"/>
        <w:jc w:val="left"/>
        <w:rPr>
          <w:rFonts w:ascii="宋体" w:hAnsi="宋体"/>
          <w:b/>
          <w:bCs/>
          <w:color w:val="auto"/>
          <w:sz w:val="24"/>
        </w:rPr>
      </w:pPr>
      <w:r>
        <w:rPr>
          <w:rFonts w:hint="eastAsia" w:ascii="宋体" w:hAnsi="宋体"/>
          <w:b/>
          <w:bCs/>
          <w:color w:val="auto"/>
          <w:sz w:val="24"/>
        </w:rPr>
        <w:t>16. 合同变更、中止与终止</w:t>
      </w:r>
    </w:p>
    <w:p>
      <w:pPr>
        <w:snapToGrid w:val="0"/>
        <w:spacing w:line="360" w:lineRule="auto"/>
        <w:jc w:val="left"/>
        <w:rPr>
          <w:rFonts w:ascii="宋体" w:hAnsi="宋体"/>
          <w:color w:val="auto"/>
          <w:sz w:val="24"/>
        </w:rPr>
      </w:pPr>
      <w:r>
        <w:rPr>
          <w:rFonts w:hint="eastAsia" w:ascii="宋体" w:hAnsi="宋体"/>
          <w:color w:val="auto"/>
          <w:sz w:val="24"/>
        </w:rPr>
        <w:t xml:space="preserve">    16.1合同的变更</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政府采购合同履行中，在不改变合同其他条款的前提下，甲方可以在合同价款10%的范围内追加与合同标的相同的货物，并就此与乙方协商一致后签订补充协议。</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16.2合同的中止</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（1）合同履行过程中因供应商就采购文件、采购过程或结果提起投诉的，甲方认为有必要的，可以中止合同的履行。</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autoSpaceDE w:val="0"/>
        <w:autoSpaceDN w:val="0"/>
        <w:spacing w:line="360" w:lineRule="auto"/>
        <w:ind w:firstLine="480" w:firstLineChars="200"/>
        <w:rPr>
          <w:rFonts w:ascii="华文楷体" w:hAnsi="华文楷体" w:eastAsia="华文楷体" w:cs="华文楷体"/>
          <w:color w:val="auto"/>
          <w:kern w:val="0"/>
          <w:sz w:val="24"/>
        </w:rPr>
      </w:pPr>
      <w:r>
        <w:rPr>
          <w:rFonts w:hint="eastAsia" w:ascii="宋体" w:hAnsi="宋体" w:cs="宋体"/>
          <w:color w:val="auto"/>
          <w:kern w:val="0"/>
          <w:sz w:val="24"/>
        </w:rPr>
        <w:t>（3）乙方分立、合并或者变更住所的，应当及时以书面形式告知甲方。乙方没有及时告知甲方，致使合同履行发生困难的，甲方可以中止合同履行并要求乙方承担由此给甲方造成的损失。</w:t>
      </w:r>
    </w:p>
    <w:p>
      <w:pPr>
        <w:adjustRightInd/>
        <w:snapToGrid w:val="0"/>
        <w:spacing w:line="360" w:lineRule="auto"/>
        <w:ind w:firstLine="480" w:firstLineChars="200"/>
        <w:jc w:val="left"/>
        <w:rPr>
          <w:color w:val="auto"/>
          <w:sz w:val="24"/>
        </w:rPr>
      </w:pPr>
      <w:r>
        <w:rPr>
          <w:rFonts w:hint="eastAsia" w:ascii="宋体" w:hAnsi="宋体"/>
          <w:color w:val="auto"/>
          <w:sz w:val="24"/>
        </w:rPr>
        <w:t>（4）甲方不得以行政区划调整、政府换届、机构或者职能调整以及相关责任人更替为由中止合同。</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16.3合同的终止</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（1）合同因有效期限届满而终止；</w:t>
      </w:r>
    </w:p>
    <w:p>
      <w:pPr>
        <w:adjustRightInd/>
        <w:snapToGrid w:val="0"/>
        <w:spacing w:line="360" w:lineRule="auto"/>
        <w:ind w:firstLine="480" w:firstLineChars="200"/>
        <w:rPr>
          <w:rFonts w:ascii="宋体" w:hAnsi="宋体" w:cs="宋体"/>
          <w:color w:val="auto"/>
          <w:sz w:val="24"/>
        </w:rPr>
      </w:pPr>
      <w:r>
        <w:rPr>
          <w:rFonts w:hint="eastAsia" w:ascii="宋体" w:hAnsi="宋体"/>
          <w:color w:val="auto"/>
          <w:sz w:val="24"/>
        </w:rPr>
        <w:t>（2）乙方未按合同约定履行，构成根本性违约的，甲方有权终止合同，</w:t>
      </w:r>
      <w:r>
        <w:rPr>
          <w:rFonts w:hint="eastAsia" w:ascii="宋体" w:hAnsi="宋体" w:cs="宋体"/>
          <w:color w:val="auto"/>
          <w:sz w:val="24"/>
        </w:rPr>
        <w:t>并追究乙方的违约责任</w:t>
      </w:r>
      <w:r>
        <w:rPr>
          <w:rFonts w:hint="eastAsia" w:ascii="宋体" w:hAnsi="宋体"/>
          <w:color w:val="auto"/>
          <w:sz w:val="24"/>
        </w:rPr>
        <w:t>。</w:t>
      </w:r>
    </w:p>
    <w:p>
      <w:pPr>
        <w:widowControl/>
        <w:autoSpaceDE w:val="0"/>
        <w:autoSpaceDN w:val="0"/>
        <w:spacing w:line="360" w:lineRule="auto"/>
        <w:ind w:firstLine="480" w:firstLineChars="200"/>
        <w:jc w:val="left"/>
        <w:rPr>
          <w:rFonts w:ascii="宋体" w:hAnsi="宋体" w:eastAsia="华文楷体" w:cs="华文楷体"/>
          <w:color w:val="auto"/>
          <w:kern w:val="0"/>
          <w:sz w:val="24"/>
        </w:rPr>
      </w:pPr>
      <w:r>
        <w:rPr>
          <w:rFonts w:hint="eastAsia" w:ascii="宋体" w:hAnsi="宋体" w:eastAsia="华文楷体" w:cs="华文楷体"/>
          <w:color w:val="auto"/>
          <w:kern w:val="0"/>
          <w:sz w:val="24"/>
        </w:rPr>
        <w:t xml:space="preserve">16.4 </w:t>
      </w:r>
      <w:r>
        <w:rPr>
          <w:rFonts w:hint="eastAsia" w:ascii="宋体" w:hAnsi="宋体"/>
          <w:color w:val="auto"/>
          <w:sz w:val="24"/>
        </w:rPr>
        <w:t>涉及国家利益、社会公共利益的情形</w:t>
      </w:r>
    </w:p>
    <w:p>
      <w:pPr>
        <w:widowControl/>
        <w:autoSpaceDE w:val="0"/>
        <w:autoSpaceDN w:val="0"/>
        <w:spacing w:line="360" w:lineRule="auto"/>
        <w:ind w:firstLine="480" w:firstLineChars="200"/>
        <w:rPr>
          <w:rFonts w:ascii="华文楷体" w:hAnsi="华文楷体" w:eastAsia="华文楷体" w:cs="华文楷体"/>
          <w:color w:val="auto"/>
          <w:kern w:val="0"/>
          <w:sz w:val="24"/>
        </w:rPr>
      </w:pPr>
      <w:r>
        <w:rPr>
          <w:rFonts w:hint="eastAsia" w:ascii="宋体" w:hAnsi="宋体" w:cs="宋体"/>
          <w:color w:val="auto"/>
          <w:kern w:val="0"/>
          <w:sz w:val="24"/>
        </w:rPr>
        <w:t>政府采购合同继续履行将损害国家利益和社会公共利益的，双方当事人应当变更、中止或者终止合同。有过错的一方应当承担赔偿责任，双方都有过错的，各自承担相应的责任。</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17. 合同分包</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17.1 乙方不得将合同转包给其他供应商。涉及合同分包的，乙方应根据采购文件和投标（响应）文件规定进行合同分包。</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17.2 乙方执行政府采购政策向中小企业依法分包的，乙方应当按采购文件和投标（响应）文件签订分包意向协议，分包意向协议属于本合同组成部分。</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18. 不可抗力</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18.1 不可抗力是指合同双方不能预见、不能避免且不能克服的客观情况。</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18.2 任何一方对由于不可抗力造成的部分或全部不能履行合同不承担违约责任。但迟延履行后发生不可抗力的，不能免除责任。</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autoSpaceDE w:val="0"/>
        <w:autoSpaceDN w:val="0"/>
        <w:snapToGrid w:val="0"/>
        <w:spacing w:line="360" w:lineRule="auto"/>
        <w:jc w:val="left"/>
        <w:rPr>
          <w:rFonts w:ascii="宋体" w:hAnsi="宋体"/>
          <w:b/>
          <w:bCs/>
          <w:color w:val="auto"/>
          <w:sz w:val="24"/>
        </w:rPr>
      </w:pPr>
      <w:r>
        <w:rPr>
          <w:rFonts w:hint="eastAsia" w:ascii="宋体" w:hAnsi="宋体"/>
          <w:b/>
          <w:bCs/>
          <w:color w:val="auto"/>
          <w:sz w:val="24"/>
        </w:rPr>
        <w:t>19. 解决争议的方法</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19.1 因本合同及合同有关事项发生的争议，由甲乙双方友好协商解决。协商不成时，可以向有关组织申请调解。合同一方或双方不愿调解或调解不成的，可以通过仲裁或诉讼的方式解决争议。</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19.2 选择仲裁的，应在</w:t>
      </w:r>
      <w:r>
        <w:rPr>
          <w:rFonts w:hint="eastAsia" w:ascii="宋体" w:hAnsi="宋体" w:cs="宋体"/>
          <w:b/>
          <w:bCs/>
          <w:color w:val="auto"/>
          <w:kern w:val="0"/>
          <w:sz w:val="24"/>
        </w:rPr>
        <w:t>【政府采购合同专用条款】</w:t>
      </w:r>
      <w:r>
        <w:rPr>
          <w:rFonts w:hint="eastAsia" w:ascii="宋体" w:hAnsi="宋体" w:cs="宋体"/>
          <w:color w:val="auto"/>
          <w:kern w:val="0"/>
          <w:sz w:val="24"/>
        </w:rPr>
        <w:t>中明确仲裁机构及仲裁地；通过诉讼方式解决的，可以在</w:t>
      </w:r>
      <w:r>
        <w:rPr>
          <w:rFonts w:hint="eastAsia" w:ascii="宋体" w:hAnsi="宋体" w:cs="宋体"/>
          <w:b/>
          <w:bCs/>
          <w:color w:val="auto"/>
          <w:kern w:val="0"/>
          <w:sz w:val="24"/>
        </w:rPr>
        <w:t>【政府采购合同专用条款】</w:t>
      </w:r>
      <w:r>
        <w:rPr>
          <w:rFonts w:hint="eastAsia" w:ascii="宋体" w:hAnsi="宋体" w:cs="宋体"/>
          <w:color w:val="auto"/>
          <w:kern w:val="0"/>
          <w:sz w:val="24"/>
        </w:rPr>
        <w:t>中进一步约定选择与争议有实际联系的地点的人民法院管辖，但管辖法院的约定不得违反级别管辖和专属管辖的规定。</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19.3 如甲乙双方有争议的事项不影响合同其他部分的履行，在争议解决期间，合同其他部分应当继续履行。</w:t>
      </w:r>
    </w:p>
    <w:p>
      <w:pPr>
        <w:autoSpaceDE w:val="0"/>
        <w:autoSpaceDN w:val="0"/>
        <w:snapToGrid w:val="0"/>
        <w:spacing w:line="360" w:lineRule="auto"/>
        <w:jc w:val="left"/>
        <w:rPr>
          <w:rFonts w:ascii="宋体" w:hAnsi="宋体"/>
          <w:color w:val="auto"/>
          <w:sz w:val="24"/>
        </w:rPr>
      </w:pPr>
      <w:r>
        <w:rPr>
          <w:rFonts w:hint="eastAsia" w:ascii="宋体" w:hAnsi="宋体"/>
          <w:b/>
          <w:color w:val="auto"/>
          <w:sz w:val="24"/>
        </w:rPr>
        <w:t>20. 政府采购政策</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 xml:space="preserve">20.1 </w:t>
      </w:r>
      <w:r>
        <w:rPr>
          <w:rFonts w:hint="eastAsia" w:ascii="宋体" w:hAnsi="宋体" w:cs="宋体"/>
          <w:color w:val="auto"/>
          <w:sz w:val="24"/>
          <w:lang w:val="en-GB"/>
        </w:rPr>
        <w:t>本合同应当按照规定执行政府采购政策。</w:t>
      </w:r>
    </w:p>
    <w:p>
      <w:pPr>
        <w:autoSpaceDE w:val="0"/>
        <w:autoSpaceDN w:val="0"/>
        <w:snapToGrid w:val="0"/>
        <w:spacing w:line="360" w:lineRule="auto"/>
        <w:ind w:firstLine="480" w:firstLineChars="200"/>
        <w:jc w:val="left"/>
        <w:rPr>
          <w:rFonts w:ascii="宋体" w:hAnsi="宋体"/>
          <w:color w:val="auto"/>
          <w:sz w:val="24"/>
        </w:rPr>
      </w:pPr>
      <w:r>
        <w:rPr>
          <w:rFonts w:hint="eastAsia" w:ascii="宋体" w:hAnsi="宋体"/>
          <w:color w:val="auto"/>
          <w:sz w:val="24"/>
        </w:rPr>
        <w:t>20.2 本合同依法执行政府采购政策的方式和内容，属于合同履约验收的范围。</w:t>
      </w:r>
      <w:r>
        <w:rPr>
          <w:rFonts w:hint="eastAsia" w:ascii="宋体" w:hAnsi="宋体" w:cs="宋体"/>
          <w:color w:val="auto"/>
          <w:sz w:val="24"/>
        </w:rPr>
        <w:t>甲乙双方</w:t>
      </w:r>
      <w:r>
        <w:rPr>
          <w:rFonts w:hint="eastAsia" w:ascii="宋体" w:hAnsi="宋体" w:cs="宋体"/>
          <w:color w:val="auto"/>
          <w:sz w:val="24"/>
          <w:lang w:val="en-GB"/>
        </w:rPr>
        <w:t>未按规定要求执行政府采购政策造成损失的</w:t>
      </w:r>
      <w:r>
        <w:rPr>
          <w:rFonts w:hint="eastAsia" w:ascii="宋体" w:hAnsi="宋体"/>
          <w:color w:val="auto"/>
          <w:sz w:val="24"/>
        </w:rPr>
        <w:t>，有过错的一方应当承担赔偿责任，双方都有过错的，各自承担相应的责任。</w:t>
      </w:r>
    </w:p>
    <w:p>
      <w:pPr>
        <w:adjustRightInd/>
        <w:spacing w:line="360" w:lineRule="auto"/>
        <w:ind w:firstLine="480" w:firstLineChars="200"/>
        <w:rPr>
          <w:rFonts w:ascii="Calibri" w:hAnsi="Calibri"/>
          <w:color w:val="auto"/>
          <w:sz w:val="24"/>
        </w:rPr>
      </w:pPr>
      <w:r>
        <w:rPr>
          <w:rFonts w:hint="eastAsia" w:ascii="宋体" w:hAnsi="宋体"/>
          <w:color w:val="auto"/>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autoSpaceDE w:val="0"/>
        <w:autoSpaceDN w:val="0"/>
        <w:snapToGrid w:val="0"/>
        <w:spacing w:line="360" w:lineRule="auto"/>
        <w:jc w:val="left"/>
        <w:rPr>
          <w:rFonts w:ascii="宋体" w:hAnsi="宋体"/>
          <w:b/>
          <w:color w:val="auto"/>
          <w:sz w:val="24"/>
        </w:rPr>
      </w:pPr>
      <w:r>
        <w:rPr>
          <w:rFonts w:hint="eastAsia" w:ascii="宋体" w:hAnsi="宋体"/>
          <w:b/>
          <w:color w:val="auto"/>
          <w:sz w:val="24"/>
        </w:rPr>
        <w:t>21. 法律适用</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21.1 本合同的订立、生效、解释、履行及与本合同有关的争议解决，均适用法律、行政法规。</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21.2 本合同条款与法律、行政法规的强制性规定不一致的，双方当事人应按照法律、行政法规的强制性规定修改本合同的相关条款。</w:t>
      </w:r>
    </w:p>
    <w:p>
      <w:pPr>
        <w:autoSpaceDE w:val="0"/>
        <w:autoSpaceDN w:val="0"/>
        <w:snapToGrid w:val="0"/>
        <w:spacing w:line="360" w:lineRule="auto"/>
        <w:jc w:val="left"/>
        <w:rPr>
          <w:rFonts w:ascii="宋体" w:hAnsi="宋体"/>
          <w:b/>
          <w:color w:val="auto"/>
          <w:sz w:val="24"/>
        </w:rPr>
      </w:pPr>
      <w:r>
        <w:rPr>
          <w:rFonts w:hint="eastAsia" w:ascii="宋体" w:hAnsi="宋体"/>
          <w:b/>
          <w:color w:val="auto"/>
          <w:sz w:val="24"/>
        </w:rPr>
        <w:t>22. 通知</w:t>
      </w:r>
    </w:p>
    <w:p>
      <w:pPr>
        <w:widowControl/>
        <w:autoSpaceDE w:val="0"/>
        <w:autoSpaceDN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22.1 本合同任何一方向对方发出的通知、信件、数据电文等，应当发送至本合同第一部分《政府采购合同协议书》所约定的通讯地址、联系人、联系电话或电子邮箱。</w:t>
      </w:r>
    </w:p>
    <w:p>
      <w:pPr>
        <w:widowControl/>
        <w:autoSpaceDE w:val="0"/>
        <w:autoSpaceDN w:val="0"/>
        <w:spacing w:line="360" w:lineRule="auto"/>
        <w:rPr>
          <w:rFonts w:ascii="华文楷体" w:hAnsi="华文楷体" w:eastAsia="华文楷体" w:cs="华文楷体"/>
          <w:color w:val="auto"/>
          <w:kern w:val="0"/>
          <w:sz w:val="24"/>
        </w:rPr>
      </w:pPr>
      <w:r>
        <w:rPr>
          <w:rFonts w:hint="eastAsia" w:ascii="宋体" w:hAnsi="宋体" w:cs="宋体"/>
          <w:color w:val="auto"/>
          <w:kern w:val="0"/>
          <w:sz w:val="24"/>
        </w:rPr>
        <w:t xml:space="preserve">    22.2 一方当事人变更名称、住所、联系人、联系电话或电子邮箱等信息的，应当在变更后3日内及时书面通知对方，对方实际收到变更通知前的送达仍为有效送达。</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22.3本合同一方给另一方的通知均应采用书面形式，传真或快递送到本合同中规定的对方的地址和办理签收手续。</w:t>
      </w:r>
    </w:p>
    <w:p>
      <w:pPr>
        <w:snapToGrid w:val="0"/>
        <w:spacing w:line="360" w:lineRule="auto"/>
        <w:ind w:firstLine="480" w:firstLineChars="200"/>
        <w:jc w:val="left"/>
        <w:rPr>
          <w:rFonts w:ascii="宋体" w:hAnsi="宋体"/>
          <w:color w:val="auto"/>
          <w:sz w:val="24"/>
        </w:rPr>
      </w:pPr>
      <w:r>
        <w:rPr>
          <w:rFonts w:hint="eastAsia" w:ascii="宋体" w:hAnsi="宋体"/>
          <w:color w:val="auto"/>
          <w:sz w:val="24"/>
        </w:rPr>
        <w:t>22.4通知以送达之日或通知书中规定的生效之日起生效，两者中以较迟之日为准。</w:t>
      </w:r>
    </w:p>
    <w:p>
      <w:pPr>
        <w:autoSpaceDE w:val="0"/>
        <w:autoSpaceDN w:val="0"/>
        <w:snapToGrid w:val="0"/>
        <w:spacing w:line="360" w:lineRule="auto"/>
        <w:jc w:val="left"/>
        <w:rPr>
          <w:rFonts w:ascii="宋体" w:hAnsi="宋体"/>
          <w:b/>
          <w:color w:val="auto"/>
          <w:sz w:val="24"/>
        </w:rPr>
      </w:pPr>
      <w:r>
        <w:rPr>
          <w:rFonts w:hint="eastAsia" w:ascii="宋体" w:hAnsi="宋体"/>
          <w:b/>
          <w:color w:val="auto"/>
          <w:sz w:val="24"/>
        </w:rPr>
        <w:t>23. 合同未尽事项</w:t>
      </w:r>
    </w:p>
    <w:p>
      <w:pPr>
        <w:snapToGrid w:val="0"/>
        <w:spacing w:line="360" w:lineRule="auto"/>
        <w:ind w:firstLine="480" w:firstLineChars="200"/>
        <w:jc w:val="left"/>
        <w:rPr>
          <w:rFonts w:ascii="宋体" w:hAnsi="宋体"/>
          <w:bCs/>
          <w:color w:val="auto"/>
          <w:sz w:val="24"/>
        </w:rPr>
      </w:pPr>
      <w:r>
        <w:rPr>
          <w:rFonts w:hint="eastAsia" w:ascii="宋体" w:hAnsi="宋体"/>
          <w:bCs/>
          <w:color w:val="auto"/>
          <w:sz w:val="24"/>
        </w:rPr>
        <w:t>23.1合同未尽事项见</w:t>
      </w:r>
      <w:r>
        <w:rPr>
          <w:rFonts w:hint="eastAsia" w:ascii="宋体" w:hAnsi="宋体"/>
          <w:b/>
          <w:color w:val="auto"/>
          <w:sz w:val="24"/>
        </w:rPr>
        <w:t>【政府采购合同专用条款】</w:t>
      </w:r>
      <w:r>
        <w:rPr>
          <w:rFonts w:hint="eastAsia" w:ascii="宋体" w:hAnsi="宋体"/>
          <w:bCs/>
          <w:color w:val="auto"/>
          <w:sz w:val="24"/>
        </w:rPr>
        <w:t>。</w:t>
      </w:r>
    </w:p>
    <w:p>
      <w:pPr>
        <w:snapToGrid w:val="0"/>
        <w:spacing w:line="360" w:lineRule="auto"/>
        <w:jc w:val="left"/>
        <w:rPr>
          <w:rFonts w:ascii="黑体" w:hAnsi="华文中宋" w:eastAsia="黑体"/>
          <w:color w:val="auto"/>
          <w:sz w:val="24"/>
        </w:rPr>
      </w:pPr>
      <w:r>
        <w:rPr>
          <w:rFonts w:hint="eastAsia" w:ascii="宋体" w:hAnsi="宋体"/>
          <w:bCs/>
          <w:color w:val="auto"/>
          <w:sz w:val="24"/>
        </w:rPr>
        <w:t xml:space="preserve">    23.2 合同附件与合同正文具有同等的法律效力。</w:t>
      </w:r>
      <w:bookmarkStart w:id="102" w:name="_Toc20313"/>
      <w:r>
        <w:rPr>
          <w:rFonts w:hint="eastAsia" w:ascii="黑体" w:hAnsi="华文中宋" w:eastAsia="黑体"/>
          <w:color w:val="auto"/>
          <w:sz w:val="24"/>
        </w:rPr>
        <w:br w:type="page"/>
      </w:r>
    </w:p>
    <w:p>
      <w:pPr>
        <w:keepNext/>
        <w:keepLines/>
        <w:snapToGrid w:val="0"/>
        <w:spacing w:line="360" w:lineRule="auto"/>
        <w:jc w:val="center"/>
        <w:outlineLvl w:val="1"/>
        <w:rPr>
          <w:rFonts w:ascii="黑体" w:hAnsi="华文中宋" w:eastAsia="黑体"/>
          <w:color w:val="auto"/>
          <w:sz w:val="24"/>
        </w:rPr>
      </w:pPr>
      <w:r>
        <w:rPr>
          <w:rFonts w:hint="eastAsia" w:ascii="黑体" w:hAnsi="华文中宋" w:eastAsia="黑体"/>
          <w:color w:val="auto"/>
          <w:sz w:val="24"/>
        </w:rPr>
        <w:t>第三节 政府采购合同专用条款</w:t>
      </w:r>
      <w:bookmarkEnd w:id="102"/>
    </w:p>
    <w:tbl>
      <w:tblPr>
        <w:tblStyle w:val="60"/>
        <w:tblW w:w="852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double" w:color="auto" w:sz="4"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第1.2（6）项</w:t>
            </w:r>
          </w:p>
        </w:tc>
        <w:tc>
          <w:tcPr>
            <w:tcW w:w="1742" w:type="dxa"/>
            <w:tcBorders>
              <w:top w:val="double" w:color="auto" w:sz="4"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联合体具体要求</w:t>
            </w:r>
          </w:p>
        </w:tc>
        <w:tc>
          <w:tcPr>
            <w:tcW w:w="5170" w:type="dxa"/>
            <w:tcBorders>
              <w:top w:val="double" w:color="auto" w:sz="4"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第1.2（7）项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其他术语解释</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第4.4款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履约验收中甲方提出异议或作出说明的期限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第4.6款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约定甲方承担的其他义务和责任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adjustRightInd/>
              <w:snapToGrid w:val="0"/>
              <w:spacing w:line="360" w:lineRule="auto"/>
              <w:jc w:val="center"/>
              <w:rPr>
                <w:rFonts w:ascii="Calibri" w:hAnsi="Calibri"/>
                <w:color w:val="auto"/>
                <w:sz w:val="24"/>
              </w:rPr>
            </w:pPr>
            <w:r>
              <w:rPr>
                <w:rFonts w:hint="eastAsia" w:ascii="宋体" w:hAnsi="宋体"/>
                <w:color w:val="auto"/>
                <w:sz w:val="24"/>
              </w:rPr>
              <w:t>第5.4款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约定乙方承担的其他义务和责任</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adjustRightInd/>
              <w:snapToGrid w:val="0"/>
              <w:spacing w:line="360" w:lineRule="auto"/>
              <w:jc w:val="center"/>
              <w:rPr>
                <w:rFonts w:ascii="宋体" w:hAnsi="宋体"/>
                <w:color w:val="auto"/>
                <w:sz w:val="24"/>
              </w:rPr>
            </w:pPr>
            <w:r>
              <w:rPr>
                <w:rFonts w:hint="eastAsia" w:ascii="宋体" w:hAnsi="宋体"/>
                <w:color w:val="auto"/>
                <w:sz w:val="24"/>
              </w:rPr>
              <w:t>第6.1款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履行合同义务的顺序</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restart"/>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第7.1款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包装特殊要求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vMerge w:val="continue"/>
            <w:tcBorders>
              <w:top w:val="single" w:color="auto" w:sz="6" w:space="0"/>
              <w:left w:val="double" w:color="auto" w:sz="4" w:space="0"/>
              <w:bottom w:val="single" w:color="auto" w:sz="6" w:space="0"/>
              <w:right w:val="single" w:color="auto" w:sz="6" w:space="0"/>
            </w:tcBorders>
            <w:vAlign w:val="center"/>
          </w:tcPr>
          <w:p>
            <w:pPr>
              <w:widowControl/>
              <w:adjustRightInd/>
              <w:spacing w:line="360" w:lineRule="auto"/>
              <w:jc w:val="left"/>
              <w:rPr>
                <w:rFonts w:ascii="宋体" w:hAnsi="宋体"/>
                <w:color w:val="auto"/>
                <w:sz w:val="24"/>
              </w:rPr>
            </w:pP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指定现场</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2"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第7.2款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运输特殊要求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66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第7.3款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保险要求</w:t>
            </w:r>
          </w:p>
        </w:tc>
        <w:tc>
          <w:tcPr>
            <w:tcW w:w="5170" w:type="dxa"/>
            <w:tcBorders>
              <w:top w:val="single" w:color="auto" w:sz="6" w:space="0"/>
              <w:left w:val="single" w:color="auto" w:sz="6" w:space="0"/>
              <w:bottom w:val="single" w:color="auto" w:sz="6" w:space="0"/>
              <w:right w:val="double" w:color="auto" w:sz="4" w:space="0"/>
            </w:tcBorders>
            <w:vAlign w:val="center"/>
          </w:tcPr>
          <w:p>
            <w:pPr>
              <w:adjustRightInd/>
              <w:spacing w:line="360" w:lineRule="auto"/>
              <w:rPr>
                <w:rFonts w:ascii="Calibri" w:hAnsi="Calibri"/>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第8.2（1）项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质量保证期</w:t>
            </w:r>
          </w:p>
        </w:tc>
        <w:tc>
          <w:tcPr>
            <w:tcW w:w="5170" w:type="dxa"/>
            <w:tcBorders>
              <w:top w:val="single" w:color="auto" w:sz="6" w:space="0"/>
              <w:left w:val="single" w:color="auto" w:sz="6" w:space="0"/>
              <w:bottom w:val="single" w:color="auto" w:sz="6" w:space="0"/>
              <w:right w:val="double" w:color="auto" w:sz="4" w:space="0"/>
            </w:tcBorders>
            <w:vAlign w:val="center"/>
          </w:tcPr>
          <w:p>
            <w:pPr>
              <w:autoSpaceDE w:val="0"/>
              <w:autoSpaceDN w:val="0"/>
              <w:snapToGrid w:val="0"/>
              <w:spacing w:line="360" w:lineRule="auto"/>
              <w:ind w:firstLine="480" w:firstLineChars="200"/>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第8.2（3）项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货物质量缺陷</w:t>
            </w:r>
          </w:p>
          <w:p>
            <w:pPr>
              <w:snapToGrid w:val="0"/>
              <w:spacing w:line="360" w:lineRule="auto"/>
              <w:jc w:val="left"/>
              <w:rPr>
                <w:rFonts w:ascii="宋体" w:hAnsi="宋体"/>
                <w:color w:val="auto"/>
                <w:sz w:val="24"/>
              </w:rPr>
            </w:pPr>
            <w:r>
              <w:rPr>
                <w:rFonts w:hint="eastAsia" w:ascii="宋体" w:hAnsi="宋体"/>
                <w:color w:val="auto"/>
                <w:sz w:val="24"/>
              </w:rPr>
              <w:t>响应时间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adjustRightInd/>
              <w:snapToGrid w:val="0"/>
              <w:spacing w:line="360" w:lineRule="auto"/>
              <w:jc w:val="center"/>
              <w:rPr>
                <w:rFonts w:ascii="宋体" w:hAnsi="宋体" w:cs="宋体"/>
                <w:color w:val="auto"/>
                <w:sz w:val="24"/>
              </w:rPr>
            </w:pPr>
            <w:r>
              <w:rPr>
                <w:rFonts w:hint="eastAsia" w:ascii="宋体" w:hAnsi="宋体" w:cs="宋体"/>
                <w:color w:val="auto"/>
                <w:sz w:val="24"/>
              </w:rPr>
              <w:t>第二节</w:t>
            </w:r>
          </w:p>
          <w:p>
            <w:pPr>
              <w:widowControl/>
              <w:autoSpaceDE w:val="0"/>
              <w:autoSpaceDN w:val="0"/>
              <w:spacing w:line="360" w:lineRule="auto"/>
              <w:jc w:val="center"/>
              <w:rPr>
                <w:rFonts w:ascii="华文楷体" w:hAnsi="华文楷体" w:eastAsia="华文楷体" w:cs="华文楷体"/>
                <w:color w:val="auto"/>
                <w:kern w:val="0"/>
                <w:sz w:val="24"/>
              </w:rPr>
            </w:pPr>
            <w:r>
              <w:rPr>
                <w:rFonts w:hint="eastAsia" w:ascii="宋体" w:hAnsi="宋体" w:cs="宋体"/>
                <w:color w:val="auto"/>
                <w:kern w:val="0"/>
                <w:sz w:val="24"/>
              </w:rPr>
              <w:t>第11.1款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ascii="宋体" w:hAnsi="宋体"/>
                <w:color w:val="auto"/>
                <w:sz w:val="24"/>
              </w:rPr>
            </w:pPr>
            <w:r>
              <w:rPr>
                <w:rFonts w:hint="eastAsia" w:ascii="宋体" w:hAnsi="宋体"/>
                <w:color w:val="auto"/>
                <w:sz w:val="24"/>
              </w:rPr>
              <w:t>其他应当保密的信息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第12.2款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合同价款支付时间</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第13.2款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履约保证金不予退还的情形</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第13.3款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履约保证金退还时间及逾期退还的违约金</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第14.1（3）项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运行监督、维修期限</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84"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第14.1（5）项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货物回收的约定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第14.1（6）项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乙方提供的其他服务</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第15.1款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修理、重作、更换相关具体规定</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第15.2（2）项</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迟延交货赔偿费</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36" w:hRule="atLeast"/>
        </w:trPr>
        <w:tc>
          <w:tcPr>
            <w:tcW w:w="1607" w:type="dxa"/>
            <w:tcBorders>
              <w:top w:val="single" w:color="auto" w:sz="6" w:space="0"/>
              <w:left w:val="double" w:color="auto" w:sz="4" w:space="0"/>
              <w:bottom w:val="single" w:color="auto" w:sz="6"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第15.3款</w:t>
            </w:r>
          </w:p>
        </w:tc>
        <w:tc>
          <w:tcPr>
            <w:tcW w:w="1742"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逾期付款利息</w:t>
            </w:r>
          </w:p>
        </w:tc>
        <w:tc>
          <w:tcPr>
            <w:tcW w:w="5170" w:type="dxa"/>
            <w:tcBorders>
              <w:top w:val="single" w:color="auto" w:sz="6" w:space="0"/>
              <w:left w:val="single" w:color="auto" w:sz="6" w:space="0"/>
              <w:bottom w:val="single" w:color="auto" w:sz="6" w:space="0"/>
              <w:right w:val="double" w:color="auto" w:sz="4" w:space="0"/>
            </w:tcBorders>
            <w:vAlign w:val="center"/>
          </w:tcPr>
          <w:p>
            <w:pPr>
              <w:snapToGrid w:val="0"/>
              <w:spacing w:line="360" w:lineRule="auto"/>
              <w:jc w:val="left"/>
              <w:rPr>
                <w:rFonts w:ascii="宋体" w:hAnsi="宋体"/>
                <w:color w:val="auto"/>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876" w:hRule="atLeast"/>
        </w:trPr>
        <w:tc>
          <w:tcPr>
            <w:tcW w:w="1607" w:type="dxa"/>
            <w:tcBorders>
              <w:top w:val="single" w:color="auto" w:sz="6" w:space="0"/>
              <w:left w:val="double" w:color="auto" w:sz="4" w:space="0"/>
              <w:bottom w:val="single" w:color="auto" w:sz="2" w:space="0"/>
              <w:right w:val="single" w:color="auto" w:sz="2"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第15.4款</w:t>
            </w:r>
          </w:p>
        </w:tc>
        <w:tc>
          <w:tcPr>
            <w:tcW w:w="1742" w:type="dxa"/>
            <w:tcBorders>
              <w:top w:val="single" w:color="auto" w:sz="6" w:space="0"/>
              <w:left w:val="single" w:color="auto" w:sz="2" w:space="0"/>
              <w:bottom w:val="single" w:color="auto" w:sz="2" w:space="0"/>
              <w:right w:val="single" w:color="auto" w:sz="2"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其他违约责任</w:t>
            </w:r>
          </w:p>
        </w:tc>
        <w:tc>
          <w:tcPr>
            <w:tcW w:w="5170" w:type="dxa"/>
            <w:tcBorders>
              <w:top w:val="single" w:color="auto" w:sz="6" w:space="0"/>
              <w:left w:val="single" w:color="auto" w:sz="2" w:space="0"/>
              <w:bottom w:val="single" w:color="auto" w:sz="2" w:space="0"/>
              <w:right w:val="double" w:color="auto" w:sz="4" w:space="0"/>
            </w:tcBorders>
            <w:vAlign w:val="center"/>
          </w:tcPr>
          <w:p>
            <w:pPr>
              <w:snapToGrid w:val="0"/>
              <w:spacing w:line="360" w:lineRule="auto"/>
              <w:jc w:val="left"/>
              <w:rPr>
                <w:rFonts w:ascii="宋体" w:hAnsi="宋体"/>
                <w:color w:val="auto"/>
                <w:sz w:val="24"/>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90" w:hRule="atLeast"/>
        </w:trPr>
        <w:tc>
          <w:tcPr>
            <w:tcW w:w="1607" w:type="dxa"/>
            <w:tcBorders>
              <w:top w:val="single" w:color="auto" w:sz="2" w:space="0"/>
              <w:left w:val="double" w:color="auto" w:sz="4" w:space="0"/>
              <w:bottom w:val="single" w:color="auto" w:sz="6" w:space="0"/>
              <w:right w:val="single" w:color="auto" w:sz="2"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第19.2款</w:t>
            </w:r>
          </w:p>
        </w:tc>
        <w:tc>
          <w:tcPr>
            <w:tcW w:w="1742" w:type="dxa"/>
            <w:tcBorders>
              <w:top w:val="single" w:color="auto" w:sz="2" w:space="0"/>
              <w:left w:val="single" w:color="auto" w:sz="2" w:space="0"/>
              <w:bottom w:val="single" w:color="auto" w:sz="6" w:space="0"/>
              <w:right w:val="single" w:color="auto" w:sz="2" w:space="0"/>
            </w:tcBorders>
            <w:vAlign w:val="center"/>
          </w:tcPr>
          <w:p>
            <w:pPr>
              <w:snapToGrid w:val="0"/>
              <w:spacing w:line="360" w:lineRule="auto"/>
              <w:jc w:val="left"/>
              <w:rPr>
                <w:rFonts w:ascii="宋体" w:hAnsi="宋体"/>
                <w:color w:val="auto"/>
                <w:sz w:val="24"/>
              </w:rPr>
            </w:pPr>
            <w:r>
              <w:rPr>
                <w:rFonts w:hint="eastAsia" w:ascii="宋体" w:hAnsi="宋体"/>
                <w:color w:val="auto"/>
                <w:sz w:val="24"/>
              </w:rPr>
              <w:t>解决争议的方法</w:t>
            </w:r>
          </w:p>
        </w:tc>
        <w:tc>
          <w:tcPr>
            <w:tcW w:w="5170" w:type="dxa"/>
            <w:tcBorders>
              <w:top w:val="single" w:color="auto" w:sz="2" w:space="0"/>
              <w:left w:val="single" w:color="auto" w:sz="2" w:space="0"/>
              <w:bottom w:val="single" w:color="auto" w:sz="6" w:space="0"/>
              <w:right w:val="double" w:color="auto" w:sz="4" w:space="0"/>
            </w:tcBorders>
            <w:vAlign w:val="center"/>
          </w:tcPr>
          <w:p>
            <w:pPr>
              <w:autoSpaceDE w:val="0"/>
              <w:autoSpaceDN w:val="0"/>
              <w:snapToGrid w:val="0"/>
              <w:spacing w:line="360" w:lineRule="auto"/>
              <w:jc w:val="left"/>
              <w:rPr>
                <w:rFonts w:ascii="宋体" w:hAnsi="宋体" w:cs="宋体"/>
                <w:iCs/>
                <w:color w:val="auto"/>
                <w:sz w:val="24"/>
              </w:rPr>
            </w:pPr>
            <w:r>
              <w:rPr>
                <w:rFonts w:hint="eastAsia" w:ascii="宋体" w:hAnsi="宋体" w:cs="宋体"/>
                <w:iCs/>
                <w:color w:val="auto"/>
                <w:sz w:val="24"/>
              </w:rPr>
              <w:t>因本合同及合同有关事项发生的争议，按下列第</w:t>
            </w:r>
            <w:r>
              <w:rPr>
                <w:rFonts w:hint="eastAsia" w:ascii="宋体" w:hAnsi="宋体" w:cs="宋体"/>
                <w:iCs/>
                <w:color w:val="auto"/>
                <w:sz w:val="24"/>
                <w:u w:val="single"/>
              </w:rPr>
              <w:t xml:space="preserve">   </w:t>
            </w:r>
            <w:r>
              <w:rPr>
                <w:rFonts w:hint="eastAsia" w:ascii="宋体" w:hAnsi="宋体" w:cs="宋体"/>
                <w:iCs/>
                <w:color w:val="auto"/>
                <w:sz w:val="24"/>
              </w:rPr>
              <w:t>种方式解决：</w:t>
            </w:r>
          </w:p>
          <w:p>
            <w:pPr>
              <w:autoSpaceDE w:val="0"/>
              <w:autoSpaceDN w:val="0"/>
              <w:snapToGrid w:val="0"/>
              <w:spacing w:line="360" w:lineRule="auto"/>
              <w:jc w:val="left"/>
              <w:rPr>
                <w:rFonts w:ascii="宋体" w:hAnsi="宋体" w:cs="宋体"/>
                <w:iCs/>
                <w:color w:val="auto"/>
                <w:sz w:val="24"/>
              </w:rPr>
            </w:pPr>
            <w:r>
              <w:rPr>
                <w:rFonts w:hint="eastAsia" w:ascii="宋体" w:hAnsi="宋体" w:cs="宋体"/>
                <w:iCs/>
                <w:color w:val="auto"/>
                <w:sz w:val="24"/>
              </w:rPr>
              <w:t>（1）向</w:t>
            </w:r>
            <w:r>
              <w:rPr>
                <w:rFonts w:hint="eastAsia" w:ascii="宋体" w:hAnsi="宋体" w:cs="宋体"/>
                <w:iCs/>
                <w:color w:val="auto"/>
                <w:sz w:val="24"/>
                <w:u w:val="single"/>
              </w:rPr>
              <w:t xml:space="preserve">                    </w:t>
            </w:r>
            <w:r>
              <w:rPr>
                <w:rFonts w:hint="eastAsia" w:ascii="宋体" w:hAnsi="宋体" w:cs="宋体"/>
                <w:iCs/>
                <w:color w:val="auto"/>
                <w:sz w:val="24"/>
              </w:rPr>
              <w:t>仲裁委员会申请仲裁，仲裁地点为</w:t>
            </w:r>
            <w:r>
              <w:rPr>
                <w:rFonts w:hint="eastAsia" w:ascii="宋体" w:hAnsi="宋体" w:cs="宋体"/>
                <w:iCs/>
                <w:color w:val="auto"/>
                <w:sz w:val="24"/>
                <w:u w:val="single"/>
              </w:rPr>
              <w:t xml:space="preserve">           </w:t>
            </w:r>
            <w:r>
              <w:rPr>
                <w:rFonts w:hint="eastAsia" w:ascii="宋体" w:hAnsi="宋体" w:cs="宋体"/>
                <w:iCs/>
                <w:color w:val="auto"/>
                <w:sz w:val="24"/>
              </w:rPr>
              <w:t>；</w:t>
            </w:r>
          </w:p>
          <w:p>
            <w:pPr>
              <w:snapToGrid w:val="0"/>
              <w:spacing w:line="360" w:lineRule="auto"/>
              <w:jc w:val="left"/>
              <w:rPr>
                <w:rFonts w:ascii="宋体" w:hAnsi="宋体"/>
                <w:color w:val="auto"/>
                <w:sz w:val="24"/>
                <w:u w:val="single"/>
              </w:rPr>
            </w:pPr>
            <w:r>
              <w:rPr>
                <w:rFonts w:hint="eastAsia" w:ascii="宋体" w:hAnsi="宋体" w:cs="宋体"/>
                <w:iCs/>
                <w:color w:val="auto"/>
                <w:sz w:val="24"/>
              </w:rPr>
              <w:t>（2）向</w:t>
            </w:r>
            <w:r>
              <w:rPr>
                <w:rFonts w:hint="eastAsia" w:ascii="宋体" w:hAnsi="宋体" w:cs="宋体"/>
                <w:iCs/>
                <w:color w:val="auto"/>
                <w:sz w:val="24"/>
                <w:u w:val="single"/>
              </w:rPr>
              <w:t xml:space="preserve">                    </w:t>
            </w:r>
            <w:r>
              <w:rPr>
                <w:rFonts w:hint="eastAsia" w:ascii="宋体" w:hAnsi="宋体" w:cs="宋体"/>
                <w:iCs/>
                <w:color w:val="auto"/>
                <w:sz w:val="24"/>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770" w:hRule="atLeast"/>
        </w:trPr>
        <w:tc>
          <w:tcPr>
            <w:tcW w:w="1607" w:type="dxa"/>
            <w:tcBorders>
              <w:top w:val="single" w:color="auto" w:sz="6" w:space="0"/>
              <w:left w:val="double" w:color="auto" w:sz="4" w:space="0"/>
              <w:bottom w:val="double" w:color="auto" w:sz="4" w:space="0"/>
              <w:right w:val="single" w:color="auto" w:sz="6" w:space="0"/>
            </w:tcBorders>
            <w:vAlign w:val="center"/>
          </w:tcPr>
          <w:p>
            <w:pPr>
              <w:snapToGrid w:val="0"/>
              <w:spacing w:line="360" w:lineRule="auto"/>
              <w:jc w:val="center"/>
              <w:rPr>
                <w:rFonts w:ascii="宋体" w:hAnsi="宋体"/>
                <w:color w:val="auto"/>
                <w:sz w:val="24"/>
              </w:rPr>
            </w:pPr>
            <w:r>
              <w:rPr>
                <w:rFonts w:hint="eastAsia" w:ascii="宋体" w:hAnsi="宋体"/>
                <w:color w:val="auto"/>
                <w:sz w:val="24"/>
              </w:rPr>
              <w:t>第二节</w:t>
            </w:r>
          </w:p>
          <w:p>
            <w:pPr>
              <w:snapToGrid w:val="0"/>
              <w:spacing w:line="360" w:lineRule="auto"/>
              <w:jc w:val="center"/>
              <w:rPr>
                <w:rFonts w:ascii="宋体" w:hAnsi="宋体"/>
                <w:color w:val="auto"/>
                <w:sz w:val="24"/>
              </w:rPr>
            </w:pPr>
            <w:r>
              <w:rPr>
                <w:rFonts w:hint="eastAsia" w:ascii="宋体" w:hAnsi="宋体"/>
                <w:color w:val="auto"/>
                <w:sz w:val="24"/>
              </w:rPr>
              <w:t>第23.1款</w:t>
            </w:r>
          </w:p>
        </w:tc>
        <w:tc>
          <w:tcPr>
            <w:tcW w:w="1742" w:type="dxa"/>
            <w:tcBorders>
              <w:top w:val="single" w:color="auto" w:sz="6" w:space="0"/>
              <w:left w:val="single" w:color="auto" w:sz="6" w:space="0"/>
              <w:bottom w:val="double" w:color="auto" w:sz="4" w:space="0"/>
              <w:right w:val="single" w:color="auto" w:sz="6" w:space="0"/>
            </w:tcBorders>
            <w:vAlign w:val="center"/>
          </w:tcPr>
          <w:p>
            <w:pPr>
              <w:snapToGrid w:val="0"/>
              <w:spacing w:line="360" w:lineRule="auto"/>
              <w:jc w:val="left"/>
              <w:rPr>
                <w:rFonts w:ascii="宋体" w:hAnsi="宋体"/>
                <w:color w:val="auto"/>
                <w:sz w:val="24"/>
              </w:rPr>
            </w:pPr>
            <w:r>
              <w:rPr>
                <w:rFonts w:hint="eastAsia" w:ascii="宋体" w:hAnsi="宋体"/>
                <w:bCs/>
                <w:color w:val="auto"/>
                <w:sz w:val="24"/>
              </w:rPr>
              <w:t>其他专用条款</w:t>
            </w:r>
          </w:p>
        </w:tc>
        <w:tc>
          <w:tcPr>
            <w:tcW w:w="5170" w:type="dxa"/>
            <w:tcBorders>
              <w:top w:val="single" w:color="auto" w:sz="6" w:space="0"/>
              <w:left w:val="single" w:color="auto" w:sz="6" w:space="0"/>
              <w:bottom w:val="double" w:color="auto" w:sz="4" w:space="0"/>
              <w:right w:val="double" w:color="auto" w:sz="4" w:space="0"/>
            </w:tcBorders>
            <w:vAlign w:val="center"/>
          </w:tcPr>
          <w:p>
            <w:pPr>
              <w:snapToGrid w:val="0"/>
              <w:spacing w:line="360" w:lineRule="auto"/>
              <w:jc w:val="left"/>
              <w:rPr>
                <w:rFonts w:ascii="宋体" w:hAnsi="宋体"/>
                <w:color w:val="auto"/>
                <w:sz w:val="24"/>
              </w:rPr>
            </w:pPr>
          </w:p>
        </w:tc>
      </w:tr>
    </w:tbl>
    <w:p>
      <w:pPr>
        <w:adjustRightInd/>
        <w:rPr>
          <w:color w:val="auto"/>
        </w:rPr>
      </w:pPr>
    </w:p>
    <w:p>
      <w:pPr>
        <w:adjustRightInd/>
        <w:rPr>
          <w:color w:val="auto"/>
        </w:rPr>
      </w:pPr>
    </w:p>
    <w:p>
      <w:pPr>
        <w:pStyle w:val="631"/>
        <w:rPr>
          <w:color w:val="auto"/>
        </w:rPr>
      </w:pPr>
    </w:p>
    <w:p>
      <w:pPr>
        <w:spacing w:line="360" w:lineRule="auto"/>
        <w:ind w:firstLine="562" w:firstLineChars="200"/>
        <w:jc w:val="center"/>
        <w:rPr>
          <w:rFonts w:asciiTheme="minorEastAsia" w:hAnsiTheme="minorEastAsia" w:eastAsiaTheme="minorEastAsia"/>
          <w:b/>
          <w:color w:val="auto"/>
          <w:sz w:val="28"/>
          <w:szCs w:val="28"/>
        </w:rPr>
      </w:pPr>
      <w:r>
        <w:rPr>
          <w:rFonts w:asciiTheme="minorEastAsia" w:hAnsiTheme="minorEastAsia" w:eastAsiaTheme="minorEastAsia"/>
          <w:b/>
          <w:color w:val="auto"/>
          <w:sz w:val="28"/>
          <w:szCs w:val="28"/>
        </w:rPr>
        <w:br w:type="page"/>
      </w:r>
    </w:p>
    <w:p>
      <w:pPr>
        <w:spacing w:line="360" w:lineRule="auto"/>
        <w:ind w:firstLine="562" w:firstLineChars="200"/>
        <w:jc w:val="center"/>
        <w:rPr>
          <w:rFonts w:asciiTheme="minorEastAsia" w:hAnsiTheme="minorEastAsia" w:eastAsiaTheme="minorEastAsia"/>
          <w:b/>
          <w:color w:val="auto"/>
          <w:sz w:val="28"/>
          <w:szCs w:val="28"/>
        </w:rPr>
      </w:pPr>
    </w:p>
    <w:p>
      <w:pPr>
        <w:snapToGrid w:val="0"/>
        <w:spacing w:line="360" w:lineRule="auto"/>
        <w:jc w:val="center"/>
        <w:outlineLvl w:val="0"/>
        <w:rPr>
          <w:rFonts w:cs="仿宋_GB2312" w:asciiTheme="minorEastAsia" w:hAnsiTheme="minorEastAsia" w:eastAsiaTheme="minorEastAsia"/>
          <w:b/>
          <w:color w:val="auto"/>
          <w:sz w:val="36"/>
          <w:szCs w:val="20"/>
        </w:rPr>
      </w:pPr>
      <w:bookmarkStart w:id="103" w:name="_Toc181265287"/>
      <w:r>
        <w:rPr>
          <w:rFonts w:hint="eastAsia" w:cs="仿宋_GB2312" w:asciiTheme="minorEastAsia" w:hAnsiTheme="minorEastAsia" w:eastAsiaTheme="minorEastAsia"/>
          <w:b/>
          <w:color w:val="auto"/>
          <w:sz w:val="36"/>
          <w:szCs w:val="20"/>
        </w:rPr>
        <w:t>第七部分</w:t>
      </w:r>
      <w:bookmarkEnd w:id="97"/>
      <w:r>
        <w:rPr>
          <w:rFonts w:hint="eastAsia" w:cs="仿宋_GB2312" w:asciiTheme="minorEastAsia" w:hAnsiTheme="minorEastAsia" w:eastAsiaTheme="minorEastAsia"/>
          <w:b/>
          <w:color w:val="auto"/>
          <w:sz w:val="36"/>
          <w:szCs w:val="20"/>
        </w:rPr>
        <w:t xml:space="preserve">  </w:t>
      </w:r>
      <w:bookmarkEnd w:id="98"/>
      <w:r>
        <w:rPr>
          <w:rFonts w:hint="eastAsia" w:cs="仿宋_GB2312" w:asciiTheme="minorEastAsia" w:hAnsiTheme="minorEastAsia" w:eastAsiaTheme="minorEastAsia"/>
          <w:b/>
          <w:color w:val="auto"/>
          <w:sz w:val="36"/>
          <w:szCs w:val="20"/>
        </w:rPr>
        <w:t>应提交的有关格式范例</w:t>
      </w:r>
      <w:bookmarkEnd w:id="103"/>
    </w:p>
    <w:p>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供应商按照以下格式编制响应文件。</w:t>
      </w:r>
    </w:p>
    <w:p>
      <w:pPr>
        <w:spacing w:line="360" w:lineRule="auto"/>
        <w:ind w:firstLine="480" w:firstLineChars="200"/>
        <w:rPr>
          <w:rFonts w:cs="仿宋_GB2312" w:asciiTheme="minorEastAsia" w:hAnsiTheme="minorEastAsia" w:eastAsiaTheme="minorEastAsia"/>
          <w:color w:val="auto"/>
          <w:sz w:val="24"/>
        </w:rPr>
      </w:pPr>
    </w:p>
    <w:p>
      <w:pPr>
        <w:spacing w:line="360" w:lineRule="auto"/>
        <w:jc w:val="center"/>
        <w:rPr>
          <w:rFonts w:cs="仿宋_GB2312" w:asciiTheme="minorEastAsia" w:hAnsiTheme="minorEastAsia" w:eastAsiaTheme="minorEastAsia"/>
          <w:b/>
          <w:color w:val="auto"/>
          <w:kern w:val="0"/>
          <w:sz w:val="36"/>
          <w:szCs w:val="36"/>
        </w:rPr>
      </w:pPr>
      <w:r>
        <w:rPr>
          <w:rFonts w:hint="eastAsia" w:cs="仿宋_GB2312" w:asciiTheme="minorEastAsia" w:hAnsiTheme="minorEastAsia" w:eastAsiaTheme="minorEastAsia"/>
          <w:b/>
          <w:color w:val="auto"/>
          <w:kern w:val="0"/>
          <w:sz w:val="36"/>
          <w:szCs w:val="36"/>
        </w:rPr>
        <w:t>目录</w:t>
      </w:r>
    </w:p>
    <w:p>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▲（1）响应函…………………………………………………………………（页码）</w:t>
      </w:r>
    </w:p>
    <w:p>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▲（2）资格文件…………………………………………………………………（页码）</w:t>
      </w:r>
    </w:p>
    <w:p>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▲（3）授权委托书或法定代表人（单位负责人、自然人本人）身份证明</w:t>
      </w:r>
      <w:r>
        <w:rPr>
          <w:rFonts w:hint="eastAsia" w:cs="宋体" w:asciiTheme="minorEastAsia" w:hAnsiTheme="minorEastAsia" w:eastAsiaTheme="minorEastAsia"/>
          <w:color w:val="auto"/>
        </w:rPr>
        <w:t>…</w:t>
      </w:r>
      <w:r>
        <w:rPr>
          <w:rFonts w:hint="eastAsia" w:cs="仿宋_GB2312" w:asciiTheme="minorEastAsia" w:hAnsiTheme="minorEastAsia" w:eastAsiaTheme="minorEastAsia"/>
          <w:color w:val="auto"/>
        </w:rPr>
        <w:t>（页码）</w:t>
      </w:r>
    </w:p>
    <w:p>
      <w:pPr>
        <w:snapToGrid w:val="0"/>
        <w:spacing w:line="360" w:lineRule="auto"/>
        <w:ind w:left="479" w:leftChars="228"/>
        <w:rPr>
          <w:rFonts w:cs="宋体" w:asciiTheme="minorEastAsia" w:hAnsiTheme="minorEastAsia" w:eastAsiaTheme="minorEastAsia"/>
          <w:color w:val="auto"/>
        </w:rPr>
      </w:pPr>
      <w:r>
        <w:rPr>
          <w:rFonts w:hint="eastAsia" w:cs="宋体" w:asciiTheme="minorEastAsia" w:hAnsiTheme="minorEastAsia" w:eastAsiaTheme="minorEastAsia"/>
          <w:color w:val="auto"/>
          <w:sz w:val="24"/>
        </w:rPr>
        <w:t>（4）分包意向协议</w:t>
      </w:r>
      <w:r>
        <w:rPr>
          <w:rFonts w:hint="eastAsia" w:cs="宋体" w:asciiTheme="minorEastAsia" w:hAnsiTheme="minorEastAsia" w:eastAsiaTheme="minorEastAsia"/>
          <w:color w:val="auto"/>
        </w:rPr>
        <w:t>…………………………………………………………………………</w:t>
      </w:r>
      <w:r>
        <w:rPr>
          <w:rFonts w:hint="eastAsia" w:cs="宋体" w:asciiTheme="minorEastAsia" w:hAnsiTheme="minorEastAsia" w:eastAsiaTheme="minorEastAsia"/>
          <w:color w:val="auto"/>
          <w:sz w:val="24"/>
        </w:rPr>
        <w:t>（页码）</w:t>
      </w:r>
    </w:p>
    <w:p>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（5）所有资信文件（复印件）…………………………………………………（页码）</w:t>
      </w:r>
    </w:p>
    <w:p>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（6）主要业绩证明</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（7）</w:t>
      </w:r>
      <w:r>
        <w:rPr>
          <w:rFonts w:hint="eastAsia" w:cs="仿宋_GB2312" w:asciiTheme="minorEastAsia" w:hAnsiTheme="minorEastAsia" w:eastAsiaTheme="minorEastAsia"/>
          <w:color w:val="auto"/>
          <w:lang w:val="zh-CN"/>
        </w:rPr>
        <w:t>关于对谈判文件中有关条款的拒绝声明……………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lang w:val="zh-CN"/>
        </w:rPr>
        <w:t>……………</w:t>
      </w:r>
      <w:r>
        <w:rPr>
          <w:rFonts w:hint="eastAsia" w:cs="仿宋_GB2312" w:asciiTheme="minorEastAsia" w:hAnsiTheme="minorEastAsia" w:eastAsiaTheme="minorEastAsia"/>
          <w:color w:val="auto"/>
        </w:rPr>
        <w:t>（页码）</w:t>
      </w:r>
    </w:p>
    <w:p>
      <w:pPr>
        <w:pStyle w:val="183"/>
        <w:spacing w:line="360" w:lineRule="auto"/>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（8）认为需要的其他商务文件或说明…………………………………………（页码）</w:t>
      </w:r>
    </w:p>
    <w:p>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（9）技术解决方案…………………………………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（10</w:t>
      </w:r>
      <w:r>
        <w:rPr>
          <w:rFonts w:cs="仿宋_GB2312" w:asciiTheme="minorEastAsia" w:hAnsiTheme="minorEastAsia" w:eastAsiaTheme="minorEastAsia"/>
          <w:color w:val="auto"/>
          <w:kern w:val="0"/>
          <w:sz w:val="24"/>
        </w:rPr>
        <w:t>）组织实施方案………………………………………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pPr>
        <w:spacing w:line="360" w:lineRule="auto"/>
        <w:ind w:firstLine="42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w:t>
      </w:r>
      <w:r>
        <w:rPr>
          <w:rFonts w:cs="仿宋_GB2312" w:asciiTheme="minorEastAsia" w:hAnsiTheme="minorEastAsia" w:eastAsiaTheme="minorEastAsia"/>
          <w:color w:val="auto"/>
          <w:kern w:val="0"/>
          <w:sz w:val="24"/>
        </w:rPr>
        <w:t>1</w:t>
      </w:r>
      <w:r>
        <w:rPr>
          <w:rFonts w:hint="eastAsia" w:cs="仿宋_GB2312" w:asciiTheme="minorEastAsia" w:hAnsiTheme="minorEastAsia" w:eastAsiaTheme="minorEastAsia"/>
          <w:color w:val="auto"/>
          <w:kern w:val="0"/>
          <w:sz w:val="24"/>
        </w:rPr>
        <w:t>1</w:t>
      </w:r>
      <w:r>
        <w:rPr>
          <w:rFonts w:cs="仿宋_GB2312" w:asciiTheme="minorEastAsia" w:hAnsiTheme="minorEastAsia" w:eastAsiaTheme="minorEastAsia"/>
          <w:color w:val="auto"/>
          <w:kern w:val="0"/>
          <w:sz w:val="24"/>
        </w:rPr>
        <w:t>）售后服务方案……………………………………</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（12</w:t>
      </w:r>
      <w:r>
        <w:rPr>
          <w:rFonts w:cs="仿宋_GB2312" w:asciiTheme="minorEastAsia" w:hAnsiTheme="minorEastAsia" w:eastAsiaTheme="minorEastAsia"/>
          <w:color w:val="auto"/>
          <w:kern w:val="0"/>
          <w:sz w:val="24"/>
        </w:rPr>
        <w:t>）项目小组人员名单…</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…………………（页码）</w:t>
      </w:r>
    </w:p>
    <w:p>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（13）</w:t>
      </w:r>
      <w:r>
        <w:rPr>
          <w:rFonts w:hint="eastAsia" w:cs="仿宋_GB2312" w:asciiTheme="minorEastAsia" w:hAnsiTheme="minorEastAsia" w:eastAsiaTheme="minorEastAsia"/>
          <w:color w:val="auto"/>
          <w:kern w:val="0"/>
          <w:sz w:val="24"/>
          <w:lang w:val="zh-CN"/>
        </w:rPr>
        <w:t>优惠条件及特殊承诺………………………………</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（14）</w:t>
      </w:r>
      <w:r>
        <w:rPr>
          <w:rFonts w:hint="eastAsia" w:cs="仿宋_GB2312" w:asciiTheme="minorEastAsia" w:hAnsiTheme="minorEastAsia" w:eastAsiaTheme="minorEastAsia"/>
          <w:color w:val="auto"/>
          <w:kern w:val="0"/>
          <w:sz w:val="24"/>
          <w:lang w:val="zh-CN"/>
        </w:rPr>
        <w:t>培训计划……………………………………………</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pPr>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（15）</w:t>
      </w:r>
      <w:r>
        <w:rPr>
          <w:rFonts w:hint="eastAsia" w:cs="仿宋_GB2312" w:asciiTheme="minorEastAsia" w:hAnsiTheme="minorEastAsia" w:eastAsiaTheme="minorEastAsia"/>
          <w:color w:val="auto"/>
          <w:sz w:val="24"/>
        </w:rPr>
        <w:t>随机特殊工具和备品备件清单</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pPr>
        <w:spacing w:line="360" w:lineRule="auto"/>
        <w:ind w:firstLine="480"/>
        <w:jc w:val="center"/>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（16）</w:t>
      </w:r>
      <w:r>
        <w:rPr>
          <w:rFonts w:hint="eastAsia" w:cs="仿宋_GB2312" w:asciiTheme="minorEastAsia" w:hAnsiTheme="minorEastAsia" w:eastAsiaTheme="minorEastAsia"/>
          <w:color w:val="auto"/>
          <w:kern w:val="0"/>
          <w:sz w:val="24"/>
          <w:lang w:val="zh-CN"/>
        </w:rPr>
        <w:t>认为需要的其他技术文件或说明…………………</w:t>
      </w: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lang w:val="zh-CN"/>
        </w:rPr>
        <w:t>……………</w:t>
      </w:r>
      <w:r>
        <w:rPr>
          <w:rFonts w:hint="eastAsia" w:cs="仿宋_GB2312" w:asciiTheme="minorEastAsia" w:hAnsiTheme="minorEastAsia" w:eastAsiaTheme="minorEastAsia"/>
          <w:color w:val="auto"/>
          <w:kern w:val="0"/>
          <w:sz w:val="24"/>
        </w:rPr>
        <w:t>（页码）</w:t>
      </w:r>
    </w:p>
    <w:p>
      <w:pPr>
        <w:tabs>
          <w:tab w:val="left" w:pos="0"/>
        </w:tabs>
        <w:autoSpaceDE w:val="0"/>
        <w:autoSpaceDN w:val="0"/>
        <w:spacing w:line="360" w:lineRule="auto"/>
        <w:ind w:firstLine="525" w:firstLineChars="25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rPr>
        <w:t>▲</w:t>
      </w:r>
      <w:r>
        <w:rPr>
          <w:rFonts w:hint="eastAsia"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lang w:val="zh-CN"/>
        </w:rPr>
        <w:t>政府采购供应商廉洁自律承诺书………………………………………</w:t>
      </w:r>
      <w:r>
        <w:rPr>
          <w:rFonts w:hint="eastAsia" w:cs="仿宋_GB2312" w:asciiTheme="minorEastAsia" w:hAnsiTheme="minorEastAsia" w:eastAsiaTheme="minorEastAsia"/>
          <w:color w:val="auto"/>
          <w:kern w:val="0"/>
          <w:sz w:val="24"/>
        </w:rPr>
        <w:t>（页码）</w:t>
      </w:r>
    </w:p>
    <w:p>
      <w:pPr>
        <w:pStyle w:val="631"/>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▲（18）</w:t>
      </w:r>
      <w:r>
        <w:rPr>
          <w:rFonts w:hint="eastAsia" w:cs="仿宋_GB2312" w:asciiTheme="minorEastAsia" w:hAnsiTheme="minorEastAsia" w:eastAsiaTheme="minorEastAsia"/>
          <w:color w:val="auto"/>
          <w:lang w:val="zh-CN"/>
        </w:rPr>
        <w:t>承诺函……………………………………………………………………</w:t>
      </w:r>
      <w:r>
        <w:rPr>
          <w:rFonts w:hint="eastAsia" w:cs="仿宋_GB2312" w:asciiTheme="minorEastAsia" w:hAnsiTheme="minorEastAsia" w:eastAsiaTheme="minorEastAsia"/>
          <w:color w:val="auto"/>
        </w:rPr>
        <w:t>（页码）</w:t>
      </w:r>
    </w:p>
    <w:p>
      <w:pPr>
        <w:pStyle w:val="631"/>
        <w:rPr>
          <w:color w:val="auto"/>
        </w:rPr>
      </w:pPr>
      <w:r>
        <w:rPr>
          <w:rFonts w:hint="eastAsia" w:cs="仿宋_GB2312" w:asciiTheme="minorEastAsia" w:hAnsiTheme="minorEastAsia" w:eastAsiaTheme="minorEastAsia"/>
          <w:color w:val="auto"/>
        </w:rPr>
        <w:t>▲</w:t>
      </w:r>
      <w:r>
        <w:rPr>
          <w:rFonts w:hint="eastAsia"/>
          <w:color w:val="auto"/>
        </w:rPr>
        <w:t>（19）商务、服务（技术）响应、偏离情况说明表…………………………（页码）</w:t>
      </w:r>
    </w:p>
    <w:p>
      <w:pPr>
        <w:pStyle w:val="631"/>
        <w:rPr>
          <w:color w:val="auto"/>
        </w:rPr>
      </w:pPr>
      <w:r>
        <w:rPr>
          <w:rFonts w:hint="eastAsia" w:cs="仿宋_GB2312" w:asciiTheme="minorEastAsia" w:hAnsiTheme="minorEastAsia" w:eastAsiaTheme="minorEastAsia"/>
          <w:color w:val="auto"/>
          <w:szCs w:val="24"/>
          <w:lang w:val="zh-CN"/>
        </w:rPr>
        <w:t>▲</w:t>
      </w:r>
      <w:r>
        <w:rPr>
          <w:rFonts w:hint="eastAsia"/>
          <w:color w:val="auto"/>
        </w:rPr>
        <w:t>（20）初始报价表………………………………………………………………（页码）</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bCs/>
          <w:color w:val="auto"/>
          <w:sz w:val="24"/>
        </w:rPr>
        <w:t>注：以上目录是编制供应商响应文件的基本格式要求，各供应商可根据自身情况进一步细化。标注“▲”为实质性要求，供应商必须提供，否则谈判无效。</w:t>
      </w:r>
    </w:p>
    <w:p>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color w:val="auto"/>
          <w:sz w:val="36"/>
          <w:szCs w:val="36"/>
        </w:rPr>
        <w:br w:type="page"/>
      </w:r>
      <w:r>
        <w:rPr>
          <w:rFonts w:hint="eastAsia" w:cs="仿宋_GB2312" w:asciiTheme="minorEastAsia" w:hAnsiTheme="minorEastAsia" w:eastAsiaTheme="minorEastAsia"/>
          <w:b/>
          <w:color w:val="auto"/>
          <w:kern w:val="0"/>
          <w:sz w:val="32"/>
          <w:szCs w:val="32"/>
        </w:rPr>
        <w:t>一、响应</w:t>
      </w:r>
      <w:r>
        <w:rPr>
          <w:rFonts w:hint="eastAsia" w:cs="仿宋_GB2312" w:asciiTheme="minorEastAsia" w:hAnsiTheme="minorEastAsia" w:eastAsiaTheme="minorEastAsia"/>
          <w:b/>
          <w:color w:val="auto"/>
          <w:sz w:val="32"/>
          <w:szCs w:val="32"/>
        </w:rPr>
        <w:t>函</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(供应商全称)授权</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(全权代表姓名)</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(职务、职称)为全权代表，参加贵方组织的（项目名称）【项目编号：（采购编号）】的有关活动，并对此项目进行响应。为此：</w:t>
      </w:r>
    </w:p>
    <w:p>
      <w:pPr>
        <w:pStyle w:val="104"/>
        <w:numPr>
          <w:ilvl w:val="0"/>
          <w:numId w:val="8"/>
        </w:numPr>
        <w:snapToGrid w:val="0"/>
        <w:ind w:firstLineChars="0"/>
        <w:rPr>
          <w:rFonts w:cs="仿宋_GB2312" w:asciiTheme="minorEastAsia" w:hAnsiTheme="minorEastAsia" w:eastAsiaTheme="minorEastAsia"/>
          <w:color w:val="auto"/>
        </w:rPr>
      </w:pPr>
      <w:r>
        <w:rPr>
          <w:rFonts w:hint="eastAsia" w:cs="仿宋_GB2312" w:asciiTheme="minorEastAsia" w:hAnsiTheme="minorEastAsia" w:eastAsiaTheme="minorEastAsia"/>
          <w:color w:val="auto"/>
        </w:rPr>
        <w:t>我方承诺响应有效期从提交响应文件的截止之日起</w:t>
      </w:r>
      <w:r>
        <w:rPr>
          <w:rFonts w:hint="eastAsia" w:cs="仿宋_GB2312" w:asciiTheme="minorEastAsia" w:hAnsiTheme="minorEastAsia" w:eastAsiaTheme="minorEastAsia"/>
          <w:color w:val="auto"/>
          <w:u w:val="single"/>
        </w:rPr>
        <w:t xml:space="preserve">     </w:t>
      </w:r>
      <w:r>
        <w:rPr>
          <w:rFonts w:hint="eastAsia" w:cs="仿宋_GB2312" w:asciiTheme="minorEastAsia" w:hAnsiTheme="minorEastAsia" w:eastAsiaTheme="minorEastAsia"/>
          <w:color w:val="auto"/>
        </w:rPr>
        <w:t>天，</w:t>
      </w:r>
      <w:r>
        <w:rPr>
          <w:rFonts w:hint="eastAsia" w:cs="宋体" w:asciiTheme="minorEastAsia" w:hAnsiTheme="minorEastAsia" w:eastAsiaTheme="minorEastAsia"/>
          <w:color w:val="auto"/>
        </w:rPr>
        <w:t>（不少于60天），</w:t>
      </w:r>
      <w:r>
        <w:rPr>
          <w:rFonts w:hint="eastAsia" w:cs="仿宋_GB2312" w:asciiTheme="minorEastAsia" w:hAnsiTheme="minorEastAsia" w:eastAsiaTheme="minorEastAsia"/>
          <w:color w:val="auto"/>
        </w:rPr>
        <w:t>本响应文件在响应有效期满之前均具有约束力。</w:t>
      </w:r>
    </w:p>
    <w:p>
      <w:pPr>
        <w:numPr>
          <w:ilvl w:val="0"/>
          <w:numId w:val="8"/>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w:t>
      </w:r>
      <w:r>
        <w:rPr>
          <w:rFonts w:hint="eastAsia" w:cs="仿宋_GB2312" w:asciiTheme="minorEastAsia" w:hAnsiTheme="minorEastAsia" w:eastAsiaTheme="minorEastAsia"/>
          <w:bCs/>
          <w:color w:val="auto"/>
          <w:kern w:val="44"/>
          <w:sz w:val="24"/>
        </w:rPr>
        <w:t>谈判文件中</w:t>
      </w:r>
      <w:r>
        <w:rPr>
          <w:rFonts w:hint="eastAsia" w:cs="仿宋_GB2312" w:asciiTheme="minorEastAsia" w:hAnsiTheme="minorEastAsia" w:eastAsiaTheme="minorEastAsia"/>
          <w:color w:val="auto"/>
          <w:sz w:val="24"/>
        </w:rPr>
        <w:t>规定的全部响应文件。</w:t>
      </w:r>
    </w:p>
    <w:p>
      <w:pPr>
        <w:numPr>
          <w:ilvl w:val="0"/>
          <w:numId w:val="8"/>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我方承诺除响应文件列出的偏离外，我方响应谈判文件的全部要求。</w:t>
      </w:r>
    </w:p>
    <w:p>
      <w:pPr>
        <w:numPr>
          <w:ilvl w:val="0"/>
          <w:numId w:val="8"/>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保证遵守谈判文件中的其他有关规定。</w:t>
      </w:r>
    </w:p>
    <w:p>
      <w:pPr>
        <w:numPr>
          <w:ilvl w:val="0"/>
          <w:numId w:val="8"/>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我方愿意向贵方提供任何与该项目响应有关的数据、情况和技术资料。若贵方需要，我方愿意提供我方作出的一切承诺的证明材料。</w:t>
      </w:r>
    </w:p>
    <w:p>
      <w:pPr>
        <w:numPr>
          <w:ilvl w:val="0"/>
          <w:numId w:val="8"/>
        </w:numPr>
        <w:adjustRightInd/>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我方已详细阅读全部谈判文件，包括谈判文件“更正（延期）公告”（如果有）、参考资料及有关附件，确认无误。</w:t>
      </w:r>
    </w:p>
    <w:p>
      <w:pPr>
        <w:numPr>
          <w:ilvl w:val="0"/>
          <w:numId w:val="8"/>
        </w:numPr>
        <w:adjustRightInd/>
        <w:spacing w:line="360" w:lineRule="auto"/>
        <w:rPr>
          <w:rFonts w:cs="仿宋_GB2312" w:asciiTheme="minorEastAsia" w:hAnsiTheme="minorEastAsia" w:eastAsiaTheme="minorEastAsia"/>
          <w:color w:val="auto"/>
          <w:sz w:val="24"/>
        </w:rPr>
      </w:pPr>
      <w:r>
        <w:rPr>
          <w:rFonts w:hint="eastAsia" w:cs="宋体" w:asciiTheme="minorEastAsia" w:hAnsiTheme="minorEastAsia" w:eastAsiaTheme="minorEastAsia"/>
          <w:color w:val="auto"/>
          <w:sz w:val="24"/>
        </w:rPr>
        <w:t>如我方成交，我方承诺：</w:t>
      </w:r>
    </w:p>
    <w:p>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7.1在收到成交通知书后，在成交通知书规定的期限内与你方签订合同； </w:t>
      </w:r>
    </w:p>
    <w:p>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7.2在签订合同时不向你方提出附加条件； </w:t>
      </w:r>
    </w:p>
    <w:p>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7.3按照谈判文件要求提交履约保证金； </w:t>
      </w:r>
    </w:p>
    <w:p>
      <w:pPr>
        <w:snapToGrid w:val="0"/>
        <w:spacing w:line="360" w:lineRule="auto"/>
        <w:ind w:left="210" w:leftChars="100"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7.4在合同约定的期限内完成合同规定的全部义务。 </w:t>
      </w:r>
    </w:p>
    <w:p>
      <w:pPr>
        <w:numPr>
          <w:ilvl w:val="0"/>
          <w:numId w:val="8"/>
        </w:numPr>
        <w:adjustRightInd/>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其他补充说明:                                        。</w:t>
      </w:r>
    </w:p>
    <w:p>
      <w:pPr>
        <w:autoSpaceDE w:val="0"/>
        <w:autoSpaceDN w:val="0"/>
        <w:spacing w:line="360" w:lineRule="auto"/>
        <w:ind w:firstLine="3960" w:firstLineChars="1650"/>
        <w:rPr>
          <w:rFonts w:cs="仿宋_GB2312" w:asciiTheme="minorEastAsia" w:hAnsiTheme="minorEastAsia" w:eastAsiaTheme="minorEastAsia"/>
          <w:color w:val="auto"/>
          <w:kern w:val="0"/>
          <w:sz w:val="24"/>
          <w:lang w:val="zh-CN"/>
        </w:rPr>
      </w:pPr>
    </w:p>
    <w:p>
      <w:pPr>
        <w:spacing w:line="360" w:lineRule="auto"/>
        <w:ind w:firstLine="3600" w:firstLineChars="1500"/>
        <w:rPr>
          <w:rFonts w:ascii="宋体" w:hAnsi="宋体" w:cs="宋体"/>
          <w:color w:val="auto"/>
          <w:sz w:val="24"/>
        </w:rPr>
      </w:pPr>
      <w:r>
        <w:rPr>
          <w:rFonts w:hint="eastAsia" w:ascii="宋体" w:hAnsi="宋体" w:cs="宋体"/>
          <w:color w:val="auto"/>
          <w:sz w:val="24"/>
        </w:rPr>
        <w:t>谈判供应商名称（公章）：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pPr>
        <w:autoSpaceDE w:val="0"/>
        <w:autoSpaceDN w:val="0"/>
        <w:spacing w:line="360" w:lineRule="auto"/>
        <w:rPr>
          <w:rFonts w:cs="仿宋_GB2312" w:asciiTheme="minorEastAsia" w:hAnsiTheme="minorEastAsia" w:eastAsiaTheme="minorEastAsia"/>
          <w:color w:val="auto"/>
          <w:kern w:val="0"/>
          <w:sz w:val="24"/>
        </w:rPr>
      </w:pPr>
    </w:p>
    <w:p>
      <w:pPr>
        <w:pStyle w:val="114"/>
        <w:keepNext w:val="0"/>
        <w:pageBreakBefore w:val="0"/>
        <w:tabs>
          <w:tab w:val="clear" w:pos="720"/>
        </w:tabs>
        <w:jc w:val="both"/>
        <w:outlineLvl w:val="9"/>
        <w:rPr>
          <w:rFonts w:cs="仿宋_GB2312" w:asciiTheme="minorEastAsia" w:hAnsiTheme="minorEastAsia" w:eastAsiaTheme="minorEastAsia"/>
          <w:color w:val="auto"/>
          <w:sz w:val="24"/>
          <w:szCs w:val="24"/>
        </w:rPr>
      </w:pPr>
    </w:p>
    <w:p>
      <w:pPr>
        <w:spacing w:line="360" w:lineRule="auto"/>
        <w:rPr>
          <w:rFonts w:cs="仿宋_GB2312" w:asciiTheme="minorEastAsia" w:hAnsiTheme="minorEastAsia" w:eastAsiaTheme="minorEastAsia"/>
          <w:color w:val="auto"/>
          <w:sz w:val="18"/>
          <w:szCs w:val="18"/>
        </w:rPr>
      </w:pPr>
    </w:p>
    <w:p>
      <w:pPr>
        <w:spacing w:line="360" w:lineRule="auto"/>
        <w:rPr>
          <w:rFonts w:cs="仿宋_GB2312" w:asciiTheme="minorEastAsia" w:hAnsiTheme="minorEastAsia" w:eastAsiaTheme="minorEastAsia"/>
          <w:color w:val="auto"/>
          <w:sz w:val="18"/>
          <w:szCs w:val="18"/>
        </w:rPr>
      </w:pPr>
    </w:p>
    <w:p>
      <w:pPr>
        <w:widowControl/>
        <w:adjustRightInd/>
        <w:jc w:val="left"/>
        <w:rPr>
          <w:rFonts w:cs="仿宋_GB2312" w:asciiTheme="minorEastAsia" w:hAnsiTheme="minorEastAsia" w:eastAsiaTheme="minorEastAsia"/>
          <w:b/>
          <w:color w:val="auto"/>
          <w:kern w:val="0"/>
          <w:sz w:val="32"/>
          <w:szCs w:val="32"/>
        </w:rPr>
      </w:pPr>
      <w:r>
        <w:rPr>
          <w:rFonts w:cs="仿宋_GB2312" w:asciiTheme="minorEastAsia" w:hAnsiTheme="minorEastAsia" w:eastAsiaTheme="minorEastAsia"/>
          <w:b/>
          <w:color w:val="auto"/>
          <w:kern w:val="0"/>
          <w:sz w:val="32"/>
          <w:szCs w:val="32"/>
        </w:rPr>
        <w:br w:type="page"/>
      </w:r>
    </w:p>
    <w:p>
      <w:pPr>
        <w:widowControl/>
        <w:tabs>
          <w:tab w:val="left" w:pos="1200"/>
        </w:tabs>
        <w:adjustRightInd/>
        <w:ind w:left="840"/>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二、资格文件</w:t>
      </w:r>
    </w:p>
    <w:p>
      <w:pPr>
        <w:pStyle w:val="104"/>
        <w:widowControl/>
        <w:tabs>
          <w:tab w:val="left" w:pos="1200"/>
          <w:tab w:val="left" w:pos="1560"/>
        </w:tabs>
        <w:adjustRightInd/>
        <w:ind w:left="1560" w:firstLine="0" w:firstLineChars="0"/>
        <w:jc w:val="left"/>
        <w:rPr>
          <w:rFonts w:cs="仿宋_GB2312" w:asciiTheme="minorEastAsia" w:hAnsiTheme="minorEastAsia" w:eastAsiaTheme="minorEastAsia"/>
          <w:b/>
          <w:color w:val="auto"/>
          <w:sz w:val="30"/>
          <w:szCs w:val="30"/>
        </w:rPr>
      </w:pPr>
    </w:p>
    <w:p>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宋体" w:asciiTheme="minorEastAsia" w:hAnsiTheme="minorEastAsia" w:eastAsiaTheme="minorEastAsia"/>
          <w:b/>
          <w:color w:val="auto"/>
          <w:kern w:val="0"/>
          <w:sz w:val="32"/>
          <w:szCs w:val="32"/>
        </w:rPr>
        <w:t>A、符合参加政府采购活动应当具备的一般条件的承诺函</w:t>
      </w:r>
    </w:p>
    <w:p>
      <w:pPr>
        <w:snapToGrid w:val="0"/>
        <w:spacing w:line="360" w:lineRule="auto"/>
        <w:ind w:right="480"/>
        <w:jc w:val="center"/>
        <w:rPr>
          <w:rFonts w:ascii="宋体" w:hAnsi="宋体" w:cs="宋体"/>
          <w:color w:val="auto"/>
          <w:sz w:val="24"/>
        </w:rPr>
      </w:pPr>
    </w:p>
    <w:p>
      <w:pPr>
        <w:snapToGrid w:val="0"/>
        <w:spacing w:line="360" w:lineRule="auto"/>
        <w:ind w:right="480"/>
        <w:jc w:val="center"/>
        <w:rPr>
          <w:rFonts w:ascii="宋体" w:hAnsi="宋体" w:cs="宋体"/>
          <w:color w:val="auto"/>
          <w:sz w:val="24"/>
        </w:rPr>
      </w:pPr>
      <w:r>
        <w:rPr>
          <w:rFonts w:hint="eastAsia" w:ascii="宋体" w:hAnsi="宋体" w:cs="宋体"/>
          <w:color w:val="auto"/>
          <w:sz w:val="24"/>
        </w:rPr>
        <w:t>北海市政府采购供应商信用承诺函（格式）</w:t>
      </w:r>
    </w:p>
    <w:p>
      <w:pPr>
        <w:snapToGrid w:val="0"/>
        <w:spacing w:line="360" w:lineRule="auto"/>
        <w:rPr>
          <w:rFonts w:ascii="宋体" w:hAnsi="宋体" w:cs="宋体"/>
          <w:color w:val="auto"/>
          <w:sz w:val="24"/>
        </w:rPr>
      </w:pPr>
    </w:p>
    <w:p>
      <w:pPr>
        <w:snapToGrid w:val="0"/>
        <w:spacing w:line="360" w:lineRule="auto"/>
        <w:ind w:right="480"/>
        <w:rPr>
          <w:rFonts w:ascii="宋体" w:hAnsi="宋体" w:cs="宋体"/>
          <w:color w:val="auto"/>
          <w:sz w:val="24"/>
        </w:rPr>
      </w:pPr>
      <w:r>
        <w:rPr>
          <w:rFonts w:hint="eastAsia" w:ascii="宋体" w:hAnsi="宋体" w:cs="宋体"/>
          <w:color w:val="auto"/>
          <w:sz w:val="24"/>
        </w:rPr>
        <w:t>（采购人）、（采购代理机构） ：</w:t>
      </w:r>
    </w:p>
    <w:p>
      <w:pPr>
        <w:snapToGrid w:val="0"/>
        <w:spacing w:line="360" w:lineRule="auto"/>
        <w:ind w:right="480"/>
        <w:rPr>
          <w:rFonts w:ascii="宋体" w:hAnsi="宋体" w:cs="宋体"/>
          <w:color w:val="auto"/>
          <w:sz w:val="24"/>
        </w:rPr>
      </w:pPr>
      <w:r>
        <w:rPr>
          <w:rFonts w:hint="eastAsia" w:ascii="宋体" w:hAnsi="宋体" w:cs="宋体"/>
          <w:color w:val="auto"/>
          <w:sz w:val="24"/>
        </w:rPr>
        <w:t>供应商名称：</w:t>
      </w:r>
    </w:p>
    <w:p>
      <w:pPr>
        <w:snapToGrid w:val="0"/>
        <w:spacing w:line="360" w:lineRule="auto"/>
        <w:ind w:right="480"/>
        <w:rPr>
          <w:rFonts w:ascii="宋体" w:hAnsi="宋体" w:cs="宋体"/>
          <w:color w:val="auto"/>
          <w:sz w:val="24"/>
        </w:rPr>
      </w:pPr>
      <w:r>
        <w:rPr>
          <w:rFonts w:hint="eastAsia" w:ascii="宋体" w:hAnsi="宋体" w:cs="宋体"/>
          <w:color w:val="auto"/>
          <w:sz w:val="24"/>
        </w:rPr>
        <w:t>统一社会信用代码：</w:t>
      </w:r>
    </w:p>
    <w:p>
      <w:pPr>
        <w:snapToGrid w:val="0"/>
        <w:spacing w:line="360" w:lineRule="auto"/>
        <w:ind w:right="480"/>
        <w:rPr>
          <w:rFonts w:ascii="宋体" w:hAnsi="宋体" w:cs="宋体"/>
          <w:color w:val="auto"/>
          <w:sz w:val="24"/>
        </w:rPr>
      </w:pPr>
      <w:r>
        <w:rPr>
          <w:rFonts w:hint="eastAsia" w:ascii="宋体" w:hAnsi="宋体" w:cs="宋体"/>
          <w:color w:val="auto"/>
          <w:sz w:val="24"/>
        </w:rPr>
        <w:t>供应商地址：</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1.我单位具有符合采购文件资格要求独立承担民事责任的能力。</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2.我单位具有符合采购文件资格要求的财务状况报告。</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3.我单位具有符合采购文件资格要求的依法缴纳税收和社会保障记录的良好记录。</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4.我单位具有符合采购文件资格要求履行合同所必需的设备和专业技术能力。</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5.参加政府采购活动前三年内，在经营活动中没有重大违法记录。</w:t>
      </w:r>
    </w:p>
    <w:p>
      <w:pPr>
        <w:snapToGrid w:val="0"/>
        <w:spacing w:line="360" w:lineRule="auto"/>
        <w:ind w:right="482" w:firstLine="480" w:firstLineChars="200"/>
        <w:rPr>
          <w:rFonts w:ascii="宋体" w:hAnsi="宋体" w:cs="宋体"/>
          <w:color w:val="auto"/>
          <w:sz w:val="24"/>
        </w:rPr>
      </w:pPr>
      <w:r>
        <w:rPr>
          <w:rFonts w:hint="eastAsia" w:ascii="宋体" w:hAnsi="宋体" w:cs="宋体"/>
          <w:color w:val="auto"/>
          <w:sz w:val="24"/>
        </w:rPr>
        <w:t>若我单位承诺不实，自愿承担提供虚假材料谋取中标、成交的法律责任。</w:t>
      </w:r>
    </w:p>
    <w:p>
      <w:pPr>
        <w:snapToGrid w:val="0"/>
        <w:spacing w:line="360" w:lineRule="auto"/>
        <w:ind w:right="480"/>
        <w:rPr>
          <w:rFonts w:ascii="宋体" w:hAnsi="宋体" w:cs="宋体"/>
          <w:color w:val="auto"/>
          <w:sz w:val="24"/>
        </w:rPr>
      </w:pPr>
    </w:p>
    <w:p>
      <w:pPr>
        <w:spacing w:line="360" w:lineRule="auto"/>
        <w:ind w:firstLine="3600" w:firstLineChars="1500"/>
        <w:rPr>
          <w:rFonts w:ascii="宋体" w:hAnsi="宋体" w:cs="宋体"/>
          <w:color w:val="auto"/>
          <w:sz w:val="24"/>
        </w:rPr>
      </w:pPr>
      <w:r>
        <w:rPr>
          <w:rFonts w:hint="eastAsia" w:ascii="宋体" w:hAnsi="宋体" w:cs="宋体"/>
          <w:color w:val="auto"/>
          <w:sz w:val="24"/>
        </w:rPr>
        <w:t>谈判供应商名称（公章）：</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法定代表人（负责人）或委托代理人(签名)：                          </w:t>
      </w:r>
    </w:p>
    <w:p>
      <w:pPr>
        <w:spacing w:line="360" w:lineRule="auto"/>
        <w:jc w:val="center"/>
        <w:rPr>
          <w:rFonts w:ascii="宋体" w:hAnsi="宋体" w:cs="宋体"/>
          <w:color w:val="auto"/>
          <w:sz w:val="24"/>
        </w:rPr>
      </w:pPr>
      <w:r>
        <w:rPr>
          <w:rFonts w:hint="eastAsia" w:ascii="宋体" w:hAnsi="宋体" w:cs="宋体"/>
          <w:color w:val="auto"/>
          <w:sz w:val="24"/>
        </w:rPr>
        <w:t xml:space="preserve">     日期：  年   月   日</w:t>
      </w:r>
    </w:p>
    <w:p>
      <w:pPr>
        <w:snapToGrid w:val="0"/>
        <w:spacing w:line="360" w:lineRule="auto"/>
        <w:ind w:right="480"/>
        <w:rPr>
          <w:rFonts w:ascii="宋体" w:hAnsi="宋体" w:cs="宋体"/>
          <w:color w:val="auto"/>
          <w:sz w:val="24"/>
        </w:rPr>
      </w:pPr>
    </w:p>
    <w:p>
      <w:pPr>
        <w:spacing w:line="360" w:lineRule="auto"/>
        <w:jc w:val="center"/>
        <w:rPr>
          <w:rFonts w:cs="仿宋_GB2312" w:asciiTheme="minorEastAsia" w:hAnsiTheme="minorEastAsia" w:eastAsiaTheme="minorEastAsia"/>
          <w:b/>
          <w:color w:val="auto"/>
          <w:sz w:val="32"/>
          <w:szCs w:val="32"/>
        </w:rPr>
      </w:pPr>
    </w:p>
    <w:p>
      <w:pPr>
        <w:spacing w:line="360" w:lineRule="auto"/>
        <w:jc w:val="center"/>
        <w:rPr>
          <w:rFonts w:cs="仿宋_GB2312" w:asciiTheme="minorEastAsia" w:hAnsiTheme="minorEastAsia" w:eastAsiaTheme="minorEastAsia"/>
          <w:b/>
          <w:color w:val="auto"/>
          <w:sz w:val="32"/>
          <w:szCs w:val="32"/>
        </w:rPr>
      </w:pPr>
    </w:p>
    <w:p>
      <w:pPr>
        <w:spacing w:line="360" w:lineRule="auto"/>
        <w:jc w:val="center"/>
        <w:rPr>
          <w:rFonts w:cs="仿宋_GB2312" w:asciiTheme="minorEastAsia" w:hAnsiTheme="minorEastAsia" w:eastAsiaTheme="minorEastAsia"/>
          <w:b/>
          <w:color w:val="auto"/>
          <w:sz w:val="32"/>
          <w:szCs w:val="32"/>
        </w:rPr>
      </w:pPr>
    </w:p>
    <w:p>
      <w:pPr>
        <w:spacing w:line="360" w:lineRule="auto"/>
        <w:jc w:val="center"/>
        <w:rPr>
          <w:rFonts w:cs="仿宋_GB2312" w:asciiTheme="minorEastAsia" w:hAnsiTheme="minorEastAsia" w:eastAsiaTheme="minorEastAsia"/>
          <w:b/>
          <w:color w:val="auto"/>
          <w:sz w:val="32"/>
          <w:szCs w:val="32"/>
        </w:rPr>
      </w:pPr>
    </w:p>
    <w:p>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B、联合协议（如果有）</w:t>
      </w:r>
    </w:p>
    <w:p>
      <w:pPr>
        <w:widowControl/>
        <w:spacing w:line="360" w:lineRule="auto"/>
        <w:ind w:firstLine="482" w:firstLineChars="20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（以联合体形式响应的，提供联合协议；本项目不接受联合体响应或者供应商不以联合体形式响应的，则不需要提供）</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（联合体所有成员名称）</w:t>
      </w:r>
      <w:r>
        <w:rPr>
          <w:rFonts w:hint="eastAsia" w:cs="宋体" w:asciiTheme="minorEastAsia" w:hAnsiTheme="minorEastAsia" w:eastAsiaTheme="minorEastAsia"/>
          <w:color w:val="auto"/>
          <w:kern w:val="0"/>
          <w:sz w:val="24"/>
        </w:rPr>
        <w:t>自愿</w:t>
      </w:r>
      <w:r>
        <w:rPr>
          <w:rFonts w:hint="eastAsia" w:cs="宋体" w:asciiTheme="minorEastAsia" w:hAnsiTheme="minorEastAsia" w:eastAsiaTheme="minorEastAsia"/>
          <w:color w:val="auto"/>
          <w:kern w:val="0"/>
          <w:sz w:val="24"/>
          <w:lang w:val="zh-CN"/>
        </w:rPr>
        <w:t>组成一个联合体，以一个供应商的身份</w:t>
      </w:r>
      <w:r>
        <w:rPr>
          <w:rFonts w:hint="eastAsia" w:cs="宋体" w:asciiTheme="minorEastAsia" w:hAnsiTheme="minorEastAsia" w:eastAsiaTheme="minorEastAsia"/>
          <w:color w:val="auto"/>
          <w:kern w:val="0"/>
          <w:sz w:val="24"/>
        </w:rPr>
        <w:t>参加</w:t>
      </w:r>
      <w:r>
        <w:rPr>
          <w:rFonts w:hint="eastAsia" w:cs="仿宋_GB2312" w:asciiTheme="minorEastAsia" w:hAnsiTheme="minorEastAsia" w:eastAsiaTheme="minorEastAsia"/>
          <w:color w:val="auto"/>
          <w:sz w:val="24"/>
        </w:rPr>
        <w:t>（项目名称）</w:t>
      </w:r>
      <w:r>
        <w:rPr>
          <w:rFonts w:hint="eastAsia" w:cs="仿宋_GB2312" w:asciiTheme="minorEastAsia" w:hAnsiTheme="minorEastAsia" w:eastAsiaTheme="minorEastAsia"/>
          <w:color w:val="auto"/>
          <w:kern w:val="0"/>
          <w:sz w:val="24"/>
          <w:lang w:val="zh-CN"/>
        </w:rPr>
        <w:t>【项目编号：（采购编号）】响应</w:t>
      </w:r>
      <w:r>
        <w:rPr>
          <w:rFonts w:hint="eastAsia" w:cs="宋体" w:asciiTheme="minorEastAsia" w:hAnsiTheme="minorEastAsia" w:eastAsiaTheme="minorEastAsia"/>
          <w:color w:val="auto"/>
          <w:kern w:val="0"/>
          <w:sz w:val="24"/>
          <w:lang w:val="zh-CN"/>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一、各方一致决定，</w:t>
      </w:r>
      <w:r>
        <w:rPr>
          <w:rFonts w:hint="eastAsia" w:cs="宋体" w:asciiTheme="minorEastAsia" w:hAnsiTheme="minorEastAsia" w:eastAsiaTheme="minorEastAsia"/>
          <w:color w:val="auto"/>
          <w:kern w:val="0"/>
          <w:sz w:val="24"/>
          <w:u w:val="single"/>
        </w:rPr>
        <w:t>（某联合体成员名称）</w:t>
      </w:r>
      <w:r>
        <w:rPr>
          <w:rFonts w:hint="eastAsia" w:cs="宋体" w:asciiTheme="minorEastAsia" w:hAnsiTheme="minorEastAsia" w:eastAsiaTheme="minorEastAsia"/>
          <w:color w:val="auto"/>
          <w:kern w:val="0"/>
          <w:sz w:val="24"/>
        </w:rPr>
        <w:t>为联合体</w:t>
      </w:r>
      <w:r>
        <w:rPr>
          <w:rFonts w:hint="eastAsia" w:cs="宋体" w:asciiTheme="minorEastAsia" w:hAnsiTheme="minorEastAsia" w:eastAsiaTheme="minorEastAsia"/>
          <w:color w:val="auto"/>
          <w:kern w:val="0"/>
          <w:sz w:val="24"/>
          <w:lang w:val="zh-CN"/>
        </w:rPr>
        <w:t>牵头人</w:t>
      </w:r>
      <w:r>
        <w:rPr>
          <w:rFonts w:hint="eastAsia" w:cs="宋体" w:asciiTheme="minorEastAsia" w:hAnsiTheme="minorEastAsia" w:eastAsiaTheme="minorEastAsia"/>
          <w:color w:val="auto"/>
          <w:sz w:val="24"/>
        </w:rPr>
        <w:t>，代表所有联合体成员负责响应和合同实施阶段的主办、协调工作</w:t>
      </w:r>
      <w:r>
        <w:rPr>
          <w:rFonts w:hint="eastAsia" w:cs="宋体" w:asciiTheme="minorEastAsia" w:hAnsiTheme="minorEastAsia" w:eastAsiaTheme="minorEastAsia"/>
          <w:color w:val="auto"/>
          <w:kern w:val="0"/>
          <w:sz w:val="24"/>
          <w:lang w:val="zh-CN"/>
        </w:rPr>
        <w:t>。</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w:t>
      </w:r>
      <w:r>
        <w:rPr>
          <w:rFonts w:hint="eastAsia" w:cs="宋体" w:asciiTheme="minorEastAsia" w:hAnsiTheme="minorEastAsia" w:eastAsiaTheme="minorEastAsia"/>
          <w:color w:val="auto"/>
          <w:sz w:val="24"/>
        </w:rPr>
        <w:t>所有联合体成员各方签署授权书，授权书载明的</w:t>
      </w:r>
      <w:r>
        <w:rPr>
          <w:rFonts w:hint="eastAsia" w:cs="宋体" w:asciiTheme="minorEastAsia" w:hAnsiTheme="minorEastAsia" w:eastAsiaTheme="minorEastAsia"/>
          <w:color w:val="auto"/>
          <w:kern w:val="0"/>
          <w:sz w:val="24"/>
          <w:lang w:val="zh-CN"/>
        </w:rPr>
        <w:t>授权代表根据谈判文件规定及采购内容而对采购人、采购代理机构所作的任何合法承诺，包括书面澄清及相应等均对联合体各方产生约束力。</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三、本次联合响应中，分工如下：</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（联合体成员1）</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（联合体成员</w:t>
      </w:r>
      <w:r>
        <w:rPr>
          <w:rFonts w:cs="宋体" w:asciiTheme="minorEastAsia" w:hAnsiTheme="minorEastAsia" w:eastAsiaTheme="minorEastAsia"/>
          <w:color w:val="auto"/>
          <w:kern w:val="0"/>
          <w:sz w:val="24"/>
          <w:u w:val="single"/>
        </w:rPr>
        <w:t>2</w:t>
      </w:r>
      <w:r>
        <w:rPr>
          <w:rFonts w:hint="eastAsia" w:cs="宋体" w:asciiTheme="minorEastAsia" w:hAnsiTheme="minorEastAsia" w:eastAsiaTheme="minorEastAsia"/>
          <w:color w:val="auto"/>
          <w:kern w:val="0"/>
          <w:sz w:val="24"/>
          <w:u w:val="single"/>
        </w:rPr>
        <w:t>）</w:t>
      </w:r>
      <w:r>
        <w:rPr>
          <w:rFonts w:hint="eastAsia" w:cs="宋体" w:asciiTheme="minorEastAsia" w:hAnsiTheme="minorEastAsia" w:eastAsiaTheme="minorEastAsia"/>
          <w:color w:val="auto"/>
          <w:kern w:val="0"/>
          <w:sz w:val="24"/>
          <w:lang w:val="zh-CN"/>
        </w:rPr>
        <w:t>承担的工作和义务为：</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kern w:val="0"/>
          <w:sz w:val="24"/>
          <w:lang w:val="zh-CN"/>
        </w:rPr>
        <w:t>；</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四、联合体成员中小企业合同份额（如果有）。</w:t>
      </w:r>
    </w:p>
    <w:p>
      <w:pPr>
        <w:snapToGrid w:val="0"/>
        <w:spacing w:line="360" w:lineRule="auto"/>
        <w:ind w:firstLine="576"/>
        <w:rPr>
          <w:rFonts w:ascii="宋体" w:hAnsi="宋体" w:cs="宋体"/>
          <w:b/>
          <w:color w:val="auto"/>
          <w:kern w:val="0"/>
          <w:sz w:val="24"/>
          <w:lang w:val="zh-CN"/>
        </w:rPr>
      </w:pPr>
      <w:r>
        <w:rPr>
          <w:rFonts w:hint="eastAsia" w:ascii="宋体" w:hAnsi="宋体" w:cs="宋体"/>
          <w:color w:val="auto"/>
          <w:kern w:val="0"/>
          <w:sz w:val="24"/>
          <w:lang w:val="zh-CN"/>
        </w:rPr>
        <w:t>1、</w:t>
      </w:r>
      <w:r>
        <w:rPr>
          <w:rFonts w:hint="eastAsia" w:ascii="宋体" w:hAnsi="宋体" w:cs="宋体"/>
          <w:color w:val="auto"/>
          <w:kern w:val="0"/>
          <w:sz w:val="24"/>
          <w:u w:val="single"/>
        </w:rPr>
        <w:t>（联合体成员</w:t>
      </w:r>
      <w:r>
        <w:rPr>
          <w:rFonts w:ascii="宋体" w:hAnsi="宋体" w:cs="宋体"/>
          <w:color w:val="auto"/>
          <w:kern w:val="0"/>
          <w:sz w:val="24"/>
          <w:u w:val="single"/>
        </w:rPr>
        <w:t>X,</w:t>
      </w:r>
      <w:r>
        <w:rPr>
          <w:rFonts w:hint="eastAsia" w:ascii="宋体" w:hAnsi="宋体" w:cs="宋体"/>
          <w:color w:val="auto"/>
          <w:kern w:val="0"/>
          <w:sz w:val="24"/>
          <w:u w:val="single"/>
        </w:rPr>
        <w:t>……）</w:t>
      </w:r>
      <w:r>
        <w:rPr>
          <w:rFonts w:hint="eastAsia" w:ascii="宋体" w:hAnsi="宋体" w:cs="宋体"/>
          <w:color w:val="auto"/>
          <w:kern w:val="0"/>
          <w:sz w:val="24"/>
        </w:rPr>
        <w:t>提供的全部货物由小微企业制造，其合同份额占到合同总金额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kern w:val="0"/>
          <w:sz w:val="24"/>
          <w:lang w:val="zh-CN"/>
        </w:rPr>
        <w:t>……。</w:t>
      </w:r>
      <w:r>
        <w:rPr>
          <w:rFonts w:hint="eastAsia" w:ascii="宋体" w:hAnsi="宋体" w:cs="宋体"/>
          <w:b/>
          <w:color w:val="auto"/>
          <w:kern w:val="0"/>
          <w:sz w:val="24"/>
          <w:lang w:val="zh-CN"/>
        </w:rPr>
        <w:t>（未预留份额专门面向中小企业采购的采购项目，以及预留份额中的非预留部分采购包，接受联合体谈判的，联合协议约定小微企业的合同份额占到合同总金额30%以上的，对联合体报价按评审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pPr>
        <w:snapToGrid w:val="0"/>
        <w:spacing w:line="360" w:lineRule="auto"/>
        <w:ind w:firstLine="576"/>
        <w:rPr>
          <w:rFonts w:ascii="宋体" w:hAnsi="宋体" w:cs="宋体"/>
          <w:color w:val="auto"/>
          <w:kern w:val="0"/>
          <w:sz w:val="24"/>
          <w:lang w:val="zh-CN"/>
        </w:rPr>
      </w:pPr>
      <w:r>
        <w:rPr>
          <w:rFonts w:hint="eastAsia" w:ascii="宋体" w:hAnsi="宋体" w:cs="宋体"/>
          <w:color w:val="auto"/>
          <w:sz w:val="24"/>
        </w:rPr>
        <w:t>2、中小企业合同金额达到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要求以联合体形式参加的项目或采购包，供应商按</w:t>
      </w:r>
      <w:r>
        <w:rPr>
          <w:rFonts w:hint="eastAsia" w:ascii="宋体" w:hAnsi="宋体" w:cs="宋体"/>
          <w:b/>
          <w:color w:val="auto"/>
          <w:kern w:val="0"/>
          <w:sz w:val="24"/>
          <w:lang w:val="zh-CN"/>
        </w:rPr>
        <w:t>谈判</w:t>
      </w:r>
      <w:r>
        <w:rPr>
          <w:rFonts w:hint="eastAsia" w:ascii="宋体" w:hAnsi="宋体" w:cs="宋体"/>
          <w:b/>
          <w:bCs/>
          <w:color w:val="auto"/>
          <w:sz w:val="24"/>
        </w:rPr>
        <w:t>文件第一部分邀请公告申请人的资格要求中规定的联合协议中中小企业、小微企业合同金额应当达到的比例要求填写。</w:t>
      </w:r>
      <w:r>
        <w:rPr>
          <w:rFonts w:hint="eastAsia" w:ascii="宋体" w:hAnsi="宋体" w:cs="宋体"/>
          <w:b/>
          <w:bCs/>
          <w:color w:val="auto"/>
          <w:kern w:val="0"/>
          <w:sz w:val="24"/>
          <w:lang w:val="zh-CN"/>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五、如果成交，</w:t>
      </w:r>
      <w:r>
        <w:rPr>
          <w:rFonts w:hint="eastAsia" w:cs="宋体" w:asciiTheme="minorEastAsia" w:hAnsiTheme="minorEastAsia" w:eastAsiaTheme="minorEastAsia"/>
          <w:color w:val="auto"/>
          <w:sz w:val="24"/>
        </w:rPr>
        <w:t>联合体各成员方共同与采购人签订合同，并就采购合同约定的事项对采购人承担连带责任。</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六、有关本次联合响应的其他事宜：</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1、联合体各方不再单独参加或者与其他供应商另外组成联合体参加同一合同项下的政府采购活动。</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2、联合体中有同类资质的各方按照联合体分工承担相同工作的，按照资质等级较低的供应商确定资质等级。</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3、本协议提交采购人、采购代理机构后，联合体各方不得以任何形式对上述内容进行修改或撤销。</w:t>
      </w:r>
    </w:p>
    <w:p>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pPr>
        <w:snapToGrid w:val="0"/>
        <w:spacing w:line="360" w:lineRule="auto"/>
        <w:ind w:firstLine="5040" w:firstLineChars="2100"/>
        <w:rPr>
          <w:rStyle w:val="630"/>
          <w:color w:val="auto"/>
        </w:rPr>
      </w:pPr>
      <w:r>
        <w:rPr>
          <w:rStyle w:val="630"/>
          <w:rFonts w:hint="eastAsia"/>
          <w:color w:val="auto"/>
        </w:rPr>
        <w:t>法定代表人（负责人） (签名)：</w:t>
      </w:r>
    </w:p>
    <w:p>
      <w:pPr>
        <w:snapToGrid w:val="0"/>
        <w:spacing w:line="360" w:lineRule="auto"/>
        <w:ind w:firstLine="5040" w:firstLineChars="2100"/>
        <w:rPr>
          <w:rFonts w:ascii="宋体" w:hAnsi="宋体" w:cs="宋体"/>
          <w:color w:val="auto"/>
          <w:kern w:val="0"/>
          <w:sz w:val="24"/>
          <w:lang w:val="zh-CN"/>
        </w:rPr>
      </w:pPr>
      <w:r>
        <w:rPr>
          <w:rStyle w:val="630"/>
          <w:rFonts w:hint="eastAsia"/>
          <w:color w:val="auto"/>
        </w:rPr>
        <w:t>联合体成</w:t>
      </w:r>
      <w:r>
        <w:rPr>
          <w:rFonts w:hint="eastAsia" w:ascii="宋体" w:hAnsi="宋体" w:cs="宋体"/>
          <w:color w:val="auto"/>
          <w:kern w:val="0"/>
          <w:sz w:val="24"/>
          <w:lang w:val="zh-CN"/>
        </w:rPr>
        <w:t>员名称(公章)：</w:t>
      </w:r>
    </w:p>
    <w:p>
      <w:pPr>
        <w:snapToGrid w:val="0"/>
        <w:spacing w:line="360" w:lineRule="auto"/>
        <w:ind w:firstLine="5040" w:firstLineChars="2100"/>
        <w:rPr>
          <w:rFonts w:cs="宋体" w:asciiTheme="minorEastAsia" w:hAnsiTheme="minorEastAsia" w:eastAsiaTheme="minorEastAsia"/>
          <w:color w:val="auto"/>
          <w:kern w:val="0"/>
          <w:sz w:val="24"/>
          <w:lang w:val="zh-CN"/>
        </w:rPr>
      </w:pPr>
      <w:r>
        <w:rPr>
          <w:rStyle w:val="630"/>
          <w:rFonts w:hint="eastAsia"/>
          <w:color w:val="auto"/>
        </w:rPr>
        <w:t>法定代表人（负责人） (签名)：</w:t>
      </w:r>
    </w:p>
    <w:p>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pPr>
        <w:snapToGrid w:val="0"/>
        <w:spacing w:line="360" w:lineRule="auto"/>
        <w:jc w:val="right"/>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日期：  年  月   日</w:t>
      </w:r>
    </w:p>
    <w:p>
      <w:pPr>
        <w:spacing w:line="360" w:lineRule="auto"/>
        <w:ind w:right="42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注：按本格式和要求提供。</w:t>
      </w:r>
    </w:p>
    <w:p>
      <w:pPr>
        <w:snapToGrid w:val="0"/>
        <w:spacing w:line="360" w:lineRule="auto"/>
        <w:ind w:right="480"/>
        <w:jc w:val="center"/>
        <w:rPr>
          <w:rFonts w:cs="仿宋_GB2312" w:asciiTheme="minorEastAsia" w:hAnsiTheme="minorEastAsia" w:eastAsiaTheme="minorEastAsia"/>
          <w:b/>
          <w:color w:val="auto"/>
          <w:sz w:val="32"/>
          <w:szCs w:val="32"/>
        </w:rPr>
      </w:pPr>
    </w:p>
    <w:p>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pPr>
        <w:snapToGrid w:val="0"/>
        <w:spacing w:line="360" w:lineRule="auto"/>
        <w:ind w:right="480"/>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sz w:val="32"/>
          <w:szCs w:val="32"/>
        </w:rPr>
        <w:t>C、</w:t>
      </w:r>
      <w:r>
        <w:rPr>
          <w:rFonts w:hint="eastAsia" w:cs="宋体" w:asciiTheme="minorEastAsia" w:hAnsiTheme="minorEastAsia" w:eastAsiaTheme="minorEastAsia"/>
          <w:b/>
          <w:color w:val="auto"/>
          <w:kern w:val="0"/>
          <w:sz w:val="32"/>
          <w:szCs w:val="32"/>
        </w:rPr>
        <w:t>落实政府采购政策需满足的资格要求</w:t>
      </w:r>
    </w:p>
    <w:p>
      <w:pPr>
        <w:spacing w:line="360" w:lineRule="auto"/>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w:t>
      </w:r>
      <w:r>
        <w:rPr>
          <w:rFonts w:hint="eastAsia" w:cs="宋体" w:asciiTheme="minorEastAsia" w:hAnsiTheme="minorEastAsia" w:eastAsiaTheme="minorEastAsia"/>
          <w:b/>
          <w:bCs/>
          <w:color w:val="auto"/>
          <w:sz w:val="24"/>
        </w:rPr>
        <w:t>谈判文件第一部分竞争性谈判邀请公告中</w:t>
      </w:r>
      <w:r>
        <w:rPr>
          <w:rFonts w:hint="eastAsia" w:cs="宋体" w:asciiTheme="minorEastAsia" w:hAnsiTheme="minorEastAsia" w:eastAsiaTheme="minorEastAsia"/>
          <w:color w:val="auto"/>
          <w:sz w:val="24"/>
        </w:rPr>
        <w:t>落实政府采购政策需满足的资格要求选择提供相应的材料；未要求的，无需提供）</w:t>
      </w:r>
    </w:p>
    <w:p>
      <w:pPr>
        <w:snapToGrid w:val="0"/>
        <w:spacing w:before="50" w:after="50"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a</w:t>
      </w:r>
      <w:r>
        <w:rPr>
          <w:rFonts w:hint="eastAsia" w:cs="宋体" w:asciiTheme="minorEastAsia" w:hAnsiTheme="minorEastAsia" w:eastAsiaTheme="minorEastAsia"/>
          <w:color w:val="auto"/>
          <w:sz w:val="24"/>
        </w:rPr>
        <w:t>.专门面向中小企业，货物全部由符合政策要求的中小企业（或小微企业）制造的，提供相应的中小企业声明函（附件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 xml:space="preserve">）。 </w:t>
      </w:r>
    </w:p>
    <w:p>
      <w:pPr>
        <w:widowControl/>
        <w:spacing w:line="360" w:lineRule="auto"/>
        <w:ind w:firstLine="480"/>
        <w:jc w:val="left"/>
        <w:rPr>
          <w:rFonts w:cs="宋体" w:asciiTheme="minorEastAsia" w:hAnsiTheme="minorEastAsia" w:eastAsiaTheme="minorEastAsia"/>
          <w:color w:val="auto"/>
          <w:sz w:val="24"/>
        </w:rPr>
      </w:pPr>
    </w:p>
    <w:p>
      <w:pPr>
        <w:widowControl/>
        <w:spacing w:line="360" w:lineRule="auto"/>
        <w:ind w:firstLine="472" w:firstLineChars="196"/>
        <w:jc w:val="left"/>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b.</w:t>
      </w:r>
      <w:r>
        <w:rPr>
          <w:rFonts w:hint="eastAsia" w:cs="宋体" w:asciiTheme="minorEastAsia" w:hAnsiTheme="minorEastAsia" w:eastAsiaTheme="minorEastAsia"/>
          <w:color w:val="auto"/>
          <w:sz w:val="24"/>
        </w:rPr>
        <w:t>要求以联合体形式参加的，提供联合协议和中小企业声明函（附件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），联合协议中中小企业合同金额应当达到</w:t>
      </w:r>
      <w:r>
        <w:rPr>
          <w:rFonts w:hint="eastAsia" w:cs="宋体" w:asciiTheme="minorEastAsia" w:hAnsiTheme="minorEastAsia" w:eastAsiaTheme="minorEastAsia"/>
          <w:b/>
          <w:bCs/>
          <w:color w:val="auto"/>
          <w:sz w:val="24"/>
        </w:rPr>
        <w:t>竞争性谈判邀请公告</w:t>
      </w:r>
      <w:r>
        <w:rPr>
          <w:rFonts w:hint="eastAsia" w:cs="宋体" w:asciiTheme="minorEastAsia" w:hAnsiTheme="minorEastAsia" w:eastAsiaTheme="minorEastAsia"/>
          <w:color w:val="auto"/>
          <w:sz w:val="24"/>
        </w:rPr>
        <w:t>载明的比例；如果供应商本身提供所有标的均由中小企业承接的，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视同符合了资格条件，无需再与其他中小企业组成联合体参加政府采购活动，无需提供联合协议。</w:t>
      </w:r>
    </w:p>
    <w:p>
      <w:pPr>
        <w:snapToGrid w:val="0"/>
        <w:spacing w:before="50" w:after="50" w:line="360" w:lineRule="auto"/>
        <w:jc w:val="center"/>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 xml:space="preserve">    </w:t>
      </w:r>
    </w:p>
    <w:p>
      <w:pPr>
        <w:spacing w:line="360" w:lineRule="auto"/>
        <w:ind w:firstLine="482" w:firstLineChars="200"/>
        <w:rPr>
          <w:rFonts w:cs="宋体" w:asciiTheme="minorEastAsia" w:hAnsiTheme="minorEastAsia" w:eastAsiaTheme="minorEastAsia"/>
          <w:color w:val="auto"/>
          <w:sz w:val="24"/>
        </w:rPr>
      </w:pPr>
      <w:r>
        <w:rPr>
          <w:rFonts w:hint="eastAsia" w:cs="宋体" w:asciiTheme="minorEastAsia" w:hAnsiTheme="minorEastAsia" w:eastAsiaTheme="minorEastAsia"/>
          <w:b/>
          <w:color w:val="auto"/>
          <w:sz w:val="24"/>
        </w:rPr>
        <w:t>c、</w:t>
      </w:r>
      <w:r>
        <w:rPr>
          <w:rFonts w:hint="eastAsia" w:cs="宋体" w:asciiTheme="minorEastAsia" w:hAnsiTheme="minorEastAsia" w:eastAsiaTheme="minorEastAsia"/>
          <w:color w:val="auto"/>
          <w:sz w:val="24"/>
        </w:rPr>
        <w:t>要求合同分包的，提供分包意向协议和中小企业声明函（附件</w:t>
      </w:r>
      <w:r>
        <w:rPr>
          <w:rFonts w:cs="宋体" w:asciiTheme="minorEastAsia" w:hAnsiTheme="minorEastAsia" w:eastAsiaTheme="minorEastAsia"/>
          <w:color w:val="auto"/>
          <w:sz w:val="24"/>
        </w:rPr>
        <w:t>5</w:t>
      </w:r>
      <w:r>
        <w:rPr>
          <w:rFonts w:hint="eastAsia" w:cs="宋体" w:asciiTheme="minorEastAsia" w:hAnsiTheme="minorEastAsia" w:eastAsiaTheme="minorEastAsia"/>
          <w:color w:val="auto"/>
          <w:sz w:val="24"/>
        </w:rPr>
        <w:t>），分包意向协议中中小企业合同金额应当达到</w:t>
      </w:r>
      <w:r>
        <w:rPr>
          <w:rFonts w:hint="eastAsia" w:cs="宋体" w:asciiTheme="minorEastAsia" w:hAnsiTheme="minorEastAsia" w:eastAsiaTheme="minorEastAsia"/>
          <w:b/>
          <w:bCs/>
          <w:color w:val="auto"/>
          <w:sz w:val="24"/>
        </w:rPr>
        <w:t>竞争性谈判邀请公告</w:t>
      </w:r>
      <w:r>
        <w:rPr>
          <w:rFonts w:hint="eastAsia" w:cs="宋体" w:asciiTheme="minorEastAsia" w:hAnsiTheme="minorEastAsia" w:eastAsiaTheme="minorEastAsia"/>
          <w:color w:val="auto"/>
          <w:sz w:val="24"/>
        </w:rPr>
        <w:t>载明的比例；如果供应商本身提供的所有标的均由中小企业承接的，</w:t>
      </w:r>
      <w:r>
        <w:rPr>
          <w:rFonts w:hint="eastAsia" w:ascii="宋体" w:hAnsi="宋体" w:cs="宋体"/>
          <w:color w:val="auto"/>
          <w:spacing w:val="8"/>
          <w:kern w:val="0"/>
          <w:sz w:val="24"/>
        </w:rPr>
        <w:t>并相应达到了前述比例要求，</w:t>
      </w:r>
      <w:r>
        <w:rPr>
          <w:rFonts w:hint="eastAsia" w:cs="宋体" w:asciiTheme="minorEastAsia" w:hAnsiTheme="minorEastAsia" w:eastAsiaTheme="minorEastAsia"/>
          <w:color w:val="auto"/>
          <w:sz w:val="24"/>
        </w:rPr>
        <w:t>视同符合了资格条件，无需再向中小企业分包，无需提供分包意向协议。</w:t>
      </w:r>
    </w:p>
    <w:p>
      <w:pPr>
        <w:spacing w:line="360" w:lineRule="auto"/>
        <w:jc w:val="center"/>
        <w:rPr>
          <w:rFonts w:cs="仿宋_GB2312" w:asciiTheme="minorEastAsia" w:hAnsiTheme="minorEastAsia" w:eastAsiaTheme="minorEastAsia"/>
          <w:b/>
          <w:color w:val="auto"/>
          <w:sz w:val="32"/>
          <w:szCs w:val="32"/>
        </w:rPr>
      </w:pPr>
    </w:p>
    <w:p>
      <w:pPr>
        <w:spacing w:line="360" w:lineRule="auto"/>
        <w:jc w:val="center"/>
        <w:rPr>
          <w:rFonts w:cs="仿宋_GB2312" w:asciiTheme="minorEastAsia" w:hAnsiTheme="minorEastAsia" w:eastAsiaTheme="minorEastAsia"/>
          <w:b/>
          <w:color w:val="auto"/>
          <w:sz w:val="32"/>
          <w:szCs w:val="32"/>
        </w:rPr>
      </w:pPr>
    </w:p>
    <w:p>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D、符合特定资格条件要求的资质文件（复印件）</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（由供应商根据“谈判文件第一部分”中“合格的供应商应具备的特定资格要求”编制；如果本项目没有设置特定资格条件，则不需要提供）</w:t>
      </w:r>
    </w:p>
    <w:p>
      <w:pPr>
        <w:widowControl/>
        <w:spacing w:line="360" w:lineRule="auto"/>
        <w:ind w:firstLine="480" w:firstLineChars="200"/>
        <w:jc w:val="left"/>
        <w:rPr>
          <w:rFonts w:cs="仿宋_GB2312" w:asciiTheme="minorEastAsia" w:hAnsiTheme="minorEastAsia" w:eastAsiaTheme="minorEastAsia"/>
          <w:color w:val="auto"/>
          <w:sz w:val="24"/>
        </w:rPr>
      </w:pPr>
    </w:p>
    <w:p>
      <w:pPr>
        <w:snapToGrid w:val="0"/>
        <w:spacing w:line="360" w:lineRule="auto"/>
        <w:rPr>
          <w:rFonts w:cs="仿宋_GB2312" w:asciiTheme="minorEastAsia" w:hAnsiTheme="minorEastAsia" w:eastAsiaTheme="minorEastAsia"/>
          <w:color w:val="auto"/>
          <w:kern w:val="0"/>
          <w:sz w:val="24"/>
          <w:lang w:val="zh-CN"/>
        </w:rPr>
      </w:pPr>
    </w:p>
    <w:p>
      <w:pPr>
        <w:snapToGrid w:val="0"/>
        <w:spacing w:line="360" w:lineRule="auto"/>
        <w:rPr>
          <w:rFonts w:cs="仿宋_GB2312" w:asciiTheme="minorEastAsia" w:hAnsiTheme="minorEastAsia" w:eastAsiaTheme="minorEastAsia"/>
          <w:color w:val="auto"/>
          <w:kern w:val="0"/>
          <w:sz w:val="24"/>
          <w:lang w:val="zh-CN"/>
        </w:rPr>
      </w:pPr>
    </w:p>
    <w:p>
      <w:pPr>
        <w:snapToGrid w:val="0"/>
        <w:spacing w:line="360" w:lineRule="auto"/>
        <w:ind w:right="480"/>
        <w:jc w:val="center"/>
        <w:rPr>
          <w:rFonts w:cs="仿宋_GB2312" w:asciiTheme="minorEastAsia" w:hAnsiTheme="minorEastAsia" w:eastAsiaTheme="minorEastAsia"/>
          <w:b/>
          <w:color w:val="auto"/>
          <w:kern w:val="0"/>
          <w:sz w:val="32"/>
          <w:szCs w:val="32"/>
          <w:lang w:val="zh-CN"/>
        </w:rPr>
        <w:sectPr>
          <w:headerReference r:id="rId4" w:type="first"/>
          <w:footerReference r:id="rId7" w:type="first"/>
          <w:headerReference r:id="rId3" w:type="default"/>
          <w:footerReference r:id="rId5" w:type="default"/>
          <w:footerReference r:id="rId6" w:type="even"/>
          <w:pgSz w:w="11906" w:h="16838"/>
          <w:pgMar w:top="1247" w:right="1134" w:bottom="1276" w:left="1134" w:header="850" w:footer="1020" w:gutter="0"/>
          <w:cols w:space="720" w:num="1"/>
          <w:titlePg/>
          <w:docGrid w:linePitch="312" w:charSpace="0"/>
        </w:sectPr>
      </w:pPr>
    </w:p>
    <w:p>
      <w:pPr>
        <w:jc w:val="center"/>
        <w:rPr>
          <w:rFonts w:ascii="宋体" w:hAnsi="宋体" w:cs="宋体"/>
          <w:b/>
          <w:color w:val="auto"/>
          <w:kern w:val="0"/>
          <w:sz w:val="32"/>
          <w:szCs w:val="32"/>
          <w:lang w:val="zh-CN"/>
        </w:rPr>
      </w:pPr>
      <w:r>
        <w:rPr>
          <w:rFonts w:hint="eastAsia" w:cs="仿宋_GB2312" w:asciiTheme="minorEastAsia" w:hAnsiTheme="minorEastAsia" w:eastAsiaTheme="minorEastAsia"/>
          <w:b/>
          <w:color w:val="auto"/>
          <w:kern w:val="0"/>
          <w:sz w:val="32"/>
          <w:szCs w:val="32"/>
          <w:lang w:val="zh-CN"/>
        </w:rPr>
        <w:t>三、</w:t>
      </w:r>
      <w:r>
        <w:rPr>
          <w:rFonts w:hint="eastAsia" w:ascii="宋体" w:hAnsi="宋体" w:cs="宋体"/>
          <w:b/>
          <w:color w:val="auto"/>
          <w:kern w:val="0"/>
          <w:sz w:val="32"/>
          <w:szCs w:val="32"/>
          <w:lang w:val="zh-CN"/>
        </w:rPr>
        <w:t>授权委托书或法定代表人（单位负责人、自然人本人）身份证明</w:t>
      </w:r>
    </w:p>
    <w:p>
      <w:pPr>
        <w:snapToGrid w:val="0"/>
        <w:spacing w:line="360" w:lineRule="auto"/>
        <w:rPr>
          <w:rFonts w:ascii="宋体" w:hAnsi="宋体" w:cs="宋体"/>
          <w:color w:val="auto"/>
          <w:sz w:val="24"/>
        </w:rPr>
      </w:pPr>
      <w:r>
        <w:rPr>
          <w:rFonts w:hint="eastAsia" w:ascii="宋体" w:hAnsi="宋体" w:cs="宋体"/>
          <w:color w:val="auto"/>
          <w:sz w:val="24"/>
        </w:rPr>
        <w:t xml:space="preserve">                                </w:t>
      </w:r>
    </w:p>
    <w:p>
      <w:pPr>
        <w:snapToGrid w:val="0"/>
        <w:spacing w:line="360" w:lineRule="auto"/>
        <w:ind w:firstLine="2872" w:firstLineChars="894"/>
        <w:rPr>
          <w:rFonts w:ascii="宋体" w:hAnsi="宋体" w:cs="宋体"/>
          <w:color w:val="auto"/>
        </w:rPr>
      </w:pPr>
      <w:r>
        <w:rPr>
          <w:rFonts w:hint="eastAsia" w:ascii="宋体" w:hAnsi="宋体" w:cs="宋体"/>
          <w:b/>
          <w:color w:val="auto"/>
          <w:kern w:val="0"/>
          <w:sz w:val="32"/>
          <w:szCs w:val="32"/>
          <w:lang w:val="zh-CN"/>
        </w:rPr>
        <w:t>授权委托书（适用于非联合体谈判）</w:t>
      </w:r>
      <w:r>
        <w:rPr>
          <w:rFonts w:hint="eastAsia" w:ascii="宋体" w:hAnsi="宋体" w:cs="宋体"/>
          <w:color w:val="auto"/>
        </w:rPr>
        <w:t xml:space="preserve">                               </w:t>
      </w:r>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政府采购谈判的一切事项，其法律后果由我方承担。</w:t>
      </w:r>
    </w:p>
    <w:p>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pPr>
        <w:spacing w:line="360" w:lineRule="auto"/>
        <w:ind w:left="4649" w:leftChars="2214" w:firstLine="3600" w:firstLineChars="1500"/>
        <w:rPr>
          <w:rFonts w:ascii="宋体" w:hAnsi="宋体" w:cs="宋体"/>
          <w:color w:val="auto"/>
          <w:sz w:val="24"/>
        </w:rPr>
      </w:pPr>
      <w:r>
        <w:rPr>
          <w:rFonts w:hint="eastAsia" w:ascii="宋体" w:hAnsi="宋体" w:cs="宋体"/>
          <w:color w:val="auto"/>
          <w:kern w:val="0"/>
          <w:sz w:val="24"/>
          <w:lang w:val="zh-CN"/>
        </w:rPr>
        <w:t xml:space="preserve">                                                 </w:t>
      </w:r>
      <w:r>
        <w:rPr>
          <w:rFonts w:hint="eastAsia" w:ascii="宋体" w:hAnsi="宋体" w:cs="宋体"/>
          <w:color w:val="auto"/>
          <w:sz w:val="24"/>
        </w:rPr>
        <w:t>谈判供应商名称（公章）：</w:t>
      </w:r>
    </w:p>
    <w:p>
      <w:pPr>
        <w:snapToGrid w:val="0"/>
        <w:spacing w:line="360" w:lineRule="auto"/>
        <w:ind w:left="4649" w:leftChars="2214"/>
        <w:rPr>
          <w:rFonts w:ascii="宋体" w:hAnsi="宋体" w:cs="宋体"/>
          <w:color w:val="auto"/>
          <w:kern w:val="0"/>
          <w:sz w:val="24"/>
        </w:rPr>
      </w:pPr>
      <w:r>
        <w:rPr>
          <w:rFonts w:hint="eastAsia" w:ascii="宋体" w:hAnsi="宋体" w:cs="宋体"/>
          <w:color w:val="auto"/>
          <w:sz w:val="24"/>
        </w:rPr>
        <w:t>法定代表人（负责人） (签名)：</w:t>
      </w:r>
    </w:p>
    <w:p>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签发日期：  年  月   日</w:t>
      </w:r>
    </w:p>
    <w:p>
      <w:pPr>
        <w:adjustRightInd/>
        <w:spacing w:line="360" w:lineRule="auto"/>
        <w:rPr>
          <w:rFonts w:ascii="宋体" w:hAnsi="宋体"/>
          <w:color w:val="auto"/>
          <w:sz w:val="24"/>
          <w:szCs w:val="21"/>
        </w:rPr>
      </w:pPr>
    </w:p>
    <w:p>
      <w:pPr>
        <w:adjustRightInd/>
        <w:spacing w:line="360" w:lineRule="auto"/>
        <w:rPr>
          <w:rFonts w:ascii="宋体" w:hAnsi="宋体" w:cs="宋体"/>
          <w:bCs/>
          <w:color w:val="auto"/>
          <w:sz w:val="24"/>
          <w:szCs w:val="21"/>
        </w:rPr>
      </w:pPr>
      <w:r>
        <w:rPr>
          <w:rFonts w:hint="eastAsia" w:ascii="宋体" w:hAnsi="宋体"/>
          <w:color w:val="auto"/>
          <w:sz w:val="24"/>
          <w:szCs w:val="21"/>
        </w:rPr>
        <w:t>委托代理人和法定代表人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pPr>
              <w:spacing w:line="360" w:lineRule="auto"/>
              <w:rPr>
                <w:rFonts w:ascii="宋体" w:hAnsi="宋体" w:cs="宋体"/>
                <w:bCs/>
                <w:color w:val="auto"/>
                <w:sz w:val="24"/>
                <w:szCs w:val="21"/>
              </w:rPr>
            </w:pPr>
          </w:p>
          <w:p>
            <w:pPr>
              <w:spacing w:line="360" w:lineRule="auto"/>
              <w:rPr>
                <w:rFonts w:ascii="宋体" w:hAnsi="宋体" w:cs="宋体"/>
                <w:bCs/>
                <w:color w:val="auto"/>
                <w:sz w:val="24"/>
                <w:szCs w:val="21"/>
              </w:rPr>
            </w:pPr>
          </w:p>
          <w:p>
            <w:pPr>
              <w:spacing w:line="360" w:lineRule="auto"/>
              <w:rPr>
                <w:rFonts w:ascii="宋体" w:hAnsi="宋体" w:cs="宋体"/>
                <w:bCs/>
                <w:color w:val="auto"/>
                <w:sz w:val="24"/>
                <w:szCs w:val="21"/>
              </w:rPr>
            </w:pPr>
          </w:p>
          <w:p>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pPr>
              <w:spacing w:line="360" w:lineRule="auto"/>
              <w:rPr>
                <w:rFonts w:ascii="宋体" w:hAnsi="宋体" w:cs="宋体"/>
                <w:bCs/>
                <w:color w:val="auto"/>
                <w:sz w:val="24"/>
                <w:szCs w:val="21"/>
              </w:rPr>
            </w:pPr>
          </w:p>
        </w:tc>
      </w:tr>
    </w:tbl>
    <w:p>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pPr>
        <w:snapToGrid w:val="0"/>
        <w:spacing w:line="360" w:lineRule="auto"/>
        <w:ind w:right="480"/>
        <w:rPr>
          <w:rFonts w:ascii="宋体" w:hAnsi="宋体" w:cs="宋体"/>
          <w:b/>
          <w:color w:val="auto"/>
          <w:kern w:val="0"/>
          <w:sz w:val="32"/>
          <w:szCs w:val="32"/>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pPr>
        <w:snapToGrid w:val="0"/>
        <w:spacing w:line="360" w:lineRule="auto"/>
        <w:rPr>
          <w:rFonts w:ascii="宋体" w:hAnsi="宋体" w:cs="宋体"/>
          <w:color w:val="auto"/>
          <w:sz w:val="24"/>
        </w:rPr>
      </w:pPr>
    </w:p>
    <w:p>
      <w:pPr>
        <w:jc w:val="center"/>
        <w:rPr>
          <w:rFonts w:ascii="宋体" w:hAnsi="宋体" w:cs="宋体"/>
          <w:b/>
          <w:color w:val="auto"/>
          <w:kern w:val="0"/>
          <w:sz w:val="32"/>
          <w:szCs w:val="32"/>
        </w:rPr>
      </w:pPr>
      <w:r>
        <w:rPr>
          <w:rFonts w:hint="eastAsia" w:ascii="宋体" w:hAnsi="宋体" w:cs="宋体"/>
          <w:b/>
          <w:color w:val="auto"/>
          <w:kern w:val="0"/>
          <w:sz w:val="32"/>
          <w:szCs w:val="32"/>
        </w:rPr>
        <w:t xml:space="preserve">       </w:t>
      </w:r>
      <w:r>
        <w:rPr>
          <w:rFonts w:hint="eastAsia" w:ascii="宋体" w:hAnsi="宋体" w:cs="宋体"/>
          <w:b/>
          <w:color w:val="auto"/>
          <w:kern w:val="0"/>
          <w:sz w:val="32"/>
          <w:szCs w:val="32"/>
          <w:lang w:val="zh-CN"/>
        </w:rPr>
        <w:t>授权委托书（适用于联合体谈判）</w:t>
      </w:r>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snapToGrid w:val="0"/>
        <w:spacing w:line="360" w:lineRule="auto"/>
        <w:ind w:firstLine="576"/>
        <w:rPr>
          <w:rFonts w:ascii="宋体" w:hAnsi="宋体" w:cs="宋体"/>
          <w:color w:val="auto"/>
          <w:kern w:val="0"/>
          <w:sz w:val="24"/>
        </w:rPr>
      </w:pPr>
      <w:r>
        <w:rPr>
          <w:rFonts w:hint="eastAsia" w:ascii="宋体" w:hAnsi="宋体" w:cs="宋体"/>
          <w:color w:val="auto"/>
          <w:kern w:val="0"/>
          <w:sz w:val="24"/>
        </w:rPr>
        <w:t>现</w:t>
      </w:r>
      <w:r>
        <w:rPr>
          <w:rFonts w:hint="eastAsia" w:ascii="宋体" w:hAnsi="宋体" w:cs="宋体"/>
          <w:color w:val="auto"/>
          <w:kern w:val="0"/>
          <w:sz w:val="24"/>
          <w:lang w:val="zh-CN"/>
        </w:rPr>
        <w:t>委托</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（姓名）为我方代理人（身份证号码：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），以我方名义处理</w:t>
      </w:r>
      <w:r>
        <w:rPr>
          <w:rFonts w:hint="eastAsia" w:ascii="宋体" w:hAnsi="宋体" w:cs="宋体"/>
          <w:color w:val="auto"/>
          <w:sz w:val="24"/>
        </w:rPr>
        <w:t>（项目名称）【项目编号：（采购编号）】</w:t>
      </w:r>
      <w:r>
        <w:rPr>
          <w:rFonts w:hint="eastAsia" w:ascii="宋体" w:hAnsi="宋体" w:cs="宋体"/>
          <w:color w:val="auto"/>
          <w:kern w:val="0"/>
          <w:sz w:val="24"/>
          <w:lang w:val="zh-CN"/>
        </w:rPr>
        <w:t>政府采购谈判的一切事项，其法律后果由我方承担。</w:t>
      </w:r>
    </w:p>
    <w:p>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委托期限</w:t>
      </w:r>
      <w:r>
        <w:rPr>
          <w:rFonts w:hint="eastAsia" w:ascii="宋体" w:hAnsi="宋体" w:cs="宋体"/>
          <w:color w:val="auto"/>
          <w:kern w:val="0"/>
          <w:sz w:val="24"/>
        </w:rPr>
        <w:t>：</w:t>
      </w:r>
      <w:r>
        <w:rPr>
          <w:rFonts w:hint="eastAsia" w:ascii="宋体" w:hAnsi="宋体" w:cs="宋体"/>
          <w:color w:val="auto"/>
          <w:kern w:val="0"/>
          <w:sz w:val="24"/>
          <w:lang w:val="zh-CN"/>
        </w:rPr>
        <w:t>自</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日起至</w:t>
      </w:r>
      <w:r>
        <w:rPr>
          <w:rFonts w:hint="eastAsia" w:ascii="宋体" w:hAnsi="宋体" w:cs="宋体"/>
          <w:color w:val="auto"/>
          <w:kern w:val="0"/>
          <w:sz w:val="24"/>
        </w:rPr>
        <w:t xml:space="preserve">  </w:t>
      </w:r>
      <w:r>
        <w:rPr>
          <w:rFonts w:hint="eastAsia" w:ascii="宋体" w:hAnsi="宋体" w:cs="宋体"/>
          <w:color w:val="auto"/>
          <w:kern w:val="0"/>
          <w:sz w:val="24"/>
          <w:lang w:val="zh-CN"/>
        </w:rPr>
        <w:t>年</w:t>
      </w:r>
      <w:r>
        <w:rPr>
          <w:rFonts w:hint="eastAsia" w:ascii="宋体" w:hAnsi="宋体" w:cs="宋体"/>
          <w:color w:val="auto"/>
          <w:kern w:val="0"/>
          <w:sz w:val="24"/>
        </w:rPr>
        <w:t xml:space="preserve">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日止。</w:t>
      </w:r>
    </w:p>
    <w:p>
      <w:pPr>
        <w:snapToGrid w:val="0"/>
        <w:spacing w:line="360" w:lineRule="auto"/>
        <w:rPr>
          <w:rFonts w:ascii="宋体" w:hAnsi="宋体" w:cs="宋体"/>
          <w:color w:val="auto"/>
          <w:kern w:val="0"/>
          <w:sz w:val="24"/>
        </w:rPr>
      </w:pPr>
      <w:r>
        <w:rPr>
          <w:rFonts w:hint="eastAsia" w:ascii="宋体" w:hAnsi="宋体" w:cs="宋体"/>
          <w:color w:val="auto"/>
          <w:kern w:val="0"/>
          <w:sz w:val="24"/>
        </w:rPr>
        <w:t xml:space="preserve">    </w:t>
      </w:r>
      <w:r>
        <w:rPr>
          <w:rFonts w:hint="eastAsia" w:ascii="宋体" w:hAnsi="宋体" w:cs="宋体"/>
          <w:color w:val="auto"/>
          <w:kern w:val="0"/>
          <w:sz w:val="24"/>
          <w:lang w:val="zh-CN"/>
        </w:rPr>
        <w:t>特此告知。</w:t>
      </w: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jc w:val="center"/>
        <w:rPr>
          <w:rFonts w:ascii="宋体" w:hAnsi="宋体" w:cs="宋体"/>
          <w:b/>
          <w:color w:val="auto"/>
          <w:kern w:val="0"/>
          <w:sz w:val="32"/>
          <w:szCs w:val="32"/>
        </w:rPr>
      </w:pPr>
    </w:p>
    <w:p>
      <w:pPr>
        <w:rPr>
          <w:rFonts w:ascii="宋体" w:hAnsi="宋体" w:cs="宋体"/>
          <w:color w:val="auto"/>
        </w:rPr>
      </w:pPr>
    </w:p>
    <w:p>
      <w:pPr>
        <w:snapToGrid w:val="0"/>
        <w:spacing w:line="360" w:lineRule="auto"/>
        <w:ind w:firstLine="5040" w:firstLineChars="2100"/>
        <w:rPr>
          <w:rFonts w:ascii="宋体" w:hAnsi="宋体" w:cs="宋体"/>
          <w:color w:val="auto"/>
          <w:kern w:val="0"/>
          <w:sz w:val="24"/>
          <w:lang w:val="zh-CN"/>
        </w:rPr>
      </w:pPr>
      <w:r>
        <w:rPr>
          <w:rFonts w:hint="eastAsia" w:ascii="宋体" w:hAnsi="宋体" w:cs="宋体"/>
          <w:color w:val="auto"/>
          <w:kern w:val="0"/>
          <w:sz w:val="24"/>
          <w:lang w:val="zh-CN"/>
        </w:rPr>
        <w:t>联合体成员名称(公章)：</w:t>
      </w:r>
    </w:p>
    <w:p>
      <w:pPr>
        <w:snapToGrid w:val="0"/>
        <w:spacing w:line="360" w:lineRule="auto"/>
        <w:ind w:firstLine="5040" w:firstLineChars="2100"/>
        <w:rPr>
          <w:rFonts w:ascii="宋体" w:hAnsi="宋体"/>
          <w:color w:val="auto"/>
          <w:sz w:val="24"/>
        </w:rPr>
      </w:pPr>
      <w:r>
        <w:rPr>
          <w:rFonts w:hint="eastAsia" w:ascii="宋体" w:hAnsi="宋体"/>
          <w:color w:val="auto"/>
          <w:sz w:val="24"/>
        </w:rPr>
        <w:t>法定代表人（负责人） (签名)：</w:t>
      </w:r>
    </w:p>
    <w:p>
      <w:pPr>
        <w:snapToGrid w:val="0"/>
        <w:spacing w:line="360" w:lineRule="auto"/>
        <w:ind w:firstLine="5040" w:firstLineChars="2100"/>
        <w:rPr>
          <w:rFonts w:ascii="宋体" w:hAnsi="宋体" w:cs="宋体"/>
          <w:color w:val="auto"/>
          <w:kern w:val="0"/>
          <w:sz w:val="24"/>
          <w:lang w:val="zh-CN"/>
        </w:rPr>
      </w:pPr>
      <w:r>
        <w:rPr>
          <w:rFonts w:hint="eastAsia" w:ascii="宋体" w:hAnsi="宋体"/>
          <w:color w:val="auto"/>
          <w:sz w:val="24"/>
        </w:rPr>
        <w:t>联合体成</w:t>
      </w:r>
      <w:r>
        <w:rPr>
          <w:rFonts w:hint="eastAsia" w:ascii="宋体" w:hAnsi="宋体" w:cs="宋体"/>
          <w:color w:val="auto"/>
          <w:kern w:val="0"/>
          <w:sz w:val="24"/>
          <w:lang w:val="zh-CN"/>
        </w:rPr>
        <w:t>员名称(公章)：</w:t>
      </w:r>
    </w:p>
    <w:p>
      <w:pPr>
        <w:snapToGrid w:val="0"/>
        <w:spacing w:line="360" w:lineRule="auto"/>
        <w:ind w:firstLine="5040" w:firstLineChars="2100"/>
        <w:jc w:val="left"/>
        <w:rPr>
          <w:rFonts w:ascii="宋体" w:hAnsi="宋体"/>
          <w:color w:val="auto"/>
          <w:kern w:val="0"/>
          <w:sz w:val="24"/>
          <w:szCs w:val="20"/>
        </w:rPr>
      </w:pPr>
      <w:r>
        <w:rPr>
          <w:rFonts w:hint="eastAsia" w:ascii="宋体" w:hAnsi="宋体"/>
          <w:color w:val="auto"/>
          <w:kern w:val="0"/>
          <w:sz w:val="24"/>
          <w:szCs w:val="20"/>
        </w:rPr>
        <w:t>法定代表人（负责人） (签名)：</w:t>
      </w:r>
    </w:p>
    <w:p>
      <w:pPr>
        <w:snapToGrid w:val="0"/>
        <w:spacing w:line="360" w:lineRule="auto"/>
        <w:ind w:firstLine="5040" w:firstLineChars="2100"/>
        <w:rPr>
          <w:rFonts w:ascii="宋体" w:hAnsi="宋体" w:cs="宋体"/>
          <w:color w:val="auto"/>
          <w:kern w:val="0"/>
          <w:sz w:val="24"/>
          <w:lang w:val="zh-CN"/>
        </w:rPr>
      </w:pPr>
    </w:p>
    <w:p>
      <w:pPr>
        <w:snapToGrid w:val="0"/>
        <w:spacing w:line="360" w:lineRule="auto"/>
        <w:ind w:firstLine="5760" w:firstLineChars="2400"/>
        <w:rPr>
          <w:rFonts w:ascii="宋体" w:hAnsi="宋体" w:cs="宋体"/>
          <w:color w:val="auto"/>
        </w:rPr>
      </w:pPr>
      <w:r>
        <w:rPr>
          <w:rFonts w:hint="eastAsia" w:ascii="宋体" w:hAnsi="宋体" w:cs="宋体"/>
          <w:color w:val="auto"/>
          <w:kern w:val="0"/>
          <w:sz w:val="24"/>
          <w:lang w:val="zh-CN"/>
        </w:rPr>
        <w:t>……</w:t>
      </w:r>
    </w:p>
    <w:p>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  年  月   日</w:t>
      </w:r>
    </w:p>
    <w:p>
      <w:pPr>
        <w:adjustRightInd/>
        <w:spacing w:line="360" w:lineRule="auto"/>
        <w:rPr>
          <w:rFonts w:ascii="宋体" w:hAnsi="宋体"/>
          <w:color w:val="auto"/>
          <w:sz w:val="24"/>
          <w:szCs w:val="21"/>
        </w:rPr>
      </w:pPr>
    </w:p>
    <w:p>
      <w:pPr>
        <w:adjustRightInd/>
        <w:spacing w:line="360" w:lineRule="auto"/>
        <w:rPr>
          <w:rFonts w:ascii="宋体" w:hAnsi="宋体" w:cs="宋体"/>
          <w:bCs/>
          <w:color w:val="auto"/>
          <w:sz w:val="24"/>
          <w:szCs w:val="21"/>
        </w:rPr>
      </w:pPr>
      <w:r>
        <w:rPr>
          <w:rFonts w:hint="eastAsia" w:ascii="宋体" w:hAnsi="宋体"/>
          <w:color w:val="auto"/>
          <w:sz w:val="24"/>
          <w:szCs w:val="21"/>
        </w:rPr>
        <w:t>委托代理人和联合体牵头单位法定代表人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pPr>
              <w:spacing w:line="360" w:lineRule="auto"/>
              <w:rPr>
                <w:rFonts w:ascii="宋体" w:hAnsi="宋体" w:cs="宋体"/>
                <w:bCs/>
                <w:color w:val="auto"/>
                <w:sz w:val="24"/>
                <w:szCs w:val="21"/>
              </w:rPr>
            </w:pPr>
          </w:p>
          <w:p>
            <w:pPr>
              <w:spacing w:line="360" w:lineRule="auto"/>
              <w:rPr>
                <w:rFonts w:ascii="宋体" w:hAnsi="宋体" w:cs="宋体"/>
                <w:bCs/>
                <w:color w:val="auto"/>
                <w:sz w:val="24"/>
                <w:szCs w:val="21"/>
              </w:rPr>
            </w:pPr>
          </w:p>
          <w:p>
            <w:pPr>
              <w:spacing w:line="360" w:lineRule="auto"/>
              <w:rPr>
                <w:rFonts w:ascii="宋体" w:hAnsi="宋体" w:cs="宋体"/>
                <w:bCs/>
                <w:color w:val="auto"/>
                <w:sz w:val="24"/>
                <w:szCs w:val="21"/>
              </w:rPr>
            </w:pPr>
          </w:p>
          <w:p>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pPr>
              <w:spacing w:line="360" w:lineRule="auto"/>
              <w:rPr>
                <w:rFonts w:ascii="宋体" w:hAnsi="宋体" w:cs="宋体"/>
                <w:bCs/>
                <w:color w:val="auto"/>
                <w:sz w:val="24"/>
                <w:szCs w:val="21"/>
              </w:rPr>
            </w:pPr>
          </w:p>
        </w:tc>
      </w:tr>
    </w:tbl>
    <w:p>
      <w:pPr>
        <w:snapToGrid w:val="0"/>
        <w:spacing w:line="360" w:lineRule="auto"/>
        <w:ind w:firstLine="576"/>
        <w:jc w:val="center"/>
        <w:rPr>
          <w:rFonts w:ascii="宋体" w:hAnsi="宋体" w:cs="宋体"/>
          <w:color w:val="auto"/>
          <w:kern w:val="0"/>
          <w:sz w:val="24"/>
        </w:rPr>
      </w:pPr>
      <w:r>
        <w:rPr>
          <w:rFonts w:hint="eastAsia" w:ascii="宋体" w:hAnsi="宋体" w:cs="宋体"/>
          <w:color w:val="auto"/>
          <w:kern w:val="0"/>
          <w:sz w:val="24"/>
        </w:rPr>
        <w:t xml:space="preserve">                 </w:t>
      </w:r>
    </w:p>
    <w:p>
      <w:pPr>
        <w:snapToGrid w:val="0"/>
        <w:spacing w:line="360" w:lineRule="auto"/>
        <w:ind w:right="480"/>
        <w:rPr>
          <w:rFonts w:ascii="宋体" w:hAnsi="宋体" w:cs="宋体"/>
          <w:b/>
          <w:color w:val="auto"/>
          <w:kern w:val="0"/>
          <w:sz w:val="32"/>
          <w:szCs w:val="32"/>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pPr>
        <w:autoSpaceDE w:val="0"/>
        <w:autoSpaceDN w:val="0"/>
        <w:spacing w:line="360" w:lineRule="auto"/>
        <w:jc w:val="center"/>
        <w:rPr>
          <w:rFonts w:ascii="宋体" w:hAnsi="宋体" w:cs="宋体"/>
          <w:b/>
          <w:color w:val="auto"/>
          <w:sz w:val="24"/>
        </w:rPr>
      </w:pPr>
      <w:r>
        <w:rPr>
          <w:rFonts w:hint="eastAsia" w:ascii="宋体" w:hAnsi="宋体" w:cs="宋体"/>
          <w:b/>
          <w:color w:val="auto"/>
          <w:kern w:val="0"/>
          <w:sz w:val="32"/>
          <w:szCs w:val="32"/>
          <w:lang w:val="zh-CN"/>
        </w:rPr>
        <w:t>法定代表人、单位负责人或自然人本人</w:t>
      </w:r>
      <w:r>
        <w:rPr>
          <w:rFonts w:hint="eastAsia" w:ascii="宋体" w:hAnsi="宋体" w:cs="宋体"/>
          <w:b/>
          <w:color w:val="auto"/>
          <w:sz w:val="30"/>
          <w:szCs w:val="30"/>
        </w:rPr>
        <w:t>的身份证明（适用于法定代表人、单位负责人或者自然人本人代表谈判供应商参加谈判）</w:t>
      </w:r>
    </w:p>
    <w:p>
      <w:pPr>
        <w:adjustRightInd/>
        <w:spacing w:line="360" w:lineRule="auto"/>
        <w:rPr>
          <w:rFonts w:ascii="宋体" w:hAnsi="宋体" w:cs="宋体"/>
          <w:bCs/>
          <w:color w:val="auto"/>
          <w:sz w:val="24"/>
          <w:szCs w:val="21"/>
        </w:rPr>
      </w:pPr>
    </w:p>
    <w:p>
      <w:pPr>
        <w:adjustRightInd/>
        <w:snapToGrid w:val="0"/>
        <w:spacing w:before="120" w:beforeLines="50" w:after="50" w:line="600" w:lineRule="exact"/>
        <w:jc w:val="center"/>
        <w:rPr>
          <w:rFonts w:ascii="宋体" w:hAnsi="宋体"/>
          <w:b/>
          <w:color w:val="auto"/>
          <w:sz w:val="30"/>
          <w:szCs w:val="30"/>
        </w:rPr>
      </w:pPr>
      <w:r>
        <w:rPr>
          <w:rFonts w:hint="eastAsia" w:ascii="宋体" w:hAnsi="宋体"/>
          <w:b/>
          <w:color w:val="auto"/>
          <w:sz w:val="30"/>
          <w:szCs w:val="30"/>
        </w:rPr>
        <w:t>法定代表人、单位负责人或自然人身份证明书</w:t>
      </w:r>
    </w:p>
    <w:p>
      <w:pPr>
        <w:snapToGrid w:val="0"/>
        <w:spacing w:line="276" w:lineRule="auto"/>
        <w:ind w:firstLine="960" w:firstLineChars="400"/>
        <w:rPr>
          <w:rFonts w:ascii="宋体" w:hAnsi="宋体"/>
          <w:color w:val="auto"/>
          <w:sz w:val="24"/>
          <w:u w:val="single"/>
        </w:rPr>
      </w:pPr>
    </w:p>
    <w:p>
      <w:pPr>
        <w:snapToGrid w:val="0"/>
        <w:spacing w:line="720" w:lineRule="exact"/>
        <w:ind w:firstLine="960" w:firstLineChars="400"/>
        <w:rPr>
          <w:rFonts w:ascii="宋体" w:hAnsi="宋体"/>
          <w:color w:val="auto"/>
          <w:sz w:val="24"/>
        </w:rPr>
      </w:pP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（姓名）（身份证号码：</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，手机：</w:t>
      </w:r>
      <w:r>
        <w:rPr>
          <w:rFonts w:hint="eastAsia" w:ascii="宋体" w:hAnsi="宋体" w:cs="宋体"/>
          <w:color w:val="auto"/>
          <w:kern w:val="0"/>
          <w:sz w:val="24"/>
          <w:u w:val="single"/>
          <w:lang w:val="zh-CN"/>
        </w:rPr>
        <w:t xml:space="preserve">          </w:t>
      </w:r>
      <w:r>
        <w:rPr>
          <w:rFonts w:hint="eastAsia" w:ascii="宋体" w:hAnsi="宋体" w:cs="宋体"/>
          <w:color w:val="auto"/>
          <w:kern w:val="0"/>
          <w:sz w:val="24"/>
          <w:lang w:val="zh-CN"/>
        </w:rPr>
        <w:t>）</w:t>
      </w:r>
      <w:r>
        <w:rPr>
          <w:rFonts w:hint="eastAsia" w:ascii="宋体" w:hAnsi="宋体"/>
          <w:color w:val="auto"/>
          <w:sz w:val="24"/>
        </w:rPr>
        <w:t>在我公司（单位）任</w:t>
      </w:r>
      <w:r>
        <w:rPr>
          <w:rFonts w:hint="eastAsia" w:ascii="宋体" w:hAnsi="宋体"/>
          <w:color w:val="auto"/>
          <w:sz w:val="24"/>
          <w:u w:val="single"/>
        </w:rPr>
        <w:t xml:space="preserve">          </w:t>
      </w:r>
      <w:r>
        <w:rPr>
          <w:rFonts w:hint="eastAsia" w:ascii="宋体" w:hAnsi="宋体"/>
          <w:color w:val="auto"/>
          <w:sz w:val="24"/>
        </w:rPr>
        <w:t>职务，是我公司（单位）</w:t>
      </w:r>
      <w:r>
        <w:rPr>
          <w:rFonts w:hint="eastAsia" w:ascii="宋体" w:hAnsi="宋体"/>
          <w:color w:val="auto"/>
          <w:sz w:val="24"/>
          <w:u w:val="single"/>
        </w:rPr>
        <w:t xml:space="preserve">          </w:t>
      </w:r>
      <w:r>
        <w:rPr>
          <w:rFonts w:hint="eastAsia" w:ascii="宋体" w:hAnsi="宋体"/>
          <w:color w:val="auto"/>
          <w:sz w:val="24"/>
        </w:rPr>
        <w:t>的法定代表人</w:t>
      </w:r>
      <w:r>
        <w:rPr>
          <w:rFonts w:hint="eastAsia" w:ascii="宋体" w:hAnsi="宋体" w:cs="宋体"/>
          <w:color w:val="auto"/>
          <w:kern w:val="0"/>
          <w:sz w:val="24"/>
        </w:rPr>
        <w:t>（负责人）</w:t>
      </w:r>
      <w:r>
        <w:rPr>
          <w:rFonts w:hint="eastAsia" w:ascii="宋体" w:hAnsi="宋体"/>
          <w:color w:val="auto"/>
          <w:sz w:val="24"/>
        </w:rPr>
        <w:t>。</w:t>
      </w:r>
    </w:p>
    <w:p>
      <w:pPr>
        <w:snapToGrid w:val="0"/>
        <w:spacing w:line="720" w:lineRule="exact"/>
        <w:ind w:firstLine="840" w:firstLineChars="350"/>
        <w:rPr>
          <w:rFonts w:ascii="宋体" w:hAnsi="宋体"/>
          <w:color w:val="auto"/>
          <w:sz w:val="24"/>
        </w:rPr>
      </w:pPr>
      <w:r>
        <w:rPr>
          <w:rFonts w:hint="eastAsia" w:ascii="宋体" w:hAnsi="宋体"/>
          <w:color w:val="auto"/>
          <w:sz w:val="24"/>
        </w:rPr>
        <w:t>特此证明。</w:t>
      </w:r>
    </w:p>
    <w:p>
      <w:pPr>
        <w:snapToGrid w:val="0"/>
        <w:spacing w:line="276" w:lineRule="auto"/>
        <w:rPr>
          <w:rFonts w:ascii="宋体" w:hAnsi="宋体"/>
          <w:color w:val="auto"/>
          <w:sz w:val="24"/>
        </w:rPr>
      </w:pPr>
    </w:p>
    <w:p>
      <w:pPr>
        <w:snapToGrid w:val="0"/>
        <w:spacing w:line="276" w:lineRule="auto"/>
        <w:rPr>
          <w:rFonts w:ascii="宋体" w:hAnsi="宋体"/>
          <w:color w:val="auto"/>
          <w:sz w:val="24"/>
        </w:rPr>
      </w:pPr>
      <w:r>
        <w:rPr>
          <w:rFonts w:hint="eastAsia" w:ascii="宋体" w:hAnsi="宋体"/>
          <w:color w:val="auto"/>
          <w:sz w:val="24"/>
        </w:rPr>
        <w:t xml:space="preserve">                        </w:t>
      </w:r>
    </w:p>
    <w:p>
      <w:pPr>
        <w:snapToGrid w:val="0"/>
        <w:spacing w:line="276" w:lineRule="auto"/>
        <w:rPr>
          <w:rFonts w:ascii="宋体" w:hAnsi="宋体"/>
          <w:color w:val="auto"/>
          <w:sz w:val="24"/>
        </w:rPr>
      </w:pPr>
    </w:p>
    <w:p>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sz w:val="24"/>
        </w:rPr>
        <w:t>谈判供应商名称</w:t>
      </w:r>
      <w:r>
        <w:rPr>
          <w:rFonts w:hint="eastAsia" w:ascii="宋体" w:hAnsi="宋体" w:cs="宋体"/>
          <w:color w:val="auto"/>
          <w:kern w:val="0"/>
          <w:sz w:val="24"/>
          <w:lang w:val="zh-CN"/>
        </w:rPr>
        <w:t xml:space="preserve">(公章)：                              </w:t>
      </w:r>
    </w:p>
    <w:p>
      <w:pPr>
        <w:adjustRightInd/>
        <w:spacing w:line="360" w:lineRule="auto"/>
        <w:rPr>
          <w:rFonts w:ascii="宋体" w:hAnsi="宋体" w:cs="宋体"/>
          <w:bCs/>
          <w:color w:val="auto"/>
          <w:sz w:val="24"/>
          <w:szCs w:val="21"/>
        </w:rPr>
      </w:pPr>
      <w:r>
        <w:rPr>
          <w:rFonts w:hint="eastAsia" w:ascii="宋体" w:hAnsi="宋体" w:cs="宋体"/>
          <w:color w:val="auto"/>
          <w:kern w:val="0"/>
          <w:sz w:val="24"/>
          <w:szCs w:val="21"/>
          <w:lang w:val="zh-CN"/>
        </w:rPr>
        <w:t xml:space="preserve">                               日期：  年  月  日</w:t>
      </w:r>
    </w:p>
    <w:p>
      <w:pPr>
        <w:adjustRightInd/>
        <w:spacing w:line="360" w:lineRule="auto"/>
        <w:rPr>
          <w:rFonts w:ascii="宋体" w:hAnsi="宋体" w:cs="宋体"/>
          <w:bCs/>
          <w:color w:val="auto"/>
          <w:sz w:val="24"/>
          <w:szCs w:val="21"/>
        </w:rPr>
      </w:pPr>
    </w:p>
    <w:p>
      <w:pPr>
        <w:adjustRightInd/>
        <w:spacing w:line="360" w:lineRule="auto"/>
        <w:rPr>
          <w:rFonts w:ascii="宋体" w:hAnsi="宋体" w:cs="宋体"/>
          <w:bCs/>
          <w:color w:val="auto"/>
          <w:sz w:val="24"/>
          <w:szCs w:val="21"/>
        </w:rPr>
      </w:pPr>
      <w:r>
        <w:rPr>
          <w:rFonts w:hint="eastAsia" w:ascii="宋体" w:hAnsi="宋体"/>
          <w:color w:val="auto"/>
          <w:sz w:val="24"/>
          <w:szCs w:val="21"/>
        </w:rPr>
        <w:t>法定代表人</w:t>
      </w:r>
      <w:r>
        <w:rPr>
          <w:rFonts w:hint="eastAsia" w:ascii="宋体" w:hAnsi="宋体" w:cs="宋体"/>
          <w:color w:val="auto"/>
          <w:kern w:val="0"/>
          <w:sz w:val="24"/>
          <w:szCs w:val="21"/>
        </w:rPr>
        <w:t>（负责人）</w:t>
      </w:r>
      <w:r>
        <w:rPr>
          <w:rFonts w:hint="eastAsia" w:ascii="宋体" w:hAnsi="宋体" w:cs="宋体"/>
          <w:bCs/>
          <w:color w:val="auto"/>
          <w:sz w:val="24"/>
          <w:szCs w:val="21"/>
        </w:rPr>
        <w:t>身份证件扫描件：</w:t>
      </w: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207" w:type="dxa"/>
          </w:tcPr>
          <w:p>
            <w:pPr>
              <w:spacing w:line="360" w:lineRule="auto"/>
              <w:rPr>
                <w:rFonts w:ascii="宋体" w:hAnsi="宋体" w:cs="宋体"/>
                <w:bCs/>
                <w:color w:val="auto"/>
                <w:sz w:val="24"/>
                <w:szCs w:val="21"/>
              </w:rPr>
            </w:pPr>
            <w:r>
              <w:rPr>
                <w:rFonts w:hint="eastAsia" w:ascii="宋体" w:hAnsi="宋体" w:cs="宋体"/>
                <w:bCs/>
                <w:color w:val="auto"/>
                <w:sz w:val="24"/>
                <w:szCs w:val="21"/>
              </w:rPr>
              <w:t>正面：                                 反面：</w:t>
            </w:r>
          </w:p>
          <w:p>
            <w:pPr>
              <w:spacing w:line="360" w:lineRule="auto"/>
              <w:rPr>
                <w:rFonts w:ascii="宋体" w:hAnsi="宋体" w:cs="宋体"/>
                <w:bCs/>
                <w:color w:val="auto"/>
                <w:sz w:val="24"/>
                <w:szCs w:val="21"/>
              </w:rPr>
            </w:pPr>
          </w:p>
        </w:tc>
      </w:tr>
    </w:tbl>
    <w:p>
      <w:pPr>
        <w:snapToGrid w:val="0"/>
        <w:spacing w:line="360" w:lineRule="auto"/>
        <w:ind w:firstLine="576"/>
        <w:jc w:val="center"/>
        <w:rPr>
          <w:rFonts w:ascii="宋体" w:hAnsi="宋体" w:cs="宋体"/>
          <w:color w:val="auto"/>
          <w:kern w:val="0"/>
          <w:sz w:val="24"/>
          <w:lang w:val="zh-CN"/>
        </w:rPr>
      </w:pPr>
      <w:r>
        <w:rPr>
          <w:rFonts w:hint="eastAsia" w:ascii="宋体" w:hAnsi="宋体" w:cs="宋体"/>
          <w:color w:val="auto"/>
          <w:kern w:val="0"/>
          <w:sz w:val="24"/>
          <w:lang w:val="zh-CN"/>
        </w:rPr>
        <w:t xml:space="preserve">                 </w:t>
      </w:r>
    </w:p>
    <w:p>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pPr>
        <w:snapToGrid w:val="0"/>
        <w:spacing w:line="360" w:lineRule="auto"/>
        <w:ind w:firstLine="3534" w:firstLineChars="1100"/>
        <w:rPr>
          <w:rFonts w:cs="仿宋_GB2312" w:asciiTheme="minorEastAsia" w:hAnsiTheme="minorEastAsia" w:eastAsiaTheme="minorEastAsia"/>
          <w:b/>
          <w:color w:val="auto"/>
          <w:kern w:val="0"/>
          <w:sz w:val="32"/>
          <w:szCs w:val="32"/>
          <w:lang w:val="zh-CN"/>
        </w:rPr>
      </w:pPr>
    </w:p>
    <w:p>
      <w:pPr>
        <w:snapToGrid w:val="0"/>
        <w:spacing w:line="360" w:lineRule="auto"/>
        <w:jc w:val="center"/>
        <w:rPr>
          <w:rFonts w:cs="宋体" w:asciiTheme="minorEastAsia" w:hAnsiTheme="minorEastAsia" w:eastAsiaTheme="minorEastAsia"/>
          <w:b/>
          <w:color w:val="auto"/>
          <w:kern w:val="0"/>
          <w:sz w:val="32"/>
          <w:szCs w:val="32"/>
        </w:rPr>
      </w:pPr>
      <w:r>
        <w:rPr>
          <w:rFonts w:hint="eastAsia" w:cs="仿宋_GB2312" w:asciiTheme="minorEastAsia" w:hAnsiTheme="minorEastAsia" w:eastAsiaTheme="minorEastAsia"/>
          <w:b/>
          <w:color w:val="auto"/>
          <w:kern w:val="0"/>
          <w:sz w:val="32"/>
          <w:szCs w:val="32"/>
          <w:lang w:val="zh-CN"/>
        </w:rPr>
        <w:t>四</w:t>
      </w:r>
      <w:r>
        <w:rPr>
          <w:rFonts w:hint="eastAsia" w:cs="仿宋_GB2312" w:asciiTheme="minorEastAsia" w:hAnsiTheme="minorEastAsia" w:eastAsiaTheme="minorEastAsia"/>
          <w:b/>
          <w:color w:val="auto"/>
          <w:sz w:val="32"/>
          <w:szCs w:val="32"/>
        </w:rPr>
        <w:t>、</w:t>
      </w:r>
      <w:r>
        <w:rPr>
          <w:rFonts w:hint="eastAsia" w:cs="宋体" w:asciiTheme="minorEastAsia" w:hAnsiTheme="minorEastAsia" w:eastAsiaTheme="minorEastAsia"/>
          <w:b/>
          <w:color w:val="auto"/>
          <w:kern w:val="0"/>
          <w:sz w:val="32"/>
          <w:szCs w:val="32"/>
        </w:rPr>
        <w:t>分包意向协议（如果有）</w:t>
      </w:r>
    </w:p>
    <w:p>
      <w:pPr>
        <w:widowControl/>
        <w:spacing w:line="360" w:lineRule="auto"/>
        <w:ind w:firstLine="120" w:firstLineChars="50"/>
        <w:jc w:val="left"/>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w:t>
      </w:r>
      <w:r>
        <w:rPr>
          <w:rFonts w:hint="eastAsia" w:cs="宋体" w:asciiTheme="minorEastAsia" w:hAnsiTheme="minorEastAsia" w:eastAsiaTheme="minorEastAsia"/>
          <w:b/>
          <w:color w:val="auto"/>
          <w:sz w:val="24"/>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rPr>
        <w:t>）</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若成为</w:t>
      </w:r>
      <w:r>
        <w:rPr>
          <w:rFonts w:hint="eastAsia" w:cs="宋体" w:asciiTheme="minorEastAsia" w:hAnsiTheme="minorEastAsia" w:eastAsiaTheme="minorEastAsia"/>
          <w:color w:val="auto"/>
          <w:sz w:val="24"/>
        </w:rPr>
        <w:t>（项目名称）【项目编号：（采购编号）】</w:t>
      </w:r>
      <w:r>
        <w:rPr>
          <w:rFonts w:hint="eastAsia" w:cs="宋体" w:asciiTheme="minorEastAsia" w:hAnsiTheme="minorEastAsia" w:eastAsiaTheme="minorEastAsia"/>
          <w:color w:val="auto"/>
          <w:kern w:val="0"/>
          <w:sz w:val="24"/>
          <w:lang w:val="zh-CN"/>
        </w:rPr>
        <w:t>的成交供应商，将依法采取分包方式履行合同。</w:t>
      </w: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rPr>
        <w:t>与</w:t>
      </w:r>
      <w:r>
        <w:rPr>
          <w:rFonts w:hint="eastAsia" w:cs="宋体" w:asciiTheme="minorEastAsia" w:hAnsiTheme="minorEastAsia" w:eastAsiaTheme="minorEastAsia"/>
          <w:color w:val="auto"/>
          <w:kern w:val="0"/>
          <w:sz w:val="24"/>
          <w:u w:val="single"/>
        </w:rPr>
        <w:t>（所有分包供应商名称）</w:t>
      </w:r>
      <w:r>
        <w:rPr>
          <w:rFonts w:hint="eastAsia" w:cs="宋体" w:asciiTheme="minorEastAsia" w:hAnsiTheme="minorEastAsia" w:eastAsiaTheme="minorEastAsia"/>
          <w:color w:val="auto"/>
          <w:kern w:val="0"/>
          <w:sz w:val="24"/>
        </w:rPr>
        <w:t>达成分包意向协议</w:t>
      </w:r>
      <w:r>
        <w:rPr>
          <w:rFonts w:hint="eastAsia" w:cs="宋体" w:asciiTheme="minorEastAsia" w:hAnsiTheme="minorEastAsia" w:eastAsiaTheme="minorEastAsia"/>
          <w:color w:val="auto"/>
          <w:kern w:val="0"/>
          <w:sz w:val="24"/>
          <w:lang w:val="zh-CN"/>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一、分包标的及数量</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u w:val="single"/>
        </w:rPr>
        <w:t>（供应商名称）</w:t>
      </w:r>
      <w:r>
        <w:rPr>
          <w:rFonts w:hint="eastAsia" w:cs="宋体" w:asciiTheme="minorEastAsia" w:hAnsiTheme="minorEastAsia" w:eastAsiaTheme="minorEastAsia"/>
          <w:color w:val="auto"/>
          <w:kern w:val="0"/>
          <w:sz w:val="24"/>
          <w:lang w:val="zh-CN"/>
        </w:rPr>
        <w:t>将</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kern w:val="0"/>
          <w:sz w:val="24"/>
          <w:u w:val="single"/>
        </w:rPr>
        <w:t xml:space="preserve"> XX工作内容   </w:t>
      </w:r>
      <w:r>
        <w:rPr>
          <w:rFonts w:hint="eastAsia" w:cs="宋体" w:asciiTheme="minorEastAsia" w:hAnsiTheme="minorEastAsia" w:eastAsiaTheme="minorEastAsia"/>
          <w:color w:val="auto"/>
          <w:sz w:val="24"/>
        </w:rPr>
        <w:t>分包给</w:t>
      </w:r>
      <w:r>
        <w:rPr>
          <w:rFonts w:hint="eastAsia" w:cs="宋体" w:asciiTheme="minorEastAsia" w:hAnsiTheme="minorEastAsia" w:eastAsiaTheme="minorEastAsia"/>
          <w:color w:val="auto"/>
          <w:kern w:val="0"/>
          <w:sz w:val="24"/>
          <w:u w:val="single"/>
        </w:rPr>
        <w:t>（分包供应商1名称）</w:t>
      </w:r>
      <w:r>
        <w:rPr>
          <w:rFonts w:hint="eastAsia" w:cs="宋体" w:asciiTheme="minorEastAsia" w:hAnsiTheme="minorEastAsia" w:eastAsiaTheme="minorEastAsia"/>
          <w:color w:val="auto"/>
          <w:kern w:val="0"/>
          <w:sz w:val="24"/>
          <w:lang w:val="zh-CN"/>
        </w:rPr>
        <w:t>，</w:t>
      </w:r>
      <w:r>
        <w:rPr>
          <w:rFonts w:hint="eastAsia" w:cs="宋体" w:asciiTheme="minorEastAsia" w:hAnsiTheme="minorEastAsia" w:eastAsiaTheme="minorEastAsia"/>
          <w:color w:val="auto"/>
          <w:kern w:val="0"/>
          <w:sz w:val="24"/>
          <w:u w:val="single"/>
        </w:rPr>
        <w:t>（分包供应商2名称），</w:t>
      </w:r>
      <w:r>
        <w:rPr>
          <w:rFonts w:hint="eastAsia" w:cs="宋体" w:asciiTheme="minorEastAsia" w:hAnsiTheme="minorEastAsia" w:eastAsiaTheme="minorEastAsia"/>
          <w:color w:val="auto"/>
          <w:kern w:val="0"/>
          <w:sz w:val="24"/>
          <w:lang w:val="zh-CN"/>
        </w:rPr>
        <w:t>具备承</w:t>
      </w:r>
      <w:r>
        <w:rPr>
          <w:rFonts w:hint="eastAsia" w:cs="宋体" w:asciiTheme="minorEastAsia" w:hAnsiTheme="minorEastAsia" w:eastAsiaTheme="minorEastAsia"/>
          <w:color w:val="auto"/>
          <w:kern w:val="0"/>
          <w:sz w:val="24"/>
        </w:rPr>
        <w:t>担</w:t>
      </w:r>
      <w:r>
        <w:rPr>
          <w:rFonts w:hint="eastAsia" w:cs="宋体" w:asciiTheme="minorEastAsia" w:hAnsiTheme="minorEastAsia" w:eastAsiaTheme="minorEastAsia"/>
          <w:color w:val="auto"/>
          <w:kern w:val="0"/>
          <w:sz w:val="24"/>
          <w:u w:val="single"/>
          <w:lang w:val="zh-CN"/>
        </w:rPr>
        <w:t>XX工作内容</w:t>
      </w:r>
      <w:r>
        <w:rPr>
          <w:rFonts w:hint="eastAsia" w:cs="宋体" w:asciiTheme="minorEastAsia" w:hAnsiTheme="minorEastAsia" w:eastAsiaTheme="minorEastAsia"/>
          <w:color w:val="auto"/>
          <w:kern w:val="0"/>
          <w:sz w:val="24"/>
          <w:lang w:val="zh-CN"/>
        </w:rPr>
        <w:t>相应资质条件且不得再次分包；</w:t>
      </w:r>
    </w:p>
    <w:p>
      <w:pPr>
        <w:pStyle w:val="631"/>
        <w:rPr>
          <w:color w:val="auto"/>
        </w:rPr>
      </w:pPr>
      <w:r>
        <w:rPr>
          <w:rFonts w:hint="eastAsia"/>
          <w:color w:val="auto"/>
        </w:rPr>
        <w:t>……</w:t>
      </w:r>
    </w:p>
    <w:p>
      <w:pPr>
        <w:ind w:firstLine="305"/>
        <w:rPr>
          <w:rFonts w:asciiTheme="minorEastAsia" w:hAnsiTheme="minorEastAsia" w:eastAsiaTheme="minorEastAsia"/>
          <w:color w:val="auto"/>
        </w:rPr>
      </w:pPr>
      <w:r>
        <w:rPr>
          <w:rFonts w:hint="eastAsia" w:asciiTheme="minorEastAsia" w:hAnsiTheme="minorEastAsia" w:eastAsiaTheme="minorEastAsia"/>
          <w:color w:val="auto"/>
          <w:lang w:val="zh-CN"/>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二、分包供应商中小企业合同份额（如果有）</w:t>
      </w:r>
    </w:p>
    <w:p>
      <w:pPr>
        <w:snapToGrid w:val="0"/>
        <w:spacing w:line="360" w:lineRule="auto"/>
        <w:ind w:firstLine="576"/>
        <w:rPr>
          <w:rFonts w:ascii="宋体" w:hAnsi="宋体" w:cs="宋体"/>
          <w:b/>
          <w:color w:val="auto"/>
          <w:kern w:val="0"/>
          <w:sz w:val="24"/>
          <w:lang w:val="zh-CN"/>
        </w:rPr>
      </w:pPr>
      <w:r>
        <w:rPr>
          <w:rFonts w:ascii="宋体" w:hAnsi="宋体" w:cs="宋体"/>
          <w:color w:val="auto"/>
          <w:kern w:val="0"/>
          <w:sz w:val="24"/>
        </w:rPr>
        <w:t>1、</w:t>
      </w:r>
      <w:r>
        <w:rPr>
          <w:rFonts w:hint="eastAsia" w:ascii="宋体" w:hAnsi="宋体" w:cs="宋体"/>
          <w:color w:val="auto"/>
          <w:kern w:val="0"/>
          <w:sz w:val="24"/>
          <w:u w:val="single"/>
        </w:rPr>
        <w:t>（分包供应商X</w:t>
      </w:r>
      <w:r>
        <w:rPr>
          <w:rFonts w:ascii="宋体" w:hAnsi="宋体" w:cs="宋体"/>
          <w:color w:val="auto"/>
          <w:kern w:val="0"/>
          <w:sz w:val="24"/>
          <w:u w:val="single"/>
        </w:rPr>
        <w:t>,</w:t>
      </w:r>
      <w:r>
        <w:rPr>
          <w:rFonts w:hint="eastAsia" w:ascii="宋体" w:hAnsi="宋体" w:cs="宋体"/>
          <w:color w:val="auto"/>
          <w:kern w:val="0"/>
          <w:sz w:val="24"/>
          <w:u w:val="single"/>
        </w:rPr>
        <w:t>……）提供的货物全部由小微企业制造，</w:t>
      </w:r>
      <w:r>
        <w:rPr>
          <w:rFonts w:hint="eastAsia" w:ascii="宋体" w:hAnsi="宋体" w:cs="宋体"/>
          <w:color w:val="auto"/>
          <w:kern w:val="0"/>
          <w:sz w:val="24"/>
        </w:rPr>
        <w:t>其合同份额占到合同总金额</w:t>
      </w:r>
      <w:r>
        <w:rPr>
          <w:rFonts w:hint="eastAsia" w:ascii="宋体" w:hAnsi="宋体" w:cs="宋体"/>
          <w:color w:val="auto"/>
          <w:kern w:val="0"/>
          <w:sz w:val="24"/>
          <w:u w:val="single"/>
        </w:rPr>
        <w:t xml:space="preserve">     </w:t>
      </w:r>
      <w:r>
        <w:rPr>
          <w:rFonts w:hint="eastAsia" w:ascii="宋体" w:hAnsi="宋体" w:cs="宋体"/>
          <w:color w:val="auto"/>
          <w:kern w:val="0"/>
          <w:sz w:val="24"/>
        </w:rPr>
        <w:t>%以上</w:t>
      </w:r>
      <w:r>
        <w:rPr>
          <w:rFonts w:hint="eastAsia" w:ascii="宋体" w:hAnsi="宋体" w:cs="宋体"/>
          <w:color w:val="auto"/>
        </w:rPr>
        <w:t>。</w:t>
      </w:r>
      <w:r>
        <w:rPr>
          <w:rFonts w:hint="eastAsia" w:ascii="宋体" w:hAnsi="宋体" w:cs="宋体"/>
          <w:b/>
          <w:color w:val="auto"/>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审标准确定的比例给予扣除。供应商</w:t>
      </w:r>
      <w:r>
        <w:rPr>
          <w:rFonts w:hint="eastAsia" w:ascii="宋体" w:hAnsi="宋体" w:cs="宋体"/>
          <w:b/>
          <w:color w:val="auto"/>
          <w:sz w:val="24"/>
        </w:rPr>
        <w:t>拟享受以上价格扣除政策的，填写有关内容。</w:t>
      </w:r>
      <w:r>
        <w:rPr>
          <w:rFonts w:hint="eastAsia" w:ascii="宋体" w:hAnsi="宋体" w:cs="宋体"/>
          <w:b/>
          <w:color w:val="auto"/>
          <w:kern w:val="0"/>
          <w:sz w:val="24"/>
          <w:lang w:val="zh-CN"/>
        </w:rPr>
        <w:t>）</w:t>
      </w:r>
    </w:p>
    <w:p>
      <w:pPr>
        <w:spacing w:line="360" w:lineRule="auto"/>
        <w:ind w:firstLine="480" w:firstLineChars="200"/>
        <w:rPr>
          <w:rFonts w:ascii="宋体" w:hAnsi="宋体" w:cs="宋体"/>
          <w:b/>
          <w:bCs/>
          <w:color w:val="auto"/>
          <w:kern w:val="0"/>
          <w:sz w:val="24"/>
          <w:lang w:val="zh-CN"/>
        </w:rPr>
      </w:pPr>
      <w:r>
        <w:rPr>
          <w:rFonts w:hint="eastAsia" w:ascii="宋体" w:hAnsi="宋体" w:cs="宋体"/>
          <w:color w:val="auto"/>
          <w:sz w:val="24"/>
        </w:rPr>
        <w:t>2、</w:t>
      </w:r>
      <w:bookmarkStart w:id="104" w:name="_Hlk101133173"/>
      <w:r>
        <w:rPr>
          <w:rFonts w:hint="eastAsia" w:ascii="宋体" w:hAnsi="宋体" w:cs="宋体"/>
          <w:color w:val="auto"/>
          <w:sz w:val="24"/>
        </w:rPr>
        <w:t>中小企业合同金额达到</w:t>
      </w:r>
      <w:r>
        <w:rPr>
          <w:rFonts w:hint="eastAsia" w:ascii="宋体" w:hAnsi="宋体" w:cs="宋体"/>
          <w:color w:val="auto"/>
          <w:sz w:val="24"/>
          <w:u w:val="single"/>
        </w:rPr>
        <w:t xml:space="preserve">  </w:t>
      </w:r>
      <w:r>
        <w:rPr>
          <w:rFonts w:hint="eastAsia" w:ascii="宋体" w:hAnsi="宋体" w:cs="宋体"/>
          <w:color w:val="auto"/>
          <w:sz w:val="24"/>
        </w:rPr>
        <w:t>%，其中小微企业合同金额达到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kern w:val="0"/>
          <w:sz w:val="24"/>
          <w:lang w:val="zh-CN"/>
        </w:rPr>
        <w:t>。</w:t>
      </w:r>
      <w:r>
        <w:rPr>
          <w:rFonts w:hint="eastAsia" w:ascii="宋体" w:hAnsi="宋体" w:cs="宋体"/>
          <w:b/>
          <w:bCs/>
          <w:color w:val="auto"/>
          <w:kern w:val="0"/>
          <w:sz w:val="24"/>
          <w:lang w:val="zh-CN"/>
        </w:rPr>
        <w:t>（</w:t>
      </w:r>
      <w:r>
        <w:rPr>
          <w:rFonts w:hint="eastAsia" w:ascii="宋体" w:hAnsi="宋体" w:cs="宋体"/>
          <w:b/>
          <w:bCs/>
          <w:color w:val="auto"/>
          <w:sz w:val="24"/>
        </w:rPr>
        <w:t>要求合同分包形式参加的项目或采购包，供应商按谈判文件第一部分邀请公告申请人的资格要求中规定的</w:t>
      </w:r>
      <w:r>
        <w:rPr>
          <w:rFonts w:hint="eastAsia" w:ascii="宋体" w:hAnsi="宋体" w:cs="宋体"/>
          <w:b/>
          <w:color w:val="auto"/>
          <w:kern w:val="0"/>
          <w:sz w:val="24"/>
          <w:lang w:val="zh-CN"/>
        </w:rPr>
        <w:t>分包意向协议</w:t>
      </w:r>
      <w:r>
        <w:rPr>
          <w:rFonts w:hint="eastAsia" w:ascii="宋体" w:hAnsi="宋体" w:cs="宋体"/>
          <w:b/>
          <w:bCs/>
          <w:color w:val="auto"/>
          <w:sz w:val="24"/>
        </w:rPr>
        <w:t>中中小企业、小微企业合同金额应当达到的比例要求填写。</w:t>
      </w:r>
      <w:r>
        <w:rPr>
          <w:rFonts w:hint="eastAsia" w:ascii="宋体" w:hAnsi="宋体" w:cs="宋体"/>
          <w:b/>
          <w:bCs/>
          <w:color w:val="auto"/>
          <w:kern w:val="0"/>
          <w:sz w:val="24"/>
          <w:lang w:val="zh-CN"/>
        </w:rPr>
        <w:t>）</w:t>
      </w:r>
      <w:bookmarkEnd w:id="104"/>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三、分包工作履行期限、地点、方式</w:t>
      </w:r>
    </w:p>
    <w:p>
      <w:pPr>
        <w:snapToGrid w:val="0"/>
        <w:spacing w:line="360" w:lineRule="auto"/>
        <w:ind w:firstLine="576"/>
        <w:rPr>
          <w:rFonts w:cs="宋体" w:asciiTheme="minorEastAsia" w:hAnsiTheme="minorEastAsia" w:eastAsiaTheme="minorEastAsia"/>
          <w:color w:val="auto"/>
          <w:u w:val="single"/>
        </w:rPr>
      </w:pPr>
      <w:r>
        <w:rPr>
          <w:rFonts w:hint="eastAsia" w:cs="宋体" w:asciiTheme="minorEastAsia" w:hAnsiTheme="minorEastAsia" w:eastAsiaTheme="minorEastAsia"/>
          <w:color w:val="auto"/>
          <w:u w:val="single"/>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四、质量</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五、价款或者报酬</w:t>
      </w:r>
    </w:p>
    <w:p>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pPr>
        <w:snapToGrid w:val="0"/>
        <w:spacing w:line="360" w:lineRule="auto"/>
        <w:ind w:left="573" w:leftChars="273"/>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六、违约责任</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七、争议解决的办法</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u w:val="single"/>
        </w:rPr>
        <w:t xml:space="preserve">                                                                                  </w:t>
      </w:r>
    </w:p>
    <w:p>
      <w:pPr>
        <w:snapToGrid w:val="0"/>
        <w:spacing w:line="360" w:lineRule="auto"/>
        <w:ind w:firstLine="576"/>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八、其他</w:t>
      </w:r>
    </w:p>
    <w:p>
      <w:pPr>
        <w:snapToGrid w:val="0"/>
        <w:spacing w:line="360" w:lineRule="auto"/>
        <w:ind w:left="6358" w:leftChars="342" w:hanging="5640" w:hangingChars="235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sz w:val="24"/>
        </w:rPr>
        <w:t>中小企业合同金额达到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%，小微企业合同金额达到</w:t>
      </w:r>
      <w:r>
        <w:rPr>
          <w:rFonts w:hint="eastAsia" w:cs="宋体" w:asciiTheme="minorEastAsia" w:hAnsiTheme="minorEastAsia" w:eastAsiaTheme="minorEastAsia"/>
          <w:color w:val="auto"/>
          <w:sz w:val="24"/>
          <w:u w:val="single"/>
        </w:rPr>
        <w:t xml:space="preserve"> </w:t>
      </w:r>
      <w:r>
        <w:rPr>
          <w:rFonts w:hint="eastAsia" w:cs="宋体" w:asciiTheme="minorEastAsia" w:hAnsiTheme="minorEastAsia" w:eastAsiaTheme="minorEastAsia"/>
          <w:color w:val="auto"/>
          <w:sz w:val="24"/>
        </w:rPr>
        <w:t>%</w:t>
      </w:r>
      <w:r>
        <w:rPr>
          <w:rFonts w:hint="eastAsia" w:cs="宋体" w:asciiTheme="minorEastAsia" w:hAnsiTheme="minorEastAsia" w:eastAsiaTheme="minorEastAsia"/>
          <w:color w:val="auto"/>
          <w:kern w:val="0"/>
          <w:sz w:val="24"/>
          <w:lang w:val="zh-CN"/>
        </w:rPr>
        <w:t xml:space="preserve">  。                                         </w:t>
      </w:r>
    </w:p>
    <w:p>
      <w:pPr>
        <w:snapToGrid w:val="0"/>
        <w:spacing w:line="360" w:lineRule="auto"/>
        <w:ind w:left="5743" w:leftChars="2392" w:hanging="720" w:hangingChars="3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谈判供应商名称(公章)：</w:t>
      </w:r>
    </w:p>
    <w:p>
      <w:pPr>
        <w:wordWrap w:val="0"/>
        <w:snapToGrid w:val="0"/>
        <w:spacing w:line="360" w:lineRule="auto"/>
        <w:ind w:firstLine="5040" w:firstLineChars="2100"/>
        <w:rPr>
          <w:rStyle w:val="630"/>
          <w:color w:val="auto"/>
        </w:rPr>
      </w:pPr>
      <w:r>
        <w:rPr>
          <w:rStyle w:val="630"/>
          <w:rFonts w:hint="eastAsia"/>
          <w:color w:val="auto"/>
        </w:rPr>
        <w:t>法定代表人（负责人） (签名)：</w:t>
      </w:r>
    </w:p>
    <w:p>
      <w:pPr>
        <w:snapToGrid w:val="0"/>
        <w:spacing w:line="360" w:lineRule="auto"/>
        <w:ind w:firstLine="5040" w:firstLineChars="2100"/>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分包供应商名称(公章)：</w:t>
      </w:r>
    </w:p>
    <w:p>
      <w:pPr>
        <w:snapToGrid w:val="0"/>
        <w:spacing w:line="360" w:lineRule="auto"/>
        <w:ind w:firstLine="5040" w:firstLineChars="2100"/>
        <w:rPr>
          <w:rFonts w:cs="宋体" w:asciiTheme="minorEastAsia" w:hAnsiTheme="minorEastAsia" w:eastAsiaTheme="minorEastAsia"/>
          <w:color w:val="auto"/>
          <w:kern w:val="0"/>
          <w:sz w:val="24"/>
          <w:lang w:val="zh-CN"/>
        </w:rPr>
      </w:pPr>
      <w:r>
        <w:rPr>
          <w:rStyle w:val="630"/>
          <w:rFonts w:hint="eastAsia"/>
          <w:color w:val="auto"/>
        </w:rPr>
        <w:t>法定代表人（负责人） (签名)：</w:t>
      </w:r>
    </w:p>
    <w:p>
      <w:pPr>
        <w:snapToGrid w:val="0"/>
        <w:spacing w:line="360" w:lineRule="auto"/>
        <w:ind w:firstLine="5760" w:firstLineChars="2400"/>
        <w:rPr>
          <w:rFonts w:cs="宋体" w:asciiTheme="minorEastAsia" w:hAnsiTheme="minorEastAsia" w:eastAsiaTheme="minorEastAsia"/>
          <w:color w:val="auto"/>
        </w:rPr>
      </w:pPr>
      <w:r>
        <w:rPr>
          <w:rFonts w:hint="eastAsia" w:cs="宋体" w:asciiTheme="minorEastAsia" w:hAnsiTheme="minorEastAsia" w:eastAsiaTheme="minorEastAsia"/>
          <w:color w:val="auto"/>
          <w:kern w:val="0"/>
          <w:sz w:val="24"/>
          <w:lang w:val="zh-CN"/>
        </w:rPr>
        <w:t>……</w:t>
      </w:r>
    </w:p>
    <w:p>
      <w:pPr>
        <w:spacing w:line="360" w:lineRule="auto"/>
        <w:jc w:val="center"/>
        <w:rPr>
          <w:rFonts w:cs="宋体" w:asciiTheme="minorEastAsia" w:hAnsiTheme="minorEastAsia" w:eastAsiaTheme="minorEastAsia"/>
          <w:color w:val="auto"/>
          <w:kern w:val="0"/>
          <w:sz w:val="24"/>
          <w:lang w:val="zh-CN"/>
        </w:rPr>
      </w:pPr>
      <w:r>
        <w:rPr>
          <w:rFonts w:hint="eastAsia" w:cs="宋体" w:asciiTheme="minorEastAsia" w:hAnsiTheme="minorEastAsia" w:eastAsiaTheme="minorEastAsia"/>
          <w:color w:val="auto"/>
          <w:kern w:val="0"/>
          <w:sz w:val="24"/>
          <w:lang w:val="zh-CN"/>
        </w:rPr>
        <w:t xml:space="preserve">                                        日期：  年  月   日</w:t>
      </w:r>
    </w:p>
    <w:p>
      <w:pPr>
        <w:widowControl/>
        <w:adjustRightInd/>
        <w:jc w:val="left"/>
        <w:rPr>
          <w:rFonts w:cs="仿宋_GB2312" w:asciiTheme="minorEastAsia" w:hAnsiTheme="minorEastAsia" w:eastAsiaTheme="minorEastAsia"/>
          <w:b/>
          <w:color w:val="auto"/>
          <w:kern w:val="0"/>
          <w:sz w:val="32"/>
          <w:szCs w:val="32"/>
          <w:lang w:val="zh-CN"/>
        </w:rPr>
      </w:pPr>
      <w:r>
        <w:rPr>
          <w:rFonts w:cs="仿宋_GB2312" w:asciiTheme="minorEastAsia" w:hAnsiTheme="minorEastAsia" w:eastAsiaTheme="minorEastAsia"/>
          <w:b/>
          <w:color w:val="auto"/>
          <w:kern w:val="0"/>
          <w:sz w:val="32"/>
          <w:szCs w:val="32"/>
          <w:lang w:val="zh-CN"/>
        </w:rPr>
        <w:br w:type="page"/>
      </w:r>
    </w:p>
    <w:p>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kern w:val="0"/>
          <w:sz w:val="32"/>
          <w:szCs w:val="32"/>
          <w:lang w:val="zh-CN"/>
        </w:rPr>
        <w:t>五</w:t>
      </w:r>
      <w:r>
        <w:rPr>
          <w:rFonts w:hint="eastAsia" w:cs="仿宋_GB2312" w:asciiTheme="minorEastAsia" w:hAnsiTheme="minorEastAsia" w:eastAsiaTheme="minorEastAsia"/>
          <w:b/>
          <w:color w:val="auto"/>
          <w:sz w:val="32"/>
          <w:szCs w:val="32"/>
        </w:rPr>
        <w:t>、所有资信文件（复印件）</w:t>
      </w:r>
    </w:p>
    <w:p>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sz w:val="24"/>
        </w:rPr>
        <w:t>（由供应商根据采购需求及谈判文件要求编制）</w:t>
      </w:r>
    </w:p>
    <w:p>
      <w:pPr>
        <w:spacing w:line="360" w:lineRule="auto"/>
        <w:jc w:val="center"/>
        <w:rPr>
          <w:rFonts w:cs="仿宋_GB2312" w:asciiTheme="minorEastAsia" w:hAnsiTheme="minorEastAsia" w:eastAsiaTheme="minorEastAsia"/>
          <w:b/>
          <w:color w:val="auto"/>
          <w:sz w:val="30"/>
          <w:szCs w:val="30"/>
        </w:rPr>
      </w:pPr>
    </w:p>
    <w:p>
      <w:pPr>
        <w:snapToGrid w:val="0"/>
        <w:spacing w:line="360" w:lineRule="auto"/>
        <w:ind w:firstLine="5160" w:firstLineChars="215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lang w:val="zh-CN"/>
        </w:rPr>
        <w:t>：</w:t>
      </w:r>
    </w:p>
    <w:p>
      <w:pPr>
        <w:snapToGrid w:val="0"/>
        <w:spacing w:line="360" w:lineRule="auto"/>
        <w:ind w:firstLine="5160" w:firstLineChars="2150"/>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 xml:space="preserve">：   年  </w:t>
      </w:r>
      <w:r>
        <w:rPr>
          <w:rFonts w:hint="eastAsia" w:cs="仿宋_GB2312" w:asciiTheme="minorEastAsia" w:hAnsiTheme="minorEastAsia" w:eastAsiaTheme="minorEastAsia"/>
          <w:color w:val="auto"/>
          <w:kern w:val="0"/>
          <w:sz w:val="24"/>
          <w:lang w:val="zh-CN"/>
        </w:rPr>
        <w:t>月</w:t>
      </w:r>
      <w:r>
        <w:rPr>
          <w:rFonts w:hint="eastAsia"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lang w:val="zh-CN"/>
        </w:rPr>
        <w:t>日</w:t>
      </w:r>
    </w:p>
    <w:p>
      <w:pPr>
        <w:spacing w:line="360" w:lineRule="auto"/>
        <w:jc w:val="center"/>
        <w:rPr>
          <w:rFonts w:cs="仿宋_GB2312" w:asciiTheme="minorEastAsia" w:hAnsiTheme="minorEastAsia" w:eastAsiaTheme="minorEastAsia"/>
          <w:b/>
          <w:color w:val="auto"/>
          <w:kern w:val="0"/>
          <w:sz w:val="32"/>
          <w:szCs w:val="32"/>
        </w:rPr>
      </w:pPr>
    </w:p>
    <w:p>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color w:val="auto"/>
          <w:kern w:val="0"/>
          <w:sz w:val="32"/>
          <w:szCs w:val="32"/>
        </w:rPr>
        <w:t>六</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主要业绩证明</w:t>
      </w:r>
    </w:p>
    <w:p>
      <w:pPr>
        <w:autoSpaceDE w:val="0"/>
        <w:autoSpaceDN w:val="0"/>
        <w:spacing w:line="360" w:lineRule="auto"/>
        <w:ind w:firstLine="120"/>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:相关项目建设业绩一览表</w:t>
      </w:r>
    </w:p>
    <w:tbl>
      <w:tblPr>
        <w:tblStyle w:val="60"/>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投资</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开竣工日期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项目地址与建设单位联系电话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r>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r>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bl>
    <w:p>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b/>
          <w:color w:val="auto"/>
          <w:sz w:val="24"/>
        </w:rPr>
        <w:t>注：供应商可按上述的格式自行编制，须随表提交相应的合同复印件和用户单位验收证明并注明所在文件页码。</w:t>
      </w:r>
    </w:p>
    <w:p>
      <w:pPr>
        <w:autoSpaceDE w:val="0"/>
        <w:autoSpaceDN w:val="0"/>
        <w:spacing w:line="360" w:lineRule="auto"/>
        <w:rPr>
          <w:rFonts w:cs="仿宋_GB2312" w:asciiTheme="minorEastAsia" w:hAnsiTheme="minorEastAsia" w:eastAsiaTheme="minorEastAsia"/>
          <w:color w:val="auto"/>
          <w:sz w:val="24"/>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pPr>
        <w:autoSpaceDE w:val="0"/>
        <w:autoSpaceDN w:val="0"/>
        <w:spacing w:line="360" w:lineRule="auto"/>
        <w:ind w:firstLine="5280" w:firstLineChars="2200"/>
        <w:rPr>
          <w:rFonts w:cs="仿宋_GB2312" w:asciiTheme="minorEastAsia" w:hAnsiTheme="minorEastAsia" w:eastAsiaTheme="minorEastAsia"/>
          <w:color w:val="auto"/>
          <w:kern w:val="0"/>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七、关于</w:t>
      </w:r>
      <w:r>
        <w:rPr>
          <w:rFonts w:hint="eastAsia" w:cs="仿宋_GB2312" w:asciiTheme="minorEastAsia" w:hAnsiTheme="minorEastAsia" w:eastAsiaTheme="minorEastAsia"/>
          <w:b/>
          <w:color w:val="auto"/>
          <w:kern w:val="0"/>
          <w:sz w:val="32"/>
          <w:szCs w:val="32"/>
          <w:lang w:val="zh-CN"/>
        </w:rPr>
        <w:t>对谈判文件中有关条款的拒绝声明</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pPr>
        <w:spacing w:line="360" w:lineRule="auto"/>
        <w:rPr>
          <w:rFonts w:cs="仿宋_GB2312" w:asciiTheme="minorEastAsia" w:hAnsiTheme="minorEastAsia" w:eastAsiaTheme="minorEastAsia"/>
          <w:color w:val="auto"/>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 xml:space="preserve">法定代表人（负责人）或委托代理人(签名)：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八、认为需要的</w:t>
      </w:r>
      <w:r>
        <w:rPr>
          <w:rFonts w:hint="eastAsia" w:cs="仿宋_GB2312" w:asciiTheme="minorEastAsia" w:hAnsiTheme="minorEastAsia" w:eastAsiaTheme="minorEastAsia"/>
          <w:b/>
          <w:color w:val="auto"/>
          <w:kern w:val="0"/>
          <w:sz w:val="32"/>
          <w:szCs w:val="32"/>
          <w:lang w:val="zh-CN"/>
        </w:rPr>
        <w:t>其他商务文件或说明</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pPr>
        <w:spacing w:line="360" w:lineRule="auto"/>
        <w:jc w:val="center"/>
        <w:rPr>
          <w:rFonts w:cs="仿宋_GB2312" w:asciiTheme="minorEastAsia" w:hAnsiTheme="minorEastAsia" w:eastAsiaTheme="minorEastAsia"/>
          <w:color w:val="auto"/>
          <w:sz w:val="24"/>
        </w:rPr>
      </w:pPr>
    </w:p>
    <w:p>
      <w:pPr>
        <w:spacing w:line="360" w:lineRule="auto"/>
        <w:rPr>
          <w:rFonts w:cs="仿宋_GB2312" w:asciiTheme="minorEastAsia" w:hAnsiTheme="minorEastAsia" w:eastAsiaTheme="minorEastAsia"/>
          <w:color w:val="auto"/>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rPr>
          <w:rFonts w:cs="仿宋_GB2312" w:asciiTheme="minorEastAsia" w:hAnsiTheme="minorEastAsia" w:eastAsiaTheme="minorEastAsia"/>
          <w:b/>
          <w:bCs/>
          <w:color w:val="auto"/>
          <w:kern w:val="0"/>
          <w:sz w:val="24"/>
        </w:rPr>
      </w:pPr>
    </w:p>
    <w:p>
      <w:pPr>
        <w:widowControl/>
        <w:adjustRightInd/>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color w:val="auto"/>
        </w:rPr>
        <w:br w:type="page"/>
      </w:r>
    </w:p>
    <w:p>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九、技术解决方案</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（由供应商根据采购需求及谈判文件要求编制）</w:t>
      </w:r>
    </w:p>
    <w:p>
      <w:pPr>
        <w:spacing w:line="360" w:lineRule="auto"/>
        <w:jc w:val="center"/>
        <w:rPr>
          <w:rFonts w:cs="仿宋_GB2312" w:asciiTheme="minorEastAsia" w:hAnsiTheme="minorEastAsia" w:eastAsiaTheme="minorEastAsia"/>
          <w:color w:val="auto"/>
          <w:sz w:val="24"/>
        </w:rPr>
      </w:pPr>
    </w:p>
    <w:p>
      <w:pPr>
        <w:autoSpaceDE w:val="0"/>
        <w:autoSpaceDN w:val="0"/>
        <w:spacing w:line="360" w:lineRule="auto"/>
        <w:rPr>
          <w:rFonts w:cs="仿宋_GB2312" w:asciiTheme="minorEastAsia" w:hAnsiTheme="minorEastAsia" w:eastAsiaTheme="minorEastAsia"/>
          <w:color w:val="auto"/>
          <w:kern w:val="0"/>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 xml:space="preserve">       </w:t>
      </w:r>
    </w:p>
    <w:p>
      <w:pPr>
        <w:snapToGrid w:val="0"/>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响应产品规格配置清单</w:t>
      </w:r>
    </w:p>
    <w:tbl>
      <w:tblPr>
        <w:tblStyle w:val="6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531"/>
        <w:gridCol w:w="2160"/>
        <w:gridCol w:w="2340"/>
        <w:gridCol w:w="10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737" w:type="dxa"/>
            <w:vAlign w:val="center"/>
          </w:tcPr>
          <w:p>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序号</w:t>
            </w:r>
          </w:p>
        </w:tc>
        <w:tc>
          <w:tcPr>
            <w:tcW w:w="1531" w:type="dxa"/>
            <w:vAlign w:val="center"/>
          </w:tcPr>
          <w:p>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设备名称</w:t>
            </w:r>
          </w:p>
        </w:tc>
        <w:tc>
          <w:tcPr>
            <w:tcW w:w="2160" w:type="dxa"/>
            <w:vAlign w:val="center"/>
          </w:tcPr>
          <w:p>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响应品牌及型号</w:t>
            </w:r>
          </w:p>
        </w:tc>
        <w:tc>
          <w:tcPr>
            <w:tcW w:w="2340" w:type="dxa"/>
            <w:vAlign w:val="center"/>
          </w:tcPr>
          <w:p>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规格配置详细说明</w:t>
            </w:r>
          </w:p>
        </w:tc>
        <w:tc>
          <w:tcPr>
            <w:tcW w:w="1080" w:type="dxa"/>
            <w:vAlign w:val="center"/>
          </w:tcPr>
          <w:p>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数量</w:t>
            </w:r>
          </w:p>
        </w:tc>
        <w:tc>
          <w:tcPr>
            <w:tcW w:w="1332" w:type="dxa"/>
            <w:vAlign w:val="center"/>
          </w:tcPr>
          <w:p>
            <w:pPr>
              <w:spacing w:line="360" w:lineRule="auto"/>
              <w:jc w:val="center"/>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37"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1531" w:type="dxa"/>
            <w:vAlign w:val="center"/>
          </w:tcPr>
          <w:p>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pPr>
              <w:spacing w:line="360" w:lineRule="auto"/>
              <w:jc w:val="center"/>
              <w:rPr>
                <w:rFonts w:cs="仿宋_GB2312" w:asciiTheme="minorEastAsia" w:hAnsiTheme="minorEastAsia" w:eastAsiaTheme="minorEastAsia"/>
                <w:color w:val="auto"/>
                <w:sz w:val="24"/>
              </w:rPr>
            </w:pPr>
          </w:p>
        </w:tc>
        <w:tc>
          <w:tcPr>
            <w:tcW w:w="1080" w:type="dxa"/>
            <w:vAlign w:val="center"/>
          </w:tcPr>
          <w:p>
            <w:pPr>
              <w:spacing w:line="360" w:lineRule="auto"/>
              <w:jc w:val="center"/>
              <w:rPr>
                <w:rFonts w:cs="仿宋_GB2312" w:asciiTheme="minorEastAsia" w:hAnsiTheme="minorEastAsia" w:eastAsiaTheme="minorEastAsia"/>
                <w:color w:val="auto"/>
                <w:sz w:val="24"/>
              </w:rPr>
            </w:pPr>
          </w:p>
        </w:tc>
        <w:tc>
          <w:tcPr>
            <w:tcW w:w="1332" w:type="dxa"/>
            <w:vAlign w:val="center"/>
          </w:tcPr>
          <w:p>
            <w:pPr>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1531" w:type="dxa"/>
            <w:vAlign w:val="center"/>
          </w:tcPr>
          <w:p>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pPr>
              <w:spacing w:line="360" w:lineRule="auto"/>
              <w:jc w:val="center"/>
              <w:rPr>
                <w:rFonts w:cs="仿宋_GB2312" w:asciiTheme="minorEastAsia" w:hAnsiTheme="minorEastAsia" w:eastAsiaTheme="minorEastAsia"/>
                <w:color w:val="auto"/>
                <w:sz w:val="24"/>
              </w:rPr>
            </w:pPr>
          </w:p>
        </w:tc>
        <w:tc>
          <w:tcPr>
            <w:tcW w:w="1080" w:type="dxa"/>
            <w:vAlign w:val="center"/>
          </w:tcPr>
          <w:p>
            <w:pPr>
              <w:spacing w:line="360" w:lineRule="auto"/>
              <w:jc w:val="center"/>
              <w:rPr>
                <w:rFonts w:cs="仿宋_GB2312" w:asciiTheme="minorEastAsia" w:hAnsiTheme="minorEastAsia" w:eastAsiaTheme="minorEastAsia"/>
                <w:color w:val="auto"/>
                <w:sz w:val="24"/>
              </w:rPr>
            </w:pPr>
          </w:p>
        </w:tc>
        <w:tc>
          <w:tcPr>
            <w:tcW w:w="1332" w:type="dxa"/>
            <w:vAlign w:val="center"/>
          </w:tcPr>
          <w:p>
            <w:pPr>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1531" w:type="dxa"/>
            <w:vAlign w:val="center"/>
          </w:tcPr>
          <w:p>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pPr>
              <w:spacing w:line="360" w:lineRule="auto"/>
              <w:jc w:val="center"/>
              <w:rPr>
                <w:rFonts w:cs="仿宋_GB2312" w:asciiTheme="minorEastAsia" w:hAnsiTheme="minorEastAsia" w:eastAsiaTheme="minorEastAsia"/>
                <w:color w:val="auto"/>
                <w:sz w:val="24"/>
              </w:rPr>
            </w:pPr>
          </w:p>
        </w:tc>
        <w:tc>
          <w:tcPr>
            <w:tcW w:w="1080" w:type="dxa"/>
            <w:vAlign w:val="center"/>
          </w:tcPr>
          <w:p>
            <w:pPr>
              <w:spacing w:line="360" w:lineRule="auto"/>
              <w:jc w:val="center"/>
              <w:rPr>
                <w:rFonts w:cs="仿宋_GB2312" w:asciiTheme="minorEastAsia" w:hAnsiTheme="minorEastAsia" w:eastAsiaTheme="minorEastAsia"/>
                <w:color w:val="auto"/>
                <w:sz w:val="24"/>
              </w:rPr>
            </w:pPr>
          </w:p>
        </w:tc>
        <w:tc>
          <w:tcPr>
            <w:tcW w:w="1332" w:type="dxa"/>
            <w:vAlign w:val="center"/>
          </w:tcPr>
          <w:p>
            <w:pPr>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1531" w:type="dxa"/>
            <w:vAlign w:val="center"/>
          </w:tcPr>
          <w:p>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pPr>
              <w:spacing w:line="360" w:lineRule="auto"/>
              <w:jc w:val="center"/>
              <w:rPr>
                <w:rFonts w:cs="仿宋_GB2312" w:asciiTheme="minorEastAsia" w:hAnsiTheme="minorEastAsia" w:eastAsiaTheme="minorEastAsia"/>
                <w:color w:val="auto"/>
                <w:sz w:val="24"/>
              </w:rPr>
            </w:pPr>
          </w:p>
        </w:tc>
        <w:tc>
          <w:tcPr>
            <w:tcW w:w="1080" w:type="dxa"/>
            <w:vAlign w:val="center"/>
          </w:tcPr>
          <w:p>
            <w:pPr>
              <w:spacing w:line="360" w:lineRule="auto"/>
              <w:jc w:val="center"/>
              <w:rPr>
                <w:rFonts w:cs="仿宋_GB2312" w:asciiTheme="minorEastAsia" w:hAnsiTheme="minorEastAsia" w:eastAsiaTheme="minorEastAsia"/>
                <w:color w:val="auto"/>
                <w:sz w:val="24"/>
              </w:rPr>
            </w:pPr>
          </w:p>
        </w:tc>
        <w:tc>
          <w:tcPr>
            <w:tcW w:w="1332" w:type="dxa"/>
            <w:vAlign w:val="center"/>
          </w:tcPr>
          <w:p>
            <w:pPr>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37"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1531" w:type="dxa"/>
            <w:vAlign w:val="center"/>
          </w:tcPr>
          <w:p>
            <w:pPr>
              <w:snapToGrid w:val="0"/>
              <w:spacing w:line="360" w:lineRule="auto"/>
              <w:jc w:val="center"/>
              <w:rPr>
                <w:rFonts w:cs="仿宋_GB2312" w:asciiTheme="minorEastAsia" w:hAnsiTheme="minorEastAsia" w:eastAsiaTheme="minorEastAsia"/>
                <w:color w:val="auto"/>
                <w:sz w:val="24"/>
              </w:rPr>
            </w:pPr>
          </w:p>
        </w:tc>
        <w:tc>
          <w:tcPr>
            <w:tcW w:w="2160" w:type="dxa"/>
            <w:vAlign w:val="center"/>
          </w:tcPr>
          <w:p>
            <w:pPr>
              <w:snapToGrid w:val="0"/>
              <w:spacing w:line="360" w:lineRule="auto"/>
              <w:jc w:val="center"/>
              <w:rPr>
                <w:rFonts w:cs="仿宋_GB2312" w:asciiTheme="minorEastAsia" w:hAnsiTheme="minorEastAsia" w:eastAsiaTheme="minorEastAsia"/>
                <w:color w:val="auto"/>
                <w:sz w:val="24"/>
              </w:rPr>
            </w:pPr>
          </w:p>
        </w:tc>
        <w:tc>
          <w:tcPr>
            <w:tcW w:w="2340" w:type="dxa"/>
            <w:vAlign w:val="center"/>
          </w:tcPr>
          <w:p>
            <w:pPr>
              <w:spacing w:line="360" w:lineRule="auto"/>
              <w:jc w:val="center"/>
              <w:rPr>
                <w:rFonts w:cs="仿宋_GB2312" w:asciiTheme="minorEastAsia" w:hAnsiTheme="minorEastAsia" w:eastAsiaTheme="minorEastAsia"/>
                <w:color w:val="auto"/>
                <w:sz w:val="24"/>
              </w:rPr>
            </w:pPr>
          </w:p>
        </w:tc>
        <w:tc>
          <w:tcPr>
            <w:tcW w:w="1080" w:type="dxa"/>
            <w:vAlign w:val="center"/>
          </w:tcPr>
          <w:p>
            <w:pPr>
              <w:spacing w:line="360" w:lineRule="auto"/>
              <w:jc w:val="center"/>
              <w:rPr>
                <w:rFonts w:cs="仿宋_GB2312" w:asciiTheme="minorEastAsia" w:hAnsiTheme="minorEastAsia" w:eastAsiaTheme="minorEastAsia"/>
                <w:color w:val="auto"/>
                <w:sz w:val="24"/>
              </w:rPr>
            </w:pPr>
          </w:p>
        </w:tc>
        <w:tc>
          <w:tcPr>
            <w:tcW w:w="1332" w:type="dxa"/>
            <w:vAlign w:val="center"/>
          </w:tcPr>
          <w:p>
            <w:pPr>
              <w:spacing w:line="360" w:lineRule="auto"/>
              <w:jc w:val="center"/>
              <w:rPr>
                <w:rFonts w:cs="仿宋_GB2312" w:asciiTheme="minorEastAsia" w:hAnsiTheme="minorEastAsia" w:eastAsiaTheme="minorEastAsia"/>
                <w:color w:val="auto"/>
                <w:sz w:val="24"/>
              </w:rPr>
            </w:pPr>
          </w:p>
        </w:tc>
      </w:tr>
    </w:tbl>
    <w:p>
      <w:pPr>
        <w:autoSpaceDE w:val="0"/>
        <w:autoSpaceDN w:val="0"/>
        <w:spacing w:line="360" w:lineRule="auto"/>
        <w:rPr>
          <w:rFonts w:cs="仿宋_GB2312" w:asciiTheme="minorEastAsia" w:hAnsiTheme="minorEastAsia" w:eastAsiaTheme="minorEastAsia"/>
          <w:b/>
          <w:color w:val="auto"/>
          <w:kern w:val="0"/>
          <w:sz w:val="28"/>
          <w:szCs w:val="28"/>
        </w:rPr>
      </w:pPr>
      <w:r>
        <w:rPr>
          <w:rFonts w:hint="eastAsia" w:cs="仿宋_GB2312" w:asciiTheme="minorEastAsia" w:hAnsiTheme="minorEastAsia" w:eastAsiaTheme="minorEastAsia"/>
          <w:b/>
          <w:color w:val="auto"/>
          <w:kern w:val="0"/>
          <w:sz w:val="28"/>
          <w:szCs w:val="28"/>
        </w:rPr>
        <w:t>注：</w:t>
      </w:r>
      <w:r>
        <w:rPr>
          <w:rFonts w:hint="eastAsia" w:cs="仿宋_GB2312" w:asciiTheme="minorEastAsia" w:hAnsiTheme="minorEastAsia" w:eastAsiaTheme="minorEastAsia"/>
          <w:b/>
          <w:color w:val="auto"/>
          <w:sz w:val="28"/>
          <w:szCs w:val="28"/>
        </w:rPr>
        <w:t>如果本项目涉及硬件设备采购，须在响应文件中提供此配置清单。</w:t>
      </w:r>
    </w:p>
    <w:p>
      <w:pPr>
        <w:spacing w:line="360" w:lineRule="auto"/>
        <w:ind w:firstLine="1333" w:firstLineChars="400"/>
        <w:jc w:val="left"/>
        <w:rPr>
          <w:rFonts w:asciiTheme="minorEastAsia" w:hAnsiTheme="minorEastAsia" w:eastAsiaTheme="minorEastAsia"/>
          <w:b/>
          <w:color w:val="auto"/>
          <w:spacing w:val="6"/>
          <w:sz w:val="32"/>
          <w:szCs w:val="32"/>
        </w:rPr>
      </w:pPr>
    </w:p>
    <w:p>
      <w:pPr>
        <w:spacing w:line="360" w:lineRule="auto"/>
        <w:ind w:firstLine="1333" w:firstLineChars="400"/>
        <w:jc w:val="left"/>
        <w:rPr>
          <w:rFonts w:asciiTheme="minorEastAsia" w:hAnsiTheme="minorEastAsia" w:eastAsiaTheme="minorEastAsia"/>
          <w:b/>
          <w:color w:val="auto"/>
          <w:spacing w:val="6"/>
          <w:sz w:val="32"/>
          <w:szCs w:val="32"/>
        </w:rPr>
      </w:pPr>
    </w:p>
    <w:p>
      <w:pPr>
        <w:spacing w:line="360" w:lineRule="auto"/>
        <w:ind w:firstLine="1333" w:firstLineChars="400"/>
        <w:jc w:val="left"/>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节能产品认证证书</w:t>
      </w:r>
    </w:p>
    <w:p>
      <w:pPr>
        <w:spacing w:line="360" w:lineRule="auto"/>
        <w:ind w:firstLine="1333" w:firstLineChars="400"/>
        <w:jc w:val="left"/>
        <w:rPr>
          <w:rFonts w:asciiTheme="minorEastAsia" w:hAnsiTheme="minorEastAsia" w:eastAsiaTheme="minorEastAsia"/>
          <w:b/>
          <w:color w:val="auto"/>
          <w:spacing w:val="6"/>
          <w:sz w:val="32"/>
          <w:szCs w:val="32"/>
        </w:rPr>
      </w:pPr>
    </w:p>
    <w:p>
      <w:pPr>
        <w:spacing w:line="360" w:lineRule="auto"/>
        <w:rPr>
          <w:rFonts w:asciiTheme="minorEastAsia" w:hAnsiTheme="minorEastAsia" w:eastAsiaTheme="minorEastAsia"/>
          <w:b/>
          <w:bCs/>
          <w:color w:val="auto"/>
          <w:sz w:val="24"/>
        </w:rPr>
      </w:pPr>
      <w:r>
        <w:rPr>
          <w:rFonts w:hint="eastAsia" w:asciiTheme="minorEastAsia" w:hAnsiTheme="minorEastAsia" w:eastAsiaTheme="minorEastAsia"/>
          <w:b/>
          <w:bCs/>
          <w:color w:val="auto"/>
          <w:sz w:val="24"/>
        </w:rPr>
        <w:t xml:space="preserve"> </w:t>
      </w:r>
    </w:p>
    <w:p>
      <w:pPr>
        <w:spacing w:line="360" w:lineRule="auto"/>
        <w:ind w:firstLine="1000" w:firstLineChars="300"/>
        <w:jc w:val="left"/>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环境标志产品认证证书</w:t>
      </w:r>
    </w:p>
    <w:p>
      <w:pPr>
        <w:autoSpaceDE w:val="0"/>
        <w:autoSpaceDN w:val="0"/>
        <w:spacing w:line="360" w:lineRule="auto"/>
        <w:rPr>
          <w:rFonts w:cs="仿宋_GB2312" w:asciiTheme="minorEastAsia" w:hAnsiTheme="minorEastAsia" w:eastAsiaTheme="minorEastAsia"/>
          <w:b/>
          <w:color w:val="auto"/>
          <w:kern w:val="0"/>
          <w:sz w:val="28"/>
          <w:szCs w:val="28"/>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24"/>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p>
    <w:p>
      <w:pPr>
        <w:tabs>
          <w:tab w:val="left" w:pos="2790"/>
          <w:tab w:val="left" w:pos="4230"/>
        </w:tabs>
        <w:autoSpaceDE w:val="0"/>
        <w:autoSpaceDN w:val="0"/>
        <w:spacing w:line="360" w:lineRule="auto"/>
        <w:ind w:right="1400"/>
        <w:jc w:val="center"/>
        <w:rPr>
          <w:rFonts w:cs="仿宋_GB2312" w:asciiTheme="minorEastAsia" w:hAnsiTheme="minorEastAsia" w:eastAsiaTheme="minorEastAsia"/>
          <w:b/>
          <w:bCs/>
          <w:color w:val="auto"/>
          <w:kern w:val="0"/>
          <w:sz w:val="32"/>
          <w:szCs w:val="32"/>
          <w:lang w:val="zh-CN"/>
        </w:rPr>
      </w:pPr>
      <w:r>
        <w:rPr>
          <w:rFonts w:hint="eastAsia" w:cs="仿宋_GB2312" w:asciiTheme="minorEastAsia" w:hAnsiTheme="minorEastAsia" w:eastAsiaTheme="minorEastAsia"/>
          <w:b/>
          <w:bCs/>
          <w:color w:val="auto"/>
          <w:kern w:val="0"/>
          <w:sz w:val="32"/>
          <w:szCs w:val="32"/>
          <w:lang w:val="zh-CN"/>
        </w:rPr>
        <w:t>十、组织实施方案</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（由供应商根据采购需求及谈判文件要求编制）</w:t>
      </w:r>
    </w:p>
    <w:p>
      <w:pPr>
        <w:tabs>
          <w:tab w:val="left" w:pos="2790"/>
          <w:tab w:val="left" w:pos="4230"/>
        </w:tabs>
        <w:autoSpaceDE w:val="0"/>
        <w:autoSpaceDN w:val="0"/>
        <w:spacing w:line="360" w:lineRule="auto"/>
        <w:ind w:right="1400"/>
        <w:rPr>
          <w:rFonts w:cs="仿宋_GB2312" w:asciiTheme="minorEastAsia" w:hAnsiTheme="minorEastAsia" w:eastAsiaTheme="minorEastAsia"/>
          <w:b/>
          <w:bCs/>
          <w:color w:val="auto"/>
          <w:kern w:val="0"/>
          <w:sz w:val="24"/>
          <w:lang w:val="zh-CN"/>
        </w:rPr>
      </w:pPr>
      <w:r>
        <w:rPr>
          <w:rFonts w:hint="eastAsia" w:cs="仿宋_GB2312" w:asciiTheme="minorEastAsia" w:hAnsiTheme="minorEastAsia" w:eastAsiaTheme="minorEastAsia"/>
          <w:b/>
          <w:bCs/>
          <w:color w:val="auto"/>
          <w:kern w:val="0"/>
          <w:sz w:val="24"/>
          <w:lang w:val="zh-CN"/>
        </w:rPr>
        <w:t>附表:项目实施进度计划表</w:t>
      </w:r>
      <w:r>
        <w:rPr>
          <w:rFonts w:hint="eastAsia" w:cs="仿宋_GB2312" w:asciiTheme="minorEastAsia" w:hAnsiTheme="minorEastAsia" w:eastAsiaTheme="minorEastAsia"/>
          <w:b/>
          <w:color w:val="auto"/>
          <w:sz w:val="24"/>
        </w:rPr>
        <w:t xml:space="preserve">(以生效日算起) </w:t>
      </w:r>
    </w:p>
    <w:tbl>
      <w:tblPr>
        <w:tblStyle w:val="60"/>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1188"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mc:AlternateContent>
                <mc:Choice Requires="wpg">
                  <w:drawing>
                    <wp:anchor distT="0" distB="0" distL="114300" distR="114300" simplePos="0" relativeHeight="251659264"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4" name="Group 7"/>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5" name="__TH_L2"/>
                              <wps:cNvCnPr/>
                              <wps:spPr bwMode="auto">
                                <a:xfrm>
                                  <a:off x="0" y="0"/>
                                  <a:ext cx="1178" cy="1860"/>
                                </a:xfrm>
                                <a:prstGeom prst="line">
                                  <a:avLst/>
                                </a:prstGeom>
                                <a:noFill/>
                                <a:ln w="6350">
                                  <a:solidFill>
                                    <a:srgbClr val="000000"/>
                                  </a:solidFill>
                                  <a:round/>
                                </a:ln>
                                <a:effectLst/>
                              </wps:spPr>
                              <wps:bodyPr/>
                            </wps:wsp>
                            <wps:wsp>
                              <wps:cNvPr id="6" name="__TH_B113"/>
                              <wps:cNvSpPr txBox="1">
                                <a:spLocks noChangeArrowheads="1"/>
                              </wps:cNvSpPr>
                              <wps:spPr bwMode="auto">
                                <a:xfrm>
                                  <a:off x="455" y="122"/>
                                  <a:ext cx="253" cy="263"/>
                                </a:xfrm>
                                <a:prstGeom prst="rect">
                                  <a:avLst/>
                                </a:prstGeom>
                                <a:noFill/>
                                <a:ln>
                                  <a:noFill/>
                                </a:ln>
                                <a:effectLst/>
                              </wps:spPr>
                              <wps:txbx>
                                <w:txbxContent>
                                  <w:p>
                                    <w:pPr>
                                      <w:snapToGrid w:val="0"/>
                                    </w:pPr>
                                    <w:r>
                                      <w:rPr>
                                        <w:rFonts w:hint="eastAsia"/>
                                      </w:rPr>
                                      <w:t>工</w:t>
                                    </w:r>
                                  </w:p>
                                </w:txbxContent>
                              </wps:txbx>
                              <wps:bodyPr rot="0" vert="horz" wrap="square" lIns="0" tIns="0" rIns="0" bIns="0" anchor="t" anchorCtr="0" upright="1">
                                <a:noAutofit/>
                              </wps:bodyPr>
                            </wps:wsp>
                            <wps:wsp>
                              <wps:cNvPr id="7" name="__TH_B124"/>
                              <wps:cNvSpPr txBox="1">
                                <a:spLocks noChangeArrowheads="1"/>
                              </wps:cNvSpPr>
                              <wps:spPr bwMode="auto">
                                <a:xfrm>
                                  <a:off x="643" y="419"/>
                                  <a:ext cx="253" cy="263"/>
                                </a:xfrm>
                                <a:prstGeom prst="rect">
                                  <a:avLst/>
                                </a:prstGeom>
                                <a:noFill/>
                                <a:ln>
                                  <a:noFill/>
                                </a:ln>
                                <a:effectLst/>
                              </wps:spPr>
                              <wps:txbx>
                                <w:txbxContent>
                                  <w:p>
                                    <w:pPr>
                                      <w:snapToGrid w:val="0"/>
                                    </w:pPr>
                                    <w:r>
                                      <w:rPr>
                                        <w:rFonts w:hint="eastAsia"/>
                                      </w:rPr>
                                      <w:t>作</w:t>
                                    </w:r>
                                  </w:p>
                                </w:txbxContent>
                              </wps:txbx>
                              <wps:bodyPr rot="0" vert="horz" wrap="square" lIns="0" tIns="0" rIns="0" bIns="0" anchor="t" anchorCtr="0" upright="1">
                                <a:noAutofit/>
                              </wps:bodyPr>
                            </wps:wsp>
                            <wps:wsp>
                              <wps:cNvPr id="8" name="__TH_B135"/>
                              <wps:cNvSpPr txBox="1">
                                <a:spLocks noChangeArrowheads="1"/>
                              </wps:cNvSpPr>
                              <wps:spPr bwMode="auto">
                                <a:xfrm>
                                  <a:off x="831" y="717"/>
                                  <a:ext cx="253" cy="262"/>
                                </a:xfrm>
                                <a:prstGeom prst="rect">
                                  <a:avLst/>
                                </a:prstGeom>
                                <a:noFill/>
                                <a:ln>
                                  <a:noFill/>
                                </a:ln>
                                <a:effectLst/>
                              </wps:spPr>
                              <wps:txbx>
                                <w:txbxContent>
                                  <w:p>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Group 7" o:spid="_x0000_s1026" o:spt="203" style="position:absolute;left:0pt;margin-left:-5.15pt;margin-top:0pt;height:93pt;width:58.9pt;z-index:251659264;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9ctc&#10;ntgAAAAIAQAADwAAAAAAAAABACAAAAAiAAAAZHJzL2Rvd25yZXYueG1sUEsBAhQAFAAAAAgAh07i&#10;QGODd7IGAwAAQwsAAA4AAAAAAAAAAQAgAAAAJwEAAGRycy9lMm9Eb2MueG1sUEsFBgAAAAAGAAYA&#10;WQEAAJ8GAAAAAA==&#10;">
                      <o:lock v:ext="edit" aspectratio="f"/>
                      <v:line id="__TH_L2" o:spid="_x0000_s1026" o:spt="20" style="position:absolute;left:0;top:0;height:1860;width:1178;" filled="f" stroked="t" coordsize="21600,21600" o:gfxdata="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kPA5+ugAAANoA&#10;AAAPAAAAAAAAAAEAIAAAACIAAABkcnMvZG93bnJldi54bWxQSwECFAAUAAAACACHTuJAMy8FnjsA&#10;AAA5AAAAEAAAAAAAAAABACAAAAAJAQAAZHJzL3NoYXBleG1sLnhtbFBLBQYAAAAABgAGAFsBAACz&#10;AwA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7p5bC70AAADa&#10;AAAADwAAAGRycy9kb3ducmV2LnhtbEWPQWvCQBSE70L/w/KE3nTXHoJGN1KkhUKhGOPB42v2JVnM&#10;vk2zW7X/vlsoeBxm5htms725XlxoDNazhsVcgSCuvbHcajhWr7MliBCRDfaeScMPBdgWD5MN5sZf&#10;uaTLIbYiQTjkqKGLccilDHVHDsPcD8TJa/zoMCY5ttKMeE1w18snpTLp0HJa6HCgXUf1+fDtNDyf&#10;uHyxXx+f+7IpbVWtFL9nZ60fpwu1BhHpFu/h//ab0ZDB35V0A2T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nlsL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napToGrid w:val="0"/>
                              </w:pPr>
                              <w:r>
                                <w:rPr>
                                  <w:rFonts w:hint="eastAsia"/>
                                </w:rPr>
                                <w:t>日</w:t>
                              </w:r>
                            </w:p>
                          </w:txbxContent>
                        </v:textbox>
                      </v:shape>
                    </v:group>
                  </w:pict>
                </mc:Fallback>
              </mc:AlternateContent>
            </w:r>
          </w:p>
          <w:p>
            <w:pPr>
              <w:spacing w:line="360" w:lineRule="auto"/>
              <w:rPr>
                <w:rFonts w:cs="仿宋_GB2312" w:asciiTheme="minorEastAsia" w:hAnsiTheme="minorEastAsia" w:eastAsiaTheme="minorEastAsia"/>
                <w:color w:val="auto"/>
                <w:sz w:val="24"/>
              </w:rPr>
            </w:pPr>
          </w:p>
          <w:p>
            <w:pPr>
              <w:spacing w:line="360" w:lineRule="auto"/>
              <w:rPr>
                <w:rFonts w:cs="仿宋_GB2312" w:asciiTheme="minorEastAsia" w:hAnsiTheme="minorEastAsia" w:eastAsiaTheme="minorEastAsia"/>
                <w:color w:val="auto"/>
                <w:sz w:val="24"/>
              </w:rPr>
            </w:pP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内容</w:t>
            </w:r>
          </w:p>
        </w:tc>
        <w:tc>
          <w:tcPr>
            <w:tcW w:w="552"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w:t>
            </w:r>
          </w:p>
        </w:tc>
        <w:tc>
          <w:tcPr>
            <w:tcW w:w="552"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w:t>
            </w:r>
          </w:p>
        </w:tc>
        <w:tc>
          <w:tcPr>
            <w:tcW w:w="552"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w:t>
            </w:r>
          </w:p>
        </w:tc>
        <w:tc>
          <w:tcPr>
            <w:tcW w:w="552"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w:t>
            </w:r>
          </w:p>
        </w:tc>
        <w:tc>
          <w:tcPr>
            <w:tcW w:w="552"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w:t>
            </w:r>
          </w:p>
        </w:tc>
        <w:tc>
          <w:tcPr>
            <w:tcW w:w="552"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7</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8</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9</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10</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11</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12</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13</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14</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15</w:t>
            </w:r>
          </w:p>
        </w:tc>
        <w:tc>
          <w:tcPr>
            <w:tcW w:w="553" w:type="dxa"/>
            <w:vAlign w:val="center"/>
          </w:tcPr>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vAlign w:val="center"/>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2"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c>
          <w:tcPr>
            <w:tcW w:w="553" w:type="dxa"/>
          </w:tcPr>
          <w:p>
            <w:pPr>
              <w:spacing w:line="360" w:lineRule="auto"/>
              <w:rPr>
                <w:rFonts w:cs="仿宋_GB2312" w:asciiTheme="minorEastAsia" w:hAnsiTheme="minorEastAsia" w:eastAsiaTheme="minorEastAsia"/>
                <w:color w:val="auto"/>
                <w:sz w:val="24"/>
              </w:rPr>
            </w:pPr>
          </w:p>
        </w:tc>
      </w:tr>
    </w:tbl>
    <w:p>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注：供应商可按上述时间表的格式自行编制切合实际的具体时间表。</w:t>
      </w: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十一、售后服务方案</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w:t>
      </w:r>
      <w:r>
        <w:rPr>
          <w:rFonts w:hint="eastAsia" w:cs="仿宋_GB2312" w:asciiTheme="minorEastAsia" w:hAnsiTheme="minorEastAsia" w:eastAsiaTheme="minorEastAsia"/>
          <w:color w:val="auto"/>
          <w:kern w:val="0"/>
          <w:sz w:val="24"/>
        </w:rPr>
        <w:t>供应商</w:t>
      </w:r>
      <w:r>
        <w:rPr>
          <w:rFonts w:hint="eastAsia" w:cs="仿宋_GB2312" w:asciiTheme="minorEastAsia" w:hAnsiTheme="minorEastAsia" w:eastAsiaTheme="minorEastAsia"/>
          <w:color w:val="auto"/>
          <w:sz w:val="24"/>
        </w:rPr>
        <w:t>根据采购需求及谈判文件要求编制）</w:t>
      </w:r>
    </w:p>
    <w:p>
      <w:pPr>
        <w:autoSpaceDE w:val="0"/>
        <w:autoSpaceDN w:val="0"/>
        <w:spacing w:line="360" w:lineRule="auto"/>
        <w:rPr>
          <w:rFonts w:cs="仿宋_GB2312" w:asciiTheme="minorEastAsia" w:hAnsiTheme="minorEastAsia" w:eastAsiaTheme="minorEastAsia"/>
          <w:color w:val="auto"/>
          <w:kern w:val="0"/>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bCs/>
          <w:color w:val="auto"/>
          <w:sz w:val="32"/>
          <w:szCs w:val="32"/>
        </w:rPr>
      </w:pPr>
      <w:r>
        <w:rPr>
          <w:rFonts w:hint="eastAsia" w:cs="仿宋_GB2312" w:asciiTheme="minorEastAsia" w:hAnsiTheme="minorEastAsia" w:eastAsiaTheme="minorEastAsia"/>
          <w:b/>
          <w:bCs/>
          <w:color w:val="auto"/>
          <w:sz w:val="32"/>
          <w:szCs w:val="32"/>
        </w:rPr>
        <w:t>十二、项目小组人员名单</w:t>
      </w:r>
    </w:p>
    <w:p>
      <w:pPr>
        <w:spacing w:line="360" w:lineRule="auto"/>
        <w:jc w:val="center"/>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sz w:val="24"/>
        </w:rPr>
        <w:t>（由供应商根据采购需求及谈判文件要求编制）</w:t>
      </w:r>
    </w:p>
    <w:p>
      <w:pPr>
        <w:keepNext/>
        <w:autoSpaceDE w:val="0"/>
        <w:autoSpaceDN w:val="0"/>
        <w:spacing w:line="360" w:lineRule="auto"/>
        <w:ind w:firstLine="477"/>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附表A:本项目的项目经理情况表</w:t>
      </w:r>
    </w:p>
    <w:tbl>
      <w:tblPr>
        <w:tblStyle w:val="60"/>
        <w:tblW w:w="9286" w:type="dxa"/>
        <w:tblInd w:w="0" w:type="dxa"/>
        <w:tblLayout w:type="fixed"/>
        <w:tblCellMar>
          <w:top w:w="0" w:type="dxa"/>
          <w:left w:w="108" w:type="dxa"/>
          <w:bottom w:w="0" w:type="dxa"/>
          <w:right w:w="108" w:type="dxa"/>
        </w:tblCellMar>
      </w:tblPr>
      <w:tblGrid>
        <w:gridCol w:w="2554"/>
        <w:gridCol w:w="1595"/>
        <w:gridCol w:w="5137"/>
      </w:tblGrid>
      <w:tr>
        <w:tblPrEx>
          <w:tblCellMar>
            <w:top w:w="0" w:type="dxa"/>
            <w:left w:w="108" w:type="dxa"/>
            <w:bottom w:w="0" w:type="dxa"/>
            <w:right w:w="108" w:type="dxa"/>
          </w:tblCellMar>
        </w:tblPrEx>
        <w:trPr>
          <w:trHeight w:val="604" w:hRule="atLeast"/>
        </w:trPr>
        <w:tc>
          <w:tcPr>
            <w:tcW w:w="255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1595" w:type="dxa"/>
            <w:tcBorders>
              <w:top w:val="single" w:color="auto" w:sz="6" w:space="0"/>
              <w:left w:val="single" w:color="auto" w:sz="6" w:space="0"/>
              <w:bottom w:val="single" w:color="auto" w:sz="6" w:space="0"/>
              <w:right w:val="single" w:color="auto" w:sz="4" w:space="0"/>
            </w:tcBorders>
            <w:shd w:val="clear" w:color="auto" w:fill="B3B3B3"/>
            <w:vAlign w:val="center"/>
          </w:tcPr>
          <w:p>
            <w:pPr>
              <w:autoSpaceDE w:val="0"/>
              <w:autoSpaceDN w:val="0"/>
              <w:spacing w:line="360" w:lineRule="auto"/>
              <w:jc w:val="center"/>
              <w:rPr>
                <w:rFonts w:cs="仿宋_GB2312" w:asciiTheme="minorEastAsia" w:hAnsiTheme="minorEastAsia" w:eastAsiaTheme="minorEastAsia"/>
                <w:color w:val="auto"/>
                <w:sz w:val="24"/>
              </w:rPr>
            </w:pPr>
          </w:p>
        </w:tc>
        <w:tc>
          <w:tcPr>
            <w:tcW w:w="513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响应截止时间近3年业绩及承担的主要工作情况，曾担任项目经理的项目应列明细</w:t>
            </w: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cantSplit/>
          <w:trHeight w:val="33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cantSplit/>
          <w:trHeight w:val="345"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毕业时间</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cantSplit/>
          <w:trHeight w:val="422"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所学专业</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cantSplit/>
          <w:trHeight w:val="416"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cantSplit/>
          <w:trHeight w:val="200"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资质证书</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cantSplit/>
          <w:trHeight w:val="177"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其他资质情况</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r>
      <w:tr>
        <w:tblPrEx>
          <w:tblCellMar>
            <w:top w:w="0" w:type="dxa"/>
            <w:left w:w="108" w:type="dxa"/>
            <w:bottom w:w="0" w:type="dxa"/>
            <w:right w:w="108" w:type="dxa"/>
          </w:tblCellMar>
        </w:tblPrEx>
        <w:trPr>
          <w:cantSplit/>
          <w:trHeight w:val="473" w:hRule="atLeast"/>
        </w:trPr>
        <w:tc>
          <w:tcPr>
            <w:tcW w:w="255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p>
        </w:tc>
        <w:tc>
          <w:tcPr>
            <w:tcW w:w="1595" w:type="dxa"/>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c>
          <w:tcPr>
            <w:tcW w:w="513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p>
        </w:tc>
      </w:tr>
    </w:tbl>
    <w:p>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附表B:本项目的项目小组人员情况表</w:t>
      </w:r>
      <w:r>
        <w:rPr>
          <w:rFonts w:hint="eastAsia" w:cs="仿宋_GB2312" w:asciiTheme="minorEastAsia" w:hAnsiTheme="minorEastAsia" w:eastAsiaTheme="minorEastAsia"/>
          <w:color w:val="auto"/>
          <w:sz w:val="24"/>
        </w:rPr>
        <w:t>（按此格式自制）</w:t>
      </w:r>
    </w:p>
    <w:tbl>
      <w:tblPr>
        <w:tblStyle w:val="60"/>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姓名</w:t>
            </w:r>
          </w:p>
        </w:tc>
        <w:tc>
          <w:tcPr>
            <w:tcW w:w="41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学历</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专业</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职称</w:t>
            </w:r>
          </w:p>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(页码)</w:t>
            </w: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参与本项目的到位情况</w:t>
            </w:r>
          </w:p>
        </w:tc>
      </w:tr>
      <w:tr>
        <w:trPr>
          <w:trHeight w:val="47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r>
        <w:trPr>
          <w:trHeight w:val="473"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r>
        <w:trPr>
          <w:trHeight w:val="339" w:hRule="atLeast"/>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cs="仿宋_GB2312" w:asciiTheme="minorEastAsia" w:hAnsiTheme="minorEastAsia" w:eastAsiaTheme="minorEastAsia"/>
                <w:color w:val="auto"/>
                <w:sz w:val="24"/>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41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08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26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9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cs="仿宋_GB2312" w:asciiTheme="minorEastAsia" w:hAnsiTheme="minorEastAsia" w:eastAsiaTheme="minorEastAsia"/>
                <w:color w:val="auto"/>
                <w:sz w:val="24"/>
              </w:rPr>
            </w:pPr>
          </w:p>
        </w:tc>
      </w:tr>
    </w:tbl>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注：供应商可按上述的格式自行编制，须随表提交相应的证书复印件并注明所在响应文件页码。</w:t>
      </w:r>
    </w:p>
    <w:p>
      <w:pPr>
        <w:spacing w:line="360" w:lineRule="auto"/>
        <w:rPr>
          <w:rFonts w:cs="仿宋_GB2312" w:asciiTheme="minorEastAsia" w:hAnsiTheme="minorEastAsia" w:eastAsiaTheme="minorEastAsia"/>
          <w:b/>
          <w:color w:val="auto"/>
          <w:sz w:val="24"/>
        </w:rPr>
      </w:pP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b/>
          <w:color w:val="auto"/>
          <w:sz w:val="24"/>
        </w:rPr>
        <w:t>附表C:本项目的项目经理和小组人员交纳社保记录情况表</w:t>
      </w:r>
      <w:r>
        <w:rPr>
          <w:rFonts w:hint="eastAsia" w:cs="仿宋_GB2312" w:asciiTheme="minorEastAsia" w:hAnsiTheme="minorEastAsia" w:eastAsiaTheme="minorEastAsia"/>
          <w:color w:val="auto"/>
          <w:sz w:val="24"/>
        </w:rPr>
        <w:t>（以社保局缴纳凭证作附件）</w:t>
      </w: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24"/>
        </w:rPr>
        <w:br w:type="page"/>
      </w:r>
      <w:r>
        <w:rPr>
          <w:rFonts w:hint="eastAsia" w:cs="仿宋_GB2312" w:asciiTheme="minorEastAsia" w:hAnsiTheme="minorEastAsia" w:eastAsiaTheme="minorEastAsia"/>
          <w:b/>
          <w:color w:val="auto"/>
          <w:kern w:val="0"/>
          <w:sz w:val="32"/>
          <w:szCs w:val="32"/>
          <w:lang w:val="zh-CN"/>
        </w:rPr>
        <w:t>十三</w:t>
      </w:r>
      <w:r>
        <w:rPr>
          <w:rFonts w:hint="eastAsia" w:cs="仿宋_GB2312" w:asciiTheme="minorEastAsia" w:hAnsiTheme="minorEastAsia" w:eastAsiaTheme="minorEastAsia"/>
          <w:b/>
          <w:bCs/>
          <w:color w:val="auto"/>
          <w:sz w:val="32"/>
          <w:szCs w:val="32"/>
        </w:rPr>
        <w:t>、</w:t>
      </w:r>
      <w:r>
        <w:rPr>
          <w:rFonts w:hint="eastAsia" w:cs="仿宋_GB2312" w:asciiTheme="minorEastAsia" w:hAnsiTheme="minorEastAsia" w:eastAsiaTheme="minorEastAsia"/>
          <w:b/>
          <w:color w:val="auto"/>
          <w:kern w:val="0"/>
          <w:sz w:val="32"/>
          <w:szCs w:val="32"/>
          <w:lang w:val="zh-CN"/>
        </w:rPr>
        <w:t>优惠条件及特殊承诺</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pPr>
        <w:spacing w:line="360" w:lineRule="auto"/>
        <w:jc w:val="center"/>
        <w:rPr>
          <w:rFonts w:cs="仿宋_GB2312" w:asciiTheme="minorEastAsia" w:hAnsiTheme="minorEastAsia" w:eastAsiaTheme="minorEastAsia"/>
          <w:color w:val="auto"/>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b/>
          <w:bCs/>
          <w:color w:val="auto"/>
          <w:sz w:val="24"/>
        </w:rPr>
      </w:pPr>
    </w:p>
    <w:p>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十四、</w:t>
      </w:r>
      <w:r>
        <w:rPr>
          <w:rFonts w:hint="eastAsia" w:cs="仿宋_GB2312" w:asciiTheme="minorEastAsia" w:hAnsiTheme="minorEastAsia" w:eastAsiaTheme="minorEastAsia"/>
          <w:b/>
          <w:color w:val="auto"/>
          <w:kern w:val="0"/>
          <w:sz w:val="32"/>
          <w:szCs w:val="32"/>
          <w:lang w:val="zh-CN"/>
        </w:rPr>
        <w:t>培训计划</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pPr>
        <w:keepNext/>
        <w:autoSpaceDE w:val="0"/>
        <w:autoSpaceDN w:val="0"/>
        <w:spacing w:line="360" w:lineRule="auto"/>
        <w:ind w:firstLine="477"/>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附表: 培训日程及费用</w:t>
      </w:r>
    </w:p>
    <w:tbl>
      <w:tblPr>
        <w:tblStyle w:val="60"/>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cs="仿宋_GB2312" w:asciiTheme="minorEastAsia" w:hAnsiTheme="minorEastAsia" w:eastAsiaTheme="minorEastAsia"/>
                <w:color w:val="auto"/>
                <w:sz w:val="24"/>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rPr>
            </w:pPr>
          </w:p>
        </w:tc>
      </w:tr>
      <w:tr>
        <w:tblPrEx>
          <w:tblCellMar>
            <w:top w:w="0" w:type="dxa"/>
            <w:left w:w="120" w:type="dxa"/>
            <w:bottom w:w="0" w:type="dxa"/>
            <w:right w:w="120" w:type="dxa"/>
          </w:tblCellMar>
        </w:tblPrEx>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cs="仿宋_GB2312" w:asciiTheme="minorEastAsia" w:hAnsiTheme="minorEastAsia" w:eastAsiaTheme="minorEastAsia"/>
                <w:color w:val="auto"/>
                <w:sz w:val="24"/>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cs="仿宋_GB2312" w:asciiTheme="minorEastAsia" w:hAnsiTheme="minorEastAsia" w:eastAsiaTheme="minorEastAsia"/>
                <w:color w:val="auto"/>
                <w:sz w:val="24"/>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cs="仿宋_GB2312" w:asciiTheme="minorEastAsia" w:hAnsiTheme="minorEastAsia" w:eastAsiaTheme="minorEastAsia"/>
                <w:color w:val="auto"/>
                <w:sz w:val="24"/>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cs="仿宋_GB2312" w:asciiTheme="minorEastAsia" w:hAnsiTheme="minorEastAsia" w:eastAsiaTheme="minorEastAsia"/>
                <w:color w:val="auto"/>
                <w:sz w:val="24"/>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cs="仿宋_GB2312" w:asciiTheme="minorEastAsia" w:hAnsiTheme="minorEastAsia" w:eastAsiaTheme="minorEastAsia"/>
                <w:color w:val="auto"/>
                <w:sz w:val="24"/>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注解:A</w:t>
      </w:r>
      <w:r>
        <w:rPr>
          <w:rFonts w:hint="eastAsia" w:cs="仿宋_GB2312" w:asciiTheme="minorEastAsia" w:hAnsiTheme="minorEastAsia" w:eastAsiaTheme="minorEastAsia"/>
          <w:color w:val="auto"/>
          <w:sz w:val="24"/>
        </w:rPr>
        <w:tab/>
      </w:r>
      <w:r>
        <w:rPr>
          <w:rFonts w:hint="eastAsia" w:cs="仿宋_GB2312" w:asciiTheme="minorEastAsia" w:hAnsiTheme="minorEastAsia" w:eastAsiaTheme="minorEastAsia"/>
          <w:color w:val="auto"/>
          <w:sz w:val="24"/>
        </w:rPr>
        <w:t>课程清单按时间顺序排列，并提供以下详细资料：</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课程概要</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课程目的</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教学方式</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先决条件</w:t>
      </w:r>
    </w:p>
    <w:p>
      <w:pPr>
        <w:numPr>
          <w:ilvl w:val="0"/>
          <w:numId w:val="9"/>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教材目录</w:t>
      </w:r>
    </w:p>
    <w:p>
      <w:pPr>
        <w:autoSpaceDE w:val="0"/>
        <w:autoSpaceDN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B  按照附表A提供授课教师的简历</w:t>
      </w:r>
    </w:p>
    <w:p>
      <w:pPr>
        <w:autoSpaceDE w:val="0"/>
        <w:autoSpaceDN w:val="0"/>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注：须随表提交相应的证书复印件并注明所在响应文件页码。</w:t>
      </w:r>
    </w:p>
    <w:p>
      <w:pPr>
        <w:autoSpaceDE w:val="0"/>
        <w:autoSpaceDN w:val="0"/>
        <w:spacing w:line="360" w:lineRule="auto"/>
        <w:rPr>
          <w:rFonts w:cs="仿宋_GB2312" w:asciiTheme="minorEastAsia" w:hAnsiTheme="minorEastAsia" w:eastAsiaTheme="minorEastAsia"/>
          <w:b/>
          <w:color w:val="auto"/>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color w:val="auto"/>
          <w:kern w:val="0"/>
          <w:sz w:val="24"/>
        </w:rPr>
      </w:pPr>
    </w:p>
    <w:p>
      <w:pPr>
        <w:spacing w:line="360" w:lineRule="auto"/>
        <w:jc w:val="center"/>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十五、随机特殊工具和备品备件清单</w:t>
      </w:r>
    </w:p>
    <w:tbl>
      <w:tblPr>
        <w:tblStyle w:val="60"/>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名称</w:t>
            </w:r>
          </w:p>
        </w:tc>
        <w:tc>
          <w:tcPr>
            <w:tcW w:w="1900"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品牌</w:t>
            </w:r>
          </w:p>
        </w:tc>
        <w:tc>
          <w:tcPr>
            <w:tcW w:w="1800"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制造厂/原产地</w:t>
            </w:r>
          </w:p>
        </w:tc>
        <w:tc>
          <w:tcPr>
            <w:tcW w:w="2880"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规格型号</w:t>
            </w:r>
          </w:p>
        </w:tc>
        <w:tc>
          <w:tcPr>
            <w:tcW w:w="1332" w:type="dxa"/>
            <w:vAlign w:val="center"/>
          </w:tcPr>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color w:val="auto"/>
                <w:sz w:val="24"/>
              </w:rPr>
            </w:pPr>
          </w:p>
        </w:tc>
        <w:tc>
          <w:tcPr>
            <w:tcW w:w="1900" w:type="dxa"/>
          </w:tcPr>
          <w:p>
            <w:pPr>
              <w:pStyle w:val="31"/>
              <w:spacing w:line="360" w:lineRule="auto"/>
              <w:jc w:val="center"/>
              <w:rPr>
                <w:rFonts w:cs="仿宋_GB2312" w:asciiTheme="minorEastAsia" w:hAnsiTheme="minorEastAsia" w:eastAsiaTheme="minorEastAsia"/>
                <w:color w:val="auto"/>
                <w:sz w:val="24"/>
              </w:rPr>
            </w:pPr>
          </w:p>
        </w:tc>
        <w:tc>
          <w:tcPr>
            <w:tcW w:w="1800" w:type="dxa"/>
          </w:tcPr>
          <w:p>
            <w:pPr>
              <w:pStyle w:val="31"/>
              <w:spacing w:line="360" w:lineRule="auto"/>
              <w:jc w:val="center"/>
              <w:rPr>
                <w:rFonts w:cs="仿宋_GB2312" w:asciiTheme="minorEastAsia" w:hAnsiTheme="minorEastAsia" w:eastAsiaTheme="minorEastAsia"/>
                <w:color w:val="auto"/>
                <w:sz w:val="24"/>
              </w:rPr>
            </w:pPr>
          </w:p>
        </w:tc>
        <w:tc>
          <w:tcPr>
            <w:tcW w:w="2880" w:type="dxa"/>
          </w:tcPr>
          <w:p>
            <w:pPr>
              <w:pStyle w:val="31"/>
              <w:spacing w:line="360" w:lineRule="auto"/>
              <w:jc w:val="center"/>
              <w:rPr>
                <w:rFonts w:cs="仿宋_GB2312" w:asciiTheme="minorEastAsia" w:hAnsiTheme="minorEastAsia" w:eastAsiaTheme="minorEastAsia"/>
                <w:color w:val="auto"/>
                <w:sz w:val="24"/>
              </w:rPr>
            </w:pPr>
          </w:p>
        </w:tc>
        <w:tc>
          <w:tcPr>
            <w:tcW w:w="1332" w:type="dxa"/>
          </w:tcPr>
          <w:p>
            <w:pPr>
              <w:pStyle w:val="31"/>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color w:val="auto"/>
                <w:sz w:val="24"/>
              </w:rPr>
            </w:pPr>
          </w:p>
        </w:tc>
        <w:tc>
          <w:tcPr>
            <w:tcW w:w="1900" w:type="dxa"/>
          </w:tcPr>
          <w:p>
            <w:pPr>
              <w:pStyle w:val="31"/>
              <w:spacing w:line="360" w:lineRule="auto"/>
              <w:jc w:val="center"/>
              <w:rPr>
                <w:rFonts w:cs="仿宋_GB2312" w:asciiTheme="minorEastAsia" w:hAnsiTheme="minorEastAsia" w:eastAsiaTheme="minorEastAsia"/>
                <w:color w:val="auto"/>
                <w:sz w:val="24"/>
              </w:rPr>
            </w:pPr>
          </w:p>
        </w:tc>
        <w:tc>
          <w:tcPr>
            <w:tcW w:w="1800" w:type="dxa"/>
          </w:tcPr>
          <w:p>
            <w:pPr>
              <w:pStyle w:val="31"/>
              <w:spacing w:line="360" w:lineRule="auto"/>
              <w:jc w:val="center"/>
              <w:rPr>
                <w:rFonts w:cs="仿宋_GB2312" w:asciiTheme="minorEastAsia" w:hAnsiTheme="minorEastAsia" w:eastAsiaTheme="minorEastAsia"/>
                <w:color w:val="auto"/>
                <w:sz w:val="24"/>
              </w:rPr>
            </w:pPr>
          </w:p>
        </w:tc>
        <w:tc>
          <w:tcPr>
            <w:tcW w:w="2880" w:type="dxa"/>
          </w:tcPr>
          <w:p>
            <w:pPr>
              <w:pStyle w:val="31"/>
              <w:spacing w:line="360" w:lineRule="auto"/>
              <w:jc w:val="center"/>
              <w:rPr>
                <w:rFonts w:cs="仿宋_GB2312" w:asciiTheme="minorEastAsia" w:hAnsiTheme="minorEastAsia" w:eastAsiaTheme="minorEastAsia"/>
                <w:color w:val="auto"/>
                <w:sz w:val="24"/>
              </w:rPr>
            </w:pPr>
          </w:p>
        </w:tc>
        <w:tc>
          <w:tcPr>
            <w:tcW w:w="1332" w:type="dxa"/>
          </w:tcPr>
          <w:p>
            <w:pPr>
              <w:pStyle w:val="31"/>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1"/>
              <w:spacing w:line="360" w:lineRule="auto"/>
              <w:jc w:val="center"/>
              <w:rPr>
                <w:rFonts w:cs="仿宋_GB2312" w:asciiTheme="minorEastAsia" w:hAnsiTheme="minorEastAsia" w:eastAsiaTheme="minorEastAsia"/>
                <w:color w:val="auto"/>
                <w:sz w:val="24"/>
              </w:rPr>
            </w:pPr>
          </w:p>
        </w:tc>
        <w:tc>
          <w:tcPr>
            <w:tcW w:w="1900" w:type="dxa"/>
          </w:tcPr>
          <w:p>
            <w:pPr>
              <w:pStyle w:val="31"/>
              <w:spacing w:line="360" w:lineRule="auto"/>
              <w:jc w:val="center"/>
              <w:rPr>
                <w:rFonts w:cs="仿宋_GB2312" w:asciiTheme="minorEastAsia" w:hAnsiTheme="minorEastAsia" w:eastAsiaTheme="minorEastAsia"/>
                <w:color w:val="auto"/>
                <w:sz w:val="24"/>
              </w:rPr>
            </w:pPr>
          </w:p>
        </w:tc>
        <w:tc>
          <w:tcPr>
            <w:tcW w:w="1800" w:type="dxa"/>
          </w:tcPr>
          <w:p>
            <w:pPr>
              <w:pStyle w:val="31"/>
              <w:spacing w:line="360" w:lineRule="auto"/>
              <w:jc w:val="center"/>
              <w:rPr>
                <w:rFonts w:cs="仿宋_GB2312" w:asciiTheme="minorEastAsia" w:hAnsiTheme="minorEastAsia" w:eastAsiaTheme="minorEastAsia"/>
                <w:color w:val="auto"/>
                <w:sz w:val="24"/>
              </w:rPr>
            </w:pPr>
          </w:p>
        </w:tc>
        <w:tc>
          <w:tcPr>
            <w:tcW w:w="2880" w:type="dxa"/>
          </w:tcPr>
          <w:p>
            <w:pPr>
              <w:pStyle w:val="31"/>
              <w:spacing w:line="360" w:lineRule="auto"/>
              <w:jc w:val="center"/>
              <w:rPr>
                <w:rFonts w:cs="仿宋_GB2312" w:asciiTheme="minorEastAsia" w:hAnsiTheme="minorEastAsia" w:eastAsiaTheme="minorEastAsia"/>
                <w:color w:val="auto"/>
                <w:sz w:val="24"/>
              </w:rPr>
            </w:pPr>
          </w:p>
        </w:tc>
        <w:tc>
          <w:tcPr>
            <w:tcW w:w="1332" w:type="dxa"/>
          </w:tcPr>
          <w:p>
            <w:pPr>
              <w:pStyle w:val="31"/>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color w:val="auto"/>
                <w:sz w:val="24"/>
              </w:rPr>
            </w:pPr>
          </w:p>
        </w:tc>
        <w:tc>
          <w:tcPr>
            <w:tcW w:w="1900" w:type="dxa"/>
          </w:tcPr>
          <w:p>
            <w:pPr>
              <w:pStyle w:val="31"/>
              <w:spacing w:line="360" w:lineRule="auto"/>
              <w:jc w:val="center"/>
              <w:rPr>
                <w:rFonts w:cs="仿宋_GB2312" w:asciiTheme="minorEastAsia" w:hAnsiTheme="minorEastAsia" w:eastAsiaTheme="minorEastAsia"/>
                <w:color w:val="auto"/>
                <w:sz w:val="24"/>
              </w:rPr>
            </w:pPr>
          </w:p>
        </w:tc>
        <w:tc>
          <w:tcPr>
            <w:tcW w:w="1800" w:type="dxa"/>
          </w:tcPr>
          <w:p>
            <w:pPr>
              <w:pStyle w:val="31"/>
              <w:spacing w:line="360" w:lineRule="auto"/>
              <w:jc w:val="center"/>
              <w:rPr>
                <w:rFonts w:cs="仿宋_GB2312" w:asciiTheme="minorEastAsia" w:hAnsiTheme="minorEastAsia" w:eastAsiaTheme="minorEastAsia"/>
                <w:color w:val="auto"/>
                <w:sz w:val="24"/>
              </w:rPr>
            </w:pPr>
          </w:p>
        </w:tc>
        <w:tc>
          <w:tcPr>
            <w:tcW w:w="2880" w:type="dxa"/>
          </w:tcPr>
          <w:p>
            <w:pPr>
              <w:pStyle w:val="31"/>
              <w:spacing w:line="360" w:lineRule="auto"/>
              <w:jc w:val="center"/>
              <w:rPr>
                <w:rFonts w:cs="仿宋_GB2312" w:asciiTheme="minorEastAsia" w:hAnsiTheme="minorEastAsia" w:eastAsiaTheme="minorEastAsia"/>
                <w:color w:val="auto"/>
                <w:sz w:val="24"/>
              </w:rPr>
            </w:pPr>
          </w:p>
        </w:tc>
        <w:tc>
          <w:tcPr>
            <w:tcW w:w="1332" w:type="dxa"/>
          </w:tcPr>
          <w:p>
            <w:pPr>
              <w:pStyle w:val="31"/>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jc w:val="center"/>
              <w:rPr>
                <w:rFonts w:cs="仿宋_GB2312" w:asciiTheme="minorEastAsia" w:hAnsiTheme="minorEastAsia" w:eastAsiaTheme="minorEastAsia"/>
                <w:color w:val="auto"/>
                <w:sz w:val="24"/>
              </w:rPr>
            </w:pPr>
          </w:p>
        </w:tc>
        <w:tc>
          <w:tcPr>
            <w:tcW w:w="1900" w:type="dxa"/>
          </w:tcPr>
          <w:p>
            <w:pPr>
              <w:pStyle w:val="31"/>
              <w:spacing w:line="360" w:lineRule="auto"/>
              <w:jc w:val="center"/>
              <w:rPr>
                <w:rFonts w:cs="仿宋_GB2312" w:asciiTheme="minorEastAsia" w:hAnsiTheme="minorEastAsia" w:eastAsiaTheme="minorEastAsia"/>
                <w:color w:val="auto"/>
                <w:sz w:val="24"/>
              </w:rPr>
            </w:pPr>
          </w:p>
        </w:tc>
        <w:tc>
          <w:tcPr>
            <w:tcW w:w="1800" w:type="dxa"/>
          </w:tcPr>
          <w:p>
            <w:pPr>
              <w:pStyle w:val="31"/>
              <w:spacing w:line="360" w:lineRule="auto"/>
              <w:jc w:val="center"/>
              <w:rPr>
                <w:rFonts w:cs="仿宋_GB2312" w:asciiTheme="minorEastAsia" w:hAnsiTheme="minorEastAsia" w:eastAsiaTheme="minorEastAsia"/>
                <w:color w:val="auto"/>
                <w:sz w:val="24"/>
              </w:rPr>
            </w:pPr>
          </w:p>
        </w:tc>
        <w:tc>
          <w:tcPr>
            <w:tcW w:w="2880" w:type="dxa"/>
          </w:tcPr>
          <w:p>
            <w:pPr>
              <w:pStyle w:val="31"/>
              <w:spacing w:line="360" w:lineRule="auto"/>
              <w:jc w:val="center"/>
              <w:rPr>
                <w:rFonts w:cs="仿宋_GB2312" w:asciiTheme="minorEastAsia" w:hAnsiTheme="minorEastAsia" w:eastAsiaTheme="minorEastAsia"/>
                <w:color w:val="auto"/>
                <w:sz w:val="24"/>
              </w:rPr>
            </w:pPr>
          </w:p>
        </w:tc>
        <w:tc>
          <w:tcPr>
            <w:tcW w:w="1332" w:type="dxa"/>
          </w:tcPr>
          <w:p>
            <w:pPr>
              <w:pStyle w:val="31"/>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1"/>
              <w:spacing w:line="360" w:lineRule="auto"/>
              <w:rPr>
                <w:rFonts w:cs="仿宋_GB2312" w:asciiTheme="minorEastAsia" w:hAnsiTheme="minorEastAsia" w:eastAsiaTheme="minorEastAsia"/>
                <w:color w:val="auto"/>
                <w:sz w:val="24"/>
              </w:rPr>
            </w:pPr>
          </w:p>
        </w:tc>
        <w:tc>
          <w:tcPr>
            <w:tcW w:w="1900" w:type="dxa"/>
          </w:tcPr>
          <w:p>
            <w:pPr>
              <w:pStyle w:val="31"/>
              <w:spacing w:line="360" w:lineRule="auto"/>
              <w:jc w:val="center"/>
              <w:rPr>
                <w:rFonts w:cs="仿宋_GB2312" w:asciiTheme="minorEastAsia" w:hAnsiTheme="minorEastAsia" w:eastAsiaTheme="minorEastAsia"/>
                <w:color w:val="auto"/>
                <w:sz w:val="24"/>
              </w:rPr>
            </w:pPr>
          </w:p>
        </w:tc>
        <w:tc>
          <w:tcPr>
            <w:tcW w:w="1800" w:type="dxa"/>
          </w:tcPr>
          <w:p>
            <w:pPr>
              <w:pStyle w:val="31"/>
              <w:spacing w:line="360" w:lineRule="auto"/>
              <w:jc w:val="center"/>
              <w:rPr>
                <w:rFonts w:cs="仿宋_GB2312" w:asciiTheme="minorEastAsia" w:hAnsiTheme="minorEastAsia" w:eastAsiaTheme="minorEastAsia"/>
                <w:color w:val="auto"/>
                <w:sz w:val="24"/>
              </w:rPr>
            </w:pPr>
          </w:p>
        </w:tc>
        <w:tc>
          <w:tcPr>
            <w:tcW w:w="2880" w:type="dxa"/>
          </w:tcPr>
          <w:p>
            <w:pPr>
              <w:pStyle w:val="31"/>
              <w:spacing w:line="360" w:lineRule="auto"/>
              <w:jc w:val="center"/>
              <w:rPr>
                <w:rFonts w:cs="仿宋_GB2312" w:asciiTheme="minorEastAsia" w:hAnsiTheme="minorEastAsia" w:eastAsiaTheme="minorEastAsia"/>
                <w:color w:val="auto"/>
                <w:sz w:val="24"/>
              </w:rPr>
            </w:pPr>
          </w:p>
        </w:tc>
        <w:tc>
          <w:tcPr>
            <w:tcW w:w="1332" w:type="dxa"/>
          </w:tcPr>
          <w:p>
            <w:pPr>
              <w:pStyle w:val="31"/>
              <w:spacing w:line="360" w:lineRule="auto"/>
              <w:jc w:val="center"/>
              <w:rPr>
                <w:rFonts w:cs="仿宋_GB2312"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88" w:type="dxa"/>
          </w:tcPr>
          <w:p>
            <w:pPr>
              <w:pStyle w:val="31"/>
              <w:spacing w:line="360" w:lineRule="auto"/>
              <w:jc w:val="center"/>
              <w:rPr>
                <w:rFonts w:cs="仿宋_GB2312" w:asciiTheme="minorEastAsia" w:hAnsiTheme="minorEastAsia" w:eastAsiaTheme="minorEastAsia"/>
                <w:color w:val="auto"/>
                <w:sz w:val="24"/>
              </w:rPr>
            </w:pPr>
          </w:p>
        </w:tc>
        <w:tc>
          <w:tcPr>
            <w:tcW w:w="1900" w:type="dxa"/>
          </w:tcPr>
          <w:p>
            <w:pPr>
              <w:pStyle w:val="31"/>
              <w:spacing w:line="360" w:lineRule="auto"/>
              <w:jc w:val="center"/>
              <w:rPr>
                <w:rFonts w:cs="仿宋_GB2312" w:asciiTheme="minorEastAsia" w:hAnsiTheme="minorEastAsia" w:eastAsiaTheme="minorEastAsia"/>
                <w:color w:val="auto"/>
                <w:sz w:val="24"/>
              </w:rPr>
            </w:pPr>
          </w:p>
        </w:tc>
        <w:tc>
          <w:tcPr>
            <w:tcW w:w="1800" w:type="dxa"/>
          </w:tcPr>
          <w:p>
            <w:pPr>
              <w:pStyle w:val="31"/>
              <w:spacing w:line="360" w:lineRule="auto"/>
              <w:jc w:val="center"/>
              <w:rPr>
                <w:rFonts w:cs="仿宋_GB2312" w:asciiTheme="minorEastAsia" w:hAnsiTheme="minorEastAsia" w:eastAsiaTheme="minorEastAsia"/>
                <w:color w:val="auto"/>
                <w:sz w:val="24"/>
              </w:rPr>
            </w:pPr>
          </w:p>
        </w:tc>
        <w:tc>
          <w:tcPr>
            <w:tcW w:w="2880" w:type="dxa"/>
          </w:tcPr>
          <w:p>
            <w:pPr>
              <w:pStyle w:val="31"/>
              <w:spacing w:line="360" w:lineRule="auto"/>
              <w:jc w:val="center"/>
              <w:rPr>
                <w:rFonts w:cs="仿宋_GB2312" w:asciiTheme="minorEastAsia" w:hAnsiTheme="minorEastAsia" w:eastAsiaTheme="minorEastAsia"/>
                <w:color w:val="auto"/>
                <w:sz w:val="24"/>
              </w:rPr>
            </w:pPr>
          </w:p>
        </w:tc>
        <w:tc>
          <w:tcPr>
            <w:tcW w:w="1332" w:type="dxa"/>
          </w:tcPr>
          <w:p>
            <w:pPr>
              <w:pStyle w:val="31"/>
              <w:spacing w:line="360" w:lineRule="auto"/>
              <w:jc w:val="center"/>
              <w:rPr>
                <w:rFonts w:cs="仿宋_GB2312" w:asciiTheme="minorEastAsia" w:hAnsiTheme="minorEastAsia" w:eastAsiaTheme="minorEastAsia"/>
                <w:color w:val="auto"/>
                <w:sz w:val="24"/>
              </w:rPr>
            </w:pPr>
          </w:p>
        </w:tc>
      </w:tr>
    </w:tbl>
    <w:p>
      <w:pPr>
        <w:spacing w:line="360" w:lineRule="auto"/>
        <w:ind w:firstLine="470" w:firstLineChars="196"/>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注：随机特殊工具和备品备件是指供应商在供货时免费赠送给采购人的工具及零配件，以备用。</w:t>
      </w:r>
    </w:p>
    <w:p>
      <w:pPr>
        <w:spacing w:line="360" w:lineRule="auto"/>
        <w:ind w:firstLine="480" w:firstLineChars="200"/>
        <w:rPr>
          <w:rFonts w:cs="仿宋_GB2312" w:asciiTheme="minorEastAsia" w:hAnsiTheme="minorEastAsia" w:eastAsiaTheme="minorEastAsia"/>
          <w:color w:val="auto"/>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spacing w:line="360" w:lineRule="auto"/>
        <w:jc w:val="center"/>
        <w:rPr>
          <w:rFonts w:cs="仿宋_GB2312" w:asciiTheme="minorEastAsia" w:hAnsiTheme="minorEastAsia" w:eastAsiaTheme="minorEastAsia"/>
          <w:color w:val="auto"/>
          <w:kern w:val="0"/>
          <w:sz w:val="24"/>
        </w:rPr>
      </w:pPr>
    </w:p>
    <w:p>
      <w:pPr>
        <w:spacing w:line="360" w:lineRule="auto"/>
        <w:jc w:val="center"/>
        <w:rPr>
          <w:rFonts w:cs="仿宋_GB2312" w:asciiTheme="minorEastAsia" w:hAnsiTheme="minorEastAsia" w:eastAsiaTheme="minorEastAsia"/>
          <w:color w:val="auto"/>
          <w:kern w:val="0"/>
          <w:sz w:val="24"/>
        </w:rPr>
      </w:pPr>
    </w:p>
    <w:p>
      <w:pPr>
        <w:spacing w:line="360" w:lineRule="auto"/>
        <w:jc w:val="center"/>
        <w:rPr>
          <w:rFonts w:cs="仿宋_GB2312" w:asciiTheme="minorEastAsia" w:hAnsiTheme="minorEastAsia" w:eastAsiaTheme="minorEastAsia"/>
          <w:b/>
          <w:color w:val="auto"/>
          <w:kern w:val="0"/>
          <w:sz w:val="32"/>
          <w:szCs w:val="32"/>
          <w:lang w:val="zh-CN"/>
        </w:rPr>
      </w:pPr>
      <w:r>
        <w:rPr>
          <w:rFonts w:hint="eastAsia" w:cs="仿宋_GB2312" w:asciiTheme="minorEastAsia" w:hAnsiTheme="minorEastAsia" w:eastAsiaTheme="minorEastAsia"/>
          <w:b/>
          <w:bCs/>
          <w:color w:val="auto"/>
          <w:sz w:val="32"/>
          <w:szCs w:val="32"/>
        </w:rPr>
        <w:t>十六、认为需求的</w:t>
      </w:r>
      <w:r>
        <w:rPr>
          <w:rFonts w:hint="eastAsia" w:cs="仿宋_GB2312" w:asciiTheme="minorEastAsia" w:hAnsiTheme="minorEastAsia" w:eastAsiaTheme="minorEastAsia"/>
          <w:b/>
          <w:color w:val="auto"/>
          <w:kern w:val="0"/>
          <w:sz w:val="32"/>
          <w:szCs w:val="32"/>
          <w:lang w:val="zh-CN"/>
        </w:rPr>
        <w:t>其他技术文件或说明</w:t>
      </w:r>
    </w:p>
    <w:p>
      <w:pPr>
        <w:spacing w:line="360" w:lineRule="auto"/>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（由供应商根据采购需求自行编制）</w:t>
      </w:r>
    </w:p>
    <w:p>
      <w:pPr>
        <w:spacing w:line="360" w:lineRule="auto"/>
        <w:rPr>
          <w:rFonts w:cs="仿宋_GB2312" w:asciiTheme="minorEastAsia" w:hAnsiTheme="minorEastAsia" w:eastAsiaTheme="minorEastAsia"/>
          <w:color w:val="auto"/>
          <w:sz w:val="24"/>
        </w:rPr>
      </w:pPr>
    </w:p>
    <w:p>
      <w:pPr>
        <w:autoSpaceDE w:val="0"/>
        <w:autoSpaceDN w:val="0"/>
        <w:spacing w:line="360" w:lineRule="auto"/>
        <w:ind w:firstLine="4560" w:firstLineChars="1900"/>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 xml:space="preserve">：                       </w:t>
      </w:r>
    </w:p>
    <w:p>
      <w:pPr>
        <w:spacing w:line="360" w:lineRule="auto"/>
        <w:rPr>
          <w:rFonts w:cs="仿宋_GB2312" w:asciiTheme="minorEastAsia" w:hAnsiTheme="minorEastAsia" w:eastAsiaTheme="minorEastAsia"/>
          <w:b/>
          <w:bCs/>
          <w:color w:val="auto"/>
          <w:sz w:val="24"/>
        </w:rPr>
      </w:pPr>
      <w:r>
        <w:rPr>
          <w:rFonts w:hint="eastAsia" w:cs="仿宋_GB2312" w:asciiTheme="minorEastAsia" w:hAnsiTheme="minorEastAsia" w:eastAsiaTheme="minorEastAsia"/>
          <w:color w:val="auto"/>
          <w:kern w:val="0"/>
          <w:sz w:val="24"/>
        </w:rPr>
        <w:t xml:space="preserve">                                      日期：  年  月   日</w:t>
      </w:r>
    </w:p>
    <w:p>
      <w:pPr>
        <w:spacing w:line="360" w:lineRule="auto"/>
        <w:jc w:val="center"/>
        <w:rPr>
          <w:rFonts w:cs="仿宋_GB2312" w:asciiTheme="minorEastAsia" w:hAnsiTheme="minorEastAsia" w:eastAsiaTheme="minorEastAsia"/>
          <w:b/>
          <w:bCs/>
          <w:color w:val="auto"/>
          <w:sz w:val="32"/>
          <w:szCs w:val="32"/>
        </w:rPr>
      </w:pPr>
    </w:p>
    <w:p>
      <w:pPr>
        <w:tabs>
          <w:tab w:val="left" w:pos="0"/>
        </w:tabs>
        <w:autoSpaceDE w:val="0"/>
        <w:autoSpaceDN w:val="0"/>
        <w:spacing w:line="360" w:lineRule="auto"/>
        <w:ind w:firstLine="2409" w:firstLineChars="800"/>
        <w:rPr>
          <w:rFonts w:cs="仿宋_GB2312" w:asciiTheme="minorEastAsia" w:hAnsiTheme="minorEastAsia" w:eastAsiaTheme="minorEastAsia"/>
          <w:b/>
          <w:bCs/>
          <w:color w:val="auto"/>
          <w:sz w:val="30"/>
          <w:szCs w:val="30"/>
        </w:rPr>
      </w:pP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p>
    <w:p>
      <w:pPr>
        <w:widowControl/>
        <w:adjustRightInd/>
        <w:jc w:val="left"/>
        <w:rPr>
          <w:rFonts w:cs="仿宋_GB2312" w:asciiTheme="minorEastAsia" w:hAnsiTheme="minorEastAsia" w:eastAsiaTheme="minorEastAsia"/>
          <w:b/>
          <w:bCs/>
          <w:color w:val="auto"/>
          <w:sz w:val="30"/>
          <w:szCs w:val="30"/>
        </w:rPr>
      </w:pPr>
      <w:r>
        <w:rPr>
          <w:rFonts w:cs="仿宋_GB2312" w:asciiTheme="minorEastAsia" w:hAnsiTheme="minorEastAsia" w:eastAsiaTheme="minorEastAsia"/>
          <w:b/>
          <w:bCs/>
          <w:color w:val="auto"/>
          <w:sz w:val="30"/>
          <w:szCs w:val="30"/>
        </w:rPr>
        <w:br w:type="page"/>
      </w:r>
    </w:p>
    <w:p>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rPr>
      </w:pPr>
      <w:r>
        <w:rPr>
          <w:rFonts w:hint="eastAsia" w:cs="仿宋_GB2312" w:asciiTheme="minorEastAsia" w:hAnsiTheme="minorEastAsia" w:eastAsiaTheme="minorEastAsia"/>
          <w:b/>
          <w:bCs/>
          <w:color w:val="auto"/>
          <w:sz w:val="30"/>
          <w:szCs w:val="30"/>
        </w:rPr>
        <w:t>十七、</w:t>
      </w:r>
      <w:r>
        <w:rPr>
          <w:rFonts w:hint="eastAsia" w:cs="宋体" w:asciiTheme="minorEastAsia" w:hAnsiTheme="minorEastAsia" w:eastAsiaTheme="minorEastAsia"/>
          <w:b/>
          <w:color w:val="auto"/>
          <w:kern w:val="0"/>
          <w:sz w:val="32"/>
          <w:szCs w:val="32"/>
          <w:lang w:val="zh-CN"/>
        </w:rPr>
        <w:t>政府采购供应商廉洁自律承诺书</w:t>
      </w:r>
    </w:p>
    <w:p>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ascii="宋体" w:hAnsi="宋体" w:cs="宋体"/>
          <w:color w:val="auto"/>
          <w:sz w:val="24"/>
        </w:rPr>
        <w:t>（采购人）、（采购代理机构）</w:t>
      </w:r>
      <w:r>
        <w:rPr>
          <w:rFonts w:hint="eastAsia" w:cs="仿宋_GB2312" w:asciiTheme="minorEastAsia" w:hAnsiTheme="minorEastAsia" w:eastAsiaTheme="minorEastAsia"/>
          <w:color w:val="auto"/>
          <w:kern w:val="0"/>
          <w:sz w:val="24"/>
          <w:lang w:val="zh-CN"/>
        </w:rPr>
        <w:t xml:space="preserve">：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我单位响应你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好处；</w:t>
      </w:r>
    </w:p>
    <w:p>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如违反上述承诺，你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rPr>
        <w:t>单位</w:t>
      </w:r>
      <w:r>
        <w:rPr>
          <w:rFonts w:hint="eastAsia" w:cs="仿宋_GB2312" w:asciiTheme="minorEastAsia" w:hAnsiTheme="minorEastAsia" w:eastAsiaTheme="minorEastAsia"/>
          <w:color w:val="auto"/>
          <w:kern w:val="0"/>
          <w:sz w:val="24"/>
          <w:lang w:val="zh-CN"/>
        </w:rPr>
        <w:t>进行项目建设或其他经营活动，并通报市财政局。由此引起的相应损失均由我单位承担。</w:t>
      </w:r>
    </w:p>
    <w:p>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pPr>
        <w:autoSpaceDE w:val="0"/>
        <w:autoSpaceDN w:val="0"/>
        <w:spacing w:line="360" w:lineRule="auto"/>
        <w:ind w:left="2"/>
        <w:jc w:val="left"/>
        <w:rPr>
          <w:rFonts w:cs="仿宋_GB2312" w:asciiTheme="minorEastAsia" w:hAnsiTheme="minorEastAsia" w:eastAsiaTheme="minorEastAsia"/>
          <w:color w:val="auto"/>
          <w:kern w:val="0"/>
          <w:sz w:val="24"/>
          <w:lang w:val="zh-CN"/>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pPr>
        <w:ind w:firstLine="1911" w:firstLineChars="595"/>
        <w:jc w:val="center"/>
        <w:rPr>
          <w:rFonts w:ascii="宋体" w:hAnsi="宋体" w:cs="宋体"/>
          <w:b/>
          <w:bCs/>
          <w:color w:val="auto"/>
          <w:sz w:val="32"/>
          <w:szCs w:val="32"/>
        </w:rPr>
      </w:pPr>
    </w:p>
    <w:p>
      <w:pPr>
        <w:ind w:firstLine="1911" w:firstLineChars="595"/>
        <w:jc w:val="center"/>
        <w:rPr>
          <w:rFonts w:ascii="宋体" w:hAnsi="宋体" w:cs="宋体"/>
          <w:b/>
          <w:bCs/>
          <w:color w:val="auto"/>
          <w:sz w:val="32"/>
          <w:szCs w:val="32"/>
        </w:rPr>
      </w:pPr>
    </w:p>
    <w:p>
      <w:pPr>
        <w:ind w:firstLine="1911" w:firstLineChars="595"/>
        <w:jc w:val="center"/>
        <w:rPr>
          <w:rFonts w:ascii="宋体" w:hAnsi="宋体" w:cs="宋体"/>
          <w:b/>
          <w:bCs/>
          <w:color w:val="auto"/>
          <w:sz w:val="32"/>
          <w:szCs w:val="32"/>
        </w:rPr>
      </w:pPr>
    </w:p>
    <w:p>
      <w:pPr>
        <w:ind w:firstLine="1911" w:firstLineChars="595"/>
        <w:jc w:val="center"/>
        <w:rPr>
          <w:rFonts w:ascii="宋体" w:hAnsi="宋体" w:cs="宋体"/>
          <w:b/>
          <w:bCs/>
          <w:color w:val="auto"/>
          <w:sz w:val="32"/>
          <w:szCs w:val="32"/>
        </w:rPr>
      </w:pPr>
    </w:p>
    <w:p>
      <w:pPr>
        <w:ind w:firstLine="1911" w:firstLineChars="595"/>
        <w:jc w:val="center"/>
        <w:rPr>
          <w:rFonts w:ascii="宋体" w:hAnsi="宋体" w:cs="宋体"/>
          <w:b/>
          <w:bCs/>
          <w:color w:val="auto"/>
          <w:sz w:val="32"/>
          <w:szCs w:val="32"/>
        </w:rPr>
      </w:pPr>
    </w:p>
    <w:p>
      <w:pPr>
        <w:ind w:firstLine="1911" w:firstLineChars="595"/>
        <w:jc w:val="center"/>
        <w:rPr>
          <w:rFonts w:ascii="宋体" w:hAnsi="宋体" w:cs="宋体"/>
          <w:b/>
          <w:bCs/>
          <w:color w:val="auto"/>
          <w:sz w:val="32"/>
          <w:szCs w:val="32"/>
        </w:rPr>
      </w:pPr>
    </w:p>
    <w:p>
      <w:pPr>
        <w:ind w:firstLine="1911" w:firstLineChars="595"/>
        <w:jc w:val="center"/>
        <w:rPr>
          <w:rFonts w:ascii="宋体" w:hAnsi="宋体" w:cs="宋体"/>
          <w:b/>
          <w:bCs/>
          <w:color w:val="auto"/>
          <w:sz w:val="32"/>
          <w:szCs w:val="32"/>
        </w:rPr>
      </w:pPr>
    </w:p>
    <w:p>
      <w:pPr>
        <w:ind w:firstLine="1911" w:firstLineChars="595"/>
        <w:jc w:val="center"/>
        <w:rPr>
          <w:rFonts w:ascii="宋体" w:hAnsi="宋体" w:cs="宋体"/>
          <w:b/>
          <w:bCs/>
          <w:color w:val="auto"/>
          <w:sz w:val="32"/>
          <w:szCs w:val="32"/>
        </w:rPr>
      </w:pPr>
    </w:p>
    <w:p>
      <w:pPr>
        <w:ind w:firstLine="1911" w:firstLineChars="595"/>
        <w:jc w:val="center"/>
        <w:rPr>
          <w:rFonts w:ascii="宋体" w:hAnsi="宋体" w:cs="宋体"/>
          <w:b/>
          <w:bCs/>
          <w:color w:val="auto"/>
          <w:sz w:val="32"/>
          <w:szCs w:val="32"/>
        </w:rPr>
      </w:pPr>
    </w:p>
    <w:p>
      <w:pPr>
        <w:ind w:firstLine="1911" w:firstLineChars="595"/>
        <w:jc w:val="center"/>
        <w:rPr>
          <w:rFonts w:ascii="宋体" w:hAnsi="宋体" w:cs="宋体"/>
          <w:b/>
          <w:bCs/>
          <w:color w:val="auto"/>
          <w:sz w:val="32"/>
          <w:szCs w:val="32"/>
        </w:rPr>
      </w:pPr>
    </w:p>
    <w:p>
      <w:pPr>
        <w:jc w:val="center"/>
        <w:rPr>
          <w:rFonts w:ascii="宋体" w:hAnsi="宋体" w:cs="宋体"/>
          <w:b/>
          <w:color w:val="auto"/>
          <w:kern w:val="0"/>
          <w:sz w:val="32"/>
          <w:szCs w:val="21"/>
        </w:rPr>
      </w:pPr>
      <w:r>
        <w:rPr>
          <w:rFonts w:hint="eastAsia" w:ascii="宋体" w:hAnsi="宋体" w:cs="宋体"/>
          <w:b/>
          <w:bCs/>
          <w:color w:val="auto"/>
          <w:sz w:val="32"/>
          <w:szCs w:val="32"/>
        </w:rPr>
        <w:t>十八</w:t>
      </w:r>
      <w:r>
        <w:rPr>
          <w:rFonts w:hint="eastAsia" w:ascii="宋体" w:hAnsi="宋体" w:cs="宋体"/>
          <w:b/>
          <w:color w:val="auto"/>
          <w:kern w:val="0"/>
          <w:sz w:val="32"/>
          <w:szCs w:val="32"/>
        </w:rPr>
        <w:t>、</w:t>
      </w:r>
      <w:r>
        <w:rPr>
          <w:rFonts w:hint="eastAsia" w:ascii="宋体" w:hAnsi="宋体" w:cs="宋体"/>
          <w:b/>
          <w:color w:val="auto"/>
          <w:kern w:val="0"/>
          <w:sz w:val="32"/>
          <w:szCs w:val="21"/>
        </w:rPr>
        <w:t>承诺函</w:t>
      </w:r>
    </w:p>
    <w:p>
      <w:pPr>
        <w:widowControl/>
        <w:adjustRightInd/>
        <w:ind w:firstLine="640" w:firstLineChars="200"/>
        <w:jc w:val="left"/>
        <w:rPr>
          <w:rFonts w:ascii="宋体" w:hAnsi="宋体" w:cs="宋体"/>
          <w:color w:val="auto"/>
          <w:kern w:val="0"/>
          <w:sz w:val="32"/>
          <w:szCs w:val="21"/>
        </w:rPr>
      </w:pPr>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我方作为本次采购项目的谈判供应商，根据谈判文件要求，现郑重承诺如下：</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一、我方已认真阅读并接受本项目谈判文件第三部分的全部实质性要求，如对谈判文件有异议，已依法进行维权救济，不存在对谈判文件有异议的同时又参加谈判以求侥幸成交或者为实现其他非法目的的行为。</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二、参加本次谈判采购活动，不存在与单位负责人为同一人或者存在直接控股、管理关系的其他供应商参与同一合同项下的政府采购活动的行为。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四、参加本次谈判采购活动，不存在和其他供应商在同一合同项下的采购项目中，同时委托同一个自然人、同一家庭的人员、同一单位的人员作为代理人的行为。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六、如本项目评审过程中需要提供样品，则我方提供的样品即为成交后将要提供的成交产品，我方对提供样品的性能和质量负责，因样品存在缺陷或者不符合谈判文件要求导致未能成交的，我方愿意承担相应不利后果。</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八、参加本次谈判采购活动，我方完全同意谈判文件第三部分关于“谈判费用”、“合同分包”、“合同转包”、“履约保证金”的实质性要求，并承诺严格按照谈判文件要求履行。</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响应报价中已包括合法获取该知识产权的相关费用。</w:t>
      </w:r>
    </w:p>
    <w:p>
      <w:pPr>
        <w:widowControl/>
        <w:adjustRightInd/>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我方对上述承诺的内容事项真实性负责。如经查实上述承诺的内容事项存在虚假，我方愿意接受以提供虚假材料谋取中标追究法律责任。</w:t>
      </w:r>
    </w:p>
    <w:p>
      <w:pPr>
        <w:widowControl/>
        <w:adjustRightInd/>
        <w:spacing w:line="360" w:lineRule="auto"/>
        <w:ind w:firstLine="480" w:firstLineChars="200"/>
        <w:jc w:val="left"/>
        <w:rPr>
          <w:rFonts w:ascii="宋体" w:hAnsi="宋体" w:cs="宋体"/>
          <w:color w:val="auto"/>
          <w:kern w:val="0"/>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pPr>
        <w:spacing w:line="360" w:lineRule="auto"/>
        <w:jc w:val="center"/>
        <w:rPr>
          <w:rFonts w:ascii="宋体" w:hAnsi="宋体" w:cs="宋体"/>
          <w:b/>
          <w:bCs/>
          <w:color w:val="auto"/>
          <w:sz w:val="24"/>
        </w:rPr>
      </w:pPr>
    </w:p>
    <w:p>
      <w:pPr>
        <w:spacing w:line="360" w:lineRule="auto"/>
        <w:ind w:right="420"/>
        <w:rPr>
          <w:rFonts w:ascii="宋体" w:hAnsi="宋体" w:cs="宋体"/>
          <w:color w:val="auto"/>
          <w:sz w:val="24"/>
        </w:rPr>
      </w:pPr>
      <w:r>
        <w:rPr>
          <w:rFonts w:hint="eastAsia" w:ascii="宋体" w:hAnsi="宋体" w:cs="宋体"/>
          <w:color w:val="auto"/>
          <w:sz w:val="24"/>
        </w:rPr>
        <w:t>注：按本格式和要求提供。</w:t>
      </w:r>
    </w:p>
    <w:p>
      <w:pPr>
        <w:spacing w:line="360" w:lineRule="auto"/>
        <w:jc w:val="center"/>
        <w:rPr>
          <w:rFonts w:cs="仿宋_GB2312" w:asciiTheme="minorEastAsia" w:hAnsiTheme="minorEastAsia" w:eastAsiaTheme="minorEastAsia"/>
          <w:b/>
          <w:color w:val="auto"/>
          <w:sz w:val="36"/>
          <w:szCs w:val="36"/>
        </w:rPr>
      </w:pPr>
    </w:p>
    <w:p>
      <w:pPr>
        <w:widowControl/>
        <w:adjustRightInd/>
        <w:jc w:val="left"/>
        <w:rPr>
          <w:rFonts w:cs="仿宋_GB2312" w:asciiTheme="minorEastAsia" w:hAnsiTheme="minorEastAsia" w:eastAsiaTheme="minorEastAsia"/>
          <w:b/>
          <w:color w:val="auto"/>
          <w:sz w:val="36"/>
          <w:szCs w:val="36"/>
        </w:rPr>
      </w:pPr>
      <w:r>
        <w:rPr>
          <w:rFonts w:cs="仿宋_GB2312" w:asciiTheme="minorEastAsia" w:hAnsiTheme="minorEastAsia" w:eastAsiaTheme="minorEastAsia"/>
          <w:b/>
          <w:color w:val="auto"/>
          <w:sz w:val="36"/>
          <w:szCs w:val="36"/>
        </w:rPr>
        <w:br w:type="page"/>
      </w:r>
    </w:p>
    <w:p>
      <w:pPr>
        <w:jc w:val="center"/>
        <w:rPr>
          <w:rFonts w:ascii="宋体" w:hAnsi="宋体" w:cs="宋体"/>
          <w:b/>
          <w:bCs/>
          <w:color w:val="auto"/>
          <w:sz w:val="32"/>
          <w:szCs w:val="32"/>
        </w:rPr>
      </w:pPr>
    </w:p>
    <w:p>
      <w:pPr>
        <w:jc w:val="center"/>
        <w:rPr>
          <w:rFonts w:ascii="宋体" w:hAnsi="宋体" w:cs="宋体"/>
          <w:b/>
          <w:bCs/>
          <w:color w:val="auto"/>
          <w:sz w:val="32"/>
          <w:szCs w:val="32"/>
        </w:rPr>
      </w:pPr>
      <w:r>
        <w:rPr>
          <w:rFonts w:hint="eastAsia" w:ascii="宋体" w:hAnsi="宋体" w:cs="宋体"/>
          <w:b/>
          <w:bCs/>
          <w:color w:val="auto"/>
          <w:sz w:val="32"/>
          <w:szCs w:val="32"/>
        </w:rPr>
        <w:t>十九</w:t>
      </w:r>
      <w:r>
        <w:rPr>
          <w:rFonts w:hint="eastAsia" w:ascii="宋体" w:hAnsi="宋体" w:cs="宋体"/>
          <w:b/>
          <w:color w:val="auto"/>
          <w:kern w:val="0"/>
          <w:sz w:val="32"/>
          <w:szCs w:val="32"/>
        </w:rPr>
        <w:t>、</w:t>
      </w:r>
      <w:r>
        <w:rPr>
          <w:rFonts w:hint="eastAsia" w:ascii="宋体" w:hAnsi="宋体" w:cs="宋体"/>
          <w:b/>
          <w:bCs/>
          <w:color w:val="auto"/>
          <w:sz w:val="32"/>
          <w:szCs w:val="32"/>
        </w:rPr>
        <w:t>商务、服务（技术）响应、偏离情况说明表</w:t>
      </w:r>
    </w:p>
    <w:p>
      <w:pPr>
        <w:snapToGrid w:val="0"/>
        <w:spacing w:line="400" w:lineRule="exact"/>
        <w:ind w:firstLine="420" w:firstLineChars="200"/>
        <w:rPr>
          <w:rFonts w:asciiTheme="minorEastAsia" w:hAnsiTheme="minorEastAsia" w:eastAsiaTheme="minorEastAsia"/>
          <w:color w:val="auto"/>
          <w:szCs w:val="21"/>
        </w:rPr>
      </w:pPr>
    </w:p>
    <w:p>
      <w:pPr>
        <w:snapToGrid w:val="0"/>
        <w:spacing w:line="400" w:lineRule="exact"/>
        <w:ind w:firstLine="480" w:firstLineChars="200"/>
        <w:rPr>
          <w:rFonts w:asciiTheme="minorEastAsia" w:hAnsiTheme="minorEastAsia" w:eastAsiaTheme="minorEastAsia"/>
          <w:color w:val="auto"/>
          <w:sz w:val="24"/>
          <w:u w:val="single"/>
        </w:rPr>
      </w:pPr>
      <w:r>
        <w:rPr>
          <w:rFonts w:hint="eastAsia" w:asciiTheme="minorEastAsia" w:hAnsiTheme="minorEastAsia" w:eastAsiaTheme="minorEastAsia"/>
          <w:color w:val="auto"/>
          <w:sz w:val="24"/>
        </w:rPr>
        <w:t>项目名称:</w:t>
      </w:r>
    </w:p>
    <w:p>
      <w:pPr>
        <w:snapToGrid w:val="0"/>
        <w:spacing w:line="400" w:lineRule="exact"/>
        <w:ind w:firstLine="480" w:firstLineChars="2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项目编号:   </w:t>
      </w:r>
    </w:p>
    <w:p>
      <w:pPr>
        <w:pStyle w:val="71"/>
        <w:snapToGrid w:val="0"/>
        <w:spacing w:after="120" w:line="400" w:lineRule="exact"/>
        <w:ind w:firstLine="480" w:firstLineChars="200"/>
        <w:rPr>
          <w:rFonts w:asciiTheme="minorEastAsia" w:hAnsiTheme="minorEastAsia" w:eastAsiaTheme="minorEastAsia"/>
          <w:color w:val="auto"/>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谈判文件要求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400" w:lineRule="exact"/>
              <w:jc w:val="center"/>
              <w:rPr>
                <w:rFonts w:asciiTheme="minorEastAsia" w:hAnsiTheme="minorEastAsia" w:eastAsiaTheme="minorEastAsia"/>
                <w:color w:val="auto"/>
                <w:sz w:val="24"/>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400" w:lineRule="exact"/>
              <w:jc w:val="center"/>
              <w:rPr>
                <w:rFonts w:asciiTheme="minorEastAsia" w:hAnsiTheme="minorEastAsia" w:eastAsiaTheme="minorEastAsia"/>
                <w:color w:val="auto"/>
                <w:sz w:val="24"/>
              </w:rPr>
            </w:pPr>
          </w:p>
        </w:tc>
      </w:tr>
    </w:tbl>
    <w:p>
      <w:pPr>
        <w:snapToGrid w:val="0"/>
        <w:spacing w:line="400" w:lineRule="exact"/>
        <w:rPr>
          <w:rFonts w:asciiTheme="minorEastAsia" w:hAnsiTheme="minorEastAsia" w:eastAsiaTheme="minorEastAsia"/>
          <w:color w:val="auto"/>
          <w:sz w:val="24"/>
        </w:rPr>
      </w:pPr>
      <w:r>
        <w:rPr>
          <w:rFonts w:hint="eastAsia" w:asciiTheme="minorEastAsia" w:hAnsiTheme="minorEastAsia" w:eastAsiaTheme="minorEastAsia"/>
          <w:color w:val="auto"/>
          <w:sz w:val="24"/>
        </w:rPr>
        <w:t>说明：1.应写明谈判文件对商务与服务技术要求的响应和偏离情况</w:t>
      </w:r>
      <w:r>
        <w:rPr>
          <w:rFonts w:hint="eastAsia" w:asciiTheme="minorEastAsia" w:hAnsiTheme="minorEastAsia" w:eastAsiaTheme="minorEastAsia"/>
          <w:bCs/>
          <w:color w:val="auto"/>
          <w:sz w:val="24"/>
        </w:rPr>
        <w:t>；</w:t>
      </w:r>
    </w:p>
    <w:p>
      <w:pPr>
        <w:snapToGrid w:val="0"/>
        <w:spacing w:line="400" w:lineRule="exact"/>
        <w:ind w:firstLine="720" w:firstLine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2.应对照谈判文件“第四部分  采购需求”，逐条说明所提供货物、服务已对谈判文件的商务、服务、技术要求做出了实质性的响应，并申明与采购项目要求的偏离情况。特别对有具体商务、服务、技术要求的，供应商必须提供对应的详细应答。如果仅注明“符合”、“满足”或简单复制谈判文件要求，将导致谈判被拒绝。</w:t>
      </w:r>
    </w:p>
    <w:p>
      <w:pPr>
        <w:snapToGrid w:val="0"/>
        <w:spacing w:line="400" w:lineRule="exact"/>
        <w:rPr>
          <w:rFonts w:cs="Courier New" w:asciiTheme="minorEastAsia" w:hAnsiTheme="minorEastAsia" w:eastAsiaTheme="minorEastAsia"/>
          <w:color w:val="auto"/>
          <w:sz w:val="24"/>
        </w:rPr>
      </w:pP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pPr>
        <w:spacing w:line="360" w:lineRule="auto"/>
        <w:ind w:left="4620" w:leftChars="220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pPr>
        <w:spacing w:line="360" w:lineRule="auto"/>
        <w:jc w:val="center"/>
        <w:rPr>
          <w:rFonts w:cs="仿宋_GB2312" w:asciiTheme="minorEastAsia" w:hAnsiTheme="minorEastAsia" w:eastAsiaTheme="minorEastAsia"/>
          <w:b/>
          <w:color w:val="auto"/>
          <w:sz w:val="36"/>
          <w:szCs w:val="36"/>
        </w:rPr>
      </w:pPr>
    </w:p>
    <w:p>
      <w:pPr>
        <w:jc w:val="center"/>
        <w:rPr>
          <w:rFonts w:ascii="宋体" w:hAnsi="宋体" w:cs="宋体"/>
          <w:b/>
          <w:bCs/>
          <w:color w:val="auto"/>
          <w:sz w:val="32"/>
          <w:szCs w:val="32"/>
        </w:rPr>
      </w:pPr>
      <w:r>
        <w:rPr>
          <w:rFonts w:hint="eastAsia" w:ascii="宋体" w:hAnsi="宋体" w:cs="宋体"/>
          <w:b/>
          <w:bCs/>
          <w:color w:val="auto"/>
          <w:sz w:val="32"/>
          <w:szCs w:val="32"/>
        </w:rPr>
        <w:t>二十</w:t>
      </w:r>
      <w:r>
        <w:rPr>
          <w:rFonts w:hint="eastAsia" w:ascii="宋体" w:hAnsi="宋体" w:cs="宋体"/>
          <w:b/>
          <w:color w:val="auto"/>
          <w:kern w:val="0"/>
          <w:sz w:val="32"/>
          <w:szCs w:val="32"/>
        </w:rPr>
        <w:t>、</w:t>
      </w:r>
      <w:r>
        <w:rPr>
          <w:rFonts w:hint="eastAsia" w:ascii="宋体" w:hAnsi="宋体" w:cs="宋体"/>
          <w:b/>
          <w:bCs/>
          <w:color w:val="auto"/>
          <w:sz w:val="32"/>
          <w:szCs w:val="32"/>
        </w:rPr>
        <w:t>初始报价表</w:t>
      </w:r>
    </w:p>
    <w:p>
      <w:pPr>
        <w:pStyle w:val="631"/>
        <w:jc w:val="center"/>
        <w:rPr>
          <w:rFonts w:asciiTheme="minorEastAsia" w:hAnsiTheme="minorEastAsia" w:eastAsiaTheme="minorEastAsia"/>
          <w:color w:val="auto"/>
          <w:kern w:val="2"/>
          <w:szCs w:val="24"/>
        </w:rPr>
      </w:pPr>
      <w:r>
        <w:rPr>
          <w:rFonts w:hint="eastAsia" w:asciiTheme="minorEastAsia" w:hAnsiTheme="minorEastAsia" w:eastAsiaTheme="minorEastAsia"/>
          <w:color w:val="auto"/>
          <w:kern w:val="2"/>
          <w:szCs w:val="24"/>
        </w:rPr>
        <w:t>（初始报价表格式参照第八部分  最后报价格式）</w:t>
      </w:r>
    </w:p>
    <w:p>
      <w:pPr>
        <w:snapToGrid w:val="0"/>
        <w:spacing w:line="400" w:lineRule="exact"/>
        <w:ind w:firstLine="420" w:firstLineChars="200"/>
        <w:rPr>
          <w:rFonts w:asciiTheme="minorEastAsia" w:hAnsiTheme="minorEastAsia" w:eastAsiaTheme="minorEastAsia"/>
          <w:color w:val="auto"/>
          <w:szCs w:val="21"/>
        </w:rPr>
      </w:pPr>
    </w:p>
    <w:p>
      <w:pPr>
        <w:pStyle w:val="114"/>
        <w:keepNext w:val="0"/>
        <w:pageBreakBefore w:val="0"/>
        <w:tabs>
          <w:tab w:val="clear" w:pos="720"/>
        </w:tabs>
        <w:ind w:firstLine="640"/>
        <w:outlineLvl w:val="9"/>
        <w:rPr>
          <w:rFonts w:cs="仿宋_GB2312" w:asciiTheme="minorEastAsia" w:hAnsiTheme="minorEastAsia" w:eastAsiaTheme="minorEastAsia"/>
          <w:color w:val="auto"/>
          <w:kern w:val="2"/>
          <w:sz w:val="32"/>
          <w:szCs w:val="32"/>
        </w:rPr>
        <w:sectPr>
          <w:headerReference r:id="rId17" w:type="first"/>
          <w:footerReference r:id="rId20" w:type="first"/>
          <w:headerReference r:id="rId16" w:type="default"/>
          <w:footerReference r:id="rId18" w:type="default"/>
          <w:footerReference r:id="rId19" w:type="even"/>
          <w:pgSz w:w="11906" w:h="16838"/>
          <w:pgMar w:top="779" w:right="1418" w:bottom="468" w:left="1418" w:header="851" w:footer="992" w:gutter="0"/>
          <w:cols w:space="720" w:num="1"/>
          <w:titlePg/>
          <w:docGrid w:linePitch="312" w:charSpace="0"/>
        </w:sectPr>
      </w:pPr>
    </w:p>
    <w:p>
      <w:pPr>
        <w:pStyle w:val="392"/>
        <w:ind w:firstLine="0" w:firstLineChars="0"/>
        <w:jc w:val="center"/>
        <w:outlineLvl w:val="0"/>
        <w:rPr>
          <w:rFonts w:cs="仿宋_GB2312" w:asciiTheme="minorEastAsia" w:hAnsiTheme="minorEastAsia" w:eastAsiaTheme="minorEastAsia"/>
          <w:b/>
          <w:color w:val="auto"/>
          <w:sz w:val="36"/>
          <w:szCs w:val="36"/>
        </w:rPr>
      </w:pPr>
      <w:bookmarkStart w:id="105" w:name="_Toc181265288"/>
      <w:r>
        <w:rPr>
          <w:rFonts w:hint="eastAsia" w:cs="仿宋_GB2312" w:asciiTheme="minorEastAsia" w:hAnsiTheme="minorEastAsia" w:eastAsiaTheme="minorEastAsia"/>
          <w:b/>
          <w:color w:val="auto"/>
          <w:sz w:val="36"/>
          <w:szCs w:val="36"/>
        </w:rPr>
        <w:t>第八部分  最后报价格式</w:t>
      </w:r>
      <w:bookmarkEnd w:id="105"/>
    </w:p>
    <w:p>
      <w:pPr>
        <w:pStyle w:val="631"/>
        <w:jc w:val="center"/>
        <w:rPr>
          <w:rFonts w:cs="仿宋_GB2312" w:asciiTheme="minorEastAsia" w:hAnsiTheme="minorEastAsia" w:eastAsiaTheme="minorEastAsia"/>
          <w:color w:val="auto"/>
          <w:lang w:val="zh-CN"/>
        </w:rPr>
      </w:pPr>
      <w:r>
        <w:rPr>
          <w:rFonts w:hint="eastAsia" w:asciiTheme="minorEastAsia" w:hAnsiTheme="minorEastAsia" w:eastAsiaTheme="minorEastAsia"/>
          <w:b/>
          <w:color w:val="auto"/>
          <w:sz w:val="32"/>
          <w:szCs w:val="32"/>
        </w:rPr>
        <w:t>（一）</w:t>
      </w:r>
      <w:r>
        <w:rPr>
          <w:rFonts w:hint="eastAsia"/>
          <w:b/>
          <w:color w:val="auto"/>
          <w:sz w:val="32"/>
          <w:szCs w:val="32"/>
        </w:rPr>
        <w:t>报价一览表（货物类）</w:t>
      </w:r>
    </w:p>
    <w:p>
      <w:pPr>
        <w:snapToGrid w:val="0"/>
        <w:spacing w:line="360" w:lineRule="auto"/>
        <w:rPr>
          <w:rFonts w:ascii="宋体" w:hAnsi="宋体" w:cs="宋体"/>
          <w:color w:val="auto"/>
          <w:kern w:val="0"/>
          <w:sz w:val="24"/>
        </w:rPr>
      </w:pPr>
      <w:r>
        <w:rPr>
          <w:rFonts w:hint="eastAsia" w:ascii="宋体" w:hAnsi="宋体" w:cs="宋体"/>
          <w:color w:val="auto"/>
          <w:sz w:val="24"/>
        </w:rPr>
        <w:t>（采购人）、（采购代理机构）</w:t>
      </w:r>
      <w:r>
        <w:rPr>
          <w:rFonts w:hint="eastAsia" w:ascii="宋体" w:hAnsi="宋体" w:cs="宋体"/>
          <w:color w:val="auto"/>
          <w:kern w:val="0"/>
          <w:sz w:val="24"/>
          <w:lang w:val="zh-CN"/>
        </w:rPr>
        <w:t>：</w:t>
      </w:r>
    </w:p>
    <w:p>
      <w:pPr>
        <w:snapToGrid w:val="0"/>
        <w:spacing w:line="360" w:lineRule="auto"/>
        <w:ind w:firstLine="482"/>
        <w:rPr>
          <w:rFonts w:ascii="宋体" w:hAnsi="宋体" w:cs="宋体"/>
          <w:color w:val="auto"/>
          <w:kern w:val="0"/>
          <w:sz w:val="24"/>
          <w:lang w:val="zh-CN"/>
        </w:rPr>
      </w:pPr>
      <w:r>
        <w:rPr>
          <w:rFonts w:hint="eastAsia" w:ascii="宋体" w:hAnsi="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rPr>
        <w:t>（项目名称）</w:t>
      </w:r>
      <w:r>
        <w:rPr>
          <w:rFonts w:hint="eastAsia" w:ascii="宋体" w:hAnsi="宋体" w:cs="宋体"/>
          <w:color w:val="auto"/>
          <w:kern w:val="0"/>
          <w:sz w:val="24"/>
          <w:lang w:val="zh-CN"/>
        </w:rPr>
        <w:t>【招标编号：</w:t>
      </w:r>
      <w:r>
        <w:rPr>
          <w:rFonts w:hint="eastAsia" w:ascii="宋体" w:hAnsi="宋体" w:cs="宋体"/>
          <w:color w:val="auto"/>
          <w:sz w:val="24"/>
        </w:rPr>
        <w:t>（采购编号）】的实施</w:t>
      </w:r>
      <w:r>
        <w:rPr>
          <w:rFonts w:hint="eastAsia" w:ascii="宋体" w:hAnsi="宋体" w:cs="宋体"/>
          <w:color w:val="auto"/>
          <w:kern w:val="0"/>
          <w:sz w:val="24"/>
          <w:lang w:val="zh-CN"/>
        </w:rPr>
        <w:t>。</w:t>
      </w:r>
    </w:p>
    <w:p>
      <w:pPr>
        <w:pStyle w:val="631"/>
        <w:jc w:val="center"/>
        <w:rPr>
          <w:b/>
          <w:color w:val="auto"/>
          <w:sz w:val="32"/>
          <w:szCs w:val="32"/>
        </w:rPr>
      </w:pPr>
      <w:r>
        <w:rPr>
          <w:rFonts w:hint="eastAsia" w:cs="仿宋_GB2312" w:asciiTheme="minorEastAsia" w:hAnsiTheme="minorEastAsia" w:eastAsiaTheme="minorEastAsia"/>
          <w:b/>
          <w:color w:val="auto"/>
          <w:lang w:val="zh-CN"/>
        </w:rPr>
        <w:t>报价一览表(单位均为人民币元)</w:t>
      </w:r>
    </w:p>
    <w:tbl>
      <w:tblPr>
        <w:tblStyle w:val="60"/>
        <w:tblW w:w="14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534"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序号</w:t>
            </w:r>
          </w:p>
        </w:tc>
        <w:tc>
          <w:tcPr>
            <w:tcW w:w="1417"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名称</w:t>
            </w:r>
          </w:p>
        </w:tc>
        <w:tc>
          <w:tcPr>
            <w:tcW w:w="1843"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生产厂家、</w:t>
            </w:r>
          </w:p>
          <w:p>
            <w:pPr>
              <w:spacing w:line="360" w:lineRule="auto"/>
              <w:jc w:val="center"/>
              <w:rPr>
                <w:rFonts w:ascii="宋体" w:hAnsi="宋体" w:cs="宋体"/>
                <w:b/>
                <w:color w:val="auto"/>
                <w:sz w:val="24"/>
              </w:rPr>
            </w:pPr>
            <w:r>
              <w:rPr>
                <w:rFonts w:hint="eastAsia" w:ascii="宋体" w:hAnsi="宋体" w:cs="宋体"/>
                <w:b/>
                <w:color w:val="auto"/>
                <w:sz w:val="24"/>
              </w:rPr>
              <w:t>品牌（如果有）</w:t>
            </w:r>
          </w:p>
        </w:tc>
        <w:tc>
          <w:tcPr>
            <w:tcW w:w="3118"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规格型号</w:t>
            </w:r>
          </w:p>
        </w:tc>
        <w:tc>
          <w:tcPr>
            <w:tcW w:w="993"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数量</w:t>
            </w:r>
          </w:p>
        </w:tc>
        <w:tc>
          <w:tcPr>
            <w:tcW w:w="1559"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单价</w:t>
            </w:r>
          </w:p>
        </w:tc>
        <w:tc>
          <w:tcPr>
            <w:tcW w:w="1984" w:type="dxa"/>
            <w:vAlign w:val="center"/>
          </w:tcPr>
          <w:p>
            <w:pPr>
              <w:spacing w:line="360" w:lineRule="auto"/>
              <w:jc w:val="center"/>
              <w:rPr>
                <w:rFonts w:ascii="宋体" w:hAnsi="宋体" w:cs="宋体"/>
                <w:b/>
                <w:color w:val="auto"/>
                <w:sz w:val="24"/>
              </w:rPr>
            </w:pPr>
            <w:r>
              <w:rPr>
                <w:rFonts w:hint="eastAsia" w:ascii="宋体" w:hAnsi="宋体" w:cs="宋体"/>
                <w:b/>
                <w:color w:val="auto"/>
                <w:sz w:val="24"/>
              </w:rPr>
              <w:t>合计</w:t>
            </w:r>
          </w:p>
        </w:tc>
        <w:tc>
          <w:tcPr>
            <w:tcW w:w="3119" w:type="dxa"/>
            <w:vAlign w:val="center"/>
          </w:tcPr>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r>
              <w:rPr>
                <w:rFonts w:hint="eastAsia" w:ascii="宋体" w:hAnsi="宋体" w:cs="宋体"/>
                <w:b/>
                <w:color w:val="auto"/>
                <w:sz w:val="24"/>
              </w:rPr>
              <w:t>备注（如果有）</w:t>
            </w:r>
          </w:p>
          <w:p>
            <w:pPr>
              <w:spacing w:line="360" w:lineRule="auto"/>
              <w:jc w:val="center"/>
              <w:rPr>
                <w:rFonts w:ascii="宋体" w:hAnsi="宋体" w:cs="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534" w:type="dxa"/>
            <w:vAlign w:val="center"/>
          </w:tcPr>
          <w:p>
            <w:pPr>
              <w:spacing w:line="360" w:lineRule="auto"/>
              <w:jc w:val="center"/>
              <w:rPr>
                <w:rFonts w:ascii="宋体" w:hAnsi="宋体" w:cs="宋体"/>
                <w:color w:val="auto"/>
                <w:sz w:val="24"/>
              </w:rPr>
            </w:pPr>
            <w:r>
              <w:rPr>
                <w:rFonts w:hint="eastAsia" w:ascii="宋体" w:hAnsi="宋体" w:cs="宋体"/>
                <w:color w:val="auto"/>
                <w:sz w:val="24"/>
              </w:rPr>
              <w:t>1</w:t>
            </w:r>
          </w:p>
        </w:tc>
        <w:tc>
          <w:tcPr>
            <w:tcW w:w="1417" w:type="dxa"/>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rPr>
            </w:pPr>
            <w:r>
              <w:rPr>
                <w:rFonts w:hint="eastAsia" w:ascii="宋体" w:hAnsi="宋体" w:cs="宋体"/>
                <w:color w:val="auto"/>
                <w:sz w:val="24"/>
              </w:rPr>
              <w:t>2</w:t>
            </w:r>
          </w:p>
        </w:tc>
        <w:tc>
          <w:tcPr>
            <w:tcW w:w="1417" w:type="dxa"/>
            <w:vAlign w:val="center"/>
          </w:tcPr>
          <w:p>
            <w:pPr>
              <w:snapToGrid w:val="0"/>
              <w:spacing w:line="360" w:lineRule="auto"/>
              <w:jc w:val="center"/>
              <w:rPr>
                <w:rFonts w:ascii="宋体" w:hAnsi="宋体" w:cs="宋体"/>
                <w:color w:val="auto"/>
                <w:sz w:val="24"/>
              </w:rPr>
            </w:pPr>
            <w:r>
              <w:rPr>
                <w:rFonts w:hint="eastAsia" w:ascii="宋体" w:hAnsi="宋体" w:cs="宋体"/>
                <w:color w:val="auto"/>
                <w:sz w:val="24"/>
              </w:rPr>
              <w:t>X</w:t>
            </w:r>
            <w:r>
              <w:rPr>
                <w:rFonts w:ascii="宋体" w:hAnsi="宋体" w:cs="宋体"/>
                <w:color w:val="auto"/>
                <w:sz w:val="24"/>
              </w:rPr>
              <w:t>X</w:t>
            </w: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rPr>
            </w:pPr>
            <w:r>
              <w:rPr>
                <w:rFonts w:hint="eastAsia" w:ascii="宋体" w:hAnsi="宋体" w:cs="宋体"/>
                <w:color w:val="auto"/>
                <w:sz w:val="24"/>
              </w:rPr>
              <w:t>…</w:t>
            </w:r>
          </w:p>
        </w:tc>
        <w:tc>
          <w:tcPr>
            <w:tcW w:w="1417" w:type="dxa"/>
            <w:vAlign w:val="center"/>
          </w:tcPr>
          <w:p>
            <w:pPr>
              <w:snapToGrid w:val="0"/>
              <w:spacing w:line="360" w:lineRule="auto"/>
              <w:jc w:val="center"/>
              <w:rPr>
                <w:rFonts w:ascii="宋体" w:hAnsi="宋体" w:cs="宋体"/>
                <w:color w:val="auto"/>
                <w:sz w:val="24"/>
              </w:rPr>
            </w:pP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rPr>
            </w:pPr>
          </w:p>
        </w:tc>
        <w:tc>
          <w:tcPr>
            <w:tcW w:w="1417" w:type="dxa"/>
            <w:vAlign w:val="center"/>
          </w:tcPr>
          <w:p>
            <w:pPr>
              <w:snapToGrid w:val="0"/>
              <w:spacing w:line="360" w:lineRule="auto"/>
              <w:jc w:val="center"/>
              <w:rPr>
                <w:rFonts w:ascii="宋体" w:hAnsi="宋体" w:cs="宋体"/>
                <w:color w:val="auto"/>
                <w:sz w:val="24"/>
              </w:rPr>
            </w:pP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534" w:type="dxa"/>
            <w:vAlign w:val="center"/>
          </w:tcPr>
          <w:p>
            <w:pPr>
              <w:spacing w:line="360" w:lineRule="auto"/>
              <w:jc w:val="center"/>
              <w:rPr>
                <w:rFonts w:ascii="宋体" w:hAnsi="宋体" w:cs="宋体"/>
                <w:color w:val="auto"/>
                <w:sz w:val="24"/>
              </w:rPr>
            </w:pPr>
          </w:p>
        </w:tc>
        <w:tc>
          <w:tcPr>
            <w:tcW w:w="1417" w:type="dxa"/>
            <w:vAlign w:val="center"/>
          </w:tcPr>
          <w:p>
            <w:pPr>
              <w:snapToGrid w:val="0"/>
              <w:spacing w:line="360" w:lineRule="auto"/>
              <w:jc w:val="center"/>
              <w:rPr>
                <w:rFonts w:ascii="宋体" w:hAnsi="宋体" w:cs="宋体"/>
                <w:color w:val="auto"/>
                <w:sz w:val="24"/>
              </w:rPr>
            </w:pPr>
          </w:p>
        </w:tc>
        <w:tc>
          <w:tcPr>
            <w:tcW w:w="1843" w:type="dxa"/>
            <w:vAlign w:val="center"/>
          </w:tcPr>
          <w:p>
            <w:pPr>
              <w:snapToGrid w:val="0"/>
              <w:spacing w:line="360" w:lineRule="auto"/>
              <w:jc w:val="center"/>
              <w:rPr>
                <w:rFonts w:ascii="宋体" w:hAnsi="宋体" w:cs="宋体"/>
                <w:color w:val="auto"/>
                <w:sz w:val="24"/>
              </w:rPr>
            </w:pPr>
          </w:p>
        </w:tc>
        <w:tc>
          <w:tcPr>
            <w:tcW w:w="3118" w:type="dxa"/>
            <w:vAlign w:val="center"/>
          </w:tcPr>
          <w:p>
            <w:pPr>
              <w:snapToGrid w:val="0"/>
              <w:spacing w:line="360" w:lineRule="auto"/>
              <w:jc w:val="center"/>
              <w:rPr>
                <w:rFonts w:ascii="宋体" w:hAnsi="宋体" w:cs="宋体"/>
                <w:color w:val="auto"/>
                <w:sz w:val="24"/>
              </w:rPr>
            </w:pPr>
          </w:p>
        </w:tc>
        <w:tc>
          <w:tcPr>
            <w:tcW w:w="993" w:type="dxa"/>
            <w:vAlign w:val="center"/>
          </w:tcPr>
          <w:p>
            <w:pPr>
              <w:snapToGrid w:val="0"/>
              <w:spacing w:line="360" w:lineRule="auto"/>
              <w:jc w:val="center"/>
              <w:rPr>
                <w:rFonts w:ascii="宋体" w:hAnsi="宋体" w:cs="宋体"/>
                <w:color w:val="auto"/>
                <w:sz w:val="24"/>
              </w:rPr>
            </w:pPr>
          </w:p>
        </w:tc>
        <w:tc>
          <w:tcPr>
            <w:tcW w:w="1559" w:type="dxa"/>
            <w:vAlign w:val="center"/>
          </w:tcPr>
          <w:p>
            <w:pPr>
              <w:spacing w:line="360" w:lineRule="auto"/>
              <w:jc w:val="center"/>
              <w:rPr>
                <w:rFonts w:ascii="宋体" w:hAnsi="宋体" w:cs="宋体"/>
                <w:color w:val="auto"/>
                <w:sz w:val="24"/>
              </w:rPr>
            </w:pPr>
          </w:p>
        </w:tc>
        <w:tc>
          <w:tcPr>
            <w:tcW w:w="1984" w:type="dxa"/>
            <w:vAlign w:val="center"/>
          </w:tcPr>
          <w:p>
            <w:pPr>
              <w:spacing w:line="360" w:lineRule="auto"/>
              <w:jc w:val="center"/>
              <w:rPr>
                <w:rFonts w:ascii="宋体" w:hAnsi="宋体" w:cs="宋体"/>
                <w:color w:val="auto"/>
                <w:sz w:val="24"/>
              </w:rPr>
            </w:pPr>
          </w:p>
        </w:tc>
        <w:tc>
          <w:tcPr>
            <w:tcW w:w="3119" w:type="dxa"/>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912" w:type="dxa"/>
            <w:gridSpan w:val="4"/>
            <w:vAlign w:val="center"/>
          </w:tcPr>
          <w:p>
            <w:pPr>
              <w:spacing w:line="360" w:lineRule="auto"/>
              <w:jc w:val="center"/>
              <w:rPr>
                <w:rFonts w:ascii="宋体" w:hAnsi="宋体" w:cs="宋体"/>
                <w:b/>
                <w:color w:val="auto"/>
                <w:sz w:val="24"/>
              </w:rPr>
            </w:pPr>
            <w:r>
              <w:rPr>
                <w:rFonts w:hint="eastAsia" w:ascii="宋体" w:hAnsi="宋体" w:cs="宋体"/>
                <w:b/>
                <w:color w:val="auto"/>
                <w:sz w:val="24"/>
              </w:rPr>
              <w:t>谈判报价（小写）</w:t>
            </w:r>
          </w:p>
        </w:tc>
        <w:tc>
          <w:tcPr>
            <w:tcW w:w="7655" w:type="dxa"/>
            <w:gridSpan w:val="4"/>
            <w:vAlign w:val="center"/>
          </w:tcPr>
          <w:p>
            <w:pPr>
              <w:spacing w:line="360" w:lineRule="auto"/>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912" w:type="dxa"/>
            <w:gridSpan w:val="4"/>
            <w:vAlign w:val="center"/>
          </w:tcPr>
          <w:p>
            <w:pPr>
              <w:spacing w:line="360" w:lineRule="auto"/>
              <w:jc w:val="center"/>
              <w:rPr>
                <w:rFonts w:ascii="宋体" w:hAnsi="宋体" w:cs="宋体"/>
                <w:b/>
                <w:color w:val="auto"/>
                <w:sz w:val="24"/>
              </w:rPr>
            </w:pPr>
            <w:r>
              <w:rPr>
                <w:rFonts w:hint="eastAsia" w:ascii="宋体" w:hAnsi="宋体" w:cs="宋体"/>
                <w:b/>
                <w:color w:val="auto"/>
                <w:sz w:val="24"/>
              </w:rPr>
              <w:t>谈判报价（大写）</w:t>
            </w:r>
          </w:p>
        </w:tc>
        <w:tc>
          <w:tcPr>
            <w:tcW w:w="7655" w:type="dxa"/>
            <w:gridSpan w:val="4"/>
            <w:vAlign w:val="center"/>
          </w:tcPr>
          <w:p>
            <w:pPr>
              <w:spacing w:line="360" w:lineRule="auto"/>
              <w:jc w:val="center"/>
              <w:rPr>
                <w:rFonts w:ascii="宋体" w:hAnsi="宋体" w:cs="宋体"/>
                <w:color w:val="auto"/>
                <w:sz w:val="24"/>
              </w:rPr>
            </w:pPr>
          </w:p>
        </w:tc>
      </w:tr>
    </w:tbl>
    <w:p>
      <w:pPr>
        <w:snapToGrid w:val="0"/>
        <w:spacing w:line="360" w:lineRule="auto"/>
        <w:ind w:left="480"/>
        <w:rPr>
          <w:rFonts w:ascii="宋体" w:hAnsi="宋体" w:cs="宋体"/>
          <w:b/>
          <w:color w:val="auto"/>
          <w:kern w:val="0"/>
          <w:sz w:val="24"/>
          <w:lang w:val="zh-CN"/>
        </w:rPr>
      </w:pPr>
      <w:r>
        <w:rPr>
          <w:rFonts w:hint="eastAsia" w:ascii="宋体" w:hAnsi="宋体" w:cs="宋体"/>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w:t>
      </w:r>
      <w:r>
        <w:rPr>
          <w:rFonts w:hint="eastAsia" w:cs="宋体" w:asciiTheme="minorEastAsia" w:hAnsiTheme="minorEastAsia" w:eastAsiaTheme="minorEastAsia"/>
          <w:color w:val="auto"/>
          <w:kern w:val="0"/>
          <w:sz w:val="24"/>
          <w:lang w:val="zh-CN"/>
        </w:rPr>
        <w:t>供应商</w:t>
      </w:r>
      <w:r>
        <w:rPr>
          <w:rFonts w:hint="eastAsia" w:ascii="宋体" w:hAnsi="宋体" w:cs="宋体"/>
          <w:color w:val="auto"/>
          <w:kern w:val="0"/>
          <w:sz w:val="24"/>
          <w:lang w:val="zh-CN"/>
        </w:rPr>
        <w:t>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响应文件含有采购人不能接受的附加条件，投标无效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采购人将以合同形式有偿取得货物或服务，不接受投标人给予的赠品、回扣或者与采购无关的其他商品、服务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宋体" w:asciiTheme="minorEastAsia" w:hAnsiTheme="minorEastAsia" w:eastAsiaTheme="minorEastAsia"/>
          <w:b/>
          <w:color w:val="auto"/>
          <w:kern w:val="0"/>
          <w:sz w:val="24"/>
          <w:lang w:val="zh-CN"/>
        </w:rPr>
        <w:t>最后报价一览表</w:t>
      </w:r>
      <w:r>
        <w:rPr>
          <w:rFonts w:hint="eastAsia" w:ascii="宋体" w:hAnsi="宋体" w:cs="宋体"/>
          <w:b/>
          <w:color w:val="auto"/>
          <w:kern w:val="0"/>
          <w:sz w:val="24"/>
          <w:lang w:val="zh-CN"/>
        </w:rPr>
        <w:t>》名称栏中，</w:t>
      </w:r>
      <w:r>
        <w:rPr>
          <w:rFonts w:hint="eastAsia" w:cs="宋体" w:asciiTheme="minorEastAsia" w:hAnsiTheme="minorEastAsia" w:eastAsiaTheme="minorEastAsia"/>
          <w:b/>
          <w:color w:val="auto"/>
          <w:kern w:val="0"/>
          <w:sz w:val="24"/>
          <w:lang w:val="zh-CN"/>
        </w:rPr>
        <w:t>供应商</w:t>
      </w:r>
      <w:r>
        <w:rPr>
          <w:rFonts w:hint="eastAsia" w:ascii="宋体" w:hAnsi="宋体" w:cs="宋体"/>
          <w:b/>
          <w:color w:val="auto"/>
          <w:kern w:val="0"/>
          <w:sz w:val="24"/>
          <w:lang w:val="zh-CN"/>
        </w:rPr>
        <w:t>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3、特别提示：采购代理机构将对项目名称和项目编号，成交供应商名称、地址和中标金额，主要中标标的名称、品牌（如果有）、规格型号、数量、单价等予以公示。</w:t>
      </w:r>
    </w:p>
    <w:p>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ascii="宋体" w:hAnsi="宋体" w:cs="宋体"/>
          <w:color w:val="auto"/>
          <w:kern w:val="0"/>
          <w:sz w:val="24"/>
          <w:szCs w:val="22"/>
          <w:lang w:val="zh-CN"/>
        </w:rPr>
        <w:t>4</w:t>
      </w:r>
      <w:r>
        <w:rPr>
          <w:rFonts w:hint="eastAsia" w:ascii="宋体" w:hAnsi="宋体" w:cs="宋体"/>
          <w:color w:val="auto"/>
          <w:kern w:val="0"/>
          <w:sz w:val="24"/>
          <w:szCs w:val="22"/>
          <w:lang w:val="zh-CN"/>
        </w:rPr>
        <w:t>、</w:t>
      </w:r>
      <w:r>
        <w:rPr>
          <w:rFonts w:hint="eastAsia" w:cs="仿宋_GB2312" w:asciiTheme="minorEastAsia" w:hAnsiTheme="minorEastAsia" w:eastAsiaTheme="minorEastAsia"/>
          <w:color w:val="auto"/>
          <w:kern w:val="0"/>
          <w:sz w:val="24"/>
          <w:lang w:val="zh-CN"/>
        </w:rPr>
        <w:t>符合谈判文件中列明的可享受中小企业扶持政策的供应商，请填写中小企业声明函。注：供应商</w:t>
      </w:r>
      <w:r>
        <w:rPr>
          <w:rFonts w:cs="仿宋_GB2312" w:asciiTheme="minorEastAsia" w:hAnsiTheme="minorEastAsia" w:eastAsiaTheme="minorEastAsia"/>
          <w:color w:val="auto"/>
          <w:kern w:val="0"/>
          <w:sz w:val="24"/>
          <w:lang w:val="zh-CN"/>
        </w:rPr>
        <w:t>提供</w:t>
      </w:r>
      <w:r>
        <w:rPr>
          <w:rFonts w:hint="eastAsia" w:cs="仿宋_GB2312" w:asciiTheme="minorEastAsia" w:hAnsiTheme="minorEastAsia" w:eastAsiaTheme="minorEastAsia"/>
          <w:color w:val="auto"/>
          <w:kern w:val="0"/>
          <w:sz w:val="24"/>
          <w:lang w:val="zh-CN"/>
        </w:rPr>
        <w:t>的中小企业</w:t>
      </w:r>
      <w:r>
        <w:rPr>
          <w:rFonts w:cs="仿宋_GB2312" w:asciiTheme="minorEastAsia" w:hAnsiTheme="minorEastAsia" w:eastAsiaTheme="minorEastAsia"/>
          <w:color w:val="auto"/>
          <w:kern w:val="0"/>
          <w:sz w:val="24"/>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highlight w:val="yellow"/>
          <w:lang w:val="zh-CN"/>
        </w:rPr>
        <w:t>5、本项目为北海市推动解决政府采购异常低价试点项目，供应商报价属于谈判文件规定异常低价情形之一的，应按谈判小组要求在规定时间内提供书面证明及必要的证明材料，否则谈判无效。</w:t>
      </w:r>
    </w:p>
    <w:p>
      <w:pPr>
        <w:snapToGrid w:val="0"/>
        <w:spacing w:line="360" w:lineRule="auto"/>
        <w:ind w:firstLine="480" w:firstLineChars="200"/>
        <w:jc w:val="left"/>
        <w:rPr>
          <w:rFonts w:cs="仿宋_GB2312" w:asciiTheme="minorEastAsia" w:hAnsiTheme="minorEastAsia" w:eastAsiaTheme="minorEastAsia"/>
          <w:color w:val="auto"/>
          <w:kern w:val="0"/>
          <w:sz w:val="24"/>
          <w:lang w:val="zh-CN"/>
        </w:rPr>
      </w:pPr>
      <w:r>
        <w:rPr>
          <w:rFonts w:hint="eastAsia" w:ascii="宋体" w:hAnsi="宋体" w:cs="宋体"/>
          <w:color w:val="auto"/>
          <w:kern w:val="0"/>
          <w:sz w:val="24"/>
          <w:szCs w:val="22"/>
          <w:lang w:val="zh-CN"/>
        </w:rPr>
        <w:t>6、</w:t>
      </w:r>
      <w:r>
        <w:rPr>
          <w:rFonts w:hint="eastAsia" w:cs="仿宋_GB2312" w:asciiTheme="minorEastAsia" w:hAnsiTheme="minorEastAsia" w:eastAsiaTheme="minorEastAsia"/>
          <w:color w:val="auto"/>
          <w:kern w:val="0"/>
          <w:sz w:val="24"/>
          <w:lang w:val="zh-CN"/>
        </w:rPr>
        <w:t>如有多轮报价，则每轮报价</w:t>
      </w:r>
      <w:r>
        <w:rPr>
          <w:rFonts w:hint="eastAsia" w:cs="宋体" w:asciiTheme="minorEastAsia" w:hAnsiTheme="minorEastAsia" w:eastAsiaTheme="minorEastAsia"/>
          <w:color w:val="auto"/>
          <w:kern w:val="0"/>
          <w:sz w:val="24"/>
          <w:lang w:val="zh-CN"/>
        </w:rPr>
        <w:t>供应商均</w:t>
      </w:r>
      <w:r>
        <w:rPr>
          <w:rFonts w:hint="eastAsia" w:ascii="宋体" w:hAnsi="宋体" w:cs="宋体"/>
          <w:color w:val="auto"/>
          <w:kern w:val="0"/>
          <w:sz w:val="24"/>
          <w:lang w:val="zh-CN"/>
        </w:rPr>
        <w:t>需按本表格式填写</w:t>
      </w:r>
      <w:r>
        <w:rPr>
          <w:rFonts w:cs="仿宋_GB2312" w:asciiTheme="minorEastAsia" w:hAnsiTheme="minorEastAsia" w:eastAsiaTheme="minorEastAsia"/>
          <w:color w:val="auto"/>
          <w:kern w:val="0"/>
          <w:sz w:val="24"/>
          <w:lang w:val="zh-CN"/>
        </w:rPr>
        <w:t>。</w:t>
      </w:r>
    </w:p>
    <w:p>
      <w:pPr>
        <w:pStyle w:val="2"/>
        <w:numPr>
          <w:ilvl w:val="0"/>
          <w:numId w:val="0"/>
        </w:numPr>
        <w:ind w:left="432"/>
        <w:rPr>
          <w:color w:val="auto"/>
        </w:rPr>
      </w:pPr>
    </w:p>
    <w:p>
      <w:pPr>
        <w:snapToGrid w:val="0"/>
        <w:spacing w:line="360" w:lineRule="auto"/>
        <w:ind w:firstLine="480" w:firstLineChars="200"/>
        <w:jc w:val="left"/>
        <w:rPr>
          <w:rFonts w:ascii="宋体" w:hAnsi="宋体" w:cs="宋体"/>
          <w:color w:val="auto"/>
          <w:kern w:val="0"/>
          <w:sz w:val="24"/>
          <w:lang w:val="zh-CN"/>
        </w:rPr>
      </w:pPr>
    </w:p>
    <w:p>
      <w:pPr>
        <w:autoSpaceDE w:val="0"/>
        <w:autoSpaceDN w:val="0"/>
        <w:spacing w:line="360" w:lineRule="auto"/>
        <w:ind w:left="2"/>
        <w:jc w:val="left"/>
        <w:rPr>
          <w:rFonts w:ascii="宋体" w:hAnsi="宋体" w:cs="宋体"/>
          <w:color w:val="auto"/>
          <w:kern w:val="0"/>
          <w:sz w:val="24"/>
          <w:lang w:val="zh-CN"/>
        </w:rPr>
      </w:pPr>
    </w:p>
    <w:p>
      <w:pPr>
        <w:autoSpaceDE w:val="0"/>
        <w:autoSpaceDN w:val="0"/>
        <w:spacing w:line="360" w:lineRule="auto"/>
        <w:ind w:left="2" w:leftChars="1" w:firstLine="9360" w:firstLineChars="39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 xml:space="preserve">   </w:t>
      </w: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pPr>
        <w:autoSpaceDE w:val="0"/>
        <w:autoSpaceDN w:val="0"/>
        <w:spacing w:line="360" w:lineRule="auto"/>
        <w:ind w:left="2" w:leftChars="1" w:firstLine="9720" w:firstLineChars="4050"/>
        <w:jc w:val="left"/>
        <w:rPr>
          <w:rFonts w:cs="仿宋_GB2312" w:asciiTheme="minorEastAsia" w:hAnsiTheme="minorEastAsia" w:eastAsiaTheme="minorEastAsia"/>
          <w:color w:val="auto"/>
          <w:kern w:val="0"/>
          <w:sz w:val="24"/>
          <w:lang w:val="zh-CN"/>
        </w:rPr>
      </w:pPr>
      <w:r>
        <w:rPr>
          <w:rFonts w:hint="eastAsia" w:cs="仿宋_GB2312" w:asciiTheme="minorEastAsia" w:hAnsiTheme="minorEastAsia" w:eastAsiaTheme="minorEastAsia"/>
          <w:color w:val="auto"/>
          <w:kern w:val="0"/>
          <w:sz w:val="24"/>
          <w:lang w:val="zh-CN"/>
        </w:rPr>
        <w:t xml:space="preserve">法定代表人（负责人）或委托代理人(签名)：                   </w:t>
      </w:r>
    </w:p>
    <w:p>
      <w:pPr>
        <w:spacing w:line="360" w:lineRule="auto"/>
        <w:ind w:left="4620" w:leftChars="2200" w:firstLine="5160" w:firstLineChars="2150"/>
        <w:rPr>
          <w:rFonts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日期</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kern w:val="0"/>
          <w:sz w:val="24"/>
          <w:lang w:val="zh-CN"/>
        </w:rPr>
        <w:t xml:space="preserve">   年   月   日</w:t>
      </w:r>
    </w:p>
    <w:p>
      <w:pPr>
        <w:spacing w:line="360" w:lineRule="auto"/>
        <w:ind w:firstLine="482" w:firstLineChars="200"/>
        <w:rPr>
          <w:rFonts w:ascii="宋体" w:hAnsi="宋体" w:cs="宋体"/>
          <w:b/>
          <w:color w:val="auto"/>
          <w:kern w:val="0"/>
          <w:sz w:val="24"/>
        </w:rPr>
      </w:pPr>
    </w:p>
    <w:p>
      <w:pPr>
        <w:pStyle w:val="2"/>
        <w:rPr>
          <w:color w:val="auto"/>
        </w:rPr>
        <w:sectPr>
          <w:pgSz w:w="16838" w:h="11906" w:orient="landscape"/>
          <w:pgMar w:top="1418" w:right="471" w:bottom="1418" w:left="777" w:header="851" w:footer="992" w:gutter="0"/>
          <w:cols w:space="720" w:num="1"/>
          <w:titlePg/>
          <w:docGrid w:linePitch="312" w:charSpace="0"/>
        </w:sectPr>
      </w:pPr>
    </w:p>
    <w:p>
      <w:pPr>
        <w:widowControl/>
        <w:adjustRightInd/>
        <w:jc w:val="center"/>
        <w:rPr>
          <w:rFonts w:asciiTheme="minorEastAsia" w:hAnsiTheme="minorEastAsia" w:eastAsiaTheme="minorEastAsia"/>
          <w:b/>
          <w:color w:val="auto"/>
          <w:sz w:val="32"/>
          <w:szCs w:val="32"/>
        </w:rPr>
      </w:pPr>
      <w:r>
        <w:rPr>
          <w:rFonts w:hint="eastAsia" w:asciiTheme="minorEastAsia" w:hAnsiTheme="minorEastAsia" w:eastAsiaTheme="minorEastAsia"/>
          <w:b/>
          <w:color w:val="auto"/>
          <w:sz w:val="32"/>
          <w:szCs w:val="32"/>
        </w:rPr>
        <w:t>（二）中小企业声明函</w:t>
      </w:r>
      <w:bookmarkStart w:id="106" w:name="_Toc465665161"/>
      <w:r>
        <w:rPr>
          <w:rFonts w:hint="eastAsia" w:asciiTheme="minorEastAsia" w:hAnsiTheme="minorEastAsia" w:eastAsiaTheme="minorEastAsia"/>
          <w:b/>
          <w:color w:val="auto"/>
          <w:sz w:val="32"/>
          <w:szCs w:val="32"/>
        </w:rPr>
        <w:t>（如果有）</w:t>
      </w:r>
    </w:p>
    <w:p>
      <w:pPr>
        <w:widowControl/>
        <w:spacing w:line="360" w:lineRule="auto"/>
        <w:ind w:firstLine="120" w:firstLineChars="50"/>
        <w:jc w:val="left"/>
        <w:rPr>
          <w:rFonts w:cs="宋体" w:asciiTheme="minorEastAsia" w:hAnsiTheme="minorEastAsia" w:eastAsiaTheme="minorEastAsia"/>
          <w:b/>
          <w:color w:val="auto"/>
          <w:sz w:val="24"/>
        </w:rPr>
      </w:pPr>
    </w:p>
    <w:p>
      <w:pPr>
        <w:widowControl/>
        <w:spacing w:line="360" w:lineRule="auto"/>
        <w:ind w:firstLine="120" w:firstLineChars="50"/>
        <w:jc w:val="left"/>
        <w:rPr>
          <w:rFonts w:cs="宋体" w:asciiTheme="minorEastAsia" w:hAnsiTheme="minorEastAsia" w:eastAsiaTheme="minorEastAsia"/>
          <w:b/>
          <w:color w:val="auto"/>
          <w:sz w:val="24"/>
        </w:rPr>
      </w:pPr>
      <w:r>
        <w:rPr>
          <w:rFonts w:hint="eastAsia" w:cs="宋体" w:asciiTheme="minorEastAsia" w:hAnsiTheme="minorEastAsia" w:eastAsiaTheme="minorEastAsia"/>
          <w:b/>
          <w:color w:val="auto"/>
          <w:sz w:val="24"/>
        </w:rPr>
        <w:t xml:space="preserve"> [</w:t>
      </w:r>
      <w:r>
        <w:rPr>
          <w:rFonts w:hint="eastAsia" w:cs="宋体" w:asciiTheme="minorEastAsia" w:hAnsiTheme="minorEastAsia" w:eastAsiaTheme="minorEastAsia"/>
          <w:b/>
          <w:bCs/>
          <w:color w:val="auto"/>
          <w:sz w:val="24"/>
        </w:rPr>
        <w:t>竞争性谈判邀请公告</w:t>
      </w:r>
      <w:r>
        <w:rPr>
          <w:rFonts w:hint="eastAsia" w:cs="宋体" w:asciiTheme="minorEastAsia" w:hAnsiTheme="minorEastAsia" w:eastAsiaTheme="minorEastAsia"/>
          <w:b/>
          <w:color w:val="auto"/>
          <w:sz w:val="24"/>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rPr>
        <w:t>5</w:t>
      </w:r>
      <w:r>
        <w:rPr>
          <w:rFonts w:hint="eastAsia" w:cs="宋体" w:asciiTheme="minorEastAsia" w:hAnsiTheme="minorEastAsia" w:eastAsiaTheme="minorEastAsia"/>
          <w:b/>
          <w:color w:val="auto"/>
          <w:sz w:val="24"/>
        </w:rPr>
        <w:t>）。]</w:t>
      </w:r>
    </w:p>
    <w:p>
      <w:pPr>
        <w:widowControl/>
        <w:adjustRightInd/>
        <w:jc w:val="center"/>
        <w:rPr>
          <w:rFonts w:cs="仿宋_GB2312" w:asciiTheme="minorEastAsia" w:hAnsiTheme="minorEastAsia" w:eastAsiaTheme="minorEastAsia"/>
          <w:color w:val="auto"/>
          <w:sz w:val="24"/>
        </w:rPr>
      </w:pPr>
    </w:p>
    <w:p>
      <w:pPr>
        <w:widowControl/>
        <w:adjustRightInd/>
        <w:jc w:val="left"/>
        <w:rPr>
          <w:rFonts w:cs="宋体" w:asciiTheme="minorEastAsia" w:hAnsiTheme="minorEastAsia" w:eastAsiaTheme="minorEastAsia"/>
          <w:b/>
          <w:color w:val="auto"/>
          <w:sz w:val="32"/>
          <w:szCs w:val="32"/>
        </w:rPr>
      </w:pPr>
      <w:r>
        <w:rPr>
          <w:rFonts w:cs="宋体" w:asciiTheme="minorEastAsia" w:hAnsiTheme="minorEastAsia" w:eastAsiaTheme="minorEastAsia"/>
          <w:b/>
          <w:color w:val="auto"/>
          <w:sz w:val="32"/>
          <w:szCs w:val="32"/>
        </w:rPr>
        <w:br w:type="page"/>
      </w:r>
    </w:p>
    <w:p>
      <w:pPr>
        <w:pStyle w:val="631"/>
        <w:rPr>
          <w:color w:val="auto"/>
        </w:rPr>
      </w:pPr>
      <w:r>
        <w:rPr>
          <w:rFonts w:hint="eastAsia"/>
          <w:color w:val="auto"/>
        </w:rPr>
        <w:t>附件</w:t>
      </w:r>
      <w:bookmarkEnd w:id="106"/>
    </w:p>
    <w:p>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附件1：质疑函范本及制作说明</w:t>
      </w:r>
    </w:p>
    <w:p>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质疑函范本</w:t>
      </w:r>
    </w:p>
    <w:p>
      <w:pPr>
        <w:snapToGrid w:val="0"/>
        <w:spacing w:before="240" w:beforeLines="100"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一、质疑供应商基本信息</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质疑供应商：</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地址：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地址： </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二、质疑项目基本情况</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质疑项目的名称：</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质疑项目的编号：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采购文件获取日期：</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三、质疑事项具体内容</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质疑事项1：</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质疑事项2</w:t>
      </w:r>
    </w:p>
    <w:p>
      <w:pPr>
        <w:snapToGrid w:val="0"/>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w:t>
      </w:r>
    </w:p>
    <w:p>
      <w:pPr>
        <w:snapToGrid w:val="0"/>
        <w:spacing w:line="360" w:lineRule="auto"/>
        <w:rPr>
          <w:rFonts w:cs="仿宋_GB2312" w:asciiTheme="minorEastAsia" w:hAnsiTheme="minorEastAsia" w:eastAsiaTheme="minorEastAsia"/>
          <w:bCs/>
          <w:color w:val="auto"/>
          <w:sz w:val="24"/>
        </w:rPr>
      </w:pPr>
      <w:r>
        <w:rPr>
          <w:rFonts w:hint="eastAsia" w:cs="仿宋_GB2312" w:asciiTheme="minorEastAsia" w:hAnsiTheme="minorEastAsia" w:eastAsiaTheme="minorEastAsia"/>
          <w:bCs/>
          <w:color w:val="auto"/>
          <w:sz w:val="24"/>
        </w:rPr>
        <w:t>四、与质疑事项相关的质疑请求</w:t>
      </w:r>
    </w:p>
    <w:p>
      <w:pPr>
        <w:snapToGrid w:val="0"/>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rPr>
      </w:pP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质疑函制作说明：</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1.供应商提出质疑时，应提交质疑函和必要的证明材料。</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3.质疑供应商若对项目的某一分包进行质疑，质疑函中应列明具体分包号。</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4.质疑函的质疑事项应具体、明确，并有必要的事实依据和法律依据。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5.质疑函的质疑请求应与质疑事项相关。</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cs="仿宋_GB2312" w:asciiTheme="minorEastAsia" w:hAnsiTheme="minorEastAsia" w:eastAsiaTheme="minorEastAsia"/>
          <w:color w:val="auto"/>
          <w:sz w:val="30"/>
          <w:szCs w:val="30"/>
        </w:rPr>
      </w:pPr>
    </w:p>
    <w:p>
      <w:pPr>
        <w:spacing w:line="360" w:lineRule="auto"/>
        <w:jc w:val="left"/>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z w:val="24"/>
        </w:rPr>
        <w:br w:type="page"/>
      </w:r>
      <w:r>
        <w:rPr>
          <w:rFonts w:hint="eastAsia" w:cs="仿宋_GB2312" w:asciiTheme="minorEastAsia" w:hAnsiTheme="minorEastAsia" w:eastAsiaTheme="minorEastAsia"/>
          <w:b/>
          <w:color w:val="auto"/>
          <w:spacing w:val="6"/>
          <w:sz w:val="32"/>
          <w:szCs w:val="32"/>
        </w:rPr>
        <w:t>附件2：投诉书范本及制作说明</w:t>
      </w:r>
    </w:p>
    <w:p>
      <w:pPr>
        <w:spacing w:line="360" w:lineRule="auto"/>
        <w:jc w:val="center"/>
        <w:rPr>
          <w:rFonts w:cs="仿宋_GB2312" w:asciiTheme="minorEastAsia" w:hAnsiTheme="minorEastAsia" w:eastAsiaTheme="minorEastAsia"/>
          <w:b/>
          <w:color w:val="auto"/>
          <w:sz w:val="24"/>
        </w:rPr>
      </w:pPr>
    </w:p>
    <w:p>
      <w:pPr>
        <w:spacing w:line="360" w:lineRule="auto"/>
        <w:jc w:val="center"/>
        <w:rPr>
          <w:rFonts w:cs="仿宋_GB2312" w:asciiTheme="minorEastAsia" w:hAnsiTheme="minorEastAsia" w:eastAsiaTheme="minorEastAsia"/>
          <w:b/>
          <w:color w:val="auto"/>
          <w:spacing w:val="6"/>
          <w:sz w:val="32"/>
          <w:szCs w:val="32"/>
        </w:rPr>
      </w:pPr>
      <w:r>
        <w:rPr>
          <w:rFonts w:hint="eastAsia" w:cs="仿宋_GB2312" w:asciiTheme="minorEastAsia" w:hAnsiTheme="minorEastAsia" w:eastAsiaTheme="minorEastAsia"/>
          <w:b/>
          <w:color w:val="auto"/>
          <w:spacing w:val="6"/>
          <w:sz w:val="32"/>
          <w:szCs w:val="32"/>
        </w:rPr>
        <w:t>投诉书范本</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一、投诉相关主体基本情况</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tabs>
          <w:tab w:val="left" w:pos="6510"/>
        </w:tabs>
        <w:spacing w:line="360" w:lineRule="auto"/>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法定代表人/主要负责人：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pPr>
        <w:tabs>
          <w:tab w:val="left" w:pos="6510"/>
        </w:tabs>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授权代表：</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被投诉人1：</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被投诉人2</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相关供应商：</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地     址：</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邮编：</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联系人：</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联系电话：</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二、投诉项目基本情况</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采购项目名称：</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采购项目编号：</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包号：</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采购人名称：</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u w:val="single"/>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代理机构名称：</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采购文件公告: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采购结果公告:</w:t>
      </w:r>
      <w:r>
        <w:rPr>
          <w:rFonts w:hint="eastAsia" w:cs="仿宋_GB2312" w:asciiTheme="minorEastAsia" w:hAnsiTheme="minorEastAsia" w:eastAsiaTheme="minorEastAsia"/>
          <w:color w:val="auto"/>
          <w:sz w:val="24"/>
          <w:u w:val="dotted"/>
        </w:rPr>
        <w:t xml:space="preserve">是/否 </w:t>
      </w:r>
      <w:r>
        <w:rPr>
          <w:rFonts w:hint="eastAsia" w:cs="仿宋_GB2312" w:asciiTheme="minorEastAsia" w:hAnsiTheme="minorEastAsia" w:eastAsiaTheme="minorEastAsia"/>
          <w:color w:val="auto"/>
          <w:sz w:val="24"/>
        </w:rPr>
        <w:t>公告期限：</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三、质疑基本情况</w:t>
      </w:r>
    </w:p>
    <w:p>
      <w:pPr>
        <w:spacing w:line="360" w:lineRule="auto"/>
        <w:ind w:firstLine="480" w:firstLineChars="200"/>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投诉人于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日,向</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提出质疑，质疑事项为：</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pPr>
        <w:spacing w:line="360" w:lineRule="auto"/>
        <w:ind w:firstLine="360" w:firstLineChars="15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u w:val="dotted"/>
        </w:rPr>
        <w:t>采购人/代理机构</w:t>
      </w:r>
      <w:r>
        <w:rPr>
          <w:rFonts w:hint="eastAsia" w:cs="仿宋_GB2312" w:asciiTheme="minorEastAsia" w:hAnsiTheme="minorEastAsia" w:eastAsiaTheme="minorEastAsia"/>
          <w:color w:val="auto"/>
          <w:sz w:val="24"/>
        </w:rPr>
        <w:t>于</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年</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月</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日,就质疑事项作出了答复/没有在法定期限内作出答复。</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四、投诉事项具体内容</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投诉事项 1：</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事实依据：</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法律依据：</w:t>
      </w: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u w:val="dotted"/>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投诉事项2</w:t>
      </w:r>
    </w:p>
    <w:p>
      <w:pPr>
        <w:spacing w:line="360" w:lineRule="auto"/>
        <w:rPr>
          <w:rFonts w:cs="仿宋_GB2312" w:asciiTheme="minorEastAsia" w:hAnsiTheme="minorEastAsia" w:eastAsiaTheme="minorEastAsia"/>
          <w:color w:val="auto"/>
          <w:sz w:val="24"/>
          <w:u w:val="dotted"/>
        </w:rPr>
      </w:pPr>
      <w:r>
        <w:rPr>
          <w:rFonts w:hint="eastAsia" w:cs="仿宋_GB2312" w:asciiTheme="minorEastAsia" w:hAnsiTheme="minorEastAsia" w:eastAsiaTheme="minorEastAsia"/>
          <w:color w:val="auto"/>
          <w:sz w:val="24"/>
        </w:rPr>
        <w:t>……</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五、与投诉事项相关的投诉请求</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请求：</w:t>
      </w:r>
      <w:r>
        <w:rPr>
          <w:rFonts w:hint="eastAsia" w:cs="仿宋_GB2312" w:asciiTheme="minorEastAsia" w:hAnsiTheme="minorEastAsia" w:eastAsiaTheme="minorEastAsia"/>
          <w:color w:val="auto"/>
          <w:sz w:val="24"/>
          <w:u w:val="dotted"/>
        </w:rPr>
        <w:t xml:space="preserve">                                              </w:t>
      </w:r>
      <w:r>
        <w:rPr>
          <w:rFonts w:hint="eastAsia" w:cs="仿宋_GB2312" w:asciiTheme="minorEastAsia" w:hAnsiTheme="minorEastAsia" w:eastAsiaTheme="minorEastAsia"/>
          <w:color w:val="auto"/>
          <w:sz w:val="24"/>
        </w:rPr>
        <w:t xml:space="preserve"> </w:t>
      </w:r>
    </w:p>
    <w:p>
      <w:pPr>
        <w:spacing w:line="360" w:lineRule="auto"/>
        <w:rPr>
          <w:rFonts w:cs="仿宋_GB2312" w:asciiTheme="minorEastAsia" w:hAnsiTheme="minorEastAsia" w:eastAsiaTheme="minorEastAsia"/>
          <w:color w:val="auto"/>
          <w:sz w:val="24"/>
          <w:u w:val="single"/>
        </w:rPr>
      </w:pPr>
      <w:r>
        <w:rPr>
          <w:rFonts w:hint="eastAsia" w:cs="仿宋_GB2312" w:asciiTheme="minorEastAsia" w:hAnsiTheme="minorEastAsia" w:eastAsiaTheme="minorEastAsia"/>
          <w:color w:val="auto"/>
          <w:sz w:val="24"/>
        </w:rPr>
        <w:t xml:space="preserve">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签字(签章)：                   公章：                      </w:t>
      </w:r>
    </w:p>
    <w:p>
      <w:pPr>
        <w:spacing w:line="360" w:lineRule="auto"/>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日期：    </w:t>
      </w:r>
    </w:p>
    <w:p>
      <w:pPr>
        <w:spacing w:line="360" w:lineRule="auto"/>
        <w:rPr>
          <w:rFonts w:cs="仿宋_GB2312" w:asciiTheme="minorEastAsia" w:hAnsiTheme="minorEastAsia" w:eastAsiaTheme="minorEastAsia"/>
          <w:b/>
          <w:color w:val="auto"/>
          <w:sz w:val="24"/>
        </w:rPr>
      </w:pPr>
    </w:p>
    <w:p>
      <w:pPr>
        <w:spacing w:line="360" w:lineRule="auto"/>
        <w:rPr>
          <w:rFonts w:cs="仿宋_GB2312" w:asciiTheme="minorEastAsia" w:hAnsiTheme="minorEastAsia" w:eastAsiaTheme="minorEastAsia"/>
          <w:b/>
          <w:color w:val="auto"/>
          <w:sz w:val="24"/>
        </w:rPr>
      </w:pPr>
    </w:p>
    <w:p>
      <w:pPr>
        <w:spacing w:line="360" w:lineRule="auto"/>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t>投诉书制作说明：</w:t>
      </w:r>
    </w:p>
    <w:p>
      <w:pPr>
        <w:widowControl/>
        <w:spacing w:line="360" w:lineRule="auto"/>
        <w:ind w:firstLine="480" w:firstLineChars="200"/>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rPr>
        <w:t>投诉人签署的授权委托书。授权委托书应当载明代理人的姓名或者名称、代理事项、具体权限、期限和相关事项。</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3.投诉人若对项目的某一分包进行投诉，投诉书应列明具体分包号。</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4.投诉书应简要列明质疑事项，质疑函、质疑答复等作为附件材料提供。</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5.投诉书的投诉事项应具体、明确，并有必要的事实依据和法律依据。</w:t>
      </w:r>
    </w:p>
    <w:p>
      <w:pPr>
        <w:widowControl/>
        <w:spacing w:line="360" w:lineRule="auto"/>
        <w:ind w:firstLine="480" w:firstLineChars="200"/>
        <w:jc w:val="left"/>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6.投诉书的投诉请求应与投诉事项相关。</w:t>
      </w:r>
    </w:p>
    <w:p>
      <w:pPr>
        <w:widowControl/>
        <w:spacing w:line="360" w:lineRule="auto"/>
        <w:ind w:firstLine="480" w:firstLineChars="200"/>
        <w:jc w:val="left"/>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sz w:val="24"/>
        </w:rPr>
        <w:t>7.投诉人为自然人的，投诉书应当由本人签字；投诉人为法人或者其他组织的，投诉书应当由法定代表人、主要负责人，或者其授权代表签字或者盖章，并加盖公章。</w:t>
      </w:r>
    </w:p>
    <w:p>
      <w:pPr>
        <w:rPr>
          <w:rFonts w:cs="仿宋_GB2312" w:asciiTheme="minorEastAsia" w:hAnsiTheme="minorEastAsia" w:eastAsiaTheme="minorEastAsia"/>
          <w:b/>
          <w:color w:val="auto"/>
          <w:sz w:val="24"/>
        </w:rPr>
      </w:pPr>
    </w:p>
    <w:p>
      <w:pPr>
        <w:widowControl/>
        <w:adjustRightInd/>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24"/>
        </w:rPr>
        <w:br w:type="page"/>
      </w:r>
    </w:p>
    <w:p>
      <w:pPr>
        <w:spacing w:line="360" w:lineRule="auto"/>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附件3：</w:t>
      </w:r>
    </w:p>
    <w:p>
      <w:pPr>
        <w:spacing w:line="360" w:lineRule="auto"/>
        <w:rPr>
          <w:rFonts w:asciiTheme="minorEastAsia" w:hAnsiTheme="minorEastAsia" w:eastAsiaTheme="minorEastAsia"/>
          <w:b/>
          <w:color w:val="auto"/>
          <w:spacing w:val="6"/>
          <w:sz w:val="32"/>
          <w:szCs w:val="32"/>
        </w:rPr>
      </w:pPr>
    </w:p>
    <w:p>
      <w:pPr>
        <w:spacing w:line="360" w:lineRule="auto"/>
        <w:jc w:val="center"/>
        <w:rPr>
          <w:rFonts w:asciiTheme="minorEastAsia" w:hAnsiTheme="minorEastAsia" w:eastAsiaTheme="minorEastAsia"/>
          <w:b/>
          <w:color w:val="auto"/>
          <w:spacing w:val="6"/>
          <w:sz w:val="32"/>
          <w:szCs w:val="32"/>
        </w:rPr>
      </w:pPr>
      <w:r>
        <w:rPr>
          <w:rFonts w:hint="eastAsia" w:asciiTheme="minorEastAsia" w:hAnsiTheme="minorEastAsia" w:eastAsiaTheme="minorEastAsia"/>
          <w:b/>
          <w:color w:val="auto"/>
          <w:spacing w:val="6"/>
          <w:sz w:val="32"/>
          <w:szCs w:val="32"/>
        </w:rPr>
        <w:t>残疾人福利性单位声明函</w:t>
      </w:r>
    </w:p>
    <w:p>
      <w:pPr>
        <w:spacing w:line="360" w:lineRule="auto"/>
        <w:rPr>
          <w:rFonts w:asciiTheme="minorEastAsia" w:hAnsiTheme="minorEastAsia" w:eastAsiaTheme="minorEastAsia"/>
          <w:b/>
          <w:color w:val="auto"/>
          <w:spacing w:val="6"/>
          <w:sz w:val="30"/>
          <w:szCs w:val="30"/>
        </w:rPr>
      </w:pPr>
    </w:p>
    <w:p>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u w:val="single"/>
        </w:rPr>
        <w:t xml:space="preserve">   （采购人）    </w:t>
      </w:r>
      <w:r>
        <w:rPr>
          <w:rFonts w:hint="eastAsia" w:cs="仿宋_GB2312" w:asciiTheme="minorEastAsia" w:hAnsiTheme="minorEastAsia" w:eastAsiaTheme="minorEastAsia"/>
          <w:color w:val="auto"/>
          <w:sz w:val="24"/>
        </w:rPr>
        <w:t>单位的</w:t>
      </w:r>
      <w:r>
        <w:rPr>
          <w:rFonts w:hint="eastAsia" w:cs="仿宋_GB2312" w:asciiTheme="minorEastAsia" w:hAnsiTheme="minorEastAsia" w:eastAsiaTheme="minorEastAsia"/>
          <w:color w:val="auto"/>
          <w:sz w:val="24"/>
          <w:u w:val="single"/>
        </w:rPr>
        <w:t xml:space="preserve">     （项目名称）    </w:t>
      </w:r>
      <w:r>
        <w:rPr>
          <w:rFonts w:hint="eastAsia" w:cs="仿宋_GB2312" w:asciiTheme="minorEastAsia" w:hAnsiTheme="minorEastAsia" w:eastAsiaTheme="minorEastAsia"/>
          <w:color w:val="auto"/>
          <w:sz w:val="24"/>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本单位对上述声明的真实性负责。如有虚假，将依法承担相应责任。</w:t>
      </w:r>
    </w:p>
    <w:p>
      <w:pPr>
        <w:spacing w:line="360" w:lineRule="auto"/>
        <w:ind w:firstLine="480" w:firstLineChars="200"/>
        <w:rPr>
          <w:rFonts w:cs="仿宋_GB2312" w:asciiTheme="minorEastAsia" w:hAnsiTheme="minorEastAsia" w:eastAsiaTheme="minorEastAsia"/>
          <w:color w:val="auto"/>
          <w:sz w:val="24"/>
        </w:rPr>
      </w:pPr>
    </w:p>
    <w:p>
      <w:pPr>
        <w:spacing w:line="360" w:lineRule="auto"/>
        <w:ind w:firstLine="480" w:firstLineChars="200"/>
        <w:rPr>
          <w:rFonts w:cs="仿宋_GB2312" w:asciiTheme="minorEastAsia" w:hAnsiTheme="minorEastAsia" w:eastAsiaTheme="minorEastAsia"/>
          <w:color w:val="auto"/>
          <w:sz w:val="24"/>
        </w:rPr>
      </w:pP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w:t>
      </w: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r>
        <w:rPr>
          <w:rFonts w:hint="eastAsia" w:cs="仿宋_GB2312" w:asciiTheme="minorEastAsia" w:hAnsiTheme="minorEastAsia" w:eastAsiaTheme="minorEastAsia"/>
          <w:color w:val="auto"/>
          <w:sz w:val="24"/>
        </w:rPr>
        <w:t>：</w:t>
      </w:r>
    </w:p>
    <w:p>
      <w:pPr>
        <w:tabs>
          <w:tab w:val="left" w:pos="4860"/>
        </w:tabs>
        <w:spacing w:line="360" w:lineRule="auto"/>
        <w:ind w:right="1560" w:firstLine="480" w:firstLineChars="200"/>
        <w:jc w:val="center"/>
        <w:rPr>
          <w:rFonts w:cs="仿宋_GB2312" w:asciiTheme="minorEastAsia" w:hAnsiTheme="minorEastAsia" w:eastAsiaTheme="minorEastAsia"/>
          <w:color w:val="auto"/>
          <w:sz w:val="24"/>
        </w:rPr>
      </w:pPr>
      <w:r>
        <w:rPr>
          <w:rFonts w:hint="eastAsia" w:cs="仿宋_GB2312" w:asciiTheme="minorEastAsia" w:hAnsiTheme="minorEastAsia" w:eastAsiaTheme="minorEastAsia"/>
          <w:color w:val="auto"/>
          <w:sz w:val="24"/>
        </w:rPr>
        <w:t xml:space="preserve">       日  期：</w:t>
      </w:r>
    </w:p>
    <w:p>
      <w:pPr>
        <w:spacing w:line="360" w:lineRule="auto"/>
        <w:ind w:firstLine="480" w:firstLineChars="200"/>
        <w:rPr>
          <w:rFonts w:cs="仿宋_GB2312" w:asciiTheme="minorEastAsia" w:hAnsiTheme="minorEastAsia" w:eastAsiaTheme="minorEastAsia"/>
          <w:color w:val="auto"/>
          <w:sz w:val="24"/>
        </w:rPr>
      </w:pPr>
    </w:p>
    <w:p>
      <w:pPr>
        <w:widowControl/>
        <w:adjustRightInd/>
        <w:jc w:val="left"/>
        <w:rPr>
          <w:rFonts w:cs="仿宋_GB2312" w:asciiTheme="minorEastAsia" w:hAnsiTheme="minorEastAsia" w:eastAsiaTheme="minorEastAsia"/>
          <w:b/>
          <w:color w:val="auto"/>
          <w:sz w:val="32"/>
          <w:szCs w:val="32"/>
        </w:rPr>
      </w:pPr>
      <w:r>
        <w:rPr>
          <w:rFonts w:cs="仿宋_GB2312" w:asciiTheme="minorEastAsia" w:hAnsiTheme="minorEastAsia" w:eastAsiaTheme="minorEastAsia"/>
          <w:b/>
          <w:color w:val="auto"/>
          <w:sz w:val="32"/>
          <w:szCs w:val="32"/>
        </w:rPr>
        <w:br w:type="page"/>
      </w:r>
    </w:p>
    <w:p>
      <w:pPr>
        <w:autoSpaceDE w:val="0"/>
        <w:autoSpaceDN w:val="0"/>
        <w:jc w:val="left"/>
        <w:rPr>
          <w:rFonts w:cs="仿宋_GB2312" w:asciiTheme="minorEastAsia" w:hAnsiTheme="minorEastAsia" w:eastAsiaTheme="minorEastAsia"/>
          <w:b/>
          <w:color w:val="auto"/>
          <w:sz w:val="24"/>
        </w:rPr>
      </w:pPr>
      <w:r>
        <w:rPr>
          <w:rFonts w:hint="eastAsia" w:cs="仿宋_GB2312" w:asciiTheme="minorEastAsia" w:hAnsiTheme="minorEastAsia" w:eastAsiaTheme="minorEastAsia"/>
          <w:b/>
          <w:color w:val="auto"/>
          <w:sz w:val="32"/>
          <w:szCs w:val="32"/>
        </w:rPr>
        <w:t>附件4：</w:t>
      </w:r>
    </w:p>
    <w:p>
      <w:pPr>
        <w:spacing w:line="360" w:lineRule="auto"/>
        <w:jc w:val="left"/>
        <w:rPr>
          <w:rFonts w:cs="仿宋_GB2312" w:asciiTheme="minorEastAsia" w:hAnsiTheme="minorEastAsia" w:eastAsiaTheme="minorEastAsia"/>
          <w:b/>
          <w:color w:val="auto"/>
          <w:sz w:val="24"/>
        </w:rPr>
      </w:pPr>
    </w:p>
    <w:p>
      <w:pPr>
        <w:autoSpaceDE w:val="0"/>
        <w:autoSpaceDN w:val="0"/>
        <w:jc w:val="center"/>
        <w:rPr>
          <w:rFonts w:asciiTheme="minorEastAsia" w:hAnsiTheme="minorEastAsia" w:eastAsiaTheme="minorEastAsia"/>
          <w:b/>
          <w:bCs/>
          <w:color w:val="auto"/>
          <w:sz w:val="32"/>
          <w:szCs w:val="32"/>
        </w:rPr>
      </w:pPr>
      <w:r>
        <w:rPr>
          <w:rFonts w:hint="eastAsia" w:asciiTheme="minorEastAsia" w:hAnsiTheme="minorEastAsia" w:eastAsiaTheme="minorEastAsia"/>
          <w:b/>
          <w:bCs/>
          <w:color w:val="auto"/>
          <w:sz w:val="32"/>
          <w:szCs w:val="32"/>
        </w:rPr>
        <w:t>业务专用章使用说明函</w:t>
      </w:r>
    </w:p>
    <w:p>
      <w:pPr>
        <w:autoSpaceDE w:val="0"/>
        <w:autoSpaceDN w:val="0"/>
        <w:jc w:val="center"/>
        <w:rPr>
          <w:rFonts w:asciiTheme="minorEastAsia" w:hAnsiTheme="minorEastAsia" w:eastAsiaTheme="minorEastAsia"/>
          <w:b/>
          <w:bCs/>
          <w:color w:val="auto"/>
          <w:sz w:val="32"/>
          <w:szCs w:val="32"/>
        </w:rPr>
      </w:pPr>
    </w:p>
    <w:p>
      <w:pPr>
        <w:spacing w:line="360" w:lineRule="auto"/>
        <w:rPr>
          <w:rFonts w:asciiTheme="minorEastAsia" w:hAnsiTheme="minorEastAsia" w:eastAsiaTheme="minorEastAsia"/>
          <w:color w:val="auto"/>
          <w:sz w:val="24"/>
        </w:rPr>
      </w:pPr>
      <w:r>
        <w:rPr>
          <w:rFonts w:hint="eastAsia" w:cs="仿宋_GB2312" w:asciiTheme="minorEastAsia" w:hAnsiTheme="minorEastAsia" w:eastAsiaTheme="minorEastAsia"/>
          <w:color w:val="auto"/>
          <w:sz w:val="24"/>
        </w:rPr>
        <w:t>（采购人）、（采购代理机构）：</w:t>
      </w:r>
    </w:p>
    <w:p>
      <w:pPr>
        <w:spacing w:line="360" w:lineRule="auto"/>
        <w:ind w:firstLine="480" w:firstLineChars="200"/>
        <w:rPr>
          <w:rFonts w:cs="宋体" w:asciiTheme="minorEastAsia" w:hAnsiTheme="minorEastAsia" w:eastAsiaTheme="minorEastAsia"/>
          <w:color w:val="auto"/>
          <w:sz w:val="24"/>
        </w:rPr>
      </w:pPr>
      <w:r>
        <w:rPr>
          <w:rFonts w:hint="eastAsia" w:cs="仿宋_GB2312" w:asciiTheme="minorEastAsia" w:hAnsiTheme="minorEastAsia" w:eastAsiaTheme="minorEastAsia"/>
          <w:color w:val="auto"/>
          <w:kern w:val="0"/>
          <w:sz w:val="24"/>
          <w:lang w:val="zh-CN"/>
        </w:rPr>
        <w:t>我方</w:t>
      </w:r>
      <w:r>
        <w:rPr>
          <w:rFonts w:hint="eastAsia" w:cs="仿宋_GB2312" w:asciiTheme="minorEastAsia" w:hAnsiTheme="minorEastAsia" w:eastAsiaTheme="minorEastAsia"/>
          <w:color w:val="auto"/>
          <w:kern w:val="0"/>
          <w:sz w:val="24"/>
          <w:u w:val="single"/>
          <w:lang w:val="zh-CN"/>
        </w:rPr>
        <w:t xml:space="preserve">                         </w:t>
      </w:r>
      <w:r>
        <w:rPr>
          <w:rFonts w:hint="eastAsia" w:cs="仿宋_GB2312" w:asciiTheme="minorEastAsia" w:hAnsiTheme="minorEastAsia" w:eastAsiaTheme="minorEastAsia"/>
          <w:color w:val="auto"/>
          <w:sz w:val="24"/>
        </w:rPr>
        <w:t>(供应商全称)</w:t>
      </w:r>
      <w:r>
        <w:rPr>
          <w:rFonts w:hint="eastAsia" w:asciiTheme="minorEastAsia" w:hAnsiTheme="minorEastAsia" w:eastAsiaTheme="minorEastAsia"/>
          <w:color w:val="auto"/>
          <w:sz w:val="24"/>
        </w:rPr>
        <w:t>是中华人民共和国依法登记注册的合法企业，</w:t>
      </w:r>
      <w:r>
        <w:rPr>
          <w:rFonts w:hint="eastAsia" w:cs="宋体" w:asciiTheme="minorEastAsia" w:hAnsiTheme="minorEastAsia" w:eastAsiaTheme="minorEastAsia"/>
          <w:bCs/>
          <w:color w:val="auto"/>
          <w:sz w:val="24"/>
        </w:rPr>
        <w:t>在参加</w:t>
      </w:r>
      <w:r>
        <w:rPr>
          <w:rFonts w:hint="eastAsia" w:cs="仿宋_GB2312" w:asciiTheme="minorEastAsia" w:hAnsiTheme="minorEastAsia" w:eastAsiaTheme="minorEastAsia"/>
          <w:color w:val="auto"/>
          <w:sz w:val="24"/>
        </w:rPr>
        <w:t>贵方组织的（项目名称）【项目编号：（采购编号）】</w:t>
      </w:r>
      <w:r>
        <w:rPr>
          <w:rFonts w:hint="eastAsia" w:cs="宋体" w:asciiTheme="minorEastAsia" w:hAnsiTheme="minorEastAsia" w:eastAsiaTheme="minorEastAsia"/>
          <w:bCs/>
          <w:color w:val="auto"/>
          <w:sz w:val="24"/>
        </w:rPr>
        <w:t>采购活动中作如下说明：</w:t>
      </w:r>
      <w:r>
        <w:rPr>
          <w:rFonts w:hint="eastAsia" w:cs="宋体" w:asciiTheme="minorEastAsia" w:hAnsiTheme="minorEastAsia" w:eastAsiaTheme="minorEastAsia"/>
          <w:color w:val="auto"/>
          <w:sz w:val="24"/>
        </w:rPr>
        <w:t>我方所使用的“</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专用章”与法定名称章具有同等的法律效力，对使用“</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 xml:space="preserve">专用章”的行为予以完全承认，并愿意承担相应责任。   </w:t>
      </w:r>
    </w:p>
    <w:p>
      <w:pPr>
        <w:spacing w:line="360" w:lineRule="auto"/>
        <w:ind w:firstLine="480"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特此说明。</w:t>
      </w:r>
    </w:p>
    <w:p>
      <w:pPr>
        <w:spacing w:line="360" w:lineRule="auto"/>
        <w:ind w:firstLine="494"/>
        <w:rPr>
          <w:rFonts w:cs="宋体" w:asciiTheme="minorEastAsia" w:hAnsiTheme="minorEastAsia" w:eastAsiaTheme="minorEastAsia"/>
          <w:color w:val="auto"/>
          <w:sz w:val="24"/>
        </w:rPr>
      </w:pPr>
    </w:p>
    <w:p>
      <w:pPr>
        <w:spacing w:line="360" w:lineRule="auto"/>
        <w:ind w:firstLine="494"/>
        <w:rPr>
          <w:rFonts w:cs="宋体" w:asciiTheme="minorEastAsia" w:hAnsiTheme="minorEastAsia" w:eastAsiaTheme="minorEastAsia"/>
          <w:color w:val="auto"/>
          <w:sz w:val="24"/>
        </w:rPr>
      </w:pPr>
    </w:p>
    <w:p>
      <w:pPr>
        <w:spacing w:line="360" w:lineRule="auto"/>
        <w:ind w:firstLine="494"/>
        <w:rPr>
          <w:rFonts w:cs="宋体" w:asciiTheme="minorEastAsia" w:hAnsiTheme="minorEastAsia" w:eastAsiaTheme="minorEastAsia"/>
          <w:color w:val="auto"/>
          <w:sz w:val="24"/>
        </w:rPr>
      </w:pPr>
    </w:p>
    <w:p>
      <w:pPr>
        <w:spacing w:line="360" w:lineRule="auto"/>
        <w:ind w:firstLine="494"/>
        <w:rPr>
          <w:rFonts w:cs="宋体" w:asciiTheme="minorEastAsia" w:hAnsiTheme="minorEastAsia" w:eastAsiaTheme="minorEastAsia"/>
          <w:color w:val="auto"/>
          <w:sz w:val="24"/>
        </w:rPr>
      </w:pPr>
    </w:p>
    <w:p>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供应商（法定名称章）：</w:t>
      </w:r>
    </w:p>
    <w:p>
      <w:pPr>
        <w:spacing w:line="360" w:lineRule="auto"/>
        <w:ind w:right="482" w:firstLine="4080" w:firstLineChars="17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日期：       年     月     日</w:t>
      </w:r>
    </w:p>
    <w:p>
      <w:pPr>
        <w:rPr>
          <w:rFonts w:cs="宋体" w:asciiTheme="minorEastAsia" w:hAnsiTheme="minorEastAsia" w:eastAsiaTheme="minorEastAsia"/>
          <w:color w:val="auto"/>
          <w:sz w:val="24"/>
        </w:rPr>
      </w:pPr>
      <w:r>
        <w:rPr>
          <w:rFonts w:hint="eastAsia" w:cs="宋体" w:asciiTheme="minorEastAsia" w:hAnsiTheme="minorEastAsia" w:eastAsiaTheme="minorEastAsia"/>
          <w:b/>
          <w:bCs/>
          <w:color w:val="auto"/>
          <w:sz w:val="24"/>
        </w:rPr>
        <w:t>附：</w:t>
      </w:r>
    </w:p>
    <w:p>
      <w:pPr>
        <w:spacing w:line="360" w:lineRule="auto"/>
        <w:rPr>
          <w:rFonts w:asciiTheme="minorEastAsia" w:hAnsiTheme="minorEastAsia" w:eastAsiaTheme="minorEastAsia"/>
          <w:bCs/>
          <w:color w:val="auto"/>
          <w:sz w:val="24"/>
        </w:rPr>
      </w:pPr>
      <w:r>
        <w:rPr>
          <w:rFonts w:asciiTheme="minorEastAsia" w:hAnsiTheme="minorEastAsia" w:eastAsiaTheme="minorEastAsia"/>
          <w:color w:val="auto"/>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rPr>
        <w:t>供应商法定名称章（印模）                供应商“</w:t>
      </w:r>
      <w:r>
        <w:rPr>
          <w:rFonts w:hint="eastAsia" w:cs="仿宋_GB2312" w:asciiTheme="minorEastAsia" w:hAnsiTheme="minorEastAsia" w:eastAsiaTheme="minorEastAsia"/>
          <w:color w:val="auto"/>
          <w:sz w:val="24"/>
        </w:rPr>
        <w:t>XX</w:t>
      </w:r>
      <w:r>
        <w:rPr>
          <w:rFonts w:hint="eastAsia" w:cs="宋体" w:asciiTheme="minorEastAsia" w:hAnsiTheme="minorEastAsia" w:eastAsiaTheme="minorEastAsia"/>
          <w:color w:val="auto"/>
          <w:sz w:val="24"/>
        </w:rPr>
        <w:t>专用章”（印模）</w:t>
      </w:r>
    </w:p>
    <w:p>
      <w:pPr>
        <w:widowControl/>
        <w:spacing w:line="360" w:lineRule="auto"/>
        <w:ind w:firstLine="480" w:firstLineChars="200"/>
        <w:jc w:val="left"/>
        <w:rPr>
          <w:rFonts w:cs="宋体" w:asciiTheme="minorEastAsia" w:hAnsiTheme="minorEastAsia" w:eastAsiaTheme="minorEastAsia"/>
          <w:color w:val="auto"/>
          <w:kern w:val="0"/>
          <w:sz w:val="24"/>
        </w:rPr>
      </w:pPr>
    </w:p>
    <w:p>
      <w:pPr>
        <w:snapToGrid w:val="0"/>
        <w:spacing w:line="360" w:lineRule="auto"/>
        <w:jc w:val="center"/>
        <w:rPr>
          <w:rFonts w:cs="仿宋_GB2312" w:asciiTheme="minorEastAsia" w:hAnsiTheme="minorEastAsia" w:eastAsiaTheme="minorEastAsia"/>
          <w:b/>
          <w:color w:val="auto"/>
          <w:sz w:val="24"/>
        </w:rPr>
      </w:pPr>
    </w:p>
    <w:p>
      <w:pPr>
        <w:widowControl/>
        <w:adjustRightInd/>
        <w:jc w:val="left"/>
        <w:rPr>
          <w:rFonts w:cs="仿宋_GB2312" w:asciiTheme="minorEastAsia" w:hAnsiTheme="minorEastAsia" w:eastAsiaTheme="minorEastAsia"/>
          <w:b/>
          <w:color w:val="auto"/>
          <w:sz w:val="24"/>
        </w:rPr>
      </w:pPr>
      <w:r>
        <w:rPr>
          <w:rFonts w:cs="仿宋_GB2312" w:asciiTheme="minorEastAsia" w:hAnsiTheme="minorEastAsia" w:eastAsiaTheme="minorEastAsia"/>
          <w:b/>
          <w:color w:val="auto"/>
          <w:sz w:val="24"/>
        </w:rPr>
        <w:br w:type="page"/>
      </w:r>
    </w:p>
    <w:p>
      <w:pPr>
        <w:autoSpaceDE w:val="0"/>
        <w:autoSpaceDN w:val="0"/>
        <w:jc w:val="left"/>
        <w:rPr>
          <w:rFonts w:cs="仿宋_GB2312" w:asciiTheme="minorEastAsia" w:hAnsiTheme="minorEastAsia" w:eastAsiaTheme="minorEastAsia"/>
          <w:b/>
          <w:color w:val="auto"/>
          <w:sz w:val="32"/>
          <w:szCs w:val="32"/>
        </w:rPr>
      </w:pPr>
      <w:r>
        <w:rPr>
          <w:rFonts w:hint="eastAsia" w:cs="仿宋_GB2312" w:asciiTheme="minorEastAsia" w:hAnsiTheme="minorEastAsia" w:eastAsiaTheme="minorEastAsia"/>
          <w:b/>
          <w:color w:val="auto"/>
          <w:sz w:val="32"/>
          <w:szCs w:val="32"/>
        </w:rPr>
        <w:t>附件5：</w:t>
      </w:r>
    </w:p>
    <w:p>
      <w:pPr>
        <w:spacing w:line="360" w:lineRule="auto"/>
        <w:jc w:val="center"/>
        <w:rPr>
          <w:rFonts w:ascii="宋体" w:hAnsi="宋体" w:cs="宋体"/>
          <w:b/>
          <w:color w:val="auto"/>
          <w:sz w:val="32"/>
          <w:szCs w:val="32"/>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中小企业声明函（货物）</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本公司（联合体）郑重声明，根据《政府采购促进中小企业发展管理办法》（财库﹝2020﹞46 号）的规定，本公司（联合体）参加 </w:t>
      </w:r>
      <w:r>
        <w:rPr>
          <w:rFonts w:hint="eastAsia" w:ascii="宋体" w:hAnsi="宋体" w:cs="宋体"/>
          <w:color w:val="auto"/>
          <w:sz w:val="24"/>
          <w:u w:val="single"/>
        </w:rPr>
        <w:t xml:space="preserve">（采购人） </w:t>
      </w:r>
      <w:r>
        <w:rPr>
          <w:rFonts w:hint="eastAsia" w:ascii="宋体" w:hAnsi="宋体" w:cs="宋体"/>
          <w:color w:val="auto"/>
          <w:sz w:val="24"/>
        </w:rPr>
        <w:t xml:space="preserve">的 </w:t>
      </w:r>
      <w:r>
        <w:rPr>
          <w:rFonts w:hint="eastAsia" w:ascii="宋体" w:hAnsi="宋体" w:cs="宋体"/>
          <w:color w:val="auto"/>
          <w:sz w:val="24"/>
          <w:u w:val="single"/>
        </w:rPr>
        <w:t>（项目名称）</w:t>
      </w:r>
      <w:r>
        <w:rPr>
          <w:rFonts w:hint="eastAsia" w:ascii="宋体" w:hAnsi="宋体" w:cs="宋体"/>
          <w:color w:val="auto"/>
          <w:sz w:val="24"/>
        </w:rPr>
        <w:t xml:space="preserve"> 采购活动，提供的货物全部由符合政策要求的中小企业制造。相关企业（含联合体中的中小企业、签订分包意向协议的中小企业）的具体情况如下：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rPr>
        <w:t xml:space="preserve"> </w:t>
      </w:r>
      <w:r>
        <w:rPr>
          <w:rFonts w:hint="eastAsia" w:ascii="宋体" w:hAnsi="宋体" w:cs="宋体"/>
          <w:color w:val="auto"/>
          <w:sz w:val="24"/>
          <w:u w:val="single"/>
        </w:rPr>
        <w:t>（标的名称）</w:t>
      </w:r>
      <w:r>
        <w:rPr>
          <w:rFonts w:hint="eastAsia" w:ascii="宋体" w:hAnsi="宋体" w:cs="宋体"/>
          <w:color w:val="auto"/>
          <w:sz w:val="24"/>
        </w:rPr>
        <w:t xml:space="preserve"> ，属于 </w:t>
      </w:r>
      <w:r>
        <w:rPr>
          <w:rFonts w:hint="eastAsia" w:ascii="宋体" w:hAnsi="宋体" w:cs="宋体"/>
          <w:color w:val="auto"/>
          <w:sz w:val="24"/>
          <w:u w:val="single"/>
        </w:rPr>
        <w:t>（采购文件中明确的所属行业）</w:t>
      </w:r>
      <w:r>
        <w:rPr>
          <w:rFonts w:hint="eastAsia" w:ascii="宋体" w:hAnsi="宋体" w:cs="宋体"/>
          <w:color w:val="auto"/>
          <w:sz w:val="24"/>
        </w:rPr>
        <w:t>行业 ；制造商为</w:t>
      </w:r>
      <w:r>
        <w:rPr>
          <w:rFonts w:hint="eastAsia" w:ascii="宋体" w:hAnsi="宋体" w:cs="宋体"/>
          <w:color w:val="auto"/>
          <w:sz w:val="24"/>
          <w:u w:val="single"/>
        </w:rPr>
        <w:t xml:space="preserve"> （企业名称）</w:t>
      </w:r>
      <w:r>
        <w:rPr>
          <w:rFonts w:hint="eastAsia" w:ascii="宋体" w:hAnsi="宋体" w:cs="宋体"/>
          <w:color w:val="auto"/>
          <w:sz w:val="24"/>
        </w:rPr>
        <w:t xml:space="preserve"> ，从业人员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 xml:space="preserve"> （中型企业、小型企业、微型企业）</w:t>
      </w:r>
      <w:r>
        <w:rPr>
          <w:rFonts w:hint="eastAsia" w:ascii="宋体" w:hAnsi="宋体" w:cs="宋体"/>
          <w:color w:val="auto"/>
          <w:sz w:val="24"/>
        </w:rPr>
        <w:t xml:space="preserve"> ；</w:t>
      </w:r>
    </w:p>
    <w:p>
      <w:pPr>
        <w:spacing w:line="360" w:lineRule="auto"/>
        <w:ind w:firstLine="480" w:firstLineChars="200"/>
        <w:rPr>
          <w:rFonts w:ascii="宋体" w:hAnsi="宋体" w:cs="宋体"/>
          <w:color w:val="auto"/>
          <w:sz w:val="24"/>
        </w:rPr>
      </w:pPr>
      <w:r>
        <w:rPr>
          <w:rFonts w:hint="eastAsia" w:ascii="宋体" w:hAnsi="宋体" w:cs="宋体"/>
          <w:color w:val="auto"/>
          <w:sz w:val="24"/>
        </w:rPr>
        <w:t>……</w:t>
      </w:r>
    </w:p>
    <w:p>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pPr>
        <w:spacing w:line="360" w:lineRule="auto"/>
        <w:ind w:firstLine="480" w:firstLineChars="200"/>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pPr>
        <w:snapToGrid w:val="0"/>
        <w:spacing w:line="360" w:lineRule="auto"/>
        <w:ind w:firstLine="5160" w:firstLineChars="2150"/>
        <w:rPr>
          <w:rFonts w:ascii="宋体" w:hAnsi="宋体" w:cs="宋体"/>
          <w:color w:val="auto"/>
          <w:kern w:val="0"/>
          <w:sz w:val="24"/>
        </w:rPr>
      </w:pPr>
      <w:r>
        <w:rPr>
          <w:rFonts w:hint="eastAsia" w:cs="宋体" w:asciiTheme="minorEastAsia" w:hAnsiTheme="minorEastAsia" w:eastAsiaTheme="minorEastAsia"/>
          <w:color w:val="auto"/>
          <w:kern w:val="0"/>
          <w:sz w:val="24"/>
          <w:lang w:val="zh-CN"/>
        </w:rPr>
        <w:t>谈判供应商名称(公章)</w:t>
      </w:r>
      <w:r>
        <w:rPr>
          <w:rFonts w:hint="eastAsia" w:cs="仿宋_GB2312" w:asciiTheme="minorEastAsia" w:hAnsiTheme="minorEastAsia" w:eastAsiaTheme="minorEastAsia"/>
          <w:color w:val="auto"/>
          <w:kern w:val="0"/>
          <w:sz w:val="24"/>
        </w:rPr>
        <w:t>：</w:t>
      </w:r>
    </w:p>
    <w:p>
      <w:pPr>
        <w:snapToGrid w:val="0"/>
        <w:spacing w:line="360" w:lineRule="auto"/>
        <w:rPr>
          <w:rFonts w:ascii="宋体" w:hAnsi="宋体" w:cs="宋体"/>
          <w:color w:val="auto"/>
          <w:kern w:val="0"/>
          <w:sz w:val="24"/>
          <w:lang w:val="zh-CN"/>
        </w:rPr>
      </w:pPr>
      <w:r>
        <w:rPr>
          <w:rFonts w:hint="eastAsia" w:ascii="宋体" w:hAnsi="宋体" w:cs="宋体"/>
          <w:color w:val="auto"/>
          <w:kern w:val="0"/>
          <w:sz w:val="24"/>
          <w:lang w:val="zh-CN"/>
        </w:rPr>
        <w:t xml:space="preserve">                                           日期</w:t>
      </w:r>
      <w:r>
        <w:rPr>
          <w:rFonts w:hint="eastAsia" w:ascii="宋体" w:hAnsi="宋体" w:cs="宋体"/>
          <w:color w:val="auto"/>
          <w:kern w:val="0"/>
          <w:sz w:val="24"/>
        </w:rPr>
        <w:t xml:space="preserve">：  年  </w:t>
      </w:r>
      <w:r>
        <w:rPr>
          <w:rFonts w:hint="eastAsia" w:ascii="宋体" w:hAnsi="宋体" w:cs="宋体"/>
          <w:color w:val="auto"/>
          <w:kern w:val="0"/>
          <w:sz w:val="24"/>
          <w:lang w:val="zh-CN"/>
        </w:rPr>
        <w:t>月</w:t>
      </w:r>
      <w:r>
        <w:rPr>
          <w:rFonts w:hint="eastAsia" w:ascii="宋体" w:hAnsi="宋体" w:cs="宋体"/>
          <w:color w:val="auto"/>
          <w:kern w:val="0"/>
          <w:sz w:val="24"/>
        </w:rPr>
        <w:t xml:space="preserve">   </w:t>
      </w:r>
      <w:r>
        <w:rPr>
          <w:rFonts w:hint="eastAsia" w:ascii="宋体" w:hAnsi="宋体" w:cs="宋体"/>
          <w:color w:val="auto"/>
          <w:kern w:val="0"/>
          <w:sz w:val="24"/>
          <w:lang w:val="zh-CN"/>
        </w:rPr>
        <w:t>日</w:t>
      </w:r>
    </w:p>
    <w:p>
      <w:pPr>
        <w:spacing w:line="360" w:lineRule="auto"/>
        <w:ind w:right="420" w:firstLine="480" w:firstLineChars="200"/>
        <w:rPr>
          <w:rFonts w:ascii="宋体" w:hAnsi="宋体" w:cs="宋体"/>
          <w:color w:val="auto"/>
          <w:sz w:val="24"/>
        </w:rPr>
      </w:pPr>
      <w:r>
        <w:rPr>
          <w:rFonts w:hint="eastAsia" w:ascii="宋体" w:hAnsi="宋体" w:cs="宋体"/>
          <w:color w:val="auto"/>
          <w:sz w:val="24"/>
        </w:rPr>
        <w:t>注：</w:t>
      </w:r>
    </w:p>
    <w:p>
      <w:pPr>
        <w:spacing w:line="360" w:lineRule="auto"/>
        <w:ind w:right="420" w:firstLine="480" w:firstLineChars="200"/>
        <w:rPr>
          <w:rFonts w:ascii="宋体" w:hAnsi="宋体" w:cs="宋体"/>
          <w:color w:val="auto"/>
          <w:sz w:val="24"/>
        </w:rPr>
      </w:pPr>
      <w:r>
        <w:rPr>
          <w:rFonts w:hint="eastAsia" w:ascii="宋体" w:hAnsi="宋体" w:cs="宋体"/>
          <w:color w:val="auto"/>
          <w:sz w:val="24"/>
        </w:rPr>
        <w:t>1、填写要求：①“标的名称”、“采购文件中明确的所属行业”依据谈判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480" w:firstLineChars="200"/>
        <w:rPr>
          <w:rFonts w:ascii="宋体" w:hAnsi="宋体" w:cs="宋体"/>
          <w:color w:val="auto"/>
          <w:sz w:val="24"/>
        </w:rPr>
      </w:pPr>
      <w:r>
        <w:rPr>
          <w:rFonts w:hint="eastAsia" w:ascii="宋体" w:hAnsi="宋体" w:cs="宋体"/>
          <w:color w:val="auto"/>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cs="仿宋_GB2312" w:asciiTheme="minorEastAsia" w:hAnsiTheme="minorEastAsia" w:eastAsiaTheme="minorEastAsia"/>
          <w:b/>
          <w:color w:val="auto"/>
          <w:sz w:val="24"/>
        </w:rPr>
      </w:pPr>
    </w:p>
    <w:p>
      <w:pPr>
        <w:spacing w:line="360" w:lineRule="auto"/>
        <w:ind w:firstLine="482" w:firstLineChars="200"/>
        <w:rPr>
          <w:rFonts w:cs="仿宋_GB2312" w:asciiTheme="minorEastAsia" w:hAnsiTheme="minorEastAsia" w:eastAsiaTheme="minorEastAsia"/>
          <w:b/>
          <w:color w:val="auto"/>
          <w:sz w:val="24"/>
        </w:rPr>
      </w:pPr>
    </w:p>
    <w:sectPr>
      <w:pgSz w:w="11906" w:h="16838"/>
      <w:pgMar w:top="779" w:right="1418" w:bottom="468"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0000009F" w:csb1="00000000"/>
  </w:font>
  <w:font w:name="Lucida Sans">
    <w:altName w:val="Lucida Sans Unicode"/>
    <w:panose1 w:val="020B0602030504020204"/>
    <w:charset w:val="00"/>
    <w:family w:val="swiss"/>
    <w:pitch w:val="default"/>
    <w:sig w:usb0="00000000" w:usb1="00000000" w:usb2="00000000" w:usb3="00000000" w:csb0="0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幼圆">
    <w:altName w:val="宋体"/>
    <w:panose1 w:val="02010509060101010101"/>
    <w:charset w:val="86"/>
    <w:family w:val="modern"/>
    <w:pitch w:val="default"/>
    <w:sig w:usb0="00000000" w:usb1="00000000" w:usb2="0000001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0000009F"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10" w:usb3="00000000" w:csb0="0004009F" w:csb1="00000000"/>
  </w:font>
  <w:font w:name="MS Mincho">
    <w:panose1 w:val="02020609040205080304"/>
    <w:charset w:val="80"/>
    <w:family w:val="modern"/>
    <w:pitch w:val="default"/>
    <w:sig w:usb0="E00002FF" w:usb1="6AC7FDFB" w:usb2="00000012" w:usb3="00000000" w:csb0="4002009F" w:csb1="DFD70000"/>
  </w:font>
  <w:font w:name="MS Gothic">
    <w:panose1 w:val="020B0609070205080204"/>
    <w:charset w:val="80"/>
    <w:family w:val="modern"/>
    <w:pitch w:val="default"/>
    <w:sig w:usb0="E00002FF" w:usb1="6AC7FDFB" w:usb2="00000012" w:usb3="00000000" w:csb0="4002009F" w:csb1="DFD70000"/>
  </w:font>
  <w:font w:name="华文楷体">
    <w:altName w:val="楷体_GB2312"/>
    <w:panose1 w:val="02010600040101010101"/>
    <w:charset w:val="86"/>
    <w:family w:val="auto"/>
    <w:pitch w:val="default"/>
    <w:sig w:usb0="00000000" w:usb1="00000000" w:usb2="00000010" w:usb3="00000000" w:csb0="0004009F" w:csb1="00000000"/>
  </w:font>
  <w:font w:name="PMingLiU">
    <w:panose1 w:val="02020500000000000000"/>
    <w:charset w:val="88"/>
    <w:family w:val="auto"/>
    <w:pitch w:val="default"/>
    <w:sig w:usb0="A00002FF" w:usb1="28CFFCFA" w:usb2="00000016" w:usb3="00000000" w:csb0="00100001" w:csb1="0000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仿宋" w:hAnsi="仿宋" w:eastAsia="仿宋" w:cs="仿宋"/>
        <w:b w:val="0"/>
        <w:bCs w:val="0"/>
      </w:rPr>
    </w:pPr>
    <w:r>
      <w:rPr>
        <w:rFonts w:hint="eastAsia" w:ascii="仿宋" w:hAnsi="仿宋" w:eastAsia="仿宋" w:cs="仿宋"/>
        <w:b w:val="0"/>
        <w:bCs w:val="0"/>
        <w:kern w:val="0"/>
      </w:rPr>
      <w:t xml:space="preserve">第 </w:t>
    </w:r>
    <w:r>
      <w:rPr>
        <w:rFonts w:hint="eastAsia" w:ascii="仿宋" w:hAnsi="仿宋" w:eastAsia="仿宋" w:cs="仿宋"/>
        <w:b w:val="0"/>
        <w:bCs w:val="0"/>
        <w:kern w:val="0"/>
      </w:rPr>
      <w:fldChar w:fldCharType="begin"/>
    </w:r>
    <w:r>
      <w:rPr>
        <w:rFonts w:hint="eastAsia" w:ascii="仿宋" w:hAnsi="仿宋" w:eastAsia="仿宋" w:cs="仿宋"/>
        <w:b w:val="0"/>
        <w:bCs w:val="0"/>
        <w:kern w:val="0"/>
      </w:rPr>
      <w:instrText xml:space="preserve"> PAGE </w:instrText>
    </w:r>
    <w:r>
      <w:rPr>
        <w:rFonts w:hint="eastAsia" w:ascii="仿宋" w:hAnsi="仿宋" w:eastAsia="仿宋" w:cs="仿宋"/>
        <w:b w:val="0"/>
        <w:bCs w:val="0"/>
        <w:kern w:val="0"/>
      </w:rPr>
      <w:fldChar w:fldCharType="separate"/>
    </w:r>
    <w:r>
      <w:rPr>
        <w:rFonts w:hint="eastAsia" w:ascii="仿宋" w:hAnsi="仿宋" w:eastAsia="仿宋" w:cs="仿宋"/>
        <w:b w:val="0"/>
        <w:bCs w:val="0"/>
        <w:kern w:val="0"/>
      </w:rPr>
      <w:t>38</w:t>
    </w:r>
    <w:r>
      <w:rPr>
        <w:rFonts w:hint="eastAsia" w:ascii="仿宋" w:hAnsi="仿宋" w:eastAsia="仿宋" w:cs="仿宋"/>
        <w:b w:val="0"/>
        <w:bCs w:val="0"/>
        <w:kern w:val="0"/>
      </w:rPr>
      <w:fldChar w:fldCharType="end"/>
    </w:r>
    <w:r>
      <w:rPr>
        <w:rFonts w:hint="eastAsia" w:ascii="仿宋" w:hAnsi="仿宋" w:eastAsia="仿宋" w:cs="仿宋"/>
        <w:b w:val="0"/>
        <w:bCs w:val="0"/>
        <w:kern w:val="0"/>
      </w:rPr>
      <w:t xml:space="preserve"> 页 共 </w:t>
    </w:r>
    <w:r>
      <w:rPr>
        <w:rFonts w:hint="eastAsia" w:ascii="仿宋" w:hAnsi="仿宋" w:eastAsia="仿宋" w:cs="仿宋"/>
        <w:b w:val="0"/>
        <w:bCs w:val="0"/>
        <w:kern w:val="0"/>
      </w:rPr>
      <w:fldChar w:fldCharType="begin"/>
    </w:r>
    <w:r>
      <w:rPr>
        <w:rFonts w:hint="eastAsia" w:ascii="仿宋" w:hAnsi="仿宋" w:eastAsia="仿宋" w:cs="仿宋"/>
        <w:b w:val="0"/>
        <w:bCs w:val="0"/>
        <w:kern w:val="0"/>
      </w:rPr>
      <w:instrText xml:space="preserve"> NUMPAGES </w:instrText>
    </w:r>
    <w:r>
      <w:rPr>
        <w:rFonts w:hint="eastAsia" w:ascii="仿宋" w:hAnsi="仿宋" w:eastAsia="仿宋" w:cs="仿宋"/>
        <w:b w:val="0"/>
        <w:bCs w:val="0"/>
        <w:kern w:val="0"/>
      </w:rPr>
      <w:fldChar w:fldCharType="separate"/>
    </w:r>
    <w:r>
      <w:rPr>
        <w:rFonts w:hint="eastAsia" w:ascii="仿宋" w:hAnsi="仿宋" w:eastAsia="仿宋" w:cs="仿宋"/>
        <w:b w:val="0"/>
        <w:bCs w:val="0"/>
        <w:kern w:val="0"/>
      </w:rPr>
      <w:t>91</w:t>
    </w:r>
    <w:r>
      <w:rPr>
        <w:rFonts w:hint="eastAsia" w:ascii="仿宋" w:hAnsi="仿宋" w:eastAsia="仿宋" w:cs="仿宋"/>
        <w:b w:val="0"/>
        <w:bCs w:val="0"/>
        <w:kern w:val="0"/>
      </w:rPr>
      <w:fldChar w:fldCharType="end"/>
    </w:r>
    <w:r>
      <w:rPr>
        <w:rFonts w:hint="eastAsia" w:ascii="仿宋" w:hAnsi="仿宋" w:eastAsia="仿宋" w:cs="仿宋"/>
        <w:b w:val="0"/>
        <w:bCs w:val="0"/>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107" w:name="_Toc164085800"/>
    <w:bookmarkStart w:id="108" w:name="_Toc131845147"/>
    <w:bookmarkStart w:id="109" w:name="_Toc36110187"/>
    <w:bookmarkStart w:id="110" w:name="_Toc91899912"/>
    <w:r>
      <w:rPr>
        <w:rFonts w:hint="eastAsia" w:ascii="仿宋_GB2312" w:eastAsia="仿宋_GB2312"/>
        <w:kern w:val="0"/>
        <w:szCs w:val="21"/>
      </w:rPr>
      <w:t xml:space="preserve"> 页</w:t>
    </w:r>
    <w:bookmarkEnd w:id="107"/>
    <w:bookmarkEnd w:id="108"/>
    <w:bookmarkEnd w:id="109"/>
    <w:bookmarkEnd w:id="11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宋体" w:hAnsi="宋体" w:eastAsia="宋体" w:cs="宋体"/>
      </w:rPr>
    </w:pPr>
    <w:r>
      <w:rPr>
        <w:rFonts w:hint="eastAsia" w:ascii="宋体" w:hAnsi="宋体" w:eastAsia="宋体" w:cs="宋体"/>
        <w:kern w:val="0"/>
      </w:rPr>
      <w:t xml:space="preserve">第 </w:t>
    </w:r>
    <w:r>
      <w:rPr>
        <w:rFonts w:hint="eastAsia" w:ascii="宋体" w:hAnsi="宋体" w:eastAsia="宋体" w:cs="宋体"/>
        <w:kern w:val="0"/>
      </w:rPr>
      <w:fldChar w:fldCharType="begin"/>
    </w:r>
    <w:r>
      <w:rPr>
        <w:rFonts w:hint="eastAsia" w:ascii="宋体" w:hAnsi="宋体" w:eastAsia="宋体" w:cs="宋体"/>
        <w:kern w:val="0"/>
      </w:rPr>
      <w:instrText xml:space="preserve"> PAGE </w:instrText>
    </w:r>
    <w:r>
      <w:rPr>
        <w:rFonts w:hint="eastAsia" w:ascii="宋体" w:hAnsi="宋体" w:eastAsia="宋体" w:cs="宋体"/>
        <w:kern w:val="0"/>
      </w:rPr>
      <w:fldChar w:fldCharType="separate"/>
    </w:r>
    <w:r>
      <w:rPr>
        <w:rFonts w:hint="eastAsia" w:ascii="宋体" w:hAnsi="宋体" w:eastAsia="宋体" w:cs="宋体"/>
        <w:kern w:val="0"/>
      </w:rPr>
      <w:t>1</w:t>
    </w:r>
    <w:r>
      <w:rPr>
        <w:rFonts w:hint="eastAsia" w:ascii="宋体" w:hAnsi="宋体" w:eastAsia="宋体" w:cs="宋体"/>
        <w:kern w:val="0"/>
      </w:rPr>
      <w:fldChar w:fldCharType="end"/>
    </w:r>
    <w:r>
      <w:rPr>
        <w:rFonts w:hint="eastAsia" w:ascii="宋体" w:hAnsi="宋体" w:eastAsia="宋体" w:cs="宋体"/>
        <w:kern w:val="0"/>
      </w:rPr>
      <w:t xml:space="preserve"> 页 共 </w:t>
    </w:r>
    <w:r>
      <w:rPr>
        <w:rFonts w:hint="eastAsia" w:ascii="宋体" w:hAnsi="宋体" w:eastAsia="宋体" w:cs="宋体"/>
        <w:kern w:val="0"/>
      </w:rPr>
      <w:fldChar w:fldCharType="begin"/>
    </w:r>
    <w:r>
      <w:rPr>
        <w:rFonts w:hint="eastAsia" w:ascii="宋体" w:hAnsi="宋体" w:eastAsia="宋体" w:cs="宋体"/>
        <w:kern w:val="0"/>
      </w:rPr>
      <w:instrText xml:space="preserve"> NUMPAGES </w:instrText>
    </w:r>
    <w:r>
      <w:rPr>
        <w:rFonts w:hint="eastAsia" w:ascii="宋体" w:hAnsi="宋体" w:eastAsia="宋体" w:cs="宋体"/>
        <w:kern w:val="0"/>
      </w:rPr>
      <w:fldChar w:fldCharType="separate"/>
    </w:r>
    <w:r>
      <w:rPr>
        <w:rFonts w:hint="eastAsia" w:ascii="宋体" w:hAnsi="宋体" w:eastAsia="宋体" w:cs="宋体"/>
        <w:kern w:val="0"/>
      </w:rPr>
      <w:t>4</w:t>
    </w:r>
    <w:r>
      <w:rPr>
        <w:rFonts w:hint="eastAsia" w:ascii="宋体" w:hAnsi="宋体" w:eastAsia="宋体" w:cs="宋体"/>
        <w:kern w:val="0"/>
      </w:rPr>
      <w:fldChar w:fldCharType="end"/>
    </w:r>
    <w:r>
      <w:rPr>
        <w:rFonts w:hint="eastAsia" w:ascii="宋体" w:hAnsi="宋体" w:eastAsia="宋体" w:cs="宋体"/>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62</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63</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85</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spacing w:after="120"/>
      <w:jc w:val="center"/>
      <w:rPr>
        <w:rFonts w:ascii="仿宋_GB2312" w:eastAsia="仿宋_GB2312"/>
        <w:sz w:val="21"/>
        <w:szCs w:val="21"/>
      </w:rPr>
    </w:pPr>
    <w:r>
      <w:rPr>
        <w:rFonts w:hint="eastAsia" w:ascii="仿宋_GB2312" w:eastAsia="仿宋_GB2312"/>
        <w:kern w:val="0"/>
        <w:sz w:val="21"/>
        <w:szCs w:val="21"/>
      </w:rPr>
      <w:t xml:space="preserve">第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PAGE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 共 </w:t>
    </w:r>
    <w:r>
      <w:rPr>
        <w:rFonts w:hint="eastAsia" w:ascii="仿宋_GB2312" w:eastAsia="仿宋_GB2312"/>
        <w:kern w:val="0"/>
        <w:sz w:val="21"/>
        <w:szCs w:val="21"/>
      </w:rPr>
      <w:fldChar w:fldCharType="begin"/>
    </w:r>
    <w:r>
      <w:rPr>
        <w:rFonts w:hint="eastAsia" w:ascii="仿宋_GB2312" w:eastAsia="仿宋_GB2312"/>
        <w:kern w:val="0"/>
        <w:sz w:val="21"/>
        <w:szCs w:val="21"/>
      </w:rPr>
      <w:instrText xml:space="preserve"> NUMPAGES </w:instrText>
    </w:r>
    <w:r>
      <w:rPr>
        <w:rFonts w:hint="eastAsia" w:ascii="仿宋_GB2312" w:eastAsia="仿宋_GB2312"/>
        <w:kern w:val="0"/>
        <w:sz w:val="21"/>
        <w:szCs w:val="21"/>
      </w:rPr>
      <w:fldChar w:fldCharType="separate"/>
    </w:r>
    <w:r>
      <w:rPr>
        <w:rFonts w:ascii="仿宋_GB2312" w:eastAsia="仿宋_GB2312"/>
        <w:kern w:val="0"/>
        <w:sz w:val="21"/>
        <w:szCs w:val="21"/>
      </w:rPr>
      <w:t>66</w:t>
    </w:r>
    <w:r>
      <w:rPr>
        <w:rFonts w:hint="eastAsia" w:ascii="仿宋_GB2312" w:eastAsia="仿宋_GB2312"/>
        <w:kern w:val="0"/>
        <w:sz w:val="21"/>
        <w:szCs w:val="21"/>
      </w:rPr>
      <w:fldChar w:fldCharType="end"/>
    </w:r>
    <w:r>
      <w:rPr>
        <w:rFonts w:hint="eastAsia" w:ascii="仿宋_GB2312" w:eastAsia="仿宋_GB2312"/>
        <w:kern w:val="0"/>
        <w:sz w:val="21"/>
        <w:szCs w:val="21"/>
      </w:rPr>
      <w:t xml:space="preserve"> 页</w:t>
    </w:r>
  </w:p>
  <w:p>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jc w:val="center"/>
      <w:rPr>
        <w:rFonts w:hint="eastAsia" w:ascii="宋体" w:hAnsi="宋体" w:eastAsia="宋体" w:cs="宋体"/>
        <w:szCs w:val="24"/>
      </w:rPr>
    </w:pPr>
    <w:r>
      <w:rPr>
        <w:rFonts w:hint="eastAsia" w:ascii="宋体" w:hAnsi="宋体" w:eastAsia="宋体" w:cs="宋体"/>
        <w:kern w:val="0"/>
        <w:szCs w:val="21"/>
      </w:rPr>
      <w:t xml:space="preserve">第 </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PAGE </w:instrText>
    </w:r>
    <w:r>
      <w:rPr>
        <w:rFonts w:hint="eastAsia" w:ascii="宋体" w:hAnsi="宋体" w:eastAsia="宋体" w:cs="宋体"/>
        <w:kern w:val="0"/>
        <w:szCs w:val="21"/>
      </w:rPr>
      <w:fldChar w:fldCharType="separate"/>
    </w:r>
    <w:r>
      <w:rPr>
        <w:rFonts w:hint="eastAsia" w:ascii="宋体" w:hAnsi="宋体" w:eastAsia="宋体" w:cs="宋体"/>
        <w:kern w:val="0"/>
        <w:szCs w:val="21"/>
      </w:rPr>
      <w:t>91</w:t>
    </w:r>
    <w:r>
      <w:rPr>
        <w:rFonts w:hint="eastAsia" w:ascii="宋体" w:hAnsi="宋体" w:eastAsia="宋体" w:cs="宋体"/>
        <w:kern w:val="0"/>
        <w:szCs w:val="21"/>
      </w:rPr>
      <w:fldChar w:fldCharType="end"/>
    </w:r>
    <w:r>
      <w:rPr>
        <w:rFonts w:hint="eastAsia" w:ascii="宋体" w:hAnsi="宋体" w:eastAsia="宋体" w:cs="宋体"/>
        <w:kern w:val="0"/>
        <w:szCs w:val="21"/>
      </w:rPr>
      <w:t xml:space="preserve"> 页 共 </w:t>
    </w:r>
    <w:r>
      <w:rPr>
        <w:rFonts w:hint="eastAsia" w:ascii="宋体" w:hAnsi="宋体" w:eastAsia="宋体" w:cs="宋体"/>
        <w:kern w:val="0"/>
        <w:szCs w:val="21"/>
      </w:rPr>
      <w:fldChar w:fldCharType="begin"/>
    </w:r>
    <w:r>
      <w:rPr>
        <w:rFonts w:hint="eastAsia" w:ascii="宋体" w:hAnsi="宋体" w:eastAsia="宋体" w:cs="宋体"/>
        <w:kern w:val="0"/>
        <w:szCs w:val="21"/>
      </w:rPr>
      <w:instrText xml:space="preserve"> NUMPAGES </w:instrText>
    </w:r>
    <w:r>
      <w:rPr>
        <w:rFonts w:hint="eastAsia" w:ascii="宋体" w:hAnsi="宋体" w:eastAsia="宋体" w:cs="宋体"/>
        <w:kern w:val="0"/>
        <w:szCs w:val="21"/>
      </w:rPr>
      <w:fldChar w:fldCharType="separate"/>
    </w:r>
    <w:r>
      <w:rPr>
        <w:rFonts w:hint="eastAsia" w:ascii="宋体" w:hAnsi="宋体" w:eastAsia="宋体" w:cs="宋体"/>
        <w:kern w:val="0"/>
        <w:szCs w:val="21"/>
      </w:rPr>
      <w:t>91</w:t>
    </w:r>
    <w:r>
      <w:rPr>
        <w:rFonts w:hint="eastAsia" w:ascii="宋体" w:hAnsi="宋体" w:eastAsia="宋体" w:cs="宋体"/>
        <w:kern w:val="0"/>
        <w:szCs w:val="21"/>
      </w:rPr>
      <w:fldChar w:fldCharType="end"/>
    </w:r>
    <w:r>
      <w:rPr>
        <w:rFonts w:hint="eastAsia" w:ascii="宋体" w:hAnsi="宋体" w:eastAsia="宋体" w:cs="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64"/>
      </w:rPr>
    </w:pPr>
    <w:r>
      <w:fldChar w:fldCharType="begin"/>
    </w:r>
    <w:r>
      <w:rPr>
        <w:rStyle w:val="64"/>
      </w:rPr>
      <w:instrText xml:space="preserve">PAGE  </w:instrText>
    </w:r>
    <w: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ind w:firstLine="180" w:firstLineChars="100"/>
      <w:jc w:val="both"/>
      <w:rPr>
        <w:rFonts w:hint="eastAsia" w:ascii="宋体" w:hAnsi="宋体" w:eastAsia="宋体" w:cs="宋体"/>
        <w:b w:val="0"/>
        <w:sz w:val="18"/>
        <w:u w:val="single"/>
      </w:rPr>
    </w:pPr>
    <w:r>
      <w:rPr>
        <w:rFonts w:hint="eastAsia" w:ascii="宋体" w:hAnsi="宋体" w:eastAsia="宋体" w:cs="宋体"/>
        <w:b w:val="0"/>
        <w:i/>
        <w:sz w:val="18"/>
        <w:u w:val="single"/>
      </w:rPr>
      <w:t xml:space="preserve">                                                               </w:t>
    </w:r>
    <w:r>
      <w:rPr>
        <w:rFonts w:hint="eastAsia" w:ascii="宋体" w:hAnsi="宋体" w:eastAsia="宋体" w:cs="宋体"/>
        <w:b w:val="0"/>
        <w:i/>
        <w:sz w:val="18"/>
        <w:u w:val="single"/>
        <w:lang w:val="en-US" w:eastAsia="zh-CN"/>
      </w:rPr>
      <w:t xml:space="preserve">      </w:t>
    </w:r>
    <w:r>
      <w:rPr>
        <w:rFonts w:hint="eastAsia" w:ascii="宋体" w:hAnsi="宋体" w:eastAsia="宋体" w:cs="宋体"/>
        <w:b w:val="0"/>
        <w:i/>
        <w:sz w:val="18"/>
        <w:u w:val="single"/>
      </w:rPr>
      <w:t xml:space="preserve">      </w:t>
    </w:r>
    <w:r>
      <w:rPr>
        <w:rFonts w:hint="eastAsia" w:ascii="仿宋" w:hAnsi="仿宋" w:eastAsia="仿宋" w:cs="仿宋"/>
        <w:b w:val="0"/>
        <w:sz w:val="18"/>
        <w:u w:val="single"/>
      </w:rPr>
      <w:t xml:space="preserve"> </w:t>
    </w:r>
    <w:r>
      <w:rPr>
        <w:rFonts w:hint="eastAsia" w:ascii="宋体" w:hAnsi="宋体" w:eastAsia="宋体" w:cs="宋体"/>
        <w:b w:val="0"/>
        <w:sz w:val="18"/>
        <w:szCs w:val="18"/>
        <w:u w:val="single"/>
      </w:rPr>
      <w:t>北海市政府采购竞争性谈判文件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rPr>
      <w:t>北海市政府采购竞争性谈判文件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t></w:t>
    </w:r>
    <w:r>
      <w:rPr>
        <w:rFonts w:hint="eastAsia"/>
      </w:rPr>
      <w:t xml:space="preserve">         </w:t>
    </w:r>
  </w:p>
  <w:p>
    <w:pPr>
      <w:pStyle w:val="38"/>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jc w:val="right"/>
      <w:rPr>
        <w:rFonts w:ascii="仿宋_GB2312" w:eastAsia="仿宋_GB2312"/>
        <w:b/>
        <w:i/>
        <w:u w:val="single"/>
      </w:rPr>
    </w:pP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spacing w:after="120"/>
    </w:pPr>
    <w:r>
      <w:t></w:t>
    </w:r>
    <w:r>
      <w:rPr>
        <w:rFonts w:hint="eastAsia"/>
      </w:rPr>
      <w:t xml:space="preserve">         </w:t>
    </w:r>
  </w:p>
  <w:p>
    <w:pPr>
      <w:pStyle w:val="38"/>
      <w:spacing w:after="120"/>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hint="eastAsia" w:ascii="宋体" w:hAnsi="宋体" w:eastAsia="宋体" w:cs="宋体"/>
      </w:rPr>
    </w:pPr>
    <w:r>
      <w:rPr>
        <w:rFonts w:hint="eastAsia" w:ascii="宋体" w:hAnsi="宋体" w:eastAsia="宋体" w:cs="宋体"/>
        <w:iCs/>
      </w:rPr>
      <w:t>北海市政府采购竞争性谈判文件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right"/>
      <w:rPr>
        <w:rFonts w:eastAsia="仿宋_GB2312"/>
      </w:rPr>
    </w:pPr>
    <w:r>
      <w:rPr>
        <w:rFonts w:hint="eastAsia" w:eastAsia="仿宋_GB2312"/>
        <w:iCs/>
      </w:rPr>
      <w:t>北海市政府采购竞争性谈判文件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53E54C8"/>
    <w:multiLevelType w:val="singleLevel"/>
    <w:tmpl w:val="453E54C8"/>
    <w:lvl w:ilvl="0" w:tentative="0">
      <w:start w:val="2"/>
      <w:numFmt w:val="chineseCounting"/>
      <w:suff w:val="nothing"/>
      <w:lvlText w:val="%1、"/>
      <w:lvlJc w:val="left"/>
      <w:rPr>
        <w:rFonts w:hint="eastAsia"/>
      </w:rPr>
    </w:lvl>
  </w:abstractNum>
  <w:abstractNum w:abstractNumId="6">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7"/>
  </w:num>
  <w:num w:numId="6">
    <w:abstractNumId w:val="8"/>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6EC0"/>
    <w:rsid w:val="000170C8"/>
    <w:rsid w:val="000172A5"/>
    <w:rsid w:val="000173F4"/>
    <w:rsid w:val="000217DE"/>
    <w:rsid w:val="00022464"/>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351"/>
    <w:rsid w:val="00044F48"/>
    <w:rsid w:val="0004651A"/>
    <w:rsid w:val="00047F35"/>
    <w:rsid w:val="00050656"/>
    <w:rsid w:val="00051B54"/>
    <w:rsid w:val="00054D39"/>
    <w:rsid w:val="0005501B"/>
    <w:rsid w:val="000554C7"/>
    <w:rsid w:val="00055A61"/>
    <w:rsid w:val="00056118"/>
    <w:rsid w:val="00057708"/>
    <w:rsid w:val="000578A3"/>
    <w:rsid w:val="00057A1F"/>
    <w:rsid w:val="00057FC8"/>
    <w:rsid w:val="000600BA"/>
    <w:rsid w:val="00061A3C"/>
    <w:rsid w:val="000620B0"/>
    <w:rsid w:val="000624E3"/>
    <w:rsid w:val="000646CA"/>
    <w:rsid w:val="00064A21"/>
    <w:rsid w:val="00064D05"/>
    <w:rsid w:val="00065868"/>
    <w:rsid w:val="000665C4"/>
    <w:rsid w:val="00067821"/>
    <w:rsid w:val="0006785E"/>
    <w:rsid w:val="00067E1A"/>
    <w:rsid w:val="00070825"/>
    <w:rsid w:val="00071BF2"/>
    <w:rsid w:val="00072AED"/>
    <w:rsid w:val="00072C95"/>
    <w:rsid w:val="00072D2B"/>
    <w:rsid w:val="000730B1"/>
    <w:rsid w:val="00073860"/>
    <w:rsid w:val="000740C0"/>
    <w:rsid w:val="00074528"/>
    <w:rsid w:val="00074B1F"/>
    <w:rsid w:val="00075D0E"/>
    <w:rsid w:val="00075F6A"/>
    <w:rsid w:val="000763F3"/>
    <w:rsid w:val="000768B4"/>
    <w:rsid w:val="00077607"/>
    <w:rsid w:val="00077756"/>
    <w:rsid w:val="000802C0"/>
    <w:rsid w:val="00080970"/>
    <w:rsid w:val="000839FB"/>
    <w:rsid w:val="00083DDA"/>
    <w:rsid w:val="0008580E"/>
    <w:rsid w:val="00085A0E"/>
    <w:rsid w:val="00086F8A"/>
    <w:rsid w:val="000904F6"/>
    <w:rsid w:val="00090D4C"/>
    <w:rsid w:val="00090ED8"/>
    <w:rsid w:val="0009145F"/>
    <w:rsid w:val="00091B4E"/>
    <w:rsid w:val="00091D89"/>
    <w:rsid w:val="00092FE9"/>
    <w:rsid w:val="00094342"/>
    <w:rsid w:val="00094A21"/>
    <w:rsid w:val="000960BA"/>
    <w:rsid w:val="0009662A"/>
    <w:rsid w:val="000A1A52"/>
    <w:rsid w:val="000A1F98"/>
    <w:rsid w:val="000A23CE"/>
    <w:rsid w:val="000A49BB"/>
    <w:rsid w:val="000A4C67"/>
    <w:rsid w:val="000A5674"/>
    <w:rsid w:val="000A5A46"/>
    <w:rsid w:val="000A76EA"/>
    <w:rsid w:val="000B0E04"/>
    <w:rsid w:val="000B2E25"/>
    <w:rsid w:val="000B4B56"/>
    <w:rsid w:val="000B53F1"/>
    <w:rsid w:val="000B54C1"/>
    <w:rsid w:val="000B62AC"/>
    <w:rsid w:val="000B6BDF"/>
    <w:rsid w:val="000C053E"/>
    <w:rsid w:val="000C0A43"/>
    <w:rsid w:val="000C1ADE"/>
    <w:rsid w:val="000C1C38"/>
    <w:rsid w:val="000C222C"/>
    <w:rsid w:val="000C2264"/>
    <w:rsid w:val="000C33C8"/>
    <w:rsid w:val="000C4727"/>
    <w:rsid w:val="000C47AE"/>
    <w:rsid w:val="000C4F43"/>
    <w:rsid w:val="000C51AD"/>
    <w:rsid w:val="000C5374"/>
    <w:rsid w:val="000C5EC0"/>
    <w:rsid w:val="000C6688"/>
    <w:rsid w:val="000C7BEB"/>
    <w:rsid w:val="000C7F90"/>
    <w:rsid w:val="000D11E5"/>
    <w:rsid w:val="000D1957"/>
    <w:rsid w:val="000D1D28"/>
    <w:rsid w:val="000D2A10"/>
    <w:rsid w:val="000D34C8"/>
    <w:rsid w:val="000D34FD"/>
    <w:rsid w:val="000D3BB6"/>
    <w:rsid w:val="000D3BE5"/>
    <w:rsid w:val="000D3C37"/>
    <w:rsid w:val="000D5EA6"/>
    <w:rsid w:val="000D6C9F"/>
    <w:rsid w:val="000D6E3B"/>
    <w:rsid w:val="000D7560"/>
    <w:rsid w:val="000D7902"/>
    <w:rsid w:val="000D7CE0"/>
    <w:rsid w:val="000E13DB"/>
    <w:rsid w:val="000E1AEC"/>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206"/>
    <w:rsid w:val="000F2940"/>
    <w:rsid w:val="000F3D08"/>
    <w:rsid w:val="000F505B"/>
    <w:rsid w:val="000F5837"/>
    <w:rsid w:val="000F68A0"/>
    <w:rsid w:val="00100E09"/>
    <w:rsid w:val="0010118C"/>
    <w:rsid w:val="0010125E"/>
    <w:rsid w:val="00101967"/>
    <w:rsid w:val="00104CAD"/>
    <w:rsid w:val="00104E5B"/>
    <w:rsid w:val="00104EEC"/>
    <w:rsid w:val="001050DC"/>
    <w:rsid w:val="001052A9"/>
    <w:rsid w:val="00105482"/>
    <w:rsid w:val="001055F5"/>
    <w:rsid w:val="00105BA9"/>
    <w:rsid w:val="00106658"/>
    <w:rsid w:val="00106C42"/>
    <w:rsid w:val="00107BBD"/>
    <w:rsid w:val="00107E1B"/>
    <w:rsid w:val="00111C7D"/>
    <w:rsid w:val="00112038"/>
    <w:rsid w:val="00112467"/>
    <w:rsid w:val="001127FF"/>
    <w:rsid w:val="00112B0B"/>
    <w:rsid w:val="00112B42"/>
    <w:rsid w:val="00114847"/>
    <w:rsid w:val="0011585B"/>
    <w:rsid w:val="00115B1A"/>
    <w:rsid w:val="001168F8"/>
    <w:rsid w:val="00117FA8"/>
    <w:rsid w:val="001228C8"/>
    <w:rsid w:val="0012419E"/>
    <w:rsid w:val="001243E9"/>
    <w:rsid w:val="001248EF"/>
    <w:rsid w:val="00124F76"/>
    <w:rsid w:val="00124FC4"/>
    <w:rsid w:val="001259B8"/>
    <w:rsid w:val="00127DAB"/>
    <w:rsid w:val="00131C2D"/>
    <w:rsid w:val="00132ED7"/>
    <w:rsid w:val="0013430A"/>
    <w:rsid w:val="001350F7"/>
    <w:rsid w:val="00135141"/>
    <w:rsid w:val="00135769"/>
    <w:rsid w:val="00135BE9"/>
    <w:rsid w:val="001374DC"/>
    <w:rsid w:val="0013773D"/>
    <w:rsid w:val="00140D7A"/>
    <w:rsid w:val="001430C3"/>
    <w:rsid w:val="00143E9B"/>
    <w:rsid w:val="00144649"/>
    <w:rsid w:val="001451BB"/>
    <w:rsid w:val="00145662"/>
    <w:rsid w:val="00145C6D"/>
    <w:rsid w:val="00146151"/>
    <w:rsid w:val="00147EA7"/>
    <w:rsid w:val="00151B2F"/>
    <w:rsid w:val="001524DC"/>
    <w:rsid w:val="001525E5"/>
    <w:rsid w:val="00153859"/>
    <w:rsid w:val="00153ED0"/>
    <w:rsid w:val="00155A91"/>
    <w:rsid w:val="00157432"/>
    <w:rsid w:val="00160051"/>
    <w:rsid w:val="00161053"/>
    <w:rsid w:val="00161185"/>
    <w:rsid w:val="00161853"/>
    <w:rsid w:val="00161C7D"/>
    <w:rsid w:val="00162E0E"/>
    <w:rsid w:val="00167594"/>
    <w:rsid w:val="001702BE"/>
    <w:rsid w:val="001706E4"/>
    <w:rsid w:val="0017105C"/>
    <w:rsid w:val="0017125C"/>
    <w:rsid w:val="00171622"/>
    <w:rsid w:val="00171C92"/>
    <w:rsid w:val="00172077"/>
    <w:rsid w:val="001721CF"/>
    <w:rsid w:val="001728FD"/>
    <w:rsid w:val="00172A27"/>
    <w:rsid w:val="00172F02"/>
    <w:rsid w:val="001735D7"/>
    <w:rsid w:val="00173631"/>
    <w:rsid w:val="0017372D"/>
    <w:rsid w:val="00173E59"/>
    <w:rsid w:val="00176BC8"/>
    <w:rsid w:val="00180244"/>
    <w:rsid w:val="00180A47"/>
    <w:rsid w:val="00180E46"/>
    <w:rsid w:val="00181272"/>
    <w:rsid w:val="001823B6"/>
    <w:rsid w:val="001827B7"/>
    <w:rsid w:val="001827EF"/>
    <w:rsid w:val="00182982"/>
    <w:rsid w:val="00182D68"/>
    <w:rsid w:val="0018397E"/>
    <w:rsid w:val="00183BA7"/>
    <w:rsid w:val="00184387"/>
    <w:rsid w:val="001857B3"/>
    <w:rsid w:val="00186D20"/>
    <w:rsid w:val="00187243"/>
    <w:rsid w:val="001878FE"/>
    <w:rsid w:val="00187C29"/>
    <w:rsid w:val="00187F55"/>
    <w:rsid w:val="00190942"/>
    <w:rsid w:val="00191459"/>
    <w:rsid w:val="0019174E"/>
    <w:rsid w:val="00191EF8"/>
    <w:rsid w:val="00192690"/>
    <w:rsid w:val="00192D7E"/>
    <w:rsid w:val="00193B94"/>
    <w:rsid w:val="001940A7"/>
    <w:rsid w:val="00194BB1"/>
    <w:rsid w:val="00195070"/>
    <w:rsid w:val="00195D82"/>
    <w:rsid w:val="0019602C"/>
    <w:rsid w:val="0019608A"/>
    <w:rsid w:val="001A07F8"/>
    <w:rsid w:val="001A1D48"/>
    <w:rsid w:val="001A1F0E"/>
    <w:rsid w:val="001A1F2D"/>
    <w:rsid w:val="001A468D"/>
    <w:rsid w:val="001A473A"/>
    <w:rsid w:val="001A4996"/>
    <w:rsid w:val="001A5785"/>
    <w:rsid w:val="001A66A6"/>
    <w:rsid w:val="001A6BBB"/>
    <w:rsid w:val="001A6FEA"/>
    <w:rsid w:val="001A79A2"/>
    <w:rsid w:val="001B13BF"/>
    <w:rsid w:val="001B16F5"/>
    <w:rsid w:val="001B1992"/>
    <w:rsid w:val="001B1BD9"/>
    <w:rsid w:val="001B1C1F"/>
    <w:rsid w:val="001B219B"/>
    <w:rsid w:val="001B2703"/>
    <w:rsid w:val="001B2ABD"/>
    <w:rsid w:val="001B3AB0"/>
    <w:rsid w:val="001B4272"/>
    <w:rsid w:val="001B46B2"/>
    <w:rsid w:val="001B4CA8"/>
    <w:rsid w:val="001B572D"/>
    <w:rsid w:val="001B6D33"/>
    <w:rsid w:val="001B738E"/>
    <w:rsid w:val="001B7645"/>
    <w:rsid w:val="001B7B69"/>
    <w:rsid w:val="001C0616"/>
    <w:rsid w:val="001C0DD2"/>
    <w:rsid w:val="001C10BD"/>
    <w:rsid w:val="001C1B4A"/>
    <w:rsid w:val="001C1F01"/>
    <w:rsid w:val="001C232F"/>
    <w:rsid w:val="001C23BD"/>
    <w:rsid w:val="001C31F5"/>
    <w:rsid w:val="001C44BC"/>
    <w:rsid w:val="001C471B"/>
    <w:rsid w:val="001C5885"/>
    <w:rsid w:val="001C6698"/>
    <w:rsid w:val="001D0AAC"/>
    <w:rsid w:val="001D1353"/>
    <w:rsid w:val="001D1D55"/>
    <w:rsid w:val="001D21EF"/>
    <w:rsid w:val="001D330D"/>
    <w:rsid w:val="001D4AD3"/>
    <w:rsid w:val="001D5A94"/>
    <w:rsid w:val="001E07DA"/>
    <w:rsid w:val="001E1ABC"/>
    <w:rsid w:val="001E43FB"/>
    <w:rsid w:val="001E59FB"/>
    <w:rsid w:val="001E63F8"/>
    <w:rsid w:val="001E787E"/>
    <w:rsid w:val="001E78CC"/>
    <w:rsid w:val="001F087C"/>
    <w:rsid w:val="001F0DA4"/>
    <w:rsid w:val="001F0FD1"/>
    <w:rsid w:val="001F1F18"/>
    <w:rsid w:val="001F2F92"/>
    <w:rsid w:val="001F3396"/>
    <w:rsid w:val="001F6095"/>
    <w:rsid w:val="00200E37"/>
    <w:rsid w:val="00201EE3"/>
    <w:rsid w:val="00202D33"/>
    <w:rsid w:val="00202F99"/>
    <w:rsid w:val="00203C85"/>
    <w:rsid w:val="00205298"/>
    <w:rsid w:val="002054F4"/>
    <w:rsid w:val="00210B9C"/>
    <w:rsid w:val="00212CFB"/>
    <w:rsid w:val="00212E87"/>
    <w:rsid w:val="00213FC4"/>
    <w:rsid w:val="00214028"/>
    <w:rsid w:val="002141C3"/>
    <w:rsid w:val="002141DC"/>
    <w:rsid w:val="00214479"/>
    <w:rsid w:val="002144F3"/>
    <w:rsid w:val="00215918"/>
    <w:rsid w:val="00215A2A"/>
    <w:rsid w:val="00216387"/>
    <w:rsid w:val="00217427"/>
    <w:rsid w:val="00217DE5"/>
    <w:rsid w:val="002204BC"/>
    <w:rsid w:val="0022187F"/>
    <w:rsid w:val="0022234D"/>
    <w:rsid w:val="002223FA"/>
    <w:rsid w:val="00222C78"/>
    <w:rsid w:val="00224973"/>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755"/>
    <w:rsid w:val="00237A7C"/>
    <w:rsid w:val="00237FA2"/>
    <w:rsid w:val="00240121"/>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67F38"/>
    <w:rsid w:val="00273C5F"/>
    <w:rsid w:val="00274C6D"/>
    <w:rsid w:val="00274F11"/>
    <w:rsid w:val="002751CA"/>
    <w:rsid w:val="0027544D"/>
    <w:rsid w:val="002754C0"/>
    <w:rsid w:val="00275C7D"/>
    <w:rsid w:val="002778AB"/>
    <w:rsid w:val="002802A5"/>
    <w:rsid w:val="0028166B"/>
    <w:rsid w:val="00281BCB"/>
    <w:rsid w:val="00282CA4"/>
    <w:rsid w:val="00283B06"/>
    <w:rsid w:val="0028583E"/>
    <w:rsid w:val="00285FF3"/>
    <w:rsid w:val="0028744E"/>
    <w:rsid w:val="0028766A"/>
    <w:rsid w:val="00287936"/>
    <w:rsid w:val="00287BEE"/>
    <w:rsid w:val="002903C5"/>
    <w:rsid w:val="00290A99"/>
    <w:rsid w:val="00290EAF"/>
    <w:rsid w:val="0029159A"/>
    <w:rsid w:val="00292AA1"/>
    <w:rsid w:val="0029499D"/>
    <w:rsid w:val="00294A13"/>
    <w:rsid w:val="00295073"/>
    <w:rsid w:val="00295DC3"/>
    <w:rsid w:val="0029704D"/>
    <w:rsid w:val="002979C5"/>
    <w:rsid w:val="00297AF5"/>
    <w:rsid w:val="002A01C6"/>
    <w:rsid w:val="002A02D6"/>
    <w:rsid w:val="002A07C4"/>
    <w:rsid w:val="002A0921"/>
    <w:rsid w:val="002A108E"/>
    <w:rsid w:val="002A123D"/>
    <w:rsid w:val="002A2001"/>
    <w:rsid w:val="002A30AD"/>
    <w:rsid w:val="002A43B6"/>
    <w:rsid w:val="002A4A80"/>
    <w:rsid w:val="002A4EB3"/>
    <w:rsid w:val="002A51D9"/>
    <w:rsid w:val="002A5275"/>
    <w:rsid w:val="002B2906"/>
    <w:rsid w:val="002B35C5"/>
    <w:rsid w:val="002B3870"/>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2F92"/>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6CE"/>
    <w:rsid w:val="002E28A0"/>
    <w:rsid w:val="002E2E79"/>
    <w:rsid w:val="002E349A"/>
    <w:rsid w:val="002E3956"/>
    <w:rsid w:val="002E3D77"/>
    <w:rsid w:val="002E672A"/>
    <w:rsid w:val="002E6853"/>
    <w:rsid w:val="002E74C8"/>
    <w:rsid w:val="002E7EE5"/>
    <w:rsid w:val="002E7EFF"/>
    <w:rsid w:val="002F0323"/>
    <w:rsid w:val="002F0939"/>
    <w:rsid w:val="002F134F"/>
    <w:rsid w:val="002F1D0B"/>
    <w:rsid w:val="002F1F02"/>
    <w:rsid w:val="002F2048"/>
    <w:rsid w:val="002F2D81"/>
    <w:rsid w:val="002F44D0"/>
    <w:rsid w:val="002F47A6"/>
    <w:rsid w:val="002F541B"/>
    <w:rsid w:val="002F6EFF"/>
    <w:rsid w:val="002F7DF0"/>
    <w:rsid w:val="002F7FAF"/>
    <w:rsid w:val="003002DD"/>
    <w:rsid w:val="00300AFA"/>
    <w:rsid w:val="00301A22"/>
    <w:rsid w:val="00303959"/>
    <w:rsid w:val="00303AB6"/>
    <w:rsid w:val="00304455"/>
    <w:rsid w:val="00304640"/>
    <w:rsid w:val="00304AC1"/>
    <w:rsid w:val="00305007"/>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CDE"/>
    <w:rsid w:val="00317012"/>
    <w:rsid w:val="00320AAB"/>
    <w:rsid w:val="0032226B"/>
    <w:rsid w:val="00324B2F"/>
    <w:rsid w:val="00326106"/>
    <w:rsid w:val="003262E4"/>
    <w:rsid w:val="003269B7"/>
    <w:rsid w:val="003272E4"/>
    <w:rsid w:val="003301D9"/>
    <w:rsid w:val="00330FE8"/>
    <w:rsid w:val="00331461"/>
    <w:rsid w:val="003316A8"/>
    <w:rsid w:val="00331CC9"/>
    <w:rsid w:val="00331FE5"/>
    <w:rsid w:val="003320D7"/>
    <w:rsid w:val="00332D52"/>
    <w:rsid w:val="00333337"/>
    <w:rsid w:val="00333A28"/>
    <w:rsid w:val="00335868"/>
    <w:rsid w:val="0033631D"/>
    <w:rsid w:val="003365CB"/>
    <w:rsid w:val="0033701B"/>
    <w:rsid w:val="00341225"/>
    <w:rsid w:val="00341CEB"/>
    <w:rsid w:val="0034396F"/>
    <w:rsid w:val="0034458E"/>
    <w:rsid w:val="003448CA"/>
    <w:rsid w:val="00344BBF"/>
    <w:rsid w:val="00344F3C"/>
    <w:rsid w:val="00345644"/>
    <w:rsid w:val="00345D7A"/>
    <w:rsid w:val="00346B6D"/>
    <w:rsid w:val="00346BA3"/>
    <w:rsid w:val="00347356"/>
    <w:rsid w:val="00350896"/>
    <w:rsid w:val="00350C31"/>
    <w:rsid w:val="003519CD"/>
    <w:rsid w:val="00351A3A"/>
    <w:rsid w:val="00352A88"/>
    <w:rsid w:val="003536BF"/>
    <w:rsid w:val="0035455F"/>
    <w:rsid w:val="00355D8F"/>
    <w:rsid w:val="00357437"/>
    <w:rsid w:val="003577EF"/>
    <w:rsid w:val="00357F65"/>
    <w:rsid w:val="00360304"/>
    <w:rsid w:val="00361DB9"/>
    <w:rsid w:val="003622EB"/>
    <w:rsid w:val="00362415"/>
    <w:rsid w:val="00365427"/>
    <w:rsid w:val="00365888"/>
    <w:rsid w:val="003669C8"/>
    <w:rsid w:val="00366CEB"/>
    <w:rsid w:val="00366D8A"/>
    <w:rsid w:val="003679D3"/>
    <w:rsid w:val="00367A87"/>
    <w:rsid w:val="00367F2C"/>
    <w:rsid w:val="003703CE"/>
    <w:rsid w:val="00371C6D"/>
    <w:rsid w:val="00372C89"/>
    <w:rsid w:val="00372E9A"/>
    <w:rsid w:val="00374677"/>
    <w:rsid w:val="0037632F"/>
    <w:rsid w:val="00376709"/>
    <w:rsid w:val="00377B26"/>
    <w:rsid w:val="003800B2"/>
    <w:rsid w:val="00381014"/>
    <w:rsid w:val="00381F60"/>
    <w:rsid w:val="00382F6C"/>
    <w:rsid w:val="00383AB0"/>
    <w:rsid w:val="00384814"/>
    <w:rsid w:val="00384C0A"/>
    <w:rsid w:val="00385B16"/>
    <w:rsid w:val="00385B65"/>
    <w:rsid w:val="0038637D"/>
    <w:rsid w:val="00386522"/>
    <w:rsid w:val="00386C07"/>
    <w:rsid w:val="00386F58"/>
    <w:rsid w:val="0038700D"/>
    <w:rsid w:val="0038701B"/>
    <w:rsid w:val="003871A7"/>
    <w:rsid w:val="00390C0D"/>
    <w:rsid w:val="00391447"/>
    <w:rsid w:val="003922DE"/>
    <w:rsid w:val="00393B84"/>
    <w:rsid w:val="00393C6A"/>
    <w:rsid w:val="003944EA"/>
    <w:rsid w:val="00394639"/>
    <w:rsid w:val="003962E6"/>
    <w:rsid w:val="00396831"/>
    <w:rsid w:val="00397EE1"/>
    <w:rsid w:val="003A03EF"/>
    <w:rsid w:val="003A12B6"/>
    <w:rsid w:val="003A20D5"/>
    <w:rsid w:val="003A24CC"/>
    <w:rsid w:val="003A2EE8"/>
    <w:rsid w:val="003A373C"/>
    <w:rsid w:val="003A3E10"/>
    <w:rsid w:val="003A3FD6"/>
    <w:rsid w:val="003A5378"/>
    <w:rsid w:val="003A5567"/>
    <w:rsid w:val="003A7E2B"/>
    <w:rsid w:val="003A7E40"/>
    <w:rsid w:val="003B0336"/>
    <w:rsid w:val="003B0A3A"/>
    <w:rsid w:val="003B452B"/>
    <w:rsid w:val="003B4810"/>
    <w:rsid w:val="003B514E"/>
    <w:rsid w:val="003B5581"/>
    <w:rsid w:val="003B5E0A"/>
    <w:rsid w:val="003B613B"/>
    <w:rsid w:val="003B636A"/>
    <w:rsid w:val="003B6AF1"/>
    <w:rsid w:val="003B7D14"/>
    <w:rsid w:val="003C011C"/>
    <w:rsid w:val="003C2400"/>
    <w:rsid w:val="003C435B"/>
    <w:rsid w:val="003C4EBE"/>
    <w:rsid w:val="003C685A"/>
    <w:rsid w:val="003C6B25"/>
    <w:rsid w:val="003C6E9C"/>
    <w:rsid w:val="003C7F12"/>
    <w:rsid w:val="003D010D"/>
    <w:rsid w:val="003D03D6"/>
    <w:rsid w:val="003D04C3"/>
    <w:rsid w:val="003D14C8"/>
    <w:rsid w:val="003D1517"/>
    <w:rsid w:val="003D2DA0"/>
    <w:rsid w:val="003D34C3"/>
    <w:rsid w:val="003D5681"/>
    <w:rsid w:val="003D5ADB"/>
    <w:rsid w:val="003D5E55"/>
    <w:rsid w:val="003D62A2"/>
    <w:rsid w:val="003D663E"/>
    <w:rsid w:val="003D6793"/>
    <w:rsid w:val="003D6B03"/>
    <w:rsid w:val="003D7012"/>
    <w:rsid w:val="003D75D8"/>
    <w:rsid w:val="003E0746"/>
    <w:rsid w:val="003E0E7C"/>
    <w:rsid w:val="003E2E25"/>
    <w:rsid w:val="003E336A"/>
    <w:rsid w:val="003E35A8"/>
    <w:rsid w:val="003E3F84"/>
    <w:rsid w:val="003E3FB8"/>
    <w:rsid w:val="003E60DA"/>
    <w:rsid w:val="003E61F6"/>
    <w:rsid w:val="003E6439"/>
    <w:rsid w:val="003E6E00"/>
    <w:rsid w:val="003E725A"/>
    <w:rsid w:val="003E7940"/>
    <w:rsid w:val="003F01BD"/>
    <w:rsid w:val="003F048E"/>
    <w:rsid w:val="003F0AFF"/>
    <w:rsid w:val="003F2C48"/>
    <w:rsid w:val="003F3D90"/>
    <w:rsid w:val="003F53BB"/>
    <w:rsid w:val="003F56B8"/>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17FB3"/>
    <w:rsid w:val="004210C0"/>
    <w:rsid w:val="004211DD"/>
    <w:rsid w:val="00421442"/>
    <w:rsid w:val="00421762"/>
    <w:rsid w:val="00421D4B"/>
    <w:rsid w:val="00421D9F"/>
    <w:rsid w:val="00421ED8"/>
    <w:rsid w:val="004233AD"/>
    <w:rsid w:val="00423ABD"/>
    <w:rsid w:val="004246BC"/>
    <w:rsid w:val="00424F1A"/>
    <w:rsid w:val="00425724"/>
    <w:rsid w:val="00426B2C"/>
    <w:rsid w:val="00427FA8"/>
    <w:rsid w:val="004306D4"/>
    <w:rsid w:val="00431C44"/>
    <w:rsid w:val="00432827"/>
    <w:rsid w:val="00432ECA"/>
    <w:rsid w:val="00435515"/>
    <w:rsid w:val="004357B1"/>
    <w:rsid w:val="00436CCE"/>
    <w:rsid w:val="004379BB"/>
    <w:rsid w:val="00440262"/>
    <w:rsid w:val="00440814"/>
    <w:rsid w:val="00440844"/>
    <w:rsid w:val="004439F0"/>
    <w:rsid w:val="00443EDE"/>
    <w:rsid w:val="0044739A"/>
    <w:rsid w:val="004475F7"/>
    <w:rsid w:val="00447DFB"/>
    <w:rsid w:val="00450B22"/>
    <w:rsid w:val="00452AB8"/>
    <w:rsid w:val="004533CE"/>
    <w:rsid w:val="004543AB"/>
    <w:rsid w:val="00455F71"/>
    <w:rsid w:val="00456272"/>
    <w:rsid w:val="00457CF7"/>
    <w:rsid w:val="00457D37"/>
    <w:rsid w:val="00457ED4"/>
    <w:rsid w:val="00460CB8"/>
    <w:rsid w:val="00460E68"/>
    <w:rsid w:val="00461F80"/>
    <w:rsid w:val="0046240D"/>
    <w:rsid w:val="00463576"/>
    <w:rsid w:val="0046399D"/>
    <w:rsid w:val="00465264"/>
    <w:rsid w:val="00465781"/>
    <w:rsid w:val="00465A21"/>
    <w:rsid w:val="00466ABA"/>
    <w:rsid w:val="0046775D"/>
    <w:rsid w:val="00471387"/>
    <w:rsid w:val="00471963"/>
    <w:rsid w:val="00473308"/>
    <w:rsid w:val="004749DA"/>
    <w:rsid w:val="004749DC"/>
    <w:rsid w:val="00474DEF"/>
    <w:rsid w:val="004750B9"/>
    <w:rsid w:val="004754AC"/>
    <w:rsid w:val="004758E7"/>
    <w:rsid w:val="00475F67"/>
    <w:rsid w:val="004764C6"/>
    <w:rsid w:val="00477247"/>
    <w:rsid w:val="00477529"/>
    <w:rsid w:val="004776BB"/>
    <w:rsid w:val="00477C40"/>
    <w:rsid w:val="00480DC5"/>
    <w:rsid w:val="0048144A"/>
    <w:rsid w:val="00481886"/>
    <w:rsid w:val="00481BC4"/>
    <w:rsid w:val="00482101"/>
    <w:rsid w:val="00482288"/>
    <w:rsid w:val="00483984"/>
    <w:rsid w:val="00483BC7"/>
    <w:rsid w:val="00483CF0"/>
    <w:rsid w:val="00484D4D"/>
    <w:rsid w:val="004855D9"/>
    <w:rsid w:val="0048664F"/>
    <w:rsid w:val="004868AD"/>
    <w:rsid w:val="00486D00"/>
    <w:rsid w:val="00487DD9"/>
    <w:rsid w:val="00487FE1"/>
    <w:rsid w:val="004906AE"/>
    <w:rsid w:val="00490707"/>
    <w:rsid w:val="00490815"/>
    <w:rsid w:val="004914E8"/>
    <w:rsid w:val="00492B76"/>
    <w:rsid w:val="0049333E"/>
    <w:rsid w:val="0049418F"/>
    <w:rsid w:val="00495DC6"/>
    <w:rsid w:val="00497AAD"/>
    <w:rsid w:val="00497D1A"/>
    <w:rsid w:val="00497EE7"/>
    <w:rsid w:val="004A03DA"/>
    <w:rsid w:val="004A1DBC"/>
    <w:rsid w:val="004A1EA7"/>
    <w:rsid w:val="004A2C96"/>
    <w:rsid w:val="004A4125"/>
    <w:rsid w:val="004A5D1E"/>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1840"/>
    <w:rsid w:val="004C27CF"/>
    <w:rsid w:val="004C2CA7"/>
    <w:rsid w:val="004C38E3"/>
    <w:rsid w:val="004C45C8"/>
    <w:rsid w:val="004C612E"/>
    <w:rsid w:val="004C6C0A"/>
    <w:rsid w:val="004C7180"/>
    <w:rsid w:val="004C77FF"/>
    <w:rsid w:val="004D0223"/>
    <w:rsid w:val="004D12E8"/>
    <w:rsid w:val="004D138A"/>
    <w:rsid w:val="004D16A3"/>
    <w:rsid w:val="004D1E41"/>
    <w:rsid w:val="004D3B25"/>
    <w:rsid w:val="004D557D"/>
    <w:rsid w:val="004D6F29"/>
    <w:rsid w:val="004D7974"/>
    <w:rsid w:val="004D7F9C"/>
    <w:rsid w:val="004D7FF2"/>
    <w:rsid w:val="004E1D6F"/>
    <w:rsid w:val="004E1F19"/>
    <w:rsid w:val="004E2E35"/>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10F8"/>
    <w:rsid w:val="005020F1"/>
    <w:rsid w:val="005039B8"/>
    <w:rsid w:val="00504CCC"/>
    <w:rsid w:val="0050537D"/>
    <w:rsid w:val="005079F5"/>
    <w:rsid w:val="0051037C"/>
    <w:rsid w:val="0051050F"/>
    <w:rsid w:val="00510DDC"/>
    <w:rsid w:val="00511427"/>
    <w:rsid w:val="005131A2"/>
    <w:rsid w:val="00513D8B"/>
    <w:rsid w:val="0051440E"/>
    <w:rsid w:val="00514F0B"/>
    <w:rsid w:val="005160EA"/>
    <w:rsid w:val="005173F3"/>
    <w:rsid w:val="00517AC8"/>
    <w:rsid w:val="00517C3E"/>
    <w:rsid w:val="005212F4"/>
    <w:rsid w:val="00521305"/>
    <w:rsid w:val="0052178F"/>
    <w:rsid w:val="00521908"/>
    <w:rsid w:val="00523606"/>
    <w:rsid w:val="005251BE"/>
    <w:rsid w:val="005256D6"/>
    <w:rsid w:val="00525AD8"/>
    <w:rsid w:val="00525C01"/>
    <w:rsid w:val="00526429"/>
    <w:rsid w:val="005266C1"/>
    <w:rsid w:val="005267F4"/>
    <w:rsid w:val="00527317"/>
    <w:rsid w:val="00527ED6"/>
    <w:rsid w:val="00531064"/>
    <w:rsid w:val="005328B0"/>
    <w:rsid w:val="005335A2"/>
    <w:rsid w:val="00533DEC"/>
    <w:rsid w:val="005363D3"/>
    <w:rsid w:val="00536B03"/>
    <w:rsid w:val="00537328"/>
    <w:rsid w:val="00537917"/>
    <w:rsid w:val="00537E83"/>
    <w:rsid w:val="005405B2"/>
    <w:rsid w:val="00540EE7"/>
    <w:rsid w:val="00541A22"/>
    <w:rsid w:val="005426B2"/>
    <w:rsid w:val="00542CD7"/>
    <w:rsid w:val="00543640"/>
    <w:rsid w:val="005444C6"/>
    <w:rsid w:val="005449D1"/>
    <w:rsid w:val="00544F05"/>
    <w:rsid w:val="005454B8"/>
    <w:rsid w:val="0054552C"/>
    <w:rsid w:val="00545B56"/>
    <w:rsid w:val="00545DB9"/>
    <w:rsid w:val="00546035"/>
    <w:rsid w:val="00546BF8"/>
    <w:rsid w:val="00550B7E"/>
    <w:rsid w:val="00551B96"/>
    <w:rsid w:val="00551EE7"/>
    <w:rsid w:val="005524ED"/>
    <w:rsid w:val="00554C03"/>
    <w:rsid w:val="005550F9"/>
    <w:rsid w:val="0055525C"/>
    <w:rsid w:val="00555286"/>
    <w:rsid w:val="00556386"/>
    <w:rsid w:val="00556441"/>
    <w:rsid w:val="0055693D"/>
    <w:rsid w:val="00561903"/>
    <w:rsid w:val="00561A9B"/>
    <w:rsid w:val="00562FB1"/>
    <w:rsid w:val="00563068"/>
    <w:rsid w:val="00564DA7"/>
    <w:rsid w:val="00564EFA"/>
    <w:rsid w:val="00565204"/>
    <w:rsid w:val="00565473"/>
    <w:rsid w:val="00565DAC"/>
    <w:rsid w:val="00565F0D"/>
    <w:rsid w:val="005662DC"/>
    <w:rsid w:val="00566329"/>
    <w:rsid w:val="005701C2"/>
    <w:rsid w:val="0057117C"/>
    <w:rsid w:val="00573560"/>
    <w:rsid w:val="0057438C"/>
    <w:rsid w:val="005744C1"/>
    <w:rsid w:val="00574E7B"/>
    <w:rsid w:val="005756E7"/>
    <w:rsid w:val="00576B5C"/>
    <w:rsid w:val="00580DFC"/>
    <w:rsid w:val="00581133"/>
    <w:rsid w:val="00581EC5"/>
    <w:rsid w:val="00581F85"/>
    <w:rsid w:val="00583D43"/>
    <w:rsid w:val="005846C3"/>
    <w:rsid w:val="00584F04"/>
    <w:rsid w:val="0058577D"/>
    <w:rsid w:val="005857F7"/>
    <w:rsid w:val="0058589A"/>
    <w:rsid w:val="005871F6"/>
    <w:rsid w:val="0058767F"/>
    <w:rsid w:val="00587D7B"/>
    <w:rsid w:val="005901B7"/>
    <w:rsid w:val="005904DB"/>
    <w:rsid w:val="00592825"/>
    <w:rsid w:val="005931BD"/>
    <w:rsid w:val="00593806"/>
    <w:rsid w:val="00594437"/>
    <w:rsid w:val="005955EB"/>
    <w:rsid w:val="0059683E"/>
    <w:rsid w:val="00596CFA"/>
    <w:rsid w:val="005975CE"/>
    <w:rsid w:val="005A1A31"/>
    <w:rsid w:val="005A36C2"/>
    <w:rsid w:val="005A3719"/>
    <w:rsid w:val="005A399E"/>
    <w:rsid w:val="005A3A4F"/>
    <w:rsid w:val="005A3DD7"/>
    <w:rsid w:val="005A418C"/>
    <w:rsid w:val="005A48B5"/>
    <w:rsid w:val="005A4F48"/>
    <w:rsid w:val="005A5036"/>
    <w:rsid w:val="005A56BB"/>
    <w:rsid w:val="005A733D"/>
    <w:rsid w:val="005A7A32"/>
    <w:rsid w:val="005A7F85"/>
    <w:rsid w:val="005B102C"/>
    <w:rsid w:val="005B1AAB"/>
    <w:rsid w:val="005B2313"/>
    <w:rsid w:val="005B2930"/>
    <w:rsid w:val="005B2B87"/>
    <w:rsid w:val="005B387B"/>
    <w:rsid w:val="005B3B01"/>
    <w:rsid w:val="005B4333"/>
    <w:rsid w:val="005B4534"/>
    <w:rsid w:val="005B4F0B"/>
    <w:rsid w:val="005B5603"/>
    <w:rsid w:val="005B5994"/>
    <w:rsid w:val="005B5CCA"/>
    <w:rsid w:val="005B61F4"/>
    <w:rsid w:val="005B667A"/>
    <w:rsid w:val="005B6FA1"/>
    <w:rsid w:val="005C0372"/>
    <w:rsid w:val="005C039B"/>
    <w:rsid w:val="005C059F"/>
    <w:rsid w:val="005C07CE"/>
    <w:rsid w:val="005C0B8F"/>
    <w:rsid w:val="005C12DE"/>
    <w:rsid w:val="005C2294"/>
    <w:rsid w:val="005C3344"/>
    <w:rsid w:val="005C4C71"/>
    <w:rsid w:val="005C4E4D"/>
    <w:rsid w:val="005C5692"/>
    <w:rsid w:val="005C5A97"/>
    <w:rsid w:val="005C679D"/>
    <w:rsid w:val="005C6D5D"/>
    <w:rsid w:val="005D01C3"/>
    <w:rsid w:val="005D1D15"/>
    <w:rsid w:val="005D2578"/>
    <w:rsid w:val="005D266D"/>
    <w:rsid w:val="005D3327"/>
    <w:rsid w:val="005D5BCF"/>
    <w:rsid w:val="005D6D84"/>
    <w:rsid w:val="005D70A1"/>
    <w:rsid w:val="005D79F2"/>
    <w:rsid w:val="005E0988"/>
    <w:rsid w:val="005E09CA"/>
    <w:rsid w:val="005E4336"/>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5CAF"/>
    <w:rsid w:val="006062A0"/>
    <w:rsid w:val="00610260"/>
    <w:rsid w:val="0061098D"/>
    <w:rsid w:val="00611367"/>
    <w:rsid w:val="00611AC8"/>
    <w:rsid w:val="00611B59"/>
    <w:rsid w:val="00611FBA"/>
    <w:rsid w:val="0061272A"/>
    <w:rsid w:val="00613AA2"/>
    <w:rsid w:val="00613EDA"/>
    <w:rsid w:val="006155F1"/>
    <w:rsid w:val="00615FAB"/>
    <w:rsid w:val="006161D6"/>
    <w:rsid w:val="0061703E"/>
    <w:rsid w:val="00620055"/>
    <w:rsid w:val="006212D3"/>
    <w:rsid w:val="006217EF"/>
    <w:rsid w:val="0062213A"/>
    <w:rsid w:val="00623A5E"/>
    <w:rsid w:val="00624F14"/>
    <w:rsid w:val="00625008"/>
    <w:rsid w:val="00625EAC"/>
    <w:rsid w:val="00626930"/>
    <w:rsid w:val="00626BAC"/>
    <w:rsid w:val="00626F04"/>
    <w:rsid w:val="00626F92"/>
    <w:rsid w:val="006271C3"/>
    <w:rsid w:val="0063001E"/>
    <w:rsid w:val="00630527"/>
    <w:rsid w:val="00630D58"/>
    <w:rsid w:val="00631005"/>
    <w:rsid w:val="00631D09"/>
    <w:rsid w:val="00632727"/>
    <w:rsid w:val="00633EF3"/>
    <w:rsid w:val="00634894"/>
    <w:rsid w:val="0063551C"/>
    <w:rsid w:val="00635B73"/>
    <w:rsid w:val="006368A8"/>
    <w:rsid w:val="00636CC7"/>
    <w:rsid w:val="00637016"/>
    <w:rsid w:val="00637F27"/>
    <w:rsid w:val="00643F89"/>
    <w:rsid w:val="006448D9"/>
    <w:rsid w:val="00644BED"/>
    <w:rsid w:val="00644E2E"/>
    <w:rsid w:val="00645CB4"/>
    <w:rsid w:val="00646BDC"/>
    <w:rsid w:val="00647DE9"/>
    <w:rsid w:val="00651F59"/>
    <w:rsid w:val="00652CF5"/>
    <w:rsid w:val="0065343E"/>
    <w:rsid w:val="00653C7C"/>
    <w:rsid w:val="006540B1"/>
    <w:rsid w:val="006558CD"/>
    <w:rsid w:val="006565A1"/>
    <w:rsid w:val="00656CD4"/>
    <w:rsid w:val="00656D49"/>
    <w:rsid w:val="00656E4D"/>
    <w:rsid w:val="006576BA"/>
    <w:rsid w:val="0066057F"/>
    <w:rsid w:val="0066099B"/>
    <w:rsid w:val="00662401"/>
    <w:rsid w:val="00662D3D"/>
    <w:rsid w:val="00662F1F"/>
    <w:rsid w:val="0066408F"/>
    <w:rsid w:val="00664DB5"/>
    <w:rsid w:val="006657DE"/>
    <w:rsid w:val="00665D4B"/>
    <w:rsid w:val="006673B9"/>
    <w:rsid w:val="0066790C"/>
    <w:rsid w:val="006700F1"/>
    <w:rsid w:val="006720BC"/>
    <w:rsid w:val="00672D0F"/>
    <w:rsid w:val="00673989"/>
    <w:rsid w:val="00673B64"/>
    <w:rsid w:val="00673FC1"/>
    <w:rsid w:val="00675430"/>
    <w:rsid w:val="00675749"/>
    <w:rsid w:val="0067601F"/>
    <w:rsid w:val="00676F15"/>
    <w:rsid w:val="00677213"/>
    <w:rsid w:val="00677382"/>
    <w:rsid w:val="0067772D"/>
    <w:rsid w:val="00680714"/>
    <w:rsid w:val="0068071D"/>
    <w:rsid w:val="00680C6B"/>
    <w:rsid w:val="00681936"/>
    <w:rsid w:val="00683068"/>
    <w:rsid w:val="00683DAD"/>
    <w:rsid w:val="0068443C"/>
    <w:rsid w:val="00684727"/>
    <w:rsid w:val="00684963"/>
    <w:rsid w:val="00684F04"/>
    <w:rsid w:val="00685033"/>
    <w:rsid w:val="00685BBC"/>
    <w:rsid w:val="00685D65"/>
    <w:rsid w:val="00686686"/>
    <w:rsid w:val="00687031"/>
    <w:rsid w:val="0068790B"/>
    <w:rsid w:val="00687AF2"/>
    <w:rsid w:val="00687DA2"/>
    <w:rsid w:val="00687E87"/>
    <w:rsid w:val="006901AC"/>
    <w:rsid w:val="0069063A"/>
    <w:rsid w:val="00691890"/>
    <w:rsid w:val="006945A1"/>
    <w:rsid w:val="00694982"/>
    <w:rsid w:val="00695EAC"/>
    <w:rsid w:val="00696584"/>
    <w:rsid w:val="00697062"/>
    <w:rsid w:val="006971F8"/>
    <w:rsid w:val="00697D5F"/>
    <w:rsid w:val="006A060C"/>
    <w:rsid w:val="006A150D"/>
    <w:rsid w:val="006A1526"/>
    <w:rsid w:val="006A3207"/>
    <w:rsid w:val="006A39D0"/>
    <w:rsid w:val="006A4321"/>
    <w:rsid w:val="006A60F0"/>
    <w:rsid w:val="006A61EE"/>
    <w:rsid w:val="006B0580"/>
    <w:rsid w:val="006B05DA"/>
    <w:rsid w:val="006B0F30"/>
    <w:rsid w:val="006B1D06"/>
    <w:rsid w:val="006B2823"/>
    <w:rsid w:val="006B33DB"/>
    <w:rsid w:val="006B4CF8"/>
    <w:rsid w:val="006B5FBC"/>
    <w:rsid w:val="006B6ED2"/>
    <w:rsid w:val="006C0230"/>
    <w:rsid w:val="006C09CC"/>
    <w:rsid w:val="006C09F4"/>
    <w:rsid w:val="006C1706"/>
    <w:rsid w:val="006C2B19"/>
    <w:rsid w:val="006C2D01"/>
    <w:rsid w:val="006C3EFE"/>
    <w:rsid w:val="006C4618"/>
    <w:rsid w:val="006C5D5D"/>
    <w:rsid w:val="006C6303"/>
    <w:rsid w:val="006C6D6B"/>
    <w:rsid w:val="006C6EBD"/>
    <w:rsid w:val="006D0681"/>
    <w:rsid w:val="006D0906"/>
    <w:rsid w:val="006D0A80"/>
    <w:rsid w:val="006D2874"/>
    <w:rsid w:val="006D312B"/>
    <w:rsid w:val="006D43C1"/>
    <w:rsid w:val="006D4F68"/>
    <w:rsid w:val="006D5442"/>
    <w:rsid w:val="006D6E4E"/>
    <w:rsid w:val="006E00E3"/>
    <w:rsid w:val="006E045C"/>
    <w:rsid w:val="006E065E"/>
    <w:rsid w:val="006E189B"/>
    <w:rsid w:val="006E2902"/>
    <w:rsid w:val="006E2F9D"/>
    <w:rsid w:val="006E37C6"/>
    <w:rsid w:val="006E41ED"/>
    <w:rsid w:val="006E448E"/>
    <w:rsid w:val="006E4667"/>
    <w:rsid w:val="006E5112"/>
    <w:rsid w:val="006E603B"/>
    <w:rsid w:val="006F1AE0"/>
    <w:rsid w:val="006F2046"/>
    <w:rsid w:val="006F30C9"/>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55F"/>
    <w:rsid w:val="007069AE"/>
    <w:rsid w:val="00706C89"/>
    <w:rsid w:val="0070761C"/>
    <w:rsid w:val="00707967"/>
    <w:rsid w:val="00710257"/>
    <w:rsid w:val="007109E6"/>
    <w:rsid w:val="007119DC"/>
    <w:rsid w:val="00711CC7"/>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D3F"/>
    <w:rsid w:val="00721FC3"/>
    <w:rsid w:val="00722A86"/>
    <w:rsid w:val="00722C69"/>
    <w:rsid w:val="0072388C"/>
    <w:rsid w:val="00724260"/>
    <w:rsid w:val="00726665"/>
    <w:rsid w:val="007266B9"/>
    <w:rsid w:val="00726921"/>
    <w:rsid w:val="00726B00"/>
    <w:rsid w:val="007278FE"/>
    <w:rsid w:val="00727AC5"/>
    <w:rsid w:val="00727C65"/>
    <w:rsid w:val="00731872"/>
    <w:rsid w:val="00731EA1"/>
    <w:rsid w:val="00733D6A"/>
    <w:rsid w:val="00734932"/>
    <w:rsid w:val="007364A3"/>
    <w:rsid w:val="007378FD"/>
    <w:rsid w:val="007413EB"/>
    <w:rsid w:val="00742D32"/>
    <w:rsid w:val="00742E9B"/>
    <w:rsid w:val="007444E6"/>
    <w:rsid w:val="00744BAD"/>
    <w:rsid w:val="0074592C"/>
    <w:rsid w:val="00745F41"/>
    <w:rsid w:val="00747578"/>
    <w:rsid w:val="00751073"/>
    <w:rsid w:val="00752188"/>
    <w:rsid w:val="0075281E"/>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230F"/>
    <w:rsid w:val="007739A3"/>
    <w:rsid w:val="00773BD9"/>
    <w:rsid w:val="00773CB0"/>
    <w:rsid w:val="00773D71"/>
    <w:rsid w:val="007752EB"/>
    <w:rsid w:val="00775526"/>
    <w:rsid w:val="007773A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3E20"/>
    <w:rsid w:val="00794E46"/>
    <w:rsid w:val="00794FB6"/>
    <w:rsid w:val="007952DE"/>
    <w:rsid w:val="00795479"/>
    <w:rsid w:val="00796292"/>
    <w:rsid w:val="007972D5"/>
    <w:rsid w:val="007978E8"/>
    <w:rsid w:val="007A0789"/>
    <w:rsid w:val="007A130E"/>
    <w:rsid w:val="007A18B1"/>
    <w:rsid w:val="007A1BBD"/>
    <w:rsid w:val="007A1F08"/>
    <w:rsid w:val="007A25FA"/>
    <w:rsid w:val="007A28B3"/>
    <w:rsid w:val="007A3520"/>
    <w:rsid w:val="007A3878"/>
    <w:rsid w:val="007A3D85"/>
    <w:rsid w:val="007A54F6"/>
    <w:rsid w:val="007A5950"/>
    <w:rsid w:val="007A6D91"/>
    <w:rsid w:val="007A73CF"/>
    <w:rsid w:val="007B0306"/>
    <w:rsid w:val="007B26C3"/>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351"/>
    <w:rsid w:val="007C2434"/>
    <w:rsid w:val="007C27E0"/>
    <w:rsid w:val="007C3590"/>
    <w:rsid w:val="007C387A"/>
    <w:rsid w:val="007C43D6"/>
    <w:rsid w:val="007C46A2"/>
    <w:rsid w:val="007C660F"/>
    <w:rsid w:val="007C69AE"/>
    <w:rsid w:val="007C72A9"/>
    <w:rsid w:val="007C7688"/>
    <w:rsid w:val="007C76E3"/>
    <w:rsid w:val="007C7DD9"/>
    <w:rsid w:val="007D128D"/>
    <w:rsid w:val="007D1667"/>
    <w:rsid w:val="007D2606"/>
    <w:rsid w:val="007D2836"/>
    <w:rsid w:val="007D2932"/>
    <w:rsid w:val="007D2C31"/>
    <w:rsid w:val="007D445F"/>
    <w:rsid w:val="007D4DED"/>
    <w:rsid w:val="007D55CA"/>
    <w:rsid w:val="007D5BA2"/>
    <w:rsid w:val="007D5ED3"/>
    <w:rsid w:val="007D6FB9"/>
    <w:rsid w:val="007D7656"/>
    <w:rsid w:val="007E0A63"/>
    <w:rsid w:val="007E0C63"/>
    <w:rsid w:val="007E1DF8"/>
    <w:rsid w:val="007E29FA"/>
    <w:rsid w:val="007E404E"/>
    <w:rsid w:val="007E4EB3"/>
    <w:rsid w:val="007E50B4"/>
    <w:rsid w:val="007E54B8"/>
    <w:rsid w:val="007E54DB"/>
    <w:rsid w:val="007E6B25"/>
    <w:rsid w:val="007E6F55"/>
    <w:rsid w:val="007E7BF9"/>
    <w:rsid w:val="007E7DC1"/>
    <w:rsid w:val="007E7DEA"/>
    <w:rsid w:val="007F0A65"/>
    <w:rsid w:val="007F2B4B"/>
    <w:rsid w:val="007F2C38"/>
    <w:rsid w:val="007F30C6"/>
    <w:rsid w:val="007F3240"/>
    <w:rsid w:val="007F3651"/>
    <w:rsid w:val="007F3752"/>
    <w:rsid w:val="007F4318"/>
    <w:rsid w:val="007F45CF"/>
    <w:rsid w:val="007F47DA"/>
    <w:rsid w:val="007F4E52"/>
    <w:rsid w:val="007F4F84"/>
    <w:rsid w:val="007F55A4"/>
    <w:rsid w:val="007F661E"/>
    <w:rsid w:val="007F6D6B"/>
    <w:rsid w:val="007F74DA"/>
    <w:rsid w:val="007F75BB"/>
    <w:rsid w:val="00800766"/>
    <w:rsid w:val="00800871"/>
    <w:rsid w:val="00800971"/>
    <w:rsid w:val="00801338"/>
    <w:rsid w:val="00801D90"/>
    <w:rsid w:val="008023C4"/>
    <w:rsid w:val="0080348B"/>
    <w:rsid w:val="00803EB0"/>
    <w:rsid w:val="008052CE"/>
    <w:rsid w:val="008052DB"/>
    <w:rsid w:val="0080705B"/>
    <w:rsid w:val="0081000F"/>
    <w:rsid w:val="0081264E"/>
    <w:rsid w:val="00812A1A"/>
    <w:rsid w:val="00812DFF"/>
    <w:rsid w:val="008133C2"/>
    <w:rsid w:val="0081383A"/>
    <w:rsid w:val="00814DE6"/>
    <w:rsid w:val="00814FC7"/>
    <w:rsid w:val="00816CB4"/>
    <w:rsid w:val="00816FE0"/>
    <w:rsid w:val="00817416"/>
    <w:rsid w:val="00817583"/>
    <w:rsid w:val="00817FAD"/>
    <w:rsid w:val="00821306"/>
    <w:rsid w:val="0082138B"/>
    <w:rsid w:val="00821D85"/>
    <w:rsid w:val="0082207E"/>
    <w:rsid w:val="00823FFD"/>
    <w:rsid w:val="008241F0"/>
    <w:rsid w:val="0082427D"/>
    <w:rsid w:val="0082646C"/>
    <w:rsid w:val="00827E2A"/>
    <w:rsid w:val="00830052"/>
    <w:rsid w:val="008300D0"/>
    <w:rsid w:val="00830B9E"/>
    <w:rsid w:val="0083257C"/>
    <w:rsid w:val="00832DB6"/>
    <w:rsid w:val="00833307"/>
    <w:rsid w:val="00833583"/>
    <w:rsid w:val="00833B5B"/>
    <w:rsid w:val="00833E9A"/>
    <w:rsid w:val="00834FEF"/>
    <w:rsid w:val="00836323"/>
    <w:rsid w:val="00836492"/>
    <w:rsid w:val="008366FE"/>
    <w:rsid w:val="008404AA"/>
    <w:rsid w:val="00841F29"/>
    <w:rsid w:val="00842A0D"/>
    <w:rsid w:val="008460D2"/>
    <w:rsid w:val="00850013"/>
    <w:rsid w:val="008500DD"/>
    <w:rsid w:val="00852426"/>
    <w:rsid w:val="00852FA5"/>
    <w:rsid w:val="0085476F"/>
    <w:rsid w:val="0085562D"/>
    <w:rsid w:val="00856154"/>
    <w:rsid w:val="00856286"/>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C24"/>
    <w:rsid w:val="00875E14"/>
    <w:rsid w:val="0087677E"/>
    <w:rsid w:val="0087712C"/>
    <w:rsid w:val="00877C5D"/>
    <w:rsid w:val="00877CB6"/>
    <w:rsid w:val="0088093C"/>
    <w:rsid w:val="00882474"/>
    <w:rsid w:val="008824DF"/>
    <w:rsid w:val="008830EA"/>
    <w:rsid w:val="00884371"/>
    <w:rsid w:val="00884D47"/>
    <w:rsid w:val="00887392"/>
    <w:rsid w:val="00890C40"/>
    <w:rsid w:val="008911F7"/>
    <w:rsid w:val="00893385"/>
    <w:rsid w:val="00893F41"/>
    <w:rsid w:val="00894BBD"/>
    <w:rsid w:val="00894C79"/>
    <w:rsid w:val="0089558A"/>
    <w:rsid w:val="008972B6"/>
    <w:rsid w:val="008977E1"/>
    <w:rsid w:val="008A0115"/>
    <w:rsid w:val="008A0D66"/>
    <w:rsid w:val="008A2F5A"/>
    <w:rsid w:val="008A47CE"/>
    <w:rsid w:val="008A5CBF"/>
    <w:rsid w:val="008A6BAE"/>
    <w:rsid w:val="008A7350"/>
    <w:rsid w:val="008A742A"/>
    <w:rsid w:val="008B00ED"/>
    <w:rsid w:val="008B16E6"/>
    <w:rsid w:val="008B2042"/>
    <w:rsid w:val="008B25F1"/>
    <w:rsid w:val="008B3737"/>
    <w:rsid w:val="008B3F4B"/>
    <w:rsid w:val="008B69B8"/>
    <w:rsid w:val="008B7912"/>
    <w:rsid w:val="008C0133"/>
    <w:rsid w:val="008C0335"/>
    <w:rsid w:val="008C094A"/>
    <w:rsid w:val="008C1077"/>
    <w:rsid w:val="008C1570"/>
    <w:rsid w:val="008C2059"/>
    <w:rsid w:val="008C2FA6"/>
    <w:rsid w:val="008C4C92"/>
    <w:rsid w:val="008C58E7"/>
    <w:rsid w:val="008C65F4"/>
    <w:rsid w:val="008C7368"/>
    <w:rsid w:val="008C7C81"/>
    <w:rsid w:val="008D0E65"/>
    <w:rsid w:val="008D13A3"/>
    <w:rsid w:val="008D18D0"/>
    <w:rsid w:val="008D1FAF"/>
    <w:rsid w:val="008D2259"/>
    <w:rsid w:val="008D33FE"/>
    <w:rsid w:val="008D3B9F"/>
    <w:rsid w:val="008D3D02"/>
    <w:rsid w:val="008D54C0"/>
    <w:rsid w:val="008D5760"/>
    <w:rsid w:val="008D577E"/>
    <w:rsid w:val="008D5ED9"/>
    <w:rsid w:val="008D7567"/>
    <w:rsid w:val="008E1C24"/>
    <w:rsid w:val="008E2626"/>
    <w:rsid w:val="008E27A9"/>
    <w:rsid w:val="008E323C"/>
    <w:rsid w:val="008E35A6"/>
    <w:rsid w:val="008E3A5C"/>
    <w:rsid w:val="008E3A9A"/>
    <w:rsid w:val="008E429E"/>
    <w:rsid w:val="008E5452"/>
    <w:rsid w:val="008E60A5"/>
    <w:rsid w:val="008E757F"/>
    <w:rsid w:val="008E7EAE"/>
    <w:rsid w:val="008F22D1"/>
    <w:rsid w:val="008F2F11"/>
    <w:rsid w:val="008F33A6"/>
    <w:rsid w:val="008F35EC"/>
    <w:rsid w:val="008F4377"/>
    <w:rsid w:val="008F4FE8"/>
    <w:rsid w:val="008F4FED"/>
    <w:rsid w:val="008F6200"/>
    <w:rsid w:val="008F62F8"/>
    <w:rsid w:val="008F7292"/>
    <w:rsid w:val="008F7BE1"/>
    <w:rsid w:val="009000F2"/>
    <w:rsid w:val="0090079D"/>
    <w:rsid w:val="00900D2C"/>
    <w:rsid w:val="00901F0E"/>
    <w:rsid w:val="009028E5"/>
    <w:rsid w:val="0090408F"/>
    <w:rsid w:val="0090446A"/>
    <w:rsid w:val="00904DC3"/>
    <w:rsid w:val="00905469"/>
    <w:rsid w:val="0090629C"/>
    <w:rsid w:val="009065C6"/>
    <w:rsid w:val="00906EA2"/>
    <w:rsid w:val="00907278"/>
    <w:rsid w:val="009128B8"/>
    <w:rsid w:val="0091328F"/>
    <w:rsid w:val="00915679"/>
    <w:rsid w:val="009159C2"/>
    <w:rsid w:val="009175AF"/>
    <w:rsid w:val="00920A06"/>
    <w:rsid w:val="009221CB"/>
    <w:rsid w:val="00922320"/>
    <w:rsid w:val="00923643"/>
    <w:rsid w:val="0092517B"/>
    <w:rsid w:val="009258E9"/>
    <w:rsid w:val="009261DB"/>
    <w:rsid w:val="0092623E"/>
    <w:rsid w:val="00927388"/>
    <w:rsid w:val="00931C63"/>
    <w:rsid w:val="00931D10"/>
    <w:rsid w:val="00933680"/>
    <w:rsid w:val="0093386D"/>
    <w:rsid w:val="00935194"/>
    <w:rsid w:val="00935FF2"/>
    <w:rsid w:val="0094015D"/>
    <w:rsid w:val="00941828"/>
    <w:rsid w:val="009441DB"/>
    <w:rsid w:val="0094424D"/>
    <w:rsid w:val="0094568E"/>
    <w:rsid w:val="0094633F"/>
    <w:rsid w:val="009468C5"/>
    <w:rsid w:val="00947BA5"/>
    <w:rsid w:val="009504B5"/>
    <w:rsid w:val="00950805"/>
    <w:rsid w:val="009518D4"/>
    <w:rsid w:val="009520BC"/>
    <w:rsid w:val="00953573"/>
    <w:rsid w:val="009560DD"/>
    <w:rsid w:val="00957499"/>
    <w:rsid w:val="00957ED2"/>
    <w:rsid w:val="0096049C"/>
    <w:rsid w:val="00960DE4"/>
    <w:rsid w:val="00961A4F"/>
    <w:rsid w:val="00962639"/>
    <w:rsid w:val="00962C9E"/>
    <w:rsid w:val="009638E8"/>
    <w:rsid w:val="00963F03"/>
    <w:rsid w:val="00963F27"/>
    <w:rsid w:val="00964007"/>
    <w:rsid w:val="00964077"/>
    <w:rsid w:val="009643F4"/>
    <w:rsid w:val="00964F5A"/>
    <w:rsid w:val="00966AD2"/>
    <w:rsid w:val="009675F5"/>
    <w:rsid w:val="00967FC5"/>
    <w:rsid w:val="009716D8"/>
    <w:rsid w:val="00971F54"/>
    <w:rsid w:val="00972057"/>
    <w:rsid w:val="0097227B"/>
    <w:rsid w:val="0097262E"/>
    <w:rsid w:val="00974022"/>
    <w:rsid w:val="00974FD1"/>
    <w:rsid w:val="0097564A"/>
    <w:rsid w:val="009772F2"/>
    <w:rsid w:val="009778CF"/>
    <w:rsid w:val="00977B97"/>
    <w:rsid w:val="009810BE"/>
    <w:rsid w:val="009819A7"/>
    <w:rsid w:val="009851F5"/>
    <w:rsid w:val="0098534B"/>
    <w:rsid w:val="0098764E"/>
    <w:rsid w:val="00987BE7"/>
    <w:rsid w:val="00987D58"/>
    <w:rsid w:val="009906D4"/>
    <w:rsid w:val="00990EB7"/>
    <w:rsid w:val="00990F5F"/>
    <w:rsid w:val="00991E03"/>
    <w:rsid w:val="00993135"/>
    <w:rsid w:val="00993AC7"/>
    <w:rsid w:val="00997044"/>
    <w:rsid w:val="009973CC"/>
    <w:rsid w:val="0099792B"/>
    <w:rsid w:val="009A106B"/>
    <w:rsid w:val="009A2B9F"/>
    <w:rsid w:val="009A2BF3"/>
    <w:rsid w:val="009A3C3E"/>
    <w:rsid w:val="009A45D1"/>
    <w:rsid w:val="009A7E7C"/>
    <w:rsid w:val="009B2BF1"/>
    <w:rsid w:val="009B3564"/>
    <w:rsid w:val="009B3796"/>
    <w:rsid w:val="009B3A8A"/>
    <w:rsid w:val="009B3D38"/>
    <w:rsid w:val="009B7505"/>
    <w:rsid w:val="009B7D45"/>
    <w:rsid w:val="009C0020"/>
    <w:rsid w:val="009C04DC"/>
    <w:rsid w:val="009C0F48"/>
    <w:rsid w:val="009C19FC"/>
    <w:rsid w:val="009C27F7"/>
    <w:rsid w:val="009C3BC4"/>
    <w:rsid w:val="009C424E"/>
    <w:rsid w:val="009C4708"/>
    <w:rsid w:val="009C47A3"/>
    <w:rsid w:val="009C4870"/>
    <w:rsid w:val="009C4C4E"/>
    <w:rsid w:val="009C4D37"/>
    <w:rsid w:val="009C574C"/>
    <w:rsid w:val="009C5753"/>
    <w:rsid w:val="009C620F"/>
    <w:rsid w:val="009C62A1"/>
    <w:rsid w:val="009C6F22"/>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4BC4"/>
    <w:rsid w:val="009F56C0"/>
    <w:rsid w:val="009F5C76"/>
    <w:rsid w:val="00A00E00"/>
    <w:rsid w:val="00A01221"/>
    <w:rsid w:val="00A012A8"/>
    <w:rsid w:val="00A016FF"/>
    <w:rsid w:val="00A0207F"/>
    <w:rsid w:val="00A042BB"/>
    <w:rsid w:val="00A04337"/>
    <w:rsid w:val="00A044AA"/>
    <w:rsid w:val="00A04D99"/>
    <w:rsid w:val="00A078F6"/>
    <w:rsid w:val="00A102F8"/>
    <w:rsid w:val="00A107F7"/>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177AC"/>
    <w:rsid w:val="00A22C3E"/>
    <w:rsid w:val="00A22C4D"/>
    <w:rsid w:val="00A24B05"/>
    <w:rsid w:val="00A25463"/>
    <w:rsid w:val="00A254AB"/>
    <w:rsid w:val="00A266CC"/>
    <w:rsid w:val="00A26DB4"/>
    <w:rsid w:val="00A3023E"/>
    <w:rsid w:val="00A305C5"/>
    <w:rsid w:val="00A30919"/>
    <w:rsid w:val="00A31FD2"/>
    <w:rsid w:val="00A32E53"/>
    <w:rsid w:val="00A3323E"/>
    <w:rsid w:val="00A33A02"/>
    <w:rsid w:val="00A33BDB"/>
    <w:rsid w:val="00A341AB"/>
    <w:rsid w:val="00A355F9"/>
    <w:rsid w:val="00A35AA9"/>
    <w:rsid w:val="00A364BC"/>
    <w:rsid w:val="00A3786A"/>
    <w:rsid w:val="00A402ED"/>
    <w:rsid w:val="00A40685"/>
    <w:rsid w:val="00A41123"/>
    <w:rsid w:val="00A41819"/>
    <w:rsid w:val="00A41C9A"/>
    <w:rsid w:val="00A41FF8"/>
    <w:rsid w:val="00A423A7"/>
    <w:rsid w:val="00A42F49"/>
    <w:rsid w:val="00A433DA"/>
    <w:rsid w:val="00A433E8"/>
    <w:rsid w:val="00A4424E"/>
    <w:rsid w:val="00A446F6"/>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335"/>
    <w:rsid w:val="00A63685"/>
    <w:rsid w:val="00A63DDD"/>
    <w:rsid w:val="00A65986"/>
    <w:rsid w:val="00A662F5"/>
    <w:rsid w:val="00A66473"/>
    <w:rsid w:val="00A669E6"/>
    <w:rsid w:val="00A66E28"/>
    <w:rsid w:val="00A66F66"/>
    <w:rsid w:val="00A70590"/>
    <w:rsid w:val="00A70DC6"/>
    <w:rsid w:val="00A71542"/>
    <w:rsid w:val="00A71FA0"/>
    <w:rsid w:val="00A72C1A"/>
    <w:rsid w:val="00A731E1"/>
    <w:rsid w:val="00A74021"/>
    <w:rsid w:val="00A7463E"/>
    <w:rsid w:val="00A762DA"/>
    <w:rsid w:val="00A765B1"/>
    <w:rsid w:val="00A76B41"/>
    <w:rsid w:val="00A772F2"/>
    <w:rsid w:val="00A77828"/>
    <w:rsid w:val="00A77ECD"/>
    <w:rsid w:val="00A8073D"/>
    <w:rsid w:val="00A807A2"/>
    <w:rsid w:val="00A80D02"/>
    <w:rsid w:val="00A812A8"/>
    <w:rsid w:val="00A829B3"/>
    <w:rsid w:val="00A82D32"/>
    <w:rsid w:val="00A82EAE"/>
    <w:rsid w:val="00A8467A"/>
    <w:rsid w:val="00A84F27"/>
    <w:rsid w:val="00A8519C"/>
    <w:rsid w:val="00A8733A"/>
    <w:rsid w:val="00A8783F"/>
    <w:rsid w:val="00A87D2E"/>
    <w:rsid w:val="00A90A83"/>
    <w:rsid w:val="00A90B66"/>
    <w:rsid w:val="00A91D4B"/>
    <w:rsid w:val="00A920B2"/>
    <w:rsid w:val="00A92A96"/>
    <w:rsid w:val="00A92AF0"/>
    <w:rsid w:val="00A92C0E"/>
    <w:rsid w:val="00A930F2"/>
    <w:rsid w:val="00A93510"/>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4854"/>
    <w:rsid w:val="00AB5030"/>
    <w:rsid w:val="00AB759A"/>
    <w:rsid w:val="00AB7B06"/>
    <w:rsid w:val="00AB7EAA"/>
    <w:rsid w:val="00AC0432"/>
    <w:rsid w:val="00AC2E6E"/>
    <w:rsid w:val="00AC4094"/>
    <w:rsid w:val="00AC42B6"/>
    <w:rsid w:val="00AC4AB7"/>
    <w:rsid w:val="00AC60EC"/>
    <w:rsid w:val="00AC6CD9"/>
    <w:rsid w:val="00AD1A98"/>
    <w:rsid w:val="00AD2679"/>
    <w:rsid w:val="00AD3F3C"/>
    <w:rsid w:val="00AD4973"/>
    <w:rsid w:val="00AD5F0A"/>
    <w:rsid w:val="00AD6741"/>
    <w:rsid w:val="00AD6B4F"/>
    <w:rsid w:val="00AD7CFA"/>
    <w:rsid w:val="00AE11C1"/>
    <w:rsid w:val="00AE163D"/>
    <w:rsid w:val="00AE1C5C"/>
    <w:rsid w:val="00AE25D1"/>
    <w:rsid w:val="00AE2913"/>
    <w:rsid w:val="00AE2918"/>
    <w:rsid w:val="00AE315E"/>
    <w:rsid w:val="00AE31D9"/>
    <w:rsid w:val="00AE3CF0"/>
    <w:rsid w:val="00AE4337"/>
    <w:rsid w:val="00AE71EE"/>
    <w:rsid w:val="00AF016E"/>
    <w:rsid w:val="00AF03CF"/>
    <w:rsid w:val="00AF06B6"/>
    <w:rsid w:val="00AF0A0A"/>
    <w:rsid w:val="00AF1ED2"/>
    <w:rsid w:val="00AF1F4E"/>
    <w:rsid w:val="00AF3557"/>
    <w:rsid w:val="00AF35F0"/>
    <w:rsid w:val="00AF3D3C"/>
    <w:rsid w:val="00AF4CEE"/>
    <w:rsid w:val="00AF5D84"/>
    <w:rsid w:val="00AF672C"/>
    <w:rsid w:val="00AF6D69"/>
    <w:rsid w:val="00AF6F5E"/>
    <w:rsid w:val="00B00378"/>
    <w:rsid w:val="00B00E41"/>
    <w:rsid w:val="00B018BD"/>
    <w:rsid w:val="00B04678"/>
    <w:rsid w:val="00B04A04"/>
    <w:rsid w:val="00B04F00"/>
    <w:rsid w:val="00B05202"/>
    <w:rsid w:val="00B05203"/>
    <w:rsid w:val="00B05A66"/>
    <w:rsid w:val="00B05EFD"/>
    <w:rsid w:val="00B066FE"/>
    <w:rsid w:val="00B06912"/>
    <w:rsid w:val="00B06AF4"/>
    <w:rsid w:val="00B06D58"/>
    <w:rsid w:val="00B10B04"/>
    <w:rsid w:val="00B10CC6"/>
    <w:rsid w:val="00B12082"/>
    <w:rsid w:val="00B13389"/>
    <w:rsid w:val="00B1364C"/>
    <w:rsid w:val="00B141A5"/>
    <w:rsid w:val="00B15286"/>
    <w:rsid w:val="00B1550D"/>
    <w:rsid w:val="00B1631F"/>
    <w:rsid w:val="00B163E8"/>
    <w:rsid w:val="00B1767E"/>
    <w:rsid w:val="00B203B6"/>
    <w:rsid w:val="00B203CE"/>
    <w:rsid w:val="00B21676"/>
    <w:rsid w:val="00B241D5"/>
    <w:rsid w:val="00B26147"/>
    <w:rsid w:val="00B26677"/>
    <w:rsid w:val="00B26C57"/>
    <w:rsid w:val="00B274E3"/>
    <w:rsid w:val="00B27B92"/>
    <w:rsid w:val="00B30563"/>
    <w:rsid w:val="00B30A76"/>
    <w:rsid w:val="00B3113A"/>
    <w:rsid w:val="00B3412E"/>
    <w:rsid w:val="00B346EA"/>
    <w:rsid w:val="00B356B8"/>
    <w:rsid w:val="00B35C9C"/>
    <w:rsid w:val="00B37B8E"/>
    <w:rsid w:val="00B40222"/>
    <w:rsid w:val="00B404C3"/>
    <w:rsid w:val="00B40BA6"/>
    <w:rsid w:val="00B41705"/>
    <w:rsid w:val="00B4280F"/>
    <w:rsid w:val="00B43381"/>
    <w:rsid w:val="00B448BF"/>
    <w:rsid w:val="00B45F9F"/>
    <w:rsid w:val="00B4627C"/>
    <w:rsid w:val="00B46793"/>
    <w:rsid w:val="00B46953"/>
    <w:rsid w:val="00B46A7F"/>
    <w:rsid w:val="00B47A59"/>
    <w:rsid w:val="00B50EF6"/>
    <w:rsid w:val="00B514BB"/>
    <w:rsid w:val="00B51520"/>
    <w:rsid w:val="00B5169E"/>
    <w:rsid w:val="00B517C2"/>
    <w:rsid w:val="00B518CE"/>
    <w:rsid w:val="00B52234"/>
    <w:rsid w:val="00B53623"/>
    <w:rsid w:val="00B536F5"/>
    <w:rsid w:val="00B53E98"/>
    <w:rsid w:val="00B547A9"/>
    <w:rsid w:val="00B54D79"/>
    <w:rsid w:val="00B5634D"/>
    <w:rsid w:val="00B56ECA"/>
    <w:rsid w:val="00B57093"/>
    <w:rsid w:val="00B60613"/>
    <w:rsid w:val="00B616E6"/>
    <w:rsid w:val="00B630F2"/>
    <w:rsid w:val="00B63E7A"/>
    <w:rsid w:val="00B65582"/>
    <w:rsid w:val="00B66054"/>
    <w:rsid w:val="00B66B48"/>
    <w:rsid w:val="00B672EA"/>
    <w:rsid w:val="00B6747B"/>
    <w:rsid w:val="00B70200"/>
    <w:rsid w:val="00B71CF6"/>
    <w:rsid w:val="00B72CF0"/>
    <w:rsid w:val="00B740F6"/>
    <w:rsid w:val="00B74615"/>
    <w:rsid w:val="00B75035"/>
    <w:rsid w:val="00B75389"/>
    <w:rsid w:val="00B755B6"/>
    <w:rsid w:val="00B76B55"/>
    <w:rsid w:val="00B804F8"/>
    <w:rsid w:val="00B815D3"/>
    <w:rsid w:val="00B81780"/>
    <w:rsid w:val="00B83E76"/>
    <w:rsid w:val="00B8506D"/>
    <w:rsid w:val="00B8574A"/>
    <w:rsid w:val="00B86289"/>
    <w:rsid w:val="00B87F1C"/>
    <w:rsid w:val="00B91B61"/>
    <w:rsid w:val="00B93849"/>
    <w:rsid w:val="00B944E9"/>
    <w:rsid w:val="00B94896"/>
    <w:rsid w:val="00B949D8"/>
    <w:rsid w:val="00B94CDD"/>
    <w:rsid w:val="00B95B70"/>
    <w:rsid w:val="00B965F4"/>
    <w:rsid w:val="00B96F52"/>
    <w:rsid w:val="00B972DA"/>
    <w:rsid w:val="00B97660"/>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069A"/>
    <w:rsid w:val="00BB2E4E"/>
    <w:rsid w:val="00BB2E62"/>
    <w:rsid w:val="00BB36C9"/>
    <w:rsid w:val="00BB5886"/>
    <w:rsid w:val="00BB684B"/>
    <w:rsid w:val="00BB6BEC"/>
    <w:rsid w:val="00BB7D2E"/>
    <w:rsid w:val="00BB7EC0"/>
    <w:rsid w:val="00BC0A5A"/>
    <w:rsid w:val="00BC0B2F"/>
    <w:rsid w:val="00BC0E64"/>
    <w:rsid w:val="00BC0F07"/>
    <w:rsid w:val="00BC0FC8"/>
    <w:rsid w:val="00BC25D1"/>
    <w:rsid w:val="00BC2C54"/>
    <w:rsid w:val="00BC3BCB"/>
    <w:rsid w:val="00BC427C"/>
    <w:rsid w:val="00BC428A"/>
    <w:rsid w:val="00BC4C40"/>
    <w:rsid w:val="00BC5BAD"/>
    <w:rsid w:val="00BC6A05"/>
    <w:rsid w:val="00BC76C5"/>
    <w:rsid w:val="00BD138A"/>
    <w:rsid w:val="00BD1547"/>
    <w:rsid w:val="00BD164A"/>
    <w:rsid w:val="00BD2B4D"/>
    <w:rsid w:val="00BD2DAE"/>
    <w:rsid w:val="00BD2FB9"/>
    <w:rsid w:val="00BD31C2"/>
    <w:rsid w:val="00BD450A"/>
    <w:rsid w:val="00BD4717"/>
    <w:rsid w:val="00BD48BC"/>
    <w:rsid w:val="00BD48EA"/>
    <w:rsid w:val="00BD4BA8"/>
    <w:rsid w:val="00BD6B0E"/>
    <w:rsid w:val="00BD7941"/>
    <w:rsid w:val="00BD7DD4"/>
    <w:rsid w:val="00BD7E5F"/>
    <w:rsid w:val="00BD7F95"/>
    <w:rsid w:val="00BE0C55"/>
    <w:rsid w:val="00BE11A2"/>
    <w:rsid w:val="00BE246C"/>
    <w:rsid w:val="00BE2657"/>
    <w:rsid w:val="00BE2CA1"/>
    <w:rsid w:val="00BE37AE"/>
    <w:rsid w:val="00BE73C3"/>
    <w:rsid w:val="00BE7B29"/>
    <w:rsid w:val="00BF03C0"/>
    <w:rsid w:val="00BF0EF4"/>
    <w:rsid w:val="00BF21D4"/>
    <w:rsid w:val="00BF2E46"/>
    <w:rsid w:val="00BF4A15"/>
    <w:rsid w:val="00BF4E27"/>
    <w:rsid w:val="00BF6D77"/>
    <w:rsid w:val="00C01444"/>
    <w:rsid w:val="00C01EF2"/>
    <w:rsid w:val="00C0378E"/>
    <w:rsid w:val="00C04258"/>
    <w:rsid w:val="00C05AFD"/>
    <w:rsid w:val="00C0724C"/>
    <w:rsid w:val="00C07AEF"/>
    <w:rsid w:val="00C07C11"/>
    <w:rsid w:val="00C07CC1"/>
    <w:rsid w:val="00C10015"/>
    <w:rsid w:val="00C110EC"/>
    <w:rsid w:val="00C122BA"/>
    <w:rsid w:val="00C12770"/>
    <w:rsid w:val="00C12D43"/>
    <w:rsid w:val="00C12ECB"/>
    <w:rsid w:val="00C14ABD"/>
    <w:rsid w:val="00C151E0"/>
    <w:rsid w:val="00C1677E"/>
    <w:rsid w:val="00C20051"/>
    <w:rsid w:val="00C20B86"/>
    <w:rsid w:val="00C21145"/>
    <w:rsid w:val="00C21E2A"/>
    <w:rsid w:val="00C239A8"/>
    <w:rsid w:val="00C24381"/>
    <w:rsid w:val="00C249D9"/>
    <w:rsid w:val="00C24C2E"/>
    <w:rsid w:val="00C24C7A"/>
    <w:rsid w:val="00C24FFB"/>
    <w:rsid w:val="00C25CFF"/>
    <w:rsid w:val="00C261C1"/>
    <w:rsid w:val="00C30B0B"/>
    <w:rsid w:val="00C31339"/>
    <w:rsid w:val="00C323D3"/>
    <w:rsid w:val="00C332D4"/>
    <w:rsid w:val="00C33E51"/>
    <w:rsid w:val="00C34848"/>
    <w:rsid w:val="00C349B4"/>
    <w:rsid w:val="00C34C47"/>
    <w:rsid w:val="00C35A80"/>
    <w:rsid w:val="00C368F9"/>
    <w:rsid w:val="00C37411"/>
    <w:rsid w:val="00C3774E"/>
    <w:rsid w:val="00C405C8"/>
    <w:rsid w:val="00C41E09"/>
    <w:rsid w:val="00C42DBE"/>
    <w:rsid w:val="00C4360C"/>
    <w:rsid w:val="00C4414C"/>
    <w:rsid w:val="00C446AF"/>
    <w:rsid w:val="00C452DC"/>
    <w:rsid w:val="00C46564"/>
    <w:rsid w:val="00C50A02"/>
    <w:rsid w:val="00C512D1"/>
    <w:rsid w:val="00C51856"/>
    <w:rsid w:val="00C51B5E"/>
    <w:rsid w:val="00C531F6"/>
    <w:rsid w:val="00C53A43"/>
    <w:rsid w:val="00C54467"/>
    <w:rsid w:val="00C5518B"/>
    <w:rsid w:val="00C5531B"/>
    <w:rsid w:val="00C55375"/>
    <w:rsid w:val="00C57120"/>
    <w:rsid w:val="00C575D4"/>
    <w:rsid w:val="00C57873"/>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00"/>
    <w:rsid w:val="00C73DE0"/>
    <w:rsid w:val="00C74609"/>
    <w:rsid w:val="00C749AB"/>
    <w:rsid w:val="00C75A8F"/>
    <w:rsid w:val="00C76E41"/>
    <w:rsid w:val="00C81716"/>
    <w:rsid w:val="00C82795"/>
    <w:rsid w:val="00C82AAA"/>
    <w:rsid w:val="00C832CB"/>
    <w:rsid w:val="00C84085"/>
    <w:rsid w:val="00C865B3"/>
    <w:rsid w:val="00C86964"/>
    <w:rsid w:val="00C8779E"/>
    <w:rsid w:val="00C87850"/>
    <w:rsid w:val="00C878B2"/>
    <w:rsid w:val="00C87BD0"/>
    <w:rsid w:val="00C90B95"/>
    <w:rsid w:val="00C90CA9"/>
    <w:rsid w:val="00C92819"/>
    <w:rsid w:val="00C9354F"/>
    <w:rsid w:val="00C93B40"/>
    <w:rsid w:val="00C93D48"/>
    <w:rsid w:val="00C93DB5"/>
    <w:rsid w:val="00C95C6C"/>
    <w:rsid w:val="00C97DD7"/>
    <w:rsid w:val="00C97EF9"/>
    <w:rsid w:val="00CA0492"/>
    <w:rsid w:val="00CA0A04"/>
    <w:rsid w:val="00CA3CAB"/>
    <w:rsid w:val="00CA6A2E"/>
    <w:rsid w:val="00CA7C19"/>
    <w:rsid w:val="00CB01DF"/>
    <w:rsid w:val="00CB52A4"/>
    <w:rsid w:val="00CB537C"/>
    <w:rsid w:val="00CB55CD"/>
    <w:rsid w:val="00CB5778"/>
    <w:rsid w:val="00CB6156"/>
    <w:rsid w:val="00CB6675"/>
    <w:rsid w:val="00CC03A0"/>
    <w:rsid w:val="00CC0915"/>
    <w:rsid w:val="00CC0CFC"/>
    <w:rsid w:val="00CC1AF5"/>
    <w:rsid w:val="00CC1B74"/>
    <w:rsid w:val="00CC2EB0"/>
    <w:rsid w:val="00CC2F38"/>
    <w:rsid w:val="00CC44F5"/>
    <w:rsid w:val="00CC5640"/>
    <w:rsid w:val="00CC5F95"/>
    <w:rsid w:val="00CC6A19"/>
    <w:rsid w:val="00CD0159"/>
    <w:rsid w:val="00CD1255"/>
    <w:rsid w:val="00CD1484"/>
    <w:rsid w:val="00CD1892"/>
    <w:rsid w:val="00CD1D00"/>
    <w:rsid w:val="00CD26B8"/>
    <w:rsid w:val="00CD2A82"/>
    <w:rsid w:val="00CD32C2"/>
    <w:rsid w:val="00CD347C"/>
    <w:rsid w:val="00CD3BE0"/>
    <w:rsid w:val="00CD3CAB"/>
    <w:rsid w:val="00CD3FF0"/>
    <w:rsid w:val="00CD4E50"/>
    <w:rsid w:val="00CD64E1"/>
    <w:rsid w:val="00CD699D"/>
    <w:rsid w:val="00CD701B"/>
    <w:rsid w:val="00CD70DB"/>
    <w:rsid w:val="00CD7466"/>
    <w:rsid w:val="00CD7C49"/>
    <w:rsid w:val="00CE1624"/>
    <w:rsid w:val="00CE2E2E"/>
    <w:rsid w:val="00CE3A51"/>
    <w:rsid w:val="00CE4FBA"/>
    <w:rsid w:val="00CE59F6"/>
    <w:rsid w:val="00CE71C3"/>
    <w:rsid w:val="00CE7684"/>
    <w:rsid w:val="00CE7ECB"/>
    <w:rsid w:val="00CF02CF"/>
    <w:rsid w:val="00CF0AF0"/>
    <w:rsid w:val="00CF0E98"/>
    <w:rsid w:val="00CF1834"/>
    <w:rsid w:val="00CF1A68"/>
    <w:rsid w:val="00CF2ACF"/>
    <w:rsid w:val="00CF345B"/>
    <w:rsid w:val="00CF475F"/>
    <w:rsid w:val="00CF5069"/>
    <w:rsid w:val="00CF5230"/>
    <w:rsid w:val="00CF7082"/>
    <w:rsid w:val="00D01590"/>
    <w:rsid w:val="00D0336E"/>
    <w:rsid w:val="00D0447A"/>
    <w:rsid w:val="00D04F01"/>
    <w:rsid w:val="00D04F8B"/>
    <w:rsid w:val="00D054EF"/>
    <w:rsid w:val="00D05637"/>
    <w:rsid w:val="00D05BA9"/>
    <w:rsid w:val="00D06E71"/>
    <w:rsid w:val="00D07184"/>
    <w:rsid w:val="00D0764E"/>
    <w:rsid w:val="00D07D82"/>
    <w:rsid w:val="00D10BE1"/>
    <w:rsid w:val="00D11FE3"/>
    <w:rsid w:val="00D132F1"/>
    <w:rsid w:val="00D13D50"/>
    <w:rsid w:val="00D14919"/>
    <w:rsid w:val="00D14E25"/>
    <w:rsid w:val="00D152D6"/>
    <w:rsid w:val="00D165D8"/>
    <w:rsid w:val="00D1724E"/>
    <w:rsid w:val="00D17C81"/>
    <w:rsid w:val="00D206F6"/>
    <w:rsid w:val="00D20C01"/>
    <w:rsid w:val="00D237E0"/>
    <w:rsid w:val="00D24EF4"/>
    <w:rsid w:val="00D25676"/>
    <w:rsid w:val="00D25F78"/>
    <w:rsid w:val="00D27129"/>
    <w:rsid w:val="00D2738C"/>
    <w:rsid w:val="00D279E7"/>
    <w:rsid w:val="00D3046D"/>
    <w:rsid w:val="00D31B07"/>
    <w:rsid w:val="00D32FA0"/>
    <w:rsid w:val="00D33039"/>
    <w:rsid w:val="00D33112"/>
    <w:rsid w:val="00D331CB"/>
    <w:rsid w:val="00D3426E"/>
    <w:rsid w:val="00D3634E"/>
    <w:rsid w:val="00D3746F"/>
    <w:rsid w:val="00D40217"/>
    <w:rsid w:val="00D40385"/>
    <w:rsid w:val="00D404CE"/>
    <w:rsid w:val="00D417C6"/>
    <w:rsid w:val="00D43406"/>
    <w:rsid w:val="00D43FAE"/>
    <w:rsid w:val="00D44259"/>
    <w:rsid w:val="00D44895"/>
    <w:rsid w:val="00D454D2"/>
    <w:rsid w:val="00D5064C"/>
    <w:rsid w:val="00D5098E"/>
    <w:rsid w:val="00D51B02"/>
    <w:rsid w:val="00D534BC"/>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53F"/>
    <w:rsid w:val="00D71ABC"/>
    <w:rsid w:val="00D72175"/>
    <w:rsid w:val="00D72454"/>
    <w:rsid w:val="00D72A5B"/>
    <w:rsid w:val="00D73F06"/>
    <w:rsid w:val="00D74160"/>
    <w:rsid w:val="00D74247"/>
    <w:rsid w:val="00D749EA"/>
    <w:rsid w:val="00D753A9"/>
    <w:rsid w:val="00D75E10"/>
    <w:rsid w:val="00D76045"/>
    <w:rsid w:val="00D7682B"/>
    <w:rsid w:val="00D804C0"/>
    <w:rsid w:val="00D804C5"/>
    <w:rsid w:val="00D81146"/>
    <w:rsid w:val="00D81A28"/>
    <w:rsid w:val="00D82AB8"/>
    <w:rsid w:val="00D82B00"/>
    <w:rsid w:val="00D82BE4"/>
    <w:rsid w:val="00D82E05"/>
    <w:rsid w:val="00D82F67"/>
    <w:rsid w:val="00D83A05"/>
    <w:rsid w:val="00D83C0D"/>
    <w:rsid w:val="00D85B55"/>
    <w:rsid w:val="00D8650D"/>
    <w:rsid w:val="00D869C1"/>
    <w:rsid w:val="00D86EC6"/>
    <w:rsid w:val="00D87418"/>
    <w:rsid w:val="00D87460"/>
    <w:rsid w:val="00D87FE6"/>
    <w:rsid w:val="00D907BA"/>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0E81"/>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1D4"/>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56EE"/>
    <w:rsid w:val="00DC6747"/>
    <w:rsid w:val="00DC6AF3"/>
    <w:rsid w:val="00DC740D"/>
    <w:rsid w:val="00DC7608"/>
    <w:rsid w:val="00DC761D"/>
    <w:rsid w:val="00DC761E"/>
    <w:rsid w:val="00DC7CFC"/>
    <w:rsid w:val="00DD0090"/>
    <w:rsid w:val="00DD1FC0"/>
    <w:rsid w:val="00DD2C42"/>
    <w:rsid w:val="00DD2CD0"/>
    <w:rsid w:val="00DD2D14"/>
    <w:rsid w:val="00DD3A99"/>
    <w:rsid w:val="00DD4344"/>
    <w:rsid w:val="00DD5B8C"/>
    <w:rsid w:val="00DD5DFA"/>
    <w:rsid w:val="00DD67EC"/>
    <w:rsid w:val="00DD6B56"/>
    <w:rsid w:val="00DD6F7F"/>
    <w:rsid w:val="00DE1A9D"/>
    <w:rsid w:val="00DE1CB1"/>
    <w:rsid w:val="00DE2073"/>
    <w:rsid w:val="00DE30AC"/>
    <w:rsid w:val="00DE368A"/>
    <w:rsid w:val="00DE3CF3"/>
    <w:rsid w:val="00DE4106"/>
    <w:rsid w:val="00DE5563"/>
    <w:rsid w:val="00DE6E4D"/>
    <w:rsid w:val="00DF043E"/>
    <w:rsid w:val="00DF05A0"/>
    <w:rsid w:val="00DF0E8F"/>
    <w:rsid w:val="00DF1BA8"/>
    <w:rsid w:val="00DF1F63"/>
    <w:rsid w:val="00DF25FE"/>
    <w:rsid w:val="00DF28F2"/>
    <w:rsid w:val="00DF2BFF"/>
    <w:rsid w:val="00DF48D9"/>
    <w:rsid w:val="00DF4FF1"/>
    <w:rsid w:val="00DF6628"/>
    <w:rsid w:val="00DF6FD2"/>
    <w:rsid w:val="00DF7724"/>
    <w:rsid w:val="00DF7C43"/>
    <w:rsid w:val="00E000B2"/>
    <w:rsid w:val="00E00C1E"/>
    <w:rsid w:val="00E00F5F"/>
    <w:rsid w:val="00E014E7"/>
    <w:rsid w:val="00E026A9"/>
    <w:rsid w:val="00E02C24"/>
    <w:rsid w:val="00E0356F"/>
    <w:rsid w:val="00E03B42"/>
    <w:rsid w:val="00E03D37"/>
    <w:rsid w:val="00E041AA"/>
    <w:rsid w:val="00E0479F"/>
    <w:rsid w:val="00E04D6A"/>
    <w:rsid w:val="00E06100"/>
    <w:rsid w:val="00E06E97"/>
    <w:rsid w:val="00E07767"/>
    <w:rsid w:val="00E10DD1"/>
    <w:rsid w:val="00E11502"/>
    <w:rsid w:val="00E11D4D"/>
    <w:rsid w:val="00E1254C"/>
    <w:rsid w:val="00E12BDF"/>
    <w:rsid w:val="00E13326"/>
    <w:rsid w:val="00E14961"/>
    <w:rsid w:val="00E14D76"/>
    <w:rsid w:val="00E17156"/>
    <w:rsid w:val="00E1768C"/>
    <w:rsid w:val="00E20CE7"/>
    <w:rsid w:val="00E217B1"/>
    <w:rsid w:val="00E222FA"/>
    <w:rsid w:val="00E24A62"/>
    <w:rsid w:val="00E24F52"/>
    <w:rsid w:val="00E279B2"/>
    <w:rsid w:val="00E30BD5"/>
    <w:rsid w:val="00E31143"/>
    <w:rsid w:val="00E31812"/>
    <w:rsid w:val="00E330A7"/>
    <w:rsid w:val="00E33954"/>
    <w:rsid w:val="00E3533E"/>
    <w:rsid w:val="00E35A45"/>
    <w:rsid w:val="00E36719"/>
    <w:rsid w:val="00E37C85"/>
    <w:rsid w:val="00E43006"/>
    <w:rsid w:val="00E43551"/>
    <w:rsid w:val="00E4399E"/>
    <w:rsid w:val="00E50809"/>
    <w:rsid w:val="00E50F0A"/>
    <w:rsid w:val="00E510CF"/>
    <w:rsid w:val="00E52AAB"/>
    <w:rsid w:val="00E533B0"/>
    <w:rsid w:val="00E5448E"/>
    <w:rsid w:val="00E54E0D"/>
    <w:rsid w:val="00E56795"/>
    <w:rsid w:val="00E57096"/>
    <w:rsid w:val="00E57932"/>
    <w:rsid w:val="00E57DA3"/>
    <w:rsid w:val="00E60811"/>
    <w:rsid w:val="00E61AA9"/>
    <w:rsid w:val="00E64050"/>
    <w:rsid w:val="00E6514D"/>
    <w:rsid w:val="00E65161"/>
    <w:rsid w:val="00E652C9"/>
    <w:rsid w:val="00E65700"/>
    <w:rsid w:val="00E6593B"/>
    <w:rsid w:val="00E66A4A"/>
    <w:rsid w:val="00E672C6"/>
    <w:rsid w:val="00E675EE"/>
    <w:rsid w:val="00E7139A"/>
    <w:rsid w:val="00E71809"/>
    <w:rsid w:val="00E71D1E"/>
    <w:rsid w:val="00E71D98"/>
    <w:rsid w:val="00E728E2"/>
    <w:rsid w:val="00E74976"/>
    <w:rsid w:val="00E74CD6"/>
    <w:rsid w:val="00E75667"/>
    <w:rsid w:val="00E756D3"/>
    <w:rsid w:val="00E76633"/>
    <w:rsid w:val="00E769CC"/>
    <w:rsid w:val="00E77E88"/>
    <w:rsid w:val="00E80AF8"/>
    <w:rsid w:val="00E827BB"/>
    <w:rsid w:val="00E82D24"/>
    <w:rsid w:val="00E8308F"/>
    <w:rsid w:val="00E8317B"/>
    <w:rsid w:val="00E8357D"/>
    <w:rsid w:val="00E84C04"/>
    <w:rsid w:val="00E84E4F"/>
    <w:rsid w:val="00E851DD"/>
    <w:rsid w:val="00E856A2"/>
    <w:rsid w:val="00E85AD2"/>
    <w:rsid w:val="00E86749"/>
    <w:rsid w:val="00E9036E"/>
    <w:rsid w:val="00E917B6"/>
    <w:rsid w:val="00E92292"/>
    <w:rsid w:val="00E92D0B"/>
    <w:rsid w:val="00E93195"/>
    <w:rsid w:val="00E93F21"/>
    <w:rsid w:val="00E9411C"/>
    <w:rsid w:val="00E9443F"/>
    <w:rsid w:val="00E9522C"/>
    <w:rsid w:val="00E95C2A"/>
    <w:rsid w:val="00E963BC"/>
    <w:rsid w:val="00E96D65"/>
    <w:rsid w:val="00E96FD1"/>
    <w:rsid w:val="00E97F7A"/>
    <w:rsid w:val="00EA0143"/>
    <w:rsid w:val="00EA089B"/>
    <w:rsid w:val="00EA2638"/>
    <w:rsid w:val="00EA2E21"/>
    <w:rsid w:val="00EA2F95"/>
    <w:rsid w:val="00EA380C"/>
    <w:rsid w:val="00EA47B5"/>
    <w:rsid w:val="00EA7308"/>
    <w:rsid w:val="00EB089C"/>
    <w:rsid w:val="00EB0BB0"/>
    <w:rsid w:val="00EB0C65"/>
    <w:rsid w:val="00EB169F"/>
    <w:rsid w:val="00EB1C6B"/>
    <w:rsid w:val="00EB2961"/>
    <w:rsid w:val="00EB2AE0"/>
    <w:rsid w:val="00EB2E1A"/>
    <w:rsid w:val="00EB3268"/>
    <w:rsid w:val="00EB3298"/>
    <w:rsid w:val="00EB359A"/>
    <w:rsid w:val="00EB3CE6"/>
    <w:rsid w:val="00EB3E92"/>
    <w:rsid w:val="00EB68E6"/>
    <w:rsid w:val="00EB69AB"/>
    <w:rsid w:val="00EB6D1C"/>
    <w:rsid w:val="00EB7B67"/>
    <w:rsid w:val="00EC328C"/>
    <w:rsid w:val="00EC339A"/>
    <w:rsid w:val="00EC3BEC"/>
    <w:rsid w:val="00EC3F73"/>
    <w:rsid w:val="00EC5241"/>
    <w:rsid w:val="00EC594C"/>
    <w:rsid w:val="00EC5C7B"/>
    <w:rsid w:val="00EC66AA"/>
    <w:rsid w:val="00EC6B8F"/>
    <w:rsid w:val="00EC6E90"/>
    <w:rsid w:val="00EC7B48"/>
    <w:rsid w:val="00ED0257"/>
    <w:rsid w:val="00ED1339"/>
    <w:rsid w:val="00ED24C7"/>
    <w:rsid w:val="00ED3E65"/>
    <w:rsid w:val="00ED4448"/>
    <w:rsid w:val="00ED4EDF"/>
    <w:rsid w:val="00ED5981"/>
    <w:rsid w:val="00ED66B2"/>
    <w:rsid w:val="00ED71BA"/>
    <w:rsid w:val="00ED73A1"/>
    <w:rsid w:val="00ED78C5"/>
    <w:rsid w:val="00ED7CA2"/>
    <w:rsid w:val="00EE13DA"/>
    <w:rsid w:val="00EE3060"/>
    <w:rsid w:val="00EE332A"/>
    <w:rsid w:val="00EE5324"/>
    <w:rsid w:val="00EE55FA"/>
    <w:rsid w:val="00EE56E2"/>
    <w:rsid w:val="00EE5DB5"/>
    <w:rsid w:val="00EE6D45"/>
    <w:rsid w:val="00EE6E89"/>
    <w:rsid w:val="00EF0FE6"/>
    <w:rsid w:val="00EF11AA"/>
    <w:rsid w:val="00EF1C44"/>
    <w:rsid w:val="00EF1F4C"/>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0EB8"/>
    <w:rsid w:val="00F11353"/>
    <w:rsid w:val="00F129F4"/>
    <w:rsid w:val="00F14CD1"/>
    <w:rsid w:val="00F15115"/>
    <w:rsid w:val="00F15D8C"/>
    <w:rsid w:val="00F16244"/>
    <w:rsid w:val="00F16AD9"/>
    <w:rsid w:val="00F16E1A"/>
    <w:rsid w:val="00F20197"/>
    <w:rsid w:val="00F20607"/>
    <w:rsid w:val="00F208BB"/>
    <w:rsid w:val="00F20D7A"/>
    <w:rsid w:val="00F210BE"/>
    <w:rsid w:val="00F21357"/>
    <w:rsid w:val="00F21A5D"/>
    <w:rsid w:val="00F21C13"/>
    <w:rsid w:val="00F21DEA"/>
    <w:rsid w:val="00F22796"/>
    <w:rsid w:val="00F238F7"/>
    <w:rsid w:val="00F23BA0"/>
    <w:rsid w:val="00F25641"/>
    <w:rsid w:val="00F25FE1"/>
    <w:rsid w:val="00F26065"/>
    <w:rsid w:val="00F30313"/>
    <w:rsid w:val="00F303BC"/>
    <w:rsid w:val="00F3059C"/>
    <w:rsid w:val="00F318A1"/>
    <w:rsid w:val="00F3265C"/>
    <w:rsid w:val="00F343EE"/>
    <w:rsid w:val="00F3547E"/>
    <w:rsid w:val="00F35494"/>
    <w:rsid w:val="00F3619D"/>
    <w:rsid w:val="00F3722A"/>
    <w:rsid w:val="00F372B3"/>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47622"/>
    <w:rsid w:val="00F5052D"/>
    <w:rsid w:val="00F50BF0"/>
    <w:rsid w:val="00F51A82"/>
    <w:rsid w:val="00F5254B"/>
    <w:rsid w:val="00F53A44"/>
    <w:rsid w:val="00F54431"/>
    <w:rsid w:val="00F54466"/>
    <w:rsid w:val="00F54B29"/>
    <w:rsid w:val="00F551DB"/>
    <w:rsid w:val="00F559BE"/>
    <w:rsid w:val="00F55E46"/>
    <w:rsid w:val="00F56417"/>
    <w:rsid w:val="00F56EE7"/>
    <w:rsid w:val="00F56FEF"/>
    <w:rsid w:val="00F57521"/>
    <w:rsid w:val="00F57AC4"/>
    <w:rsid w:val="00F60938"/>
    <w:rsid w:val="00F61262"/>
    <w:rsid w:val="00F61606"/>
    <w:rsid w:val="00F62BD1"/>
    <w:rsid w:val="00F62CA8"/>
    <w:rsid w:val="00F63BF4"/>
    <w:rsid w:val="00F63C60"/>
    <w:rsid w:val="00F64991"/>
    <w:rsid w:val="00F65BA9"/>
    <w:rsid w:val="00F6630F"/>
    <w:rsid w:val="00F67E81"/>
    <w:rsid w:val="00F7062D"/>
    <w:rsid w:val="00F7096D"/>
    <w:rsid w:val="00F719B2"/>
    <w:rsid w:val="00F71C68"/>
    <w:rsid w:val="00F724E2"/>
    <w:rsid w:val="00F72A89"/>
    <w:rsid w:val="00F72B32"/>
    <w:rsid w:val="00F73E5D"/>
    <w:rsid w:val="00F74103"/>
    <w:rsid w:val="00F7425F"/>
    <w:rsid w:val="00F75BB5"/>
    <w:rsid w:val="00F7604C"/>
    <w:rsid w:val="00F81623"/>
    <w:rsid w:val="00F81D25"/>
    <w:rsid w:val="00F83045"/>
    <w:rsid w:val="00F83615"/>
    <w:rsid w:val="00F851B0"/>
    <w:rsid w:val="00F85329"/>
    <w:rsid w:val="00F878CD"/>
    <w:rsid w:val="00F8794A"/>
    <w:rsid w:val="00F87CEF"/>
    <w:rsid w:val="00F87E6B"/>
    <w:rsid w:val="00F90C1F"/>
    <w:rsid w:val="00F93231"/>
    <w:rsid w:val="00F950B5"/>
    <w:rsid w:val="00F953D5"/>
    <w:rsid w:val="00F97A34"/>
    <w:rsid w:val="00F97EA1"/>
    <w:rsid w:val="00FA05C8"/>
    <w:rsid w:val="00FA0678"/>
    <w:rsid w:val="00FA107F"/>
    <w:rsid w:val="00FA23F7"/>
    <w:rsid w:val="00FA27EB"/>
    <w:rsid w:val="00FA3F97"/>
    <w:rsid w:val="00FA4117"/>
    <w:rsid w:val="00FA672F"/>
    <w:rsid w:val="00FA7792"/>
    <w:rsid w:val="00FA7B61"/>
    <w:rsid w:val="00FB11FA"/>
    <w:rsid w:val="00FB18F8"/>
    <w:rsid w:val="00FB2F8E"/>
    <w:rsid w:val="00FB33F8"/>
    <w:rsid w:val="00FB39B0"/>
    <w:rsid w:val="00FB5183"/>
    <w:rsid w:val="00FB5A71"/>
    <w:rsid w:val="00FB6DF2"/>
    <w:rsid w:val="00FB754C"/>
    <w:rsid w:val="00FB7823"/>
    <w:rsid w:val="00FC08B3"/>
    <w:rsid w:val="00FC09D7"/>
    <w:rsid w:val="00FC1998"/>
    <w:rsid w:val="00FC3638"/>
    <w:rsid w:val="00FC391E"/>
    <w:rsid w:val="00FC3AB7"/>
    <w:rsid w:val="00FC4108"/>
    <w:rsid w:val="00FC448A"/>
    <w:rsid w:val="00FC453D"/>
    <w:rsid w:val="00FC4651"/>
    <w:rsid w:val="00FC4A89"/>
    <w:rsid w:val="00FC665F"/>
    <w:rsid w:val="00FC6D59"/>
    <w:rsid w:val="00FC78F5"/>
    <w:rsid w:val="00FD10B3"/>
    <w:rsid w:val="00FD11C3"/>
    <w:rsid w:val="00FD154E"/>
    <w:rsid w:val="00FD3742"/>
    <w:rsid w:val="00FD3A41"/>
    <w:rsid w:val="00FD3AE2"/>
    <w:rsid w:val="00FD5975"/>
    <w:rsid w:val="00FD5AE4"/>
    <w:rsid w:val="00FD5F25"/>
    <w:rsid w:val="00FD5FCE"/>
    <w:rsid w:val="00FD60BE"/>
    <w:rsid w:val="00FD6894"/>
    <w:rsid w:val="00FD6980"/>
    <w:rsid w:val="00FD6AF0"/>
    <w:rsid w:val="00FD7955"/>
    <w:rsid w:val="00FD79B8"/>
    <w:rsid w:val="00FD7FF9"/>
    <w:rsid w:val="00FE0AD1"/>
    <w:rsid w:val="00FE0BBF"/>
    <w:rsid w:val="00FE0C6C"/>
    <w:rsid w:val="00FE33DB"/>
    <w:rsid w:val="00FE37DD"/>
    <w:rsid w:val="00FE3C31"/>
    <w:rsid w:val="00FE4015"/>
    <w:rsid w:val="00FE44F5"/>
    <w:rsid w:val="00FE480D"/>
    <w:rsid w:val="00FE6227"/>
    <w:rsid w:val="00FE6A50"/>
    <w:rsid w:val="00FE705C"/>
    <w:rsid w:val="00FE70B2"/>
    <w:rsid w:val="00FF0B4F"/>
    <w:rsid w:val="00FF1AD3"/>
    <w:rsid w:val="00FF1F9A"/>
    <w:rsid w:val="00FF49F4"/>
    <w:rsid w:val="00FF651D"/>
    <w:rsid w:val="00FF68CA"/>
    <w:rsid w:val="010651D9"/>
    <w:rsid w:val="02312723"/>
    <w:rsid w:val="02DA0C0E"/>
    <w:rsid w:val="03DD35E4"/>
    <w:rsid w:val="065A6178"/>
    <w:rsid w:val="075562B7"/>
    <w:rsid w:val="07F6164B"/>
    <w:rsid w:val="087A1B7A"/>
    <w:rsid w:val="096B2097"/>
    <w:rsid w:val="0A5B7E63"/>
    <w:rsid w:val="0C87121B"/>
    <w:rsid w:val="0DF702FE"/>
    <w:rsid w:val="0E3F698B"/>
    <w:rsid w:val="0F21508F"/>
    <w:rsid w:val="0F816ACD"/>
    <w:rsid w:val="0FB94501"/>
    <w:rsid w:val="10B047CF"/>
    <w:rsid w:val="10FC16EA"/>
    <w:rsid w:val="118963A1"/>
    <w:rsid w:val="127723A9"/>
    <w:rsid w:val="13072A44"/>
    <w:rsid w:val="145044FA"/>
    <w:rsid w:val="186742B0"/>
    <w:rsid w:val="1B2A271F"/>
    <w:rsid w:val="1B890139"/>
    <w:rsid w:val="1D266CE1"/>
    <w:rsid w:val="1D3963AF"/>
    <w:rsid w:val="1E714A66"/>
    <w:rsid w:val="1FE868A9"/>
    <w:rsid w:val="211E26D6"/>
    <w:rsid w:val="21283D08"/>
    <w:rsid w:val="25B440B3"/>
    <w:rsid w:val="2AA1365A"/>
    <w:rsid w:val="2D677483"/>
    <w:rsid w:val="2DD15014"/>
    <w:rsid w:val="2F673055"/>
    <w:rsid w:val="2FD25781"/>
    <w:rsid w:val="319C6071"/>
    <w:rsid w:val="321D6829"/>
    <w:rsid w:val="32DB72BE"/>
    <w:rsid w:val="342E63AB"/>
    <w:rsid w:val="345D260B"/>
    <w:rsid w:val="365302AE"/>
    <w:rsid w:val="37786CCC"/>
    <w:rsid w:val="37F142D2"/>
    <w:rsid w:val="39A13F14"/>
    <w:rsid w:val="3A867DF3"/>
    <w:rsid w:val="3C5F759A"/>
    <w:rsid w:val="3D5C78D4"/>
    <w:rsid w:val="3FFF72A6"/>
    <w:rsid w:val="42865B6B"/>
    <w:rsid w:val="42E1381E"/>
    <w:rsid w:val="43FB717C"/>
    <w:rsid w:val="451E447A"/>
    <w:rsid w:val="45345B76"/>
    <w:rsid w:val="47307808"/>
    <w:rsid w:val="486F747C"/>
    <w:rsid w:val="4923504F"/>
    <w:rsid w:val="4D861CF6"/>
    <w:rsid w:val="51A0432A"/>
    <w:rsid w:val="527140E5"/>
    <w:rsid w:val="5292508F"/>
    <w:rsid w:val="52A96B6F"/>
    <w:rsid w:val="550764A4"/>
    <w:rsid w:val="551926E0"/>
    <w:rsid w:val="561279B9"/>
    <w:rsid w:val="56515F3B"/>
    <w:rsid w:val="572B71CA"/>
    <w:rsid w:val="57E958DA"/>
    <w:rsid w:val="58AE4F0C"/>
    <w:rsid w:val="5A2A7C7B"/>
    <w:rsid w:val="5C80234E"/>
    <w:rsid w:val="5DE44F4A"/>
    <w:rsid w:val="5E261785"/>
    <w:rsid w:val="5FCC5339"/>
    <w:rsid w:val="5FE70807"/>
    <w:rsid w:val="60E53485"/>
    <w:rsid w:val="61054A27"/>
    <w:rsid w:val="611D2366"/>
    <w:rsid w:val="62885958"/>
    <w:rsid w:val="64CE2EAA"/>
    <w:rsid w:val="662E75B1"/>
    <w:rsid w:val="66342C2E"/>
    <w:rsid w:val="663E784C"/>
    <w:rsid w:val="685867EC"/>
    <w:rsid w:val="6E8E12EF"/>
    <w:rsid w:val="6F347925"/>
    <w:rsid w:val="6FE41DF2"/>
    <w:rsid w:val="71D43752"/>
    <w:rsid w:val="73DD6243"/>
    <w:rsid w:val="749C4185"/>
    <w:rsid w:val="75DA2C18"/>
    <w:rsid w:val="775319EF"/>
    <w:rsid w:val="7767426C"/>
    <w:rsid w:val="790F1C77"/>
    <w:rsid w:val="795E608C"/>
    <w:rsid w:val="7A67303B"/>
    <w:rsid w:val="7AAB1D04"/>
    <w:rsid w:val="7ABA4368"/>
    <w:rsid w:val="7B257FFD"/>
    <w:rsid w:val="7C2B1DA5"/>
    <w:rsid w:val="7C76157D"/>
    <w:rsid w:val="7DF4317E"/>
    <w:rsid w:val="7E64308B"/>
    <w:rsid w:val="7FDD41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4"/>
    <w:qFormat/>
    <w:uiPriority w:val="99"/>
    <w:pPr>
      <w:tabs>
        <w:tab w:val="center" w:pos="4153"/>
        <w:tab w:val="right" w:pos="8306"/>
      </w:tabs>
      <w:snapToGrid w:val="0"/>
      <w:jc w:val="left"/>
    </w:pPr>
    <w:rPr>
      <w:sz w:val="18"/>
      <w:szCs w:val="18"/>
    </w:rPr>
  </w:style>
  <w:style w:type="paragraph" w:styleId="38">
    <w:name w:val="header"/>
    <w:basedOn w:val="1"/>
    <w:link w:val="635"/>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2"/>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71"/>
    <w:next w:val="71"/>
    <w:qFormat/>
    <w:uiPriority w:val="0"/>
    <w:pPr>
      <w:spacing w:after="68"/>
    </w:pPr>
    <w:rPr>
      <w:rFonts w:ascii="FHLHE E+ Futura Bk" w:eastAsia="FHLHE E+ Futura Bk" w:cs="Times New Roman"/>
      <w:color w:val="auto"/>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2"/>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71"/>
    <w:next w:val="71"/>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2"/>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2"/>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2"/>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2"/>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90"/>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2"/>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1"/>
    <w:next w:val="15"/>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3"/>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3"/>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3"/>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3"/>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71"/>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34">
    <w:name w:val="页脚 Char2"/>
    <w:link w:val="37"/>
    <w:qFormat/>
    <w:locked/>
    <w:uiPriority w:val="99"/>
    <w:rPr>
      <w:kern w:val="2"/>
      <w:sz w:val="18"/>
      <w:szCs w:val="18"/>
    </w:rPr>
  </w:style>
  <w:style w:type="character" w:customStyle="1" w:styleId="635">
    <w:name w:val="页眉 Char2"/>
    <w:link w:val="38"/>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E3745C-9827-4EE0-82DB-CEA8E6FD0A3D}">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91</Pages>
  <Words>8695</Words>
  <Characters>49563</Characters>
  <Lines>413</Lines>
  <Paragraphs>116</Paragraphs>
  <TotalTime>0</TotalTime>
  <ScaleCrop>false</ScaleCrop>
  <LinksUpToDate>false</LinksUpToDate>
  <CharactersWithSpaces>58142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wwwww</cp:lastModifiedBy>
  <cp:lastPrinted>2024-09-18T03:11:00Z</cp:lastPrinted>
  <dcterms:modified xsi:type="dcterms:W3CDTF">2025-11-19T07:17:12Z</dcterms:modified>
  <dc:title>北海市政府采购中心</dc:title>
  <cp:revision>1316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D1AD6BE9DD8C4E74B1422D179BEB696F</vt:lpwstr>
  </property>
</Properties>
</file>