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lang w:eastAsia="zh-CN"/>
        </w:rPr>
        <w:t>被服洗涤</w:t>
      </w:r>
      <w:r>
        <w:rPr>
          <w:rFonts w:hint="eastAsia" w:cs="仿宋_GB2312" w:asciiTheme="minorEastAsia" w:hAnsiTheme="minorEastAsia" w:eastAsiaTheme="minorEastAsia"/>
          <w:b/>
          <w:sz w:val="44"/>
          <w:szCs w:val="44"/>
        </w:rPr>
        <w:t>服务项目</w:t>
      </w:r>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snapToGrid w:val="0"/>
        <w:spacing w:line="360" w:lineRule="auto"/>
        <w:jc w:val="center"/>
        <w:rPr>
          <w:rFonts w:cs="仿宋_GB2312" w:asciiTheme="minorEastAsia" w:hAnsiTheme="minorEastAsia" w:eastAsiaTheme="minorEastAsia"/>
          <w:sz w:val="30"/>
          <w:szCs w:val="30"/>
        </w:rPr>
      </w:pPr>
    </w:p>
    <w:p>
      <w:pPr>
        <w:snapToGrid w:val="0"/>
        <w:spacing w:line="360" w:lineRule="auto"/>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项目编号:</w:t>
      </w:r>
      <w:r>
        <w:t xml:space="preserve"> </w:t>
      </w:r>
      <w:r>
        <w:rPr>
          <w:rFonts w:cs="仿宋_GB2312" w:asciiTheme="minorEastAsia" w:hAnsiTheme="minorEastAsia" w:eastAsiaTheme="minorEastAsia"/>
          <w:sz w:val="30"/>
          <w:szCs w:val="30"/>
        </w:rPr>
        <w:t>BHZC2025-C3-</w:t>
      </w:r>
      <w:r>
        <w:rPr>
          <w:rFonts w:hint="eastAsia" w:cs="仿宋_GB2312" w:asciiTheme="minorEastAsia" w:hAnsiTheme="minorEastAsia" w:eastAsiaTheme="minorEastAsia"/>
          <w:sz w:val="30"/>
          <w:szCs w:val="30"/>
        </w:rPr>
        <w:t>990</w:t>
      </w:r>
      <w:r>
        <w:rPr>
          <w:rFonts w:hint="eastAsia" w:cs="仿宋_GB2312" w:asciiTheme="minorEastAsia" w:hAnsiTheme="minorEastAsia" w:eastAsiaTheme="minorEastAsia"/>
          <w:sz w:val="30"/>
          <w:szCs w:val="30"/>
          <w:lang w:val="en-US" w:eastAsia="zh-CN"/>
        </w:rPr>
        <w:t>276</w:t>
      </w:r>
      <w:r>
        <w:rPr>
          <w:rFonts w:cs="仿宋_GB2312" w:asciiTheme="minorEastAsia" w:hAnsiTheme="minorEastAsia" w:eastAsiaTheme="minorEastAsia"/>
          <w:sz w:val="30"/>
          <w:szCs w:val="30"/>
        </w:rPr>
        <w:t>-CGZX</w:t>
      </w:r>
    </w:p>
    <w:p>
      <w:pPr>
        <w:adjustRightInd/>
        <w:spacing w:line="360" w:lineRule="auto"/>
        <w:rPr>
          <w:rFonts w:cs="仿宋_GB2312" w:asciiTheme="minorEastAsia" w:hAnsiTheme="minorEastAsia" w:eastAsiaTheme="minorEastAsia"/>
          <w:sz w:val="28"/>
          <w:szCs w:val="20"/>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pPr>
        <w:snapToGrid w:val="0"/>
        <w:spacing w:line="360" w:lineRule="auto"/>
        <w:jc w:val="center"/>
        <w:rPr>
          <w:rFonts w:cs="仿宋_GB2312" w:asciiTheme="minorEastAsia" w:hAnsiTheme="minorEastAsia" w:eastAsiaTheme="minorEastAsia"/>
          <w:sz w:val="32"/>
          <w:szCs w:val="32"/>
        </w:rPr>
      </w:pPr>
    </w:p>
    <w:p>
      <w:pPr>
        <w:spacing w:line="360" w:lineRule="auto"/>
        <w:jc w:val="center"/>
        <w:rPr>
          <w:rFonts w:hint="eastAsia" w:ascii="宋体" w:hAnsi="宋体" w:cs="宋体"/>
          <w:sz w:val="32"/>
          <w:szCs w:val="32"/>
          <w:lang w:eastAsia="zh-CN"/>
        </w:rPr>
      </w:pPr>
      <w:bookmarkStart w:id="0" w:name="OLE_LINK7"/>
      <w:bookmarkStart w:id="1" w:name="OLE_LINK6"/>
      <w:bookmarkStart w:id="2" w:name="OLE_LINK5"/>
      <w:r>
        <w:rPr>
          <w:rFonts w:hint="eastAsia" w:ascii="宋体" w:hAnsi="宋体" w:cs="宋体"/>
          <w:sz w:val="32"/>
          <w:szCs w:val="32"/>
        </w:rPr>
        <w:t>北海市</w:t>
      </w:r>
      <w:bookmarkEnd w:id="0"/>
      <w:bookmarkEnd w:id="1"/>
      <w:bookmarkEnd w:id="2"/>
      <w:r>
        <w:rPr>
          <w:rFonts w:hint="eastAsia" w:ascii="宋体" w:hAnsi="宋体" w:cs="宋体"/>
          <w:sz w:val="32"/>
          <w:szCs w:val="32"/>
          <w:lang w:eastAsia="zh-CN"/>
        </w:rPr>
        <w:t>第二人民医院</w:t>
      </w:r>
    </w:p>
    <w:p>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二五年</w:t>
      </w:r>
      <w:r>
        <w:rPr>
          <w:rFonts w:hint="eastAsia" w:cs="仿宋_GB2312" w:asciiTheme="minorEastAsia" w:hAnsiTheme="minorEastAsia" w:eastAsiaTheme="minorEastAsia"/>
          <w:bCs/>
          <w:sz w:val="32"/>
          <w:szCs w:val="32"/>
          <w:lang w:val="en-US" w:eastAsia="zh-CN"/>
        </w:rPr>
        <w:t>十一</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val="en-US" w:eastAsia="zh-CN"/>
        </w:rPr>
        <w:t>七</w:t>
      </w:r>
      <w:r>
        <w:rPr>
          <w:rFonts w:hint="eastAsia" w:cs="仿宋_GB2312" w:asciiTheme="minorEastAsia" w:hAnsiTheme="minorEastAsia" w:eastAsiaTheme="minorEastAsia"/>
          <w:bCs/>
          <w:sz w:val="32"/>
          <w:szCs w:val="32"/>
        </w:rPr>
        <w:t>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3" w:name="_Hlt67893495"/>
      <w:bookmarkEnd w:id="3"/>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spacing w:line="360" w:lineRule="auto"/>
        <w:rPr>
          <w:rFonts w:cs="仿宋_GB2312" w:asciiTheme="minorEastAsia" w:hAnsiTheme="minorEastAsia" w:eastAsiaTheme="minorEastAsia"/>
          <w:sz w:val="32"/>
          <w:szCs w:val="32"/>
        </w:rPr>
      </w:pPr>
    </w:p>
    <w:p>
      <w:pPr>
        <w:pStyle w:val="41"/>
        <w:tabs>
          <w:tab w:val="right" w:leader="dot" w:pos="9060"/>
        </w:tabs>
        <w:spacing w:line="360" w:lineRule="auto"/>
        <w:rPr>
          <w:rFonts w:asciiTheme="minorEastAsia" w:hAnsiTheme="minorEastAsia" w:eastAsiaTheme="minorEastAsia" w:cstheme="minorBidi"/>
          <w:sz w:val="32"/>
          <w:szCs w:val="32"/>
        </w:rPr>
      </w:pPr>
      <w:bookmarkStart w:id="4" w:name="_Hlt91233176"/>
      <w:bookmarkEnd w:id="4"/>
      <w:bookmarkStart w:id="5"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8"/>
          <w:rFonts w:hint="eastAsia" w:cs="仿宋_GB2312" w:asciiTheme="minorEastAsia" w:hAnsiTheme="minorEastAsia" w:eastAsiaTheme="minorEastAsia"/>
          <w:sz w:val="32"/>
          <w:szCs w:val="32"/>
        </w:rPr>
        <w:t>第一部分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8"/>
          <w:rFonts w:hint="eastAsia" w:cs="仿宋_GB2312" w:asciiTheme="minorEastAsia" w:hAnsiTheme="minorEastAsia" w:eastAsiaTheme="minorEastAsia"/>
          <w:sz w:val="32"/>
          <w:szCs w:val="32"/>
        </w:rPr>
        <w:t>第二部分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竞争性磋商流程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8"/>
          <w:rFonts w:hint="eastAsia" w:cs="仿宋_GB2312" w:asciiTheme="minorEastAsia" w:hAnsiTheme="minorEastAsia" w:eastAsiaTheme="minorEastAsia"/>
          <w:sz w:val="32"/>
          <w:szCs w:val="32"/>
        </w:rPr>
        <w:t>第三部分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"_Toc181203097" </w:instrText>
      </w:r>
      <w:r>
        <w:fldChar w:fldCharType="separate"/>
      </w:r>
      <w:r>
        <w:rPr>
          <w:rStyle w:val="68"/>
          <w:rFonts w:hint="eastAsia" w:cs="仿宋_GB2312" w:asciiTheme="minorEastAsia" w:hAnsiTheme="minorEastAsia" w:eastAsiaTheme="minorEastAsia"/>
          <w:sz w:val="32"/>
          <w:szCs w:val="32"/>
        </w:rPr>
        <w:t>第四部分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0</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"_Toc181203098" </w:instrText>
      </w:r>
      <w:r>
        <w:fldChar w:fldCharType="separate"/>
      </w:r>
      <w:r>
        <w:rPr>
          <w:rStyle w:val="68"/>
          <w:rFonts w:hint="eastAsia" w:cs="仿宋_GB2312" w:asciiTheme="minorEastAsia" w:hAnsiTheme="minorEastAsia" w:eastAsiaTheme="minorEastAsia"/>
          <w:sz w:val="32"/>
          <w:szCs w:val="32"/>
        </w:rPr>
        <w:t>第五部分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评审方法及评审标准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52</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"_Toc181203099" </w:instrText>
      </w:r>
      <w:r>
        <w:fldChar w:fldCharType="separate"/>
      </w:r>
      <w:r>
        <w:rPr>
          <w:rStyle w:val="68"/>
          <w:rFonts w:hint="eastAsia" w:cs="仿宋_GB2312" w:asciiTheme="minorEastAsia" w:hAnsiTheme="minorEastAsia" w:eastAsiaTheme="minorEastAsia"/>
          <w:sz w:val="32"/>
          <w:szCs w:val="32"/>
        </w:rPr>
        <w:t>第六部分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61</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"_Toc181203100" </w:instrText>
      </w:r>
      <w:r>
        <w:fldChar w:fldCharType="separate"/>
      </w:r>
      <w:r>
        <w:rPr>
          <w:rStyle w:val="68"/>
          <w:rFonts w:hint="eastAsia" w:cs="仿宋_GB2312" w:asciiTheme="minorEastAsia" w:hAnsiTheme="minorEastAsia" w:eastAsiaTheme="minorEastAsia"/>
          <w:sz w:val="32"/>
          <w:szCs w:val="32"/>
        </w:rPr>
        <w:t>第七部分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71</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"_Toc181203101" </w:instrText>
      </w:r>
      <w:r>
        <w:fldChar w:fldCharType="separate"/>
      </w:r>
      <w:r>
        <w:rPr>
          <w:rStyle w:val="68"/>
          <w:rFonts w:hint="eastAsia" w:cs="仿宋_GB2312" w:asciiTheme="minorEastAsia" w:hAnsiTheme="minorEastAsia" w:eastAsiaTheme="minorEastAsia"/>
          <w:sz w:val="32"/>
          <w:szCs w:val="32"/>
        </w:rPr>
        <w:t>第八部分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最后报价格式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93</w:t>
      </w:r>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djustRightInd/>
        <w:spacing w:line="360" w:lineRule="auto"/>
        <w:jc w:val="center"/>
        <w:outlineLvl w:val="0"/>
        <w:rPr>
          <w:rFonts w:cs="仿宋_GB2312" w:asciiTheme="minorEastAsia" w:hAnsiTheme="minorEastAsia" w:eastAsiaTheme="minorEastAsia"/>
          <w:b/>
          <w:sz w:val="36"/>
          <w:szCs w:val="20"/>
        </w:rPr>
      </w:pPr>
      <w:bookmarkStart w:id="6" w:name="第一部分"/>
      <w:r>
        <w:rPr>
          <w:rFonts w:hint="eastAsia" w:cs="仿宋_GB2312" w:asciiTheme="minorEastAsia" w:hAnsiTheme="minorEastAsia" w:eastAsiaTheme="minorEastAsia"/>
          <w:b/>
          <w:sz w:val="36"/>
          <w:szCs w:val="36"/>
        </w:rPr>
        <w:br w:type="page"/>
      </w:r>
      <w:bookmarkEnd w:id="5"/>
      <w:bookmarkEnd w:id="6"/>
      <w:bookmarkStart w:id="7" w:name="_Hlt74729822"/>
      <w:bookmarkEnd w:id="7"/>
      <w:bookmarkStart w:id="8" w:name="_Hlt74707423"/>
      <w:bookmarkEnd w:id="8"/>
      <w:bookmarkStart w:id="9" w:name="_Hlt74728647"/>
      <w:bookmarkEnd w:id="9"/>
      <w:bookmarkStart w:id="10" w:name="_Hlt74649545"/>
      <w:bookmarkEnd w:id="10"/>
      <w:bookmarkStart w:id="11" w:name="_Toc181203094"/>
      <w:bookmarkStart w:id="12" w:name="第二部分"/>
      <w:bookmarkStart w:id="13" w:name="_Toc91899870"/>
      <w:bookmarkStart w:id="14" w:name="_Toc91899871"/>
      <w:r>
        <w:rPr>
          <w:rFonts w:hint="eastAsia" w:cs="仿宋_GB2312" w:asciiTheme="minorEastAsia" w:hAnsiTheme="minorEastAsia" w:eastAsiaTheme="minorEastAsia"/>
          <w:b/>
          <w:sz w:val="36"/>
          <w:szCs w:val="20"/>
        </w:rPr>
        <w:t>第一部分  邀请供应商</w:t>
      </w:r>
      <w:bookmarkEnd w:id="11"/>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pPr>
        <w:pStyle w:val="2"/>
        <w:numPr>
          <w:ilvl w:val="255"/>
          <w:numId w:val="0"/>
        </w:num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被服洗涤</w:t>
      </w:r>
      <w:r>
        <w:rPr>
          <w:rFonts w:hint="eastAsia" w:asciiTheme="minorEastAsia" w:hAnsiTheme="minorEastAsia" w:eastAsiaTheme="minorEastAsia"/>
          <w:sz w:val="24"/>
          <w:u w:val="single"/>
        </w:rPr>
        <w:t>服务</w:t>
      </w:r>
      <w:r>
        <w:rPr>
          <w:rFonts w:hint="eastAsia" w:asciiTheme="minorEastAsia" w:hAnsiTheme="minorEastAsia" w:eastAsiaTheme="minorEastAsia"/>
          <w:sz w:val="24"/>
        </w:rPr>
        <w:t>项目的潜在供应商应在</w:t>
      </w:r>
      <w:r>
        <w:rPr>
          <w:rFonts w:hint="eastAsia" w:ascii="宋体" w:hAnsi="宋体" w:cs="宋体"/>
          <w:sz w:val="24"/>
        </w:rPr>
        <w:t>广西政府采购云平台（</w:t>
      </w:r>
      <w:r>
        <w:fldChar w:fldCharType="begin"/>
      </w:r>
      <w:r>
        <w:instrText xml:space="preserve"> HYPERLINK "https://www.gcy.zfcg.gxzf.gov.cn/）获取采购文件，并于2025年" </w:instrText>
      </w:r>
      <w:r>
        <w:fldChar w:fldCharType="separate"/>
      </w:r>
      <w:r>
        <w:rPr>
          <w:rStyle w:val="68"/>
          <w:rFonts w:hint="eastAsia" w:ascii="宋体" w:hAnsi="宋体" w:eastAsia="宋体" w:cs="宋体"/>
          <w:snapToGrid/>
          <w:kern w:val="2"/>
          <w:sz w:val="24"/>
          <w:szCs w:val="24"/>
        </w:rPr>
        <w:t>https://www.gcy.zfcg.gxzf.gov.cn/）</w:t>
      </w:r>
      <w:r>
        <w:rPr>
          <w:rStyle w:val="68"/>
          <w:rFonts w:hint="eastAsia" w:cs="Times New Roman" w:asciiTheme="minorEastAsia" w:hAnsiTheme="minorEastAsia" w:eastAsiaTheme="minorEastAsia"/>
          <w:snapToGrid/>
          <w:kern w:val="2"/>
          <w:sz w:val="24"/>
          <w:szCs w:val="24"/>
        </w:rPr>
        <w:t>获取采购文件，并于</w:t>
      </w:r>
      <w:r>
        <w:rPr>
          <w:rStyle w:val="68"/>
          <w:rFonts w:hint="eastAsia" w:cs="Times New Roman" w:asciiTheme="minorEastAsia" w:hAnsiTheme="minorEastAsia" w:eastAsiaTheme="minorEastAsia"/>
          <w:snapToGrid/>
          <w:kern w:val="2"/>
          <w:sz w:val="24"/>
          <w:szCs w:val="24"/>
          <w:u w:val="single"/>
        </w:rPr>
        <w:t>2025年</w:t>
      </w:r>
      <w:r>
        <w:rPr>
          <w:rStyle w:val="68"/>
          <w:rFonts w:hint="eastAsia" w:cs="Times New Roman" w:asciiTheme="minorEastAsia" w:hAnsiTheme="minorEastAsia" w:eastAsiaTheme="minorEastAsia"/>
          <w:snapToGrid/>
          <w:kern w:val="2"/>
          <w:sz w:val="24"/>
          <w:szCs w:val="24"/>
          <w:u w:val="single"/>
        </w:rPr>
        <w:fldChar w:fldCharType="end"/>
      </w:r>
      <w:bookmarkStart w:id="15" w:name="OLE_LINK3"/>
      <w:bookmarkStart w:id="16" w:name="OLE_LINK4"/>
      <w:r>
        <w:rPr>
          <w:rFonts w:hint="eastAsia" w:asciiTheme="minorEastAsia" w:hAnsiTheme="minorEastAsia" w:eastAsiaTheme="minorEastAsia"/>
          <w:sz w:val="24"/>
          <w:u w:val="single"/>
          <w:lang w:val="en-US" w:eastAsia="zh-CN"/>
        </w:rPr>
        <w:t>11</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18</w:t>
      </w:r>
      <w:r>
        <w:rPr>
          <w:rFonts w:hint="eastAsia" w:asciiTheme="minorEastAsia" w:hAnsiTheme="minorEastAsia" w:eastAsiaTheme="minorEastAsia"/>
          <w:sz w:val="24"/>
          <w:u w:val="single"/>
        </w:rPr>
        <w:t>日9点00</w:t>
      </w:r>
      <w:r>
        <w:rPr>
          <w:rFonts w:hint="eastAsia" w:asciiTheme="minorEastAsia" w:hAnsiTheme="minorEastAsia" w:eastAsiaTheme="minorEastAsia"/>
          <w:bCs/>
          <w:sz w:val="24"/>
          <w:u w:val="single"/>
        </w:rPr>
        <w:t xml:space="preserve"> 分00秒</w:t>
      </w:r>
      <w:bookmarkEnd w:id="15"/>
      <w:bookmarkEnd w:id="16"/>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1"/>
        <w:ind w:firstLine="0"/>
        <w:rPr>
          <w:b/>
        </w:rPr>
      </w:pPr>
      <w:bookmarkStart w:id="17" w:name="_Toc28359089"/>
      <w:bookmarkStart w:id="18" w:name="_Toc35393629"/>
      <w:bookmarkStart w:id="19" w:name="_Toc35393798"/>
      <w:bookmarkStart w:id="20" w:name="_Toc28359012"/>
      <w:r>
        <w:rPr>
          <w:rFonts w:hint="eastAsia"/>
          <w:b/>
        </w:rPr>
        <w:t>一、项目基本情况</w:t>
      </w:r>
      <w:bookmarkEnd w:id="17"/>
      <w:bookmarkEnd w:id="18"/>
      <w:bookmarkEnd w:id="19"/>
      <w:bookmarkEnd w:id="20"/>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项目编号：</w:t>
      </w:r>
      <w:r>
        <w:rPr>
          <w:rFonts w:asciiTheme="minorEastAsia" w:hAnsiTheme="minorEastAsia" w:eastAsiaTheme="minorEastAsia"/>
          <w:sz w:val="24"/>
        </w:rPr>
        <w:t>BHZC2025-C3-</w:t>
      </w:r>
      <w:r>
        <w:rPr>
          <w:rFonts w:hint="eastAsia" w:asciiTheme="minorEastAsia" w:hAnsiTheme="minorEastAsia" w:eastAsiaTheme="minorEastAsia"/>
          <w:sz w:val="24"/>
        </w:rPr>
        <w:t>990</w:t>
      </w:r>
      <w:r>
        <w:rPr>
          <w:rFonts w:hint="eastAsia" w:asciiTheme="minorEastAsia" w:hAnsiTheme="minorEastAsia" w:eastAsiaTheme="minorEastAsia"/>
          <w:sz w:val="24"/>
          <w:lang w:val="en-US" w:eastAsia="zh-CN"/>
        </w:rPr>
        <w:t>276</w:t>
      </w:r>
      <w:r>
        <w:rPr>
          <w:rFonts w:asciiTheme="minorEastAsia" w:hAnsiTheme="minorEastAsia" w:eastAsiaTheme="minorEastAsia"/>
          <w:sz w:val="24"/>
        </w:rPr>
        <w:t>-CGZX</w:t>
      </w:r>
    </w:p>
    <w:p>
      <w:pPr>
        <w:spacing w:line="360" w:lineRule="auto"/>
        <w:ind w:firstLine="480"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eastAsia="zh-CN"/>
        </w:rPr>
        <w:t>被服洗涤服务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预算金额（元）：</w:t>
      </w:r>
      <w:r>
        <w:rPr>
          <w:rFonts w:hint="eastAsia" w:asciiTheme="minorEastAsia" w:hAnsiTheme="minorEastAsia" w:eastAsiaTheme="minorEastAsia"/>
          <w:sz w:val="24"/>
          <w:lang w:val="en-US" w:eastAsia="zh-CN"/>
        </w:rPr>
        <w:t>2860000</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w:t>
      </w:r>
      <w:r>
        <w:rPr>
          <w:rFonts w:hint="eastAsia" w:hAnsi="宋体" w:cs="宋体"/>
          <w:bCs/>
          <w:sz w:val="24"/>
        </w:rPr>
        <w:t>（项目名称）主要内容：</w:t>
      </w:r>
      <w:r>
        <w:rPr>
          <w:rFonts w:hint="eastAsia" w:asciiTheme="minorEastAsia" w:hAnsiTheme="minorEastAsia" w:eastAsiaTheme="minorEastAsia"/>
          <w:sz w:val="24"/>
          <w:lang w:val="en-US" w:eastAsia="zh-CN"/>
        </w:rPr>
        <w:t>清洗床上用品、病人服、工衣、窗帘等物品</w:t>
      </w:r>
      <w:bookmarkStart w:id="21" w:name="OLE_LINK2"/>
      <w:bookmarkStart w:id="22" w:name="OLE_LINK1"/>
      <w:r>
        <w:rPr>
          <w:rFonts w:hint="eastAsia" w:asciiTheme="minorEastAsia" w:hAnsiTheme="minorEastAsia" w:eastAsiaTheme="minorEastAsia"/>
          <w:sz w:val="24"/>
          <w:lang w:eastAsia="zh-CN"/>
        </w:rPr>
        <w:t>，</w:t>
      </w:r>
      <w:r>
        <w:rPr>
          <w:rFonts w:hint="eastAsia" w:cs="仿宋_GB2312" w:asciiTheme="minorEastAsia" w:hAnsiTheme="minorEastAsia" w:eastAsiaTheme="minorEastAsia"/>
          <w:sz w:val="24"/>
        </w:rPr>
        <w:t>详见磋商文件</w:t>
      </w:r>
      <w:bookmarkEnd w:id="21"/>
      <w:bookmarkEnd w:id="22"/>
      <w:r>
        <w:rPr>
          <w:rFonts w:hint="eastAsia" w:cs="仿宋_GB2312"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合同履行期限：</w:t>
      </w:r>
      <w:bookmarkStart w:id="23" w:name="OLE_LINK17"/>
      <w:r>
        <w:rPr>
          <w:rFonts w:hint="eastAsia" w:asciiTheme="minorEastAsia" w:hAnsiTheme="minorEastAsia" w:eastAsiaTheme="minorEastAsia"/>
          <w:sz w:val="24"/>
        </w:rPr>
        <w:t>2025</w:t>
      </w:r>
      <w:r>
        <w:rPr>
          <w:rFonts w:hint="eastAsia" w:asciiTheme="minorEastAsia" w:hAnsiTheme="minorEastAsia" w:eastAsiaTheme="minorEastAsia"/>
          <w:sz w:val="24"/>
          <w:lang w:eastAsia="zh-CN"/>
        </w:rPr>
        <w:t>年</w:t>
      </w:r>
      <w:r>
        <w:rPr>
          <w:rFonts w:hint="eastAsia" w:asciiTheme="minorEastAsia" w:hAnsiTheme="minorEastAsia" w:eastAsiaTheme="minorEastAsia"/>
          <w:sz w:val="24"/>
          <w:lang w:val="en-US" w:eastAsia="zh-CN"/>
        </w:rPr>
        <w:t>11月</w:t>
      </w:r>
      <w:r>
        <w:rPr>
          <w:rFonts w:hint="eastAsia" w:asciiTheme="minorEastAsia" w:hAnsiTheme="minorEastAsia" w:eastAsiaTheme="minorEastAsia"/>
          <w:sz w:val="24"/>
        </w:rPr>
        <w:t>至202</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11月</w:t>
      </w:r>
      <w:bookmarkEnd w:id="23"/>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Theme="minorEastAsia" w:hAnsiTheme="minorEastAsia" w:eastAsiaTheme="minorEastAsia"/>
              <w:sz w:val="24"/>
            </w:rPr>
            <w:sym w:font="Wingdings" w:char="F0FE"/>
          </w:r>
        </w:sdtContent>
      </w:sdt>
      <w:r>
        <w:rPr>
          <w:rFonts w:hint="eastAsia" w:asciiTheme="minorEastAsia" w:hAnsiTheme="minorEastAsia" w:eastAsiaTheme="minorEastAsia"/>
          <w:sz w:val="24"/>
        </w:rPr>
        <w:t>否。</w:t>
      </w:r>
    </w:p>
    <w:p>
      <w:pPr>
        <w:pStyle w:val="631"/>
        <w:ind w:firstLine="0"/>
        <w:rPr>
          <w:b/>
        </w:rPr>
      </w:pPr>
      <w:bookmarkStart w:id="24" w:name="_Toc28359013"/>
      <w:bookmarkStart w:id="25" w:name="_Toc35393799"/>
      <w:bookmarkStart w:id="26" w:name="_Toc28359090"/>
      <w:bookmarkStart w:id="27" w:name="_Toc35393630"/>
      <w:r>
        <w:rPr>
          <w:rFonts w:hint="eastAsia"/>
          <w:b/>
        </w:rPr>
        <w:t>二、申请人的资格要求：</w:t>
      </w:r>
      <w:bookmarkEnd w:id="24"/>
      <w:bookmarkEnd w:id="25"/>
      <w:bookmarkEnd w:id="26"/>
      <w:bookmarkEnd w:id="27"/>
    </w:p>
    <w:p>
      <w:pPr>
        <w:spacing w:line="360" w:lineRule="auto"/>
        <w:ind w:firstLine="480"/>
        <w:rPr>
          <w:rFonts w:cs="宋体" w:asciiTheme="minorEastAsia" w:hAnsiTheme="minorEastAsia" w:eastAsiaTheme="minorEastAsia"/>
          <w:snapToGrid w:val="0"/>
          <w:color w:val="FF0000"/>
          <w:kern w:val="28"/>
          <w:sz w:val="24"/>
          <w:szCs w:val="20"/>
        </w:rPr>
      </w:pPr>
      <w:r>
        <w:rPr>
          <w:rFonts w:hint="eastAsia" w:cs="宋体" w:asciiTheme="minorEastAsia" w:hAnsiTheme="minorEastAsia" w:eastAsiaTheme="minorEastAsia"/>
          <w:snapToGrid w:val="0"/>
          <w:color w:val="FF0000"/>
          <w:kern w:val="28"/>
          <w:sz w:val="24"/>
          <w:szCs w:val="20"/>
        </w:rPr>
        <w:t>1.满足《中华人民共和国政府采购法》第二十二条规定；</w:t>
      </w:r>
      <w:r>
        <w:rPr>
          <w:rFonts w:cs="宋体" w:asciiTheme="minorEastAsia" w:hAnsiTheme="minorEastAsia" w:eastAsiaTheme="minorEastAsia"/>
          <w:snapToGrid w:val="0"/>
          <w:color w:val="FF0000"/>
          <w:kern w:val="28"/>
          <w:sz w:val="24"/>
          <w:szCs w:val="20"/>
        </w:rPr>
        <w:t xml:space="preserve"> </w:t>
      </w:r>
    </w:p>
    <w:p>
      <w:pPr>
        <w:spacing w:line="360" w:lineRule="auto"/>
        <w:rPr>
          <w:rFonts w:cs="宋体" w:asciiTheme="minorEastAsia" w:hAnsiTheme="minorEastAsia" w:eastAsiaTheme="minorEastAsia"/>
          <w:snapToGrid w:val="0"/>
          <w:color w:val="FF0000"/>
          <w:kern w:val="28"/>
          <w:sz w:val="24"/>
          <w:szCs w:val="20"/>
        </w:rPr>
      </w:pPr>
      <w:r>
        <w:rPr>
          <w:rFonts w:hint="eastAsia" w:cs="宋体" w:asciiTheme="minorEastAsia" w:hAnsiTheme="minorEastAsia" w:eastAsiaTheme="minorEastAsia"/>
          <w:snapToGrid w:val="0"/>
          <w:color w:val="FF0000"/>
          <w:kern w:val="28"/>
          <w:sz w:val="24"/>
          <w:szCs w:val="20"/>
        </w:rPr>
        <w:t xml:space="preserve">    </w:t>
      </w:r>
      <w:r>
        <w:rPr>
          <w:rFonts w:cs="宋体" w:asciiTheme="minorEastAsia" w:hAnsiTheme="minorEastAsia" w:eastAsiaTheme="minorEastAsia"/>
          <w:snapToGrid w:val="0"/>
          <w:color w:val="FF0000"/>
          <w:kern w:val="28"/>
          <w:sz w:val="24"/>
          <w:szCs w:val="20"/>
        </w:rPr>
        <w:t>2</w:t>
      </w:r>
      <w:r>
        <w:rPr>
          <w:rFonts w:hint="eastAsia" w:cs="宋体" w:asciiTheme="minorEastAsia" w:hAnsiTheme="minorEastAsia" w:eastAsiaTheme="minorEastAsia"/>
          <w:snapToGrid w:val="0"/>
          <w:color w:val="FF0000"/>
          <w:kern w:val="28"/>
          <w:sz w:val="24"/>
          <w:szCs w:val="20"/>
        </w:rPr>
        <w:t>.落实政府采购政策需满足的资格要求：</w:t>
      </w:r>
      <w:bookmarkStart w:id="28" w:name="OLE_LINK14"/>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w:t>
      </w:r>
      <w:r>
        <w:rPr>
          <w:rFonts w:hint="eastAsia" w:cs="宋体" w:asciiTheme="minorEastAsia" w:hAnsiTheme="minorEastAsia" w:eastAsiaTheme="minorEastAsia"/>
          <w:color w:val="FF0000"/>
          <w:sz w:val="24"/>
          <w:lang w:eastAsia="zh-CN"/>
        </w:rPr>
        <w:t>中小</w:t>
      </w:r>
      <w:r>
        <w:rPr>
          <w:rFonts w:hint="eastAsia" w:cs="宋体" w:asciiTheme="minorEastAsia" w:hAnsiTheme="minorEastAsia" w:eastAsiaTheme="minorEastAsia"/>
          <w:color w:val="FF0000"/>
          <w:sz w:val="24"/>
        </w:rPr>
        <w:t>企业，服务全部由符合政策要求的</w:t>
      </w:r>
      <w:r>
        <w:rPr>
          <w:rFonts w:hint="eastAsia" w:cs="宋体" w:asciiTheme="minorEastAsia" w:hAnsiTheme="minorEastAsia" w:eastAsiaTheme="minorEastAsia"/>
          <w:color w:val="FF0000"/>
          <w:sz w:val="24"/>
          <w:lang w:eastAsia="zh-CN"/>
        </w:rPr>
        <w:t>中小</w:t>
      </w:r>
      <w:r>
        <w:rPr>
          <w:rFonts w:hint="eastAsia" w:cs="宋体" w:asciiTheme="minorEastAsia" w:hAnsiTheme="minorEastAsia" w:eastAsiaTheme="minorEastAsia"/>
          <w:color w:val="FF0000"/>
          <w:sz w:val="24"/>
        </w:rPr>
        <w:t>企业承接，提供中小企业声明函</w:t>
      </w:r>
      <w:bookmarkEnd w:id="28"/>
      <w:r>
        <w:rPr>
          <w:rFonts w:hint="eastAsia" w:cs="宋体" w:asciiTheme="minorEastAsia" w:hAnsiTheme="minorEastAsia" w:eastAsiaTheme="minorEastAsia"/>
          <w:color w:val="FF0000"/>
          <w:sz w:val="24"/>
        </w:rPr>
        <w:t>；</w:t>
      </w:r>
    </w:p>
    <w:p>
      <w:pPr>
        <w:spacing w:line="360" w:lineRule="auto"/>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3.本项目的特定资格要求：无；</w:t>
      </w:r>
    </w:p>
    <w:p>
      <w:pPr>
        <w:pStyle w:val="631"/>
        <w:ind w:firstLine="0"/>
        <w:rPr>
          <w:b/>
        </w:rPr>
      </w:pPr>
      <w:bookmarkStart w:id="29" w:name="_Toc35393800"/>
      <w:bookmarkStart w:id="30" w:name="_Toc35393631"/>
      <w:bookmarkStart w:id="31" w:name="_Toc28359014"/>
      <w:bookmarkStart w:id="32" w:name="_Toc28359091"/>
      <w:r>
        <w:rPr>
          <w:rFonts w:hint="eastAsia"/>
          <w:b/>
        </w:rPr>
        <w:t>三、获取（下载）采购文件</w:t>
      </w:r>
      <w:bookmarkEnd w:id="29"/>
      <w:bookmarkEnd w:id="30"/>
      <w:bookmarkEnd w:id="31"/>
      <w:bookmarkEnd w:id="32"/>
    </w:p>
    <w:p>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sz w:val="24"/>
        </w:rPr>
        <w:t>时间：2025年</w:t>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日至2025年</w:t>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14</w:t>
      </w:r>
      <w:r>
        <w:rPr>
          <w:rFonts w:hint="eastAsia" w:cs="宋体" w:asciiTheme="minorEastAsia" w:hAnsiTheme="minorEastAsia" w:eastAsiaTheme="minorEastAsia"/>
          <w:sz w:val="24"/>
        </w:rPr>
        <w:t>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pPr>
        <w:spacing w:line="360" w:lineRule="auto"/>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sz w:val="24"/>
        </w:rPr>
        <w:t>地点（网址）：</w:t>
      </w:r>
      <w:r>
        <w:rPr>
          <w:rFonts w:hint="eastAsia" w:ascii="宋体" w:hAnsi="宋体" w:cs="宋体"/>
          <w:sz w:val="24"/>
        </w:rPr>
        <w:t>广西政府采购云平台（https://www.gcy.zfcg.gxzf.gov.cn/）</w:t>
      </w:r>
    </w:p>
    <w:p>
      <w:pPr>
        <w:spacing w:line="360" w:lineRule="auto"/>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方式：供应商登录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pPr>
        <w:pStyle w:val="631"/>
        <w:ind w:firstLine="0"/>
        <w:rPr>
          <w:b/>
        </w:rPr>
      </w:pPr>
      <w:bookmarkStart w:id="33" w:name="_Toc35393801"/>
      <w:bookmarkStart w:id="34" w:name="_Toc28359015"/>
      <w:bookmarkStart w:id="35" w:name="_Toc35393632"/>
      <w:bookmarkStart w:id="36" w:name="_Toc28359092"/>
      <w:r>
        <w:rPr>
          <w:rFonts w:hint="eastAsia"/>
          <w:b/>
        </w:rPr>
        <w:t>四、响应文件提交</w:t>
      </w:r>
      <w:bookmarkEnd w:id="33"/>
      <w:bookmarkEnd w:id="34"/>
      <w:bookmarkEnd w:id="35"/>
      <w:bookmarkEnd w:id="36"/>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2025年</w:t>
      </w:r>
      <w:r>
        <w:rPr>
          <w:rFonts w:hint="eastAsia" w:asciiTheme="minorEastAsia" w:hAnsiTheme="minorEastAsia" w:eastAsiaTheme="minorEastAsia"/>
          <w:sz w:val="24"/>
          <w:u w:val="single"/>
          <w:lang w:val="en-US" w:eastAsia="zh-CN"/>
        </w:rPr>
        <w:t>11</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18</w:t>
      </w:r>
      <w:r>
        <w:rPr>
          <w:rFonts w:hint="eastAsia" w:asciiTheme="minorEastAsia" w:hAnsiTheme="minorEastAsia" w:eastAsiaTheme="minorEastAsia"/>
          <w:sz w:val="24"/>
          <w:u w:val="single"/>
        </w:rPr>
        <w:t>日9点00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
          <w:sz w:val="24"/>
        </w:rPr>
        <w:t>。</w:t>
      </w:r>
    </w:p>
    <w:p>
      <w:pPr>
        <w:pStyle w:val="631"/>
        <w:ind w:firstLine="0"/>
        <w:rPr>
          <w:b/>
        </w:rPr>
      </w:pPr>
      <w:bookmarkStart w:id="37" w:name="_Toc35393633"/>
      <w:bookmarkStart w:id="38" w:name="_Toc28359016"/>
      <w:bookmarkStart w:id="39" w:name="_Toc28359093"/>
      <w:bookmarkStart w:id="40" w:name="_Toc35393802"/>
      <w:r>
        <w:rPr>
          <w:rFonts w:hint="eastAsia"/>
          <w:b/>
        </w:rPr>
        <w:t>五、响应文件开启</w:t>
      </w:r>
      <w:bookmarkEnd w:id="37"/>
      <w:bookmarkEnd w:id="38"/>
      <w:bookmarkEnd w:id="39"/>
      <w:bookmarkEnd w:id="40"/>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2025年</w:t>
      </w:r>
      <w:r>
        <w:rPr>
          <w:rFonts w:hint="eastAsia" w:asciiTheme="minorEastAsia" w:hAnsiTheme="minorEastAsia" w:eastAsiaTheme="minorEastAsia"/>
          <w:sz w:val="24"/>
          <w:u w:val="single"/>
          <w:lang w:val="en-US" w:eastAsia="zh-CN"/>
        </w:rPr>
        <w:t>11</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18</w:t>
      </w:r>
      <w:r>
        <w:rPr>
          <w:rFonts w:hint="eastAsia" w:asciiTheme="minorEastAsia" w:hAnsiTheme="minorEastAsia" w:eastAsiaTheme="minorEastAsia"/>
          <w:sz w:val="24"/>
          <w:u w:val="single"/>
        </w:rPr>
        <w:t>日9点00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pPr>
        <w:pStyle w:val="631"/>
        <w:ind w:firstLine="0"/>
        <w:rPr>
          <w:b/>
        </w:rPr>
      </w:pPr>
      <w:bookmarkStart w:id="41" w:name="_Toc35393634"/>
      <w:bookmarkStart w:id="42" w:name="_Toc35393803"/>
      <w:bookmarkStart w:id="43" w:name="_Toc28359017"/>
      <w:bookmarkStart w:id="44" w:name="_Toc28359094"/>
      <w:r>
        <w:rPr>
          <w:rFonts w:hint="eastAsia"/>
          <w:b/>
        </w:rPr>
        <w:t>六、公告期限</w:t>
      </w:r>
      <w:bookmarkEnd w:id="41"/>
      <w:bookmarkEnd w:id="42"/>
      <w:bookmarkEnd w:id="43"/>
      <w:bookmarkEnd w:id="44"/>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自本公告发布之日起5个工作日。</w:t>
      </w:r>
    </w:p>
    <w:p>
      <w:pPr>
        <w:pStyle w:val="631"/>
        <w:ind w:firstLine="0"/>
        <w:rPr>
          <w:b/>
        </w:rPr>
      </w:pPr>
      <w:bookmarkStart w:id="45" w:name="_Toc35393804"/>
      <w:bookmarkStart w:id="46" w:name="_Toc35393635"/>
      <w:r>
        <w:rPr>
          <w:rFonts w:hint="eastAsia"/>
          <w:b/>
        </w:rPr>
        <w:t>七、其他补充事宜</w:t>
      </w:r>
      <w:bookmarkEnd w:id="45"/>
      <w:bookmarkEnd w:id="46"/>
    </w:p>
    <w:p>
      <w:pPr>
        <w:spacing w:line="360" w:lineRule="auto"/>
        <w:ind w:firstLine="480" w:firstLineChars="200"/>
        <w:rPr>
          <w:rFonts w:ascii="宋体" w:hAnsi="宋体" w:cs="宋体"/>
          <w:sz w:val="24"/>
        </w:rPr>
      </w:pPr>
      <w:r>
        <w:rPr>
          <w:rFonts w:hint="eastAsia" w:ascii="宋体" w:hAnsi="宋体" w:cs="宋体"/>
          <w:sz w:val="24"/>
        </w:rPr>
        <w:t>1.磋商保证金：本项目不收取磋商保证金。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w:t>
      </w:r>
      <w:r>
        <w:rPr>
          <w:rFonts w:hint="eastAsia" w:ascii="宋体" w:hAnsi="宋体" w:cs="宋体"/>
          <w:sz w:val="24"/>
          <w:lang w:eastAsia="zh-CN"/>
        </w:rPr>
        <w:t>中小</w:t>
      </w:r>
      <w:r>
        <w:rPr>
          <w:rFonts w:hint="eastAsia" w:ascii="宋体" w:hAnsi="宋体" w:cs="宋体"/>
          <w:sz w:val="24"/>
        </w:rPr>
        <w:t>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hint="eastAsia"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numPr>
          <w:ins w:id="0" w:author="lenovo" w:date="2025-10-29T10:28:57Z"/>
        </w:num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7.</w:t>
      </w:r>
      <w:bookmarkStart w:id="198" w:name="_GoBack"/>
      <w:bookmarkEnd w:id="198"/>
      <w:r>
        <w:rPr>
          <w:rFonts w:hint="eastAsia" w:ascii="宋体" w:hAnsi="宋体" w:cs="宋体"/>
          <w:sz w:val="24"/>
        </w:rPr>
        <w:t>本项目为北海市推动解决政府采购异常低价试点项目。</w:t>
      </w:r>
    </w:p>
    <w:p>
      <w:pPr>
        <w:pStyle w:val="631"/>
        <w:ind w:firstLine="0"/>
        <w:rPr>
          <w:b/>
        </w:rPr>
      </w:pPr>
      <w:bookmarkStart w:id="47" w:name="_Toc35393805"/>
      <w:bookmarkStart w:id="48" w:name="_Toc28359018"/>
      <w:bookmarkStart w:id="49" w:name="_Toc35393636"/>
      <w:bookmarkStart w:id="50" w:name="_Toc28359095"/>
      <w:r>
        <w:rPr>
          <w:rFonts w:hint="eastAsia"/>
          <w:b/>
        </w:rPr>
        <w:t>八、凡对本次采购提出询问，请按以下方式联系</w:t>
      </w:r>
      <w:bookmarkEnd w:id="47"/>
      <w:bookmarkEnd w:id="48"/>
      <w:bookmarkEnd w:id="49"/>
      <w:bookmarkEnd w:id="50"/>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ascii="宋体" w:hAnsi="宋体" w:cs="宋体"/>
          <w:sz w:val="24"/>
        </w:rPr>
      </w:pPr>
      <w:r>
        <w:rPr>
          <w:rFonts w:hint="eastAsia" w:ascii="宋体" w:hAnsi="宋体" w:cs="宋体"/>
          <w:sz w:val="24"/>
        </w:rPr>
        <w:t>名    称：北海市</w:t>
      </w:r>
      <w:r>
        <w:rPr>
          <w:rFonts w:hint="eastAsia" w:ascii="宋体" w:hAnsi="宋体" w:cs="宋体"/>
          <w:sz w:val="24"/>
          <w:lang w:eastAsia="zh-CN"/>
        </w:rPr>
        <w:t>第二人民医院</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bidi="ar"/>
        </w:rPr>
        <w:t>北海市</w:t>
      </w:r>
      <w:r>
        <w:rPr>
          <w:rFonts w:hint="eastAsia" w:ascii="宋体" w:hAnsi="宋体" w:cs="宋体"/>
          <w:sz w:val="24"/>
          <w:lang w:eastAsia="zh-CN" w:bidi="ar"/>
        </w:rPr>
        <w:t>银海区新世纪大道</w:t>
      </w:r>
      <w:r>
        <w:rPr>
          <w:rFonts w:hint="eastAsia" w:ascii="宋体" w:hAnsi="宋体" w:cs="宋体"/>
          <w:sz w:val="24"/>
          <w:lang w:val="en-US" w:eastAsia="zh-CN" w:bidi="ar"/>
        </w:rPr>
        <w:t>116号</w:t>
      </w:r>
      <w:r>
        <w:rPr>
          <w:rFonts w:hint="eastAsia"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刘工</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项目联系方式：</w:t>
      </w:r>
      <w:bookmarkStart w:id="51" w:name="OLE_LINK16"/>
      <w:r>
        <w:rPr>
          <w:rFonts w:hint="eastAsia"/>
          <w:lang w:val="en-US" w:eastAsia="zh-CN" w:bidi="ar"/>
        </w:rPr>
        <w:t>0779-2027171</w:t>
      </w:r>
      <w:r>
        <w:rPr>
          <w:rFonts w:hint="eastAsia" w:ascii="宋体" w:hAnsi="宋体" w:cs="宋体"/>
          <w:sz w:val="24"/>
        </w:rPr>
        <w:t xml:space="preserve"> </w:t>
      </w:r>
      <w:bookmarkEnd w:id="51"/>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pPr>
        <w:spacing w:line="360" w:lineRule="auto"/>
        <w:rPr>
          <w:rFonts w:hint="eastAsia" w:ascii="宋体" w:hAnsi="宋体" w:eastAsia="宋体" w:cs="宋体"/>
          <w:sz w:val="24"/>
          <w:lang w:eastAsia="zh-CN"/>
        </w:rPr>
      </w:pPr>
      <w:r>
        <w:rPr>
          <w:rFonts w:hint="eastAsia" w:ascii="宋体" w:hAnsi="宋体" w:cs="宋体"/>
          <w:sz w:val="24"/>
        </w:rPr>
        <w:t xml:space="preserve">    项目联系人（询问）：陈</w:t>
      </w:r>
      <w:r>
        <w:rPr>
          <w:rFonts w:hint="eastAsia" w:ascii="宋体" w:hAnsi="宋体" w:cs="宋体"/>
          <w:sz w:val="24"/>
          <w:lang w:eastAsia="zh-CN"/>
        </w:rPr>
        <w:t>工</w:t>
      </w:r>
    </w:p>
    <w:p>
      <w:pPr>
        <w:spacing w:line="360" w:lineRule="auto"/>
        <w:rPr>
          <w:rFonts w:ascii="宋体" w:hAnsi="宋体" w:cs="宋体"/>
          <w:sz w:val="24"/>
        </w:rPr>
      </w:pPr>
      <w:r>
        <w:rPr>
          <w:rFonts w:hint="eastAsia" w:ascii="宋体" w:hAnsi="宋体" w:cs="宋体"/>
          <w:sz w:val="24"/>
        </w:rPr>
        <w:t xml:space="preserve">    项目联系方式（询问）：0779-3056122</w:t>
      </w:r>
    </w:p>
    <w:p>
      <w:pPr>
        <w:pStyle w:val="631"/>
      </w:pPr>
    </w:p>
    <w:p>
      <w:pPr>
        <w:adjustRightInd/>
        <w:spacing w:line="360" w:lineRule="auto"/>
        <w:ind w:firstLine="480" w:firstLineChars="200"/>
        <w:rPr>
          <w:rFonts w:cs="仿宋_GB2312" w:asciiTheme="minorEastAsia" w:hAnsiTheme="minorEastAsia" w:eastAsiaTheme="minorEastAsia"/>
          <w:b/>
          <w:sz w:val="36"/>
          <w:szCs w:val="20"/>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adjustRightInd/>
        <w:spacing w:line="360" w:lineRule="auto"/>
        <w:outlineLvl w:val="0"/>
        <w:rPr>
          <w:rFonts w:cs="仿宋_GB2312" w:asciiTheme="minorEastAsia" w:hAnsiTheme="minorEastAsia" w:eastAsiaTheme="minorEastAsia"/>
          <w:b/>
          <w:sz w:val="32"/>
          <w:szCs w:val="20"/>
        </w:rPr>
      </w:pPr>
      <w:bookmarkStart w:id="52" w:name="_Toc181203095"/>
      <w:r>
        <w:rPr>
          <w:rFonts w:hint="eastAsia" w:cs="仿宋_GB2312" w:asciiTheme="minorEastAsia" w:hAnsiTheme="minorEastAsia" w:eastAsiaTheme="minorEastAsia"/>
          <w:b/>
          <w:sz w:val="36"/>
          <w:szCs w:val="20"/>
        </w:rPr>
        <w:t xml:space="preserve">           第二部分  竞争性磋商流程</w:t>
      </w:r>
      <w:bookmarkEnd w:id="52"/>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4.成交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pPr>
        <w:pStyle w:val="392"/>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53" w:name="_Toc181203096"/>
      <w:r>
        <w:rPr>
          <w:rFonts w:hint="eastAsia" w:cs="仿宋_GB2312" w:asciiTheme="minorEastAsia" w:hAnsiTheme="minorEastAsia" w:eastAsiaTheme="minorEastAsia"/>
          <w:b/>
          <w:sz w:val="36"/>
          <w:szCs w:val="20"/>
        </w:rPr>
        <w:t>第三部分</w:t>
      </w:r>
      <w:bookmarkEnd w:id="12"/>
      <w:r>
        <w:rPr>
          <w:rFonts w:hint="eastAsia" w:cs="仿宋_GB2312" w:asciiTheme="minorEastAsia" w:hAnsiTheme="minorEastAsia" w:eastAsiaTheme="minorEastAsia"/>
          <w:b/>
          <w:sz w:val="36"/>
          <w:szCs w:val="20"/>
        </w:rPr>
        <w:t xml:space="preserve">  供应商须知</w:t>
      </w:r>
      <w:bookmarkEnd w:id="13"/>
      <w:bookmarkEnd w:id="53"/>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eastAsia="zh-CN"/>
              </w:rPr>
              <w:t>被服洗涤服务</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eastAsia="zh-CN"/>
              </w:rPr>
              <w:t>其他未列明</w:t>
            </w:r>
            <w:r>
              <w:rPr>
                <w:rFonts w:hint="eastAsia" w:cs="宋体" w:asciiTheme="minorEastAsia" w:hAnsiTheme="minorEastAsia" w:eastAsiaTheme="minorEastAsia"/>
                <w:kern w:val="0"/>
                <w:sz w:val="24"/>
              </w:rPr>
              <w:t>行业；</w:t>
            </w:r>
          </w:p>
          <w:p>
            <w:pPr>
              <w:pStyle w:val="2"/>
              <w:numPr>
                <w:ilvl w:val="0"/>
                <w:numId w:val="0"/>
              </w:numPr>
              <w:jc w:val="both"/>
              <w:rPr>
                <w:rFonts w:cs="宋体" w:asciiTheme="minorEastAsia" w:hAnsiTheme="minorEastAsia" w:eastAsiaTheme="minorEastAsia"/>
                <w:b w:val="0"/>
                <w:bCs w:val="0"/>
                <w:kern w:val="0"/>
                <w:sz w:val="24"/>
                <w:szCs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color w:val="FF0000"/>
                <w:sz w:val="24"/>
              </w:rPr>
              <w:t>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napToGrid w:val="0"/>
              <w:spacing w:line="360" w:lineRule="auto"/>
              <w:ind w:firstLine="482" w:firstLineChars="200"/>
              <w:jc w:val="left"/>
              <w:rPr>
                <w:rFonts w:hint="eastAsia"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pPr>
              <w:pStyle w:val="2"/>
              <w:numPr>
                <w:ilvl w:val="-1"/>
                <w:numId w:val="0"/>
              </w:numPr>
              <w:ind w:left="0" w:firstLine="482" w:firstLineChars="200"/>
              <w:rPr>
                <w:rFonts w:hint="eastAsia" w:cs="宋体" w:asciiTheme="minorEastAsia" w:hAnsiTheme="minorEastAsia" w:eastAsiaTheme="minorEastAsia"/>
                <w:bCs w:val="0"/>
                <w:kern w:val="0"/>
                <w:sz w:val="24"/>
                <w:szCs w:val="24"/>
                <w:lang w:val="zh-CN"/>
              </w:rPr>
            </w:pPr>
            <w:bookmarkStart w:id="54" w:name="OLE_LINK47"/>
            <w:bookmarkStart w:id="55" w:name="OLE_LINK46"/>
            <w:r>
              <w:rPr>
                <w:rFonts w:hint="eastAsia" w:cs="宋体" w:asciiTheme="minorEastAsia" w:hAnsiTheme="minorEastAsia" w:eastAsiaTheme="minorEastAsia"/>
                <w:bCs w:val="0"/>
                <w:kern w:val="0"/>
                <w:sz w:val="24"/>
                <w:szCs w:val="24"/>
              </w:rPr>
              <w:t>报价属于</w:t>
            </w:r>
            <w:r>
              <w:rPr>
                <w:rFonts w:hint="eastAsia" w:cs="宋体" w:asciiTheme="minorEastAsia" w:hAnsiTheme="minorEastAsia" w:eastAsiaTheme="minorEastAsia"/>
                <w:bCs w:val="0"/>
                <w:kern w:val="0"/>
                <w:sz w:val="24"/>
                <w:szCs w:val="24"/>
                <w:lang w:eastAsia="zh-CN"/>
              </w:rPr>
              <w:t>磋商文件规定异常低价</w:t>
            </w:r>
            <w:r>
              <w:rPr>
                <w:rFonts w:hint="eastAsia" w:cs="宋体" w:asciiTheme="minorEastAsia" w:hAnsiTheme="minorEastAsia" w:eastAsiaTheme="minorEastAsia"/>
                <w:bCs w:val="0"/>
                <w:kern w:val="0"/>
                <w:sz w:val="24"/>
                <w:szCs w:val="24"/>
              </w:rPr>
              <w:t>规定情形之一</w:t>
            </w:r>
            <w:bookmarkEnd w:id="54"/>
            <w:bookmarkEnd w:id="55"/>
            <w:r>
              <w:rPr>
                <w:rFonts w:hint="eastAsia" w:cs="宋体" w:asciiTheme="minorEastAsia" w:hAnsiTheme="minorEastAsia" w:eastAsiaTheme="minorEastAsia"/>
                <w:bCs w:val="0"/>
                <w:kern w:val="0"/>
                <w:sz w:val="24"/>
                <w:szCs w:val="24"/>
              </w:rPr>
              <w:t>，未能按要求提供书面说明或者提交相关证明材料，不能证明其报价合理性的;</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2.1“采购人”系指磋商邀请公告中载明的本项目的采购人。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2.2“采购代理机构”系指磋商邀请公告中载明的本项目的采购代理机构。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2.3“供应商”系指响应磋商、参加本次竞争的法人、其他组织或自然人。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2.10“▲”系指实质性要求条款，“※”系指磋商过程中可能实质性变动的内容，</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w:t>
      </w:r>
      <w:r>
        <w:rPr>
          <w:rFonts w:hint="eastAsia" w:cs="仿宋_GB2312" w:asciiTheme="minorEastAsia" w:hAnsiTheme="minorEastAsia" w:eastAsiaTheme="minorEastAsia"/>
          <w:color w:val="FF0000"/>
        </w:rPr>
        <w:t>采购人或</w:t>
      </w:r>
      <w:r>
        <w:rPr>
          <w:rFonts w:hint="eastAsia" w:cs="仿宋_GB2312" w:asciiTheme="minorEastAsia" w:hAnsiTheme="minorEastAsia" w:eastAsiaTheme="minorEastAsia"/>
        </w:rPr>
        <w:t>采购代理机构可以以书面形式通知</w:t>
      </w:r>
      <w:r>
        <w:rPr>
          <w:rFonts w:hint="eastAsia" w:cs="仿宋_GB2312" w:asciiTheme="minorEastAsia" w:hAnsiTheme="minorEastAsia" w:eastAsiaTheme="minorEastAsia"/>
          <w:color w:val="FF0000"/>
        </w:rPr>
        <w:t>所有</w:t>
      </w:r>
      <w:r>
        <w:rPr>
          <w:rFonts w:hint="eastAsia" w:cs="仿宋_GB2312" w:asciiTheme="minorEastAsia" w:hAnsiTheme="minorEastAsia" w:eastAsiaTheme="minorEastAsia"/>
        </w:rPr>
        <w:t>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2"/>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4.1采购人优先采购被认定为首台套产品和“制造精品”的自主创新产品。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ascii="宋体" w:hAnsi="宋体" w:cs="宋体"/>
          <w:b/>
          <w:sz w:val="24"/>
        </w:rPr>
      </w:pPr>
      <w:r>
        <w:rPr>
          <w:rFonts w:hint="eastAsia" w:cs="宋体" w:asciiTheme="minorEastAsia" w:hAnsiTheme="minorEastAsia" w:eastAsiaTheme="minorEastAsia"/>
          <w:b/>
          <w:sz w:val="24"/>
        </w:rPr>
        <w:t>5.</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rPr>
      </w:pPr>
      <w:r>
        <w:rPr>
          <w:rFonts w:hint="eastAsia" w:cs="宋体" w:asciiTheme="minorEastAsia" w:hAnsiTheme="minorEastAsia" w:eastAsiaTheme="minorEastAsia"/>
          <w:b/>
        </w:rPr>
        <w:t>6.</w:t>
      </w:r>
      <w:r>
        <w:rPr>
          <w:rFonts w:hint="eastAsia"/>
          <w:b/>
        </w:rPr>
        <w:t>平等对待符合条件的破产重整企业</w:t>
      </w:r>
    </w:p>
    <w:p>
      <w:pPr>
        <w:pStyle w:val="631"/>
        <w:ind w:firstLine="480" w:firstLineChars="200"/>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6" w:name="OLE_LINK18"/>
      <w:bookmarkStart w:id="57" w:name="OLE_LINK19"/>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询问联系部门：北海市政府采购中心采购一科，联系电话：0779-3056122，地址：北海市海城区陈文村北路7号市直机关第三办公区2号楼一层。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bookmarkEnd w:id="56"/>
    <w:bookmarkEnd w:id="57"/>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3.供应商质疑</w:t>
      </w:r>
    </w:p>
    <w:p>
      <w:pPr>
        <w:pStyle w:val="32"/>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2"/>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2.磋商文件的</w:t>
      </w:r>
      <w:r>
        <w:rPr>
          <w:rFonts w:hint="eastAsia" w:cs="仿宋_GB2312" w:asciiTheme="minorEastAsia" w:hAnsiTheme="minorEastAsia" w:eastAsiaTheme="minorEastAsia"/>
          <w:b/>
          <w:sz w:val="24"/>
          <w:szCs w:val="24"/>
        </w:rPr>
        <w:t>澄清、修改</w:t>
      </w:r>
    </w:p>
    <w:p>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pPr>
        <w:pStyle w:val="22"/>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1.响应文件的语言</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2.响应文件的组成</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w:t>
      </w:r>
      <w:r>
        <w:rPr>
          <w:rFonts w:hint="eastAsia" w:asciiTheme="minorEastAsia" w:hAnsiTheme="minorEastAsia" w:eastAsiaTheme="minorEastAsia"/>
          <w:color w:val="FF0000"/>
          <w:sz w:val="24"/>
        </w:rPr>
        <w:t>（标注“▲”为实质性要求，供应商必须提供，否则磋商无效。相关格式见磋商文件第七部分）</w:t>
      </w:r>
      <w:r>
        <w:rPr>
          <w:rFonts w:hint="eastAsia"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（1）响应函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（2）资格文件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pPr>
        <w:pStyle w:val="32"/>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：《中小企业声明函》；</w:t>
      </w:r>
    </w:p>
    <w:p>
      <w:pPr>
        <w:pStyle w:val="32"/>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w:t>
      </w:r>
      <w:r>
        <w:rPr>
          <w:rFonts w:hint="eastAsia" w:cs="仿宋_GB2312" w:asciiTheme="minorEastAsia" w:hAnsiTheme="minorEastAsia" w:eastAsiaTheme="minorEastAsia"/>
          <w:sz w:val="24"/>
        </w:rPr>
        <w:t>（如果有）</w:t>
      </w:r>
      <w:r>
        <w:rPr>
          <w:rFonts w:hint="eastAsia" w:asciiTheme="minorEastAsia" w:hAnsiTheme="minorEastAsia" w:eastAsiaTheme="minorEastAsia"/>
          <w:sz w:val="24"/>
          <w:lang w:val="zh-CN"/>
        </w:rPr>
        <w:t>。可以是针对本项目的完整技术解决方案和实施方案；详细阐述项目方案的实现思路及关键技术；符合本项目对当前和未来发展的要求；以及对功能设计和实施计划的建议；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（10）组织实施方案</w:t>
      </w:r>
      <w:r>
        <w:rPr>
          <w:rFonts w:hint="eastAsia" w:cs="仿宋_GB2312" w:asciiTheme="minorEastAsia" w:hAnsiTheme="minorEastAsia" w:eastAsiaTheme="minorEastAsia"/>
          <w:sz w:val="24"/>
        </w:rPr>
        <w:t>（如果有）</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color w:val="FF0000"/>
          <w:sz w:val="24"/>
        </w:rPr>
        <w:t>▲</w:t>
      </w: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▲（19）商务、服务（技术）响应、偏离情况说明表；</w:t>
      </w:r>
    </w:p>
    <w:p>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▲（20）初始报价表。</w:t>
      </w:r>
    </w:p>
    <w:p>
      <w:pPr>
        <w:pStyle w:val="32"/>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560" w:lineRule="exact"/>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pPr>
        <w:pStyle w:val="392"/>
        <w:spacing w:before="0" w:line="560" w:lineRule="exact"/>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pPr>
        <w:spacing w:line="360" w:lineRule="auto"/>
        <w:rPr>
          <w:rFonts w:ascii="宋体" w:hAnsi="宋体" w:cs="宋体"/>
          <w:b/>
          <w:snapToGrid w:val="0"/>
          <w:kern w:val="28"/>
          <w:sz w:val="24"/>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磋商保证金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本项目不收取。</w:t>
      </w:r>
    </w:p>
    <w:p>
      <w:pPr>
        <w:adjustRightInd/>
        <w:spacing w:line="360" w:lineRule="auto"/>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color w:val="FF0000"/>
          <w:kern w:val="0"/>
          <w:sz w:val="24"/>
          <w:lang w:val="zh-CN"/>
        </w:rPr>
        <w:t>▲</w:t>
      </w:r>
      <w:r>
        <w:rPr>
          <w:rFonts w:hint="eastAsia" w:cs="仿宋_GB2312" w:asciiTheme="minorEastAsia" w:hAnsiTheme="minorEastAsia" w:eastAsiaTheme="minorEastAsia"/>
          <w:sz w:val="24"/>
          <w:szCs w:val="24"/>
        </w:rPr>
        <w:t>1.1最后报价一览表；</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1.2中小企业声明函（如果有）。</w:t>
      </w: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2"/>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pPr>
        <w:pStyle w:val="392"/>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cs="宋体" w:asciiTheme="minorEastAsia" w:hAnsiTheme="minorEastAsia" w:eastAsiaTheme="minorEastAsia"/>
          <w:color w:val="FF0000"/>
          <w:sz w:val="24"/>
        </w:rPr>
        <w:t>5</w:t>
      </w:r>
      <w:r>
        <w:rPr>
          <w:rFonts w:hint="eastAsia" w:cs="宋体" w:asciiTheme="minorEastAsia" w:hAnsiTheme="minorEastAsia" w:eastAsiaTheme="minorEastAsia"/>
          <w:sz w:val="24"/>
        </w:rPr>
        <w:t>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58" w:name="_Hlk101184471"/>
      <w:r>
        <w:rPr>
          <w:rFonts w:hint="eastAsia" w:cs="宋体" w:asciiTheme="minorEastAsia" w:hAnsiTheme="minorEastAsia" w:eastAsiaTheme="minorEastAsia"/>
          <w:sz w:val="24"/>
        </w:rPr>
        <w:t>评审专家抽取规则、</w:t>
      </w:r>
      <w:bookmarkEnd w:id="58"/>
      <w:r>
        <w:rPr>
          <w:rFonts w:hint="eastAsia" w:cs="宋体" w:asciiTheme="minorEastAsia" w:hAnsiTheme="minorEastAsia" w:eastAsiaTheme="minorEastAsia"/>
          <w:sz w:val="24"/>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pPr>
        <w:pStyle w:val="392"/>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kern w:val="0"/>
          <w:sz w:val="24"/>
          <w:szCs w:val="20"/>
        </w:rPr>
        <w:t>https://jinrong.gcy.zfcg.gxzf.gov.cn/finance/loan/gx</w:t>
      </w:r>
      <w:r>
        <w:rPr>
          <w:rFonts w:ascii="宋体" w:hAnsi="宋体"/>
          <w:color w:val="000000"/>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1"/>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pPr>
        <w:tabs>
          <w:tab w:val="left" w:pos="0"/>
        </w:tabs>
        <w:spacing w:line="360" w:lineRule="auto"/>
        <w:ind w:firstLine="482"/>
      </w:pPr>
      <w:r>
        <w:rPr>
          <w:rFonts w:hint="eastAsia" w:ascii="宋体" w:hAnsi="宋体" w:cs="宋体"/>
          <w:kern w:val="0"/>
          <w:sz w:val="24"/>
        </w:rPr>
        <w:t>本项目不收取。</w:t>
      </w:r>
    </w:p>
    <w:p>
      <w:pPr>
        <w:tabs>
          <w:tab w:val="left" w:pos="0"/>
        </w:tabs>
        <w:rPr>
          <w:rFonts w:asciiTheme="minorEastAsia" w:hAnsiTheme="minorEastAsia" w:eastAsiaTheme="minorEastAsia"/>
          <w:b/>
          <w:sz w:val="24"/>
        </w:rPr>
      </w:pPr>
      <w:r>
        <w:rPr>
          <w:rFonts w:hint="eastAsia" w:asciiTheme="minorEastAsia" w:hAnsiTheme="minorEastAsia" w:eastAsiaTheme="minorEastAsia"/>
          <w:b/>
          <w:sz w:val="24"/>
        </w:rPr>
        <w:t>4.预付款</w:t>
      </w:r>
    </w:p>
    <w:p>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59" w:name="_Hlt75236290"/>
      <w:bookmarkEnd w:id="59"/>
      <w:bookmarkStart w:id="60" w:name="_Hlt74707468"/>
      <w:bookmarkEnd w:id="60"/>
      <w:bookmarkStart w:id="61" w:name="_Hlt74729768"/>
      <w:bookmarkEnd w:id="61"/>
      <w:bookmarkStart w:id="62" w:name="_Hlt68057669"/>
      <w:bookmarkEnd w:id="62"/>
      <w:bookmarkStart w:id="63" w:name="_Hlt68072990"/>
      <w:bookmarkEnd w:id="63"/>
      <w:bookmarkStart w:id="64" w:name="_Hlt75236011"/>
      <w:bookmarkEnd w:id="64"/>
      <w:bookmarkStart w:id="65" w:name="_Hlt74730295"/>
      <w:bookmarkEnd w:id="65"/>
      <w:bookmarkStart w:id="66" w:name="_Hlt74714665"/>
      <w:bookmarkEnd w:id="66"/>
      <w:bookmarkStart w:id="67" w:name="_Hlt75236101"/>
      <w:bookmarkEnd w:id="67"/>
      <w:bookmarkStart w:id="68" w:name="第三部分"/>
      <w:bookmarkStart w:id="69" w:name="_Toc164416483"/>
    </w:p>
    <w:p>
      <w:pPr>
        <w:snapToGrid w:val="0"/>
        <w:spacing w:line="360" w:lineRule="auto"/>
        <w:ind w:left="120" w:leftChars="57" w:firstLine="482" w:firstLineChars="150"/>
        <w:jc w:val="center"/>
        <w:outlineLvl w:val="1"/>
        <w:rPr>
          <w:rFonts w:ascii="宋体" w:hAnsi="宋体" w:cs="宋体"/>
          <w:b/>
          <w:sz w:val="32"/>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pPr>
        <w:pStyle w:val="24"/>
        <w:spacing w:line="360" w:lineRule="auto"/>
        <w:ind w:firstLine="422" w:firstLineChars="0"/>
        <w:rPr>
          <w:rFonts w:cs="仿宋_GB2312" w:asciiTheme="minorEastAsia" w:hAnsiTheme="minorEastAsia" w:eastAsiaTheme="minorEastAsia"/>
          <w:b/>
          <w:sz w:val="36"/>
          <w:szCs w:val="36"/>
        </w:rPr>
      </w:pPr>
      <w:r>
        <w:rPr>
          <w:rFonts w:hint="eastAsia" w:cs="宋体"/>
          <w:b/>
        </w:rPr>
        <w:t>本项目不收取。</w:t>
      </w: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70" w:name="_Toc181203097"/>
      <w:r>
        <w:rPr>
          <w:rFonts w:hint="eastAsia" w:cs="仿宋_GB2312" w:asciiTheme="minorEastAsia" w:hAnsiTheme="minorEastAsia" w:eastAsiaTheme="minorEastAsia"/>
          <w:b/>
          <w:sz w:val="36"/>
          <w:szCs w:val="36"/>
        </w:rPr>
        <w:t>第四部分  采购需求</w:t>
      </w:r>
      <w:bookmarkEnd w:id="70"/>
    </w:p>
    <w:p>
      <w:pPr>
        <w:spacing w:line="360" w:lineRule="auto"/>
        <w:jc w:val="left"/>
        <w:rPr>
          <w:rFonts w:ascii="宋体" w:hAnsi="宋体" w:cs="宋体"/>
          <w:b/>
          <w:sz w:val="24"/>
        </w:rPr>
      </w:pPr>
      <w:r>
        <w:rPr>
          <w:rFonts w:hint="eastAsia" w:ascii="宋体" w:hAnsi="宋体" w:cs="宋体"/>
          <w:b/>
          <w:sz w:val="24"/>
        </w:rPr>
        <w:t>说明：</w:t>
      </w:r>
    </w:p>
    <w:p>
      <w:pPr>
        <w:numPr>
          <w:ilvl w:val="255"/>
          <w:numId w:val="0"/>
        </w:numPr>
        <w:adjustRightInd/>
        <w:spacing w:line="360" w:lineRule="auto"/>
        <w:jc w:val="left"/>
        <w:rPr>
          <w:rFonts w:ascii="宋体" w:hAnsi="宋体" w:cs="宋体"/>
          <w:sz w:val="24"/>
        </w:rPr>
      </w:pPr>
      <w:r>
        <w:rPr>
          <w:rFonts w:hint="eastAsia" w:ascii="宋体" w:hAnsi="宋体" w:cs="宋体"/>
          <w:sz w:val="24"/>
        </w:rPr>
        <w:t>1.本标项的政府采购预算控制价为人民币</w:t>
      </w:r>
      <w:r>
        <w:rPr>
          <w:rFonts w:hint="eastAsia" w:ascii="宋体" w:hAnsi="宋体" w:cs="宋体"/>
          <w:sz w:val="24"/>
          <w:lang w:val="en-US" w:eastAsia="zh-CN"/>
        </w:rPr>
        <w:t>286</w:t>
      </w:r>
      <w:r>
        <w:rPr>
          <w:rFonts w:hint="eastAsia" w:ascii="宋体" w:hAnsi="宋体" w:cs="宋体"/>
          <w:sz w:val="24"/>
        </w:rPr>
        <w:t>0000元，高于预算控制价的报价将视为</w:t>
      </w:r>
      <w:r>
        <w:rPr>
          <w:rFonts w:hint="eastAsia" w:ascii="宋体" w:hAnsi="宋体" w:cs="宋体"/>
          <w:b/>
          <w:sz w:val="24"/>
        </w:rPr>
        <w:t>无效投标</w:t>
      </w:r>
      <w:r>
        <w:rPr>
          <w:rFonts w:hint="eastAsia" w:ascii="宋体" w:hAnsi="宋体" w:cs="宋体"/>
          <w:sz w:val="24"/>
        </w:rPr>
        <w:t>。</w:t>
      </w:r>
    </w:p>
    <w:p>
      <w:pPr>
        <w:pStyle w:val="32"/>
        <w:numPr>
          <w:ilvl w:val="255"/>
          <w:numId w:val="0"/>
        </w:numPr>
        <w:adjustRightInd/>
        <w:spacing w:line="360" w:lineRule="auto"/>
        <w:rPr>
          <w:rFonts w:hAnsi="宋体" w:cs="宋体"/>
          <w:sz w:val="24"/>
          <w:szCs w:val="24"/>
        </w:rPr>
      </w:pPr>
      <w:r>
        <w:rPr>
          <w:rFonts w:hint="eastAsia" w:hAnsi="宋体" w:cs="宋体"/>
          <w:sz w:val="24"/>
          <w:szCs w:val="24"/>
        </w:rPr>
        <w:t>2.根据《关于印发中小企业划型标准规定的通知》（工信部联企业〔2011〕300号）规定的划分标准，本标项采购所有标的对应的中小企业划分标准所属行业为</w:t>
      </w:r>
      <w:r>
        <w:rPr>
          <w:rFonts w:hint="eastAsia" w:hAnsi="宋体" w:cs="宋体"/>
          <w:b/>
          <w:sz w:val="24"/>
          <w:szCs w:val="24"/>
          <w:u w:val="single"/>
          <w:lang w:eastAsia="zh-CN"/>
        </w:rPr>
        <w:t>其他未列明行业</w:t>
      </w:r>
      <w:r>
        <w:rPr>
          <w:rFonts w:hint="eastAsia" w:hAnsi="宋体" w:cs="宋体"/>
          <w:sz w:val="24"/>
          <w:szCs w:val="24"/>
        </w:rPr>
        <w:t>。</w:t>
      </w:r>
    </w:p>
    <w:p>
      <w:pPr>
        <w:keepLines w:val="0"/>
        <w:adjustRightInd/>
        <w:snapToGrid w:val="0"/>
        <w:spacing w:before="0" w:after="0" w:line="360" w:lineRule="auto"/>
        <w:jc w:val="left"/>
        <w:rPr>
          <w:rFonts w:ascii="Calibri" w:hAnsi="Calibri" w:eastAsia="方正小标宋简体" w:cs="Calibri"/>
          <w:b w:val="0"/>
          <w:bCs w:val="0"/>
          <w:kern w:val="0"/>
          <w:sz w:val="32"/>
          <w:szCs w:val="32"/>
        </w:rPr>
      </w:pPr>
      <w:r>
        <w:rPr>
          <w:rFonts w:hint="eastAsia" w:ascii="宋体" w:hAnsi="宋体" w:cs="宋体"/>
          <w:sz w:val="24"/>
        </w:rPr>
        <w:t>3.以下采购需求必须全部响应满足或优于，否则</w:t>
      </w:r>
      <w:r>
        <w:rPr>
          <w:rFonts w:hint="eastAsia" w:ascii="宋体" w:hAnsi="宋体" w:cs="宋体"/>
          <w:b/>
          <w:sz w:val="24"/>
        </w:rPr>
        <w:t>磋商无效</w:t>
      </w:r>
      <w:r>
        <w:rPr>
          <w:rFonts w:hint="eastAsia" w:ascii="宋体" w:hAnsi="宋体" w:cs="宋体"/>
          <w:sz w:val="24"/>
        </w:rPr>
        <w:t>。</w:t>
      </w:r>
    </w:p>
    <w:p/>
    <w:p>
      <w:pPr>
        <w:pStyle w:val="19"/>
        <w:spacing w:line="400" w:lineRule="exact"/>
        <w:jc w:val="both"/>
        <w:rPr>
          <w:rFonts w:hint="default" w:cs="宋体" w:asciiTheme="minorEastAsia" w:hAnsiTheme="minorEastAsia" w:eastAsiaTheme="minorEastAsia"/>
          <w:b/>
          <w:color w:val="000000" w:themeColor="text1"/>
          <w:szCs w:val="21"/>
          <w:lang w:val="en-US" w:eastAsia="zh-CN"/>
          <w14:textFill>
            <w14:solidFill>
              <w14:schemeClr w14:val="tx1"/>
            </w14:solidFill>
          </w14:textFill>
        </w:rPr>
      </w:pPr>
      <w:bookmarkStart w:id="71" w:name="_Toc5112"/>
      <w:bookmarkStart w:id="72" w:name="_Toc17312"/>
      <w:bookmarkStart w:id="73" w:name="_Toc2486"/>
      <w:r>
        <w:rPr>
          <w:rFonts w:hint="eastAsia" w:cs="宋体" w:asciiTheme="minorEastAsia" w:hAnsiTheme="minorEastAsia" w:eastAsiaTheme="minorEastAsia"/>
          <w:b/>
          <w:color w:val="000000" w:themeColor="text1"/>
          <w:szCs w:val="21"/>
          <w14:textFill>
            <w14:solidFill>
              <w14:schemeClr w14:val="tx1"/>
            </w14:solidFill>
          </w14:textFill>
        </w:rPr>
        <w:t>一、整体工作流程要求</w:t>
      </w:r>
      <w:r>
        <w:rPr>
          <w:rFonts w:hint="eastAsia" w:cs="宋体" w:asciiTheme="minorEastAsia" w:hAnsiTheme="minorEastAsia" w:eastAsiaTheme="minorEastAsia"/>
          <w:b/>
          <w:color w:val="000000" w:themeColor="text1"/>
          <w:szCs w:val="21"/>
          <w:lang w:val="en-US" w:eastAsia="zh-CN"/>
          <w14:textFill>
            <w14:solidFill>
              <w14:schemeClr w14:val="tx1"/>
            </w14:solidFill>
          </w14:textFill>
        </w:rPr>
        <w:t>及设施要求</w:t>
      </w:r>
    </w:p>
    <w:p>
      <w:pPr>
        <w:pStyle w:val="19"/>
        <w:wordWrap w:val="0"/>
        <w:spacing w:line="400" w:lineRule="exact"/>
        <w:ind w:firstLine="0" w:firstLineChars="0"/>
        <w:jc w:val="both"/>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洗涤服务全流程需具有专业、高效、自动化、消毒全面、管理全面等特点，避免二次感染与交叉感染的风险。</w:t>
      </w:r>
    </w:p>
    <w:p>
      <w:pPr>
        <w:pStyle w:val="19"/>
        <w:wordWrap w:val="0"/>
        <w:spacing w:line="400" w:lineRule="exact"/>
        <w:jc w:val="both"/>
        <w:rPr>
          <w:rFonts w:hint="eastAsia" w:cs="宋体" w:asciiTheme="minorEastAsia" w:hAnsiTheme="minorEastAsia" w:eastAsiaTheme="minorEastAsia"/>
          <w:b w:val="0"/>
          <w:bCs w:val="0"/>
          <w:color w:val="000000" w:themeColor="text1"/>
          <w:szCs w:val="21"/>
          <w:lang w:eastAsia="zh-CN"/>
          <w14:textFill>
            <w14:solidFill>
              <w14:schemeClr w14:val="tx1"/>
            </w14:solidFill>
          </w14:textFill>
        </w:rPr>
      </w:pPr>
      <w:r>
        <w:rPr>
          <w:rFonts w:hint="eastAsia" w:cs="宋体" w:asciiTheme="minorEastAsia" w:hAnsiTheme="minorEastAsia" w:eastAsiaTheme="minorEastAsia"/>
          <w:b w:val="0"/>
          <w:bCs w:val="0"/>
          <w:color w:val="000000" w:themeColor="text1"/>
          <w:szCs w:val="21"/>
          <w14:textFill>
            <w14:solidFill>
              <w14:schemeClr w14:val="tx1"/>
            </w14:solidFill>
          </w14:textFill>
        </w:rPr>
        <w:t>成交供应商</w:t>
      </w:r>
      <w:r>
        <w:rPr>
          <w:rFonts w:hint="eastAsia" w:cs="宋体" w:asciiTheme="minorEastAsia" w:hAnsiTheme="minorEastAsia" w:eastAsiaTheme="minorEastAsia"/>
          <w:b w:val="0"/>
          <w:bCs w:val="0"/>
          <w:color w:val="000000" w:themeColor="text1"/>
          <w:szCs w:val="21"/>
          <w:lang w:val="en-US" w:eastAsia="zh-CN"/>
          <w14:textFill>
            <w14:solidFill>
              <w14:schemeClr w14:val="tx1"/>
            </w14:solidFill>
          </w14:textFill>
        </w:rPr>
        <w:t>需</w:t>
      </w:r>
      <w:r>
        <w:rPr>
          <w:rFonts w:hint="eastAsia" w:cs="宋体" w:asciiTheme="minorEastAsia" w:hAnsiTheme="minorEastAsia" w:eastAsiaTheme="minorEastAsia"/>
          <w:b w:val="0"/>
          <w:bCs w:val="0"/>
          <w:color w:val="000000" w:themeColor="text1"/>
          <w:szCs w:val="21"/>
          <w14:textFill>
            <w14:solidFill>
              <w14:schemeClr w14:val="tx1"/>
            </w14:solidFill>
          </w14:textFill>
        </w:rPr>
        <w:t>投入的设备包含电加热锅炉、生物质锅炉或燃气锅炉环保型锅炉</w:t>
      </w:r>
      <w:r>
        <w:rPr>
          <w:rFonts w:hint="eastAsia" w:cs="宋体" w:asciiTheme="minorEastAsia" w:hAnsiTheme="minorEastAsia" w:eastAsiaTheme="minorEastAsia"/>
          <w:b w:val="0"/>
          <w:bCs w:val="0"/>
          <w:color w:val="000000" w:themeColor="text1"/>
          <w:szCs w:val="21"/>
          <w:lang w:eastAsia="zh-CN"/>
          <w14:textFill>
            <w14:solidFill>
              <w14:schemeClr w14:val="tx1"/>
            </w14:solidFill>
          </w14:textFill>
        </w:rPr>
        <w:t>。</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（一）医院布草收送</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采购人提供固定接收点，成交供应商每天按时集中回收和配送，根据采购人时间要求，将洗净物品送至采购人的医院被服室，并经采购人相关部门进行确认签字。</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（二）数量清点与确认</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每次收送时收送人员与采购人的科室人员进行被服数量的清点与签字确认。</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（三）预分拣</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布草收集前对重污、传染性等布草进行单独分装。</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（四）布草运输</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固定专用车辆须按时到达采购人指定地点将布草运输到成交供应商洗涤厂，发车前、后须对车辆进行紫外线或喷洒消毒。</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（五）分拣</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布草到达洗涤厂后，成交供应商对布草进行科室、种类、颜色、污染程度等进行有序分拣。</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（六）洗涤</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分拣后，根据布草的分类进行专机、专用洗涤料、按洗涤操作流程进行操作洗涤。</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（七）摆放、分拣</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洗涤后对布草进行分类摆放、分拣，将破、脏、报废等布草分类分拣并放在固定区域。</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（八）烘干、熨烫、分拣</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对不同的布草进行高温烘干、自动熨烫、消毒、自动折叠、分拣。</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二、服务质量要求</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（一）成交供应商应严格遵守国家于2007年颁布的《洗染业管理办法》，拥有专业的洗涤生产线，严格使用标准流程进行洗涤。</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（二）医疗布类洗涤须严格按照《医院医用织物洗涤消毒技术规范》WS/T 508—2016行业标准及医院感染管理标准执行，并保证专机专用；洗涤流程及工序合理规范，质量控制严格按照有关规定执行，并达到相关规定标准。</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（三）经清洗的清洁织物感观上要求整洁、干燥、无异味、异物、破损。物理指标符合《医院医用织物消毒技术规范》要求，清洁织物表面的PH 应在6.5～7.5范围中。微生物指标细菌菌落总≤200CFU/100cm</w:t>
      </w:r>
      <w:r>
        <w:rPr>
          <w:rFonts w:hint="eastAsia" w:cs="宋体" w:asciiTheme="minorEastAsia" w:hAnsiTheme="minorEastAsia" w:eastAsiaTheme="minorEastAsia"/>
          <w:color w:val="000000" w:themeColor="text1"/>
          <w:szCs w:val="21"/>
          <w:vertAlign w:val="superscript"/>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，要求大肠菌群和金黄色葡萄球菌不得检出</w:t>
      </w:r>
      <w:r>
        <w:rPr>
          <w:rFonts w:hint="eastAsia" w:ascii="宋体" w:hAnsi="宋体" w:cs="宋体"/>
          <w:color w:val="000000" w:themeColor="text1"/>
          <w:szCs w:val="21"/>
          <w14:textFill>
            <w14:solidFill>
              <w14:schemeClr w14:val="tx1"/>
            </w14:solidFill>
          </w14:textFill>
        </w:rPr>
        <w:t>（至少每季度送检一次，以具有资质的第三方</w:t>
      </w:r>
      <w:r>
        <w:rPr>
          <w:rStyle w:val="70"/>
          <w:rFonts w:hint="eastAsia"/>
          <w:color w:val="000000" w:themeColor="text1"/>
          <w14:textFill>
            <w14:solidFill>
              <w14:schemeClr w14:val="tx1"/>
            </w14:solidFill>
          </w14:textFill>
        </w:rPr>
        <w:t>机构出具的</w:t>
      </w:r>
      <w:r>
        <w:rPr>
          <w:rFonts w:hint="eastAsia" w:ascii="宋体" w:hAnsi="宋体" w:cs="宋体"/>
          <w:color w:val="000000" w:themeColor="text1"/>
          <w:szCs w:val="21"/>
          <w14:textFill>
            <w14:solidFill>
              <w14:schemeClr w14:val="tx1"/>
            </w14:solidFill>
          </w14:textFill>
        </w:rPr>
        <w:t>检测报告为准，检测的结果由医院存档，费用由成交供应商负责）</w:t>
      </w:r>
      <w:r>
        <w:rPr>
          <w:rFonts w:hint="eastAsia" w:cs="宋体" w:asciiTheme="minorEastAsia" w:hAnsiTheme="minorEastAsia" w:eastAsiaTheme="minorEastAsia"/>
          <w:color w:val="000000" w:themeColor="text1"/>
          <w:szCs w:val="21"/>
          <w14:textFill>
            <w14:solidFill>
              <w14:schemeClr w14:val="tx1"/>
            </w14:solidFill>
          </w14:textFill>
        </w:rPr>
        <w:t>。</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（四）在日常的工作中，成交供应商须对采购人各科室提出的问题和建议在1小时内电话响应，4小时内到达现场解决或解答，2天内必须予以解决。</w:t>
      </w:r>
    </w:p>
    <w:p>
      <w:pPr>
        <w:pStyle w:val="19"/>
        <w:wordWrap w:val="0"/>
        <w:spacing w:line="400" w:lineRule="exact"/>
        <w:jc w:val="both"/>
        <w:rPr>
          <w:rFonts w:hint="eastAsia" w:cs="宋体" w:asciiTheme="minorEastAsia" w:hAnsiTheme="minorEastAsia" w:eastAsiaTheme="minorEastAsia"/>
          <w:color w:val="000000" w:themeColor="text1"/>
          <w:szCs w:val="21"/>
          <w:lang w:eastAsia="zh-C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（五）成交供应商须使用新一代抗菌卫生整理剂进行消毒，处理效果要求达到：经处理后的医用织物为具有被动抗菌功能的抗菌织物，且处理过程及结果需符合国家、省、市现行规范和行业标准。</w:t>
      </w:r>
      <w:r>
        <w:rPr>
          <w:rFonts w:hint="eastAsia" w:cs="宋体" w:asciiTheme="minorEastAsia" w:hAnsiTheme="minorEastAsia" w:eastAsiaTheme="minorEastAsia"/>
          <w:color w:val="000000" w:themeColor="text1"/>
          <w:szCs w:val="21"/>
          <w:lang w:eastAsia="zh-CN"/>
          <w14:textFill>
            <w14:solidFill>
              <w14:schemeClr w14:val="tx1"/>
            </w14:solidFill>
          </w14:textFill>
        </w:rPr>
        <w:t>供应商使用新一代抗菌卫生整理剂进行消毒，需要提供佐证材料等。</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（六）成交供应商应严格执行服务承诺，接受采购人各个科室的监督。</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（七）成交供应商应及时更换影响使用的被服及布类。</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三、服务要求</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（一）服务范围</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北海市第二人民医院新院区、文明路院区、城西医院、银海医院。</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（二）收送运输注意事项</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1.洗涤布料运送使用推车推送至指定位置，不能在地面上拖拉；</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2.收、发皆核对品种，清点数量，有误差的及时处理；</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3.检查布草收件情况；</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4.检查发送件，发现重洗、缝补件的应退回处理；</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5.不丢失、不错收错发、不漏收漏发；</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6.认真清点、交接、签名，及时反馈信息。</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（三）洗涤分拣注意事项</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1.清点、核实送洗物清单，发现品种、数量不符立即报告处理；</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2.检查送洗物质量，发现报损件应分拣登记，交送处理；</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3.区分物类不混淆，有序陈放；</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4.分拣血渍、粪便、传染病衣物（标识清楚），区别袋装；</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5.检查衣裤带，排除异物，发现有贵重物品及时上交；</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6.清点整理污袋物品，打包放置。</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（四）洗涤脱水烘干注意事项</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1.不混淆、不混脱、不混烘、不交叉感染；</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2.不褪色、不染色、不呈斑点、不存留异味；</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3.不见血迹、油渍、汗渍、药渍、锈渍；</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4.不撕裂、不破损、不露洗、不丢失、不失落地面；</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5.没有非油性非碳素墨迹，非陈旧性污迹、非顽固性黄斑；</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（五）工作服手烫折叠注意事项</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1.手烫平整；</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2.折叠完整、定位、无皱；</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3.加记证号、规定分拣，认真核对，规范包装；</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4.发现退洗、退补件应交付处置；</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5.不误捡、不分装、不错送、不丢失；</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（六）布类熨平折叠注意事项</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1.发现重洗、缝补件应交付处置；</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2.被套、枕套、窗帘、隔帘熨平</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3.规范折叠、完整、定位；</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4.详细分类、认真核对、规范打包；</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5.不误捡、不混装、不错送、不丢失；</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（七）缝补注意事项</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1.使用同一色质布料、色样缝线；</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2.针距适中、直线走势、压线松紧适度；</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3.无多余线头、无剩余布尾；</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4.根据破损程度，采用不同缝补法；</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5.不漏补、不延误、不丢失；</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6.布草显眼处无补丁，其他处一个补丁不超过一平方厘米，一件布草补丁不得超过3个；</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7.不掉扣掉带；</w:t>
      </w:r>
    </w:p>
    <w:p>
      <w:pPr>
        <w:pStyle w:val="19"/>
        <w:wordWrap w:val="0"/>
        <w:spacing w:line="400" w:lineRule="exact"/>
        <w:jc w:val="both"/>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（八）手术室要求</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1.所有布类与医护人员用的布类及床上用品要分机清洗；</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2.有破洞的布类要及时修补或更换（包括所有的带子）；</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3.洗、送布类时间要尽量配合采购人手术室的要求；</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4.洗、送布类的员工到手术室工作要遵守采购人手术室的有关制度。</w:t>
      </w:r>
    </w:p>
    <w:p>
      <w:pPr>
        <w:pStyle w:val="19"/>
        <w:wordWrap w:val="0"/>
        <w:spacing w:line="400" w:lineRule="exact"/>
        <w:jc w:val="both"/>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（九）</w:t>
      </w:r>
      <w:r>
        <w:rPr>
          <w:rFonts w:hint="eastAsia" w:cs="宋体" w:asciiTheme="minorEastAsia" w:hAnsiTheme="minorEastAsia" w:eastAsiaTheme="minorEastAsia"/>
          <w:color w:val="000000" w:themeColor="text1"/>
          <w:szCs w:val="21"/>
          <w14:textFill>
            <w14:solidFill>
              <w14:schemeClr w14:val="tx1"/>
            </w14:solidFill>
          </w14:textFill>
        </w:rPr>
        <w:t>当织物洗涤后出现质量问题而导致医护人员及病人身体健康受损时，成交供应商必须立即查找原因，并承担因此造成的费用及相关的责任。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四、本项目为总价包干，每月清洗布草数量约43万件，具体以采购人的需求量为准，采购人不再另行支付费用。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cs="宋体" w:asciiTheme="minorEastAsia" w:hAnsiTheme="minorEastAsia" w:eastAsiaTheme="minorEastAsia"/>
          <w:b/>
          <w:bCs/>
          <w:color w:val="000000" w:themeColor="text1"/>
          <w:szCs w:val="21"/>
          <w:lang w:eastAsia="zh-CN"/>
          <w14:textFill>
            <w14:solidFill>
              <w14:schemeClr w14:val="tx1"/>
            </w14:solidFill>
          </w14:textFill>
        </w:rPr>
      </w:pPr>
      <w:r>
        <w:rPr>
          <w:rFonts w:hint="eastAsia" w:cs="宋体" w:asciiTheme="minorEastAsia" w:hAnsiTheme="minorEastAsia" w:eastAsiaTheme="minorEastAsia"/>
          <w:b/>
          <w:bCs/>
          <w:color w:val="000000" w:themeColor="text1"/>
          <w:szCs w:val="21"/>
          <w:lang w:eastAsia="zh-CN"/>
          <w14:textFill>
            <w14:solidFill>
              <w14:schemeClr w14:val="tx1"/>
            </w14:solidFill>
          </w14:textFill>
        </w:rPr>
        <w:t>五、考核方式</w:t>
      </w:r>
    </w:p>
    <w:p>
      <w:pPr>
        <w:spacing w:line="330" w:lineRule="exact"/>
        <w:jc w:val="center"/>
        <w:rPr>
          <w:rFonts w:ascii="宋体" w:hAnsi="宋体" w:cs="宋体"/>
          <w:b/>
          <w:color w:val="000000"/>
          <w:sz w:val="28"/>
          <w:szCs w:val="28"/>
        </w:rPr>
      </w:pPr>
      <w:r>
        <w:rPr>
          <w:rFonts w:hint="eastAsia" w:ascii="宋体" w:hAnsi="宋体" w:cs="宋体"/>
          <w:b/>
          <w:color w:val="000000"/>
          <w:sz w:val="28"/>
          <w:szCs w:val="28"/>
        </w:rPr>
        <w:t>北海市第二人民医院医用织物洗涤质量考核表（   月）</w:t>
      </w:r>
    </w:p>
    <w:tbl>
      <w:tblPr>
        <w:tblStyle w:val="60"/>
        <w:tblW w:w="9898" w:type="dxa"/>
        <w:jc w:val="center"/>
        <w:tblLayout w:type="fixed"/>
        <w:tblCellMar>
          <w:top w:w="0" w:type="dxa"/>
          <w:left w:w="0" w:type="dxa"/>
          <w:bottom w:w="0" w:type="dxa"/>
          <w:right w:w="0" w:type="dxa"/>
        </w:tblCellMar>
      </w:tblPr>
      <w:tblGrid>
        <w:gridCol w:w="483"/>
        <w:gridCol w:w="4466"/>
        <w:gridCol w:w="3465"/>
        <w:gridCol w:w="479"/>
        <w:gridCol w:w="468"/>
        <w:gridCol w:w="537"/>
      </w:tblGrid>
      <w:tr>
        <w:tblPrEx>
          <w:tblCellMar>
            <w:top w:w="0" w:type="dxa"/>
            <w:left w:w="0" w:type="dxa"/>
            <w:bottom w:w="0" w:type="dxa"/>
            <w:right w:w="0" w:type="dxa"/>
          </w:tblCellMar>
        </w:tblPrEx>
        <w:trPr>
          <w:trHeight w:val="440"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center"/>
              <w:textAlignment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序号</w:t>
            </w:r>
          </w:p>
        </w:tc>
        <w:tc>
          <w:tcPr>
            <w:tcW w:w="7931"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center"/>
              <w:textAlignment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考核内容</w:t>
            </w:r>
          </w:p>
        </w:tc>
        <w:tc>
          <w:tcPr>
            <w:tcW w:w="4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center"/>
              <w:textAlignment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扣分</w:t>
            </w:r>
          </w:p>
        </w:tc>
        <w:tc>
          <w:tcPr>
            <w:tcW w:w="46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center"/>
              <w:textAlignment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扣款</w:t>
            </w:r>
          </w:p>
        </w:tc>
        <w:tc>
          <w:tcPr>
            <w:tcW w:w="5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center"/>
              <w:textAlignment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备注</w:t>
            </w:r>
          </w:p>
        </w:tc>
      </w:tr>
      <w:tr>
        <w:tblPrEx>
          <w:tblCellMar>
            <w:top w:w="0" w:type="dxa"/>
            <w:left w:w="0" w:type="dxa"/>
            <w:bottom w:w="0" w:type="dxa"/>
            <w:right w:w="0" w:type="dxa"/>
          </w:tblCellMar>
        </w:tblPrEx>
        <w:trPr>
          <w:trHeight w:val="312"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heme="minorEastAsia" w:hAnsiTheme="minorEastAsia" w:eastAsiaTheme="minorEastAsia" w:cstheme="minorEastAsia"/>
                <w:b/>
                <w:szCs w:val="21"/>
              </w:rPr>
            </w:pPr>
          </w:p>
        </w:tc>
        <w:tc>
          <w:tcPr>
            <w:tcW w:w="7931"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heme="minorEastAsia" w:hAnsiTheme="minorEastAsia" w:eastAsiaTheme="minorEastAsia" w:cstheme="minorEastAsia"/>
                <w:b/>
                <w:szCs w:val="21"/>
              </w:rPr>
            </w:pPr>
          </w:p>
        </w:tc>
        <w:tc>
          <w:tcPr>
            <w:tcW w:w="4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heme="minorEastAsia" w:hAnsiTheme="minorEastAsia" w:eastAsiaTheme="minorEastAsia" w:cstheme="minorEastAsia"/>
                <w:b/>
                <w:szCs w:val="21"/>
              </w:rPr>
            </w:pPr>
          </w:p>
        </w:tc>
        <w:tc>
          <w:tcPr>
            <w:tcW w:w="4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heme="minorEastAsia" w:hAnsiTheme="minorEastAsia" w:eastAsiaTheme="minorEastAsia" w:cstheme="minorEastAsia"/>
                <w:b/>
                <w:szCs w:val="21"/>
              </w:rPr>
            </w:pPr>
          </w:p>
        </w:tc>
        <w:tc>
          <w:tcPr>
            <w:tcW w:w="5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heme="minorEastAsia" w:hAnsiTheme="minorEastAsia" w:eastAsiaTheme="minorEastAsia" w:cstheme="minorEastAsia"/>
                <w:b/>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收送医用织物时发现漏收、不收、不送、漏送或者不按规定时间收送及清点的，送货单上写的医用织物量与实际数量不符的，扣1分/次，且同时扣款50元/次。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医用织物有污迹（有大面积染色、掉色、血渍、大便或者明显可洗污渍）的,扣1分/次，且同时扣款50元/次。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折叠打包时有混分、错分的，医用织物熨烫不平整，有明显皱褶的，扣1分/次，且同时扣款50元/次。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手术类医用织物、工作人员工作服不能有补丁；病床类允许有2个补丁且补丁面积不可超过3cm×3cm；发现绳子、纽扣等松脱的情况，要及时缝补。发现一项不符，扣1分/次，且同时扣款50元/次。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打包外露造成污染的,扣2分/次，且同时扣款100元/次。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收送医用织物时,不按要求在指点地点存放医用织物，乱堆乱放，造成院内通道使用受到影响的，扣2分/次，且同时扣款100元/次。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如供应商因洗涤不当造成损坏的，扣3分/次，并由供应商照价赔偿，具体赔偿金额由医院制定。</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收送人员在收送时违反医院规章制度，与病人或者工作人员发生争执的，不听劝阻，态度恶劣，对院方造成不良影响的，扣5分/次，且同时扣款200元/次。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因洗涤配送等发生服务投诉的，经核实属有责投诉的,扣5分/次，且同时扣款200元/次。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79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20" w:lineRule="exac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在洗涤过程中，如供应商导致各类衣物丢失的，扣5分/次，并由供应商照价赔偿。</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841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 计</w:t>
            </w:r>
          </w:p>
        </w:tc>
        <w:tc>
          <w:tcPr>
            <w:tcW w:w="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left"/>
              <w:rPr>
                <w:rFonts w:asciiTheme="minorEastAsia" w:hAnsiTheme="minorEastAsia" w:eastAsiaTheme="minorEastAsia" w:cstheme="minorEastAsia"/>
                <w:szCs w:val="21"/>
              </w:rPr>
            </w:pP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left"/>
              <w:rPr>
                <w:rFonts w:asciiTheme="minorEastAsia" w:hAnsiTheme="minorEastAsia" w:eastAsiaTheme="minorEastAsia" w:cstheme="minorEastAsia"/>
                <w:szCs w:val="21"/>
              </w:rPr>
            </w:pPr>
          </w:p>
        </w:tc>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left"/>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3" w:hRule="atLeast"/>
          <w:jc w:val="center"/>
        </w:trPr>
        <w:tc>
          <w:tcPr>
            <w:tcW w:w="989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40" w:lineRule="exact"/>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考核结果：  □合格   □不合格</w:t>
            </w:r>
          </w:p>
        </w:tc>
      </w:tr>
      <w:tr>
        <w:tblPrEx>
          <w:tblCellMar>
            <w:top w:w="0" w:type="dxa"/>
            <w:left w:w="0" w:type="dxa"/>
            <w:bottom w:w="0" w:type="dxa"/>
            <w:right w:w="0" w:type="dxa"/>
          </w:tblCellMar>
        </w:tblPrEx>
        <w:trPr>
          <w:trHeight w:val="23" w:hRule="atLeast"/>
          <w:jc w:val="center"/>
        </w:trPr>
        <w:tc>
          <w:tcPr>
            <w:tcW w:w="989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考核小组签字：                                      考核时间：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c>
      </w:tr>
      <w:tr>
        <w:tblPrEx>
          <w:tblCellMar>
            <w:top w:w="0" w:type="dxa"/>
            <w:left w:w="0" w:type="dxa"/>
            <w:bottom w:w="0" w:type="dxa"/>
            <w:right w:w="0" w:type="dxa"/>
          </w:tblCellMar>
        </w:tblPrEx>
        <w:trPr>
          <w:trHeight w:val="23" w:hRule="atLeast"/>
          <w:jc w:val="center"/>
        </w:trPr>
        <w:tc>
          <w:tcPr>
            <w:tcW w:w="4949"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扣款填写人签字：</w:t>
            </w:r>
          </w:p>
          <w:p>
            <w:pPr>
              <w:pStyle w:val="22"/>
              <w:spacing w:line="440" w:lineRule="exact"/>
              <w:ind w:firstLine="2400" w:firstLineChars="10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tc>
        <w:tc>
          <w:tcPr>
            <w:tcW w:w="4949" w:type="dxa"/>
            <w:gridSpan w:val="4"/>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pStyle w:val="22"/>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扣款审核人签字：</w:t>
            </w:r>
          </w:p>
          <w:p>
            <w:pPr>
              <w:pStyle w:val="22"/>
              <w:spacing w:line="440" w:lineRule="exact"/>
              <w:ind w:firstLine="2640" w:firstLineChars="1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c>
      </w:tr>
    </w:tbl>
    <w:p>
      <w:pPr>
        <w:pStyle w:val="22"/>
        <w:spacing w:after="0" w:line="400" w:lineRule="exact"/>
        <w:ind w:firstLine="420" w:firstLineChars="200"/>
        <w:rPr>
          <w:rFonts w:hint="eastAsia" w:cs="宋体" w:asciiTheme="minorEastAsia" w:hAnsiTheme="minorEastAsia" w:eastAsiaTheme="minorEastAsia"/>
          <w:color w:val="000000" w:themeColor="text1"/>
          <w:sz w:val="21"/>
          <w:szCs w:val="21"/>
          <w:lang w:val="en-US"/>
          <w14:textFill>
            <w14:solidFill>
              <w14:schemeClr w14:val="tx1"/>
            </w14:solidFill>
          </w14:textFill>
        </w:rPr>
      </w:pPr>
      <w:r>
        <w:rPr>
          <w:rFonts w:hint="eastAsia" w:cs="宋体" w:asciiTheme="minorEastAsia" w:hAnsiTheme="minorEastAsia" w:eastAsiaTheme="minorEastAsia"/>
          <w:color w:val="000000" w:themeColor="text1"/>
          <w:sz w:val="21"/>
          <w:szCs w:val="21"/>
          <w:lang w:val="en-US"/>
          <w14:textFill>
            <w14:solidFill>
              <w14:schemeClr w14:val="tx1"/>
            </w14:solidFill>
          </w14:textFill>
        </w:rPr>
        <w:t>说明：</w:t>
      </w:r>
    </w:p>
    <w:p>
      <w:pPr>
        <w:pStyle w:val="22"/>
        <w:spacing w:after="0" w:line="400" w:lineRule="exact"/>
        <w:ind w:firstLine="420" w:firstLineChars="200"/>
        <w:rPr>
          <w:rFonts w:hint="eastAsia" w:cs="宋体" w:asciiTheme="minorEastAsia" w:hAnsiTheme="minorEastAsia" w:eastAsiaTheme="minorEastAsia"/>
          <w:color w:val="000000" w:themeColor="text1"/>
          <w:sz w:val="21"/>
          <w:szCs w:val="21"/>
          <w:lang w:val="en-US"/>
          <w14:textFill>
            <w14:solidFill>
              <w14:schemeClr w14:val="tx1"/>
            </w14:solidFill>
          </w14:textFill>
        </w:rPr>
      </w:pPr>
      <w:r>
        <w:rPr>
          <w:rFonts w:hint="eastAsia" w:cs="宋体" w:asciiTheme="minorEastAsia" w:hAnsiTheme="minorEastAsia" w:eastAsiaTheme="minorEastAsia"/>
          <w:color w:val="000000" w:themeColor="text1"/>
          <w:sz w:val="21"/>
          <w:szCs w:val="21"/>
          <w:lang w:val="en-US"/>
          <w14:textFill>
            <w14:solidFill>
              <w14:schemeClr w14:val="tx1"/>
            </w14:solidFill>
          </w14:textFill>
        </w:rPr>
        <w:t>1.总务科负责组织质量考核，每月考核一次；总务科根据考核结果扣除供应商相应款项。</w:t>
      </w:r>
    </w:p>
    <w:p>
      <w:pPr>
        <w:pStyle w:val="22"/>
        <w:spacing w:after="0" w:line="400" w:lineRule="exact"/>
        <w:ind w:firstLine="420" w:firstLineChars="200"/>
        <w:rPr>
          <w:rFonts w:hint="eastAsia" w:cs="宋体" w:asciiTheme="minorEastAsia" w:hAnsiTheme="minorEastAsia" w:eastAsiaTheme="minorEastAsia"/>
          <w:color w:val="000000" w:themeColor="text1"/>
          <w:sz w:val="21"/>
          <w:szCs w:val="21"/>
          <w:lang w:val="en-US"/>
          <w14:textFill>
            <w14:solidFill>
              <w14:schemeClr w14:val="tx1"/>
            </w14:solidFill>
          </w14:textFill>
        </w:rPr>
      </w:pPr>
      <w:r>
        <w:rPr>
          <w:rFonts w:hint="eastAsia" w:cs="宋体" w:asciiTheme="minorEastAsia" w:hAnsiTheme="minorEastAsia" w:eastAsiaTheme="minorEastAsia"/>
          <w:color w:val="000000" w:themeColor="text1"/>
          <w:sz w:val="21"/>
          <w:szCs w:val="21"/>
          <w:lang w:val="en-US"/>
          <w14:textFill>
            <w14:solidFill>
              <w14:schemeClr w14:val="tx1"/>
            </w14:solidFill>
          </w14:textFill>
        </w:rPr>
        <w:t>2.考核结果分为：合格与不合格，考核小组在□内打√。满分为100分，90分以上（含90分）为合格；90分以下为不合格。</w:t>
      </w:r>
    </w:p>
    <w:p>
      <w:pPr>
        <w:pStyle w:val="22"/>
        <w:spacing w:after="0" w:line="400" w:lineRule="exact"/>
        <w:ind w:firstLine="420" w:firstLineChars="200"/>
        <w:rPr>
          <w:rFonts w:hint="eastAsia" w:cs="宋体" w:asciiTheme="minorEastAsia" w:hAnsiTheme="minorEastAsia" w:eastAsiaTheme="minorEastAsia"/>
          <w:color w:val="000000" w:themeColor="text1"/>
          <w:sz w:val="21"/>
          <w:szCs w:val="21"/>
          <w:lang w:val="en-US"/>
          <w14:textFill>
            <w14:solidFill>
              <w14:schemeClr w14:val="tx1"/>
            </w14:solidFill>
          </w14:textFill>
        </w:rPr>
      </w:pPr>
      <w:r>
        <w:rPr>
          <w:rFonts w:hint="eastAsia" w:cs="宋体" w:asciiTheme="minorEastAsia" w:hAnsiTheme="minorEastAsia" w:eastAsiaTheme="minorEastAsia"/>
          <w:color w:val="000000" w:themeColor="text1"/>
          <w:sz w:val="21"/>
          <w:szCs w:val="21"/>
          <w:lang w:val="en-US"/>
          <w14:textFill>
            <w14:solidFill>
              <w14:schemeClr w14:val="tx1"/>
            </w14:solidFill>
          </w14:textFill>
        </w:rPr>
        <w:t>3.考核涉及的所有扣款，由总务科在考核当月的洗涤服务费中扣除。</w:t>
      </w:r>
    </w:p>
    <w:p>
      <w:pPr>
        <w:pStyle w:val="22"/>
        <w:spacing w:after="0" w:line="400" w:lineRule="exact"/>
        <w:ind w:firstLine="420" w:firstLineChars="200"/>
        <w:rPr>
          <w:rFonts w:hint="eastAsia" w:cs="宋体" w:asciiTheme="minorEastAsia" w:hAnsiTheme="minorEastAsia" w:eastAsiaTheme="minorEastAsia"/>
          <w:color w:val="000000" w:themeColor="text1"/>
          <w:sz w:val="21"/>
          <w:szCs w:val="21"/>
          <w:lang w:val="en-US"/>
          <w14:textFill>
            <w14:solidFill>
              <w14:schemeClr w14:val="tx1"/>
            </w14:solidFill>
          </w14:textFill>
        </w:rPr>
      </w:pPr>
      <w:r>
        <w:rPr>
          <w:rFonts w:hint="eastAsia" w:cs="宋体" w:asciiTheme="minorEastAsia" w:hAnsiTheme="minorEastAsia" w:eastAsiaTheme="minorEastAsia"/>
          <w:color w:val="000000" w:themeColor="text1"/>
          <w:sz w:val="21"/>
          <w:szCs w:val="21"/>
          <w:lang w:val="en-US"/>
          <w14:textFill>
            <w14:solidFill>
              <w14:schemeClr w14:val="tx1"/>
            </w14:solidFill>
          </w14:textFill>
        </w:rPr>
        <w:t>4.考核结果出现不合格时，供应商必须向医院提交整改方案，提交整改方案后5个工作日内整改完毕，总务科跟进整改情况。连续2次或累计3次出现考核不合格的，采购人有权依法终止本合同。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cs="宋体" w:asciiTheme="minorEastAsia" w:hAnsiTheme="minorEastAsia" w:eastAsiaTheme="minorEastAsia"/>
          <w:b w:val="0"/>
          <w:bCs w:val="0"/>
          <w:color w:val="000000" w:themeColor="text1"/>
          <w:szCs w:val="21"/>
          <w:lang w:eastAsia="zh-CN"/>
          <w14:textFill>
            <w14:solidFill>
              <w14:schemeClr w14:val="tx1"/>
            </w14:solidFill>
          </w14:textFill>
        </w:rPr>
      </w:pPr>
      <w:r>
        <w:rPr>
          <w:rFonts w:hint="eastAsia" w:cs="宋体" w:asciiTheme="minorEastAsia" w:hAnsiTheme="minorEastAsia" w:eastAsiaTheme="minorEastAsia"/>
          <w:b w:val="0"/>
          <w:bCs w:val="0"/>
          <w:color w:val="000000" w:themeColor="text1"/>
          <w:szCs w:val="21"/>
          <w:lang w:eastAsia="zh-CN"/>
          <w14:textFill>
            <w14:solidFill>
              <w14:schemeClr w14:val="tx1"/>
            </w14:solidFill>
          </w14:textFill>
        </w:rPr>
        <w:t>七、商务要求</w:t>
      </w:r>
    </w:p>
    <w:bookmarkEnd w:id="71"/>
    <w:bookmarkEnd w:id="72"/>
    <w:bookmarkEnd w:id="73"/>
    <w:p>
      <w:pPr>
        <w:widowControl/>
        <w:snapToGrid w:val="0"/>
        <w:spacing w:line="360" w:lineRule="auto"/>
        <w:ind w:firstLine="424" w:firstLineChars="202"/>
        <w:jc w:val="left"/>
        <w:rPr>
          <w:rFonts w:hint="eastAsia" w:cs="宋体" w:asciiTheme="minorEastAsia" w:hAnsiTheme="minorEastAsia" w:eastAsiaTheme="minorEastAsia"/>
          <w:color w:val="000000" w:themeColor="text1"/>
          <w:kern w:val="2"/>
          <w:sz w:val="21"/>
          <w:szCs w:val="21"/>
          <w14:textFill>
            <w14:solidFill>
              <w14:schemeClr w14:val="tx1"/>
            </w14:solidFill>
          </w14:textFill>
        </w:rPr>
      </w:pPr>
      <w:bookmarkStart w:id="74" w:name="_Toc21574"/>
      <w:bookmarkStart w:id="75" w:name="_Toc1962"/>
      <w:bookmarkStart w:id="76" w:name="_Toc20385"/>
      <w:r>
        <w:rPr>
          <w:rFonts w:hint="eastAsia" w:cs="宋体" w:asciiTheme="minorEastAsia" w:hAnsiTheme="minorEastAsia" w:eastAsiaTheme="minorEastAsia"/>
          <w:color w:val="000000" w:themeColor="text1"/>
          <w:kern w:val="2"/>
          <w:sz w:val="21"/>
          <w:szCs w:val="21"/>
          <w14:textFill>
            <w14:solidFill>
              <w14:schemeClr w14:val="tx1"/>
            </w14:solidFill>
          </w14:textFill>
        </w:rPr>
        <w:t>1．交货（交付）时间：2025年1</w:t>
      </w:r>
      <w:r>
        <w:rPr>
          <w:rFonts w:hint="eastAsia" w:cs="宋体" w:asciiTheme="minorEastAsia" w:hAnsiTheme="minorEastAsia" w:eastAsiaTheme="minorEastAsia"/>
          <w:color w:val="000000" w:themeColor="text1"/>
          <w:kern w:val="2"/>
          <w:sz w:val="21"/>
          <w:szCs w:val="21"/>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2"/>
          <w:sz w:val="21"/>
          <w:szCs w:val="21"/>
          <w14:textFill>
            <w14:solidFill>
              <w14:schemeClr w14:val="tx1"/>
            </w14:solidFill>
          </w14:textFill>
        </w:rPr>
        <w:t>月至202</w:t>
      </w:r>
      <w:r>
        <w:rPr>
          <w:rFonts w:hint="eastAsia" w:cs="宋体" w:asciiTheme="minorEastAsia" w:hAnsiTheme="minorEastAsia" w:eastAsiaTheme="minorEastAsia"/>
          <w:color w:val="000000" w:themeColor="text1"/>
          <w:kern w:val="2"/>
          <w:sz w:val="21"/>
          <w:szCs w:val="21"/>
          <w:lang w:val="en-US" w:eastAsia="zh-CN"/>
          <w14:textFill>
            <w14:solidFill>
              <w14:schemeClr w14:val="tx1"/>
            </w14:solidFill>
          </w14:textFill>
        </w:rPr>
        <w:t>7</w:t>
      </w:r>
      <w:r>
        <w:rPr>
          <w:rFonts w:hint="eastAsia" w:cs="宋体" w:asciiTheme="minorEastAsia" w:hAnsiTheme="minorEastAsia" w:eastAsiaTheme="minorEastAsia"/>
          <w:color w:val="000000" w:themeColor="text1"/>
          <w:kern w:val="2"/>
          <w:sz w:val="21"/>
          <w:szCs w:val="21"/>
          <w14:textFill>
            <w14:solidFill>
              <w14:schemeClr w14:val="tx1"/>
            </w14:solidFill>
          </w14:textFill>
        </w:rPr>
        <w:t>年</w:t>
      </w:r>
      <w:r>
        <w:rPr>
          <w:rFonts w:hint="eastAsia" w:cs="宋体" w:asciiTheme="minorEastAsia" w:hAnsiTheme="minorEastAsia" w:eastAsiaTheme="minorEastAsia"/>
          <w:color w:val="000000" w:themeColor="text1"/>
          <w:kern w:val="2"/>
          <w:sz w:val="21"/>
          <w:szCs w:val="21"/>
          <w:lang w:val="en-US" w:eastAsia="zh-CN"/>
          <w14:textFill>
            <w14:solidFill>
              <w14:schemeClr w14:val="tx1"/>
            </w14:solidFill>
          </w14:textFill>
        </w:rPr>
        <w:t>11</w:t>
      </w:r>
      <w:r>
        <w:rPr>
          <w:rFonts w:hint="eastAsia" w:cs="宋体" w:asciiTheme="minorEastAsia" w:hAnsiTheme="minorEastAsia" w:eastAsiaTheme="minorEastAsia"/>
          <w:color w:val="000000" w:themeColor="text1"/>
          <w:kern w:val="2"/>
          <w:sz w:val="21"/>
          <w:szCs w:val="21"/>
          <w14:textFill>
            <w14:solidFill>
              <w14:schemeClr w14:val="tx1"/>
            </w14:solidFill>
          </w14:textFill>
        </w:rPr>
        <w:t>月。</w:t>
      </w:r>
    </w:p>
    <w:p>
      <w:pPr>
        <w:widowControl/>
        <w:snapToGrid w:val="0"/>
        <w:ind w:firstLine="424" w:firstLineChars="202"/>
        <w:rPr>
          <w:rFonts w:hint="eastAsia" w:cs="宋体" w:asciiTheme="minorEastAsia" w:hAnsiTheme="minorEastAsia" w:eastAsiaTheme="minorEastAsia"/>
          <w:color w:val="000000" w:themeColor="text1"/>
          <w:kern w:val="2"/>
          <w:sz w:val="21"/>
          <w:szCs w:val="21"/>
          <w14:textFill>
            <w14:solidFill>
              <w14:schemeClr w14:val="tx1"/>
            </w14:solidFill>
          </w14:textFill>
        </w:rPr>
      </w:pPr>
      <w:r>
        <w:rPr>
          <w:rFonts w:hint="eastAsia" w:cs="宋体" w:asciiTheme="minorEastAsia" w:hAnsiTheme="minorEastAsia" w:eastAsiaTheme="minorEastAsia"/>
          <w:color w:val="000000" w:themeColor="text1"/>
          <w:kern w:val="2"/>
          <w:sz w:val="21"/>
          <w:szCs w:val="21"/>
          <w14:textFill>
            <w14:solidFill>
              <w14:schemeClr w14:val="tx1"/>
            </w14:solidFill>
          </w14:textFill>
        </w:rPr>
        <w:t>2．交货地点：北海市</w:t>
      </w:r>
      <w:r>
        <w:rPr>
          <w:rFonts w:hint="eastAsia" w:cs="宋体" w:asciiTheme="minorEastAsia" w:hAnsiTheme="minorEastAsia" w:eastAsiaTheme="minorEastAsia"/>
          <w:color w:val="000000" w:themeColor="text1"/>
          <w:kern w:val="2"/>
          <w:sz w:val="21"/>
          <w:szCs w:val="21"/>
          <w:lang w:eastAsia="zh-CN"/>
          <w14:textFill>
            <w14:solidFill>
              <w14:schemeClr w14:val="tx1"/>
            </w14:solidFill>
          </w14:textFill>
        </w:rPr>
        <w:t>银海区新世纪大道</w:t>
      </w:r>
      <w:r>
        <w:rPr>
          <w:rFonts w:hint="eastAsia" w:cs="宋体" w:asciiTheme="minorEastAsia" w:hAnsiTheme="minorEastAsia" w:eastAsiaTheme="minorEastAsia"/>
          <w:color w:val="000000" w:themeColor="text1"/>
          <w:kern w:val="2"/>
          <w:sz w:val="21"/>
          <w:szCs w:val="21"/>
          <w:lang w:val="en-US" w:eastAsia="zh-CN"/>
          <w14:textFill>
            <w14:solidFill>
              <w14:schemeClr w14:val="tx1"/>
            </w14:solidFill>
          </w14:textFill>
        </w:rPr>
        <w:t>116</w:t>
      </w:r>
      <w:r>
        <w:rPr>
          <w:rFonts w:hint="eastAsia" w:cs="宋体" w:asciiTheme="minorEastAsia" w:hAnsiTheme="minorEastAsia" w:eastAsiaTheme="minorEastAsia"/>
          <w:color w:val="000000" w:themeColor="text1"/>
          <w:kern w:val="2"/>
          <w:sz w:val="21"/>
          <w:szCs w:val="21"/>
          <w14:textFill>
            <w14:solidFill>
              <w14:schemeClr w14:val="tx1"/>
            </w14:solidFill>
          </w14:textFill>
        </w:rPr>
        <w:t>号。</w:t>
      </w:r>
    </w:p>
    <w:p>
      <w:pPr>
        <w:widowControl/>
        <w:snapToGrid w:val="0"/>
        <w:spacing w:line="360" w:lineRule="auto"/>
        <w:ind w:firstLine="424" w:firstLineChars="202"/>
        <w:jc w:val="left"/>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val="0"/>
          <w:bCs w:val="0"/>
          <w:color w:val="000000" w:themeColor="text1"/>
          <w:kern w:val="2"/>
          <w:sz w:val="21"/>
          <w:szCs w:val="21"/>
          <w:lang w:val="en-US"/>
          <w14:textFill>
            <w14:solidFill>
              <w14:schemeClr w14:val="tx1"/>
            </w14:solidFill>
          </w14:textFill>
        </w:rPr>
        <w:t>3．付款时间和方式：</w:t>
      </w:r>
      <w:bookmarkEnd w:id="74"/>
      <w:bookmarkEnd w:id="75"/>
      <w:bookmarkEnd w:id="76"/>
      <w:r>
        <w:rPr>
          <w:rFonts w:hint="eastAsia" w:cs="宋体" w:asciiTheme="minorEastAsia" w:hAnsiTheme="minorEastAsia" w:eastAsiaTheme="minorEastAsia"/>
          <w:b w:val="0"/>
          <w:bCs w:val="0"/>
          <w:color w:val="000000" w:themeColor="text1"/>
          <w:kern w:val="2"/>
          <w:sz w:val="21"/>
          <w:szCs w:val="21"/>
          <w:lang w:val="en-US"/>
          <w14:textFill>
            <w14:solidFill>
              <w14:schemeClr w14:val="tx1"/>
            </w14:solidFill>
          </w14:textFill>
        </w:rPr>
        <w:t>（1）按季度付款，共八期；签订合同后10个工作日支付合同成交金额的10%；</w:t>
      </w:r>
      <w:r>
        <w:rPr>
          <w:rFonts w:hint="eastAsia" w:cs="宋体" w:asciiTheme="minorEastAsia" w:hAnsiTheme="minorEastAsia" w:eastAsiaTheme="minorEastAsia"/>
          <w:b w:val="0"/>
          <w:bCs w:val="0"/>
          <w:color w:val="000000" w:themeColor="text1"/>
          <w:kern w:val="2"/>
          <w:sz w:val="21"/>
          <w:szCs w:val="21"/>
          <w:lang w:val="en-US"/>
          <w14:textFill>
            <w14:solidFill>
              <w14:schemeClr w14:val="tx1"/>
            </w14:solidFill>
          </w14:textFill>
        </w:rPr>
        <w:br w:type="textWrapping"/>
      </w:r>
      <w:r>
        <w:rPr>
          <w:rFonts w:hint="eastAsia" w:cs="宋体" w:asciiTheme="minorEastAsia" w:hAnsiTheme="minorEastAsia" w:eastAsiaTheme="minorEastAsia"/>
          <w:b w:val="0"/>
          <w:bCs w:val="0"/>
          <w:color w:val="000000" w:themeColor="text1"/>
          <w:kern w:val="2"/>
          <w:sz w:val="21"/>
          <w:szCs w:val="21"/>
          <w:lang w:val="en-US"/>
          <w14:textFill>
            <w14:solidFill>
              <w14:schemeClr w14:val="tx1"/>
            </w14:solidFill>
          </w14:textFill>
        </w:rPr>
        <w:t>（2）第一期款项优先从预付款中抵扣，从第二期款项开始，每满一季度乙方均可申请当期款项。</w:t>
      </w:r>
      <w:r>
        <w:rPr>
          <w:rFonts w:hint="eastAsia" w:cs="宋体" w:asciiTheme="minorEastAsia" w:hAnsiTheme="minorEastAsia" w:eastAsiaTheme="minorEastAsia"/>
          <w:b w:val="0"/>
          <w:bCs w:val="0"/>
          <w:color w:val="000000" w:themeColor="text1"/>
          <w:kern w:val="2"/>
          <w:sz w:val="21"/>
          <w:szCs w:val="21"/>
          <w:lang w:val="en-US"/>
          <w14:textFill>
            <w14:solidFill>
              <w14:schemeClr w14:val="tx1"/>
            </w14:solidFill>
          </w14:textFill>
        </w:rPr>
        <w:br w:type="textWrapping"/>
      </w:r>
      <w:r>
        <w:rPr>
          <w:rFonts w:hint="eastAsia" w:cs="宋体" w:asciiTheme="minorEastAsia" w:hAnsiTheme="minorEastAsia" w:eastAsiaTheme="minorEastAsia"/>
          <w:b w:val="0"/>
          <w:bCs w:val="0"/>
          <w:color w:val="000000" w:themeColor="text1"/>
          <w:kern w:val="2"/>
          <w:sz w:val="21"/>
          <w:szCs w:val="21"/>
          <w:lang w:val="en-US"/>
          <w14:textFill>
            <w14:solidFill>
              <w14:schemeClr w14:val="tx1"/>
            </w14:solidFill>
          </w14:textFill>
        </w:rPr>
        <w:t>（3）除预付款外，每一季度乙方应按期提交经归口科室签字确认的服务考核表，并向甲方开具同等金额的发票与请款函，甲方在收到乙方请款申请及同等金额的发票等资料及资料合格后30个日历日内一次性无息支付给乙</w:t>
      </w:r>
      <w:r>
        <w:rPr>
          <w:rFonts w:hint="eastAsia" w:cs="宋体" w:asciiTheme="minorEastAsia" w:hAnsiTheme="minorEastAsia" w:eastAsiaTheme="minorEastAsia"/>
          <w:color w:val="000000" w:themeColor="text1"/>
          <w:kern w:val="2"/>
          <w:sz w:val="21"/>
          <w:szCs w:val="21"/>
          <w14:textFill>
            <w14:solidFill>
              <w14:schemeClr w14:val="tx1"/>
            </w14:solidFill>
          </w14:textFill>
        </w:rPr>
        <w:t>方，如请款资料不合格，甲方有权不予以支付相应款项，并且不承担延迟付款责任。</w:t>
      </w:r>
    </w:p>
    <w:p>
      <w:pPr>
        <w:adjustRightInd/>
        <w:spacing w:line="360" w:lineRule="auto"/>
        <w:jc w:val="center"/>
        <w:outlineLvl w:val="0"/>
        <w:rPr>
          <w:rFonts w:cs="仿宋_GB2312" w:asciiTheme="minorEastAsia" w:hAnsiTheme="minorEastAsia" w:eastAsiaTheme="minorEastAsia"/>
          <w:b/>
          <w:sz w:val="36"/>
          <w:szCs w:val="36"/>
        </w:rPr>
      </w:pPr>
      <w:bookmarkStart w:id="77" w:name="_Toc181203098"/>
      <w:r>
        <w:rPr>
          <w:rFonts w:hint="eastAsia" w:cs="仿宋_GB2312" w:asciiTheme="minorEastAsia" w:hAnsiTheme="minorEastAsia" w:eastAsiaTheme="minorEastAsia"/>
          <w:b/>
          <w:sz w:val="36"/>
          <w:szCs w:val="36"/>
        </w:rPr>
        <w:t xml:space="preserve">第五部分  </w:t>
      </w:r>
      <w:bookmarkEnd w:id="68"/>
      <w:bookmarkEnd w:id="69"/>
      <w:bookmarkStart w:id="78" w:name="第四部分"/>
      <w:r>
        <w:rPr>
          <w:rFonts w:hint="eastAsia" w:cs="仿宋_GB2312" w:asciiTheme="minorEastAsia" w:hAnsiTheme="minorEastAsia" w:eastAsiaTheme="minorEastAsia"/>
          <w:b/>
          <w:sz w:val="36"/>
          <w:szCs w:val="36"/>
        </w:rPr>
        <w:t>评审方法及评审标准</w:t>
      </w:r>
      <w:bookmarkEnd w:id="77"/>
    </w:p>
    <w:p>
      <w:pPr>
        <w:snapToGrid w:val="0"/>
        <w:spacing w:line="420" w:lineRule="exact"/>
        <w:ind w:firstLine="3213" w:firstLineChars="1000"/>
        <w:rPr>
          <w:rFonts w:ascii="宋体" w:hAnsi="宋体" w:cs="宋体"/>
          <w:b/>
          <w:sz w:val="32"/>
          <w:szCs w:val="20"/>
        </w:rPr>
      </w:pPr>
      <w:r>
        <w:rPr>
          <w:rFonts w:hint="eastAsia" w:ascii="宋体" w:hAnsi="宋体" w:cs="宋体"/>
          <w:b/>
          <w:sz w:val="32"/>
          <w:szCs w:val="20"/>
        </w:rPr>
        <w:t>评标办法前附表</w:t>
      </w:r>
    </w:p>
    <w:p>
      <w:pPr>
        <w:snapToGrid w:val="0"/>
        <w:spacing w:line="500" w:lineRule="exact"/>
        <w:ind w:firstLine="482" w:firstLineChars="200"/>
        <w:rPr>
          <w:rFonts w:ascii="宋体" w:hAnsi="Calibri" w:cs="宋体"/>
          <w:b/>
          <w:bCs/>
          <w:sz w:val="24"/>
        </w:rPr>
      </w:pPr>
      <w:r>
        <w:rPr>
          <w:rFonts w:hint="eastAsia" w:ascii="宋体" w:hAnsi="Calibri" w:cs="宋体"/>
          <w:b/>
          <w:bCs/>
          <w:sz w:val="24"/>
        </w:rPr>
        <w:t>一、磋商原则</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(一)磋商小组构成：本采购项目的磋商小组由采购人代表和有关技术、经济等方面的专家组成，成员人数应当为三人以上单数。其中，技术、经济等方面的专家不得少于成员总数的三分之二。</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（二)磋商依据：评委将以磋商文件、磋商响应文件为磋商依据，对磋商供应商的价格、服务方案、履约能力等方面内容按百分制打分。</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(三)磋商方式：以封闭方式进行。</w:t>
      </w:r>
    </w:p>
    <w:p>
      <w:pPr>
        <w:widowControl/>
        <w:adjustRightInd/>
        <w:spacing w:line="500" w:lineRule="exact"/>
        <w:ind w:left="562" w:hanging="562"/>
        <w:rPr>
          <w:rFonts w:ascii="宋体" w:hAnsi="宋体" w:cs="宋体"/>
          <w:b/>
          <w:bCs/>
          <w:kern w:val="0"/>
          <w:sz w:val="24"/>
        </w:rPr>
      </w:pPr>
      <w:r>
        <w:rPr>
          <w:rFonts w:hint="eastAsia" w:ascii="宋体" w:hAnsi="宋体" w:cs="宋体"/>
          <w:b/>
          <w:kern w:val="0"/>
          <w:sz w:val="24"/>
        </w:rPr>
        <w:t xml:space="preserve">    </w:t>
      </w:r>
      <w:r>
        <w:rPr>
          <w:rFonts w:hint="eastAsia" w:ascii="宋体" w:hAnsi="宋体" w:cs="宋体"/>
          <w:b/>
          <w:bCs/>
          <w:kern w:val="0"/>
          <w:sz w:val="24"/>
        </w:rPr>
        <w:t>二、评审方法</w:t>
      </w:r>
    </w:p>
    <w:p>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（一）对进入详评的，采用百分制综合评分法。</w:t>
      </w:r>
    </w:p>
    <w:p>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（二）计分办法（按四舍五入取至百分位）</w:t>
      </w:r>
      <w:bookmarkStart w:id="79" w:name="_Toc4662"/>
      <w:r>
        <w:rPr>
          <w:rFonts w:hint="eastAsia" w:ascii="宋体" w:hAnsi="宋体" w:cs="宋体"/>
          <w:kern w:val="0"/>
          <w:sz w:val="24"/>
        </w:rPr>
        <w:t>.</w:t>
      </w:r>
    </w:p>
    <w:tbl>
      <w:tblPr>
        <w:tblStyle w:val="60"/>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23"/>
        <w:gridCol w:w="636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序号</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评审因素</w:t>
            </w:r>
          </w:p>
        </w:tc>
        <w:tc>
          <w:tcPr>
            <w:tcW w:w="6364"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评审因素具体内容</w:t>
            </w:r>
          </w:p>
        </w:tc>
        <w:tc>
          <w:tcPr>
            <w:tcW w:w="880" w:type="dxa"/>
            <w:vAlign w:val="center"/>
          </w:tcPr>
          <w:p>
            <w:pPr>
              <w:widowControl/>
              <w:wordWrap w:val="0"/>
              <w:spacing w:line="360" w:lineRule="exact"/>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1</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价格分</w:t>
            </w:r>
          </w:p>
        </w:tc>
        <w:tc>
          <w:tcPr>
            <w:tcW w:w="6364" w:type="dxa"/>
          </w:tcPr>
          <w:p>
            <w:pPr>
              <w:wordWrap w:val="0"/>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为专门面向中小企业采购预留项目，根据《政府采购促进中小企业发展管理办法》（财库〔2020〕46号）、《财政部司法部关于政府采购支持监狱企业发展有关问题的通知》（财库〔2014〕68号）及《关于促进残疾人就业政府采购政策的通知》（财库〔2017〕141号）规定，不再对小微企业或监狱企业或残疾人福利性单位的最后报价进行政府采购政策性扣除。</w:t>
            </w:r>
          </w:p>
          <w:p>
            <w:pPr>
              <w:wordWrap w:val="0"/>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（2）以进入比较与评审环节的最低的最后报价为基准价，基准价得分为10分。</w:t>
            </w:r>
          </w:p>
          <w:p>
            <w:pPr>
              <w:wordWrap w:val="0"/>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（3）价格分计算公式：</w:t>
            </w:r>
          </w:p>
          <w:p>
            <w:pPr>
              <w:wordWrap w:val="0"/>
              <w:autoSpaceDE/>
              <w:autoSpaceDN/>
              <w:adjustRightInd w:val="0"/>
              <w:snapToGrid w:val="0"/>
              <w:spacing w:line="360" w:lineRule="exact"/>
              <w:ind w:firstLine="0" w:firstLineChars="0"/>
              <w:jc w:val="lef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某磋商供应商价格分=磋商基准价/某磋商供应商磋商评审价×</w:t>
            </w:r>
            <w:r>
              <w:rPr>
                <w:rFonts w:hint="eastAsia" w:ascii="宋体" w:hAnsi="宋体" w:cs="宋体"/>
                <w:color w:val="000000" w:themeColor="text1"/>
                <w:kern w:val="2"/>
                <w:sz w:val="21"/>
                <w:szCs w:val="21"/>
                <w:highlight w:val="none"/>
                <w:lang w:val="en-US" w:eastAsia="zh-CN"/>
                <w14:textFill>
                  <w14:solidFill>
                    <w14:schemeClr w14:val="tx1"/>
                  </w14:solidFill>
                </w14:textFill>
              </w:rPr>
              <w:t>30</w:t>
            </w:r>
            <w:r>
              <w:rPr>
                <w:rFonts w:hint="eastAsia" w:ascii="宋体" w:hAnsi="宋体" w:cs="宋体"/>
                <w:color w:val="000000" w:themeColor="text1"/>
                <w:kern w:val="2"/>
                <w:sz w:val="21"/>
                <w:szCs w:val="21"/>
                <w:highlight w:val="none"/>
                <w14:textFill>
                  <w14:solidFill>
                    <w14:schemeClr w14:val="tx1"/>
                  </w14:solidFill>
                </w14:textFill>
              </w:rPr>
              <w:t>分</w:t>
            </w:r>
          </w:p>
          <w:p>
            <w:pPr>
              <w:wordWrap w:val="0"/>
              <w:adjustRightInd w:val="0"/>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14:textFill>
                  <w14:solidFill>
                    <w14:schemeClr w14:val="tx1"/>
                  </w14:solidFill>
                </w14:textFill>
              </w:rPr>
              <w:t>报价属于</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磋商文件规定异常低价</w:t>
            </w:r>
            <w:r>
              <w:rPr>
                <w:rFonts w:hint="eastAsia" w:ascii="宋体" w:hAnsi="宋体" w:eastAsia="宋体" w:cs="宋体"/>
                <w:bCs w:val="0"/>
                <w:color w:val="000000" w:themeColor="text1"/>
                <w:kern w:val="2"/>
                <w:sz w:val="21"/>
                <w:szCs w:val="21"/>
                <w:highlight w:val="none"/>
                <w14:textFill>
                  <w14:solidFill>
                    <w14:schemeClr w14:val="tx1"/>
                  </w14:solidFill>
                </w14:textFill>
              </w:rPr>
              <w:t>规定情形之一，未能按要求提供书面说明或者提交相关证明材料，不能证明其报价合理性的</w:t>
            </w:r>
            <w:r>
              <w:rPr>
                <w:rFonts w:hint="eastAsia" w:ascii="宋体" w:hAnsi="宋体" w:cs="宋体"/>
                <w:bCs w:val="0"/>
                <w:color w:val="000000" w:themeColor="text1"/>
                <w:kern w:val="2"/>
                <w:sz w:val="21"/>
                <w:szCs w:val="21"/>
                <w:highlight w:val="none"/>
                <w:lang w:eastAsia="zh-CN"/>
                <w14:textFill>
                  <w14:solidFill>
                    <w14:schemeClr w14:val="tx1"/>
                  </w14:solidFill>
                </w14:textFill>
              </w:rPr>
              <w:t>，响应无效。</w:t>
            </w:r>
          </w:p>
        </w:tc>
        <w:tc>
          <w:tcPr>
            <w:tcW w:w="880" w:type="dxa"/>
            <w:vAlign w:val="center"/>
          </w:tcPr>
          <w:p>
            <w:pPr>
              <w:widowControl/>
              <w:wordWrap w:val="0"/>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2</w:t>
            </w:r>
          </w:p>
        </w:tc>
        <w:tc>
          <w:tcPr>
            <w:tcW w:w="1423" w:type="dxa"/>
            <w:vAlign w:val="center"/>
          </w:tcPr>
          <w:p>
            <w:pPr>
              <w:widowControl/>
              <w:wordWrap w:val="0"/>
              <w:spacing w:line="360" w:lineRule="exact"/>
              <w:jc w:val="center"/>
              <w:rPr>
                <w:rFonts w:ascii="宋体" w:hAnsi="宋体" w:cs="宋体"/>
                <w:b/>
                <w:kern w:val="0"/>
                <w:szCs w:val="21"/>
              </w:rPr>
            </w:pPr>
            <w:r>
              <w:rPr>
                <w:rFonts w:hint="eastAsia" w:ascii="宋体" w:hAnsi="宋体" w:cs="宋体"/>
                <w:b/>
                <w:kern w:val="0"/>
                <w:szCs w:val="21"/>
              </w:rPr>
              <w:t>技术分</w:t>
            </w:r>
          </w:p>
        </w:tc>
        <w:tc>
          <w:tcPr>
            <w:tcW w:w="7244" w:type="dxa"/>
            <w:gridSpan w:val="2"/>
          </w:tcPr>
          <w:p>
            <w:pPr>
              <w:widowControl/>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2.1</w:t>
            </w:r>
          </w:p>
        </w:tc>
        <w:tc>
          <w:tcPr>
            <w:tcW w:w="1423" w:type="dxa"/>
            <w:vAlign w:val="center"/>
          </w:tcPr>
          <w:p>
            <w:pPr>
              <w:wordWrap w:val="0"/>
              <w:spacing w:line="360" w:lineRule="exact"/>
              <w:jc w:val="center"/>
              <w:rPr>
                <w:rFonts w:ascii="宋体" w:hAnsi="宋体" w:cs="宋体"/>
                <w:b/>
                <w:kern w:val="0"/>
                <w:szCs w:val="21"/>
              </w:rPr>
            </w:pPr>
            <w:r>
              <w:rPr>
                <w:rFonts w:hint="eastAsia" w:ascii="宋体" w:hAnsi="宋体" w:cs="宋体"/>
                <w:b/>
                <w:szCs w:val="21"/>
              </w:rPr>
              <w:t>项目实施方案分</w:t>
            </w:r>
          </w:p>
        </w:tc>
        <w:tc>
          <w:tcPr>
            <w:tcW w:w="6364" w:type="dxa"/>
            <w:vAlign w:val="center"/>
          </w:tcPr>
          <w:p>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一档（10分）：项目实施方案内容</w:t>
            </w:r>
            <w:r>
              <w:rPr>
                <w:rFonts w:hint="eastAsia" w:hAnsi="宋体"/>
                <w:bCs/>
                <w:color w:val="000000" w:themeColor="text1"/>
                <w:szCs w:val="21"/>
                <w14:textFill>
                  <w14:solidFill>
                    <w14:schemeClr w14:val="tx1"/>
                  </w14:solidFill>
                </w14:textFill>
              </w:rPr>
              <w:t>只有基本框架内容</w:t>
            </w:r>
            <w:r>
              <w:rPr>
                <w:rFonts w:hint="eastAsia" w:hAnsi="宋体" w:cs="宋体"/>
                <w:color w:val="000000" w:themeColor="text1"/>
                <w:szCs w:val="21"/>
                <w14:textFill>
                  <w14:solidFill>
                    <w14:schemeClr w14:val="tx1"/>
                  </w14:solidFill>
                </w14:textFill>
              </w:rPr>
              <w:t>，各部分内容描述有缺失，不完整</w:t>
            </w:r>
            <w:r>
              <w:rPr>
                <w:rFonts w:hint="eastAsia" w:ascii="宋体" w:hAnsi="宋体" w:cs="宋体"/>
                <w:bCs/>
                <w:color w:val="000000" w:themeColor="text1"/>
                <w:szCs w:val="21"/>
                <w14:textFill>
                  <w14:solidFill>
                    <w14:schemeClr w14:val="tx1"/>
                  </w14:solidFill>
                </w14:textFill>
              </w:rPr>
              <w:t>。</w:t>
            </w:r>
          </w:p>
          <w:p>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二档（15分）：项目实施方案中包含有抗菌操作流程、管理条例和各岗位安全操作规程，</w:t>
            </w:r>
            <w:r>
              <w:rPr>
                <w:rFonts w:hint="eastAsia" w:hAnsi="宋体" w:cs="宋体"/>
                <w:color w:val="000000" w:themeColor="text1"/>
                <w:szCs w:val="21"/>
                <w14:textFill>
                  <w14:solidFill>
                    <w14:schemeClr w14:val="tx1"/>
                  </w14:solidFill>
                </w14:textFill>
              </w:rPr>
              <w:t>满足项目服务需求</w:t>
            </w:r>
            <w:r>
              <w:rPr>
                <w:rFonts w:hint="eastAsia" w:ascii="宋体" w:hAnsi="宋体" w:cs="宋体"/>
                <w:bCs/>
                <w:color w:val="000000" w:themeColor="text1"/>
                <w:szCs w:val="21"/>
                <w14:textFill>
                  <w14:solidFill>
                    <w14:schemeClr w14:val="tx1"/>
                  </w14:solidFill>
                </w14:textFill>
              </w:rPr>
              <w:t>。</w:t>
            </w:r>
          </w:p>
          <w:p>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20分）：项目实施方案详细完整，有详细完整的抗菌操作流程、有能保证抗菌效果质量的措施、完善的设备和耗材管理制度、接送流程、有消毒规范、有防火、防盗安全措施，有安全事故应急预案，有全面、完善、详尽的安全生产制度。</w:t>
            </w:r>
            <w:r>
              <w:rPr>
                <w:rFonts w:hint="eastAsia" w:hAnsi="宋体" w:cs="宋体"/>
                <w:color w:val="000000" w:themeColor="text1"/>
                <w:szCs w:val="21"/>
                <w14:textFill>
                  <w14:solidFill>
                    <w14:schemeClr w14:val="tx1"/>
                  </w14:solidFill>
                </w14:textFill>
              </w:rPr>
              <w:t>工作流程清晰明了，</w:t>
            </w:r>
            <w:r>
              <w:rPr>
                <w:rFonts w:hint="eastAsia" w:ascii="宋体" w:hAnsi="宋体" w:cs="宋体"/>
                <w:bCs/>
                <w:color w:val="000000" w:themeColor="text1"/>
                <w:szCs w:val="21"/>
                <w14:textFill>
                  <w14:solidFill>
                    <w14:schemeClr w14:val="tx1"/>
                  </w14:solidFill>
                </w14:textFill>
              </w:rPr>
              <w:t>能考虑每一个细节，包括工作内容、工作顺序、工作时限等。</w:t>
            </w:r>
          </w:p>
          <w:p>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注：方案内容未达到一档要求的不得分。</w:t>
            </w: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r>
              <w:rPr>
                <w:rFonts w:hint="eastAsia" w:ascii="宋体" w:hAnsi="宋体" w:cs="宋体"/>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2.2</w:t>
            </w:r>
          </w:p>
        </w:tc>
        <w:tc>
          <w:tcPr>
            <w:tcW w:w="1423" w:type="dxa"/>
            <w:vAlign w:val="center"/>
          </w:tcPr>
          <w:p>
            <w:pPr>
              <w:wordWrap w:val="0"/>
              <w:adjustRightInd w:val="0"/>
              <w:spacing w:line="360" w:lineRule="exact"/>
              <w:jc w:val="center"/>
              <w:textAlignment w:val="baseline"/>
              <w:rPr>
                <w:rFonts w:ascii="宋体" w:hAnsi="宋体" w:cs="宋体"/>
                <w:b/>
                <w:bCs/>
                <w:kern w:val="0"/>
                <w:szCs w:val="21"/>
              </w:rPr>
            </w:pPr>
            <w:r>
              <w:rPr>
                <w:rFonts w:hint="eastAsia" w:ascii="宋体" w:hAnsi="宋体" w:cs="宋体"/>
                <w:b/>
                <w:bCs/>
                <w:szCs w:val="21"/>
              </w:rPr>
              <w:t>拟投入的服务场所分</w:t>
            </w:r>
          </w:p>
        </w:tc>
        <w:tc>
          <w:tcPr>
            <w:tcW w:w="6364" w:type="dxa"/>
            <w:vAlign w:val="center"/>
          </w:tcPr>
          <w:p>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供应商响应文件中</w:t>
            </w:r>
            <w:r>
              <w:rPr>
                <w:rFonts w:hint="eastAsia" w:ascii="宋体" w:hAnsi="宋体" w:cs="宋体"/>
                <w:bCs/>
                <w:color w:val="000000" w:themeColor="text1"/>
                <w:szCs w:val="21"/>
                <w:lang w:eastAsia="zh-CN"/>
                <w14:textFill>
                  <w14:solidFill>
                    <w14:schemeClr w14:val="tx1"/>
                  </w14:solidFill>
                </w14:textFill>
              </w:rPr>
              <w:t>提供</w:t>
            </w:r>
            <w:r>
              <w:rPr>
                <w:rFonts w:hint="eastAsia" w:ascii="宋体" w:hAnsi="宋体" w:cs="宋体"/>
                <w:bCs/>
                <w:color w:val="000000" w:themeColor="text1"/>
                <w:szCs w:val="21"/>
                <w14:textFill>
                  <w14:solidFill>
                    <w14:schemeClr w14:val="tx1"/>
                  </w14:solidFill>
                </w14:textFill>
              </w:rPr>
              <w:t>拟投入场所内容（可包括①洗涤消毒厂的相关各功能区平面图，②各区域情况、面积介绍，③各区域功能说明等），磋商小组成员对上述内容进行独立评审并按以下规则独立打分：</w:t>
            </w:r>
          </w:p>
          <w:p>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一档（5分）：只有厂房各区域的文字介绍，区域情况及功能描述不完整。</w:t>
            </w:r>
          </w:p>
          <w:p>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二档（10分）：提供厂房各区域的文字介绍，配合部分图片进行说明，具有功能区划分，并能对各功能区进行说明，满足项目服务需求。</w:t>
            </w:r>
          </w:p>
          <w:p>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三档（15分）：提供洗涤消毒厂的相关各功能区平面图，平面图能清晰分辨各功能区的设置情况以及相关使用面积，各区域情况介绍能够图文并茂，并能结合消毒的服务过程对各区域功能进行针对性说明，区域划分合理，能满足突发公共卫生事件应急情况下的抗菌消毒服务需求。拟投入场所的内容合理且符合WS/T508-2016《医院医用织物洗涤消毒技术规范》要求、可行且具有针对性，完全满足项目服务需求。</w:t>
            </w:r>
          </w:p>
          <w:p>
            <w:pPr>
              <w:widowControl/>
              <w:wordWrap w:val="0"/>
              <w:spacing w:line="360" w:lineRule="exact"/>
              <w:jc w:val="left"/>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注：未提供拟投入的服务场所方案或内容未达到一档要求的不得分。</w:t>
            </w: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1423" w:type="dxa"/>
            <w:vAlign w:val="center"/>
          </w:tcPr>
          <w:p>
            <w:pPr>
              <w:wordWrap w:val="0"/>
              <w:adjustRightInd w:val="0"/>
              <w:spacing w:line="360" w:lineRule="exact"/>
              <w:jc w:val="center"/>
              <w:textAlignment w:val="baseline"/>
              <w:rPr>
                <w:rFonts w:ascii="宋体" w:hAnsi="宋体" w:cs="宋体"/>
                <w:b/>
                <w:bCs/>
                <w:szCs w:val="21"/>
              </w:rPr>
            </w:pPr>
            <w:r>
              <w:rPr>
                <w:rFonts w:hint="eastAsia" w:ascii="宋体" w:hAnsi="宋体" w:cs="宋体"/>
                <w:b/>
                <w:bCs/>
                <w:szCs w:val="21"/>
              </w:rPr>
              <w:t>拟投入的设备情况</w:t>
            </w:r>
          </w:p>
        </w:tc>
        <w:tc>
          <w:tcPr>
            <w:tcW w:w="6364" w:type="dxa"/>
            <w:vAlign w:val="center"/>
          </w:tcPr>
          <w:p>
            <w:pPr>
              <w:widowControl/>
              <w:wordWrap w:val="0"/>
              <w:spacing w:line="360" w:lineRule="exact"/>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1.供应商拟投入的设备符合医院院感防控要求的独立设备区域划分，具有隔离式洗衣机得3分、婴儿专用洗衣机得3分，响应文件中提供设备的产品说明书、实物图片、购销合同</w:t>
            </w:r>
            <w:r>
              <w:rPr>
                <w:rFonts w:hint="eastAsia" w:ascii="宋体" w:hAnsi="宋体" w:cs="宋体"/>
                <w:bCs/>
                <w:color w:val="000000" w:themeColor="text1"/>
                <w:kern w:val="0"/>
                <w:szCs w:val="21"/>
                <w:lang w:eastAsia="zh-CN"/>
                <w14:textFill>
                  <w14:solidFill>
                    <w14:schemeClr w14:val="tx1"/>
                  </w14:solidFill>
                </w14:textFill>
              </w:rPr>
              <w:t>（或发票）</w:t>
            </w:r>
            <w:r>
              <w:rPr>
                <w:rFonts w:hint="eastAsia" w:ascii="宋体" w:hAnsi="宋体" w:cs="宋体"/>
                <w:bCs/>
                <w:color w:val="000000" w:themeColor="text1"/>
                <w:kern w:val="0"/>
                <w:szCs w:val="21"/>
                <w14:textFill>
                  <w14:solidFill>
                    <w14:schemeClr w14:val="tx1"/>
                  </w14:solidFill>
                </w14:textFill>
              </w:rPr>
              <w:t>复印件</w:t>
            </w:r>
            <w:r>
              <w:rPr>
                <w:rFonts w:hint="eastAsia" w:ascii="宋体" w:hAnsi="宋体" w:cs="宋体"/>
                <w:bCs/>
                <w:color w:val="000000" w:themeColor="text1"/>
                <w:kern w:val="0"/>
                <w:szCs w:val="21"/>
                <w:lang w:eastAsia="zh-CN"/>
                <w14:textFill>
                  <w14:solidFill>
                    <w14:schemeClr w14:val="tx1"/>
                  </w14:solidFill>
                </w14:textFill>
              </w:rPr>
              <w:t>（租赁的设备需提供租赁合同复印件、设备放置在供应商工作间的相关证明或承诺函），复印件均</w:t>
            </w:r>
            <w:r>
              <w:rPr>
                <w:rFonts w:hint="eastAsia" w:ascii="宋体" w:hAnsi="宋体" w:cs="宋体"/>
                <w:bCs/>
                <w:color w:val="000000" w:themeColor="text1"/>
                <w:kern w:val="0"/>
                <w:szCs w:val="21"/>
                <w14:textFill>
                  <w14:solidFill>
                    <w14:schemeClr w14:val="tx1"/>
                  </w14:solidFill>
                </w14:textFill>
              </w:rPr>
              <w:t>加盖供应商公章，否则不得分。（满分</w:t>
            </w:r>
            <w:r>
              <w:rPr>
                <w:rFonts w:hint="eastAsia" w:ascii="宋体" w:hAnsi="宋体" w:cs="宋体"/>
                <w:bCs/>
                <w:color w:val="000000" w:themeColor="text1"/>
                <w:kern w:val="0"/>
                <w:szCs w:val="21"/>
                <w:lang w:val="en-US" w:eastAsia="zh-CN"/>
                <w14:textFill>
                  <w14:solidFill>
                    <w14:schemeClr w14:val="tx1"/>
                  </w14:solidFill>
                </w14:textFill>
              </w:rPr>
              <w:t>5</w:t>
            </w:r>
            <w:r>
              <w:rPr>
                <w:rFonts w:hint="eastAsia" w:ascii="宋体" w:hAnsi="宋体" w:cs="宋体"/>
                <w:bCs/>
                <w:color w:val="000000" w:themeColor="text1"/>
                <w:kern w:val="0"/>
                <w:szCs w:val="21"/>
                <w14:textFill>
                  <w14:solidFill>
                    <w14:schemeClr w14:val="tx1"/>
                  </w14:solidFill>
                </w14:textFill>
              </w:rPr>
              <w:t>分）。</w:t>
            </w:r>
          </w:p>
          <w:p>
            <w:pPr>
              <w:widowControl/>
              <w:wordWrap w:val="0"/>
              <w:spacing w:line="360" w:lineRule="exact"/>
              <w:jc w:val="left"/>
              <w:rPr>
                <w:rFonts w:ascii="宋体" w:hAnsi="宋体" w:cs="宋体"/>
                <w:bCs/>
                <w:color w:val="000000" w:themeColor="text1"/>
                <w:kern w:val="0"/>
                <w:szCs w:val="21"/>
                <w14:textFill>
                  <w14:solidFill>
                    <w14:schemeClr w14:val="tx1"/>
                  </w14:solidFill>
                </w14:textFill>
              </w:rPr>
            </w:pP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ordWrap w:val="0"/>
              <w:adjustRightInd w:val="0"/>
              <w:spacing w:line="360" w:lineRule="exact"/>
              <w:jc w:val="center"/>
              <w:textAlignment w:val="baseline"/>
              <w:rPr>
                <w:rFonts w:ascii="宋体" w:hAnsi="宋体" w:cs="宋体"/>
                <w:kern w:val="0"/>
                <w:szCs w:val="21"/>
              </w:rPr>
            </w:pPr>
            <w:r>
              <w:rPr>
                <w:rFonts w:hint="eastAsia" w:ascii="宋体" w:hAnsi="宋体" w:cs="宋体"/>
                <w:kern w:val="0"/>
                <w:szCs w:val="21"/>
              </w:rPr>
              <w:t>2</w:t>
            </w:r>
            <w:r>
              <w:rPr>
                <w:rFonts w:ascii="宋体" w:hAnsi="宋体" w:cs="宋体"/>
                <w:kern w:val="0"/>
                <w:szCs w:val="21"/>
              </w:rPr>
              <w:t>.4</w:t>
            </w:r>
          </w:p>
        </w:tc>
        <w:tc>
          <w:tcPr>
            <w:tcW w:w="1423" w:type="dxa"/>
            <w:vAlign w:val="center"/>
          </w:tcPr>
          <w:p>
            <w:pPr>
              <w:widowControl/>
              <w:wordWrap w:val="0"/>
              <w:spacing w:line="360" w:lineRule="exact"/>
              <w:jc w:val="center"/>
              <w:rPr>
                <w:rFonts w:ascii="宋体" w:hAnsi="宋体" w:cs="宋体"/>
                <w:b/>
                <w:szCs w:val="21"/>
              </w:rPr>
            </w:pPr>
            <w:r>
              <w:rPr>
                <w:rFonts w:hint="eastAsia" w:ascii="宋体" w:hAnsi="宋体" w:cs="宋体"/>
                <w:b/>
                <w:bCs w:val="0"/>
                <w:color w:val="000000"/>
                <w:szCs w:val="21"/>
              </w:rPr>
              <w:t>人员配备及管理培训方案分</w:t>
            </w:r>
          </w:p>
        </w:tc>
        <w:tc>
          <w:tcPr>
            <w:tcW w:w="6364" w:type="dxa"/>
            <w:vAlign w:val="center"/>
          </w:tcPr>
          <w:p>
            <w:pPr>
              <w:widowControl/>
              <w:wordWrap w:val="0"/>
              <w:spacing w:line="360" w:lineRule="exact"/>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一档（</w:t>
            </w:r>
            <w:r>
              <w:rPr>
                <w:rFonts w:hint="eastAsia" w:ascii="宋体" w:hAnsi="宋体" w:cs="宋体"/>
                <w:bCs/>
                <w:color w:val="000000" w:themeColor="text1"/>
                <w:kern w:val="0"/>
                <w:szCs w:val="21"/>
                <w:lang w:val="en-US" w:eastAsia="zh-CN"/>
                <w14:textFill>
                  <w14:solidFill>
                    <w14:schemeClr w14:val="tx1"/>
                  </w14:solidFill>
                </w14:textFill>
              </w:rPr>
              <w:t>3</w:t>
            </w:r>
            <w:r>
              <w:rPr>
                <w:rFonts w:hint="eastAsia" w:ascii="宋体" w:hAnsi="宋体" w:cs="宋体"/>
                <w:bCs/>
                <w:color w:val="000000" w:themeColor="text1"/>
                <w:kern w:val="0"/>
                <w:szCs w:val="21"/>
                <w14:textFill>
                  <w14:solidFill>
                    <w14:schemeClr w14:val="tx1"/>
                  </w14:solidFill>
                </w14:textFill>
              </w:rPr>
              <w:t>分）：提供的人员配备清单中对人员岗位设置及分工不够明确，岗位职责缺乏针对性；</w:t>
            </w:r>
          </w:p>
          <w:p>
            <w:pPr>
              <w:widowControl/>
              <w:wordWrap w:val="0"/>
              <w:spacing w:line="360" w:lineRule="exact"/>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二档（</w:t>
            </w:r>
            <w:r>
              <w:rPr>
                <w:rFonts w:hint="eastAsia" w:ascii="宋体" w:hAnsi="宋体" w:cs="宋体"/>
                <w:bCs/>
                <w:color w:val="000000" w:themeColor="text1"/>
                <w:kern w:val="0"/>
                <w:szCs w:val="21"/>
                <w:lang w:val="en-US" w:eastAsia="zh-CN"/>
                <w14:textFill>
                  <w14:solidFill>
                    <w14:schemeClr w14:val="tx1"/>
                  </w14:solidFill>
                </w14:textFill>
              </w:rPr>
              <w:t>5</w:t>
            </w:r>
            <w:r>
              <w:rPr>
                <w:rFonts w:hint="eastAsia" w:ascii="宋体" w:hAnsi="宋体" w:cs="宋体"/>
                <w:bCs/>
                <w:color w:val="000000" w:themeColor="text1"/>
                <w:kern w:val="0"/>
                <w:szCs w:val="21"/>
                <w14:textFill>
                  <w14:solidFill>
                    <w14:schemeClr w14:val="tx1"/>
                  </w14:solidFill>
                </w14:textFill>
              </w:rPr>
              <w:t>分）：针对本项目提供有组织机构设置，提供的人员配备清单中对人员岗位设置及分工合理、明确；各类人员的培训有计划、有考核方式及考核标准，人员配置合理；</w:t>
            </w:r>
          </w:p>
          <w:p>
            <w:pPr>
              <w:widowControl/>
              <w:wordWrap w:val="0"/>
              <w:spacing w:line="360" w:lineRule="exact"/>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三档（1</w:t>
            </w:r>
            <w:r>
              <w:rPr>
                <w:rFonts w:hint="eastAsia" w:ascii="宋体" w:hAnsi="宋体" w:cs="宋体"/>
                <w:bCs/>
                <w:color w:val="000000" w:themeColor="text1"/>
                <w:kern w:val="0"/>
                <w:szCs w:val="21"/>
                <w:lang w:val="en-US" w:eastAsia="zh-CN"/>
                <w14:textFill>
                  <w14:solidFill>
                    <w14:schemeClr w14:val="tx1"/>
                  </w14:solidFill>
                </w14:textFill>
              </w:rPr>
              <w:t>0</w:t>
            </w:r>
            <w:r>
              <w:rPr>
                <w:rFonts w:hint="eastAsia" w:ascii="宋体" w:hAnsi="宋体" w:cs="宋体"/>
                <w:bCs/>
                <w:color w:val="000000" w:themeColor="text1"/>
                <w:kern w:val="0"/>
                <w:szCs w:val="21"/>
                <w14:textFill>
                  <w14:solidFill>
                    <w14:schemeClr w14:val="tx1"/>
                  </w14:solidFill>
                </w14:textFill>
              </w:rPr>
              <w:t>分）：针对本项目提供科学合理的组织机构设置，拟投入本项目技术人员配置合理齐全，拟投入的人员中具有</w:t>
            </w:r>
            <w:r>
              <w:rPr>
                <w:rFonts w:hint="eastAsia" w:hAnsi="宋体" w:cs="仿宋"/>
                <w:bCs/>
                <w:color w:val="000000" w:themeColor="text1"/>
                <w:kern w:val="0"/>
                <w:szCs w:val="21"/>
                <w14:textFill>
                  <w14:solidFill>
                    <w14:schemeClr w14:val="tx1"/>
                  </w14:solidFill>
                </w14:textFill>
              </w:rPr>
              <w:t>感染防控知识及相应岗位培训证书的</w:t>
            </w:r>
            <w:r>
              <w:rPr>
                <w:rFonts w:hint="eastAsia" w:hAnsi="宋体" w:cs="仿宋"/>
                <w:color w:val="000000" w:themeColor="text1"/>
                <w:szCs w:val="21"/>
                <w14:textFill>
                  <w14:solidFill>
                    <w14:schemeClr w14:val="tx1"/>
                  </w14:solidFill>
                </w14:textFill>
              </w:rPr>
              <w:t>（响应文件</w:t>
            </w:r>
            <w:r>
              <w:rPr>
                <w:rFonts w:hint="eastAsia" w:hAnsi="宋体" w:cs="仿宋"/>
                <w:color w:val="000000" w:themeColor="text1"/>
                <w:kern w:val="0"/>
                <w:szCs w:val="21"/>
                <w14:textFill>
                  <w14:solidFill>
                    <w14:schemeClr w14:val="tx1"/>
                  </w14:solidFill>
                </w14:textFill>
              </w:rPr>
              <w:t>中须提供相关有效证明材料复印件并加盖供应商公章）</w:t>
            </w:r>
            <w:r>
              <w:rPr>
                <w:rFonts w:hint="eastAsia" w:hAnsi="宋体" w:cs="仿宋"/>
                <w:bCs/>
                <w:color w:val="000000" w:themeColor="text1"/>
                <w:kern w:val="0"/>
                <w:szCs w:val="21"/>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各类人员的培训有计划、有考核方式及考核标准，员工职业暴露防护制度完善。</w:t>
            </w:r>
          </w:p>
          <w:p>
            <w:pPr>
              <w:widowControl/>
              <w:wordWrap w:val="0"/>
              <w:spacing w:line="360" w:lineRule="exact"/>
              <w:jc w:val="left"/>
              <w:rPr>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注：未提供该方案或方案内容未达到一档要求的不得分。</w:t>
            </w: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w:t>
            </w:r>
          </w:p>
        </w:tc>
        <w:tc>
          <w:tcPr>
            <w:tcW w:w="1423" w:type="dxa"/>
            <w:vAlign w:val="center"/>
          </w:tcPr>
          <w:p>
            <w:pPr>
              <w:widowControl/>
              <w:wordWrap w:val="0"/>
              <w:spacing w:line="360" w:lineRule="exact"/>
              <w:jc w:val="center"/>
              <w:rPr>
                <w:rFonts w:ascii="宋体" w:hAnsi="宋体" w:cs="宋体"/>
                <w:b/>
                <w:szCs w:val="21"/>
              </w:rPr>
            </w:pPr>
            <w:r>
              <w:rPr>
                <w:rFonts w:hint="eastAsia" w:ascii="宋体" w:hAnsi="宋体" w:cs="宋体"/>
                <w:b/>
                <w:szCs w:val="21"/>
              </w:rPr>
              <w:t>商务分</w:t>
            </w:r>
          </w:p>
        </w:tc>
        <w:tc>
          <w:tcPr>
            <w:tcW w:w="7244" w:type="dxa"/>
            <w:gridSpan w:val="2"/>
            <w:vAlign w:val="center"/>
          </w:tcPr>
          <w:p>
            <w:pPr>
              <w:widowControl/>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3.1</w:t>
            </w:r>
          </w:p>
        </w:tc>
        <w:tc>
          <w:tcPr>
            <w:tcW w:w="1423" w:type="dxa"/>
            <w:vAlign w:val="center"/>
          </w:tcPr>
          <w:p>
            <w:pPr>
              <w:wordWrap w:val="0"/>
              <w:adjustRightInd w:val="0"/>
              <w:spacing w:line="360" w:lineRule="exact"/>
              <w:jc w:val="center"/>
              <w:textAlignment w:val="baseline"/>
              <w:rPr>
                <w:rFonts w:ascii="宋体" w:hAnsi="宋体" w:cs="宋体"/>
                <w:b/>
                <w:kern w:val="0"/>
                <w:szCs w:val="21"/>
              </w:rPr>
            </w:pPr>
            <w:r>
              <w:rPr>
                <w:rFonts w:hint="eastAsia" w:ascii="宋体" w:hAnsi="宋体" w:cs="宋体"/>
                <w:b/>
                <w:bCs/>
                <w:kern w:val="0"/>
                <w:szCs w:val="21"/>
              </w:rPr>
              <w:t>服务承诺</w:t>
            </w:r>
          </w:p>
        </w:tc>
        <w:tc>
          <w:tcPr>
            <w:tcW w:w="6364" w:type="dxa"/>
          </w:tcPr>
          <w:p>
            <w:pPr>
              <w:wordWrap w:val="0"/>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一档（</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分）：服务承诺内容不完善，可行性不强，承诺出现问题时作出响应并在采购人要求的时间内派本项目项目人员到现场主动解决问题，保障措施基本满足采购需求。</w:t>
            </w:r>
          </w:p>
          <w:p>
            <w:pPr>
              <w:wordWrap w:val="0"/>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二档（</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分）：服务承诺完善，具有可行性，对响应时间、到达现场时间、解决问题的时限等承诺有部分优于采购文件要求的，保障措施较完善。</w:t>
            </w:r>
          </w:p>
          <w:p>
            <w:pPr>
              <w:wordWrap w:val="0"/>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三档（</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服务承诺完善，具有可行性，为保障应急响应与配合，保障布草洗涤及运输的及时性，供应商接到采购人紧急服务需求通知后，有提出可行的应急措施，对响应时间、到达现场时间、解决问题的时限全部优于采购文件要求的，具有详细的服务响应措施。</w:t>
            </w:r>
          </w:p>
          <w:p>
            <w:pPr>
              <w:wordWrap w:val="0"/>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四档（</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服务承诺详细、完善，具有可行性，针对不符合洗涤要求的布草，有承诺具体的更换时限、改正措施；为保障应急响应与配合，保障布草洗涤及运输的及时性，供应商接到采购人紧急服务需求通知后，有提出可行的应急措施，对响应时间、到达现场时间、解决问题的时限全部优于采购文件要求的，具有详细的服务响应措施。</w:t>
            </w:r>
          </w:p>
          <w:p>
            <w:pPr>
              <w:wordWrap w:val="0"/>
              <w:adjustRightInd w:val="0"/>
              <w:snapToGrid w:val="0"/>
              <w:spacing w:line="360" w:lineRule="exact"/>
              <w:rPr>
                <w:rFonts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注：提供的方案内容未达到一档要求的不得分。</w:t>
            </w:r>
          </w:p>
        </w:tc>
        <w:tc>
          <w:tcPr>
            <w:tcW w:w="880" w:type="dxa"/>
            <w:vAlign w:val="center"/>
          </w:tcPr>
          <w:p>
            <w:pPr>
              <w:widowControl/>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vAlign w:val="center"/>
          </w:tcPr>
          <w:p>
            <w:pPr>
              <w:widowControl/>
              <w:wordWrap w:val="0"/>
              <w:spacing w:line="360" w:lineRule="exact"/>
              <w:jc w:val="center"/>
              <w:rPr>
                <w:rFonts w:ascii="宋体" w:hAnsi="宋体" w:cs="宋体"/>
                <w:kern w:val="0"/>
                <w:szCs w:val="21"/>
              </w:rPr>
            </w:pPr>
            <w:r>
              <w:rPr>
                <w:rFonts w:hint="eastAsia" w:ascii="宋体" w:hAnsi="宋体" w:cs="宋体"/>
                <w:kern w:val="0"/>
                <w:szCs w:val="21"/>
              </w:rPr>
              <w:t>3.2</w:t>
            </w:r>
          </w:p>
        </w:tc>
        <w:tc>
          <w:tcPr>
            <w:tcW w:w="1423" w:type="dxa"/>
            <w:vAlign w:val="center"/>
          </w:tcPr>
          <w:p>
            <w:pPr>
              <w:wordWrap w:val="0"/>
              <w:adjustRightInd w:val="0"/>
              <w:spacing w:line="360" w:lineRule="exact"/>
              <w:jc w:val="center"/>
              <w:textAlignment w:val="baseline"/>
              <w:rPr>
                <w:rFonts w:ascii="宋体" w:hAnsi="宋体" w:cs="宋体"/>
                <w:bCs/>
                <w:szCs w:val="21"/>
              </w:rPr>
            </w:pPr>
            <w:r>
              <w:rPr>
                <w:rFonts w:hint="eastAsia" w:ascii="宋体" w:hAnsi="宋体" w:cs="宋体"/>
                <w:b/>
                <w:bCs/>
                <w:szCs w:val="21"/>
              </w:rPr>
              <w:t>业绩分</w:t>
            </w:r>
          </w:p>
        </w:tc>
        <w:tc>
          <w:tcPr>
            <w:tcW w:w="6364" w:type="dxa"/>
          </w:tcPr>
          <w:p>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2022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日以来至响应文件递交截止日期止，</w:t>
            </w:r>
            <w:r>
              <w:rPr>
                <w:rFonts w:hint="eastAsia" w:ascii="宋体" w:hAnsi="宋体" w:cs="宋体"/>
                <w:bCs/>
                <w:color w:val="000000" w:themeColor="text1"/>
                <w:szCs w:val="21"/>
                <w14:textFill>
                  <w14:solidFill>
                    <w14:schemeClr w14:val="tx1"/>
                  </w14:solidFill>
                </w14:textFill>
              </w:rPr>
              <w:t>供应商具有同类项目业绩，每提供一个得1分，满分10分。【响应文件中提供服务合同复印件及中标（成交）通知书复印件并加盖供应商公章】</w:t>
            </w:r>
          </w:p>
        </w:tc>
        <w:tc>
          <w:tcPr>
            <w:tcW w:w="880" w:type="dxa"/>
            <w:vAlign w:val="center"/>
          </w:tcPr>
          <w:p>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10分</w:t>
            </w:r>
          </w:p>
        </w:tc>
      </w:tr>
      <w:bookmarkEnd w:id="79"/>
    </w:tbl>
    <w:p>
      <w:pPr>
        <w:widowControl/>
        <w:autoSpaceDE w:val="0"/>
        <w:autoSpaceDN w:val="0"/>
        <w:snapToGrid w:val="0"/>
        <w:spacing w:line="500" w:lineRule="exact"/>
        <w:ind w:firstLine="482" w:firstLineChars="200"/>
        <w:jc w:val="left"/>
        <w:rPr>
          <w:rFonts w:ascii="宋体" w:hAnsi="宋体" w:cs="宋体"/>
          <w:b/>
          <w:bCs/>
          <w:color w:val="000000"/>
          <w:kern w:val="0"/>
          <w:sz w:val="24"/>
          <w:lang w:val="zh-CN" w:bidi="zh-CN"/>
        </w:rPr>
      </w:pPr>
      <w:r>
        <w:rPr>
          <w:rFonts w:hint="eastAsia" w:ascii="宋体" w:hAnsi="宋体" w:cs="宋体"/>
          <w:b/>
          <w:bCs/>
          <w:color w:val="000000"/>
          <w:kern w:val="0"/>
          <w:sz w:val="24"/>
          <w:lang w:val="zh-CN" w:bidi="zh-CN"/>
        </w:rPr>
        <w:t>三、总分=1+2+3</w:t>
      </w:r>
    </w:p>
    <w:p>
      <w:pPr>
        <w:snapToGrid w:val="0"/>
        <w:spacing w:line="500" w:lineRule="exact"/>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pPr>
        <w:adjustRightInd/>
        <w:spacing w:line="360" w:lineRule="auto"/>
        <w:ind w:firstLine="482" w:firstLineChars="200"/>
        <w:rPr>
          <w:rFonts w:cs="Arial" w:asciiTheme="minorEastAsia" w:hAnsiTheme="minorEastAsia" w:eastAsiaTheme="minorEastAsia"/>
          <w:b/>
          <w:kern w:val="0"/>
          <w:sz w:val="24"/>
        </w:rPr>
      </w:pPr>
    </w:p>
    <w:p>
      <w:pPr>
        <w:pStyle w:val="2"/>
        <w:numPr>
          <w:ilvl w:val="255"/>
          <w:numId w:val="0"/>
        </w:numPr>
      </w:pPr>
    </w:p>
    <w:p>
      <w:pPr>
        <w:pStyle w:val="392"/>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kern w:val="0"/>
          <w:sz w:val="24"/>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pPr>
        <w:pStyle w:val="392"/>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sz w:val="32"/>
        </w:rPr>
      </w:pPr>
    </w:p>
    <w:p>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pPr>
        <w:pStyle w:val="392"/>
        <w:spacing w:before="0"/>
        <w:ind w:firstLine="0" w:firstLineChars="0"/>
        <w:rPr>
          <w:rFonts w:asciiTheme="minorEastAsia" w:hAnsiTheme="minorEastAsia" w:eastAsiaTheme="minorEastAsia"/>
          <w:b/>
        </w:rPr>
      </w:pPr>
    </w:p>
    <w:p>
      <w:pPr>
        <w:pStyle w:val="392"/>
        <w:spacing w:before="0"/>
        <w:ind w:firstLine="0" w:firstLineChars="0"/>
        <w:outlineLvl w:val="1"/>
        <w:rPr>
          <w:rFonts w:cs="仿宋_GB2312" w:asciiTheme="minorEastAsia" w:hAnsiTheme="minorEastAsia" w:eastAsiaTheme="minorEastAsia"/>
          <w:b/>
          <w:sz w:val="28"/>
          <w:szCs w:val="18"/>
        </w:rPr>
      </w:pPr>
    </w:p>
    <w:p>
      <w:pPr>
        <w:pStyle w:val="392"/>
        <w:spacing w:before="0"/>
        <w:ind w:firstLine="0" w:firstLineChars="0"/>
        <w:outlineLvl w:val="1"/>
        <w:rPr>
          <w:rFonts w:cs="仿宋_GB2312" w:asciiTheme="minorEastAsia" w:hAnsiTheme="minorEastAsia" w:eastAsiaTheme="minorEastAsia"/>
          <w:b/>
          <w:sz w:val="28"/>
          <w:szCs w:val="18"/>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2"/>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3.</w:t>
      </w:r>
      <w:r>
        <w:rPr>
          <w:rFonts w:hint="eastAsia" w:asciiTheme="minorEastAsia" w:hAnsiTheme="minorEastAsia" w:eastAsiaTheme="minorEastAsia"/>
          <w:b/>
          <w:spacing w:val="20"/>
        </w:rPr>
        <w:t>响应无效</w:t>
      </w:r>
    </w:p>
    <w:p>
      <w:pPr>
        <w:pStyle w:val="24"/>
        <w:spacing w:line="360" w:lineRule="auto"/>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3.15《最后报价一览表》填写不完整或字迹不能辨认或有漏项的；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3.18.5供应商之间事先约定由某一特定供应商中标、成交；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3.18.11不同供应商的响应文件异常一致或者最后报价呈规律性差异。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3.19供应商仅提交备份响应文件，没有在电子交易平台传输提交响应文件的，响应无效；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 处（含）以上错误一致的；4.不同供应商联系人为同一人或不同联系人的联系电话一致的；</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3.21法律、法规、规章（适用本市的）及省级以上规范性文件（适用本市的）规定的其他无效情形。</w:t>
      </w:r>
    </w:p>
    <w:p>
      <w:pPr>
        <w:pStyle w:val="392"/>
        <w:spacing w:before="0"/>
        <w:ind w:firstLine="480"/>
        <w:rPr>
          <w:rFonts w:ascii="宋体" w:hAnsi="宋体" w:cs="宋体"/>
          <w:kern w:val="0"/>
          <w:szCs w:val="24"/>
        </w:rPr>
      </w:pPr>
      <w:r>
        <w:rPr>
          <w:rFonts w:hint="eastAsia" w:asciiTheme="minorEastAsia" w:hAnsiTheme="minorEastAsia" w:eastAsiaTheme="minorEastAsia"/>
          <w:sz w:val="24"/>
          <w:lang w:val="en-US" w:eastAsia="zh-CN"/>
        </w:rPr>
        <w:t xml:space="preserve">3.22 </w:t>
      </w:r>
      <w:r>
        <w:rPr>
          <w:rFonts w:hint="eastAsia" w:ascii="宋体" w:hAnsi="宋体" w:cs="宋体"/>
          <w:kern w:val="0"/>
          <w:szCs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3.22.1</w:t>
      </w:r>
      <w:r>
        <w:rPr>
          <w:rFonts w:hint="eastAsia" w:ascii="宋体" w:hAnsi="宋体" w:cs="宋体"/>
          <w:kern w:val="0"/>
          <w:sz w:val="24"/>
        </w:rPr>
        <w:t xml:space="preserve">根据《北海市财政局关于开展推动解决政府采购异常低价问题试点工作的通知》（北财采〔2025〕25 号）规定，试点项目评审中出现下列情形之一的，评审委员会应当启动异常低价投标（响应）审查程序: </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（4）其他评审委员会认为供应商报价过低，有可能影响产品质量或者不能诚信履约的情形。 </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22.2</w:t>
      </w:r>
      <w:r>
        <w:rPr>
          <w:rFonts w:hint="eastAsia" w:ascii="宋体" w:hAnsi="宋体" w:cs="宋体"/>
          <w:kern w:val="0"/>
          <w:sz w:val="24"/>
        </w:rPr>
        <w:t xml:space="preserve">审查工作流程。评标委员会严格按照评审现场说明、综合评估研判和出具处理结果三个步骤开展审查流程。 </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numPr>
          <w:ins w:id="1" w:author="lenovo" w:date="2025-10-29T10:48:35Z"/>
        </w:numPr>
        <w:snapToGrid w:val="0"/>
        <w:ind w:firstLine="480" w:firstLineChars="200"/>
        <w:rPr>
          <w:rFonts w:hint="default" w:eastAsiaTheme="minorEastAsia"/>
          <w:lang w:val="en-US" w:eastAsia="zh-CN"/>
        </w:rPr>
      </w:pPr>
      <w:r>
        <w:rPr>
          <w:rFonts w:hint="eastAsia" w:ascii="宋体" w:hAnsi="宋体" w:cs="宋体"/>
          <w:kern w:val="0"/>
          <w:sz w:val="24"/>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6.</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80" w:name="_Toc181203099"/>
      <w:r>
        <w:rPr>
          <w:rFonts w:hint="eastAsia" w:cs="仿宋_GB2312" w:asciiTheme="minorEastAsia" w:hAnsiTheme="minorEastAsia" w:eastAsiaTheme="minorEastAsia"/>
          <w:b/>
          <w:sz w:val="36"/>
          <w:szCs w:val="36"/>
        </w:rPr>
        <w:t>第六部分</w:t>
      </w:r>
      <w:bookmarkEnd w:id="78"/>
      <w:r>
        <w:rPr>
          <w:rFonts w:hint="eastAsia" w:cs="仿宋_GB2312" w:asciiTheme="minorEastAsia" w:hAnsiTheme="minorEastAsia" w:eastAsiaTheme="minorEastAsia"/>
          <w:b/>
          <w:sz w:val="36"/>
          <w:szCs w:val="36"/>
        </w:rPr>
        <w:t xml:space="preserve">  拟签订的合同文本</w:t>
      </w:r>
      <w:bookmarkEnd w:id="80"/>
    </w:p>
    <w:p>
      <w:pPr>
        <w:spacing w:line="480" w:lineRule="auto"/>
        <w:jc w:val="center"/>
        <w:rPr>
          <w:rFonts w:ascii="宋体" w:hAnsi="宋体" w:cs="宋体"/>
          <w:b/>
          <w:sz w:val="24"/>
        </w:rPr>
      </w:pPr>
      <w:bookmarkStart w:id="81" w:name="第五部分"/>
      <w:bookmarkStart w:id="82" w:name="_Toc86217003"/>
    </w:p>
    <w:p>
      <w:pPr>
        <w:spacing w:line="480" w:lineRule="auto"/>
        <w:jc w:val="center"/>
        <w:rPr>
          <w:rFonts w:ascii="宋体" w:hAnsi="宋体" w:cs="宋体"/>
          <w:b/>
          <w:sz w:val="24"/>
        </w:rPr>
      </w:pPr>
    </w:p>
    <w:p>
      <w:pPr>
        <w:pStyle w:val="631"/>
      </w:pPr>
    </w:p>
    <w:p>
      <w:pPr>
        <w:pStyle w:val="631"/>
      </w:pPr>
    </w:p>
    <w:p>
      <w:pPr>
        <w:pStyle w:val="631"/>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281"/>
        <w:ind w:firstLine="2843" w:firstLineChars="1180"/>
        <w:rPr>
          <w:rFonts w:ascii="宋体" w:hAnsi="宋体" w:cs="宋体"/>
          <w:b/>
          <w:szCs w:val="24"/>
        </w:rPr>
      </w:pPr>
    </w:p>
    <w:p>
      <w:pPr>
        <w:pStyle w:val="24"/>
        <w:spacing w:after="120"/>
      </w:pPr>
    </w:p>
    <w:p>
      <w:pPr>
        <w:pStyle w:val="24"/>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spacing w:line="360" w:lineRule="auto"/>
        <w:jc w:val="center"/>
        <w:outlineLvl w:val="1"/>
        <w:rPr>
          <w:rFonts w:ascii="宋体" w:hAnsi="宋体" w:cs="宋体"/>
          <w:b/>
          <w:sz w:val="24"/>
        </w:rPr>
      </w:pPr>
      <w:bookmarkStart w:id="83" w:name="_Toc22209"/>
      <w:r>
        <w:rPr>
          <w:rFonts w:hint="eastAsia" w:ascii="宋体" w:hAnsi="宋体"/>
          <w:b/>
          <w:sz w:val="24"/>
        </w:rPr>
        <w:t>第一节 政府采购合同协议书</w:t>
      </w:r>
      <w:bookmarkEnd w:id="83"/>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color w:val="0000FF"/>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color w:val="0000FF"/>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rPr>
          <w:rFonts w:ascii="宋体" w:hAnsi="宋体"/>
          <w:sz w:val="24"/>
        </w:rPr>
      </w:pPr>
      <w:bookmarkStart w:id="84" w:name="_Toc15367"/>
      <w:bookmarkStart w:id="85" w:name="_Toc22967"/>
      <w:bookmarkStart w:id="86" w:name="_Toc19273"/>
      <w:bookmarkStart w:id="87" w:name="_Toc20421"/>
      <w:bookmarkStart w:id="88" w:name="_Toc28855"/>
      <w:r>
        <w:rPr>
          <w:rFonts w:ascii="宋体" w:hAnsi="宋体"/>
          <w:b/>
          <w:sz w:val="24"/>
        </w:rPr>
        <w:t xml:space="preserve">1.1 </w:t>
      </w:r>
      <w:r>
        <w:rPr>
          <w:rFonts w:hint="eastAsia" w:ascii="宋体" w:hAnsi="宋体"/>
          <w:b/>
          <w:sz w:val="24"/>
        </w:rPr>
        <w:t>合同组成部分</w:t>
      </w:r>
      <w:bookmarkEnd w:id="84"/>
      <w:bookmarkEnd w:id="85"/>
      <w:bookmarkEnd w:id="86"/>
      <w:bookmarkEnd w:id="87"/>
      <w:bookmarkEnd w:id="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2" w:firstLineChars="200"/>
        <w:rPr>
          <w:rFonts w:ascii="宋体" w:hAnsi="宋体"/>
          <w:b/>
          <w:sz w:val="24"/>
        </w:rPr>
      </w:pPr>
      <w:bookmarkStart w:id="89" w:name="_Toc22185"/>
      <w:bookmarkStart w:id="90" w:name="_Toc6773"/>
      <w:bookmarkStart w:id="91" w:name="_Toc18585"/>
      <w:bookmarkStart w:id="92" w:name="_Toc2918"/>
      <w:bookmarkStart w:id="93" w:name="_Toc6311"/>
      <w:r>
        <w:rPr>
          <w:rFonts w:ascii="宋体" w:hAnsi="宋体"/>
          <w:b/>
          <w:sz w:val="24"/>
        </w:rPr>
        <w:t xml:space="preserve">1.2 </w:t>
      </w:r>
      <w:r>
        <w:rPr>
          <w:rFonts w:hint="eastAsia" w:ascii="宋体" w:hAnsi="宋体"/>
          <w:b/>
          <w:sz w:val="24"/>
        </w:rPr>
        <w:t>标的</w:t>
      </w:r>
      <w:bookmarkEnd w:id="89"/>
      <w:bookmarkEnd w:id="90"/>
      <w:bookmarkEnd w:id="91"/>
      <w:bookmarkEnd w:id="92"/>
      <w:bookmarkEnd w:id="93"/>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629"/>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94" w:name="_Toc21124"/>
      <w:bookmarkStart w:id="95" w:name="_Toc5635"/>
      <w:bookmarkStart w:id="96" w:name="_Toc1386"/>
      <w:bookmarkStart w:id="97" w:name="_Toc4929"/>
      <w:bookmarkStart w:id="98" w:name="_Toc13918"/>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1.3 价款</w:t>
      </w:r>
      <w:bookmarkEnd w:id="94"/>
      <w:bookmarkEnd w:id="95"/>
      <w:bookmarkEnd w:id="96"/>
      <w:bookmarkEnd w:id="97"/>
      <w:bookmarkEnd w:id="98"/>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jc w:val="center"/>
              <w:rPr>
                <w:rFonts w:hAnsi="宋体"/>
                <w:sz w:val="24"/>
                <w:szCs w:val="24"/>
              </w:rPr>
            </w:pPr>
            <w:r>
              <w:rPr>
                <w:rFonts w:hAnsi="宋体"/>
                <w:sz w:val="24"/>
                <w:szCs w:val="24"/>
              </w:rPr>
              <w:t>序号</w:t>
            </w:r>
          </w:p>
        </w:tc>
        <w:tc>
          <w:tcPr>
            <w:tcW w:w="3402" w:type="dxa"/>
            <w:vAlign w:val="center"/>
          </w:tcPr>
          <w:p>
            <w:pPr>
              <w:pStyle w:val="621"/>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621"/>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1"/>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621"/>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99" w:name="_Toc26916"/>
      <w:bookmarkStart w:id="100" w:name="_Toc30506"/>
      <w:bookmarkStart w:id="101" w:name="_Toc14993"/>
      <w:bookmarkStart w:id="102" w:name="_Toc30158"/>
      <w:bookmarkStart w:id="103"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631"/>
      </w:pPr>
      <w:r>
        <w:rPr>
          <w:rFonts w:hint="eastAsia"/>
        </w:rPr>
        <w:t>1.3.3其他计价方式：                   。</w:t>
      </w:r>
    </w:p>
    <w:bookmarkEnd w:id="99"/>
    <w:bookmarkEnd w:id="100"/>
    <w:bookmarkEnd w:id="101"/>
    <w:bookmarkEnd w:id="102"/>
    <w:bookmarkEnd w:id="103"/>
    <w:p>
      <w:pPr>
        <w:pStyle w:val="629"/>
        <w:spacing w:before="0" w:beforeAutospacing="0" w:after="0" w:afterAutospacing="0" w:line="360" w:lineRule="auto"/>
        <w:ind w:firstLine="480"/>
        <w:rPr>
          <w:b/>
        </w:rPr>
      </w:pPr>
      <w:bookmarkStart w:id="104" w:name="_Toc22618"/>
      <w:bookmarkStart w:id="105" w:name="_Toc1814"/>
      <w:bookmarkStart w:id="106" w:name="_Toc10340"/>
      <w:bookmarkStart w:id="107" w:name="_Toc31421"/>
      <w:bookmarkStart w:id="108" w:name="_Toc11108"/>
      <w:bookmarkStart w:id="109" w:name="_Toc8772"/>
      <w:bookmarkStart w:id="110" w:name="_Toc4760"/>
      <w:bookmarkStart w:id="111" w:name="_Toc3625"/>
      <w:r>
        <w:rPr>
          <w:rFonts w:hint="eastAsia"/>
          <w:b/>
        </w:rPr>
        <w:t>1.4履约保证金</w:t>
      </w:r>
    </w:p>
    <w:p>
      <w:pPr>
        <w:pStyle w:val="629"/>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31"/>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1.5</w:t>
      </w:r>
      <w:bookmarkEnd w:id="104"/>
      <w:bookmarkEnd w:id="105"/>
      <w:bookmarkEnd w:id="106"/>
      <w:r>
        <w:rPr>
          <w:rFonts w:hint="eastAsia" w:ascii="宋体" w:hAnsi="宋体" w:cs="宋体"/>
          <w:b/>
          <w:sz w:val="24"/>
        </w:rPr>
        <w:t>预付款</w:t>
      </w:r>
    </w:p>
    <w:p>
      <w:pPr>
        <w:pStyle w:val="629"/>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29"/>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b/>
          <w:bCs/>
        </w:rPr>
      </w:pPr>
      <w:r>
        <w:rPr>
          <w:rFonts w:hint="eastAsia"/>
          <w:b/>
          <w:bCs/>
        </w:rPr>
        <w:t>1.6资金支付</w:t>
      </w:r>
    </w:p>
    <w:p>
      <w:pPr>
        <w:pStyle w:val="629"/>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107"/>
      <w:bookmarkEnd w:id="108"/>
      <w:bookmarkEnd w:id="109"/>
      <w:bookmarkEnd w:id="110"/>
      <w:bookmarkEnd w:id="111"/>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112" w:name="_Toc3079"/>
      <w:bookmarkStart w:id="113" w:name="_Toc2375"/>
      <w:bookmarkStart w:id="114" w:name="_Toc24662"/>
      <w:bookmarkStart w:id="115" w:name="_Toc5698"/>
      <w:bookmarkStart w:id="116" w:name="_Toc8586"/>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112"/>
      <w:bookmarkEnd w:id="113"/>
      <w:bookmarkEnd w:id="114"/>
      <w:bookmarkEnd w:id="115"/>
      <w:bookmarkEnd w:id="116"/>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pStyle w:val="631"/>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117" w:name="_Toc30329"/>
      <w:bookmarkStart w:id="118" w:name="_Toc26807"/>
      <w:bookmarkStart w:id="119" w:name="_Toc18683"/>
      <w:bookmarkStart w:id="120" w:name="_Toc9497"/>
      <w:bookmarkStart w:id="121" w:name="_Toc32454"/>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117"/>
    <w:bookmarkEnd w:id="118"/>
    <w:bookmarkEnd w:id="119"/>
    <w:bookmarkEnd w:id="120"/>
    <w:bookmarkEnd w:id="121"/>
    <w:p>
      <w:pPr>
        <w:spacing w:line="360" w:lineRule="auto"/>
        <w:ind w:firstLine="482" w:firstLineChars="200"/>
        <w:rPr>
          <w:rFonts w:ascii="宋体" w:hAnsi="宋体" w:cs="宋体"/>
          <w:b/>
          <w:sz w:val="24"/>
        </w:rPr>
      </w:pPr>
      <w:r>
        <w:rPr>
          <w:rFonts w:hint="eastAsia" w:ascii="宋体" w:hAnsi="宋体" w:cs="宋体"/>
          <w:b/>
          <w:sz w:val="24"/>
        </w:rPr>
        <w:t>1.9合同争议的解决</w:t>
      </w:r>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pPr>
        <w:spacing w:line="360" w:lineRule="auto"/>
        <w:ind w:firstLine="482" w:firstLineChars="200"/>
        <w:rPr>
          <w:rFonts w:ascii="宋体" w:hAnsi="宋体" w:cs="宋体"/>
          <w:b/>
          <w:sz w:val="24"/>
        </w:rPr>
      </w:pPr>
      <w:r>
        <w:rPr>
          <w:rFonts w:hint="eastAsia" w:ascii="宋体" w:hAnsi="宋体" w:cs="宋体"/>
          <w:b/>
          <w:sz w:val="24"/>
        </w:rPr>
        <w:t>2.0 合同生效</w:t>
      </w:r>
    </w:p>
    <w:p>
      <w:pPr>
        <w:spacing w:line="360" w:lineRule="auto"/>
        <w:ind w:firstLine="480" w:firstLineChars="200"/>
        <w:rPr>
          <w:rFonts w:ascii="宋体" w:hAnsi="宋体"/>
          <w:sz w:val="24"/>
          <w:lang w:val="zh-CN"/>
        </w:rPr>
      </w:pPr>
      <w:r>
        <w:rPr>
          <w:rFonts w:hint="eastAsia" w:ascii="宋体" w:hAnsi="宋体" w:cs="宋体"/>
          <w:sz w:val="24"/>
        </w:rPr>
        <w:t>本合同自双方当事人盖章签字时生效。</w:t>
      </w:r>
    </w:p>
    <w:tbl>
      <w:tblPr>
        <w:tblStyle w:val="6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6"/>
        <w:gridCol w:w="2628"/>
        <w:gridCol w:w="2156"/>
        <w:gridCol w:w="230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360" w:lineRule="auto"/>
        <w:jc w:val="left"/>
        <w:rPr>
          <w:rFonts w:ascii="宋体" w:hAnsi="宋体"/>
          <w:b/>
          <w:sz w:val="24"/>
        </w:rPr>
      </w:pPr>
    </w:p>
    <w:p>
      <w:pPr>
        <w:pStyle w:val="281"/>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rPr>
          <w:rFonts w:ascii="宋体" w:hAnsi="宋体"/>
          <w:b/>
          <w:sz w:val="24"/>
        </w:rPr>
      </w:pPr>
      <w:bookmarkStart w:id="122" w:name="_Toc25079"/>
      <w:bookmarkStart w:id="123" w:name="_Toc14021"/>
      <w:bookmarkStart w:id="124" w:name="_Toc5228"/>
      <w:bookmarkStart w:id="125" w:name="_Toc19680"/>
      <w:bookmarkStart w:id="126" w:name="_Toc31297"/>
      <w:r>
        <w:rPr>
          <w:rFonts w:ascii="宋体" w:hAnsi="宋体"/>
          <w:b/>
          <w:sz w:val="24"/>
        </w:rPr>
        <w:t>2.1 定义</w:t>
      </w:r>
      <w:bookmarkEnd w:id="122"/>
      <w:bookmarkEnd w:id="123"/>
      <w:bookmarkEnd w:id="124"/>
      <w:bookmarkEnd w:id="125"/>
      <w:bookmarkEnd w:id="126"/>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2" w:firstLineChars="200"/>
        <w:rPr>
          <w:rFonts w:ascii="宋体" w:hAnsi="宋体"/>
          <w:b/>
          <w:sz w:val="24"/>
        </w:rPr>
      </w:pPr>
      <w:bookmarkStart w:id="127" w:name="_Toc3769"/>
      <w:bookmarkStart w:id="128" w:name="_Toc19539"/>
      <w:bookmarkStart w:id="129" w:name="_Toc31402"/>
      <w:bookmarkStart w:id="130" w:name="_Toc16752"/>
      <w:bookmarkStart w:id="131" w:name="_Toc23289"/>
      <w:r>
        <w:rPr>
          <w:rFonts w:ascii="宋体" w:hAnsi="宋体"/>
          <w:b/>
          <w:sz w:val="24"/>
        </w:rPr>
        <w:t>2.2 技术规范</w:t>
      </w:r>
      <w:bookmarkEnd w:id="127"/>
      <w:bookmarkEnd w:id="128"/>
      <w:bookmarkEnd w:id="129"/>
      <w:bookmarkEnd w:id="130"/>
      <w:bookmarkEnd w:id="131"/>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rPr>
          <w:rFonts w:ascii="宋体" w:hAnsi="宋体"/>
          <w:b/>
          <w:sz w:val="24"/>
        </w:rPr>
      </w:pPr>
      <w:bookmarkStart w:id="132" w:name="_Toc27945"/>
      <w:bookmarkStart w:id="133" w:name="_Toc13673"/>
      <w:bookmarkStart w:id="134" w:name="_Toc4133"/>
      <w:bookmarkStart w:id="135" w:name="_Toc12412"/>
      <w:bookmarkStart w:id="136" w:name="_Toc9161"/>
      <w:r>
        <w:rPr>
          <w:rFonts w:ascii="宋体" w:hAnsi="宋体"/>
          <w:b/>
          <w:sz w:val="24"/>
        </w:rPr>
        <w:t>2.3 知识产权</w:t>
      </w:r>
      <w:bookmarkEnd w:id="132"/>
      <w:bookmarkEnd w:id="133"/>
      <w:bookmarkEnd w:id="134"/>
      <w:bookmarkEnd w:id="135"/>
      <w:bookmarkEnd w:id="136"/>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rPr>
      </w:pPr>
      <w:bookmarkStart w:id="137" w:name="_Toc32670"/>
      <w:bookmarkStart w:id="138" w:name="_Toc22011"/>
      <w:bookmarkStart w:id="139" w:name="_Toc31233"/>
      <w:bookmarkStart w:id="140" w:name="_Toc15447"/>
      <w:bookmarkStart w:id="141" w:name="_Toc26555"/>
      <w:r>
        <w:rPr>
          <w:rFonts w:ascii="宋体" w:hAnsi="宋体"/>
          <w:b/>
          <w:sz w:val="24"/>
        </w:rPr>
        <w:t>2.5 结算方式和付款条件</w:t>
      </w:r>
      <w:bookmarkEnd w:id="137"/>
      <w:bookmarkEnd w:id="138"/>
      <w:bookmarkEnd w:id="139"/>
      <w:bookmarkEnd w:id="140"/>
      <w:bookmarkEnd w:id="141"/>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bookmarkStart w:id="142" w:name="_Toc30507"/>
      <w:bookmarkStart w:id="143" w:name="_Toc16163"/>
      <w:bookmarkStart w:id="144" w:name="_Toc13154"/>
      <w:bookmarkStart w:id="145" w:name="_Toc18990"/>
      <w:bookmarkStart w:id="146" w:name="_Toc13467"/>
      <w:r>
        <w:rPr>
          <w:rFonts w:ascii="宋体" w:hAnsi="宋体"/>
          <w:b/>
          <w:sz w:val="24"/>
        </w:rPr>
        <w:t>2.6 技术资料和保密义务</w:t>
      </w:r>
      <w:bookmarkEnd w:id="142"/>
      <w:bookmarkEnd w:id="143"/>
      <w:bookmarkEnd w:id="144"/>
      <w:bookmarkEnd w:id="145"/>
      <w:bookmarkEnd w:id="146"/>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rPr>
      </w:pPr>
      <w:bookmarkStart w:id="147" w:name="_Toc19069"/>
      <w:r>
        <w:rPr>
          <w:rFonts w:ascii="宋体" w:hAnsi="宋体"/>
          <w:b/>
          <w:sz w:val="24"/>
        </w:rPr>
        <w:t xml:space="preserve">2.7 </w:t>
      </w:r>
      <w:r>
        <w:rPr>
          <w:rFonts w:hint="eastAsia" w:ascii="宋体" w:hAnsi="宋体"/>
          <w:b/>
          <w:sz w:val="24"/>
        </w:rPr>
        <w:t>质量保证</w:t>
      </w:r>
      <w:bookmarkEnd w:id="147"/>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rPr>
      </w:pPr>
      <w:bookmarkStart w:id="148" w:name="_Toc22267"/>
      <w:r>
        <w:rPr>
          <w:rFonts w:ascii="宋体" w:hAnsi="宋体"/>
          <w:b/>
          <w:sz w:val="24"/>
        </w:rPr>
        <w:t xml:space="preserve">2.8 </w:t>
      </w:r>
      <w:r>
        <w:rPr>
          <w:rFonts w:hint="eastAsia" w:ascii="宋体" w:hAnsi="宋体"/>
          <w:b/>
          <w:sz w:val="24"/>
        </w:rPr>
        <w:t>延迟履行</w:t>
      </w:r>
      <w:bookmarkEnd w:id="148"/>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rPr>
          <w:rFonts w:ascii="宋体" w:hAnsi="宋体"/>
          <w:b/>
          <w:sz w:val="24"/>
        </w:rPr>
      </w:pPr>
      <w:bookmarkStart w:id="149" w:name="_Toc10611"/>
      <w:r>
        <w:rPr>
          <w:rFonts w:ascii="宋体" w:hAnsi="宋体"/>
          <w:b/>
          <w:sz w:val="24"/>
        </w:rPr>
        <w:t xml:space="preserve">2.9 </w:t>
      </w:r>
      <w:r>
        <w:rPr>
          <w:rFonts w:hint="eastAsia" w:ascii="宋体" w:hAnsi="宋体"/>
          <w:b/>
          <w:sz w:val="24"/>
        </w:rPr>
        <w:t>合同变更</w:t>
      </w:r>
      <w:bookmarkEnd w:id="149"/>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sz w:val="24"/>
        </w:rPr>
      </w:pPr>
      <w:bookmarkStart w:id="150" w:name="_Toc10663"/>
      <w:bookmarkStart w:id="151" w:name="_Toc26689"/>
      <w:bookmarkStart w:id="152" w:name="_Toc23368"/>
      <w:bookmarkStart w:id="153" w:name="_Toc21830"/>
      <w:bookmarkStart w:id="154" w:name="_Toc42"/>
      <w:r>
        <w:rPr>
          <w:rFonts w:ascii="宋体" w:hAnsi="宋体"/>
          <w:b/>
          <w:sz w:val="24"/>
        </w:rPr>
        <w:t>2.10 合同转让和分包</w:t>
      </w:r>
      <w:bookmarkEnd w:id="150"/>
      <w:bookmarkEnd w:id="151"/>
      <w:bookmarkEnd w:id="152"/>
      <w:bookmarkEnd w:id="153"/>
      <w:bookmarkEnd w:id="154"/>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155" w:name="_Toc14371"/>
      <w:bookmarkStart w:id="156" w:name="_Toc26633"/>
      <w:bookmarkStart w:id="157" w:name="_Toc25571"/>
      <w:bookmarkStart w:id="158" w:name="_Toc4720"/>
      <w:bookmarkStart w:id="159" w:name="_Toc32494"/>
      <w:r>
        <w:rPr>
          <w:rFonts w:ascii="宋体" w:hAnsi="宋体"/>
          <w:b/>
          <w:sz w:val="24"/>
        </w:rPr>
        <w:t>2.11 不可抗力</w:t>
      </w:r>
      <w:bookmarkEnd w:id="155"/>
      <w:bookmarkEnd w:id="156"/>
      <w:bookmarkEnd w:id="157"/>
      <w:bookmarkEnd w:id="158"/>
      <w:bookmarkEnd w:id="159"/>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160" w:name="_Toc23854"/>
      <w:bookmarkStart w:id="161" w:name="_Toc24465"/>
      <w:bookmarkStart w:id="162" w:name="_Toc14115"/>
      <w:bookmarkStart w:id="163" w:name="_Toc25783"/>
      <w:bookmarkStart w:id="164" w:name="_Toc3638"/>
      <w:r>
        <w:rPr>
          <w:rFonts w:ascii="宋体" w:hAnsi="宋体"/>
          <w:b/>
          <w:sz w:val="24"/>
        </w:rPr>
        <w:t>2.12 税费</w:t>
      </w:r>
      <w:bookmarkEnd w:id="160"/>
      <w:bookmarkEnd w:id="161"/>
      <w:bookmarkEnd w:id="162"/>
      <w:bookmarkEnd w:id="163"/>
      <w:bookmarkEnd w:id="164"/>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165" w:name="_Toc7315"/>
      <w:bookmarkStart w:id="166" w:name="_Toc25525"/>
      <w:bookmarkStart w:id="167" w:name="_Toc26883"/>
      <w:bookmarkStart w:id="168" w:name="_Toc30105"/>
      <w:bookmarkStart w:id="169" w:name="_Toc14814"/>
      <w:r>
        <w:rPr>
          <w:rFonts w:ascii="宋体" w:hAnsi="宋体"/>
          <w:b/>
          <w:sz w:val="24"/>
        </w:rPr>
        <w:t>2.13 乙方破产</w:t>
      </w:r>
      <w:bookmarkEnd w:id="165"/>
      <w:bookmarkEnd w:id="166"/>
      <w:bookmarkEnd w:id="167"/>
      <w:bookmarkEnd w:id="168"/>
      <w:bookmarkEnd w:id="169"/>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170" w:name="_Toc1123"/>
      <w:bookmarkStart w:id="171" w:name="_Toc23323"/>
      <w:bookmarkStart w:id="172" w:name="_Toc2016"/>
      <w:r>
        <w:rPr>
          <w:rFonts w:ascii="宋体" w:hAnsi="宋体"/>
          <w:b/>
          <w:sz w:val="24"/>
        </w:rPr>
        <w:t>2.14 合同中止、终止</w:t>
      </w:r>
      <w:bookmarkEnd w:id="170"/>
      <w:bookmarkEnd w:id="171"/>
      <w:bookmarkEnd w:id="172"/>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173" w:name="_Toc14525"/>
      <w:bookmarkStart w:id="174" w:name="_Toc17363"/>
      <w:bookmarkStart w:id="175" w:name="_Toc1969"/>
      <w:r>
        <w:rPr>
          <w:rFonts w:ascii="宋体" w:hAnsi="宋体"/>
          <w:b/>
          <w:sz w:val="24"/>
        </w:rPr>
        <w:t>2.15 检验和验收</w:t>
      </w:r>
      <w:bookmarkEnd w:id="173"/>
      <w:bookmarkEnd w:id="174"/>
      <w:bookmarkEnd w:id="175"/>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76" w:name="_Toc2308"/>
      <w:bookmarkStart w:id="177" w:name="_Toc31892"/>
      <w:bookmarkStart w:id="178" w:name="_Toc9808"/>
      <w:bookmarkStart w:id="179" w:name="_Toc25198"/>
      <w:bookmarkStart w:id="180" w:name="_Toc12666"/>
      <w:r>
        <w:rPr>
          <w:rFonts w:ascii="宋体" w:hAnsi="宋体"/>
          <w:b/>
          <w:sz w:val="24"/>
        </w:rPr>
        <w:t>2.16 通知和送达</w:t>
      </w:r>
      <w:bookmarkEnd w:id="176"/>
      <w:bookmarkEnd w:id="177"/>
      <w:bookmarkEnd w:id="178"/>
      <w:bookmarkEnd w:id="179"/>
      <w:bookmarkEnd w:id="180"/>
    </w:p>
    <w:p>
      <w:pPr>
        <w:spacing w:line="360" w:lineRule="auto"/>
        <w:ind w:firstLine="480" w:firstLineChars="200"/>
        <w:rPr>
          <w:rFonts w:ascii="宋体" w:hAnsi="宋体"/>
          <w:sz w:val="24"/>
        </w:rPr>
      </w:pPr>
      <w:bookmarkStart w:id="181" w:name="_Toc18401"/>
      <w:bookmarkStart w:id="182"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81"/>
      <w:bookmarkEnd w:id="182"/>
    </w:p>
    <w:p>
      <w:pPr>
        <w:spacing w:line="360" w:lineRule="auto"/>
        <w:ind w:firstLine="482" w:firstLineChars="200"/>
        <w:rPr>
          <w:rFonts w:ascii="宋体" w:hAnsi="宋体"/>
          <w:b/>
          <w:sz w:val="24"/>
        </w:rPr>
      </w:pPr>
      <w:bookmarkStart w:id="183" w:name="_Toc12254"/>
      <w:bookmarkStart w:id="184" w:name="_Toc27644"/>
      <w:bookmarkStart w:id="185" w:name="_Toc5063"/>
      <w:bookmarkStart w:id="186" w:name="_Toc28906"/>
      <w:bookmarkStart w:id="187" w:name="_Toc20808"/>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83"/>
      <w:bookmarkEnd w:id="184"/>
      <w:bookmarkEnd w:id="185"/>
      <w:bookmarkEnd w:id="186"/>
      <w:bookmarkEnd w:id="187"/>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r>
        <w:rPr>
          <w:rFonts w:hint="eastAsia" w:ascii="宋体" w:hAnsi="宋体" w:cs="宋体"/>
          <w:b/>
          <w:sz w:val="24"/>
        </w:rPr>
        <w:t>2.18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4464" w:type="pct"/>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p>
      <w:pPr>
        <w:spacing w:line="360" w:lineRule="auto"/>
        <w:ind w:firstLine="562" w:firstLineChars="200"/>
        <w:jc w:val="center"/>
        <w:rPr>
          <w:rFonts w:asciiTheme="minorEastAsia" w:hAnsiTheme="minorEastAsia" w:eastAsiaTheme="minorEastAsia"/>
          <w:b/>
          <w:sz w:val="28"/>
          <w:szCs w:val="28"/>
        </w:rPr>
      </w:pPr>
    </w:p>
    <w:p>
      <w:pPr>
        <w:snapToGrid w:val="0"/>
        <w:spacing w:line="360" w:lineRule="auto"/>
        <w:jc w:val="center"/>
        <w:outlineLvl w:val="0"/>
        <w:rPr>
          <w:rFonts w:cs="仿宋_GB2312" w:asciiTheme="minorEastAsia" w:hAnsiTheme="minorEastAsia" w:eastAsiaTheme="minorEastAsia"/>
          <w:b/>
          <w:sz w:val="36"/>
          <w:szCs w:val="20"/>
        </w:rPr>
      </w:pPr>
      <w:bookmarkStart w:id="188" w:name="_Toc181203100"/>
      <w:r>
        <w:rPr>
          <w:rFonts w:hint="eastAsia" w:cs="仿宋_GB2312" w:asciiTheme="minorEastAsia" w:hAnsiTheme="minorEastAsia" w:eastAsiaTheme="minorEastAsia"/>
          <w:b/>
          <w:sz w:val="36"/>
          <w:szCs w:val="20"/>
        </w:rPr>
        <w:t>第七部分</w:t>
      </w:r>
      <w:bookmarkEnd w:id="81"/>
      <w:r>
        <w:rPr>
          <w:rFonts w:hint="eastAsia" w:cs="仿宋_GB2312" w:asciiTheme="minorEastAsia" w:hAnsiTheme="minorEastAsia" w:eastAsiaTheme="minorEastAsia"/>
          <w:b/>
          <w:sz w:val="36"/>
          <w:szCs w:val="20"/>
        </w:rPr>
        <w:t xml:space="preserve">  </w:t>
      </w:r>
      <w:bookmarkEnd w:id="82"/>
      <w:r>
        <w:rPr>
          <w:rFonts w:hint="eastAsia" w:cs="仿宋_GB2312" w:asciiTheme="minorEastAsia" w:hAnsiTheme="minorEastAsia" w:eastAsiaTheme="minorEastAsia"/>
          <w:b/>
          <w:sz w:val="36"/>
          <w:szCs w:val="20"/>
        </w:rPr>
        <w:t>应提交的有关格式范例</w:t>
      </w:r>
      <w:bookmarkEnd w:id="188"/>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color w:val="FF0000"/>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1"/>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pPr>
        <w:pStyle w:val="631"/>
        <w:rPr>
          <w:color w:val="FF0000"/>
        </w:rPr>
      </w:pPr>
      <w:r>
        <w:rPr>
          <w:rFonts w:hint="eastAsia"/>
          <w:color w:val="FF0000"/>
        </w:rPr>
        <w:t>（19）商务、服务（技术）响应、偏离情况说明表…………………………（页码）</w:t>
      </w:r>
    </w:p>
    <w:p>
      <w:pPr>
        <w:pStyle w:val="631"/>
        <w:rPr>
          <w:color w:val="FF0000"/>
        </w:rPr>
      </w:pPr>
      <w:r>
        <w:rPr>
          <w:rFonts w:hint="eastAsia"/>
          <w:color w:val="FF0000"/>
        </w:rPr>
        <w:t>（20）初始报价表…………………………………………………………………（页码）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pPr>
        <w:pStyle w:val="104"/>
        <w:numPr>
          <w:ilvl w:val="0"/>
          <w:numId w:val="7"/>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7"/>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pPr>
        <w:numPr>
          <w:ilvl w:val="0"/>
          <w:numId w:val="7"/>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7"/>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4"/>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18"/>
          <w:szCs w:val="18"/>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color w:val="0000FF"/>
          <w:sz w:val="24"/>
        </w:rPr>
      </w:pPr>
    </w:p>
    <w:p>
      <w:pPr>
        <w:snapToGrid w:val="0"/>
        <w:spacing w:line="360" w:lineRule="auto"/>
        <w:ind w:right="480"/>
        <w:rPr>
          <w:rFonts w:ascii="宋体" w:hAnsi="宋体" w:cs="宋体"/>
          <w:sz w:val="24"/>
        </w:rPr>
      </w:pPr>
      <w:r>
        <w:rPr>
          <w:rFonts w:hint="eastAsia" w:ascii="宋体" w:hAnsi="宋体" w:cs="宋体"/>
          <w:color w:val="0000FF"/>
          <w:sz w:val="24"/>
        </w:rPr>
        <w:t>（采购人）</w:t>
      </w:r>
      <w:r>
        <w:rPr>
          <w:rFonts w:hint="eastAsia" w:ascii="宋体" w:hAnsi="宋体" w:cs="宋体"/>
          <w:sz w:val="24"/>
        </w:rPr>
        <w:t>、（采购代理机构）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89"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89"/>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90"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90"/>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91"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91"/>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widowControl/>
        <w:adjustRightInd/>
        <w:spacing w:line="360" w:lineRule="auto"/>
        <w:ind w:right="420"/>
        <w:jc w:val="left"/>
        <w:rPr>
          <w:rFonts w:cs="仿宋_GB2312" w:asciiTheme="minorEastAsia" w:hAnsiTheme="minorEastAsia" w:eastAsiaTheme="minorEastAsia"/>
          <w:b/>
          <w:sz w:val="32"/>
          <w:szCs w:val="32"/>
        </w:rPr>
      </w:pPr>
      <w:r>
        <w:rPr>
          <w:rFonts w:hint="eastAsia" w:cs="宋体" w:asciiTheme="minorEastAsia" w:hAnsiTheme="minorEastAsia" w:eastAsiaTheme="minorEastAsia"/>
          <w:sz w:val="24"/>
        </w:rPr>
        <w:t>注：按本格式和要求提供。</w:t>
      </w:r>
    </w:p>
    <w:p>
      <w:pPr>
        <w:widowControl/>
        <w:adjustRightInd/>
        <w:spacing w:line="360" w:lineRule="auto"/>
        <w:ind w:right="420"/>
        <w:jc w:val="left"/>
        <w:rPr>
          <w:rFonts w:cs="仿宋_GB2312" w:asciiTheme="minorEastAsia" w:hAnsiTheme="minorEastAsia" w:eastAsiaTheme="minorEastAsia"/>
          <w:b/>
          <w:sz w:val="32"/>
          <w:szCs w:val="32"/>
        </w:rPr>
      </w:pPr>
    </w:p>
    <w:p>
      <w:pPr>
        <w:widowControl/>
        <w:adjustRightInd/>
        <w:spacing w:line="360" w:lineRule="auto"/>
        <w:ind w:right="42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color w:val="FF0000"/>
          <w:kern w:val="0"/>
          <w:sz w:val="32"/>
          <w:szCs w:val="32"/>
          <w:lang w:val="zh-CN"/>
        </w:rPr>
      </w:pPr>
      <w:r>
        <w:rPr>
          <w:rFonts w:hint="eastAsia" w:cs="仿宋_GB2312" w:asciiTheme="minorEastAsia" w:hAnsiTheme="minorEastAsia" w:eastAsiaTheme="minorEastAsia"/>
          <w:b/>
          <w:color w:val="FF0000"/>
          <w:kern w:val="0"/>
          <w:sz w:val="32"/>
          <w:szCs w:val="32"/>
          <w:lang w:val="zh-CN"/>
        </w:rPr>
        <w:t>三、</w:t>
      </w:r>
      <w:r>
        <w:rPr>
          <w:rFonts w:hint="eastAsia" w:ascii="宋体" w:hAnsi="宋体" w:cs="宋体"/>
          <w:b/>
          <w:color w:val="FF0000"/>
          <w:kern w:val="0"/>
          <w:sz w:val="32"/>
          <w:szCs w:val="32"/>
          <w:lang w:val="zh-CN"/>
        </w:rPr>
        <w:t>授权委托书或法定代表人（单位负责人、自然人本人）身份证明</w:t>
      </w:r>
    </w:p>
    <w:p>
      <w:pPr>
        <w:snapToGrid w:val="0"/>
        <w:spacing w:line="360" w:lineRule="auto"/>
        <w:rPr>
          <w:rFonts w:ascii="宋体" w:hAnsi="宋体" w:cs="宋体"/>
          <w:color w:val="FF0000"/>
          <w:sz w:val="24"/>
        </w:rPr>
      </w:pPr>
      <w:r>
        <w:rPr>
          <w:rFonts w:hint="eastAsia" w:ascii="宋体" w:hAnsi="宋体" w:cs="宋体"/>
          <w:color w:val="FF0000"/>
          <w:sz w:val="24"/>
        </w:rPr>
        <w:t xml:space="preserve">                                </w:t>
      </w:r>
    </w:p>
    <w:p>
      <w:pPr>
        <w:snapToGrid w:val="0"/>
        <w:spacing w:line="360" w:lineRule="auto"/>
        <w:ind w:firstLine="2872" w:firstLineChars="894"/>
        <w:rPr>
          <w:rFonts w:ascii="宋体" w:hAnsi="宋体" w:cs="宋体"/>
          <w:color w:val="FF0000"/>
        </w:rPr>
      </w:pPr>
      <w:r>
        <w:rPr>
          <w:rFonts w:hint="eastAsia" w:ascii="宋体" w:hAnsi="宋体" w:cs="宋体"/>
          <w:b/>
          <w:color w:val="FF0000"/>
          <w:kern w:val="0"/>
          <w:sz w:val="32"/>
          <w:szCs w:val="32"/>
          <w:lang w:val="zh-CN"/>
        </w:rPr>
        <w:t>授权委托书（适用于非联合体磋商）</w:t>
      </w:r>
      <w:r>
        <w:rPr>
          <w:rFonts w:hint="eastAsia" w:ascii="宋体" w:hAnsi="宋体" w:cs="宋体"/>
          <w:color w:val="FF0000"/>
        </w:rPr>
        <w:t xml:space="preserve">                               </w:t>
      </w:r>
    </w:p>
    <w:p>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pPr>
        <w:spacing w:line="360" w:lineRule="auto"/>
        <w:ind w:left="4649" w:leftChars="2214" w:firstLine="3600" w:firstLineChars="1500"/>
        <w:rPr>
          <w:rFonts w:ascii="宋体" w:hAnsi="宋体" w:cs="宋体"/>
          <w:color w:val="FF0000"/>
          <w:sz w:val="24"/>
        </w:rPr>
      </w:pPr>
      <w:r>
        <w:rPr>
          <w:rFonts w:hint="eastAsia" w:ascii="宋体" w:hAnsi="宋体" w:cs="宋体"/>
          <w:color w:val="FF0000"/>
          <w:kern w:val="0"/>
          <w:sz w:val="24"/>
          <w:lang w:val="zh-CN"/>
        </w:rPr>
        <w:t xml:space="preserve">                                                 </w:t>
      </w:r>
      <w:r>
        <w:rPr>
          <w:rFonts w:hint="eastAsia" w:ascii="宋体" w:hAnsi="宋体" w:cs="宋体"/>
          <w:color w:val="FF0000"/>
          <w:sz w:val="24"/>
        </w:rPr>
        <w:t>磋商供应商名称（公章）：</w:t>
      </w:r>
    </w:p>
    <w:p>
      <w:pPr>
        <w:snapToGrid w:val="0"/>
        <w:spacing w:line="360" w:lineRule="auto"/>
        <w:ind w:left="4649" w:leftChars="2214"/>
        <w:rPr>
          <w:rFonts w:ascii="宋体" w:hAnsi="宋体" w:cs="宋体"/>
          <w:color w:val="FF0000"/>
          <w:kern w:val="0"/>
          <w:sz w:val="24"/>
        </w:rPr>
      </w:pPr>
      <w:r>
        <w:rPr>
          <w:rFonts w:hint="eastAsia" w:ascii="宋体" w:hAnsi="宋体" w:cs="宋体"/>
          <w:color w:val="FF0000"/>
          <w:sz w:val="24"/>
        </w:rPr>
        <w:t>法定代表人（负责人） (签名)：</w:t>
      </w:r>
    </w:p>
    <w:p>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签发日期：  年  月   日</w:t>
      </w:r>
    </w:p>
    <w:p>
      <w:pPr>
        <w:adjustRightInd/>
        <w:spacing w:line="360" w:lineRule="auto"/>
        <w:rPr>
          <w:rFonts w:ascii="宋体" w:hAnsi="宋体"/>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pPr>
        <w:snapToGrid w:val="0"/>
        <w:spacing w:line="360" w:lineRule="auto"/>
        <w:ind w:right="480"/>
        <w:rPr>
          <w:rFonts w:ascii="宋体" w:hAnsi="宋体" w:cs="宋体"/>
          <w:b/>
          <w:color w:val="FF0000"/>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FF0000"/>
          <w:sz w:val="24"/>
        </w:rPr>
      </w:pPr>
    </w:p>
    <w:p>
      <w:pPr>
        <w:jc w:val="center"/>
        <w:rPr>
          <w:rFonts w:ascii="宋体" w:hAnsi="宋体" w:cs="宋体"/>
          <w:b/>
          <w:color w:val="FF0000"/>
          <w:kern w:val="0"/>
          <w:sz w:val="32"/>
          <w:szCs w:val="32"/>
          <w:lang w:val="zh-CN"/>
        </w:rPr>
      </w:pPr>
      <w:r>
        <w:rPr>
          <w:rFonts w:hint="eastAsia" w:ascii="宋体" w:hAnsi="宋体" w:cs="宋体"/>
          <w:b/>
          <w:color w:val="FF0000"/>
          <w:kern w:val="0"/>
          <w:sz w:val="32"/>
          <w:szCs w:val="32"/>
        </w:rPr>
        <w:t xml:space="preserve">       </w:t>
      </w:r>
      <w:r>
        <w:rPr>
          <w:rFonts w:hint="eastAsia" w:ascii="宋体" w:hAnsi="宋体" w:cs="宋体"/>
          <w:b/>
          <w:color w:val="FF0000"/>
          <w:kern w:val="0"/>
          <w:sz w:val="32"/>
          <w:szCs w:val="32"/>
          <w:lang w:val="zh-CN"/>
        </w:rPr>
        <w:t>授权委托书（适用于联合体磋商）</w:t>
      </w:r>
    </w:p>
    <w:p>
      <w:pPr>
        <w:pStyle w:val="631"/>
      </w:pPr>
    </w:p>
    <w:p>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pPr>
        <w:jc w:val="center"/>
        <w:rPr>
          <w:rFonts w:ascii="宋体" w:hAnsi="宋体" w:cs="宋体"/>
          <w:b/>
          <w:color w:val="FF0000"/>
          <w:kern w:val="0"/>
          <w:sz w:val="32"/>
          <w:szCs w:val="32"/>
        </w:rPr>
      </w:pPr>
    </w:p>
    <w:p>
      <w:pPr>
        <w:jc w:val="center"/>
        <w:rPr>
          <w:rFonts w:ascii="宋体" w:hAnsi="宋体" w:cs="宋体"/>
          <w:b/>
          <w:color w:val="FF0000"/>
          <w:kern w:val="0"/>
          <w:sz w:val="32"/>
          <w:szCs w:val="32"/>
        </w:rPr>
      </w:pPr>
    </w:p>
    <w:p>
      <w:pPr>
        <w:jc w:val="center"/>
        <w:rPr>
          <w:rFonts w:ascii="宋体" w:hAnsi="宋体" w:cs="宋体"/>
          <w:b/>
          <w:color w:val="FF0000"/>
          <w:kern w:val="0"/>
          <w:sz w:val="32"/>
          <w:szCs w:val="32"/>
        </w:rPr>
      </w:pPr>
    </w:p>
    <w:p>
      <w:pPr>
        <w:rPr>
          <w:rFonts w:ascii="宋体" w:hAnsi="宋体" w:cs="宋体"/>
          <w:color w:val="FF0000"/>
        </w:rPr>
      </w:pPr>
    </w:p>
    <w:p>
      <w:pPr>
        <w:snapToGrid w:val="0"/>
        <w:spacing w:line="360" w:lineRule="auto"/>
        <w:ind w:firstLine="5040" w:firstLineChars="2100"/>
        <w:rPr>
          <w:rFonts w:ascii="宋体" w:hAnsi="宋体" w:cs="宋体"/>
          <w:color w:val="FF0000"/>
          <w:kern w:val="0"/>
          <w:sz w:val="24"/>
          <w:lang w:val="zh-CN"/>
        </w:rPr>
      </w:pPr>
      <w:r>
        <w:rPr>
          <w:rFonts w:hint="eastAsia" w:ascii="宋体" w:hAnsi="宋体" w:cs="宋体"/>
          <w:color w:val="FF0000"/>
          <w:kern w:val="0"/>
          <w:sz w:val="24"/>
          <w:lang w:val="zh-CN"/>
        </w:rPr>
        <w:t>联合体成员名称(公章)：</w:t>
      </w:r>
    </w:p>
    <w:p>
      <w:pPr>
        <w:snapToGrid w:val="0"/>
        <w:spacing w:line="360" w:lineRule="auto"/>
        <w:ind w:firstLine="5040" w:firstLineChars="2100"/>
        <w:rPr>
          <w:rFonts w:ascii="宋体" w:hAnsi="宋体"/>
          <w:color w:val="FF0000"/>
          <w:sz w:val="24"/>
        </w:rPr>
      </w:pPr>
      <w:r>
        <w:rPr>
          <w:rFonts w:hint="eastAsia" w:ascii="宋体" w:hAnsi="宋体"/>
          <w:color w:val="FF0000"/>
          <w:sz w:val="24"/>
        </w:rPr>
        <w:t>法定代表人（负责人） (签名)：</w:t>
      </w:r>
    </w:p>
    <w:p>
      <w:pPr>
        <w:snapToGrid w:val="0"/>
        <w:spacing w:line="360" w:lineRule="auto"/>
        <w:ind w:firstLine="5040" w:firstLineChars="2100"/>
        <w:rPr>
          <w:rFonts w:ascii="宋体" w:hAnsi="宋体" w:cs="宋体"/>
          <w:color w:val="FF0000"/>
          <w:kern w:val="0"/>
          <w:sz w:val="24"/>
          <w:lang w:val="zh-CN"/>
        </w:rPr>
      </w:pPr>
      <w:r>
        <w:rPr>
          <w:rFonts w:hint="eastAsia" w:ascii="宋体" w:hAnsi="宋体"/>
          <w:color w:val="FF0000"/>
          <w:sz w:val="24"/>
        </w:rPr>
        <w:t>联合体成</w:t>
      </w:r>
      <w:r>
        <w:rPr>
          <w:rFonts w:hint="eastAsia" w:ascii="宋体" w:hAnsi="宋体" w:cs="宋体"/>
          <w:color w:val="FF0000"/>
          <w:kern w:val="0"/>
          <w:sz w:val="24"/>
          <w:lang w:val="zh-CN"/>
        </w:rPr>
        <w:t>员名称(公章)：</w:t>
      </w:r>
    </w:p>
    <w:p>
      <w:pPr>
        <w:snapToGrid w:val="0"/>
        <w:spacing w:line="360" w:lineRule="auto"/>
        <w:ind w:firstLine="5040" w:firstLineChars="2100"/>
        <w:jc w:val="left"/>
        <w:rPr>
          <w:rFonts w:ascii="宋体" w:hAnsi="宋体"/>
          <w:color w:val="FF0000"/>
          <w:kern w:val="0"/>
          <w:sz w:val="24"/>
          <w:szCs w:val="20"/>
        </w:rPr>
      </w:pPr>
      <w:r>
        <w:rPr>
          <w:rFonts w:hint="eastAsia" w:ascii="宋体" w:hAnsi="宋体"/>
          <w:color w:val="FF0000"/>
          <w:kern w:val="0"/>
          <w:sz w:val="24"/>
          <w:szCs w:val="20"/>
        </w:rPr>
        <w:t>法定代表人（负责人） (签名)：</w:t>
      </w:r>
    </w:p>
    <w:p>
      <w:pPr>
        <w:snapToGrid w:val="0"/>
        <w:spacing w:line="360" w:lineRule="auto"/>
        <w:ind w:firstLine="5040" w:firstLineChars="2100"/>
        <w:rPr>
          <w:rFonts w:ascii="宋体" w:hAnsi="宋体" w:cs="宋体"/>
          <w:color w:val="FF0000"/>
          <w:kern w:val="0"/>
          <w:sz w:val="24"/>
          <w:lang w:val="zh-CN"/>
        </w:rPr>
      </w:pPr>
    </w:p>
    <w:p>
      <w:pPr>
        <w:snapToGrid w:val="0"/>
        <w:spacing w:line="360" w:lineRule="auto"/>
        <w:ind w:firstLine="5760" w:firstLineChars="2400"/>
        <w:rPr>
          <w:rFonts w:ascii="宋体" w:hAnsi="宋体" w:cs="宋体"/>
          <w:color w:val="FF0000"/>
        </w:rPr>
      </w:pPr>
      <w:r>
        <w:rPr>
          <w:rFonts w:hint="eastAsia" w:ascii="宋体" w:hAnsi="宋体" w:cs="宋体"/>
          <w:color w:val="FF0000"/>
          <w:kern w:val="0"/>
          <w:sz w:val="24"/>
          <w:lang w:val="zh-CN"/>
        </w:rPr>
        <w:t>……</w:t>
      </w:r>
    </w:p>
    <w:p>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日期：  年  月   日</w:t>
      </w:r>
    </w:p>
    <w:p>
      <w:pPr>
        <w:adjustRightInd/>
        <w:spacing w:line="360" w:lineRule="auto"/>
        <w:rPr>
          <w:rFonts w:ascii="宋体" w:hAnsi="宋体"/>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pPr>
        <w:snapToGrid w:val="0"/>
        <w:spacing w:line="360" w:lineRule="auto"/>
        <w:ind w:right="480"/>
        <w:rPr>
          <w:rFonts w:ascii="宋体" w:hAnsi="宋体" w:cs="宋体"/>
          <w:b/>
          <w:color w:val="FF0000"/>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法定代表人、单位负责人或自然人本人</w:t>
      </w:r>
      <w:r>
        <w:rPr>
          <w:rFonts w:hint="eastAsia" w:ascii="宋体" w:hAnsi="宋体" w:cs="宋体"/>
          <w:b/>
          <w:color w:val="000000" w:themeColor="text1"/>
          <w:sz w:val="30"/>
          <w:szCs w:val="30"/>
          <w14:textFill>
            <w14:solidFill>
              <w14:schemeClr w14:val="tx1"/>
            </w14:solidFill>
          </w14:textFill>
        </w:rPr>
        <w:t>的身份证明（适用于法定代表人、单位负责人或者自然人本人代表磋商供应商参加谈判）</w:t>
      </w:r>
    </w:p>
    <w:p>
      <w:pPr>
        <w:adjustRightInd/>
        <w:spacing w:line="360" w:lineRule="auto"/>
        <w:rPr>
          <w:rFonts w:ascii="宋体" w:hAnsi="宋体" w:cs="宋体"/>
          <w:bCs/>
          <w:color w:val="000000" w:themeColor="text1"/>
          <w:sz w:val="24"/>
          <w:szCs w:val="21"/>
          <w14:textFill>
            <w14:solidFill>
              <w14:schemeClr w14:val="tx1"/>
            </w14:solidFill>
          </w14:textFill>
        </w:rPr>
      </w:pPr>
    </w:p>
    <w:p>
      <w:pPr>
        <w:adjustRightInd/>
        <w:snapToGrid w:val="0"/>
        <w:spacing w:before="120" w:beforeLines="50" w:after="50" w:line="6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法定代表人、单位负责人或自然人身份证明书</w:t>
      </w:r>
    </w:p>
    <w:p>
      <w:pPr>
        <w:snapToGrid w:val="0"/>
        <w:spacing w:line="276" w:lineRule="auto"/>
        <w:ind w:firstLine="960" w:firstLineChars="400"/>
        <w:rPr>
          <w:rFonts w:ascii="宋体" w:hAnsi="宋体"/>
          <w:color w:val="000000" w:themeColor="text1"/>
          <w:sz w:val="24"/>
          <w:u w:val="single"/>
          <w14:textFill>
            <w14:solidFill>
              <w14:schemeClr w14:val="tx1"/>
            </w14:solidFill>
          </w14:textFill>
        </w:rPr>
      </w:pPr>
    </w:p>
    <w:p>
      <w:pPr>
        <w:snapToGrid w:val="0"/>
        <w:spacing w:line="720" w:lineRule="exact"/>
        <w:ind w:firstLine="960" w:firstLineChars="40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olor w:val="000000" w:themeColor="text1"/>
          <w:sz w:val="24"/>
          <w14:textFill>
            <w14:solidFill>
              <w14:schemeClr w14:val="tx1"/>
            </w14:solidFill>
          </w14:textFill>
        </w:rPr>
        <w:t>在我公司（单位）任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职务，是我公司（单位）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的法定代表人</w:t>
      </w:r>
      <w:r>
        <w:rPr>
          <w:rFonts w:hint="eastAsia" w:ascii="宋体" w:hAnsi="宋体" w:cs="宋体"/>
          <w:color w:val="000000" w:themeColor="text1"/>
          <w:kern w:val="0"/>
          <w:sz w:val="24"/>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snapToGrid w:val="0"/>
        <w:spacing w:line="720" w:lineRule="exact"/>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pPr>
        <w:snapToGrid w:val="0"/>
        <w:spacing w:line="276" w:lineRule="auto"/>
        <w:rPr>
          <w:rFonts w:ascii="宋体" w:hAnsi="宋体"/>
          <w:color w:val="000000" w:themeColor="text1"/>
          <w:sz w:val="24"/>
          <w14:textFill>
            <w14:solidFill>
              <w14:schemeClr w14:val="tx1"/>
            </w14:solidFill>
          </w14:textFill>
        </w:rPr>
      </w:pPr>
    </w:p>
    <w:p>
      <w:pPr>
        <w:snapToGrid w:val="0"/>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napToGrid w:val="0"/>
        <w:spacing w:line="276" w:lineRule="auto"/>
        <w:rPr>
          <w:rFonts w:ascii="宋体" w:hAnsi="宋体"/>
          <w:color w:val="000000" w:themeColor="text1"/>
          <w:sz w:val="24"/>
          <w14:textFill>
            <w14:solidFill>
              <w14:schemeClr w14:val="tx1"/>
            </w14:solidFill>
          </w14:textFill>
        </w:rPr>
      </w:pPr>
    </w:p>
    <w:p>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w:t>
      </w:r>
      <w:r>
        <w:rPr>
          <w:rFonts w:hint="eastAsia" w:ascii="宋体" w:hAnsi="宋体" w:cs="宋体"/>
          <w:color w:val="000000" w:themeColor="text1"/>
          <w:kern w:val="0"/>
          <w:sz w:val="24"/>
          <w:lang w:val="zh-CN"/>
          <w14:textFill>
            <w14:solidFill>
              <w14:schemeClr w14:val="tx1"/>
            </w14:solidFill>
          </w14:textFill>
        </w:rPr>
        <w:t xml:space="preserve">(公章)：                              </w:t>
      </w:r>
    </w:p>
    <w:p>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color w:val="000000" w:themeColor="text1"/>
          <w:kern w:val="0"/>
          <w:sz w:val="24"/>
          <w:szCs w:val="21"/>
          <w:lang w:val="zh-CN"/>
          <w14:textFill>
            <w14:solidFill>
              <w14:schemeClr w14:val="tx1"/>
            </w14:solidFill>
          </w14:textFill>
        </w:rPr>
        <w:t xml:space="preserve">                               日期：  年  月  日</w:t>
      </w:r>
    </w:p>
    <w:p>
      <w:pPr>
        <w:adjustRightInd/>
        <w:spacing w:line="360" w:lineRule="auto"/>
        <w:rPr>
          <w:rFonts w:ascii="宋体" w:hAnsi="宋体" w:cs="宋体"/>
          <w:bCs/>
          <w:color w:val="000000" w:themeColor="text1"/>
          <w:sz w:val="24"/>
          <w:szCs w:val="21"/>
          <w14:textFill>
            <w14:solidFill>
              <w14:schemeClr w14:val="tx1"/>
            </w14:solidFill>
          </w14:textFill>
        </w:rPr>
      </w:pPr>
    </w:p>
    <w:p>
      <w:pPr>
        <w:adjustRightInd/>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法定代表人</w:t>
      </w:r>
      <w:r>
        <w:rPr>
          <w:rFonts w:hint="eastAsia" w:ascii="宋体" w:hAnsi="宋体" w:cs="宋体"/>
          <w:color w:val="000000" w:themeColor="text1"/>
          <w:kern w:val="0"/>
          <w:sz w:val="24"/>
          <w:szCs w:val="21"/>
          <w14:textFill>
            <w14:solidFill>
              <w14:schemeClr w14:val="tx1"/>
            </w14:solidFill>
          </w14:textFill>
        </w:rPr>
        <w:t>（负责人）</w:t>
      </w:r>
      <w:r>
        <w:rPr>
          <w:rFonts w:hint="eastAsia" w:ascii="宋体" w:hAnsi="宋体" w:cs="宋体"/>
          <w:bCs/>
          <w:color w:val="000000" w:themeColor="text1"/>
          <w:sz w:val="24"/>
          <w:szCs w:val="21"/>
          <w14:textFill>
            <w14:solidFill>
              <w14:schemeClr w14:val="tx1"/>
            </w14:solidFill>
          </w14:textFill>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正面：                                 反面：</w:t>
            </w:r>
          </w:p>
          <w:p>
            <w:pPr>
              <w:spacing w:line="360" w:lineRule="auto"/>
              <w:rPr>
                <w:rFonts w:ascii="宋体" w:hAnsi="宋体" w:cs="宋体"/>
                <w:bCs/>
                <w:color w:val="000000" w:themeColor="text1"/>
                <w:sz w:val="24"/>
                <w:szCs w:val="21"/>
                <w14:textFill>
                  <w14:solidFill>
                    <w14:schemeClr w14:val="tx1"/>
                  </w14:solidFill>
                </w14:textFill>
              </w:rPr>
            </w:pPr>
          </w:p>
        </w:tc>
      </w:tr>
    </w:tbl>
    <w:p>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pPr>
        <w:snapToGrid w:val="0"/>
        <w:spacing w:line="360" w:lineRule="auto"/>
        <w:ind w:firstLine="3534" w:firstLineChars="1100"/>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pPr>
        <w:snapToGrid w:val="0"/>
        <w:spacing w:line="360" w:lineRule="auto"/>
        <w:ind w:firstLine="3534" w:firstLineChars="1100"/>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pPr>
        <w:pStyle w:val="631"/>
        <w:rPr>
          <w:color w:val="000000" w:themeColor="text1"/>
          <w14:textFill>
            <w14:solidFill>
              <w14:schemeClr w14:val="tx1"/>
            </w14:solidFill>
          </w14:textFill>
        </w:rPr>
      </w:pPr>
    </w:p>
    <w:p>
      <w:pPr>
        <w:pStyle w:val="631"/>
        <w:rPr>
          <w:color w:val="000000" w:themeColor="text1"/>
          <w14:textFill>
            <w14:solidFill>
              <w14:schemeClr w14:val="tx1"/>
            </w14:solidFill>
          </w14:textFill>
        </w:rPr>
      </w:pPr>
    </w:p>
    <w:p>
      <w:pPr>
        <w:snapToGrid w:val="0"/>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1"/>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4830" w:leftChars="2300" w:firstLine="720" w:firstLineChars="300"/>
        <w:rPr>
          <w:rFonts w:cs="宋体" w:asciiTheme="minorEastAsia" w:hAnsiTheme="minorEastAsia" w:eastAsiaTheme="minorEastAsia"/>
          <w:kern w:val="0"/>
          <w:sz w:val="24"/>
          <w:lang w:val="zh-CN"/>
        </w:rPr>
      </w:pPr>
    </w:p>
    <w:p>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pPr>
        <w:snapToGrid w:val="0"/>
        <w:spacing w:line="360" w:lineRule="auto"/>
        <w:jc w:val="right"/>
        <w:rPr>
          <w:rStyle w:val="630"/>
        </w:rPr>
      </w:pPr>
      <w:r>
        <w:rPr>
          <w:rStyle w:val="630"/>
          <w:rFonts w:hint="eastAsia"/>
        </w:rPr>
        <w:t>法定代表人（负责人） (签名)：</w:t>
      </w:r>
    </w:p>
    <w:p>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jc w:val="right"/>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center"/>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bCs/>
          <w:sz w:val="24"/>
        </w:rPr>
      </w:pPr>
    </w:p>
    <w:p>
      <w:pPr>
        <w:spacing w:line="360" w:lineRule="auto"/>
        <w:ind w:firstLine="1000"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color w:val="0000FF"/>
          <w:sz w:val="24"/>
        </w:rPr>
        <w:t>（采购人）</w:t>
      </w:r>
      <w:r>
        <w:rPr>
          <w:rFonts w:hint="eastAsia" w:ascii="宋体" w:hAnsi="宋体" w:cs="宋体"/>
          <w:sz w:val="24"/>
        </w:rPr>
        <w:t>、（采购代理机构）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color w:val="FF0000"/>
          <w:sz w:val="32"/>
          <w:szCs w:val="32"/>
        </w:rPr>
      </w:pPr>
      <w:r>
        <w:rPr>
          <w:rFonts w:hint="eastAsia" w:ascii="宋体" w:hAnsi="宋体" w:cs="宋体"/>
          <w:b/>
          <w:bCs/>
          <w:color w:val="FF0000"/>
          <w:sz w:val="32"/>
          <w:szCs w:val="32"/>
        </w:rPr>
        <w:t>二十</w:t>
      </w:r>
      <w:r>
        <w:rPr>
          <w:rFonts w:hint="eastAsia" w:ascii="宋体" w:hAnsi="宋体" w:cs="宋体"/>
          <w:b/>
          <w:color w:val="FF0000"/>
          <w:kern w:val="0"/>
          <w:sz w:val="32"/>
          <w:szCs w:val="32"/>
        </w:rPr>
        <w:t>、</w:t>
      </w:r>
      <w:r>
        <w:rPr>
          <w:rFonts w:hint="eastAsia" w:ascii="宋体" w:hAnsi="宋体" w:cs="宋体"/>
          <w:b/>
          <w:bCs/>
          <w:color w:val="FF0000"/>
          <w:sz w:val="32"/>
          <w:szCs w:val="32"/>
        </w:rPr>
        <w:t>初始报价表</w:t>
      </w:r>
    </w:p>
    <w:p>
      <w:pPr>
        <w:pStyle w:val="631"/>
        <w:jc w:val="center"/>
        <w:rPr>
          <w:rFonts w:asciiTheme="minorEastAsia" w:hAnsiTheme="minorEastAsia" w:eastAsiaTheme="minorEastAsia"/>
          <w:color w:val="FF0000"/>
          <w:kern w:val="2"/>
          <w:szCs w:val="24"/>
        </w:rPr>
      </w:pPr>
      <w:r>
        <w:rPr>
          <w:rFonts w:hint="eastAsia" w:asciiTheme="minorEastAsia" w:hAnsiTheme="minorEastAsia" w:eastAsiaTheme="minorEastAsia"/>
          <w:color w:val="FF0000"/>
          <w:kern w:val="2"/>
          <w:szCs w:val="24"/>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pP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sz w:val="36"/>
          <w:szCs w:val="36"/>
        </w:rPr>
      </w:pPr>
      <w:bookmarkStart w:id="192" w:name="_Toc181203101"/>
      <w:r>
        <w:rPr>
          <w:rFonts w:hint="eastAsia" w:cs="仿宋_GB2312" w:asciiTheme="minorEastAsia" w:hAnsiTheme="minorEastAsia" w:eastAsiaTheme="minorEastAsia"/>
          <w:b/>
          <w:sz w:val="36"/>
          <w:szCs w:val="36"/>
        </w:rPr>
        <w:t>第八部分  最后报价格式</w:t>
      </w:r>
      <w:bookmarkEnd w:id="192"/>
    </w:p>
    <w:p>
      <w:pPr>
        <w:pStyle w:val="631"/>
        <w:jc w:val="center"/>
        <w:rPr>
          <w:b/>
          <w:sz w:val="32"/>
          <w:szCs w:val="32"/>
        </w:rPr>
      </w:pPr>
      <w:r>
        <w:rPr>
          <w:rFonts w:hint="eastAsia"/>
          <w:b/>
          <w:sz w:val="32"/>
          <w:szCs w:val="32"/>
        </w:rPr>
        <w:t>（一）报价一览表</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b w:val="0"/>
          <w:bCs w:val="0"/>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b w:val="0"/>
          <w:bCs w:val="0"/>
          <w:kern w:val="0"/>
          <w:sz w:val="24"/>
          <w:szCs w:val="22"/>
          <w:lang w:val="zh-CN"/>
        </w:rPr>
        <w:t>4</w:t>
      </w:r>
      <w:r>
        <w:rPr>
          <w:rFonts w:cs="仿宋_GB2312" w:asciiTheme="minorEastAsia" w:hAnsiTheme="minorEastAsia" w:eastAsiaTheme="minorEastAsia"/>
          <w:b w:val="0"/>
          <w:bCs w:val="0"/>
          <w:kern w:val="0"/>
          <w:sz w:val="24"/>
          <w:szCs w:val="22"/>
          <w:lang w:val="zh-CN"/>
        </w:rPr>
        <w:t>、</w:t>
      </w:r>
      <w:r>
        <w:rPr>
          <w:rFonts w:hint="eastAsia" w:cs="仿宋_GB2312" w:asciiTheme="minorEastAsia" w:hAnsiTheme="minorEastAsia" w:eastAsiaTheme="minorEastAsia"/>
          <w:b w:val="0"/>
          <w:bCs w:val="0"/>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b w:val="0"/>
          <w:bCs w:val="0"/>
          <w:kern w:val="0"/>
          <w:sz w:val="24"/>
          <w:lang w:val="zh-CN"/>
        </w:rPr>
        <w:t>提供</w:t>
      </w:r>
      <w:r>
        <w:rPr>
          <w:rFonts w:hint="eastAsia" w:cs="仿宋_GB2312" w:asciiTheme="minorEastAsia" w:hAnsiTheme="minorEastAsia" w:eastAsiaTheme="minorEastAsia"/>
          <w:b w:val="0"/>
          <w:bCs w:val="0"/>
          <w:kern w:val="0"/>
          <w:sz w:val="24"/>
          <w:lang w:val="zh-CN"/>
        </w:rPr>
        <w:t>的中小企业</w:t>
      </w:r>
      <w:r>
        <w:rPr>
          <w:rFonts w:cs="仿宋_GB2312" w:asciiTheme="minorEastAsia" w:hAnsiTheme="minorEastAsia" w:eastAsiaTheme="minorEastAsia"/>
          <w:b w:val="0"/>
          <w:bCs w:val="0"/>
          <w:kern w:val="0"/>
          <w:sz w:val="24"/>
          <w:lang w:val="zh-CN"/>
        </w:rPr>
        <w:t>声明函内容不实的，属于提</w:t>
      </w:r>
      <w:r>
        <w:rPr>
          <w:rFonts w:cs="仿宋_GB2312" w:asciiTheme="minorEastAsia" w:hAnsiTheme="minorEastAsia" w:eastAsiaTheme="minorEastAsia"/>
          <w:b w:val="0"/>
          <w:bCs w:val="0"/>
          <w:color w:val="000000" w:themeColor="text1"/>
          <w:kern w:val="0"/>
          <w:sz w:val="24"/>
          <w:lang w:val="zh-CN"/>
          <w14:textFill>
            <w14:solidFill>
              <w14:schemeClr w14:val="tx1"/>
            </w14:solidFill>
          </w14:textFill>
        </w:rPr>
        <w:t>供虚假材料谋取中标、成交，依照《中华人民共和国政府采购法》等国家有关规定追究相应责任。</w:t>
      </w:r>
    </w:p>
    <w:p>
      <w:pPr>
        <w:snapToGrid w:val="0"/>
        <w:spacing w:line="360" w:lineRule="auto"/>
        <w:ind w:firstLine="480" w:firstLineChars="200"/>
        <w:jc w:val="left"/>
        <w:rPr>
          <w:rFonts w:cs="仿宋_GB2312" w:asciiTheme="minorEastAsia" w:hAnsiTheme="minorEastAsia" w:eastAsiaTheme="minorEastAsia"/>
          <w:b w:val="0"/>
          <w:bCs w:val="0"/>
          <w:color w:val="000000" w:themeColor="text1"/>
          <w:kern w:val="0"/>
          <w:sz w:val="24"/>
          <w:lang w:val="zh-CN"/>
          <w14:textFill>
            <w14:solidFill>
              <w14:schemeClr w14:val="tx1"/>
            </w14:solidFill>
          </w14:textFill>
        </w:rPr>
      </w:pPr>
      <w:r>
        <w:rPr>
          <w:rFonts w:hint="eastAsia" w:ascii="宋体" w:hAnsi="宋体" w:cs="宋体"/>
          <w:b w:val="0"/>
          <w:bCs w:val="0"/>
          <w:color w:val="000000" w:themeColor="text1"/>
          <w:kern w:val="0"/>
          <w:sz w:val="24"/>
          <w:szCs w:val="22"/>
          <w:lang w:val="zh-CN"/>
          <w14:textFill>
            <w14:solidFill>
              <w14:schemeClr w14:val="tx1"/>
            </w14:solidFill>
          </w14:textFill>
        </w:rPr>
        <w:t>5、</w:t>
      </w:r>
      <w:r>
        <w:rPr>
          <w:rFonts w:hint="eastAsia" w:cs="仿宋_GB2312" w:asciiTheme="minorEastAsia" w:hAnsiTheme="minorEastAsia" w:eastAsiaTheme="minorEastAsia"/>
          <w:b w:val="0"/>
          <w:bCs w:val="0"/>
          <w:color w:val="000000" w:themeColor="text1"/>
          <w:kern w:val="0"/>
          <w:sz w:val="24"/>
          <w:lang w:val="zh-CN"/>
          <w14:textFill>
            <w14:solidFill>
              <w14:schemeClr w14:val="tx1"/>
            </w14:solidFill>
          </w14:textFill>
        </w:rPr>
        <w:t>如有多轮报价，则每轮报价</w:t>
      </w:r>
      <w:r>
        <w:rPr>
          <w:rFonts w:hint="eastAsia" w:cs="宋体" w:asciiTheme="minorEastAsia" w:hAnsiTheme="minorEastAsia" w:eastAsiaTheme="minorEastAsia"/>
          <w:b w:val="0"/>
          <w:bCs w:val="0"/>
          <w:color w:val="000000" w:themeColor="text1"/>
          <w:kern w:val="0"/>
          <w:sz w:val="24"/>
          <w:lang w:val="zh-CN"/>
          <w14:textFill>
            <w14:solidFill>
              <w14:schemeClr w14:val="tx1"/>
            </w14:solidFill>
          </w14:textFill>
        </w:rPr>
        <w:t>供应商均</w:t>
      </w:r>
      <w:r>
        <w:rPr>
          <w:rFonts w:hint="eastAsia" w:ascii="宋体" w:hAnsi="宋体" w:cs="宋体"/>
          <w:b w:val="0"/>
          <w:bCs w:val="0"/>
          <w:color w:val="000000" w:themeColor="text1"/>
          <w:kern w:val="0"/>
          <w:sz w:val="24"/>
          <w:lang w:val="zh-CN"/>
          <w14:textFill>
            <w14:solidFill>
              <w14:schemeClr w14:val="tx1"/>
            </w14:solidFill>
          </w14:textFill>
        </w:rPr>
        <w:t>需按本表格式填写</w:t>
      </w:r>
      <w:r>
        <w:rPr>
          <w:rFonts w:cs="仿宋_GB2312" w:asciiTheme="minorEastAsia" w:hAnsiTheme="minorEastAsia" w:eastAsiaTheme="minorEastAsia"/>
          <w:b w:val="0"/>
          <w:bCs w:val="0"/>
          <w:color w:val="000000" w:themeColor="text1"/>
          <w:kern w:val="0"/>
          <w:sz w:val="24"/>
          <w:lang w:val="zh-CN"/>
          <w14:textFill>
            <w14:solidFill>
              <w14:schemeClr w14:val="tx1"/>
            </w14:solidFill>
          </w14:textFill>
        </w:rPr>
        <w:t>。</w:t>
      </w:r>
    </w:p>
    <w:p>
      <w:pPr>
        <w:pStyle w:val="2"/>
        <w:numPr>
          <w:ilvl w:val="-1"/>
          <w:numId w:val="0"/>
        </w:numPr>
        <w:ind w:left="0" w:firstLine="0"/>
        <w:rPr>
          <w:rFonts w:hint="default" w:eastAsiaTheme="minorEastAsia"/>
          <w:color w:val="000000" w:themeColor="text1"/>
          <w:lang w:val="en-US" w:eastAsia="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6、本项目为北海市推动解决政府采购异常低价试点项目，供应商投标报价属于采购文件规定异常低价情形之一的，应按评标委员会要求在规定时间内提供书面证明及必要的证明材料，否则投标无效。</w:t>
      </w:r>
    </w:p>
    <w:p>
      <w:pPr>
        <w:spacing w:line="360" w:lineRule="auto"/>
        <w:ind w:right="-874" w:rightChars="-416"/>
        <w:rPr>
          <w:rFonts w:cs="仿宋_GB2312" w:asciiTheme="minorEastAsia" w:hAnsiTheme="minorEastAsia" w:eastAsiaTheme="minorEastAsia"/>
          <w:sz w:val="24"/>
        </w:rPr>
      </w:pPr>
    </w:p>
    <w:p>
      <w:pPr>
        <w:spacing w:line="360" w:lineRule="auto"/>
        <w:ind w:right="-874" w:rightChars="-416"/>
        <w:rPr>
          <w:rFonts w:cs="仿宋_GB2312" w:asciiTheme="minorEastAsia" w:hAnsiTheme="minorEastAsia" w:eastAsiaTheme="minorEastAsia"/>
          <w:sz w:val="24"/>
        </w:rPr>
      </w:pP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93"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1"/>
      </w:pPr>
      <w:r>
        <w:rPr>
          <w:rFonts w:hint="eastAsia"/>
        </w:rPr>
        <w:t>附件</w:t>
      </w:r>
      <w:bookmarkEnd w:id="193"/>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sz w:val="24"/>
        </w:rPr>
      </w:pPr>
    </w:p>
    <w:p>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auto"/>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bookmarkStart w:id="194" w:name="_Toc164085800"/>
    <w:bookmarkStart w:id="195" w:name="_Toc131845147"/>
    <w:bookmarkStart w:id="196" w:name="_Toc36110187"/>
    <w:bookmarkStart w:id="197" w:name="_Toc91899912"/>
    <w:r>
      <w:rPr>
        <w:rFonts w:hint="eastAsia" w:ascii="仿宋_GB2312" w:eastAsia="仿宋_GB2312"/>
        <w:kern w:val="0"/>
        <w:sz w:val="21"/>
        <w:szCs w:val="21"/>
      </w:rPr>
      <w:t xml:space="preserve"> 页</w:t>
    </w:r>
    <w:bookmarkEnd w:id="194"/>
    <w:bookmarkEnd w:id="195"/>
    <w:bookmarkEnd w:id="196"/>
    <w:bookmarkEnd w:id="19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w:t>
    </w:r>
    <w:r>
      <w:rPr>
        <w:rFonts w:hint="eastAsia"/>
      </w:rPr>
      <w:t xml:space="preserve">         </w:t>
    </w:r>
  </w:p>
  <w:p>
    <w:pPr>
      <w:pStyle w:val="3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pPr>
    <w:r>
      <w:t></w:t>
    </w:r>
    <w:r>
      <w:rPr>
        <w:rFonts w:hint="eastAsia"/>
      </w:rPr>
      <w:t xml:space="preserve">         </w:t>
    </w:r>
  </w:p>
  <w:p>
    <w:pPr>
      <w:pStyle w:val="39"/>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E0MmYzMGVjMWY5NDBiYWY3N2Q0YTQ5OWFmMz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23D"/>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6C2E"/>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B0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042B"/>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0ABC"/>
    <w:rsid w:val="0010118C"/>
    <w:rsid w:val="0010125E"/>
    <w:rsid w:val="00101967"/>
    <w:rsid w:val="00104CAD"/>
    <w:rsid w:val="00104E5B"/>
    <w:rsid w:val="00104EEC"/>
    <w:rsid w:val="001050DC"/>
    <w:rsid w:val="001052A9"/>
    <w:rsid w:val="00105482"/>
    <w:rsid w:val="001055F5"/>
    <w:rsid w:val="00105BA9"/>
    <w:rsid w:val="00106C42"/>
    <w:rsid w:val="0010712A"/>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877"/>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76FB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529"/>
    <w:rsid w:val="001B2703"/>
    <w:rsid w:val="001B2ABD"/>
    <w:rsid w:val="001B3D69"/>
    <w:rsid w:val="001B4272"/>
    <w:rsid w:val="001B46B2"/>
    <w:rsid w:val="001B4CA8"/>
    <w:rsid w:val="001B572D"/>
    <w:rsid w:val="001B738E"/>
    <w:rsid w:val="001B7B69"/>
    <w:rsid w:val="001C0616"/>
    <w:rsid w:val="001C086C"/>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38FD"/>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589C"/>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278A"/>
    <w:rsid w:val="002A30AD"/>
    <w:rsid w:val="002A40B2"/>
    <w:rsid w:val="002A4EB3"/>
    <w:rsid w:val="002A51D9"/>
    <w:rsid w:val="002A5275"/>
    <w:rsid w:val="002B2906"/>
    <w:rsid w:val="002B35C5"/>
    <w:rsid w:val="002B50B3"/>
    <w:rsid w:val="002B56BE"/>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86A"/>
    <w:rsid w:val="002F7DF0"/>
    <w:rsid w:val="002F7FAF"/>
    <w:rsid w:val="00300AFA"/>
    <w:rsid w:val="00301A22"/>
    <w:rsid w:val="00302137"/>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910"/>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2FA"/>
    <w:rsid w:val="00346B6D"/>
    <w:rsid w:val="00346BA3"/>
    <w:rsid w:val="00347356"/>
    <w:rsid w:val="00350896"/>
    <w:rsid w:val="00350C31"/>
    <w:rsid w:val="003519CD"/>
    <w:rsid w:val="00351A3A"/>
    <w:rsid w:val="00352A88"/>
    <w:rsid w:val="0035455F"/>
    <w:rsid w:val="00355D8F"/>
    <w:rsid w:val="00357437"/>
    <w:rsid w:val="003577EF"/>
    <w:rsid w:val="00357F65"/>
    <w:rsid w:val="0036018D"/>
    <w:rsid w:val="00360304"/>
    <w:rsid w:val="00361DB9"/>
    <w:rsid w:val="00364A28"/>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6EE"/>
    <w:rsid w:val="003B0A3A"/>
    <w:rsid w:val="003B4810"/>
    <w:rsid w:val="003B514E"/>
    <w:rsid w:val="003B5E0A"/>
    <w:rsid w:val="003B613B"/>
    <w:rsid w:val="003B636A"/>
    <w:rsid w:val="003B6AF1"/>
    <w:rsid w:val="003B7D14"/>
    <w:rsid w:val="003C011C"/>
    <w:rsid w:val="003C1A93"/>
    <w:rsid w:val="003C435B"/>
    <w:rsid w:val="003C4EBE"/>
    <w:rsid w:val="003C685A"/>
    <w:rsid w:val="003C6B25"/>
    <w:rsid w:val="003C6D90"/>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D7789"/>
    <w:rsid w:val="003E071F"/>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3B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03D5"/>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0581"/>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37F46"/>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71"/>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561"/>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171E"/>
    <w:rsid w:val="006F2046"/>
    <w:rsid w:val="006F3E2E"/>
    <w:rsid w:val="006F41F4"/>
    <w:rsid w:val="006F5813"/>
    <w:rsid w:val="006F59A8"/>
    <w:rsid w:val="006F5A1D"/>
    <w:rsid w:val="006F71A6"/>
    <w:rsid w:val="006F7974"/>
    <w:rsid w:val="006F7C2C"/>
    <w:rsid w:val="00700D18"/>
    <w:rsid w:val="007010CB"/>
    <w:rsid w:val="007011A1"/>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4F79"/>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475"/>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3B21"/>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276E"/>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D04"/>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24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B7CA3"/>
    <w:rsid w:val="008C0335"/>
    <w:rsid w:val="008C094A"/>
    <w:rsid w:val="008C1077"/>
    <w:rsid w:val="008C1570"/>
    <w:rsid w:val="008C2059"/>
    <w:rsid w:val="008C4C92"/>
    <w:rsid w:val="008C54DC"/>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1731"/>
    <w:rsid w:val="009128B8"/>
    <w:rsid w:val="0091328F"/>
    <w:rsid w:val="00914D1C"/>
    <w:rsid w:val="00915679"/>
    <w:rsid w:val="009159C2"/>
    <w:rsid w:val="009175AF"/>
    <w:rsid w:val="00920A06"/>
    <w:rsid w:val="00921A18"/>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C1A"/>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9F7F6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776"/>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3187"/>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62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548"/>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32A6"/>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538"/>
    <w:rsid w:val="00C0378E"/>
    <w:rsid w:val="00C04258"/>
    <w:rsid w:val="00C05AFD"/>
    <w:rsid w:val="00C06098"/>
    <w:rsid w:val="00C06D85"/>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35B1"/>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839"/>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1ED0"/>
    <w:rsid w:val="00D72175"/>
    <w:rsid w:val="00D72454"/>
    <w:rsid w:val="00D72A5B"/>
    <w:rsid w:val="00D73F06"/>
    <w:rsid w:val="00D74160"/>
    <w:rsid w:val="00D74247"/>
    <w:rsid w:val="00D753A9"/>
    <w:rsid w:val="00D7682B"/>
    <w:rsid w:val="00D77A41"/>
    <w:rsid w:val="00D804C5"/>
    <w:rsid w:val="00D81146"/>
    <w:rsid w:val="00D81A28"/>
    <w:rsid w:val="00D82AB8"/>
    <w:rsid w:val="00D82B00"/>
    <w:rsid w:val="00D82BE4"/>
    <w:rsid w:val="00D82E05"/>
    <w:rsid w:val="00D82F67"/>
    <w:rsid w:val="00D83A05"/>
    <w:rsid w:val="00D83C0D"/>
    <w:rsid w:val="00D84949"/>
    <w:rsid w:val="00D863BF"/>
    <w:rsid w:val="00D869C1"/>
    <w:rsid w:val="00D86EC6"/>
    <w:rsid w:val="00D872A5"/>
    <w:rsid w:val="00D87418"/>
    <w:rsid w:val="00D87FE6"/>
    <w:rsid w:val="00D90BC3"/>
    <w:rsid w:val="00D90DB9"/>
    <w:rsid w:val="00D91337"/>
    <w:rsid w:val="00D915C9"/>
    <w:rsid w:val="00D91842"/>
    <w:rsid w:val="00D9198F"/>
    <w:rsid w:val="00D92A87"/>
    <w:rsid w:val="00D92D21"/>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1BBA"/>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14B"/>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080"/>
    <w:rsid w:val="00F551DB"/>
    <w:rsid w:val="00F559BE"/>
    <w:rsid w:val="00F56417"/>
    <w:rsid w:val="00F56EE7"/>
    <w:rsid w:val="00F56FEF"/>
    <w:rsid w:val="00F57521"/>
    <w:rsid w:val="00F57AC4"/>
    <w:rsid w:val="00F60938"/>
    <w:rsid w:val="00F61606"/>
    <w:rsid w:val="00F62BD1"/>
    <w:rsid w:val="00F62CA8"/>
    <w:rsid w:val="00F63BF4"/>
    <w:rsid w:val="00F63C39"/>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5124"/>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6A4D7C"/>
    <w:rsid w:val="02DA0C0E"/>
    <w:rsid w:val="02EB05B4"/>
    <w:rsid w:val="032E6F41"/>
    <w:rsid w:val="03344582"/>
    <w:rsid w:val="03DD35E4"/>
    <w:rsid w:val="05416085"/>
    <w:rsid w:val="055F5B8D"/>
    <w:rsid w:val="06416793"/>
    <w:rsid w:val="06484D16"/>
    <w:rsid w:val="065A6178"/>
    <w:rsid w:val="075562B7"/>
    <w:rsid w:val="07F6164B"/>
    <w:rsid w:val="08662564"/>
    <w:rsid w:val="087A1B7A"/>
    <w:rsid w:val="096B2097"/>
    <w:rsid w:val="0A5B7E63"/>
    <w:rsid w:val="0BDE1308"/>
    <w:rsid w:val="0C125800"/>
    <w:rsid w:val="0C87121B"/>
    <w:rsid w:val="0DF702FE"/>
    <w:rsid w:val="0E3F698B"/>
    <w:rsid w:val="0E7B5D8A"/>
    <w:rsid w:val="0F21508F"/>
    <w:rsid w:val="0F375AFE"/>
    <w:rsid w:val="0F816ACD"/>
    <w:rsid w:val="0FB94501"/>
    <w:rsid w:val="0FC43D52"/>
    <w:rsid w:val="10B047CF"/>
    <w:rsid w:val="10FB7886"/>
    <w:rsid w:val="10FC16EA"/>
    <w:rsid w:val="11071178"/>
    <w:rsid w:val="118963A1"/>
    <w:rsid w:val="11D70EB3"/>
    <w:rsid w:val="127723A9"/>
    <w:rsid w:val="12B95E77"/>
    <w:rsid w:val="13072A44"/>
    <w:rsid w:val="13974E99"/>
    <w:rsid w:val="145044FA"/>
    <w:rsid w:val="152F077F"/>
    <w:rsid w:val="15A202D8"/>
    <w:rsid w:val="16D0087B"/>
    <w:rsid w:val="18344BBB"/>
    <w:rsid w:val="18505FA5"/>
    <w:rsid w:val="186742B0"/>
    <w:rsid w:val="19F11585"/>
    <w:rsid w:val="1A0D6686"/>
    <w:rsid w:val="1A6B110A"/>
    <w:rsid w:val="1B2A271F"/>
    <w:rsid w:val="1B65115D"/>
    <w:rsid w:val="1B890139"/>
    <w:rsid w:val="1C0D093B"/>
    <w:rsid w:val="1CFB4FF5"/>
    <w:rsid w:val="1D19512E"/>
    <w:rsid w:val="1D266CE1"/>
    <w:rsid w:val="1D3963AF"/>
    <w:rsid w:val="1DBD0386"/>
    <w:rsid w:val="1E714A66"/>
    <w:rsid w:val="1F184CFE"/>
    <w:rsid w:val="1FE868A9"/>
    <w:rsid w:val="1FFA56C2"/>
    <w:rsid w:val="20FC0A2E"/>
    <w:rsid w:val="211E26D6"/>
    <w:rsid w:val="21283D08"/>
    <w:rsid w:val="226C1A87"/>
    <w:rsid w:val="25AF7530"/>
    <w:rsid w:val="25B440B3"/>
    <w:rsid w:val="27EA27C5"/>
    <w:rsid w:val="2A3A50FC"/>
    <w:rsid w:val="2A4C4B00"/>
    <w:rsid w:val="2A7B6371"/>
    <w:rsid w:val="2AA1365A"/>
    <w:rsid w:val="2AAB1089"/>
    <w:rsid w:val="2C013A96"/>
    <w:rsid w:val="2C2F7260"/>
    <w:rsid w:val="2C677741"/>
    <w:rsid w:val="2C87198B"/>
    <w:rsid w:val="2CF702A0"/>
    <w:rsid w:val="2DD15014"/>
    <w:rsid w:val="2F2A0E65"/>
    <w:rsid w:val="2FD25781"/>
    <w:rsid w:val="304902D7"/>
    <w:rsid w:val="307F111D"/>
    <w:rsid w:val="308D2297"/>
    <w:rsid w:val="3119651C"/>
    <w:rsid w:val="319C6071"/>
    <w:rsid w:val="32196ABA"/>
    <w:rsid w:val="32DB72BE"/>
    <w:rsid w:val="334F1398"/>
    <w:rsid w:val="342E63AB"/>
    <w:rsid w:val="345D260B"/>
    <w:rsid w:val="35FB7034"/>
    <w:rsid w:val="365302AE"/>
    <w:rsid w:val="371411FD"/>
    <w:rsid w:val="37442EC0"/>
    <w:rsid w:val="37F142D2"/>
    <w:rsid w:val="38A47B0F"/>
    <w:rsid w:val="396B7955"/>
    <w:rsid w:val="39A13F14"/>
    <w:rsid w:val="3ACA2612"/>
    <w:rsid w:val="3AFF35D3"/>
    <w:rsid w:val="3BE71F29"/>
    <w:rsid w:val="3C5F759A"/>
    <w:rsid w:val="3CE9045D"/>
    <w:rsid w:val="3D312184"/>
    <w:rsid w:val="3D5C78D4"/>
    <w:rsid w:val="3EC56B5B"/>
    <w:rsid w:val="3F6E73BB"/>
    <w:rsid w:val="3FFF72A6"/>
    <w:rsid w:val="40115DB9"/>
    <w:rsid w:val="409E4141"/>
    <w:rsid w:val="40FF5FDC"/>
    <w:rsid w:val="410D387F"/>
    <w:rsid w:val="41FB5D2A"/>
    <w:rsid w:val="42C7163B"/>
    <w:rsid w:val="42E1381E"/>
    <w:rsid w:val="43D5676F"/>
    <w:rsid w:val="43FB717C"/>
    <w:rsid w:val="442D029B"/>
    <w:rsid w:val="451E447A"/>
    <w:rsid w:val="45345B76"/>
    <w:rsid w:val="46CD35E5"/>
    <w:rsid w:val="46E43289"/>
    <w:rsid w:val="47307808"/>
    <w:rsid w:val="486F747C"/>
    <w:rsid w:val="4D861CF6"/>
    <w:rsid w:val="51A0432A"/>
    <w:rsid w:val="51BC194B"/>
    <w:rsid w:val="51CF2AB9"/>
    <w:rsid w:val="527140E5"/>
    <w:rsid w:val="5292508F"/>
    <w:rsid w:val="52A96B6F"/>
    <w:rsid w:val="53CE0B73"/>
    <w:rsid w:val="53FA1D53"/>
    <w:rsid w:val="549D7677"/>
    <w:rsid w:val="550764A4"/>
    <w:rsid w:val="551926E0"/>
    <w:rsid w:val="555C539F"/>
    <w:rsid w:val="561279B9"/>
    <w:rsid w:val="56515F3B"/>
    <w:rsid w:val="56873528"/>
    <w:rsid w:val="572B71CA"/>
    <w:rsid w:val="574B6695"/>
    <w:rsid w:val="57E958DA"/>
    <w:rsid w:val="58AE4F0C"/>
    <w:rsid w:val="5A2A7C7B"/>
    <w:rsid w:val="5B251DB3"/>
    <w:rsid w:val="5C80234E"/>
    <w:rsid w:val="5CEF06B6"/>
    <w:rsid w:val="5D321B06"/>
    <w:rsid w:val="5DC44D72"/>
    <w:rsid w:val="5E261785"/>
    <w:rsid w:val="5EA11264"/>
    <w:rsid w:val="5F4E166F"/>
    <w:rsid w:val="5FCC5339"/>
    <w:rsid w:val="5FE70807"/>
    <w:rsid w:val="60E53485"/>
    <w:rsid w:val="61054A27"/>
    <w:rsid w:val="611D2366"/>
    <w:rsid w:val="612156D8"/>
    <w:rsid w:val="61CC0B4F"/>
    <w:rsid w:val="62885958"/>
    <w:rsid w:val="64C519F7"/>
    <w:rsid w:val="64CE2EAA"/>
    <w:rsid w:val="662E75B1"/>
    <w:rsid w:val="66342C2E"/>
    <w:rsid w:val="66357DF8"/>
    <w:rsid w:val="663E784C"/>
    <w:rsid w:val="67BE2FFB"/>
    <w:rsid w:val="685867EC"/>
    <w:rsid w:val="68FA37E9"/>
    <w:rsid w:val="6A994402"/>
    <w:rsid w:val="6ABA097A"/>
    <w:rsid w:val="6B0417E6"/>
    <w:rsid w:val="6C987AF2"/>
    <w:rsid w:val="6CEE4D6C"/>
    <w:rsid w:val="6E8E12EF"/>
    <w:rsid w:val="6F5B568A"/>
    <w:rsid w:val="717F6C8F"/>
    <w:rsid w:val="71D43752"/>
    <w:rsid w:val="72011D65"/>
    <w:rsid w:val="73DD6243"/>
    <w:rsid w:val="74235FBB"/>
    <w:rsid w:val="749C4185"/>
    <w:rsid w:val="75626E09"/>
    <w:rsid w:val="75DA2C18"/>
    <w:rsid w:val="775319EF"/>
    <w:rsid w:val="790F1C77"/>
    <w:rsid w:val="7A67303B"/>
    <w:rsid w:val="7AAB1D04"/>
    <w:rsid w:val="7ABA4368"/>
    <w:rsid w:val="7B257FFD"/>
    <w:rsid w:val="7C2B1DA5"/>
    <w:rsid w:val="7C5E229F"/>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63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0"/>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next w:val="23"/>
    <w:link w:val="510"/>
    <w:qFormat/>
    <w:uiPriority w:val="0"/>
    <w:pPr>
      <w:autoSpaceDE w:val="0"/>
      <w:autoSpaceDN w:val="0"/>
      <w:spacing w:line="360" w:lineRule="auto"/>
    </w:pPr>
    <w:rPr>
      <w:rFonts w:ascii="宋体"/>
      <w:sz w:val="24"/>
      <w:szCs w:val="21"/>
      <w:lang w:val="zh-CN"/>
    </w:rPr>
  </w:style>
  <w:style w:type="paragraph" w:styleId="23">
    <w:name w:val="Body Text First Indent"/>
    <w:basedOn w:val="22"/>
    <w:link w:val="543"/>
    <w:qFormat/>
    <w:uiPriority w:val="0"/>
    <w:pPr>
      <w:ind w:firstLine="420"/>
    </w:pPr>
    <w:rPr>
      <w:szCs w:val="20"/>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qFormat/>
    <w:uiPriority w:val="0"/>
    <w:rPr>
      <w:sz w:val="18"/>
      <w:szCs w:val="18"/>
    </w:rPr>
  </w:style>
  <w:style w:type="paragraph" w:styleId="38">
    <w:name w:val="footer"/>
    <w:basedOn w:val="1"/>
    <w:link w:val="636"/>
    <w:qFormat/>
    <w:uiPriority w:val="0"/>
    <w:pPr>
      <w:tabs>
        <w:tab w:val="center" w:pos="4153"/>
        <w:tab w:val="right" w:pos="8306"/>
      </w:tabs>
      <w:snapToGrid w:val="0"/>
      <w:jc w:val="left"/>
    </w:pPr>
    <w:rPr>
      <w:sz w:val="18"/>
      <w:szCs w:val="18"/>
    </w:rPr>
  </w:style>
  <w:style w:type="paragraph" w:styleId="39">
    <w:name w:val="header"/>
    <w:basedOn w:val="1"/>
    <w:link w:val="637"/>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link w:val="642"/>
    <w:qFormat/>
    <w:uiPriority w:val="0"/>
    <w:rPr>
      <w:b/>
      <w:bCs/>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b/>
      <w:bCs/>
    </w:rPr>
  </w:style>
  <w:style w:type="character" w:styleId="64">
    <w:name w:val="page number"/>
    <w:basedOn w:val="62"/>
    <w:qFormat/>
    <w:uiPriority w:val="0"/>
  </w:style>
  <w:style w:type="character" w:styleId="65">
    <w:name w:val="FollowedHyperlink"/>
    <w:qFormat/>
    <w:uiPriority w:val="99"/>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0"/>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2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0"/>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23"/>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8"/>
    <w:qFormat/>
    <w:locked/>
    <w:uiPriority w:val="99"/>
    <w:rPr>
      <w:kern w:val="2"/>
      <w:sz w:val="18"/>
      <w:szCs w:val="18"/>
    </w:rPr>
  </w:style>
  <w:style w:type="character" w:customStyle="1" w:styleId="637">
    <w:name w:val="页眉 Char2"/>
    <w:link w:val="39"/>
    <w:qFormat/>
    <w:uiPriority w:val="99"/>
    <w:rPr>
      <w:kern w:val="2"/>
      <w:sz w:val="18"/>
      <w:szCs w:val="18"/>
    </w:rPr>
  </w:style>
  <w:style w:type="table" w:customStyle="1" w:styleId="638">
    <w:name w:val="网格型3"/>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9">
    <w:name w:val="标题 3 Char"/>
    <w:basedOn w:val="62"/>
    <w:link w:val="4"/>
    <w:qFormat/>
    <w:uiPriority w:val="0"/>
    <w:rPr>
      <w:b/>
      <w:bCs/>
      <w:kern w:val="2"/>
      <w:sz w:val="32"/>
      <w:szCs w:val="32"/>
    </w:rPr>
  </w:style>
  <w:style w:type="character" w:customStyle="1" w:styleId="640">
    <w:name w:val="批注文字 字符"/>
    <w:qFormat/>
    <w:uiPriority w:val="0"/>
    <w:rPr>
      <w:rFonts w:ascii="Calibri" w:hAnsi="Calibri" w:cs="Calibri"/>
      <w:kern w:val="2"/>
      <w:sz w:val="21"/>
      <w:szCs w:val="21"/>
    </w:rPr>
  </w:style>
  <w:style w:type="character" w:customStyle="1" w:styleId="641">
    <w:name w:val="批注框文本 字符"/>
    <w:qFormat/>
    <w:uiPriority w:val="0"/>
    <w:rPr>
      <w:rFonts w:ascii="Calibri" w:hAnsi="Calibri" w:cs="Calibri"/>
      <w:kern w:val="2"/>
      <w:sz w:val="18"/>
      <w:szCs w:val="18"/>
    </w:rPr>
  </w:style>
  <w:style w:type="character" w:customStyle="1" w:styleId="642">
    <w:name w:val="批注主题 Char1"/>
    <w:link w:val="58"/>
    <w:qFormat/>
    <w:uiPriority w:val="0"/>
    <w:rPr>
      <w:b/>
      <w:bCs/>
      <w:kern w:val="2"/>
      <w:sz w:val="21"/>
      <w:szCs w:val="24"/>
    </w:rPr>
  </w:style>
  <w:style w:type="table" w:customStyle="1" w:styleId="64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0AB4E-A91B-4ADB-AFFC-ADA798B96D6C}">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86</Pages>
  <Words>44482</Words>
  <Characters>46899</Characters>
  <Lines>518</Lines>
  <Paragraphs>146</Paragraphs>
  <TotalTime>47</TotalTime>
  <ScaleCrop>false</ScaleCrop>
  <LinksUpToDate>false</LinksUpToDate>
  <CharactersWithSpaces>52850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2025-09-08T07:36:00Z</dcterms:created>
  <dc:creator>北海市政府采购中心</dc:creator>
  <cp:lastModifiedBy>lenovo</cp:lastModifiedBy>
  <cp:lastPrinted>2025-10-29T00:02:00Z</cp:lastPrinted>
  <dcterms:modified xsi:type="dcterms:W3CDTF">2025-11-06T09:24:00Z</dcterms:modified>
  <dc:title>北海市政府采购中心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25C006EF029D410DBA07CF2011F57D20</vt:lpwstr>
  </property>
  <property fmtid="{D5CDD505-2E9C-101B-9397-08002B2CF9AE}" pid="4" name="KSOTemplateDocerSaveRecord">
    <vt:lpwstr>eyJoZGlkIjoiMjRhMDZmMzFmNDFmN2EzYzA2YjU0NjRhNzhkY2M2MGMifQ==</vt:lpwstr>
  </property>
</Properties>
</file>